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7CBA" w14:textId="359BB8B2" w:rsidR="0010595D" w:rsidRDefault="0010595D" w:rsidP="0029363B">
      <w:pPr>
        <w:pStyle w:val="Title"/>
        <w:spacing w:before="960"/>
      </w:pPr>
      <w:r>
        <w:t>E</w:t>
      </w:r>
      <w:r w:rsidR="00754C1B">
        <w:t>valuation of the</w:t>
      </w:r>
      <w:r w:rsidR="005B7BC9">
        <w:t xml:space="preserve"> </w:t>
      </w:r>
      <w:r w:rsidR="00754C1B">
        <w:t xml:space="preserve">Australian Government’s investment in Aboriginal and Torres Strait </w:t>
      </w:r>
      <w:r w:rsidR="00EE2609">
        <w:t>Is</w:t>
      </w:r>
      <w:r w:rsidR="00754C1B">
        <w:t>lander primary health care through the Indigenous Australians’ Health Programme</w:t>
      </w:r>
      <w:r w:rsidR="00403A5A">
        <w:t xml:space="preserve"> </w:t>
      </w:r>
    </w:p>
    <w:p w14:paraId="517CB627" w14:textId="1C3B9038" w:rsidR="00751A23" w:rsidRDefault="00403A5A" w:rsidP="0029363B">
      <w:pPr>
        <w:pStyle w:val="Title"/>
        <w:spacing w:before="960"/>
      </w:pPr>
      <w:r>
        <w:t>(IAHP Yarnes)</w:t>
      </w:r>
    </w:p>
    <w:p w14:paraId="22A2C98F" w14:textId="77777777" w:rsidR="00751A23" w:rsidRDefault="00754C1B" w:rsidP="00751A23">
      <w:pPr>
        <w:pStyle w:val="Subtitle"/>
      </w:pPr>
      <w:r>
        <w:t>Management Response</w:t>
      </w:r>
    </w:p>
    <w:p w14:paraId="7C32CA6D" w14:textId="37BB282A" w:rsidR="0029363B" w:rsidRPr="0029363B" w:rsidRDefault="00EE2609" w:rsidP="0029363B">
      <w:pPr>
        <w:rPr>
          <w:b/>
          <w:bCs/>
        </w:rPr>
      </w:pPr>
      <w:r>
        <w:rPr>
          <w:b/>
          <w:bCs/>
        </w:rPr>
        <w:t xml:space="preserve">December </w:t>
      </w:r>
      <w:r w:rsidR="0029363B" w:rsidRPr="0029363B">
        <w:rPr>
          <w:b/>
          <w:bCs/>
        </w:rPr>
        <w:t>202</w:t>
      </w:r>
      <w:r>
        <w:rPr>
          <w:b/>
          <w:bCs/>
        </w:rPr>
        <w:t>4</w:t>
      </w:r>
    </w:p>
    <w:p w14:paraId="0685F9D6" w14:textId="4145FDB4" w:rsidR="0029363B" w:rsidRPr="0029363B" w:rsidRDefault="0029363B" w:rsidP="0029363B">
      <w:pPr>
        <w:sectPr w:rsidR="0029363B" w:rsidRPr="0029363B" w:rsidSect="00D45D94">
          <w:footerReference w:type="default" r:id="rId11"/>
          <w:headerReference w:type="first" r:id="rId12"/>
          <w:type w:val="continuous"/>
          <w:pgSz w:w="11906" w:h="16838"/>
          <w:pgMar w:top="1701" w:right="1418" w:bottom="1418" w:left="1418" w:header="850" w:footer="709" w:gutter="0"/>
          <w:cols w:space="708"/>
          <w:titlePg/>
          <w:docGrid w:linePitch="360"/>
        </w:sectPr>
      </w:pPr>
    </w:p>
    <w:p w14:paraId="54527DC0" w14:textId="77777777" w:rsidR="006169D6" w:rsidRDefault="006169D6" w:rsidP="006169D6">
      <w:pPr>
        <w:pStyle w:val="Heading1"/>
      </w:pPr>
      <w:r>
        <w:lastRenderedPageBreak/>
        <w:t>Overview of the IAHP Yarnes evaluation</w:t>
      </w:r>
    </w:p>
    <w:p w14:paraId="59CBBF82" w14:textId="77777777" w:rsidR="00537893" w:rsidRDefault="00537893" w:rsidP="00AF20B4"/>
    <w:p w14:paraId="207016B3" w14:textId="1655FC38" w:rsidR="00AF20B4" w:rsidRDefault="00AF20B4" w:rsidP="00AF20B4">
      <w:r>
        <w:t xml:space="preserve">The </w:t>
      </w:r>
      <w:hyperlink r:id="rId13" w:history="1">
        <w:r w:rsidRPr="004370EB">
          <w:rPr>
            <w:rStyle w:val="Hyperlink"/>
            <w:i/>
            <w:iCs/>
          </w:rPr>
          <w:t>Indigenous Australians’ Health Programme</w:t>
        </w:r>
      </w:hyperlink>
      <w:r w:rsidRPr="00E35766">
        <w:rPr>
          <w:i/>
          <w:iCs/>
        </w:rPr>
        <w:t xml:space="preserve"> (IAHP)</w:t>
      </w:r>
      <w:r>
        <w:t xml:space="preserve"> is the Australian Government’s largest investment in improving health, wellbeing, and life expectancy outcomes for Aboriginal and Torres Strait Islander people. </w:t>
      </w:r>
    </w:p>
    <w:p w14:paraId="0723A3E7" w14:textId="380C2400" w:rsidR="00AF20B4" w:rsidRDefault="00AF20B4" w:rsidP="00AF20B4">
      <w:r>
        <w:t xml:space="preserve">The IAHP </w:t>
      </w:r>
      <w:r w:rsidRPr="00F24EA9">
        <w:t xml:space="preserve">was established to ensure First Nations peoples have access to effective, high quality, comprehensive and culturally appropriate </w:t>
      </w:r>
      <w:r>
        <w:t>primary health care</w:t>
      </w:r>
      <w:r w:rsidRPr="00F24EA9">
        <w:t xml:space="preserve"> services in Australia</w:t>
      </w:r>
      <w:r>
        <w:t xml:space="preserve">. Under this program, the department </w:t>
      </w:r>
      <w:r w:rsidR="00970255">
        <w:t xml:space="preserve">provides funding to </w:t>
      </w:r>
      <w:r w:rsidRPr="001063EF">
        <w:t xml:space="preserve">Aboriginal Community Controlled Health Services (ACCHSs) and other </w:t>
      </w:r>
      <w:r w:rsidR="00970255">
        <w:t xml:space="preserve">First Nations </w:t>
      </w:r>
      <w:r w:rsidRPr="001063EF">
        <w:t>health initiatives</w:t>
      </w:r>
      <w:r>
        <w:t xml:space="preserve">. </w:t>
      </w:r>
    </w:p>
    <w:p w14:paraId="7D538458" w14:textId="21C6D47A" w:rsidR="00AF20B4" w:rsidRDefault="00AF20B4" w:rsidP="00AF20B4">
      <w:r>
        <w:t xml:space="preserve">The IAHP </w:t>
      </w:r>
      <w:r w:rsidR="00970255">
        <w:t>invests across</w:t>
      </w:r>
      <w:r>
        <w:t xml:space="preserve"> 4 themes:</w:t>
      </w:r>
    </w:p>
    <w:p w14:paraId="0809235A" w14:textId="77777777" w:rsidR="00AF20B4" w:rsidRDefault="00AF20B4" w:rsidP="00AF20B4">
      <w:pPr>
        <w:pStyle w:val="ListParagraph"/>
        <w:numPr>
          <w:ilvl w:val="0"/>
          <w:numId w:val="59"/>
        </w:numPr>
      </w:pPr>
      <w:r>
        <w:t>Primary health care services – such as immunisation, activities to reduce smoking or activities that improve service delivery</w:t>
      </w:r>
    </w:p>
    <w:p w14:paraId="619DDF14" w14:textId="77777777" w:rsidR="00AF20B4" w:rsidRDefault="00AF20B4" w:rsidP="00AF20B4">
      <w:pPr>
        <w:pStyle w:val="ListParagraph"/>
        <w:numPr>
          <w:ilvl w:val="0"/>
          <w:numId w:val="59"/>
        </w:numPr>
      </w:pPr>
      <w:r>
        <w:t>Improving access to primary health care – such as coordinating care across service, increasing the cultural skills of the health workforce or supporting outreach services</w:t>
      </w:r>
    </w:p>
    <w:p w14:paraId="0083E2A1" w14:textId="77777777" w:rsidR="00AF20B4" w:rsidRDefault="00AF20B4" w:rsidP="00AF20B4">
      <w:pPr>
        <w:pStyle w:val="ListParagraph"/>
        <w:numPr>
          <w:ilvl w:val="0"/>
          <w:numId w:val="59"/>
        </w:numPr>
      </w:pPr>
      <w:r>
        <w:t>Targeted health activities – such as managing chronic conditions or improving the ear and eye health of children</w:t>
      </w:r>
    </w:p>
    <w:p w14:paraId="5E99DE3A" w14:textId="1B092052" w:rsidR="00AF20B4" w:rsidRDefault="00AF20B4" w:rsidP="00AF20B4">
      <w:pPr>
        <w:pStyle w:val="ListParagraph"/>
        <w:numPr>
          <w:ilvl w:val="0"/>
          <w:numId w:val="59"/>
        </w:numPr>
      </w:pPr>
      <w:r>
        <w:t>Capital works – such as buying, leasing, building or upgrading infrastructure</w:t>
      </w:r>
      <w:r w:rsidR="00E91A03">
        <w:t>.</w:t>
      </w:r>
    </w:p>
    <w:p w14:paraId="4FEF4990" w14:textId="6F1C8129" w:rsidR="00AF20B4" w:rsidRDefault="00AF20B4" w:rsidP="00AF20B4">
      <w:r>
        <w:t xml:space="preserve">In 2017, the Department of Health and Aged Care (the department) commissioned Allen and Clarke Consulting </w:t>
      </w:r>
      <w:r w:rsidR="00970255">
        <w:t xml:space="preserve">(A+C) </w:t>
      </w:r>
      <w:r>
        <w:t xml:space="preserve">to undertake an independent evaluation of the IAHP. The evaluation aimed to investigate the appropriateness and effectiveness of the Australian Government’s investment in Aboriginal and Torres Strait Islander primary health care (PHC) through the IAHP (IAHP Yarnes). </w:t>
      </w:r>
    </w:p>
    <w:p w14:paraId="29E5ED3C" w14:textId="77777777" w:rsidR="00AF20B4" w:rsidRDefault="00AF20B4" w:rsidP="00AF20B4">
      <w:r>
        <w:t xml:space="preserve">The evaluation was co-designed and supported by a Health Sector Co-Design Group (HSCG), who provided ongoing advice, guidance and leadership on the implementation of the evaluation, </w:t>
      </w:r>
      <w:r w:rsidRPr="00F84BE2">
        <w:t>and affirmed accountability for co</w:t>
      </w:r>
      <w:r>
        <w:t>-</w:t>
      </w:r>
      <w:r w:rsidRPr="00F84BE2">
        <w:t xml:space="preserve">design </w:t>
      </w:r>
      <w:r>
        <w:t>throughout</w:t>
      </w:r>
      <w:r w:rsidRPr="00F84BE2">
        <w:t>.</w:t>
      </w:r>
    </w:p>
    <w:p w14:paraId="74CADB0E" w14:textId="77777777" w:rsidR="00AF20B4" w:rsidRDefault="00AF20B4" w:rsidP="00AF20B4">
      <w:r>
        <w:t xml:space="preserve">The evaluation took a mixed-methods approach to data collation and analysis, including engagement with over 1000 participants across Australia. Participants included community members and staff across 37 partner organisations and 17 evaluation sites, and representatives of community-controlled, state, territory, and national organisations, with varying levels of remoteness. </w:t>
      </w:r>
    </w:p>
    <w:p w14:paraId="25429422" w14:textId="77777777" w:rsidR="00AF20B4" w:rsidRDefault="00AF20B4" w:rsidP="00AF20B4">
      <w:r>
        <w:t>The final report of this evaluation was provided to Government by the independent evaluators and proposed 13 recommendations for action.</w:t>
      </w:r>
    </w:p>
    <w:p w14:paraId="4A5379A7" w14:textId="77777777" w:rsidR="00537893" w:rsidRDefault="00537893">
      <w:pPr>
        <w:spacing w:before="0" w:after="0" w:line="240" w:lineRule="auto"/>
        <w:rPr>
          <w:color w:val="0070C0"/>
        </w:rPr>
      </w:pPr>
      <w:r>
        <w:rPr>
          <w:color w:val="0070C0"/>
        </w:rPr>
        <w:br w:type="page"/>
      </w:r>
    </w:p>
    <w:p w14:paraId="2A8D2213" w14:textId="77777777" w:rsidR="000F029B" w:rsidRPr="004D1339" w:rsidRDefault="000F029B" w:rsidP="000F029B">
      <w:pPr>
        <w:pStyle w:val="Heading1"/>
      </w:pPr>
      <w:r>
        <w:lastRenderedPageBreak/>
        <w:t>Reflections from the Health Sector Co</w:t>
      </w:r>
      <w:r>
        <w:noBreakHyphen/>
        <w:t>Design Group (HSCG)</w:t>
      </w:r>
    </w:p>
    <w:p w14:paraId="036102DB" w14:textId="77777777" w:rsidR="000F029B" w:rsidRDefault="000F029B" w:rsidP="000F029B"/>
    <w:p w14:paraId="3BB737C4" w14:textId="001E3A34" w:rsidR="000F029B" w:rsidRDefault="000F029B" w:rsidP="000F029B">
      <w:r>
        <w:t>This independent reflection has been prepared by the Health Sector Co-Design Group (HSCG) and considers both the process and findings of the IAHP evaluation conducted by A+C and the role played by HSCG itself. Signed during the middle of this evaluation, the National Agreement on Closing the Gap</w:t>
      </w:r>
      <w:r w:rsidR="00586540">
        <w:t xml:space="preserve"> (Closing the Gap)</w:t>
      </w:r>
      <w:r>
        <w:t xml:space="preserve"> describes Governments’ commitments to co-design and Indigenous Data Sovereignty (IDS). As one of the first properly constituted evaluation </w:t>
      </w:r>
      <w:r w:rsidR="00970255">
        <w:t xml:space="preserve">co-design groups </w:t>
      </w:r>
      <w:r>
        <w:t>convened in these circumstances, the HSCG found itself at the forefront of this imperative. We share our experiences and insights here.</w:t>
      </w:r>
    </w:p>
    <w:p w14:paraId="7EE33A7C" w14:textId="77777777" w:rsidR="000F029B" w:rsidRDefault="000F029B" w:rsidP="000F029B">
      <w:pPr>
        <w:pStyle w:val="Heading2"/>
      </w:pPr>
      <w:r>
        <w:t xml:space="preserve">Governance for co-design </w:t>
      </w:r>
    </w:p>
    <w:p w14:paraId="6E47908B" w14:textId="31445B22" w:rsidR="000F029B" w:rsidRDefault="000F029B" w:rsidP="000F029B">
      <w:r>
        <w:t xml:space="preserve">The HSCG first met in Canberra in December 2017. It had a majority of Aboriginal and Torres Strait Islander members (see Table 1) and was co-chaired by Kate Thomann (Department of Health and Aged Care) and Dr Mark </w:t>
      </w:r>
      <w:proofErr w:type="spellStart"/>
      <w:r>
        <w:t>Wenitong</w:t>
      </w:r>
      <w:proofErr w:type="spellEnd"/>
      <w:r>
        <w:t xml:space="preserve"> (</w:t>
      </w:r>
      <w:proofErr w:type="spellStart"/>
      <w:r>
        <w:t>Apunipima</w:t>
      </w:r>
      <w:proofErr w:type="spellEnd"/>
      <w:r>
        <w:t xml:space="preserve"> Cape York Health Council). The HSCG’s role included participation in the co-design of the evaluation scope, methodology and key evaluation questions which would anchor data collection and interpretation. The HSCG met face-to-face several times with A+C to develop an evaluation method that would secure the confidence of participating ACCH</w:t>
      </w:r>
      <w:r w:rsidR="004B35DB">
        <w:t>S</w:t>
      </w:r>
      <w:r>
        <w:t xml:space="preserve">s, other services and stakeholders. The initial evaluation protocol and Monitoring and Evaluation Design Report was fully supported by HSCG. </w:t>
      </w:r>
    </w:p>
    <w:p w14:paraId="4A811B1B" w14:textId="77777777" w:rsidR="000F029B" w:rsidRDefault="000F029B" w:rsidP="000F029B">
      <w:r>
        <w:t xml:space="preserve">In December 2018, the then Minister of Indigenous Health announced his approval of the evaluation methodology and objectives submitted in this original Monitoring and Evaluation Design Report. </w:t>
      </w:r>
    </w:p>
    <w:p w14:paraId="55F9C954" w14:textId="77777777" w:rsidR="000F029B" w:rsidRDefault="000F029B" w:rsidP="000F029B">
      <w:r>
        <w:t xml:space="preserve">HSCG believes that it is important to reiterate here that, as agreed by the Minister, the department and </w:t>
      </w:r>
      <w:proofErr w:type="gramStart"/>
      <w:r>
        <w:t>ourselves</w:t>
      </w:r>
      <w:proofErr w:type="gramEnd"/>
      <w:r>
        <w:t xml:space="preserve"> as HSCG, this IAHP evaluation would:</w:t>
      </w:r>
    </w:p>
    <w:p w14:paraId="6AAD7248" w14:textId="77777777" w:rsidR="000F029B" w:rsidRDefault="000F029B" w:rsidP="000F029B">
      <w:pPr>
        <w:pStyle w:val="ListParagraph"/>
        <w:numPr>
          <w:ilvl w:val="0"/>
          <w:numId w:val="60"/>
        </w:numPr>
      </w:pPr>
      <w:r>
        <w:t>Meet the accountability needs of the Australian Government.</w:t>
      </w:r>
    </w:p>
    <w:p w14:paraId="1B061B09" w14:textId="77777777" w:rsidR="000F029B" w:rsidRDefault="000F029B" w:rsidP="000F029B">
      <w:pPr>
        <w:pStyle w:val="ListParagraph"/>
        <w:numPr>
          <w:ilvl w:val="0"/>
          <w:numId w:val="60"/>
        </w:numPr>
      </w:pPr>
      <w:r>
        <w:t>Provide timely information and evidence to support the continuous improvement of the IAHP to accelerate change in improving Aboriginal and Torres Strait Islander people’s health and wellbeing and to meet the Closing the Gap targets.</w:t>
      </w:r>
    </w:p>
    <w:p w14:paraId="5447EACE" w14:textId="77777777" w:rsidR="000F029B" w:rsidRDefault="000F029B" w:rsidP="000F029B">
      <w:pPr>
        <w:pStyle w:val="ListParagraph"/>
        <w:numPr>
          <w:ilvl w:val="0"/>
          <w:numId w:val="60"/>
        </w:numPr>
      </w:pPr>
      <w:r>
        <w:t>Facilitate learning between the different levels of the health system – local, regional, state/territory and national.</w:t>
      </w:r>
    </w:p>
    <w:p w14:paraId="6607C610" w14:textId="77777777" w:rsidR="000F029B" w:rsidRDefault="000F029B" w:rsidP="000F029B">
      <w:pPr>
        <w:pStyle w:val="ListParagraph"/>
        <w:numPr>
          <w:ilvl w:val="0"/>
          <w:numId w:val="60"/>
        </w:numPr>
      </w:pPr>
      <w:r>
        <w:t>Facilitate the adaptive management and continuous improvement needs of PHC organisations and other key stakeholders across the service system.</w:t>
      </w:r>
    </w:p>
    <w:p w14:paraId="53463CDC" w14:textId="77777777" w:rsidR="000F029B" w:rsidRDefault="000F029B" w:rsidP="000F029B">
      <w:pPr>
        <w:pStyle w:val="ListParagraph"/>
        <w:numPr>
          <w:ilvl w:val="0"/>
          <w:numId w:val="60"/>
        </w:numPr>
      </w:pPr>
      <w:r>
        <w:t>Ensure that Aboriginal and Torres Strait Islander communities can articulate their needs and aspirations.</w:t>
      </w:r>
    </w:p>
    <w:p w14:paraId="4899B716" w14:textId="77777777" w:rsidR="000F029B" w:rsidRDefault="000F029B" w:rsidP="000F029B">
      <w:pPr>
        <w:pStyle w:val="ListParagraph"/>
        <w:numPr>
          <w:ilvl w:val="0"/>
          <w:numId w:val="60"/>
        </w:numPr>
      </w:pPr>
      <w:r>
        <w:t>Contribute to observable change in Aboriginal and Torres Strait Islander people’s health and wellbeing through supporting improvements in the IAHP and its interaction with the PHC and the broader health system.</w:t>
      </w:r>
    </w:p>
    <w:p w14:paraId="4C11A7CD" w14:textId="77777777" w:rsidR="000F029B" w:rsidRDefault="000F029B" w:rsidP="000F029B">
      <w:pPr>
        <w:pStyle w:val="ListParagraph"/>
        <w:numPr>
          <w:ilvl w:val="0"/>
          <w:numId w:val="60"/>
        </w:numPr>
      </w:pPr>
      <w:r>
        <w:t>Inform the 2023 revision of the Aboriginal and Torres Strait Islander Health Implementation Plan.</w:t>
      </w:r>
    </w:p>
    <w:p w14:paraId="5C5F3106" w14:textId="77777777" w:rsidR="000F029B" w:rsidRDefault="000F029B" w:rsidP="000F029B">
      <w:r>
        <w:t xml:space="preserve">After the Minister's announcement, the HSCG terms of reference were adjusted to reflect its new role as research custodians, co-designers, navigators, advisors and communicators. To ensure </w:t>
      </w:r>
      <w:r>
        <w:lastRenderedPageBreak/>
        <w:t xml:space="preserve">Aboriginal and Torres Strait Islander control and cultural safety, ‘in camera’ sessions confined to Aboriginal and Torres Strait Islander members were held during HSCG meetings whenever required. The intent of these sessions was understood and supported by non-Indigenous HSCG members. Similarly, additional ‘in camera’ sessions confined to HSCG members without A+C were also held so that issues of concern could be freely discussed, and constructive methodological solutions could be developed. </w:t>
      </w:r>
    </w:p>
    <w:p w14:paraId="4AE88CF2" w14:textId="77777777" w:rsidR="000F029B" w:rsidRDefault="000F029B" w:rsidP="000F029B">
      <w:pPr>
        <w:pStyle w:val="Heading2"/>
      </w:pPr>
      <w:r>
        <w:t>Evaluation implementation</w:t>
      </w:r>
    </w:p>
    <w:p w14:paraId="5673EA9E" w14:textId="77777777" w:rsidR="000F029B" w:rsidRDefault="000F029B" w:rsidP="000F029B">
      <w:r>
        <w:t xml:space="preserve">The agreed key evaluation questions that featured prominently in the approved evaluation protocol were reflected in the evaluation. In summary, the evaluation would occur over three evaluation cycles (2020 to 2023) at different levels of the health system, in 17 geographical sites (local level); state and territory organisations (state and territory level) and national organisations (national level). In addition, topics for cross-cutting collaboration would emerge from early reflections. Importantly, for these systems-focused site studies, two levels of involvement - general or in-depth - were envisaged in recognition of the variance in local circumstances that would impact on capacity to participate in an evaluation. </w:t>
      </w:r>
    </w:p>
    <w:p w14:paraId="37FC8CE9" w14:textId="36D22451" w:rsidR="000F029B" w:rsidRDefault="000F029B" w:rsidP="000F029B">
      <w:r>
        <w:t>HSCG accepted that the global COVID</w:t>
      </w:r>
      <w:r w:rsidR="00BA6666">
        <w:t>-19</w:t>
      </w:r>
      <w:r>
        <w:t xml:space="preserve"> pandemic disrupted the feasibility of the envisaged evaluation methods. In retrospective, such an ambitious effort to evaluate the IAHP may have been better served by more vigorous interrogation of the options proposed in 2020 to mitigate the disruption introduced by the pandemic.  Site partners are to be commended for sustaining their participation in meetings and processes that differed from the original evaluation protocol and lacked promised data inputs and performance support. However, HSCG members were not associated with </w:t>
      </w:r>
      <w:proofErr w:type="gramStart"/>
      <w:r>
        <w:t>particular sites</w:t>
      </w:r>
      <w:proofErr w:type="gramEnd"/>
      <w:r>
        <w:t xml:space="preserve"> and had limited involvement in state and national level evaluation activities. This impacted the HSCG’s ability to effectively fulfil its role in co-design during evaluation implementation. </w:t>
      </w:r>
    </w:p>
    <w:p w14:paraId="6EB6947E" w14:textId="77777777" w:rsidR="000F029B" w:rsidRDefault="000F029B" w:rsidP="000F029B">
      <w:r>
        <w:t>The potential of the co-design process could have been more fully realised with greater engagement of HSCG in annual co-design planning and reflection processes, governance, and outputs including conference presentations, abstracts and peer-reviewed articles.</w:t>
      </w:r>
    </w:p>
    <w:p w14:paraId="6D6B9B69" w14:textId="77777777" w:rsidR="000F029B" w:rsidRDefault="000F029B" w:rsidP="000F029B">
      <w:pPr>
        <w:pStyle w:val="Heading2"/>
      </w:pPr>
      <w:r>
        <w:t>HSCG response to evaluation findings and recommendations</w:t>
      </w:r>
    </w:p>
    <w:p w14:paraId="5435EBE0" w14:textId="77777777" w:rsidR="000F029B" w:rsidRDefault="000F029B" w:rsidP="000F029B">
      <w:r>
        <w:t xml:space="preserve">Over the duration of the evaluation, and in the production and finalisation of the evaluation report, the HSCG provided ample feedback to promote the value of the evaluation and to anticipate diverse stakeholder expectations regarding key aspects such as process, rigour, focus and data interpretation. The limitations imposed by virtual meetings and site engagements were noted, however greater insights into the improvement of primary health care would have eventuated if data exchanges envisaged in the evaluation protocol had been implemented. </w:t>
      </w:r>
    </w:p>
    <w:p w14:paraId="33A6DD66" w14:textId="77777777" w:rsidR="000F029B" w:rsidRDefault="000F029B" w:rsidP="000F029B">
      <w:r>
        <w:t xml:space="preserve">The way in which qualitative data were collected, analysed and reported, has resulted in the inclusion in the Final Report of statements that are generalised as ‘one shared view’ with the implication that all Aboriginal and Torres Strait Islander peoples held this perspective. As a result, it is difficult to interpret the differences between participants/groups, or to understand the context in which the finding was made (e.g. was this finding shared among people in remote/urban/rural locations or those who experienced similar service types and accessibility). </w:t>
      </w:r>
    </w:p>
    <w:p w14:paraId="2388508C" w14:textId="77777777" w:rsidR="000F029B" w:rsidRDefault="000F029B" w:rsidP="000F029B">
      <w:r>
        <w:lastRenderedPageBreak/>
        <w:t xml:space="preserve">Anticipated improvements in Indigenous research methods do not appear to have been achieved consistently in practice. It is difficult to ascertain to what extent, and how, Indigenous research methods were applied into the design, collection, analysis and reporting of data. </w:t>
      </w:r>
    </w:p>
    <w:p w14:paraId="3F86D111" w14:textId="77777777" w:rsidR="000F029B" w:rsidRDefault="000F029B" w:rsidP="000F029B">
      <w:pPr>
        <w:pStyle w:val="Heading2"/>
      </w:pPr>
      <w:r>
        <w:t>Concluding insights</w:t>
      </w:r>
    </w:p>
    <w:p w14:paraId="320F5A95" w14:textId="7B29CB90" w:rsidR="000F029B" w:rsidRDefault="000F029B" w:rsidP="000F029B">
      <w:r>
        <w:t>The HSCG commends A+C for succeeding with the evaluation, despite the global pandemic. The quest for co-design was heartfelt and genuine among all evaluation participants and A+C members, however the discrepancy between the evaluation as envisaged in 2018 and its implementation during the C</w:t>
      </w:r>
      <w:r w:rsidR="00BA6666">
        <w:t>OVID</w:t>
      </w:r>
      <w:r>
        <w:t xml:space="preserve">-19 pandemic was not ideal. </w:t>
      </w:r>
    </w:p>
    <w:p w14:paraId="1212E511" w14:textId="77777777" w:rsidR="000F029B" w:rsidRDefault="000F029B" w:rsidP="000F029B">
      <w:r>
        <w:t xml:space="preserve">The quality of the evaluation would have been improved with several significant changes. The HSCG recommend that co-design features of the original protocol are used again at the outset of any similar evaluation activity, including the approach to the tender, the selection of evaluators and their commissioning. The HSCG affirm the importance of and benefits arising from joint decision-making that occurs when Aboriginal and Torres Strait Islander peoples, their peak bodies, community-controlled services and key sector stakeholders, work together in partnership. </w:t>
      </w:r>
    </w:p>
    <w:p w14:paraId="79EA75F8" w14:textId="77777777" w:rsidR="000F029B" w:rsidRDefault="000F029B" w:rsidP="000F029B">
      <w:r>
        <w:t xml:space="preserve">Terms of reference for future evaluations should ensure co-design governance processes that prioritise transparency, engagement and informed negotiation between all parties </w:t>
      </w:r>
      <w:proofErr w:type="gramStart"/>
      <w:r>
        <w:t>at all times</w:t>
      </w:r>
      <w:proofErr w:type="gramEnd"/>
      <w:r>
        <w:t>. An explicit, shared understanding of the scope of authority for co-design and accountability should be in place.</w:t>
      </w:r>
    </w:p>
    <w:p w14:paraId="32BC9F29" w14:textId="77777777" w:rsidR="000F029B" w:rsidRDefault="000F029B" w:rsidP="000F029B">
      <w:r>
        <w:t xml:space="preserve">More engagement of the HSCG in data interpretation would have been beneficial. The evaluation protocol included a commitment that Aboriginal and Torres Strait Islander knowledge, and worldviews would be embedded through the evaluation via the involvement of senior Aboriginal experts in evaluation roles, governance, technical support and all aspects of the evaluation process. The extent to which this occurred is unclear. </w:t>
      </w:r>
    </w:p>
    <w:p w14:paraId="0932A950" w14:textId="77777777" w:rsidR="000F029B" w:rsidRDefault="000F029B" w:rsidP="000F029B">
      <w:pPr>
        <w:pStyle w:val="Heading2"/>
      </w:pPr>
      <w:r>
        <w:t>Next steps</w:t>
      </w:r>
    </w:p>
    <w:p w14:paraId="77960520" w14:textId="5549C64B" w:rsidR="000F029B" w:rsidRDefault="000F029B" w:rsidP="000F029B">
      <w:r>
        <w:t xml:space="preserve">The HSCG reaffirms the importance of the four Priority Reforms of the National Agreement on Closing the Gap </w:t>
      </w:r>
      <w:r w:rsidR="00586540">
        <w:t xml:space="preserve">(Priority Reforms) </w:t>
      </w:r>
      <w:r>
        <w:t>as the architecture for genuine co-design and shared decision-making.</w:t>
      </w:r>
    </w:p>
    <w:p w14:paraId="514F9D20" w14:textId="672B9857" w:rsidR="000F029B" w:rsidRDefault="000F029B" w:rsidP="000F029B">
      <w:r>
        <w:t xml:space="preserve">HSCG welcomes this Management Response and offers to continue to support strategic Aboriginal and Torres Strait Islander health initiatives in progress at the Department of Health and Aged Care. The HSCG anticipates that these initiatives will address some of the critical issues that the Yarnes evaluation uncovered. There may also be special merit in the continuation of efforts to articulate both the philosophical foundations and practicalities for co-design in evaluation practice to advance Aboriginal and Torres Strait </w:t>
      </w:r>
      <w:r w:rsidR="00526ABA">
        <w:t>I</w:t>
      </w:r>
      <w:r>
        <w:t>slander health and wellbeing. Gaining from our experience as an HSCG, we would be delighted to participate in any high-level deliberations to further support sophisticated co-design in the Australian health system to operationalise the four Priority Reforms.</w:t>
      </w:r>
    </w:p>
    <w:tbl>
      <w:tblPr>
        <w:tblW w:w="0" w:type="auto"/>
        <w:tblInd w:w="142" w:type="dxa"/>
        <w:tblBorders>
          <w:top w:val="single" w:sz="4" w:space="0" w:color="358189"/>
          <w:left w:val="single" w:sz="4" w:space="0" w:color="358189"/>
          <w:bottom w:val="single" w:sz="4" w:space="0" w:color="358189"/>
          <w:right w:val="single" w:sz="4" w:space="0" w:color="358189"/>
          <w:insideH w:val="single" w:sz="4" w:space="0" w:color="358189"/>
          <w:insideV w:val="single" w:sz="4" w:space="0" w:color="358189"/>
        </w:tblBorders>
        <w:tblLook w:val="0000" w:firstRow="0" w:lastRow="0" w:firstColumn="0" w:lastColumn="0" w:noHBand="0" w:noVBand="0"/>
      </w:tblPr>
      <w:tblGrid>
        <w:gridCol w:w="8903"/>
      </w:tblGrid>
      <w:tr w:rsidR="004C0A50" w14:paraId="7F0DAE2E" w14:textId="77777777">
        <w:trPr>
          <w:trHeight w:val="3631"/>
        </w:trPr>
        <w:tc>
          <w:tcPr>
            <w:tcW w:w="8903" w:type="dxa"/>
          </w:tcPr>
          <w:p w14:paraId="2FEF7534" w14:textId="77777777" w:rsidR="004C0A50" w:rsidRPr="00A67F7C" w:rsidRDefault="004C0A50">
            <w:pPr>
              <w:rPr>
                <w:b/>
                <w:bCs/>
                <w:caps/>
                <w:color w:val="358189"/>
                <w:szCs w:val="20"/>
                <w:lang w:val="en"/>
              </w:rPr>
            </w:pPr>
            <w:r w:rsidRPr="00A67F7C">
              <w:rPr>
                <w:b/>
                <w:bCs/>
                <w:caps/>
                <w:color w:val="358189"/>
                <w:szCs w:val="20"/>
                <w:lang w:val="en"/>
              </w:rPr>
              <w:lastRenderedPageBreak/>
              <w:t>Members from commencement</w:t>
            </w:r>
          </w:p>
          <w:p w14:paraId="10700810" w14:textId="77777777" w:rsidR="004C0A50" w:rsidRDefault="004C0A50" w:rsidP="004C0A50">
            <w:pPr>
              <w:pStyle w:val="ListParagraph"/>
              <w:numPr>
                <w:ilvl w:val="0"/>
                <w:numId w:val="61"/>
              </w:numPr>
              <w:ind w:left="573"/>
            </w:pPr>
            <w:r w:rsidRPr="00854638">
              <w:rPr>
                <w:b/>
                <w:bCs/>
              </w:rPr>
              <w:t xml:space="preserve">Dr Mark </w:t>
            </w:r>
            <w:proofErr w:type="spellStart"/>
            <w:r w:rsidRPr="00854638">
              <w:rPr>
                <w:b/>
                <w:bCs/>
              </w:rPr>
              <w:t>Wenitong</w:t>
            </w:r>
            <w:proofErr w:type="spellEnd"/>
            <w:r>
              <w:t xml:space="preserve"> (co-chair)</w:t>
            </w:r>
          </w:p>
          <w:p w14:paraId="34F1FBD2" w14:textId="77777777" w:rsidR="004C0A50" w:rsidRPr="00854638" w:rsidRDefault="004C0A50" w:rsidP="004C0A50">
            <w:pPr>
              <w:pStyle w:val="ListParagraph"/>
              <w:numPr>
                <w:ilvl w:val="0"/>
                <w:numId w:val="61"/>
              </w:numPr>
              <w:ind w:left="573"/>
              <w:rPr>
                <w:b/>
                <w:bCs/>
              </w:rPr>
            </w:pPr>
            <w:r w:rsidRPr="00854638">
              <w:rPr>
                <w:b/>
                <w:bCs/>
              </w:rPr>
              <w:t>Mr Karl Briscoe</w:t>
            </w:r>
          </w:p>
          <w:p w14:paraId="42566EFF" w14:textId="77777777" w:rsidR="004C0A50" w:rsidRPr="00854638" w:rsidRDefault="004C0A50" w:rsidP="004C0A50">
            <w:pPr>
              <w:pStyle w:val="ListParagraph"/>
              <w:numPr>
                <w:ilvl w:val="0"/>
                <w:numId w:val="61"/>
              </w:numPr>
              <w:ind w:left="573"/>
              <w:rPr>
                <w:b/>
                <w:bCs/>
              </w:rPr>
            </w:pPr>
            <w:r w:rsidRPr="00854638">
              <w:rPr>
                <w:b/>
                <w:bCs/>
              </w:rPr>
              <w:t>Dr Dawn Casey</w:t>
            </w:r>
          </w:p>
          <w:p w14:paraId="08ECFFF6" w14:textId="77777777" w:rsidR="004C0A50" w:rsidRDefault="004C0A50" w:rsidP="004C0A50">
            <w:pPr>
              <w:pStyle w:val="ListParagraph"/>
              <w:numPr>
                <w:ilvl w:val="0"/>
                <w:numId w:val="61"/>
              </w:numPr>
              <w:ind w:left="573"/>
            </w:pPr>
            <w:r>
              <w:t>Ms Kim Grey</w:t>
            </w:r>
          </w:p>
          <w:p w14:paraId="0724333F" w14:textId="77777777" w:rsidR="004C0A50" w:rsidRPr="00854638" w:rsidRDefault="004C0A50" w:rsidP="004C0A50">
            <w:pPr>
              <w:pStyle w:val="ListParagraph"/>
              <w:numPr>
                <w:ilvl w:val="0"/>
                <w:numId w:val="61"/>
              </w:numPr>
              <w:ind w:left="573"/>
              <w:rPr>
                <w:b/>
                <w:bCs/>
              </w:rPr>
            </w:pPr>
            <w:r w:rsidRPr="00854638">
              <w:rPr>
                <w:b/>
                <w:bCs/>
              </w:rPr>
              <w:t>Dr Janine Mohamed</w:t>
            </w:r>
          </w:p>
          <w:p w14:paraId="12CEB82E" w14:textId="77777777" w:rsidR="004C0A50" w:rsidRPr="00854638" w:rsidRDefault="004C0A50" w:rsidP="004C0A50">
            <w:pPr>
              <w:pStyle w:val="ListParagraph"/>
              <w:numPr>
                <w:ilvl w:val="0"/>
                <w:numId w:val="61"/>
              </w:numPr>
              <w:ind w:left="573"/>
              <w:rPr>
                <w:b/>
                <w:bCs/>
              </w:rPr>
            </w:pPr>
            <w:r w:rsidRPr="00854638">
              <w:rPr>
                <w:b/>
                <w:bCs/>
              </w:rPr>
              <w:t>Mr Rob McPhee</w:t>
            </w:r>
          </w:p>
          <w:p w14:paraId="1F7C6A58" w14:textId="77777777" w:rsidR="004C0A50" w:rsidRPr="00854638" w:rsidRDefault="004C0A50" w:rsidP="004C0A50">
            <w:pPr>
              <w:pStyle w:val="ListParagraph"/>
              <w:numPr>
                <w:ilvl w:val="0"/>
                <w:numId w:val="61"/>
              </w:numPr>
              <w:ind w:left="573"/>
              <w:rPr>
                <w:b/>
                <w:bCs/>
              </w:rPr>
            </w:pPr>
            <w:r w:rsidRPr="00854638">
              <w:rPr>
                <w:b/>
                <w:bCs/>
              </w:rPr>
              <w:t>Ms Angela Young</w:t>
            </w:r>
          </w:p>
          <w:p w14:paraId="03087D33" w14:textId="77777777" w:rsidR="004C0A50" w:rsidRDefault="004C0A50" w:rsidP="004C0A50">
            <w:pPr>
              <w:pStyle w:val="ListParagraph"/>
              <w:numPr>
                <w:ilvl w:val="0"/>
                <w:numId w:val="61"/>
              </w:numPr>
              <w:ind w:left="573"/>
            </w:pPr>
            <w:r>
              <w:t>Dr Fadwa Al-Yaman</w:t>
            </w:r>
          </w:p>
          <w:p w14:paraId="77B7CF16" w14:textId="77777777" w:rsidR="004C0A50" w:rsidRDefault="004C0A50" w:rsidP="004C0A50">
            <w:pPr>
              <w:pStyle w:val="ListParagraph"/>
              <w:numPr>
                <w:ilvl w:val="0"/>
                <w:numId w:val="61"/>
              </w:numPr>
              <w:ind w:left="573"/>
              <w:rPr>
                <w:b/>
                <w:bCs/>
              </w:rPr>
            </w:pPr>
            <w:r w:rsidRPr="00854638">
              <w:rPr>
                <w:b/>
                <w:bCs/>
              </w:rPr>
              <w:t>Ms Jess Yamaguchi</w:t>
            </w:r>
          </w:p>
          <w:p w14:paraId="61907CB9" w14:textId="77777777" w:rsidR="004C0A50" w:rsidRDefault="004C0A50" w:rsidP="004C0A50">
            <w:pPr>
              <w:pStyle w:val="ListParagraph"/>
              <w:numPr>
                <w:ilvl w:val="0"/>
                <w:numId w:val="61"/>
              </w:numPr>
              <w:ind w:left="573"/>
            </w:pPr>
            <w:r w:rsidRPr="00A67F7C">
              <w:t>Professor Jeanette Ward</w:t>
            </w:r>
          </w:p>
        </w:tc>
      </w:tr>
    </w:tbl>
    <w:p w14:paraId="4AE006E8" w14:textId="77777777" w:rsidR="004C0A50" w:rsidRDefault="004C0A50" w:rsidP="004C0A50"/>
    <w:tbl>
      <w:tblPr>
        <w:tblW w:w="0" w:type="auto"/>
        <w:tblInd w:w="117" w:type="dxa"/>
        <w:tblBorders>
          <w:top w:val="single" w:sz="4" w:space="0" w:color="358189"/>
          <w:left w:val="single" w:sz="4" w:space="0" w:color="358189"/>
          <w:bottom w:val="single" w:sz="4" w:space="0" w:color="358189"/>
          <w:right w:val="single" w:sz="4" w:space="0" w:color="358189"/>
          <w:insideH w:val="single" w:sz="4" w:space="0" w:color="358189"/>
          <w:insideV w:val="single" w:sz="4" w:space="0" w:color="358189"/>
        </w:tblBorders>
        <w:tblLook w:val="0000" w:firstRow="0" w:lastRow="0" w:firstColumn="0" w:lastColumn="0" w:noHBand="0" w:noVBand="0"/>
      </w:tblPr>
      <w:tblGrid>
        <w:gridCol w:w="8928"/>
      </w:tblGrid>
      <w:tr w:rsidR="004C0A50" w14:paraId="3562F9C8" w14:textId="77777777">
        <w:trPr>
          <w:trHeight w:val="2725"/>
        </w:trPr>
        <w:tc>
          <w:tcPr>
            <w:tcW w:w="8928" w:type="dxa"/>
          </w:tcPr>
          <w:p w14:paraId="0F75D737" w14:textId="77777777" w:rsidR="004C0A50" w:rsidRPr="00A67F7C" w:rsidRDefault="004C0A50">
            <w:pPr>
              <w:rPr>
                <w:b/>
                <w:bCs/>
                <w:caps/>
                <w:color w:val="358189"/>
                <w:szCs w:val="20"/>
                <w:lang w:val="en"/>
              </w:rPr>
            </w:pPr>
            <w:r w:rsidRPr="00A67F7C">
              <w:rPr>
                <w:b/>
                <w:bCs/>
                <w:caps/>
                <w:color w:val="358189"/>
                <w:szCs w:val="20"/>
                <w:lang w:val="en"/>
              </w:rPr>
              <w:t>Members leaving and joining</w:t>
            </w:r>
          </w:p>
          <w:p w14:paraId="36CDFFCB" w14:textId="77777777" w:rsidR="004C0A50" w:rsidRDefault="004C0A50" w:rsidP="004C0A50">
            <w:pPr>
              <w:pStyle w:val="ListParagraph"/>
              <w:numPr>
                <w:ilvl w:val="0"/>
                <w:numId w:val="62"/>
              </w:numPr>
              <w:ind w:left="598"/>
            </w:pPr>
            <w:r w:rsidRPr="00854638">
              <w:rPr>
                <w:b/>
                <w:bCs/>
                <w:i/>
                <w:iCs/>
              </w:rPr>
              <w:t>Ms Kate Thomann</w:t>
            </w:r>
            <w:r>
              <w:t xml:space="preserve"> whose position was replaced by </w:t>
            </w:r>
            <w:r w:rsidRPr="00854638">
              <w:rPr>
                <w:b/>
                <w:bCs/>
                <w:i/>
                <w:iCs/>
              </w:rPr>
              <w:t>Ms Melinda Turner</w:t>
            </w:r>
            <w:r>
              <w:t xml:space="preserve"> (co-chair)</w:t>
            </w:r>
          </w:p>
          <w:p w14:paraId="17DAEC09" w14:textId="77777777" w:rsidR="004C0A50" w:rsidRPr="00854638" w:rsidRDefault="004C0A50" w:rsidP="004C0A50">
            <w:pPr>
              <w:pStyle w:val="ListParagraph"/>
              <w:numPr>
                <w:ilvl w:val="0"/>
                <w:numId w:val="62"/>
              </w:numPr>
              <w:ind w:left="598"/>
              <w:rPr>
                <w:b/>
                <w:bCs/>
              </w:rPr>
            </w:pPr>
            <w:r w:rsidRPr="00854638">
              <w:rPr>
                <w:b/>
                <w:bCs/>
              </w:rPr>
              <w:t>Dr Chris Bourke</w:t>
            </w:r>
          </w:p>
          <w:p w14:paraId="449DCE37" w14:textId="77777777" w:rsidR="004C0A50" w:rsidRPr="00854638" w:rsidRDefault="004C0A50" w:rsidP="004C0A50">
            <w:pPr>
              <w:pStyle w:val="ListParagraph"/>
              <w:numPr>
                <w:ilvl w:val="0"/>
                <w:numId w:val="62"/>
              </w:numPr>
              <w:ind w:left="598"/>
              <w:rPr>
                <w:b/>
                <w:bCs/>
              </w:rPr>
            </w:pPr>
            <w:r w:rsidRPr="00854638">
              <w:rPr>
                <w:b/>
                <w:bCs/>
              </w:rPr>
              <w:t>Mr Bob Davis</w:t>
            </w:r>
          </w:p>
          <w:p w14:paraId="74FCEF9D" w14:textId="77777777" w:rsidR="004C0A50" w:rsidRDefault="004C0A50" w:rsidP="004C0A50">
            <w:pPr>
              <w:pStyle w:val="ListParagraph"/>
              <w:numPr>
                <w:ilvl w:val="0"/>
                <w:numId w:val="62"/>
              </w:numPr>
              <w:ind w:left="598"/>
            </w:pPr>
            <w:r>
              <w:t xml:space="preserve">Ms Nicki Herriot whose position was replaced by </w:t>
            </w:r>
            <w:r w:rsidRPr="00854638">
              <w:rPr>
                <w:b/>
                <w:bCs/>
              </w:rPr>
              <w:t>Ms Sandy Gillies</w:t>
            </w:r>
          </w:p>
          <w:p w14:paraId="26815FDC" w14:textId="77777777" w:rsidR="004C0A50" w:rsidRDefault="004C0A50" w:rsidP="004C0A50">
            <w:pPr>
              <w:pStyle w:val="ListParagraph"/>
              <w:numPr>
                <w:ilvl w:val="0"/>
                <w:numId w:val="62"/>
              </w:numPr>
              <w:ind w:left="598"/>
              <w:rPr>
                <w:b/>
                <w:bCs/>
              </w:rPr>
            </w:pPr>
            <w:r w:rsidRPr="00854638">
              <w:rPr>
                <w:b/>
                <w:bCs/>
              </w:rPr>
              <w:t xml:space="preserve">Professor Norm Sheehan </w:t>
            </w:r>
          </w:p>
          <w:p w14:paraId="4C473E48" w14:textId="77777777" w:rsidR="004C0A50" w:rsidRPr="00A67F7C" w:rsidRDefault="004C0A50" w:rsidP="004C0A50">
            <w:pPr>
              <w:pStyle w:val="ListParagraph"/>
              <w:numPr>
                <w:ilvl w:val="0"/>
                <w:numId w:val="62"/>
              </w:numPr>
              <w:ind w:left="598"/>
              <w:rPr>
                <w:b/>
                <w:bCs/>
              </w:rPr>
            </w:pPr>
            <w:r w:rsidRPr="00A67F7C">
              <w:rPr>
                <w:i/>
                <w:iCs/>
              </w:rPr>
              <w:t>Dr Tomoko Sugiura</w:t>
            </w:r>
            <w:r>
              <w:t xml:space="preserve"> whose position was replaced by </w:t>
            </w:r>
            <w:r w:rsidRPr="00A67F7C">
              <w:rPr>
                <w:i/>
                <w:iCs/>
              </w:rPr>
              <w:t>Dr Fui Choong</w:t>
            </w:r>
          </w:p>
          <w:p w14:paraId="642D354F" w14:textId="77777777" w:rsidR="004C0A50" w:rsidRPr="00A67F7C" w:rsidRDefault="004C0A50" w:rsidP="004C0A50">
            <w:pPr>
              <w:pStyle w:val="ListParagraph"/>
              <w:numPr>
                <w:ilvl w:val="0"/>
                <w:numId w:val="62"/>
              </w:numPr>
              <w:ind w:left="598"/>
              <w:rPr>
                <w:b/>
                <w:bCs/>
              </w:rPr>
            </w:pPr>
            <w:r>
              <w:rPr>
                <w:i/>
                <w:iCs/>
              </w:rPr>
              <w:t>Dr Mike Mays</w:t>
            </w:r>
          </w:p>
        </w:tc>
      </w:tr>
    </w:tbl>
    <w:p w14:paraId="31153E94" w14:textId="77777777" w:rsidR="004C0A50" w:rsidRDefault="004C0A50" w:rsidP="004C0A50"/>
    <w:p w14:paraId="170E9433" w14:textId="77777777" w:rsidR="004C0A50" w:rsidRDefault="004C0A50" w:rsidP="004C0A50">
      <w:pPr>
        <w:pStyle w:val="PolicyStatement"/>
      </w:pPr>
      <w:r w:rsidRPr="00A67F7C">
        <w:rPr>
          <w:b/>
          <w:bCs/>
        </w:rPr>
        <w:t>Bold</w:t>
      </w:r>
      <w:r>
        <w:t xml:space="preserve"> indicates Aboriginal and Torres Strait Islander members</w:t>
      </w:r>
    </w:p>
    <w:p w14:paraId="2558399A" w14:textId="77777777" w:rsidR="004C0A50" w:rsidRPr="003F36A2" w:rsidRDefault="004C0A50" w:rsidP="004C0A50">
      <w:pPr>
        <w:pStyle w:val="PolicyStatement"/>
      </w:pPr>
      <w:r>
        <w:rPr>
          <w:i/>
          <w:iCs/>
        </w:rPr>
        <w:t xml:space="preserve">Italics </w:t>
      </w:r>
      <w:r>
        <w:t>indicates members from the Department of Health and Aged Care</w:t>
      </w:r>
    </w:p>
    <w:p w14:paraId="198A3228" w14:textId="77777777" w:rsidR="00582D2C" w:rsidRDefault="00582D2C">
      <w:pPr>
        <w:spacing w:before="0" w:after="0" w:line="240" w:lineRule="auto"/>
        <w:rPr>
          <w:rFonts w:cs="Arial"/>
          <w:b/>
          <w:bCs/>
          <w:iCs/>
          <w:color w:val="358189"/>
          <w:sz w:val="36"/>
          <w:szCs w:val="28"/>
        </w:rPr>
      </w:pPr>
      <w:r>
        <w:br w:type="page"/>
      </w:r>
    </w:p>
    <w:p w14:paraId="5E098C73" w14:textId="7D81EBEA" w:rsidR="005807F6" w:rsidRPr="004D1339" w:rsidRDefault="00580A77" w:rsidP="005807F6">
      <w:pPr>
        <w:pStyle w:val="Heading1"/>
      </w:pPr>
      <w:r>
        <w:lastRenderedPageBreak/>
        <w:t xml:space="preserve">Australian </w:t>
      </w:r>
      <w:r w:rsidR="005807F6">
        <w:t>Government Response</w:t>
      </w:r>
    </w:p>
    <w:p w14:paraId="2F5DF79D" w14:textId="77777777" w:rsidR="005807F6" w:rsidRDefault="005807F6" w:rsidP="005807F6"/>
    <w:p w14:paraId="42F101B9" w14:textId="77777777" w:rsidR="005807F6" w:rsidRDefault="005807F6" w:rsidP="005807F6">
      <w:r>
        <w:t xml:space="preserve">The Australian Government welcomes the findings of the evaluation and remains committed to achieving improved health outcomes for First Nations peoples. </w:t>
      </w:r>
    </w:p>
    <w:p w14:paraId="32DBFF2F" w14:textId="49259113" w:rsidR="005807F6" w:rsidRDefault="005807F6" w:rsidP="005807F6">
      <w:r>
        <w:t xml:space="preserve">The Government is delivering on this commitment through implementation of key frameworks including the </w:t>
      </w:r>
      <w:hyperlink r:id="rId14" w:history="1">
        <w:r w:rsidRPr="0046079C">
          <w:rPr>
            <w:rStyle w:val="Hyperlink"/>
            <w:i/>
            <w:iCs/>
          </w:rPr>
          <w:t>National Agreement on Closing the Gap</w:t>
        </w:r>
      </w:hyperlink>
      <w:r>
        <w:t xml:space="preserve"> </w:t>
      </w:r>
      <w:r w:rsidR="00F0139E">
        <w:t xml:space="preserve">(National Agreement), </w:t>
      </w:r>
      <w:r>
        <w:t xml:space="preserve">the </w:t>
      </w:r>
      <w:hyperlink r:id="rId15" w:history="1">
        <w:r w:rsidRPr="006B0A72">
          <w:rPr>
            <w:rStyle w:val="Hyperlink"/>
            <w:i/>
            <w:iCs/>
          </w:rPr>
          <w:t>National Aboriginal and Torres Strait Islander Health Plan 2021-2031</w:t>
        </w:r>
      </w:hyperlink>
      <w:r>
        <w:t xml:space="preserve"> </w:t>
      </w:r>
      <w:r w:rsidR="00F0139E">
        <w:t xml:space="preserve">(Health Plan) </w:t>
      </w:r>
      <w:r>
        <w:t xml:space="preserve">and the </w:t>
      </w:r>
      <w:hyperlink r:id="rId16" w:history="1">
        <w:r w:rsidRPr="00926857">
          <w:rPr>
            <w:rStyle w:val="Hyperlink"/>
            <w:i/>
            <w:iCs/>
          </w:rPr>
          <w:t>National Aboriginal and Torres Strait Islander Health Workforce Strategic Framework and Implementation Plan 2021-2031</w:t>
        </w:r>
      </w:hyperlink>
      <w:r w:rsidR="00F0139E" w:rsidRPr="00A56430">
        <w:rPr>
          <w:rStyle w:val="Hyperlink"/>
          <w:i/>
          <w:iCs/>
          <w:u w:val="none"/>
        </w:rPr>
        <w:t xml:space="preserve"> </w:t>
      </w:r>
      <w:r w:rsidR="00F0139E">
        <w:t>(Workforce Plan).</w:t>
      </w:r>
      <w:r>
        <w:t xml:space="preserve"> The IAHP is a key initiative supporting the implementation of these frameworks. </w:t>
      </w:r>
    </w:p>
    <w:p w14:paraId="3CD973E8" w14:textId="77777777" w:rsidR="005807F6" w:rsidRDefault="005807F6" w:rsidP="005807F6">
      <w:r>
        <w:t xml:space="preserve">First Nations people’s interactions with the health system </w:t>
      </w:r>
      <w:proofErr w:type="gramStart"/>
      <w:r>
        <w:t>is</w:t>
      </w:r>
      <w:proofErr w:type="gramEnd"/>
      <w:r>
        <w:t xml:space="preserve"> complex, and there are a wide range of factors that affect health outcomes in the population that extend beyond the scope of the IAHP. The IAHP does, however, provide an opportunity to have significant impact on the health system and on health outcomes for First Nations people in Australia.</w:t>
      </w:r>
    </w:p>
    <w:p w14:paraId="7D407035" w14:textId="77777777" w:rsidR="005807F6" w:rsidRDefault="005807F6" w:rsidP="005807F6">
      <w:r>
        <w:t xml:space="preserve">The IAHP Yarnes evaluation provides a valuable contribution to the evidence-base that examines the </w:t>
      </w:r>
      <w:r w:rsidRPr="0022428D">
        <w:t>appropriateness and effectiveness of the Australian Government’s investment in Aboriginal and Torres Strait Islander primary health care</w:t>
      </w:r>
      <w:r>
        <w:t>. Insights from this evaluation will help to inform future prioritisation and investment of funds within the IAHP and will support continual policy and program improvement.</w:t>
      </w:r>
    </w:p>
    <w:p w14:paraId="2C1D94CB" w14:textId="77777777" w:rsidR="005807F6" w:rsidRDefault="005807F6" w:rsidP="005807F6">
      <w:pPr>
        <w:pStyle w:val="Heading2"/>
      </w:pPr>
      <w:r>
        <w:t>Key findings</w:t>
      </w:r>
    </w:p>
    <w:p w14:paraId="05E20D2F" w14:textId="77777777" w:rsidR="005807F6" w:rsidRDefault="005807F6" w:rsidP="005807F6">
      <w:r>
        <w:t>The IAHP Yarnes evaluation identifies 11 key findings as seen below, informing 13 recommendations:</w:t>
      </w:r>
    </w:p>
    <w:p w14:paraId="4C208AF5" w14:textId="7E943056" w:rsidR="005807F6" w:rsidRDefault="005807F6" w:rsidP="005807F6">
      <w:pPr>
        <w:pStyle w:val="ListParagraph"/>
        <w:numPr>
          <w:ilvl w:val="0"/>
          <w:numId w:val="64"/>
        </w:numPr>
      </w:pPr>
      <w:r>
        <w:t>The IAHP provides critical investment in PHC for Aboriginal and Torres Strait Islander people</w:t>
      </w:r>
      <w:r w:rsidR="0014648F">
        <w:t>.</w:t>
      </w:r>
    </w:p>
    <w:p w14:paraId="177FAC67" w14:textId="1441C7BB" w:rsidR="005807F6" w:rsidRDefault="005807F6" w:rsidP="005807F6">
      <w:pPr>
        <w:pStyle w:val="ListParagraph"/>
        <w:numPr>
          <w:ilvl w:val="0"/>
          <w:numId w:val="64"/>
        </w:numPr>
      </w:pPr>
      <w:r>
        <w:t>People value comprehensive, holistic, high-quality health care</w:t>
      </w:r>
      <w:r w:rsidR="0014648F">
        <w:t>.</w:t>
      </w:r>
    </w:p>
    <w:p w14:paraId="1805A544" w14:textId="6BD3F3E6" w:rsidR="005807F6" w:rsidRDefault="005807F6" w:rsidP="005807F6">
      <w:pPr>
        <w:pStyle w:val="ListParagraph"/>
        <w:numPr>
          <w:ilvl w:val="0"/>
          <w:numId w:val="64"/>
        </w:numPr>
      </w:pPr>
      <w:r>
        <w:t>People do not routinely experience health care that aligns with what they value in health care design and delivery</w:t>
      </w:r>
      <w:r w:rsidR="0014648F">
        <w:t>.</w:t>
      </w:r>
    </w:p>
    <w:p w14:paraId="2BA1DDDF" w14:textId="5E774FC6" w:rsidR="005807F6" w:rsidRDefault="005807F6" w:rsidP="005807F6">
      <w:pPr>
        <w:pStyle w:val="ListParagraph"/>
        <w:numPr>
          <w:ilvl w:val="0"/>
          <w:numId w:val="64"/>
        </w:numPr>
      </w:pPr>
      <w:r>
        <w:t>ACCHSs carry significant responsibility within their communities</w:t>
      </w:r>
      <w:r w:rsidR="0014648F">
        <w:t>.</w:t>
      </w:r>
    </w:p>
    <w:p w14:paraId="7BC98861" w14:textId="1927F55E" w:rsidR="005807F6" w:rsidRDefault="005807F6" w:rsidP="005807F6">
      <w:pPr>
        <w:pStyle w:val="ListParagraph"/>
        <w:numPr>
          <w:ilvl w:val="0"/>
          <w:numId w:val="64"/>
        </w:numPr>
      </w:pPr>
      <w:r>
        <w:t>Mainstream health settings cannot reproduce the experience of community-driven, place-based care</w:t>
      </w:r>
      <w:r w:rsidR="0014648F">
        <w:t>.</w:t>
      </w:r>
    </w:p>
    <w:p w14:paraId="7D81DF4E" w14:textId="38352B78" w:rsidR="005807F6" w:rsidRDefault="005807F6" w:rsidP="005807F6">
      <w:pPr>
        <w:pStyle w:val="ListParagraph"/>
        <w:numPr>
          <w:ilvl w:val="0"/>
          <w:numId w:val="64"/>
        </w:numPr>
      </w:pPr>
      <w:r>
        <w:t>IAHP funding is too low for services to consistently deliver values-aligned care</w:t>
      </w:r>
      <w:r w:rsidR="0014648F">
        <w:t>.</w:t>
      </w:r>
    </w:p>
    <w:p w14:paraId="7A60AD17" w14:textId="0A0CA46D" w:rsidR="005807F6" w:rsidRDefault="005807F6" w:rsidP="005807F6">
      <w:pPr>
        <w:pStyle w:val="ListParagraph"/>
        <w:numPr>
          <w:ilvl w:val="0"/>
          <w:numId w:val="64"/>
        </w:numPr>
      </w:pPr>
      <w:r>
        <w:t>Reporting and administrative burden has improved under the IAHP but remains too onerous for many services</w:t>
      </w:r>
      <w:r w:rsidR="0014648F">
        <w:t>.</w:t>
      </w:r>
    </w:p>
    <w:p w14:paraId="69DD5200" w14:textId="7F5D2C9F" w:rsidR="005807F6" w:rsidRDefault="005807F6" w:rsidP="005807F6">
      <w:pPr>
        <w:pStyle w:val="ListParagraph"/>
        <w:numPr>
          <w:ilvl w:val="0"/>
          <w:numId w:val="64"/>
        </w:numPr>
      </w:pPr>
      <w:r>
        <w:t>Orientation and role of the IAHP in broader primary care system lacks clarity</w:t>
      </w:r>
      <w:r w:rsidR="0014648F">
        <w:t>.</w:t>
      </w:r>
    </w:p>
    <w:p w14:paraId="6A9FB392" w14:textId="7BCD28C8" w:rsidR="005807F6" w:rsidRDefault="005807F6" w:rsidP="005807F6">
      <w:pPr>
        <w:pStyle w:val="ListParagraph"/>
        <w:numPr>
          <w:ilvl w:val="0"/>
          <w:numId w:val="64"/>
        </w:numPr>
      </w:pPr>
      <w:r>
        <w:t>Administration of the IAHP is not well integrated to the broader health policy and funding landscape</w:t>
      </w:r>
      <w:r w:rsidR="0014648F">
        <w:t>.</w:t>
      </w:r>
    </w:p>
    <w:p w14:paraId="0BB8E59F" w14:textId="585BFE7D" w:rsidR="005807F6" w:rsidRDefault="005807F6" w:rsidP="005807F6">
      <w:pPr>
        <w:pStyle w:val="ListParagraph"/>
        <w:numPr>
          <w:ilvl w:val="0"/>
          <w:numId w:val="64"/>
        </w:numPr>
      </w:pPr>
      <w:r>
        <w:t>Client journeys and outcomes are not tracked through data and reporting processes</w:t>
      </w:r>
      <w:r w:rsidR="0014648F">
        <w:t>.</w:t>
      </w:r>
    </w:p>
    <w:p w14:paraId="4F4DC8B9" w14:textId="50A742F8" w:rsidR="005807F6" w:rsidRDefault="005807F6" w:rsidP="005807F6">
      <w:pPr>
        <w:pStyle w:val="ListParagraph"/>
        <w:numPr>
          <w:ilvl w:val="0"/>
          <w:numId w:val="64"/>
        </w:numPr>
      </w:pPr>
      <w:r>
        <w:t>There are complex relationships between primary care activity, social determinants of health and health outcomes</w:t>
      </w:r>
      <w:r w:rsidR="0014648F">
        <w:t>.</w:t>
      </w:r>
    </w:p>
    <w:p w14:paraId="761A3161" w14:textId="77777777" w:rsidR="005807F6" w:rsidRDefault="005807F6" w:rsidP="005807F6"/>
    <w:p w14:paraId="267D697A" w14:textId="77777777" w:rsidR="005807F6" w:rsidRDefault="005807F6" w:rsidP="005807F6">
      <w:r>
        <w:lastRenderedPageBreak/>
        <w:t>The Government recognises that effective whole-of-government approaches, in partnership with First Nations communities and people, are critical to addressing system fragmentation, improving access to services, addressing service gaps, addressing inflexibility in funding, improving transparency around funding and services, and addressing reporting burden. These factors must be addressed through a range of initiatives and policies that account for the interactions between health services, departments, agencies and jurisdictions.</w:t>
      </w:r>
    </w:p>
    <w:p w14:paraId="3444388D" w14:textId="1411D79C" w:rsidR="005807F6" w:rsidRDefault="005807F6" w:rsidP="005807F6">
      <w:r>
        <w:t xml:space="preserve">The key findings of this evaluation show that IAHP funding is critical to PHC and </w:t>
      </w:r>
      <w:proofErr w:type="gramStart"/>
      <w:r>
        <w:t>in particular the</w:t>
      </w:r>
      <w:proofErr w:type="gramEnd"/>
      <w:r>
        <w:t xml:space="preserve"> delivery of services through the Aboriginal Community Controlled Health Services (ACCHSs). </w:t>
      </w:r>
      <w:r w:rsidR="002D3F74">
        <w:t>It is noted</w:t>
      </w:r>
      <w:r>
        <w:t xml:space="preserve"> that the National Aboriginal Community Controlled Organisation (NACCHO) is the national leadership body for ACCHS</w:t>
      </w:r>
      <w:r w:rsidR="00122661">
        <w:t>s</w:t>
      </w:r>
      <w:r>
        <w:t xml:space="preserve"> and is one of our key partners in building and strengthening the Aboriginal community-controlled health sector. </w:t>
      </w:r>
    </w:p>
    <w:p w14:paraId="383A3AC9" w14:textId="773B88CE" w:rsidR="005807F6" w:rsidRDefault="005807F6" w:rsidP="005807F6">
      <w:r>
        <w:t xml:space="preserve">The </w:t>
      </w:r>
      <w:r w:rsidR="002853E3">
        <w:t xml:space="preserve">Government </w:t>
      </w:r>
      <w:r>
        <w:t xml:space="preserve">also acknowledges that the IAHP strengthens the capacity of ACCHSs to deliver their services, while recognising broader system improvements could provide better service delivery and better address community needs. </w:t>
      </w:r>
    </w:p>
    <w:p w14:paraId="2CEE0863" w14:textId="0CEC156C" w:rsidR="005807F6" w:rsidRDefault="005807F6" w:rsidP="005807F6">
      <w:r>
        <w:t xml:space="preserve">The evaluation also makes a range of unique contributions to the discussions </w:t>
      </w:r>
      <w:r w:rsidR="0014734A">
        <w:t>regarding</w:t>
      </w:r>
      <w:r w:rsidR="0014734A" w:rsidDel="0014734A">
        <w:t xml:space="preserve"> </w:t>
      </w:r>
      <w:r>
        <w:t xml:space="preserve">the IAHP, drawing on </w:t>
      </w:r>
      <w:r w:rsidR="00484EF5">
        <w:t>A+C</w:t>
      </w:r>
      <w:r>
        <w:t xml:space="preserve">’s strong engagement with community and evaluation site partners across 17 evaluation sites. In prioritising the participants’ framing of concepts and issues, the evaluation provides a </w:t>
      </w:r>
      <w:r w:rsidRPr="001877F2">
        <w:t>distinct insight into highly individualised experiences. This</w:t>
      </w:r>
      <w:r>
        <w:t xml:space="preserve"> contribution highlights the varying familiarity that some participants have with aspects of the IAHP, particularly those pertaining to current IAHP design, function, management, and delivery.  </w:t>
      </w:r>
    </w:p>
    <w:p w14:paraId="42C48FDD" w14:textId="33CD9462" w:rsidR="005807F6" w:rsidRDefault="00AA4E8A" w:rsidP="005807F6">
      <w:r>
        <w:t>A+C</w:t>
      </w:r>
      <w:r w:rsidR="005807F6">
        <w:t xml:space="preserve">’s </w:t>
      </w:r>
      <w:r w:rsidR="00161CE2">
        <w:t>e</w:t>
      </w:r>
      <w:r w:rsidR="005807F6">
        <w:t>valuation provides a unique angle on the potential paths to ensuring better health outcomes for First Nations peoples.</w:t>
      </w:r>
    </w:p>
    <w:p w14:paraId="09CFD938" w14:textId="77777777" w:rsidR="005807F6" w:rsidRDefault="005807F6" w:rsidP="005807F6">
      <w:pPr>
        <w:pStyle w:val="Heading2"/>
      </w:pPr>
      <w:r>
        <w:t>Limitations</w:t>
      </w:r>
    </w:p>
    <w:p w14:paraId="05CCFB36" w14:textId="77777777" w:rsidR="005807F6" w:rsidRDefault="005807F6" w:rsidP="005807F6">
      <w:r w:rsidRPr="00854638">
        <w:t xml:space="preserve">The </w:t>
      </w:r>
      <w:r>
        <w:t>Government</w:t>
      </w:r>
      <w:r w:rsidRPr="00854638">
        <w:t xml:space="preserve"> recognises that there are limitations to th</w:t>
      </w:r>
      <w:r>
        <w:t>is e</w:t>
      </w:r>
      <w:r w:rsidRPr="00854638">
        <w:t xml:space="preserve">valuation. </w:t>
      </w:r>
    </w:p>
    <w:p w14:paraId="23CDED22" w14:textId="77777777" w:rsidR="005807F6" w:rsidRDefault="005807F6" w:rsidP="005807F6">
      <w:r>
        <w:t>Many</w:t>
      </w:r>
      <w:r w:rsidRPr="00854638">
        <w:t xml:space="preserve"> participants took part in the </w:t>
      </w:r>
      <w:r>
        <w:t>e</w:t>
      </w:r>
      <w:r w:rsidRPr="00854638">
        <w:t xml:space="preserve">valuation, providing their time and sharing valuable experiences. Despite this, it should be acknowledged that the </w:t>
      </w:r>
      <w:r>
        <w:t>e</w:t>
      </w:r>
      <w:r w:rsidRPr="00854638">
        <w:t xml:space="preserve">valuation remains under-representative, and the findings may not be reflective of every First Nations person. </w:t>
      </w:r>
    </w:p>
    <w:p w14:paraId="2E0EF2C4" w14:textId="7539623A" w:rsidR="005807F6" w:rsidRDefault="005807F6" w:rsidP="005807F6">
      <w:r w:rsidRPr="00854638">
        <w:t xml:space="preserve">Furthermore, the </w:t>
      </w:r>
      <w:r w:rsidR="00B61DD6">
        <w:t>e</w:t>
      </w:r>
      <w:r w:rsidRPr="00854638">
        <w:t xml:space="preserve">valuation heavily relied on qualitative data with limited quantitative measures to </w:t>
      </w:r>
      <w:r w:rsidR="00586540">
        <w:t>support these views</w:t>
      </w:r>
      <w:r w:rsidRPr="00854638">
        <w:t>. This has resulted in a lack of understanding as to the extent of the issues raised by participants.</w:t>
      </w:r>
    </w:p>
    <w:p w14:paraId="0E8412A3" w14:textId="77777777" w:rsidR="005807F6" w:rsidRDefault="005807F6" w:rsidP="005807F6">
      <w:r>
        <w:t xml:space="preserve">Shifts in the broader health, social and political landscape across the duration of the evaluation resulted in changes to the IAHP within the evaluation period. </w:t>
      </w:r>
    </w:p>
    <w:p w14:paraId="7BCBAAFD" w14:textId="2D6FF812" w:rsidR="005807F6" w:rsidRDefault="00586540" w:rsidP="005807F6">
      <w:r>
        <w:t>Substantial</w:t>
      </w:r>
      <w:r w:rsidDel="00586540">
        <w:t xml:space="preserve"> </w:t>
      </w:r>
      <w:r w:rsidR="005807F6">
        <w:t xml:space="preserve">developments in the Aboriginal and Torres Strait Islander health and </w:t>
      </w:r>
      <w:r>
        <w:t>PHC</w:t>
      </w:r>
      <w:r w:rsidR="005807F6">
        <w:t xml:space="preserve"> system also had significant impact on health priorities and activities within the scope of the evaluation. These include the development and release of the </w:t>
      </w:r>
      <w:hyperlink r:id="rId17" w:history="1">
        <w:r w:rsidR="00F0139E">
          <w:rPr>
            <w:rStyle w:val="Hyperlink"/>
            <w:i/>
            <w:iCs/>
          </w:rPr>
          <w:t>Health Plan</w:t>
        </w:r>
      </w:hyperlink>
      <w:r w:rsidR="005807F6" w:rsidRPr="00A56430">
        <w:rPr>
          <w:color w:val="auto"/>
        </w:rPr>
        <w:t xml:space="preserve">, </w:t>
      </w:r>
      <w:r w:rsidR="005807F6">
        <w:t xml:space="preserve">changes to the </w:t>
      </w:r>
      <w:hyperlink r:id="rId18" w:history="1">
        <w:r w:rsidR="00F0139E">
          <w:rPr>
            <w:rStyle w:val="Hyperlink"/>
            <w:i/>
            <w:iCs/>
          </w:rPr>
          <w:t>National Agreement</w:t>
        </w:r>
      </w:hyperlink>
      <w:r w:rsidR="005807F6">
        <w:t xml:space="preserve">, </w:t>
      </w:r>
      <w:r>
        <w:t xml:space="preserve">including the release of the Priority Reforms, </w:t>
      </w:r>
      <w:r w:rsidR="005807F6">
        <w:t>and other review and reform processes.</w:t>
      </w:r>
    </w:p>
    <w:p w14:paraId="4F6B9974" w14:textId="77777777" w:rsidR="005807F6" w:rsidRDefault="005807F6" w:rsidP="005807F6">
      <w:r>
        <w:t>As a result, some recommendations of this evaluation reflect priority areas that have already began implementation by the Government, or do not adequately reflect the current context.</w:t>
      </w:r>
    </w:p>
    <w:p w14:paraId="6DEAE68E" w14:textId="77777777" w:rsidR="005807F6" w:rsidRDefault="005807F6" w:rsidP="005807F6">
      <w:pPr>
        <w:pStyle w:val="Heading2"/>
      </w:pPr>
      <w:r>
        <w:lastRenderedPageBreak/>
        <w:t>Recommendations</w:t>
      </w:r>
    </w:p>
    <w:p w14:paraId="679BD99C" w14:textId="77777777" w:rsidR="005807F6" w:rsidRDefault="005807F6" w:rsidP="005807F6">
      <w:r>
        <w:t xml:space="preserve">Site </w:t>
      </w:r>
      <w:r w:rsidRPr="001877F2">
        <w:t>partners and state and territory peak bodies</w:t>
      </w:r>
      <w:r>
        <w:t xml:space="preserve"> have reviewed and provided feedback on the IAHP Yarnes findings and recommendations. </w:t>
      </w:r>
    </w:p>
    <w:p w14:paraId="60F8119B" w14:textId="49AAC52B" w:rsidR="005807F6" w:rsidRDefault="005807F6" w:rsidP="005807F6">
      <w:r>
        <w:t xml:space="preserve">The IAHP Yarnes delivered 13 recommendations. </w:t>
      </w:r>
    </w:p>
    <w:p w14:paraId="27C862A4" w14:textId="39B6E335" w:rsidR="005807F6" w:rsidRDefault="005807F6" w:rsidP="005807F6">
      <w:pPr>
        <w:pStyle w:val="ListParagraph"/>
        <w:numPr>
          <w:ilvl w:val="0"/>
          <w:numId w:val="63"/>
        </w:numPr>
      </w:pPr>
      <w:r>
        <w:t xml:space="preserve">The Government agrees with </w:t>
      </w:r>
      <w:r w:rsidR="002237D7">
        <w:t>7</w:t>
      </w:r>
      <w:r>
        <w:t xml:space="preserve"> recommendations (1, 3,</w:t>
      </w:r>
      <w:r w:rsidR="002237D7">
        <w:t xml:space="preserve"> 4,</w:t>
      </w:r>
      <w:r>
        <w:t xml:space="preserve"> 9, 10, 11 and 12), which have already been or are in the process of being implemented. </w:t>
      </w:r>
    </w:p>
    <w:p w14:paraId="4D7D06AB" w14:textId="438A8EAC" w:rsidR="005807F6" w:rsidRDefault="005807F6" w:rsidP="005807F6">
      <w:pPr>
        <w:pStyle w:val="ListParagraph"/>
        <w:numPr>
          <w:ilvl w:val="0"/>
          <w:numId w:val="63"/>
        </w:numPr>
      </w:pPr>
      <w:r>
        <w:t xml:space="preserve">The Government partially agrees with </w:t>
      </w:r>
      <w:r w:rsidR="002237D7">
        <w:t>6</w:t>
      </w:r>
      <w:r>
        <w:t xml:space="preserve"> recommendations (2, 5, 6, 7, 8 and 13)</w:t>
      </w:r>
      <w:r w:rsidRPr="00632F83">
        <w:t xml:space="preserve"> as some aspects may be out of scope for the IAHP, not feasible, or being actioned through another mechanism.</w:t>
      </w:r>
    </w:p>
    <w:p w14:paraId="5075A6D6" w14:textId="77777777" w:rsidR="005807F6" w:rsidRDefault="005807F6" w:rsidP="005807F6">
      <w:r>
        <w:t xml:space="preserve">See </w:t>
      </w:r>
      <w:r w:rsidRPr="00EA3EE2">
        <w:rPr>
          <w:b/>
          <w:bCs/>
        </w:rPr>
        <w:t>Attachment A</w:t>
      </w:r>
      <w:r>
        <w:t xml:space="preserve"> for the Government response to each of the 13 recommendations.</w:t>
      </w:r>
    </w:p>
    <w:p w14:paraId="4C8E3BFA" w14:textId="77777777" w:rsidR="005807F6" w:rsidRDefault="005807F6" w:rsidP="005807F6">
      <w:pPr>
        <w:pStyle w:val="Heading2"/>
      </w:pPr>
      <w:r>
        <w:t>Next Steps</w:t>
      </w:r>
    </w:p>
    <w:p w14:paraId="079FD6AB" w14:textId="1A0F6193" w:rsidR="005807F6" w:rsidRDefault="005807F6" w:rsidP="005807F6">
      <w:r>
        <w:t xml:space="preserve">A whole-of-system approach is required to meet the </w:t>
      </w:r>
      <w:r w:rsidR="00586540">
        <w:t>health</w:t>
      </w:r>
      <w:r>
        <w:t xml:space="preserve"> needs of First Nations Australians.</w:t>
      </w:r>
    </w:p>
    <w:p w14:paraId="19FB005E" w14:textId="7764B082" w:rsidR="005807F6" w:rsidRDefault="005807F6" w:rsidP="005807F6">
      <w:r>
        <w:t xml:space="preserve">The Australian Government continues to invest through the IAHP to improve the health and wellbeing outcomes of all Aboriginal and Torres Strait Islander people, and to provide access to effective, responsive, high-quality, and culturally appropriate health care </w:t>
      </w:r>
      <w:r w:rsidR="00586540">
        <w:t>across the country</w:t>
      </w:r>
      <w:r>
        <w:t xml:space="preserve">.  </w:t>
      </w:r>
    </w:p>
    <w:p w14:paraId="4D49CA00" w14:textId="3B2F1820" w:rsidR="005807F6" w:rsidRDefault="005807F6" w:rsidP="005807F6">
      <w:r>
        <w:t xml:space="preserve">This evaluation has </w:t>
      </w:r>
      <w:r w:rsidR="00586540">
        <w:t>enabled</w:t>
      </w:r>
      <w:r>
        <w:t xml:space="preserve"> the Government to hear directly from stakeholders and </w:t>
      </w:r>
      <w:r w:rsidR="00586540">
        <w:t xml:space="preserve">provide advice on </w:t>
      </w:r>
      <w:r>
        <w:t>keys areas for improvement within the IAHP.</w:t>
      </w:r>
    </w:p>
    <w:p w14:paraId="6D83F031" w14:textId="33C2CFBC" w:rsidR="00741864" w:rsidRPr="00D0395C" w:rsidRDefault="005807F6" w:rsidP="00D0395C">
      <w:pPr>
        <w:sectPr w:rsidR="00741864" w:rsidRPr="00D0395C" w:rsidSect="0029363B">
          <w:pgSz w:w="11906" w:h="16838"/>
          <w:pgMar w:top="1701" w:right="1276" w:bottom="1418" w:left="1134" w:header="709" w:footer="709" w:gutter="0"/>
          <w:cols w:space="708"/>
          <w:docGrid w:linePitch="360"/>
        </w:sectPr>
      </w:pPr>
      <w:r>
        <w:t>This response reinforces the Government’s</w:t>
      </w:r>
      <w:r w:rsidRPr="00EA3EE2">
        <w:t xml:space="preserve"> commitm</w:t>
      </w:r>
      <w:r>
        <w:t>ent</w:t>
      </w:r>
      <w:r w:rsidRPr="00EA3EE2">
        <w:t xml:space="preserve"> to working in genuine partnership on issues that impact the lives of Aboriginal and Torres Strait Islander people, and </w:t>
      </w:r>
      <w:r>
        <w:t xml:space="preserve">to drive </w:t>
      </w:r>
      <w:r w:rsidRPr="00EA3EE2">
        <w:t xml:space="preserve">systemic </w:t>
      </w:r>
      <w:r w:rsidR="00586540">
        <w:t>change</w:t>
      </w:r>
      <w:r w:rsidR="00586540" w:rsidRPr="00EA3EE2">
        <w:t xml:space="preserve"> </w:t>
      </w:r>
      <w:r w:rsidRPr="00EA3EE2">
        <w:t xml:space="preserve">to </w:t>
      </w:r>
      <w:r>
        <w:t>action</w:t>
      </w:r>
      <w:r w:rsidRPr="00EA3EE2">
        <w:t xml:space="preserve"> the </w:t>
      </w:r>
      <w:r w:rsidR="00586540">
        <w:t>P</w:t>
      </w:r>
      <w:r w:rsidRPr="00EA3EE2">
        <w:t xml:space="preserve">riority </w:t>
      </w:r>
      <w:r w:rsidR="00586540">
        <w:t>R</w:t>
      </w:r>
      <w:r w:rsidRPr="00EA3EE2">
        <w:t>eforms</w:t>
      </w:r>
      <w:r>
        <w:t>.</w:t>
      </w:r>
      <w:r w:rsidR="0086035A" w:rsidRPr="0086035A">
        <w:rPr>
          <w:sz w:val="24"/>
          <w:szCs w:val="20"/>
        </w:rPr>
        <w:t xml:space="preserve"> </w:t>
      </w:r>
    </w:p>
    <w:p w14:paraId="3ECF4CAE" w14:textId="1529182B" w:rsidR="00CE6502" w:rsidRDefault="00454699" w:rsidP="004E7DAA">
      <w:pPr>
        <w:pStyle w:val="Heading2"/>
        <w:ind w:left="-284"/>
      </w:pPr>
      <w:r>
        <w:lastRenderedPageBreak/>
        <w:t>Attachment A</w:t>
      </w:r>
      <w:r w:rsidR="00A80126">
        <w:t xml:space="preserve">: </w:t>
      </w:r>
      <w:r w:rsidR="00627126">
        <w:t xml:space="preserve">Australian </w:t>
      </w:r>
      <w:r>
        <w:t xml:space="preserve">Government response to </w:t>
      </w:r>
      <w:r w:rsidR="00DA29FD">
        <w:t>r</w:t>
      </w:r>
      <w:r w:rsidR="0086035A">
        <w:t xml:space="preserve">ecommendations </w:t>
      </w:r>
    </w:p>
    <w:tbl>
      <w:tblPr>
        <w:tblStyle w:val="ListTable3"/>
        <w:tblW w:w="14822" w:type="dxa"/>
        <w:jc w:val="center"/>
        <w:tblLook w:val="04A0" w:firstRow="1" w:lastRow="0" w:firstColumn="1" w:lastColumn="0" w:noHBand="0" w:noVBand="1"/>
      </w:tblPr>
      <w:tblGrid>
        <w:gridCol w:w="3381"/>
        <w:gridCol w:w="1268"/>
        <w:gridCol w:w="4422"/>
        <w:gridCol w:w="4422"/>
        <w:gridCol w:w="1329"/>
      </w:tblGrid>
      <w:tr w:rsidR="00081E87" w:rsidRPr="009A3080" w14:paraId="5D1E84FF" w14:textId="77777777" w:rsidTr="00A0196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381" w:type="dxa"/>
            <w:shd w:val="clear" w:color="auto" w:fill="358189" w:themeFill="accent2"/>
          </w:tcPr>
          <w:p w14:paraId="388C9D6C" w14:textId="77777777" w:rsidR="0086035A" w:rsidRPr="000713A4" w:rsidRDefault="0086035A" w:rsidP="006A537F">
            <w:pPr>
              <w:spacing w:line="240" w:lineRule="auto"/>
              <w:jc w:val="center"/>
              <w:rPr>
                <w:rFonts w:cstheme="minorHAnsi"/>
                <w:b w:val="0"/>
                <w:bCs w:val="0"/>
                <w:iCs/>
                <w:color w:val="FFFFFF" w:themeColor="background1"/>
                <w:sz w:val="20"/>
                <w:szCs w:val="22"/>
              </w:rPr>
            </w:pPr>
            <w:r w:rsidRPr="000713A4">
              <w:rPr>
                <w:rFonts w:cstheme="minorHAnsi"/>
                <w:iCs/>
                <w:color w:val="FFFFFF" w:themeColor="background1"/>
              </w:rPr>
              <w:t>Recommendation</w:t>
            </w:r>
          </w:p>
        </w:tc>
        <w:tc>
          <w:tcPr>
            <w:tcW w:w="1268" w:type="dxa"/>
            <w:shd w:val="clear" w:color="auto" w:fill="358189" w:themeFill="accent2"/>
          </w:tcPr>
          <w:p w14:paraId="058019B8" w14:textId="77777777" w:rsidR="0086035A" w:rsidRPr="000713A4" w:rsidRDefault="0086035A" w:rsidP="006A537F">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iCs/>
                <w:color w:val="FFFFFF" w:themeColor="background1"/>
              </w:rPr>
            </w:pPr>
            <w:r w:rsidRPr="000713A4">
              <w:rPr>
                <w:rFonts w:cstheme="minorHAnsi"/>
                <w:iCs/>
                <w:color w:val="FFFFFF" w:themeColor="background1"/>
              </w:rPr>
              <w:t>Response</w:t>
            </w:r>
          </w:p>
        </w:tc>
        <w:tc>
          <w:tcPr>
            <w:tcW w:w="4422" w:type="dxa"/>
            <w:shd w:val="clear" w:color="auto" w:fill="358189" w:themeFill="accent2"/>
          </w:tcPr>
          <w:p w14:paraId="1E676763" w14:textId="77777777" w:rsidR="0086035A" w:rsidRPr="000713A4" w:rsidRDefault="0086035A" w:rsidP="006A537F">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iCs/>
                <w:color w:val="FFFFFF" w:themeColor="background1"/>
              </w:rPr>
            </w:pPr>
            <w:r w:rsidRPr="000713A4">
              <w:rPr>
                <w:rFonts w:cstheme="minorHAnsi"/>
                <w:iCs/>
                <w:color w:val="FFFFFF" w:themeColor="background1"/>
              </w:rPr>
              <w:t>Explanation</w:t>
            </w:r>
          </w:p>
        </w:tc>
        <w:tc>
          <w:tcPr>
            <w:tcW w:w="4422" w:type="dxa"/>
            <w:shd w:val="clear" w:color="auto" w:fill="358189" w:themeFill="accent2"/>
          </w:tcPr>
          <w:p w14:paraId="7FF5F5A3" w14:textId="77777777" w:rsidR="0086035A" w:rsidRPr="000713A4" w:rsidRDefault="0086035A" w:rsidP="006A537F">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iCs/>
                <w:color w:val="FFFFFF" w:themeColor="background1"/>
              </w:rPr>
            </w:pPr>
            <w:r w:rsidRPr="000713A4">
              <w:rPr>
                <w:rFonts w:cstheme="minorHAnsi"/>
                <w:iCs/>
                <w:color w:val="FFFFFF" w:themeColor="background1"/>
              </w:rPr>
              <w:t>Action Plan</w:t>
            </w:r>
          </w:p>
        </w:tc>
        <w:tc>
          <w:tcPr>
            <w:tcW w:w="1329" w:type="dxa"/>
            <w:shd w:val="clear" w:color="auto" w:fill="358189" w:themeFill="accent2"/>
          </w:tcPr>
          <w:p w14:paraId="19DD62A8" w14:textId="77777777" w:rsidR="0086035A" w:rsidRPr="000713A4" w:rsidRDefault="0086035A" w:rsidP="006A537F">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iCs/>
                <w:color w:val="FFFFFF" w:themeColor="background1"/>
              </w:rPr>
            </w:pPr>
            <w:r w:rsidRPr="000713A4">
              <w:rPr>
                <w:rFonts w:cstheme="minorHAnsi"/>
                <w:iCs/>
                <w:color w:val="FFFFFF" w:themeColor="background1"/>
              </w:rPr>
              <w:t>Timeframe</w:t>
            </w:r>
          </w:p>
        </w:tc>
      </w:tr>
      <w:tr w:rsidR="00081E87" w14:paraId="25F96EC9" w14:textId="77777777" w:rsidTr="00A0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1" w:type="dxa"/>
          </w:tcPr>
          <w:p w14:paraId="76E10CCA" w14:textId="0F57580E" w:rsidR="0086035A" w:rsidRPr="00B556C1" w:rsidRDefault="00B76B1D" w:rsidP="00B556C1">
            <w:pPr>
              <w:pStyle w:val="ListParagraph"/>
              <w:numPr>
                <w:ilvl w:val="0"/>
                <w:numId w:val="31"/>
              </w:numPr>
              <w:spacing w:before="60" w:after="60" w:line="240" w:lineRule="auto"/>
              <w:rPr>
                <w:rFonts w:eastAsia="Arial"/>
                <w:iCs/>
                <w:sz w:val="20"/>
                <w:szCs w:val="22"/>
              </w:rPr>
            </w:pPr>
            <w:r w:rsidRPr="00A21CA6">
              <w:rPr>
                <w:rFonts w:eastAsia="Arial"/>
                <w:iCs/>
                <w:sz w:val="20"/>
                <w:szCs w:val="22"/>
              </w:rPr>
              <w:t>The Department of Health and Aged Care continue to invest in the delivery of comprehensive PHC services to Aboriginal and Torres Strait Islander people through the IAHP.</w:t>
            </w:r>
            <w:r w:rsidRPr="000713A4">
              <w:rPr>
                <w:rFonts w:eastAsia="Arial"/>
                <w:iCs/>
                <w:sz w:val="20"/>
                <w:szCs w:val="22"/>
              </w:rPr>
              <w:t xml:space="preserve"> </w:t>
            </w:r>
          </w:p>
        </w:tc>
        <w:tc>
          <w:tcPr>
            <w:tcW w:w="1268" w:type="dxa"/>
            <w:shd w:val="clear" w:color="auto" w:fill="92D050"/>
          </w:tcPr>
          <w:p w14:paraId="565D0C9A" w14:textId="0E6BFB35" w:rsidR="0086035A" w:rsidRPr="002237D7" w:rsidRDefault="0086035A" w:rsidP="004E7DA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Cs/>
                <w:color w:val="auto"/>
                <w:sz w:val="20"/>
                <w:szCs w:val="20"/>
              </w:rPr>
            </w:pPr>
            <w:r w:rsidRPr="002237D7">
              <w:rPr>
                <w:rFonts w:cstheme="minorHAnsi"/>
                <w:b/>
                <w:bCs/>
                <w:iCs/>
                <w:color w:val="auto"/>
                <w:sz w:val="20"/>
                <w:szCs w:val="20"/>
              </w:rPr>
              <w:t>Agree</w:t>
            </w:r>
          </w:p>
        </w:tc>
        <w:tc>
          <w:tcPr>
            <w:tcW w:w="4422" w:type="dxa"/>
          </w:tcPr>
          <w:p w14:paraId="0CD1780B" w14:textId="46D13001" w:rsidR="0086035A" w:rsidRDefault="00C34BC6" w:rsidP="006A537F">
            <w:pPr>
              <w:spacing w:line="240" w:lineRule="auto"/>
              <w:cnfStyle w:val="000000100000" w:firstRow="0" w:lastRow="0" w:firstColumn="0" w:lastColumn="0" w:oddVBand="0" w:evenVBand="0" w:oddHBand="1" w:evenHBand="0" w:firstRowFirstColumn="0" w:firstRowLastColumn="0" w:lastRowFirstColumn="0" w:lastRowLastColumn="0"/>
              <w:rPr>
                <w:rFonts w:cs="Arial"/>
                <w:iCs/>
                <w:color w:val="auto"/>
                <w:sz w:val="20"/>
                <w:szCs w:val="20"/>
              </w:rPr>
            </w:pPr>
            <w:r w:rsidRPr="009D6E6A">
              <w:rPr>
                <w:rFonts w:cs="Arial"/>
                <w:iCs/>
                <w:color w:val="auto"/>
                <w:sz w:val="20"/>
                <w:szCs w:val="20"/>
              </w:rPr>
              <w:t>The department agrees investment through the IAHP is critical for</w:t>
            </w:r>
            <w:r w:rsidRPr="009D6E6A">
              <w:rPr>
                <w:rFonts w:cs="Arial"/>
                <w:iCs/>
                <w:sz w:val="20"/>
                <w:szCs w:val="20"/>
              </w:rPr>
              <w:t xml:space="preserve"> </w:t>
            </w:r>
            <w:r w:rsidRPr="009D6E6A">
              <w:rPr>
                <w:rFonts w:cs="Arial"/>
                <w:iCs/>
                <w:color w:val="auto"/>
                <w:sz w:val="20"/>
                <w:szCs w:val="20"/>
              </w:rPr>
              <w:t xml:space="preserve">increasing access to </w:t>
            </w:r>
            <w:r w:rsidR="009478CA" w:rsidRPr="009D6E6A">
              <w:rPr>
                <w:rFonts w:cs="Arial"/>
                <w:iCs/>
                <w:color w:val="auto"/>
                <w:sz w:val="20"/>
                <w:szCs w:val="20"/>
              </w:rPr>
              <w:t xml:space="preserve">culturally </w:t>
            </w:r>
            <w:r w:rsidR="00586540">
              <w:rPr>
                <w:rFonts w:cs="Arial"/>
                <w:iCs/>
                <w:color w:val="auto"/>
                <w:sz w:val="20"/>
                <w:szCs w:val="20"/>
              </w:rPr>
              <w:t>responsive</w:t>
            </w:r>
            <w:r w:rsidR="00586540" w:rsidRPr="009D6E6A">
              <w:rPr>
                <w:rFonts w:cs="Arial"/>
                <w:iCs/>
                <w:color w:val="auto"/>
                <w:sz w:val="20"/>
                <w:szCs w:val="20"/>
              </w:rPr>
              <w:t xml:space="preserve"> </w:t>
            </w:r>
            <w:r w:rsidRPr="009D6E6A">
              <w:rPr>
                <w:rFonts w:cs="Arial"/>
                <w:iCs/>
                <w:color w:val="auto"/>
                <w:sz w:val="20"/>
                <w:szCs w:val="20"/>
              </w:rPr>
              <w:t xml:space="preserve">health care and </w:t>
            </w:r>
            <w:r w:rsidR="03CA9085" w:rsidRPr="009D6E6A">
              <w:rPr>
                <w:rFonts w:cs="Arial"/>
                <w:iCs/>
                <w:color w:val="auto"/>
                <w:sz w:val="20"/>
                <w:szCs w:val="20"/>
              </w:rPr>
              <w:t>improv</w:t>
            </w:r>
            <w:r w:rsidR="418B1B78" w:rsidRPr="009D6E6A">
              <w:rPr>
                <w:rFonts w:cs="Arial"/>
                <w:iCs/>
                <w:color w:val="auto"/>
                <w:sz w:val="20"/>
                <w:szCs w:val="20"/>
              </w:rPr>
              <w:t>ing</w:t>
            </w:r>
            <w:r w:rsidRPr="009D6E6A">
              <w:rPr>
                <w:rFonts w:cs="Arial"/>
                <w:iCs/>
                <w:color w:val="auto"/>
                <w:sz w:val="20"/>
                <w:szCs w:val="20"/>
              </w:rPr>
              <w:t xml:space="preserve"> the health</w:t>
            </w:r>
            <w:r w:rsidR="00586540">
              <w:rPr>
                <w:rFonts w:cs="Arial"/>
                <w:iCs/>
                <w:color w:val="auto"/>
                <w:sz w:val="20"/>
                <w:szCs w:val="20"/>
              </w:rPr>
              <w:t xml:space="preserve"> and well-being</w:t>
            </w:r>
            <w:r w:rsidRPr="009D6E6A">
              <w:rPr>
                <w:rFonts w:cs="Arial"/>
                <w:iCs/>
                <w:color w:val="auto"/>
                <w:sz w:val="20"/>
                <w:szCs w:val="20"/>
              </w:rPr>
              <w:t xml:space="preserve"> of Aboriginal and Torres Strait Islander people</w:t>
            </w:r>
            <w:r w:rsidR="00A95129" w:rsidRPr="009D6E6A">
              <w:rPr>
                <w:rFonts w:cs="Arial"/>
                <w:iCs/>
                <w:color w:val="auto"/>
                <w:sz w:val="20"/>
                <w:szCs w:val="20"/>
              </w:rPr>
              <w:t>.</w:t>
            </w:r>
            <w:r w:rsidRPr="009D6E6A">
              <w:rPr>
                <w:rFonts w:cs="Arial"/>
                <w:iCs/>
                <w:color w:val="auto"/>
                <w:sz w:val="20"/>
                <w:szCs w:val="20"/>
              </w:rPr>
              <w:t xml:space="preserve"> </w:t>
            </w:r>
          </w:p>
          <w:p w14:paraId="4AB9485C" w14:textId="5E375C01" w:rsidR="00A61645" w:rsidRPr="009D6E6A" w:rsidRDefault="00A61645" w:rsidP="006A537F">
            <w:pPr>
              <w:spacing w:line="240" w:lineRule="auto"/>
              <w:cnfStyle w:val="000000100000" w:firstRow="0" w:lastRow="0" w:firstColumn="0" w:lastColumn="0" w:oddVBand="0" w:evenVBand="0" w:oddHBand="1" w:evenHBand="0" w:firstRowFirstColumn="0" w:firstRowLastColumn="0" w:lastRowFirstColumn="0" w:lastRowLastColumn="0"/>
              <w:rPr>
                <w:rFonts w:cs="Arial"/>
                <w:iCs/>
                <w:color w:val="auto"/>
                <w:sz w:val="20"/>
                <w:szCs w:val="20"/>
              </w:rPr>
            </w:pPr>
          </w:p>
        </w:tc>
        <w:tc>
          <w:tcPr>
            <w:tcW w:w="4422" w:type="dxa"/>
          </w:tcPr>
          <w:p w14:paraId="3327A366" w14:textId="350220E3" w:rsidR="001C545F" w:rsidRDefault="001C545F" w:rsidP="00965CC8">
            <w:pPr>
              <w:spacing w:line="240"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1C545F">
              <w:rPr>
                <w:rFonts w:eastAsia="Arial" w:cs="Arial"/>
                <w:sz w:val="20"/>
                <w:szCs w:val="20"/>
              </w:rPr>
              <w:t xml:space="preserve">The department will continue to provide funding under the IAHP to improve the health and wellbeing outcomes of all Aboriginal and Torres Strait Islander people, and to provide access to effective, responsive, high-quality, comprehensive, and culturally </w:t>
            </w:r>
            <w:r w:rsidR="00586540">
              <w:rPr>
                <w:rFonts w:eastAsia="Arial" w:cs="Arial"/>
                <w:sz w:val="20"/>
                <w:szCs w:val="20"/>
              </w:rPr>
              <w:t>responsive</w:t>
            </w:r>
            <w:r w:rsidR="00586540" w:rsidRPr="001C545F">
              <w:rPr>
                <w:rFonts w:eastAsia="Arial" w:cs="Arial"/>
                <w:sz w:val="20"/>
                <w:szCs w:val="20"/>
              </w:rPr>
              <w:t xml:space="preserve"> </w:t>
            </w:r>
            <w:r w:rsidRPr="001C545F">
              <w:rPr>
                <w:rFonts w:eastAsia="Arial" w:cs="Arial"/>
                <w:sz w:val="20"/>
                <w:szCs w:val="20"/>
              </w:rPr>
              <w:t>care in remote, regional, and urban areas</w:t>
            </w:r>
            <w:r>
              <w:rPr>
                <w:rFonts w:eastAsia="Arial" w:cs="Arial"/>
                <w:sz w:val="20"/>
                <w:szCs w:val="20"/>
              </w:rPr>
              <w:t xml:space="preserve">. </w:t>
            </w:r>
          </w:p>
          <w:p w14:paraId="68145658" w14:textId="03ED7719" w:rsidR="00E07579" w:rsidRPr="00A61645" w:rsidRDefault="00A328B6" w:rsidP="00965CC8">
            <w:pPr>
              <w:spacing w:line="240" w:lineRule="auto"/>
              <w:cnfStyle w:val="000000100000" w:firstRow="0" w:lastRow="0" w:firstColumn="0" w:lastColumn="0" w:oddVBand="0" w:evenVBand="0" w:oddHBand="1" w:evenHBand="0" w:firstRowFirstColumn="0" w:firstRowLastColumn="0" w:lastRowFirstColumn="0" w:lastRowLastColumn="0"/>
              <w:rPr>
                <w:rStyle w:val="cf01"/>
                <w:i/>
                <w:iCs/>
                <w:color w:val="0078BF" w:themeColor="accent3"/>
              </w:rPr>
            </w:pPr>
            <w:r>
              <w:rPr>
                <w:rFonts w:eastAsia="Arial" w:cs="Arial"/>
                <w:sz w:val="20"/>
                <w:szCs w:val="20"/>
              </w:rPr>
              <w:t xml:space="preserve">This includes </w:t>
            </w:r>
            <w:r w:rsidR="00110CE3">
              <w:rPr>
                <w:rFonts w:eastAsia="Arial" w:cs="Arial"/>
                <w:sz w:val="20"/>
                <w:szCs w:val="20"/>
              </w:rPr>
              <w:t xml:space="preserve">ongoing funding for </w:t>
            </w:r>
            <w:r w:rsidR="00312B24">
              <w:rPr>
                <w:rFonts w:eastAsia="Arial" w:cs="Arial"/>
                <w:sz w:val="20"/>
                <w:szCs w:val="20"/>
              </w:rPr>
              <w:t>c</w:t>
            </w:r>
            <w:r w:rsidR="00110CE3">
              <w:rPr>
                <w:rFonts w:eastAsia="Arial" w:cs="Arial"/>
                <w:sz w:val="20"/>
                <w:szCs w:val="20"/>
              </w:rPr>
              <w:t xml:space="preserve">omprehensive Primary Health Care </w:t>
            </w:r>
            <w:r w:rsidR="00A0137C">
              <w:rPr>
                <w:rFonts w:eastAsia="Arial" w:cs="Arial"/>
                <w:sz w:val="20"/>
                <w:szCs w:val="20"/>
              </w:rPr>
              <w:t>(</w:t>
            </w:r>
            <w:proofErr w:type="spellStart"/>
            <w:r w:rsidR="00A0137C">
              <w:rPr>
                <w:rFonts w:eastAsia="Arial" w:cs="Arial"/>
                <w:sz w:val="20"/>
                <w:szCs w:val="20"/>
              </w:rPr>
              <w:t>cPHC</w:t>
            </w:r>
            <w:proofErr w:type="spellEnd"/>
            <w:r w:rsidR="00A0137C">
              <w:rPr>
                <w:rFonts w:eastAsia="Arial" w:cs="Arial"/>
                <w:sz w:val="20"/>
                <w:szCs w:val="20"/>
              </w:rPr>
              <w:t xml:space="preserve">) </w:t>
            </w:r>
            <w:r w:rsidR="0086394E">
              <w:rPr>
                <w:rFonts w:eastAsia="Arial" w:cs="Arial"/>
                <w:sz w:val="20"/>
                <w:szCs w:val="20"/>
              </w:rPr>
              <w:t xml:space="preserve">whilst working with the community sector to </w:t>
            </w:r>
            <w:r w:rsidR="006D5F2A">
              <w:rPr>
                <w:rFonts w:eastAsia="Arial" w:cs="Arial"/>
                <w:sz w:val="20"/>
                <w:szCs w:val="20"/>
              </w:rPr>
              <w:t xml:space="preserve">develop a needs-based </w:t>
            </w:r>
            <w:r w:rsidR="3620E8E3" w:rsidRPr="747FC4BA">
              <w:rPr>
                <w:rFonts w:eastAsia="Arial" w:cs="Arial"/>
                <w:sz w:val="20"/>
                <w:szCs w:val="20"/>
              </w:rPr>
              <w:t xml:space="preserve">funding </w:t>
            </w:r>
            <w:r w:rsidR="006D5F2A" w:rsidRPr="747FC4BA">
              <w:rPr>
                <w:rFonts w:eastAsia="Arial" w:cs="Arial"/>
                <w:sz w:val="20"/>
                <w:szCs w:val="20"/>
              </w:rPr>
              <w:t>model</w:t>
            </w:r>
            <w:r w:rsidR="006D5F2A">
              <w:rPr>
                <w:rFonts w:eastAsia="Arial" w:cs="Arial"/>
                <w:sz w:val="20"/>
                <w:szCs w:val="20"/>
              </w:rPr>
              <w:t>.</w:t>
            </w:r>
          </w:p>
          <w:p w14:paraId="178604C5" w14:textId="5ED2255C" w:rsidR="00A749C0" w:rsidRPr="00C7356F" w:rsidRDefault="00957678" w:rsidP="00C7356F">
            <w:pPr>
              <w:spacing w:before="0" w:line="240" w:lineRule="auto"/>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6D76C190">
              <w:rPr>
                <w:rFonts w:eastAsia="Arial" w:cs="Arial"/>
                <w:sz w:val="20"/>
                <w:szCs w:val="20"/>
              </w:rPr>
              <w:t>Not</w:t>
            </w:r>
            <w:r w:rsidR="0407EC50" w:rsidRPr="6D76C190">
              <w:rPr>
                <w:rFonts w:eastAsia="Arial" w:cs="Arial"/>
                <w:sz w:val="20"/>
                <w:szCs w:val="20"/>
              </w:rPr>
              <w:t>e</w:t>
            </w:r>
            <w:r w:rsidRPr="6D76C190">
              <w:rPr>
                <w:rFonts w:eastAsia="Arial" w:cs="Arial"/>
                <w:sz w:val="20"/>
                <w:szCs w:val="20"/>
              </w:rPr>
              <w:t>, the</w:t>
            </w:r>
            <w:r w:rsidR="00A749C0" w:rsidRPr="6D76C190">
              <w:rPr>
                <w:rFonts w:eastAsia="Arial" w:cs="Arial"/>
                <w:sz w:val="20"/>
                <w:szCs w:val="20"/>
              </w:rPr>
              <w:t xml:space="preserve"> IAHP is not intended to fund all First Nations health initiatives.</w:t>
            </w:r>
          </w:p>
        </w:tc>
        <w:tc>
          <w:tcPr>
            <w:tcW w:w="1329" w:type="dxa"/>
          </w:tcPr>
          <w:p w14:paraId="0B71C0AD" w14:textId="440CB134" w:rsidR="0086035A" w:rsidRPr="009D6E6A" w:rsidRDefault="00C34BC6" w:rsidP="006A537F">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iCs/>
                <w:color w:val="auto"/>
                <w:sz w:val="20"/>
                <w:szCs w:val="20"/>
              </w:rPr>
            </w:pPr>
            <w:r w:rsidRPr="009D6E6A">
              <w:rPr>
                <w:rFonts w:cs="Arial"/>
                <w:iCs/>
                <w:color w:val="auto"/>
                <w:sz w:val="20"/>
                <w:szCs w:val="20"/>
              </w:rPr>
              <w:t>Ongoing</w:t>
            </w:r>
          </w:p>
        </w:tc>
      </w:tr>
      <w:tr w:rsidR="00081E87" w14:paraId="38132870" w14:textId="77777777" w:rsidTr="00A01960">
        <w:trPr>
          <w:jc w:val="center"/>
        </w:trPr>
        <w:tc>
          <w:tcPr>
            <w:cnfStyle w:val="001000000000" w:firstRow="0" w:lastRow="0" w:firstColumn="1" w:lastColumn="0" w:oddVBand="0" w:evenVBand="0" w:oddHBand="0" w:evenHBand="0" w:firstRowFirstColumn="0" w:firstRowLastColumn="0" w:lastRowFirstColumn="0" w:lastRowLastColumn="0"/>
            <w:tcW w:w="3381" w:type="dxa"/>
          </w:tcPr>
          <w:p w14:paraId="49329F34" w14:textId="11564491" w:rsidR="00B76B1D" w:rsidRPr="00672D3C" w:rsidRDefault="00910077" w:rsidP="00672D3C">
            <w:pPr>
              <w:pStyle w:val="ListParagraph"/>
              <w:numPr>
                <w:ilvl w:val="0"/>
                <w:numId w:val="31"/>
              </w:numPr>
              <w:spacing w:beforeLines="60" w:before="144" w:afterLines="60" w:after="144" w:line="240" w:lineRule="auto"/>
            </w:pPr>
            <w:r w:rsidRPr="00EC09C0">
              <w:rPr>
                <w:rFonts w:eastAsia="Arial"/>
                <w:iCs/>
                <w:sz w:val="20"/>
                <w:szCs w:val="18"/>
              </w:rPr>
              <w:t>The Department of Health and Aged Care to strengthen the alignment of the IAHP to a shared decision-making partnership with Aboriginal and Torres Strait Islander people.</w:t>
            </w:r>
            <w:r w:rsidR="00183BAD" w:rsidRPr="00672D3C">
              <w:rPr>
                <w:color w:val="000000"/>
              </w:rPr>
              <w:t xml:space="preserve"> </w:t>
            </w:r>
          </w:p>
        </w:tc>
        <w:tc>
          <w:tcPr>
            <w:tcW w:w="1268" w:type="dxa"/>
            <w:shd w:val="clear" w:color="auto" w:fill="FFC000"/>
          </w:tcPr>
          <w:p w14:paraId="36127B10" w14:textId="52DFE783" w:rsidR="00B76B1D" w:rsidRPr="003726E4" w:rsidRDefault="001F757E" w:rsidP="006A537F">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iCs/>
                <w:color w:val="auto"/>
                <w:sz w:val="20"/>
                <w:szCs w:val="20"/>
              </w:rPr>
            </w:pPr>
            <w:r>
              <w:rPr>
                <w:rFonts w:cstheme="minorHAnsi"/>
                <w:b/>
                <w:bCs/>
                <w:iCs/>
                <w:color w:val="auto"/>
                <w:sz w:val="20"/>
                <w:szCs w:val="20"/>
              </w:rPr>
              <w:t>Partially agree</w:t>
            </w:r>
          </w:p>
        </w:tc>
        <w:tc>
          <w:tcPr>
            <w:tcW w:w="4422" w:type="dxa"/>
          </w:tcPr>
          <w:p w14:paraId="51A73F90" w14:textId="399D4C84" w:rsidR="00F34189" w:rsidRPr="004F6DEC" w:rsidRDefault="00D74B1A" w:rsidP="00A56430">
            <w:pPr>
              <w:spacing w:line="240" w:lineRule="auto"/>
              <w:cnfStyle w:val="000000000000" w:firstRow="0" w:lastRow="0" w:firstColumn="0" w:lastColumn="0" w:oddVBand="0" w:evenVBand="0" w:oddHBand="0" w:evenHBand="0" w:firstRowFirstColumn="0" w:firstRowLastColumn="0" w:lastRowFirstColumn="0" w:lastRowLastColumn="0"/>
              <w:rPr>
                <w:rStyle w:val="cf01"/>
                <w:rFonts w:ascii="Arial" w:hAnsi="Arial" w:cs="Arial"/>
                <w:color w:val="auto"/>
                <w:sz w:val="20"/>
                <w:szCs w:val="20"/>
              </w:rPr>
            </w:pPr>
            <w:r w:rsidRPr="2B23D361">
              <w:rPr>
                <w:rFonts w:cs="Arial"/>
                <w:color w:val="auto"/>
                <w:sz w:val="20"/>
                <w:szCs w:val="20"/>
              </w:rPr>
              <w:t xml:space="preserve">The </w:t>
            </w:r>
            <w:r w:rsidR="00001AE1" w:rsidRPr="2B23D361">
              <w:rPr>
                <w:rFonts w:cs="Arial"/>
                <w:color w:val="auto"/>
                <w:sz w:val="20"/>
                <w:szCs w:val="20"/>
              </w:rPr>
              <w:t>d</w:t>
            </w:r>
            <w:r w:rsidRPr="2B23D361">
              <w:rPr>
                <w:rFonts w:cs="Arial"/>
                <w:color w:val="auto"/>
                <w:sz w:val="20"/>
                <w:szCs w:val="20"/>
              </w:rPr>
              <w:t xml:space="preserve">epartment agrees that </w:t>
            </w:r>
            <w:r w:rsidR="00635627" w:rsidRPr="2B23D361">
              <w:rPr>
                <w:rFonts w:cs="Arial"/>
                <w:color w:val="auto"/>
                <w:sz w:val="20"/>
                <w:szCs w:val="20"/>
              </w:rPr>
              <w:t xml:space="preserve">where </w:t>
            </w:r>
            <w:r w:rsidR="004B35DB">
              <w:rPr>
                <w:rFonts w:cs="Arial"/>
                <w:color w:val="auto"/>
                <w:sz w:val="20"/>
                <w:szCs w:val="20"/>
              </w:rPr>
              <w:t>appropriate and feasible</w:t>
            </w:r>
            <w:r w:rsidR="00635627" w:rsidRPr="2B23D361">
              <w:rPr>
                <w:rFonts w:cs="Arial"/>
                <w:color w:val="auto"/>
                <w:sz w:val="20"/>
                <w:szCs w:val="20"/>
              </w:rPr>
              <w:t>,</w:t>
            </w:r>
            <w:r w:rsidR="007E3007" w:rsidRPr="2B23D361">
              <w:rPr>
                <w:rFonts w:cs="Arial"/>
                <w:color w:val="auto"/>
                <w:sz w:val="20"/>
                <w:szCs w:val="20"/>
              </w:rPr>
              <w:t xml:space="preserve"> it</w:t>
            </w:r>
            <w:r w:rsidR="00635627" w:rsidRPr="2B23D361">
              <w:rPr>
                <w:rFonts w:cs="Arial"/>
                <w:color w:val="auto"/>
                <w:sz w:val="20"/>
                <w:szCs w:val="20"/>
              </w:rPr>
              <w:t xml:space="preserve"> </w:t>
            </w:r>
            <w:r w:rsidR="00F0139E">
              <w:rPr>
                <w:rFonts w:cs="Arial"/>
                <w:color w:val="auto"/>
                <w:sz w:val="20"/>
                <w:szCs w:val="20"/>
              </w:rPr>
              <w:t>will embed</w:t>
            </w:r>
            <w:r w:rsidR="001617BA" w:rsidRPr="2B23D361">
              <w:rPr>
                <w:rFonts w:cs="Arial"/>
                <w:color w:val="auto"/>
                <w:sz w:val="20"/>
                <w:szCs w:val="20"/>
              </w:rPr>
              <w:t xml:space="preserve"> shared decision making</w:t>
            </w:r>
            <w:r w:rsidR="00E164B3" w:rsidRPr="2B23D361">
              <w:rPr>
                <w:rFonts w:cs="Arial"/>
                <w:color w:val="auto"/>
                <w:sz w:val="20"/>
                <w:szCs w:val="20"/>
              </w:rPr>
              <w:t xml:space="preserve"> to determine priorities</w:t>
            </w:r>
            <w:r w:rsidR="00F06129">
              <w:rPr>
                <w:rFonts w:cs="Arial"/>
                <w:color w:val="auto"/>
                <w:sz w:val="20"/>
                <w:szCs w:val="20"/>
              </w:rPr>
              <w:t xml:space="preserve">, while also meeting </w:t>
            </w:r>
            <w:r w:rsidR="004B35DB">
              <w:rPr>
                <w:rFonts w:cs="Arial"/>
                <w:color w:val="auto"/>
                <w:sz w:val="20"/>
                <w:szCs w:val="20"/>
              </w:rPr>
              <w:t>its</w:t>
            </w:r>
            <w:r w:rsidR="00F06129">
              <w:rPr>
                <w:rFonts w:cs="Arial"/>
                <w:color w:val="auto"/>
                <w:sz w:val="20"/>
                <w:szCs w:val="20"/>
              </w:rPr>
              <w:t xml:space="preserve"> responsibilities under the </w:t>
            </w:r>
            <w:hyperlink r:id="rId19" w:history="1">
              <w:r w:rsidR="00F06129" w:rsidRPr="00F06129">
                <w:rPr>
                  <w:rStyle w:val="Hyperlink"/>
                  <w:rFonts w:cs="Arial"/>
                  <w:sz w:val="20"/>
                  <w:szCs w:val="20"/>
                </w:rPr>
                <w:t>Public Governance, Performance and Accountability (PGPA) Act 2013</w:t>
              </w:r>
            </w:hyperlink>
            <w:r w:rsidR="00E164B3" w:rsidRPr="2B23D361">
              <w:rPr>
                <w:rFonts w:cs="Arial"/>
                <w:color w:val="auto"/>
                <w:sz w:val="20"/>
                <w:szCs w:val="20"/>
              </w:rPr>
              <w:t xml:space="preserve">. </w:t>
            </w:r>
          </w:p>
          <w:p w14:paraId="7E07E13C" w14:textId="2FACDAF4" w:rsidR="007B75A9" w:rsidRPr="007D10D9" w:rsidRDefault="003A4A76" w:rsidP="2B23D361">
            <w:pPr>
              <w:spacing w:line="240" w:lineRule="auto"/>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2B23D361">
              <w:rPr>
                <w:rFonts w:cs="Arial"/>
                <w:color w:val="auto"/>
                <w:sz w:val="20"/>
                <w:szCs w:val="20"/>
              </w:rPr>
              <w:t xml:space="preserve">The department is a member of </w:t>
            </w:r>
            <w:proofErr w:type="gramStart"/>
            <w:r w:rsidRPr="2B23D361">
              <w:rPr>
                <w:rFonts w:cs="Arial"/>
                <w:color w:val="auto"/>
                <w:sz w:val="20"/>
                <w:szCs w:val="20"/>
              </w:rPr>
              <w:t>a number of</w:t>
            </w:r>
            <w:proofErr w:type="gramEnd"/>
            <w:r w:rsidRPr="2B23D361">
              <w:rPr>
                <w:rFonts w:cs="Arial"/>
                <w:color w:val="auto"/>
                <w:sz w:val="20"/>
                <w:szCs w:val="20"/>
              </w:rPr>
              <w:t xml:space="preserve"> </w:t>
            </w:r>
            <w:r w:rsidR="00F85033" w:rsidRPr="2B23D361">
              <w:rPr>
                <w:rFonts w:cs="Arial"/>
                <w:color w:val="auto"/>
                <w:sz w:val="20"/>
                <w:szCs w:val="20"/>
              </w:rPr>
              <w:t xml:space="preserve">partnerships and co-design </w:t>
            </w:r>
            <w:r w:rsidR="000610AD" w:rsidRPr="2B23D361">
              <w:rPr>
                <w:rFonts w:cs="Arial"/>
                <w:color w:val="auto"/>
                <w:sz w:val="20"/>
                <w:szCs w:val="20"/>
              </w:rPr>
              <w:t xml:space="preserve">groups </w:t>
            </w:r>
            <w:r w:rsidR="00F06129">
              <w:rPr>
                <w:rFonts w:cs="Arial"/>
                <w:color w:val="auto"/>
                <w:sz w:val="20"/>
                <w:szCs w:val="20"/>
              </w:rPr>
              <w:t>which are governed by other entities</w:t>
            </w:r>
            <w:r w:rsidR="001D7832" w:rsidRPr="2B23D361">
              <w:rPr>
                <w:rFonts w:cs="Arial"/>
                <w:color w:val="auto"/>
                <w:sz w:val="20"/>
                <w:szCs w:val="20"/>
              </w:rPr>
              <w:t>.</w:t>
            </w:r>
            <w:r w:rsidR="00D10F3B" w:rsidRPr="2B23D361">
              <w:rPr>
                <w:rFonts w:cs="Arial"/>
                <w:color w:val="auto"/>
                <w:sz w:val="20"/>
                <w:szCs w:val="20"/>
              </w:rPr>
              <w:t xml:space="preserve"> </w:t>
            </w:r>
          </w:p>
        </w:tc>
        <w:tc>
          <w:tcPr>
            <w:tcW w:w="4422" w:type="dxa"/>
          </w:tcPr>
          <w:p w14:paraId="186B75DC" w14:textId="7E9FE125" w:rsidR="00240A96" w:rsidRPr="004F6DEC" w:rsidRDefault="00240A96" w:rsidP="2B23D361">
            <w:pPr>
              <w:spacing w:line="240" w:lineRule="auto"/>
              <w:cnfStyle w:val="000000000000" w:firstRow="0" w:lastRow="0" w:firstColumn="0" w:lastColumn="0" w:oddVBand="0" w:evenVBand="0" w:oddHBand="0" w:evenHBand="0" w:firstRowFirstColumn="0" w:firstRowLastColumn="0" w:lastRowFirstColumn="0" w:lastRowLastColumn="0"/>
              <w:rPr>
                <w:rStyle w:val="cf01"/>
                <w:rFonts w:ascii="Arial" w:hAnsi="Arial" w:cs="Arial"/>
                <w:color w:val="auto"/>
                <w:sz w:val="20"/>
                <w:szCs w:val="20"/>
              </w:rPr>
            </w:pPr>
            <w:r w:rsidRPr="2B23D361">
              <w:rPr>
                <w:rStyle w:val="cf01"/>
                <w:rFonts w:ascii="Arial" w:hAnsi="Arial" w:cs="Arial"/>
                <w:color w:val="auto"/>
                <w:sz w:val="20"/>
                <w:szCs w:val="20"/>
              </w:rPr>
              <w:t xml:space="preserve">The IAHP directly </w:t>
            </w:r>
            <w:r w:rsidR="43031801" w:rsidRPr="2B23D361">
              <w:rPr>
                <w:rStyle w:val="cf01"/>
                <w:rFonts w:ascii="Arial" w:hAnsi="Arial" w:cs="Arial"/>
                <w:color w:val="auto"/>
                <w:sz w:val="20"/>
                <w:szCs w:val="20"/>
              </w:rPr>
              <w:t>aligns with</w:t>
            </w:r>
            <w:r w:rsidRPr="2B23D361">
              <w:rPr>
                <w:rStyle w:val="cf01"/>
                <w:rFonts w:ascii="Arial" w:hAnsi="Arial" w:cs="Arial"/>
                <w:color w:val="auto"/>
                <w:sz w:val="20"/>
                <w:szCs w:val="20"/>
              </w:rPr>
              <w:t xml:space="preserve"> </w:t>
            </w:r>
            <w:r w:rsidRPr="00777E15">
              <w:rPr>
                <w:rStyle w:val="cf01"/>
                <w:rFonts w:ascii="Arial" w:hAnsi="Arial" w:cs="Arial"/>
                <w:i/>
                <w:iCs/>
                <w:color w:val="auto"/>
                <w:sz w:val="20"/>
                <w:szCs w:val="20"/>
              </w:rPr>
              <w:t xml:space="preserve">the </w:t>
            </w:r>
            <w:hyperlink r:id="rId20">
              <w:r w:rsidR="00F0139E" w:rsidRPr="00777E15">
                <w:rPr>
                  <w:rStyle w:val="Hyperlink"/>
                  <w:rFonts w:cs="Arial"/>
                  <w:i/>
                  <w:iCs/>
                  <w:sz w:val="20"/>
                  <w:szCs w:val="20"/>
                </w:rPr>
                <w:t>National Agreement</w:t>
              </w:r>
            </w:hyperlink>
            <w:r w:rsidRPr="2B23D361">
              <w:rPr>
                <w:rStyle w:val="cf01"/>
                <w:rFonts w:ascii="Arial" w:hAnsi="Arial" w:cs="Arial"/>
                <w:color w:val="auto"/>
                <w:sz w:val="20"/>
                <w:szCs w:val="20"/>
              </w:rPr>
              <w:t xml:space="preserve"> and the </w:t>
            </w:r>
            <w:hyperlink r:id="rId21">
              <w:r w:rsidR="00F0139E" w:rsidRPr="00777E15">
                <w:rPr>
                  <w:rStyle w:val="Hyperlink"/>
                  <w:rFonts w:cs="Arial"/>
                  <w:i/>
                  <w:iCs/>
                  <w:sz w:val="20"/>
                  <w:szCs w:val="20"/>
                </w:rPr>
                <w:t>Health Plan</w:t>
              </w:r>
            </w:hyperlink>
            <w:r w:rsidRPr="2B23D361">
              <w:rPr>
                <w:rStyle w:val="cf01"/>
                <w:rFonts w:ascii="Arial" w:hAnsi="Arial" w:cs="Arial"/>
                <w:color w:val="auto"/>
                <w:sz w:val="20"/>
                <w:szCs w:val="20"/>
              </w:rPr>
              <w:t xml:space="preserve">. Both were developed in genuine partnership with Aboriginal and Torres Strait Islander leaders, and directly reflect their voices, needs and aspirations rather than the priorities of governments. </w:t>
            </w:r>
          </w:p>
          <w:p w14:paraId="3C6A6AFC" w14:textId="5B3B51A6" w:rsidR="00441D1C" w:rsidRPr="00FF276D" w:rsidRDefault="00240A96" w:rsidP="00273610">
            <w:pPr>
              <w:spacing w:line="240" w:lineRule="auto"/>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2B23D361">
              <w:rPr>
                <w:rFonts w:cs="Arial"/>
                <w:color w:val="auto"/>
                <w:sz w:val="20"/>
                <w:szCs w:val="20"/>
              </w:rPr>
              <w:t>The department has established a First Nations Health Governance Group</w:t>
            </w:r>
            <w:r w:rsidR="00C96750">
              <w:rPr>
                <w:rFonts w:cs="Arial"/>
                <w:color w:val="auto"/>
                <w:sz w:val="20"/>
                <w:szCs w:val="20"/>
              </w:rPr>
              <w:t xml:space="preserve"> </w:t>
            </w:r>
            <w:r w:rsidR="00C96750" w:rsidRPr="00401C00">
              <w:rPr>
                <w:color w:val="auto"/>
                <w:sz w:val="20"/>
                <w:szCs w:val="22"/>
              </w:rPr>
              <w:t>(FNHGG)</w:t>
            </w:r>
            <w:r w:rsidR="00273610">
              <w:rPr>
                <w:rFonts w:cs="Arial"/>
                <w:color w:val="auto"/>
                <w:sz w:val="20"/>
                <w:szCs w:val="20"/>
              </w:rPr>
              <w:t xml:space="preserve"> as a genuine partnership between the department and First Nations health experts and leaders</w:t>
            </w:r>
            <w:r w:rsidR="0043685B">
              <w:rPr>
                <w:rFonts w:cs="Arial"/>
                <w:color w:val="auto"/>
                <w:sz w:val="20"/>
                <w:szCs w:val="20"/>
              </w:rPr>
              <w:t xml:space="preserve"> to</w:t>
            </w:r>
            <w:r w:rsidR="001F10FB">
              <w:rPr>
                <w:rFonts w:cs="Arial"/>
                <w:color w:val="auto"/>
                <w:sz w:val="20"/>
                <w:szCs w:val="20"/>
              </w:rPr>
              <w:t xml:space="preserve"> oversee implementation </w:t>
            </w:r>
            <w:r w:rsidR="001F10FB" w:rsidRPr="00401C00">
              <w:rPr>
                <w:rFonts w:cs="Arial"/>
                <w:color w:val="auto"/>
                <w:sz w:val="20"/>
                <w:szCs w:val="20"/>
              </w:rPr>
              <w:t xml:space="preserve">of the </w:t>
            </w:r>
            <w:hyperlink r:id="rId22">
              <w:r w:rsidR="00F0139E" w:rsidRPr="00777E15">
                <w:rPr>
                  <w:rStyle w:val="Hyperlink"/>
                  <w:rFonts w:cs="Arial"/>
                  <w:i/>
                  <w:iCs/>
                  <w:sz w:val="20"/>
                  <w:szCs w:val="20"/>
                </w:rPr>
                <w:t>Health Plan</w:t>
              </w:r>
            </w:hyperlink>
            <w:r w:rsidR="00E30E61" w:rsidRPr="00A56430">
              <w:rPr>
                <w:rStyle w:val="Hyperlink"/>
                <w:rFonts w:cs="Arial"/>
                <w:color w:val="auto"/>
                <w:sz w:val="20"/>
                <w:szCs w:val="20"/>
                <w:u w:val="none"/>
              </w:rPr>
              <w:t xml:space="preserve"> </w:t>
            </w:r>
            <w:r w:rsidR="00401C00" w:rsidRPr="00A56430">
              <w:rPr>
                <w:rStyle w:val="Hyperlink"/>
                <w:rFonts w:cs="Arial"/>
                <w:color w:val="auto"/>
                <w:sz w:val="20"/>
                <w:szCs w:val="20"/>
                <w:u w:val="none"/>
              </w:rPr>
              <w:t>and</w:t>
            </w:r>
            <w:r w:rsidR="00F0139E">
              <w:rPr>
                <w:rStyle w:val="Hyperlink"/>
                <w:rFonts w:cs="Arial"/>
                <w:color w:val="auto"/>
                <w:sz w:val="20"/>
                <w:szCs w:val="20"/>
                <w:u w:val="none"/>
              </w:rPr>
              <w:t xml:space="preserve"> the</w:t>
            </w:r>
            <w:r w:rsidR="00401C00" w:rsidRPr="00401C00">
              <w:rPr>
                <w:rStyle w:val="Hyperlink"/>
                <w:rFonts w:cs="Arial"/>
                <w:sz w:val="20"/>
                <w:szCs w:val="20"/>
              </w:rPr>
              <w:t xml:space="preserve"> </w:t>
            </w:r>
            <w:hyperlink r:id="rId23" w:history="1">
              <w:r w:rsidR="00F0139E" w:rsidRPr="00777E15">
                <w:rPr>
                  <w:rStyle w:val="Hyperlink"/>
                  <w:rFonts w:cs="Arial"/>
                  <w:i/>
                  <w:iCs/>
                  <w:sz w:val="20"/>
                  <w:szCs w:val="20"/>
                </w:rPr>
                <w:t>Workforce Plan</w:t>
              </w:r>
            </w:hyperlink>
            <w:r w:rsidR="00401C00" w:rsidRPr="00401C00">
              <w:rPr>
                <w:rFonts w:cs="Arial"/>
                <w:color w:val="auto"/>
                <w:sz w:val="20"/>
                <w:szCs w:val="20"/>
              </w:rPr>
              <w:t xml:space="preserve">. </w:t>
            </w:r>
            <w:r w:rsidR="00AE7C99" w:rsidRPr="00401C00">
              <w:rPr>
                <w:rStyle w:val="Hyperlink"/>
                <w:rFonts w:cs="Arial"/>
                <w:color w:val="auto"/>
                <w:sz w:val="20"/>
                <w:szCs w:val="20"/>
                <w:u w:val="none"/>
              </w:rPr>
              <w:t xml:space="preserve">The FNHGG </w:t>
            </w:r>
            <w:r w:rsidR="00FA7A45" w:rsidRPr="00401C00">
              <w:rPr>
                <w:rStyle w:val="Hyperlink"/>
                <w:rFonts w:cs="Arial"/>
                <w:color w:val="auto"/>
                <w:sz w:val="20"/>
                <w:szCs w:val="20"/>
                <w:u w:val="none"/>
              </w:rPr>
              <w:t xml:space="preserve">will co-design and share decision making </w:t>
            </w:r>
            <w:r w:rsidR="00163418" w:rsidRPr="00401C00">
              <w:rPr>
                <w:rStyle w:val="Hyperlink"/>
                <w:rFonts w:cs="Arial"/>
                <w:color w:val="auto"/>
                <w:sz w:val="20"/>
                <w:szCs w:val="20"/>
                <w:u w:val="none"/>
              </w:rPr>
              <w:t>by</w:t>
            </w:r>
            <w:r w:rsidR="003C5F5A" w:rsidRPr="00401C00">
              <w:rPr>
                <w:rStyle w:val="Hyperlink"/>
                <w:rFonts w:cs="Arial"/>
                <w:color w:val="auto"/>
                <w:sz w:val="20"/>
                <w:szCs w:val="20"/>
                <w:u w:val="none"/>
              </w:rPr>
              <w:t xml:space="preserve"> </w:t>
            </w:r>
            <w:r w:rsidR="00163418" w:rsidRPr="00401C00">
              <w:rPr>
                <w:rStyle w:val="Hyperlink"/>
                <w:rFonts w:cs="Arial"/>
                <w:color w:val="auto"/>
                <w:sz w:val="20"/>
                <w:szCs w:val="20"/>
                <w:u w:val="none"/>
              </w:rPr>
              <w:t>embedding</w:t>
            </w:r>
            <w:r w:rsidR="007B5C4D" w:rsidRPr="00401C00">
              <w:rPr>
                <w:rStyle w:val="Hyperlink"/>
                <w:rFonts w:cs="Arial"/>
                <w:color w:val="auto"/>
                <w:sz w:val="20"/>
                <w:szCs w:val="20"/>
                <w:u w:val="none"/>
              </w:rPr>
              <w:t xml:space="preserve"> expert and First Nations perspectives in the department’s policy design, delivery and advice to g</w:t>
            </w:r>
            <w:r w:rsidR="00E7508C" w:rsidRPr="00401C00">
              <w:rPr>
                <w:rStyle w:val="Hyperlink"/>
                <w:rFonts w:cs="Arial"/>
                <w:color w:val="auto"/>
                <w:sz w:val="20"/>
                <w:szCs w:val="20"/>
                <w:u w:val="none"/>
              </w:rPr>
              <w:t>overnment.</w:t>
            </w:r>
            <w:r w:rsidR="006463E4" w:rsidRPr="00401C00">
              <w:rPr>
                <w:rStyle w:val="Hyperlink"/>
                <w:rFonts w:cs="Arial"/>
                <w:color w:val="auto"/>
                <w:sz w:val="20"/>
                <w:szCs w:val="20"/>
                <w:u w:val="none"/>
              </w:rPr>
              <w:t xml:space="preserve"> This includes policy and funding decisions </w:t>
            </w:r>
            <w:r w:rsidR="007249C1" w:rsidRPr="00401C00">
              <w:rPr>
                <w:rStyle w:val="Hyperlink"/>
                <w:rFonts w:cs="Arial"/>
                <w:color w:val="auto"/>
                <w:sz w:val="20"/>
                <w:szCs w:val="20"/>
                <w:u w:val="none"/>
              </w:rPr>
              <w:t>related to the IAHP.</w:t>
            </w:r>
            <w:r w:rsidRPr="00401C00">
              <w:rPr>
                <w:rFonts w:cs="Arial"/>
                <w:color w:val="auto"/>
                <w:sz w:val="20"/>
                <w:szCs w:val="20"/>
              </w:rPr>
              <w:t xml:space="preserve"> </w:t>
            </w:r>
          </w:p>
          <w:p w14:paraId="0F58C57E" w14:textId="1EAA53B3" w:rsidR="00441D1C" w:rsidRPr="006A59BB" w:rsidRDefault="1AFA01F1" w:rsidP="00081E87">
            <w:pPr>
              <w:spacing w:before="0" w:line="240" w:lineRule="auto"/>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FF276D">
              <w:rPr>
                <w:rFonts w:eastAsia="Arial" w:cs="Arial"/>
                <w:sz w:val="20"/>
                <w:szCs w:val="20"/>
              </w:rPr>
              <w:lastRenderedPageBreak/>
              <w:t>As agreed at the National Aboriginal and Torres Strait Islander Health Ministers Roundtable in March 2024, the next Addendum to the National Health Reform Agreement (NHRA) will include an inaugural First Nations Schedule</w:t>
            </w:r>
            <w:r w:rsidR="00F0139E">
              <w:rPr>
                <w:rFonts w:eastAsia="Arial" w:cs="Arial"/>
                <w:sz w:val="20"/>
                <w:szCs w:val="20"/>
              </w:rPr>
              <w:t>. This will be</w:t>
            </w:r>
            <w:r w:rsidRPr="00FF276D">
              <w:rPr>
                <w:rFonts w:eastAsia="Arial" w:cs="Arial"/>
                <w:sz w:val="20"/>
                <w:szCs w:val="20"/>
              </w:rPr>
              <w:t xml:space="preserve"> co-designed between governments and First Nations stakeholders through the</w:t>
            </w:r>
            <w:r w:rsidR="004B35DB">
              <w:rPr>
                <w:rFonts w:eastAsia="Arial" w:cs="Arial"/>
                <w:sz w:val="20"/>
                <w:szCs w:val="20"/>
              </w:rPr>
              <w:t xml:space="preserve"> formal partnership with the</w:t>
            </w:r>
            <w:r w:rsidRPr="00FF276D">
              <w:rPr>
                <w:rFonts w:eastAsia="Arial" w:cs="Arial"/>
                <w:sz w:val="20"/>
                <w:szCs w:val="20"/>
              </w:rPr>
              <w:t xml:space="preserve"> National Aboriginal and Torres Strait Islander Health Collaboration. Health system priorities identified for operationalisation in this Schedule, and the NHRA more broadly, include improving cultural safety and addressing racism, embedding First Nations leadership in governance arrangements, and bolstering the critical role of ACCH</w:t>
            </w:r>
            <w:r w:rsidR="00F0139E">
              <w:rPr>
                <w:rFonts w:eastAsia="Arial" w:cs="Arial"/>
                <w:sz w:val="20"/>
                <w:szCs w:val="20"/>
              </w:rPr>
              <w:t>S</w:t>
            </w:r>
            <w:r w:rsidRPr="00FF276D">
              <w:rPr>
                <w:rFonts w:eastAsia="Arial" w:cs="Arial"/>
                <w:sz w:val="20"/>
                <w:szCs w:val="20"/>
              </w:rPr>
              <w:t>s, including though increased partnership opportunities.</w:t>
            </w:r>
          </w:p>
        </w:tc>
        <w:tc>
          <w:tcPr>
            <w:tcW w:w="1329" w:type="dxa"/>
          </w:tcPr>
          <w:p w14:paraId="5B9D2EA4" w14:textId="29F1CDAA" w:rsidR="00B76B1D" w:rsidRPr="009D6E6A" w:rsidRDefault="004A523E" w:rsidP="006A537F">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color w:val="auto"/>
                <w:sz w:val="20"/>
                <w:szCs w:val="20"/>
              </w:rPr>
            </w:pPr>
            <w:r w:rsidRPr="009D6E6A">
              <w:rPr>
                <w:rFonts w:cs="Arial"/>
                <w:iCs/>
                <w:color w:val="auto"/>
                <w:sz w:val="20"/>
                <w:szCs w:val="20"/>
              </w:rPr>
              <w:lastRenderedPageBreak/>
              <w:t>Ongoing</w:t>
            </w:r>
          </w:p>
        </w:tc>
      </w:tr>
      <w:tr w:rsidR="00081E87" w14:paraId="0D361362" w14:textId="77777777" w:rsidTr="00A0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1" w:type="dxa"/>
          </w:tcPr>
          <w:p w14:paraId="6FA0B6C8" w14:textId="77777777" w:rsidR="00B76B1D" w:rsidRDefault="00B76B1D" w:rsidP="00B76B1D">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Co-design an investment strategy for the IAHP to improve access to comprehensive PHC and health and wellbeing outcomes for Aboriginal and Torres Strait Islander people.</w:t>
            </w:r>
          </w:p>
          <w:p w14:paraId="4E9E7312" w14:textId="74335FDB" w:rsidR="00F427A1" w:rsidRPr="000713A4" w:rsidRDefault="00F427A1" w:rsidP="00410DCB">
            <w:pPr>
              <w:pStyle w:val="ListParagraph"/>
              <w:spacing w:before="60" w:after="60" w:line="240" w:lineRule="auto"/>
              <w:ind w:left="314"/>
              <w:rPr>
                <w:rFonts w:eastAsia="Arial"/>
                <w:sz w:val="20"/>
                <w:szCs w:val="22"/>
              </w:rPr>
            </w:pPr>
          </w:p>
        </w:tc>
        <w:tc>
          <w:tcPr>
            <w:tcW w:w="1268" w:type="dxa"/>
            <w:shd w:val="clear" w:color="auto" w:fill="92D050"/>
          </w:tcPr>
          <w:p w14:paraId="2FB1631D" w14:textId="04FB2CB5" w:rsidR="00B76B1D" w:rsidRPr="003726E4" w:rsidRDefault="009478CA" w:rsidP="006A537F">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Cs/>
                <w:color w:val="auto"/>
                <w:sz w:val="20"/>
                <w:szCs w:val="20"/>
              </w:rPr>
            </w:pPr>
            <w:r>
              <w:rPr>
                <w:rFonts w:cstheme="minorHAnsi"/>
                <w:b/>
                <w:bCs/>
                <w:iCs/>
                <w:color w:val="auto"/>
                <w:sz w:val="20"/>
                <w:szCs w:val="20"/>
              </w:rPr>
              <w:t>Agree</w:t>
            </w:r>
          </w:p>
        </w:tc>
        <w:tc>
          <w:tcPr>
            <w:tcW w:w="4422" w:type="dxa"/>
          </w:tcPr>
          <w:p w14:paraId="433426C0" w14:textId="605EAB73" w:rsidR="00B76B1D" w:rsidRPr="009D6E6A" w:rsidRDefault="009478CA" w:rsidP="57FD5D65">
            <w:pPr>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7FD5D65">
              <w:rPr>
                <w:rFonts w:cs="Arial"/>
                <w:color w:val="auto"/>
                <w:sz w:val="20"/>
                <w:szCs w:val="20"/>
              </w:rPr>
              <w:t>The</w:t>
            </w:r>
            <w:r w:rsidR="00657F54" w:rsidRPr="57FD5D65">
              <w:rPr>
                <w:rFonts w:cs="Arial"/>
                <w:color w:val="auto"/>
                <w:sz w:val="20"/>
                <w:szCs w:val="20"/>
              </w:rPr>
              <w:t xml:space="preserve"> d</w:t>
            </w:r>
            <w:r w:rsidRPr="57FD5D65">
              <w:rPr>
                <w:rFonts w:cs="Arial"/>
                <w:color w:val="auto"/>
                <w:sz w:val="20"/>
                <w:szCs w:val="20"/>
              </w:rPr>
              <w:t xml:space="preserve">epartment </w:t>
            </w:r>
            <w:r w:rsidR="001A0883" w:rsidRPr="57FD5D65">
              <w:rPr>
                <w:rFonts w:cs="Arial"/>
                <w:color w:val="auto"/>
                <w:sz w:val="20"/>
                <w:szCs w:val="20"/>
              </w:rPr>
              <w:t xml:space="preserve">agrees </w:t>
            </w:r>
            <w:r w:rsidR="00F211D6" w:rsidRPr="57FD5D65">
              <w:rPr>
                <w:rFonts w:cs="Arial"/>
                <w:color w:val="auto"/>
                <w:sz w:val="20"/>
                <w:szCs w:val="20"/>
              </w:rPr>
              <w:t xml:space="preserve">to progress </w:t>
            </w:r>
            <w:r w:rsidRPr="57FD5D65">
              <w:rPr>
                <w:rFonts w:cs="Arial"/>
                <w:color w:val="auto"/>
                <w:sz w:val="20"/>
                <w:szCs w:val="20"/>
              </w:rPr>
              <w:t xml:space="preserve">a co-design process to </w:t>
            </w:r>
            <w:r w:rsidR="004B35DB">
              <w:rPr>
                <w:rFonts w:cs="Arial"/>
                <w:color w:val="auto"/>
                <w:sz w:val="20"/>
                <w:szCs w:val="20"/>
              </w:rPr>
              <w:t>r</w:t>
            </w:r>
            <w:r w:rsidRPr="57FD5D65">
              <w:rPr>
                <w:rFonts w:cs="Arial"/>
                <w:color w:val="auto"/>
                <w:sz w:val="20"/>
                <w:szCs w:val="20"/>
              </w:rPr>
              <w:t>efine the purpose</w:t>
            </w:r>
            <w:r w:rsidR="004B35DB">
              <w:rPr>
                <w:rFonts w:cs="Arial"/>
                <w:color w:val="auto"/>
                <w:sz w:val="20"/>
                <w:szCs w:val="20"/>
              </w:rPr>
              <w:t xml:space="preserve"> and</w:t>
            </w:r>
            <w:r w:rsidRPr="57FD5D65">
              <w:rPr>
                <w:rFonts w:cs="Arial"/>
                <w:color w:val="auto"/>
                <w:sz w:val="20"/>
                <w:szCs w:val="20"/>
              </w:rPr>
              <w:t xml:space="preserve"> </w:t>
            </w:r>
            <w:r w:rsidR="00DC6B20">
              <w:rPr>
                <w:rFonts w:cs="Arial"/>
                <w:color w:val="auto"/>
                <w:sz w:val="20"/>
                <w:szCs w:val="20"/>
              </w:rPr>
              <w:t>scope</w:t>
            </w:r>
            <w:r w:rsidRPr="57FD5D65">
              <w:rPr>
                <w:rFonts w:cs="Arial"/>
                <w:color w:val="auto"/>
                <w:sz w:val="20"/>
                <w:szCs w:val="20"/>
              </w:rPr>
              <w:t xml:space="preserve"> of the IAHP</w:t>
            </w:r>
            <w:r w:rsidR="004B35DB">
              <w:rPr>
                <w:rFonts w:cs="Arial"/>
                <w:color w:val="auto"/>
                <w:sz w:val="20"/>
                <w:szCs w:val="20"/>
              </w:rPr>
              <w:t xml:space="preserve">, to develop a framework to </w:t>
            </w:r>
            <w:r w:rsidRPr="57FD5D65">
              <w:rPr>
                <w:rFonts w:cs="Arial"/>
                <w:color w:val="auto"/>
                <w:sz w:val="20"/>
                <w:szCs w:val="20"/>
              </w:rPr>
              <w:t xml:space="preserve">guide funding </w:t>
            </w:r>
            <w:r w:rsidR="00D164AE" w:rsidRPr="57FD5D65">
              <w:rPr>
                <w:rFonts w:cs="Arial"/>
                <w:color w:val="auto"/>
                <w:sz w:val="20"/>
                <w:szCs w:val="20"/>
              </w:rPr>
              <w:t>decision</w:t>
            </w:r>
            <w:r w:rsidRPr="57FD5D65">
              <w:rPr>
                <w:rFonts w:cs="Arial"/>
                <w:color w:val="auto"/>
                <w:sz w:val="20"/>
                <w:szCs w:val="20"/>
              </w:rPr>
              <w:t>s.</w:t>
            </w:r>
          </w:p>
        </w:tc>
        <w:tc>
          <w:tcPr>
            <w:tcW w:w="4422" w:type="dxa"/>
          </w:tcPr>
          <w:p w14:paraId="7574B201" w14:textId="762EDEFD" w:rsidR="00D642C8" w:rsidRPr="006F5C66" w:rsidRDefault="006E61A5" w:rsidP="57FD5D65">
            <w:pPr>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7FD5D65">
              <w:rPr>
                <w:rFonts w:cs="Arial"/>
                <w:color w:val="auto"/>
                <w:sz w:val="20"/>
                <w:szCs w:val="20"/>
              </w:rPr>
              <w:t>Recognisin</w:t>
            </w:r>
            <w:r w:rsidR="004D0CAB" w:rsidRPr="57FD5D65">
              <w:rPr>
                <w:rFonts w:cs="Arial"/>
                <w:color w:val="auto"/>
                <w:sz w:val="20"/>
                <w:szCs w:val="20"/>
              </w:rPr>
              <w:t xml:space="preserve">g the </w:t>
            </w:r>
            <w:r w:rsidR="00E770BF" w:rsidRPr="57FD5D65">
              <w:rPr>
                <w:rFonts w:cs="Arial"/>
                <w:color w:val="auto"/>
                <w:sz w:val="20"/>
                <w:szCs w:val="20"/>
              </w:rPr>
              <w:t>increasi</w:t>
            </w:r>
            <w:r w:rsidR="00CC48F2" w:rsidRPr="57FD5D65">
              <w:rPr>
                <w:rFonts w:cs="Arial"/>
                <w:color w:val="auto"/>
                <w:sz w:val="20"/>
                <w:szCs w:val="20"/>
              </w:rPr>
              <w:t>ng and competing demands on the available funding under the IAHP, t</w:t>
            </w:r>
            <w:r w:rsidR="00D973B1" w:rsidRPr="57FD5D65">
              <w:rPr>
                <w:rFonts w:cs="Arial"/>
                <w:color w:val="auto"/>
                <w:sz w:val="20"/>
                <w:szCs w:val="20"/>
              </w:rPr>
              <w:t>he d</w:t>
            </w:r>
            <w:r w:rsidR="00657F54" w:rsidRPr="57FD5D65">
              <w:rPr>
                <w:rFonts w:cs="Arial"/>
                <w:color w:val="auto"/>
                <w:sz w:val="20"/>
                <w:szCs w:val="20"/>
              </w:rPr>
              <w:t xml:space="preserve">epartment </w:t>
            </w:r>
            <w:r w:rsidR="004B35DB">
              <w:rPr>
                <w:rFonts w:cs="Arial"/>
                <w:color w:val="auto"/>
                <w:sz w:val="20"/>
                <w:szCs w:val="20"/>
              </w:rPr>
              <w:t xml:space="preserve">has commenced </w:t>
            </w:r>
            <w:r w:rsidR="00657F54" w:rsidRPr="57FD5D65">
              <w:rPr>
                <w:rFonts w:cs="Arial"/>
                <w:color w:val="auto"/>
                <w:sz w:val="20"/>
                <w:szCs w:val="20"/>
              </w:rPr>
              <w:t>work</w:t>
            </w:r>
            <w:r w:rsidR="004B35DB">
              <w:rPr>
                <w:rFonts w:cs="Arial"/>
                <w:color w:val="auto"/>
                <w:sz w:val="20"/>
                <w:szCs w:val="20"/>
              </w:rPr>
              <w:t>ing</w:t>
            </w:r>
            <w:r w:rsidR="00657F54" w:rsidRPr="57FD5D65">
              <w:rPr>
                <w:rFonts w:cs="Arial"/>
                <w:color w:val="auto"/>
                <w:sz w:val="20"/>
                <w:szCs w:val="20"/>
              </w:rPr>
              <w:t xml:space="preserve"> with </w:t>
            </w:r>
            <w:r w:rsidR="00294730" w:rsidRPr="57FD5D65">
              <w:rPr>
                <w:rFonts w:cs="Arial"/>
                <w:color w:val="auto"/>
                <w:sz w:val="20"/>
                <w:szCs w:val="20"/>
              </w:rPr>
              <w:t xml:space="preserve">key </w:t>
            </w:r>
            <w:r w:rsidR="00F263D4" w:rsidRPr="57FD5D65">
              <w:rPr>
                <w:rFonts w:cs="Arial"/>
                <w:color w:val="auto"/>
                <w:sz w:val="20"/>
                <w:szCs w:val="20"/>
              </w:rPr>
              <w:t xml:space="preserve">stakeholders from the </w:t>
            </w:r>
            <w:r w:rsidR="00DF3E72" w:rsidRPr="57FD5D65">
              <w:rPr>
                <w:rFonts w:cs="Arial"/>
                <w:color w:val="auto"/>
                <w:sz w:val="20"/>
                <w:szCs w:val="20"/>
              </w:rPr>
              <w:t>First Nations</w:t>
            </w:r>
            <w:r w:rsidR="006B648B" w:rsidRPr="57FD5D65">
              <w:rPr>
                <w:rFonts w:cs="Arial"/>
                <w:color w:val="auto"/>
                <w:sz w:val="20"/>
                <w:szCs w:val="20"/>
              </w:rPr>
              <w:t xml:space="preserve"> health</w:t>
            </w:r>
            <w:r w:rsidR="00F263D4" w:rsidRPr="57FD5D65">
              <w:rPr>
                <w:rFonts w:cs="Arial"/>
                <w:color w:val="auto"/>
                <w:sz w:val="20"/>
                <w:szCs w:val="20"/>
              </w:rPr>
              <w:t xml:space="preserve"> sector to</w:t>
            </w:r>
            <w:r w:rsidR="00B009E4" w:rsidRPr="57FD5D65">
              <w:rPr>
                <w:rFonts w:cs="Arial"/>
                <w:color w:val="auto"/>
                <w:sz w:val="20"/>
                <w:szCs w:val="20"/>
              </w:rPr>
              <w:t xml:space="preserve"> </w:t>
            </w:r>
            <w:r w:rsidR="00A038E0" w:rsidRPr="57FD5D65">
              <w:rPr>
                <w:rFonts w:cs="Arial"/>
                <w:color w:val="auto"/>
                <w:sz w:val="20"/>
                <w:szCs w:val="20"/>
              </w:rPr>
              <w:t xml:space="preserve">refresh </w:t>
            </w:r>
            <w:r w:rsidR="00B009E4" w:rsidRPr="57FD5D65">
              <w:rPr>
                <w:rFonts w:cs="Arial"/>
                <w:color w:val="auto"/>
                <w:sz w:val="20"/>
                <w:szCs w:val="20"/>
              </w:rPr>
              <w:t xml:space="preserve">the </w:t>
            </w:r>
            <w:r w:rsidR="000536F6" w:rsidRPr="57FD5D65">
              <w:rPr>
                <w:rFonts w:cs="Arial"/>
                <w:color w:val="auto"/>
                <w:sz w:val="20"/>
                <w:szCs w:val="20"/>
              </w:rPr>
              <w:t>purpose</w:t>
            </w:r>
            <w:r w:rsidR="00B009E4" w:rsidRPr="57FD5D65">
              <w:rPr>
                <w:rFonts w:cs="Arial"/>
                <w:color w:val="auto"/>
                <w:sz w:val="20"/>
                <w:szCs w:val="20"/>
              </w:rPr>
              <w:t xml:space="preserve"> </w:t>
            </w:r>
            <w:r w:rsidR="000536F6" w:rsidRPr="57FD5D65">
              <w:rPr>
                <w:rFonts w:cs="Arial"/>
                <w:color w:val="auto"/>
                <w:sz w:val="20"/>
                <w:szCs w:val="20"/>
              </w:rPr>
              <w:t xml:space="preserve">and </w:t>
            </w:r>
            <w:r w:rsidR="00DC6B20">
              <w:rPr>
                <w:rFonts w:cs="Arial"/>
                <w:color w:val="auto"/>
                <w:sz w:val="20"/>
                <w:szCs w:val="20"/>
              </w:rPr>
              <w:t>scope</w:t>
            </w:r>
            <w:r w:rsidR="000536F6" w:rsidRPr="57FD5D65">
              <w:rPr>
                <w:rFonts w:cs="Arial"/>
                <w:color w:val="auto"/>
                <w:sz w:val="20"/>
                <w:szCs w:val="20"/>
              </w:rPr>
              <w:t xml:space="preserve"> of the IAHP. </w:t>
            </w:r>
          </w:p>
          <w:p w14:paraId="42BF7E13" w14:textId="69E33A11" w:rsidR="00D642C8" w:rsidRPr="006F5C66" w:rsidRDefault="00226D31" w:rsidP="57FD5D65">
            <w:pPr>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7FD5D65">
              <w:rPr>
                <w:rFonts w:cs="Arial"/>
                <w:color w:val="auto"/>
                <w:sz w:val="20"/>
                <w:szCs w:val="20"/>
              </w:rPr>
              <w:t xml:space="preserve">This will inform a </w:t>
            </w:r>
            <w:r w:rsidR="29141451" w:rsidRPr="57FD5D65">
              <w:rPr>
                <w:rFonts w:cs="Arial"/>
                <w:color w:val="auto"/>
                <w:sz w:val="20"/>
                <w:szCs w:val="20"/>
              </w:rPr>
              <w:t>framework</w:t>
            </w:r>
            <w:r w:rsidRPr="57FD5D65">
              <w:rPr>
                <w:rFonts w:cs="Arial"/>
                <w:color w:val="auto"/>
                <w:sz w:val="20"/>
                <w:szCs w:val="20"/>
              </w:rPr>
              <w:t xml:space="preserve"> to embed a strategic, evidence-based, and out</w:t>
            </w:r>
            <w:r w:rsidR="00C124EB" w:rsidRPr="57FD5D65">
              <w:rPr>
                <w:rFonts w:cs="Arial"/>
                <w:color w:val="auto"/>
                <w:sz w:val="20"/>
                <w:szCs w:val="20"/>
              </w:rPr>
              <w:t>comes-focused approach for activities under the IAHP</w:t>
            </w:r>
            <w:r w:rsidR="43387152" w:rsidRPr="57FD5D65">
              <w:rPr>
                <w:rFonts w:cs="Arial"/>
                <w:color w:val="auto"/>
                <w:sz w:val="20"/>
                <w:szCs w:val="20"/>
              </w:rPr>
              <w:t>.</w:t>
            </w:r>
            <w:r w:rsidR="00C124EB" w:rsidRPr="57FD5D65">
              <w:rPr>
                <w:rFonts w:cs="Arial"/>
                <w:color w:val="auto"/>
                <w:sz w:val="20"/>
                <w:szCs w:val="20"/>
              </w:rPr>
              <w:t xml:space="preserve"> </w:t>
            </w:r>
            <w:r w:rsidR="004B35DB">
              <w:rPr>
                <w:rFonts w:cs="Arial"/>
                <w:color w:val="auto"/>
                <w:sz w:val="20"/>
                <w:szCs w:val="20"/>
              </w:rPr>
              <w:t xml:space="preserve">This framework </w:t>
            </w:r>
            <w:r w:rsidR="10C7C94E" w:rsidRPr="57FD5D65">
              <w:rPr>
                <w:rFonts w:cs="Arial"/>
                <w:color w:val="auto"/>
                <w:sz w:val="20"/>
                <w:szCs w:val="20"/>
              </w:rPr>
              <w:t xml:space="preserve">will </w:t>
            </w:r>
            <w:r w:rsidR="00C124EB" w:rsidRPr="57FD5D65">
              <w:rPr>
                <w:rFonts w:cs="Arial"/>
                <w:color w:val="auto"/>
                <w:sz w:val="20"/>
                <w:szCs w:val="20"/>
              </w:rPr>
              <w:t>establish a consistent, robust rationale for funding prioritisation and investment</w:t>
            </w:r>
            <w:r w:rsidR="004B35DB">
              <w:rPr>
                <w:rFonts w:cs="Arial"/>
                <w:color w:val="auto"/>
                <w:sz w:val="20"/>
                <w:szCs w:val="20"/>
              </w:rPr>
              <w:t>, in line with priorities identified by Aboriginal and Torres Strait Islander people, communities and organisations</w:t>
            </w:r>
            <w:r w:rsidR="006F5C66" w:rsidRPr="57FD5D65">
              <w:rPr>
                <w:rFonts w:cs="Arial"/>
                <w:color w:val="auto"/>
                <w:sz w:val="20"/>
                <w:szCs w:val="20"/>
              </w:rPr>
              <w:t>.</w:t>
            </w:r>
          </w:p>
        </w:tc>
        <w:tc>
          <w:tcPr>
            <w:tcW w:w="1329" w:type="dxa"/>
          </w:tcPr>
          <w:p w14:paraId="47546F13" w14:textId="5C0AC427" w:rsidR="00B76B1D" w:rsidRPr="009D6E6A" w:rsidRDefault="5F531D14" w:rsidP="57FD5D65">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7FD5D65">
              <w:rPr>
                <w:rFonts w:cs="Arial"/>
                <w:color w:val="auto"/>
                <w:sz w:val="20"/>
                <w:szCs w:val="20"/>
              </w:rPr>
              <w:t xml:space="preserve">Medium </w:t>
            </w:r>
            <w:r w:rsidR="003B62FB" w:rsidRPr="57FD5D65">
              <w:rPr>
                <w:rFonts w:cs="Arial"/>
                <w:color w:val="auto"/>
                <w:sz w:val="20"/>
                <w:szCs w:val="20"/>
              </w:rPr>
              <w:t>term</w:t>
            </w:r>
            <w:r w:rsidR="00096847" w:rsidRPr="57FD5D65">
              <w:rPr>
                <w:rFonts w:cs="Arial"/>
                <w:color w:val="auto"/>
                <w:sz w:val="20"/>
                <w:szCs w:val="20"/>
              </w:rPr>
              <w:t xml:space="preserve"> </w:t>
            </w:r>
          </w:p>
        </w:tc>
      </w:tr>
      <w:tr w:rsidR="00081E87" w14:paraId="1FF8C085" w14:textId="77777777" w:rsidTr="00A01960">
        <w:trPr>
          <w:jc w:val="center"/>
        </w:trPr>
        <w:tc>
          <w:tcPr>
            <w:cnfStyle w:val="001000000000" w:firstRow="0" w:lastRow="0" w:firstColumn="1" w:lastColumn="0" w:oddVBand="0" w:evenVBand="0" w:oddHBand="0" w:evenHBand="0" w:firstRowFirstColumn="0" w:firstRowLastColumn="0" w:lastRowFirstColumn="0" w:lastRowLastColumn="0"/>
            <w:tcW w:w="3381" w:type="dxa"/>
          </w:tcPr>
          <w:p w14:paraId="375EE335" w14:textId="14912B5D" w:rsidR="000478BA" w:rsidRPr="00550F8E" w:rsidRDefault="00B76B1D" w:rsidP="00550F8E">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 xml:space="preserve">Continue to invest in improved health and wellbeing outcomes for Aboriginal and Torres Strait Islander people through </w:t>
            </w:r>
            <w:r w:rsidRPr="000713A4">
              <w:rPr>
                <w:rFonts w:eastAsia="Arial"/>
                <w:iCs/>
                <w:sz w:val="20"/>
                <w:szCs w:val="22"/>
              </w:rPr>
              <w:lastRenderedPageBreak/>
              <w:t>increasing IAHP funding to support the delivery of Aboriginal and Torres Strait Islander community-controlled comprehensive PHC.</w:t>
            </w:r>
          </w:p>
        </w:tc>
        <w:tc>
          <w:tcPr>
            <w:tcW w:w="1268" w:type="dxa"/>
            <w:shd w:val="clear" w:color="auto" w:fill="92D050"/>
          </w:tcPr>
          <w:p w14:paraId="4E3F4B15" w14:textId="5EF5C0D0" w:rsidR="00B76B1D" w:rsidRPr="003726E4" w:rsidRDefault="000C5A92" w:rsidP="006A537F">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iCs/>
                <w:color w:val="auto"/>
                <w:sz w:val="20"/>
                <w:szCs w:val="20"/>
              </w:rPr>
            </w:pPr>
            <w:r>
              <w:rPr>
                <w:rFonts w:cstheme="minorHAnsi"/>
                <w:b/>
                <w:bCs/>
                <w:iCs/>
                <w:color w:val="auto"/>
                <w:sz w:val="20"/>
                <w:szCs w:val="20"/>
              </w:rPr>
              <w:lastRenderedPageBreak/>
              <w:t>Agree</w:t>
            </w:r>
          </w:p>
        </w:tc>
        <w:tc>
          <w:tcPr>
            <w:tcW w:w="4422" w:type="dxa"/>
          </w:tcPr>
          <w:p w14:paraId="6D3054DE" w14:textId="74A0FF05" w:rsidR="00B76B1D" w:rsidRPr="00DA4DC7" w:rsidRDefault="00162C7C" w:rsidP="006A537F">
            <w:pPr>
              <w:spacing w:line="240" w:lineRule="auto"/>
              <w:cnfStyle w:val="000000000000" w:firstRow="0" w:lastRow="0" w:firstColumn="0" w:lastColumn="0" w:oddVBand="0" w:evenVBand="0" w:oddHBand="0" w:evenHBand="0" w:firstRowFirstColumn="0" w:firstRowLastColumn="0" w:lastRowFirstColumn="0" w:lastRowLastColumn="0"/>
              <w:rPr>
                <w:rFonts w:cstheme="minorBidi"/>
                <w:iCs/>
                <w:color w:val="auto"/>
                <w:sz w:val="20"/>
                <w:szCs w:val="20"/>
              </w:rPr>
            </w:pPr>
            <w:r w:rsidRPr="009D6E6A">
              <w:rPr>
                <w:rFonts w:cstheme="minorBidi"/>
                <w:iCs/>
                <w:color w:val="auto"/>
                <w:sz w:val="20"/>
                <w:szCs w:val="20"/>
              </w:rPr>
              <w:t xml:space="preserve">The department </w:t>
            </w:r>
            <w:r w:rsidR="00FC1076" w:rsidRPr="009D6E6A">
              <w:rPr>
                <w:rFonts w:cstheme="minorBidi"/>
                <w:iCs/>
                <w:color w:val="auto"/>
                <w:sz w:val="20"/>
                <w:szCs w:val="20"/>
              </w:rPr>
              <w:t>agrees continued investment in ACCHS</w:t>
            </w:r>
            <w:r w:rsidR="0073308D">
              <w:rPr>
                <w:rFonts w:cstheme="minorBidi"/>
                <w:iCs/>
                <w:color w:val="auto"/>
                <w:sz w:val="20"/>
                <w:szCs w:val="20"/>
              </w:rPr>
              <w:t>s</w:t>
            </w:r>
            <w:r w:rsidR="00FC1076" w:rsidRPr="009D6E6A">
              <w:rPr>
                <w:rFonts w:cstheme="minorBidi"/>
                <w:iCs/>
                <w:color w:val="auto"/>
                <w:sz w:val="20"/>
                <w:szCs w:val="20"/>
              </w:rPr>
              <w:t xml:space="preserve"> </w:t>
            </w:r>
            <w:r w:rsidR="0065214A" w:rsidRPr="009D6E6A">
              <w:rPr>
                <w:rFonts w:cstheme="minorBidi"/>
                <w:iCs/>
                <w:color w:val="auto"/>
                <w:sz w:val="20"/>
                <w:szCs w:val="20"/>
              </w:rPr>
              <w:t xml:space="preserve">to </w:t>
            </w:r>
            <w:r w:rsidR="00DC1933" w:rsidRPr="009D6E6A">
              <w:rPr>
                <w:rFonts w:cstheme="minorBidi"/>
                <w:iCs/>
                <w:color w:val="auto"/>
                <w:sz w:val="20"/>
                <w:szCs w:val="20"/>
              </w:rPr>
              <w:t xml:space="preserve">deliver </w:t>
            </w:r>
            <w:r w:rsidR="00FC1076" w:rsidRPr="009D6E6A">
              <w:rPr>
                <w:rFonts w:cstheme="minorBidi"/>
                <w:iCs/>
                <w:color w:val="auto"/>
                <w:sz w:val="20"/>
                <w:szCs w:val="20"/>
              </w:rPr>
              <w:t xml:space="preserve">culturally </w:t>
            </w:r>
            <w:r w:rsidR="004B35DB">
              <w:rPr>
                <w:rFonts w:cstheme="minorBidi"/>
                <w:iCs/>
                <w:color w:val="auto"/>
                <w:sz w:val="20"/>
                <w:szCs w:val="20"/>
              </w:rPr>
              <w:t>responsive,</w:t>
            </w:r>
            <w:r w:rsidR="004B35DB" w:rsidRPr="009D6E6A">
              <w:rPr>
                <w:rFonts w:cstheme="minorBidi"/>
                <w:iCs/>
                <w:color w:val="auto"/>
                <w:sz w:val="20"/>
                <w:szCs w:val="20"/>
              </w:rPr>
              <w:t xml:space="preserve"> </w:t>
            </w:r>
            <w:proofErr w:type="spellStart"/>
            <w:r w:rsidR="008B73A8">
              <w:rPr>
                <w:rFonts w:cstheme="minorBidi"/>
                <w:iCs/>
                <w:color w:val="auto"/>
                <w:sz w:val="20"/>
                <w:szCs w:val="20"/>
              </w:rPr>
              <w:t>c</w:t>
            </w:r>
            <w:r w:rsidR="00FC1076" w:rsidRPr="009D6E6A">
              <w:rPr>
                <w:rFonts w:cstheme="minorBidi"/>
                <w:iCs/>
                <w:color w:val="auto"/>
                <w:sz w:val="20"/>
                <w:szCs w:val="20"/>
              </w:rPr>
              <w:t>PHC</w:t>
            </w:r>
            <w:proofErr w:type="spellEnd"/>
            <w:r w:rsidR="00DC1933" w:rsidRPr="009D6E6A">
              <w:rPr>
                <w:rFonts w:cstheme="minorBidi"/>
                <w:iCs/>
                <w:color w:val="auto"/>
                <w:sz w:val="20"/>
                <w:szCs w:val="20"/>
              </w:rPr>
              <w:t xml:space="preserve"> is </w:t>
            </w:r>
            <w:r w:rsidR="004B35DB">
              <w:rPr>
                <w:rFonts w:cstheme="minorBidi"/>
                <w:iCs/>
                <w:color w:val="auto"/>
                <w:sz w:val="20"/>
                <w:szCs w:val="20"/>
              </w:rPr>
              <w:t xml:space="preserve">a key priority of the IAHP and is </w:t>
            </w:r>
            <w:r w:rsidR="00DC1933" w:rsidRPr="009D6E6A">
              <w:rPr>
                <w:rFonts w:cstheme="minorBidi"/>
                <w:iCs/>
                <w:color w:val="auto"/>
                <w:sz w:val="20"/>
                <w:szCs w:val="20"/>
              </w:rPr>
              <w:t xml:space="preserve">crucial to improved health and wellbeing </w:t>
            </w:r>
            <w:r w:rsidR="00DC1933" w:rsidRPr="009D6E6A">
              <w:rPr>
                <w:rFonts w:cstheme="minorBidi"/>
                <w:iCs/>
                <w:color w:val="auto"/>
                <w:sz w:val="20"/>
                <w:szCs w:val="20"/>
              </w:rPr>
              <w:lastRenderedPageBreak/>
              <w:t xml:space="preserve">outcomes for Aboriginal and Torres Strait Islander peoples. </w:t>
            </w:r>
          </w:p>
        </w:tc>
        <w:tc>
          <w:tcPr>
            <w:tcW w:w="4422" w:type="dxa"/>
          </w:tcPr>
          <w:p w14:paraId="570EB4CD" w14:textId="4CC3D89A" w:rsidR="00BA1245" w:rsidRPr="000C5A92" w:rsidRDefault="000C5A92" w:rsidP="000C5A92">
            <w:pPr>
              <w:spacing w:before="0" w:after="160" w:line="257" w:lineRule="auto"/>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Pr>
                <w:rFonts w:cs="Arial"/>
                <w:color w:val="auto"/>
                <w:sz w:val="20"/>
                <w:szCs w:val="20"/>
              </w:rPr>
              <w:lastRenderedPageBreak/>
              <w:t>F</w:t>
            </w:r>
            <w:r w:rsidR="4A1DC74D" w:rsidRPr="000C5A92">
              <w:rPr>
                <w:rFonts w:cstheme="minorBidi"/>
                <w:iCs/>
                <w:color w:val="auto"/>
                <w:sz w:val="20"/>
                <w:szCs w:val="20"/>
              </w:rPr>
              <w:t>rom 1 July 2024, ACCHS</w:t>
            </w:r>
            <w:r w:rsidR="004B35DB">
              <w:rPr>
                <w:rFonts w:cstheme="minorBidi"/>
                <w:iCs/>
                <w:color w:val="auto"/>
                <w:sz w:val="20"/>
                <w:szCs w:val="20"/>
              </w:rPr>
              <w:t>s</w:t>
            </w:r>
            <w:r w:rsidR="4A1DC74D" w:rsidRPr="000C5A92">
              <w:rPr>
                <w:rFonts w:cstheme="minorBidi"/>
                <w:iCs/>
                <w:color w:val="auto"/>
                <w:sz w:val="20"/>
                <w:szCs w:val="20"/>
              </w:rPr>
              <w:t xml:space="preserve"> delivering comprehensive primary health care </w:t>
            </w:r>
            <w:r w:rsidR="51C90C1F" w:rsidRPr="000C5A92">
              <w:rPr>
                <w:rFonts w:cstheme="minorBidi"/>
                <w:iCs/>
                <w:color w:val="auto"/>
                <w:sz w:val="20"/>
                <w:szCs w:val="20"/>
              </w:rPr>
              <w:t xml:space="preserve">under the IAHP </w:t>
            </w:r>
            <w:r w:rsidR="531C7CCC" w:rsidRPr="000C5A92">
              <w:rPr>
                <w:rFonts w:cstheme="minorBidi"/>
                <w:iCs/>
                <w:color w:val="auto"/>
                <w:sz w:val="20"/>
                <w:szCs w:val="20"/>
              </w:rPr>
              <w:t xml:space="preserve">are </w:t>
            </w:r>
            <w:r w:rsidR="4A1DC74D" w:rsidRPr="000C5A92">
              <w:rPr>
                <w:rFonts w:cstheme="minorBidi"/>
                <w:iCs/>
                <w:color w:val="auto"/>
                <w:sz w:val="20"/>
                <w:szCs w:val="20"/>
              </w:rPr>
              <w:t>receiv</w:t>
            </w:r>
            <w:r w:rsidR="7BD4F37E" w:rsidRPr="000C5A92">
              <w:rPr>
                <w:rFonts w:cstheme="minorBidi"/>
                <w:iCs/>
                <w:color w:val="auto"/>
                <w:sz w:val="20"/>
                <w:szCs w:val="20"/>
              </w:rPr>
              <w:t>ing</w:t>
            </w:r>
            <w:r w:rsidR="4A1DC74D" w:rsidRPr="000C5A92">
              <w:rPr>
                <w:rFonts w:cstheme="minorBidi"/>
                <w:iCs/>
                <w:color w:val="auto"/>
                <w:sz w:val="20"/>
                <w:szCs w:val="20"/>
              </w:rPr>
              <w:t xml:space="preserve"> </w:t>
            </w:r>
            <w:r w:rsidR="5E21F866" w:rsidRPr="000C5A92">
              <w:rPr>
                <w:rFonts w:cstheme="minorBidi"/>
                <w:iCs/>
                <w:color w:val="auto"/>
                <w:sz w:val="20"/>
                <w:szCs w:val="20"/>
              </w:rPr>
              <w:t xml:space="preserve">four-year </w:t>
            </w:r>
            <w:r w:rsidR="4A1DC74D" w:rsidRPr="000C5A92">
              <w:rPr>
                <w:rFonts w:cstheme="minorBidi"/>
                <w:iCs/>
                <w:color w:val="auto"/>
                <w:sz w:val="20"/>
                <w:szCs w:val="20"/>
              </w:rPr>
              <w:t>rolling funding arrangements</w:t>
            </w:r>
            <w:r w:rsidR="004B35DB">
              <w:rPr>
                <w:rFonts w:cstheme="minorBidi"/>
                <w:iCs/>
                <w:color w:val="auto"/>
                <w:sz w:val="20"/>
                <w:szCs w:val="20"/>
              </w:rPr>
              <w:t xml:space="preserve"> to enhance sustainability and continuity of service delivery</w:t>
            </w:r>
            <w:r w:rsidR="4347C11D" w:rsidRPr="000C5A92">
              <w:rPr>
                <w:rFonts w:cstheme="minorBidi"/>
                <w:iCs/>
                <w:color w:val="auto"/>
                <w:sz w:val="20"/>
                <w:szCs w:val="20"/>
              </w:rPr>
              <w:t xml:space="preserve">. </w:t>
            </w:r>
            <w:r w:rsidR="27B8930A" w:rsidRPr="000C5A92">
              <w:rPr>
                <w:rFonts w:cstheme="minorBidi"/>
                <w:iCs/>
                <w:color w:val="auto"/>
                <w:sz w:val="20"/>
                <w:szCs w:val="20"/>
              </w:rPr>
              <w:t xml:space="preserve">These funding </w:t>
            </w:r>
            <w:r w:rsidR="27B8930A" w:rsidRPr="000C5A92">
              <w:rPr>
                <w:rFonts w:cstheme="minorBidi"/>
                <w:iCs/>
                <w:color w:val="auto"/>
                <w:sz w:val="20"/>
                <w:szCs w:val="20"/>
              </w:rPr>
              <w:lastRenderedPageBreak/>
              <w:t>arrangements are supported by a $300</w:t>
            </w:r>
            <w:r w:rsidR="4347C11D" w:rsidRPr="000C5A92">
              <w:rPr>
                <w:rFonts w:cstheme="minorBidi"/>
                <w:iCs/>
                <w:color w:val="auto"/>
                <w:sz w:val="20"/>
                <w:szCs w:val="20"/>
              </w:rPr>
              <w:t xml:space="preserve"> </w:t>
            </w:r>
            <w:r w:rsidR="27B8930A" w:rsidRPr="000C5A92">
              <w:rPr>
                <w:rFonts w:cstheme="minorBidi"/>
                <w:iCs/>
                <w:color w:val="auto"/>
                <w:sz w:val="20"/>
                <w:szCs w:val="20"/>
              </w:rPr>
              <w:t xml:space="preserve">million boost, </w:t>
            </w:r>
            <w:r w:rsidR="3FA66D31" w:rsidRPr="000C5A92">
              <w:rPr>
                <w:rFonts w:cstheme="minorBidi"/>
                <w:iCs/>
                <w:color w:val="auto"/>
                <w:sz w:val="20"/>
                <w:szCs w:val="20"/>
              </w:rPr>
              <w:t>b</w:t>
            </w:r>
            <w:r w:rsidR="4A1DC74D" w:rsidRPr="000C5A92">
              <w:rPr>
                <w:rFonts w:cstheme="minorBidi"/>
                <w:iCs/>
                <w:color w:val="auto"/>
                <w:sz w:val="20"/>
                <w:szCs w:val="20"/>
              </w:rPr>
              <w:t>ringing the total funds available to ACCH</w:t>
            </w:r>
            <w:r>
              <w:rPr>
                <w:rFonts w:cstheme="minorBidi"/>
                <w:iCs/>
                <w:color w:val="auto"/>
                <w:sz w:val="20"/>
                <w:szCs w:val="20"/>
              </w:rPr>
              <w:t>S</w:t>
            </w:r>
            <w:r w:rsidR="004B35DB">
              <w:rPr>
                <w:rFonts w:cstheme="minorBidi"/>
                <w:iCs/>
                <w:color w:val="auto"/>
                <w:sz w:val="20"/>
                <w:szCs w:val="20"/>
              </w:rPr>
              <w:t>s</w:t>
            </w:r>
            <w:r w:rsidR="4A1DC74D" w:rsidRPr="000C5A92">
              <w:rPr>
                <w:rFonts w:cstheme="minorBidi"/>
                <w:iCs/>
                <w:color w:val="auto"/>
                <w:sz w:val="20"/>
                <w:szCs w:val="20"/>
              </w:rPr>
              <w:t xml:space="preserve"> to $2.70 billion (over four years from 2024-25).</w:t>
            </w:r>
          </w:p>
          <w:p w14:paraId="7234CC98" w14:textId="77360941" w:rsidR="000F1499" w:rsidRPr="00B80011" w:rsidRDefault="004B35DB" w:rsidP="002E4D18">
            <w:pPr>
              <w:spacing w:line="240" w:lineRule="auto"/>
              <w:cnfStyle w:val="000000000000" w:firstRow="0" w:lastRow="0" w:firstColumn="0" w:lastColumn="0" w:oddVBand="0" w:evenVBand="0" w:oddHBand="0" w:evenHBand="0" w:firstRowFirstColumn="0" w:firstRowLastColumn="0" w:lastRowFirstColumn="0" w:lastRowLastColumn="0"/>
              <w:rPr>
                <w:rFonts w:cstheme="minorBidi"/>
                <w:i/>
                <w:color w:val="auto"/>
                <w:sz w:val="20"/>
                <w:szCs w:val="20"/>
              </w:rPr>
            </w:pPr>
            <w:r>
              <w:rPr>
                <w:rFonts w:cs="Arial"/>
                <w:color w:val="auto"/>
                <w:sz w:val="20"/>
                <w:szCs w:val="20"/>
              </w:rPr>
              <w:t>T</w:t>
            </w:r>
            <w:r w:rsidR="74930419" w:rsidRPr="16671D6F">
              <w:rPr>
                <w:rFonts w:cs="Arial"/>
                <w:color w:val="auto"/>
                <w:sz w:val="20"/>
                <w:szCs w:val="20"/>
              </w:rPr>
              <w:t xml:space="preserve">he </w:t>
            </w:r>
            <w:r w:rsidR="74930419" w:rsidRPr="4787A655">
              <w:rPr>
                <w:rFonts w:cs="Arial"/>
                <w:color w:val="auto"/>
                <w:sz w:val="20"/>
                <w:szCs w:val="20"/>
              </w:rPr>
              <w:t xml:space="preserve">department and </w:t>
            </w:r>
            <w:r w:rsidR="74930419" w:rsidRPr="16671D6F">
              <w:rPr>
                <w:rFonts w:cs="Arial"/>
                <w:color w:val="auto"/>
                <w:sz w:val="20"/>
                <w:szCs w:val="20"/>
              </w:rPr>
              <w:t xml:space="preserve">NACCHO </w:t>
            </w:r>
            <w:r w:rsidR="74930419" w:rsidRPr="3B55118E">
              <w:rPr>
                <w:rFonts w:cs="Arial"/>
                <w:color w:val="auto"/>
                <w:sz w:val="20"/>
                <w:szCs w:val="20"/>
              </w:rPr>
              <w:t xml:space="preserve">are </w:t>
            </w:r>
            <w:r>
              <w:rPr>
                <w:rFonts w:cs="Arial"/>
                <w:color w:val="auto"/>
                <w:sz w:val="20"/>
                <w:szCs w:val="20"/>
              </w:rPr>
              <w:t xml:space="preserve">continuing to work in partnership to </w:t>
            </w:r>
            <w:r w:rsidRPr="3B55118E">
              <w:rPr>
                <w:rFonts w:cs="Arial"/>
                <w:color w:val="auto"/>
                <w:sz w:val="20"/>
                <w:szCs w:val="20"/>
              </w:rPr>
              <w:t>scop</w:t>
            </w:r>
            <w:r>
              <w:rPr>
                <w:rFonts w:cs="Arial"/>
                <w:color w:val="auto"/>
                <w:sz w:val="20"/>
                <w:szCs w:val="20"/>
              </w:rPr>
              <w:t>e</w:t>
            </w:r>
            <w:r w:rsidRPr="3B55118E">
              <w:rPr>
                <w:rFonts w:cs="Arial"/>
                <w:color w:val="auto"/>
                <w:sz w:val="20"/>
                <w:szCs w:val="20"/>
              </w:rPr>
              <w:t xml:space="preserve"> </w:t>
            </w:r>
            <w:r w:rsidR="74930419" w:rsidRPr="3B55118E">
              <w:rPr>
                <w:rFonts w:cs="Arial"/>
                <w:color w:val="auto"/>
                <w:sz w:val="20"/>
                <w:szCs w:val="20"/>
              </w:rPr>
              <w:t xml:space="preserve">the </w:t>
            </w:r>
            <w:r w:rsidR="74930419" w:rsidRPr="0838A7FF">
              <w:rPr>
                <w:rFonts w:cs="Arial"/>
                <w:color w:val="auto"/>
                <w:sz w:val="20"/>
                <w:szCs w:val="20"/>
              </w:rPr>
              <w:t xml:space="preserve">work required to transition </w:t>
            </w:r>
            <w:r w:rsidR="74930419" w:rsidRPr="345FA8DB">
              <w:rPr>
                <w:rFonts w:cs="Arial"/>
                <w:color w:val="auto"/>
                <w:sz w:val="20"/>
                <w:szCs w:val="20"/>
              </w:rPr>
              <w:t xml:space="preserve">ACCHS’ </w:t>
            </w:r>
            <w:r w:rsidR="00BA1245" w:rsidRPr="004F6DEC">
              <w:rPr>
                <w:rFonts w:cs="Arial"/>
                <w:color w:val="auto"/>
                <w:sz w:val="20"/>
                <w:szCs w:val="20"/>
              </w:rPr>
              <w:t xml:space="preserve">funding arrangements to </w:t>
            </w:r>
            <w:r w:rsidR="37F60046" w:rsidRPr="13944A1B">
              <w:rPr>
                <w:rFonts w:cs="Arial"/>
                <w:color w:val="auto"/>
                <w:sz w:val="20"/>
                <w:szCs w:val="20"/>
              </w:rPr>
              <w:t xml:space="preserve">a needs-based funding </w:t>
            </w:r>
            <w:r w:rsidR="37F60046" w:rsidRPr="0663AC9B">
              <w:rPr>
                <w:rFonts w:cs="Arial"/>
                <w:color w:val="auto"/>
                <w:sz w:val="20"/>
                <w:szCs w:val="20"/>
              </w:rPr>
              <w:t xml:space="preserve">model as </w:t>
            </w:r>
            <w:r w:rsidR="37F60046" w:rsidRPr="0B2E69B9">
              <w:rPr>
                <w:rFonts w:cs="Arial"/>
                <w:color w:val="auto"/>
                <w:sz w:val="20"/>
                <w:szCs w:val="20"/>
              </w:rPr>
              <w:t xml:space="preserve">set out </w:t>
            </w:r>
            <w:r w:rsidR="37F60046" w:rsidRPr="34031A2A">
              <w:rPr>
                <w:rFonts w:cs="Arial"/>
                <w:color w:val="auto"/>
                <w:sz w:val="20"/>
                <w:szCs w:val="20"/>
              </w:rPr>
              <w:t xml:space="preserve">in </w:t>
            </w:r>
            <w:r w:rsidR="71A4402D" w:rsidRPr="75DE18A9">
              <w:rPr>
                <w:rFonts w:cs="Arial"/>
                <w:color w:val="auto"/>
                <w:sz w:val="20"/>
                <w:szCs w:val="20"/>
              </w:rPr>
              <w:t>NACCHO’s</w:t>
            </w:r>
            <w:r w:rsidR="00BA1245" w:rsidRPr="004F6DEC">
              <w:rPr>
                <w:rFonts w:cs="Arial"/>
                <w:color w:val="auto"/>
                <w:sz w:val="20"/>
                <w:szCs w:val="20"/>
              </w:rPr>
              <w:t xml:space="preserve"> </w:t>
            </w:r>
            <w:hyperlink r:id="rId24" w:history="1">
              <w:r w:rsidR="00BA1245" w:rsidRPr="423BF576">
                <w:rPr>
                  <w:rStyle w:val="Hyperlink"/>
                  <w:rFonts w:cs="Arial"/>
                  <w:i/>
                  <w:iCs/>
                  <w:sz w:val="20"/>
                  <w:szCs w:val="20"/>
                </w:rPr>
                <w:t>Core Services and Outcomes Framework</w:t>
              </w:r>
            </w:hyperlink>
            <w:r w:rsidR="00BA1245" w:rsidRPr="004F6DEC">
              <w:rPr>
                <w:rFonts w:cs="Arial"/>
                <w:color w:val="auto"/>
                <w:sz w:val="20"/>
                <w:szCs w:val="20"/>
              </w:rPr>
              <w:t xml:space="preserve"> . </w:t>
            </w:r>
          </w:p>
        </w:tc>
        <w:tc>
          <w:tcPr>
            <w:tcW w:w="1329" w:type="dxa"/>
          </w:tcPr>
          <w:p w14:paraId="6E99DE79" w14:textId="6273411B" w:rsidR="00B76B1D" w:rsidRDefault="00114243" w:rsidP="006A537F">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Pr>
                <w:rFonts w:cstheme="minorHAnsi"/>
                <w:iCs/>
                <w:color w:val="auto"/>
                <w:sz w:val="20"/>
                <w:szCs w:val="20"/>
              </w:rPr>
              <w:lastRenderedPageBreak/>
              <w:t>Ongoing</w:t>
            </w:r>
          </w:p>
        </w:tc>
      </w:tr>
      <w:tr w:rsidR="00081E87" w14:paraId="1B4C7C5E" w14:textId="77777777" w:rsidTr="00A0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1" w:type="dxa"/>
          </w:tcPr>
          <w:p w14:paraId="515BE5D9" w14:textId="6313E9C2" w:rsidR="005365A0" w:rsidRPr="00775B7F" w:rsidRDefault="001F757E" w:rsidP="00775B7F">
            <w:pPr>
              <w:pStyle w:val="ListParagraph"/>
              <w:numPr>
                <w:ilvl w:val="0"/>
                <w:numId w:val="31"/>
              </w:numPr>
              <w:spacing w:before="60" w:after="60" w:line="240" w:lineRule="auto"/>
              <w:rPr>
                <w:rFonts w:eastAsia="Arial"/>
                <w:sz w:val="20"/>
                <w:szCs w:val="20"/>
              </w:rPr>
            </w:pPr>
            <w:r w:rsidRPr="71315B29">
              <w:rPr>
                <w:rFonts w:eastAsia="Arial"/>
                <w:sz w:val="20"/>
                <w:szCs w:val="20"/>
              </w:rPr>
              <w:t>Increase investment to support the development of a strong and stable Aboriginal and Torres Strait Islander PHC workforce.</w:t>
            </w:r>
          </w:p>
        </w:tc>
        <w:tc>
          <w:tcPr>
            <w:tcW w:w="1268" w:type="dxa"/>
            <w:shd w:val="clear" w:color="auto" w:fill="FFC000"/>
          </w:tcPr>
          <w:p w14:paraId="4D8D8661" w14:textId="61D11C3B" w:rsidR="001F757E" w:rsidRPr="00E271CF" w:rsidRDefault="001F757E" w:rsidP="001F757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Cs/>
                <w:color w:val="auto"/>
                <w:sz w:val="20"/>
                <w:szCs w:val="20"/>
              </w:rPr>
            </w:pPr>
            <w:r w:rsidRPr="001D49D2">
              <w:rPr>
                <w:rFonts w:cstheme="minorHAnsi"/>
                <w:b/>
                <w:bCs/>
                <w:iCs/>
                <w:color w:val="auto"/>
                <w:sz w:val="20"/>
                <w:szCs w:val="20"/>
              </w:rPr>
              <w:t>Partially agree</w:t>
            </w:r>
          </w:p>
        </w:tc>
        <w:tc>
          <w:tcPr>
            <w:tcW w:w="4422" w:type="dxa"/>
          </w:tcPr>
          <w:p w14:paraId="5BA6A447" w14:textId="77777777" w:rsidR="008B73A8" w:rsidRDefault="008B73A8" w:rsidP="001F757E">
            <w:pPr>
              <w:spacing w:line="240" w:lineRule="auto"/>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rPr>
            </w:pPr>
            <w:r>
              <w:rPr>
                <w:rFonts w:eastAsia="Arial" w:cs="Arial"/>
                <w:color w:val="auto"/>
                <w:sz w:val="20"/>
                <w:szCs w:val="20"/>
              </w:rPr>
              <w:t xml:space="preserve">IAHP directly supports the ACCHS sector as the </w:t>
            </w:r>
            <w:r w:rsidRPr="008B73A8">
              <w:rPr>
                <w:rFonts w:eastAsia="Arial" w:cs="Arial"/>
                <w:color w:val="auto"/>
                <w:sz w:val="20"/>
                <w:szCs w:val="20"/>
              </w:rPr>
              <w:t>third largest employer of Aboriginal and Torres Strait Islander people in Australia</w:t>
            </w:r>
            <w:r>
              <w:rPr>
                <w:rFonts w:eastAsia="Arial" w:cs="Arial"/>
                <w:color w:val="auto"/>
                <w:sz w:val="20"/>
                <w:szCs w:val="20"/>
              </w:rPr>
              <w:t>.</w:t>
            </w:r>
          </w:p>
          <w:p w14:paraId="74A31415" w14:textId="3B5DD264" w:rsidR="001F757E" w:rsidRDefault="00D23FC9" w:rsidP="001F757E">
            <w:pPr>
              <w:spacing w:line="240" w:lineRule="auto"/>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rPr>
            </w:pPr>
            <w:r w:rsidRPr="750618DA">
              <w:rPr>
                <w:rFonts w:eastAsia="Arial" w:cs="Arial"/>
                <w:color w:val="auto"/>
                <w:sz w:val="20"/>
                <w:szCs w:val="20"/>
              </w:rPr>
              <w:t xml:space="preserve">While investment in workforce </w:t>
            </w:r>
            <w:r w:rsidR="004B35DB">
              <w:rPr>
                <w:rFonts w:eastAsia="Arial" w:cs="Arial"/>
                <w:color w:val="auto"/>
                <w:sz w:val="20"/>
                <w:szCs w:val="20"/>
              </w:rPr>
              <w:t xml:space="preserve">development, </w:t>
            </w:r>
            <w:r w:rsidR="003F435B">
              <w:rPr>
                <w:rFonts w:eastAsia="Arial" w:cs="Arial"/>
                <w:color w:val="auto"/>
                <w:sz w:val="20"/>
                <w:szCs w:val="20"/>
              </w:rPr>
              <w:t xml:space="preserve">training and </w:t>
            </w:r>
            <w:r w:rsidR="00D453B2">
              <w:rPr>
                <w:rFonts w:eastAsia="Arial" w:cs="Arial"/>
                <w:color w:val="auto"/>
                <w:sz w:val="20"/>
                <w:szCs w:val="20"/>
              </w:rPr>
              <w:t>condi</w:t>
            </w:r>
            <w:r w:rsidR="006F4836">
              <w:rPr>
                <w:rFonts w:eastAsia="Arial" w:cs="Arial"/>
                <w:color w:val="auto"/>
                <w:sz w:val="20"/>
                <w:szCs w:val="20"/>
              </w:rPr>
              <w:t>tions of employment</w:t>
            </w:r>
            <w:r w:rsidR="00FF2DD3">
              <w:rPr>
                <w:rFonts w:eastAsia="Arial" w:cs="Arial"/>
                <w:color w:val="auto"/>
                <w:sz w:val="20"/>
                <w:szCs w:val="20"/>
              </w:rPr>
              <w:t xml:space="preserve"> </w:t>
            </w:r>
            <w:r w:rsidRPr="750618DA">
              <w:rPr>
                <w:rFonts w:eastAsia="Arial" w:cs="Arial"/>
                <w:color w:val="auto"/>
                <w:sz w:val="20"/>
                <w:szCs w:val="20"/>
              </w:rPr>
              <w:t xml:space="preserve">falls outside the scope of the IAHP, the department acknowledges </w:t>
            </w:r>
            <w:r w:rsidR="008B73A8">
              <w:rPr>
                <w:rFonts w:eastAsia="Arial" w:cs="Arial"/>
                <w:color w:val="auto"/>
                <w:sz w:val="20"/>
                <w:szCs w:val="20"/>
              </w:rPr>
              <w:t>the critical role that an</w:t>
            </w:r>
            <w:r w:rsidRPr="750618DA">
              <w:rPr>
                <w:rFonts w:eastAsia="Arial" w:cs="Arial"/>
                <w:color w:val="auto"/>
                <w:sz w:val="20"/>
                <w:szCs w:val="20"/>
              </w:rPr>
              <w:t xml:space="preserve"> appropriately skilled, available</w:t>
            </w:r>
            <w:r w:rsidR="00EB6596" w:rsidRPr="750618DA">
              <w:rPr>
                <w:rFonts w:eastAsia="Arial" w:cs="Arial"/>
                <w:color w:val="auto"/>
                <w:sz w:val="20"/>
                <w:szCs w:val="20"/>
              </w:rPr>
              <w:t>,</w:t>
            </w:r>
            <w:r w:rsidRPr="750618DA">
              <w:rPr>
                <w:rFonts w:eastAsia="Arial" w:cs="Arial"/>
                <w:color w:val="auto"/>
                <w:sz w:val="20"/>
                <w:szCs w:val="20"/>
              </w:rPr>
              <w:t xml:space="preserve"> and responsive Aboriginal and Torres Strait Islander health workforce </w:t>
            </w:r>
            <w:r w:rsidR="008B73A8">
              <w:rPr>
                <w:rFonts w:eastAsia="Arial" w:cs="Arial"/>
                <w:color w:val="auto"/>
                <w:sz w:val="20"/>
                <w:szCs w:val="20"/>
              </w:rPr>
              <w:t>contributes to improved health outcomes.</w:t>
            </w:r>
          </w:p>
          <w:p w14:paraId="719376DC" w14:textId="77777777" w:rsidR="008B73A8" w:rsidRDefault="008B73A8" w:rsidP="001F757E">
            <w:pPr>
              <w:spacing w:line="240" w:lineRule="auto"/>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rPr>
            </w:pPr>
          </w:p>
          <w:p w14:paraId="49691B31" w14:textId="0886CCEC" w:rsidR="001F757E" w:rsidRPr="00C7356F" w:rsidRDefault="001F757E" w:rsidP="001F757E">
            <w:pPr>
              <w:spacing w:line="240" w:lineRule="auto"/>
              <w:cnfStyle w:val="000000100000" w:firstRow="0" w:lastRow="0" w:firstColumn="0" w:lastColumn="0" w:oddVBand="0" w:evenVBand="0" w:oddHBand="1" w:evenHBand="0" w:firstRowFirstColumn="0" w:firstRowLastColumn="0" w:lastRowFirstColumn="0" w:lastRowLastColumn="0"/>
              <w:rPr>
                <w:rFonts w:cstheme="minorBidi"/>
                <w:i/>
                <w:color w:val="auto"/>
                <w:sz w:val="20"/>
                <w:szCs w:val="20"/>
              </w:rPr>
            </w:pPr>
          </w:p>
        </w:tc>
        <w:tc>
          <w:tcPr>
            <w:tcW w:w="4422" w:type="dxa"/>
          </w:tcPr>
          <w:p w14:paraId="5DFC605E" w14:textId="16CE8545" w:rsidR="008B73A8" w:rsidRDefault="008B73A8" w:rsidP="0038135B">
            <w:pPr>
              <w:spacing w:line="240" w:lineRule="auto"/>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rPr>
            </w:pPr>
            <w:r>
              <w:rPr>
                <w:rFonts w:eastAsia="Arial" w:cs="Arial"/>
                <w:color w:val="auto"/>
                <w:sz w:val="20"/>
                <w:szCs w:val="20"/>
              </w:rPr>
              <w:t>In FY23-24</w:t>
            </w:r>
            <w:r w:rsidR="00363377">
              <w:rPr>
                <w:rFonts w:eastAsia="Arial" w:cs="Arial"/>
                <w:color w:val="auto"/>
                <w:sz w:val="20"/>
                <w:szCs w:val="20"/>
              </w:rPr>
              <w:t>,</w:t>
            </w:r>
            <w:r>
              <w:rPr>
                <w:rFonts w:eastAsia="Arial" w:cs="Arial"/>
                <w:color w:val="auto"/>
                <w:sz w:val="20"/>
                <w:szCs w:val="20"/>
              </w:rPr>
              <w:t xml:space="preserve"> </w:t>
            </w:r>
            <w:r w:rsidR="00363377" w:rsidRPr="00363377">
              <w:rPr>
                <w:rFonts w:eastAsia="Arial" w:cs="Arial"/>
                <w:color w:val="auto"/>
                <w:sz w:val="20"/>
                <w:szCs w:val="20"/>
              </w:rPr>
              <w:t>IAHP funded services employed around 9,700 FTE staff of which 50% (around 4,900 FTE) were First Nations people.</w:t>
            </w:r>
          </w:p>
          <w:p w14:paraId="04481A8C" w14:textId="5EFB9724" w:rsidR="0038135B" w:rsidRPr="00807EC7" w:rsidRDefault="0038135B" w:rsidP="0038135B">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4F6DEC">
              <w:rPr>
                <w:rFonts w:eastAsia="Arial" w:cs="Arial"/>
                <w:color w:val="auto"/>
                <w:sz w:val="20"/>
                <w:szCs w:val="20"/>
              </w:rPr>
              <w:t>The department will continue to work closely with key stakeholders</w:t>
            </w:r>
            <w:r w:rsidR="008B73A8">
              <w:rPr>
                <w:rFonts w:eastAsia="Arial" w:cs="Arial"/>
                <w:color w:val="auto"/>
                <w:sz w:val="20"/>
                <w:szCs w:val="20"/>
              </w:rPr>
              <w:t xml:space="preserve"> internally and across government</w:t>
            </w:r>
            <w:r w:rsidRPr="004F6DEC">
              <w:rPr>
                <w:rFonts w:eastAsia="Arial" w:cs="Arial"/>
                <w:color w:val="auto"/>
                <w:sz w:val="20"/>
                <w:szCs w:val="20"/>
              </w:rPr>
              <w:t xml:space="preserve"> to </w:t>
            </w:r>
            <w:r w:rsidR="008B73A8">
              <w:rPr>
                <w:rFonts w:eastAsia="Arial" w:cs="Arial"/>
                <w:color w:val="auto"/>
                <w:sz w:val="20"/>
                <w:szCs w:val="20"/>
              </w:rPr>
              <w:t>grow and sustain</w:t>
            </w:r>
            <w:r w:rsidR="00655260">
              <w:rPr>
                <w:rFonts w:eastAsia="Arial" w:cs="Arial"/>
                <w:color w:val="auto"/>
                <w:sz w:val="20"/>
                <w:szCs w:val="20"/>
              </w:rPr>
              <w:t xml:space="preserve"> </w:t>
            </w:r>
            <w:r w:rsidRPr="004F6DEC">
              <w:rPr>
                <w:rFonts w:eastAsia="Arial" w:cs="Arial"/>
                <w:color w:val="auto"/>
                <w:sz w:val="20"/>
                <w:szCs w:val="20"/>
              </w:rPr>
              <w:t xml:space="preserve">the Aboriginal and Torres Strait Islander workforce across the health system, in line with the </w:t>
            </w:r>
            <w:hyperlink r:id="rId25" w:history="1">
              <w:r w:rsidR="004B35DB">
                <w:rPr>
                  <w:rStyle w:val="Hyperlink"/>
                  <w:rFonts w:eastAsia="Arial" w:cs="Arial"/>
                  <w:i/>
                  <w:iCs/>
                  <w:sz w:val="20"/>
                  <w:szCs w:val="20"/>
                </w:rPr>
                <w:t>Workforce Plan</w:t>
              </w:r>
            </w:hyperlink>
            <w:r w:rsidRPr="004F6DEC">
              <w:rPr>
                <w:rFonts w:eastAsia="Arial" w:cs="Arial"/>
                <w:color w:val="auto"/>
                <w:sz w:val="20"/>
                <w:szCs w:val="20"/>
              </w:rPr>
              <w:t>.</w:t>
            </w:r>
          </w:p>
          <w:p w14:paraId="60450C7A" w14:textId="6B1B3750" w:rsidR="002C5D33" w:rsidRPr="00AF5CBE" w:rsidRDefault="00665955" w:rsidP="750618DA">
            <w:pPr>
              <w:spacing w:line="240" w:lineRule="auto"/>
              <w:cnfStyle w:val="000000100000" w:firstRow="0" w:lastRow="0" w:firstColumn="0" w:lastColumn="0" w:oddVBand="0" w:evenVBand="0" w:oddHBand="1" w:evenHBand="0" w:firstRowFirstColumn="0" w:firstRowLastColumn="0" w:lastRowFirstColumn="0" w:lastRowLastColumn="0"/>
              <w:rPr>
                <w:rFonts w:cstheme="minorBidi"/>
                <w:color w:val="auto"/>
                <w:sz w:val="20"/>
                <w:szCs w:val="20"/>
              </w:rPr>
            </w:pPr>
            <w:r>
              <w:rPr>
                <w:sz w:val="20"/>
                <w:szCs w:val="20"/>
              </w:rPr>
              <w:t xml:space="preserve">The department will continue to partner with </w:t>
            </w:r>
            <w:r w:rsidRPr="007B1222">
              <w:rPr>
                <w:sz w:val="20"/>
                <w:szCs w:val="20"/>
              </w:rPr>
              <w:t>Aboriginal and Torres Strait Islander Controlled Workforce Organisation</w:t>
            </w:r>
            <w:r>
              <w:rPr>
                <w:sz w:val="20"/>
                <w:szCs w:val="20"/>
              </w:rPr>
              <w:t xml:space="preserve">s </w:t>
            </w:r>
            <w:r w:rsidR="00784FAA" w:rsidRPr="71315B29">
              <w:rPr>
                <w:sz w:val="20"/>
                <w:szCs w:val="20"/>
              </w:rPr>
              <w:t>working</w:t>
            </w:r>
            <w:r w:rsidR="00D91FC4" w:rsidRPr="71315B29">
              <w:rPr>
                <w:sz w:val="20"/>
                <w:szCs w:val="20"/>
              </w:rPr>
              <w:t xml:space="preserve"> </w:t>
            </w:r>
            <w:r w:rsidR="0060011F" w:rsidRPr="71315B29">
              <w:rPr>
                <w:sz w:val="20"/>
                <w:szCs w:val="20"/>
              </w:rPr>
              <w:t xml:space="preserve">to </w:t>
            </w:r>
            <w:r w:rsidR="002C5D33" w:rsidRPr="71315B29">
              <w:rPr>
                <w:sz w:val="20"/>
                <w:szCs w:val="20"/>
              </w:rPr>
              <w:t xml:space="preserve">grow the number of First Nations people within the workforce, increasing the cultural </w:t>
            </w:r>
            <w:r w:rsidR="008B73A8">
              <w:rPr>
                <w:sz w:val="20"/>
                <w:szCs w:val="20"/>
              </w:rPr>
              <w:t xml:space="preserve">safety </w:t>
            </w:r>
            <w:r w:rsidR="002C5D33" w:rsidRPr="71315B29">
              <w:rPr>
                <w:sz w:val="20"/>
                <w:szCs w:val="20"/>
              </w:rPr>
              <w:t xml:space="preserve">of the broader health </w:t>
            </w:r>
            <w:r w:rsidR="00D34CB4" w:rsidRPr="71315B29">
              <w:rPr>
                <w:sz w:val="20"/>
                <w:szCs w:val="20"/>
              </w:rPr>
              <w:t>workforce,</w:t>
            </w:r>
            <w:r w:rsidR="002C5D33" w:rsidRPr="71315B29">
              <w:rPr>
                <w:sz w:val="20"/>
                <w:szCs w:val="20"/>
              </w:rPr>
              <w:t xml:space="preserve"> </w:t>
            </w:r>
            <w:r w:rsidR="00112303" w:rsidRPr="71315B29">
              <w:rPr>
                <w:sz w:val="20"/>
                <w:szCs w:val="20"/>
              </w:rPr>
              <w:t>pathways for health work</w:t>
            </w:r>
            <w:r w:rsidR="002D52B0" w:rsidRPr="71315B29">
              <w:rPr>
                <w:sz w:val="20"/>
                <w:szCs w:val="20"/>
              </w:rPr>
              <w:t xml:space="preserve">er trainees </w:t>
            </w:r>
            <w:r w:rsidR="002C5D33" w:rsidRPr="71315B29">
              <w:rPr>
                <w:sz w:val="20"/>
                <w:szCs w:val="20"/>
              </w:rPr>
              <w:t>and supporting better care of First Nations peoples.</w:t>
            </w:r>
          </w:p>
        </w:tc>
        <w:tc>
          <w:tcPr>
            <w:tcW w:w="1329" w:type="dxa"/>
          </w:tcPr>
          <w:p w14:paraId="53FC90D1" w14:textId="13E60847" w:rsidR="001F757E" w:rsidRPr="00AF5CBE" w:rsidRDefault="001F757E" w:rsidP="001F757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sidRPr="00AF5CBE">
              <w:rPr>
                <w:rFonts w:cstheme="minorHAnsi"/>
                <w:iCs/>
                <w:color w:val="auto"/>
                <w:sz w:val="20"/>
                <w:szCs w:val="20"/>
              </w:rPr>
              <w:t xml:space="preserve">Ongoing / Medium term </w:t>
            </w:r>
          </w:p>
        </w:tc>
      </w:tr>
      <w:tr w:rsidR="00081E87" w14:paraId="5BA3CD27" w14:textId="77777777" w:rsidTr="00A01960">
        <w:trPr>
          <w:jc w:val="center"/>
        </w:trPr>
        <w:tc>
          <w:tcPr>
            <w:cnfStyle w:val="001000000000" w:firstRow="0" w:lastRow="0" w:firstColumn="1" w:lastColumn="0" w:oddVBand="0" w:evenVBand="0" w:oddHBand="0" w:evenHBand="0" w:firstRowFirstColumn="0" w:firstRowLastColumn="0" w:lastRowFirstColumn="0" w:lastRowLastColumn="0"/>
            <w:tcW w:w="3381" w:type="dxa"/>
          </w:tcPr>
          <w:p w14:paraId="0CDFA0E4" w14:textId="1FD92336" w:rsidR="003D4300" w:rsidRPr="00C85642" w:rsidRDefault="001F757E" w:rsidP="00C85642">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Support ACCHSs to connect regionally with other organisations to build partnerships and alliances that strengthen the community-controlled sector.</w:t>
            </w:r>
          </w:p>
        </w:tc>
        <w:tc>
          <w:tcPr>
            <w:tcW w:w="1268" w:type="dxa"/>
            <w:shd w:val="clear" w:color="auto" w:fill="FFC000"/>
          </w:tcPr>
          <w:p w14:paraId="7A2C0498" w14:textId="3F94DB85" w:rsidR="001F757E" w:rsidRPr="003726E4" w:rsidRDefault="001F757E" w:rsidP="001F757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iCs/>
                <w:color w:val="auto"/>
                <w:sz w:val="20"/>
                <w:szCs w:val="20"/>
              </w:rPr>
            </w:pPr>
            <w:r w:rsidRPr="001D49D2">
              <w:rPr>
                <w:rFonts w:cstheme="minorHAnsi"/>
                <w:b/>
                <w:bCs/>
                <w:iCs/>
                <w:color w:val="auto"/>
                <w:sz w:val="20"/>
                <w:szCs w:val="20"/>
              </w:rPr>
              <w:t>Partially agree</w:t>
            </w:r>
          </w:p>
        </w:tc>
        <w:tc>
          <w:tcPr>
            <w:tcW w:w="4422" w:type="dxa"/>
          </w:tcPr>
          <w:p w14:paraId="13B8816A" w14:textId="33234207" w:rsidR="00845CA2" w:rsidRDefault="00520A5D" w:rsidP="0079388C">
            <w:pPr>
              <w:spacing w:line="240" w:lineRule="auto"/>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sidRPr="00D973B1">
              <w:rPr>
                <w:rFonts w:cs="Arial"/>
                <w:color w:val="auto"/>
                <w:sz w:val="20"/>
                <w:szCs w:val="20"/>
              </w:rPr>
              <w:t>T</w:t>
            </w:r>
            <w:r w:rsidRPr="00D973B1">
              <w:rPr>
                <w:rFonts w:cs="Arial"/>
                <w:iCs/>
                <w:color w:val="auto"/>
                <w:sz w:val="20"/>
                <w:szCs w:val="20"/>
              </w:rPr>
              <w:t xml:space="preserve">he </w:t>
            </w:r>
            <w:r w:rsidR="00562148" w:rsidRPr="00727676">
              <w:rPr>
                <w:rFonts w:cs="Arial"/>
                <w:iCs/>
                <w:color w:val="auto"/>
                <w:sz w:val="20"/>
                <w:szCs w:val="20"/>
              </w:rPr>
              <w:t>department</w:t>
            </w:r>
            <w:r w:rsidRPr="00727676">
              <w:rPr>
                <w:rFonts w:cs="Arial"/>
                <w:iCs/>
                <w:color w:val="auto"/>
                <w:sz w:val="20"/>
                <w:szCs w:val="20"/>
              </w:rPr>
              <w:t xml:space="preserve"> </w:t>
            </w:r>
            <w:r w:rsidR="00003931" w:rsidRPr="004F6DEC">
              <w:rPr>
                <w:rFonts w:cstheme="minorHAnsi"/>
                <w:iCs/>
                <w:color w:val="auto"/>
                <w:sz w:val="20"/>
                <w:szCs w:val="20"/>
              </w:rPr>
              <w:t xml:space="preserve">is supportive of increased engagement between ACCHS and the </w:t>
            </w:r>
            <w:r w:rsidR="002E7CBE" w:rsidRPr="004F6DEC">
              <w:rPr>
                <w:rFonts w:cstheme="minorHAnsi"/>
                <w:iCs/>
                <w:color w:val="auto"/>
                <w:sz w:val="20"/>
                <w:szCs w:val="20"/>
              </w:rPr>
              <w:t>broader</w:t>
            </w:r>
            <w:r w:rsidR="000B4BFF" w:rsidRPr="004F6DEC">
              <w:rPr>
                <w:rFonts w:cstheme="minorHAnsi"/>
                <w:iCs/>
                <w:color w:val="auto"/>
                <w:sz w:val="20"/>
                <w:szCs w:val="20"/>
              </w:rPr>
              <w:t xml:space="preserve"> First </w:t>
            </w:r>
            <w:r w:rsidR="000160C0" w:rsidRPr="004F6DEC">
              <w:rPr>
                <w:rFonts w:cstheme="minorHAnsi"/>
                <w:iCs/>
                <w:color w:val="auto"/>
                <w:sz w:val="20"/>
                <w:szCs w:val="20"/>
              </w:rPr>
              <w:t>N</w:t>
            </w:r>
            <w:r w:rsidR="000B4BFF" w:rsidRPr="004F6DEC">
              <w:rPr>
                <w:rFonts w:cstheme="minorHAnsi"/>
                <w:iCs/>
                <w:color w:val="auto"/>
                <w:sz w:val="20"/>
                <w:szCs w:val="20"/>
              </w:rPr>
              <w:t xml:space="preserve">ations health </w:t>
            </w:r>
            <w:r w:rsidR="000160C0" w:rsidRPr="004F6DEC">
              <w:rPr>
                <w:rFonts w:cstheme="minorHAnsi"/>
                <w:iCs/>
                <w:color w:val="auto"/>
                <w:sz w:val="20"/>
                <w:szCs w:val="20"/>
              </w:rPr>
              <w:t>sector</w:t>
            </w:r>
            <w:r w:rsidR="008B73A8">
              <w:rPr>
                <w:rFonts w:cstheme="minorHAnsi"/>
                <w:iCs/>
                <w:color w:val="auto"/>
                <w:sz w:val="20"/>
                <w:szCs w:val="20"/>
              </w:rPr>
              <w:t>, noting the national remit of the department.</w:t>
            </w:r>
          </w:p>
          <w:p w14:paraId="05B93D26" w14:textId="5CE6B094" w:rsidR="009E6182" w:rsidRPr="0065582C" w:rsidRDefault="003C44F5" w:rsidP="6D76C190">
            <w:pPr>
              <w:spacing w:line="240" w:lineRule="auto"/>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sidRPr="6D76C190">
              <w:rPr>
                <w:rFonts w:cstheme="minorBidi"/>
                <w:color w:val="auto"/>
                <w:sz w:val="20"/>
                <w:szCs w:val="20"/>
              </w:rPr>
              <w:t xml:space="preserve">IAHP funding provided </w:t>
            </w:r>
            <w:r w:rsidR="00BE0E11" w:rsidRPr="6D76C190">
              <w:rPr>
                <w:rFonts w:cstheme="minorBidi"/>
                <w:color w:val="auto"/>
                <w:sz w:val="20"/>
                <w:szCs w:val="20"/>
              </w:rPr>
              <w:t>to ACCHS</w:t>
            </w:r>
            <w:r w:rsidR="61F9C09C" w:rsidRPr="6D76C190">
              <w:rPr>
                <w:rFonts w:cstheme="minorBidi"/>
                <w:color w:val="auto"/>
                <w:sz w:val="20"/>
                <w:szCs w:val="20"/>
              </w:rPr>
              <w:t xml:space="preserve"> </w:t>
            </w:r>
            <w:r w:rsidR="00C16F6C">
              <w:rPr>
                <w:rFonts w:cstheme="minorBidi"/>
                <w:color w:val="auto"/>
                <w:sz w:val="20"/>
                <w:szCs w:val="20"/>
              </w:rPr>
              <w:t>allows</w:t>
            </w:r>
            <w:r w:rsidR="00921F04" w:rsidRPr="6D76C190">
              <w:rPr>
                <w:rFonts w:cstheme="minorBidi"/>
                <w:color w:val="auto"/>
                <w:sz w:val="20"/>
                <w:szCs w:val="20"/>
              </w:rPr>
              <w:t xml:space="preserve"> flexibility</w:t>
            </w:r>
            <w:r w:rsidR="00BE0E11" w:rsidRPr="6D76C190">
              <w:rPr>
                <w:rFonts w:cstheme="minorBidi"/>
                <w:color w:val="auto"/>
                <w:sz w:val="20"/>
                <w:szCs w:val="20"/>
              </w:rPr>
              <w:t xml:space="preserve"> </w:t>
            </w:r>
            <w:r w:rsidR="008657A1" w:rsidRPr="6D76C190">
              <w:rPr>
                <w:rFonts w:cstheme="minorBidi"/>
                <w:color w:val="auto"/>
                <w:sz w:val="20"/>
                <w:szCs w:val="20"/>
              </w:rPr>
              <w:t>in the way that it is used</w:t>
            </w:r>
            <w:r w:rsidR="002665C4" w:rsidRPr="6D76C190">
              <w:rPr>
                <w:rFonts w:cstheme="minorBidi"/>
                <w:color w:val="auto"/>
                <w:sz w:val="20"/>
                <w:szCs w:val="20"/>
              </w:rPr>
              <w:t>.</w:t>
            </w:r>
            <w:r w:rsidR="008657A1" w:rsidRPr="6D76C190">
              <w:rPr>
                <w:rFonts w:cstheme="minorBidi"/>
                <w:color w:val="auto"/>
                <w:sz w:val="20"/>
                <w:szCs w:val="20"/>
              </w:rPr>
              <w:t xml:space="preserve"> </w:t>
            </w:r>
            <w:r w:rsidR="00C16F6C">
              <w:rPr>
                <w:rFonts w:cstheme="minorBidi"/>
                <w:color w:val="auto"/>
                <w:sz w:val="20"/>
                <w:szCs w:val="20"/>
              </w:rPr>
              <w:t>S</w:t>
            </w:r>
            <w:r w:rsidR="00FC4D73" w:rsidRPr="6D76C190">
              <w:rPr>
                <w:rFonts w:cstheme="minorBidi"/>
                <w:color w:val="auto"/>
                <w:sz w:val="20"/>
                <w:szCs w:val="20"/>
              </w:rPr>
              <w:t xml:space="preserve">ervices </w:t>
            </w:r>
            <w:proofErr w:type="gramStart"/>
            <w:r w:rsidR="00C16F6C">
              <w:rPr>
                <w:rFonts w:cstheme="minorBidi"/>
                <w:color w:val="auto"/>
                <w:sz w:val="20"/>
                <w:szCs w:val="20"/>
              </w:rPr>
              <w:t>are able to</w:t>
            </w:r>
            <w:proofErr w:type="gramEnd"/>
            <w:r w:rsidR="00C16F6C">
              <w:rPr>
                <w:rFonts w:cstheme="minorBidi"/>
                <w:color w:val="auto"/>
                <w:sz w:val="20"/>
                <w:szCs w:val="20"/>
              </w:rPr>
              <w:t xml:space="preserve"> determine their specific needs for </w:t>
            </w:r>
            <w:r w:rsidR="005E1DDE" w:rsidRPr="6D76C190">
              <w:rPr>
                <w:rFonts w:cstheme="minorBidi"/>
                <w:color w:val="auto"/>
                <w:sz w:val="20"/>
                <w:szCs w:val="20"/>
              </w:rPr>
              <w:t xml:space="preserve">the </w:t>
            </w:r>
            <w:r w:rsidR="005E1DDE" w:rsidRPr="6D76C190">
              <w:rPr>
                <w:rFonts w:cstheme="minorBidi"/>
                <w:color w:val="auto"/>
                <w:sz w:val="20"/>
                <w:szCs w:val="20"/>
              </w:rPr>
              <w:lastRenderedPageBreak/>
              <w:t>development of formal partnerships and alliances</w:t>
            </w:r>
            <w:r w:rsidR="00596B1C" w:rsidRPr="6D76C190">
              <w:rPr>
                <w:rFonts w:cstheme="minorBidi"/>
                <w:color w:val="auto"/>
                <w:sz w:val="20"/>
                <w:szCs w:val="20"/>
              </w:rPr>
              <w:t xml:space="preserve"> at a regional level</w:t>
            </w:r>
            <w:r w:rsidR="00955E58" w:rsidRPr="6D76C190">
              <w:rPr>
                <w:rFonts w:cstheme="minorBidi"/>
                <w:color w:val="auto"/>
                <w:sz w:val="20"/>
                <w:szCs w:val="20"/>
              </w:rPr>
              <w:t>.</w:t>
            </w:r>
            <w:r w:rsidR="000D3150" w:rsidRPr="6D76C190">
              <w:rPr>
                <w:rFonts w:cstheme="minorBidi"/>
                <w:color w:val="auto"/>
                <w:sz w:val="20"/>
                <w:szCs w:val="20"/>
              </w:rPr>
              <w:t xml:space="preserve"> </w:t>
            </w:r>
          </w:p>
        </w:tc>
        <w:tc>
          <w:tcPr>
            <w:tcW w:w="4422" w:type="dxa"/>
          </w:tcPr>
          <w:p w14:paraId="24E74A7E" w14:textId="60199C3A" w:rsidR="000F1374" w:rsidRDefault="000F1374" w:rsidP="000F1374">
            <w:pPr>
              <w:spacing w:line="240" w:lineRule="auto"/>
              <w:cnfStyle w:val="000000000000" w:firstRow="0" w:lastRow="0" w:firstColumn="0" w:lastColumn="0" w:oddVBand="0" w:evenVBand="0" w:oddHBand="0" w:evenHBand="0" w:firstRowFirstColumn="0" w:firstRowLastColumn="0" w:lastRowFirstColumn="0" w:lastRowLastColumn="0"/>
              <w:rPr>
                <w:rStyle w:val="cf01"/>
                <w:rFonts w:ascii="Arial" w:hAnsi="Arial" w:cs="Arial"/>
                <w:iCs/>
                <w:color w:val="auto"/>
                <w:sz w:val="20"/>
                <w:szCs w:val="20"/>
              </w:rPr>
            </w:pPr>
            <w:r w:rsidRPr="004F6DEC">
              <w:rPr>
                <w:rStyle w:val="cf01"/>
                <w:rFonts w:ascii="Arial" w:hAnsi="Arial" w:cs="Arial"/>
                <w:iCs/>
                <w:color w:val="auto"/>
                <w:sz w:val="20"/>
                <w:szCs w:val="20"/>
              </w:rPr>
              <w:lastRenderedPageBreak/>
              <w:t xml:space="preserve">The </w:t>
            </w:r>
            <w:r w:rsidR="00516512">
              <w:rPr>
                <w:rStyle w:val="cf01"/>
                <w:rFonts w:ascii="Arial" w:hAnsi="Arial" w:cs="Arial"/>
                <w:iCs/>
                <w:color w:val="auto"/>
                <w:sz w:val="20"/>
                <w:szCs w:val="20"/>
              </w:rPr>
              <w:t>department</w:t>
            </w:r>
            <w:r w:rsidRPr="004F6DEC">
              <w:rPr>
                <w:rStyle w:val="cf01"/>
                <w:rFonts w:ascii="Arial" w:hAnsi="Arial" w:cs="Arial"/>
                <w:iCs/>
                <w:color w:val="auto"/>
                <w:sz w:val="20"/>
                <w:szCs w:val="20"/>
              </w:rPr>
              <w:t xml:space="preserve"> is currently </w:t>
            </w:r>
            <w:r w:rsidR="003157DD">
              <w:rPr>
                <w:rStyle w:val="cf01"/>
                <w:rFonts w:ascii="Arial" w:hAnsi="Arial" w:cs="Arial"/>
                <w:iCs/>
                <w:color w:val="auto"/>
                <w:sz w:val="20"/>
                <w:szCs w:val="20"/>
              </w:rPr>
              <w:t>r</w:t>
            </w:r>
            <w:r w:rsidR="003157DD" w:rsidRPr="00A31622">
              <w:rPr>
                <w:rStyle w:val="cf01"/>
                <w:rFonts w:ascii="Arial" w:hAnsi="Arial" w:cs="Arial"/>
                <w:color w:val="auto"/>
                <w:sz w:val="20"/>
                <w:szCs w:val="20"/>
              </w:rPr>
              <w:t xml:space="preserve">eviewing </w:t>
            </w:r>
            <w:r w:rsidR="001A32A5" w:rsidRPr="00A31622">
              <w:rPr>
                <w:rStyle w:val="cf01"/>
                <w:rFonts w:ascii="Arial" w:hAnsi="Arial" w:cs="Arial"/>
                <w:color w:val="auto"/>
                <w:sz w:val="20"/>
                <w:szCs w:val="20"/>
              </w:rPr>
              <w:t xml:space="preserve">mechanisms to </w:t>
            </w:r>
            <w:r w:rsidR="008F6BC3" w:rsidRPr="00A31622">
              <w:rPr>
                <w:rStyle w:val="cf01"/>
                <w:rFonts w:ascii="Arial" w:hAnsi="Arial" w:cs="Arial"/>
                <w:color w:val="auto"/>
                <w:sz w:val="20"/>
                <w:szCs w:val="20"/>
              </w:rPr>
              <w:t>partner with</w:t>
            </w:r>
            <w:r w:rsidR="0034052D" w:rsidRPr="00A31622">
              <w:rPr>
                <w:rStyle w:val="cf01"/>
                <w:rFonts w:ascii="Arial" w:hAnsi="Arial" w:cs="Arial"/>
                <w:color w:val="auto"/>
                <w:sz w:val="20"/>
                <w:szCs w:val="20"/>
              </w:rPr>
              <w:t xml:space="preserve"> </w:t>
            </w:r>
            <w:r w:rsidR="008F6BC3" w:rsidRPr="00A31622">
              <w:rPr>
                <w:rStyle w:val="cf01"/>
                <w:rFonts w:ascii="Arial" w:hAnsi="Arial" w:cs="Arial"/>
                <w:color w:val="auto"/>
                <w:sz w:val="20"/>
                <w:szCs w:val="20"/>
              </w:rPr>
              <w:t xml:space="preserve">First Nations </w:t>
            </w:r>
            <w:r w:rsidR="00686583" w:rsidRPr="00A31622">
              <w:rPr>
                <w:rStyle w:val="cf01"/>
                <w:rFonts w:ascii="Arial" w:hAnsi="Arial" w:cs="Arial"/>
                <w:color w:val="auto"/>
                <w:sz w:val="20"/>
                <w:szCs w:val="20"/>
              </w:rPr>
              <w:t xml:space="preserve">health </w:t>
            </w:r>
            <w:r w:rsidR="00914A0F" w:rsidRPr="00A31622">
              <w:rPr>
                <w:rStyle w:val="cf01"/>
                <w:rFonts w:ascii="Arial" w:hAnsi="Arial" w:cs="Arial"/>
                <w:color w:val="auto"/>
                <w:sz w:val="20"/>
                <w:szCs w:val="20"/>
              </w:rPr>
              <w:t>sector representatives to enable</w:t>
            </w:r>
            <w:r w:rsidRPr="004F6DEC">
              <w:rPr>
                <w:rStyle w:val="cf01"/>
                <w:rFonts w:ascii="Arial" w:hAnsi="Arial" w:cs="Arial"/>
                <w:iCs/>
                <w:color w:val="auto"/>
                <w:sz w:val="20"/>
                <w:szCs w:val="20"/>
              </w:rPr>
              <w:t xml:space="preserve"> jurisdictional and regional perspectives to be elevated to national policies and programs.</w:t>
            </w:r>
          </w:p>
          <w:p w14:paraId="00EB42A4" w14:textId="77777777" w:rsidR="003741AB" w:rsidRDefault="00516512" w:rsidP="6D76C190">
            <w:pPr>
              <w:spacing w:line="240" w:lineRule="auto"/>
              <w:cnfStyle w:val="000000000000" w:firstRow="0" w:lastRow="0" w:firstColumn="0" w:lastColumn="0" w:oddVBand="0" w:evenVBand="0" w:oddHBand="0" w:evenHBand="0" w:firstRowFirstColumn="0" w:firstRowLastColumn="0" w:lastRowFirstColumn="0" w:lastRowLastColumn="0"/>
              <w:rPr>
                <w:rStyle w:val="cf01"/>
                <w:rFonts w:ascii="Arial" w:hAnsi="Arial" w:cs="Arial"/>
                <w:color w:val="auto"/>
                <w:sz w:val="20"/>
                <w:szCs w:val="20"/>
              </w:rPr>
            </w:pPr>
            <w:r>
              <w:rPr>
                <w:rStyle w:val="cf01"/>
                <w:rFonts w:ascii="Arial" w:hAnsi="Arial" w:cs="Arial"/>
                <w:color w:val="auto"/>
                <w:sz w:val="20"/>
                <w:szCs w:val="20"/>
              </w:rPr>
              <w:t xml:space="preserve">Some </w:t>
            </w:r>
            <w:r w:rsidR="00524319" w:rsidRPr="6D76C190">
              <w:rPr>
                <w:rStyle w:val="cf01"/>
                <w:rFonts w:ascii="Arial" w:hAnsi="Arial" w:cs="Arial"/>
                <w:color w:val="auto"/>
                <w:sz w:val="20"/>
                <w:szCs w:val="20"/>
              </w:rPr>
              <w:t xml:space="preserve">IAHP initiatives </w:t>
            </w:r>
            <w:r w:rsidR="00A24AA8">
              <w:rPr>
                <w:rStyle w:val="cf01"/>
                <w:rFonts w:ascii="Arial" w:hAnsi="Arial" w:cs="Arial"/>
                <w:color w:val="auto"/>
                <w:sz w:val="20"/>
                <w:szCs w:val="20"/>
              </w:rPr>
              <w:t>s</w:t>
            </w:r>
            <w:r w:rsidR="00A24AA8">
              <w:rPr>
                <w:rStyle w:val="cf01"/>
                <w:rFonts w:ascii="Arial" w:hAnsi="Arial" w:cs="Arial"/>
              </w:rPr>
              <w:t>uch as the</w:t>
            </w:r>
            <w:r w:rsidR="00A24AA8" w:rsidRPr="6D76C190">
              <w:rPr>
                <w:rStyle w:val="cf01"/>
                <w:rFonts w:ascii="Arial" w:hAnsi="Arial" w:cs="Arial"/>
                <w:color w:val="auto"/>
                <w:sz w:val="22"/>
                <w:szCs w:val="22"/>
              </w:rPr>
              <w:t xml:space="preserve"> I</w:t>
            </w:r>
            <w:r w:rsidR="00A24AA8" w:rsidRPr="6D76C190">
              <w:rPr>
                <w:rStyle w:val="cf01"/>
                <w:rFonts w:ascii="Arial" w:hAnsi="Arial"/>
                <w:sz w:val="20"/>
                <w:szCs w:val="20"/>
              </w:rPr>
              <w:t xml:space="preserve">ntegrated Team Care </w:t>
            </w:r>
            <w:r w:rsidR="00A24AA8" w:rsidRPr="6D76C190">
              <w:rPr>
                <w:rStyle w:val="cf01"/>
                <w:rFonts w:ascii="Arial" w:hAnsi="Arial"/>
              </w:rPr>
              <w:t>(</w:t>
            </w:r>
            <w:r w:rsidR="00A24AA8" w:rsidRPr="6D76C190">
              <w:rPr>
                <w:rStyle w:val="cf01"/>
                <w:rFonts w:ascii="Arial" w:hAnsi="Arial" w:cs="Arial"/>
                <w:color w:val="auto"/>
                <w:sz w:val="20"/>
                <w:szCs w:val="20"/>
              </w:rPr>
              <w:t>ITC) program</w:t>
            </w:r>
            <w:r w:rsidR="00A24AA8">
              <w:rPr>
                <w:rStyle w:val="cf01"/>
                <w:rFonts w:ascii="Arial" w:hAnsi="Arial" w:cs="Arial"/>
              </w:rPr>
              <w:t xml:space="preserve"> </w:t>
            </w:r>
            <w:r w:rsidR="009C2144" w:rsidRPr="6D76C190">
              <w:rPr>
                <w:rStyle w:val="cf01"/>
                <w:rFonts w:ascii="Arial" w:hAnsi="Arial" w:cs="Arial"/>
                <w:color w:val="auto"/>
                <w:sz w:val="20"/>
                <w:szCs w:val="20"/>
              </w:rPr>
              <w:t xml:space="preserve">managed by the </w:t>
            </w:r>
            <w:r w:rsidR="00D85946" w:rsidRPr="6D76C190">
              <w:rPr>
                <w:rStyle w:val="cf01"/>
                <w:rFonts w:ascii="Arial" w:hAnsi="Arial" w:cs="Arial"/>
                <w:color w:val="auto"/>
                <w:sz w:val="20"/>
                <w:szCs w:val="20"/>
              </w:rPr>
              <w:lastRenderedPageBreak/>
              <w:t xml:space="preserve">department </w:t>
            </w:r>
            <w:r w:rsidR="00A24AA8">
              <w:rPr>
                <w:rStyle w:val="cf01"/>
                <w:rFonts w:ascii="Arial" w:hAnsi="Arial" w:cs="Arial"/>
                <w:color w:val="auto"/>
                <w:sz w:val="20"/>
                <w:szCs w:val="20"/>
              </w:rPr>
              <w:t>e</w:t>
            </w:r>
            <w:r w:rsidR="00A24AA8">
              <w:rPr>
                <w:rStyle w:val="cf01"/>
                <w:rFonts w:ascii="Arial" w:hAnsi="Arial" w:cs="Arial"/>
              </w:rPr>
              <w:t>nable</w:t>
            </w:r>
            <w:r w:rsidR="00975AF3" w:rsidRPr="6D76C190">
              <w:rPr>
                <w:rStyle w:val="cf01"/>
                <w:rFonts w:ascii="Arial" w:hAnsi="Arial" w:cs="Arial"/>
                <w:color w:val="auto"/>
                <w:sz w:val="20"/>
                <w:szCs w:val="20"/>
              </w:rPr>
              <w:t xml:space="preserve"> </w:t>
            </w:r>
            <w:r w:rsidR="002A44FD" w:rsidRPr="6D76C190">
              <w:rPr>
                <w:rStyle w:val="cf01"/>
                <w:rFonts w:ascii="Arial" w:hAnsi="Arial" w:cs="Arial"/>
                <w:color w:val="auto"/>
                <w:sz w:val="20"/>
                <w:szCs w:val="20"/>
              </w:rPr>
              <w:t xml:space="preserve">partnerships between </w:t>
            </w:r>
            <w:r w:rsidR="00D65CA4" w:rsidRPr="6D76C190">
              <w:rPr>
                <w:rStyle w:val="cf01"/>
                <w:rFonts w:ascii="Arial" w:hAnsi="Arial" w:cs="Arial"/>
                <w:color w:val="auto"/>
                <w:sz w:val="20"/>
                <w:szCs w:val="20"/>
              </w:rPr>
              <w:t>community</w:t>
            </w:r>
            <w:r w:rsidR="00C4148D" w:rsidRPr="6D76C190">
              <w:rPr>
                <w:rStyle w:val="cf01"/>
                <w:rFonts w:ascii="Arial" w:hAnsi="Arial" w:cs="Arial"/>
                <w:color w:val="auto"/>
                <w:sz w:val="20"/>
                <w:szCs w:val="20"/>
              </w:rPr>
              <w:t>-</w:t>
            </w:r>
            <w:r w:rsidR="00D65CA4" w:rsidRPr="6D76C190">
              <w:rPr>
                <w:rStyle w:val="cf01"/>
                <w:rFonts w:ascii="Arial" w:hAnsi="Arial" w:cs="Arial"/>
                <w:color w:val="auto"/>
                <w:sz w:val="20"/>
                <w:szCs w:val="20"/>
              </w:rPr>
              <w:t>controlled services</w:t>
            </w:r>
            <w:r>
              <w:rPr>
                <w:rStyle w:val="cf01"/>
                <w:rFonts w:ascii="Arial" w:hAnsi="Arial" w:cs="Arial"/>
                <w:color w:val="auto"/>
                <w:sz w:val="20"/>
                <w:szCs w:val="20"/>
              </w:rPr>
              <w:t>.</w:t>
            </w:r>
            <w:r w:rsidR="00A31622">
              <w:rPr>
                <w:rStyle w:val="cf01"/>
                <w:rFonts w:ascii="Arial" w:hAnsi="Arial" w:cs="Arial"/>
                <w:color w:val="auto"/>
                <w:sz w:val="20"/>
                <w:szCs w:val="20"/>
              </w:rPr>
              <w:t xml:space="preserve"> </w:t>
            </w:r>
          </w:p>
          <w:p w14:paraId="2E6B8D15" w14:textId="5A09EC67" w:rsidR="00363377" w:rsidRPr="00FE418C" w:rsidRDefault="00363377" w:rsidP="6D76C190">
            <w:pPr>
              <w:spacing w:line="240" w:lineRule="auto"/>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63377">
              <w:rPr>
                <w:rFonts w:cs="Arial"/>
                <w:color w:val="auto"/>
                <w:sz w:val="20"/>
                <w:szCs w:val="20"/>
              </w:rPr>
              <w:t>Through the National Funding Agreement (NFA) with NACCHO, the department supports the ACCHS sector to build their capability and capacity. This allows them to sit on committees/working groups and provide jurisdictional leadership to facilitate engagement with the broader ACCH sector to progress implementation of whole of health system reforms.</w:t>
            </w:r>
          </w:p>
        </w:tc>
        <w:tc>
          <w:tcPr>
            <w:tcW w:w="1329" w:type="dxa"/>
          </w:tcPr>
          <w:p w14:paraId="6F1033E5" w14:textId="02615FE0" w:rsidR="001F757E" w:rsidRDefault="001F757E" w:rsidP="001F757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Pr>
                <w:rFonts w:cstheme="minorHAnsi"/>
                <w:iCs/>
                <w:color w:val="auto"/>
                <w:sz w:val="20"/>
                <w:szCs w:val="20"/>
              </w:rPr>
              <w:lastRenderedPageBreak/>
              <w:t>Ongoing</w:t>
            </w:r>
          </w:p>
        </w:tc>
      </w:tr>
      <w:tr w:rsidR="00081E87" w14:paraId="1B63241C" w14:textId="77777777" w:rsidTr="00A0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1" w:type="dxa"/>
          </w:tcPr>
          <w:p w14:paraId="3C7C97A5" w14:textId="44AE4163" w:rsidR="001E069C" w:rsidRPr="00625D8F" w:rsidRDefault="001F757E" w:rsidP="00625D8F">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Increase the flexibility and coherency of funding, including through the IAHP, to support the delivery of comprehensive PHC to Aboriginal and Torres Strait Islander people and communities.</w:t>
            </w:r>
          </w:p>
        </w:tc>
        <w:tc>
          <w:tcPr>
            <w:tcW w:w="1268" w:type="dxa"/>
            <w:shd w:val="clear" w:color="auto" w:fill="FFC000"/>
          </w:tcPr>
          <w:p w14:paraId="12D275E7" w14:textId="66943F42" w:rsidR="001F757E" w:rsidRPr="003726E4" w:rsidRDefault="001F757E" w:rsidP="001F757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Cs/>
                <w:color w:val="auto"/>
                <w:sz w:val="20"/>
                <w:szCs w:val="20"/>
              </w:rPr>
            </w:pPr>
            <w:r w:rsidRPr="001D49D2">
              <w:rPr>
                <w:rFonts w:cstheme="minorHAnsi"/>
                <w:b/>
                <w:bCs/>
                <w:iCs/>
                <w:color w:val="auto"/>
                <w:sz w:val="20"/>
                <w:szCs w:val="20"/>
              </w:rPr>
              <w:t>Partially agree</w:t>
            </w:r>
          </w:p>
        </w:tc>
        <w:tc>
          <w:tcPr>
            <w:tcW w:w="4422" w:type="dxa"/>
          </w:tcPr>
          <w:p w14:paraId="57ABE613" w14:textId="7501BE98" w:rsidR="00BB0A4F" w:rsidRDefault="00BB0A4F" w:rsidP="001F757E">
            <w:pPr>
              <w:spacing w:line="240" w:lineRule="auto"/>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Pr>
                <w:rFonts w:cstheme="minorHAnsi"/>
                <w:iCs/>
                <w:color w:val="auto"/>
                <w:sz w:val="20"/>
                <w:szCs w:val="20"/>
              </w:rPr>
              <w:t>T</w:t>
            </w:r>
            <w:r w:rsidRPr="00BB0A4F">
              <w:rPr>
                <w:rFonts w:cstheme="minorHAnsi"/>
                <w:iCs/>
                <w:color w:val="auto"/>
                <w:sz w:val="20"/>
                <w:szCs w:val="20"/>
              </w:rPr>
              <w:t xml:space="preserve">he current funding provided by the IAHP for </w:t>
            </w:r>
            <w:proofErr w:type="spellStart"/>
            <w:r w:rsidRPr="00BB0A4F">
              <w:rPr>
                <w:rFonts w:cstheme="minorHAnsi"/>
                <w:iCs/>
                <w:color w:val="auto"/>
                <w:sz w:val="20"/>
                <w:szCs w:val="20"/>
              </w:rPr>
              <w:t>cPHC</w:t>
            </w:r>
            <w:proofErr w:type="spellEnd"/>
            <w:r w:rsidRPr="00BB0A4F">
              <w:rPr>
                <w:rFonts w:cstheme="minorHAnsi"/>
                <w:iCs/>
                <w:color w:val="auto"/>
                <w:sz w:val="20"/>
                <w:szCs w:val="20"/>
              </w:rPr>
              <w:t xml:space="preserve"> is flexible and able to be utilised by each service in a way that enables them to allocate as needed to deliver services and support staff.</w:t>
            </w:r>
          </w:p>
          <w:p w14:paraId="253C9E1E" w14:textId="6BA9443E" w:rsidR="001F757E" w:rsidRDefault="001F757E" w:rsidP="001F757E">
            <w:pPr>
              <w:spacing w:line="240" w:lineRule="auto"/>
              <w:cnfStyle w:val="000000100000" w:firstRow="0" w:lastRow="0" w:firstColumn="0" w:lastColumn="0" w:oddVBand="0" w:evenVBand="0" w:oddHBand="1" w:evenHBand="0" w:firstRowFirstColumn="0" w:firstRowLastColumn="0" w:lastRowFirstColumn="0" w:lastRowLastColumn="0"/>
              <w:rPr>
                <w:rStyle w:val="Hyperlink"/>
                <w:rFonts w:cstheme="minorHAnsi"/>
                <w:i/>
                <w:sz w:val="20"/>
                <w:szCs w:val="20"/>
              </w:rPr>
            </w:pPr>
            <w:r w:rsidRPr="001F757E">
              <w:rPr>
                <w:rFonts w:cstheme="minorHAnsi"/>
                <w:iCs/>
                <w:color w:val="auto"/>
                <w:sz w:val="20"/>
                <w:szCs w:val="20"/>
              </w:rPr>
              <w:t xml:space="preserve">The department notes that work is underway in </w:t>
            </w:r>
            <w:r w:rsidR="00BB0A4F">
              <w:rPr>
                <w:rFonts w:cstheme="minorHAnsi"/>
                <w:iCs/>
                <w:color w:val="auto"/>
                <w:sz w:val="20"/>
                <w:szCs w:val="20"/>
              </w:rPr>
              <w:t xml:space="preserve">partnership with </w:t>
            </w:r>
            <w:r w:rsidRPr="001F757E">
              <w:rPr>
                <w:rFonts w:cstheme="minorHAnsi"/>
                <w:iCs/>
                <w:color w:val="auto"/>
                <w:sz w:val="20"/>
                <w:szCs w:val="20"/>
              </w:rPr>
              <w:t xml:space="preserve">NACCHO to develop the </w:t>
            </w:r>
            <w:hyperlink r:id="rId26" w:history="1">
              <w:r w:rsidRPr="00A26D4C">
                <w:rPr>
                  <w:rStyle w:val="Hyperlink"/>
                  <w:rFonts w:cstheme="minorHAnsi"/>
                  <w:i/>
                  <w:sz w:val="20"/>
                  <w:szCs w:val="20"/>
                </w:rPr>
                <w:t>Core Services and Outcomes Framework</w:t>
              </w:r>
              <w:r w:rsidR="00B91F67" w:rsidRPr="00A26D4C">
                <w:rPr>
                  <w:rStyle w:val="Hyperlink"/>
                  <w:rFonts w:cstheme="minorHAnsi"/>
                  <w:i/>
                  <w:sz w:val="20"/>
                  <w:szCs w:val="20"/>
                </w:rPr>
                <w:t>.</w:t>
              </w:r>
            </w:hyperlink>
          </w:p>
          <w:p w14:paraId="15C8D1FB" w14:textId="3D4B893F" w:rsidR="00BB0A4F" w:rsidRDefault="002E4A43" w:rsidP="001F757E">
            <w:pPr>
              <w:spacing w:line="240" w:lineRule="auto"/>
              <w:cnfStyle w:val="000000100000" w:firstRow="0" w:lastRow="0" w:firstColumn="0" w:lastColumn="0" w:oddVBand="0" w:evenVBand="0" w:oddHBand="1" w:evenHBand="0" w:firstRowFirstColumn="0" w:firstRowLastColumn="0" w:lastRowFirstColumn="0" w:lastRowLastColumn="0"/>
              <w:rPr>
                <w:rStyle w:val="Hyperlink"/>
                <w:rFonts w:cstheme="minorHAnsi"/>
                <w:i/>
              </w:rPr>
            </w:pPr>
            <w:r w:rsidRPr="002E4A43">
              <w:rPr>
                <w:color w:val="auto"/>
                <w:sz w:val="20"/>
                <w:szCs w:val="20"/>
              </w:rPr>
              <w:t>As per recommendation 3</w:t>
            </w:r>
            <w:r>
              <w:rPr>
                <w:color w:val="auto"/>
                <w:sz w:val="20"/>
                <w:szCs w:val="20"/>
              </w:rPr>
              <w:t xml:space="preserve">, </w:t>
            </w:r>
            <w:r w:rsidR="007B29A3">
              <w:rPr>
                <w:color w:val="auto"/>
                <w:sz w:val="20"/>
                <w:szCs w:val="20"/>
              </w:rPr>
              <w:t xml:space="preserve">the </w:t>
            </w:r>
            <w:r w:rsidR="00283C99">
              <w:rPr>
                <w:color w:val="auto"/>
                <w:sz w:val="20"/>
                <w:szCs w:val="20"/>
              </w:rPr>
              <w:t xml:space="preserve">department </w:t>
            </w:r>
            <w:r w:rsidR="00BB0A4F">
              <w:rPr>
                <w:color w:val="auto"/>
                <w:sz w:val="20"/>
                <w:szCs w:val="20"/>
              </w:rPr>
              <w:t>is also co-designing</w:t>
            </w:r>
            <w:r w:rsidR="00283C99">
              <w:rPr>
                <w:color w:val="auto"/>
                <w:sz w:val="20"/>
                <w:szCs w:val="20"/>
              </w:rPr>
              <w:t xml:space="preserve"> a framework </w:t>
            </w:r>
            <w:r w:rsidR="00EF67C6">
              <w:rPr>
                <w:color w:val="auto"/>
                <w:sz w:val="20"/>
                <w:szCs w:val="20"/>
              </w:rPr>
              <w:t xml:space="preserve">to guide </w:t>
            </w:r>
            <w:r w:rsidR="00BB0A4F">
              <w:rPr>
                <w:color w:val="auto"/>
                <w:sz w:val="20"/>
                <w:szCs w:val="20"/>
              </w:rPr>
              <w:t xml:space="preserve">IAHP investment </w:t>
            </w:r>
            <w:r w:rsidR="00EF67C6">
              <w:rPr>
                <w:color w:val="auto"/>
                <w:sz w:val="20"/>
                <w:szCs w:val="20"/>
              </w:rPr>
              <w:t>decisions.</w:t>
            </w:r>
          </w:p>
          <w:p w14:paraId="2F01D40B" w14:textId="39338193" w:rsidR="001F757E" w:rsidRPr="00625D8F" w:rsidRDefault="00BB0A4F" w:rsidP="00777E15">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63377">
              <w:rPr>
                <w:rStyle w:val="Hyperlink"/>
                <w:iCs/>
                <w:color w:val="auto"/>
                <w:sz w:val="20"/>
                <w:szCs w:val="20"/>
                <w:u w:val="none"/>
              </w:rPr>
              <w:t xml:space="preserve">Noting that ultimate approval of policy and funding are a decision of government. </w:t>
            </w:r>
          </w:p>
        </w:tc>
        <w:tc>
          <w:tcPr>
            <w:tcW w:w="4422" w:type="dxa"/>
          </w:tcPr>
          <w:p w14:paraId="54F2D006" w14:textId="77777777" w:rsidR="00EC23DF" w:rsidRDefault="00B91F67" w:rsidP="001F757E">
            <w:pPr>
              <w:spacing w:line="240" w:lineRule="auto"/>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Pr>
                <w:rFonts w:cstheme="minorHAnsi"/>
                <w:iCs/>
                <w:color w:val="auto"/>
                <w:sz w:val="20"/>
                <w:szCs w:val="20"/>
              </w:rPr>
              <w:t>The NACCHO</w:t>
            </w:r>
            <w:r w:rsidR="002D4DF3">
              <w:rPr>
                <w:rFonts w:cstheme="minorHAnsi"/>
                <w:iCs/>
                <w:color w:val="auto"/>
                <w:sz w:val="20"/>
                <w:szCs w:val="20"/>
              </w:rPr>
              <w:t xml:space="preserve"> </w:t>
            </w:r>
            <w:hyperlink r:id="rId27" w:history="1">
              <w:r w:rsidRPr="00A26D4C">
                <w:rPr>
                  <w:rStyle w:val="Hyperlink"/>
                  <w:rFonts w:cstheme="minorHAnsi"/>
                  <w:i/>
                  <w:sz w:val="20"/>
                  <w:szCs w:val="20"/>
                </w:rPr>
                <w:t>Core Services and Outcomes Framework</w:t>
              </w:r>
            </w:hyperlink>
            <w:r w:rsidRPr="001F757E">
              <w:rPr>
                <w:rFonts w:cstheme="minorHAnsi"/>
                <w:iCs/>
                <w:color w:val="auto"/>
                <w:sz w:val="20"/>
                <w:szCs w:val="20"/>
              </w:rPr>
              <w:t xml:space="preserve"> seeks to provide a needs-based funding model that reflects the range of services that ACCHS deliver. This work is consistent with recommendations from the </w:t>
            </w:r>
            <w:hyperlink r:id="rId28" w:history="1">
              <w:r w:rsidRPr="00FB7792">
                <w:rPr>
                  <w:rStyle w:val="Hyperlink"/>
                  <w:rFonts w:cstheme="minorHAnsi"/>
                  <w:i/>
                  <w:sz w:val="20"/>
                  <w:szCs w:val="20"/>
                </w:rPr>
                <w:t>Health Sector Strengthening Plan</w:t>
              </w:r>
            </w:hyperlink>
            <w:r w:rsidRPr="001F757E">
              <w:rPr>
                <w:rFonts w:cstheme="minorHAnsi"/>
                <w:iCs/>
                <w:color w:val="auto"/>
                <w:sz w:val="20"/>
                <w:szCs w:val="20"/>
              </w:rPr>
              <w:t xml:space="preserve">. Longer term IAHP PHC funding arrangements aim to facilitate the transition to the </w:t>
            </w:r>
            <w:hyperlink r:id="rId29" w:history="1">
              <w:r w:rsidRPr="00A26D4C">
                <w:rPr>
                  <w:rStyle w:val="Hyperlink"/>
                  <w:rFonts w:cstheme="minorHAnsi"/>
                  <w:i/>
                  <w:sz w:val="20"/>
                  <w:szCs w:val="20"/>
                </w:rPr>
                <w:t>Core Services and Outcomes Framework</w:t>
              </w:r>
            </w:hyperlink>
            <w:r w:rsidRPr="001F757E">
              <w:rPr>
                <w:rFonts w:cstheme="minorHAnsi"/>
                <w:iCs/>
                <w:color w:val="auto"/>
                <w:sz w:val="20"/>
                <w:szCs w:val="20"/>
              </w:rPr>
              <w:t xml:space="preserve">.  </w:t>
            </w:r>
          </w:p>
          <w:p w14:paraId="74307B84" w14:textId="0F67D55B" w:rsidR="00EF67C6" w:rsidRPr="001F757E" w:rsidRDefault="00EF67C6" w:rsidP="001F757E">
            <w:pPr>
              <w:spacing w:line="240" w:lineRule="auto"/>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Pr>
                <w:rFonts w:cstheme="minorHAnsi"/>
                <w:iCs/>
                <w:color w:val="auto"/>
                <w:sz w:val="20"/>
                <w:szCs w:val="20"/>
              </w:rPr>
              <w:t xml:space="preserve">The co-designed </w:t>
            </w:r>
            <w:r w:rsidR="007B2DD6">
              <w:rPr>
                <w:rFonts w:cstheme="minorHAnsi"/>
                <w:iCs/>
                <w:color w:val="auto"/>
                <w:sz w:val="20"/>
                <w:szCs w:val="20"/>
              </w:rPr>
              <w:t xml:space="preserve">investment framework will </w:t>
            </w:r>
            <w:r w:rsidR="00BB0A4F">
              <w:rPr>
                <w:rFonts w:cstheme="minorHAnsi"/>
                <w:iCs/>
                <w:color w:val="auto"/>
                <w:sz w:val="20"/>
                <w:szCs w:val="20"/>
              </w:rPr>
              <w:t xml:space="preserve">further </w:t>
            </w:r>
            <w:r w:rsidR="008C51A9">
              <w:rPr>
                <w:rFonts w:cstheme="minorHAnsi"/>
                <w:iCs/>
                <w:color w:val="auto"/>
                <w:sz w:val="20"/>
                <w:szCs w:val="20"/>
              </w:rPr>
              <w:t xml:space="preserve">facilitate </w:t>
            </w:r>
            <w:r w:rsidR="00BB0A4F">
              <w:rPr>
                <w:rFonts w:cstheme="minorHAnsi"/>
                <w:iCs/>
                <w:color w:val="auto"/>
                <w:sz w:val="20"/>
                <w:szCs w:val="20"/>
              </w:rPr>
              <w:t>increased</w:t>
            </w:r>
            <w:r w:rsidR="008C51A9">
              <w:rPr>
                <w:rFonts w:cstheme="minorHAnsi"/>
                <w:iCs/>
                <w:color w:val="auto"/>
                <w:sz w:val="20"/>
                <w:szCs w:val="20"/>
              </w:rPr>
              <w:t xml:space="preserve"> flexibility and coherency of funding </w:t>
            </w:r>
            <w:r w:rsidR="0086401E">
              <w:rPr>
                <w:rFonts w:cstheme="minorHAnsi"/>
                <w:iCs/>
                <w:color w:val="auto"/>
                <w:sz w:val="20"/>
                <w:szCs w:val="20"/>
              </w:rPr>
              <w:t>decisions under the IAHP.</w:t>
            </w:r>
          </w:p>
        </w:tc>
        <w:tc>
          <w:tcPr>
            <w:tcW w:w="1329" w:type="dxa"/>
          </w:tcPr>
          <w:p w14:paraId="02FF68C6" w14:textId="321EB111" w:rsidR="001F757E" w:rsidRPr="001F757E" w:rsidRDefault="001F757E" w:rsidP="001F757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sidRPr="001F757E">
              <w:rPr>
                <w:rFonts w:cstheme="minorHAnsi"/>
                <w:color w:val="auto"/>
                <w:sz w:val="20"/>
                <w:szCs w:val="20"/>
              </w:rPr>
              <w:t>Ongoing / Medium term</w:t>
            </w:r>
          </w:p>
        </w:tc>
      </w:tr>
      <w:tr w:rsidR="00081E87" w14:paraId="66EB37E4" w14:textId="77777777" w:rsidTr="00A01960">
        <w:trPr>
          <w:jc w:val="center"/>
        </w:trPr>
        <w:tc>
          <w:tcPr>
            <w:cnfStyle w:val="001000000000" w:firstRow="0" w:lastRow="0" w:firstColumn="1" w:lastColumn="0" w:oddVBand="0" w:evenVBand="0" w:oddHBand="0" w:evenHBand="0" w:firstRowFirstColumn="0" w:firstRowLastColumn="0" w:lastRowFirstColumn="0" w:lastRowLastColumn="0"/>
            <w:tcW w:w="3381" w:type="dxa"/>
          </w:tcPr>
          <w:p w14:paraId="2AAB69BB" w14:textId="0DE454C9" w:rsidR="00EA2769" w:rsidRPr="005A025F" w:rsidRDefault="00B76B1D" w:rsidP="005A025F">
            <w:pPr>
              <w:pStyle w:val="ListParagraph"/>
              <w:numPr>
                <w:ilvl w:val="0"/>
                <w:numId w:val="31"/>
              </w:numPr>
              <w:spacing w:before="60" w:after="60" w:line="240" w:lineRule="auto"/>
              <w:ind w:left="314"/>
              <w:rPr>
                <w:rFonts w:eastAsia="Arial"/>
                <w:sz w:val="20"/>
                <w:szCs w:val="20"/>
              </w:rPr>
            </w:pPr>
            <w:r w:rsidRPr="71315B29">
              <w:rPr>
                <w:rFonts w:eastAsia="Arial"/>
                <w:sz w:val="20"/>
                <w:szCs w:val="20"/>
              </w:rPr>
              <w:t>Support partnerships between mainstream health organisations and Aboriginal and Torres Strait Islander people to improve the delivery of culturally safe and responsive services across the health system.</w:t>
            </w:r>
          </w:p>
        </w:tc>
        <w:tc>
          <w:tcPr>
            <w:tcW w:w="1268" w:type="dxa"/>
            <w:shd w:val="clear" w:color="auto" w:fill="FFC000"/>
          </w:tcPr>
          <w:p w14:paraId="0D03F92A" w14:textId="2F99F668" w:rsidR="00B76B1D" w:rsidRPr="00E271CF" w:rsidRDefault="001F757E" w:rsidP="00E271CF">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Bidi"/>
                <w:b/>
                <w:bCs/>
                <w:color w:val="auto"/>
                <w:sz w:val="20"/>
                <w:szCs w:val="20"/>
              </w:rPr>
            </w:pPr>
            <w:r>
              <w:rPr>
                <w:rFonts w:cstheme="minorHAnsi"/>
                <w:b/>
                <w:bCs/>
                <w:iCs/>
                <w:color w:val="auto"/>
                <w:sz w:val="20"/>
                <w:szCs w:val="20"/>
              </w:rPr>
              <w:t>Partially agree</w:t>
            </w:r>
          </w:p>
        </w:tc>
        <w:tc>
          <w:tcPr>
            <w:tcW w:w="4422" w:type="dxa"/>
          </w:tcPr>
          <w:p w14:paraId="19D5CA96" w14:textId="01A2A1C1" w:rsidR="008D54CB" w:rsidRPr="001F757E" w:rsidRDefault="00D24615" w:rsidP="00B302E6">
            <w:pPr>
              <w:spacing w:line="240" w:lineRule="auto"/>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sidRPr="004F6DEC">
              <w:rPr>
                <w:rFonts w:eastAsia="Arial" w:cs="Arial"/>
                <w:color w:val="auto"/>
                <w:sz w:val="20"/>
                <w:szCs w:val="20"/>
              </w:rPr>
              <w:t>The department acknowledges that an appropriately skilled,</w:t>
            </w:r>
            <w:r w:rsidR="008D54CB">
              <w:rPr>
                <w:rFonts w:eastAsia="Arial" w:cs="Arial"/>
                <w:color w:val="auto"/>
                <w:sz w:val="20"/>
                <w:szCs w:val="20"/>
              </w:rPr>
              <w:t xml:space="preserve"> </w:t>
            </w:r>
            <w:r w:rsidRPr="004F6DEC">
              <w:rPr>
                <w:rFonts w:eastAsia="Arial" w:cs="Arial"/>
                <w:color w:val="auto"/>
                <w:sz w:val="20"/>
                <w:szCs w:val="20"/>
              </w:rPr>
              <w:t>available and responsive Aboriginal and Torres Strait Islander health workforce is critical to an effective, efficient and culturally safe national health system, and one that delivers better health outcomes for all Australians. This can only be achieved when all elements of the health sector work together</w:t>
            </w:r>
            <w:r w:rsidR="0050318C">
              <w:rPr>
                <w:rFonts w:eastAsia="Arial" w:cs="Arial"/>
                <w:color w:val="auto"/>
                <w:sz w:val="20"/>
                <w:szCs w:val="20"/>
              </w:rPr>
              <w:t>.</w:t>
            </w:r>
          </w:p>
          <w:p w14:paraId="044283E6" w14:textId="77777777" w:rsidR="00BB0A4F" w:rsidRDefault="009F058A" w:rsidP="6D76C190">
            <w:pPr>
              <w:spacing w:line="240" w:lineRule="auto"/>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sidRPr="6D76C190">
              <w:rPr>
                <w:rFonts w:cstheme="minorBidi"/>
                <w:color w:val="auto"/>
                <w:sz w:val="20"/>
                <w:szCs w:val="20"/>
              </w:rPr>
              <w:t xml:space="preserve">The </w:t>
            </w:r>
            <w:r w:rsidR="00D9583D" w:rsidRPr="6D76C190">
              <w:rPr>
                <w:rFonts w:cstheme="minorBidi"/>
                <w:color w:val="auto"/>
                <w:sz w:val="20"/>
                <w:szCs w:val="20"/>
              </w:rPr>
              <w:t>d</w:t>
            </w:r>
            <w:r w:rsidRPr="6D76C190">
              <w:rPr>
                <w:rFonts w:cstheme="minorBidi"/>
                <w:color w:val="auto"/>
                <w:sz w:val="20"/>
                <w:szCs w:val="20"/>
              </w:rPr>
              <w:t xml:space="preserve">epartment recognises the importance of establishing formal partnerships that foster shared </w:t>
            </w:r>
            <w:r w:rsidR="008D54CB" w:rsidRPr="6D76C190">
              <w:rPr>
                <w:rFonts w:cstheme="minorBidi"/>
                <w:color w:val="auto"/>
                <w:sz w:val="20"/>
                <w:szCs w:val="20"/>
              </w:rPr>
              <w:t>decision-making</w:t>
            </w:r>
            <w:r w:rsidRPr="6D76C190">
              <w:rPr>
                <w:rFonts w:cstheme="minorBidi"/>
                <w:color w:val="auto"/>
                <w:sz w:val="20"/>
                <w:szCs w:val="20"/>
              </w:rPr>
              <w:t xml:space="preserve"> arrangements with </w:t>
            </w:r>
            <w:r w:rsidRPr="6D76C190">
              <w:rPr>
                <w:rFonts w:cstheme="minorBidi"/>
                <w:color w:val="auto"/>
                <w:sz w:val="20"/>
                <w:szCs w:val="20"/>
              </w:rPr>
              <w:lastRenderedPageBreak/>
              <w:t>Aboriginal and Torres Strait Islander people</w:t>
            </w:r>
            <w:r w:rsidR="00BB0A4F">
              <w:rPr>
                <w:rFonts w:cstheme="minorBidi"/>
                <w:color w:val="auto"/>
                <w:sz w:val="20"/>
                <w:szCs w:val="20"/>
              </w:rPr>
              <w:t>,</w:t>
            </w:r>
            <w:r w:rsidRPr="6D76C190">
              <w:rPr>
                <w:rFonts w:cstheme="minorBidi"/>
                <w:color w:val="auto"/>
                <w:sz w:val="20"/>
                <w:szCs w:val="20"/>
              </w:rPr>
              <w:t xml:space="preserve"> and that more must be done so that Aboriginal and Torres Strait Islander people can also access culturally safe and responsive care from mainstream health services.</w:t>
            </w:r>
            <w:r w:rsidR="000F14D7">
              <w:rPr>
                <w:rFonts w:cstheme="minorBidi"/>
                <w:color w:val="auto"/>
                <w:sz w:val="20"/>
                <w:szCs w:val="20"/>
              </w:rPr>
              <w:t xml:space="preserve"> </w:t>
            </w:r>
          </w:p>
          <w:p w14:paraId="6C7A65A5" w14:textId="1D98A6C5" w:rsidR="009F058A" w:rsidRPr="001F757E" w:rsidRDefault="000F14D7" w:rsidP="6D76C190">
            <w:pPr>
              <w:spacing w:line="240" w:lineRule="auto"/>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Pr>
                <w:rFonts w:cstheme="minorBidi"/>
                <w:color w:val="auto"/>
                <w:sz w:val="20"/>
                <w:szCs w:val="20"/>
              </w:rPr>
              <w:t>The department is supportive of</w:t>
            </w:r>
            <w:r w:rsidR="00F57F47">
              <w:rPr>
                <w:rFonts w:cstheme="minorBidi"/>
                <w:color w:val="auto"/>
                <w:sz w:val="20"/>
                <w:szCs w:val="20"/>
              </w:rPr>
              <w:t xml:space="preserve"> </w:t>
            </w:r>
            <w:r w:rsidR="009F058A" w:rsidRPr="6D76C190">
              <w:rPr>
                <w:rFonts w:cstheme="minorBidi"/>
                <w:color w:val="auto"/>
                <w:sz w:val="20"/>
                <w:szCs w:val="20"/>
              </w:rPr>
              <w:t xml:space="preserve">partnerships between mainstream health organisations and Aboriginal and Torres Strait Islander people noting they are primarily </w:t>
            </w:r>
            <w:r w:rsidR="00B20BF5">
              <w:rPr>
                <w:rFonts w:cstheme="minorBidi"/>
                <w:color w:val="auto"/>
                <w:sz w:val="20"/>
                <w:szCs w:val="20"/>
              </w:rPr>
              <w:t>for</w:t>
            </w:r>
            <w:r w:rsidR="00B20BF5" w:rsidRPr="6D76C190">
              <w:rPr>
                <w:rFonts w:cstheme="minorBidi"/>
                <w:color w:val="auto"/>
                <w:sz w:val="20"/>
                <w:szCs w:val="20"/>
              </w:rPr>
              <w:t xml:space="preserve"> </w:t>
            </w:r>
            <w:r w:rsidR="009F058A" w:rsidRPr="6D76C190">
              <w:rPr>
                <w:rFonts w:cstheme="minorBidi"/>
                <w:color w:val="auto"/>
                <w:sz w:val="20"/>
                <w:szCs w:val="20"/>
              </w:rPr>
              <w:t xml:space="preserve">relevant organisations and Aboriginal and Torres Strait Islander people or organisations </w:t>
            </w:r>
            <w:r w:rsidR="00B20BF5">
              <w:rPr>
                <w:rFonts w:cstheme="minorBidi"/>
                <w:color w:val="auto"/>
                <w:sz w:val="20"/>
                <w:szCs w:val="20"/>
              </w:rPr>
              <w:t>to establish</w:t>
            </w:r>
            <w:r w:rsidR="00665955">
              <w:rPr>
                <w:rFonts w:cstheme="minorBidi"/>
                <w:color w:val="auto"/>
                <w:sz w:val="20"/>
                <w:szCs w:val="20"/>
              </w:rPr>
              <w:t xml:space="preserve"> at the jurisdictional or local levels</w:t>
            </w:r>
            <w:r w:rsidR="009F058A" w:rsidRPr="6D76C190">
              <w:rPr>
                <w:rFonts w:cstheme="minorBidi"/>
                <w:color w:val="auto"/>
                <w:sz w:val="20"/>
                <w:szCs w:val="20"/>
              </w:rPr>
              <w:t>.</w:t>
            </w:r>
          </w:p>
        </w:tc>
        <w:tc>
          <w:tcPr>
            <w:tcW w:w="4422" w:type="dxa"/>
          </w:tcPr>
          <w:p w14:paraId="6432072E" w14:textId="76B84C7F" w:rsidR="00814F2E" w:rsidRPr="001F757E" w:rsidRDefault="00377766" w:rsidP="00B302E6">
            <w:pPr>
              <w:spacing w:line="240" w:lineRule="auto"/>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sidRPr="001F757E">
              <w:rPr>
                <w:rFonts w:cstheme="minorBidi"/>
                <w:color w:val="auto"/>
                <w:sz w:val="20"/>
                <w:szCs w:val="20"/>
              </w:rPr>
              <w:lastRenderedPageBreak/>
              <w:t xml:space="preserve">The department supports </w:t>
            </w:r>
            <w:proofErr w:type="gramStart"/>
            <w:r w:rsidRPr="001F757E">
              <w:rPr>
                <w:rFonts w:cstheme="minorBidi"/>
                <w:color w:val="auto"/>
                <w:sz w:val="20"/>
                <w:szCs w:val="20"/>
              </w:rPr>
              <w:t>a number of</w:t>
            </w:r>
            <w:proofErr w:type="gramEnd"/>
            <w:r w:rsidRPr="001F757E">
              <w:rPr>
                <w:rFonts w:cstheme="minorBidi"/>
                <w:color w:val="auto"/>
                <w:sz w:val="20"/>
                <w:szCs w:val="20"/>
              </w:rPr>
              <w:t xml:space="preserve"> partnership arrangements that involve mainstream health organisations </w:t>
            </w:r>
            <w:r w:rsidR="00BF5922" w:rsidRPr="001F757E">
              <w:rPr>
                <w:rFonts w:cstheme="minorBidi"/>
                <w:color w:val="auto"/>
                <w:sz w:val="20"/>
                <w:szCs w:val="20"/>
              </w:rPr>
              <w:t>to manage improvements</w:t>
            </w:r>
            <w:r w:rsidR="00484866" w:rsidRPr="001F757E">
              <w:rPr>
                <w:rFonts w:cstheme="minorBidi"/>
                <w:color w:val="auto"/>
                <w:sz w:val="20"/>
                <w:szCs w:val="20"/>
              </w:rPr>
              <w:t>, provide advice</w:t>
            </w:r>
            <w:r w:rsidR="00BF5922" w:rsidRPr="001F757E">
              <w:rPr>
                <w:rFonts w:cstheme="minorBidi"/>
                <w:color w:val="auto"/>
                <w:sz w:val="20"/>
                <w:szCs w:val="20"/>
              </w:rPr>
              <w:t xml:space="preserve"> and/or guide</w:t>
            </w:r>
            <w:r w:rsidR="00484866" w:rsidRPr="001F757E">
              <w:rPr>
                <w:rFonts w:cstheme="minorBidi"/>
                <w:color w:val="auto"/>
                <w:sz w:val="20"/>
                <w:szCs w:val="20"/>
              </w:rPr>
              <w:t xml:space="preserve"> implementation of various IAHP programs.</w:t>
            </w:r>
          </w:p>
          <w:p w14:paraId="571ADD8E" w14:textId="08F70579" w:rsidR="00A95092" w:rsidRDefault="00FD5ED3" w:rsidP="71315B29">
            <w:p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auto"/>
                <w:sz w:val="20"/>
                <w:szCs w:val="20"/>
              </w:rPr>
            </w:pPr>
            <w:r w:rsidRPr="71315B29">
              <w:rPr>
                <w:rFonts w:eastAsia="Arial" w:cs="Arial"/>
                <w:color w:val="auto"/>
                <w:sz w:val="20"/>
                <w:szCs w:val="20"/>
              </w:rPr>
              <w:t>Work will continue</w:t>
            </w:r>
            <w:r w:rsidR="003C26D2" w:rsidRPr="71315B29">
              <w:rPr>
                <w:rFonts w:eastAsia="Arial" w:cs="Arial"/>
                <w:color w:val="auto"/>
                <w:sz w:val="20"/>
                <w:szCs w:val="20"/>
              </w:rPr>
              <w:t xml:space="preserve"> with key stakeholders </w:t>
            </w:r>
            <w:r w:rsidR="00BB0A4F">
              <w:rPr>
                <w:rFonts w:eastAsia="Arial" w:cs="Arial"/>
                <w:color w:val="auto"/>
                <w:sz w:val="20"/>
                <w:szCs w:val="20"/>
              </w:rPr>
              <w:t>across the department and government</w:t>
            </w:r>
            <w:r w:rsidR="003C26D2" w:rsidRPr="71315B29">
              <w:rPr>
                <w:rFonts w:eastAsia="Arial" w:cs="Arial"/>
                <w:color w:val="auto"/>
                <w:sz w:val="20"/>
                <w:szCs w:val="20"/>
              </w:rPr>
              <w:t xml:space="preserve"> to strengthen the cultural safety of health system</w:t>
            </w:r>
            <w:r w:rsidR="00BB0A4F">
              <w:rPr>
                <w:rFonts w:eastAsia="Arial" w:cs="Arial"/>
                <w:color w:val="auto"/>
                <w:sz w:val="20"/>
                <w:szCs w:val="20"/>
              </w:rPr>
              <w:t>s</w:t>
            </w:r>
            <w:r w:rsidR="003C26D2" w:rsidRPr="71315B29">
              <w:rPr>
                <w:rFonts w:eastAsia="Arial" w:cs="Arial"/>
                <w:color w:val="auto"/>
                <w:sz w:val="20"/>
                <w:szCs w:val="20"/>
              </w:rPr>
              <w:t xml:space="preserve">, in line with the </w:t>
            </w:r>
            <w:hyperlink r:id="rId30" w:history="1">
              <w:r w:rsidR="00363377">
                <w:rPr>
                  <w:rStyle w:val="Hyperlink"/>
                  <w:rFonts w:eastAsia="Arial" w:cs="Arial"/>
                  <w:i/>
                  <w:iCs/>
                  <w:sz w:val="20"/>
                  <w:szCs w:val="20"/>
                </w:rPr>
                <w:t>Workforce Plan</w:t>
              </w:r>
            </w:hyperlink>
            <w:r w:rsidR="00363377" w:rsidRPr="004F6DEC">
              <w:rPr>
                <w:rFonts w:eastAsia="Arial" w:cs="Arial"/>
                <w:color w:val="auto"/>
                <w:sz w:val="20"/>
                <w:szCs w:val="20"/>
              </w:rPr>
              <w:t>.</w:t>
            </w:r>
          </w:p>
          <w:p w14:paraId="2E9A5D49" w14:textId="399BF3A2" w:rsidR="00A95092" w:rsidRPr="000562AA" w:rsidRDefault="00BB0A4F" w:rsidP="71315B29">
            <w:pPr>
              <w:spacing w:line="240" w:lineRule="auto"/>
              <w:cnfStyle w:val="000000000000" w:firstRow="0" w:lastRow="0" w:firstColumn="0" w:lastColumn="0" w:oddVBand="0" w:evenVBand="0" w:oddHBand="0" w:evenHBand="0" w:firstRowFirstColumn="0" w:firstRowLastColumn="0" w:lastRowFirstColumn="0" w:lastRowLastColumn="0"/>
              <w:rPr>
                <w:rFonts w:eastAsia="Arial" w:cs="Arial"/>
                <w:i/>
                <w:iCs/>
                <w:sz w:val="20"/>
                <w:szCs w:val="20"/>
              </w:rPr>
            </w:pPr>
            <w:r>
              <w:rPr>
                <w:rFonts w:eastAsia="Arial" w:cs="Arial"/>
                <w:color w:val="auto"/>
                <w:sz w:val="20"/>
                <w:szCs w:val="20"/>
              </w:rPr>
              <w:lastRenderedPageBreak/>
              <w:t xml:space="preserve">As outlined in </w:t>
            </w:r>
            <w:r w:rsidR="00363377">
              <w:rPr>
                <w:rFonts w:eastAsia="Arial" w:cs="Arial"/>
                <w:color w:val="auto"/>
                <w:sz w:val="20"/>
                <w:szCs w:val="20"/>
              </w:rPr>
              <w:t xml:space="preserve">recommendation </w:t>
            </w:r>
            <w:r>
              <w:rPr>
                <w:rFonts w:eastAsia="Arial" w:cs="Arial"/>
                <w:color w:val="auto"/>
                <w:sz w:val="20"/>
                <w:szCs w:val="20"/>
              </w:rPr>
              <w:t xml:space="preserve">2, cultural safety is a key component of the </w:t>
            </w:r>
            <w:r w:rsidR="0044362C">
              <w:rPr>
                <w:rFonts w:eastAsia="Arial" w:cs="Arial"/>
                <w:color w:val="auto"/>
                <w:sz w:val="20"/>
                <w:szCs w:val="20"/>
              </w:rPr>
              <w:t xml:space="preserve">inaugural </w:t>
            </w:r>
            <w:r w:rsidR="0044362C" w:rsidRPr="0044362C">
              <w:rPr>
                <w:rFonts w:eastAsia="Arial" w:cs="Arial"/>
                <w:color w:val="auto"/>
                <w:sz w:val="20"/>
                <w:szCs w:val="20"/>
              </w:rPr>
              <w:t xml:space="preserve">Addendum to the </w:t>
            </w:r>
            <w:r w:rsidR="0044362C">
              <w:rPr>
                <w:rFonts w:eastAsia="Arial" w:cs="Arial"/>
                <w:color w:val="auto"/>
                <w:sz w:val="20"/>
                <w:szCs w:val="20"/>
              </w:rPr>
              <w:t xml:space="preserve">NHRA. </w:t>
            </w:r>
          </w:p>
        </w:tc>
        <w:tc>
          <w:tcPr>
            <w:tcW w:w="1329" w:type="dxa"/>
          </w:tcPr>
          <w:p w14:paraId="72F97430" w14:textId="0ADD2736" w:rsidR="00B76B1D" w:rsidRPr="00E271CF" w:rsidRDefault="00DC5878" w:rsidP="00E271CF">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271CF">
              <w:rPr>
                <w:rFonts w:cstheme="minorHAnsi"/>
                <w:color w:val="auto"/>
                <w:sz w:val="20"/>
                <w:szCs w:val="20"/>
              </w:rPr>
              <w:lastRenderedPageBreak/>
              <w:t>Medium-long term</w:t>
            </w:r>
          </w:p>
        </w:tc>
      </w:tr>
      <w:tr w:rsidR="00081E87" w14:paraId="5BC0EDDD" w14:textId="77777777" w:rsidTr="00A0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1" w:type="dxa"/>
          </w:tcPr>
          <w:p w14:paraId="575E272F" w14:textId="43C98BE1" w:rsidR="001E767B" w:rsidRPr="00777E15" w:rsidRDefault="00B76B1D" w:rsidP="00777E15">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The Department of Health and Aged Care to strengthen Aboriginal and Torres Strait Islander health policy capability and capacity across the department, including in the specialist First Nations Health Division, to support shared policy decision-making, governance and accountability processes.</w:t>
            </w:r>
          </w:p>
        </w:tc>
        <w:tc>
          <w:tcPr>
            <w:tcW w:w="1268" w:type="dxa"/>
            <w:shd w:val="clear" w:color="auto" w:fill="92D050"/>
          </w:tcPr>
          <w:p w14:paraId="5212274A" w14:textId="3C5E76CD" w:rsidR="00B76B1D" w:rsidRPr="003726E4" w:rsidRDefault="00A0398B" w:rsidP="006A537F">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Cs/>
                <w:color w:val="auto"/>
                <w:sz w:val="20"/>
                <w:szCs w:val="20"/>
              </w:rPr>
            </w:pPr>
            <w:r>
              <w:rPr>
                <w:rFonts w:cstheme="minorHAnsi"/>
                <w:b/>
                <w:bCs/>
                <w:iCs/>
                <w:color w:val="auto"/>
                <w:sz w:val="20"/>
                <w:szCs w:val="20"/>
              </w:rPr>
              <w:t>Agree</w:t>
            </w:r>
          </w:p>
        </w:tc>
        <w:tc>
          <w:tcPr>
            <w:tcW w:w="4422" w:type="dxa"/>
          </w:tcPr>
          <w:p w14:paraId="2D78DB8A" w14:textId="25B66B54" w:rsidR="00B76B1D" w:rsidRDefault="009051AA" w:rsidP="006A537F">
            <w:pPr>
              <w:spacing w:line="240" w:lineRule="auto"/>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Pr>
                <w:rFonts w:cstheme="minorHAnsi"/>
                <w:iCs/>
                <w:color w:val="auto"/>
                <w:sz w:val="20"/>
                <w:szCs w:val="20"/>
              </w:rPr>
              <w:t xml:space="preserve">This recommendation is consistent with the </w:t>
            </w:r>
            <w:hyperlink r:id="rId31">
              <w:r w:rsidR="00363377" w:rsidRPr="00777E15">
                <w:rPr>
                  <w:rStyle w:val="Hyperlink"/>
                  <w:rFonts w:cs="Arial"/>
                  <w:i/>
                  <w:iCs/>
                  <w:sz w:val="20"/>
                  <w:szCs w:val="20"/>
                </w:rPr>
                <w:t>National Agreement</w:t>
              </w:r>
            </w:hyperlink>
            <w:r>
              <w:rPr>
                <w:rFonts w:cstheme="minorHAnsi"/>
                <w:iCs/>
                <w:color w:val="auto"/>
                <w:sz w:val="20"/>
                <w:szCs w:val="20"/>
              </w:rPr>
              <w:t xml:space="preserve"> (Priority </w:t>
            </w:r>
            <w:r w:rsidR="000C1021">
              <w:rPr>
                <w:rFonts w:cstheme="minorHAnsi"/>
                <w:iCs/>
                <w:color w:val="auto"/>
                <w:sz w:val="20"/>
                <w:szCs w:val="20"/>
              </w:rPr>
              <w:t>R</w:t>
            </w:r>
            <w:r>
              <w:rPr>
                <w:rFonts w:cstheme="minorHAnsi"/>
                <w:iCs/>
                <w:color w:val="auto"/>
                <w:sz w:val="20"/>
                <w:szCs w:val="20"/>
              </w:rPr>
              <w:t>eform 3</w:t>
            </w:r>
            <w:r w:rsidR="000C1021">
              <w:rPr>
                <w:rFonts w:cstheme="minorHAnsi"/>
                <w:iCs/>
                <w:color w:val="auto"/>
                <w:sz w:val="20"/>
                <w:szCs w:val="20"/>
              </w:rPr>
              <w:t>: Transforming Government Organisations</w:t>
            </w:r>
            <w:r>
              <w:rPr>
                <w:rFonts w:cstheme="minorHAnsi"/>
                <w:iCs/>
                <w:color w:val="auto"/>
                <w:sz w:val="20"/>
                <w:szCs w:val="20"/>
              </w:rPr>
              <w:t xml:space="preserve">) and </w:t>
            </w:r>
            <w:r w:rsidR="004428CB">
              <w:rPr>
                <w:rFonts w:cstheme="minorHAnsi"/>
                <w:iCs/>
                <w:color w:val="auto"/>
                <w:sz w:val="20"/>
                <w:szCs w:val="20"/>
              </w:rPr>
              <w:t xml:space="preserve">work is underway to </w:t>
            </w:r>
            <w:r w:rsidR="00D97F7A">
              <w:rPr>
                <w:rFonts w:cstheme="minorHAnsi"/>
                <w:iCs/>
                <w:color w:val="auto"/>
                <w:sz w:val="20"/>
                <w:szCs w:val="20"/>
              </w:rPr>
              <w:t>develop a cultural capability strategy.</w:t>
            </w:r>
          </w:p>
          <w:p w14:paraId="1D7A2D55" w14:textId="505803C9" w:rsidR="000363F1" w:rsidRPr="00DA441B" w:rsidRDefault="000363F1" w:rsidP="00990561">
            <w:pPr>
              <w:spacing w:line="240" w:lineRule="auto"/>
              <w:cnfStyle w:val="000000100000" w:firstRow="0" w:lastRow="0" w:firstColumn="0" w:lastColumn="0" w:oddVBand="0" w:evenVBand="0" w:oddHBand="1" w:evenHBand="0" w:firstRowFirstColumn="0" w:firstRowLastColumn="0" w:lastRowFirstColumn="0" w:lastRowLastColumn="0"/>
              <w:rPr>
                <w:rFonts w:cs="Arial"/>
                <w:iCs/>
                <w:sz w:val="20"/>
                <w:szCs w:val="20"/>
              </w:rPr>
            </w:pPr>
          </w:p>
        </w:tc>
        <w:tc>
          <w:tcPr>
            <w:tcW w:w="4422" w:type="dxa"/>
          </w:tcPr>
          <w:p w14:paraId="7329DB7C" w14:textId="4422E02E" w:rsidR="007F3FC4" w:rsidRPr="008233C9" w:rsidRDefault="000F0B0F" w:rsidP="008233C9">
            <w:pPr>
              <w:spacing w:line="240" w:lineRule="auto"/>
              <w:cnfStyle w:val="000000100000" w:firstRow="0" w:lastRow="0" w:firstColumn="0" w:lastColumn="0" w:oddVBand="0" w:evenVBand="0" w:oddHBand="1" w:evenHBand="0" w:firstRowFirstColumn="0" w:firstRowLastColumn="0" w:lastRowFirstColumn="0" w:lastRowLastColumn="0"/>
              <w:rPr>
                <w:rFonts w:cs="Arial"/>
                <w:iCs/>
                <w:sz w:val="20"/>
                <w:szCs w:val="20"/>
              </w:rPr>
            </w:pPr>
            <w:r w:rsidRPr="004F6DEC">
              <w:rPr>
                <w:rFonts w:cs="Arial"/>
                <w:iCs/>
                <w:sz w:val="20"/>
                <w:szCs w:val="20"/>
              </w:rPr>
              <w:t xml:space="preserve">The </w:t>
            </w:r>
            <w:r>
              <w:rPr>
                <w:rFonts w:cs="Arial"/>
                <w:iCs/>
                <w:sz w:val="20"/>
                <w:szCs w:val="20"/>
              </w:rPr>
              <w:t>d</w:t>
            </w:r>
            <w:r w:rsidRPr="004F6DEC">
              <w:rPr>
                <w:rFonts w:cs="Arial"/>
                <w:iCs/>
                <w:sz w:val="20"/>
                <w:szCs w:val="20"/>
              </w:rPr>
              <w:t xml:space="preserve">epartment’s Closing the Gap Steering Committee is leading the structural change required to align internal processes with Priority Reforms. Through this committee the </w:t>
            </w:r>
            <w:r>
              <w:rPr>
                <w:rFonts w:cs="Arial"/>
                <w:iCs/>
                <w:sz w:val="20"/>
                <w:szCs w:val="20"/>
              </w:rPr>
              <w:t>d</w:t>
            </w:r>
            <w:r w:rsidRPr="004F6DEC">
              <w:rPr>
                <w:rFonts w:cs="Arial"/>
                <w:iCs/>
                <w:sz w:val="20"/>
                <w:szCs w:val="20"/>
              </w:rPr>
              <w:t xml:space="preserve">epartment is taking a stronger approach to respond to the </w:t>
            </w:r>
            <w:hyperlink r:id="rId32" w:history="1">
              <w:r w:rsidR="0015615B" w:rsidRPr="00777E15">
                <w:rPr>
                  <w:rStyle w:val="Hyperlink"/>
                  <w:rFonts w:cs="Arial"/>
                  <w:i/>
                  <w:sz w:val="20"/>
                  <w:szCs w:val="20"/>
                </w:rPr>
                <w:t>C</w:t>
              </w:r>
              <w:r w:rsidRPr="00777E15">
                <w:rPr>
                  <w:rStyle w:val="Hyperlink"/>
                  <w:rFonts w:cs="Arial"/>
                  <w:i/>
                  <w:sz w:val="20"/>
                  <w:szCs w:val="20"/>
                </w:rPr>
                <w:t>apability</w:t>
              </w:r>
              <w:r w:rsidR="0015615B" w:rsidRPr="00777E15">
                <w:rPr>
                  <w:rStyle w:val="Hyperlink"/>
                  <w:rFonts w:cs="Arial"/>
                  <w:i/>
                  <w:sz w:val="20"/>
                  <w:szCs w:val="20"/>
                </w:rPr>
                <w:t xml:space="preserve"> R</w:t>
              </w:r>
              <w:r w:rsidRPr="00777E15">
                <w:rPr>
                  <w:rStyle w:val="Hyperlink"/>
                  <w:rFonts w:cs="Arial"/>
                  <w:i/>
                  <w:sz w:val="20"/>
                  <w:szCs w:val="20"/>
                </w:rPr>
                <w:t>eview</w:t>
              </w:r>
            </w:hyperlink>
            <w:r w:rsidRPr="004F6DEC">
              <w:rPr>
                <w:rFonts w:cs="Arial"/>
                <w:iCs/>
                <w:sz w:val="20"/>
                <w:szCs w:val="20"/>
              </w:rPr>
              <w:t xml:space="preserve"> and progressing </w:t>
            </w:r>
            <w:r w:rsidR="00386E77">
              <w:rPr>
                <w:rFonts w:cs="Arial"/>
                <w:iCs/>
                <w:sz w:val="20"/>
                <w:szCs w:val="20"/>
              </w:rPr>
              <w:t>development of</w:t>
            </w:r>
            <w:r w:rsidRPr="004F6DEC">
              <w:rPr>
                <w:rFonts w:cs="Arial"/>
                <w:iCs/>
                <w:sz w:val="20"/>
                <w:szCs w:val="20"/>
              </w:rPr>
              <w:t xml:space="preserve"> a cultural capability strategy</w:t>
            </w:r>
            <w:r>
              <w:rPr>
                <w:rFonts w:cs="Arial"/>
                <w:iCs/>
                <w:sz w:val="20"/>
                <w:szCs w:val="20"/>
              </w:rPr>
              <w:t>.</w:t>
            </w:r>
          </w:p>
        </w:tc>
        <w:tc>
          <w:tcPr>
            <w:tcW w:w="1329" w:type="dxa"/>
          </w:tcPr>
          <w:p w14:paraId="27D61A6F" w14:textId="1F0BF9CC" w:rsidR="00B76B1D" w:rsidRDefault="00E01788" w:rsidP="006A537F">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Pr>
                <w:rFonts w:cstheme="minorHAnsi"/>
                <w:iCs/>
                <w:color w:val="auto"/>
                <w:sz w:val="20"/>
                <w:szCs w:val="20"/>
              </w:rPr>
              <w:t>Ongoing</w:t>
            </w:r>
          </w:p>
        </w:tc>
      </w:tr>
      <w:tr w:rsidR="00081E87" w14:paraId="098EEB49" w14:textId="77777777" w:rsidTr="0032389F">
        <w:trPr>
          <w:jc w:val="center"/>
        </w:trPr>
        <w:tc>
          <w:tcPr>
            <w:cnfStyle w:val="001000000000" w:firstRow="0" w:lastRow="0" w:firstColumn="1" w:lastColumn="0" w:oddVBand="0" w:evenVBand="0" w:oddHBand="0" w:evenHBand="0" w:firstRowFirstColumn="0" w:firstRowLastColumn="0" w:lastRowFirstColumn="0" w:lastRowLastColumn="0"/>
            <w:tcW w:w="3381" w:type="dxa"/>
          </w:tcPr>
          <w:p w14:paraId="2CDC06C1" w14:textId="77777777" w:rsidR="00B76B1D" w:rsidRDefault="00B76B1D" w:rsidP="00B76B1D">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The Department of Health and Aged Care to work with PHNs to strengthen the PHC system to improve care for Aboriginal and Torres Strait Islander people.</w:t>
            </w:r>
          </w:p>
          <w:p w14:paraId="2E2E6141" w14:textId="7FBF7FC4" w:rsidR="009C5602" w:rsidRPr="008233C9" w:rsidRDefault="009C5602" w:rsidP="008233C9">
            <w:pPr>
              <w:spacing w:before="60" w:after="60" w:line="240" w:lineRule="auto"/>
              <w:ind w:left="-46"/>
              <w:rPr>
                <w:rFonts w:eastAsia="Arial"/>
                <w:sz w:val="20"/>
                <w:szCs w:val="22"/>
              </w:rPr>
            </w:pPr>
          </w:p>
        </w:tc>
        <w:tc>
          <w:tcPr>
            <w:tcW w:w="1268" w:type="dxa"/>
            <w:shd w:val="clear" w:color="auto" w:fill="FFC000"/>
          </w:tcPr>
          <w:p w14:paraId="4455D2CE" w14:textId="6FF70489" w:rsidR="00B76B1D" w:rsidRPr="003726E4" w:rsidRDefault="0032389F" w:rsidP="006A537F">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iCs/>
                <w:color w:val="auto"/>
                <w:sz w:val="20"/>
                <w:szCs w:val="20"/>
              </w:rPr>
            </w:pPr>
            <w:r>
              <w:rPr>
                <w:rFonts w:cstheme="minorHAnsi"/>
                <w:b/>
                <w:bCs/>
                <w:iCs/>
                <w:color w:val="auto"/>
                <w:sz w:val="20"/>
                <w:szCs w:val="20"/>
              </w:rPr>
              <w:t>Partially agree</w:t>
            </w:r>
          </w:p>
        </w:tc>
        <w:tc>
          <w:tcPr>
            <w:tcW w:w="4422" w:type="dxa"/>
          </w:tcPr>
          <w:p w14:paraId="66ED70D2" w14:textId="15FFFCCD" w:rsidR="004C1EE7" w:rsidRPr="009A09E8" w:rsidRDefault="004C1EE7" w:rsidP="004C1EE7">
            <w:pPr>
              <w:spacing w:line="240" w:lineRule="auto"/>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sidRPr="0CDDBC11">
              <w:rPr>
                <w:rFonts w:cstheme="minorBidi"/>
                <w:color w:val="auto"/>
                <w:sz w:val="20"/>
                <w:szCs w:val="20"/>
              </w:rPr>
              <w:t xml:space="preserve">The department </w:t>
            </w:r>
            <w:r>
              <w:rPr>
                <w:rFonts w:cstheme="minorBidi"/>
                <w:color w:val="auto"/>
                <w:sz w:val="20"/>
                <w:szCs w:val="20"/>
              </w:rPr>
              <w:t xml:space="preserve">agrees with the </w:t>
            </w:r>
            <w:r w:rsidR="00ED3110">
              <w:rPr>
                <w:rFonts w:cstheme="minorBidi"/>
                <w:color w:val="auto"/>
                <w:sz w:val="20"/>
                <w:szCs w:val="20"/>
              </w:rPr>
              <w:t xml:space="preserve">recommendation </w:t>
            </w:r>
            <w:r w:rsidR="00FA2026">
              <w:rPr>
                <w:rFonts w:cstheme="minorBidi"/>
                <w:color w:val="auto"/>
                <w:sz w:val="20"/>
                <w:szCs w:val="20"/>
              </w:rPr>
              <w:t xml:space="preserve">and </w:t>
            </w:r>
            <w:r w:rsidR="00ED3110">
              <w:rPr>
                <w:rFonts w:cstheme="minorBidi"/>
                <w:color w:val="auto"/>
                <w:sz w:val="20"/>
                <w:szCs w:val="20"/>
              </w:rPr>
              <w:t>acknowledges</w:t>
            </w:r>
            <w:r w:rsidR="00FA2026">
              <w:rPr>
                <w:rFonts w:cstheme="minorBidi"/>
                <w:color w:val="auto"/>
                <w:sz w:val="20"/>
                <w:szCs w:val="20"/>
              </w:rPr>
              <w:t xml:space="preserve"> the role of PHNs in the PHC system for commissioning and co-</w:t>
            </w:r>
            <w:r w:rsidR="00ED3110">
              <w:rPr>
                <w:rFonts w:cstheme="minorBidi"/>
                <w:color w:val="auto"/>
                <w:sz w:val="20"/>
                <w:szCs w:val="20"/>
              </w:rPr>
              <w:t>ordinating</w:t>
            </w:r>
            <w:r w:rsidR="00FA2026">
              <w:rPr>
                <w:rFonts w:cstheme="minorBidi"/>
                <w:color w:val="auto"/>
                <w:sz w:val="20"/>
                <w:szCs w:val="20"/>
              </w:rPr>
              <w:t xml:space="preserve"> First Nations specific and whole o</w:t>
            </w:r>
            <w:r w:rsidR="006F769F">
              <w:rPr>
                <w:rFonts w:cstheme="minorBidi"/>
                <w:color w:val="auto"/>
                <w:sz w:val="20"/>
                <w:szCs w:val="20"/>
              </w:rPr>
              <w:t>f population programs accessed by First Nations people. The department</w:t>
            </w:r>
            <w:r w:rsidR="00ED3110">
              <w:rPr>
                <w:rFonts w:cstheme="minorBidi"/>
                <w:color w:val="auto"/>
                <w:sz w:val="20"/>
                <w:szCs w:val="20"/>
              </w:rPr>
              <w:t>,</w:t>
            </w:r>
            <w:r>
              <w:rPr>
                <w:rFonts w:cstheme="minorBidi"/>
                <w:color w:val="auto"/>
                <w:sz w:val="20"/>
                <w:szCs w:val="20"/>
              </w:rPr>
              <w:t xml:space="preserve"> however, </w:t>
            </w:r>
            <w:r w:rsidRPr="0CDDBC11">
              <w:rPr>
                <w:rFonts w:cstheme="minorBidi"/>
                <w:color w:val="auto"/>
                <w:sz w:val="20"/>
                <w:szCs w:val="20"/>
              </w:rPr>
              <w:t xml:space="preserve">is not </w:t>
            </w:r>
            <w:r>
              <w:rPr>
                <w:rFonts w:cstheme="minorBidi"/>
                <w:color w:val="auto"/>
                <w:sz w:val="20"/>
                <w:szCs w:val="20"/>
              </w:rPr>
              <w:t>solely</w:t>
            </w:r>
            <w:r w:rsidRPr="0CDDBC11">
              <w:rPr>
                <w:rFonts w:cstheme="minorBidi"/>
                <w:color w:val="auto"/>
                <w:sz w:val="20"/>
                <w:szCs w:val="20"/>
              </w:rPr>
              <w:t xml:space="preserve"> responsible for funding PHNs, and </w:t>
            </w:r>
            <w:r>
              <w:rPr>
                <w:rFonts w:cstheme="minorBidi"/>
                <w:color w:val="auto"/>
                <w:sz w:val="20"/>
                <w:szCs w:val="20"/>
              </w:rPr>
              <w:t xml:space="preserve">the </w:t>
            </w:r>
            <w:r w:rsidR="00514BE6">
              <w:rPr>
                <w:rFonts w:cstheme="minorBidi"/>
                <w:color w:val="auto"/>
                <w:sz w:val="20"/>
                <w:szCs w:val="20"/>
              </w:rPr>
              <w:t xml:space="preserve">core </w:t>
            </w:r>
            <w:r>
              <w:rPr>
                <w:rFonts w:cstheme="minorBidi"/>
                <w:color w:val="auto"/>
                <w:sz w:val="20"/>
                <w:szCs w:val="20"/>
              </w:rPr>
              <w:t xml:space="preserve">funding that is provided to the </w:t>
            </w:r>
            <w:r w:rsidRPr="0CDDBC11">
              <w:rPr>
                <w:rFonts w:cstheme="minorBidi"/>
                <w:color w:val="auto"/>
                <w:sz w:val="20"/>
                <w:szCs w:val="20"/>
              </w:rPr>
              <w:t xml:space="preserve">PHNs </w:t>
            </w:r>
            <w:r>
              <w:rPr>
                <w:rFonts w:cstheme="minorBidi"/>
                <w:color w:val="auto"/>
                <w:sz w:val="20"/>
                <w:szCs w:val="20"/>
              </w:rPr>
              <w:t>is</w:t>
            </w:r>
            <w:r w:rsidRPr="0CDDBC11">
              <w:rPr>
                <w:rFonts w:cstheme="minorBidi"/>
                <w:color w:val="auto"/>
                <w:sz w:val="20"/>
                <w:szCs w:val="20"/>
              </w:rPr>
              <w:t xml:space="preserve"> not funded through the IAHP</w:t>
            </w:r>
            <w:r>
              <w:rPr>
                <w:rFonts w:cstheme="minorBidi"/>
                <w:color w:val="auto"/>
                <w:sz w:val="20"/>
                <w:szCs w:val="20"/>
              </w:rPr>
              <w:t>.</w:t>
            </w:r>
            <w:r w:rsidRPr="0CDDBC11">
              <w:rPr>
                <w:rFonts w:cstheme="minorBidi"/>
                <w:color w:val="auto"/>
                <w:sz w:val="20"/>
                <w:szCs w:val="20"/>
              </w:rPr>
              <w:t xml:space="preserve"> </w:t>
            </w:r>
          </w:p>
          <w:p w14:paraId="2B84FAA9" w14:textId="39CF19A1" w:rsidR="00B76B1D" w:rsidRDefault="004C1EE7" w:rsidP="000A205B">
            <w:pPr>
              <w:spacing w:line="240" w:lineRule="auto"/>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sidRPr="3F8464CF">
              <w:rPr>
                <w:rFonts w:cstheme="minorBidi"/>
                <w:color w:val="auto"/>
                <w:sz w:val="20"/>
                <w:szCs w:val="20"/>
              </w:rPr>
              <w:t xml:space="preserve">We agree that continued </w:t>
            </w:r>
            <w:r w:rsidR="00ED3110">
              <w:rPr>
                <w:rFonts w:cstheme="minorBidi"/>
                <w:color w:val="auto"/>
                <w:sz w:val="20"/>
                <w:szCs w:val="20"/>
              </w:rPr>
              <w:t xml:space="preserve">collaboration </w:t>
            </w:r>
            <w:r w:rsidRPr="3F8464CF">
              <w:rPr>
                <w:rFonts w:cstheme="minorBidi"/>
                <w:color w:val="auto"/>
                <w:sz w:val="20"/>
                <w:szCs w:val="20"/>
              </w:rPr>
              <w:t xml:space="preserve">between the department and PHNs </w:t>
            </w:r>
            <w:r w:rsidR="00F7782C">
              <w:rPr>
                <w:rFonts w:cstheme="minorBidi"/>
                <w:color w:val="auto"/>
                <w:sz w:val="20"/>
                <w:szCs w:val="20"/>
              </w:rPr>
              <w:t>to align with the National Agreement on Closing the Gap</w:t>
            </w:r>
            <w:r w:rsidRPr="3F8464CF">
              <w:rPr>
                <w:rFonts w:cstheme="minorBidi"/>
                <w:color w:val="auto"/>
                <w:sz w:val="20"/>
                <w:szCs w:val="20"/>
              </w:rPr>
              <w:t xml:space="preserve"> </w:t>
            </w:r>
            <w:r w:rsidR="00917BC7">
              <w:rPr>
                <w:rFonts w:cstheme="minorBidi"/>
                <w:color w:val="auto"/>
                <w:sz w:val="20"/>
                <w:szCs w:val="20"/>
              </w:rPr>
              <w:t xml:space="preserve">is </w:t>
            </w:r>
            <w:r w:rsidR="00917BC7">
              <w:rPr>
                <w:rFonts w:cstheme="minorBidi"/>
                <w:color w:val="auto"/>
                <w:sz w:val="20"/>
                <w:szCs w:val="20"/>
              </w:rPr>
              <w:lastRenderedPageBreak/>
              <w:t>likely</w:t>
            </w:r>
            <w:r w:rsidRPr="3F8464CF">
              <w:rPr>
                <w:rFonts w:cstheme="minorBidi"/>
                <w:color w:val="auto"/>
                <w:sz w:val="20"/>
                <w:szCs w:val="20"/>
              </w:rPr>
              <w:t xml:space="preserve"> </w:t>
            </w:r>
            <w:r w:rsidR="00917BC7">
              <w:rPr>
                <w:rFonts w:cstheme="minorBidi"/>
                <w:color w:val="auto"/>
                <w:sz w:val="20"/>
                <w:szCs w:val="20"/>
              </w:rPr>
              <w:t xml:space="preserve">to </w:t>
            </w:r>
            <w:r w:rsidRPr="3F8464CF">
              <w:rPr>
                <w:rFonts w:cstheme="minorBidi"/>
                <w:color w:val="auto"/>
                <w:sz w:val="20"/>
                <w:szCs w:val="20"/>
              </w:rPr>
              <w:t xml:space="preserve">lead </w:t>
            </w:r>
            <w:r w:rsidR="0068035F">
              <w:rPr>
                <w:rFonts w:cstheme="minorBidi"/>
                <w:color w:val="auto"/>
                <w:sz w:val="20"/>
                <w:szCs w:val="20"/>
              </w:rPr>
              <w:t>to improved</w:t>
            </w:r>
            <w:r w:rsidRPr="3F8464CF" w:rsidDel="00917BC7">
              <w:rPr>
                <w:rFonts w:cstheme="minorBidi"/>
                <w:color w:val="auto"/>
                <w:sz w:val="20"/>
                <w:szCs w:val="20"/>
              </w:rPr>
              <w:t xml:space="preserve"> </w:t>
            </w:r>
            <w:r w:rsidRPr="3F8464CF">
              <w:rPr>
                <w:rFonts w:cstheme="minorBidi"/>
                <w:color w:val="auto"/>
                <w:sz w:val="20"/>
                <w:szCs w:val="20"/>
              </w:rPr>
              <w:t>outcome</w:t>
            </w:r>
            <w:r w:rsidR="00917BC7">
              <w:rPr>
                <w:rFonts w:cstheme="minorBidi"/>
                <w:color w:val="auto"/>
                <w:sz w:val="20"/>
                <w:szCs w:val="20"/>
              </w:rPr>
              <w:t>s</w:t>
            </w:r>
            <w:r w:rsidRPr="3F8464CF">
              <w:rPr>
                <w:rFonts w:cstheme="minorBidi"/>
                <w:color w:val="auto"/>
                <w:sz w:val="20"/>
                <w:szCs w:val="20"/>
              </w:rPr>
              <w:t xml:space="preserve"> of care for Aboriginal and Torres Strait Islander peoples.</w:t>
            </w:r>
            <w:r w:rsidR="45608A3A" w:rsidRPr="6EA9A720">
              <w:rPr>
                <w:rFonts w:cstheme="minorBidi"/>
                <w:color w:val="auto"/>
                <w:sz w:val="20"/>
                <w:szCs w:val="20"/>
              </w:rPr>
              <w:t xml:space="preserve"> </w:t>
            </w:r>
          </w:p>
        </w:tc>
        <w:tc>
          <w:tcPr>
            <w:tcW w:w="4422" w:type="dxa"/>
          </w:tcPr>
          <w:p w14:paraId="599E0775" w14:textId="77777777" w:rsidR="00270A7C" w:rsidRDefault="00ED4350" w:rsidP="00A1019B">
            <w:pPr>
              <w:spacing w:line="240" w:lineRule="auto"/>
              <w:cnfStyle w:val="000000000000" w:firstRow="0" w:lastRow="0" w:firstColumn="0" w:lastColumn="0" w:oddVBand="0" w:evenVBand="0" w:oddHBand="0" w:evenHBand="0" w:firstRowFirstColumn="0" w:firstRowLastColumn="0" w:lastRowFirstColumn="0" w:lastRowLastColumn="0"/>
              <w:rPr>
                <w:rFonts w:cs="Arial"/>
                <w:iCs/>
                <w:color w:val="auto"/>
                <w:sz w:val="20"/>
                <w:szCs w:val="20"/>
              </w:rPr>
            </w:pPr>
            <w:r w:rsidRPr="00ED4350">
              <w:rPr>
                <w:rFonts w:cs="Arial"/>
                <w:iCs/>
                <w:color w:val="auto"/>
                <w:sz w:val="20"/>
                <w:szCs w:val="20"/>
              </w:rPr>
              <w:lastRenderedPageBreak/>
              <w:t>The department is currently undertaking a review of the PHN Business Model and will consider options to ensure that the network has the right policy framework and supporting administrative and governance structures in place.</w:t>
            </w:r>
          </w:p>
          <w:p w14:paraId="2790E65C" w14:textId="19151A48" w:rsidR="004342C8" w:rsidRPr="00C7356F" w:rsidRDefault="00890773" w:rsidP="00A1019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auto"/>
                <w:sz w:val="20"/>
                <w:szCs w:val="20"/>
              </w:rPr>
            </w:pPr>
            <w:r w:rsidRPr="009A09E8">
              <w:rPr>
                <w:rFonts w:cs="Arial"/>
                <w:iCs/>
                <w:color w:val="auto"/>
                <w:sz w:val="20"/>
                <w:szCs w:val="20"/>
              </w:rPr>
              <w:t xml:space="preserve">The </w:t>
            </w:r>
            <w:r w:rsidR="00A1019B">
              <w:rPr>
                <w:rFonts w:cs="Arial"/>
                <w:color w:val="auto"/>
                <w:sz w:val="20"/>
                <w:szCs w:val="20"/>
              </w:rPr>
              <w:t>department</w:t>
            </w:r>
            <w:r w:rsidRPr="009A09E8">
              <w:rPr>
                <w:rFonts w:cs="Arial"/>
                <w:iCs/>
                <w:color w:val="auto"/>
                <w:sz w:val="20"/>
                <w:szCs w:val="20"/>
              </w:rPr>
              <w:t xml:space="preserve"> will </w:t>
            </w:r>
            <w:r w:rsidR="00A1019B">
              <w:rPr>
                <w:rFonts w:cs="Arial"/>
                <w:iCs/>
                <w:color w:val="auto"/>
                <w:sz w:val="20"/>
                <w:szCs w:val="20"/>
              </w:rPr>
              <w:t>continue</w:t>
            </w:r>
            <w:r w:rsidRPr="009A09E8">
              <w:rPr>
                <w:rFonts w:cs="Arial"/>
                <w:iCs/>
                <w:color w:val="auto"/>
                <w:sz w:val="20"/>
                <w:szCs w:val="20"/>
              </w:rPr>
              <w:t xml:space="preserve"> to advocate for better </w:t>
            </w:r>
            <w:r w:rsidR="7CC27EC2" w:rsidRPr="14F6EAFE">
              <w:rPr>
                <w:rFonts w:cs="Arial"/>
                <w:color w:val="auto"/>
                <w:sz w:val="20"/>
                <w:szCs w:val="20"/>
              </w:rPr>
              <w:t xml:space="preserve">health </w:t>
            </w:r>
            <w:r w:rsidRPr="14F6EAFE">
              <w:rPr>
                <w:rFonts w:cs="Arial"/>
                <w:color w:val="auto"/>
                <w:sz w:val="20"/>
                <w:szCs w:val="20"/>
              </w:rPr>
              <w:t>care</w:t>
            </w:r>
            <w:r w:rsidRPr="009A09E8">
              <w:rPr>
                <w:rFonts w:cs="Arial"/>
                <w:iCs/>
                <w:color w:val="auto"/>
                <w:sz w:val="20"/>
                <w:szCs w:val="20"/>
              </w:rPr>
              <w:t xml:space="preserve"> and support for Aboriginal and Torres Strait Islander peoples </w:t>
            </w:r>
            <w:r w:rsidR="50873081" w:rsidRPr="063A95FE">
              <w:rPr>
                <w:rFonts w:cs="Arial"/>
                <w:color w:val="auto"/>
                <w:sz w:val="20"/>
                <w:szCs w:val="20"/>
              </w:rPr>
              <w:t>through</w:t>
            </w:r>
            <w:r w:rsidRPr="009A09E8">
              <w:rPr>
                <w:rFonts w:cs="Arial"/>
                <w:iCs/>
                <w:color w:val="auto"/>
                <w:sz w:val="20"/>
                <w:szCs w:val="20"/>
              </w:rPr>
              <w:t xml:space="preserve"> </w:t>
            </w:r>
            <w:r w:rsidR="312A90E3" w:rsidRPr="4798C500">
              <w:rPr>
                <w:rFonts w:cs="Arial"/>
                <w:color w:val="auto"/>
                <w:sz w:val="20"/>
                <w:szCs w:val="20"/>
              </w:rPr>
              <w:t xml:space="preserve">services coordinated or </w:t>
            </w:r>
            <w:r w:rsidRPr="347A2905">
              <w:rPr>
                <w:rFonts w:cs="Arial"/>
                <w:color w:val="auto"/>
                <w:sz w:val="20"/>
                <w:szCs w:val="20"/>
              </w:rPr>
              <w:t>commission</w:t>
            </w:r>
            <w:r w:rsidR="6A1EB1E1" w:rsidRPr="347A2905">
              <w:rPr>
                <w:rFonts w:cs="Arial"/>
                <w:color w:val="auto"/>
                <w:sz w:val="20"/>
                <w:szCs w:val="20"/>
              </w:rPr>
              <w:t>ed</w:t>
            </w:r>
            <w:r w:rsidRPr="009A09E8">
              <w:rPr>
                <w:rFonts w:cs="Arial"/>
                <w:iCs/>
                <w:color w:val="auto"/>
                <w:sz w:val="20"/>
                <w:szCs w:val="20"/>
              </w:rPr>
              <w:t xml:space="preserve"> by PHNs.</w:t>
            </w:r>
          </w:p>
        </w:tc>
        <w:tc>
          <w:tcPr>
            <w:tcW w:w="1329" w:type="dxa"/>
          </w:tcPr>
          <w:p w14:paraId="7CE21D67" w14:textId="63840812" w:rsidR="00B76B1D" w:rsidRDefault="00451BEC" w:rsidP="006A537F">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Pr>
                <w:rFonts w:cstheme="minorHAnsi"/>
                <w:iCs/>
                <w:color w:val="auto"/>
                <w:sz w:val="20"/>
                <w:szCs w:val="20"/>
              </w:rPr>
              <w:t>Long term</w:t>
            </w:r>
          </w:p>
        </w:tc>
      </w:tr>
      <w:tr w:rsidR="00081E87" w14:paraId="3719A593" w14:textId="77777777" w:rsidTr="00A0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1" w:type="dxa"/>
          </w:tcPr>
          <w:p w14:paraId="1C1CEEA5" w14:textId="088BE406" w:rsidR="00C14D67" w:rsidRPr="00A1019B" w:rsidRDefault="007A58A5" w:rsidP="00A1019B">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Invest in Aboriginal and Torres Strait Islander communities to lead community health needs assessments to strengthen decision-making on health service planning, design and delivery.</w:t>
            </w:r>
          </w:p>
        </w:tc>
        <w:tc>
          <w:tcPr>
            <w:tcW w:w="1268" w:type="dxa"/>
            <w:shd w:val="clear" w:color="auto" w:fill="92D050"/>
          </w:tcPr>
          <w:p w14:paraId="1CFBF76D" w14:textId="57A96ECD" w:rsidR="007A58A5" w:rsidRPr="00130A0C" w:rsidRDefault="007A58A5" w:rsidP="007A58A5">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Bidi"/>
                <w:b/>
                <w:bCs/>
                <w:color w:val="auto"/>
                <w:sz w:val="20"/>
                <w:szCs w:val="20"/>
              </w:rPr>
            </w:pPr>
            <w:r w:rsidRPr="00130A0C">
              <w:rPr>
                <w:rFonts w:cstheme="minorBidi"/>
                <w:b/>
                <w:bCs/>
                <w:color w:val="auto"/>
                <w:sz w:val="20"/>
                <w:szCs w:val="20"/>
              </w:rPr>
              <w:t>Agree</w:t>
            </w:r>
          </w:p>
        </w:tc>
        <w:tc>
          <w:tcPr>
            <w:tcW w:w="4422" w:type="dxa"/>
          </w:tcPr>
          <w:p w14:paraId="094FCF04" w14:textId="2CBAD49A" w:rsidR="00DF4E6F" w:rsidRPr="00520A5D" w:rsidRDefault="00806023" w:rsidP="007A58A5">
            <w:pPr>
              <w:spacing w:line="240" w:lineRule="auto"/>
              <w:cnfStyle w:val="000000100000" w:firstRow="0" w:lastRow="0" w:firstColumn="0" w:lastColumn="0" w:oddVBand="0" w:evenVBand="0" w:oddHBand="1" w:evenHBand="0" w:firstRowFirstColumn="0" w:firstRowLastColumn="0" w:lastRowFirstColumn="0" w:lastRowLastColumn="0"/>
              <w:rPr>
                <w:rFonts w:cstheme="minorBidi"/>
                <w:color w:val="auto"/>
                <w:sz w:val="20"/>
                <w:szCs w:val="20"/>
              </w:rPr>
            </w:pPr>
            <w:r w:rsidRPr="000D3468">
              <w:rPr>
                <w:rFonts w:cstheme="minorBidi"/>
                <w:color w:val="auto"/>
                <w:sz w:val="20"/>
                <w:szCs w:val="20"/>
              </w:rPr>
              <w:t xml:space="preserve">The </w:t>
            </w:r>
            <w:r w:rsidR="0073599A" w:rsidRPr="000D3468">
              <w:rPr>
                <w:rFonts w:cstheme="minorBidi"/>
                <w:color w:val="auto"/>
                <w:sz w:val="20"/>
                <w:szCs w:val="20"/>
              </w:rPr>
              <w:t>d</w:t>
            </w:r>
            <w:r w:rsidRPr="000D3468">
              <w:rPr>
                <w:rFonts w:cstheme="minorBidi"/>
                <w:color w:val="auto"/>
                <w:sz w:val="20"/>
                <w:szCs w:val="20"/>
              </w:rPr>
              <w:t xml:space="preserve">epartment recognises Aboriginal </w:t>
            </w:r>
            <w:r w:rsidR="00571817">
              <w:rPr>
                <w:rFonts w:cstheme="minorBidi"/>
                <w:color w:val="auto"/>
                <w:sz w:val="20"/>
                <w:szCs w:val="20"/>
              </w:rPr>
              <w:t xml:space="preserve">and Torres Strait Islander </w:t>
            </w:r>
            <w:r w:rsidRPr="000D3468">
              <w:rPr>
                <w:rFonts w:cstheme="minorBidi"/>
                <w:color w:val="auto"/>
                <w:sz w:val="20"/>
                <w:szCs w:val="20"/>
              </w:rPr>
              <w:t xml:space="preserve">community control in health services as a process which allows the local community to be involved in its affairs in accordance with protocols or procedures as determined by the community. Insofar as the IAHP provides funding for </w:t>
            </w:r>
            <w:r w:rsidR="000523B4">
              <w:rPr>
                <w:rFonts w:cstheme="minorBidi"/>
                <w:color w:val="auto"/>
                <w:sz w:val="20"/>
                <w:szCs w:val="20"/>
              </w:rPr>
              <w:t>ACCHSs</w:t>
            </w:r>
            <w:r w:rsidRPr="000D3468">
              <w:rPr>
                <w:rFonts w:cstheme="minorBidi"/>
                <w:color w:val="auto"/>
                <w:sz w:val="20"/>
                <w:szCs w:val="20"/>
              </w:rPr>
              <w:t xml:space="preserve"> to tailor services to meet the health needs of their communities, the </w:t>
            </w:r>
            <w:r w:rsidR="0073599A" w:rsidRPr="000D3468">
              <w:rPr>
                <w:rFonts w:cstheme="minorBidi"/>
                <w:color w:val="auto"/>
                <w:sz w:val="20"/>
                <w:szCs w:val="20"/>
              </w:rPr>
              <w:t>d</w:t>
            </w:r>
            <w:r w:rsidRPr="000D3468">
              <w:rPr>
                <w:rFonts w:cstheme="minorBidi"/>
                <w:color w:val="auto"/>
                <w:sz w:val="20"/>
                <w:szCs w:val="20"/>
              </w:rPr>
              <w:t>epartment will continue to invest in First Nations communities.</w:t>
            </w:r>
          </w:p>
        </w:tc>
        <w:tc>
          <w:tcPr>
            <w:tcW w:w="4422" w:type="dxa"/>
          </w:tcPr>
          <w:p w14:paraId="13390600" w14:textId="411E7F52" w:rsidR="003F1A21" w:rsidRDefault="003F1A21" w:rsidP="6D76C190">
            <w:pPr>
              <w:spacing w:line="240" w:lineRule="auto"/>
              <w:cnfStyle w:val="000000100000" w:firstRow="0" w:lastRow="0" w:firstColumn="0" w:lastColumn="0" w:oddVBand="0" w:evenVBand="0" w:oddHBand="1" w:evenHBand="0" w:firstRowFirstColumn="0" w:firstRowLastColumn="0" w:lastRowFirstColumn="0" w:lastRowLastColumn="0"/>
              <w:rPr>
                <w:rFonts w:cstheme="minorBidi"/>
                <w:color w:val="auto"/>
                <w:sz w:val="20"/>
                <w:szCs w:val="20"/>
              </w:rPr>
            </w:pPr>
            <w:r w:rsidRPr="6D76C190">
              <w:rPr>
                <w:rFonts w:cstheme="minorBidi"/>
                <w:color w:val="auto"/>
                <w:sz w:val="20"/>
                <w:szCs w:val="20"/>
              </w:rPr>
              <w:t xml:space="preserve">The department is working closely with </w:t>
            </w:r>
            <w:r w:rsidR="006A7649" w:rsidRPr="6D76C190">
              <w:rPr>
                <w:rFonts w:cstheme="minorBidi"/>
                <w:color w:val="auto"/>
                <w:sz w:val="20"/>
                <w:szCs w:val="20"/>
              </w:rPr>
              <w:t xml:space="preserve">NACCHO </w:t>
            </w:r>
            <w:r w:rsidRPr="6D76C190">
              <w:rPr>
                <w:rFonts w:cstheme="minorBidi"/>
                <w:color w:val="auto"/>
                <w:sz w:val="20"/>
                <w:szCs w:val="20"/>
              </w:rPr>
              <w:t xml:space="preserve">to deliver programs in partnership with the Community Controlled Sector, that give genuine effect to community led assessments that inform sector led service delivery. </w:t>
            </w:r>
            <w:r w:rsidR="00BF4916" w:rsidRPr="6D76C190">
              <w:rPr>
                <w:rFonts w:cstheme="minorBidi"/>
                <w:color w:val="auto"/>
                <w:sz w:val="20"/>
                <w:szCs w:val="20"/>
              </w:rPr>
              <w:t>This includes</w:t>
            </w:r>
            <w:r w:rsidR="00483A33" w:rsidRPr="6D76C190">
              <w:rPr>
                <w:rFonts w:cstheme="minorBidi"/>
                <w:color w:val="auto"/>
                <w:sz w:val="20"/>
                <w:szCs w:val="20"/>
              </w:rPr>
              <w:t xml:space="preserve"> work to address</w:t>
            </w:r>
            <w:r w:rsidR="00053080" w:rsidRPr="6D76C190">
              <w:rPr>
                <w:rFonts w:cstheme="minorBidi"/>
                <w:color w:val="auto"/>
                <w:sz w:val="20"/>
                <w:szCs w:val="20"/>
              </w:rPr>
              <w:t xml:space="preserve"> a range of issues, including rheumatic heart disease, ear health, dialysis services, and early childhood health outcomes.</w:t>
            </w:r>
          </w:p>
          <w:p w14:paraId="55C58BB1" w14:textId="79D70604" w:rsidR="000B3F55" w:rsidRPr="00657DE1" w:rsidRDefault="003F1A21" w:rsidP="00520A5D">
            <w:pPr>
              <w:spacing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20"/>
                <w:szCs w:val="20"/>
                <w:highlight w:val="yellow"/>
              </w:rPr>
            </w:pPr>
            <w:r w:rsidRPr="00B85BDD">
              <w:rPr>
                <w:rFonts w:cstheme="minorBidi"/>
                <w:color w:val="auto"/>
                <w:sz w:val="20"/>
                <w:szCs w:val="20"/>
              </w:rPr>
              <w:t xml:space="preserve">The department notes that the forthcoming </w:t>
            </w:r>
            <w:r w:rsidRPr="00530D1D">
              <w:rPr>
                <w:rFonts w:cstheme="minorBidi"/>
                <w:color w:val="auto"/>
                <w:sz w:val="20"/>
                <w:szCs w:val="20"/>
              </w:rPr>
              <w:t>NACCHO</w:t>
            </w:r>
            <w:r w:rsidRPr="00DA441B">
              <w:rPr>
                <w:rFonts w:cstheme="minorBidi"/>
                <w:i/>
                <w:iCs/>
                <w:color w:val="auto"/>
                <w:sz w:val="20"/>
                <w:szCs w:val="20"/>
              </w:rPr>
              <w:t xml:space="preserve"> </w:t>
            </w:r>
            <w:hyperlink r:id="rId33" w:history="1">
              <w:r w:rsidRPr="00A26D4C">
                <w:rPr>
                  <w:rStyle w:val="Hyperlink"/>
                  <w:rFonts w:cstheme="minorBidi"/>
                  <w:i/>
                  <w:iCs/>
                  <w:sz w:val="20"/>
                  <w:szCs w:val="20"/>
                </w:rPr>
                <w:t>Core Services and Outcomes Framework</w:t>
              </w:r>
            </w:hyperlink>
            <w:r w:rsidRPr="00B85BDD">
              <w:rPr>
                <w:rFonts w:cstheme="minorBidi"/>
                <w:color w:val="auto"/>
                <w:sz w:val="20"/>
                <w:szCs w:val="20"/>
              </w:rPr>
              <w:t xml:space="preserve"> will provide a standard with which First Nations health services could align to ensure consistent and coherent approaches to data development and management.</w:t>
            </w:r>
          </w:p>
        </w:tc>
        <w:tc>
          <w:tcPr>
            <w:tcW w:w="1329" w:type="dxa"/>
          </w:tcPr>
          <w:p w14:paraId="168CEAD5" w14:textId="7F80FFCF" w:rsidR="007A58A5" w:rsidRPr="001F757E" w:rsidRDefault="00806023" w:rsidP="007A58A5">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1F757E">
              <w:rPr>
                <w:rFonts w:cstheme="minorHAnsi"/>
                <w:color w:val="auto"/>
                <w:sz w:val="20"/>
                <w:szCs w:val="20"/>
              </w:rPr>
              <w:t xml:space="preserve">Ongoing / </w:t>
            </w:r>
            <w:r w:rsidR="007A58A5" w:rsidRPr="001F757E">
              <w:rPr>
                <w:rFonts w:cstheme="minorHAnsi"/>
                <w:color w:val="auto"/>
                <w:sz w:val="20"/>
                <w:szCs w:val="20"/>
              </w:rPr>
              <w:t>Medium-long term</w:t>
            </w:r>
          </w:p>
        </w:tc>
      </w:tr>
      <w:tr w:rsidR="00081E87" w14:paraId="0EC282B5" w14:textId="77777777" w:rsidTr="00A01960">
        <w:trPr>
          <w:jc w:val="center"/>
        </w:trPr>
        <w:tc>
          <w:tcPr>
            <w:cnfStyle w:val="001000000000" w:firstRow="0" w:lastRow="0" w:firstColumn="1" w:lastColumn="0" w:oddVBand="0" w:evenVBand="0" w:oddHBand="0" w:evenHBand="0" w:firstRowFirstColumn="0" w:firstRowLastColumn="0" w:lastRowFirstColumn="0" w:lastRowLastColumn="0"/>
            <w:tcW w:w="3381" w:type="dxa"/>
          </w:tcPr>
          <w:p w14:paraId="552E9766" w14:textId="39271658" w:rsidR="0001255D" w:rsidRPr="00A534D4" w:rsidRDefault="007A58A5" w:rsidP="00A534D4">
            <w:pPr>
              <w:pStyle w:val="ListParagraph"/>
              <w:numPr>
                <w:ilvl w:val="0"/>
                <w:numId w:val="31"/>
              </w:numPr>
              <w:spacing w:before="60" w:after="60" w:line="240" w:lineRule="auto"/>
              <w:ind w:left="314"/>
              <w:rPr>
                <w:rFonts w:eastAsia="Arial"/>
                <w:sz w:val="20"/>
                <w:szCs w:val="22"/>
              </w:rPr>
            </w:pPr>
            <w:r w:rsidRPr="000713A4">
              <w:rPr>
                <w:rFonts w:eastAsia="Arial"/>
                <w:iCs/>
                <w:sz w:val="20"/>
                <w:szCs w:val="22"/>
              </w:rPr>
              <w:t>Improve the relevance and use of IAHP data and reporting processes to support shared accountability and decision-making on health service planning, design and delivery.</w:t>
            </w:r>
          </w:p>
        </w:tc>
        <w:tc>
          <w:tcPr>
            <w:tcW w:w="1268" w:type="dxa"/>
            <w:shd w:val="clear" w:color="auto" w:fill="92D050"/>
          </w:tcPr>
          <w:p w14:paraId="777319C4" w14:textId="511D0558" w:rsidR="007A58A5" w:rsidRPr="003726E4" w:rsidRDefault="007A58A5" w:rsidP="007A58A5">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iCs/>
                <w:color w:val="auto"/>
                <w:sz w:val="20"/>
                <w:szCs w:val="20"/>
              </w:rPr>
            </w:pPr>
            <w:r w:rsidRPr="003726E4">
              <w:rPr>
                <w:rFonts w:cstheme="minorHAnsi"/>
                <w:b/>
                <w:bCs/>
                <w:iCs/>
                <w:color w:val="auto"/>
                <w:sz w:val="20"/>
                <w:szCs w:val="20"/>
              </w:rPr>
              <w:t>Agre</w:t>
            </w:r>
            <w:r>
              <w:rPr>
                <w:rFonts w:cstheme="minorHAnsi"/>
                <w:b/>
                <w:bCs/>
                <w:iCs/>
                <w:color w:val="auto"/>
                <w:sz w:val="20"/>
                <w:szCs w:val="20"/>
              </w:rPr>
              <w:t>e</w:t>
            </w:r>
          </w:p>
        </w:tc>
        <w:tc>
          <w:tcPr>
            <w:tcW w:w="4422" w:type="dxa"/>
          </w:tcPr>
          <w:p w14:paraId="6C4796BF" w14:textId="09C04F68" w:rsidR="008E73A1" w:rsidRDefault="008E73A1" w:rsidP="007A58A5">
            <w:pPr>
              <w:spacing w:line="240" w:lineRule="auto"/>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Pr>
                <w:rFonts w:cstheme="minorHAnsi"/>
                <w:iCs/>
                <w:color w:val="auto"/>
                <w:sz w:val="20"/>
                <w:szCs w:val="20"/>
              </w:rPr>
              <w:t xml:space="preserve">That department </w:t>
            </w:r>
            <w:r w:rsidR="00652D64">
              <w:rPr>
                <w:rFonts w:cstheme="minorHAnsi"/>
                <w:iCs/>
                <w:color w:val="auto"/>
                <w:sz w:val="20"/>
                <w:szCs w:val="20"/>
              </w:rPr>
              <w:t>agrees</w:t>
            </w:r>
            <w:r>
              <w:rPr>
                <w:rFonts w:cstheme="minorHAnsi"/>
                <w:iCs/>
                <w:color w:val="auto"/>
                <w:sz w:val="20"/>
                <w:szCs w:val="20"/>
              </w:rPr>
              <w:t xml:space="preserve"> that all IAHP data uphold </w:t>
            </w:r>
            <w:r w:rsidR="00652D64">
              <w:rPr>
                <w:rFonts w:cstheme="minorHAnsi"/>
                <w:iCs/>
                <w:color w:val="auto"/>
                <w:sz w:val="20"/>
                <w:szCs w:val="20"/>
              </w:rPr>
              <w:t>Governance of Indigenous Data principles.</w:t>
            </w:r>
          </w:p>
          <w:p w14:paraId="15B05BC2" w14:textId="2EF6A3B6" w:rsidR="007A58A5" w:rsidRDefault="007A58A5" w:rsidP="007A58A5">
            <w:pPr>
              <w:spacing w:line="240" w:lineRule="auto"/>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Pr>
                <w:rFonts w:cstheme="minorHAnsi"/>
                <w:iCs/>
                <w:color w:val="auto"/>
                <w:sz w:val="20"/>
                <w:szCs w:val="20"/>
              </w:rPr>
              <w:t xml:space="preserve">The </w:t>
            </w:r>
            <w:r w:rsidR="0073599A">
              <w:rPr>
                <w:rFonts w:cstheme="minorHAnsi"/>
                <w:iCs/>
                <w:color w:val="auto"/>
                <w:sz w:val="20"/>
                <w:szCs w:val="20"/>
              </w:rPr>
              <w:t>d</w:t>
            </w:r>
            <w:r w:rsidR="00A04470">
              <w:rPr>
                <w:rFonts w:cstheme="minorHAnsi"/>
                <w:iCs/>
                <w:color w:val="auto"/>
                <w:sz w:val="20"/>
                <w:szCs w:val="20"/>
              </w:rPr>
              <w:t>epartment’s</w:t>
            </w:r>
            <w:r>
              <w:rPr>
                <w:rFonts w:cstheme="minorHAnsi"/>
                <w:iCs/>
                <w:color w:val="auto"/>
                <w:sz w:val="20"/>
                <w:szCs w:val="20"/>
              </w:rPr>
              <w:t xml:space="preserve"> Health Data Portal Qlik dashboard, which provides health services with access to their n</w:t>
            </w:r>
            <w:r w:rsidR="00F624C6">
              <w:rPr>
                <w:rFonts w:cstheme="minorHAnsi"/>
                <w:iCs/>
                <w:color w:val="auto"/>
                <w:sz w:val="20"/>
                <w:szCs w:val="20"/>
              </w:rPr>
              <w:t xml:space="preserve">ational </w:t>
            </w:r>
            <w:r>
              <w:rPr>
                <w:rFonts w:cstheme="minorHAnsi"/>
                <w:iCs/>
                <w:color w:val="auto"/>
                <w:sz w:val="20"/>
                <w:szCs w:val="20"/>
              </w:rPr>
              <w:t>K</w:t>
            </w:r>
            <w:r w:rsidR="00F624C6">
              <w:rPr>
                <w:rFonts w:cstheme="minorHAnsi"/>
                <w:iCs/>
                <w:color w:val="auto"/>
                <w:sz w:val="20"/>
                <w:szCs w:val="20"/>
              </w:rPr>
              <w:t xml:space="preserve">ey </w:t>
            </w:r>
            <w:r>
              <w:rPr>
                <w:rFonts w:cstheme="minorHAnsi"/>
                <w:iCs/>
                <w:color w:val="auto"/>
                <w:sz w:val="20"/>
                <w:szCs w:val="20"/>
              </w:rPr>
              <w:t>P</w:t>
            </w:r>
            <w:r w:rsidR="00F624C6">
              <w:rPr>
                <w:rFonts w:cstheme="minorHAnsi"/>
                <w:iCs/>
                <w:color w:val="auto"/>
                <w:sz w:val="20"/>
                <w:szCs w:val="20"/>
              </w:rPr>
              <w:t xml:space="preserve">erformance </w:t>
            </w:r>
            <w:r>
              <w:rPr>
                <w:rFonts w:cstheme="minorHAnsi"/>
                <w:iCs/>
                <w:color w:val="auto"/>
                <w:sz w:val="20"/>
                <w:szCs w:val="20"/>
              </w:rPr>
              <w:t>I</w:t>
            </w:r>
            <w:r w:rsidR="00F624C6">
              <w:rPr>
                <w:rFonts w:cstheme="minorHAnsi"/>
                <w:iCs/>
                <w:color w:val="auto"/>
                <w:sz w:val="20"/>
                <w:szCs w:val="20"/>
              </w:rPr>
              <w:t>ndicator</w:t>
            </w:r>
            <w:r>
              <w:rPr>
                <w:rFonts w:cstheme="minorHAnsi"/>
                <w:iCs/>
                <w:color w:val="auto"/>
                <w:sz w:val="20"/>
                <w:szCs w:val="20"/>
              </w:rPr>
              <w:t xml:space="preserve"> and O</w:t>
            </w:r>
            <w:r w:rsidR="00F624C6">
              <w:rPr>
                <w:rFonts w:cstheme="minorHAnsi"/>
                <w:iCs/>
                <w:color w:val="auto"/>
                <w:sz w:val="20"/>
                <w:szCs w:val="20"/>
              </w:rPr>
              <w:t xml:space="preserve">nline </w:t>
            </w:r>
            <w:r>
              <w:rPr>
                <w:rFonts w:cstheme="minorHAnsi"/>
                <w:iCs/>
                <w:color w:val="auto"/>
                <w:sz w:val="20"/>
                <w:szCs w:val="20"/>
              </w:rPr>
              <w:t>S</w:t>
            </w:r>
            <w:r w:rsidR="00F624C6">
              <w:rPr>
                <w:rFonts w:cstheme="minorHAnsi"/>
                <w:iCs/>
                <w:color w:val="auto"/>
                <w:sz w:val="20"/>
                <w:szCs w:val="20"/>
              </w:rPr>
              <w:t xml:space="preserve">ervices </w:t>
            </w:r>
            <w:r>
              <w:rPr>
                <w:rFonts w:cstheme="minorHAnsi"/>
                <w:iCs/>
                <w:color w:val="auto"/>
                <w:sz w:val="20"/>
                <w:szCs w:val="20"/>
              </w:rPr>
              <w:t>R</w:t>
            </w:r>
            <w:r w:rsidR="00F624C6">
              <w:rPr>
                <w:rFonts w:cstheme="minorHAnsi"/>
                <w:iCs/>
                <w:color w:val="auto"/>
                <w:sz w:val="20"/>
                <w:szCs w:val="20"/>
              </w:rPr>
              <w:t>eport</w:t>
            </w:r>
            <w:r>
              <w:rPr>
                <w:rFonts w:cstheme="minorHAnsi"/>
                <w:iCs/>
                <w:color w:val="auto"/>
                <w:sz w:val="20"/>
                <w:szCs w:val="20"/>
              </w:rPr>
              <w:t xml:space="preserve"> data, was co-designed with First Nations health services.</w:t>
            </w:r>
            <w:r w:rsidR="00652D64">
              <w:rPr>
                <w:rFonts w:cstheme="minorHAnsi"/>
                <w:iCs/>
                <w:color w:val="auto"/>
                <w:sz w:val="20"/>
                <w:szCs w:val="20"/>
              </w:rPr>
              <w:t xml:space="preserve"> </w:t>
            </w:r>
            <w:r>
              <w:rPr>
                <w:rFonts w:cstheme="minorHAnsi"/>
                <w:iCs/>
                <w:color w:val="auto"/>
                <w:sz w:val="20"/>
                <w:szCs w:val="20"/>
              </w:rPr>
              <w:t xml:space="preserve">Through the dashboard, health services </w:t>
            </w:r>
            <w:r w:rsidR="000A29BF">
              <w:rPr>
                <w:rFonts w:cstheme="minorHAnsi"/>
                <w:iCs/>
                <w:color w:val="auto"/>
                <w:sz w:val="20"/>
                <w:szCs w:val="20"/>
              </w:rPr>
              <w:t>can</w:t>
            </w:r>
            <w:r>
              <w:rPr>
                <w:rFonts w:cstheme="minorHAnsi"/>
                <w:iCs/>
                <w:color w:val="auto"/>
                <w:sz w:val="20"/>
                <w:szCs w:val="20"/>
              </w:rPr>
              <w:t xml:space="preserve"> track and compare their data with consolidated data from similar health services, providing insights that can inform planning, design and delivery.</w:t>
            </w:r>
          </w:p>
        </w:tc>
        <w:tc>
          <w:tcPr>
            <w:tcW w:w="4422" w:type="dxa"/>
          </w:tcPr>
          <w:p w14:paraId="16AB7278" w14:textId="06F8FCA9" w:rsidR="007A58A5" w:rsidRDefault="007A58A5" w:rsidP="007A58A5">
            <w:pPr>
              <w:spacing w:line="240" w:lineRule="auto"/>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sidRPr="00765DF5">
              <w:rPr>
                <w:rFonts w:cstheme="minorHAnsi"/>
                <w:iCs/>
                <w:color w:val="auto"/>
                <w:sz w:val="20"/>
                <w:szCs w:val="20"/>
              </w:rPr>
              <w:t xml:space="preserve">The </w:t>
            </w:r>
            <w:r w:rsidR="0073599A">
              <w:rPr>
                <w:rFonts w:cstheme="minorHAnsi"/>
                <w:iCs/>
                <w:color w:val="auto"/>
                <w:sz w:val="20"/>
                <w:szCs w:val="20"/>
              </w:rPr>
              <w:t>d</w:t>
            </w:r>
            <w:r w:rsidRPr="00765DF5">
              <w:rPr>
                <w:rFonts w:cstheme="minorHAnsi"/>
                <w:iCs/>
                <w:color w:val="auto"/>
                <w:sz w:val="20"/>
                <w:szCs w:val="20"/>
              </w:rPr>
              <w:t>epartment will continue</w:t>
            </w:r>
            <w:r w:rsidRPr="00DC637E">
              <w:rPr>
                <w:rFonts w:cstheme="minorHAnsi"/>
                <w:iCs/>
                <w:color w:val="auto"/>
                <w:sz w:val="20"/>
                <w:szCs w:val="20"/>
              </w:rPr>
              <w:t xml:space="preserve"> working with </w:t>
            </w:r>
            <w:r w:rsidRPr="00765DF5">
              <w:rPr>
                <w:rFonts w:cstheme="minorHAnsi"/>
                <w:iCs/>
                <w:color w:val="auto"/>
                <w:sz w:val="20"/>
                <w:szCs w:val="20"/>
              </w:rPr>
              <w:t xml:space="preserve">health services </w:t>
            </w:r>
            <w:r w:rsidRPr="00DC637E">
              <w:rPr>
                <w:rFonts w:cstheme="minorHAnsi"/>
                <w:iCs/>
                <w:color w:val="auto"/>
                <w:sz w:val="20"/>
                <w:szCs w:val="20"/>
              </w:rPr>
              <w:t xml:space="preserve">to increase </w:t>
            </w:r>
            <w:r w:rsidR="00774E75">
              <w:rPr>
                <w:rFonts w:cstheme="minorHAnsi"/>
                <w:iCs/>
                <w:color w:val="auto"/>
                <w:sz w:val="20"/>
                <w:szCs w:val="20"/>
              </w:rPr>
              <w:t xml:space="preserve">the relevance </w:t>
            </w:r>
            <w:r w:rsidR="00143686">
              <w:rPr>
                <w:rFonts w:cstheme="minorHAnsi"/>
                <w:iCs/>
                <w:color w:val="auto"/>
                <w:sz w:val="20"/>
                <w:szCs w:val="20"/>
              </w:rPr>
              <w:t>and</w:t>
            </w:r>
            <w:r w:rsidR="00774E75">
              <w:rPr>
                <w:rFonts w:cstheme="minorHAnsi"/>
                <w:iCs/>
                <w:color w:val="auto"/>
                <w:sz w:val="20"/>
                <w:szCs w:val="20"/>
              </w:rPr>
              <w:t xml:space="preserve"> </w:t>
            </w:r>
            <w:r w:rsidRPr="00DC637E">
              <w:rPr>
                <w:rFonts w:cstheme="minorHAnsi"/>
                <w:iCs/>
                <w:color w:val="auto"/>
                <w:sz w:val="20"/>
                <w:szCs w:val="20"/>
              </w:rPr>
              <w:t>understanding of, and engagement with, the</w:t>
            </w:r>
            <w:r w:rsidRPr="00765DF5">
              <w:rPr>
                <w:rFonts w:cstheme="minorHAnsi"/>
                <w:iCs/>
                <w:color w:val="auto"/>
                <w:sz w:val="20"/>
                <w:szCs w:val="20"/>
              </w:rPr>
              <w:t xml:space="preserve"> IAHP data collectio</w:t>
            </w:r>
            <w:r w:rsidRPr="00DC637E">
              <w:rPr>
                <w:rFonts w:cstheme="minorHAnsi"/>
                <w:iCs/>
                <w:color w:val="auto"/>
                <w:sz w:val="20"/>
                <w:szCs w:val="20"/>
              </w:rPr>
              <w:t>n</w:t>
            </w:r>
            <w:r w:rsidRPr="00765DF5">
              <w:rPr>
                <w:rFonts w:cstheme="minorHAnsi"/>
                <w:iCs/>
                <w:color w:val="auto"/>
                <w:sz w:val="20"/>
                <w:szCs w:val="20"/>
              </w:rPr>
              <w:t>, particularly regarding the potential of the Health Data Portal Qlik dashboard to contribute to planning, design and delivery of health services.</w:t>
            </w:r>
          </w:p>
          <w:p w14:paraId="29BCD627" w14:textId="458FED79" w:rsidR="007A58A5" w:rsidRDefault="00956E85" w:rsidP="007A58A5">
            <w:pPr>
              <w:spacing w:line="240" w:lineRule="auto"/>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Pr>
                <w:rFonts w:cstheme="minorHAnsi"/>
                <w:iCs/>
                <w:color w:val="auto"/>
                <w:sz w:val="20"/>
                <w:szCs w:val="20"/>
              </w:rPr>
              <w:t xml:space="preserve">The </w:t>
            </w:r>
            <w:r w:rsidR="0073599A">
              <w:rPr>
                <w:rFonts w:cstheme="minorHAnsi"/>
                <w:iCs/>
                <w:color w:val="auto"/>
                <w:sz w:val="20"/>
                <w:szCs w:val="20"/>
              </w:rPr>
              <w:t>d</w:t>
            </w:r>
            <w:r>
              <w:rPr>
                <w:rFonts w:cstheme="minorHAnsi"/>
                <w:iCs/>
                <w:color w:val="auto"/>
                <w:sz w:val="20"/>
                <w:szCs w:val="20"/>
              </w:rPr>
              <w:t xml:space="preserve">epartment is committed to ensuring appropriate governance of First Nations data </w:t>
            </w:r>
            <w:r w:rsidR="00053B67">
              <w:rPr>
                <w:rFonts w:cstheme="minorHAnsi"/>
                <w:iCs/>
                <w:color w:val="auto"/>
                <w:sz w:val="20"/>
                <w:szCs w:val="20"/>
              </w:rPr>
              <w:t>aligned to</w:t>
            </w:r>
            <w:r>
              <w:rPr>
                <w:rFonts w:cstheme="minorHAnsi"/>
                <w:iCs/>
                <w:color w:val="auto"/>
                <w:sz w:val="20"/>
                <w:szCs w:val="20"/>
              </w:rPr>
              <w:t xml:space="preserve"> the </w:t>
            </w:r>
            <w:r w:rsidRPr="00366952">
              <w:rPr>
                <w:rFonts w:cstheme="minorHAnsi"/>
                <w:iCs/>
                <w:color w:val="auto"/>
                <w:sz w:val="20"/>
                <w:szCs w:val="20"/>
              </w:rPr>
              <w:t>APS</w:t>
            </w:r>
            <w:r w:rsidRPr="00DC637E">
              <w:rPr>
                <w:rFonts w:cstheme="minorHAnsi"/>
                <w:i/>
                <w:color w:val="auto"/>
                <w:sz w:val="20"/>
                <w:szCs w:val="20"/>
              </w:rPr>
              <w:t xml:space="preserve"> </w:t>
            </w:r>
            <w:hyperlink r:id="rId34" w:history="1">
              <w:r w:rsidRPr="00366952">
                <w:rPr>
                  <w:rStyle w:val="Hyperlink"/>
                  <w:rFonts w:cstheme="minorHAnsi"/>
                  <w:i/>
                  <w:sz w:val="20"/>
                  <w:szCs w:val="20"/>
                </w:rPr>
                <w:t>Framework for Governance of Indigenous Data</w:t>
              </w:r>
            </w:hyperlink>
            <w:r>
              <w:rPr>
                <w:rFonts w:cstheme="minorHAnsi"/>
                <w:iCs/>
                <w:color w:val="auto"/>
                <w:sz w:val="20"/>
                <w:szCs w:val="20"/>
              </w:rPr>
              <w:t>.</w:t>
            </w:r>
          </w:p>
        </w:tc>
        <w:tc>
          <w:tcPr>
            <w:tcW w:w="1329" w:type="dxa"/>
          </w:tcPr>
          <w:p w14:paraId="4C70643E" w14:textId="4B5EE1F9" w:rsidR="007A58A5" w:rsidRDefault="007A58A5" w:rsidP="007A58A5">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Pr>
                <w:rFonts w:cstheme="minorHAnsi"/>
                <w:iCs/>
                <w:color w:val="auto"/>
                <w:sz w:val="20"/>
                <w:szCs w:val="20"/>
              </w:rPr>
              <w:t>Ongoing</w:t>
            </w:r>
            <w:r w:rsidR="009D5141">
              <w:rPr>
                <w:rFonts w:cstheme="minorHAnsi"/>
                <w:iCs/>
                <w:color w:val="auto"/>
                <w:sz w:val="20"/>
                <w:szCs w:val="20"/>
              </w:rPr>
              <w:t xml:space="preserve"> / medium term</w:t>
            </w:r>
          </w:p>
        </w:tc>
      </w:tr>
      <w:tr w:rsidR="00081E87" w14:paraId="07BFCD61" w14:textId="77777777" w:rsidTr="00A0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1" w:type="dxa"/>
          </w:tcPr>
          <w:p w14:paraId="4631F4BD" w14:textId="0B5645A5" w:rsidR="00A21CA6" w:rsidRPr="00986D2F" w:rsidRDefault="007A58A5" w:rsidP="00986D2F">
            <w:pPr>
              <w:pStyle w:val="ListParagraph"/>
              <w:numPr>
                <w:ilvl w:val="0"/>
                <w:numId w:val="31"/>
              </w:numPr>
              <w:spacing w:before="60" w:after="60" w:line="240" w:lineRule="auto"/>
              <w:ind w:left="314"/>
              <w:rPr>
                <w:rFonts w:eastAsia="Arial"/>
                <w:sz w:val="20"/>
                <w:szCs w:val="20"/>
              </w:rPr>
            </w:pPr>
            <w:r w:rsidRPr="35995B07">
              <w:rPr>
                <w:rFonts w:eastAsia="Arial"/>
                <w:sz w:val="20"/>
                <w:szCs w:val="20"/>
              </w:rPr>
              <w:t xml:space="preserve">The Department of Health and Aged Care to provide active and continuous leadership and management of the </w:t>
            </w:r>
            <w:r w:rsidRPr="35995B07">
              <w:rPr>
                <w:rFonts w:eastAsia="Arial"/>
                <w:sz w:val="20"/>
                <w:szCs w:val="20"/>
              </w:rPr>
              <w:lastRenderedPageBreak/>
              <w:t>ongoing implementation of the IAHP, including regular reporting to partners on progress against the co-design investment strategy.</w:t>
            </w:r>
          </w:p>
        </w:tc>
        <w:tc>
          <w:tcPr>
            <w:tcW w:w="1268" w:type="dxa"/>
            <w:shd w:val="clear" w:color="auto" w:fill="FFC000"/>
          </w:tcPr>
          <w:p w14:paraId="0586BEAC" w14:textId="047E1BC4" w:rsidR="007A58A5" w:rsidRPr="003726E4" w:rsidRDefault="001F757E" w:rsidP="007A58A5">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Cs/>
                <w:color w:val="auto"/>
                <w:sz w:val="20"/>
                <w:szCs w:val="20"/>
              </w:rPr>
            </w:pPr>
            <w:r>
              <w:rPr>
                <w:rFonts w:cstheme="minorHAnsi"/>
                <w:b/>
                <w:bCs/>
                <w:iCs/>
                <w:color w:val="auto"/>
                <w:sz w:val="20"/>
                <w:szCs w:val="20"/>
              </w:rPr>
              <w:lastRenderedPageBreak/>
              <w:t>Partially agree</w:t>
            </w:r>
          </w:p>
        </w:tc>
        <w:tc>
          <w:tcPr>
            <w:tcW w:w="4422" w:type="dxa"/>
          </w:tcPr>
          <w:p w14:paraId="606BEDEE" w14:textId="2F7708C8" w:rsidR="00F73663" w:rsidRPr="00F73663" w:rsidRDefault="00F73663" w:rsidP="57FD5D65">
            <w:pPr>
              <w:spacing w:line="240" w:lineRule="auto"/>
              <w:cnfStyle w:val="000000100000" w:firstRow="0" w:lastRow="0" w:firstColumn="0" w:lastColumn="0" w:oddVBand="0" w:evenVBand="0" w:oddHBand="1" w:evenHBand="0" w:firstRowFirstColumn="0" w:firstRowLastColumn="0" w:lastRowFirstColumn="0" w:lastRowLastColumn="0"/>
              <w:rPr>
                <w:rFonts w:cstheme="minorBidi"/>
                <w:color w:val="auto"/>
                <w:sz w:val="20"/>
                <w:szCs w:val="20"/>
              </w:rPr>
            </w:pPr>
            <w:r w:rsidRPr="57FD5D65">
              <w:rPr>
                <w:rFonts w:cstheme="minorBidi"/>
                <w:color w:val="auto"/>
                <w:sz w:val="20"/>
                <w:szCs w:val="20"/>
              </w:rPr>
              <w:t xml:space="preserve">The department </w:t>
            </w:r>
            <w:r w:rsidR="00D3108D" w:rsidRPr="57FD5D65">
              <w:rPr>
                <w:rFonts w:cstheme="minorBidi"/>
                <w:color w:val="auto"/>
                <w:sz w:val="20"/>
                <w:szCs w:val="20"/>
              </w:rPr>
              <w:t xml:space="preserve">publishes </w:t>
            </w:r>
            <w:r w:rsidRPr="57FD5D65">
              <w:rPr>
                <w:rFonts w:cstheme="minorBidi"/>
                <w:color w:val="auto"/>
                <w:sz w:val="20"/>
                <w:szCs w:val="20"/>
              </w:rPr>
              <w:t xml:space="preserve">performance information </w:t>
            </w:r>
            <w:r w:rsidR="00702847" w:rsidRPr="57FD5D65">
              <w:rPr>
                <w:rFonts w:cstheme="minorBidi"/>
                <w:color w:val="auto"/>
                <w:sz w:val="20"/>
                <w:szCs w:val="20"/>
              </w:rPr>
              <w:t xml:space="preserve">annually </w:t>
            </w:r>
            <w:r w:rsidRPr="57FD5D65">
              <w:rPr>
                <w:rFonts w:cstheme="minorBidi"/>
                <w:color w:val="auto"/>
                <w:sz w:val="20"/>
                <w:szCs w:val="20"/>
              </w:rPr>
              <w:t xml:space="preserve">in the </w:t>
            </w:r>
            <w:r w:rsidR="005C0BA9" w:rsidRPr="57FD5D65">
              <w:rPr>
                <w:rFonts w:cstheme="minorBidi"/>
                <w:color w:val="auto"/>
                <w:sz w:val="20"/>
                <w:szCs w:val="20"/>
              </w:rPr>
              <w:t xml:space="preserve">Corporate Plan and </w:t>
            </w:r>
            <w:r w:rsidR="00702847" w:rsidRPr="57FD5D65">
              <w:rPr>
                <w:rFonts w:cstheme="minorBidi"/>
                <w:color w:val="auto"/>
                <w:sz w:val="20"/>
                <w:szCs w:val="20"/>
              </w:rPr>
              <w:t>the</w:t>
            </w:r>
            <w:r w:rsidRPr="57FD5D65">
              <w:rPr>
                <w:rFonts w:cstheme="minorBidi"/>
                <w:color w:val="auto"/>
                <w:sz w:val="20"/>
                <w:szCs w:val="20"/>
              </w:rPr>
              <w:t xml:space="preserve"> Portfolio Budget Statement.</w:t>
            </w:r>
          </w:p>
          <w:p w14:paraId="46BA9384" w14:textId="1AEB9029" w:rsidR="007A58A5" w:rsidRDefault="00F73663" w:rsidP="57FD5D65">
            <w:pPr>
              <w:spacing w:line="240" w:lineRule="auto"/>
              <w:cnfStyle w:val="000000100000" w:firstRow="0" w:lastRow="0" w:firstColumn="0" w:lastColumn="0" w:oddVBand="0" w:evenVBand="0" w:oddHBand="1" w:evenHBand="0" w:firstRowFirstColumn="0" w:firstRowLastColumn="0" w:lastRowFirstColumn="0" w:lastRowLastColumn="0"/>
              <w:rPr>
                <w:rFonts w:cstheme="minorBidi"/>
                <w:color w:val="auto"/>
                <w:sz w:val="20"/>
                <w:szCs w:val="20"/>
              </w:rPr>
            </w:pPr>
            <w:r w:rsidRPr="57FD5D65">
              <w:rPr>
                <w:rFonts w:cstheme="minorBidi"/>
                <w:color w:val="auto"/>
                <w:sz w:val="20"/>
                <w:szCs w:val="20"/>
              </w:rPr>
              <w:lastRenderedPageBreak/>
              <w:t xml:space="preserve">The </w:t>
            </w:r>
            <w:r w:rsidR="009E4056" w:rsidRPr="57FD5D65">
              <w:rPr>
                <w:rFonts w:cstheme="minorBidi"/>
                <w:color w:val="auto"/>
                <w:sz w:val="20"/>
                <w:szCs w:val="20"/>
              </w:rPr>
              <w:t>d</w:t>
            </w:r>
            <w:r w:rsidR="005235AE" w:rsidRPr="57FD5D65">
              <w:rPr>
                <w:rFonts w:cstheme="minorBidi"/>
                <w:color w:val="auto"/>
                <w:sz w:val="20"/>
                <w:szCs w:val="20"/>
              </w:rPr>
              <w:t xml:space="preserve">epartment’s </w:t>
            </w:r>
            <w:hyperlink r:id="rId35" w:history="1">
              <w:r w:rsidR="6D04AAFB" w:rsidRPr="00777E15">
                <w:rPr>
                  <w:rStyle w:val="Hyperlink"/>
                  <w:rFonts w:cstheme="minorBidi"/>
                  <w:i/>
                  <w:iCs/>
                  <w:sz w:val="20"/>
                  <w:szCs w:val="20"/>
                </w:rPr>
                <w:t>2024-25 Corporate Plan</w:t>
              </w:r>
            </w:hyperlink>
            <w:r w:rsidR="6D04AAFB" w:rsidRPr="00777E15">
              <w:rPr>
                <w:rFonts w:cstheme="minorBidi"/>
                <w:i/>
                <w:iCs/>
                <w:color w:val="auto"/>
                <w:sz w:val="20"/>
                <w:szCs w:val="20"/>
              </w:rPr>
              <w:t xml:space="preserve"> </w:t>
            </w:r>
            <w:hyperlink r:id="rId36" w:history="1"/>
            <w:r w:rsidR="005235AE" w:rsidRPr="00777E15">
              <w:rPr>
                <w:rFonts w:cstheme="minorBidi"/>
                <w:i/>
                <w:iCs/>
                <w:color w:val="auto"/>
                <w:sz w:val="20"/>
                <w:szCs w:val="20"/>
              </w:rPr>
              <w:t xml:space="preserve"> </w:t>
            </w:r>
            <w:r w:rsidR="005235AE" w:rsidRPr="57FD5D65">
              <w:rPr>
                <w:rFonts w:cstheme="minorBidi"/>
                <w:color w:val="auto"/>
                <w:sz w:val="20"/>
                <w:szCs w:val="20"/>
              </w:rPr>
              <w:t xml:space="preserve">includes a </w:t>
            </w:r>
            <w:r w:rsidRPr="57FD5D65">
              <w:rPr>
                <w:rFonts w:cstheme="minorBidi"/>
                <w:color w:val="auto"/>
                <w:sz w:val="20"/>
                <w:szCs w:val="20"/>
              </w:rPr>
              <w:t>performance measure directly relate</w:t>
            </w:r>
            <w:r w:rsidR="005235AE" w:rsidRPr="57FD5D65">
              <w:rPr>
                <w:rFonts w:cstheme="minorBidi"/>
                <w:color w:val="auto"/>
                <w:sz w:val="20"/>
                <w:szCs w:val="20"/>
              </w:rPr>
              <w:t>d</w:t>
            </w:r>
            <w:r w:rsidRPr="57FD5D65">
              <w:rPr>
                <w:rFonts w:cstheme="minorBidi"/>
                <w:color w:val="auto"/>
                <w:sz w:val="20"/>
                <w:szCs w:val="20"/>
              </w:rPr>
              <w:t xml:space="preserve"> to grow</w:t>
            </w:r>
            <w:r w:rsidR="6376DC3B" w:rsidRPr="57FD5D65">
              <w:rPr>
                <w:rFonts w:cstheme="minorBidi"/>
                <w:color w:val="auto"/>
                <w:sz w:val="20"/>
                <w:szCs w:val="20"/>
              </w:rPr>
              <w:t>ing</w:t>
            </w:r>
            <w:r w:rsidRPr="57FD5D65">
              <w:rPr>
                <w:rFonts w:cstheme="minorBidi"/>
                <w:color w:val="auto"/>
                <w:sz w:val="20"/>
                <w:szCs w:val="20"/>
              </w:rPr>
              <w:t xml:space="preserve"> </w:t>
            </w:r>
            <w:r w:rsidR="0025A41D" w:rsidRPr="57FD5D65">
              <w:rPr>
                <w:rFonts w:cstheme="minorBidi"/>
                <w:color w:val="auto"/>
                <w:sz w:val="20"/>
                <w:szCs w:val="20"/>
              </w:rPr>
              <w:t xml:space="preserve">IAHP </w:t>
            </w:r>
            <w:r w:rsidR="7C583714" w:rsidRPr="57FD5D65">
              <w:rPr>
                <w:rFonts w:cstheme="minorBidi"/>
                <w:color w:val="auto"/>
                <w:sz w:val="20"/>
                <w:szCs w:val="20"/>
              </w:rPr>
              <w:t>investment in culturally appropriate health care</w:t>
            </w:r>
            <w:r w:rsidRPr="57FD5D65">
              <w:rPr>
                <w:rFonts w:cstheme="minorBidi"/>
                <w:color w:val="auto"/>
                <w:sz w:val="20"/>
                <w:szCs w:val="20"/>
              </w:rPr>
              <w:t xml:space="preserve"> through </w:t>
            </w:r>
            <w:r w:rsidR="00053B67" w:rsidRPr="57FD5D65">
              <w:rPr>
                <w:rFonts w:cstheme="minorBidi"/>
                <w:color w:val="auto"/>
                <w:sz w:val="20"/>
                <w:szCs w:val="20"/>
              </w:rPr>
              <w:t>ACC</w:t>
            </w:r>
            <w:r w:rsidR="005446CC">
              <w:rPr>
                <w:rFonts w:cstheme="minorBidi"/>
                <w:color w:val="auto"/>
                <w:sz w:val="20"/>
                <w:szCs w:val="20"/>
              </w:rPr>
              <w:t>O</w:t>
            </w:r>
            <w:r w:rsidR="00053B67" w:rsidRPr="57FD5D65">
              <w:rPr>
                <w:rFonts w:cstheme="minorBidi"/>
                <w:color w:val="auto"/>
                <w:sz w:val="20"/>
                <w:szCs w:val="20"/>
              </w:rPr>
              <w:t>s</w:t>
            </w:r>
            <w:r w:rsidR="1F24F00A" w:rsidRPr="57FD5D65">
              <w:rPr>
                <w:rFonts w:cstheme="minorBidi"/>
                <w:color w:val="auto"/>
                <w:sz w:val="20"/>
                <w:szCs w:val="20"/>
              </w:rPr>
              <w:t>:</w:t>
            </w:r>
          </w:p>
          <w:p w14:paraId="1D4D6EF4" w14:textId="43820A26" w:rsidR="00445C74" w:rsidRPr="00F4026B" w:rsidRDefault="00534F8F" w:rsidP="004F6DEC">
            <w:pPr>
              <w:spacing w:line="240" w:lineRule="auto"/>
              <w:cnfStyle w:val="000000100000" w:firstRow="0" w:lastRow="0" w:firstColumn="0" w:lastColumn="0" w:oddVBand="0" w:evenVBand="0" w:oddHBand="1" w:evenHBand="0" w:firstRowFirstColumn="0" w:firstRowLastColumn="0" w:lastRowFirstColumn="0" w:lastRowLastColumn="0"/>
              <w:rPr>
                <w:rFonts w:cstheme="minorHAnsi"/>
                <w:i/>
                <w:color w:val="auto"/>
                <w:sz w:val="20"/>
                <w:szCs w:val="20"/>
              </w:rPr>
            </w:pPr>
            <w:r w:rsidRPr="00F4026B">
              <w:rPr>
                <w:rFonts w:cstheme="minorHAnsi"/>
                <w:i/>
                <w:color w:val="auto"/>
                <w:sz w:val="20"/>
                <w:szCs w:val="20"/>
              </w:rPr>
              <w:t>Increase the percentage of annual Indigenous Australians’ Health Programme (IAHP) funding directed to Aboriginal and Torres Strait Islander Community Controlled Organisations</w:t>
            </w:r>
            <w:r w:rsidR="00D56CFB">
              <w:rPr>
                <w:rFonts w:cstheme="minorHAnsi"/>
                <w:i/>
                <w:color w:val="auto"/>
                <w:sz w:val="20"/>
                <w:szCs w:val="20"/>
              </w:rPr>
              <w:t xml:space="preserve"> (ACCOs)</w:t>
            </w:r>
            <w:r w:rsidRPr="00F4026B">
              <w:rPr>
                <w:rFonts w:cstheme="minorHAnsi"/>
                <w:i/>
                <w:color w:val="auto"/>
                <w:sz w:val="20"/>
                <w:szCs w:val="20"/>
              </w:rPr>
              <w:t>.</w:t>
            </w:r>
          </w:p>
        </w:tc>
        <w:tc>
          <w:tcPr>
            <w:tcW w:w="4422" w:type="dxa"/>
          </w:tcPr>
          <w:p w14:paraId="00299F28" w14:textId="6317A6E7" w:rsidR="00587B7D" w:rsidRPr="0007248C" w:rsidRDefault="00E44DA2" w:rsidP="57FD5D65">
            <w:pPr>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7FD5D65">
              <w:rPr>
                <w:rFonts w:cs="Arial"/>
                <w:color w:val="auto"/>
                <w:sz w:val="20"/>
                <w:szCs w:val="20"/>
              </w:rPr>
              <w:lastRenderedPageBreak/>
              <w:t xml:space="preserve">The department </w:t>
            </w:r>
            <w:r w:rsidR="1B9D0453" w:rsidRPr="57FD5D65">
              <w:rPr>
                <w:rFonts w:cs="Arial"/>
                <w:color w:val="auto"/>
                <w:sz w:val="20"/>
                <w:szCs w:val="20"/>
              </w:rPr>
              <w:t>continue</w:t>
            </w:r>
            <w:r w:rsidR="00006426">
              <w:rPr>
                <w:rFonts w:cs="Arial"/>
                <w:color w:val="auto"/>
                <w:sz w:val="20"/>
                <w:szCs w:val="20"/>
              </w:rPr>
              <w:t>s</w:t>
            </w:r>
            <w:r w:rsidR="1B9D0453" w:rsidRPr="57FD5D65">
              <w:rPr>
                <w:rFonts w:cs="Arial"/>
                <w:color w:val="auto"/>
                <w:sz w:val="20"/>
                <w:szCs w:val="20"/>
              </w:rPr>
              <w:t xml:space="preserve"> to strengthen </w:t>
            </w:r>
            <w:r w:rsidR="74D12920" w:rsidRPr="57FD5D65">
              <w:rPr>
                <w:rFonts w:cs="Arial"/>
                <w:color w:val="auto"/>
                <w:sz w:val="20"/>
                <w:szCs w:val="20"/>
              </w:rPr>
              <w:t xml:space="preserve">performance </w:t>
            </w:r>
            <w:r w:rsidR="1B9D0453" w:rsidRPr="57FD5D65">
              <w:rPr>
                <w:rFonts w:cs="Arial"/>
                <w:color w:val="auto"/>
                <w:sz w:val="20"/>
                <w:szCs w:val="20"/>
              </w:rPr>
              <w:t>reporting</w:t>
            </w:r>
            <w:r w:rsidR="00006426">
              <w:rPr>
                <w:rFonts w:cs="Arial"/>
                <w:color w:val="auto"/>
                <w:sz w:val="20"/>
                <w:szCs w:val="20"/>
              </w:rPr>
              <w:t xml:space="preserve"> through its annual performance statements audit</w:t>
            </w:r>
            <w:r w:rsidR="0035073B">
              <w:rPr>
                <w:rFonts w:cs="Arial"/>
                <w:color w:val="auto"/>
                <w:sz w:val="20"/>
                <w:szCs w:val="20"/>
              </w:rPr>
              <w:t xml:space="preserve"> processes</w:t>
            </w:r>
            <w:r w:rsidR="1B9D0453" w:rsidRPr="57FD5D65">
              <w:rPr>
                <w:rFonts w:cs="Arial"/>
                <w:color w:val="auto"/>
                <w:sz w:val="20"/>
                <w:szCs w:val="20"/>
              </w:rPr>
              <w:t xml:space="preserve">. </w:t>
            </w:r>
          </w:p>
          <w:p w14:paraId="320B365E" w14:textId="081E7CC6" w:rsidR="00587B7D" w:rsidRPr="0007248C" w:rsidRDefault="1B9D0453" w:rsidP="009B6D4A">
            <w:pPr>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57FD5D65">
              <w:rPr>
                <w:rFonts w:cs="Arial"/>
                <w:color w:val="auto"/>
                <w:sz w:val="20"/>
                <w:szCs w:val="20"/>
              </w:rPr>
              <w:lastRenderedPageBreak/>
              <w:t xml:space="preserve">The department </w:t>
            </w:r>
            <w:r w:rsidR="00E44DA2" w:rsidRPr="57FD5D65">
              <w:rPr>
                <w:rFonts w:cs="Arial"/>
                <w:color w:val="auto"/>
                <w:sz w:val="20"/>
                <w:szCs w:val="20"/>
              </w:rPr>
              <w:t xml:space="preserve">will continue </w:t>
            </w:r>
            <w:r w:rsidR="00C62A74" w:rsidRPr="57FD5D65">
              <w:rPr>
                <w:rFonts w:cs="Arial"/>
                <w:color w:val="auto"/>
                <w:sz w:val="20"/>
                <w:szCs w:val="20"/>
              </w:rPr>
              <w:t xml:space="preserve">to provide </w:t>
            </w:r>
            <w:r w:rsidR="004E6D4D" w:rsidRPr="57FD5D65">
              <w:rPr>
                <w:rFonts w:cs="Arial"/>
                <w:color w:val="auto"/>
                <w:sz w:val="20"/>
                <w:szCs w:val="20"/>
              </w:rPr>
              <w:t xml:space="preserve">leadership </w:t>
            </w:r>
            <w:r w:rsidR="00CB17D0" w:rsidRPr="57FD5D65">
              <w:rPr>
                <w:rFonts w:cs="Arial"/>
                <w:color w:val="auto"/>
                <w:sz w:val="20"/>
                <w:szCs w:val="20"/>
              </w:rPr>
              <w:t>over</w:t>
            </w:r>
            <w:r w:rsidR="00C62A74" w:rsidRPr="57FD5D65">
              <w:rPr>
                <w:rFonts w:cs="Arial"/>
                <w:color w:val="auto"/>
                <w:sz w:val="20"/>
                <w:szCs w:val="20"/>
              </w:rPr>
              <w:t xml:space="preserve"> </w:t>
            </w:r>
            <w:r w:rsidR="00C821C6" w:rsidRPr="57FD5D65">
              <w:rPr>
                <w:rFonts w:cs="Arial"/>
                <w:color w:val="auto"/>
                <w:sz w:val="20"/>
                <w:szCs w:val="20"/>
              </w:rPr>
              <w:t>the management of the IAHP</w:t>
            </w:r>
            <w:r w:rsidR="00B809E8" w:rsidRPr="57FD5D65">
              <w:rPr>
                <w:rFonts w:cs="Arial"/>
                <w:color w:val="auto"/>
                <w:sz w:val="20"/>
                <w:szCs w:val="20"/>
              </w:rPr>
              <w:t>, including</w:t>
            </w:r>
            <w:r w:rsidR="0007248C" w:rsidRPr="57FD5D65">
              <w:rPr>
                <w:rFonts w:cs="Arial"/>
                <w:color w:val="auto"/>
                <w:sz w:val="20"/>
                <w:szCs w:val="20"/>
              </w:rPr>
              <w:t xml:space="preserve"> </w:t>
            </w:r>
            <w:r w:rsidR="00E33F9F" w:rsidRPr="57FD5D65">
              <w:rPr>
                <w:rFonts w:cs="Arial"/>
                <w:color w:val="auto"/>
                <w:sz w:val="20"/>
                <w:szCs w:val="20"/>
              </w:rPr>
              <w:t>strengthen</w:t>
            </w:r>
            <w:r w:rsidR="0007248C" w:rsidRPr="57FD5D65">
              <w:rPr>
                <w:rFonts w:cs="Arial"/>
                <w:color w:val="auto"/>
                <w:sz w:val="20"/>
                <w:szCs w:val="20"/>
              </w:rPr>
              <w:t>ing</w:t>
            </w:r>
            <w:r w:rsidR="00E33F9F" w:rsidRPr="57FD5D65">
              <w:rPr>
                <w:rFonts w:cs="Arial"/>
                <w:color w:val="auto"/>
                <w:sz w:val="20"/>
                <w:szCs w:val="20"/>
              </w:rPr>
              <w:t xml:space="preserve"> </w:t>
            </w:r>
            <w:r w:rsidR="00EE6082" w:rsidRPr="57FD5D65">
              <w:rPr>
                <w:rFonts w:cs="Arial"/>
                <w:color w:val="auto"/>
                <w:sz w:val="20"/>
                <w:szCs w:val="20"/>
              </w:rPr>
              <w:t>processes to support early, informed and systemic consideration of program issues</w:t>
            </w:r>
            <w:r w:rsidR="00922ECC" w:rsidRPr="57FD5D65">
              <w:rPr>
                <w:rFonts w:cs="Arial"/>
                <w:color w:val="auto"/>
                <w:sz w:val="20"/>
                <w:szCs w:val="20"/>
              </w:rPr>
              <w:t xml:space="preserve">, actions, and </w:t>
            </w:r>
            <w:r w:rsidR="00C373D5" w:rsidRPr="57FD5D65">
              <w:rPr>
                <w:rFonts w:cs="Arial"/>
                <w:color w:val="auto"/>
                <w:sz w:val="20"/>
                <w:szCs w:val="20"/>
              </w:rPr>
              <w:t>recommendations.</w:t>
            </w:r>
          </w:p>
          <w:p w14:paraId="3EA64F65" w14:textId="08BCC94D" w:rsidR="00561F25" w:rsidRPr="001F757E" w:rsidRDefault="0073599A" w:rsidP="009B6D4A">
            <w:pPr>
              <w:spacing w:line="240" w:lineRule="auto"/>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sidRPr="00D973B1">
              <w:rPr>
                <w:rFonts w:cs="Arial"/>
                <w:color w:val="auto"/>
                <w:sz w:val="20"/>
                <w:szCs w:val="20"/>
              </w:rPr>
              <w:t>T</w:t>
            </w:r>
            <w:r w:rsidRPr="00D973B1">
              <w:rPr>
                <w:rFonts w:cs="Arial"/>
                <w:iCs/>
                <w:color w:val="auto"/>
                <w:sz w:val="20"/>
                <w:szCs w:val="20"/>
              </w:rPr>
              <w:t xml:space="preserve">he department </w:t>
            </w:r>
            <w:r w:rsidR="001B0B7F" w:rsidRPr="004F6DEC">
              <w:rPr>
                <w:rStyle w:val="cf01"/>
                <w:rFonts w:ascii="Arial" w:hAnsi="Arial" w:cs="Arial"/>
                <w:sz w:val="20"/>
                <w:szCs w:val="20"/>
              </w:rPr>
              <w:t xml:space="preserve">will work with state/territory governments to report annually and transparently against the accountability framework over the life of the </w:t>
            </w:r>
            <w:hyperlink r:id="rId37" w:history="1">
              <w:r w:rsidR="002072EA">
                <w:rPr>
                  <w:rStyle w:val="Hyperlink"/>
                  <w:rFonts w:cs="Arial"/>
                  <w:i/>
                  <w:iCs/>
                  <w:sz w:val="20"/>
                  <w:szCs w:val="20"/>
                </w:rPr>
                <w:t>Health Plan</w:t>
              </w:r>
            </w:hyperlink>
            <w:r w:rsidR="001B0B7F" w:rsidRPr="004F6DEC">
              <w:rPr>
                <w:rStyle w:val="cf01"/>
                <w:rFonts w:ascii="Arial" w:hAnsi="Arial" w:cs="Arial"/>
                <w:sz w:val="20"/>
                <w:szCs w:val="20"/>
              </w:rPr>
              <w:t>. This will be overseen and centred around Aboriginal and Torres Strait Islander people’s perspectives, priorities, knowledge systems and leadership</w:t>
            </w:r>
            <w:r w:rsidR="00F25F61">
              <w:rPr>
                <w:rStyle w:val="cf01"/>
                <w:rFonts w:ascii="Arial" w:hAnsi="Arial" w:cs="Arial"/>
                <w:sz w:val="20"/>
                <w:szCs w:val="20"/>
              </w:rPr>
              <w:t xml:space="preserve">, including </w:t>
            </w:r>
            <w:r w:rsidR="007C27B7">
              <w:rPr>
                <w:rStyle w:val="cf01"/>
                <w:rFonts w:ascii="Arial" w:hAnsi="Arial" w:cs="Arial"/>
                <w:sz w:val="20"/>
                <w:szCs w:val="20"/>
              </w:rPr>
              <w:t xml:space="preserve">through the </w:t>
            </w:r>
            <w:r w:rsidR="005A413E">
              <w:rPr>
                <w:rStyle w:val="cf01"/>
                <w:rFonts w:ascii="Arial" w:hAnsi="Arial" w:cs="Arial"/>
                <w:sz w:val="20"/>
                <w:szCs w:val="20"/>
              </w:rPr>
              <w:t xml:space="preserve">recently established First Nations Health Governance </w:t>
            </w:r>
            <w:r w:rsidR="00081E87">
              <w:rPr>
                <w:rStyle w:val="cf01"/>
                <w:rFonts w:ascii="Arial" w:hAnsi="Arial" w:cs="Arial"/>
                <w:sz w:val="20"/>
                <w:szCs w:val="20"/>
              </w:rPr>
              <w:t>Group.</w:t>
            </w:r>
          </w:p>
        </w:tc>
        <w:tc>
          <w:tcPr>
            <w:tcW w:w="1329" w:type="dxa"/>
          </w:tcPr>
          <w:p w14:paraId="0D40BDD8" w14:textId="4877E9E1" w:rsidR="007A58A5" w:rsidRPr="001F757E" w:rsidRDefault="00B3410B" w:rsidP="007A58A5">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sidRPr="001F757E">
              <w:rPr>
                <w:rFonts w:cstheme="minorHAnsi"/>
                <w:iCs/>
                <w:color w:val="auto"/>
                <w:sz w:val="20"/>
                <w:szCs w:val="20"/>
              </w:rPr>
              <w:lastRenderedPageBreak/>
              <w:t>Ongoing</w:t>
            </w:r>
          </w:p>
        </w:tc>
      </w:tr>
    </w:tbl>
    <w:p w14:paraId="39F3501A" w14:textId="64CD0BE9" w:rsidR="211C88C5" w:rsidRDefault="211C88C5" w:rsidP="002F5A66">
      <w:pPr>
        <w:pStyle w:val="Heading1"/>
      </w:pPr>
    </w:p>
    <w:sectPr w:rsidR="211C88C5" w:rsidSect="0007248C">
      <w:footerReference w:type="default" r:id="rId38"/>
      <w:pgSz w:w="16838" w:h="11906" w:orient="landscape"/>
      <w:pgMar w:top="1134" w:right="170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197B" w14:textId="77777777" w:rsidR="00B217F9" w:rsidRDefault="00B217F9" w:rsidP="00934368">
      <w:r>
        <w:separator/>
      </w:r>
    </w:p>
    <w:p w14:paraId="7D7425FF" w14:textId="77777777" w:rsidR="00B217F9" w:rsidRDefault="00B217F9" w:rsidP="00934368"/>
  </w:endnote>
  <w:endnote w:type="continuationSeparator" w:id="0">
    <w:p w14:paraId="7267682D" w14:textId="77777777" w:rsidR="00B217F9" w:rsidRDefault="00B217F9" w:rsidP="00934368">
      <w:r>
        <w:continuationSeparator/>
      </w:r>
    </w:p>
    <w:p w14:paraId="041478EB" w14:textId="77777777" w:rsidR="00B217F9" w:rsidRDefault="00B217F9" w:rsidP="00934368"/>
  </w:endnote>
  <w:endnote w:type="continuationNotice" w:id="1">
    <w:p w14:paraId="6F6EE259" w14:textId="77777777" w:rsidR="00B217F9" w:rsidRDefault="00B217F9"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B195" w14:textId="6CF6DF7C" w:rsidR="00F37137" w:rsidRDefault="00F37137" w:rsidP="00F37137">
    <w:pPr>
      <w:pStyle w:val="Footer"/>
      <w:jc w:val="left"/>
    </w:pPr>
    <w:r>
      <w:t>IAHP Yarnes Evaluation</w:t>
    </w:r>
    <w:r w:rsidR="0029363B">
      <w:t xml:space="preserve"> </w:t>
    </w:r>
    <w:r w:rsidR="00627126">
      <w:t xml:space="preserve">– Australian Government </w:t>
    </w:r>
    <w:r>
      <w:t>Management Response</w:t>
    </w:r>
    <w:r w:rsidR="0029363B">
      <w:t xml:space="preserve"> </w:t>
    </w:r>
    <w:r>
      <w:ptab w:relativeTo="margin" w:alignment="right" w:leader="none"/>
    </w:r>
    <w:sdt>
      <w:sdtPr>
        <w:id w:val="-10770545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2C908E" w14:textId="02F213F1" w:rsidR="00754C1B" w:rsidRDefault="00754C1B" w:rsidP="002C5DDE">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9263" w14:textId="248A36DD" w:rsidR="00F37137" w:rsidRDefault="00F37137">
    <w:pPr>
      <w:pStyle w:val="Footer"/>
    </w:pPr>
    <w:r>
      <w:t>IAHP Yarnes Evaluation</w:t>
    </w:r>
    <w:r w:rsidR="0029363B">
      <w:t xml:space="preserve"> </w:t>
    </w:r>
    <w:r w:rsidR="00627126">
      <w:t xml:space="preserve">– Australian Government </w:t>
    </w:r>
    <w:r>
      <w:t>Management Response</w:t>
    </w:r>
    <w:r w:rsidR="0029363B" w:rsidRPr="0029363B">
      <w:t xml:space="preserve"> </w:t>
    </w:r>
    <w:r>
      <w:ptab w:relativeTo="margin" w:alignment="right" w:leader="none"/>
    </w:r>
    <w:sdt>
      <w:sdtPr>
        <w:id w:val="7167094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BBDB5E" w14:textId="2C271BF0" w:rsidR="008A65EA" w:rsidRDefault="008A6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CBFAB" w14:textId="77777777" w:rsidR="00B217F9" w:rsidRDefault="00B217F9" w:rsidP="00934368">
      <w:r>
        <w:separator/>
      </w:r>
    </w:p>
    <w:p w14:paraId="1031F52A" w14:textId="77777777" w:rsidR="00B217F9" w:rsidRDefault="00B217F9" w:rsidP="00934368"/>
  </w:footnote>
  <w:footnote w:type="continuationSeparator" w:id="0">
    <w:p w14:paraId="297E42B5" w14:textId="77777777" w:rsidR="00B217F9" w:rsidRDefault="00B217F9" w:rsidP="00934368">
      <w:r>
        <w:continuationSeparator/>
      </w:r>
    </w:p>
    <w:p w14:paraId="6BD1EDE5" w14:textId="77777777" w:rsidR="00B217F9" w:rsidRDefault="00B217F9" w:rsidP="00934368"/>
  </w:footnote>
  <w:footnote w:type="continuationNotice" w:id="1">
    <w:p w14:paraId="780497AD" w14:textId="77777777" w:rsidR="00B217F9" w:rsidRDefault="00B217F9"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C227" w14:textId="1C827F6B" w:rsidR="00754C1B" w:rsidRDefault="00754C1B" w:rsidP="00934368">
    <w:pPr>
      <w:pStyle w:val="Header"/>
      <w:rPr>
        <w:noProof/>
        <w:lang w:eastAsia="en-AU"/>
      </w:rPr>
    </w:pPr>
    <w:r>
      <w:rPr>
        <w:noProof/>
        <w:lang w:eastAsia="en-AU"/>
      </w:rPr>
      <w:drawing>
        <wp:anchor distT="0" distB="0" distL="114300" distR="114300" simplePos="0" relativeHeight="251658241" behindDoc="1" locked="0" layoutInCell="1" allowOverlap="1" wp14:anchorId="7A1139D2" wp14:editId="4E940739">
          <wp:simplePos x="0" y="0"/>
          <wp:positionH relativeFrom="page">
            <wp:posOffset>76200</wp:posOffset>
          </wp:positionH>
          <wp:positionV relativeFrom="page">
            <wp:posOffset>95250</wp:posOffset>
          </wp:positionV>
          <wp:extent cx="3400161" cy="12096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5011" b="88685"/>
                  <a:stretch/>
                </pic:blipFill>
                <pic:spPr bwMode="auto">
                  <a:xfrm>
                    <a:off x="0" y="0"/>
                    <a:ext cx="3400161"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D89CEC" w14:textId="0981485A" w:rsidR="00754C1B" w:rsidRDefault="00754C1B" w:rsidP="00934368">
    <w:pPr>
      <w:pStyle w:val="Header"/>
      <w:rPr>
        <w:noProof/>
        <w:lang w:eastAsia="en-AU"/>
      </w:rPr>
    </w:pPr>
  </w:p>
  <w:p w14:paraId="5B14AE75" w14:textId="3C66BD27" w:rsidR="00754C1B" w:rsidRDefault="00754C1B" w:rsidP="00934368">
    <w:pPr>
      <w:pStyle w:val="Header"/>
      <w:rPr>
        <w:noProof/>
        <w:lang w:eastAsia="en-AU"/>
      </w:rPr>
    </w:pPr>
  </w:p>
  <w:p w14:paraId="7E912334" w14:textId="25A298B3" w:rsidR="00754C1B" w:rsidRDefault="00754C1B" w:rsidP="00934368">
    <w:pPr>
      <w:pStyle w:val="Header"/>
      <w:rPr>
        <w:noProof/>
        <w:lang w:eastAsia="en-AU"/>
      </w:rPr>
    </w:pPr>
  </w:p>
  <w:p w14:paraId="4ADE3C52" w14:textId="77777777" w:rsidR="00754C1B" w:rsidRDefault="00754C1B" w:rsidP="00934368">
    <w:pPr>
      <w:pStyle w:val="Header"/>
      <w:rPr>
        <w:noProof/>
        <w:lang w:eastAsia="en-AU"/>
      </w:rPr>
    </w:pPr>
  </w:p>
  <w:p w14:paraId="4C0EBF28" w14:textId="166011A2" w:rsidR="00751A23" w:rsidRDefault="00751A23" w:rsidP="00934368">
    <w:pPr>
      <w:pStyle w:val="Header"/>
    </w:pPr>
    <w:r>
      <w:rPr>
        <w:noProof/>
        <w:lang w:eastAsia="en-AU"/>
      </w:rPr>
      <w:drawing>
        <wp:anchor distT="0" distB="0" distL="114300" distR="114300" simplePos="0" relativeHeight="251658240" behindDoc="1" locked="0" layoutInCell="1" allowOverlap="1" wp14:anchorId="46D321AA" wp14:editId="0C2F34F2">
          <wp:simplePos x="0" y="0"/>
          <wp:positionH relativeFrom="page">
            <wp:posOffset>0</wp:posOffset>
          </wp:positionH>
          <wp:positionV relativeFrom="page">
            <wp:posOffset>4838701</wp:posOffset>
          </wp:positionV>
          <wp:extent cx="7558405" cy="57531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31981" b="19821"/>
                  <a:stretch/>
                </pic:blipFill>
                <pic:spPr bwMode="auto">
                  <a:xfrm>
                    <a:off x="0" y="0"/>
                    <a:ext cx="7558405" cy="575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A7E2D"/>
    <w:multiLevelType w:val="hybridMultilevel"/>
    <w:tmpl w:val="C71AD9BA"/>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B850FD"/>
    <w:multiLevelType w:val="hybridMultilevel"/>
    <w:tmpl w:val="97F623D6"/>
    <w:lvl w:ilvl="0" w:tplc="D3F4AE8E">
      <w:numFmt w:val="bullet"/>
      <w:lvlText w:val="•"/>
      <w:lvlJc w:val="left"/>
      <w:pPr>
        <w:ind w:left="360" w:hanging="360"/>
      </w:pPr>
      <w:rPr>
        <w:rFonts w:ascii="Arial" w:eastAsia="Times New Roman" w:hAnsi="Arial" w:cs="Arial" w:hint="default"/>
        <w:b/>
        <w:bCs/>
        <w:color w:val="000000"/>
        <w:w w:val="1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3C3791E"/>
    <w:multiLevelType w:val="hybridMultilevel"/>
    <w:tmpl w:val="9E2C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3218C0"/>
    <w:multiLevelType w:val="hybridMultilevel"/>
    <w:tmpl w:val="98B4AD2E"/>
    <w:lvl w:ilvl="0" w:tplc="D3F4AE8E">
      <w:numFmt w:val="bullet"/>
      <w:lvlText w:val="•"/>
      <w:lvlJc w:val="left"/>
      <w:pPr>
        <w:ind w:left="360" w:hanging="360"/>
      </w:pPr>
      <w:rPr>
        <w:rFonts w:ascii="Arial" w:eastAsia="Times New Roman" w:hAnsi="Arial" w:cs="Arial" w:hint="default"/>
        <w:b/>
        <w:bCs/>
        <w:color w:val="000000"/>
      </w:rPr>
    </w:lvl>
    <w:lvl w:ilvl="1" w:tplc="FFFFFFFF">
      <w:start w:val="1"/>
      <w:numFmt w:val="bullet"/>
      <w:lvlText w:val=""/>
      <w:lvlJc w:val="left"/>
      <w:pPr>
        <w:ind w:left="12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53856EA"/>
    <w:multiLevelType w:val="hybridMultilevel"/>
    <w:tmpl w:val="17FED338"/>
    <w:lvl w:ilvl="0" w:tplc="D3F4AE8E">
      <w:numFmt w:val="bullet"/>
      <w:lvlText w:val="•"/>
      <w:lvlJc w:val="left"/>
      <w:pPr>
        <w:ind w:left="1034" w:hanging="360"/>
      </w:pPr>
      <w:rPr>
        <w:rFonts w:ascii="Arial" w:eastAsia="Times New Roman" w:hAnsi="Arial" w:cs="Arial" w:hint="default"/>
        <w:b/>
        <w:bCs/>
        <w:color w:val="000000"/>
        <w:w w:val="120"/>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14" w15:restartNumberingAfterBreak="0">
    <w:nsid w:val="077C5AFB"/>
    <w:multiLevelType w:val="hybridMultilevel"/>
    <w:tmpl w:val="47B6687E"/>
    <w:lvl w:ilvl="0" w:tplc="9D8C6FD0">
      <w:start w:val="4"/>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717A6C"/>
    <w:multiLevelType w:val="hybridMultilevel"/>
    <w:tmpl w:val="B7C20736"/>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AE0BFCE"/>
    <w:multiLevelType w:val="hybridMultilevel"/>
    <w:tmpl w:val="C6146650"/>
    <w:lvl w:ilvl="0" w:tplc="6D3AABB8">
      <w:start w:val="1"/>
      <w:numFmt w:val="bullet"/>
      <w:lvlText w:val=""/>
      <w:lvlJc w:val="left"/>
      <w:pPr>
        <w:ind w:left="720" w:hanging="360"/>
      </w:pPr>
      <w:rPr>
        <w:rFonts w:ascii="Symbol" w:hAnsi="Symbol" w:hint="default"/>
      </w:rPr>
    </w:lvl>
    <w:lvl w:ilvl="1" w:tplc="661CB5B2">
      <w:start w:val="1"/>
      <w:numFmt w:val="bullet"/>
      <w:lvlText w:val="o"/>
      <w:lvlJc w:val="left"/>
      <w:pPr>
        <w:ind w:left="1440" w:hanging="360"/>
      </w:pPr>
      <w:rPr>
        <w:rFonts w:ascii="Courier New" w:hAnsi="Courier New" w:hint="default"/>
      </w:rPr>
    </w:lvl>
    <w:lvl w:ilvl="2" w:tplc="13FADD74">
      <w:start w:val="1"/>
      <w:numFmt w:val="bullet"/>
      <w:lvlText w:val=""/>
      <w:lvlJc w:val="left"/>
      <w:pPr>
        <w:ind w:left="2160" w:hanging="360"/>
      </w:pPr>
      <w:rPr>
        <w:rFonts w:ascii="Wingdings" w:hAnsi="Wingdings" w:hint="default"/>
      </w:rPr>
    </w:lvl>
    <w:lvl w:ilvl="3" w:tplc="5CFA6684">
      <w:start w:val="1"/>
      <w:numFmt w:val="bullet"/>
      <w:lvlText w:val=""/>
      <w:lvlJc w:val="left"/>
      <w:pPr>
        <w:ind w:left="2880" w:hanging="360"/>
      </w:pPr>
      <w:rPr>
        <w:rFonts w:ascii="Symbol" w:hAnsi="Symbol" w:hint="default"/>
      </w:rPr>
    </w:lvl>
    <w:lvl w:ilvl="4" w:tplc="2CEEF2A2">
      <w:start w:val="1"/>
      <w:numFmt w:val="bullet"/>
      <w:lvlText w:val="o"/>
      <w:lvlJc w:val="left"/>
      <w:pPr>
        <w:ind w:left="3600" w:hanging="360"/>
      </w:pPr>
      <w:rPr>
        <w:rFonts w:ascii="Courier New" w:hAnsi="Courier New" w:hint="default"/>
      </w:rPr>
    </w:lvl>
    <w:lvl w:ilvl="5" w:tplc="ED6E3688">
      <w:start w:val="1"/>
      <w:numFmt w:val="bullet"/>
      <w:lvlText w:val=""/>
      <w:lvlJc w:val="left"/>
      <w:pPr>
        <w:ind w:left="4320" w:hanging="360"/>
      </w:pPr>
      <w:rPr>
        <w:rFonts w:ascii="Wingdings" w:hAnsi="Wingdings" w:hint="default"/>
      </w:rPr>
    </w:lvl>
    <w:lvl w:ilvl="6" w:tplc="833610B8">
      <w:start w:val="1"/>
      <w:numFmt w:val="bullet"/>
      <w:lvlText w:val=""/>
      <w:lvlJc w:val="left"/>
      <w:pPr>
        <w:ind w:left="5040" w:hanging="360"/>
      </w:pPr>
      <w:rPr>
        <w:rFonts w:ascii="Symbol" w:hAnsi="Symbol" w:hint="default"/>
      </w:rPr>
    </w:lvl>
    <w:lvl w:ilvl="7" w:tplc="DBF6E966">
      <w:start w:val="1"/>
      <w:numFmt w:val="bullet"/>
      <w:lvlText w:val="o"/>
      <w:lvlJc w:val="left"/>
      <w:pPr>
        <w:ind w:left="5760" w:hanging="360"/>
      </w:pPr>
      <w:rPr>
        <w:rFonts w:ascii="Courier New" w:hAnsi="Courier New" w:hint="default"/>
      </w:rPr>
    </w:lvl>
    <w:lvl w:ilvl="8" w:tplc="7EA27420">
      <w:start w:val="1"/>
      <w:numFmt w:val="bullet"/>
      <w:lvlText w:val=""/>
      <w:lvlJc w:val="left"/>
      <w:pPr>
        <w:ind w:left="6480" w:hanging="360"/>
      </w:pPr>
      <w:rPr>
        <w:rFonts w:ascii="Wingdings" w:hAnsi="Wingdings" w:hint="default"/>
      </w:rPr>
    </w:lvl>
  </w:abstractNum>
  <w:abstractNum w:abstractNumId="18" w15:restartNumberingAfterBreak="0">
    <w:nsid w:val="0F1849C2"/>
    <w:multiLevelType w:val="hybridMultilevel"/>
    <w:tmpl w:val="AD2AA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7358F7"/>
    <w:multiLevelType w:val="hybridMultilevel"/>
    <w:tmpl w:val="9B18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ED505D"/>
    <w:multiLevelType w:val="hybridMultilevel"/>
    <w:tmpl w:val="9F3E903E"/>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E95726F"/>
    <w:multiLevelType w:val="hybridMultilevel"/>
    <w:tmpl w:val="C172A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E9B5B08"/>
    <w:multiLevelType w:val="multilevel"/>
    <w:tmpl w:val="0D8AC0AE"/>
    <w:styleLink w:val="NumberedHeadings"/>
    <w:lvl w:ilvl="0">
      <w:start w:val="1"/>
      <w:numFmt w:val="decimal"/>
      <w:pStyle w:val="Bullet-Number"/>
      <w:lvlText w:val="%1."/>
      <w:lvlJc w:val="left"/>
      <w:pPr>
        <w:ind w:left="720" w:hanging="360"/>
      </w:pPr>
      <w:rPr>
        <w:rFonts w:hint="default"/>
        <w:color w:val="3F4A75" w:themeColor="accent1"/>
      </w:rPr>
    </w:lvl>
    <w:lvl w:ilvl="1">
      <w:start w:val="1"/>
      <w:numFmt w:val="lowerLetter"/>
      <w:lvlText w:val="%2."/>
      <w:lvlJc w:val="left"/>
      <w:pPr>
        <w:ind w:left="1440" w:hanging="360"/>
      </w:pPr>
      <w:rPr>
        <w:color w:val="3F4A75" w:themeColor="accen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5030EB"/>
    <w:multiLevelType w:val="hybridMultilevel"/>
    <w:tmpl w:val="FFCCD00A"/>
    <w:lvl w:ilvl="0" w:tplc="14090003">
      <w:start w:val="1"/>
      <w:numFmt w:val="bullet"/>
      <w:lvlText w:val="o"/>
      <w:lvlJc w:val="left"/>
      <w:pPr>
        <w:ind w:left="720" w:hanging="360"/>
      </w:pPr>
      <w:rPr>
        <w:rFonts w:ascii="Courier New" w:hAnsi="Courier New" w:cs="Courier New" w:hint="default"/>
        <w:color w:val="3F4A75" w:themeColor="accent1"/>
        <w:w w:val="1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601F246"/>
    <w:multiLevelType w:val="hybridMultilevel"/>
    <w:tmpl w:val="C78E18FC"/>
    <w:lvl w:ilvl="0" w:tplc="BAB2D4FE">
      <w:start w:val="1"/>
      <w:numFmt w:val="bullet"/>
      <w:lvlText w:val=""/>
      <w:lvlJc w:val="left"/>
      <w:pPr>
        <w:ind w:left="720" w:hanging="360"/>
      </w:pPr>
      <w:rPr>
        <w:rFonts w:ascii="Symbol" w:hAnsi="Symbol" w:hint="default"/>
      </w:rPr>
    </w:lvl>
    <w:lvl w:ilvl="1" w:tplc="BD1A2A04">
      <w:start w:val="1"/>
      <w:numFmt w:val="bullet"/>
      <w:lvlText w:val="o"/>
      <w:lvlJc w:val="left"/>
      <w:pPr>
        <w:ind w:left="1440" w:hanging="360"/>
      </w:pPr>
      <w:rPr>
        <w:rFonts w:ascii="Courier New" w:hAnsi="Courier New" w:hint="default"/>
      </w:rPr>
    </w:lvl>
    <w:lvl w:ilvl="2" w:tplc="3EBE5B08">
      <w:start w:val="1"/>
      <w:numFmt w:val="bullet"/>
      <w:lvlText w:val=""/>
      <w:lvlJc w:val="left"/>
      <w:pPr>
        <w:ind w:left="2160" w:hanging="360"/>
      </w:pPr>
      <w:rPr>
        <w:rFonts w:ascii="Wingdings" w:hAnsi="Wingdings" w:hint="default"/>
      </w:rPr>
    </w:lvl>
    <w:lvl w:ilvl="3" w:tplc="B9743F44">
      <w:start w:val="1"/>
      <w:numFmt w:val="bullet"/>
      <w:lvlText w:val=""/>
      <w:lvlJc w:val="left"/>
      <w:pPr>
        <w:ind w:left="2880" w:hanging="360"/>
      </w:pPr>
      <w:rPr>
        <w:rFonts w:ascii="Symbol" w:hAnsi="Symbol" w:hint="default"/>
      </w:rPr>
    </w:lvl>
    <w:lvl w:ilvl="4" w:tplc="6758049A">
      <w:start w:val="1"/>
      <w:numFmt w:val="bullet"/>
      <w:lvlText w:val="o"/>
      <w:lvlJc w:val="left"/>
      <w:pPr>
        <w:ind w:left="3600" w:hanging="360"/>
      </w:pPr>
      <w:rPr>
        <w:rFonts w:ascii="Courier New" w:hAnsi="Courier New" w:hint="default"/>
      </w:rPr>
    </w:lvl>
    <w:lvl w:ilvl="5" w:tplc="CE90E960">
      <w:start w:val="1"/>
      <w:numFmt w:val="bullet"/>
      <w:lvlText w:val=""/>
      <w:lvlJc w:val="left"/>
      <w:pPr>
        <w:ind w:left="4320" w:hanging="360"/>
      </w:pPr>
      <w:rPr>
        <w:rFonts w:ascii="Wingdings" w:hAnsi="Wingdings" w:hint="default"/>
      </w:rPr>
    </w:lvl>
    <w:lvl w:ilvl="6" w:tplc="C1BA6F8E">
      <w:start w:val="1"/>
      <w:numFmt w:val="bullet"/>
      <w:lvlText w:val=""/>
      <w:lvlJc w:val="left"/>
      <w:pPr>
        <w:ind w:left="5040" w:hanging="360"/>
      </w:pPr>
      <w:rPr>
        <w:rFonts w:ascii="Symbol" w:hAnsi="Symbol" w:hint="default"/>
      </w:rPr>
    </w:lvl>
    <w:lvl w:ilvl="7" w:tplc="1848D0DC">
      <w:start w:val="1"/>
      <w:numFmt w:val="bullet"/>
      <w:lvlText w:val="o"/>
      <w:lvlJc w:val="left"/>
      <w:pPr>
        <w:ind w:left="5760" w:hanging="360"/>
      </w:pPr>
      <w:rPr>
        <w:rFonts w:ascii="Courier New" w:hAnsi="Courier New" w:hint="default"/>
      </w:rPr>
    </w:lvl>
    <w:lvl w:ilvl="8" w:tplc="3DA072C8">
      <w:start w:val="1"/>
      <w:numFmt w:val="bullet"/>
      <w:lvlText w:val=""/>
      <w:lvlJc w:val="left"/>
      <w:pPr>
        <w:ind w:left="6480" w:hanging="360"/>
      </w:pPr>
      <w:rPr>
        <w:rFonts w:ascii="Wingdings" w:hAnsi="Wingdings" w:hint="default"/>
      </w:rPr>
    </w:lvl>
  </w:abstractNum>
  <w:abstractNum w:abstractNumId="27" w15:restartNumberingAfterBreak="0">
    <w:nsid w:val="278D7424"/>
    <w:multiLevelType w:val="hybridMultilevel"/>
    <w:tmpl w:val="DA1CF2BC"/>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DD7090"/>
    <w:multiLevelType w:val="hybridMultilevel"/>
    <w:tmpl w:val="17CC2BBE"/>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D8D321F"/>
    <w:multiLevelType w:val="hybridMultilevel"/>
    <w:tmpl w:val="E9E2496A"/>
    <w:lvl w:ilvl="0" w:tplc="9D8C6FD0">
      <w:start w:val="4"/>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35831B9B"/>
    <w:multiLevelType w:val="hybridMultilevel"/>
    <w:tmpl w:val="7592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174BF0"/>
    <w:multiLevelType w:val="hybridMultilevel"/>
    <w:tmpl w:val="DBB8D5AC"/>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D202237"/>
    <w:multiLevelType w:val="hybridMultilevel"/>
    <w:tmpl w:val="B3CE6544"/>
    <w:lvl w:ilvl="0" w:tplc="0C090001">
      <w:start w:val="1"/>
      <w:numFmt w:val="bullet"/>
      <w:lvlText w:val=""/>
      <w:lvlJc w:val="left"/>
      <w:pPr>
        <w:ind w:left="360" w:hanging="360"/>
      </w:pPr>
      <w:rPr>
        <w:rFonts w:ascii="Symbol" w:hAnsi="Symbol" w:hint="default"/>
        <w:b/>
        <w:bCs/>
      </w:rPr>
    </w:lvl>
    <w:lvl w:ilvl="1" w:tplc="FFFFFFFF">
      <w:start w:val="1"/>
      <w:numFmt w:val="bullet"/>
      <w:lvlText w:val=""/>
      <w:lvlJc w:val="left"/>
      <w:pPr>
        <w:ind w:left="12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E9D3B26"/>
    <w:multiLevelType w:val="hybridMultilevel"/>
    <w:tmpl w:val="BF7EF8C0"/>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5" w15:restartNumberingAfterBreak="0">
    <w:nsid w:val="3FF84B82"/>
    <w:multiLevelType w:val="hybridMultilevel"/>
    <w:tmpl w:val="E138D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0E84F55"/>
    <w:multiLevelType w:val="hybridMultilevel"/>
    <w:tmpl w:val="674092AC"/>
    <w:lvl w:ilvl="0" w:tplc="FBA2379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0B77D9"/>
    <w:multiLevelType w:val="hybridMultilevel"/>
    <w:tmpl w:val="40FA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441644C4"/>
    <w:multiLevelType w:val="hybridMultilevel"/>
    <w:tmpl w:val="BEFA3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671DE2"/>
    <w:multiLevelType w:val="hybridMultilevel"/>
    <w:tmpl w:val="4E96472C"/>
    <w:lvl w:ilvl="0" w:tplc="BFFA68F6">
      <w:start w:val="1"/>
      <w:numFmt w:val="decimal"/>
      <w:lvlText w:val="%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6CD5B2A"/>
    <w:multiLevelType w:val="hybridMultilevel"/>
    <w:tmpl w:val="23D609C6"/>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AC64383"/>
    <w:multiLevelType w:val="hybridMultilevel"/>
    <w:tmpl w:val="54885938"/>
    <w:lvl w:ilvl="0" w:tplc="D3F4AE8E">
      <w:numFmt w:val="bullet"/>
      <w:lvlText w:val="•"/>
      <w:lvlJc w:val="left"/>
      <w:pPr>
        <w:ind w:left="360" w:hanging="360"/>
      </w:pPr>
      <w:rPr>
        <w:rFonts w:ascii="Arial" w:eastAsia="Times New Roman" w:hAnsi="Arial" w:cs="Arial" w:hint="default"/>
        <w:b/>
        <w:bCs/>
        <w:color w:val="000000"/>
        <w:w w:val="1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C4A04F8"/>
    <w:multiLevelType w:val="hybridMultilevel"/>
    <w:tmpl w:val="996C4250"/>
    <w:lvl w:ilvl="0" w:tplc="47CE3000">
      <w:start w:val="1"/>
      <w:numFmt w:val="bullet"/>
      <w:lvlText w:val=""/>
      <w:lvlJc w:val="left"/>
      <w:pPr>
        <w:ind w:left="720" w:hanging="360"/>
      </w:pPr>
      <w:rPr>
        <w:rFonts w:ascii="Symbol" w:hAnsi="Symbol" w:hint="default"/>
      </w:rPr>
    </w:lvl>
    <w:lvl w:ilvl="1" w:tplc="EC808C52">
      <w:start w:val="1"/>
      <w:numFmt w:val="bullet"/>
      <w:lvlText w:val="o"/>
      <w:lvlJc w:val="left"/>
      <w:pPr>
        <w:ind w:left="1440" w:hanging="360"/>
      </w:pPr>
      <w:rPr>
        <w:rFonts w:ascii="Courier New" w:hAnsi="Courier New" w:hint="default"/>
      </w:rPr>
    </w:lvl>
    <w:lvl w:ilvl="2" w:tplc="951AAA18">
      <w:start w:val="1"/>
      <w:numFmt w:val="bullet"/>
      <w:lvlText w:val=""/>
      <w:lvlJc w:val="left"/>
      <w:pPr>
        <w:ind w:left="2160" w:hanging="360"/>
      </w:pPr>
      <w:rPr>
        <w:rFonts w:ascii="Wingdings" w:hAnsi="Wingdings" w:hint="default"/>
      </w:rPr>
    </w:lvl>
    <w:lvl w:ilvl="3" w:tplc="C55A9C00">
      <w:start w:val="1"/>
      <w:numFmt w:val="bullet"/>
      <w:lvlText w:val=""/>
      <w:lvlJc w:val="left"/>
      <w:pPr>
        <w:ind w:left="2880" w:hanging="360"/>
      </w:pPr>
      <w:rPr>
        <w:rFonts w:ascii="Symbol" w:hAnsi="Symbol" w:hint="default"/>
      </w:rPr>
    </w:lvl>
    <w:lvl w:ilvl="4" w:tplc="1E6A09A8">
      <w:start w:val="1"/>
      <w:numFmt w:val="bullet"/>
      <w:lvlText w:val="o"/>
      <w:lvlJc w:val="left"/>
      <w:pPr>
        <w:ind w:left="3600" w:hanging="360"/>
      </w:pPr>
      <w:rPr>
        <w:rFonts w:ascii="Courier New" w:hAnsi="Courier New" w:hint="default"/>
      </w:rPr>
    </w:lvl>
    <w:lvl w:ilvl="5" w:tplc="B5FAB096">
      <w:start w:val="1"/>
      <w:numFmt w:val="bullet"/>
      <w:lvlText w:val=""/>
      <w:lvlJc w:val="left"/>
      <w:pPr>
        <w:ind w:left="4320" w:hanging="360"/>
      </w:pPr>
      <w:rPr>
        <w:rFonts w:ascii="Wingdings" w:hAnsi="Wingdings" w:hint="default"/>
      </w:rPr>
    </w:lvl>
    <w:lvl w:ilvl="6" w:tplc="E5987C62">
      <w:start w:val="1"/>
      <w:numFmt w:val="bullet"/>
      <w:lvlText w:val=""/>
      <w:lvlJc w:val="left"/>
      <w:pPr>
        <w:ind w:left="5040" w:hanging="360"/>
      </w:pPr>
      <w:rPr>
        <w:rFonts w:ascii="Symbol" w:hAnsi="Symbol" w:hint="default"/>
      </w:rPr>
    </w:lvl>
    <w:lvl w:ilvl="7" w:tplc="3426F9D0">
      <w:start w:val="1"/>
      <w:numFmt w:val="bullet"/>
      <w:lvlText w:val="o"/>
      <w:lvlJc w:val="left"/>
      <w:pPr>
        <w:ind w:left="5760" w:hanging="360"/>
      </w:pPr>
      <w:rPr>
        <w:rFonts w:ascii="Courier New" w:hAnsi="Courier New" w:hint="default"/>
      </w:rPr>
    </w:lvl>
    <w:lvl w:ilvl="8" w:tplc="48F698EA">
      <w:start w:val="1"/>
      <w:numFmt w:val="bullet"/>
      <w:lvlText w:val=""/>
      <w:lvlJc w:val="left"/>
      <w:pPr>
        <w:ind w:left="6480" w:hanging="360"/>
      </w:pPr>
      <w:rPr>
        <w:rFonts w:ascii="Wingdings" w:hAnsi="Wingdings" w:hint="default"/>
      </w:rPr>
    </w:lvl>
  </w:abstractNum>
  <w:abstractNum w:abstractNumId="44" w15:restartNumberingAfterBreak="0">
    <w:nsid w:val="4EC77B03"/>
    <w:multiLevelType w:val="hybridMultilevel"/>
    <w:tmpl w:val="C4B28284"/>
    <w:lvl w:ilvl="0" w:tplc="D3F4AE8E">
      <w:numFmt w:val="bullet"/>
      <w:lvlText w:val="•"/>
      <w:lvlJc w:val="left"/>
      <w:pPr>
        <w:ind w:left="720" w:hanging="360"/>
      </w:pPr>
      <w:rPr>
        <w:rFonts w:ascii="Arial" w:eastAsia="Times New Roman" w:hAnsi="Arial" w:cs="Arial" w:hint="default"/>
        <w:b/>
        <w:bCs/>
        <w:color w:val="000000"/>
        <w:w w:val="1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176D0B"/>
    <w:multiLevelType w:val="hybridMultilevel"/>
    <w:tmpl w:val="1396BF6C"/>
    <w:lvl w:ilvl="0" w:tplc="9F86410E">
      <w:start w:val="4"/>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75013C"/>
    <w:multiLevelType w:val="multilevel"/>
    <w:tmpl w:val="4FACF484"/>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heme="minorHAnsi" w:eastAsiaTheme="minorHAnsi" w:hAnsiTheme="minorHAnsi" w:cstheme="minorBidi"/>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73A97465"/>
    <w:multiLevelType w:val="hybridMultilevel"/>
    <w:tmpl w:val="C1BE0E40"/>
    <w:lvl w:ilvl="0" w:tplc="FFFFFFFF">
      <w:start w:val="1"/>
      <w:numFmt w:val="decimal"/>
      <w:lvlText w:val="%1."/>
      <w:lvlJc w:val="left"/>
      <w:pPr>
        <w:ind w:left="720" w:hanging="360"/>
      </w:pPr>
      <w:rPr>
        <w:rFonts w:hint="default"/>
        <w:b/>
        <w:bCs/>
      </w:rPr>
    </w:lvl>
    <w:lvl w:ilvl="1" w:tplc="0C090001">
      <w:start w:val="1"/>
      <w:numFmt w:val="bullet"/>
      <w:lvlText w:val=""/>
      <w:lvlJc w:val="left"/>
      <w:pPr>
        <w:ind w:left="16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417C5C"/>
    <w:multiLevelType w:val="hybridMultilevel"/>
    <w:tmpl w:val="7722D14C"/>
    <w:lvl w:ilvl="0" w:tplc="D3F4AE8E">
      <w:numFmt w:val="bullet"/>
      <w:lvlText w:val="•"/>
      <w:lvlJc w:val="left"/>
      <w:pPr>
        <w:ind w:left="360" w:hanging="360"/>
      </w:pPr>
      <w:rPr>
        <w:rFonts w:ascii="Arial" w:eastAsia="Times New Roman" w:hAnsi="Arial" w:cs="Arial" w:hint="default"/>
        <w:b/>
        <w:bCs/>
        <w:color w:val="000000"/>
        <w:w w:val="1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E073402"/>
    <w:multiLevelType w:val="hybridMultilevel"/>
    <w:tmpl w:val="028E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223931"/>
    <w:multiLevelType w:val="hybridMultilevel"/>
    <w:tmpl w:val="151631A4"/>
    <w:lvl w:ilvl="0" w:tplc="D3F4AE8E">
      <w:numFmt w:val="bullet"/>
      <w:lvlText w:val="•"/>
      <w:lvlJc w:val="left"/>
      <w:pPr>
        <w:ind w:left="360" w:hanging="360"/>
      </w:pPr>
      <w:rPr>
        <w:rFonts w:ascii="Arial" w:eastAsia="Times New Roman" w:hAnsi="Arial" w:cs="Arial" w:hint="default"/>
        <w:b/>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28829215">
    <w:abstractNumId w:val="43"/>
  </w:num>
  <w:num w:numId="2" w16cid:durableId="1107239764">
    <w:abstractNumId w:val="26"/>
  </w:num>
  <w:num w:numId="3" w16cid:durableId="1472601761">
    <w:abstractNumId w:val="17"/>
  </w:num>
  <w:num w:numId="4" w16cid:durableId="1440834278">
    <w:abstractNumId w:val="7"/>
  </w:num>
  <w:num w:numId="5" w16cid:durableId="1568959081">
    <w:abstractNumId w:val="46"/>
  </w:num>
  <w:num w:numId="6" w16cid:durableId="719135155">
    <w:abstractNumId w:val="48"/>
  </w:num>
  <w:num w:numId="7" w16cid:durableId="1580554195">
    <w:abstractNumId w:val="9"/>
  </w:num>
  <w:num w:numId="8" w16cid:durableId="1011568507">
    <w:abstractNumId w:val="9"/>
    <w:lvlOverride w:ilvl="0">
      <w:startOverride w:val="1"/>
    </w:lvlOverride>
  </w:num>
  <w:num w:numId="9" w16cid:durableId="471757952">
    <w:abstractNumId w:val="16"/>
  </w:num>
  <w:num w:numId="10" w16cid:durableId="2062047793">
    <w:abstractNumId w:val="38"/>
  </w:num>
  <w:num w:numId="11" w16cid:durableId="1556430573">
    <w:abstractNumId w:val="47"/>
  </w:num>
  <w:num w:numId="12" w16cid:durableId="2103913359">
    <w:abstractNumId w:val="5"/>
  </w:num>
  <w:num w:numId="13" w16cid:durableId="1788815676">
    <w:abstractNumId w:val="4"/>
  </w:num>
  <w:num w:numId="14" w16cid:durableId="653340167">
    <w:abstractNumId w:val="3"/>
  </w:num>
  <w:num w:numId="15" w16cid:durableId="1030450065">
    <w:abstractNumId w:val="2"/>
  </w:num>
  <w:num w:numId="16" w16cid:durableId="738796061">
    <w:abstractNumId w:val="6"/>
  </w:num>
  <w:num w:numId="17" w16cid:durableId="1789592158">
    <w:abstractNumId w:val="1"/>
  </w:num>
  <w:num w:numId="18" w16cid:durableId="24713982">
    <w:abstractNumId w:val="0"/>
  </w:num>
  <w:num w:numId="19" w16cid:durableId="648360135">
    <w:abstractNumId w:val="55"/>
  </w:num>
  <w:num w:numId="20" w16cid:durableId="755521190">
    <w:abstractNumId w:val="19"/>
  </w:num>
  <w:num w:numId="21" w16cid:durableId="1879662610">
    <w:abstractNumId w:val="24"/>
  </w:num>
  <w:num w:numId="22" w16cid:durableId="1314529515">
    <w:abstractNumId w:val="30"/>
  </w:num>
  <w:num w:numId="23" w16cid:durableId="1901481038">
    <w:abstractNumId w:val="19"/>
  </w:num>
  <w:num w:numId="24" w16cid:durableId="2015299018">
    <w:abstractNumId w:val="30"/>
  </w:num>
  <w:num w:numId="25" w16cid:durableId="2133134800">
    <w:abstractNumId w:val="55"/>
  </w:num>
  <w:num w:numId="26" w16cid:durableId="1978411648">
    <w:abstractNumId w:val="46"/>
  </w:num>
  <w:num w:numId="27" w16cid:durableId="347603057">
    <w:abstractNumId w:val="48"/>
  </w:num>
  <w:num w:numId="28" w16cid:durableId="851720532">
    <w:abstractNumId w:val="9"/>
  </w:num>
  <w:num w:numId="29" w16cid:durableId="1148281163">
    <w:abstractNumId w:val="45"/>
  </w:num>
  <w:num w:numId="30" w16cid:durableId="1695299699">
    <w:abstractNumId w:val="50"/>
  </w:num>
  <w:num w:numId="31" w16cid:durableId="1974552960">
    <w:abstractNumId w:val="40"/>
  </w:num>
  <w:num w:numId="32" w16cid:durableId="753235730">
    <w:abstractNumId w:val="29"/>
  </w:num>
  <w:num w:numId="33" w16cid:durableId="1417938711">
    <w:abstractNumId w:val="49"/>
  </w:num>
  <w:num w:numId="34" w16cid:durableId="29694633">
    <w:abstractNumId w:val="14"/>
  </w:num>
  <w:num w:numId="35" w16cid:durableId="1557430270">
    <w:abstractNumId w:val="36"/>
  </w:num>
  <w:num w:numId="36" w16cid:durableId="1768889423">
    <w:abstractNumId w:val="39"/>
  </w:num>
  <w:num w:numId="37" w16cid:durableId="200092580">
    <w:abstractNumId w:val="35"/>
  </w:num>
  <w:num w:numId="38" w16cid:durableId="1376929361">
    <w:abstractNumId w:val="35"/>
  </w:num>
  <w:num w:numId="39" w16cid:durableId="309864855">
    <w:abstractNumId w:val="34"/>
  </w:num>
  <w:num w:numId="40" w16cid:durableId="424301412">
    <w:abstractNumId w:val="51"/>
  </w:num>
  <w:num w:numId="41" w16cid:durableId="1244099056">
    <w:abstractNumId w:val="33"/>
  </w:num>
  <w:num w:numId="42" w16cid:durableId="571083660">
    <w:abstractNumId w:val="23"/>
  </w:num>
  <w:num w:numId="43" w16cid:durableId="627249614">
    <w:abstractNumId w:val="42"/>
  </w:num>
  <w:num w:numId="44" w16cid:durableId="1273056051">
    <w:abstractNumId w:val="25"/>
  </w:num>
  <w:num w:numId="45" w16cid:durableId="1593204505">
    <w:abstractNumId w:val="22"/>
  </w:num>
  <w:num w:numId="46" w16cid:durableId="892034613">
    <w:abstractNumId w:val="54"/>
  </w:num>
  <w:num w:numId="47" w16cid:durableId="996962446">
    <w:abstractNumId w:val="12"/>
  </w:num>
  <w:num w:numId="48" w16cid:durableId="985665986">
    <w:abstractNumId w:val="52"/>
  </w:num>
  <w:num w:numId="49" w16cid:durableId="824273458">
    <w:abstractNumId w:val="44"/>
  </w:num>
  <w:num w:numId="50" w16cid:durableId="1050691713">
    <w:abstractNumId w:val="10"/>
  </w:num>
  <w:num w:numId="51" w16cid:durableId="396443416">
    <w:abstractNumId w:val="41"/>
  </w:num>
  <w:num w:numId="52" w16cid:durableId="170802504">
    <w:abstractNumId w:val="27"/>
  </w:num>
  <w:num w:numId="53" w16cid:durableId="1889292316">
    <w:abstractNumId w:val="21"/>
  </w:num>
  <w:num w:numId="54" w16cid:durableId="1041705519">
    <w:abstractNumId w:val="8"/>
  </w:num>
  <w:num w:numId="55" w16cid:durableId="734205873">
    <w:abstractNumId w:val="15"/>
  </w:num>
  <w:num w:numId="56" w16cid:durableId="1237326493">
    <w:abstractNumId w:val="32"/>
  </w:num>
  <w:num w:numId="57" w16cid:durableId="347147542">
    <w:abstractNumId w:val="28"/>
  </w:num>
  <w:num w:numId="58" w16cid:durableId="812991852">
    <w:abstractNumId w:val="13"/>
  </w:num>
  <w:num w:numId="59" w16cid:durableId="90008032">
    <w:abstractNumId w:val="11"/>
  </w:num>
  <w:num w:numId="60" w16cid:durableId="615020353">
    <w:abstractNumId w:val="37"/>
  </w:num>
  <w:num w:numId="61" w16cid:durableId="129596862">
    <w:abstractNumId w:val="31"/>
  </w:num>
  <w:num w:numId="62" w16cid:durableId="812603794">
    <w:abstractNumId w:val="18"/>
  </w:num>
  <w:num w:numId="63" w16cid:durableId="1431584702">
    <w:abstractNumId w:val="20"/>
  </w:num>
  <w:num w:numId="64" w16cid:durableId="1886484020">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22D"/>
    <w:rsid w:val="00000C83"/>
    <w:rsid w:val="000014B3"/>
    <w:rsid w:val="00001AE1"/>
    <w:rsid w:val="00001F41"/>
    <w:rsid w:val="00002BB5"/>
    <w:rsid w:val="00002D14"/>
    <w:rsid w:val="00003743"/>
    <w:rsid w:val="00003931"/>
    <w:rsid w:val="00003C7D"/>
    <w:rsid w:val="000043E6"/>
    <w:rsid w:val="000047B4"/>
    <w:rsid w:val="000055B7"/>
    <w:rsid w:val="00005712"/>
    <w:rsid w:val="00006255"/>
    <w:rsid w:val="000062AB"/>
    <w:rsid w:val="00006426"/>
    <w:rsid w:val="00006B6E"/>
    <w:rsid w:val="00006C44"/>
    <w:rsid w:val="00007846"/>
    <w:rsid w:val="00007873"/>
    <w:rsid w:val="00007C9E"/>
    <w:rsid w:val="00007FD8"/>
    <w:rsid w:val="00011625"/>
    <w:rsid w:val="000117F8"/>
    <w:rsid w:val="0001199A"/>
    <w:rsid w:val="0001213B"/>
    <w:rsid w:val="0001238C"/>
    <w:rsid w:val="0001255D"/>
    <w:rsid w:val="000127E9"/>
    <w:rsid w:val="00012FA0"/>
    <w:rsid w:val="000137F5"/>
    <w:rsid w:val="00013B81"/>
    <w:rsid w:val="00014919"/>
    <w:rsid w:val="00015439"/>
    <w:rsid w:val="0001553A"/>
    <w:rsid w:val="00015AC6"/>
    <w:rsid w:val="000160C0"/>
    <w:rsid w:val="000167B0"/>
    <w:rsid w:val="00016DC3"/>
    <w:rsid w:val="00016E94"/>
    <w:rsid w:val="000174F0"/>
    <w:rsid w:val="00017B29"/>
    <w:rsid w:val="00017B47"/>
    <w:rsid w:val="00020C24"/>
    <w:rsid w:val="00021713"/>
    <w:rsid w:val="00021C5E"/>
    <w:rsid w:val="00023DB9"/>
    <w:rsid w:val="00023DC2"/>
    <w:rsid w:val="00023F1B"/>
    <w:rsid w:val="00024103"/>
    <w:rsid w:val="000241EC"/>
    <w:rsid w:val="00025275"/>
    <w:rsid w:val="00025BEE"/>
    <w:rsid w:val="00025C0A"/>
    <w:rsid w:val="00026139"/>
    <w:rsid w:val="00026DE4"/>
    <w:rsid w:val="00027071"/>
    <w:rsid w:val="00027601"/>
    <w:rsid w:val="00027CE5"/>
    <w:rsid w:val="00030FE8"/>
    <w:rsid w:val="000315DA"/>
    <w:rsid w:val="00031C09"/>
    <w:rsid w:val="00031E1B"/>
    <w:rsid w:val="00033168"/>
    <w:rsid w:val="0003326E"/>
    <w:rsid w:val="00033321"/>
    <w:rsid w:val="00033652"/>
    <w:rsid w:val="000338E5"/>
    <w:rsid w:val="00033C79"/>
    <w:rsid w:val="00033ECC"/>
    <w:rsid w:val="0003422F"/>
    <w:rsid w:val="000343AE"/>
    <w:rsid w:val="00034C79"/>
    <w:rsid w:val="00035D01"/>
    <w:rsid w:val="000363F1"/>
    <w:rsid w:val="00037189"/>
    <w:rsid w:val="00037652"/>
    <w:rsid w:val="000410C4"/>
    <w:rsid w:val="00041118"/>
    <w:rsid w:val="00042999"/>
    <w:rsid w:val="000429B4"/>
    <w:rsid w:val="00042B01"/>
    <w:rsid w:val="000446E4"/>
    <w:rsid w:val="00045D42"/>
    <w:rsid w:val="00046FF0"/>
    <w:rsid w:val="000470CE"/>
    <w:rsid w:val="000475AD"/>
    <w:rsid w:val="000478BA"/>
    <w:rsid w:val="00050176"/>
    <w:rsid w:val="00050C92"/>
    <w:rsid w:val="00050FDC"/>
    <w:rsid w:val="00051160"/>
    <w:rsid w:val="000519F5"/>
    <w:rsid w:val="000523B4"/>
    <w:rsid w:val="000525E9"/>
    <w:rsid w:val="00052A7E"/>
    <w:rsid w:val="00053080"/>
    <w:rsid w:val="00053511"/>
    <w:rsid w:val="000536F6"/>
    <w:rsid w:val="00053B67"/>
    <w:rsid w:val="00053F8B"/>
    <w:rsid w:val="000543A6"/>
    <w:rsid w:val="00055D56"/>
    <w:rsid w:val="000562AA"/>
    <w:rsid w:val="00056D13"/>
    <w:rsid w:val="00056F92"/>
    <w:rsid w:val="00057DFE"/>
    <w:rsid w:val="00057F70"/>
    <w:rsid w:val="000600A8"/>
    <w:rsid w:val="000603B7"/>
    <w:rsid w:val="0006099C"/>
    <w:rsid w:val="000610AD"/>
    <w:rsid w:val="00061207"/>
    <w:rsid w:val="000622CD"/>
    <w:rsid w:val="0006284A"/>
    <w:rsid w:val="00062927"/>
    <w:rsid w:val="00062B65"/>
    <w:rsid w:val="0006360D"/>
    <w:rsid w:val="00063F6C"/>
    <w:rsid w:val="000650F4"/>
    <w:rsid w:val="000654C0"/>
    <w:rsid w:val="00066143"/>
    <w:rsid w:val="00066EFB"/>
    <w:rsid w:val="00067456"/>
    <w:rsid w:val="00067B5D"/>
    <w:rsid w:val="00067BF4"/>
    <w:rsid w:val="000701A3"/>
    <w:rsid w:val="0007049E"/>
    <w:rsid w:val="00070B18"/>
    <w:rsid w:val="000710DB"/>
    <w:rsid w:val="0007128C"/>
    <w:rsid w:val="000713A4"/>
    <w:rsid w:val="00071506"/>
    <w:rsid w:val="0007154F"/>
    <w:rsid w:val="00071D3B"/>
    <w:rsid w:val="000721DC"/>
    <w:rsid w:val="0007248C"/>
    <w:rsid w:val="0007269F"/>
    <w:rsid w:val="000731DD"/>
    <w:rsid w:val="00073ACB"/>
    <w:rsid w:val="0007440F"/>
    <w:rsid w:val="00074721"/>
    <w:rsid w:val="00075513"/>
    <w:rsid w:val="00075676"/>
    <w:rsid w:val="00075FEB"/>
    <w:rsid w:val="00076862"/>
    <w:rsid w:val="00076E3D"/>
    <w:rsid w:val="0007706B"/>
    <w:rsid w:val="00080873"/>
    <w:rsid w:val="00081AB1"/>
    <w:rsid w:val="00081E87"/>
    <w:rsid w:val="00081FD4"/>
    <w:rsid w:val="00083290"/>
    <w:rsid w:val="000834F2"/>
    <w:rsid w:val="000842A7"/>
    <w:rsid w:val="00084C80"/>
    <w:rsid w:val="000871DA"/>
    <w:rsid w:val="00087F52"/>
    <w:rsid w:val="00090316"/>
    <w:rsid w:val="0009208E"/>
    <w:rsid w:val="0009223D"/>
    <w:rsid w:val="00093981"/>
    <w:rsid w:val="00093CD9"/>
    <w:rsid w:val="0009562A"/>
    <w:rsid w:val="00095B16"/>
    <w:rsid w:val="00096847"/>
    <w:rsid w:val="00096EA9"/>
    <w:rsid w:val="0009751C"/>
    <w:rsid w:val="000A08D0"/>
    <w:rsid w:val="000A110E"/>
    <w:rsid w:val="000A14E0"/>
    <w:rsid w:val="000A1552"/>
    <w:rsid w:val="000A205B"/>
    <w:rsid w:val="000A235F"/>
    <w:rsid w:val="000A253C"/>
    <w:rsid w:val="000A29BF"/>
    <w:rsid w:val="000A31BA"/>
    <w:rsid w:val="000A4ACE"/>
    <w:rsid w:val="000A6605"/>
    <w:rsid w:val="000A68B1"/>
    <w:rsid w:val="000A77E4"/>
    <w:rsid w:val="000A7C1D"/>
    <w:rsid w:val="000B01FD"/>
    <w:rsid w:val="000B067A"/>
    <w:rsid w:val="000B1540"/>
    <w:rsid w:val="000B1FC2"/>
    <w:rsid w:val="000B2960"/>
    <w:rsid w:val="000B33FD"/>
    <w:rsid w:val="000B3F55"/>
    <w:rsid w:val="000B49BC"/>
    <w:rsid w:val="000B4ABA"/>
    <w:rsid w:val="000B4BFF"/>
    <w:rsid w:val="000B61C0"/>
    <w:rsid w:val="000B62B7"/>
    <w:rsid w:val="000B662B"/>
    <w:rsid w:val="000B6F73"/>
    <w:rsid w:val="000B7A8C"/>
    <w:rsid w:val="000C02A7"/>
    <w:rsid w:val="000C1021"/>
    <w:rsid w:val="000C1FAF"/>
    <w:rsid w:val="000C2C62"/>
    <w:rsid w:val="000C30BE"/>
    <w:rsid w:val="000C392C"/>
    <w:rsid w:val="000C3D40"/>
    <w:rsid w:val="000C4562"/>
    <w:rsid w:val="000C4B16"/>
    <w:rsid w:val="000C50C3"/>
    <w:rsid w:val="000C5A92"/>
    <w:rsid w:val="000C5B65"/>
    <w:rsid w:val="000C64F9"/>
    <w:rsid w:val="000C794E"/>
    <w:rsid w:val="000D058A"/>
    <w:rsid w:val="000D0640"/>
    <w:rsid w:val="000D094C"/>
    <w:rsid w:val="000D0B3B"/>
    <w:rsid w:val="000D10BE"/>
    <w:rsid w:val="000D21F6"/>
    <w:rsid w:val="000D3150"/>
    <w:rsid w:val="000D3468"/>
    <w:rsid w:val="000D35C4"/>
    <w:rsid w:val="000D39E8"/>
    <w:rsid w:val="000D42C3"/>
    <w:rsid w:val="000D4500"/>
    <w:rsid w:val="000D4C98"/>
    <w:rsid w:val="000D53D3"/>
    <w:rsid w:val="000D55D9"/>
    <w:rsid w:val="000D6F37"/>
    <w:rsid w:val="000D7AEA"/>
    <w:rsid w:val="000E01A9"/>
    <w:rsid w:val="000E1553"/>
    <w:rsid w:val="000E1B14"/>
    <w:rsid w:val="000E2C66"/>
    <w:rsid w:val="000E2E83"/>
    <w:rsid w:val="000E2FCA"/>
    <w:rsid w:val="000E34BF"/>
    <w:rsid w:val="000E4572"/>
    <w:rsid w:val="000E498E"/>
    <w:rsid w:val="000E5517"/>
    <w:rsid w:val="000E6D5E"/>
    <w:rsid w:val="000E6E7D"/>
    <w:rsid w:val="000E7015"/>
    <w:rsid w:val="000E79F3"/>
    <w:rsid w:val="000E7D87"/>
    <w:rsid w:val="000F029B"/>
    <w:rsid w:val="000F0709"/>
    <w:rsid w:val="000F0B0F"/>
    <w:rsid w:val="000F114E"/>
    <w:rsid w:val="000F123C"/>
    <w:rsid w:val="000F1374"/>
    <w:rsid w:val="000F1499"/>
    <w:rsid w:val="000F14D7"/>
    <w:rsid w:val="000F166A"/>
    <w:rsid w:val="000F2033"/>
    <w:rsid w:val="000F203E"/>
    <w:rsid w:val="000F2046"/>
    <w:rsid w:val="000F2FED"/>
    <w:rsid w:val="000F4BA2"/>
    <w:rsid w:val="000F63FB"/>
    <w:rsid w:val="000F705C"/>
    <w:rsid w:val="000F72D0"/>
    <w:rsid w:val="000F733D"/>
    <w:rsid w:val="0010533A"/>
    <w:rsid w:val="0010595D"/>
    <w:rsid w:val="00105BC8"/>
    <w:rsid w:val="00105EB0"/>
    <w:rsid w:val="00106103"/>
    <w:rsid w:val="0010616D"/>
    <w:rsid w:val="00106416"/>
    <w:rsid w:val="00106B9B"/>
    <w:rsid w:val="00107852"/>
    <w:rsid w:val="00110478"/>
    <w:rsid w:val="00110CE3"/>
    <w:rsid w:val="00111884"/>
    <w:rsid w:val="001122D5"/>
    <w:rsid w:val="00112303"/>
    <w:rsid w:val="00112479"/>
    <w:rsid w:val="001134FF"/>
    <w:rsid w:val="00114243"/>
    <w:rsid w:val="00114B45"/>
    <w:rsid w:val="00115BEF"/>
    <w:rsid w:val="00116034"/>
    <w:rsid w:val="00116946"/>
    <w:rsid w:val="0011711B"/>
    <w:rsid w:val="001178DE"/>
    <w:rsid w:val="00117F8A"/>
    <w:rsid w:val="0012019A"/>
    <w:rsid w:val="0012026D"/>
    <w:rsid w:val="00121B9B"/>
    <w:rsid w:val="00121F66"/>
    <w:rsid w:val="00122309"/>
    <w:rsid w:val="00122661"/>
    <w:rsid w:val="00122ADC"/>
    <w:rsid w:val="00122FC2"/>
    <w:rsid w:val="00124F10"/>
    <w:rsid w:val="00125F89"/>
    <w:rsid w:val="00126226"/>
    <w:rsid w:val="00126987"/>
    <w:rsid w:val="00127914"/>
    <w:rsid w:val="0012C8A5"/>
    <w:rsid w:val="00130A0C"/>
    <w:rsid w:val="00130F59"/>
    <w:rsid w:val="0013234C"/>
    <w:rsid w:val="00133A37"/>
    <w:rsid w:val="00133EC0"/>
    <w:rsid w:val="0013530A"/>
    <w:rsid w:val="00135A52"/>
    <w:rsid w:val="00136202"/>
    <w:rsid w:val="00136A02"/>
    <w:rsid w:val="001371D4"/>
    <w:rsid w:val="0013781A"/>
    <w:rsid w:val="001401DA"/>
    <w:rsid w:val="00140A42"/>
    <w:rsid w:val="00140D67"/>
    <w:rsid w:val="00141CE5"/>
    <w:rsid w:val="00141D53"/>
    <w:rsid w:val="001420E2"/>
    <w:rsid w:val="00143686"/>
    <w:rsid w:val="0014379B"/>
    <w:rsid w:val="00143EA2"/>
    <w:rsid w:val="00144908"/>
    <w:rsid w:val="00144CB2"/>
    <w:rsid w:val="00144E4A"/>
    <w:rsid w:val="00145C02"/>
    <w:rsid w:val="0014648F"/>
    <w:rsid w:val="00146725"/>
    <w:rsid w:val="00146EC5"/>
    <w:rsid w:val="0014734A"/>
    <w:rsid w:val="00147CD2"/>
    <w:rsid w:val="00152793"/>
    <w:rsid w:val="00152EF5"/>
    <w:rsid w:val="00153AE0"/>
    <w:rsid w:val="00154016"/>
    <w:rsid w:val="0015418A"/>
    <w:rsid w:val="00154AC8"/>
    <w:rsid w:val="0015615B"/>
    <w:rsid w:val="001571C7"/>
    <w:rsid w:val="00157B6D"/>
    <w:rsid w:val="00157D46"/>
    <w:rsid w:val="001600CF"/>
    <w:rsid w:val="0016014A"/>
    <w:rsid w:val="00160BC9"/>
    <w:rsid w:val="00161094"/>
    <w:rsid w:val="001617BA"/>
    <w:rsid w:val="00161AB7"/>
    <w:rsid w:val="00161CE2"/>
    <w:rsid w:val="00162316"/>
    <w:rsid w:val="00162C7C"/>
    <w:rsid w:val="00162D67"/>
    <w:rsid w:val="0016311B"/>
    <w:rsid w:val="00163418"/>
    <w:rsid w:val="00163C70"/>
    <w:rsid w:val="001641E6"/>
    <w:rsid w:val="001642DE"/>
    <w:rsid w:val="0016513D"/>
    <w:rsid w:val="0016634F"/>
    <w:rsid w:val="001663EE"/>
    <w:rsid w:val="00166532"/>
    <w:rsid w:val="00166AD5"/>
    <w:rsid w:val="00166B35"/>
    <w:rsid w:val="00166F2A"/>
    <w:rsid w:val="001675E5"/>
    <w:rsid w:val="001679BD"/>
    <w:rsid w:val="00167BD8"/>
    <w:rsid w:val="00167F28"/>
    <w:rsid w:val="00170409"/>
    <w:rsid w:val="00170576"/>
    <w:rsid w:val="00170869"/>
    <w:rsid w:val="001717AE"/>
    <w:rsid w:val="00172A55"/>
    <w:rsid w:val="00173425"/>
    <w:rsid w:val="0017489B"/>
    <w:rsid w:val="00174D1F"/>
    <w:rsid w:val="001758CD"/>
    <w:rsid w:val="00175CC6"/>
    <w:rsid w:val="0017622F"/>
    <w:rsid w:val="0017665C"/>
    <w:rsid w:val="00177AD2"/>
    <w:rsid w:val="00180E57"/>
    <w:rsid w:val="001815A8"/>
    <w:rsid w:val="0018167A"/>
    <w:rsid w:val="00181E7B"/>
    <w:rsid w:val="00182053"/>
    <w:rsid w:val="00182AD9"/>
    <w:rsid w:val="001835C7"/>
    <w:rsid w:val="001839D2"/>
    <w:rsid w:val="00183BAD"/>
    <w:rsid w:val="001840FA"/>
    <w:rsid w:val="00184D8C"/>
    <w:rsid w:val="0018644D"/>
    <w:rsid w:val="0018662D"/>
    <w:rsid w:val="001875A5"/>
    <w:rsid w:val="00190079"/>
    <w:rsid w:val="001904E5"/>
    <w:rsid w:val="0019051E"/>
    <w:rsid w:val="00190DA2"/>
    <w:rsid w:val="00192488"/>
    <w:rsid w:val="001927DB"/>
    <w:rsid w:val="00194E99"/>
    <w:rsid w:val="0019622E"/>
    <w:rsid w:val="001966A7"/>
    <w:rsid w:val="0019788F"/>
    <w:rsid w:val="00197A3D"/>
    <w:rsid w:val="00197AF5"/>
    <w:rsid w:val="00197F4A"/>
    <w:rsid w:val="001A0883"/>
    <w:rsid w:val="001A177D"/>
    <w:rsid w:val="001A18DB"/>
    <w:rsid w:val="001A32A5"/>
    <w:rsid w:val="001A4627"/>
    <w:rsid w:val="001A4979"/>
    <w:rsid w:val="001A4A2C"/>
    <w:rsid w:val="001A57E5"/>
    <w:rsid w:val="001A6D79"/>
    <w:rsid w:val="001A6E81"/>
    <w:rsid w:val="001A7AAC"/>
    <w:rsid w:val="001B0B7F"/>
    <w:rsid w:val="001B15D3"/>
    <w:rsid w:val="001B3443"/>
    <w:rsid w:val="001B34FC"/>
    <w:rsid w:val="001B3FFC"/>
    <w:rsid w:val="001B4754"/>
    <w:rsid w:val="001B4C7E"/>
    <w:rsid w:val="001B55D2"/>
    <w:rsid w:val="001B648C"/>
    <w:rsid w:val="001B655A"/>
    <w:rsid w:val="001B77E0"/>
    <w:rsid w:val="001C0326"/>
    <w:rsid w:val="001C192F"/>
    <w:rsid w:val="001C2267"/>
    <w:rsid w:val="001C3C42"/>
    <w:rsid w:val="001C4D1B"/>
    <w:rsid w:val="001C545F"/>
    <w:rsid w:val="001C54B0"/>
    <w:rsid w:val="001C6F02"/>
    <w:rsid w:val="001D0AA1"/>
    <w:rsid w:val="001D0BA5"/>
    <w:rsid w:val="001D0F6E"/>
    <w:rsid w:val="001D1491"/>
    <w:rsid w:val="001D15C9"/>
    <w:rsid w:val="001D1703"/>
    <w:rsid w:val="001D1925"/>
    <w:rsid w:val="001D2895"/>
    <w:rsid w:val="001D2A4D"/>
    <w:rsid w:val="001D2FA0"/>
    <w:rsid w:val="001D31F8"/>
    <w:rsid w:val="001D3365"/>
    <w:rsid w:val="001D33F6"/>
    <w:rsid w:val="001D34BB"/>
    <w:rsid w:val="001D374B"/>
    <w:rsid w:val="001D3B3A"/>
    <w:rsid w:val="001D3FBB"/>
    <w:rsid w:val="001D45FA"/>
    <w:rsid w:val="001D597A"/>
    <w:rsid w:val="001D6353"/>
    <w:rsid w:val="001D67BC"/>
    <w:rsid w:val="001D6B19"/>
    <w:rsid w:val="001D7832"/>
    <w:rsid w:val="001D7869"/>
    <w:rsid w:val="001D7A7F"/>
    <w:rsid w:val="001D7A8C"/>
    <w:rsid w:val="001D7F9E"/>
    <w:rsid w:val="001E0387"/>
    <w:rsid w:val="001E069C"/>
    <w:rsid w:val="001E06C2"/>
    <w:rsid w:val="001E0879"/>
    <w:rsid w:val="001E1DB4"/>
    <w:rsid w:val="001E27D1"/>
    <w:rsid w:val="001E28AA"/>
    <w:rsid w:val="001E30DC"/>
    <w:rsid w:val="001E645D"/>
    <w:rsid w:val="001E65E9"/>
    <w:rsid w:val="001E7656"/>
    <w:rsid w:val="001E767B"/>
    <w:rsid w:val="001E7AD7"/>
    <w:rsid w:val="001E7E64"/>
    <w:rsid w:val="001F013D"/>
    <w:rsid w:val="001F10FB"/>
    <w:rsid w:val="001F2F78"/>
    <w:rsid w:val="001F4056"/>
    <w:rsid w:val="001F47E8"/>
    <w:rsid w:val="001F4B58"/>
    <w:rsid w:val="001F4FC9"/>
    <w:rsid w:val="001F668F"/>
    <w:rsid w:val="001F67A1"/>
    <w:rsid w:val="001F686E"/>
    <w:rsid w:val="001F6BED"/>
    <w:rsid w:val="001F757E"/>
    <w:rsid w:val="0020154B"/>
    <w:rsid w:val="002016DC"/>
    <w:rsid w:val="0020194D"/>
    <w:rsid w:val="00201AB6"/>
    <w:rsid w:val="00202577"/>
    <w:rsid w:val="002026CD"/>
    <w:rsid w:val="002033FC"/>
    <w:rsid w:val="002044BB"/>
    <w:rsid w:val="00204BB1"/>
    <w:rsid w:val="002058D0"/>
    <w:rsid w:val="0020651E"/>
    <w:rsid w:val="002072BE"/>
    <w:rsid w:val="002072EA"/>
    <w:rsid w:val="00207572"/>
    <w:rsid w:val="0020765E"/>
    <w:rsid w:val="00207732"/>
    <w:rsid w:val="00207972"/>
    <w:rsid w:val="00210675"/>
    <w:rsid w:val="00210B09"/>
    <w:rsid w:val="00210C9E"/>
    <w:rsid w:val="00211840"/>
    <w:rsid w:val="002119D1"/>
    <w:rsid w:val="00211A68"/>
    <w:rsid w:val="00211B39"/>
    <w:rsid w:val="00213378"/>
    <w:rsid w:val="0021440E"/>
    <w:rsid w:val="002144F0"/>
    <w:rsid w:val="0021459E"/>
    <w:rsid w:val="00214F84"/>
    <w:rsid w:val="00215A50"/>
    <w:rsid w:val="002174B7"/>
    <w:rsid w:val="0022009C"/>
    <w:rsid w:val="0022052D"/>
    <w:rsid w:val="00220E5F"/>
    <w:rsid w:val="00221291"/>
    <w:rsid w:val="002212B5"/>
    <w:rsid w:val="00221C1A"/>
    <w:rsid w:val="0022268A"/>
    <w:rsid w:val="00222E34"/>
    <w:rsid w:val="00223174"/>
    <w:rsid w:val="002235C5"/>
    <w:rsid w:val="002237D7"/>
    <w:rsid w:val="002244DA"/>
    <w:rsid w:val="002246AB"/>
    <w:rsid w:val="00224A25"/>
    <w:rsid w:val="00224B5B"/>
    <w:rsid w:val="002253A9"/>
    <w:rsid w:val="00225931"/>
    <w:rsid w:val="00225AC2"/>
    <w:rsid w:val="00225C16"/>
    <w:rsid w:val="00225F24"/>
    <w:rsid w:val="00226532"/>
    <w:rsid w:val="00226668"/>
    <w:rsid w:val="002268B0"/>
    <w:rsid w:val="00226D31"/>
    <w:rsid w:val="00226F98"/>
    <w:rsid w:val="002306F7"/>
    <w:rsid w:val="00232349"/>
    <w:rsid w:val="002333C4"/>
    <w:rsid w:val="00233809"/>
    <w:rsid w:val="0023408E"/>
    <w:rsid w:val="00234455"/>
    <w:rsid w:val="0023472F"/>
    <w:rsid w:val="00235060"/>
    <w:rsid w:val="00235681"/>
    <w:rsid w:val="00235E42"/>
    <w:rsid w:val="00235E89"/>
    <w:rsid w:val="00236769"/>
    <w:rsid w:val="002379FC"/>
    <w:rsid w:val="00240046"/>
    <w:rsid w:val="00240A96"/>
    <w:rsid w:val="00240D33"/>
    <w:rsid w:val="002413EC"/>
    <w:rsid w:val="00241464"/>
    <w:rsid w:val="002416AB"/>
    <w:rsid w:val="0024215F"/>
    <w:rsid w:val="002421F2"/>
    <w:rsid w:val="002439E8"/>
    <w:rsid w:val="00243B2C"/>
    <w:rsid w:val="00243C16"/>
    <w:rsid w:val="00245C0F"/>
    <w:rsid w:val="00245DE2"/>
    <w:rsid w:val="002472A5"/>
    <w:rsid w:val="0024769E"/>
    <w:rsid w:val="002477CB"/>
    <w:rsid w:val="0024797F"/>
    <w:rsid w:val="0025003B"/>
    <w:rsid w:val="00250CFC"/>
    <w:rsid w:val="0025119E"/>
    <w:rsid w:val="00251227"/>
    <w:rsid w:val="00251269"/>
    <w:rsid w:val="002512BA"/>
    <w:rsid w:val="002515A4"/>
    <w:rsid w:val="00251659"/>
    <w:rsid w:val="0025182E"/>
    <w:rsid w:val="00251920"/>
    <w:rsid w:val="002535C0"/>
    <w:rsid w:val="00253A7B"/>
    <w:rsid w:val="00254518"/>
    <w:rsid w:val="00254B1C"/>
    <w:rsid w:val="0025590B"/>
    <w:rsid w:val="00255ED8"/>
    <w:rsid w:val="002566B2"/>
    <w:rsid w:val="002570C3"/>
    <w:rsid w:val="002579FE"/>
    <w:rsid w:val="0025A41D"/>
    <w:rsid w:val="00260135"/>
    <w:rsid w:val="002622A2"/>
    <w:rsid w:val="00263099"/>
    <w:rsid w:val="0026311C"/>
    <w:rsid w:val="002639C3"/>
    <w:rsid w:val="0026405E"/>
    <w:rsid w:val="002648EA"/>
    <w:rsid w:val="002650DD"/>
    <w:rsid w:val="0026622F"/>
    <w:rsid w:val="002665C4"/>
    <w:rsid w:val="0026668C"/>
    <w:rsid w:val="00266AC1"/>
    <w:rsid w:val="00267C4A"/>
    <w:rsid w:val="00270A7C"/>
    <w:rsid w:val="0027178C"/>
    <w:rsid w:val="002719FA"/>
    <w:rsid w:val="00272668"/>
    <w:rsid w:val="00272679"/>
    <w:rsid w:val="0027330B"/>
    <w:rsid w:val="00273610"/>
    <w:rsid w:val="00273806"/>
    <w:rsid w:val="00273A0E"/>
    <w:rsid w:val="00274885"/>
    <w:rsid w:val="00274EED"/>
    <w:rsid w:val="002753CA"/>
    <w:rsid w:val="00276B37"/>
    <w:rsid w:val="00277A5C"/>
    <w:rsid w:val="00277A6B"/>
    <w:rsid w:val="002803AD"/>
    <w:rsid w:val="00281D10"/>
    <w:rsid w:val="00281E5C"/>
    <w:rsid w:val="00282052"/>
    <w:rsid w:val="00283831"/>
    <w:rsid w:val="00283BEF"/>
    <w:rsid w:val="00283C99"/>
    <w:rsid w:val="00284058"/>
    <w:rsid w:val="002845B3"/>
    <w:rsid w:val="00284E4B"/>
    <w:rsid w:val="0028519E"/>
    <w:rsid w:val="002853E3"/>
    <w:rsid w:val="002856A5"/>
    <w:rsid w:val="002856BD"/>
    <w:rsid w:val="00285AC5"/>
    <w:rsid w:val="00285D3F"/>
    <w:rsid w:val="0028602C"/>
    <w:rsid w:val="00286142"/>
    <w:rsid w:val="002872ED"/>
    <w:rsid w:val="002905C2"/>
    <w:rsid w:val="00290B53"/>
    <w:rsid w:val="00290C2A"/>
    <w:rsid w:val="00291622"/>
    <w:rsid w:val="00291750"/>
    <w:rsid w:val="00291D62"/>
    <w:rsid w:val="0029228B"/>
    <w:rsid w:val="0029311F"/>
    <w:rsid w:val="0029363B"/>
    <w:rsid w:val="00294730"/>
    <w:rsid w:val="00295AF2"/>
    <w:rsid w:val="00295C91"/>
    <w:rsid w:val="00296829"/>
    <w:rsid w:val="00296CCC"/>
    <w:rsid w:val="00296D52"/>
    <w:rsid w:val="00297151"/>
    <w:rsid w:val="002978B3"/>
    <w:rsid w:val="00297E11"/>
    <w:rsid w:val="00297ED4"/>
    <w:rsid w:val="002A049F"/>
    <w:rsid w:val="002A07F4"/>
    <w:rsid w:val="002A0910"/>
    <w:rsid w:val="002A12DE"/>
    <w:rsid w:val="002A1B04"/>
    <w:rsid w:val="002A1DA2"/>
    <w:rsid w:val="002A1FD7"/>
    <w:rsid w:val="002A44FD"/>
    <w:rsid w:val="002A4A85"/>
    <w:rsid w:val="002A6C70"/>
    <w:rsid w:val="002A7337"/>
    <w:rsid w:val="002A7C83"/>
    <w:rsid w:val="002A7D3B"/>
    <w:rsid w:val="002B0129"/>
    <w:rsid w:val="002B05D9"/>
    <w:rsid w:val="002B0FB3"/>
    <w:rsid w:val="002B1989"/>
    <w:rsid w:val="002B1AE4"/>
    <w:rsid w:val="002B20E6"/>
    <w:rsid w:val="002B2982"/>
    <w:rsid w:val="002B42A3"/>
    <w:rsid w:val="002B49DB"/>
    <w:rsid w:val="002B53C6"/>
    <w:rsid w:val="002B57BF"/>
    <w:rsid w:val="002B6436"/>
    <w:rsid w:val="002B714F"/>
    <w:rsid w:val="002B73B6"/>
    <w:rsid w:val="002C0A11"/>
    <w:rsid w:val="002C0CDD"/>
    <w:rsid w:val="002C15B6"/>
    <w:rsid w:val="002C26E2"/>
    <w:rsid w:val="002C284F"/>
    <w:rsid w:val="002C3717"/>
    <w:rsid w:val="002C409C"/>
    <w:rsid w:val="002C49F5"/>
    <w:rsid w:val="002C588E"/>
    <w:rsid w:val="002C5958"/>
    <w:rsid w:val="002C5D33"/>
    <w:rsid w:val="002C5DDE"/>
    <w:rsid w:val="002C7027"/>
    <w:rsid w:val="002C7F55"/>
    <w:rsid w:val="002D3F74"/>
    <w:rsid w:val="002D4DF3"/>
    <w:rsid w:val="002D507F"/>
    <w:rsid w:val="002D52B0"/>
    <w:rsid w:val="002D5413"/>
    <w:rsid w:val="002D5972"/>
    <w:rsid w:val="002D5EFA"/>
    <w:rsid w:val="002D68D7"/>
    <w:rsid w:val="002E07D5"/>
    <w:rsid w:val="002E1A1D"/>
    <w:rsid w:val="002E1F55"/>
    <w:rsid w:val="002E21DA"/>
    <w:rsid w:val="002E2217"/>
    <w:rsid w:val="002E26FF"/>
    <w:rsid w:val="002E2B5E"/>
    <w:rsid w:val="002E4081"/>
    <w:rsid w:val="002E4A43"/>
    <w:rsid w:val="002E4D18"/>
    <w:rsid w:val="002E4F7C"/>
    <w:rsid w:val="002E5B78"/>
    <w:rsid w:val="002E623F"/>
    <w:rsid w:val="002E6AD9"/>
    <w:rsid w:val="002E704F"/>
    <w:rsid w:val="002E7CBE"/>
    <w:rsid w:val="002E7ED2"/>
    <w:rsid w:val="002F0742"/>
    <w:rsid w:val="002F0DA2"/>
    <w:rsid w:val="002F1035"/>
    <w:rsid w:val="002F10EF"/>
    <w:rsid w:val="002F2ADD"/>
    <w:rsid w:val="002F3341"/>
    <w:rsid w:val="002F3AE3"/>
    <w:rsid w:val="002F5A66"/>
    <w:rsid w:val="002F5CC2"/>
    <w:rsid w:val="002F602D"/>
    <w:rsid w:val="002F67C9"/>
    <w:rsid w:val="002F764B"/>
    <w:rsid w:val="00300AB0"/>
    <w:rsid w:val="00302193"/>
    <w:rsid w:val="00304577"/>
    <w:rsid w:val="0030464B"/>
    <w:rsid w:val="00304B8D"/>
    <w:rsid w:val="003070AE"/>
    <w:rsid w:val="0030786C"/>
    <w:rsid w:val="0030794E"/>
    <w:rsid w:val="00307E6B"/>
    <w:rsid w:val="00310066"/>
    <w:rsid w:val="0031150E"/>
    <w:rsid w:val="003119C5"/>
    <w:rsid w:val="003119E5"/>
    <w:rsid w:val="00312B24"/>
    <w:rsid w:val="00312BD8"/>
    <w:rsid w:val="00313764"/>
    <w:rsid w:val="003157CE"/>
    <w:rsid w:val="003157DD"/>
    <w:rsid w:val="0031585B"/>
    <w:rsid w:val="00316344"/>
    <w:rsid w:val="0031702E"/>
    <w:rsid w:val="00317754"/>
    <w:rsid w:val="00320726"/>
    <w:rsid w:val="003207DE"/>
    <w:rsid w:val="003217AE"/>
    <w:rsid w:val="00321BC5"/>
    <w:rsid w:val="0032278E"/>
    <w:rsid w:val="003233DE"/>
    <w:rsid w:val="00323667"/>
    <w:rsid w:val="0032387C"/>
    <w:rsid w:val="0032389F"/>
    <w:rsid w:val="00323DC2"/>
    <w:rsid w:val="00324045"/>
    <w:rsid w:val="0032466B"/>
    <w:rsid w:val="00324887"/>
    <w:rsid w:val="003248D8"/>
    <w:rsid w:val="00324DF3"/>
    <w:rsid w:val="00325087"/>
    <w:rsid w:val="00325311"/>
    <w:rsid w:val="00325533"/>
    <w:rsid w:val="0032560F"/>
    <w:rsid w:val="003266A2"/>
    <w:rsid w:val="00326EF8"/>
    <w:rsid w:val="00327487"/>
    <w:rsid w:val="00327724"/>
    <w:rsid w:val="00327913"/>
    <w:rsid w:val="00327B44"/>
    <w:rsid w:val="0033226C"/>
    <w:rsid w:val="003322DB"/>
    <w:rsid w:val="003330EB"/>
    <w:rsid w:val="0033377F"/>
    <w:rsid w:val="00333964"/>
    <w:rsid w:val="003339CE"/>
    <w:rsid w:val="00333B81"/>
    <w:rsid w:val="0033403F"/>
    <w:rsid w:val="003348F5"/>
    <w:rsid w:val="00334BF3"/>
    <w:rsid w:val="00336605"/>
    <w:rsid w:val="00336C23"/>
    <w:rsid w:val="00336F9A"/>
    <w:rsid w:val="00337136"/>
    <w:rsid w:val="00337348"/>
    <w:rsid w:val="0034052D"/>
    <w:rsid w:val="00341264"/>
    <w:rsid w:val="003415FD"/>
    <w:rsid w:val="00341604"/>
    <w:rsid w:val="00341DD5"/>
    <w:rsid w:val="003429F0"/>
    <w:rsid w:val="0034347C"/>
    <w:rsid w:val="003436FD"/>
    <w:rsid w:val="0034408F"/>
    <w:rsid w:val="00344EDA"/>
    <w:rsid w:val="00345F97"/>
    <w:rsid w:val="00346D64"/>
    <w:rsid w:val="0034702C"/>
    <w:rsid w:val="00347790"/>
    <w:rsid w:val="0034798E"/>
    <w:rsid w:val="00347F66"/>
    <w:rsid w:val="00350032"/>
    <w:rsid w:val="00350356"/>
    <w:rsid w:val="0035073B"/>
    <w:rsid w:val="0035097A"/>
    <w:rsid w:val="00350E3A"/>
    <w:rsid w:val="00350F93"/>
    <w:rsid w:val="003529A8"/>
    <w:rsid w:val="00352B37"/>
    <w:rsid w:val="00353D08"/>
    <w:rsid w:val="00353F5C"/>
    <w:rsid w:val="003540A4"/>
    <w:rsid w:val="0035484A"/>
    <w:rsid w:val="00355D88"/>
    <w:rsid w:val="00360E4E"/>
    <w:rsid w:val="00361A47"/>
    <w:rsid w:val="00362118"/>
    <w:rsid w:val="00363377"/>
    <w:rsid w:val="00363388"/>
    <w:rsid w:val="0036352E"/>
    <w:rsid w:val="00363CE6"/>
    <w:rsid w:val="003643CE"/>
    <w:rsid w:val="00366952"/>
    <w:rsid w:val="0036698E"/>
    <w:rsid w:val="00366AE7"/>
    <w:rsid w:val="0036754A"/>
    <w:rsid w:val="00370245"/>
    <w:rsid w:val="00370AAA"/>
    <w:rsid w:val="00371217"/>
    <w:rsid w:val="0037243F"/>
    <w:rsid w:val="0037387A"/>
    <w:rsid w:val="00373B2F"/>
    <w:rsid w:val="003741AB"/>
    <w:rsid w:val="00374328"/>
    <w:rsid w:val="00374719"/>
    <w:rsid w:val="003750D9"/>
    <w:rsid w:val="00375CA9"/>
    <w:rsid w:val="00375F77"/>
    <w:rsid w:val="00375FE7"/>
    <w:rsid w:val="003767CD"/>
    <w:rsid w:val="00377766"/>
    <w:rsid w:val="00377A78"/>
    <w:rsid w:val="00377C3D"/>
    <w:rsid w:val="00377D37"/>
    <w:rsid w:val="0038079E"/>
    <w:rsid w:val="00380C48"/>
    <w:rsid w:val="0038135B"/>
    <w:rsid w:val="00381BBE"/>
    <w:rsid w:val="00382903"/>
    <w:rsid w:val="0038342F"/>
    <w:rsid w:val="003835AE"/>
    <w:rsid w:val="0038407A"/>
    <w:rsid w:val="003840AB"/>
    <w:rsid w:val="003846FF"/>
    <w:rsid w:val="00384955"/>
    <w:rsid w:val="00385AC7"/>
    <w:rsid w:val="00385AD4"/>
    <w:rsid w:val="00385B1B"/>
    <w:rsid w:val="00386E77"/>
    <w:rsid w:val="003874B5"/>
    <w:rsid w:val="00387744"/>
    <w:rsid w:val="00387924"/>
    <w:rsid w:val="00387C63"/>
    <w:rsid w:val="00390F2B"/>
    <w:rsid w:val="003912EB"/>
    <w:rsid w:val="00391378"/>
    <w:rsid w:val="00393302"/>
    <w:rsid w:val="00393813"/>
    <w:rsid w:val="0039384D"/>
    <w:rsid w:val="0039395A"/>
    <w:rsid w:val="00394131"/>
    <w:rsid w:val="003942FE"/>
    <w:rsid w:val="003945F0"/>
    <w:rsid w:val="00395856"/>
    <w:rsid w:val="00395C23"/>
    <w:rsid w:val="003961D5"/>
    <w:rsid w:val="00396990"/>
    <w:rsid w:val="0039731F"/>
    <w:rsid w:val="00397F29"/>
    <w:rsid w:val="003A0649"/>
    <w:rsid w:val="003A22C6"/>
    <w:rsid w:val="003A25C8"/>
    <w:rsid w:val="003A2AC3"/>
    <w:rsid w:val="003A2E4F"/>
    <w:rsid w:val="003A2E6F"/>
    <w:rsid w:val="003A41BA"/>
    <w:rsid w:val="003A436C"/>
    <w:rsid w:val="003A4438"/>
    <w:rsid w:val="003A44E3"/>
    <w:rsid w:val="003A4A76"/>
    <w:rsid w:val="003A4BA8"/>
    <w:rsid w:val="003A4C2C"/>
    <w:rsid w:val="003A4DDA"/>
    <w:rsid w:val="003A4FBF"/>
    <w:rsid w:val="003A5013"/>
    <w:rsid w:val="003A5078"/>
    <w:rsid w:val="003A5D2F"/>
    <w:rsid w:val="003A62DD"/>
    <w:rsid w:val="003A732E"/>
    <w:rsid w:val="003A775A"/>
    <w:rsid w:val="003A7883"/>
    <w:rsid w:val="003A7CFA"/>
    <w:rsid w:val="003A7FE7"/>
    <w:rsid w:val="003B0988"/>
    <w:rsid w:val="003B0DAB"/>
    <w:rsid w:val="003B213A"/>
    <w:rsid w:val="003B27C2"/>
    <w:rsid w:val="003B43AD"/>
    <w:rsid w:val="003B440F"/>
    <w:rsid w:val="003B45F3"/>
    <w:rsid w:val="003B6212"/>
    <w:rsid w:val="003B62FB"/>
    <w:rsid w:val="003B63C2"/>
    <w:rsid w:val="003B64F7"/>
    <w:rsid w:val="003B72EC"/>
    <w:rsid w:val="003B7473"/>
    <w:rsid w:val="003B7649"/>
    <w:rsid w:val="003C013F"/>
    <w:rsid w:val="003C05B3"/>
    <w:rsid w:val="003C05D1"/>
    <w:rsid w:val="003C0A51"/>
    <w:rsid w:val="003C0FEC"/>
    <w:rsid w:val="003C15B8"/>
    <w:rsid w:val="003C15CC"/>
    <w:rsid w:val="003C26D2"/>
    <w:rsid w:val="003C2AC8"/>
    <w:rsid w:val="003C2F88"/>
    <w:rsid w:val="003C3420"/>
    <w:rsid w:val="003C395B"/>
    <w:rsid w:val="003C3FF9"/>
    <w:rsid w:val="003C44F5"/>
    <w:rsid w:val="003C46A6"/>
    <w:rsid w:val="003C5000"/>
    <w:rsid w:val="003C507A"/>
    <w:rsid w:val="003C5BC3"/>
    <w:rsid w:val="003C5F5A"/>
    <w:rsid w:val="003C61F1"/>
    <w:rsid w:val="003C641E"/>
    <w:rsid w:val="003C6803"/>
    <w:rsid w:val="003C7036"/>
    <w:rsid w:val="003C7FD6"/>
    <w:rsid w:val="003D073C"/>
    <w:rsid w:val="003D1082"/>
    <w:rsid w:val="003D1436"/>
    <w:rsid w:val="003D17F9"/>
    <w:rsid w:val="003D1F72"/>
    <w:rsid w:val="003D2D88"/>
    <w:rsid w:val="003D3217"/>
    <w:rsid w:val="003D3F5F"/>
    <w:rsid w:val="003D41EA"/>
    <w:rsid w:val="003D4271"/>
    <w:rsid w:val="003D4300"/>
    <w:rsid w:val="003D4850"/>
    <w:rsid w:val="003D535A"/>
    <w:rsid w:val="003D54E1"/>
    <w:rsid w:val="003D5656"/>
    <w:rsid w:val="003D6392"/>
    <w:rsid w:val="003D73CA"/>
    <w:rsid w:val="003E05E8"/>
    <w:rsid w:val="003E176C"/>
    <w:rsid w:val="003E1DB5"/>
    <w:rsid w:val="003E1FDE"/>
    <w:rsid w:val="003E24A0"/>
    <w:rsid w:val="003E2A64"/>
    <w:rsid w:val="003E5265"/>
    <w:rsid w:val="003E52BF"/>
    <w:rsid w:val="003E573C"/>
    <w:rsid w:val="003E58CD"/>
    <w:rsid w:val="003E58FA"/>
    <w:rsid w:val="003E60B9"/>
    <w:rsid w:val="003E6365"/>
    <w:rsid w:val="003F00DA"/>
    <w:rsid w:val="003F04F8"/>
    <w:rsid w:val="003F0955"/>
    <w:rsid w:val="003F0ACF"/>
    <w:rsid w:val="003F0CB1"/>
    <w:rsid w:val="003F1A21"/>
    <w:rsid w:val="003F2180"/>
    <w:rsid w:val="003F29AB"/>
    <w:rsid w:val="003F2C84"/>
    <w:rsid w:val="003F3F3D"/>
    <w:rsid w:val="003F435B"/>
    <w:rsid w:val="003F60FF"/>
    <w:rsid w:val="003F690B"/>
    <w:rsid w:val="003F6FE1"/>
    <w:rsid w:val="003F733D"/>
    <w:rsid w:val="00400F00"/>
    <w:rsid w:val="00401C00"/>
    <w:rsid w:val="00403297"/>
    <w:rsid w:val="00403567"/>
    <w:rsid w:val="00403A5A"/>
    <w:rsid w:val="00403AC6"/>
    <w:rsid w:val="00404278"/>
    <w:rsid w:val="00404602"/>
    <w:rsid w:val="00404F01"/>
    <w:rsid w:val="00404F8B"/>
    <w:rsid w:val="00405256"/>
    <w:rsid w:val="00405A22"/>
    <w:rsid w:val="004063E1"/>
    <w:rsid w:val="00406A8D"/>
    <w:rsid w:val="0040703D"/>
    <w:rsid w:val="00407175"/>
    <w:rsid w:val="004071B9"/>
    <w:rsid w:val="00407463"/>
    <w:rsid w:val="00410031"/>
    <w:rsid w:val="004105E3"/>
    <w:rsid w:val="00410B3F"/>
    <w:rsid w:val="00410DCB"/>
    <w:rsid w:val="004115A2"/>
    <w:rsid w:val="00411D90"/>
    <w:rsid w:val="00411F49"/>
    <w:rsid w:val="004120F4"/>
    <w:rsid w:val="004131B8"/>
    <w:rsid w:val="00413F5C"/>
    <w:rsid w:val="004148EF"/>
    <w:rsid w:val="004150E3"/>
    <w:rsid w:val="00415271"/>
    <w:rsid w:val="00415C81"/>
    <w:rsid w:val="00416731"/>
    <w:rsid w:val="00416EC4"/>
    <w:rsid w:val="00420304"/>
    <w:rsid w:val="004205A3"/>
    <w:rsid w:val="0042092A"/>
    <w:rsid w:val="0042139A"/>
    <w:rsid w:val="00421F1A"/>
    <w:rsid w:val="00422819"/>
    <w:rsid w:val="004234CB"/>
    <w:rsid w:val="004234DF"/>
    <w:rsid w:val="004255EB"/>
    <w:rsid w:val="00425733"/>
    <w:rsid w:val="00426D1D"/>
    <w:rsid w:val="00427596"/>
    <w:rsid w:val="00430511"/>
    <w:rsid w:val="0043130A"/>
    <w:rsid w:val="00431416"/>
    <w:rsid w:val="00432378"/>
    <w:rsid w:val="004324CF"/>
    <w:rsid w:val="0043344F"/>
    <w:rsid w:val="004334A3"/>
    <w:rsid w:val="004342C8"/>
    <w:rsid w:val="00434797"/>
    <w:rsid w:val="00435404"/>
    <w:rsid w:val="00435556"/>
    <w:rsid w:val="0043602A"/>
    <w:rsid w:val="0043685B"/>
    <w:rsid w:val="00436D0F"/>
    <w:rsid w:val="004370EB"/>
    <w:rsid w:val="00437F6D"/>
    <w:rsid w:val="00440D65"/>
    <w:rsid w:val="004412D0"/>
    <w:rsid w:val="00441D1C"/>
    <w:rsid w:val="00441EF1"/>
    <w:rsid w:val="004428CB"/>
    <w:rsid w:val="00442D21"/>
    <w:rsid w:val="00442FBC"/>
    <w:rsid w:val="00443103"/>
    <w:rsid w:val="00443529"/>
    <w:rsid w:val="004435E6"/>
    <w:rsid w:val="0044362C"/>
    <w:rsid w:val="00443CD9"/>
    <w:rsid w:val="00443EB1"/>
    <w:rsid w:val="00443EBE"/>
    <w:rsid w:val="004454A4"/>
    <w:rsid w:val="00445953"/>
    <w:rsid w:val="00445C74"/>
    <w:rsid w:val="00446286"/>
    <w:rsid w:val="0044707E"/>
    <w:rsid w:val="00447E31"/>
    <w:rsid w:val="00450C80"/>
    <w:rsid w:val="00450DE4"/>
    <w:rsid w:val="004518D3"/>
    <w:rsid w:val="00451BEC"/>
    <w:rsid w:val="00452F53"/>
    <w:rsid w:val="00453923"/>
    <w:rsid w:val="00454003"/>
    <w:rsid w:val="00454699"/>
    <w:rsid w:val="00454B9B"/>
    <w:rsid w:val="00454D77"/>
    <w:rsid w:val="00454F67"/>
    <w:rsid w:val="00455433"/>
    <w:rsid w:val="00455535"/>
    <w:rsid w:val="00456AF7"/>
    <w:rsid w:val="00456F29"/>
    <w:rsid w:val="004577C0"/>
    <w:rsid w:val="00457858"/>
    <w:rsid w:val="0046079C"/>
    <w:rsid w:val="004607F2"/>
    <w:rsid w:val="00460AC0"/>
    <w:rsid w:val="00460AE9"/>
    <w:rsid w:val="00460B0B"/>
    <w:rsid w:val="00461023"/>
    <w:rsid w:val="0046179E"/>
    <w:rsid w:val="00462D73"/>
    <w:rsid w:val="00462FAC"/>
    <w:rsid w:val="00463D90"/>
    <w:rsid w:val="00464631"/>
    <w:rsid w:val="00464B47"/>
    <w:rsid w:val="00464B79"/>
    <w:rsid w:val="00465725"/>
    <w:rsid w:val="0046674C"/>
    <w:rsid w:val="00467BBF"/>
    <w:rsid w:val="004728CF"/>
    <w:rsid w:val="004732A7"/>
    <w:rsid w:val="004747BB"/>
    <w:rsid w:val="00474C07"/>
    <w:rsid w:val="00475181"/>
    <w:rsid w:val="004757B3"/>
    <w:rsid w:val="0047664C"/>
    <w:rsid w:val="00476CB9"/>
    <w:rsid w:val="00477F35"/>
    <w:rsid w:val="00480E31"/>
    <w:rsid w:val="00481148"/>
    <w:rsid w:val="004816B0"/>
    <w:rsid w:val="0048178C"/>
    <w:rsid w:val="0048199D"/>
    <w:rsid w:val="0048220B"/>
    <w:rsid w:val="00483010"/>
    <w:rsid w:val="004835F8"/>
    <w:rsid w:val="00483790"/>
    <w:rsid w:val="00483A33"/>
    <w:rsid w:val="00484866"/>
    <w:rsid w:val="00484EF5"/>
    <w:rsid w:val="00485D2B"/>
    <w:rsid w:val="00486400"/>
    <w:rsid w:val="00486646"/>
    <w:rsid w:val="004867E2"/>
    <w:rsid w:val="00487671"/>
    <w:rsid w:val="00487720"/>
    <w:rsid w:val="00490C44"/>
    <w:rsid w:val="00490C47"/>
    <w:rsid w:val="00491554"/>
    <w:rsid w:val="0049251F"/>
    <w:rsid w:val="004929A9"/>
    <w:rsid w:val="00492E11"/>
    <w:rsid w:val="004936D9"/>
    <w:rsid w:val="00493F88"/>
    <w:rsid w:val="00495C2F"/>
    <w:rsid w:val="00495DC4"/>
    <w:rsid w:val="00496C71"/>
    <w:rsid w:val="004A02C5"/>
    <w:rsid w:val="004A256C"/>
    <w:rsid w:val="004A29E4"/>
    <w:rsid w:val="004A3F6E"/>
    <w:rsid w:val="004A43A3"/>
    <w:rsid w:val="004A474F"/>
    <w:rsid w:val="004A523E"/>
    <w:rsid w:val="004A5854"/>
    <w:rsid w:val="004A6C01"/>
    <w:rsid w:val="004A785B"/>
    <w:rsid w:val="004A7EAF"/>
    <w:rsid w:val="004B1888"/>
    <w:rsid w:val="004B2058"/>
    <w:rsid w:val="004B2189"/>
    <w:rsid w:val="004B21FF"/>
    <w:rsid w:val="004B2929"/>
    <w:rsid w:val="004B35DB"/>
    <w:rsid w:val="004B3DBD"/>
    <w:rsid w:val="004B3E79"/>
    <w:rsid w:val="004B5F9D"/>
    <w:rsid w:val="004B656E"/>
    <w:rsid w:val="004B6888"/>
    <w:rsid w:val="004B6E20"/>
    <w:rsid w:val="004C0494"/>
    <w:rsid w:val="004C0A50"/>
    <w:rsid w:val="004C11F8"/>
    <w:rsid w:val="004C1303"/>
    <w:rsid w:val="004C1DA5"/>
    <w:rsid w:val="004C1EE7"/>
    <w:rsid w:val="004C1F8D"/>
    <w:rsid w:val="004C2786"/>
    <w:rsid w:val="004C2FEC"/>
    <w:rsid w:val="004C30BC"/>
    <w:rsid w:val="004C3AF3"/>
    <w:rsid w:val="004C509B"/>
    <w:rsid w:val="004C5C52"/>
    <w:rsid w:val="004C6476"/>
    <w:rsid w:val="004C673F"/>
    <w:rsid w:val="004C6BCF"/>
    <w:rsid w:val="004C77CE"/>
    <w:rsid w:val="004C79F4"/>
    <w:rsid w:val="004C7B57"/>
    <w:rsid w:val="004D0242"/>
    <w:rsid w:val="004D0CAB"/>
    <w:rsid w:val="004D1D9A"/>
    <w:rsid w:val="004D27FC"/>
    <w:rsid w:val="004D2F63"/>
    <w:rsid w:val="004D330E"/>
    <w:rsid w:val="004D4113"/>
    <w:rsid w:val="004D421C"/>
    <w:rsid w:val="004D464F"/>
    <w:rsid w:val="004D58BF"/>
    <w:rsid w:val="004D6320"/>
    <w:rsid w:val="004D6AE2"/>
    <w:rsid w:val="004D6AEC"/>
    <w:rsid w:val="004D6BB6"/>
    <w:rsid w:val="004D700D"/>
    <w:rsid w:val="004E334C"/>
    <w:rsid w:val="004E369C"/>
    <w:rsid w:val="004E3858"/>
    <w:rsid w:val="004E4335"/>
    <w:rsid w:val="004E4944"/>
    <w:rsid w:val="004E5013"/>
    <w:rsid w:val="004E53B8"/>
    <w:rsid w:val="004E563E"/>
    <w:rsid w:val="004E59E6"/>
    <w:rsid w:val="004E5A1B"/>
    <w:rsid w:val="004E5ACF"/>
    <w:rsid w:val="004E60B9"/>
    <w:rsid w:val="004E6D4D"/>
    <w:rsid w:val="004E6FB1"/>
    <w:rsid w:val="004E7DAA"/>
    <w:rsid w:val="004E7FE1"/>
    <w:rsid w:val="004F0629"/>
    <w:rsid w:val="004F13EE"/>
    <w:rsid w:val="004F13FE"/>
    <w:rsid w:val="004F2022"/>
    <w:rsid w:val="004F2D52"/>
    <w:rsid w:val="004F2DE5"/>
    <w:rsid w:val="004F308E"/>
    <w:rsid w:val="004F5776"/>
    <w:rsid w:val="004F5BCB"/>
    <w:rsid w:val="004F5E53"/>
    <w:rsid w:val="004F6441"/>
    <w:rsid w:val="004F6D93"/>
    <w:rsid w:val="004F6DB1"/>
    <w:rsid w:val="004F6DEC"/>
    <w:rsid w:val="004F7C05"/>
    <w:rsid w:val="00501C94"/>
    <w:rsid w:val="00501E98"/>
    <w:rsid w:val="0050318C"/>
    <w:rsid w:val="0050344E"/>
    <w:rsid w:val="005035B2"/>
    <w:rsid w:val="0050448B"/>
    <w:rsid w:val="00504A76"/>
    <w:rsid w:val="00505306"/>
    <w:rsid w:val="0050535B"/>
    <w:rsid w:val="00506432"/>
    <w:rsid w:val="005066E5"/>
    <w:rsid w:val="005069C2"/>
    <w:rsid w:val="005070CC"/>
    <w:rsid w:val="0050745E"/>
    <w:rsid w:val="005074F3"/>
    <w:rsid w:val="00507628"/>
    <w:rsid w:val="00511229"/>
    <w:rsid w:val="00511656"/>
    <w:rsid w:val="0051242B"/>
    <w:rsid w:val="00512628"/>
    <w:rsid w:val="00512882"/>
    <w:rsid w:val="0051305C"/>
    <w:rsid w:val="00514092"/>
    <w:rsid w:val="00514834"/>
    <w:rsid w:val="00514BE6"/>
    <w:rsid w:val="005159D0"/>
    <w:rsid w:val="0051605D"/>
    <w:rsid w:val="00516512"/>
    <w:rsid w:val="005175D3"/>
    <w:rsid w:val="0051793C"/>
    <w:rsid w:val="0052051D"/>
    <w:rsid w:val="0052064B"/>
    <w:rsid w:val="00520A17"/>
    <w:rsid w:val="00520A5D"/>
    <w:rsid w:val="00520CCF"/>
    <w:rsid w:val="00520DE0"/>
    <w:rsid w:val="00521764"/>
    <w:rsid w:val="00522363"/>
    <w:rsid w:val="0052330A"/>
    <w:rsid w:val="0052339C"/>
    <w:rsid w:val="0052346B"/>
    <w:rsid w:val="005235AE"/>
    <w:rsid w:val="00524319"/>
    <w:rsid w:val="00524CA4"/>
    <w:rsid w:val="005253AA"/>
    <w:rsid w:val="0052647F"/>
    <w:rsid w:val="00526ABA"/>
    <w:rsid w:val="00526D81"/>
    <w:rsid w:val="0052724C"/>
    <w:rsid w:val="005274C0"/>
    <w:rsid w:val="00530A18"/>
    <w:rsid w:val="00530D1D"/>
    <w:rsid w:val="00531065"/>
    <w:rsid w:val="005313AC"/>
    <w:rsid w:val="00531857"/>
    <w:rsid w:val="00532091"/>
    <w:rsid w:val="00532373"/>
    <w:rsid w:val="00532A20"/>
    <w:rsid w:val="00534F8F"/>
    <w:rsid w:val="00535851"/>
    <w:rsid w:val="005365A0"/>
    <w:rsid w:val="005368FB"/>
    <w:rsid w:val="00536B5D"/>
    <w:rsid w:val="00537893"/>
    <w:rsid w:val="00537966"/>
    <w:rsid w:val="005379A1"/>
    <w:rsid w:val="005403A4"/>
    <w:rsid w:val="00540CAE"/>
    <w:rsid w:val="00541A3B"/>
    <w:rsid w:val="00541DDB"/>
    <w:rsid w:val="005446CC"/>
    <w:rsid w:val="005450F4"/>
    <w:rsid w:val="0054565F"/>
    <w:rsid w:val="00545EE6"/>
    <w:rsid w:val="00547F9A"/>
    <w:rsid w:val="00550F8E"/>
    <w:rsid w:val="00551B41"/>
    <w:rsid w:val="00551F9F"/>
    <w:rsid w:val="005544A9"/>
    <w:rsid w:val="005546BF"/>
    <w:rsid w:val="00554B15"/>
    <w:rsid w:val="005550E7"/>
    <w:rsid w:val="00555532"/>
    <w:rsid w:val="00555C27"/>
    <w:rsid w:val="005564FB"/>
    <w:rsid w:val="00556834"/>
    <w:rsid w:val="005572C7"/>
    <w:rsid w:val="005573A2"/>
    <w:rsid w:val="0055763A"/>
    <w:rsid w:val="00560C3C"/>
    <w:rsid w:val="00560F12"/>
    <w:rsid w:val="00561D45"/>
    <w:rsid w:val="00561F25"/>
    <w:rsid w:val="00562148"/>
    <w:rsid w:val="005621E5"/>
    <w:rsid w:val="00562384"/>
    <w:rsid w:val="00562CC7"/>
    <w:rsid w:val="0056320E"/>
    <w:rsid w:val="00563287"/>
    <w:rsid w:val="00564000"/>
    <w:rsid w:val="00564688"/>
    <w:rsid w:val="005650ED"/>
    <w:rsid w:val="00565891"/>
    <w:rsid w:val="005670CE"/>
    <w:rsid w:val="005715C9"/>
    <w:rsid w:val="005717B1"/>
    <w:rsid w:val="00571817"/>
    <w:rsid w:val="00572661"/>
    <w:rsid w:val="005735FF"/>
    <w:rsid w:val="00574FE7"/>
    <w:rsid w:val="005750A5"/>
    <w:rsid w:val="00575323"/>
    <w:rsid w:val="00575754"/>
    <w:rsid w:val="00575A89"/>
    <w:rsid w:val="00576F9C"/>
    <w:rsid w:val="005774BC"/>
    <w:rsid w:val="00577885"/>
    <w:rsid w:val="005807F6"/>
    <w:rsid w:val="00580A77"/>
    <w:rsid w:val="00580C7B"/>
    <w:rsid w:val="00580C99"/>
    <w:rsid w:val="005810D5"/>
    <w:rsid w:val="00581C57"/>
    <w:rsid w:val="0058240E"/>
    <w:rsid w:val="00582C92"/>
    <w:rsid w:val="00582D2C"/>
    <w:rsid w:val="005835CE"/>
    <w:rsid w:val="005841F2"/>
    <w:rsid w:val="00585C55"/>
    <w:rsid w:val="00586540"/>
    <w:rsid w:val="005867A6"/>
    <w:rsid w:val="00587B7D"/>
    <w:rsid w:val="00591E20"/>
    <w:rsid w:val="005937F1"/>
    <w:rsid w:val="00594B89"/>
    <w:rsid w:val="005952C1"/>
    <w:rsid w:val="00595408"/>
    <w:rsid w:val="00595621"/>
    <w:rsid w:val="00595E84"/>
    <w:rsid w:val="00596B1C"/>
    <w:rsid w:val="00597211"/>
    <w:rsid w:val="005974FD"/>
    <w:rsid w:val="00597C18"/>
    <w:rsid w:val="00597D79"/>
    <w:rsid w:val="005A025F"/>
    <w:rsid w:val="005A0961"/>
    <w:rsid w:val="005A0C59"/>
    <w:rsid w:val="005A0DE1"/>
    <w:rsid w:val="005A2D15"/>
    <w:rsid w:val="005A3C7B"/>
    <w:rsid w:val="005A3CF0"/>
    <w:rsid w:val="005A413E"/>
    <w:rsid w:val="005A4151"/>
    <w:rsid w:val="005A48EB"/>
    <w:rsid w:val="005A512A"/>
    <w:rsid w:val="005A6B7B"/>
    <w:rsid w:val="005A6CFB"/>
    <w:rsid w:val="005A6F85"/>
    <w:rsid w:val="005A7487"/>
    <w:rsid w:val="005A79A6"/>
    <w:rsid w:val="005A79FB"/>
    <w:rsid w:val="005A7AA4"/>
    <w:rsid w:val="005B0AF0"/>
    <w:rsid w:val="005B152F"/>
    <w:rsid w:val="005B4089"/>
    <w:rsid w:val="005B4397"/>
    <w:rsid w:val="005B43FF"/>
    <w:rsid w:val="005B4890"/>
    <w:rsid w:val="005B4CA1"/>
    <w:rsid w:val="005B51A5"/>
    <w:rsid w:val="005B54B9"/>
    <w:rsid w:val="005B5C39"/>
    <w:rsid w:val="005B5FFF"/>
    <w:rsid w:val="005B6668"/>
    <w:rsid w:val="005B7BC9"/>
    <w:rsid w:val="005B7C68"/>
    <w:rsid w:val="005C048C"/>
    <w:rsid w:val="005C05DD"/>
    <w:rsid w:val="005C095C"/>
    <w:rsid w:val="005C0BA9"/>
    <w:rsid w:val="005C0ED4"/>
    <w:rsid w:val="005C114A"/>
    <w:rsid w:val="005C1FE9"/>
    <w:rsid w:val="005C2192"/>
    <w:rsid w:val="005C3462"/>
    <w:rsid w:val="005C417A"/>
    <w:rsid w:val="005C4401"/>
    <w:rsid w:val="005C482C"/>
    <w:rsid w:val="005C4AF0"/>
    <w:rsid w:val="005C547A"/>
    <w:rsid w:val="005C5AEB"/>
    <w:rsid w:val="005C63D2"/>
    <w:rsid w:val="005C718E"/>
    <w:rsid w:val="005C74D3"/>
    <w:rsid w:val="005D0020"/>
    <w:rsid w:val="005D0AF7"/>
    <w:rsid w:val="005D2776"/>
    <w:rsid w:val="005D28F0"/>
    <w:rsid w:val="005D340B"/>
    <w:rsid w:val="005D3E50"/>
    <w:rsid w:val="005D48F3"/>
    <w:rsid w:val="005D73B8"/>
    <w:rsid w:val="005D7A2C"/>
    <w:rsid w:val="005D7FCA"/>
    <w:rsid w:val="005E0A3F"/>
    <w:rsid w:val="005E1DDE"/>
    <w:rsid w:val="005E3422"/>
    <w:rsid w:val="005E5772"/>
    <w:rsid w:val="005E596B"/>
    <w:rsid w:val="005E5A8E"/>
    <w:rsid w:val="005E6883"/>
    <w:rsid w:val="005E7089"/>
    <w:rsid w:val="005E717F"/>
    <w:rsid w:val="005E772F"/>
    <w:rsid w:val="005F082F"/>
    <w:rsid w:val="005F094C"/>
    <w:rsid w:val="005F0D04"/>
    <w:rsid w:val="005F144C"/>
    <w:rsid w:val="005F1D7B"/>
    <w:rsid w:val="005F2B3E"/>
    <w:rsid w:val="005F2C27"/>
    <w:rsid w:val="005F4ECA"/>
    <w:rsid w:val="005F6153"/>
    <w:rsid w:val="005F6157"/>
    <w:rsid w:val="005F6CD4"/>
    <w:rsid w:val="005F776F"/>
    <w:rsid w:val="00600105"/>
    <w:rsid w:val="0060011F"/>
    <w:rsid w:val="00600738"/>
    <w:rsid w:val="00600A79"/>
    <w:rsid w:val="00600B59"/>
    <w:rsid w:val="00601A37"/>
    <w:rsid w:val="00603C98"/>
    <w:rsid w:val="00603E67"/>
    <w:rsid w:val="006041BE"/>
    <w:rsid w:val="006043C7"/>
    <w:rsid w:val="00604B5A"/>
    <w:rsid w:val="00606817"/>
    <w:rsid w:val="00606877"/>
    <w:rsid w:val="00607141"/>
    <w:rsid w:val="00607308"/>
    <w:rsid w:val="00607580"/>
    <w:rsid w:val="0060785D"/>
    <w:rsid w:val="006102DB"/>
    <w:rsid w:val="00611167"/>
    <w:rsid w:val="0061136A"/>
    <w:rsid w:val="006114FC"/>
    <w:rsid w:val="006128CA"/>
    <w:rsid w:val="006129B2"/>
    <w:rsid w:val="006146AD"/>
    <w:rsid w:val="0061479D"/>
    <w:rsid w:val="00615B9F"/>
    <w:rsid w:val="00616304"/>
    <w:rsid w:val="006169D6"/>
    <w:rsid w:val="006177BF"/>
    <w:rsid w:val="00617961"/>
    <w:rsid w:val="0061799E"/>
    <w:rsid w:val="00620073"/>
    <w:rsid w:val="00620531"/>
    <w:rsid w:val="0062086A"/>
    <w:rsid w:val="00621237"/>
    <w:rsid w:val="0062194B"/>
    <w:rsid w:val="006219B4"/>
    <w:rsid w:val="00622266"/>
    <w:rsid w:val="00622565"/>
    <w:rsid w:val="006228E3"/>
    <w:rsid w:val="00623EF5"/>
    <w:rsid w:val="00624B52"/>
    <w:rsid w:val="00624FCA"/>
    <w:rsid w:val="006254D8"/>
    <w:rsid w:val="00625D8F"/>
    <w:rsid w:val="00626715"/>
    <w:rsid w:val="00627126"/>
    <w:rsid w:val="00631DF4"/>
    <w:rsid w:val="00632A74"/>
    <w:rsid w:val="00633AF4"/>
    <w:rsid w:val="00634175"/>
    <w:rsid w:val="0063487C"/>
    <w:rsid w:val="00635627"/>
    <w:rsid w:val="006358D7"/>
    <w:rsid w:val="00636750"/>
    <w:rsid w:val="00636F25"/>
    <w:rsid w:val="00637085"/>
    <w:rsid w:val="006374B0"/>
    <w:rsid w:val="006408AC"/>
    <w:rsid w:val="00640A10"/>
    <w:rsid w:val="006415D3"/>
    <w:rsid w:val="006418CC"/>
    <w:rsid w:val="00642CC7"/>
    <w:rsid w:val="00642D1C"/>
    <w:rsid w:val="00643ED1"/>
    <w:rsid w:val="006443A8"/>
    <w:rsid w:val="00645176"/>
    <w:rsid w:val="006463E4"/>
    <w:rsid w:val="006468FF"/>
    <w:rsid w:val="006511B6"/>
    <w:rsid w:val="00651AD4"/>
    <w:rsid w:val="0065214A"/>
    <w:rsid w:val="00652742"/>
    <w:rsid w:val="00652D64"/>
    <w:rsid w:val="0065329A"/>
    <w:rsid w:val="006541AD"/>
    <w:rsid w:val="0065456C"/>
    <w:rsid w:val="006551DD"/>
    <w:rsid w:val="00655260"/>
    <w:rsid w:val="006552F1"/>
    <w:rsid w:val="006555FE"/>
    <w:rsid w:val="0065582C"/>
    <w:rsid w:val="00655E60"/>
    <w:rsid w:val="006562D9"/>
    <w:rsid w:val="00656D22"/>
    <w:rsid w:val="00656D65"/>
    <w:rsid w:val="00656F1F"/>
    <w:rsid w:val="006570F5"/>
    <w:rsid w:val="00657DE1"/>
    <w:rsid w:val="00657F54"/>
    <w:rsid w:val="00657FF8"/>
    <w:rsid w:val="006602B9"/>
    <w:rsid w:val="00661D50"/>
    <w:rsid w:val="00662121"/>
    <w:rsid w:val="00662211"/>
    <w:rsid w:val="00662595"/>
    <w:rsid w:val="00662D09"/>
    <w:rsid w:val="00662F59"/>
    <w:rsid w:val="00664BA8"/>
    <w:rsid w:val="00664F35"/>
    <w:rsid w:val="00665955"/>
    <w:rsid w:val="00666D63"/>
    <w:rsid w:val="00666EFA"/>
    <w:rsid w:val="00667029"/>
    <w:rsid w:val="006675AD"/>
    <w:rsid w:val="00667A5D"/>
    <w:rsid w:val="00670D99"/>
    <w:rsid w:val="00670E2B"/>
    <w:rsid w:val="00670F38"/>
    <w:rsid w:val="00671457"/>
    <w:rsid w:val="00671C94"/>
    <w:rsid w:val="00671F74"/>
    <w:rsid w:val="00672743"/>
    <w:rsid w:val="0067297A"/>
    <w:rsid w:val="00672D3C"/>
    <w:rsid w:val="0067300C"/>
    <w:rsid w:val="00673078"/>
    <w:rsid w:val="006731E8"/>
    <w:rsid w:val="006734BB"/>
    <w:rsid w:val="00673C49"/>
    <w:rsid w:val="006743B1"/>
    <w:rsid w:val="00674D3F"/>
    <w:rsid w:val="00675240"/>
    <w:rsid w:val="00675FB2"/>
    <w:rsid w:val="00677ECF"/>
    <w:rsid w:val="0068035F"/>
    <w:rsid w:val="006803A1"/>
    <w:rsid w:val="00680658"/>
    <w:rsid w:val="006812B1"/>
    <w:rsid w:val="00681A34"/>
    <w:rsid w:val="00681D11"/>
    <w:rsid w:val="006821EB"/>
    <w:rsid w:val="0068293A"/>
    <w:rsid w:val="0068352B"/>
    <w:rsid w:val="00683FC6"/>
    <w:rsid w:val="00684117"/>
    <w:rsid w:val="00684C00"/>
    <w:rsid w:val="00686583"/>
    <w:rsid w:val="0068673B"/>
    <w:rsid w:val="00686EBF"/>
    <w:rsid w:val="00687A94"/>
    <w:rsid w:val="006912F3"/>
    <w:rsid w:val="00691CD9"/>
    <w:rsid w:val="00691D80"/>
    <w:rsid w:val="00692579"/>
    <w:rsid w:val="0069293F"/>
    <w:rsid w:val="00693001"/>
    <w:rsid w:val="00693E82"/>
    <w:rsid w:val="00694D50"/>
    <w:rsid w:val="00694D7A"/>
    <w:rsid w:val="006951CC"/>
    <w:rsid w:val="006958BA"/>
    <w:rsid w:val="00695EE6"/>
    <w:rsid w:val="00697408"/>
    <w:rsid w:val="00697547"/>
    <w:rsid w:val="006A05B0"/>
    <w:rsid w:val="006A09BC"/>
    <w:rsid w:val="006A0BCC"/>
    <w:rsid w:val="006A0CD1"/>
    <w:rsid w:val="006A0D09"/>
    <w:rsid w:val="006A2408"/>
    <w:rsid w:val="006A2F5C"/>
    <w:rsid w:val="006A537F"/>
    <w:rsid w:val="006A59BB"/>
    <w:rsid w:val="006A5FCD"/>
    <w:rsid w:val="006A6A19"/>
    <w:rsid w:val="006A7581"/>
    <w:rsid w:val="006A7649"/>
    <w:rsid w:val="006B003D"/>
    <w:rsid w:val="006B00CF"/>
    <w:rsid w:val="006B0A72"/>
    <w:rsid w:val="006B11CD"/>
    <w:rsid w:val="006B20DB"/>
    <w:rsid w:val="006B2286"/>
    <w:rsid w:val="006B2493"/>
    <w:rsid w:val="006B2C5E"/>
    <w:rsid w:val="006B2E85"/>
    <w:rsid w:val="006B3528"/>
    <w:rsid w:val="006B38BF"/>
    <w:rsid w:val="006B5525"/>
    <w:rsid w:val="006B56BB"/>
    <w:rsid w:val="006B648B"/>
    <w:rsid w:val="006B6981"/>
    <w:rsid w:val="006B6B0B"/>
    <w:rsid w:val="006B74FB"/>
    <w:rsid w:val="006B76AF"/>
    <w:rsid w:val="006C00D5"/>
    <w:rsid w:val="006C06DC"/>
    <w:rsid w:val="006C0EF9"/>
    <w:rsid w:val="006C1870"/>
    <w:rsid w:val="006C224B"/>
    <w:rsid w:val="006C2AEB"/>
    <w:rsid w:val="006C34D3"/>
    <w:rsid w:val="006C3E3D"/>
    <w:rsid w:val="006C405F"/>
    <w:rsid w:val="006C4A49"/>
    <w:rsid w:val="006C4A96"/>
    <w:rsid w:val="006C54E1"/>
    <w:rsid w:val="006C5642"/>
    <w:rsid w:val="006C5C25"/>
    <w:rsid w:val="006C6259"/>
    <w:rsid w:val="006C7597"/>
    <w:rsid w:val="006C75EA"/>
    <w:rsid w:val="006C77A8"/>
    <w:rsid w:val="006C7F58"/>
    <w:rsid w:val="006D1EDD"/>
    <w:rsid w:val="006D208C"/>
    <w:rsid w:val="006D2115"/>
    <w:rsid w:val="006D26A2"/>
    <w:rsid w:val="006D28B7"/>
    <w:rsid w:val="006D2995"/>
    <w:rsid w:val="006D4098"/>
    <w:rsid w:val="006D4275"/>
    <w:rsid w:val="006D431C"/>
    <w:rsid w:val="006D449F"/>
    <w:rsid w:val="006D4A3D"/>
    <w:rsid w:val="006D4BE5"/>
    <w:rsid w:val="006D4F5F"/>
    <w:rsid w:val="006D5F2A"/>
    <w:rsid w:val="006D6049"/>
    <w:rsid w:val="006D650E"/>
    <w:rsid w:val="006D6C94"/>
    <w:rsid w:val="006D746F"/>
    <w:rsid w:val="006D7681"/>
    <w:rsid w:val="006D7851"/>
    <w:rsid w:val="006D7B2E"/>
    <w:rsid w:val="006D7BE4"/>
    <w:rsid w:val="006E02EA"/>
    <w:rsid w:val="006E0968"/>
    <w:rsid w:val="006E1A0D"/>
    <w:rsid w:val="006E1AA1"/>
    <w:rsid w:val="006E2A27"/>
    <w:rsid w:val="006E2AF6"/>
    <w:rsid w:val="006E3757"/>
    <w:rsid w:val="006E3D52"/>
    <w:rsid w:val="006E3F87"/>
    <w:rsid w:val="006E420C"/>
    <w:rsid w:val="006E4697"/>
    <w:rsid w:val="006E496D"/>
    <w:rsid w:val="006E5C23"/>
    <w:rsid w:val="006E60C7"/>
    <w:rsid w:val="006E61A5"/>
    <w:rsid w:val="006E6719"/>
    <w:rsid w:val="006E6A46"/>
    <w:rsid w:val="006E6CFE"/>
    <w:rsid w:val="006E7207"/>
    <w:rsid w:val="006E7635"/>
    <w:rsid w:val="006E76BE"/>
    <w:rsid w:val="006E7827"/>
    <w:rsid w:val="006F04B0"/>
    <w:rsid w:val="006F1C16"/>
    <w:rsid w:val="006F25F9"/>
    <w:rsid w:val="006F277A"/>
    <w:rsid w:val="006F2A95"/>
    <w:rsid w:val="006F2D66"/>
    <w:rsid w:val="006F3CB1"/>
    <w:rsid w:val="006F3F33"/>
    <w:rsid w:val="006F3FFA"/>
    <w:rsid w:val="006F440A"/>
    <w:rsid w:val="006F4836"/>
    <w:rsid w:val="006F4B22"/>
    <w:rsid w:val="006F4E13"/>
    <w:rsid w:val="006F5065"/>
    <w:rsid w:val="006F5C66"/>
    <w:rsid w:val="006F71DB"/>
    <w:rsid w:val="006F769F"/>
    <w:rsid w:val="006F7961"/>
    <w:rsid w:val="007007A3"/>
    <w:rsid w:val="00701275"/>
    <w:rsid w:val="007019E4"/>
    <w:rsid w:val="00701EDF"/>
    <w:rsid w:val="0070236F"/>
    <w:rsid w:val="00702847"/>
    <w:rsid w:val="00702D3B"/>
    <w:rsid w:val="0070339F"/>
    <w:rsid w:val="00703AAC"/>
    <w:rsid w:val="00704788"/>
    <w:rsid w:val="0070498B"/>
    <w:rsid w:val="00707F56"/>
    <w:rsid w:val="007110A4"/>
    <w:rsid w:val="00713558"/>
    <w:rsid w:val="0071389A"/>
    <w:rsid w:val="00714846"/>
    <w:rsid w:val="007149A2"/>
    <w:rsid w:val="00714A7A"/>
    <w:rsid w:val="00715642"/>
    <w:rsid w:val="00715F3B"/>
    <w:rsid w:val="00716401"/>
    <w:rsid w:val="00716E29"/>
    <w:rsid w:val="00717146"/>
    <w:rsid w:val="00717EBE"/>
    <w:rsid w:val="00720415"/>
    <w:rsid w:val="0072062C"/>
    <w:rsid w:val="007208F9"/>
    <w:rsid w:val="00720D08"/>
    <w:rsid w:val="0072285B"/>
    <w:rsid w:val="00723BD0"/>
    <w:rsid w:val="00723BE4"/>
    <w:rsid w:val="00723D2B"/>
    <w:rsid w:val="007249C1"/>
    <w:rsid w:val="00724C00"/>
    <w:rsid w:val="007250CA"/>
    <w:rsid w:val="0072547C"/>
    <w:rsid w:val="00725739"/>
    <w:rsid w:val="00725F10"/>
    <w:rsid w:val="00725FA8"/>
    <w:rsid w:val="007263B9"/>
    <w:rsid w:val="007265EA"/>
    <w:rsid w:val="0072738A"/>
    <w:rsid w:val="00727676"/>
    <w:rsid w:val="007279BE"/>
    <w:rsid w:val="0073220F"/>
    <w:rsid w:val="007327E3"/>
    <w:rsid w:val="0073308D"/>
    <w:rsid w:val="007334F8"/>
    <w:rsid w:val="0073392F"/>
    <w:rsid w:val="007339CD"/>
    <w:rsid w:val="00733E14"/>
    <w:rsid w:val="007340A5"/>
    <w:rsid w:val="00734B51"/>
    <w:rsid w:val="00734CF9"/>
    <w:rsid w:val="0073599A"/>
    <w:rsid w:val="007359D8"/>
    <w:rsid w:val="00735AA0"/>
    <w:rsid w:val="007362D4"/>
    <w:rsid w:val="00737BB5"/>
    <w:rsid w:val="00740666"/>
    <w:rsid w:val="00740BA6"/>
    <w:rsid w:val="00740DF9"/>
    <w:rsid w:val="007413C2"/>
    <w:rsid w:val="00741864"/>
    <w:rsid w:val="007422D1"/>
    <w:rsid w:val="007430A2"/>
    <w:rsid w:val="00743AD7"/>
    <w:rsid w:val="00743B7A"/>
    <w:rsid w:val="00743E2D"/>
    <w:rsid w:val="00745B32"/>
    <w:rsid w:val="00745D67"/>
    <w:rsid w:val="00746471"/>
    <w:rsid w:val="0074790F"/>
    <w:rsid w:val="00747DC8"/>
    <w:rsid w:val="007501EF"/>
    <w:rsid w:val="007506C6"/>
    <w:rsid w:val="00750AF0"/>
    <w:rsid w:val="00750BAB"/>
    <w:rsid w:val="00750C5E"/>
    <w:rsid w:val="007512A2"/>
    <w:rsid w:val="007518D1"/>
    <w:rsid w:val="00751A23"/>
    <w:rsid w:val="0075484E"/>
    <w:rsid w:val="00754C1B"/>
    <w:rsid w:val="00754F45"/>
    <w:rsid w:val="00755623"/>
    <w:rsid w:val="00757124"/>
    <w:rsid w:val="00757380"/>
    <w:rsid w:val="00761A69"/>
    <w:rsid w:val="007621B0"/>
    <w:rsid w:val="007629AA"/>
    <w:rsid w:val="00762B99"/>
    <w:rsid w:val="00762BB6"/>
    <w:rsid w:val="007630B0"/>
    <w:rsid w:val="00763363"/>
    <w:rsid w:val="00763EB3"/>
    <w:rsid w:val="00764286"/>
    <w:rsid w:val="00765DF5"/>
    <w:rsid w:val="0076672A"/>
    <w:rsid w:val="00766D76"/>
    <w:rsid w:val="00771058"/>
    <w:rsid w:val="007711EA"/>
    <w:rsid w:val="007723B2"/>
    <w:rsid w:val="00773248"/>
    <w:rsid w:val="007732EB"/>
    <w:rsid w:val="00773346"/>
    <w:rsid w:val="00774232"/>
    <w:rsid w:val="007747C5"/>
    <w:rsid w:val="00774923"/>
    <w:rsid w:val="00774AB0"/>
    <w:rsid w:val="00774D44"/>
    <w:rsid w:val="00774E75"/>
    <w:rsid w:val="00775B7F"/>
    <w:rsid w:val="00775E45"/>
    <w:rsid w:val="007761A4"/>
    <w:rsid w:val="0077671F"/>
    <w:rsid w:val="00776E74"/>
    <w:rsid w:val="00777106"/>
    <w:rsid w:val="0077711F"/>
    <w:rsid w:val="00777E15"/>
    <w:rsid w:val="007801E6"/>
    <w:rsid w:val="0078077C"/>
    <w:rsid w:val="0078164D"/>
    <w:rsid w:val="00782F07"/>
    <w:rsid w:val="007836BD"/>
    <w:rsid w:val="00783822"/>
    <w:rsid w:val="0078397D"/>
    <w:rsid w:val="00784650"/>
    <w:rsid w:val="00784658"/>
    <w:rsid w:val="00784736"/>
    <w:rsid w:val="00784FAA"/>
    <w:rsid w:val="00785169"/>
    <w:rsid w:val="007864AB"/>
    <w:rsid w:val="00786883"/>
    <w:rsid w:val="00786D83"/>
    <w:rsid w:val="0078756A"/>
    <w:rsid w:val="007879B6"/>
    <w:rsid w:val="00787C61"/>
    <w:rsid w:val="00787D90"/>
    <w:rsid w:val="007917BA"/>
    <w:rsid w:val="00791B87"/>
    <w:rsid w:val="00791CE9"/>
    <w:rsid w:val="00791F8B"/>
    <w:rsid w:val="00792ACE"/>
    <w:rsid w:val="007930E0"/>
    <w:rsid w:val="00793401"/>
    <w:rsid w:val="00793494"/>
    <w:rsid w:val="00793807"/>
    <w:rsid w:val="0079388C"/>
    <w:rsid w:val="00794067"/>
    <w:rsid w:val="00794B8E"/>
    <w:rsid w:val="007954AB"/>
    <w:rsid w:val="00795F3C"/>
    <w:rsid w:val="0079646D"/>
    <w:rsid w:val="00797817"/>
    <w:rsid w:val="007A01C9"/>
    <w:rsid w:val="007A091D"/>
    <w:rsid w:val="007A14C5"/>
    <w:rsid w:val="007A1CEA"/>
    <w:rsid w:val="007A1EAB"/>
    <w:rsid w:val="007A2A68"/>
    <w:rsid w:val="007A3E38"/>
    <w:rsid w:val="007A4081"/>
    <w:rsid w:val="007A4180"/>
    <w:rsid w:val="007A4A10"/>
    <w:rsid w:val="007A58A5"/>
    <w:rsid w:val="007A5AC2"/>
    <w:rsid w:val="007A7796"/>
    <w:rsid w:val="007A7D8F"/>
    <w:rsid w:val="007B0006"/>
    <w:rsid w:val="007B0A3E"/>
    <w:rsid w:val="007B0A7C"/>
    <w:rsid w:val="007B1760"/>
    <w:rsid w:val="007B283E"/>
    <w:rsid w:val="007B29A3"/>
    <w:rsid w:val="007B29C7"/>
    <w:rsid w:val="007B2DD6"/>
    <w:rsid w:val="007B3D03"/>
    <w:rsid w:val="007B5024"/>
    <w:rsid w:val="007B50D3"/>
    <w:rsid w:val="007B5C4D"/>
    <w:rsid w:val="007B64C9"/>
    <w:rsid w:val="007B65B6"/>
    <w:rsid w:val="007B75A9"/>
    <w:rsid w:val="007B7FB0"/>
    <w:rsid w:val="007C0608"/>
    <w:rsid w:val="007C0B96"/>
    <w:rsid w:val="007C1AFB"/>
    <w:rsid w:val="007C1C00"/>
    <w:rsid w:val="007C2784"/>
    <w:rsid w:val="007C27B7"/>
    <w:rsid w:val="007C287B"/>
    <w:rsid w:val="007C2EFE"/>
    <w:rsid w:val="007C312B"/>
    <w:rsid w:val="007C3170"/>
    <w:rsid w:val="007C34C3"/>
    <w:rsid w:val="007C50E8"/>
    <w:rsid w:val="007C6D9C"/>
    <w:rsid w:val="007C7643"/>
    <w:rsid w:val="007C7DDB"/>
    <w:rsid w:val="007D00FE"/>
    <w:rsid w:val="007D07E1"/>
    <w:rsid w:val="007D0F04"/>
    <w:rsid w:val="007D10D9"/>
    <w:rsid w:val="007D1551"/>
    <w:rsid w:val="007D1C2F"/>
    <w:rsid w:val="007D1C61"/>
    <w:rsid w:val="007D1D8C"/>
    <w:rsid w:val="007D1F4B"/>
    <w:rsid w:val="007D2405"/>
    <w:rsid w:val="007D2CC7"/>
    <w:rsid w:val="007D300E"/>
    <w:rsid w:val="007D416D"/>
    <w:rsid w:val="007D5168"/>
    <w:rsid w:val="007D5429"/>
    <w:rsid w:val="007D6025"/>
    <w:rsid w:val="007D673D"/>
    <w:rsid w:val="007D727A"/>
    <w:rsid w:val="007D78EF"/>
    <w:rsid w:val="007D7AD3"/>
    <w:rsid w:val="007E08F9"/>
    <w:rsid w:val="007E1682"/>
    <w:rsid w:val="007E28C4"/>
    <w:rsid w:val="007E2DF7"/>
    <w:rsid w:val="007E3007"/>
    <w:rsid w:val="007E3424"/>
    <w:rsid w:val="007E3C84"/>
    <w:rsid w:val="007E3E8E"/>
    <w:rsid w:val="007E3F9D"/>
    <w:rsid w:val="007E4258"/>
    <w:rsid w:val="007E4B8B"/>
    <w:rsid w:val="007E55C4"/>
    <w:rsid w:val="007E5D91"/>
    <w:rsid w:val="007E6A1C"/>
    <w:rsid w:val="007E71FA"/>
    <w:rsid w:val="007E7B6E"/>
    <w:rsid w:val="007F0D9C"/>
    <w:rsid w:val="007F0FA0"/>
    <w:rsid w:val="007F1E57"/>
    <w:rsid w:val="007F2220"/>
    <w:rsid w:val="007F25CB"/>
    <w:rsid w:val="007F26FD"/>
    <w:rsid w:val="007F2D9B"/>
    <w:rsid w:val="007F32C7"/>
    <w:rsid w:val="007F337E"/>
    <w:rsid w:val="007F3FC4"/>
    <w:rsid w:val="007F443E"/>
    <w:rsid w:val="007F4B3E"/>
    <w:rsid w:val="007F51C0"/>
    <w:rsid w:val="007F588A"/>
    <w:rsid w:val="007F5B06"/>
    <w:rsid w:val="007F72F8"/>
    <w:rsid w:val="008005B6"/>
    <w:rsid w:val="008021A2"/>
    <w:rsid w:val="00802618"/>
    <w:rsid w:val="008032C0"/>
    <w:rsid w:val="00804146"/>
    <w:rsid w:val="00804D3F"/>
    <w:rsid w:val="008056A4"/>
    <w:rsid w:val="00806000"/>
    <w:rsid w:val="00806023"/>
    <w:rsid w:val="008067F0"/>
    <w:rsid w:val="0080782C"/>
    <w:rsid w:val="008078AE"/>
    <w:rsid w:val="00807E18"/>
    <w:rsid w:val="00807EC7"/>
    <w:rsid w:val="008103FA"/>
    <w:rsid w:val="008113A6"/>
    <w:rsid w:val="0081199A"/>
    <w:rsid w:val="00811C2F"/>
    <w:rsid w:val="008127AF"/>
    <w:rsid w:val="00812B46"/>
    <w:rsid w:val="00812BD2"/>
    <w:rsid w:val="0081496F"/>
    <w:rsid w:val="00814B66"/>
    <w:rsid w:val="00814F2E"/>
    <w:rsid w:val="008154D4"/>
    <w:rsid w:val="00815700"/>
    <w:rsid w:val="00815B02"/>
    <w:rsid w:val="00816A8E"/>
    <w:rsid w:val="00817B70"/>
    <w:rsid w:val="00817DC7"/>
    <w:rsid w:val="0082127F"/>
    <w:rsid w:val="00821876"/>
    <w:rsid w:val="008233C9"/>
    <w:rsid w:val="0082441A"/>
    <w:rsid w:val="0082486A"/>
    <w:rsid w:val="008255F4"/>
    <w:rsid w:val="00825784"/>
    <w:rsid w:val="008260A1"/>
    <w:rsid w:val="008264EB"/>
    <w:rsid w:val="00826759"/>
    <w:rsid w:val="00826B8F"/>
    <w:rsid w:val="00830366"/>
    <w:rsid w:val="0083071B"/>
    <w:rsid w:val="00831864"/>
    <w:rsid w:val="00831E8A"/>
    <w:rsid w:val="00831F94"/>
    <w:rsid w:val="008322AE"/>
    <w:rsid w:val="00832927"/>
    <w:rsid w:val="00833728"/>
    <w:rsid w:val="00834313"/>
    <w:rsid w:val="00835080"/>
    <w:rsid w:val="0083537B"/>
    <w:rsid w:val="00835794"/>
    <w:rsid w:val="00835C76"/>
    <w:rsid w:val="00836E34"/>
    <w:rsid w:val="008373D3"/>
    <w:rsid w:val="008376F0"/>
    <w:rsid w:val="00837D01"/>
    <w:rsid w:val="00840EDA"/>
    <w:rsid w:val="00841D18"/>
    <w:rsid w:val="00841EFB"/>
    <w:rsid w:val="00843049"/>
    <w:rsid w:val="00843DCC"/>
    <w:rsid w:val="00844C33"/>
    <w:rsid w:val="00845CA2"/>
    <w:rsid w:val="00845CF0"/>
    <w:rsid w:val="0084629C"/>
    <w:rsid w:val="0085209B"/>
    <w:rsid w:val="008523A3"/>
    <w:rsid w:val="0085278B"/>
    <w:rsid w:val="00852938"/>
    <w:rsid w:val="00852FBD"/>
    <w:rsid w:val="0085321E"/>
    <w:rsid w:val="00853AAA"/>
    <w:rsid w:val="00853F02"/>
    <w:rsid w:val="008546A2"/>
    <w:rsid w:val="0085550A"/>
    <w:rsid w:val="0085606A"/>
    <w:rsid w:val="00856B66"/>
    <w:rsid w:val="00857522"/>
    <w:rsid w:val="00857B2F"/>
    <w:rsid w:val="00857BB9"/>
    <w:rsid w:val="00860225"/>
    <w:rsid w:val="0086035A"/>
    <w:rsid w:val="00860741"/>
    <w:rsid w:val="008607BD"/>
    <w:rsid w:val="00861556"/>
    <w:rsid w:val="0086160B"/>
    <w:rsid w:val="00861A5F"/>
    <w:rsid w:val="00861EB8"/>
    <w:rsid w:val="00862EF8"/>
    <w:rsid w:val="008632FC"/>
    <w:rsid w:val="00863859"/>
    <w:rsid w:val="0086394E"/>
    <w:rsid w:val="00863995"/>
    <w:rsid w:val="0086401E"/>
    <w:rsid w:val="008644AD"/>
    <w:rsid w:val="00865735"/>
    <w:rsid w:val="008657A1"/>
    <w:rsid w:val="00865DDB"/>
    <w:rsid w:val="00865F5A"/>
    <w:rsid w:val="00866D90"/>
    <w:rsid w:val="0086751E"/>
    <w:rsid w:val="00867538"/>
    <w:rsid w:val="008679AF"/>
    <w:rsid w:val="008703A7"/>
    <w:rsid w:val="0087175A"/>
    <w:rsid w:val="0087233B"/>
    <w:rsid w:val="00872E3D"/>
    <w:rsid w:val="00873664"/>
    <w:rsid w:val="00873804"/>
    <w:rsid w:val="00873D90"/>
    <w:rsid w:val="00873FC8"/>
    <w:rsid w:val="008740BA"/>
    <w:rsid w:val="0087503D"/>
    <w:rsid w:val="008769D2"/>
    <w:rsid w:val="008802CE"/>
    <w:rsid w:val="00880394"/>
    <w:rsid w:val="00881759"/>
    <w:rsid w:val="00881CCF"/>
    <w:rsid w:val="008824DE"/>
    <w:rsid w:val="0088262F"/>
    <w:rsid w:val="00882BFD"/>
    <w:rsid w:val="00884407"/>
    <w:rsid w:val="0088469C"/>
    <w:rsid w:val="0088482D"/>
    <w:rsid w:val="0088499D"/>
    <w:rsid w:val="00884A27"/>
    <w:rsid w:val="00884C63"/>
    <w:rsid w:val="00885908"/>
    <w:rsid w:val="00885AFE"/>
    <w:rsid w:val="008864B7"/>
    <w:rsid w:val="008868DA"/>
    <w:rsid w:val="00887524"/>
    <w:rsid w:val="00890504"/>
    <w:rsid w:val="00890773"/>
    <w:rsid w:val="00890EA8"/>
    <w:rsid w:val="00891296"/>
    <w:rsid w:val="00891457"/>
    <w:rsid w:val="00894534"/>
    <w:rsid w:val="0089486D"/>
    <w:rsid w:val="00894E32"/>
    <w:rsid w:val="0089556A"/>
    <w:rsid w:val="00895892"/>
    <w:rsid w:val="00895B3F"/>
    <w:rsid w:val="00896509"/>
    <w:rsid w:val="0089677E"/>
    <w:rsid w:val="00896E8C"/>
    <w:rsid w:val="00897980"/>
    <w:rsid w:val="008A01BB"/>
    <w:rsid w:val="008A0526"/>
    <w:rsid w:val="008A07C5"/>
    <w:rsid w:val="008A1D6C"/>
    <w:rsid w:val="008A336A"/>
    <w:rsid w:val="008A35D0"/>
    <w:rsid w:val="008A4260"/>
    <w:rsid w:val="008A42F9"/>
    <w:rsid w:val="008A44AC"/>
    <w:rsid w:val="008A6149"/>
    <w:rsid w:val="008A65EA"/>
    <w:rsid w:val="008A6EC8"/>
    <w:rsid w:val="008A7438"/>
    <w:rsid w:val="008A7655"/>
    <w:rsid w:val="008B06A7"/>
    <w:rsid w:val="008B1334"/>
    <w:rsid w:val="008B21D4"/>
    <w:rsid w:val="008B3209"/>
    <w:rsid w:val="008B3926"/>
    <w:rsid w:val="008B5059"/>
    <w:rsid w:val="008B52FD"/>
    <w:rsid w:val="008B55A2"/>
    <w:rsid w:val="008B5851"/>
    <w:rsid w:val="008B5F49"/>
    <w:rsid w:val="008B5F69"/>
    <w:rsid w:val="008B6D8C"/>
    <w:rsid w:val="008B73A8"/>
    <w:rsid w:val="008C0278"/>
    <w:rsid w:val="008C070F"/>
    <w:rsid w:val="008C150F"/>
    <w:rsid w:val="008C1A5D"/>
    <w:rsid w:val="008C1B90"/>
    <w:rsid w:val="008C24E9"/>
    <w:rsid w:val="008C3C1D"/>
    <w:rsid w:val="008C3DB0"/>
    <w:rsid w:val="008C4726"/>
    <w:rsid w:val="008C51A9"/>
    <w:rsid w:val="008C5428"/>
    <w:rsid w:val="008C6759"/>
    <w:rsid w:val="008C6C3D"/>
    <w:rsid w:val="008C7DCE"/>
    <w:rsid w:val="008D0078"/>
    <w:rsid w:val="008D0533"/>
    <w:rsid w:val="008D336F"/>
    <w:rsid w:val="008D4018"/>
    <w:rsid w:val="008D4102"/>
    <w:rsid w:val="008D42CB"/>
    <w:rsid w:val="008D4634"/>
    <w:rsid w:val="008D48C9"/>
    <w:rsid w:val="008D4CDB"/>
    <w:rsid w:val="008D5380"/>
    <w:rsid w:val="008D54CB"/>
    <w:rsid w:val="008D5B79"/>
    <w:rsid w:val="008D6381"/>
    <w:rsid w:val="008D6AAE"/>
    <w:rsid w:val="008D6D7B"/>
    <w:rsid w:val="008E0C77"/>
    <w:rsid w:val="008E2B5B"/>
    <w:rsid w:val="008E2B92"/>
    <w:rsid w:val="008E3470"/>
    <w:rsid w:val="008E3BB6"/>
    <w:rsid w:val="008E4649"/>
    <w:rsid w:val="008E46D6"/>
    <w:rsid w:val="008E57B5"/>
    <w:rsid w:val="008E625F"/>
    <w:rsid w:val="008E637C"/>
    <w:rsid w:val="008E73A1"/>
    <w:rsid w:val="008E7B94"/>
    <w:rsid w:val="008E7BF0"/>
    <w:rsid w:val="008E7E66"/>
    <w:rsid w:val="008F0469"/>
    <w:rsid w:val="008F264D"/>
    <w:rsid w:val="008F2D91"/>
    <w:rsid w:val="008F3467"/>
    <w:rsid w:val="008F36B0"/>
    <w:rsid w:val="008F38E7"/>
    <w:rsid w:val="008F4D4A"/>
    <w:rsid w:val="008F4EBE"/>
    <w:rsid w:val="008F56D7"/>
    <w:rsid w:val="008F56FD"/>
    <w:rsid w:val="008F6BC3"/>
    <w:rsid w:val="008F7A1B"/>
    <w:rsid w:val="008F7D36"/>
    <w:rsid w:val="009005ED"/>
    <w:rsid w:val="00900798"/>
    <w:rsid w:val="00902389"/>
    <w:rsid w:val="00902444"/>
    <w:rsid w:val="00902FA5"/>
    <w:rsid w:val="009039FE"/>
    <w:rsid w:val="00903E82"/>
    <w:rsid w:val="00904AFA"/>
    <w:rsid w:val="00904D30"/>
    <w:rsid w:val="00904EC7"/>
    <w:rsid w:val="009051AA"/>
    <w:rsid w:val="00906624"/>
    <w:rsid w:val="009074E1"/>
    <w:rsid w:val="0090788D"/>
    <w:rsid w:val="0091002C"/>
    <w:rsid w:val="00910077"/>
    <w:rsid w:val="009112F7"/>
    <w:rsid w:val="00911495"/>
    <w:rsid w:val="009119AA"/>
    <w:rsid w:val="009122AF"/>
    <w:rsid w:val="009127BC"/>
    <w:rsid w:val="00912A9E"/>
    <w:rsid w:val="00912D54"/>
    <w:rsid w:val="0091389F"/>
    <w:rsid w:val="00913E33"/>
    <w:rsid w:val="0091436A"/>
    <w:rsid w:val="009143BE"/>
    <w:rsid w:val="00914706"/>
    <w:rsid w:val="00914A0F"/>
    <w:rsid w:val="00915469"/>
    <w:rsid w:val="00915687"/>
    <w:rsid w:val="00915734"/>
    <w:rsid w:val="00915A8A"/>
    <w:rsid w:val="00915AC5"/>
    <w:rsid w:val="009178B0"/>
    <w:rsid w:val="00917BC7"/>
    <w:rsid w:val="0092024D"/>
    <w:rsid w:val="009202C7"/>
    <w:rsid w:val="009208F7"/>
    <w:rsid w:val="00920EAA"/>
    <w:rsid w:val="00920F9A"/>
    <w:rsid w:val="00921B4F"/>
    <w:rsid w:val="00921B53"/>
    <w:rsid w:val="00921F04"/>
    <w:rsid w:val="00922517"/>
    <w:rsid w:val="00922722"/>
    <w:rsid w:val="009229F4"/>
    <w:rsid w:val="00922ECC"/>
    <w:rsid w:val="0092318F"/>
    <w:rsid w:val="00923421"/>
    <w:rsid w:val="0092353A"/>
    <w:rsid w:val="00923A11"/>
    <w:rsid w:val="00924193"/>
    <w:rsid w:val="009241A7"/>
    <w:rsid w:val="00924485"/>
    <w:rsid w:val="009247CC"/>
    <w:rsid w:val="00924A5C"/>
    <w:rsid w:val="00925627"/>
    <w:rsid w:val="00926047"/>
    <w:rsid w:val="009261E6"/>
    <w:rsid w:val="00926857"/>
    <w:rsid w:val="009268E1"/>
    <w:rsid w:val="00927AE3"/>
    <w:rsid w:val="00927CC1"/>
    <w:rsid w:val="009303E6"/>
    <w:rsid w:val="00930988"/>
    <w:rsid w:val="00930C24"/>
    <w:rsid w:val="00931217"/>
    <w:rsid w:val="0093192B"/>
    <w:rsid w:val="0093370B"/>
    <w:rsid w:val="0093397E"/>
    <w:rsid w:val="009340D8"/>
    <w:rsid w:val="00934368"/>
    <w:rsid w:val="00934AFD"/>
    <w:rsid w:val="0093647B"/>
    <w:rsid w:val="009367F4"/>
    <w:rsid w:val="00936FCC"/>
    <w:rsid w:val="00937453"/>
    <w:rsid w:val="009408F5"/>
    <w:rsid w:val="009412C8"/>
    <w:rsid w:val="0094169B"/>
    <w:rsid w:val="00942124"/>
    <w:rsid w:val="009429CA"/>
    <w:rsid w:val="00944F1B"/>
    <w:rsid w:val="009456F9"/>
    <w:rsid w:val="00945E7F"/>
    <w:rsid w:val="009460D0"/>
    <w:rsid w:val="00946852"/>
    <w:rsid w:val="009478CA"/>
    <w:rsid w:val="00950113"/>
    <w:rsid w:val="009508C7"/>
    <w:rsid w:val="009510B6"/>
    <w:rsid w:val="00951CDD"/>
    <w:rsid w:val="00951CED"/>
    <w:rsid w:val="00951D5D"/>
    <w:rsid w:val="0095230D"/>
    <w:rsid w:val="00952627"/>
    <w:rsid w:val="0095280B"/>
    <w:rsid w:val="00952AB5"/>
    <w:rsid w:val="00952C29"/>
    <w:rsid w:val="00953CC7"/>
    <w:rsid w:val="00953E4C"/>
    <w:rsid w:val="00954B21"/>
    <w:rsid w:val="0095505A"/>
    <w:rsid w:val="009557C1"/>
    <w:rsid w:val="00955E58"/>
    <w:rsid w:val="009567FB"/>
    <w:rsid w:val="00956CE8"/>
    <w:rsid w:val="00956E85"/>
    <w:rsid w:val="00957678"/>
    <w:rsid w:val="0096027D"/>
    <w:rsid w:val="0096089C"/>
    <w:rsid w:val="00960D6E"/>
    <w:rsid w:val="00961099"/>
    <w:rsid w:val="00961DB3"/>
    <w:rsid w:val="00961DF2"/>
    <w:rsid w:val="00962302"/>
    <w:rsid w:val="009633E4"/>
    <w:rsid w:val="0096381A"/>
    <w:rsid w:val="0096383F"/>
    <w:rsid w:val="00963FD7"/>
    <w:rsid w:val="009641E4"/>
    <w:rsid w:val="0096471F"/>
    <w:rsid w:val="00965757"/>
    <w:rsid w:val="00965CC8"/>
    <w:rsid w:val="00970255"/>
    <w:rsid w:val="009706DB"/>
    <w:rsid w:val="00970C6E"/>
    <w:rsid w:val="00971A46"/>
    <w:rsid w:val="00971EF3"/>
    <w:rsid w:val="00972BC1"/>
    <w:rsid w:val="0097475F"/>
    <w:rsid w:val="0097479F"/>
    <w:rsid w:val="009749E2"/>
    <w:rsid w:val="00974B59"/>
    <w:rsid w:val="00975589"/>
    <w:rsid w:val="0097573B"/>
    <w:rsid w:val="00975AF3"/>
    <w:rsid w:val="009768E9"/>
    <w:rsid w:val="0097797E"/>
    <w:rsid w:val="00980A9B"/>
    <w:rsid w:val="0098164F"/>
    <w:rsid w:val="00982798"/>
    <w:rsid w:val="0098340B"/>
    <w:rsid w:val="009838AA"/>
    <w:rsid w:val="009840B6"/>
    <w:rsid w:val="00984C5C"/>
    <w:rsid w:val="00984E42"/>
    <w:rsid w:val="009859D0"/>
    <w:rsid w:val="009865F0"/>
    <w:rsid w:val="00986830"/>
    <w:rsid w:val="00986B21"/>
    <w:rsid w:val="00986D2F"/>
    <w:rsid w:val="00990561"/>
    <w:rsid w:val="00990C68"/>
    <w:rsid w:val="0099247B"/>
    <w:rsid w:val="009924A2"/>
    <w:rsid w:val="009924C3"/>
    <w:rsid w:val="0099268E"/>
    <w:rsid w:val="00992C76"/>
    <w:rsid w:val="00993102"/>
    <w:rsid w:val="009931B5"/>
    <w:rsid w:val="009932A4"/>
    <w:rsid w:val="00993880"/>
    <w:rsid w:val="00993EA0"/>
    <w:rsid w:val="009946FF"/>
    <w:rsid w:val="0099486C"/>
    <w:rsid w:val="00995421"/>
    <w:rsid w:val="00996247"/>
    <w:rsid w:val="00996A19"/>
    <w:rsid w:val="009979BD"/>
    <w:rsid w:val="00997E3C"/>
    <w:rsid w:val="009A09E8"/>
    <w:rsid w:val="009A0F19"/>
    <w:rsid w:val="009A1072"/>
    <w:rsid w:val="009A1F67"/>
    <w:rsid w:val="009A237A"/>
    <w:rsid w:val="009A2995"/>
    <w:rsid w:val="009A3988"/>
    <w:rsid w:val="009A3A7A"/>
    <w:rsid w:val="009A40C4"/>
    <w:rsid w:val="009A4451"/>
    <w:rsid w:val="009A44D2"/>
    <w:rsid w:val="009A4CB2"/>
    <w:rsid w:val="009A5001"/>
    <w:rsid w:val="009A5596"/>
    <w:rsid w:val="009A6D63"/>
    <w:rsid w:val="009A7721"/>
    <w:rsid w:val="009A79DF"/>
    <w:rsid w:val="009B13B9"/>
    <w:rsid w:val="009B174D"/>
    <w:rsid w:val="009B204F"/>
    <w:rsid w:val="009B256B"/>
    <w:rsid w:val="009B2E5C"/>
    <w:rsid w:val="009B3D67"/>
    <w:rsid w:val="009B4404"/>
    <w:rsid w:val="009B5A62"/>
    <w:rsid w:val="009B6D4A"/>
    <w:rsid w:val="009B7614"/>
    <w:rsid w:val="009C016F"/>
    <w:rsid w:val="009C0BEC"/>
    <w:rsid w:val="009C0E63"/>
    <w:rsid w:val="009C1BB6"/>
    <w:rsid w:val="009C2144"/>
    <w:rsid w:val="009C276B"/>
    <w:rsid w:val="009C312C"/>
    <w:rsid w:val="009C38EF"/>
    <w:rsid w:val="009C4613"/>
    <w:rsid w:val="009C4A39"/>
    <w:rsid w:val="009C4C07"/>
    <w:rsid w:val="009C5602"/>
    <w:rsid w:val="009C60B6"/>
    <w:rsid w:val="009C6F10"/>
    <w:rsid w:val="009C7026"/>
    <w:rsid w:val="009C721B"/>
    <w:rsid w:val="009C72F1"/>
    <w:rsid w:val="009C7312"/>
    <w:rsid w:val="009D148F"/>
    <w:rsid w:val="009D2052"/>
    <w:rsid w:val="009D2CC4"/>
    <w:rsid w:val="009D37B8"/>
    <w:rsid w:val="009D39D4"/>
    <w:rsid w:val="009D3D70"/>
    <w:rsid w:val="009D3FF7"/>
    <w:rsid w:val="009D5141"/>
    <w:rsid w:val="009D6466"/>
    <w:rsid w:val="009D6BB7"/>
    <w:rsid w:val="009D6E6A"/>
    <w:rsid w:val="009D7239"/>
    <w:rsid w:val="009D7DE8"/>
    <w:rsid w:val="009E0731"/>
    <w:rsid w:val="009E1009"/>
    <w:rsid w:val="009E13F3"/>
    <w:rsid w:val="009E1DD6"/>
    <w:rsid w:val="009E2461"/>
    <w:rsid w:val="009E3B69"/>
    <w:rsid w:val="009E4056"/>
    <w:rsid w:val="009E4A3F"/>
    <w:rsid w:val="009E4CDA"/>
    <w:rsid w:val="009E59A1"/>
    <w:rsid w:val="009E6182"/>
    <w:rsid w:val="009E62AD"/>
    <w:rsid w:val="009E688E"/>
    <w:rsid w:val="009E6EF9"/>
    <w:rsid w:val="009E6F7E"/>
    <w:rsid w:val="009E6FF8"/>
    <w:rsid w:val="009E7A57"/>
    <w:rsid w:val="009E7C55"/>
    <w:rsid w:val="009F058A"/>
    <w:rsid w:val="009F163A"/>
    <w:rsid w:val="009F1654"/>
    <w:rsid w:val="009F24DA"/>
    <w:rsid w:val="009F2A28"/>
    <w:rsid w:val="009F4498"/>
    <w:rsid w:val="009F4BDD"/>
    <w:rsid w:val="009F4DB7"/>
    <w:rsid w:val="009F4F6A"/>
    <w:rsid w:val="009F52A7"/>
    <w:rsid w:val="009F5E63"/>
    <w:rsid w:val="009F5F7A"/>
    <w:rsid w:val="009F6198"/>
    <w:rsid w:val="009F6268"/>
    <w:rsid w:val="009F6DAD"/>
    <w:rsid w:val="009F6E32"/>
    <w:rsid w:val="009F7663"/>
    <w:rsid w:val="009F78CC"/>
    <w:rsid w:val="00A00A1B"/>
    <w:rsid w:val="00A00CCF"/>
    <w:rsid w:val="00A0137C"/>
    <w:rsid w:val="00A01960"/>
    <w:rsid w:val="00A02497"/>
    <w:rsid w:val="00A02701"/>
    <w:rsid w:val="00A038E0"/>
    <w:rsid w:val="00A0398B"/>
    <w:rsid w:val="00A04084"/>
    <w:rsid w:val="00A04470"/>
    <w:rsid w:val="00A044D7"/>
    <w:rsid w:val="00A04C13"/>
    <w:rsid w:val="00A05CC8"/>
    <w:rsid w:val="00A05E17"/>
    <w:rsid w:val="00A06008"/>
    <w:rsid w:val="00A06610"/>
    <w:rsid w:val="00A06B6E"/>
    <w:rsid w:val="00A06D53"/>
    <w:rsid w:val="00A0765F"/>
    <w:rsid w:val="00A1019B"/>
    <w:rsid w:val="00A1146D"/>
    <w:rsid w:val="00A118AF"/>
    <w:rsid w:val="00A11A41"/>
    <w:rsid w:val="00A11B98"/>
    <w:rsid w:val="00A12081"/>
    <w:rsid w:val="00A12AD7"/>
    <w:rsid w:val="00A12ED9"/>
    <w:rsid w:val="00A13B57"/>
    <w:rsid w:val="00A13FF0"/>
    <w:rsid w:val="00A154AA"/>
    <w:rsid w:val="00A15A71"/>
    <w:rsid w:val="00A15C70"/>
    <w:rsid w:val="00A15FF4"/>
    <w:rsid w:val="00A1687D"/>
    <w:rsid w:val="00A1687E"/>
    <w:rsid w:val="00A16E36"/>
    <w:rsid w:val="00A17132"/>
    <w:rsid w:val="00A213A3"/>
    <w:rsid w:val="00A21CA6"/>
    <w:rsid w:val="00A2258D"/>
    <w:rsid w:val="00A22EE3"/>
    <w:rsid w:val="00A2311F"/>
    <w:rsid w:val="00A24490"/>
    <w:rsid w:val="00A24961"/>
    <w:rsid w:val="00A24AA8"/>
    <w:rsid w:val="00A24B10"/>
    <w:rsid w:val="00A25997"/>
    <w:rsid w:val="00A26783"/>
    <w:rsid w:val="00A26D4C"/>
    <w:rsid w:val="00A30815"/>
    <w:rsid w:val="00A30E9B"/>
    <w:rsid w:val="00A30F8C"/>
    <w:rsid w:val="00A31416"/>
    <w:rsid w:val="00A31622"/>
    <w:rsid w:val="00A31F19"/>
    <w:rsid w:val="00A328B6"/>
    <w:rsid w:val="00A33034"/>
    <w:rsid w:val="00A34131"/>
    <w:rsid w:val="00A3455C"/>
    <w:rsid w:val="00A34C88"/>
    <w:rsid w:val="00A35855"/>
    <w:rsid w:val="00A35DCF"/>
    <w:rsid w:val="00A3636B"/>
    <w:rsid w:val="00A403A2"/>
    <w:rsid w:val="00A40FBB"/>
    <w:rsid w:val="00A41399"/>
    <w:rsid w:val="00A41AD1"/>
    <w:rsid w:val="00A41E26"/>
    <w:rsid w:val="00A41E3E"/>
    <w:rsid w:val="00A42E6B"/>
    <w:rsid w:val="00A43607"/>
    <w:rsid w:val="00A43A4D"/>
    <w:rsid w:val="00A43FDC"/>
    <w:rsid w:val="00A4495A"/>
    <w:rsid w:val="00A4512D"/>
    <w:rsid w:val="00A4549C"/>
    <w:rsid w:val="00A45E7D"/>
    <w:rsid w:val="00A46A51"/>
    <w:rsid w:val="00A47224"/>
    <w:rsid w:val="00A50146"/>
    <w:rsid w:val="00A50244"/>
    <w:rsid w:val="00A50881"/>
    <w:rsid w:val="00A510FC"/>
    <w:rsid w:val="00A534D4"/>
    <w:rsid w:val="00A54206"/>
    <w:rsid w:val="00A54BCB"/>
    <w:rsid w:val="00A56430"/>
    <w:rsid w:val="00A56BA1"/>
    <w:rsid w:val="00A56F17"/>
    <w:rsid w:val="00A575D8"/>
    <w:rsid w:val="00A57F8C"/>
    <w:rsid w:val="00A60AFE"/>
    <w:rsid w:val="00A61645"/>
    <w:rsid w:val="00A61D96"/>
    <w:rsid w:val="00A61E03"/>
    <w:rsid w:val="00A62657"/>
    <w:rsid w:val="00A62773"/>
    <w:rsid w:val="00A627D7"/>
    <w:rsid w:val="00A62E51"/>
    <w:rsid w:val="00A63B30"/>
    <w:rsid w:val="00A64E0F"/>
    <w:rsid w:val="00A64FEE"/>
    <w:rsid w:val="00A65435"/>
    <w:rsid w:val="00A656C7"/>
    <w:rsid w:val="00A659ED"/>
    <w:rsid w:val="00A65A46"/>
    <w:rsid w:val="00A67B57"/>
    <w:rsid w:val="00A705AF"/>
    <w:rsid w:val="00A708C3"/>
    <w:rsid w:val="00A71758"/>
    <w:rsid w:val="00A72454"/>
    <w:rsid w:val="00A7253F"/>
    <w:rsid w:val="00A7420F"/>
    <w:rsid w:val="00A74345"/>
    <w:rsid w:val="00A744BB"/>
    <w:rsid w:val="00A7470D"/>
    <w:rsid w:val="00A74907"/>
    <w:rsid w:val="00A749C0"/>
    <w:rsid w:val="00A7517E"/>
    <w:rsid w:val="00A75DF6"/>
    <w:rsid w:val="00A76120"/>
    <w:rsid w:val="00A762B4"/>
    <w:rsid w:val="00A7632A"/>
    <w:rsid w:val="00A76FB7"/>
    <w:rsid w:val="00A77696"/>
    <w:rsid w:val="00A7779E"/>
    <w:rsid w:val="00A777E0"/>
    <w:rsid w:val="00A80126"/>
    <w:rsid w:val="00A801E8"/>
    <w:rsid w:val="00A804EF"/>
    <w:rsid w:val="00A80557"/>
    <w:rsid w:val="00A80B94"/>
    <w:rsid w:val="00A80F1B"/>
    <w:rsid w:val="00A812E0"/>
    <w:rsid w:val="00A81C1F"/>
    <w:rsid w:val="00A81D33"/>
    <w:rsid w:val="00A82588"/>
    <w:rsid w:val="00A82B56"/>
    <w:rsid w:val="00A82DAD"/>
    <w:rsid w:val="00A82DC4"/>
    <w:rsid w:val="00A8370B"/>
    <w:rsid w:val="00A83887"/>
    <w:rsid w:val="00A83B64"/>
    <w:rsid w:val="00A83D4B"/>
    <w:rsid w:val="00A858AB"/>
    <w:rsid w:val="00A85EB4"/>
    <w:rsid w:val="00A85F70"/>
    <w:rsid w:val="00A862DA"/>
    <w:rsid w:val="00A87BCA"/>
    <w:rsid w:val="00A87C72"/>
    <w:rsid w:val="00A9025A"/>
    <w:rsid w:val="00A90DA7"/>
    <w:rsid w:val="00A90EEB"/>
    <w:rsid w:val="00A9132D"/>
    <w:rsid w:val="00A920B1"/>
    <w:rsid w:val="00A9294C"/>
    <w:rsid w:val="00A9303B"/>
    <w:rsid w:val="00A930AE"/>
    <w:rsid w:val="00A9333E"/>
    <w:rsid w:val="00A9376A"/>
    <w:rsid w:val="00A93C85"/>
    <w:rsid w:val="00A93CC4"/>
    <w:rsid w:val="00A9468B"/>
    <w:rsid w:val="00A94B40"/>
    <w:rsid w:val="00A94F0A"/>
    <w:rsid w:val="00A95092"/>
    <w:rsid w:val="00A95129"/>
    <w:rsid w:val="00A953C7"/>
    <w:rsid w:val="00A95DEF"/>
    <w:rsid w:val="00A96E25"/>
    <w:rsid w:val="00A96E91"/>
    <w:rsid w:val="00A975A3"/>
    <w:rsid w:val="00AA069B"/>
    <w:rsid w:val="00AA08D3"/>
    <w:rsid w:val="00AA1378"/>
    <w:rsid w:val="00AA185B"/>
    <w:rsid w:val="00AA1A95"/>
    <w:rsid w:val="00AA1D92"/>
    <w:rsid w:val="00AA1F14"/>
    <w:rsid w:val="00AA25B9"/>
    <w:rsid w:val="00AA260F"/>
    <w:rsid w:val="00AA2A56"/>
    <w:rsid w:val="00AA3CCF"/>
    <w:rsid w:val="00AA4129"/>
    <w:rsid w:val="00AA4D51"/>
    <w:rsid w:val="00AA4E8A"/>
    <w:rsid w:val="00AA57E7"/>
    <w:rsid w:val="00AA6C80"/>
    <w:rsid w:val="00AA7524"/>
    <w:rsid w:val="00AA755A"/>
    <w:rsid w:val="00AB12DB"/>
    <w:rsid w:val="00AB1C8B"/>
    <w:rsid w:val="00AB1EE7"/>
    <w:rsid w:val="00AB336A"/>
    <w:rsid w:val="00AB496D"/>
    <w:rsid w:val="00AB4B37"/>
    <w:rsid w:val="00AB4B72"/>
    <w:rsid w:val="00AB5762"/>
    <w:rsid w:val="00AB65C8"/>
    <w:rsid w:val="00AB65D5"/>
    <w:rsid w:val="00AB68CB"/>
    <w:rsid w:val="00AB72D7"/>
    <w:rsid w:val="00AB78C4"/>
    <w:rsid w:val="00AC034B"/>
    <w:rsid w:val="00AC045D"/>
    <w:rsid w:val="00AC0D18"/>
    <w:rsid w:val="00AC14E2"/>
    <w:rsid w:val="00AC1CA6"/>
    <w:rsid w:val="00AC2411"/>
    <w:rsid w:val="00AC2679"/>
    <w:rsid w:val="00AC4690"/>
    <w:rsid w:val="00AC4BE4"/>
    <w:rsid w:val="00AC62CA"/>
    <w:rsid w:val="00AC65EB"/>
    <w:rsid w:val="00AC6BF9"/>
    <w:rsid w:val="00AC6C91"/>
    <w:rsid w:val="00AC7111"/>
    <w:rsid w:val="00AD0589"/>
    <w:rsid w:val="00AD05E6"/>
    <w:rsid w:val="00AD0D3F"/>
    <w:rsid w:val="00AD114A"/>
    <w:rsid w:val="00AD196F"/>
    <w:rsid w:val="00AD1C5A"/>
    <w:rsid w:val="00AD1D0A"/>
    <w:rsid w:val="00AD2114"/>
    <w:rsid w:val="00AD31C1"/>
    <w:rsid w:val="00AD4A1A"/>
    <w:rsid w:val="00AD4ACF"/>
    <w:rsid w:val="00AD616E"/>
    <w:rsid w:val="00AD629E"/>
    <w:rsid w:val="00AD7F3D"/>
    <w:rsid w:val="00AE02D1"/>
    <w:rsid w:val="00AE0630"/>
    <w:rsid w:val="00AE1008"/>
    <w:rsid w:val="00AE1D7D"/>
    <w:rsid w:val="00AE27C8"/>
    <w:rsid w:val="00AE2A32"/>
    <w:rsid w:val="00AE2A8B"/>
    <w:rsid w:val="00AE2BC3"/>
    <w:rsid w:val="00AE365B"/>
    <w:rsid w:val="00AE38E6"/>
    <w:rsid w:val="00AE3F64"/>
    <w:rsid w:val="00AE5041"/>
    <w:rsid w:val="00AE527B"/>
    <w:rsid w:val="00AE576C"/>
    <w:rsid w:val="00AE6F44"/>
    <w:rsid w:val="00AE7691"/>
    <w:rsid w:val="00AE7C99"/>
    <w:rsid w:val="00AE7F4A"/>
    <w:rsid w:val="00AF1852"/>
    <w:rsid w:val="00AF1E03"/>
    <w:rsid w:val="00AF20B4"/>
    <w:rsid w:val="00AF3021"/>
    <w:rsid w:val="00AF304D"/>
    <w:rsid w:val="00AF3108"/>
    <w:rsid w:val="00AF4B5B"/>
    <w:rsid w:val="00AF5606"/>
    <w:rsid w:val="00AF5A4D"/>
    <w:rsid w:val="00AF5CBE"/>
    <w:rsid w:val="00AF6D21"/>
    <w:rsid w:val="00AF6F67"/>
    <w:rsid w:val="00AF7386"/>
    <w:rsid w:val="00AF74DB"/>
    <w:rsid w:val="00AF78F9"/>
    <w:rsid w:val="00AF7934"/>
    <w:rsid w:val="00AF79B6"/>
    <w:rsid w:val="00AF7A9E"/>
    <w:rsid w:val="00AF7C7B"/>
    <w:rsid w:val="00AF7D76"/>
    <w:rsid w:val="00B001FC"/>
    <w:rsid w:val="00B00393"/>
    <w:rsid w:val="00B009E4"/>
    <w:rsid w:val="00B00B81"/>
    <w:rsid w:val="00B01C9B"/>
    <w:rsid w:val="00B02B2A"/>
    <w:rsid w:val="00B033A9"/>
    <w:rsid w:val="00B03495"/>
    <w:rsid w:val="00B03C7B"/>
    <w:rsid w:val="00B04580"/>
    <w:rsid w:val="00B04B09"/>
    <w:rsid w:val="00B058BB"/>
    <w:rsid w:val="00B06BF1"/>
    <w:rsid w:val="00B06BF2"/>
    <w:rsid w:val="00B0782A"/>
    <w:rsid w:val="00B101E8"/>
    <w:rsid w:val="00B11B2D"/>
    <w:rsid w:val="00B11C07"/>
    <w:rsid w:val="00B1201B"/>
    <w:rsid w:val="00B122C3"/>
    <w:rsid w:val="00B12DE3"/>
    <w:rsid w:val="00B1322C"/>
    <w:rsid w:val="00B1415D"/>
    <w:rsid w:val="00B15606"/>
    <w:rsid w:val="00B16861"/>
    <w:rsid w:val="00B16898"/>
    <w:rsid w:val="00B16A51"/>
    <w:rsid w:val="00B16DBA"/>
    <w:rsid w:val="00B17D59"/>
    <w:rsid w:val="00B17ED0"/>
    <w:rsid w:val="00B20BF5"/>
    <w:rsid w:val="00B217F9"/>
    <w:rsid w:val="00B2243B"/>
    <w:rsid w:val="00B2475F"/>
    <w:rsid w:val="00B24911"/>
    <w:rsid w:val="00B24ED6"/>
    <w:rsid w:val="00B25440"/>
    <w:rsid w:val="00B25741"/>
    <w:rsid w:val="00B25844"/>
    <w:rsid w:val="00B261E0"/>
    <w:rsid w:val="00B26E1C"/>
    <w:rsid w:val="00B27AEB"/>
    <w:rsid w:val="00B30139"/>
    <w:rsid w:val="00B302E6"/>
    <w:rsid w:val="00B32222"/>
    <w:rsid w:val="00B322B7"/>
    <w:rsid w:val="00B3410B"/>
    <w:rsid w:val="00B34590"/>
    <w:rsid w:val="00B346D2"/>
    <w:rsid w:val="00B35B9A"/>
    <w:rsid w:val="00B3617B"/>
    <w:rsid w:val="00B3618D"/>
    <w:rsid w:val="00B36233"/>
    <w:rsid w:val="00B36AAF"/>
    <w:rsid w:val="00B37185"/>
    <w:rsid w:val="00B41115"/>
    <w:rsid w:val="00B418B7"/>
    <w:rsid w:val="00B42297"/>
    <w:rsid w:val="00B426DD"/>
    <w:rsid w:val="00B42851"/>
    <w:rsid w:val="00B4433E"/>
    <w:rsid w:val="00B448D5"/>
    <w:rsid w:val="00B44D64"/>
    <w:rsid w:val="00B45AC7"/>
    <w:rsid w:val="00B45CA3"/>
    <w:rsid w:val="00B460B7"/>
    <w:rsid w:val="00B46768"/>
    <w:rsid w:val="00B47085"/>
    <w:rsid w:val="00B47D36"/>
    <w:rsid w:val="00B50478"/>
    <w:rsid w:val="00B507E1"/>
    <w:rsid w:val="00B51B06"/>
    <w:rsid w:val="00B52225"/>
    <w:rsid w:val="00B529FA"/>
    <w:rsid w:val="00B5372F"/>
    <w:rsid w:val="00B53852"/>
    <w:rsid w:val="00B545F1"/>
    <w:rsid w:val="00B556C1"/>
    <w:rsid w:val="00B5595F"/>
    <w:rsid w:val="00B55B5E"/>
    <w:rsid w:val="00B57281"/>
    <w:rsid w:val="00B57D8B"/>
    <w:rsid w:val="00B57E0A"/>
    <w:rsid w:val="00B60077"/>
    <w:rsid w:val="00B60865"/>
    <w:rsid w:val="00B60DA6"/>
    <w:rsid w:val="00B61129"/>
    <w:rsid w:val="00B61475"/>
    <w:rsid w:val="00B61DD6"/>
    <w:rsid w:val="00B61F5E"/>
    <w:rsid w:val="00B621D7"/>
    <w:rsid w:val="00B62862"/>
    <w:rsid w:val="00B6327D"/>
    <w:rsid w:val="00B636AE"/>
    <w:rsid w:val="00B63ABF"/>
    <w:rsid w:val="00B668F3"/>
    <w:rsid w:val="00B67735"/>
    <w:rsid w:val="00B67B9F"/>
    <w:rsid w:val="00B67E7F"/>
    <w:rsid w:val="00B700C5"/>
    <w:rsid w:val="00B71E15"/>
    <w:rsid w:val="00B74014"/>
    <w:rsid w:val="00B75A04"/>
    <w:rsid w:val="00B7608F"/>
    <w:rsid w:val="00B76644"/>
    <w:rsid w:val="00B76B1D"/>
    <w:rsid w:val="00B80011"/>
    <w:rsid w:val="00B80341"/>
    <w:rsid w:val="00B809E8"/>
    <w:rsid w:val="00B813C3"/>
    <w:rsid w:val="00B815E1"/>
    <w:rsid w:val="00B835FD"/>
    <w:rsid w:val="00B839B2"/>
    <w:rsid w:val="00B83C96"/>
    <w:rsid w:val="00B8485A"/>
    <w:rsid w:val="00B84E6F"/>
    <w:rsid w:val="00B85BDD"/>
    <w:rsid w:val="00B86AA9"/>
    <w:rsid w:val="00B86D80"/>
    <w:rsid w:val="00B8720D"/>
    <w:rsid w:val="00B90AB4"/>
    <w:rsid w:val="00B91F67"/>
    <w:rsid w:val="00B92790"/>
    <w:rsid w:val="00B93C77"/>
    <w:rsid w:val="00B93C90"/>
    <w:rsid w:val="00B941BC"/>
    <w:rsid w:val="00B94252"/>
    <w:rsid w:val="00B94991"/>
    <w:rsid w:val="00B95435"/>
    <w:rsid w:val="00B956F9"/>
    <w:rsid w:val="00B9583D"/>
    <w:rsid w:val="00B95AD4"/>
    <w:rsid w:val="00B962A6"/>
    <w:rsid w:val="00B96B08"/>
    <w:rsid w:val="00B96BC1"/>
    <w:rsid w:val="00B9715A"/>
    <w:rsid w:val="00BA1245"/>
    <w:rsid w:val="00BA14BE"/>
    <w:rsid w:val="00BA2732"/>
    <w:rsid w:val="00BA293D"/>
    <w:rsid w:val="00BA3321"/>
    <w:rsid w:val="00BA33BB"/>
    <w:rsid w:val="00BA34A5"/>
    <w:rsid w:val="00BA34CC"/>
    <w:rsid w:val="00BA3CD0"/>
    <w:rsid w:val="00BA482B"/>
    <w:rsid w:val="00BA49BC"/>
    <w:rsid w:val="00BA56B7"/>
    <w:rsid w:val="00BA655C"/>
    <w:rsid w:val="00BA6666"/>
    <w:rsid w:val="00BA7037"/>
    <w:rsid w:val="00BA70E0"/>
    <w:rsid w:val="00BA7A1E"/>
    <w:rsid w:val="00BA7A7A"/>
    <w:rsid w:val="00BA7CA9"/>
    <w:rsid w:val="00BB0A4F"/>
    <w:rsid w:val="00BB1768"/>
    <w:rsid w:val="00BB1C36"/>
    <w:rsid w:val="00BB2D7C"/>
    <w:rsid w:val="00BB2F6C"/>
    <w:rsid w:val="00BB3875"/>
    <w:rsid w:val="00BB3F8B"/>
    <w:rsid w:val="00BB5860"/>
    <w:rsid w:val="00BB6AAD"/>
    <w:rsid w:val="00BB6D3D"/>
    <w:rsid w:val="00BB7429"/>
    <w:rsid w:val="00BB76DA"/>
    <w:rsid w:val="00BC031C"/>
    <w:rsid w:val="00BC0697"/>
    <w:rsid w:val="00BC0FEA"/>
    <w:rsid w:val="00BC1223"/>
    <w:rsid w:val="00BC1740"/>
    <w:rsid w:val="00BC1BEA"/>
    <w:rsid w:val="00BC288B"/>
    <w:rsid w:val="00BC29E1"/>
    <w:rsid w:val="00BC2F4F"/>
    <w:rsid w:val="00BC3429"/>
    <w:rsid w:val="00BC3B20"/>
    <w:rsid w:val="00BC3B58"/>
    <w:rsid w:val="00BC410D"/>
    <w:rsid w:val="00BC46FD"/>
    <w:rsid w:val="00BC4A19"/>
    <w:rsid w:val="00BC4E6D"/>
    <w:rsid w:val="00BC6992"/>
    <w:rsid w:val="00BC7687"/>
    <w:rsid w:val="00BC7989"/>
    <w:rsid w:val="00BD02C4"/>
    <w:rsid w:val="00BD057E"/>
    <w:rsid w:val="00BD0617"/>
    <w:rsid w:val="00BD2E9B"/>
    <w:rsid w:val="00BD3275"/>
    <w:rsid w:val="00BD3420"/>
    <w:rsid w:val="00BD6F8B"/>
    <w:rsid w:val="00BD6F96"/>
    <w:rsid w:val="00BD78BD"/>
    <w:rsid w:val="00BD7B27"/>
    <w:rsid w:val="00BE00AE"/>
    <w:rsid w:val="00BE014E"/>
    <w:rsid w:val="00BE0E11"/>
    <w:rsid w:val="00BE3AB6"/>
    <w:rsid w:val="00BE4172"/>
    <w:rsid w:val="00BE4852"/>
    <w:rsid w:val="00BE5A5D"/>
    <w:rsid w:val="00BE5C7D"/>
    <w:rsid w:val="00BE65BA"/>
    <w:rsid w:val="00BE6FC6"/>
    <w:rsid w:val="00BE704B"/>
    <w:rsid w:val="00BE7766"/>
    <w:rsid w:val="00BE7A41"/>
    <w:rsid w:val="00BF1027"/>
    <w:rsid w:val="00BF1248"/>
    <w:rsid w:val="00BF177F"/>
    <w:rsid w:val="00BF3C30"/>
    <w:rsid w:val="00BF3F53"/>
    <w:rsid w:val="00BF4040"/>
    <w:rsid w:val="00BF4916"/>
    <w:rsid w:val="00BF4AA2"/>
    <w:rsid w:val="00BF4D1F"/>
    <w:rsid w:val="00BF5095"/>
    <w:rsid w:val="00BF5922"/>
    <w:rsid w:val="00BF68D2"/>
    <w:rsid w:val="00BF72CD"/>
    <w:rsid w:val="00BF7AD7"/>
    <w:rsid w:val="00C003B9"/>
    <w:rsid w:val="00C00930"/>
    <w:rsid w:val="00C02514"/>
    <w:rsid w:val="00C02881"/>
    <w:rsid w:val="00C02DE4"/>
    <w:rsid w:val="00C03A2B"/>
    <w:rsid w:val="00C0418C"/>
    <w:rsid w:val="00C047D8"/>
    <w:rsid w:val="00C060AD"/>
    <w:rsid w:val="00C060FB"/>
    <w:rsid w:val="00C0670D"/>
    <w:rsid w:val="00C06EA1"/>
    <w:rsid w:val="00C06FDC"/>
    <w:rsid w:val="00C100FF"/>
    <w:rsid w:val="00C113BF"/>
    <w:rsid w:val="00C11634"/>
    <w:rsid w:val="00C124EB"/>
    <w:rsid w:val="00C13A93"/>
    <w:rsid w:val="00C13D96"/>
    <w:rsid w:val="00C14B46"/>
    <w:rsid w:val="00C14D00"/>
    <w:rsid w:val="00C14D67"/>
    <w:rsid w:val="00C151A5"/>
    <w:rsid w:val="00C15AC5"/>
    <w:rsid w:val="00C15E85"/>
    <w:rsid w:val="00C16776"/>
    <w:rsid w:val="00C16E0E"/>
    <w:rsid w:val="00C16F6C"/>
    <w:rsid w:val="00C20749"/>
    <w:rsid w:val="00C209E1"/>
    <w:rsid w:val="00C2176E"/>
    <w:rsid w:val="00C21B8A"/>
    <w:rsid w:val="00C2262F"/>
    <w:rsid w:val="00C2324A"/>
    <w:rsid w:val="00C232F2"/>
    <w:rsid w:val="00C23430"/>
    <w:rsid w:val="00C23901"/>
    <w:rsid w:val="00C24E49"/>
    <w:rsid w:val="00C25829"/>
    <w:rsid w:val="00C25DB1"/>
    <w:rsid w:val="00C2696B"/>
    <w:rsid w:val="00C27099"/>
    <w:rsid w:val="00C277A4"/>
    <w:rsid w:val="00C27D67"/>
    <w:rsid w:val="00C27F20"/>
    <w:rsid w:val="00C301DA"/>
    <w:rsid w:val="00C30A9A"/>
    <w:rsid w:val="00C30BFE"/>
    <w:rsid w:val="00C313FF"/>
    <w:rsid w:val="00C3162B"/>
    <w:rsid w:val="00C31B24"/>
    <w:rsid w:val="00C31C40"/>
    <w:rsid w:val="00C31C4A"/>
    <w:rsid w:val="00C31C72"/>
    <w:rsid w:val="00C32503"/>
    <w:rsid w:val="00C32628"/>
    <w:rsid w:val="00C32640"/>
    <w:rsid w:val="00C32C96"/>
    <w:rsid w:val="00C3321D"/>
    <w:rsid w:val="00C3327F"/>
    <w:rsid w:val="00C334B7"/>
    <w:rsid w:val="00C33EA2"/>
    <w:rsid w:val="00C33EAA"/>
    <w:rsid w:val="00C34BC6"/>
    <w:rsid w:val="00C35C61"/>
    <w:rsid w:val="00C36242"/>
    <w:rsid w:val="00C36F0A"/>
    <w:rsid w:val="00C373D5"/>
    <w:rsid w:val="00C40213"/>
    <w:rsid w:val="00C40720"/>
    <w:rsid w:val="00C40F58"/>
    <w:rsid w:val="00C4148D"/>
    <w:rsid w:val="00C41633"/>
    <w:rsid w:val="00C4227F"/>
    <w:rsid w:val="00C437C1"/>
    <w:rsid w:val="00C44108"/>
    <w:rsid w:val="00C44564"/>
    <w:rsid w:val="00C45686"/>
    <w:rsid w:val="00C45B2E"/>
    <w:rsid w:val="00C45C47"/>
    <w:rsid w:val="00C4631F"/>
    <w:rsid w:val="00C46666"/>
    <w:rsid w:val="00C473C6"/>
    <w:rsid w:val="00C4760B"/>
    <w:rsid w:val="00C50946"/>
    <w:rsid w:val="00C50E16"/>
    <w:rsid w:val="00C52146"/>
    <w:rsid w:val="00C521BC"/>
    <w:rsid w:val="00C52420"/>
    <w:rsid w:val="00C52D07"/>
    <w:rsid w:val="00C55258"/>
    <w:rsid w:val="00C55818"/>
    <w:rsid w:val="00C55930"/>
    <w:rsid w:val="00C559B6"/>
    <w:rsid w:val="00C55C31"/>
    <w:rsid w:val="00C563B4"/>
    <w:rsid w:val="00C563D7"/>
    <w:rsid w:val="00C57BF6"/>
    <w:rsid w:val="00C57EA5"/>
    <w:rsid w:val="00C61B0D"/>
    <w:rsid w:val="00C62876"/>
    <w:rsid w:val="00C62A74"/>
    <w:rsid w:val="00C62E4E"/>
    <w:rsid w:val="00C633CF"/>
    <w:rsid w:val="00C63751"/>
    <w:rsid w:val="00C64182"/>
    <w:rsid w:val="00C64202"/>
    <w:rsid w:val="00C645C9"/>
    <w:rsid w:val="00C64BA9"/>
    <w:rsid w:val="00C64F89"/>
    <w:rsid w:val="00C659BB"/>
    <w:rsid w:val="00C65E4B"/>
    <w:rsid w:val="00C65E6A"/>
    <w:rsid w:val="00C70013"/>
    <w:rsid w:val="00C703E0"/>
    <w:rsid w:val="00C708CE"/>
    <w:rsid w:val="00C70A7E"/>
    <w:rsid w:val="00C714B8"/>
    <w:rsid w:val="00C72244"/>
    <w:rsid w:val="00C72FC4"/>
    <w:rsid w:val="00C7356F"/>
    <w:rsid w:val="00C744F9"/>
    <w:rsid w:val="00C74AA6"/>
    <w:rsid w:val="00C770C2"/>
    <w:rsid w:val="00C77516"/>
    <w:rsid w:val="00C77DCF"/>
    <w:rsid w:val="00C80184"/>
    <w:rsid w:val="00C80209"/>
    <w:rsid w:val="00C8123A"/>
    <w:rsid w:val="00C818E8"/>
    <w:rsid w:val="00C81930"/>
    <w:rsid w:val="00C821C6"/>
    <w:rsid w:val="00C82592"/>
    <w:rsid w:val="00C82CD9"/>
    <w:rsid w:val="00C82EEB"/>
    <w:rsid w:val="00C84B83"/>
    <w:rsid w:val="00C85642"/>
    <w:rsid w:val="00C86ACF"/>
    <w:rsid w:val="00C9036F"/>
    <w:rsid w:val="00C91B4E"/>
    <w:rsid w:val="00C91CCD"/>
    <w:rsid w:val="00C92128"/>
    <w:rsid w:val="00C92AC4"/>
    <w:rsid w:val="00C9383A"/>
    <w:rsid w:val="00C9431F"/>
    <w:rsid w:val="00C9454C"/>
    <w:rsid w:val="00C956DA"/>
    <w:rsid w:val="00C9581D"/>
    <w:rsid w:val="00C958F6"/>
    <w:rsid w:val="00C95967"/>
    <w:rsid w:val="00C96038"/>
    <w:rsid w:val="00C96750"/>
    <w:rsid w:val="00C971DC"/>
    <w:rsid w:val="00C978D6"/>
    <w:rsid w:val="00C979AF"/>
    <w:rsid w:val="00CA051C"/>
    <w:rsid w:val="00CA05D6"/>
    <w:rsid w:val="00CA05F5"/>
    <w:rsid w:val="00CA16B7"/>
    <w:rsid w:val="00CA2996"/>
    <w:rsid w:val="00CA3E19"/>
    <w:rsid w:val="00CA4BE3"/>
    <w:rsid w:val="00CA567E"/>
    <w:rsid w:val="00CA5717"/>
    <w:rsid w:val="00CA5DB5"/>
    <w:rsid w:val="00CA5DDB"/>
    <w:rsid w:val="00CA606D"/>
    <w:rsid w:val="00CA62AE"/>
    <w:rsid w:val="00CB17D0"/>
    <w:rsid w:val="00CB1953"/>
    <w:rsid w:val="00CB2B88"/>
    <w:rsid w:val="00CB32EC"/>
    <w:rsid w:val="00CB57F6"/>
    <w:rsid w:val="00CB5B1A"/>
    <w:rsid w:val="00CB5B82"/>
    <w:rsid w:val="00CB719E"/>
    <w:rsid w:val="00CC0028"/>
    <w:rsid w:val="00CC02C7"/>
    <w:rsid w:val="00CC0A7E"/>
    <w:rsid w:val="00CC220B"/>
    <w:rsid w:val="00CC22B2"/>
    <w:rsid w:val="00CC27CD"/>
    <w:rsid w:val="00CC2A4C"/>
    <w:rsid w:val="00CC48F2"/>
    <w:rsid w:val="00CC4BF6"/>
    <w:rsid w:val="00CC5326"/>
    <w:rsid w:val="00CC5C43"/>
    <w:rsid w:val="00CC615E"/>
    <w:rsid w:val="00CC6456"/>
    <w:rsid w:val="00CC6D90"/>
    <w:rsid w:val="00CC72D7"/>
    <w:rsid w:val="00CC734D"/>
    <w:rsid w:val="00CC741D"/>
    <w:rsid w:val="00CC7F73"/>
    <w:rsid w:val="00CD02AE"/>
    <w:rsid w:val="00CD04AD"/>
    <w:rsid w:val="00CD077E"/>
    <w:rsid w:val="00CD0ADA"/>
    <w:rsid w:val="00CD15F1"/>
    <w:rsid w:val="00CD2A4F"/>
    <w:rsid w:val="00CD3559"/>
    <w:rsid w:val="00CD3672"/>
    <w:rsid w:val="00CD3A21"/>
    <w:rsid w:val="00CD5CFB"/>
    <w:rsid w:val="00CD601D"/>
    <w:rsid w:val="00CD6D20"/>
    <w:rsid w:val="00CE03CA"/>
    <w:rsid w:val="00CE0DFD"/>
    <w:rsid w:val="00CE117E"/>
    <w:rsid w:val="00CE1F42"/>
    <w:rsid w:val="00CE22F1"/>
    <w:rsid w:val="00CE2466"/>
    <w:rsid w:val="00CE24C1"/>
    <w:rsid w:val="00CE2850"/>
    <w:rsid w:val="00CE2F1A"/>
    <w:rsid w:val="00CE365B"/>
    <w:rsid w:val="00CE3ACA"/>
    <w:rsid w:val="00CE4048"/>
    <w:rsid w:val="00CE4E25"/>
    <w:rsid w:val="00CE50F2"/>
    <w:rsid w:val="00CE6502"/>
    <w:rsid w:val="00CE7805"/>
    <w:rsid w:val="00CF08A6"/>
    <w:rsid w:val="00CF12D6"/>
    <w:rsid w:val="00CF22FC"/>
    <w:rsid w:val="00CF6B61"/>
    <w:rsid w:val="00CF790C"/>
    <w:rsid w:val="00CF7D3C"/>
    <w:rsid w:val="00D02F6B"/>
    <w:rsid w:val="00D03933"/>
    <w:rsid w:val="00D0395C"/>
    <w:rsid w:val="00D04402"/>
    <w:rsid w:val="00D05E37"/>
    <w:rsid w:val="00D06153"/>
    <w:rsid w:val="00D064A6"/>
    <w:rsid w:val="00D06655"/>
    <w:rsid w:val="00D0691C"/>
    <w:rsid w:val="00D06DD1"/>
    <w:rsid w:val="00D06DF8"/>
    <w:rsid w:val="00D07F0D"/>
    <w:rsid w:val="00D10F3B"/>
    <w:rsid w:val="00D11FDC"/>
    <w:rsid w:val="00D12DE2"/>
    <w:rsid w:val="00D12F83"/>
    <w:rsid w:val="00D13A09"/>
    <w:rsid w:val="00D147EB"/>
    <w:rsid w:val="00D1486D"/>
    <w:rsid w:val="00D14C36"/>
    <w:rsid w:val="00D1512F"/>
    <w:rsid w:val="00D15204"/>
    <w:rsid w:val="00D1545C"/>
    <w:rsid w:val="00D164AE"/>
    <w:rsid w:val="00D16B7B"/>
    <w:rsid w:val="00D17A51"/>
    <w:rsid w:val="00D20A55"/>
    <w:rsid w:val="00D22B09"/>
    <w:rsid w:val="00D236B7"/>
    <w:rsid w:val="00D23B1C"/>
    <w:rsid w:val="00D23FC9"/>
    <w:rsid w:val="00D24615"/>
    <w:rsid w:val="00D24F10"/>
    <w:rsid w:val="00D25684"/>
    <w:rsid w:val="00D27800"/>
    <w:rsid w:val="00D279B1"/>
    <w:rsid w:val="00D27A12"/>
    <w:rsid w:val="00D27FCC"/>
    <w:rsid w:val="00D30324"/>
    <w:rsid w:val="00D307CF"/>
    <w:rsid w:val="00D3108D"/>
    <w:rsid w:val="00D312E7"/>
    <w:rsid w:val="00D319DA"/>
    <w:rsid w:val="00D321BE"/>
    <w:rsid w:val="00D32302"/>
    <w:rsid w:val="00D32A44"/>
    <w:rsid w:val="00D330D5"/>
    <w:rsid w:val="00D33256"/>
    <w:rsid w:val="00D33783"/>
    <w:rsid w:val="00D34430"/>
    <w:rsid w:val="00D34667"/>
    <w:rsid w:val="00D34C30"/>
    <w:rsid w:val="00D34CB4"/>
    <w:rsid w:val="00D359F0"/>
    <w:rsid w:val="00D35C0E"/>
    <w:rsid w:val="00D360B5"/>
    <w:rsid w:val="00D37851"/>
    <w:rsid w:val="00D401E1"/>
    <w:rsid w:val="00D408B4"/>
    <w:rsid w:val="00D410B1"/>
    <w:rsid w:val="00D4171C"/>
    <w:rsid w:val="00D417C2"/>
    <w:rsid w:val="00D420C7"/>
    <w:rsid w:val="00D423B1"/>
    <w:rsid w:val="00D42415"/>
    <w:rsid w:val="00D435BC"/>
    <w:rsid w:val="00D44583"/>
    <w:rsid w:val="00D4496C"/>
    <w:rsid w:val="00D453B2"/>
    <w:rsid w:val="00D45D94"/>
    <w:rsid w:val="00D47537"/>
    <w:rsid w:val="00D504E4"/>
    <w:rsid w:val="00D5174B"/>
    <w:rsid w:val="00D524C8"/>
    <w:rsid w:val="00D533DC"/>
    <w:rsid w:val="00D546E1"/>
    <w:rsid w:val="00D54F4C"/>
    <w:rsid w:val="00D5505A"/>
    <w:rsid w:val="00D559D2"/>
    <w:rsid w:val="00D56A7A"/>
    <w:rsid w:val="00D56CFB"/>
    <w:rsid w:val="00D60272"/>
    <w:rsid w:val="00D60413"/>
    <w:rsid w:val="00D60485"/>
    <w:rsid w:val="00D60B2A"/>
    <w:rsid w:val="00D60E25"/>
    <w:rsid w:val="00D615C1"/>
    <w:rsid w:val="00D623CD"/>
    <w:rsid w:val="00D6268A"/>
    <w:rsid w:val="00D626D6"/>
    <w:rsid w:val="00D62A76"/>
    <w:rsid w:val="00D62BDD"/>
    <w:rsid w:val="00D63CD6"/>
    <w:rsid w:val="00D640B7"/>
    <w:rsid w:val="00D642C8"/>
    <w:rsid w:val="00D65A20"/>
    <w:rsid w:val="00D65CA4"/>
    <w:rsid w:val="00D65EA7"/>
    <w:rsid w:val="00D66EB9"/>
    <w:rsid w:val="00D67487"/>
    <w:rsid w:val="00D67729"/>
    <w:rsid w:val="00D7083A"/>
    <w:rsid w:val="00D70E24"/>
    <w:rsid w:val="00D70E51"/>
    <w:rsid w:val="00D71417"/>
    <w:rsid w:val="00D71980"/>
    <w:rsid w:val="00D720EB"/>
    <w:rsid w:val="00D726AC"/>
    <w:rsid w:val="00D72B61"/>
    <w:rsid w:val="00D73098"/>
    <w:rsid w:val="00D74647"/>
    <w:rsid w:val="00D74B1A"/>
    <w:rsid w:val="00D74B60"/>
    <w:rsid w:val="00D752D2"/>
    <w:rsid w:val="00D77407"/>
    <w:rsid w:val="00D7790C"/>
    <w:rsid w:val="00D80578"/>
    <w:rsid w:val="00D806FE"/>
    <w:rsid w:val="00D807C7"/>
    <w:rsid w:val="00D8110B"/>
    <w:rsid w:val="00D811B5"/>
    <w:rsid w:val="00D81EA6"/>
    <w:rsid w:val="00D82BE9"/>
    <w:rsid w:val="00D835D0"/>
    <w:rsid w:val="00D83819"/>
    <w:rsid w:val="00D83897"/>
    <w:rsid w:val="00D83F70"/>
    <w:rsid w:val="00D8465A"/>
    <w:rsid w:val="00D84C5C"/>
    <w:rsid w:val="00D85012"/>
    <w:rsid w:val="00D85946"/>
    <w:rsid w:val="00D85D8A"/>
    <w:rsid w:val="00D85F1A"/>
    <w:rsid w:val="00D862A7"/>
    <w:rsid w:val="00D86A12"/>
    <w:rsid w:val="00D91403"/>
    <w:rsid w:val="00D91FC4"/>
    <w:rsid w:val="00D936E2"/>
    <w:rsid w:val="00D93D47"/>
    <w:rsid w:val="00D9415E"/>
    <w:rsid w:val="00D946F6"/>
    <w:rsid w:val="00D94ABA"/>
    <w:rsid w:val="00D94B49"/>
    <w:rsid w:val="00D94F8D"/>
    <w:rsid w:val="00D94FC9"/>
    <w:rsid w:val="00D95312"/>
    <w:rsid w:val="00D95440"/>
    <w:rsid w:val="00D956AA"/>
    <w:rsid w:val="00D95704"/>
    <w:rsid w:val="00D9583D"/>
    <w:rsid w:val="00D95A78"/>
    <w:rsid w:val="00D96A3E"/>
    <w:rsid w:val="00D973B1"/>
    <w:rsid w:val="00D976C6"/>
    <w:rsid w:val="00D97F7A"/>
    <w:rsid w:val="00DA02B9"/>
    <w:rsid w:val="00DA05FB"/>
    <w:rsid w:val="00DA185A"/>
    <w:rsid w:val="00DA1ACA"/>
    <w:rsid w:val="00DA29FD"/>
    <w:rsid w:val="00DA2A8B"/>
    <w:rsid w:val="00DA345C"/>
    <w:rsid w:val="00DA3549"/>
    <w:rsid w:val="00DA3D1D"/>
    <w:rsid w:val="00DA3F73"/>
    <w:rsid w:val="00DA441B"/>
    <w:rsid w:val="00DA4A5B"/>
    <w:rsid w:val="00DA4DC7"/>
    <w:rsid w:val="00DA6A76"/>
    <w:rsid w:val="00DA7034"/>
    <w:rsid w:val="00DB0116"/>
    <w:rsid w:val="00DB0138"/>
    <w:rsid w:val="00DB01EF"/>
    <w:rsid w:val="00DB053F"/>
    <w:rsid w:val="00DB1420"/>
    <w:rsid w:val="00DB4C72"/>
    <w:rsid w:val="00DB4EB7"/>
    <w:rsid w:val="00DB5625"/>
    <w:rsid w:val="00DB6286"/>
    <w:rsid w:val="00DB645F"/>
    <w:rsid w:val="00DB6F26"/>
    <w:rsid w:val="00DB76E9"/>
    <w:rsid w:val="00DC06DB"/>
    <w:rsid w:val="00DC0A67"/>
    <w:rsid w:val="00DC0D6A"/>
    <w:rsid w:val="00DC117C"/>
    <w:rsid w:val="00DC158A"/>
    <w:rsid w:val="00DC1933"/>
    <w:rsid w:val="00DC1CD6"/>
    <w:rsid w:val="00DC1D5E"/>
    <w:rsid w:val="00DC2313"/>
    <w:rsid w:val="00DC3435"/>
    <w:rsid w:val="00DC468D"/>
    <w:rsid w:val="00DC4768"/>
    <w:rsid w:val="00DC5220"/>
    <w:rsid w:val="00DC5819"/>
    <w:rsid w:val="00DC5878"/>
    <w:rsid w:val="00DC637E"/>
    <w:rsid w:val="00DC6B20"/>
    <w:rsid w:val="00DC6D67"/>
    <w:rsid w:val="00DC7910"/>
    <w:rsid w:val="00DD0083"/>
    <w:rsid w:val="00DD0CC9"/>
    <w:rsid w:val="00DD1D83"/>
    <w:rsid w:val="00DD1DCA"/>
    <w:rsid w:val="00DD2061"/>
    <w:rsid w:val="00DD27BB"/>
    <w:rsid w:val="00DD3148"/>
    <w:rsid w:val="00DD4319"/>
    <w:rsid w:val="00DD4546"/>
    <w:rsid w:val="00DD47A6"/>
    <w:rsid w:val="00DD5337"/>
    <w:rsid w:val="00DD6C0F"/>
    <w:rsid w:val="00DD788A"/>
    <w:rsid w:val="00DD7C6F"/>
    <w:rsid w:val="00DD7D50"/>
    <w:rsid w:val="00DD7DAB"/>
    <w:rsid w:val="00DE15CB"/>
    <w:rsid w:val="00DE1B93"/>
    <w:rsid w:val="00DE247C"/>
    <w:rsid w:val="00DE3355"/>
    <w:rsid w:val="00DE3A6B"/>
    <w:rsid w:val="00DE400F"/>
    <w:rsid w:val="00DE4447"/>
    <w:rsid w:val="00DE4784"/>
    <w:rsid w:val="00DE4F49"/>
    <w:rsid w:val="00DE679C"/>
    <w:rsid w:val="00DE6C4B"/>
    <w:rsid w:val="00DE6C72"/>
    <w:rsid w:val="00DE76F9"/>
    <w:rsid w:val="00DE7A6F"/>
    <w:rsid w:val="00DF0EE7"/>
    <w:rsid w:val="00DF215B"/>
    <w:rsid w:val="00DF24E7"/>
    <w:rsid w:val="00DF2E30"/>
    <w:rsid w:val="00DF324C"/>
    <w:rsid w:val="00DF3E72"/>
    <w:rsid w:val="00DF486F"/>
    <w:rsid w:val="00DF4E6F"/>
    <w:rsid w:val="00DF5018"/>
    <w:rsid w:val="00DF512E"/>
    <w:rsid w:val="00DF538A"/>
    <w:rsid w:val="00DF56CF"/>
    <w:rsid w:val="00DF5B5B"/>
    <w:rsid w:val="00DF5BC9"/>
    <w:rsid w:val="00DF5C6E"/>
    <w:rsid w:val="00DF6194"/>
    <w:rsid w:val="00DF625F"/>
    <w:rsid w:val="00DF6D0B"/>
    <w:rsid w:val="00DF7619"/>
    <w:rsid w:val="00E006A5"/>
    <w:rsid w:val="00E00BB8"/>
    <w:rsid w:val="00E00D8F"/>
    <w:rsid w:val="00E01788"/>
    <w:rsid w:val="00E033DB"/>
    <w:rsid w:val="00E0417B"/>
    <w:rsid w:val="00E042D8"/>
    <w:rsid w:val="00E0460B"/>
    <w:rsid w:val="00E058BF"/>
    <w:rsid w:val="00E06868"/>
    <w:rsid w:val="00E07027"/>
    <w:rsid w:val="00E07579"/>
    <w:rsid w:val="00E07EE7"/>
    <w:rsid w:val="00E10B3D"/>
    <w:rsid w:val="00E1103B"/>
    <w:rsid w:val="00E12741"/>
    <w:rsid w:val="00E13A29"/>
    <w:rsid w:val="00E146D5"/>
    <w:rsid w:val="00E1496A"/>
    <w:rsid w:val="00E15EB7"/>
    <w:rsid w:val="00E164B3"/>
    <w:rsid w:val="00E168FC"/>
    <w:rsid w:val="00E16F7A"/>
    <w:rsid w:val="00E17B44"/>
    <w:rsid w:val="00E20019"/>
    <w:rsid w:val="00E20230"/>
    <w:rsid w:val="00E20485"/>
    <w:rsid w:val="00E20D03"/>
    <w:rsid w:val="00E20E23"/>
    <w:rsid w:val="00E20EE3"/>
    <w:rsid w:val="00E2122C"/>
    <w:rsid w:val="00E22D9E"/>
    <w:rsid w:val="00E23737"/>
    <w:rsid w:val="00E23B78"/>
    <w:rsid w:val="00E24B0C"/>
    <w:rsid w:val="00E24C6F"/>
    <w:rsid w:val="00E255DD"/>
    <w:rsid w:val="00E257E3"/>
    <w:rsid w:val="00E25A1D"/>
    <w:rsid w:val="00E26319"/>
    <w:rsid w:val="00E26D07"/>
    <w:rsid w:val="00E271CF"/>
    <w:rsid w:val="00E27FEA"/>
    <w:rsid w:val="00E3000E"/>
    <w:rsid w:val="00E30E61"/>
    <w:rsid w:val="00E33F9F"/>
    <w:rsid w:val="00E345A7"/>
    <w:rsid w:val="00E34F28"/>
    <w:rsid w:val="00E35171"/>
    <w:rsid w:val="00E35744"/>
    <w:rsid w:val="00E35BCC"/>
    <w:rsid w:val="00E36EFC"/>
    <w:rsid w:val="00E375C7"/>
    <w:rsid w:val="00E37B17"/>
    <w:rsid w:val="00E4045B"/>
    <w:rsid w:val="00E4086F"/>
    <w:rsid w:val="00E4124E"/>
    <w:rsid w:val="00E41822"/>
    <w:rsid w:val="00E420FD"/>
    <w:rsid w:val="00E4281C"/>
    <w:rsid w:val="00E43150"/>
    <w:rsid w:val="00E434F0"/>
    <w:rsid w:val="00E4372B"/>
    <w:rsid w:val="00E43B3C"/>
    <w:rsid w:val="00E43B56"/>
    <w:rsid w:val="00E44DA2"/>
    <w:rsid w:val="00E4549F"/>
    <w:rsid w:val="00E4642C"/>
    <w:rsid w:val="00E46AE4"/>
    <w:rsid w:val="00E46B0A"/>
    <w:rsid w:val="00E46DF2"/>
    <w:rsid w:val="00E46F55"/>
    <w:rsid w:val="00E47375"/>
    <w:rsid w:val="00E47430"/>
    <w:rsid w:val="00E47AA3"/>
    <w:rsid w:val="00E50188"/>
    <w:rsid w:val="00E515CB"/>
    <w:rsid w:val="00E51C32"/>
    <w:rsid w:val="00E52260"/>
    <w:rsid w:val="00E54290"/>
    <w:rsid w:val="00E54BBF"/>
    <w:rsid w:val="00E559E2"/>
    <w:rsid w:val="00E55C49"/>
    <w:rsid w:val="00E5605B"/>
    <w:rsid w:val="00E5639A"/>
    <w:rsid w:val="00E57702"/>
    <w:rsid w:val="00E57978"/>
    <w:rsid w:val="00E57D10"/>
    <w:rsid w:val="00E6365C"/>
    <w:rsid w:val="00E639B6"/>
    <w:rsid w:val="00E6434B"/>
    <w:rsid w:val="00E6439B"/>
    <w:rsid w:val="00E6463D"/>
    <w:rsid w:val="00E6473D"/>
    <w:rsid w:val="00E64D16"/>
    <w:rsid w:val="00E66080"/>
    <w:rsid w:val="00E660F9"/>
    <w:rsid w:val="00E66FD7"/>
    <w:rsid w:val="00E6745A"/>
    <w:rsid w:val="00E70133"/>
    <w:rsid w:val="00E722EE"/>
    <w:rsid w:val="00E72A05"/>
    <w:rsid w:val="00E72E9B"/>
    <w:rsid w:val="00E74011"/>
    <w:rsid w:val="00E74D85"/>
    <w:rsid w:val="00E7508C"/>
    <w:rsid w:val="00E76F7D"/>
    <w:rsid w:val="00E770BF"/>
    <w:rsid w:val="00E7715A"/>
    <w:rsid w:val="00E801E9"/>
    <w:rsid w:val="00E81F5F"/>
    <w:rsid w:val="00E83076"/>
    <w:rsid w:val="00E83CEE"/>
    <w:rsid w:val="00E843B1"/>
    <w:rsid w:val="00E8452F"/>
    <w:rsid w:val="00E849DA"/>
    <w:rsid w:val="00E870D3"/>
    <w:rsid w:val="00E87183"/>
    <w:rsid w:val="00E87282"/>
    <w:rsid w:val="00E873AF"/>
    <w:rsid w:val="00E8753E"/>
    <w:rsid w:val="00E87748"/>
    <w:rsid w:val="00E87F19"/>
    <w:rsid w:val="00E91A03"/>
    <w:rsid w:val="00E91BA0"/>
    <w:rsid w:val="00E92CBA"/>
    <w:rsid w:val="00E92F96"/>
    <w:rsid w:val="00E93241"/>
    <w:rsid w:val="00E940B5"/>
    <w:rsid w:val="00E942C6"/>
    <w:rsid w:val="00E9462E"/>
    <w:rsid w:val="00E946E7"/>
    <w:rsid w:val="00E95871"/>
    <w:rsid w:val="00E97290"/>
    <w:rsid w:val="00EA0286"/>
    <w:rsid w:val="00EA16E9"/>
    <w:rsid w:val="00EA240C"/>
    <w:rsid w:val="00EA2769"/>
    <w:rsid w:val="00EA30B2"/>
    <w:rsid w:val="00EA470E"/>
    <w:rsid w:val="00EA47A7"/>
    <w:rsid w:val="00EA4894"/>
    <w:rsid w:val="00EA4C6C"/>
    <w:rsid w:val="00EA57EB"/>
    <w:rsid w:val="00EA5B67"/>
    <w:rsid w:val="00EA61FA"/>
    <w:rsid w:val="00EA66A0"/>
    <w:rsid w:val="00EA67B0"/>
    <w:rsid w:val="00EA6812"/>
    <w:rsid w:val="00EA76A7"/>
    <w:rsid w:val="00EA7B37"/>
    <w:rsid w:val="00EA7BA8"/>
    <w:rsid w:val="00EB140B"/>
    <w:rsid w:val="00EB18F3"/>
    <w:rsid w:val="00EB24B5"/>
    <w:rsid w:val="00EB3226"/>
    <w:rsid w:val="00EB388A"/>
    <w:rsid w:val="00EB4AAE"/>
    <w:rsid w:val="00EB5874"/>
    <w:rsid w:val="00EB6413"/>
    <w:rsid w:val="00EB6596"/>
    <w:rsid w:val="00EB7757"/>
    <w:rsid w:val="00EB78B1"/>
    <w:rsid w:val="00EB7EFD"/>
    <w:rsid w:val="00EC002D"/>
    <w:rsid w:val="00EC09C0"/>
    <w:rsid w:val="00EC0A28"/>
    <w:rsid w:val="00EC213A"/>
    <w:rsid w:val="00EC23DF"/>
    <w:rsid w:val="00EC48D7"/>
    <w:rsid w:val="00EC5E1D"/>
    <w:rsid w:val="00EC6603"/>
    <w:rsid w:val="00EC710E"/>
    <w:rsid w:val="00EC7744"/>
    <w:rsid w:val="00EC7B69"/>
    <w:rsid w:val="00ED0244"/>
    <w:rsid w:val="00ED0DAD"/>
    <w:rsid w:val="00ED0DE7"/>
    <w:rsid w:val="00ED0EBE"/>
    <w:rsid w:val="00ED0F46"/>
    <w:rsid w:val="00ED0FAF"/>
    <w:rsid w:val="00ED2267"/>
    <w:rsid w:val="00ED2373"/>
    <w:rsid w:val="00ED240F"/>
    <w:rsid w:val="00ED2CA3"/>
    <w:rsid w:val="00ED3110"/>
    <w:rsid w:val="00ED39CA"/>
    <w:rsid w:val="00ED3E3A"/>
    <w:rsid w:val="00ED4350"/>
    <w:rsid w:val="00ED55EA"/>
    <w:rsid w:val="00ED6B70"/>
    <w:rsid w:val="00EE1D18"/>
    <w:rsid w:val="00EE25AA"/>
    <w:rsid w:val="00EE2609"/>
    <w:rsid w:val="00EE35D9"/>
    <w:rsid w:val="00EE3E8A"/>
    <w:rsid w:val="00EE48F4"/>
    <w:rsid w:val="00EE5C46"/>
    <w:rsid w:val="00EE6082"/>
    <w:rsid w:val="00EE6B0C"/>
    <w:rsid w:val="00EF0220"/>
    <w:rsid w:val="00EF1F3F"/>
    <w:rsid w:val="00EF21B6"/>
    <w:rsid w:val="00EF4065"/>
    <w:rsid w:val="00EF45FF"/>
    <w:rsid w:val="00EF4D63"/>
    <w:rsid w:val="00EF55F5"/>
    <w:rsid w:val="00EF5956"/>
    <w:rsid w:val="00EF67C6"/>
    <w:rsid w:val="00EF6E30"/>
    <w:rsid w:val="00EF6ECA"/>
    <w:rsid w:val="00F00336"/>
    <w:rsid w:val="00F0139E"/>
    <w:rsid w:val="00F01CD2"/>
    <w:rsid w:val="00F02109"/>
    <w:rsid w:val="00F024E1"/>
    <w:rsid w:val="00F0343E"/>
    <w:rsid w:val="00F049F6"/>
    <w:rsid w:val="00F054C8"/>
    <w:rsid w:val="00F05C5A"/>
    <w:rsid w:val="00F06129"/>
    <w:rsid w:val="00F06782"/>
    <w:rsid w:val="00F06C10"/>
    <w:rsid w:val="00F10425"/>
    <w:rsid w:val="00F1096F"/>
    <w:rsid w:val="00F1126F"/>
    <w:rsid w:val="00F112D2"/>
    <w:rsid w:val="00F11DE1"/>
    <w:rsid w:val="00F11DF5"/>
    <w:rsid w:val="00F12589"/>
    <w:rsid w:val="00F12595"/>
    <w:rsid w:val="00F134D9"/>
    <w:rsid w:val="00F135C9"/>
    <w:rsid w:val="00F1403D"/>
    <w:rsid w:val="00F14572"/>
    <w:rsid w:val="00F1463F"/>
    <w:rsid w:val="00F15594"/>
    <w:rsid w:val="00F159B6"/>
    <w:rsid w:val="00F15D1E"/>
    <w:rsid w:val="00F16688"/>
    <w:rsid w:val="00F16B81"/>
    <w:rsid w:val="00F16C4B"/>
    <w:rsid w:val="00F1755A"/>
    <w:rsid w:val="00F17658"/>
    <w:rsid w:val="00F17B32"/>
    <w:rsid w:val="00F204CE"/>
    <w:rsid w:val="00F211D6"/>
    <w:rsid w:val="00F21302"/>
    <w:rsid w:val="00F2163F"/>
    <w:rsid w:val="00F22435"/>
    <w:rsid w:val="00F227BC"/>
    <w:rsid w:val="00F2291E"/>
    <w:rsid w:val="00F23288"/>
    <w:rsid w:val="00F244FE"/>
    <w:rsid w:val="00F25F61"/>
    <w:rsid w:val="00F263D4"/>
    <w:rsid w:val="00F30375"/>
    <w:rsid w:val="00F30611"/>
    <w:rsid w:val="00F312B6"/>
    <w:rsid w:val="00F31BC4"/>
    <w:rsid w:val="00F321DE"/>
    <w:rsid w:val="00F3312D"/>
    <w:rsid w:val="00F334BE"/>
    <w:rsid w:val="00F3361C"/>
    <w:rsid w:val="00F33777"/>
    <w:rsid w:val="00F34189"/>
    <w:rsid w:val="00F343D2"/>
    <w:rsid w:val="00F352C2"/>
    <w:rsid w:val="00F356D9"/>
    <w:rsid w:val="00F36172"/>
    <w:rsid w:val="00F37137"/>
    <w:rsid w:val="00F378F5"/>
    <w:rsid w:val="00F4026B"/>
    <w:rsid w:val="00F40648"/>
    <w:rsid w:val="00F4070B"/>
    <w:rsid w:val="00F4086F"/>
    <w:rsid w:val="00F40A41"/>
    <w:rsid w:val="00F415BC"/>
    <w:rsid w:val="00F416B1"/>
    <w:rsid w:val="00F41FA6"/>
    <w:rsid w:val="00F427A1"/>
    <w:rsid w:val="00F43058"/>
    <w:rsid w:val="00F43334"/>
    <w:rsid w:val="00F43909"/>
    <w:rsid w:val="00F44386"/>
    <w:rsid w:val="00F44BDB"/>
    <w:rsid w:val="00F4544A"/>
    <w:rsid w:val="00F45AE6"/>
    <w:rsid w:val="00F46426"/>
    <w:rsid w:val="00F46D04"/>
    <w:rsid w:val="00F47DA2"/>
    <w:rsid w:val="00F47DAB"/>
    <w:rsid w:val="00F506E8"/>
    <w:rsid w:val="00F519FC"/>
    <w:rsid w:val="00F52BAF"/>
    <w:rsid w:val="00F544EA"/>
    <w:rsid w:val="00F54B6B"/>
    <w:rsid w:val="00F55BDD"/>
    <w:rsid w:val="00F56286"/>
    <w:rsid w:val="00F569A1"/>
    <w:rsid w:val="00F57F47"/>
    <w:rsid w:val="00F60464"/>
    <w:rsid w:val="00F6239D"/>
    <w:rsid w:val="00F62431"/>
    <w:rsid w:val="00F624C6"/>
    <w:rsid w:val="00F62AC6"/>
    <w:rsid w:val="00F65CC3"/>
    <w:rsid w:val="00F6637F"/>
    <w:rsid w:val="00F664FB"/>
    <w:rsid w:val="00F66C25"/>
    <w:rsid w:val="00F6799F"/>
    <w:rsid w:val="00F70EBE"/>
    <w:rsid w:val="00F7143A"/>
    <w:rsid w:val="00F7148B"/>
    <w:rsid w:val="00F715D2"/>
    <w:rsid w:val="00F716E3"/>
    <w:rsid w:val="00F7274F"/>
    <w:rsid w:val="00F73663"/>
    <w:rsid w:val="00F73CDD"/>
    <w:rsid w:val="00F73DDE"/>
    <w:rsid w:val="00F750AA"/>
    <w:rsid w:val="00F75126"/>
    <w:rsid w:val="00F75A19"/>
    <w:rsid w:val="00F76FA8"/>
    <w:rsid w:val="00F7782C"/>
    <w:rsid w:val="00F80455"/>
    <w:rsid w:val="00F80C38"/>
    <w:rsid w:val="00F82520"/>
    <w:rsid w:val="00F831F7"/>
    <w:rsid w:val="00F83DC7"/>
    <w:rsid w:val="00F83F5F"/>
    <w:rsid w:val="00F85033"/>
    <w:rsid w:val="00F85B37"/>
    <w:rsid w:val="00F8685C"/>
    <w:rsid w:val="00F8716A"/>
    <w:rsid w:val="00F876D4"/>
    <w:rsid w:val="00F878B6"/>
    <w:rsid w:val="00F90434"/>
    <w:rsid w:val="00F9103B"/>
    <w:rsid w:val="00F91885"/>
    <w:rsid w:val="00F93A31"/>
    <w:rsid w:val="00F93F08"/>
    <w:rsid w:val="00F944CE"/>
    <w:rsid w:val="00F94CED"/>
    <w:rsid w:val="00F94D73"/>
    <w:rsid w:val="00F95E34"/>
    <w:rsid w:val="00F96D16"/>
    <w:rsid w:val="00F97E42"/>
    <w:rsid w:val="00FA03CC"/>
    <w:rsid w:val="00FA140D"/>
    <w:rsid w:val="00FA1B89"/>
    <w:rsid w:val="00FA2026"/>
    <w:rsid w:val="00FA2CEE"/>
    <w:rsid w:val="00FA30E2"/>
    <w:rsid w:val="00FA318C"/>
    <w:rsid w:val="00FA3C8D"/>
    <w:rsid w:val="00FA458D"/>
    <w:rsid w:val="00FA46DA"/>
    <w:rsid w:val="00FA473C"/>
    <w:rsid w:val="00FA4D8F"/>
    <w:rsid w:val="00FA5059"/>
    <w:rsid w:val="00FA5B8B"/>
    <w:rsid w:val="00FA7285"/>
    <w:rsid w:val="00FA7A45"/>
    <w:rsid w:val="00FB0487"/>
    <w:rsid w:val="00FB05E5"/>
    <w:rsid w:val="00FB17DB"/>
    <w:rsid w:val="00FB194F"/>
    <w:rsid w:val="00FB1CDE"/>
    <w:rsid w:val="00FB5798"/>
    <w:rsid w:val="00FB5D37"/>
    <w:rsid w:val="00FB60B0"/>
    <w:rsid w:val="00FB6F92"/>
    <w:rsid w:val="00FB753E"/>
    <w:rsid w:val="00FB7792"/>
    <w:rsid w:val="00FC026E"/>
    <w:rsid w:val="00FC0B52"/>
    <w:rsid w:val="00FC0FF1"/>
    <w:rsid w:val="00FC1076"/>
    <w:rsid w:val="00FC1141"/>
    <w:rsid w:val="00FC11D1"/>
    <w:rsid w:val="00FC1FA0"/>
    <w:rsid w:val="00FC33F0"/>
    <w:rsid w:val="00FC39F5"/>
    <w:rsid w:val="00FC4407"/>
    <w:rsid w:val="00FC4516"/>
    <w:rsid w:val="00FC4D73"/>
    <w:rsid w:val="00FC5124"/>
    <w:rsid w:val="00FC51EC"/>
    <w:rsid w:val="00FC5A89"/>
    <w:rsid w:val="00FC6845"/>
    <w:rsid w:val="00FC71CE"/>
    <w:rsid w:val="00FC7D2C"/>
    <w:rsid w:val="00FD12E4"/>
    <w:rsid w:val="00FD29A6"/>
    <w:rsid w:val="00FD2F13"/>
    <w:rsid w:val="00FD4333"/>
    <w:rsid w:val="00FD46AC"/>
    <w:rsid w:val="00FD4731"/>
    <w:rsid w:val="00FD5ED3"/>
    <w:rsid w:val="00FD63B5"/>
    <w:rsid w:val="00FD6664"/>
    <w:rsid w:val="00FD73B6"/>
    <w:rsid w:val="00FE0B24"/>
    <w:rsid w:val="00FE1D6F"/>
    <w:rsid w:val="00FE20FA"/>
    <w:rsid w:val="00FE2E6C"/>
    <w:rsid w:val="00FE3193"/>
    <w:rsid w:val="00FE324B"/>
    <w:rsid w:val="00FE3783"/>
    <w:rsid w:val="00FE3DBD"/>
    <w:rsid w:val="00FE418C"/>
    <w:rsid w:val="00FE478B"/>
    <w:rsid w:val="00FE507B"/>
    <w:rsid w:val="00FE56AD"/>
    <w:rsid w:val="00FE7A24"/>
    <w:rsid w:val="00FF0AB0"/>
    <w:rsid w:val="00FF0DED"/>
    <w:rsid w:val="00FF0E49"/>
    <w:rsid w:val="00FF1117"/>
    <w:rsid w:val="00FF170C"/>
    <w:rsid w:val="00FF1B3C"/>
    <w:rsid w:val="00FF276D"/>
    <w:rsid w:val="00FF28AC"/>
    <w:rsid w:val="00FF2DD3"/>
    <w:rsid w:val="00FF30E6"/>
    <w:rsid w:val="00FF341E"/>
    <w:rsid w:val="00FF490C"/>
    <w:rsid w:val="00FF55FD"/>
    <w:rsid w:val="00FF5A3A"/>
    <w:rsid w:val="00FF62E9"/>
    <w:rsid w:val="00FF692C"/>
    <w:rsid w:val="00FF79A3"/>
    <w:rsid w:val="00FF7F62"/>
    <w:rsid w:val="01CBDD67"/>
    <w:rsid w:val="03CA9085"/>
    <w:rsid w:val="0407EC50"/>
    <w:rsid w:val="04DD6DE8"/>
    <w:rsid w:val="05827BAE"/>
    <w:rsid w:val="05A3DA29"/>
    <w:rsid w:val="0612FB46"/>
    <w:rsid w:val="063A95FE"/>
    <w:rsid w:val="0663AC9B"/>
    <w:rsid w:val="0797640C"/>
    <w:rsid w:val="07DE8BB0"/>
    <w:rsid w:val="0838A7FF"/>
    <w:rsid w:val="085A0FC6"/>
    <w:rsid w:val="086A2FDF"/>
    <w:rsid w:val="09BC8C92"/>
    <w:rsid w:val="0A53C1C2"/>
    <w:rsid w:val="0A57E162"/>
    <w:rsid w:val="0B2E69B9"/>
    <w:rsid w:val="0C7D8FD5"/>
    <w:rsid w:val="0C917C9A"/>
    <w:rsid w:val="0EF13B39"/>
    <w:rsid w:val="1015DE44"/>
    <w:rsid w:val="10C7C94E"/>
    <w:rsid w:val="10DADEBB"/>
    <w:rsid w:val="112E074B"/>
    <w:rsid w:val="12E7AD7B"/>
    <w:rsid w:val="12EF29AA"/>
    <w:rsid w:val="1338A566"/>
    <w:rsid w:val="13944A1B"/>
    <w:rsid w:val="14F6EAFE"/>
    <w:rsid w:val="15273C8E"/>
    <w:rsid w:val="154186F7"/>
    <w:rsid w:val="15734825"/>
    <w:rsid w:val="158EEDE2"/>
    <w:rsid w:val="16671D6F"/>
    <w:rsid w:val="16CF1483"/>
    <w:rsid w:val="16EC534D"/>
    <w:rsid w:val="190C21A3"/>
    <w:rsid w:val="1A000562"/>
    <w:rsid w:val="1AFA01F1"/>
    <w:rsid w:val="1B716459"/>
    <w:rsid w:val="1B9D0453"/>
    <w:rsid w:val="1B9E4219"/>
    <w:rsid w:val="1C08469E"/>
    <w:rsid w:val="1D8D0F3C"/>
    <w:rsid w:val="1DA6187F"/>
    <w:rsid w:val="1E35EC83"/>
    <w:rsid w:val="1E5CF86E"/>
    <w:rsid w:val="1F24F00A"/>
    <w:rsid w:val="20AA9BEC"/>
    <w:rsid w:val="211C88C5"/>
    <w:rsid w:val="22408C6B"/>
    <w:rsid w:val="2276019E"/>
    <w:rsid w:val="22762C56"/>
    <w:rsid w:val="22D2FAB6"/>
    <w:rsid w:val="23AB9300"/>
    <w:rsid w:val="23C1BF3E"/>
    <w:rsid w:val="23CB1CDE"/>
    <w:rsid w:val="2411FCB7"/>
    <w:rsid w:val="265B0585"/>
    <w:rsid w:val="27B8930A"/>
    <w:rsid w:val="29141451"/>
    <w:rsid w:val="2928289C"/>
    <w:rsid w:val="29AD4786"/>
    <w:rsid w:val="2B23D361"/>
    <w:rsid w:val="2C920574"/>
    <w:rsid w:val="2D7A0B7B"/>
    <w:rsid w:val="2D95118F"/>
    <w:rsid w:val="2D96489E"/>
    <w:rsid w:val="2DBE8C4A"/>
    <w:rsid w:val="2DC55CB4"/>
    <w:rsid w:val="2FD3DBED"/>
    <w:rsid w:val="30CF003B"/>
    <w:rsid w:val="312A90E3"/>
    <w:rsid w:val="32B257EC"/>
    <w:rsid w:val="331C5F27"/>
    <w:rsid w:val="332A5A3C"/>
    <w:rsid w:val="34031A2A"/>
    <w:rsid w:val="345FA8DB"/>
    <w:rsid w:val="347A2905"/>
    <w:rsid w:val="35995B07"/>
    <w:rsid w:val="3620E8E3"/>
    <w:rsid w:val="36FCD8CE"/>
    <w:rsid w:val="3737EEC0"/>
    <w:rsid w:val="37F60046"/>
    <w:rsid w:val="39116A03"/>
    <w:rsid w:val="39D0410E"/>
    <w:rsid w:val="3B55118E"/>
    <w:rsid w:val="3CA7AFF2"/>
    <w:rsid w:val="3CE7A2BE"/>
    <w:rsid w:val="3E215708"/>
    <w:rsid w:val="3EAA9A77"/>
    <w:rsid w:val="3ED4A609"/>
    <w:rsid w:val="3F8464CF"/>
    <w:rsid w:val="3FA44155"/>
    <w:rsid w:val="3FA66D31"/>
    <w:rsid w:val="418B1B78"/>
    <w:rsid w:val="423BF576"/>
    <w:rsid w:val="43031801"/>
    <w:rsid w:val="43387152"/>
    <w:rsid w:val="4347C11D"/>
    <w:rsid w:val="43DF0BCF"/>
    <w:rsid w:val="4519DBFB"/>
    <w:rsid w:val="45608A3A"/>
    <w:rsid w:val="4647DFDB"/>
    <w:rsid w:val="46B20747"/>
    <w:rsid w:val="46C4F4C8"/>
    <w:rsid w:val="4728D9A3"/>
    <w:rsid w:val="4787A655"/>
    <w:rsid w:val="4798C500"/>
    <w:rsid w:val="47A910F1"/>
    <w:rsid w:val="4994A0DD"/>
    <w:rsid w:val="4A1DC74D"/>
    <w:rsid w:val="4E6E9DFD"/>
    <w:rsid w:val="4F824C42"/>
    <w:rsid w:val="501C244A"/>
    <w:rsid w:val="5078DF7E"/>
    <w:rsid w:val="50873081"/>
    <w:rsid w:val="516F480C"/>
    <w:rsid w:val="517B87DF"/>
    <w:rsid w:val="51863925"/>
    <w:rsid w:val="51C90C1F"/>
    <w:rsid w:val="51DF30B1"/>
    <w:rsid w:val="531C7CCC"/>
    <w:rsid w:val="533938CA"/>
    <w:rsid w:val="5618B369"/>
    <w:rsid w:val="5633EBC4"/>
    <w:rsid w:val="569045CA"/>
    <w:rsid w:val="56CED56C"/>
    <w:rsid w:val="56DF20F4"/>
    <w:rsid w:val="57FD5D65"/>
    <w:rsid w:val="580C36D0"/>
    <w:rsid w:val="58556896"/>
    <w:rsid w:val="59CE38C5"/>
    <w:rsid w:val="5BD89C52"/>
    <w:rsid w:val="5BF5DC59"/>
    <w:rsid w:val="5D0E3B8D"/>
    <w:rsid w:val="5D249A09"/>
    <w:rsid w:val="5E21F866"/>
    <w:rsid w:val="5F531D14"/>
    <w:rsid w:val="5FC07732"/>
    <w:rsid w:val="60293E6E"/>
    <w:rsid w:val="61F9C09C"/>
    <w:rsid w:val="625D65C0"/>
    <w:rsid w:val="627D4A1B"/>
    <w:rsid w:val="62E9E5BD"/>
    <w:rsid w:val="6376DC3B"/>
    <w:rsid w:val="63B0AE51"/>
    <w:rsid w:val="63B14852"/>
    <w:rsid w:val="63D8114C"/>
    <w:rsid w:val="645D2706"/>
    <w:rsid w:val="64E2DDBA"/>
    <w:rsid w:val="65B6982A"/>
    <w:rsid w:val="660795C8"/>
    <w:rsid w:val="67A36629"/>
    <w:rsid w:val="689065FF"/>
    <w:rsid w:val="692175AC"/>
    <w:rsid w:val="6999F5E2"/>
    <w:rsid w:val="6A1EB1E1"/>
    <w:rsid w:val="6A510AE5"/>
    <w:rsid w:val="6B0F27AA"/>
    <w:rsid w:val="6BD81235"/>
    <w:rsid w:val="6D04AAFB"/>
    <w:rsid w:val="6D262B49"/>
    <w:rsid w:val="6D76C190"/>
    <w:rsid w:val="6E86F68B"/>
    <w:rsid w:val="6EA9A720"/>
    <w:rsid w:val="6F1A473E"/>
    <w:rsid w:val="6F264FD7"/>
    <w:rsid w:val="6FEA4D8D"/>
    <w:rsid w:val="7000A5FE"/>
    <w:rsid w:val="70DDDDAF"/>
    <w:rsid w:val="71315B29"/>
    <w:rsid w:val="71A4402D"/>
    <w:rsid w:val="71E870AC"/>
    <w:rsid w:val="726A2B9D"/>
    <w:rsid w:val="73BAAFB0"/>
    <w:rsid w:val="7479AF26"/>
    <w:rsid w:val="747FC4BA"/>
    <w:rsid w:val="74930419"/>
    <w:rsid w:val="74C11295"/>
    <w:rsid w:val="74D12920"/>
    <w:rsid w:val="750618DA"/>
    <w:rsid w:val="75DE18A9"/>
    <w:rsid w:val="76052978"/>
    <w:rsid w:val="761D66B5"/>
    <w:rsid w:val="76B6340A"/>
    <w:rsid w:val="770967BF"/>
    <w:rsid w:val="77A940F5"/>
    <w:rsid w:val="795A8384"/>
    <w:rsid w:val="7A2BB3C3"/>
    <w:rsid w:val="7BD4F37E"/>
    <w:rsid w:val="7C583714"/>
    <w:rsid w:val="7CC27EC2"/>
    <w:rsid w:val="7D32A5AA"/>
    <w:rsid w:val="7F8C5514"/>
    <w:rsid w:val="7FD244E5"/>
    <w:rsid w:val="7FD9A1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B9DE37F6-AB39-4504-B1A2-D538BF26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5"/>
      </w:numPr>
    </w:pPr>
  </w:style>
  <w:style w:type="paragraph" w:styleId="ListNumber2">
    <w:name w:val="List Number 2"/>
    <w:basedOn w:val="ListBullet"/>
    <w:qFormat/>
    <w:rsid w:val="00BF7AD7"/>
    <w:pPr>
      <w:numPr>
        <w:numId w:val="24"/>
      </w:numPr>
    </w:pPr>
  </w:style>
  <w:style w:type="paragraph" w:styleId="ListBullet">
    <w:name w:val="List Bullet"/>
    <w:basedOn w:val="Normal"/>
    <w:qFormat/>
    <w:rsid w:val="00BF7AD7"/>
    <w:pPr>
      <w:numPr>
        <w:numId w:val="23"/>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6"/>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5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7"/>
      </w:numPr>
    </w:pPr>
    <w:rPr>
      <w:szCs w:val="20"/>
    </w:rPr>
  </w:style>
  <w:style w:type="paragraph" w:customStyle="1" w:styleId="Tablelistnumber">
    <w:name w:val="Table list number"/>
    <w:basedOn w:val="Tabletextleft"/>
    <w:qFormat/>
    <w:rsid w:val="00BF7AD7"/>
    <w:pPr>
      <w:numPr>
        <w:numId w:val="28"/>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Revision">
    <w:name w:val="Revision"/>
    <w:hidden/>
    <w:uiPriority w:val="99"/>
    <w:semiHidden/>
    <w:rsid w:val="00670F38"/>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7B0006"/>
    <w:rPr>
      <w:sz w:val="16"/>
      <w:szCs w:val="16"/>
    </w:rPr>
  </w:style>
  <w:style w:type="paragraph" w:styleId="CommentText">
    <w:name w:val="annotation text"/>
    <w:basedOn w:val="Normal"/>
    <w:link w:val="CommentTextChar"/>
    <w:unhideWhenUsed/>
    <w:rsid w:val="007B0006"/>
    <w:pPr>
      <w:spacing w:line="240" w:lineRule="auto"/>
    </w:pPr>
    <w:rPr>
      <w:sz w:val="20"/>
      <w:szCs w:val="20"/>
    </w:rPr>
  </w:style>
  <w:style w:type="character" w:customStyle="1" w:styleId="CommentTextChar">
    <w:name w:val="Comment Text Char"/>
    <w:basedOn w:val="DefaultParagraphFont"/>
    <w:link w:val="CommentText"/>
    <w:rsid w:val="007B000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B0006"/>
    <w:rPr>
      <w:b/>
      <w:bCs/>
    </w:rPr>
  </w:style>
  <w:style w:type="character" w:customStyle="1" w:styleId="CommentSubjectChar">
    <w:name w:val="Comment Subject Char"/>
    <w:basedOn w:val="CommentTextChar"/>
    <w:link w:val="CommentSubject"/>
    <w:semiHidden/>
    <w:rsid w:val="007B0006"/>
    <w:rPr>
      <w:rFonts w:ascii="Arial" w:hAnsi="Arial"/>
      <w:b/>
      <w:bCs/>
      <w:color w:val="000000" w:themeColor="text1"/>
      <w:lang w:eastAsia="en-US"/>
    </w:rPr>
  </w:style>
  <w:style w:type="character" w:customStyle="1" w:styleId="cf01">
    <w:name w:val="cf01"/>
    <w:basedOn w:val="DefaultParagraphFont"/>
    <w:rsid w:val="00750C5E"/>
    <w:rPr>
      <w:rFonts w:ascii="Segoe UI" w:hAnsi="Segoe UI" w:cs="Segoe UI" w:hint="default"/>
      <w:sz w:val="18"/>
      <w:szCs w:val="18"/>
    </w:rPr>
  </w:style>
  <w:style w:type="character" w:styleId="UnresolvedMention">
    <w:name w:val="Unresolved Mention"/>
    <w:basedOn w:val="DefaultParagraphFont"/>
    <w:uiPriority w:val="99"/>
    <w:semiHidden/>
    <w:unhideWhenUsed/>
    <w:rsid w:val="00D95312"/>
    <w:rPr>
      <w:color w:val="605E5C"/>
      <w:shd w:val="clear" w:color="auto" w:fill="E1DFDD"/>
    </w:rPr>
  </w:style>
  <w:style w:type="table" w:styleId="ListTable1Light-Accent4">
    <w:name w:val="List Table 1 Light Accent 4"/>
    <w:basedOn w:val="TableNormal"/>
    <w:uiPriority w:val="46"/>
    <w:rsid w:val="000713A4"/>
    <w:tblPr>
      <w:tblStyleRowBandSize w:val="1"/>
      <w:tblStyleColBandSize w:val="1"/>
    </w:tblPr>
    <w:tblStylePr w:type="firstRow">
      <w:rPr>
        <w:b/>
        <w:bCs/>
      </w:rPr>
      <w:tblPr/>
      <w:tcPr>
        <w:tcBorders>
          <w:bottom w:val="single" w:sz="4" w:space="0" w:color="C98FA7" w:themeColor="accent4" w:themeTint="99"/>
        </w:tcBorders>
      </w:tcPr>
    </w:tblStylePr>
    <w:tblStylePr w:type="lastRow">
      <w:rPr>
        <w:b/>
        <w:bCs/>
      </w:rPr>
      <w:tblPr/>
      <w:tcPr>
        <w:tcBorders>
          <w:top w:val="single" w:sz="4" w:space="0" w:color="C98FA7" w:themeColor="accent4" w:themeTint="99"/>
        </w:tcBorders>
      </w:tcPr>
    </w:tblStylePr>
    <w:tblStylePr w:type="firstCol">
      <w:rPr>
        <w:b/>
        <w:bCs/>
      </w:rPr>
    </w:tblStylePr>
    <w:tblStylePr w:type="lastCol">
      <w:rPr>
        <w:b/>
        <w:bCs/>
      </w:rPr>
    </w:tblStylePr>
    <w:tblStylePr w:type="band1Vert">
      <w:tblPr/>
      <w:tcPr>
        <w:shd w:val="clear" w:color="auto" w:fill="EDD9E1" w:themeFill="accent4" w:themeFillTint="33"/>
      </w:tcPr>
    </w:tblStylePr>
    <w:tblStylePr w:type="band1Horz">
      <w:tblPr/>
      <w:tcPr>
        <w:shd w:val="clear" w:color="auto" w:fill="EDD9E1" w:themeFill="accent4" w:themeFillTint="33"/>
      </w:tcPr>
    </w:tblStylePr>
  </w:style>
  <w:style w:type="table" w:styleId="ListTable3">
    <w:name w:val="List Table 3"/>
    <w:basedOn w:val="TableNormal"/>
    <w:uiPriority w:val="48"/>
    <w:rsid w:val="000713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2Char">
    <w:name w:val="Heading 2 Char"/>
    <w:basedOn w:val="DefaultParagraphFont"/>
    <w:link w:val="Heading2"/>
    <w:rsid w:val="009A237A"/>
    <w:rPr>
      <w:rFonts w:ascii="Arial" w:hAnsi="Arial" w:cs="Arial"/>
      <w:b/>
      <w:bCs/>
      <w:iCs/>
      <w:color w:val="358189"/>
      <w:sz w:val="36"/>
      <w:szCs w:val="28"/>
      <w:lang w:eastAsia="en-US"/>
    </w:rPr>
  </w:style>
  <w:style w:type="paragraph" w:customStyle="1" w:styleId="pf0">
    <w:name w:val="pf0"/>
    <w:basedOn w:val="Normal"/>
    <w:rsid w:val="000B3F55"/>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basedOn w:val="Normal"/>
    <w:rsid w:val="00556834"/>
    <w:pPr>
      <w:spacing w:before="100" w:beforeAutospacing="1" w:after="100" w:afterAutospacing="1" w:line="240" w:lineRule="auto"/>
    </w:pPr>
    <w:rPr>
      <w:rFonts w:ascii="Times New Roman" w:hAnsi="Times New Roman"/>
      <w:color w:val="auto"/>
      <w:sz w:val="24"/>
      <w:lang w:eastAsia="en-AU"/>
    </w:rPr>
  </w:style>
  <w:style w:type="character" w:customStyle="1" w:styleId="TableText-Bold">
    <w:name w:val="Table Text - Bold"/>
    <w:basedOn w:val="DefaultParagraphFont"/>
    <w:uiPriority w:val="7"/>
    <w:qFormat/>
    <w:rsid w:val="00F427A1"/>
    <w:rPr>
      <w:b/>
      <w:color w:val="auto"/>
      <w:sz w:val="21"/>
      <w:lang w:val="en-AU"/>
    </w:rPr>
  </w:style>
  <w:style w:type="paragraph" w:customStyle="1" w:styleId="Bullet-Number">
    <w:name w:val="Bullet - Number"/>
    <w:basedOn w:val="Normal"/>
    <w:uiPriority w:val="2"/>
    <w:qFormat/>
    <w:rsid w:val="00F427A1"/>
    <w:pPr>
      <w:numPr>
        <w:numId w:val="42"/>
      </w:numPr>
      <w:spacing w:before="0"/>
      <w:jc w:val="both"/>
    </w:pPr>
    <w:rPr>
      <w:rFonts w:asciiTheme="minorHAnsi" w:eastAsiaTheme="minorHAnsi" w:hAnsiTheme="minorHAnsi" w:cstheme="minorBidi"/>
      <w:color w:val="auto"/>
      <w:szCs w:val="22"/>
      <w:lang w:val="en-NZ"/>
    </w:rPr>
  </w:style>
  <w:style w:type="numbering" w:customStyle="1" w:styleId="NumberedHeadings">
    <w:name w:val="Numbered Headings"/>
    <w:uiPriority w:val="99"/>
    <w:rsid w:val="00F427A1"/>
    <w:pPr>
      <w:numPr>
        <w:numId w:val="42"/>
      </w:numPr>
    </w:pPr>
  </w:style>
  <w:style w:type="character" w:styleId="FollowedHyperlink">
    <w:name w:val="FollowedHyperlink"/>
    <w:basedOn w:val="DefaultParagraphFont"/>
    <w:semiHidden/>
    <w:unhideWhenUsed/>
    <w:rsid w:val="00E2122C"/>
    <w:rPr>
      <w:color w:val="800080" w:themeColor="followedHyperlink"/>
      <w:u w:val="single"/>
    </w:rPr>
  </w:style>
  <w:style w:type="character" w:customStyle="1" w:styleId="Heading1Char">
    <w:name w:val="Heading 1 Char"/>
    <w:basedOn w:val="DefaultParagraphFont"/>
    <w:link w:val="Heading1"/>
    <w:rsid w:val="006169D6"/>
    <w:rPr>
      <w:rFonts w:ascii="Arial" w:hAnsi="Arial" w:cs="Arial"/>
      <w:b/>
      <w:bCs/>
      <w:color w:val="3F4A75"/>
      <w:kern w:val="28"/>
      <w:sz w:val="44"/>
      <w:szCs w:val="36"/>
      <w:lang w:eastAsia="en-US"/>
    </w:rPr>
  </w:style>
  <w:style w:type="character" w:styleId="Mention">
    <w:name w:val="Mention"/>
    <w:basedOn w:val="DefaultParagraphFont"/>
    <w:uiPriority w:val="99"/>
    <w:unhideWhenUsed/>
    <w:rsid w:val="00C316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3668">
      <w:bodyDiv w:val="1"/>
      <w:marLeft w:val="0"/>
      <w:marRight w:val="0"/>
      <w:marTop w:val="0"/>
      <w:marBottom w:val="0"/>
      <w:divBdr>
        <w:top w:val="none" w:sz="0" w:space="0" w:color="auto"/>
        <w:left w:val="none" w:sz="0" w:space="0" w:color="auto"/>
        <w:bottom w:val="none" w:sz="0" w:space="0" w:color="auto"/>
        <w:right w:val="none" w:sz="0" w:space="0" w:color="auto"/>
      </w:divBdr>
    </w:div>
    <w:div w:id="19079903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6024376">
      <w:bodyDiv w:val="1"/>
      <w:marLeft w:val="0"/>
      <w:marRight w:val="0"/>
      <w:marTop w:val="0"/>
      <w:marBottom w:val="0"/>
      <w:divBdr>
        <w:top w:val="none" w:sz="0" w:space="0" w:color="auto"/>
        <w:left w:val="none" w:sz="0" w:space="0" w:color="auto"/>
        <w:bottom w:val="none" w:sz="0" w:space="0" w:color="auto"/>
        <w:right w:val="none" w:sz="0" w:space="0" w:color="auto"/>
      </w:divBdr>
    </w:div>
    <w:div w:id="460656772">
      <w:bodyDiv w:val="1"/>
      <w:marLeft w:val="0"/>
      <w:marRight w:val="0"/>
      <w:marTop w:val="0"/>
      <w:marBottom w:val="0"/>
      <w:divBdr>
        <w:top w:val="none" w:sz="0" w:space="0" w:color="auto"/>
        <w:left w:val="none" w:sz="0" w:space="0" w:color="auto"/>
        <w:bottom w:val="none" w:sz="0" w:space="0" w:color="auto"/>
        <w:right w:val="none" w:sz="0" w:space="0" w:color="auto"/>
      </w:divBdr>
    </w:div>
    <w:div w:id="59783048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93685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00697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95895529">
      <w:bodyDiv w:val="1"/>
      <w:marLeft w:val="0"/>
      <w:marRight w:val="0"/>
      <w:marTop w:val="0"/>
      <w:marBottom w:val="0"/>
      <w:divBdr>
        <w:top w:val="none" w:sz="0" w:space="0" w:color="auto"/>
        <w:left w:val="none" w:sz="0" w:space="0" w:color="auto"/>
        <w:bottom w:val="none" w:sz="0" w:space="0" w:color="auto"/>
        <w:right w:val="none" w:sz="0" w:space="0" w:color="auto"/>
      </w:divBdr>
    </w:div>
    <w:div w:id="1836917687">
      <w:bodyDiv w:val="1"/>
      <w:marLeft w:val="0"/>
      <w:marRight w:val="0"/>
      <w:marTop w:val="0"/>
      <w:marBottom w:val="0"/>
      <w:divBdr>
        <w:top w:val="none" w:sz="0" w:space="0" w:color="auto"/>
        <w:left w:val="none" w:sz="0" w:space="0" w:color="auto"/>
        <w:bottom w:val="none" w:sz="0" w:space="0" w:color="auto"/>
        <w:right w:val="none" w:sz="0" w:space="0" w:color="auto"/>
      </w:divBdr>
    </w:div>
    <w:div w:id="19181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indigenous-australians-health-programme" TargetMode="External"/><Relationship Id="rId18" Type="http://schemas.openxmlformats.org/officeDocument/2006/relationships/hyperlink" Target="https://www.closingthegap.gov.au/national-agreement" TargetMode="External"/><Relationship Id="rId26" Type="http://schemas.openxmlformats.org/officeDocument/2006/relationships/hyperlink" Target="https://csof.naccho.org.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publications/national-aboriginal-and-torres-strait-islander-health-plan-2021-2031" TargetMode="External"/><Relationship Id="rId34" Type="http://schemas.openxmlformats.org/officeDocument/2006/relationships/hyperlink" Target="https://www.niaa.gov.au/resource-centre/framework-governance-indigenous-dat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national-aboriginal-and-torres-strait-islander-health-plan-2021-2031" TargetMode="External"/><Relationship Id="rId25" Type="http://schemas.openxmlformats.org/officeDocument/2006/relationships/hyperlink" Target="https://www.health.gov.au/resources/publications/national-aboriginal-and-torres-strait-islander-health-workforce-strategic-framework-and-implementation-plan-2021-2031?language=en" TargetMode="External"/><Relationship Id="rId33" Type="http://schemas.openxmlformats.org/officeDocument/2006/relationships/hyperlink" Target="https://csof.naccho.org.a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resources/publications/national-aboriginal-and-torres-strait-islander-health-workforce-strategic-framework-and-implementation-plan-2021-2031?language=en" TargetMode="External"/><Relationship Id="rId20" Type="http://schemas.openxmlformats.org/officeDocument/2006/relationships/hyperlink" Target="https://www.closingthegap.gov.au/national-agreement" TargetMode="External"/><Relationship Id="rId29" Type="http://schemas.openxmlformats.org/officeDocument/2006/relationships/hyperlink" Target="https://csof.naccho.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sof.naccho.org.au/" TargetMode="External"/><Relationship Id="rId32" Type="http://schemas.openxmlformats.org/officeDocument/2006/relationships/hyperlink" Target="https://www.apsc.gov.au/initiatives-and-programs/workforce-information/research-analysis-and-publications/capability-review-department-health-and-aged-care" TargetMode="External"/><Relationship Id="rId37" Type="http://schemas.openxmlformats.org/officeDocument/2006/relationships/hyperlink" Target="https://www.health.gov.au/resources/publications/national-aboriginal-and-torres-strait-islander-health-plan-2021-2031"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publications/national-aboriginal-and-torres-strait-islander-health-plan-2021-2031" TargetMode="External"/><Relationship Id="rId23" Type="http://schemas.openxmlformats.org/officeDocument/2006/relationships/hyperlink" Target="https://www.health.gov.au/resources/publications/national-aboriginal-and-torres-strait-islander-health-workforce-strategic-framework-and-implementation-plan-2021-2031?language=en" TargetMode="External"/><Relationship Id="rId28" Type="http://schemas.openxmlformats.org/officeDocument/2006/relationships/hyperlink" Target="https://www.closingthegap.gov.au/sites/default/files/2021-12/sector-strengthening-plan-health_2.pdf" TargetMode="External"/><Relationship Id="rId36" Type="http://schemas.openxmlformats.org/officeDocument/2006/relationships/hyperlink" Target="https://www.health.gov.au/resources/publications/corporate-plan-2023-24?language=en" TargetMode="External"/><Relationship Id="rId10" Type="http://schemas.openxmlformats.org/officeDocument/2006/relationships/endnotes" Target="endnotes.xml"/><Relationship Id="rId19" Type="http://schemas.openxmlformats.org/officeDocument/2006/relationships/hyperlink" Target="https://www.legislation.gov.au/C2013A00123/latest/text" TargetMode="External"/><Relationship Id="rId31" Type="http://schemas.openxmlformats.org/officeDocument/2006/relationships/hyperlink" Target="https://www.closingthegap.gov.au/national-agre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osingthegap.gov.au/national-agreement" TargetMode="External"/><Relationship Id="rId22" Type="http://schemas.openxmlformats.org/officeDocument/2006/relationships/hyperlink" Target="https://www.health.gov.au/resources/publications/national-aboriginal-and-torres-strait-islander-health-plan-2021-2031" TargetMode="External"/><Relationship Id="rId27" Type="http://schemas.openxmlformats.org/officeDocument/2006/relationships/hyperlink" Target="https://csof.naccho.org.au/" TargetMode="External"/><Relationship Id="rId30" Type="http://schemas.openxmlformats.org/officeDocument/2006/relationships/hyperlink" Target="https://www.health.gov.au/resources/publications/national-aboriginal-and-torres-strait-islander-health-workforce-strategic-framework-and-implementation-plan-2021-2031?language=en" TargetMode="External"/><Relationship Id="rId35" Type="http://schemas.openxmlformats.org/officeDocument/2006/relationships/hyperlink" Target="https://www.health.gov.au/sites/default/files/2024-09/corporate-plan-2024-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E998B05E2A1594A85D289E0F7CF1A9E" ma:contentTypeVersion="" ma:contentTypeDescription="PDMS Document Site Content Type" ma:contentTypeScope="" ma:versionID="607cc938cf54f8cc29290b96493e7903">
  <xsd:schema xmlns:xsd="http://www.w3.org/2001/XMLSchema" xmlns:xs="http://www.w3.org/2001/XMLSchema" xmlns:p="http://schemas.microsoft.com/office/2006/metadata/properties" xmlns:ns2="A493EED8-C6DA-4094-814C-383438C152D8" targetNamespace="http://schemas.microsoft.com/office/2006/metadata/properties" ma:root="true" ma:fieldsID="a1c470a4542358df88ccd5a7368697cc" ns2:_="">
    <xsd:import namespace="A493EED8-C6DA-4094-814C-383438C152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3EED8-C6DA-4094-814C-383438C152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493EED8-C6DA-4094-814C-383438C152D8" xsi:nil="true"/>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C74BA480-EE71-49B4-96B6-900A9CF9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3EED8-C6DA-4094-814C-383438C1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A493EED8-C6DA-4094-814C-383438C152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5155</Words>
  <Characters>33456</Characters>
  <Application>Microsoft Office Word</Application>
  <DocSecurity>0</DocSecurity>
  <Lines>619</Lines>
  <Paragraphs>247</Paragraphs>
  <ScaleCrop>false</ScaleCrop>
  <HeadingPairs>
    <vt:vector size="2" baseType="variant">
      <vt:variant>
        <vt:lpstr>Title</vt:lpstr>
      </vt:variant>
      <vt:variant>
        <vt:i4>1</vt:i4>
      </vt:variant>
    </vt:vector>
  </HeadingPairs>
  <TitlesOfParts>
    <vt:vector size="1" baseType="lpstr">
      <vt:lpstr>IAHP Primary Health Care Evaluation - Government Management Response</vt:lpstr>
    </vt:vector>
  </TitlesOfParts>
  <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IAHP Primary Health Care Evaluation - Government Management Response</dc:title>
  <dc:subject>IAHP Primary Health Care Evaluation</dc:subject>
  <dc:creator>Australian Government Department of Health, Disability and Ageing</dc:creator>
  <cp:keywords>Indigenous health; Evaluation; Aboriginal and Torres Strait Islander primary health care</cp:keywords>
  <cp:revision>8</cp:revision>
  <cp:lastPrinted>2025-08-28T00:46:00Z</cp:lastPrinted>
  <dcterms:created xsi:type="dcterms:W3CDTF">2025-08-27T04:17:00Z</dcterms:created>
  <dcterms:modified xsi:type="dcterms:W3CDTF">2025-09-05T00:36:00Z</dcterms:modified>
</cp:coreProperties>
</file>