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DABB9" w14:textId="77777777" w:rsidR="00C25CBD" w:rsidRDefault="00454729" w:rsidP="003A16B5">
      <w:pPr>
        <w:pStyle w:val="Title"/>
      </w:pPr>
      <w:r>
        <w:t>Health</w:t>
      </w:r>
      <w:r>
        <w:rPr>
          <w:spacing w:val="-6"/>
        </w:rPr>
        <w:t xml:space="preserve"> </w:t>
      </w:r>
      <w:r>
        <w:t>provider</w:t>
      </w:r>
      <w:r>
        <w:rPr>
          <w:spacing w:val="-3"/>
        </w:rPr>
        <w:t xml:space="preserve"> </w:t>
      </w:r>
      <w:r>
        <w:t>compliance</w:t>
      </w:r>
      <w:r>
        <w:rPr>
          <w:spacing w:val="-3"/>
        </w:rPr>
        <w:t xml:space="preserve"> </w:t>
      </w:r>
      <w:r>
        <w:rPr>
          <w:spacing w:val="-2"/>
        </w:rPr>
        <w:t>strategy</w:t>
      </w:r>
    </w:p>
    <w:p w14:paraId="6F61A36F" w14:textId="77777777" w:rsidR="00C25CBD" w:rsidRPr="003A16B5" w:rsidRDefault="00454729" w:rsidP="003A16B5">
      <w:pPr>
        <w:pStyle w:val="Subtitle"/>
      </w:pPr>
      <w:r w:rsidRPr="003A16B5">
        <w:t>2025-30</w:t>
      </w:r>
    </w:p>
    <w:p w14:paraId="7D4D8BB0" w14:textId="77777777" w:rsidR="00C25CBD" w:rsidRPr="003A16B5" w:rsidRDefault="00454729" w:rsidP="003A16B5">
      <w:r w:rsidRPr="003A16B5">
        <w:drawing>
          <wp:anchor distT="0" distB="0" distL="0" distR="0" simplePos="0" relativeHeight="251655168" behindDoc="1" locked="0" layoutInCell="1" allowOverlap="1" wp14:anchorId="688D1B34" wp14:editId="4BB9132D">
            <wp:simplePos x="0" y="0"/>
            <wp:positionH relativeFrom="page">
              <wp:posOffset>219765</wp:posOffset>
            </wp:positionH>
            <wp:positionV relativeFrom="paragraph">
              <wp:posOffset>215887</wp:posOffset>
            </wp:positionV>
            <wp:extent cx="7134245" cy="6925056"/>
            <wp:effectExtent l="0" t="0" r="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134245" cy="6925056"/>
                    </a:xfrm>
                    <a:prstGeom prst="rect">
                      <a:avLst/>
                    </a:prstGeom>
                  </pic:spPr>
                </pic:pic>
              </a:graphicData>
            </a:graphic>
          </wp:anchor>
        </w:drawing>
      </w:r>
    </w:p>
    <w:p w14:paraId="22F4DE2B" w14:textId="77777777" w:rsidR="00C25CBD" w:rsidRDefault="00C25CBD">
      <w:pPr>
        <w:rPr>
          <w:sz w:val="20"/>
        </w:rPr>
        <w:sectPr w:rsidR="00C25CBD" w:rsidSect="003A16B5">
          <w:headerReference w:type="default" r:id="rId11"/>
          <w:pgSz w:w="11910" w:h="16840"/>
          <w:pgMar w:top="1440" w:right="1440" w:bottom="1440" w:left="1440" w:header="568" w:footer="734" w:gutter="0"/>
          <w:cols w:space="720"/>
          <w:docGrid w:linePitch="299"/>
        </w:sectPr>
      </w:pPr>
    </w:p>
    <w:p w14:paraId="26FBDB95" w14:textId="77777777" w:rsidR="00C25CBD" w:rsidRPr="003A16B5" w:rsidRDefault="00454729" w:rsidP="003A16B5">
      <w:pPr>
        <w:pStyle w:val="Heading1"/>
      </w:pPr>
      <w:bookmarkStart w:id="0" w:name="Introduction"/>
      <w:bookmarkEnd w:id="0"/>
      <w:r>
        <w:lastRenderedPageBreak/>
        <w:t>Introduction</w:t>
      </w:r>
    </w:p>
    <w:p w14:paraId="2723B34E" w14:textId="77777777" w:rsidR="00C25CBD" w:rsidRDefault="00454729" w:rsidP="003A16B5">
      <w:r>
        <w:t>The</w:t>
      </w:r>
      <w:r>
        <w:rPr>
          <w:spacing w:val="-3"/>
        </w:rPr>
        <w:t xml:space="preserve"> </w:t>
      </w:r>
      <w:r>
        <w:t>Australian</w:t>
      </w:r>
      <w:r>
        <w:rPr>
          <w:spacing w:val="-3"/>
        </w:rPr>
        <w:t xml:space="preserve"> </w:t>
      </w:r>
      <w:r>
        <w:t>Government</w:t>
      </w:r>
      <w:r>
        <w:rPr>
          <w:spacing w:val="-1"/>
        </w:rPr>
        <w:t xml:space="preserve"> </w:t>
      </w:r>
      <w:r>
        <w:t>is</w:t>
      </w:r>
      <w:r>
        <w:rPr>
          <w:spacing w:val="-5"/>
        </w:rPr>
        <w:t xml:space="preserve"> </w:t>
      </w:r>
      <w:r>
        <w:t>committed</w:t>
      </w:r>
      <w:r>
        <w:rPr>
          <w:spacing w:val="-5"/>
        </w:rPr>
        <w:t xml:space="preserve"> </w:t>
      </w:r>
      <w:r>
        <w:t>to</w:t>
      </w:r>
      <w:r>
        <w:rPr>
          <w:spacing w:val="-3"/>
        </w:rPr>
        <w:t xml:space="preserve"> </w:t>
      </w:r>
      <w:r>
        <w:t>delivering</w:t>
      </w:r>
      <w:r>
        <w:rPr>
          <w:spacing w:val="-2"/>
        </w:rPr>
        <w:t xml:space="preserve"> </w:t>
      </w:r>
      <w:r>
        <w:t>a</w:t>
      </w:r>
      <w:r>
        <w:rPr>
          <w:spacing w:val="-3"/>
        </w:rPr>
        <w:t xml:space="preserve"> </w:t>
      </w:r>
      <w:r>
        <w:t>world</w:t>
      </w:r>
      <w:r>
        <w:rPr>
          <w:spacing w:val="-3"/>
        </w:rPr>
        <w:t xml:space="preserve"> </w:t>
      </w:r>
      <w:r>
        <w:t>class</w:t>
      </w:r>
      <w:r>
        <w:rPr>
          <w:spacing w:val="-2"/>
        </w:rPr>
        <w:t xml:space="preserve"> </w:t>
      </w:r>
      <w:r>
        <w:t>health</w:t>
      </w:r>
      <w:r>
        <w:rPr>
          <w:spacing w:val="-3"/>
        </w:rPr>
        <w:t xml:space="preserve"> </w:t>
      </w:r>
      <w:r>
        <w:t>care</w:t>
      </w:r>
      <w:r>
        <w:rPr>
          <w:spacing w:val="-5"/>
        </w:rPr>
        <w:t xml:space="preserve"> </w:t>
      </w:r>
      <w:r>
        <w:t>system. Health programs central to this include the:</w:t>
      </w:r>
    </w:p>
    <w:p w14:paraId="1FA27873" w14:textId="77777777" w:rsidR="00C25CBD" w:rsidRPr="003A16B5" w:rsidRDefault="00454729" w:rsidP="003A16B5">
      <w:r w:rsidRPr="003A16B5">
        <w:t xml:space="preserve">Medicare Benefits Schedule (MBS) – Australia’s universal health benefits system, providing free or </w:t>
      </w:r>
      <w:proofErr w:type="spellStart"/>
      <w:r w:rsidRPr="003A16B5">
        <w:t>subsidised</w:t>
      </w:r>
      <w:proofErr w:type="spellEnd"/>
      <w:r w:rsidRPr="003A16B5">
        <w:t xml:space="preserve"> healthcare services to Australians and eligible overseas visitors.</w:t>
      </w:r>
    </w:p>
    <w:p w14:paraId="36F3A7B3" w14:textId="77777777" w:rsidR="00C25CBD" w:rsidRPr="003A16B5" w:rsidRDefault="00454729" w:rsidP="00FB3C0E">
      <w:pPr>
        <w:pStyle w:val="Normalindent"/>
      </w:pPr>
      <w:r w:rsidRPr="003A16B5">
        <w:rPr>
          <w:rStyle w:val="Strong"/>
        </w:rPr>
        <w:t>Pharmaceutical Benefits Scheme (PBS)</w:t>
      </w:r>
      <w:r w:rsidRPr="003A16B5">
        <w:t xml:space="preserve"> – provides </w:t>
      </w:r>
      <w:proofErr w:type="spellStart"/>
      <w:r w:rsidRPr="003A16B5">
        <w:t>subsidised</w:t>
      </w:r>
      <w:proofErr w:type="spellEnd"/>
      <w:r w:rsidRPr="003A16B5">
        <w:t xml:space="preserve"> medicines for Australians.</w:t>
      </w:r>
    </w:p>
    <w:p w14:paraId="3C75424A" w14:textId="77777777" w:rsidR="00C25CBD" w:rsidRPr="003A16B5" w:rsidRDefault="00454729" w:rsidP="00FB3C0E">
      <w:pPr>
        <w:pStyle w:val="Normalindent"/>
      </w:pPr>
      <w:r w:rsidRPr="003A16B5">
        <w:rPr>
          <w:rStyle w:val="Strong"/>
        </w:rPr>
        <w:t>Child Dental Benefits Schedule (CDBS)</w:t>
      </w:r>
      <w:r w:rsidRPr="003A16B5">
        <w:t xml:space="preserve"> – a means tested program that provides benefits for a wide range of basic dental services for eligible Australian children.</w:t>
      </w:r>
    </w:p>
    <w:p w14:paraId="797CD690" w14:textId="77777777" w:rsidR="00C25CBD" w:rsidRPr="003A16B5" w:rsidRDefault="00454729" w:rsidP="003A16B5">
      <w:r w:rsidRPr="003A16B5">
        <w:t>In 2023-24, these programs accounted for more than $48 billion in taxpayer expenditure.</w:t>
      </w:r>
    </w:p>
    <w:p w14:paraId="45404FAB" w14:textId="4E49F0A8" w:rsidR="00C25CBD" w:rsidRPr="003A16B5" w:rsidRDefault="00454729" w:rsidP="003A16B5">
      <w:r w:rsidRPr="003A16B5">
        <w:t>The Department of Health</w:t>
      </w:r>
      <w:r w:rsidR="00200DB0" w:rsidRPr="003A16B5">
        <w:t xml:space="preserve">, Disability </w:t>
      </w:r>
      <w:r w:rsidRPr="003A16B5">
        <w:t>and Age</w:t>
      </w:r>
      <w:r w:rsidR="00200DB0" w:rsidRPr="003A16B5">
        <w:t>ing</w:t>
      </w:r>
      <w:r w:rsidRPr="003A16B5">
        <w:t xml:space="preserve"> (department) is responsible for ensuring compliant health provider claiming under each of these programs. We support integrity through the prevention, early identification, and treatment of incorrect claiming, inappropriate practice and fraud.</w:t>
      </w:r>
    </w:p>
    <w:p w14:paraId="4F3D289D" w14:textId="77777777" w:rsidR="00C25CBD" w:rsidRDefault="00454729" w:rsidP="003A16B5">
      <w:pPr>
        <w:pStyle w:val="Heading1"/>
      </w:pPr>
      <w:bookmarkStart w:id="1" w:name="Objectives"/>
      <w:bookmarkEnd w:id="1"/>
      <w:r>
        <w:t>Objectives</w:t>
      </w:r>
    </w:p>
    <w:p w14:paraId="784BF289" w14:textId="77777777" w:rsidR="00C25CBD" w:rsidRPr="003A16B5" w:rsidRDefault="00454729" w:rsidP="003A16B5">
      <w:r w:rsidRPr="003A16B5">
        <w:t>This strategy outlines how the department uses a risk-based and proportionate approach to health provider compliance. We aim to:</w:t>
      </w:r>
    </w:p>
    <w:p w14:paraId="14A47A5E" w14:textId="77777777" w:rsidR="00C25CBD" w:rsidRDefault="00454729" w:rsidP="003A16B5">
      <w:pPr>
        <w:pStyle w:val="ListBullet"/>
      </w:pPr>
      <w:r>
        <w:t>Prevent</w:t>
      </w:r>
      <w:r>
        <w:rPr>
          <w:spacing w:val="-7"/>
        </w:rPr>
        <w:t xml:space="preserve"> </w:t>
      </w:r>
      <w:r>
        <w:t>incorrect</w:t>
      </w:r>
      <w:r>
        <w:rPr>
          <w:spacing w:val="-4"/>
        </w:rPr>
        <w:t xml:space="preserve"> </w:t>
      </w:r>
      <w:r>
        <w:t>claiming,</w:t>
      </w:r>
      <w:r>
        <w:rPr>
          <w:spacing w:val="-4"/>
        </w:rPr>
        <w:t xml:space="preserve"> </w:t>
      </w:r>
      <w:r>
        <w:t>making</w:t>
      </w:r>
      <w:r>
        <w:rPr>
          <w:spacing w:val="-4"/>
        </w:rPr>
        <w:t xml:space="preserve"> </w:t>
      </w:r>
      <w:r>
        <w:t>it</w:t>
      </w:r>
      <w:r>
        <w:rPr>
          <w:spacing w:val="-4"/>
        </w:rPr>
        <w:t xml:space="preserve"> </w:t>
      </w:r>
      <w:r>
        <w:t>harder</w:t>
      </w:r>
      <w:r>
        <w:rPr>
          <w:spacing w:val="-5"/>
        </w:rPr>
        <w:t xml:space="preserve"> </w:t>
      </w:r>
      <w:r>
        <w:t>to</w:t>
      </w:r>
      <w:r>
        <w:rPr>
          <w:spacing w:val="-4"/>
        </w:rPr>
        <w:t xml:space="preserve"> </w:t>
      </w:r>
      <w:r>
        <w:t>get</w:t>
      </w:r>
      <w:r>
        <w:rPr>
          <w:spacing w:val="-4"/>
        </w:rPr>
        <w:t xml:space="preserve"> </w:t>
      </w:r>
      <w:r>
        <w:t>it</w:t>
      </w:r>
      <w:r>
        <w:rPr>
          <w:spacing w:val="-2"/>
        </w:rPr>
        <w:t xml:space="preserve"> wrong</w:t>
      </w:r>
    </w:p>
    <w:p w14:paraId="04F720B9" w14:textId="77777777" w:rsidR="00C25CBD" w:rsidRDefault="00454729" w:rsidP="003A16B5">
      <w:pPr>
        <w:pStyle w:val="ListBullet"/>
      </w:pPr>
      <w:r>
        <w:t>Enable</w:t>
      </w:r>
      <w:r>
        <w:rPr>
          <w:spacing w:val="-5"/>
        </w:rPr>
        <w:t xml:space="preserve"> </w:t>
      </w:r>
      <w:r>
        <w:t>correct</w:t>
      </w:r>
      <w:r>
        <w:rPr>
          <w:spacing w:val="-6"/>
        </w:rPr>
        <w:t xml:space="preserve"> </w:t>
      </w:r>
      <w:r>
        <w:t>claiming,</w:t>
      </w:r>
      <w:r>
        <w:rPr>
          <w:spacing w:val="-5"/>
        </w:rPr>
        <w:t xml:space="preserve"> </w:t>
      </w:r>
      <w:r>
        <w:t>supporting</w:t>
      </w:r>
      <w:r>
        <w:rPr>
          <w:spacing w:val="-5"/>
        </w:rPr>
        <w:t xml:space="preserve"> </w:t>
      </w:r>
      <w:r>
        <w:t>providers</w:t>
      </w:r>
      <w:r>
        <w:rPr>
          <w:spacing w:val="-6"/>
        </w:rPr>
        <w:t xml:space="preserve"> </w:t>
      </w:r>
      <w:r>
        <w:t>to</w:t>
      </w:r>
      <w:r>
        <w:rPr>
          <w:spacing w:val="-7"/>
        </w:rPr>
        <w:t xml:space="preserve"> </w:t>
      </w:r>
      <w:r>
        <w:t>get</w:t>
      </w:r>
      <w:r>
        <w:rPr>
          <w:spacing w:val="-3"/>
        </w:rPr>
        <w:t xml:space="preserve"> </w:t>
      </w:r>
      <w:r>
        <w:t>it</w:t>
      </w:r>
      <w:r>
        <w:rPr>
          <w:spacing w:val="-4"/>
        </w:rPr>
        <w:t xml:space="preserve"> </w:t>
      </w:r>
      <w:r>
        <w:rPr>
          <w:spacing w:val="-2"/>
        </w:rPr>
        <w:t>right</w:t>
      </w:r>
    </w:p>
    <w:p w14:paraId="17AF1201" w14:textId="77777777" w:rsidR="00C25CBD" w:rsidRDefault="00454729" w:rsidP="003A16B5">
      <w:pPr>
        <w:pStyle w:val="ListBullet"/>
      </w:pPr>
      <w:r>
        <w:t>Effectively</w:t>
      </w:r>
      <w:r>
        <w:rPr>
          <w:spacing w:val="-3"/>
        </w:rPr>
        <w:t xml:space="preserve"> </w:t>
      </w:r>
      <w:r>
        <w:t>address</w:t>
      </w:r>
      <w:r>
        <w:rPr>
          <w:spacing w:val="-3"/>
        </w:rPr>
        <w:t xml:space="preserve"> </w:t>
      </w:r>
      <w:r>
        <w:t>non-compliance</w:t>
      </w:r>
      <w:r>
        <w:rPr>
          <w:spacing w:val="-4"/>
        </w:rPr>
        <w:t xml:space="preserve"> </w:t>
      </w:r>
      <w:r>
        <w:t>when</w:t>
      </w:r>
      <w:r>
        <w:rPr>
          <w:spacing w:val="-4"/>
        </w:rPr>
        <w:t xml:space="preserve"> </w:t>
      </w:r>
      <w:r>
        <w:t>it</w:t>
      </w:r>
      <w:r>
        <w:rPr>
          <w:spacing w:val="-4"/>
        </w:rPr>
        <w:t xml:space="preserve"> </w:t>
      </w:r>
      <w:r>
        <w:t>occurs,</w:t>
      </w:r>
      <w:r>
        <w:rPr>
          <w:spacing w:val="-4"/>
        </w:rPr>
        <w:t xml:space="preserve"> </w:t>
      </w:r>
      <w:r>
        <w:t>contributing</w:t>
      </w:r>
      <w:r>
        <w:rPr>
          <w:spacing w:val="-6"/>
        </w:rPr>
        <w:t xml:space="preserve"> </w:t>
      </w:r>
      <w:r>
        <w:t>to</w:t>
      </w:r>
      <w:r>
        <w:rPr>
          <w:spacing w:val="-3"/>
        </w:rPr>
        <w:t xml:space="preserve"> </w:t>
      </w:r>
      <w:r>
        <w:t>a</w:t>
      </w:r>
      <w:r>
        <w:rPr>
          <w:spacing w:val="-6"/>
        </w:rPr>
        <w:t xml:space="preserve"> </w:t>
      </w:r>
      <w:r>
        <w:t>sustainable</w:t>
      </w:r>
      <w:r>
        <w:rPr>
          <w:spacing w:val="-3"/>
        </w:rPr>
        <w:t xml:space="preserve"> </w:t>
      </w:r>
      <w:r>
        <w:t>and affordable health system.</w:t>
      </w:r>
    </w:p>
    <w:p w14:paraId="32527E11" w14:textId="77777777" w:rsidR="00C25CBD" w:rsidRDefault="00454729" w:rsidP="003A16B5">
      <w:pPr>
        <w:pStyle w:val="Heading1"/>
      </w:pPr>
      <w:bookmarkStart w:id="2" w:name="Principles_and_culture"/>
      <w:bookmarkEnd w:id="2"/>
      <w:r>
        <w:t>Principles</w:t>
      </w:r>
      <w:r>
        <w:rPr>
          <w:spacing w:val="-5"/>
        </w:rPr>
        <w:t xml:space="preserve"> </w:t>
      </w:r>
      <w:r>
        <w:t>and</w:t>
      </w:r>
      <w:r>
        <w:rPr>
          <w:spacing w:val="-3"/>
        </w:rPr>
        <w:t xml:space="preserve"> </w:t>
      </w:r>
      <w:r>
        <w:t>culture</w:t>
      </w:r>
    </w:p>
    <w:p w14:paraId="21BB1384" w14:textId="77777777" w:rsidR="00C25CBD" w:rsidRPr="003A16B5" w:rsidRDefault="00454729" w:rsidP="003A16B5">
      <w:r w:rsidRPr="003A16B5">
        <w:t>The department encourages a strong integrity culture. We embed integrity into everything we do – from the conduct of individual staff to systems, processes and practices. This enables better decision-making, enhances public trust in Australian Government health program payments, and supports the sustainability of the Medicare system. We deliver our Compliance Program with:</w:t>
      </w:r>
    </w:p>
    <w:p w14:paraId="20E8716B" w14:textId="77777777" w:rsidR="00C25CBD" w:rsidRPr="003A16B5" w:rsidRDefault="00454729" w:rsidP="00FB3C0E">
      <w:pPr>
        <w:pStyle w:val="Normalindent"/>
      </w:pPr>
      <w:r w:rsidRPr="00FB3C0E">
        <w:rPr>
          <w:rStyle w:val="Strong"/>
        </w:rPr>
        <w:t>Proportionality</w:t>
      </w:r>
      <w:r w:rsidRPr="003A16B5">
        <w:t xml:space="preserve"> – we use a risk-based approach, with action taken based on the seriousness and scale of the identified </w:t>
      </w:r>
      <w:proofErr w:type="spellStart"/>
      <w:r w:rsidRPr="003A16B5">
        <w:t>behaviour</w:t>
      </w:r>
      <w:proofErr w:type="spellEnd"/>
      <w:r w:rsidRPr="003A16B5">
        <w:t>.</w:t>
      </w:r>
    </w:p>
    <w:p w14:paraId="1053CDC5" w14:textId="048EBB00" w:rsidR="00C25CBD" w:rsidRPr="003A16B5" w:rsidRDefault="00454729" w:rsidP="00FB3C0E">
      <w:pPr>
        <w:pStyle w:val="Normalindent"/>
      </w:pPr>
      <w:r w:rsidRPr="00FB3C0E">
        <w:rPr>
          <w:rStyle w:val="Strong"/>
        </w:rPr>
        <w:t xml:space="preserve">Fairness and transparency </w:t>
      </w:r>
      <w:r w:rsidR="00FB3C0E" w:rsidRPr="003A16B5">
        <w:t>–</w:t>
      </w:r>
      <w:r w:rsidRPr="003A16B5">
        <w:t xml:space="preserve"> our compliance decisions are evidence-based and adhere to defined governance processes and legislative requirements. We </w:t>
      </w:r>
      <w:proofErr w:type="gramStart"/>
      <w:r w:rsidRPr="003A16B5">
        <w:t>afford</w:t>
      </w:r>
      <w:proofErr w:type="gramEnd"/>
      <w:r w:rsidRPr="003A16B5">
        <w:t xml:space="preserve"> health providers the opportunity to give information about their claiming before we make a compliance decision.</w:t>
      </w:r>
    </w:p>
    <w:p w14:paraId="7A09C55F" w14:textId="77777777" w:rsidR="00C25CBD" w:rsidRPr="003A16B5" w:rsidRDefault="00454729" w:rsidP="00FB3C0E">
      <w:pPr>
        <w:pStyle w:val="Normalindent"/>
      </w:pPr>
      <w:r w:rsidRPr="00FB3C0E">
        <w:rPr>
          <w:rStyle w:val="Strong"/>
        </w:rPr>
        <w:t xml:space="preserve">Confidentiality </w:t>
      </w:r>
      <w:r w:rsidRPr="003A16B5">
        <w:t>– we carry out compliance activities with sensitivity and according to privacy laws.</w:t>
      </w:r>
    </w:p>
    <w:p w14:paraId="63E5C04D" w14:textId="4AE3CEB1" w:rsidR="00C25CBD" w:rsidRPr="003A16B5" w:rsidRDefault="00454729" w:rsidP="00FB3C0E">
      <w:pPr>
        <w:pStyle w:val="Normalindent"/>
      </w:pPr>
      <w:r w:rsidRPr="00FB3C0E">
        <w:rPr>
          <w:rStyle w:val="Strong"/>
        </w:rPr>
        <w:t xml:space="preserve">Collaboration </w:t>
      </w:r>
      <w:r w:rsidR="00FB3C0E" w:rsidRPr="003A16B5">
        <w:t>–</w:t>
      </w:r>
      <w:r w:rsidRPr="003A16B5">
        <w:t xml:space="preserve"> we talk to stakeholders to help our understanding of compliance risks and support health providers to meet their compliance obligations.</w:t>
      </w:r>
    </w:p>
    <w:p w14:paraId="000F2E4E" w14:textId="77777777" w:rsidR="00C25CBD" w:rsidRDefault="00C25CBD">
      <w:pPr>
        <w:sectPr w:rsidR="00C25CBD" w:rsidSect="003A16B5">
          <w:headerReference w:type="default" r:id="rId12"/>
          <w:footerReference w:type="default" r:id="rId13"/>
          <w:pgSz w:w="11910" w:h="16840"/>
          <w:pgMar w:top="1440" w:right="1440" w:bottom="1440" w:left="1440" w:header="0" w:footer="734" w:gutter="0"/>
          <w:pgNumType w:start="2"/>
          <w:cols w:space="720"/>
          <w:docGrid w:linePitch="299"/>
        </w:sectPr>
      </w:pPr>
    </w:p>
    <w:p w14:paraId="61702221" w14:textId="77777777" w:rsidR="00C25CBD" w:rsidRDefault="00454729" w:rsidP="003A16B5">
      <w:pPr>
        <w:pStyle w:val="Heading1"/>
      </w:pPr>
      <w:bookmarkStart w:id="3" w:name="Finding_non-compliance"/>
      <w:bookmarkEnd w:id="3"/>
      <w:r>
        <w:lastRenderedPageBreak/>
        <w:t>Finding</w:t>
      </w:r>
      <w:r>
        <w:rPr>
          <w:spacing w:val="-5"/>
        </w:rPr>
        <w:t xml:space="preserve"> </w:t>
      </w:r>
      <w:r>
        <w:t>non-compliance</w:t>
      </w:r>
    </w:p>
    <w:p w14:paraId="25DA23E2" w14:textId="77777777" w:rsidR="00C25CBD" w:rsidRDefault="00454729" w:rsidP="003A16B5">
      <w:r>
        <w:t>The</w:t>
      </w:r>
      <w:r>
        <w:rPr>
          <w:spacing w:val="-4"/>
        </w:rPr>
        <w:t xml:space="preserve"> </w:t>
      </w:r>
      <w:r>
        <w:t>department</w:t>
      </w:r>
      <w:r>
        <w:rPr>
          <w:spacing w:val="-4"/>
        </w:rPr>
        <w:t xml:space="preserve"> </w:t>
      </w:r>
      <w:r>
        <w:t>monitors</w:t>
      </w:r>
      <w:r>
        <w:rPr>
          <w:spacing w:val="-3"/>
        </w:rPr>
        <w:t xml:space="preserve"> </w:t>
      </w:r>
      <w:r>
        <w:t>claiming</w:t>
      </w:r>
      <w:r>
        <w:rPr>
          <w:spacing w:val="-4"/>
        </w:rPr>
        <w:t xml:space="preserve"> </w:t>
      </w:r>
      <w:r>
        <w:t>data,</w:t>
      </w:r>
      <w:r>
        <w:rPr>
          <w:spacing w:val="-4"/>
        </w:rPr>
        <w:t xml:space="preserve"> </w:t>
      </w:r>
      <w:r>
        <w:t>collects</w:t>
      </w:r>
      <w:r>
        <w:rPr>
          <w:spacing w:val="-3"/>
        </w:rPr>
        <w:t xml:space="preserve"> </w:t>
      </w:r>
      <w:r>
        <w:t>intelligence</w:t>
      </w:r>
      <w:r>
        <w:rPr>
          <w:spacing w:val="-4"/>
        </w:rPr>
        <w:t xml:space="preserve"> </w:t>
      </w:r>
      <w:r>
        <w:t>and</w:t>
      </w:r>
      <w:r>
        <w:rPr>
          <w:spacing w:val="-3"/>
        </w:rPr>
        <w:t xml:space="preserve"> </w:t>
      </w:r>
      <w:r>
        <w:t>carries</w:t>
      </w:r>
      <w:r>
        <w:rPr>
          <w:spacing w:val="-3"/>
        </w:rPr>
        <w:t xml:space="preserve"> </w:t>
      </w:r>
      <w:r w:rsidRPr="003A16B5">
        <w:t>out</w:t>
      </w:r>
      <w:r>
        <w:rPr>
          <w:spacing w:val="-5"/>
        </w:rPr>
        <w:t xml:space="preserve"> </w:t>
      </w:r>
      <w:r>
        <w:t>targeted</w:t>
      </w:r>
      <w:r>
        <w:rPr>
          <w:spacing w:val="-4"/>
        </w:rPr>
        <w:t xml:space="preserve"> </w:t>
      </w:r>
      <w:r>
        <w:t>data analysis to find non-compliance.</w:t>
      </w:r>
    </w:p>
    <w:p w14:paraId="3C9F58B0" w14:textId="77777777" w:rsidR="00C25CBD" w:rsidRPr="003A16B5" w:rsidRDefault="00454729" w:rsidP="003A16B5">
      <w:r w:rsidRPr="003A16B5">
        <w:t>We consider:</w:t>
      </w:r>
    </w:p>
    <w:p w14:paraId="481A2BA2" w14:textId="77777777" w:rsidR="00C25CBD" w:rsidRDefault="00454729" w:rsidP="003A16B5">
      <w:pPr>
        <w:pStyle w:val="ListBullet"/>
      </w:pPr>
      <w:r>
        <w:t>information</w:t>
      </w:r>
      <w:r>
        <w:rPr>
          <w:spacing w:val="-6"/>
        </w:rPr>
        <w:t xml:space="preserve"> </w:t>
      </w:r>
      <w:r>
        <w:t>and</w:t>
      </w:r>
      <w:r>
        <w:rPr>
          <w:spacing w:val="-7"/>
        </w:rPr>
        <w:t xml:space="preserve"> </w:t>
      </w:r>
      <w:r>
        <w:t>data</w:t>
      </w:r>
      <w:r>
        <w:rPr>
          <w:spacing w:val="-7"/>
        </w:rPr>
        <w:t xml:space="preserve"> </w:t>
      </w:r>
      <w:r>
        <w:t>alongside</w:t>
      </w:r>
      <w:r>
        <w:rPr>
          <w:spacing w:val="-5"/>
        </w:rPr>
        <w:t xml:space="preserve"> </w:t>
      </w:r>
      <w:r>
        <w:t>policy</w:t>
      </w:r>
      <w:r>
        <w:rPr>
          <w:spacing w:val="-4"/>
        </w:rPr>
        <w:t xml:space="preserve"> </w:t>
      </w:r>
      <w:r>
        <w:t>and</w:t>
      </w:r>
      <w:r>
        <w:rPr>
          <w:spacing w:val="-5"/>
        </w:rPr>
        <w:t xml:space="preserve"> </w:t>
      </w:r>
      <w:r>
        <w:t>clinical</w:t>
      </w:r>
      <w:r>
        <w:rPr>
          <w:spacing w:val="-5"/>
        </w:rPr>
        <w:t xml:space="preserve"> </w:t>
      </w:r>
      <w:r>
        <w:rPr>
          <w:spacing w:val="-2"/>
        </w:rPr>
        <w:t>advice</w:t>
      </w:r>
    </w:p>
    <w:p w14:paraId="2F08BB92" w14:textId="77777777" w:rsidR="00C25CBD" w:rsidRDefault="00454729" w:rsidP="003A16B5">
      <w:pPr>
        <w:pStyle w:val="ListBullet"/>
      </w:pPr>
      <w:r>
        <w:t>the</w:t>
      </w:r>
      <w:r>
        <w:rPr>
          <w:spacing w:val="-4"/>
        </w:rPr>
        <w:t xml:space="preserve"> </w:t>
      </w:r>
      <w:r>
        <w:t>context</w:t>
      </w:r>
      <w:r>
        <w:rPr>
          <w:spacing w:val="-2"/>
        </w:rPr>
        <w:t xml:space="preserve"> </w:t>
      </w:r>
      <w:r>
        <w:t>of</w:t>
      </w:r>
      <w:r>
        <w:rPr>
          <w:spacing w:val="-5"/>
        </w:rPr>
        <w:t xml:space="preserve"> </w:t>
      </w:r>
      <w:r>
        <w:t>the</w:t>
      </w:r>
      <w:r>
        <w:rPr>
          <w:spacing w:val="-4"/>
        </w:rPr>
        <w:t xml:space="preserve"> </w:t>
      </w:r>
      <w:r>
        <w:t>broader</w:t>
      </w:r>
      <w:r>
        <w:rPr>
          <w:spacing w:val="-1"/>
        </w:rPr>
        <w:t xml:space="preserve"> </w:t>
      </w:r>
      <w:r>
        <w:rPr>
          <w:spacing w:val="-2"/>
        </w:rPr>
        <w:t>environment</w:t>
      </w:r>
    </w:p>
    <w:p w14:paraId="7D10A215" w14:textId="77777777" w:rsidR="00C25CBD" w:rsidRDefault="00454729" w:rsidP="003A16B5">
      <w:pPr>
        <w:pStyle w:val="ListBullet"/>
      </w:pPr>
      <w:r>
        <w:t>stakeholder</w:t>
      </w:r>
      <w:r>
        <w:rPr>
          <w:spacing w:val="-8"/>
        </w:rPr>
        <w:t xml:space="preserve"> </w:t>
      </w:r>
      <w:r>
        <w:t>advice</w:t>
      </w:r>
      <w:r>
        <w:rPr>
          <w:spacing w:val="-7"/>
        </w:rPr>
        <w:t xml:space="preserve"> </w:t>
      </w:r>
      <w:r>
        <w:t>to</w:t>
      </w:r>
      <w:r>
        <w:rPr>
          <w:spacing w:val="-6"/>
        </w:rPr>
        <w:t xml:space="preserve"> </w:t>
      </w:r>
      <w:r>
        <w:t>better</w:t>
      </w:r>
      <w:r>
        <w:rPr>
          <w:spacing w:val="-6"/>
        </w:rPr>
        <w:t xml:space="preserve"> </w:t>
      </w:r>
      <w:r>
        <w:t>understand</w:t>
      </w:r>
      <w:r>
        <w:rPr>
          <w:spacing w:val="-7"/>
        </w:rPr>
        <w:t xml:space="preserve"> </w:t>
      </w:r>
      <w:r>
        <w:t>compliance</w:t>
      </w:r>
      <w:r>
        <w:rPr>
          <w:spacing w:val="-5"/>
        </w:rPr>
        <w:t xml:space="preserve"> </w:t>
      </w:r>
      <w:r>
        <w:rPr>
          <w:spacing w:val="-2"/>
        </w:rPr>
        <w:t>concerns.</w:t>
      </w:r>
    </w:p>
    <w:p w14:paraId="0226FBDD" w14:textId="77777777" w:rsidR="00C25CBD" w:rsidRDefault="00454729" w:rsidP="003A16B5">
      <w:r w:rsidRPr="003A16B5">
        <w:t>We also continue to improve our advanced analytical modelling to detect fraudulent claiming. The department manages non-compliance across 5 broad themes:</w:t>
      </w:r>
    </w:p>
    <w:p w14:paraId="05B07FA8" w14:textId="7E6A5E13" w:rsidR="00C25CBD" w:rsidRDefault="00454729" w:rsidP="00FB3C0E">
      <w:pPr>
        <w:pStyle w:val="Heading2"/>
      </w:pPr>
      <w:r>
        <w:t>Incorrect</w:t>
      </w:r>
      <w:r>
        <w:rPr>
          <w:spacing w:val="34"/>
        </w:rPr>
        <w:t xml:space="preserve"> </w:t>
      </w:r>
      <w:r>
        <w:t>claiming</w:t>
      </w:r>
    </w:p>
    <w:p w14:paraId="5F1DF2CC" w14:textId="77777777" w:rsidR="00C25CBD" w:rsidRPr="003A16B5" w:rsidRDefault="00454729" w:rsidP="00FB3C0E">
      <w:pPr>
        <w:pStyle w:val="Boxtext"/>
      </w:pPr>
      <w:r w:rsidRPr="003A16B5">
        <w:t>Health providers claiming MBS, PBS, CDBS and/or PIP benefits where legislative and/or policy or program requirements have not been met.</w:t>
      </w:r>
    </w:p>
    <w:p w14:paraId="1AF860BE" w14:textId="77777777" w:rsidR="00C25CBD" w:rsidRDefault="00454729" w:rsidP="00FB3C0E">
      <w:pPr>
        <w:pStyle w:val="Heading2"/>
      </w:pPr>
      <w:r>
        <w:t>Incorrect</w:t>
      </w:r>
      <w:r>
        <w:rPr>
          <w:spacing w:val="38"/>
        </w:rPr>
        <w:t xml:space="preserve"> </w:t>
      </w:r>
      <w:r>
        <w:t>prescribing</w:t>
      </w:r>
    </w:p>
    <w:p w14:paraId="45A40A54" w14:textId="77777777" w:rsidR="00C25CBD" w:rsidRPr="003A16B5" w:rsidRDefault="00454729" w:rsidP="00FB3C0E">
      <w:pPr>
        <w:pStyle w:val="Boxtext"/>
      </w:pPr>
      <w:r w:rsidRPr="003A16B5">
        <w:t xml:space="preserve">Health providers </w:t>
      </w:r>
      <w:proofErr w:type="gramStart"/>
      <w:r w:rsidRPr="003A16B5">
        <w:t>prescribing</w:t>
      </w:r>
      <w:proofErr w:type="gramEnd"/>
      <w:r w:rsidRPr="003A16B5">
        <w:t xml:space="preserve"> PBS medicines outside legislative and/or policy or program requirements.</w:t>
      </w:r>
    </w:p>
    <w:p w14:paraId="412CFFEC" w14:textId="77777777" w:rsidR="00C25CBD" w:rsidRDefault="00454729" w:rsidP="00FB3C0E">
      <w:pPr>
        <w:pStyle w:val="Heading2"/>
      </w:pPr>
      <w:r>
        <w:t xml:space="preserve">Business </w:t>
      </w:r>
      <w:r>
        <w:rPr>
          <w:spacing w:val="13"/>
        </w:rPr>
        <w:t xml:space="preserve">arrangements </w:t>
      </w:r>
      <w:r>
        <w:rPr>
          <w:spacing w:val="10"/>
        </w:rPr>
        <w:t xml:space="preserve">that seek </w:t>
      </w:r>
      <w:r>
        <w:t xml:space="preserve">to </w:t>
      </w:r>
      <w:r>
        <w:rPr>
          <w:spacing w:val="13"/>
        </w:rPr>
        <w:t xml:space="preserve">inappropriately </w:t>
      </w:r>
      <w:proofErr w:type="spellStart"/>
      <w:r>
        <w:t>maximise</w:t>
      </w:r>
      <w:proofErr w:type="spellEnd"/>
      <w:r>
        <w:t xml:space="preserve"> payment of benefits</w:t>
      </w:r>
    </w:p>
    <w:p w14:paraId="7662DE8B" w14:textId="77777777" w:rsidR="00C25CBD" w:rsidRPr="003A16B5" w:rsidRDefault="00454729" w:rsidP="00FB3C0E">
      <w:pPr>
        <w:pStyle w:val="Boxtext"/>
      </w:pPr>
      <w:r w:rsidRPr="003A16B5">
        <w:t xml:space="preserve">Agreements and/or cooperation between individuals and/or entities to inappropriately </w:t>
      </w:r>
      <w:proofErr w:type="spellStart"/>
      <w:r w:rsidRPr="003A16B5">
        <w:t>maximise</w:t>
      </w:r>
      <w:proofErr w:type="spellEnd"/>
      <w:r w:rsidRPr="003A16B5">
        <w:t xml:space="preserve"> payment of benefits.</w:t>
      </w:r>
    </w:p>
    <w:p w14:paraId="4A006438" w14:textId="77777777" w:rsidR="00C25CBD" w:rsidRDefault="00454729" w:rsidP="00FB3C0E">
      <w:pPr>
        <w:pStyle w:val="Heading2"/>
      </w:pPr>
      <w:r>
        <w:t>Possible</w:t>
      </w:r>
      <w:r>
        <w:rPr>
          <w:spacing w:val="33"/>
        </w:rPr>
        <w:t xml:space="preserve"> </w:t>
      </w:r>
      <w:r>
        <w:t>inappropriate</w:t>
      </w:r>
      <w:r>
        <w:rPr>
          <w:spacing w:val="33"/>
        </w:rPr>
        <w:t xml:space="preserve"> </w:t>
      </w:r>
      <w:r>
        <w:rPr>
          <w:spacing w:val="10"/>
        </w:rPr>
        <w:t>practice</w:t>
      </w:r>
    </w:p>
    <w:p w14:paraId="0C119D93" w14:textId="77777777" w:rsidR="00C25CBD" w:rsidRPr="003A16B5" w:rsidRDefault="00454729" w:rsidP="00FB3C0E">
      <w:pPr>
        <w:pStyle w:val="Boxtext"/>
      </w:pPr>
      <w:r w:rsidRPr="003A16B5">
        <w:t xml:space="preserve">Inappropriate practice may reflect </w:t>
      </w:r>
      <w:proofErr w:type="spellStart"/>
      <w:proofErr w:type="gramStart"/>
      <w:r w:rsidRPr="003A16B5">
        <w:t>behaviour</w:t>
      </w:r>
      <w:proofErr w:type="spellEnd"/>
      <w:proofErr w:type="gramEnd"/>
      <w:r w:rsidRPr="003A16B5">
        <w:t xml:space="preserve"> </w:t>
      </w:r>
      <w:proofErr w:type="gramStart"/>
      <w:r w:rsidRPr="003A16B5">
        <w:t>by</w:t>
      </w:r>
      <w:proofErr w:type="gramEnd"/>
      <w:r w:rsidRPr="003A16B5">
        <w:t xml:space="preserve"> health providers or corporate entities. Defined in section 82 of the Health Insurance Act 1973, it includes:</w:t>
      </w:r>
    </w:p>
    <w:p w14:paraId="1AD6D317" w14:textId="3B17FFE5" w:rsidR="00C25CBD" w:rsidRPr="003A16B5" w:rsidRDefault="00CB3D1F" w:rsidP="00CB3D1F">
      <w:pPr>
        <w:pStyle w:val="Boxtext"/>
        <w:tabs>
          <w:tab w:val="left" w:pos="709"/>
        </w:tabs>
      </w:pPr>
      <w:r>
        <w:rPr>
          <w:rStyle w:val="Strong"/>
        </w:rPr>
        <w:tab/>
      </w:r>
      <w:r w:rsidR="00454729" w:rsidRPr="00CB3D1F">
        <w:rPr>
          <w:rStyle w:val="Strong"/>
        </w:rPr>
        <w:t>Unacceptable conduct</w:t>
      </w:r>
      <w:r w:rsidR="00454729" w:rsidRPr="003A16B5">
        <w:t xml:space="preserve"> – performing or initiating MBS, PBS or CDBS services which a general body of peers would reasonably conclude was inappropriate.</w:t>
      </w:r>
    </w:p>
    <w:p w14:paraId="3E6CE628" w14:textId="108E5691" w:rsidR="00C25CBD" w:rsidRPr="003A16B5" w:rsidRDefault="00CB3D1F" w:rsidP="00CB3D1F">
      <w:pPr>
        <w:pStyle w:val="Boxtext"/>
        <w:tabs>
          <w:tab w:val="left" w:pos="709"/>
        </w:tabs>
      </w:pPr>
      <w:r>
        <w:rPr>
          <w:rStyle w:val="Strong"/>
        </w:rPr>
        <w:tab/>
      </w:r>
      <w:r w:rsidR="00454729" w:rsidRPr="00CB3D1F">
        <w:rPr>
          <w:rStyle w:val="Strong"/>
        </w:rPr>
        <w:t>Prescribed pattern of services</w:t>
      </w:r>
      <w:r w:rsidR="00454729" w:rsidRPr="003A16B5">
        <w:t xml:space="preserve"> – performing or initiating services during a specified period constituting a prescribed pattern of services, including performing or initiating:</w:t>
      </w:r>
    </w:p>
    <w:p w14:paraId="72C66D56" w14:textId="580132E2" w:rsidR="00C25CBD" w:rsidRDefault="00CB3D1F" w:rsidP="00CB3D1F">
      <w:pPr>
        <w:pStyle w:val="Boxtext"/>
        <w:tabs>
          <w:tab w:val="left" w:pos="426"/>
        </w:tabs>
      </w:pPr>
      <w:r>
        <w:sym w:font="Symbol" w:char="F0B7"/>
      </w:r>
      <w:r>
        <w:tab/>
      </w:r>
      <w:r w:rsidR="00454729">
        <w:t>80</w:t>
      </w:r>
      <w:r w:rsidR="00454729">
        <w:rPr>
          <w:spacing w:val="-3"/>
        </w:rPr>
        <w:t xml:space="preserve"> </w:t>
      </w:r>
      <w:r w:rsidR="00454729">
        <w:t>or</w:t>
      </w:r>
      <w:r w:rsidR="00454729">
        <w:rPr>
          <w:spacing w:val="-3"/>
        </w:rPr>
        <w:t xml:space="preserve"> </w:t>
      </w:r>
      <w:r w:rsidR="00454729">
        <w:t>more</w:t>
      </w:r>
      <w:r w:rsidR="00454729">
        <w:rPr>
          <w:spacing w:val="-4"/>
        </w:rPr>
        <w:t xml:space="preserve"> </w:t>
      </w:r>
      <w:r w:rsidR="00454729">
        <w:t>relevant</w:t>
      </w:r>
      <w:r w:rsidR="00454729">
        <w:rPr>
          <w:spacing w:val="-3"/>
        </w:rPr>
        <w:t xml:space="preserve"> </w:t>
      </w:r>
      <w:r w:rsidR="00454729">
        <w:t>services</w:t>
      </w:r>
      <w:r w:rsidR="00454729">
        <w:rPr>
          <w:spacing w:val="-2"/>
        </w:rPr>
        <w:t xml:space="preserve"> </w:t>
      </w:r>
      <w:r w:rsidR="00454729">
        <w:t>on</w:t>
      </w:r>
      <w:r w:rsidR="00454729">
        <w:rPr>
          <w:spacing w:val="-3"/>
        </w:rPr>
        <w:t xml:space="preserve"> </w:t>
      </w:r>
      <w:r w:rsidR="00454729">
        <w:t>each</w:t>
      </w:r>
      <w:r w:rsidR="00454729">
        <w:rPr>
          <w:spacing w:val="-3"/>
        </w:rPr>
        <w:t xml:space="preserve"> </w:t>
      </w:r>
      <w:r w:rsidR="00454729">
        <w:t>of</w:t>
      </w:r>
      <w:r w:rsidR="00454729">
        <w:rPr>
          <w:spacing w:val="-1"/>
        </w:rPr>
        <w:t xml:space="preserve"> </w:t>
      </w:r>
      <w:r w:rsidR="00454729">
        <w:t>20</w:t>
      </w:r>
      <w:r w:rsidR="00454729">
        <w:rPr>
          <w:spacing w:val="-4"/>
        </w:rPr>
        <w:t xml:space="preserve"> </w:t>
      </w:r>
      <w:r w:rsidR="00454729">
        <w:t>or</w:t>
      </w:r>
      <w:r w:rsidR="00454729">
        <w:rPr>
          <w:spacing w:val="-3"/>
        </w:rPr>
        <w:t xml:space="preserve"> </w:t>
      </w:r>
      <w:r w:rsidR="00454729">
        <w:t>more</w:t>
      </w:r>
      <w:r w:rsidR="00454729">
        <w:rPr>
          <w:spacing w:val="-3"/>
        </w:rPr>
        <w:t xml:space="preserve"> </w:t>
      </w:r>
      <w:r w:rsidR="00454729">
        <w:t>days</w:t>
      </w:r>
      <w:r w:rsidR="00454729">
        <w:rPr>
          <w:spacing w:val="-2"/>
        </w:rPr>
        <w:t xml:space="preserve"> </w:t>
      </w:r>
      <w:r w:rsidR="00454729">
        <w:t>in</w:t>
      </w:r>
      <w:r w:rsidR="00454729">
        <w:rPr>
          <w:spacing w:val="-4"/>
        </w:rPr>
        <w:t xml:space="preserve"> </w:t>
      </w:r>
      <w:r w:rsidR="00454729">
        <w:t>a</w:t>
      </w:r>
      <w:r w:rsidR="00454729">
        <w:rPr>
          <w:spacing w:val="-3"/>
        </w:rPr>
        <w:t xml:space="preserve"> </w:t>
      </w:r>
      <w:r w:rsidR="00454729">
        <w:t>12-month</w:t>
      </w:r>
      <w:r w:rsidR="00454729">
        <w:rPr>
          <w:spacing w:val="-3"/>
        </w:rPr>
        <w:t xml:space="preserve"> </w:t>
      </w:r>
      <w:r w:rsidR="00454729">
        <w:t>period (the ‘80/20 rule)’.</w:t>
      </w:r>
    </w:p>
    <w:p w14:paraId="415D7028" w14:textId="5BA5FAC3" w:rsidR="00C25CBD" w:rsidRDefault="00CB3D1F" w:rsidP="00CB3D1F">
      <w:pPr>
        <w:pStyle w:val="Boxtext"/>
        <w:tabs>
          <w:tab w:val="left" w:pos="426"/>
        </w:tabs>
      </w:pPr>
      <w:r>
        <w:sym w:font="Symbol" w:char="F0B7"/>
      </w:r>
      <w:r>
        <w:tab/>
      </w:r>
      <w:r w:rsidR="00454729">
        <w:t>30</w:t>
      </w:r>
      <w:r w:rsidR="00454729">
        <w:rPr>
          <w:spacing w:val="-2"/>
        </w:rPr>
        <w:t xml:space="preserve"> </w:t>
      </w:r>
      <w:r w:rsidR="00454729">
        <w:t>or</w:t>
      </w:r>
      <w:r w:rsidR="00454729">
        <w:rPr>
          <w:spacing w:val="-3"/>
        </w:rPr>
        <w:t xml:space="preserve"> </w:t>
      </w:r>
      <w:r w:rsidR="00454729">
        <w:t>more</w:t>
      </w:r>
      <w:r w:rsidR="00454729">
        <w:rPr>
          <w:spacing w:val="-4"/>
        </w:rPr>
        <w:t xml:space="preserve"> </w:t>
      </w:r>
      <w:r w:rsidR="00454729">
        <w:t>relevant</w:t>
      </w:r>
      <w:r w:rsidR="00454729">
        <w:rPr>
          <w:spacing w:val="-2"/>
        </w:rPr>
        <w:t xml:space="preserve"> </w:t>
      </w:r>
      <w:r w:rsidR="00454729">
        <w:t>phone</w:t>
      </w:r>
      <w:r w:rsidR="00454729">
        <w:rPr>
          <w:spacing w:val="-2"/>
        </w:rPr>
        <w:t xml:space="preserve"> </w:t>
      </w:r>
      <w:r w:rsidR="00454729">
        <w:t>services</w:t>
      </w:r>
      <w:r w:rsidR="00454729">
        <w:rPr>
          <w:spacing w:val="-4"/>
        </w:rPr>
        <w:t xml:space="preserve"> </w:t>
      </w:r>
      <w:r w:rsidR="00454729">
        <w:t>on</w:t>
      </w:r>
      <w:r w:rsidR="00454729">
        <w:rPr>
          <w:spacing w:val="-2"/>
        </w:rPr>
        <w:t xml:space="preserve"> </w:t>
      </w:r>
      <w:r w:rsidR="00454729">
        <w:t>each</w:t>
      </w:r>
      <w:r w:rsidR="00454729">
        <w:rPr>
          <w:spacing w:val="-2"/>
        </w:rPr>
        <w:t xml:space="preserve"> </w:t>
      </w:r>
      <w:r w:rsidR="00454729">
        <w:t>of 20</w:t>
      </w:r>
      <w:r w:rsidR="00454729">
        <w:rPr>
          <w:spacing w:val="-2"/>
        </w:rPr>
        <w:t xml:space="preserve"> </w:t>
      </w:r>
      <w:r w:rsidR="00454729">
        <w:t>or</w:t>
      </w:r>
      <w:r w:rsidR="00454729">
        <w:rPr>
          <w:spacing w:val="-3"/>
        </w:rPr>
        <w:t xml:space="preserve"> </w:t>
      </w:r>
      <w:r w:rsidR="00454729">
        <w:t>more</w:t>
      </w:r>
      <w:r w:rsidR="00454729">
        <w:rPr>
          <w:spacing w:val="-2"/>
        </w:rPr>
        <w:t xml:space="preserve"> </w:t>
      </w:r>
      <w:r w:rsidR="00454729">
        <w:t>days</w:t>
      </w:r>
      <w:r w:rsidR="00454729">
        <w:rPr>
          <w:spacing w:val="-1"/>
        </w:rPr>
        <w:t xml:space="preserve"> </w:t>
      </w:r>
      <w:r w:rsidR="00454729">
        <w:t>in</w:t>
      </w:r>
      <w:r w:rsidR="00454729">
        <w:rPr>
          <w:spacing w:val="-2"/>
        </w:rPr>
        <w:t xml:space="preserve"> </w:t>
      </w:r>
      <w:r w:rsidR="00454729">
        <w:t>a</w:t>
      </w:r>
      <w:r w:rsidR="00454729">
        <w:rPr>
          <w:spacing w:val="-4"/>
        </w:rPr>
        <w:t xml:space="preserve"> </w:t>
      </w:r>
      <w:r w:rsidR="00454729">
        <w:t>12-month period (the ‘30/20 rule’).</w:t>
      </w:r>
    </w:p>
    <w:p w14:paraId="38A4885F" w14:textId="5DC0D467" w:rsidR="00C25CBD" w:rsidRDefault="00CB3D1F" w:rsidP="00CB3D1F">
      <w:pPr>
        <w:pStyle w:val="Boxtext"/>
        <w:tabs>
          <w:tab w:val="left" w:pos="567"/>
        </w:tabs>
      </w:pPr>
      <w:r>
        <w:rPr>
          <w:b/>
        </w:rPr>
        <w:tab/>
      </w:r>
      <w:r w:rsidR="00454729">
        <w:rPr>
          <w:b/>
        </w:rPr>
        <w:t xml:space="preserve">Causing or permitting inappropriate practice – </w:t>
      </w:r>
      <w:r w:rsidR="00454729">
        <w:t xml:space="preserve">knowingly, </w:t>
      </w:r>
      <w:r w:rsidR="00454729" w:rsidRPr="003A16B5">
        <w:t>recklessly</w:t>
      </w:r>
      <w:r w:rsidR="00454729">
        <w:t>, or</w:t>
      </w:r>
      <w:r w:rsidR="00454729">
        <w:rPr>
          <w:spacing w:val="40"/>
        </w:rPr>
        <w:t xml:space="preserve"> </w:t>
      </w:r>
      <w:r w:rsidR="00454729">
        <w:t>negligently</w:t>
      </w:r>
      <w:r w:rsidR="00454729">
        <w:rPr>
          <w:spacing w:val="-2"/>
        </w:rPr>
        <w:t xml:space="preserve"> </w:t>
      </w:r>
      <w:r w:rsidR="00454729">
        <w:t>causing</w:t>
      </w:r>
      <w:r w:rsidR="00454729">
        <w:rPr>
          <w:spacing w:val="-3"/>
        </w:rPr>
        <w:t xml:space="preserve"> </w:t>
      </w:r>
      <w:r w:rsidR="00454729">
        <w:t>or</w:t>
      </w:r>
      <w:r w:rsidR="00454729">
        <w:rPr>
          <w:spacing w:val="-4"/>
        </w:rPr>
        <w:t xml:space="preserve"> </w:t>
      </w:r>
      <w:r w:rsidR="00454729">
        <w:t>permitting</w:t>
      </w:r>
      <w:r w:rsidR="00454729">
        <w:rPr>
          <w:spacing w:val="-3"/>
        </w:rPr>
        <w:t xml:space="preserve"> </w:t>
      </w:r>
      <w:r w:rsidR="00454729">
        <w:t>a</w:t>
      </w:r>
      <w:r w:rsidR="00454729">
        <w:rPr>
          <w:spacing w:val="-5"/>
        </w:rPr>
        <w:t xml:space="preserve"> </w:t>
      </w:r>
      <w:r w:rsidR="00454729">
        <w:t>health</w:t>
      </w:r>
      <w:r w:rsidR="00454729">
        <w:rPr>
          <w:spacing w:val="-3"/>
        </w:rPr>
        <w:t xml:space="preserve"> </w:t>
      </w:r>
      <w:r w:rsidR="00454729">
        <w:t>provider</w:t>
      </w:r>
      <w:r w:rsidR="00454729">
        <w:rPr>
          <w:spacing w:val="-4"/>
        </w:rPr>
        <w:t xml:space="preserve"> </w:t>
      </w:r>
      <w:r w:rsidR="00454729">
        <w:t>employed</w:t>
      </w:r>
      <w:r w:rsidR="00454729">
        <w:rPr>
          <w:spacing w:val="-5"/>
        </w:rPr>
        <w:t xml:space="preserve"> </w:t>
      </w:r>
      <w:r w:rsidR="00454729">
        <w:t>or</w:t>
      </w:r>
      <w:r w:rsidR="00454729">
        <w:rPr>
          <w:spacing w:val="-4"/>
        </w:rPr>
        <w:t xml:space="preserve"> </w:t>
      </w:r>
      <w:r w:rsidR="00454729">
        <w:t>otherwise</w:t>
      </w:r>
      <w:r w:rsidR="00454729">
        <w:rPr>
          <w:spacing w:val="-5"/>
        </w:rPr>
        <w:t xml:space="preserve"> </w:t>
      </w:r>
      <w:r w:rsidR="00454729">
        <w:t>engaged</w:t>
      </w:r>
      <w:r w:rsidR="00454729">
        <w:rPr>
          <w:spacing w:val="-3"/>
        </w:rPr>
        <w:t xml:space="preserve"> </w:t>
      </w:r>
      <w:r w:rsidR="00454729">
        <w:t>by the person to engage in conduct that constitutes inappropriate practice.</w:t>
      </w:r>
    </w:p>
    <w:p w14:paraId="1B107630" w14:textId="77777777" w:rsidR="00C25CBD" w:rsidRPr="003A16B5" w:rsidRDefault="00454729" w:rsidP="00FB3C0E">
      <w:pPr>
        <w:pStyle w:val="Heading2"/>
      </w:pPr>
      <w:r>
        <w:t>Fraud</w:t>
      </w:r>
    </w:p>
    <w:p w14:paraId="6192C276" w14:textId="77777777" w:rsidR="00C25CBD" w:rsidRPr="003A16B5" w:rsidRDefault="00454729" w:rsidP="00FB3C0E">
      <w:pPr>
        <w:pStyle w:val="Boxtext"/>
      </w:pPr>
      <w:r w:rsidRPr="003A16B5">
        <w:t xml:space="preserve">Health providers, their staff and/or unrelated </w:t>
      </w:r>
      <w:proofErr w:type="gramStart"/>
      <w:r w:rsidRPr="003A16B5">
        <w:t>persons dishonestly obtaining</w:t>
      </w:r>
      <w:proofErr w:type="gramEnd"/>
      <w:r w:rsidRPr="003A16B5">
        <w:t>, or attempting to obtain, a gain or benefit, or causing a loss or risk of loss, by deception or other means.</w:t>
      </w:r>
    </w:p>
    <w:p w14:paraId="563B1D74" w14:textId="77777777" w:rsidR="00C25CBD" w:rsidRDefault="00C25CBD">
      <w:pPr>
        <w:sectPr w:rsidR="00C25CBD" w:rsidSect="003A16B5">
          <w:pgSz w:w="11910" w:h="16840"/>
          <w:pgMar w:top="1440" w:right="1440" w:bottom="1440" w:left="1440" w:header="0" w:footer="734" w:gutter="0"/>
          <w:cols w:space="720"/>
          <w:docGrid w:linePitch="299"/>
        </w:sectPr>
      </w:pPr>
    </w:p>
    <w:p w14:paraId="34E5DD42" w14:textId="77777777" w:rsidR="00C25CBD" w:rsidRDefault="00454729" w:rsidP="003A16B5">
      <w:pPr>
        <w:pStyle w:val="Heading1"/>
      </w:pPr>
      <w:bookmarkStart w:id="4" w:name="Reporting_non-compliance"/>
      <w:bookmarkEnd w:id="4"/>
      <w:r>
        <w:lastRenderedPageBreak/>
        <w:t>Reporting</w:t>
      </w:r>
      <w:r>
        <w:rPr>
          <w:spacing w:val="-7"/>
        </w:rPr>
        <w:t xml:space="preserve"> </w:t>
      </w:r>
      <w:r>
        <w:t>non-compliance</w:t>
      </w:r>
    </w:p>
    <w:p w14:paraId="7165F8F3" w14:textId="77777777" w:rsidR="00C25CBD" w:rsidRPr="003A16B5" w:rsidRDefault="00454729" w:rsidP="003A16B5">
      <w:r w:rsidRPr="003A16B5">
        <w:t>The department takes allegations of non-compliance seriously. We review all tip-offs according to our compliance assessment procedures. You can submit information:</w:t>
      </w:r>
    </w:p>
    <w:p w14:paraId="700C8985" w14:textId="4D94D224" w:rsidR="00C25CBD" w:rsidRDefault="00454729" w:rsidP="003A16B5">
      <w:pPr>
        <w:pStyle w:val="ListBullet"/>
      </w:pPr>
      <w:r>
        <w:t>at</w:t>
      </w:r>
      <w:r>
        <w:rPr>
          <w:spacing w:val="-3"/>
        </w:rPr>
        <w:t xml:space="preserve"> </w:t>
      </w:r>
      <w:hyperlink r:id="rId14">
        <w:r w:rsidR="00C25CBD">
          <w:rPr>
            <w:color w:val="0000FF"/>
            <w:u w:val="single" w:color="0000FF"/>
          </w:rPr>
          <w:t>Reporting</w:t>
        </w:r>
        <w:r w:rsidR="00C25CBD">
          <w:rPr>
            <w:color w:val="0000FF"/>
            <w:spacing w:val="-4"/>
            <w:u w:val="single" w:color="0000FF"/>
          </w:rPr>
          <w:t xml:space="preserve"> </w:t>
        </w:r>
        <w:r w:rsidR="00C25CBD">
          <w:rPr>
            <w:color w:val="0000FF"/>
            <w:u w:val="single" w:color="0000FF"/>
          </w:rPr>
          <w:t>incorrect</w:t>
        </w:r>
        <w:r w:rsidR="00C25CBD">
          <w:rPr>
            <w:color w:val="0000FF"/>
            <w:spacing w:val="-2"/>
            <w:u w:val="single" w:color="0000FF"/>
          </w:rPr>
          <w:t xml:space="preserve"> </w:t>
        </w:r>
        <w:r w:rsidR="00C25CBD">
          <w:rPr>
            <w:color w:val="0000FF"/>
            <w:u w:val="single" w:color="0000FF"/>
          </w:rPr>
          <w:t>billing,</w:t>
        </w:r>
        <w:r w:rsidR="00C25CBD">
          <w:rPr>
            <w:color w:val="0000FF"/>
            <w:spacing w:val="-2"/>
            <w:u w:val="single" w:color="0000FF"/>
          </w:rPr>
          <w:t xml:space="preserve"> </w:t>
        </w:r>
        <w:r w:rsidR="00C25CBD">
          <w:rPr>
            <w:color w:val="0000FF"/>
            <w:u w:val="single" w:color="0000FF"/>
          </w:rPr>
          <w:t>claiming,</w:t>
        </w:r>
        <w:r w:rsidR="00C25CBD">
          <w:rPr>
            <w:color w:val="0000FF"/>
            <w:spacing w:val="-4"/>
            <w:u w:val="single" w:color="0000FF"/>
          </w:rPr>
          <w:t xml:space="preserve"> </w:t>
        </w:r>
        <w:r w:rsidR="00C25CBD">
          <w:rPr>
            <w:color w:val="0000FF"/>
            <w:u w:val="single" w:color="0000FF"/>
          </w:rPr>
          <w:t>or</w:t>
        </w:r>
        <w:r w:rsidR="00C25CBD">
          <w:rPr>
            <w:color w:val="0000FF"/>
            <w:spacing w:val="-5"/>
            <w:u w:val="single" w:color="0000FF"/>
          </w:rPr>
          <w:t xml:space="preserve"> </w:t>
        </w:r>
        <w:r w:rsidR="00C25CBD">
          <w:rPr>
            <w:color w:val="0000FF"/>
            <w:u w:val="single" w:color="0000FF"/>
          </w:rPr>
          <w:t>suspected</w:t>
        </w:r>
        <w:r w:rsidR="00C25CBD">
          <w:rPr>
            <w:color w:val="0000FF"/>
            <w:spacing w:val="-4"/>
            <w:u w:val="single" w:color="0000FF"/>
          </w:rPr>
          <w:t xml:space="preserve"> </w:t>
        </w:r>
        <w:r w:rsidR="00C25CBD">
          <w:rPr>
            <w:color w:val="0000FF"/>
            <w:u w:val="single" w:color="0000FF"/>
          </w:rPr>
          <w:t>fraud</w:t>
        </w:r>
        <w:r w:rsidR="00C25CBD">
          <w:rPr>
            <w:color w:val="0000FF"/>
            <w:spacing w:val="-4"/>
            <w:u w:val="single" w:color="0000FF"/>
          </w:rPr>
          <w:t xml:space="preserve"> </w:t>
        </w:r>
        <w:r w:rsidR="00C25CBD">
          <w:rPr>
            <w:color w:val="0000FF"/>
            <w:u w:val="single" w:color="0000FF"/>
          </w:rPr>
          <w:t>|</w:t>
        </w:r>
        <w:r w:rsidR="00C25CBD">
          <w:rPr>
            <w:color w:val="0000FF"/>
            <w:spacing w:val="-5"/>
            <w:u w:val="single" w:color="0000FF"/>
          </w:rPr>
          <w:t xml:space="preserve"> </w:t>
        </w:r>
        <w:r w:rsidR="00C25CBD">
          <w:rPr>
            <w:color w:val="0000FF"/>
            <w:u w:val="single" w:color="0000FF"/>
          </w:rPr>
          <w:t>Australian</w:t>
        </w:r>
        <w:r w:rsidR="00C25CBD">
          <w:rPr>
            <w:color w:val="0000FF"/>
            <w:spacing w:val="-4"/>
            <w:u w:val="single" w:color="0000FF"/>
          </w:rPr>
          <w:t xml:space="preserve"> </w:t>
        </w:r>
        <w:r w:rsidR="00C25CBD">
          <w:rPr>
            <w:color w:val="0000FF"/>
            <w:u w:val="single" w:color="0000FF"/>
          </w:rPr>
          <w:t>Government</w:t>
        </w:r>
      </w:hyperlink>
      <w:r>
        <w:rPr>
          <w:color w:val="0000FF"/>
        </w:rPr>
        <w:t xml:space="preserve"> </w:t>
      </w:r>
      <w:hyperlink r:id="rId15">
        <w:r w:rsidR="00774528">
          <w:rPr>
            <w:color w:val="0000FF"/>
            <w:u w:val="single" w:color="0000FF"/>
          </w:rPr>
          <w:t>Department of Health, Disability and Ageing</w:t>
        </w:r>
      </w:hyperlink>
    </w:p>
    <w:p w14:paraId="2C04AE46" w14:textId="77777777" w:rsidR="00C25CBD" w:rsidRDefault="00454729" w:rsidP="003A16B5">
      <w:pPr>
        <w:pStyle w:val="ListBullet"/>
      </w:pPr>
      <w:r>
        <w:t>by</w:t>
      </w:r>
      <w:r>
        <w:rPr>
          <w:spacing w:val="-2"/>
        </w:rPr>
        <w:t xml:space="preserve"> </w:t>
      </w:r>
      <w:r>
        <w:t>calling</w:t>
      </w:r>
      <w:r>
        <w:rPr>
          <w:spacing w:val="-3"/>
        </w:rPr>
        <w:t xml:space="preserve"> </w:t>
      </w:r>
      <w:r>
        <w:t>the</w:t>
      </w:r>
      <w:r>
        <w:rPr>
          <w:spacing w:val="-3"/>
        </w:rPr>
        <w:t xml:space="preserve"> </w:t>
      </w:r>
      <w:r>
        <w:t>department’s</w:t>
      </w:r>
      <w:r>
        <w:rPr>
          <w:spacing w:val="-2"/>
        </w:rPr>
        <w:t xml:space="preserve"> </w:t>
      </w:r>
      <w:r>
        <w:t>tip-</w:t>
      </w:r>
      <w:proofErr w:type="gramStart"/>
      <w:r>
        <w:t>off</w:t>
      </w:r>
      <w:r>
        <w:rPr>
          <w:spacing w:val="-1"/>
        </w:rPr>
        <w:t xml:space="preserve"> </w:t>
      </w:r>
      <w:r>
        <w:t>line</w:t>
      </w:r>
      <w:proofErr w:type="gramEnd"/>
      <w:r>
        <w:rPr>
          <w:spacing w:val="-3"/>
        </w:rPr>
        <w:t xml:space="preserve"> </w:t>
      </w:r>
      <w:r>
        <w:t>on</w:t>
      </w:r>
      <w:r>
        <w:rPr>
          <w:spacing w:val="-5"/>
        </w:rPr>
        <w:t xml:space="preserve"> </w:t>
      </w:r>
      <w:r>
        <w:rPr>
          <w:b/>
        </w:rPr>
        <w:t>1800</w:t>
      </w:r>
      <w:r>
        <w:rPr>
          <w:b/>
          <w:spacing w:val="-3"/>
        </w:rPr>
        <w:t xml:space="preserve"> </w:t>
      </w:r>
      <w:r>
        <w:rPr>
          <w:b/>
        </w:rPr>
        <w:t>314</w:t>
      </w:r>
      <w:r>
        <w:rPr>
          <w:b/>
          <w:spacing w:val="-3"/>
        </w:rPr>
        <w:t xml:space="preserve"> </w:t>
      </w:r>
      <w:r>
        <w:rPr>
          <w:b/>
        </w:rPr>
        <w:t>808</w:t>
      </w:r>
      <w:r>
        <w:t>,</w:t>
      </w:r>
      <w:r>
        <w:rPr>
          <w:spacing w:val="-4"/>
        </w:rPr>
        <w:t xml:space="preserve"> </w:t>
      </w:r>
      <w:r>
        <w:t>between</w:t>
      </w:r>
      <w:r>
        <w:rPr>
          <w:spacing w:val="-5"/>
        </w:rPr>
        <w:t xml:space="preserve"> </w:t>
      </w:r>
      <w:r>
        <w:t>8:30am</w:t>
      </w:r>
      <w:r>
        <w:rPr>
          <w:spacing w:val="-4"/>
        </w:rPr>
        <w:t xml:space="preserve"> </w:t>
      </w:r>
      <w:r>
        <w:t>and</w:t>
      </w:r>
      <w:r>
        <w:rPr>
          <w:spacing w:val="-3"/>
        </w:rPr>
        <w:t xml:space="preserve"> </w:t>
      </w:r>
      <w:r>
        <w:t>5:00pm Monday to Friday.</w:t>
      </w:r>
    </w:p>
    <w:p w14:paraId="4A9E901E" w14:textId="77777777" w:rsidR="00C25CBD" w:rsidRPr="003A16B5" w:rsidRDefault="00454729" w:rsidP="003A16B5">
      <w:r w:rsidRPr="003A16B5">
        <w:t>Because of privacy and secrecy legislation, we cannot provide updates on our actions regarding received information.</w:t>
      </w:r>
    </w:p>
    <w:p w14:paraId="400B9CD3" w14:textId="77777777" w:rsidR="00C25CBD" w:rsidRPr="003A16B5" w:rsidRDefault="00454729" w:rsidP="003A16B5">
      <w:r w:rsidRPr="003A16B5">
        <w:t>Where concerns are outside the department’s remit, such as patient safety or professional conduct, we may refer them to other regulatory bodies as appropriate.</w:t>
      </w:r>
    </w:p>
    <w:p w14:paraId="188C20E6" w14:textId="77777777" w:rsidR="00C25CBD" w:rsidRDefault="00454729" w:rsidP="003A16B5">
      <w:pPr>
        <w:pStyle w:val="Heading1"/>
      </w:pPr>
      <w:bookmarkStart w:id="5" w:name="Compliance_approach"/>
      <w:bookmarkEnd w:id="5"/>
      <w:r>
        <w:t>Compliance</w:t>
      </w:r>
      <w:r>
        <w:rPr>
          <w:spacing w:val="-7"/>
        </w:rPr>
        <w:t xml:space="preserve"> </w:t>
      </w:r>
      <w:r>
        <w:t>approach</w:t>
      </w:r>
    </w:p>
    <w:p w14:paraId="52D6CDA7" w14:textId="77777777" w:rsidR="00C25CBD" w:rsidRPr="003A16B5" w:rsidRDefault="00454729" w:rsidP="003A16B5">
      <w:r w:rsidRPr="003A16B5">
        <w:t>Based on our assessment of a compliance concern, we may pursue a range of responses. These may include education, review, audit and investigation into breaches of Australian laws. In deciding to act, we:</w:t>
      </w:r>
    </w:p>
    <w:p w14:paraId="159C5F0E" w14:textId="77777777" w:rsidR="00C25CBD" w:rsidRPr="003A16B5" w:rsidRDefault="00454729" w:rsidP="003A16B5">
      <w:pPr>
        <w:pStyle w:val="ListBullet"/>
      </w:pPr>
      <w:r>
        <w:t>use</w:t>
      </w:r>
      <w:r>
        <w:rPr>
          <w:spacing w:val="-3"/>
        </w:rPr>
        <w:t xml:space="preserve"> </w:t>
      </w:r>
      <w:r w:rsidRPr="003A16B5">
        <w:t>available information when making decisions including considering the context of the identified claiming,</w:t>
      </w:r>
    </w:p>
    <w:p w14:paraId="2AF75854" w14:textId="77777777" w:rsidR="00C25CBD" w:rsidRPr="003A16B5" w:rsidRDefault="00454729" w:rsidP="003A16B5">
      <w:pPr>
        <w:pStyle w:val="ListBullet"/>
      </w:pPr>
      <w:proofErr w:type="spellStart"/>
      <w:r w:rsidRPr="003A16B5">
        <w:t>prioritise</w:t>
      </w:r>
      <w:proofErr w:type="spellEnd"/>
      <w:r w:rsidRPr="003A16B5">
        <w:t xml:space="preserve"> resources and effort based on the seriousness and scale of the identified concern,</w:t>
      </w:r>
    </w:p>
    <w:p w14:paraId="6E0469DA" w14:textId="77777777" w:rsidR="00C25CBD" w:rsidRPr="003A16B5" w:rsidRDefault="00454729" w:rsidP="003A16B5">
      <w:pPr>
        <w:pStyle w:val="ListBullet"/>
      </w:pPr>
      <w:r w:rsidRPr="003A16B5">
        <w:t>encourage improved awareness of claiming requirements, promoting voluntary compliance and focusing enforcement activity where the risks and impact of harm are the greatest,</w:t>
      </w:r>
    </w:p>
    <w:p w14:paraId="3A5DBA25" w14:textId="77777777" w:rsidR="00C25CBD" w:rsidRDefault="00454729" w:rsidP="003A16B5">
      <w:pPr>
        <w:pStyle w:val="ListBullet"/>
      </w:pPr>
      <w:r w:rsidRPr="003A16B5">
        <w:t xml:space="preserve">use evaluation and </w:t>
      </w:r>
      <w:proofErr w:type="spellStart"/>
      <w:r w:rsidRPr="003A16B5">
        <w:t>behavioural</w:t>
      </w:r>
      <w:proofErr w:type="spellEnd"/>
      <w:r w:rsidRPr="003A16B5">
        <w:t xml:space="preserve"> insights to design approaches</w:t>
      </w:r>
      <w:r>
        <w:rPr>
          <w:spacing w:val="-5"/>
        </w:rPr>
        <w:t xml:space="preserve"> </w:t>
      </w:r>
      <w:r>
        <w:t>to</w:t>
      </w:r>
      <w:r>
        <w:rPr>
          <w:spacing w:val="-5"/>
        </w:rPr>
        <w:t xml:space="preserve"> </w:t>
      </w:r>
      <w:r>
        <w:t>manage</w:t>
      </w:r>
      <w:r>
        <w:rPr>
          <w:spacing w:val="-5"/>
        </w:rPr>
        <w:t xml:space="preserve"> </w:t>
      </w:r>
      <w:r>
        <w:t xml:space="preserve">non- </w:t>
      </w:r>
      <w:r>
        <w:rPr>
          <w:spacing w:val="-2"/>
        </w:rPr>
        <w:t>compliance.</w:t>
      </w:r>
    </w:p>
    <w:p w14:paraId="38BAF149" w14:textId="77777777" w:rsidR="00C25CBD" w:rsidRPr="003A16B5" w:rsidRDefault="00454729" w:rsidP="003A16B5">
      <w:r w:rsidRPr="003A16B5">
        <w:t xml:space="preserve">We also consider broader opportunities including introducing </w:t>
      </w:r>
      <w:proofErr w:type="gramStart"/>
      <w:r w:rsidRPr="003A16B5">
        <w:t>increased</w:t>
      </w:r>
      <w:proofErr w:type="gramEnd"/>
      <w:r w:rsidRPr="003A16B5">
        <w:t xml:space="preserve"> system and/or legislative controls to better protect the integrity of Medicare.</w:t>
      </w:r>
    </w:p>
    <w:p w14:paraId="59E7C527" w14:textId="6D50C834" w:rsidR="00C25CBD" w:rsidRPr="003A16B5" w:rsidRDefault="00454729" w:rsidP="003A16B5">
      <w:r w:rsidRPr="003A16B5">
        <w:drawing>
          <wp:anchor distT="0" distB="0" distL="0" distR="0" simplePos="0" relativeHeight="251662336" behindDoc="1" locked="0" layoutInCell="1" allowOverlap="1" wp14:anchorId="6CDDFB94" wp14:editId="1B09496A">
            <wp:simplePos x="0" y="0"/>
            <wp:positionH relativeFrom="page">
              <wp:posOffset>933341</wp:posOffset>
            </wp:positionH>
            <wp:positionV relativeFrom="paragraph">
              <wp:posOffset>101641</wp:posOffset>
            </wp:positionV>
            <wp:extent cx="5666491" cy="2199417"/>
            <wp:effectExtent l="0" t="0" r="0" b="0"/>
            <wp:wrapTopAndBottom/>
            <wp:docPr id="7" name="Image 7" descr="Image displays the process flow of data, intelligence and information being analysed before a decision is made to act based on available information and legislative framework. Following our compliance response, activities are evaluated, escalated if necessary, and learnings used to inform future policy settings and compliance response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Image displays the process flow of data, intelligence and information being analysed before a decision is made to act based on available information and legislative framework. Following our compliance response, activities are evaluated, escalated if necessary, and learnings used to inform future policy settings and compliance responses. "/>
                    <pic:cNvPicPr/>
                  </pic:nvPicPr>
                  <pic:blipFill>
                    <a:blip r:embed="rId16" cstate="print"/>
                    <a:stretch>
                      <a:fillRect/>
                    </a:stretch>
                  </pic:blipFill>
                  <pic:spPr>
                    <a:xfrm>
                      <a:off x="0" y="0"/>
                      <a:ext cx="5666491" cy="2199417"/>
                    </a:xfrm>
                    <a:prstGeom prst="rect">
                      <a:avLst/>
                    </a:prstGeom>
                  </pic:spPr>
                </pic:pic>
              </a:graphicData>
            </a:graphic>
          </wp:anchor>
        </w:drawing>
      </w:r>
      <w:r w:rsidRPr="003A16B5">
        <w:t xml:space="preserve">We evaluate our compliance activities, applying learnings to future activities. </w:t>
      </w:r>
      <w:proofErr w:type="gramStart"/>
      <w:r w:rsidRPr="003A16B5">
        <w:t>We</w:t>
      </w:r>
      <w:proofErr w:type="gramEnd"/>
      <w:r w:rsidRPr="003A16B5">
        <w:t xml:space="preserve"> also:</w:t>
      </w:r>
    </w:p>
    <w:p w14:paraId="2B833FDD" w14:textId="77777777" w:rsidR="00C25CBD" w:rsidRPr="003A16B5" w:rsidRDefault="00454729" w:rsidP="003A16B5">
      <w:pPr>
        <w:pStyle w:val="ListBullet"/>
      </w:pPr>
      <w:r w:rsidRPr="003A16B5">
        <w:t>monitor providers following intervention, and</w:t>
      </w:r>
    </w:p>
    <w:p w14:paraId="6535BAD4" w14:textId="77777777" w:rsidR="00C25CBD" w:rsidRDefault="00454729" w:rsidP="003A16B5">
      <w:pPr>
        <w:pStyle w:val="ListBullet"/>
      </w:pPr>
      <w:r w:rsidRPr="003A16B5">
        <w:t xml:space="preserve">escalate enforcement actions where non-compliance continues or </w:t>
      </w:r>
      <w:proofErr w:type="spellStart"/>
      <w:r w:rsidRPr="003A16B5">
        <w:t>behavioural</w:t>
      </w:r>
      <w:proofErr w:type="spellEnd"/>
      <w:r w:rsidRPr="003A16B5">
        <w:t xml:space="preserve"> indicators suggest further compliance</w:t>
      </w:r>
      <w:r>
        <w:t xml:space="preserve"> action is warranted.</w:t>
      </w:r>
    </w:p>
    <w:p w14:paraId="594D4409" w14:textId="77777777" w:rsidR="00C25CBD" w:rsidRDefault="00C25CBD">
      <w:pPr>
        <w:spacing w:line="237" w:lineRule="auto"/>
        <w:sectPr w:rsidR="00C25CBD" w:rsidSect="003A16B5">
          <w:pgSz w:w="11910" w:h="16840"/>
          <w:pgMar w:top="1440" w:right="1440" w:bottom="1440" w:left="1440" w:header="0" w:footer="734" w:gutter="0"/>
          <w:cols w:space="720"/>
          <w:docGrid w:linePitch="299"/>
        </w:sectPr>
      </w:pPr>
    </w:p>
    <w:p w14:paraId="0437F221" w14:textId="77777777" w:rsidR="00C25CBD" w:rsidRPr="003A16B5" w:rsidRDefault="00454729" w:rsidP="003A16B5">
      <w:r w:rsidRPr="003A16B5">
        <w:lastRenderedPageBreak/>
        <w:drawing>
          <wp:inline distT="0" distB="0" distL="0" distR="0" wp14:anchorId="4E5229AB" wp14:editId="41156DDF">
            <wp:extent cx="5689631" cy="2453640"/>
            <wp:effectExtent l="0" t="0" r="0" b="0"/>
            <wp:docPr id="8" name="Image 8" descr="Image reflects a four-tiered compliance approach commonly referred to as a Braithwaite pyramid. It shoes the department's preference is to expend most effort on prevention and education, followed by enforcement, peer review, and fraud investig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Image reflects a four-tiered compliance approach commonly referred to as a Braithwaite pyramid. It shoes the department's preference is to expend most effort on prevention and education, followed by enforcement, peer review, and fraud investigation. "/>
                    <pic:cNvPicPr/>
                  </pic:nvPicPr>
                  <pic:blipFill>
                    <a:blip r:embed="rId17" cstate="print"/>
                    <a:stretch>
                      <a:fillRect/>
                    </a:stretch>
                  </pic:blipFill>
                  <pic:spPr>
                    <a:xfrm>
                      <a:off x="0" y="0"/>
                      <a:ext cx="5689631" cy="2453640"/>
                    </a:xfrm>
                    <a:prstGeom prst="rect">
                      <a:avLst/>
                    </a:prstGeom>
                  </pic:spPr>
                </pic:pic>
              </a:graphicData>
            </a:graphic>
          </wp:inline>
        </w:drawing>
      </w:r>
    </w:p>
    <w:p w14:paraId="71507BD5" w14:textId="77777777" w:rsidR="00C25CBD" w:rsidRDefault="00454729" w:rsidP="003A16B5">
      <w:pPr>
        <w:pStyle w:val="Heading1"/>
      </w:pPr>
      <w:bookmarkStart w:id="6" w:name="Compliance_priorities"/>
      <w:bookmarkEnd w:id="6"/>
      <w:r>
        <w:t>Compliance</w:t>
      </w:r>
      <w:r>
        <w:rPr>
          <w:spacing w:val="-6"/>
        </w:rPr>
        <w:t xml:space="preserve"> </w:t>
      </w:r>
      <w:r>
        <w:t>priorities</w:t>
      </w:r>
    </w:p>
    <w:p w14:paraId="37AB7BC9" w14:textId="77777777" w:rsidR="00C25CBD" w:rsidRPr="003A16B5" w:rsidRDefault="00454729" w:rsidP="003A16B5">
      <w:r w:rsidRPr="003A16B5">
        <w:t>We regularly review our compliance priorities. We choose issues based on their characteristics and considering the seriousness and scale of the harm posed to the Medicare system. Compliance priorities may relate to new and emerging risks, and those the department considers to be enduring. Focus areas are available on the department’s website.</w:t>
      </w:r>
    </w:p>
    <w:p w14:paraId="48B8ACF4" w14:textId="77777777" w:rsidR="00C25CBD" w:rsidRPr="003A16B5" w:rsidRDefault="00454729" w:rsidP="003A16B5">
      <w:r w:rsidRPr="003A16B5">
        <w:t>Our published compliance priorities reflect our commitment to act. The department also monitors and plans for environmental changes, meaning that compliance priorities may evolve in response to emerging risks.</w:t>
      </w:r>
    </w:p>
    <w:sectPr w:rsidR="00C25CBD" w:rsidRPr="003A16B5" w:rsidSect="003A16B5">
      <w:pgSz w:w="11910" w:h="16840"/>
      <w:pgMar w:top="1440" w:right="1440" w:bottom="1440" w:left="1440" w:header="426" w:footer="7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8DE50" w14:textId="77777777" w:rsidR="00FF4E1C" w:rsidRDefault="00FF4E1C">
      <w:r>
        <w:separator/>
      </w:r>
    </w:p>
  </w:endnote>
  <w:endnote w:type="continuationSeparator" w:id="0">
    <w:p w14:paraId="6DE3D08A" w14:textId="77777777" w:rsidR="00FF4E1C" w:rsidRDefault="00FF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290605"/>
      <w:docPartObj>
        <w:docPartGallery w:val="Page Numbers (Bottom of Page)"/>
        <w:docPartUnique/>
      </w:docPartObj>
    </w:sdtPr>
    <w:sdtEndPr>
      <w:rPr>
        <w:noProof/>
      </w:rPr>
    </w:sdtEndPr>
    <w:sdtContent>
      <w:p w14:paraId="681CDD15" w14:textId="1613CC2F" w:rsidR="003A16B5" w:rsidRDefault="003A16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25DE55" w14:textId="2CE3DF7A" w:rsidR="00C25CBD" w:rsidRDefault="003A16B5" w:rsidP="003A16B5">
    <w:pPr>
      <w:pStyle w:val="Footer"/>
      <w:tabs>
        <w:tab w:val="left" w:pos="8505"/>
      </w:tabs>
    </w:pPr>
    <w:r w:rsidRPr="003A16B5">
      <w:t>Health provider compliance strategy 2025-30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2D032" w14:textId="77777777" w:rsidR="00FF4E1C" w:rsidRDefault="00FF4E1C">
      <w:r>
        <w:separator/>
      </w:r>
    </w:p>
  </w:footnote>
  <w:footnote w:type="continuationSeparator" w:id="0">
    <w:p w14:paraId="4A54DFB4" w14:textId="77777777" w:rsidR="00FF4E1C" w:rsidRDefault="00FF4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5B2B0" w14:textId="5320BEA5" w:rsidR="003A16B5" w:rsidRDefault="003A16B5">
    <w:pPr>
      <w:pStyle w:val="Header"/>
    </w:pPr>
    <w:r w:rsidRPr="00F03B01">
      <w:rPr>
        <w:rFonts w:ascii="Times New Roman"/>
        <w:noProof/>
        <w:sz w:val="48"/>
        <w:lang w:val="en-AU"/>
      </w:rPr>
      <w:drawing>
        <wp:inline distT="0" distB="0" distL="0" distR="0" wp14:anchorId="2A3EA313" wp14:editId="49A14AA2">
          <wp:extent cx="3797559" cy="600921"/>
          <wp:effectExtent l="0" t="0" r="0" b="8890"/>
          <wp:docPr id="55146947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469477" name="Picture 2">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74811" cy="6131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8CC48" w14:textId="77777777" w:rsidR="00797B7F" w:rsidRPr="003A16B5" w:rsidRDefault="00797B7F" w:rsidP="003A1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0668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F12D32"/>
    <w:multiLevelType w:val="hybridMultilevel"/>
    <w:tmpl w:val="0F244BFC"/>
    <w:lvl w:ilvl="0" w:tplc="952C2D08">
      <w:numFmt w:val="bullet"/>
      <w:lvlText w:val=""/>
      <w:lvlJc w:val="left"/>
      <w:pPr>
        <w:ind w:left="1898" w:hanging="361"/>
      </w:pPr>
      <w:rPr>
        <w:rFonts w:ascii="Symbol" w:eastAsia="Symbol" w:hAnsi="Symbol" w:cs="Symbol" w:hint="default"/>
        <w:b w:val="0"/>
        <w:bCs w:val="0"/>
        <w:i w:val="0"/>
        <w:iCs w:val="0"/>
        <w:spacing w:val="0"/>
        <w:w w:val="100"/>
        <w:sz w:val="22"/>
        <w:szCs w:val="22"/>
        <w:lang w:val="en-US" w:eastAsia="en-US" w:bidi="ar-SA"/>
      </w:rPr>
    </w:lvl>
    <w:lvl w:ilvl="1" w:tplc="0F3E3392">
      <w:numFmt w:val="bullet"/>
      <w:lvlText w:val="•"/>
      <w:lvlJc w:val="left"/>
      <w:pPr>
        <w:ind w:left="2856" w:hanging="361"/>
      </w:pPr>
      <w:rPr>
        <w:rFonts w:hint="default"/>
        <w:lang w:val="en-US" w:eastAsia="en-US" w:bidi="ar-SA"/>
      </w:rPr>
    </w:lvl>
    <w:lvl w:ilvl="2" w:tplc="C3508734">
      <w:numFmt w:val="bullet"/>
      <w:lvlText w:val="•"/>
      <w:lvlJc w:val="left"/>
      <w:pPr>
        <w:ind w:left="3813" w:hanging="361"/>
      </w:pPr>
      <w:rPr>
        <w:rFonts w:hint="default"/>
        <w:lang w:val="en-US" w:eastAsia="en-US" w:bidi="ar-SA"/>
      </w:rPr>
    </w:lvl>
    <w:lvl w:ilvl="3" w:tplc="46A0CD50">
      <w:numFmt w:val="bullet"/>
      <w:lvlText w:val="•"/>
      <w:lvlJc w:val="left"/>
      <w:pPr>
        <w:ind w:left="4769" w:hanging="361"/>
      </w:pPr>
      <w:rPr>
        <w:rFonts w:hint="default"/>
        <w:lang w:val="en-US" w:eastAsia="en-US" w:bidi="ar-SA"/>
      </w:rPr>
    </w:lvl>
    <w:lvl w:ilvl="4" w:tplc="F5B6CAAA">
      <w:numFmt w:val="bullet"/>
      <w:lvlText w:val="•"/>
      <w:lvlJc w:val="left"/>
      <w:pPr>
        <w:ind w:left="5726" w:hanging="361"/>
      </w:pPr>
      <w:rPr>
        <w:rFonts w:hint="default"/>
        <w:lang w:val="en-US" w:eastAsia="en-US" w:bidi="ar-SA"/>
      </w:rPr>
    </w:lvl>
    <w:lvl w:ilvl="5" w:tplc="664C0B32">
      <w:numFmt w:val="bullet"/>
      <w:lvlText w:val="•"/>
      <w:lvlJc w:val="left"/>
      <w:pPr>
        <w:ind w:left="6683" w:hanging="361"/>
      </w:pPr>
      <w:rPr>
        <w:rFonts w:hint="default"/>
        <w:lang w:val="en-US" w:eastAsia="en-US" w:bidi="ar-SA"/>
      </w:rPr>
    </w:lvl>
    <w:lvl w:ilvl="6" w:tplc="CB9E0B44">
      <w:numFmt w:val="bullet"/>
      <w:lvlText w:val="•"/>
      <w:lvlJc w:val="left"/>
      <w:pPr>
        <w:ind w:left="7639" w:hanging="361"/>
      </w:pPr>
      <w:rPr>
        <w:rFonts w:hint="default"/>
        <w:lang w:val="en-US" w:eastAsia="en-US" w:bidi="ar-SA"/>
      </w:rPr>
    </w:lvl>
    <w:lvl w:ilvl="7" w:tplc="923202B2">
      <w:numFmt w:val="bullet"/>
      <w:lvlText w:val="•"/>
      <w:lvlJc w:val="left"/>
      <w:pPr>
        <w:ind w:left="8596" w:hanging="361"/>
      </w:pPr>
      <w:rPr>
        <w:rFonts w:hint="default"/>
        <w:lang w:val="en-US" w:eastAsia="en-US" w:bidi="ar-SA"/>
      </w:rPr>
    </w:lvl>
    <w:lvl w:ilvl="8" w:tplc="E706800E">
      <w:numFmt w:val="bullet"/>
      <w:lvlText w:val="•"/>
      <w:lvlJc w:val="left"/>
      <w:pPr>
        <w:ind w:left="9553" w:hanging="361"/>
      </w:pPr>
      <w:rPr>
        <w:rFonts w:hint="default"/>
        <w:lang w:val="en-US" w:eastAsia="en-US" w:bidi="ar-SA"/>
      </w:rPr>
    </w:lvl>
  </w:abstractNum>
  <w:abstractNum w:abstractNumId="2" w15:restartNumberingAfterBreak="0">
    <w:nsid w:val="53CD2E39"/>
    <w:multiLevelType w:val="hybridMultilevel"/>
    <w:tmpl w:val="8404308A"/>
    <w:lvl w:ilvl="0" w:tplc="812E552E">
      <w:numFmt w:val="bullet"/>
      <w:lvlText w:val=""/>
      <w:lvlJc w:val="left"/>
      <w:pPr>
        <w:ind w:left="2625" w:hanging="361"/>
      </w:pPr>
      <w:rPr>
        <w:rFonts w:ascii="Symbol" w:eastAsia="Symbol" w:hAnsi="Symbol" w:cs="Symbol" w:hint="default"/>
        <w:b w:val="0"/>
        <w:bCs w:val="0"/>
        <w:i w:val="0"/>
        <w:iCs w:val="0"/>
        <w:spacing w:val="0"/>
        <w:w w:val="100"/>
        <w:sz w:val="22"/>
        <w:szCs w:val="22"/>
        <w:lang w:val="en-US" w:eastAsia="en-US" w:bidi="ar-SA"/>
      </w:rPr>
    </w:lvl>
    <w:lvl w:ilvl="1" w:tplc="344E1500">
      <w:numFmt w:val="bullet"/>
      <w:lvlText w:val="•"/>
      <w:lvlJc w:val="left"/>
      <w:pPr>
        <w:ind w:left="3504" w:hanging="361"/>
      </w:pPr>
      <w:rPr>
        <w:rFonts w:hint="default"/>
        <w:lang w:val="en-US" w:eastAsia="en-US" w:bidi="ar-SA"/>
      </w:rPr>
    </w:lvl>
    <w:lvl w:ilvl="2" w:tplc="1B40E3BA">
      <w:numFmt w:val="bullet"/>
      <w:lvlText w:val="•"/>
      <w:lvlJc w:val="left"/>
      <w:pPr>
        <w:ind w:left="4389" w:hanging="361"/>
      </w:pPr>
      <w:rPr>
        <w:rFonts w:hint="default"/>
        <w:lang w:val="en-US" w:eastAsia="en-US" w:bidi="ar-SA"/>
      </w:rPr>
    </w:lvl>
    <w:lvl w:ilvl="3" w:tplc="01AA494C">
      <w:numFmt w:val="bullet"/>
      <w:lvlText w:val="•"/>
      <w:lvlJc w:val="left"/>
      <w:pPr>
        <w:ind w:left="5273" w:hanging="361"/>
      </w:pPr>
      <w:rPr>
        <w:rFonts w:hint="default"/>
        <w:lang w:val="en-US" w:eastAsia="en-US" w:bidi="ar-SA"/>
      </w:rPr>
    </w:lvl>
    <w:lvl w:ilvl="4" w:tplc="4CA8614A">
      <w:numFmt w:val="bullet"/>
      <w:lvlText w:val="•"/>
      <w:lvlJc w:val="left"/>
      <w:pPr>
        <w:ind w:left="6158" w:hanging="361"/>
      </w:pPr>
      <w:rPr>
        <w:rFonts w:hint="default"/>
        <w:lang w:val="en-US" w:eastAsia="en-US" w:bidi="ar-SA"/>
      </w:rPr>
    </w:lvl>
    <w:lvl w:ilvl="5" w:tplc="B00C5EEE">
      <w:numFmt w:val="bullet"/>
      <w:lvlText w:val="•"/>
      <w:lvlJc w:val="left"/>
      <w:pPr>
        <w:ind w:left="7043" w:hanging="361"/>
      </w:pPr>
      <w:rPr>
        <w:rFonts w:hint="default"/>
        <w:lang w:val="en-US" w:eastAsia="en-US" w:bidi="ar-SA"/>
      </w:rPr>
    </w:lvl>
    <w:lvl w:ilvl="6" w:tplc="319C760A">
      <w:numFmt w:val="bullet"/>
      <w:lvlText w:val="•"/>
      <w:lvlJc w:val="left"/>
      <w:pPr>
        <w:ind w:left="7927" w:hanging="361"/>
      </w:pPr>
      <w:rPr>
        <w:rFonts w:hint="default"/>
        <w:lang w:val="en-US" w:eastAsia="en-US" w:bidi="ar-SA"/>
      </w:rPr>
    </w:lvl>
    <w:lvl w:ilvl="7" w:tplc="E78EE370">
      <w:numFmt w:val="bullet"/>
      <w:lvlText w:val="•"/>
      <w:lvlJc w:val="left"/>
      <w:pPr>
        <w:ind w:left="8812" w:hanging="361"/>
      </w:pPr>
      <w:rPr>
        <w:rFonts w:hint="default"/>
        <w:lang w:val="en-US" w:eastAsia="en-US" w:bidi="ar-SA"/>
      </w:rPr>
    </w:lvl>
    <w:lvl w:ilvl="8" w:tplc="EA9AA408">
      <w:numFmt w:val="bullet"/>
      <w:lvlText w:val="•"/>
      <w:lvlJc w:val="left"/>
      <w:pPr>
        <w:ind w:left="9697" w:hanging="361"/>
      </w:pPr>
      <w:rPr>
        <w:rFonts w:hint="default"/>
        <w:lang w:val="en-US" w:eastAsia="en-US" w:bidi="ar-SA"/>
      </w:rPr>
    </w:lvl>
  </w:abstractNum>
  <w:num w:numId="1" w16cid:durableId="1729844068">
    <w:abstractNumId w:val="2"/>
  </w:num>
  <w:num w:numId="2" w16cid:durableId="1379937786">
    <w:abstractNumId w:val="1"/>
  </w:num>
  <w:num w:numId="3" w16cid:durableId="53165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BD"/>
    <w:rsid w:val="001C4EFB"/>
    <w:rsid w:val="00200DB0"/>
    <w:rsid w:val="003A16B5"/>
    <w:rsid w:val="00417DA2"/>
    <w:rsid w:val="004307A9"/>
    <w:rsid w:val="00437D50"/>
    <w:rsid w:val="00454729"/>
    <w:rsid w:val="00467877"/>
    <w:rsid w:val="00774528"/>
    <w:rsid w:val="00797B7F"/>
    <w:rsid w:val="00860CDC"/>
    <w:rsid w:val="00A37D5A"/>
    <w:rsid w:val="00AC7894"/>
    <w:rsid w:val="00AE7773"/>
    <w:rsid w:val="00B949B5"/>
    <w:rsid w:val="00C25CBD"/>
    <w:rsid w:val="00CB3D1F"/>
    <w:rsid w:val="00D27649"/>
    <w:rsid w:val="00D920E2"/>
    <w:rsid w:val="00E21126"/>
    <w:rsid w:val="00E21D70"/>
    <w:rsid w:val="00F03B01"/>
    <w:rsid w:val="00FB3C0E"/>
    <w:rsid w:val="00FF4E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4359B"/>
  <w15:docId w15:val="{FC2B0F08-B581-4E7D-96CC-6AAE5A4B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6B5"/>
    <w:pPr>
      <w:spacing w:before="120" w:after="120"/>
    </w:pPr>
    <w:rPr>
      <w:rFonts w:ascii="Arial" w:eastAsia="Arial" w:hAnsi="Arial" w:cs="Arial"/>
    </w:rPr>
  </w:style>
  <w:style w:type="paragraph" w:styleId="Heading1">
    <w:name w:val="heading 1"/>
    <w:basedOn w:val="Normal"/>
    <w:uiPriority w:val="9"/>
    <w:qFormat/>
    <w:rsid w:val="003A16B5"/>
    <w:pPr>
      <w:outlineLvl w:val="0"/>
    </w:pPr>
    <w:rPr>
      <w:b/>
      <w:bCs/>
      <w:color w:val="358188"/>
      <w:spacing w:val="-2"/>
      <w:sz w:val="36"/>
      <w:szCs w:val="36"/>
    </w:rPr>
  </w:style>
  <w:style w:type="paragraph" w:styleId="Heading2">
    <w:name w:val="heading 2"/>
    <w:basedOn w:val="Normal"/>
    <w:uiPriority w:val="9"/>
    <w:unhideWhenUsed/>
    <w:qFormat/>
    <w:rsid w:val="00FB3C0E"/>
    <w:pPr>
      <w:pBdr>
        <w:top w:val="single" w:sz="4" w:space="1" w:color="auto"/>
        <w:left w:val="single" w:sz="4" w:space="4" w:color="auto"/>
        <w:bottom w:val="single" w:sz="4" w:space="1" w:color="auto"/>
        <w:right w:val="single" w:sz="4" w:space="4" w:color="auto"/>
      </w:pBdr>
      <w:outlineLvl w:val="1"/>
    </w:pPr>
    <w:rPr>
      <w:color w:val="3E4975"/>
      <w:spacing w:val="1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8"/>
    </w:pPr>
  </w:style>
  <w:style w:type="paragraph" w:styleId="Title">
    <w:name w:val="Title"/>
    <w:basedOn w:val="Normal"/>
    <w:uiPriority w:val="10"/>
    <w:qFormat/>
    <w:rsid w:val="003A16B5"/>
    <w:pPr>
      <w:spacing w:before="600"/>
    </w:pPr>
    <w:rPr>
      <w:b/>
      <w:bCs/>
      <w:color w:val="3E4975"/>
      <w:sz w:val="48"/>
      <w:szCs w:val="48"/>
    </w:rPr>
  </w:style>
  <w:style w:type="paragraph" w:styleId="ListParagraph">
    <w:name w:val="List Paragraph"/>
    <w:basedOn w:val="Normal"/>
    <w:uiPriority w:val="1"/>
    <w:qFormat/>
    <w:pPr>
      <w:ind w:left="189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0CDC"/>
    <w:pPr>
      <w:tabs>
        <w:tab w:val="center" w:pos="4513"/>
        <w:tab w:val="right" w:pos="9026"/>
      </w:tabs>
    </w:pPr>
  </w:style>
  <w:style w:type="character" w:customStyle="1" w:styleId="HeaderChar">
    <w:name w:val="Header Char"/>
    <w:basedOn w:val="DefaultParagraphFont"/>
    <w:link w:val="Header"/>
    <w:uiPriority w:val="99"/>
    <w:rsid w:val="00860CDC"/>
    <w:rPr>
      <w:rFonts w:ascii="Arial" w:eastAsia="Arial" w:hAnsi="Arial" w:cs="Arial"/>
    </w:rPr>
  </w:style>
  <w:style w:type="paragraph" w:styleId="Footer">
    <w:name w:val="footer"/>
    <w:basedOn w:val="Normal"/>
    <w:link w:val="FooterChar"/>
    <w:uiPriority w:val="99"/>
    <w:unhideWhenUsed/>
    <w:rsid w:val="00860CDC"/>
    <w:pPr>
      <w:tabs>
        <w:tab w:val="center" w:pos="4513"/>
        <w:tab w:val="right" w:pos="9026"/>
      </w:tabs>
    </w:pPr>
  </w:style>
  <w:style w:type="character" w:customStyle="1" w:styleId="FooterChar">
    <w:name w:val="Footer Char"/>
    <w:basedOn w:val="DefaultParagraphFont"/>
    <w:link w:val="Footer"/>
    <w:uiPriority w:val="99"/>
    <w:rsid w:val="00860CDC"/>
    <w:rPr>
      <w:rFonts w:ascii="Arial" w:eastAsia="Arial" w:hAnsi="Arial" w:cs="Arial"/>
    </w:rPr>
  </w:style>
  <w:style w:type="paragraph" w:styleId="Subtitle">
    <w:name w:val="Subtitle"/>
    <w:basedOn w:val="Normal"/>
    <w:next w:val="Normal"/>
    <w:link w:val="SubtitleChar"/>
    <w:uiPriority w:val="11"/>
    <w:qFormat/>
    <w:rsid w:val="003A16B5"/>
    <w:pPr>
      <w:spacing w:before="240"/>
    </w:pPr>
    <w:rPr>
      <w:color w:val="3E4975"/>
      <w:spacing w:val="14"/>
      <w:sz w:val="40"/>
    </w:rPr>
  </w:style>
  <w:style w:type="character" w:customStyle="1" w:styleId="SubtitleChar">
    <w:name w:val="Subtitle Char"/>
    <w:basedOn w:val="DefaultParagraphFont"/>
    <w:link w:val="Subtitle"/>
    <w:uiPriority w:val="11"/>
    <w:rsid w:val="003A16B5"/>
    <w:rPr>
      <w:rFonts w:ascii="Arial" w:eastAsia="Arial" w:hAnsi="Arial" w:cs="Arial"/>
      <w:color w:val="3E4975"/>
      <w:spacing w:val="14"/>
      <w:sz w:val="40"/>
    </w:rPr>
  </w:style>
  <w:style w:type="paragraph" w:styleId="ListBullet">
    <w:name w:val="List Bullet"/>
    <w:basedOn w:val="Normal"/>
    <w:uiPriority w:val="99"/>
    <w:unhideWhenUsed/>
    <w:rsid w:val="00FB3C0E"/>
    <w:pPr>
      <w:numPr>
        <w:numId w:val="3"/>
      </w:numPr>
      <w:tabs>
        <w:tab w:val="clear" w:pos="360"/>
      </w:tabs>
      <w:ind w:left="584" w:hanging="357"/>
      <w:contextualSpacing/>
    </w:pPr>
  </w:style>
  <w:style w:type="character" w:styleId="Strong">
    <w:name w:val="Strong"/>
    <w:basedOn w:val="DefaultParagraphFont"/>
    <w:uiPriority w:val="22"/>
    <w:qFormat/>
    <w:rsid w:val="003A16B5"/>
    <w:rPr>
      <w:b/>
      <w:bCs/>
    </w:rPr>
  </w:style>
  <w:style w:type="paragraph" w:customStyle="1" w:styleId="Normalindent">
    <w:name w:val="Normal indent"/>
    <w:basedOn w:val="Normal"/>
    <w:link w:val="NormalindentChar"/>
    <w:qFormat/>
    <w:rsid w:val="00FB3C0E"/>
    <w:pPr>
      <w:ind w:left="567"/>
    </w:pPr>
  </w:style>
  <w:style w:type="character" w:customStyle="1" w:styleId="NormalindentChar">
    <w:name w:val="Normal indent Char"/>
    <w:basedOn w:val="DefaultParagraphFont"/>
    <w:link w:val="Normalindent"/>
    <w:rsid w:val="00FB3C0E"/>
    <w:rPr>
      <w:rFonts w:ascii="Arial" w:eastAsia="Arial" w:hAnsi="Arial" w:cs="Arial"/>
    </w:rPr>
  </w:style>
  <w:style w:type="paragraph" w:customStyle="1" w:styleId="Boxtext">
    <w:name w:val="Box text"/>
    <w:basedOn w:val="Normal"/>
    <w:link w:val="BoxtextChar"/>
    <w:qFormat/>
    <w:rsid w:val="00FB3C0E"/>
    <w:pPr>
      <w:pBdr>
        <w:top w:val="single" w:sz="4" w:space="1" w:color="auto"/>
        <w:left w:val="single" w:sz="4" w:space="4" w:color="auto"/>
        <w:bottom w:val="single" w:sz="4" w:space="1" w:color="auto"/>
        <w:right w:val="single" w:sz="4" w:space="4" w:color="auto"/>
      </w:pBdr>
    </w:pPr>
  </w:style>
  <w:style w:type="character" w:customStyle="1" w:styleId="BoxtextChar">
    <w:name w:val="Box text Char"/>
    <w:basedOn w:val="DefaultParagraphFont"/>
    <w:link w:val="Boxtext"/>
    <w:rsid w:val="00FB3C0E"/>
    <w:rPr>
      <w:rFonts w:ascii="Arial" w:eastAsia="Arial" w:hAnsi="Arial" w:cs="Arial"/>
    </w:rPr>
  </w:style>
  <w:style w:type="paragraph" w:customStyle="1" w:styleId="Boxtextindent">
    <w:name w:val="Box text (indent)"/>
    <w:basedOn w:val="Normalindent"/>
    <w:link w:val="BoxtextindentChar"/>
    <w:qFormat/>
    <w:rsid w:val="00CB3D1F"/>
    <w:pPr>
      <w:pBdr>
        <w:top w:val="single" w:sz="4" w:space="1" w:color="auto"/>
        <w:left w:val="single" w:sz="4" w:space="4" w:color="auto"/>
        <w:bottom w:val="single" w:sz="4" w:space="1" w:color="auto"/>
        <w:right w:val="single" w:sz="4" w:space="4" w:color="auto"/>
      </w:pBdr>
    </w:pPr>
  </w:style>
  <w:style w:type="character" w:customStyle="1" w:styleId="BoxtextindentChar">
    <w:name w:val="Box text (indent) Char"/>
    <w:basedOn w:val="NormalindentChar"/>
    <w:link w:val="Boxtextindent"/>
    <w:rsid w:val="00CB3D1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2193">
      <w:bodyDiv w:val="1"/>
      <w:marLeft w:val="0"/>
      <w:marRight w:val="0"/>
      <w:marTop w:val="0"/>
      <w:marBottom w:val="0"/>
      <w:divBdr>
        <w:top w:val="none" w:sz="0" w:space="0" w:color="auto"/>
        <w:left w:val="none" w:sz="0" w:space="0" w:color="auto"/>
        <w:bottom w:val="none" w:sz="0" w:space="0" w:color="auto"/>
        <w:right w:val="none" w:sz="0" w:space="0" w:color="auto"/>
      </w:divBdr>
    </w:div>
    <w:div w:id="209154624">
      <w:bodyDiv w:val="1"/>
      <w:marLeft w:val="0"/>
      <w:marRight w:val="0"/>
      <w:marTop w:val="0"/>
      <w:marBottom w:val="0"/>
      <w:divBdr>
        <w:top w:val="none" w:sz="0" w:space="0" w:color="auto"/>
        <w:left w:val="none" w:sz="0" w:space="0" w:color="auto"/>
        <w:bottom w:val="none" w:sz="0" w:space="0" w:color="auto"/>
        <w:right w:val="none" w:sz="0" w:space="0" w:color="auto"/>
      </w:divBdr>
    </w:div>
    <w:div w:id="237137579">
      <w:bodyDiv w:val="1"/>
      <w:marLeft w:val="0"/>
      <w:marRight w:val="0"/>
      <w:marTop w:val="0"/>
      <w:marBottom w:val="0"/>
      <w:divBdr>
        <w:top w:val="none" w:sz="0" w:space="0" w:color="auto"/>
        <w:left w:val="none" w:sz="0" w:space="0" w:color="auto"/>
        <w:bottom w:val="none" w:sz="0" w:space="0" w:color="auto"/>
        <w:right w:val="none" w:sz="0" w:space="0" w:color="auto"/>
      </w:divBdr>
    </w:div>
    <w:div w:id="969021883">
      <w:bodyDiv w:val="1"/>
      <w:marLeft w:val="0"/>
      <w:marRight w:val="0"/>
      <w:marTop w:val="0"/>
      <w:marBottom w:val="0"/>
      <w:divBdr>
        <w:top w:val="none" w:sz="0" w:space="0" w:color="auto"/>
        <w:left w:val="none" w:sz="0" w:space="0" w:color="auto"/>
        <w:bottom w:val="none" w:sz="0" w:space="0" w:color="auto"/>
        <w:right w:val="none" w:sz="0" w:space="0" w:color="auto"/>
      </w:divBdr>
    </w:div>
    <w:div w:id="1443569626">
      <w:bodyDiv w:val="1"/>
      <w:marLeft w:val="0"/>
      <w:marRight w:val="0"/>
      <w:marTop w:val="0"/>
      <w:marBottom w:val="0"/>
      <w:divBdr>
        <w:top w:val="none" w:sz="0" w:space="0" w:color="auto"/>
        <w:left w:val="none" w:sz="0" w:space="0" w:color="auto"/>
        <w:bottom w:val="none" w:sz="0" w:space="0" w:color="auto"/>
        <w:right w:val="none" w:sz="0" w:space="0" w:color="auto"/>
      </w:divBdr>
    </w:div>
    <w:div w:id="1799910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health.gov.au/topics/medicare/compliance/reporting-incorrect-billing-claiming-or-suspected-fraud"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gov.au/topics/medicare/compliance/reporting-incorrect-billing-claiming-or-suspected-frau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98A05-A2A6-48EC-BED5-83CC034407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6A1767-F6B6-407A-86CE-9700BE7FC8CD}">
  <ds:schemaRefs>
    <ds:schemaRef ds:uri="http://schemas.microsoft.com/sharepoint/v3/contenttype/forms"/>
  </ds:schemaRefs>
</ds:datastoreItem>
</file>

<file path=customXml/itemProps3.xml><?xml version="1.0" encoding="utf-8"?>
<ds:datastoreItem xmlns:ds="http://schemas.openxmlformats.org/officeDocument/2006/customXml" ds:itemID="{B353430F-9368-491D-B5A8-B107A11AC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Health Provider Compliance Strategy 2025–30</vt:lpstr>
    </vt:vector>
  </TitlesOfParts>
  <Company>Department of Health</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Provider Compliance Strategy 2025–30</dc:title>
  <dc:subject>Medicare compliance</dc:subject>
  <dc:creator>Australian Government Department of Health, Disability and Aged Care</dc:creator>
  <cp:keywords>Medicare</cp:keywords>
  <cp:lastModifiedBy>MASCHKE, Elvia</cp:lastModifiedBy>
  <cp:revision>2</cp:revision>
  <cp:lastPrinted>2025-09-23T01:30:00Z</cp:lastPrinted>
  <dcterms:created xsi:type="dcterms:W3CDTF">2025-09-25T06:48:00Z</dcterms:created>
  <dcterms:modified xsi:type="dcterms:W3CDTF">2025-09-25T06:48:00Z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Acrobat PDFMaker 24 for Word</vt:lpwstr>
  </property>
  <property fmtid="{D5CDD505-2E9C-101B-9397-08002B2CF9AE}" pid="4" name="LastSaved">
    <vt:filetime>2025-09-22T00:00:00Z</vt:filetime>
  </property>
  <property fmtid="{D5CDD505-2E9C-101B-9397-08002B2CF9AE}" pid="5" name="Producer">
    <vt:lpwstr>Adobe PDF Library 24.5.83</vt:lpwstr>
  </property>
</Properties>
</file>