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968F3" w14:textId="4B93DD43" w:rsidR="00553175" w:rsidRPr="00600C0E" w:rsidRDefault="00222CD8" w:rsidP="00212219">
      <w:pPr>
        <w:pStyle w:val="Heading1"/>
        <w:ind w:right="-285"/>
      </w:pPr>
      <w:r w:rsidRPr="00600C0E">
        <w:t>PBS Prescriber</w:t>
      </w:r>
      <w:r w:rsidR="00D76F2A" w:rsidRPr="00600C0E">
        <w:t xml:space="preserve"> Fact</w:t>
      </w:r>
      <w:r w:rsidR="00212219">
        <w:t xml:space="preserve"> S</w:t>
      </w:r>
      <w:r w:rsidR="00D76F2A" w:rsidRPr="00600C0E">
        <w:t>heet</w:t>
      </w:r>
      <w:r w:rsidR="00600C0E">
        <w:t xml:space="preserve">: </w:t>
      </w:r>
      <w:r w:rsidR="67A61677" w:rsidRPr="00600C0E">
        <w:t>E</w:t>
      </w:r>
      <w:r w:rsidR="3768A0E7" w:rsidRPr="00600C0E">
        <w:t>lectronic National Residential Medication Charts</w:t>
      </w:r>
      <w:r w:rsidR="2B1AB9B2" w:rsidRPr="00600C0E">
        <w:t xml:space="preserve"> </w:t>
      </w:r>
      <w:r w:rsidR="3792C68A" w:rsidRPr="00600C0E">
        <w:t>(eNRMC)</w:t>
      </w:r>
    </w:p>
    <w:p w14:paraId="50C104CF" w14:textId="26F4414B" w:rsidR="00CA2644" w:rsidRDefault="00BF1FCE" w:rsidP="0074748B">
      <w:pPr>
        <w:pStyle w:val="Heading2"/>
      </w:pPr>
      <w:r w:rsidRPr="00600C0E">
        <w:t>E</w:t>
      </w:r>
      <w:r w:rsidR="2B1AB9B2" w:rsidRPr="00600C0E">
        <w:t xml:space="preserve">lectronic </w:t>
      </w:r>
      <w:r w:rsidR="42FBD49B" w:rsidRPr="00600C0E">
        <w:t>p</w:t>
      </w:r>
      <w:r w:rsidR="2B1AB9B2" w:rsidRPr="00600C0E">
        <w:t>rescribin</w:t>
      </w:r>
      <w:r w:rsidR="00A95DEC" w:rsidRPr="00600C0E">
        <w:t>g</w:t>
      </w:r>
      <w:r w:rsidRPr="00600C0E">
        <w:t xml:space="preserve"> capability </w:t>
      </w:r>
      <w:r w:rsidR="00E03B6F" w:rsidRPr="00600C0E">
        <w:t>for</w:t>
      </w:r>
      <w:r w:rsidRPr="00600C0E">
        <w:t xml:space="preserve"> </w:t>
      </w:r>
      <w:r w:rsidR="00E03B6F" w:rsidRPr="00600C0E">
        <w:t xml:space="preserve">residential </w:t>
      </w:r>
      <w:r w:rsidRPr="00600C0E">
        <w:t>aged care</w:t>
      </w:r>
    </w:p>
    <w:p w14:paraId="0EB290A3" w14:textId="18CF0DE2" w:rsidR="00CA2644" w:rsidRPr="0074748B" w:rsidRDefault="0074748B" w:rsidP="0074748B">
      <w:pPr>
        <w:pStyle w:val="Intropara"/>
        <w:rPr>
          <w:szCs w:val="28"/>
        </w:rPr>
        <w:sectPr w:rsidR="00CA2644" w:rsidRPr="0074748B" w:rsidSect="00C75253">
          <w:headerReference w:type="default" r:id="rId11"/>
          <w:footerReference w:type="default" r:id="rId12"/>
          <w:headerReference w:type="first" r:id="rId13"/>
          <w:footerReference w:type="first" r:id="rId14"/>
          <w:type w:val="continuous"/>
          <w:pgSz w:w="11906" w:h="16838"/>
          <w:pgMar w:top="851" w:right="1134" w:bottom="1134" w:left="1134" w:header="850" w:footer="680" w:gutter="0"/>
          <w:cols w:space="708"/>
          <w:titlePg/>
          <w:docGrid w:linePitch="360"/>
        </w:sectPr>
      </w:pPr>
      <w:r w:rsidRPr="0074748B">
        <w:rPr>
          <w:szCs w:val="28"/>
        </w:rPr>
        <w:t xml:space="preserve">The Department of Health, Disability and Ageing and the Australian Digital Health Agency are working with eNRMC software vendors to ensure electronic prescribing enabled eNRMC systems are available by </w:t>
      </w:r>
      <w:r>
        <w:rPr>
          <w:szCs w:val="28"/>
        </w:rPr>
        <w:t>0</w:t>
      </w:r>
      <w:r w:rsidRPr="0074748B">
        <w:rPr>
          <w:szCs w:val="28"/>
        </w:rPr>
        <w:t>1 October 2025.</w:t>
      </w:r>
    </w:p>
    <w:p w14:paraId="05BCC99B" w14:textId="0855840B" w:rsidR="008C3507" w:rsidRPr="00600C0E" w:rsidRDefault="008C3507" w:rsidP="00536D5A">
      <w:pPr>
        <w:pStyle w:val="Heading3"/>
      </w:pPr>
      <w:r w:rsidRPr="00600C0E">
        <w:t>Why the Government invested in eNRMC and what happens next</w:t>
      </w:r>
      <w:r w:rsidR="00685D96" w:rsidRPr="00600C0E">
        <w:t>?</w:t>
      </w:r>
    </w:p>
    <w:p w14:paraId="68CECE37" w14:textId="63661DF7" w:rsidR="00360E11" w:rsidRPr="0074748B" w:rsidRDefault="00F14C48" w:rsidP="00600C0E">
      <w:pPr>
        <w:rPr>
          <w:rFonts w:eastAsia="Arial"/>
          <w:sz w:val="20"/>
          <w:szCs w:val="20"/>
        </w:rPr>
      </w:pPr>
      <w:r w:rsidRPr="0074748B">
        <w:rPr>
          <w:sz w:val="20"/>
          <w:szCs w:val="20"/>
        </w:rPr>
        <w:t xml:space="preserve">An </w:t>
      </w:r>
      <w:r w:rsidR="00E23AA0" w:rsidRPr="00536D5A">
        <w:rPr>
          <w:b/>
          <w:bCs/>
          <w:sz w:val="20"/>
          <w:szCs w:val="20"/>
        </w:rPr>
        <w:t>electronic National Residential Medication Chart (eNRMC)</w:t>
      </w:r>
      <w:r w:rsidRPr="00536D5A">
        <w:rPr>
          <w:b/>
          <w:bCs/>
          <w:sz w:val="20"/>
          <w:szCs w:val="20"/>
        </w:rPr>
        <w:t xml:space="preserve"> system</w:t>
      </w:r>
      <w:r w:rsidRPr="0074748B">
        <w:rPr>
          <w:sz w:val="20"/>
          <w:szCs w:val="20"/>
        </w:rPr>
        <w:t xml:space="preserve"> is a</w:t>
      </w:r>
      <w:r w:rsidR="003767F5" w:rsidRPr="0074748B">
        <w:rPr>
          <w:sz w:val="20"/>
          <w:szCs w:val="20"/>
        </w:rPr>
        <w:t xml:space="preserve">n </w:t>
      </w:r>
      <w:r w:rsidRPr="0074748B">
        <w:rPr>
          <w:sz w:val="20"/>
          <w:szCs w:val="20"/>
        </w:rPr>
        <w:t>electronic medication management system used in residential aged care</w:t>
      </w:r>
      <w:r w:rsidR="00CD3F07" w:rsidRPr="0074748B">
        <w:rPr>
          <w:sz w:val="20"/>
          <w:szCs w:val="20"/>
        </w:rPr>
        <w:t xml:space="preserve"> homes (RACH)</w:t>
      </w:r>
      <w:r w:rsidRPr="0074748B">
        <w:rPr>
          <w:sz w:val="20"/>
          <w:szCs w:val="20"/>
        </w:rPr>
        <w:t xml:space="preserve"> to electronically prescribe, supply, and track </w:t>
      </w:r>
      <w:r w:rsidR="00F510F5" w:rsidRPr="0074748B">
        <w:rPr>
          <w:sz w:val="20"/>
          <w:szCs w:val="20"/>
        </w:rPr>
        <w:t xml:space="preserve">medicine </w:t>
      </w:r>
      <w:r w:rsidRPr="0074748B">
        <w:rPr>
          <w:sz w:val="20"/>
          <w:szCs w:val="20"/>
        </w:rPr>
        <w:t xml:space="preserve">administration. </w:t>
      </w:r>
      <w:r w:rsidR="00C04C70" w:rsidRPr="0074748B">
        <w:rPr>
          <w:sz w:val="20"/>
          <w:szCs w:val="20"/>
        </w:rPr>
        <w:t xml:space="preserve">eNRMC systems </w:t>
      </w:r>
      <w:r w:rsidRPr="0074748B">
        <w:rPr>
          <w:sz w:val="20"/>
          <w:szCs w:val="20"/>
        </w:rPr>
        <w:t xml:space="preserve">provide </w:t>
      </w:r>
      <w:r w:rsidR="00506787" w:rsidRPr="00536D5A">
        <w:rPr>
          <w:b/>
          <w:bCs/>
          <w:sz w:val="20"/>
          <w:szCs w:val="20"/>
        </w:rPr>
        <w:t>increased</w:t>
      </w:r>
      <w:r w:rsidRPr="00536D5A">
        <w:rPr>
          <w:b/>
          <w:bCs/>
          <w:sz w:val="20"/>
          <w:szCs w:val="20"/>
        </w:rPr>
        <w:t xml:space="preserve"> flexibility, coordination, and access to real-time </w:t>
      </w:r>
      <w:r w:rsidR="00AC2EE0" w:rsidRPr="00536D5A">
        <w:rPr>
          <w:b/>
          <w:bCs/>
          <w:sz w:val="20"/>
          <w:szCs w:val="20"/>
        </w:rPr>
        <w:t xml:space="preserve">medicine </w:t>
      </w:r>
      <w:r w:rsidRPr="00536D5A">
        <w:rPr>
          <w:b/>
          <w:bCs/>
          <w:sz w:val="20"/>
          <w:szCs w:val="20"/>
        </w:rPr>
        <w:t>information across multiple care settings,</w:t>
      </w:r>
      <w:r w:rsidRPr="0074748B">
        <w:rPr>
          <w:sz w:val="20"/>
          <w:szCs w:val="20"/>
        </w:rPr>
        <w:t xml:space="preserve"> reduc</w:t>
      </w:r>
      <w:r w:rsidR="00506787" w:rsidRPr="0074748B">
        <w:rPr>
          <w:sz w:val="20"/>
          <w:szCs w:val="20"/>
        </w:rPr>
        <w:t>ing</w:t>
      </w:r>
      <w:r w:rsidRPr="0074748B">
        <w:rPr>
          <w:sz w:val="20"/>
          <w:szCs w:val="20"/>
        </w:rPr>
        <w:t xml:space="preserve"> </w:t>
      </w:r>
      <w:r w:rsidR="0025379C" w:rsidRPr="0074748B">
        <w:rPr>
          <w:sz w:val="20"/>
          <w:szCs w:val="20"/>
        </w:rPr>
        <w:t xml:space="preserve">the </w:t>
      </w:r>
      <w:r w:rsidRPr="0074748B">
        <w:rPr>
          <w:sz w:val="20"/>
          <w:szCs w:val="20"/>
        </w:rPr>
        <w:t>burden on care teams and patient safety risks.</w:t>
      </w:r>
    </w:p>
    <w:p w14:paraId="541D3540" w14:textId="5F988A9C" w:rsidR="007F753B" w:rsidRPr="0074748B" w:rsidRDefault="00360E11" w:rsidP="00600C0E">
      <w:pPr>
        <w:rPr>
          <w:rFonts w:eastAsia="Arial"/>
          <w:sz w:val="20"/>
          <w:szCs w:val="20"/>
        </w:rPr>
      </w:pPr>
      <w:r w:rsidRPr="0074748B">
        <w:rPr>
          <w:rFonts w:eastAsia="Arial"/>
          <w:sz w:val="20"/>
          <w:szCs w:val="20"/>
        </w:rPr>
        <w:t xml:space="preserve">In response to the Royal Commission into Aged Care Quality and Safety, </w:t>
      </w:r>
      <w:r w:rsidR="004B5A8A" w:rsidRPr="0074748B">
        <w:rPr>
          <w:rFonts w:eastAsia="Arial"/>
          <w:sz w:val="20"/>
          <w:szCs w:val="20"/>
        </w:rPr>
        <w:t>the government invested significantly in eNRMC adoption</w:t>
      </w:r>
      <w:r w:rsidR="001573B2" w:rsidRPr="0074748B">
        <w:rPr>
          <w:rFonts w:eastAsia="Arial"/>
          <w:sz w:val="20"/>
          <w:szCs w:val="20"/>
        </w:rPr>
        <w:t xml:space="preserve"> through a grant supported by</w:t>
      </w:r>
      <w:r w:rsidR="004B5A8A" w:rsidRPr="0074748B">
        <w:rPr>
          <w:rFonts w:eastAsia="Arial"/>
          <w:sz w:val="20"/>
          <w:szCs w:val="20"/>
        </w:rPr>
        <w:t xml:space="preserve"> a</w:t>
      </w:r>
      <w:r w:rsidRPr="0074748B">
        <w:rPr>
          <w:rFonts w:eastAsia="Arial"/>
          <w:sz w:val="20"/>
          <w:szCs w:val="20"/>
        </w:rPr>
        <w:t xml:space="preserve"> temporary</w:t>
      </w:r>
      <w:r w:rsidR="004B5A8A" w:rsidRPr="0074748B">
        <w:rPr>
          <w:rFonts w:eastAsia="Arial"/>
          <w:sz w:val="20"/>
          <w:szCs w:val="20"/>
        </w:rPr>
        <w:t> </w:t>
      </w:r>
      <w:r w:rsidR="004B5A8A" w:rsidRPr="00536D5A">
        <w:rPr>
          <w:rFonts w:eastAsia="Arial"/>
          <w:b/>
          <w:bCs/>
          <w:sz w:val="20"/>
          <w:szCs w:val="20"/>
        </w:rPr>
        <w:t>Transitional Arrangement</w:t>
      </w:r>
      <w:r w:rsidR="7598DB0C" w:rsidRPr="0074748B">
        <w:rPr>
          <w:rFonts w:eastAsia="Arial"/>
          <w:sz w:val="20"/>
          <w:szCs w:val="20"/>
        </w:rPr>
        <w:t xml:space="preserve"> in 2022</w:t>
      </w:r>
      <w:r w:rsidR="004B5A8A" w:rsidRPr="0074748B">
        <w:rPr>
          <w:rFonts w:eastAsia="Arial"/>
          <w:sz w:val="20"/>
          <w:szCs w:val="20"/>
        </w:rPr>
        <w:t>.</w:t>
      </w:r>
      <w:r w:rsidR="001573B2" w:rsidRPr="0074748B">
        <w:rPr>
          <w:rFonts w:eastAsia="Arial"/>
          <w:sz w:val="20"/>
          <w:szCs w:val="20"/>
        </w:rPr>
        <w:t xml:space="preserve"> </w:t>
      </w:r>
      <w:r w:rsidR="004B5A8A" w:rsidRPr="0074748B">
        <w:rPr>
          <w:rFonts w:eastAsia="Arial"/>
          <w:sz w:val="20"/>
          <w:szCs w:val="20"/>
        </w:rPr>
        <w:t>This allowed RACHs to begin using eNRMC systems before full electronic prescribing functionality was available.</w:t>
      </w:r>
    </w:p>
    <w:p w14:paraId="463C3E05" w14:textId="65626155" w:rsidR="00F400F5" w:rsidRPr="0074748B" w:rsidRDefault="00F400F5" w:rsidP="00600C0E">
      <w:pPr>
        <w:rPr>
          <w:sz w:val="20"/>
          <w:szCs w:val="20"/>
        </w:rPr>
      </w:pPr>
      <w:r w:rsidRPr="0074748B">
        <w:rPr>
          <w:sz w:val="20"/>
          <w:szCs w:val="20"/>
        </w:rPr>
        <w:t>However, the </w:t>
      </w:r>
      <w:r w:rsidRPr="00536D5A">
        <w:rPr>
          <w:b/>
          <w:bCs/>
          <w:sz w:val="20"/>
          <w:szCs w:val="20"/>
        </w:rPr>
        <w:t>Transitional Arrangement is ending</w:t>
      </w:r>
      <w:r w:rsidR="00FD25EA" w:rsidRPr="00536D5A">
        <w:rPr>
          <w:b/>
          <w:bCs/>
          <w:sz w:val="20"/>
          <w:szCs w:val="20"/>
        </w:rPr>
        <w:t xml:space="preserve"> soon</w:t>
      </w:r>
      <w:r w:rsidR="00247CDB" w:rsidRPr="0074748B">
        <w:rPr>
          <w:sz w:val="20"/>
          <w:szCs w:val="20"/>
        </w:rPr>
        <w:t xml:space="preserve"> (more details on the following page)</w:t>
      </w:r>
      <w:r w:rsidRPr="0074748B">
        <w:rPr>
          <w:sz w:val="20"/>
          <w:szCs w:val="20"/>
        </w:rPr>
        <w:t xml:space="preserve">, and only eNRMC systems that meet </w:t>
      </w:r>
      <w:r w:rsidRPr="00536D5A">
        <w:rPr>
          <w:b/>
          <w:bCs/>
          <w:sz w:val="20"/>
          <w:szCs w:val="20"/>
        </w:rPr>
        <w:t>full </w:t>
      </w:r>
      <w:r w:rsidR="001573B2" w:rsidRPr="00536D5A">
        <w:rPr>
          <w:b/>
          <w:bCs/>
          <w:sz w:val="20"/>
          <w:szCs w:val="20"/>
        </w:rPr>
        <w:t>E</w:t>
      </w:r>
      <w:r w:rsidRPr="00536D5A">
        <w:rPr>
          <w:b/>
          <w:bCs/>
          <w:sz w:val="20"/>
          <w:szCs w:val="20"/>
        </w:rPr>
        <w:t>lectronic Prescribing Conformance</w:t>
      </w:r>
      <w:r w:rsidR="001573B2" w:rsidRPr="00536D5A">
        <w:rPr>
          <w:b/>
          <w:bCs/>
          <w:sz w:val="20"/>
          <w:szCs w:val="20"/>
        </w:rPr>
        <w:t xml:space="preserve"> and legislative r</w:t>
      </w:r>
      <w:r w:rsidRPr="00536D5A">
        <w:rPr>
          <w:b/>
          <w:bCs/>
          <w:sz w:val="20"/>
          <w:szCs w:val="20"/>
        </w:rPr>
        <w:t>equirements</w:t>
      </w:r>
      <w:r w:rsidRPr="0074748B">
        <w:rPr>
          <w:sz w:val="20"/>
          <w:szCs w:val="20"/>
        </w:rPr>
        <w:t> will be permitted for continued use</w:t>
      </w:r>
      <w:r w:rsidR="7936A549" w:rsidRPr="0074748B">
        <w:rPr>
          <w:sz w:val="20"/>
          <w:szCs w:val="20"/>
        </w:rPr>
        <w:t xml:space="preserve"> for prescribing purposes. RACH</w:t>
      </w:r>
      <w:r w:rsidR="00536D5A">
        <w:rPr>
          <w:sz w:val="20"/>
          <w:szCs w:val="20"/>
        </w:rPr>
        <w:t>s</w:t>
      </w:r>
      <w:r w:rsidR="7936A549" w:rsidRPr="0074748B">
        <w:rPr>
          <w:sz w:val="20"/>
          <w:szCs w:val="20"/>
        </w:rPr>
        <w:t xml:space="preserve"> can continue to use </w:t>
      </w:r>
      <w:r w:rsidR="62A9E50B" w:rsidRPr="0074748B">
        <w:rPr>
          <w:sz w:val="20"/>
          <w:szCs w:val="20"/>
        </w:rPr>
        <w:t>non conformant</w:t>
      </w:r>
      <w:r w:rsidR="7936A549" w:rsidRPr="0074748B">
        <w:rPr>
          <w:sz w:val="20"/>
          <w:szCs w:val="20"/>
        </w:rPr>
        <w:t xml:space="preserve"> systems </w:t>
      </w:r>
      <w:r w:rsidR="6EFB87CB" w:rsidRPr="0074748B">
        <w:rPr>
          <w:sz w:val="20"/>
          <w:szCs w:val="20"/>
        </w:rPr>
        <w:t xml:space="preserve">for </w:t>
      </w:r>
      <w:r w:rsidR="30082856" w:rsidRPr="0074748B">
        <w:rPr>
          <w:sz w:val="20"/>
          <w:szCs w:val="20"/>
        </w:rPr>
        <w:t xml:space="preserve">medicine administration, </w:t>
      </w:r>
      <w:r w:rsidR="02975E43" w:rsidRPr="0074748B">
        <w:rPr>
          <w:sz w:val="20"/>
          <w:szCs w:val="20"/>
        </w:rPr>
        <w:t>however</w:t>
      </w:r>
      <w:r w:rsidRPr="0074748B">
        <w:rPr>
          <w:sz w:val="20"/>
          <w:szCs w:val="20"/>
        </w:rPr>
        <w:t xml:space="preserve"> </w:t>
      </w:r>
      <w:r w:rsidR="5F874FA5" w:rsidRPr="0074748B">
        <w:rPr>
          <w:sz w:val="20"/>
          <w:szCs w:val="20"/>
        </w:rPr>
        <w:t xml:space="preserve">separate </w:t>
      </w:r>
      <w:r w:rsidRPr="0074748B">
        <w:rPr>
          <w:sz w:val="20"/>
          <w:szCs w:val="20"/>
        </w:rPr>
        <w:t>paper or electronic prescriptions</w:t>
      </w:r>
      <w:r w:rsidR="66B5096F" w:rsidRPr="0074748B">
        <w:rPr>
          <w:sz w:val="20"/>
          <w:szCs w:val="20"/>
        </w:rPr>
        <w:t xml:space="preserve"> </w:t>
      </w:r>
      <w:r w:rsidR="2DC8DD2F" w:rsidRPr="0074748B">
        <w:rPr>
          <w:sz w:val="20"/>
          <w:szCs w:val="20"/>
        </w:rPr>
        <w:t>will be required</w:t>
      </w:r>
      <w:r w:rsidRPr="0074748B">
        <w:rPr>
          <w:sz w:val="20"/>
          <w:szCs w:val="20"/>
        </w:rPr>
        <w:t xml:space="preserve"> </w:t>
      </w:r>
      <w:r w:rsidR="5A503424" w:rsidRPr="0074748B">
        <w:rPr>
          <w:sz w:val="20"/>
          <w:szCs w:val="20"/>
        </w:rPr>
        <w:t>for</w:t>
      </w:r>
      <w:r w:rsidRPr="0074748B">
        <w:rPr>
          <w:sz w:val="20"/>
          <w:szCs w:val="20"/>
        </w:rPr>
        <w:t xml:space="preserve"> </w:t>
      </w:r>
      <w:r w:rsidR="4F3598CD" w:rsidRPr="0074748B">
        <w:rPr>
          <w:sz w:val="20"/>
          <w:szCs w:val="20"/>
        </w:rPr>
        <w:t xml:space="preserve">PBS </w:t>
      </w:r>
      <w:r w:rsidR="5A503424" w:rsidRPr="0074748B">
        <w:rPr>
          <w:sz w:val="20"/>
          <w:szCs w:val="20"/>
        </w:rPr>
        <w:t>claiming</w:t>
      </w:r>
      <w:r w:rsidR="787D151E" w:rsidRPr="0074748B">
        <w:rPr>
          <w:sz w:val="20"/>
          <w:szCs w:val="20"/>
        </w:rPr>
        <w:t>.</w:t>
      </w:r>
    </w:p>
    <w:p w14:paraId="3E915E59" w14:textId="53B7465A" w:rsidR="00D5272B" w:rsidRPr="00536D5A" w:rsidRDefault="00D5272B" w:rsidP="00536D5A">
      <w:pPr>
        <w:pStyle w:val="Heading3"/>
      </w:pPr>
      <w:r w:rsidRPr="00536D5A">
        <w:t xml:space="preserve">What’s </w:t>
      </w:r>
      <w:r w:rsidR="007360E2" w:rsidRPr="00536D5A">
        <w:t>c</w:t>
      </w:r>
      <w:r w:rsidRPr="00536D5A">
        <w:t xml:space="preserve">hanging and </w:t>
      </w:r>
      <w:r w:rsidR="007360E2" w:rsidRPr="00536D5A">
        <w:t>w</w:t>
      </w:r>
      <w:r w:rsidRPr="00536D5A">
        <w:t xml:space="preserve">hy </w:t>
      </w:r>
      <w:r w:rsidR="007360E2" w:rsidRPr="00536D5A">
        <w:t>i</w:t>
      </w:r>
      <w:r w:rsidRPr="00536D5A">
        <w:t xml:space="preserve">t </w:t>
      </w:r>
      <w:r w:rsidR="007360E2" w:rsidRPr="00536D5A">
        <w:t>m</w:t>
      </w:r>
      <w:r w:rsidRPr="00536D5A">
        <w:t>atters</w:t>
      </w:r>
      <w:r w:rsidR="00685D96" w:rsidRPr="00536D5A">
        <w:t>?</w:t>
      </w:r>
    </w:p>
    <w:p w14:paraId="69DD5BB7" w14:textId="4791C02F" w:rsidR="00D5272B" w:rsidRPr="0074748B" w:rsidRDefault="00D5272B" w:rsidP="00600C0E">
      <w:pPr>
        <w:rPr>
          <w:sz w:val="20"/>
          <w:szCs w:val="20"/>
        </w:rPr>
      </w:pPr>
      <w:r w:rsidRPr="0074748B">
        <w:rPr>
          <w:sz w:val="20"/>
          <w:szCs w:val="20"/>
        </w:rPr>
        <w:t xml:space="preserve">The Department of Health, Disability and Ageing and the Australian Digital Health Agency have worked closely with software vendors </w:t>
      </w:r>
      <w:r w:rsidR="59BFF297" w:rsidRPr="0074748B">
        <w:rPr>
          <w:sz w:val="20"/>
          <w:szCs w:val="20"/>
        </w:rPr>
        <w:t xml:space="preserve">over the past </w:t>
      </w:r>
      <w:r w:rsidR="102E5034" w:rsidRPr="0074748B">
        <w:rPr>
          <w:sz w:val="20"/>
          <w:szCs w:val="20"/>
        </w:rPr>
        <w:t>three years</w:t>
      </w:r>
      <w:r w:rsidRPr="0074748B">
        <w:rPr>
          <w:sz w:val="20"/>
          <w:szCs w:val="20"/>
        </w:rPr>
        <w:t xml:space="preserve"> to develop electronic prescribing capabilities and enhanced safety features.</w:t>
      </w:r>
    </w:p>
    <w:p w14:paraId="6C145E15" w14:textId="350F002E" w:rsidR="00D5272B" w:rsidRPr="0074748B" w:rsidRDefault="00945023" w:rsidP="00600C0E">
      <w:pPr>
        <w:rPr>
          <w:sz w:val="20"/>
          <w:szCs w:val="20"/>
        </w:rPr>
      </w:pPr>
      <w:r w:rsidRPr="0074748B">
        <w:rPr>
          <w:sz w:val="20"/>
          <w:szCs w:val="20"/>
        </w:rPr>
        <w:t>Electronic prescribing</w:t>
      </w:r>
      <w:r w:rsidR="00D5272B" w:rsidRPr="0074748B">
        <w:rPr>
          <w:sz w:val="20"/>
          <w:szCs w:val="20"/>
        </w:rPr>
        <w:t xml:space="preserve"> conformant eNRMC systems will:</w:t>
      </w:r>
    </w:p>
    <w:p w14:paraId="1ED1E056" w14:textId="6217D19C" w:rsidR="00222CD8" w:rsidRPr="008B5812" w:rsidRDefault="00277679" w:rsidP="008B5812">
      <w:pPr>
        <w:pStyle w:val="ListBullet"/>
        <w:rPr>
          <w:sz w:val="20"/>
          <w:szCs w:val="22"/>
        </w:rPr>
      </w:pPr>
      <w:r w:rsidRPr="008B5812">
        <w:rPr>
          <w:sz w:val="20"/>
          <w:szCs w:val="22"/>
        </w:rPr>
        <w:t>e</w:t>
      </w:r>
      <w:r w:rsidR="00222CD8" w:rsidRPr="008B5812">
        <w:rPr>
          <w:sz w:val="20"/>
          <w:szCs w:val="22"/>
        </w:rPr>
        <w:t>xtend chart duration from 4 to 6 months</w:t>
      </w:r>
    </w:p>
    <w:p w14:paraId="2B69F52D" w14:textId="46D12F74" w:rsidR="00FD25EA" w:rsidRPr="008B5812" w:rsidRDefault="00277679" w:rsidP="008B5812">
      <w:pPr>
        <w:pStyle w:val="ListBullet"/>
        <w:rPr>
          <w:sz w:val="20"/>
          <w:szCs w:val="22"/>
        </w:rPr>
      </w:pPr>
      <w:r w:rsidRPr="008B5812">
        <w:rPr>
          <w:sz w:val="20"/>
          <w:szCs w:val="22"/>
        </w:rPr>
        <w:t>r</w:t>
      </w:r>
      <w:r w:rsidR="00FD25EA" w:rsidRPr="008B5812">
        <w:rPr>
          <w:sz w:val="20"/>
          <w:szCs w:val="22"/>
        </w:rPr>
        <w:t>educe manual transcription for pharmacists</w:t>
      </w:r>
    </w:p>
    <w:p w14:paraId="044ACCB6" w14:textId="6216508D" w:rsidR="00D5272B" w:rsidRPr="008B5812" w:rsidRDefault="00277679" w:rsidP="008B5812">
      <w:pPr>
        <w:pStyle w:val="ListBullet"/>
        <w:rPr>
          <w:sz w:val="20"/>
          <w:szCs w:val="22"/>
        </w:rPr>
      </w:pPr>
      <w:r w:rsidRPr="008B5812">
        <w:rPr>
          <w:sz w:val="20"/>
          <w:szCs w:val="22"/>
        </w:rPr>
        <w:t>i</w:t>
      </w:r>
      <w:r w:rsidR="00D5272B" w:rsidRPr="008B5812">
        <w:rPr>
          <w:sz w:val="20"/>
          <w:szCs w:val="22"/>
        </w:rPr>
        <w:t>mprove coordination between aged care homes and pharmacies</w:t>
      </w:r>
      <w:r w:rsidR="00FD25EA" w:rsidRPr="008B5812">
        <w:rPr>
          <w:sz w:val="20"/>
          <w:szCs w:val="22"/>
        </w:rPr>
        <w:t xml:space="preserve"> and e</w:t>
      </w:r>
      <w:r w:rsidR="00D5272B" w:rsidRPr="008B5812">
        <w:rPr>
          <w:sz w:val="20"/>
          <w:szCs w:val="22"/>
        </w:rPr>
        <w:t>nhance resident safety</w:t>
      </w:r>
      <w:r w:rsidR="00CB08E2" w:rsidRPr="008B5812">
        <w:rPr>
          <w:sz w:val="20"/>
          <w:szCs w:val="22"/>
        </w:rPr>
        <w:t>.</w:t>
      </w:r>
    </w:p>
    <w:p w14:paraId="4C2DBAB3" w14:textId="77777777" w:rsidR="0074748B" w:rsidRDefault="00F76CC1" w:rsidP="00600C0E">
      <w:pPr>
        <w:rPr>
          <w:rFonts w:eastAsia="Arial"/>
          <w:sz w:val="20"/>
          <w:szCs w:val="20"/>
        </w:rPr>
      </w:pPr>
      <w:r w:rsidRPr="0074748B">
        <w:rPr>
          <w:rFonts w:eastAsia="Arial"/>
          <w:sz w:val="20"/>
          <w:szCs w:val="20"/>
        </w:rPr>
        <w:t>These improvements are critical for enhancing care delivery</w:t>
      </w:r>
      <w:r w:rsidR="00BB6179" w:rsidRPr="0074748B">
        <w:rPr>
          <w:rFonts w:eastAsia="Arial"/>
          <w:sz w:val="20"/>
          <w:szCs w:val="20"/>
        </w:rPr>
        <w:t xml:space="preserve">, </w:t>
      </w:r>
      <w:r w:rsidRPr="0074748B">
        <w:rPr>
          <w:rFonts w:eastAsia="Arial"/>
          <w:sz w:val="20"/>
          <w:szCs w:val="20"/>
        </w:rPr>
        <w:t>reducing risks to residents</w:t>
      </w:r>
      <w:r w:rsidR="00BB6179" w:rsidRPr="0074748B">
        <w:rPr>
          <w:rFonts w:eastAsia="Arial"/>
          <w:sz w:val="20"/>
          <w:szCs w:val="20"/>
        </w:rPr>
        <w:t>,</w:t>
      </w:r>
      <w:r w:rsidR="45B8F881" w:rsidRPr="0074748B">
        <w:rPr>
          <w:rFonts w:eastAsia="Arial"/>
          <w:sz w:val="20"/>
          <w:szCs w:val="20"/>
        </w:rPr>
        <w:t xml:space="preserve"> and </w:t>
      </w:r>
      <w:r w:rsidR="00672849" w:rsidRPr="0074748B">
        <w:rPr>
          <w:rFonts w:eastAsia="Arial"/>
          <w:sz w:val="20"/>
          <w:szCs w:val="20"/>
        </w:rPr>
        <w:t>ensuring</w:t>
      </w:r>
      <w:r w:rsidR="45B8F881" w:rsidRPr="0074748B">
        <w:rPr>
          <w:rFonts w:eastAsia="Arial"/>
          <w:sz w:val="20"/>
          <w:szCs w:val="20"/>
        </w:rPr>
        <w:t xml:space="preserve"> systems meet </w:t>
      </w:r>
      <w:r w:rsidR="59D36EB6" w:rsidRPr="0074748B">
        <w:rPr>
          <w:rFonts w:eastAsia="Arial"/>
          <w:sz w:val="20"/>
          <w:szCs w:val="20"/>
        </w:rPr>
        <w:t>national technical and security requirements.</w:t>
      </w:r>
    </w:p>
    <w:p w14:paraId="2CBF517F" w14:textId="77777777" w:rsidR="0074748B" w:rsidRPr="009B6391" w:rsidRDefault="0074748B" w:rsidP="00536D5A">
      <w:pPr>
        <w:pStyle w:val="Heading3"/>
      </w:pPr>
      <w:r w:rsidRPr="009B6391">
        <w:t>Benefits of electronic prescribing conformant eNRMC systems</w:t>
      </w:r>
    </w:p>
    <w:p w14:paraId="42A6307B" w14:textId="79D40ABE" w:rsidR="0074748B" w:rsidRPr="0094144D" w:rsidRDefault="0074748B" w:rsidP="0094144D">
      <w:pPr>
        <w:rPr>
          <w:sz w:val="20"/>
        </w:rPr>
      </w:pPr>
      <w:r w:rsidRPr="0094144D">
        <w:rPr>
          <w:b/>
          <w:bCs/>
          <w:sz w:val="20"/>
        </w:rPr>
        <w:t>Reduced administrative burden for GPs –</w:t>
      </w:r>
      <w:r w:rsidRPr="0094144D">
        <w:rPr>
          <w:sz w:val="20"/>
        </w:rPr>
        <w:t>Increased chart duration from 4 to 6 months.</w:t>
      </w:r>
    </w:p>
    <w:p w14:paraId="7C9EB320" w14:textId="77777777" w:rsidR="0074748B" w:rsidRPr="0074748B" w:rsidRDefault="0074748B" w:rsidP="0074748B">
      <w:pPr>
        <w:spacing w:before="60" w:after="60"/>
        <w:rPr>
          <w:rFonts w:eastAsia="Arial" w:cs="Arial"/>
          <w:sz w:val="20"/>
          <w:szCs w:val="20"/>
        </w:rPr>
      </w:pPr>
      <w:r w:rsidRPr="0074748B">
        <w:rPr>
          <w:rFonts w:eastAsia="Arial" w:cs="Arial"/>
          <w:b/>
          <w:iCs/>
          <w:sz w:val="20"/>
          <w:szCs w:val="20"/>
        </w:rPr>
        <w:t>Alignment of chart review and renewal to bi-annual care planning sessions</w:t>
      </w:r>
      <w:r w:rsidRPr="0094144D">
        <w:rPr>
          <w:rFonts w:eastAsia="Arial" w:cs="Arial"/>
          <w:b/>
          <w:bCs/>
          <w:sz w:val="20"/>
          <w:szCs w:val="20"/>
        </w:rPr>
        <w:t>,</w:t>
      </w:r>
      <w:r w:rsidRPr="0074748B">
        <w:rPr>
          <w:rFonts w:eastAsia="Arial" w:cs="Arial"/>
          <w:sz w:val="20"/>
          <w:szCs w:val="20"/>
        </w:rPr>
        <w:t xml:space="preserve"> funded by the </w:t>
      </w:r>
      <w:hyperlink r:id="rId15" w:history="1">
        <w:r w:rsidRPr="0074748B">
          <w:rPr>
            <w:rStyle w:val="Hyperlink"/>
            <w:rFonts w:eastAsia="Arial"/>
          </w:rPr>
          <w:t>General Practice Aged Care Incentive</w:t>
        </w:r>
      </w:hyperlink>
      <w:r w:rsidRPr="0074748B">
        <w:rPr>
          <w:rStyle w:val="Hyperlink"/>
        </w:rPr>
        <w:t>.</w:t>
      </w:r>
    </w:p>
    <w:p w14:paraId="6F4AC7A9" w14:textId="3C77415D" w:rsidR="0074748B" w:rsidRPr="0074748B" w:rsidRDefault="0074748B" w:rsidP="0074748B">
      <w:pPr>
        <w:spacing w:before="60" w:after="60"/>
        <w:rPr>
          <w:rFonts w:cs="Arial"/>
          <w:b/>
          <w:bCs/>
          <w:sz w:val="20"/>
          <w:szCs w:val="20"/>
        </w:rPr>
      </w:pPr>
      <w:r w:rsidRPr="0074748B">
        <w:rPr>
          <w:rFonts w:cs="Arial"/>
          <w:b/>
          <w:bCs/>
          <w:sz w:val="20"/>
          <w:szCs w:val="20"/>
        </w:rPr>
        <w:t>Flexible chart management options</w:t>
      </w:r>
      <w:r>
        <w:rPr>
          <w:rFonts w:cs="Arial"/>
          <w:b/>
          <w:bCs/>
          <w:sz w:val="20"/>
          <w:szCs w:val="20"/>
        </w:rPr>
        <w:t xml:space="preserve"> – </w:t>
      </w:r>
      <w:r w:rsidRPr="0074748B">
        <w:rPr>
          <w:rFonts w:cs="Arial"/>
          <w:sz w:val="20"/>
          <w:szCs w:val="20"/>
        </w:rPr>
        <w:t>Prescribers and RACH staff can better manage chart end dates and reviews and renewals. Charts no longer conclude at the end of a month.</w:t>
      </w:r>
    </w:p>
    <w:p w14:paraId="22DA941C" w14:textId="38EB4230" w:rsidR="0074748B" w:rsidRPr="0074748B" w:rsidRDefault="0074748B" w:rsidP="0074748B">
      <w:pPr>
        <w:spacing w:before="60" w:after="60"/>
        <w:rPr>
          <w:rFonts w:cs="Arial"/>
          <w:sz w:val="20"/>
          <w:szCs w:val="20"/>
        </w:rPr>
      </w:pPr>
      <w:r w:rsidRPr="0074748B">
        <w:rPr>
          <w:rFonts w:cs="Arial"/>
          <w:b/>
          <w:bCs/>
          <w:sz w:val="20"/>
          <w:szCs w:val="20"/>
        </w:rPr>
        <w:t>Streamlined dispensing for pharmacy</w:t>
      </w:r>
      <w:r>
        <w:rPr>
          <w:rFonts w:cs="Arial"/>
          <w:b/>
          <w:bCs/>
          <w:sz w:val="20"/>
          <w:szCs w:val="20"/>
        </w:rPr>
        <w:t xml:space="preserve"> –</w:t>
      </w:r>
      <w:r w:rsidRPr="0074748B">
        <w:rPr>
          <w:rFonts w:cs="Arial"/>
          <w:sz w:val="20"/>
          <w:szCs w:val="20"/>
        </w:rPr>
        <w:t xml:space="preserve"> Chart-based electronic prescriptions will be available from the National Prescription Delivery Service (NPDS) removing the need for manual transcription. A token or barcode for scanning will now be available for pharmacists.</w:t>
      </w:r>
    </w:p>
    <w:p w14:paraId="3670B76F" w14:textId="58A3E9F8" w:rsidR="0074748B" w:rsidRPr="0074748B" w:rsidRDefault="0074748B" w:rsidP="0074748B">
      <w:pPr>
        <w:spacing w:before="60" w:after="60"/>
        <w:rPr>
          <w:rFonts w:cs="Arial"/>
          <w:b/>
          <w:bCs/>
          <w:sz w:val="20"/>
          <w:szCs w:val="20"/>
        </w:rPr>
      </w:pPr>
      <w:r w:rsidRPr="0094144D">
        <w:rPr>
          <w:rFonts w:cs="Arial"/>
          <w:b/>
          <w:bCs/>
          <w:sz w:val="20"/>
          <w:szCs w:val="20"/>
        </w:rPr>
        <w:t>Enhanced medication safety</w:t>
      </w:r>
      <w:r w:rsidRPr="0074748B">
        <w:rPr>
          <w:rFonts w:cs="Arial"/>
          <w:b/>
          <w:bCs/>
          <w:sz w:val="20"/>
          <w:szCs w:val="20"/>
        </w:rPr>
        <w:t xml:space="preserve"> </w:t>
      </w:r>
      <w:r>
        <w:rPr>
          <w:rFonts w:cs="Arial"/>
          <w:b/>
          <w:bCs/>
          <w:sz w:val="20"/>
          <w:szCs w:val="20"/>
        </w:rPr>
        <w:t xml:space="preserve">– </w:t>
      </w:r>
      <w:r w:rsidRPr="0074748B">
        <w:rPr>
          <w:rFonts w:cs="Arial"/>
          <w:sz w:val="20"/>
          <w:szCs w:val="20"/>
        </w:rPr>
        <w:t>through updated clinical and system functionality.</w:t>
      </w:r>
    </w:p>
    <w:p w14:paraId="34EE1599" w14:textId="77777777" w:rsidR="0074748B" w:rsidRDefault="0074748B" w:rsidP="00600C0E">
      <w:pPr>
        <w:rPr>
          <w:rFonts w:eastAsia="Arial"/>
          <w:sz w:val="20"/>
          <w:szCs w:val="20"/>
        </w:rPr>
      </w:pPr>
    </w:p>
    <w:p w14:paraId="4C8C7A55" w14:textId="0EB207A2" w:rsidR="001275BB" w:rsidRPr="00600C0E" w:rsidRDefault="001275BB" w:rsidP="00600C0E">
      <w:pPr>
        <w:sectPr w:rsidR="001275BB" w:rsidRPr="00600C0E" w:rsidSect="0074748B">
          <w:type w:val="continuous"/>
          <w:pgSz w:w="11906" w:h="16838"/>
          <w:pgMar w:top="1134" w:right="1021" w:bottom="992" w:left="1021" w:header="709" w:footer="0" w:gutter="0"/>
          <w:cols w:num="2" w:space="566"/>
          <w:titlePg/>
          <w:docGrid w:linePitch="360"/>
        </w:sectPr>
      </w:pPr>
    </w:p>
    <w:p w14:paraId="64B7C697" w14:textId="4D490B2A" w:rsidR="0074748B" w:rsidRDefault="0074748B" w:rsidP="0074748B">
      <w:pPr>
        <w:pStyle w:val="Caption"/>
        <w:keepNext/>
      </w:pPr>
      <w:r w:rsidRPr="0034491B">
        <w:lastRenderedPageBreak/>
        <w:t>Diagram 1: Workflow for prescribing from a conformant eNRMC</w:t>
      </w:r>
    </w:p>
    <w:p w14:paraId="39FB097B" w14:textId="77777777" w:rsidR="0074748B" w:rsidRDefault="00005282" w:rsidP="0074748B">
      <w:pPr>
        <w:keepNext/>
      </w:pPr>
      <w:r w:rsidRPr="00600C0E">
        <w:rPr>
          <w:noProof/>
        </w:rPr>
        <w:drawing>
          <wp:inline distT="0" distB="0" distL="0" distR="0" wp14:anchorId="49735071" wp14:editId="67E1CEB3">
            <wp:extent cx="5802813" cy="2286000"/>
            <wp:effectExtent l="0" t="0" r="7620" b="0"/>
            <wp:docPr id="1464152929" name="Picture 1" descr="Prescriber workflow using an eNRMC system,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criber workflow using an eNRMC system, Grouped object"/>
                    <pic:cNvPicPr>
                      <a:picLocks noChangeAspect="1" noChangeArrowheads="1"/>
                    </pic:cNvPicPr>
                  </pic:nvPicPr>
                  <pic:blipFill rotWithShape="1">
                    <a:blip r:embed="rId16">
                      <a:extLst>
                        <a:ext uri="{28A0092B-C50C-407E-A947-70E740481C1C}">
                          <a14:useLocalDpi xmlns:a14="http://schemas.microsoft.com/office/drawing/2010/main" val="0"/>
                        </a:ext>
                      </a:extLst>
                    </a:blip>
                    <a:srcRect t="3883"/>
                    <a:stretch>
                      <a:fillRect/>
                    </a:stretch>
                  </pic:blipFill>
                  <pic:spPr bwMode="auto">
                    <a:xfrm>
                      <a:off x="0" y="0"/>
                      <a:ext cx="5833700" cy="2298168"/>
                    </a:xfrm>
                    <a:prstGeom prst="rect">
                      <a:avLst/>
                    </a:prstGeom>
                    <a:noFill/>
                    <a:ln>
                      <a:noFill/>
                    </a:ln>
                    <a:extLst>
                      <a:ext uri="{53640926-AAD7-44D8-BBD7-CCE9431645EC}">
                        <a14:shadowObscured xmlns:a14="http://schemas.microsoft.com/office/drawing/2010/main"/>
                      </a:ext>
                    </a:extLst>
                  </pic:spPr>
                </pic:pic>
              </a:graphicData>
            </a:graphic>
          </wp:inline>
        </w:drawing>
      </w:r>
    </w:p>
    <w:p w14:paraId="0E1D41BB" w14:textId="38DCE7DD" w:rsidR="003A41AF" w:rsidRPr="00600C0E" w:rsidRDefault="003A41AF" w:rsidP="00F30A3D">
      <w:pPr>
        <w:pStyle w:val="Heading3"/>
      </w:pPr>
      <w:r w:rsidRPr="00600C0E">
        <w:t xml:space="preserve">What is changing for </w:t>
      </w:r>
      <w:r w:rsidR="00222CD8" w:rsidRPr="00600C0E">
        <w:t>Prescribers</w:t>
      </w:r>
      <w:r w:rsidR="00B976A0" w:rsidRPr="00600C0E">
        <w:t>?</w:t>
      </w: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7695"/>
      </w:tblGrid>
      <w:tr w:rsidR="00D91F50" w:rsidRPr="00600C0E" w14:paraId="6B142FD4" w14:textId="77777777" w:rsidTr="00D91F50">
        <w:trPr>
          <w:trHeight w:val="300"/>
        </w:trPr>
        <w:tc>
          <w:tcPr>
            <w:tcW w:w="1785" w:type="dxa"/>
            <w:tcBorders>
              <w:top w:val="single" w:sz="6" w:space="0" w:color="FFFFFF"/>
              <w:left w:val="single" w:sz="6" w:space="0" w:color="FFFFFF"/>
              <w:bottom w:val="single" w:sz="6" w:space="0" w:color="FFFFFF"/>
              <w:right w:val="single" w:sz="6" w:space="0" w:color="FFFFFF"/>
            </w:tcBorders>
            <w:shd w:val="clear" w:color="auto" w:fill="D5EBF2"/>
            <w:hideMark/>
          </w:tcPr>
          <w:p w14:paraId="14B7040E" w14:textId="7388E3C9" w:rsidR="00D91F50" w:rsidRPr="00600C0E" w:rsidRDefault="00D91F50" w:rsidP="00600C0E">
            <w:r w:rsidRPr="00600C0E">
              <w:t> </w:t>
            </w:r>
            <w:r w:rsidRPr="00600C0E">
              <w:rPr>
                <w:noProof/>
              </w:rPr>
              <w:drawing>
                <wp:inline distT="0" distB="0" distL="0" distR="0" wp14:anchorId="659781C4" wp14:editId="4D080BDF">
                  <wp:extent cx="914400" cy="914400"/>
                  <wp:effectExtent l="0" t="0" r="0" b="0"/>
                  <wp:docPr id="68021884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218849" name="Picture 10">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695" w:type="dxa"/>
            <w:tcBorders>
              <w:top w:val="single" w:sz="6" w:space="0" w:color="FFFFFF"/>
              <w:left w:val="single" w:sz="6" w:space="0" w:color="FFFFFF"/>
              <w:bottom w:val="single" w:sz="6" w:space="0" w:color="FFFFFF"/>
              <w:right w:val="single" w:sz="6" w:space="0" w:color="FFFFFF"/>
            </w:tcBorders>
            <w:shd w:val="clear" w:color="auto" w:fill="F2F2F2"/>
            <w:hideMark/>
          </w:tcPr>
          <w:p w14:paraId="77A388F6" w14:textId="7A0A6280" w:rsidR="00D91F50" w:rsidRPr="00600C0E" w:rsidRDefault="00D91F50" w:rsidP="00B247D7">
            <w:pPr>
              <w:pStyle w:val="Heading6"/>
            </w:pPr>
            <w:r w:rsidRPr="00600C0E">
              <w:rPr>
                <w:rFonts w:ascii="Segoe UI Emoji" w:hAnsi="Segoe UI Emoji" w:cs="Segoe UI Emoji"/>
              </w:rPr>
              <w:t>✅</w:t>
            </w:r>
            <w:r w:rsidRPr="00600C0E">
              <w:t> Chart duration extended</w:t>
            </w:r>
          </w:p>
          <w:p w14:paraId="57CA4498" w14:textId="7B71D4EA" w:rsidR="00D91F50" w:rsidRPr="00600C0E" w:rsidRDefault="00D91F50" w:rsidP="0074748B">
            <w:pPr>
              <w:pStyle w:val="ListBullet"/>
            </w:pPr>
            <w:r w:rsidRPr="00600C0E">
              <w:t>eNRMC chart duration will be increased from 4 months to 6 months, reducing the frequency of chart renewals.</w:t>
            </w:r>
          </w:p>
          <w:p w14:paraId="2389732C" w14:textId="05B6658C" w:rsidR="00D91F50" w:rsidRPr="00600C0E" w:rsidRDefault="00D91F50" w:rsidP="0074748B">
            <w:pPr>
              <w:pStyle w:val="ListBullet"/>
            </w:pPr>
            <w:r w:rsidRPr="00600C0E">
              <w:t>Charts no longer have to cease at the end of the month, enabling staggered chart reviews and reducing administrative burden.</w:t>
            </w:r>
          </w:p>
        </w:tc>
      </w:tr>
      <w:tr w:rsidR="00D91F50" w:rsidRPr="00600C0E" w14:paraId="33588F35" w14:textId="77777777" w:rsidTr="00D91F50">
        <w:trPr>
          <w:trHeight w:val="300"/>
        </w:trPr>
        <w:tc>
          <w:tcPr>
            <w:tcW w:w="1785" w:type="dxa"/>
            <w:tcBorders>
              <w:top w:val="single" w:sz="6" w:space="0" w:color="FFFFFF"/>
              <w:left w:val="single" w:sz="6" w:space="0" w:color="FFFFFF"/>
              <w:bottom w:val="single" w:sz="6" w:space="0" w:color="FFFFFF"/>
              <w:right w:val="single" w:sz="6" w:space="0" w:color="FFFFFF"/>
            </w:tcBorders>
            <w:shd w:val="clear" w:color="auto" w:fill="D5EBF2"/>
            <w:hideMark/>
          </w:tcPr>
          <w:p w14:paraId="2A144ED0" w14:textId="57764E04" w:rsidR="00D91F50" w:rsidRPr="00600C0E" w:rsidRDefault="00D91F50" w:rsidP="00600C0E">
            <w:r w:rsidRPr="00600C0E">
              <w:t>  </w:t>
            </w:r>
            <w:r w:rsidRPr="00600C0E">
              <w:rPr>
                <w:noProof/>
              </w:rPr>
              <w:drawing>
                <wp:inline distT="0" distB="0" distL="0" distR="0" wp14:anchorId="449533EB" wp14:editId="48BC5370">
                  <wp:extent cx="914400" cy="914400"/>
                  <wp:effectExtent l="0" t="0" r="0" b="0"/>
                  <wp:docPr id="532495494"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95494" name="Picture 12">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695" w:type="dxa"/>
            <w:tcBorders>
              <w:top w:val="single" w:sz="6" w:space="0" w:color="FFFFFF"/>
              <w:left w:val="single" w:sz="6" w:space="0" w:color="FFFFFF"/>
              <w:bottom w:val="single" w:sz="6" w:space="0" w:color="FFFFFF"/>
              <w:right w:val="single" w:sz="6" w:space="0" w:color="FFFFFF"/>
            </w:tcBorders>
            <w:shd w:val="clear" w:color="auto" w:fill="F2F2F2"/>
            <w:hideMark/>
          </w:tcPr>
          <w:p w14:paraId="76DFF9E5" w14:textId="5901FE22" w:rsidR="00D91F50" w:rsidRPr="00600C0E" w:rsidRDefault="00D91F50" w:rsidP="00B247D7">
            <w:pPr>
              <w:pStyle w:val="Heading6"/>
            </w:pPr>
            <w:r w:rsidRPr="00600C0E">
              <w:rPr>
                <w:rFonts w:ascii="Segoe UI Emoji" w:hAnsi="Segoe UI Emoji" w:cs="Segoe UI Emoji"/>
              </w:rPr>
              <w:t>✅</w:t>
            </w:r>
            <w:r w:rsidRPr="00600C0E">
              <w:t xml:space="preserve"> Streamlined prescribing and dispensing</w:t>
            </w:r>
          </w:p>
          <w:p w14:paraId="0982ACFF" w14:textId="23A5FD70" w:rsidR="00D91F50" w:rsidRPr="00600C0E" w:rsidRDefault="00D91F50" w:rsidP="0074748B">
            <w:pPr>
              <w:pStyle w:val="ListBullet"/>
            </w:pPr>
            <w:r w:rsidRPr="00600C0E">
              <w:t>With conformant systems, prescriptions are automatically transmitted to the NPDS.</w:t>
            </w:r>
          </w:p>
          <w:p w14:paraId="239C042A" w14:textId="2FCF6C02" w:rsidR="00D91F50" w:rsidRPr="00600C0E" w:rsidRDefault="00D91F50" w:rsidP="0074748B">
            <w:pPr>
              <w:pStyle w:val="ListBullet"/>
            </w:pPr>
            <w:r w:rsidRPr="00600C0E">
              <w:t>Prescribers can be confident that medication orders are securely and accurately delivered to the pharmacy</w:t>
            </w:r>
          </w:p>
        </w:tc>
      </w:tr>
      <w:tr w:rsidR="00D91F50" w:rsidRPr="00600C0E" w14:paraId="14AAEC48" w14:textId="77777777" w:rsidTr="00D91F50">
        <w:trPr>
          <w:trHeight w:val="300"/>
        </w:trPr>
        <w:tc>
          <w:tcPr>
            <w:tcW w:w="1785" w:type="dxa"/>
            <w:tcBorders>
              <w:top w:val="single" w:sz="6" w:space="0" w:color="FFFFFF"/>
              <w:left w:val="single" w:sz="6" w:space="0" w:color="FFFFFF"/>
              <w:bottom w:val="single" w:sz="6" w:space="0" w:color="FFFFFF"/>
              <w:right w:val="single" w:sz="6" w:space="0" w:color="FFFFFF"/>
            </w:tcBorders>
            <w:shd w:val="clear" w:color="auto" w:fill="D5EBF2"/>
            <w:hideMark/>
          </w:tcPr>
          <w:p w14:paraId="2B28374D" w14:textId="039027F3" w:rsidR="00D91F50" w:rsidRPr="00600C0E" w:rsidRDefault="00D91F50" w:rsidP="00600C0E">
            <w:r w:rsidRPr="00600C0E">
              <w:t> </w:t>
            </w:r>
            <w:r w:rsidRPr="00600C0E">
              <w:rPr>
                <w:noProof/>
              </w:rPr>
              <w:drawing>
                <wp:inline distT="0" distB="0" distL="0" distR="0" wp14:anchorId="5CB56EAC" wp14:editId="7BD9B8F7">
                  <wp:extent cx="914400" cy="914400"/>
                  <wp:effectExtent l="0" t="0" r="0" b="0"/>
                  <wp:docPr id="179340849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08495" name="Picture 9">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600C0E">
              <w:t> </w:t>
            </w:r>
          </w:p>
        </w:tc>
        <w:tc>
          <w:tcPr>
            <w:tcW w:w="7695" w:type="dxa"/>
            <w:tcBorders>
              <w:top w:val="single" w:sz="6" w:space="0" w:color="FFFFFF"/>
              <w:left w:val="single" w:sz="6" w:space="0" w:color="FFFFFF"/>
              <w:bottom w:val="single" w:sz="6" w:space="0" w:color="FFFFFF"/>
              <w:right w:val="single" w:sz="6" w:space="0" w:color="FFFFFF"/>
            </w:tcBorders>
            <w:shd w:val="clear" w:color="auto" w:fill="F2F2F2"/>
            <w:hideMark/>
          </w:tcPr>
          <w:p w14:paraId="21A7F5DF" w14:textId="77777777" w:rsidR="00D91F50" w:rsidRPr="00600C0E" w:rsidRDefault="00D91F50" w:rsidP="00B247D7">
            <w:pPr>
              <w:pStyle w:val="Heading6"/>
            </w:pPr>
            <w:r w:rsidRPr="00600C0E">
              <w:rPr>
                <w:rFonts w:ascii="Segoe UI Emoji" w:hAnsi="Segoe UI Emoji" w:cs="Segoe UI Emoji"/>
              </w:rPr>
              <w:t>✅</w:t>
            </w:r>
            <w:r w:rsidRPr="00600C0E">
              <w:t xml:space="preserve"> Improved Medication Safety</w:t>
            </w:r>
          </w:p>
          <w:p w14:paraId="43901E70" w14:textId="77777777" w:rsidR="00D91F50" w:rsidRPr="00600C0E" w:rsidRDefault="00D91F50" w:rsidP="0074748B">
            <w:pPr>
              <w:pStyle w:val="ListBullet"/>
            </w:pPr>
            <w:r w:rsidRPr="00600C0E">
              <w:t>Conformant systems include enhanced safety features, such as alerts for expiring charts, drug interactions and allergies.</w:t>
            </w:r>
          </w:p>
          <w:p w14:paraId="0AEC91E5" w14:textId="77777777" w:rsidR="00D91F50" w:rsidRPr="00600C0E" w:rsidRDefault="00D91F50" w:rsidP="0074748B">
            <w:pPr>
              <w:pStyle w:val="ListBullet"/>
            </w:pPr>
            <w:r w:rsidRPr="00600C0E">
              <w:t>These features support safer prescribing decisions and reduce the risk of medication errors.</w:t>
            </w:r>
          </w:p>
          <w:p w14:paraId="55C57F21" w14:textId="2B164F1A" w:rsidR="00D91F50" w:rsidRPr="00600C0E" w:rsidRDefault="00D91F50" w:rsidP="00600C0E"/>
        </w:tc>
      </w:tr>
      <w:tr w:rsidR="00D91F50" w:rsidRPr="00600C0E" w14:paraId="1906D12B" w14:textId="77777777" w:rsidTr="00D91F50">
        <w:trPr>
          <w:trHeight w:val="300"/>
        </w:trPr>
        <w:tc>
          <w:tcPr>
            <w:tcW w:w="1785" w:type="dxa"/>
            <w:tcBorders>
              <w:top w:val="single" w:sz="6" w:space="0" w:color="FFFFFF"/>
              <w:left w:val="single" w:sz="6" w:space="0" w:color="FFFFFF"/>
              <w:bottom w:val="single" w:sz="6" w:space="0" w:color="FFFFFF"/>
              <w:right w:val="single" w:sz="6" w:space="0" w:color="FFFFFF"/>
            </w:tcBorders>
            <w:shd w:val="clear" w:color="auto" w:fill="D5EBF2"/>
            <w:hideMark/>
          </w:tcPr>
          <w:p w14:paraId="3B81610F" w14:textId="5BCCA805" w:rsidR="00D91F50" w:rsidRPr="00600C0E" w:rsidRDefault="00D91F50" w:rsidP="00600C0E">
            <w:r w:rsidRPr="00600C0E">
              <w:rPr>
                <w:noProof/>
              </w:rPr>
              <w:drawing>
                <wp:inline distT="0" distB="0" distL="0" distR="0" wp14:anchorId="03795518" wp14:editId="6A99CE4B">
                  <wp:extent cx="914400" cy="914400"/>
                  <wp:effectExtent l="0" t="0" r="0" b="0"/>
                  <wp:docPr id="206841578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15787" name="Picture 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600C0E">
              <w:t> </w:t>
            </w:r>
          </w:p>
        </w:tc>
        <w:tc>
          <w:tcPr>
            <w:tcW w:w="7695" w:type="dxa"/>
            <w:tcBorders>
              <w:top w:val="single" w:sz="6" w:space="0" w:color="FFFFFF"/>
              <w:left w:val="single" w:sz="6" w:space="0" w:color="FFFFFF"/>
              <w:bottom w:val="single" w:sz="6" w:space="0" w:color="FFFFFF"/>
              <w:right w:val="single" w:sz="6" w:space="0" w:color="FFFFFF"/>
            </w:tcBorders>
            <w:shd w:val="clear" w:color="auto" w:fill="F2F2F2"/>
            <w:hideMark/>
          </w:tcPr>
          <w:p w14:paraId="6D754CC5" w14:textId="3C7F3232" w:rsidR="00D91F50" w:rsidRPr="00600C0E" w:rsidRDefault="00D91F50" w:rsidP="00B247D7">
            <w:pPr>
              <w:pStyle w:val="Heading6"/>
            </w:pPr>
            <w:r w:rsidRPr="00600C0E">
              <w:rPr>
                <w:rFonts w:ascii="Segoe UI Emoji" w:hAnsi="Segoe UI Emoji" w:cs="Segoe UI Emoji"/>
              </w:rPr>
              <w:t>⚠️</w:t>
            </w:r>
            <w:r w:rsidRPr="00600C0E">
              <w:t xml:space="preserve"> Potential need for separate duplicate scripts</w:t>
            </w:r>
          </w:p>
          <w:p w14:paraId="2CAAA002" w14:textId="25A0BB9B" w:rsidR="00D91F50" w:rsidRPr="00600C0E" w:rsidRDefault="00D91F50" w:rsidP="0074748B">
            <w:pPr>
              <w:pStyle w:val="ListBullet"/>
            </w:pPr>
            <w:r w:rsidRPr="00600C0E">
              <w:t>The Department and the Agency are working closely with eNRMC software vendors and expect the majority of vendors will achieve conformance with the technical and legislative requirements for electronic prescribing within the required timeframe (see table 1 for key dates below).</w:t>
            </w:r>
          </w:p>
          <w:p w14:paraId="05F166F1" w14:textId="757F099D" w:rsidR="00D91F50" w:rsidRPr="0074748B" w:rsidRDefault="0074748B" w:rsidP="0074748B">
            <w:pPr>
              <w:pStyle w:val="ListBullet"/>
              <w:numPr>
                <w:ilvl w:val="0"/>
                <w:numId w:val="0"/>
              </w:numPr>
              <w:rPr>
                <w:b/>
                <w:bCs/>
              </w:rPr>
            </w:pPr>
            <w:r w:rsidRPr="00E3185F">
              <w:rPr>
                <w:b/>
                <w:bCs/>
                <w:color w:val="950000"/>
              </w:rPr>
              <w:tab/>
            </w:r>
            <w:r w:rsidR="00D91F50" w:rsidRPr="00E3185F">
              <w:rPr>
                <w:b/>
                <w:bCs/>
                <w:color w:val="950000"/>
              </w:rPr>
              <w:t xml:space="preserve">If your eNRMC software vendor does not meet the deadline, separate </w:t>
            </w:r>
            <w:r w:rsidRPr="00E3185F">
              <w:rPr>
                <w:b/>
                <w:bCs/>
                <w:color w:val="950000"/>
              </w:rPr>
              <w:tab/>
            </w:r>
            <w:r w:rsidR="00D91F50" w:rsidRPr="00E3185F">
              <w:rPr>
                <w:b/>
                <w:bCs/>
                <w:color w:val="950000"/>
              </w:rPr>
              <w:t xml:space="preserve">paper/electronic scripts will be required for medication orders created </w:t>
            </w:r>
            <w:r w:rsidRPr="00E3185F">
              <w:rPr>
                <w:b/>
                <w:bCs/>
                <w:color w:val="950000"/>
              </w:rPr>
              <w:tab/>
            </w:r>
            <w:r w:rsidR="00D91F50" w:rsidRPr="00E3185F">
              <w:rPr>
                <w:b/>
                <w:bCs/>
                <w:color w:val="950000"/>
              </w:rPr>
              <w:t>from 1 October 2025 (details below).</w:t>
            </w:r>
          </w:p>
        </w:tc>
      </w:tr>
    </w:tbl>
    <w:p w14:paraId="2B9920AE" w14:textId="4B8F2194" w:rsidR="002A3250" w:rsidRPr="00600C0E" w:rsidRDefault="00B870D5" w:rsidP="00F30A3D">
      <w:pPr>
        <w:pStyle w:val="Heading3"/>
      </w:pPr>
      <w:r w:rsidRPr="00600C0E">
        <w:br w:type="page"/>
      </w:r>
      <w:r w:rsidR="00001C51" w:rsidRPr="00600C0E">
        <w:lastRenderedPageBreak/>
        <w:t xml:space="preserve">Key dates – </w:t>
      </w:r>
      <w:r w:rsidR="003A41AF" w:rsidRPr="00600C0E">
        <w:t xml:space="preserve">When </w:t>
      </w:r>
      <w:r w:rsidR="00BE2C04" w:rsidRPr="00600C0E">
        <w:t>will electronic prescriptions for eNRMC be available?</w:t>
      </w:r>
    </w:p>
    <w:tbl>
      <w:tblPr>
        <w:tblStyle w:val="TableGrid"/>
        <w:tblW w:w="94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7655"/>
      </w:tblGrid>
      <w:tr w:rsidR="006918FC" w:rsidRPr="00600C0E" w14:paraId="70D77C5C" w14:textId="77777777" w:rsidTr="00B247D7">
        <w:trPr>
          <w:trHeight w:val="1968"/>
        </w:trPr>
        <w:tc>
          <w:tcPr>
            <w:tcW w:w="1838" w:type="dxa"/>
            <w:shd w:val="clear" w:color="auto" w:fill="D5EBF2" w:themeFill="accent5" w:themeFillTint="33"/>
          </w:tcPr>
          <w:p w14:paraId="2C878ACE" w14:textId="2A75134C" w:rsidR="000F569A" w:rsidRPr="00600C0E" w:rsidRDefault="00471904" w:rsidP="0094144D">
            <w:pPr>
              <w:jc w:val="center"/>
            </w:pPr>
            <w:r w:rsidRPr="00027388">
              <w:rPr>
                <w:noProof/>
              </w:rPr>
              <w:drawing>
                <wp:inline distT="0" distB="0" distL="0" distR="0" wp14:anchorId="26C6BA9F" wp14:editId="30F234BD">
                  <wp:extent cx="781050" cy="733425"/>
                  <wp:effectExtent l="0" t="0" r="0" b="9525"/>
                  <wp:docPr id="14726477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262233" name="Picture 1">
                            <a:extLst>
                              <a:ext uri="{C183D7F6-B498-43B3-948B-1728B52AA6E4}">
                                <adec:decorative xmlns:adec="http://schemas.microsoft.com/office/drawing/2017/decorative" val="1"/>
                              </a:ext>
                            </a:extLst>
                          </pic:cNvPr>
                          <pic:cNvPicPr/>
                        </pic:nvPicPr>
                        <pic:blipFill>
                          <a:blip r:embed="rId21"/>
                          <a:stretch>
                            <a:fillRect/>
                          </a:stretch>
                        </pic:blipFill>
                        <pic:spPr>
                          <a:xfrm>
                            <a:off x="0" y="0"/>
                            <a:ext cx="781050" cy="733425"/>
                          </a:xfrm>
                          <a:prstGeom prst="rect">
                            <a:avLst/>
                          </a:prstGeom>
                        </pic:spPr>
                      </pic:pic>
                    </a:graphicData>
                  </a:graphic>
                </wp:inline>
              </w:drawing>
            </w:r>
          </w:p>
        </w:tc>
        <w:tc>
          <w:tcPr>
            <w:tcW w:w="7655" w:type="dxa"/>
            <w:shd w:val="clear" w:color="auto" w:fill="F2F2F2" w:themeFill="background1" w:themeFillShade="F2"/>
          </w:tcPr>
          <w:p w14:paraId="2D03DA5B" w14:textId="4214994E" w:rsidR="001B549C" w:rsidRPr="0074748B" w:rsidRDefault="002A3250" w:rsidP="00B247D7">
            <w:pPr>
              <w:pStyle w:val="Heading6"/>
            </w:pPr>
            <w:r w:rsidRPr="0074748B">
              <w:t xml:space="preserve">Electronic prescribing conformance </w:t>
            </w:r>
            <w:r w:rsidR="00A223A5">
              <w:t>(30 Sept 2025)</w:t>
            </w:r>
          </w:p>
          <w:p w14:paraId="580606B0" w14:textId="3DE87710" w:rsidR="00035B1C" w:rsidRPr="00600C0E" w:rsidRDefault="00516F25" w:rsidP="00600C0E">
            <w:pPr>
              <w:rPr>
                <w:rFonts w:eastAsia="Arial"/>
              </w:rPr>
            </w:pPr>
            <w:r w:rsidRPr="00600C0E">
              <w:rPr>
                <w:rFonts w:eastAsia="Arial"/>
              </w:rPr>
              <w:t xml:space="preserve">Deadline for all </w:t>
            </w:r>
            <w:r w:rsidR="00272260" w:rsidRPr="00600C0E">
              <w:rPr>
                <w:rFonts w:eastAsia="Arial"/>
              </w:rPr>
              <w:t>eNRMC</w:t>
            </w:r>
            <w:r w:rsidRPr="00600C0E">
              <w:rPr>
                <w:rFonts w:eastAsia="Arial"/>
              </w:rPr>
              <w:t xml:space="preserve"> vendors to achieve </w:t>
            </w:r>
            <w:r w:rsidR="00272260" w:rsidRPr="00600C0E">
              <w:rPr>
                <w:rFonts w:eastAsia="Arial"/>
              </w:rPr>
              <w:t xml:space="preserve">electronic prescribing </w:t>
            </w:r>
            <w:r w:rsidRPr="00600C0E">
              <w:rPr>
                <w:rFonts w:eastAsia="Arial"/>
              </w:rPr>
              <w:t>con</w:t>
            </w:r>
            <w:r w:rsidR="00272260" w:rsidRPr="00600C0E">
              <w:rPr>
                <w:rFonts w:eastAsia="Arial"/>
              </w:rPr>
              <w:t xml:space="preserve">formance. </w:t>
            </w:r>
            <w:r w:rsidR="004D65D5" w:rsidRPr="00600C0E">
              <w:rPr>
                <w:rFonts w:eastAsia="Arial"/>
              </w:rPr>
              <w:t xml:space="preserve">Some vendors </w:t>
            </w:r>
            <w:r w:rsidR="00035B1C" w:rsidRPr="00600C0E">
              <w:rPr>
                <w:rFonts w:eastAsia="Arial"/>
              </w:rPr>
              <w:t>may achieve conformance sooner.</w:t>
            </w:r>
          </w:p>
          <w:p w14:paraId="66E4C146" w14:textId="7BA64F8E" w:rsidR="00E13CD9" w:rsidRPr="00600C0E" w:rsidRDefault="00E13CD9" w:rsidP="00600C0E">
            <w:r w:rsidRPr="00600C0E">
              <w:rPr>
                <w:rFonts w:eastAsia="Arial"/>
              </w:rPr>
              <w:t xml:space="preserve">Conformant vendors will be listed on the Agency’s </w:t>
            </w:r>
            <w:hyperlink r:id="rId22" w:history="1">
              <w:r w:rsidR="00E37D95" w:rsidRPr="0074748B">
                <w:rPr>
                  <w:rStyle w:val="Hyperlink"/>
                  <w:rFonts w:eastAsia="Arial"/>
                  <w:sz w:val="22"/>
                  <w:szCs w:val="22"/>
                </w:rPr>
                <w:t>Electronic Prescribing – External Conformance Register.</w:t>
              </w:r>
            </w:hyperlink>
          </w:p>
        </w:tc>
      </w:tr>
      <w:tr w:rsidR="006918FC" w:rsidRPr="00600C0E" w14:paraId="2BD81F30" w14:textId="77777777" w:rsidTr="004022E3">
        <w:trPr>
          <w:trHeight w:val="1877"/>
        </w:trPr>
        <w:tc>
          <w:tcPr>
            <w:tcW w:w="1838" w:type="dxa"/>
            <w:shd w:val="clear" w:color="auto" w:fill="D5EBF2" w:themeFill="accent5" w:themeFillTint="33"/>
          </w:tcPr>
          <w:p w14:paraId="524EFE96" w14:textId="02D703D5" w:rsidR="000462FE" w:rsidRPr="00600C0E" w:rsidRDefault="00B573AB" w:rsidP="00B573AB">
            <w:pPr>
              <w:spacing w:before="0" w:after="0"/>
              <w:jc w:val="center"/>
            </w:pPr>
            <w:r w:rsidRPr="00027388">
              <w:rPr>
                <w:noProof/>
              </w:rPr>
              <w:drawing>
                <wp:inline distT="0" distB="0" distL="0" distR="0" wp14:anchorId="0DBAC046" wp14:editId="506EF241">
                  <wp:extent cx="819150" cy="812380"/>
                  <wp:effectExtent l="0" t="0" r="0" b="6985"/>
                  <wp:docPr id="155153200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545241" name="Picture 1">
                            <a:extLst>
                              <a:ext uri="{C183D7F6-B498-43B3-948B-1728B52AA6E4}">
                                <adec:decorative xmlns:adec="http://schemas.microsoft.com/office/drawing/2017/decorative" val="1"/>
                              </a:ext>
                            </a:extLst>
                          </pic:cNvPr>
                          <pic:cNvPicPr/>
                        </pic:nvPicPr>
                        <pic:blipFill>
                          <a:blip r:embed="rId23"/>
                          <a:stretch>
                            <a:fillRect/>
                          </a:stretch>
                        </pic:blipFill>
                        <pic:spPr>
                          <a:xfrm>
                            <a:off x="0" y="0"/>
                            <a:ext cx="821905" cy="815113"/>
                          </a:xfrm>
                          <a:prstGeom prst="rect">
                            <a:avLst/>
                          </a:prstGeom>
                        </pic:spPr>
                      </pic:pic>
                    </a:graphicData>
                  </a:graphic>
                </wp:inline>
              </w:drawing>
            </w:r>
          </w:p>
        </w:tc>
        <w:tc>
          <w:tcPr>
            <w:tcW w:w="7655" w:type="dxa"/>
            <w:shd w:val="clear" w:color="auto" w:fill="F2F2F2" w:themeFill="background1" w:themeFillShade="F2"/>
          </w:tcPr>
          <w:p w14:paraId="2380B532" w14:textId="388362D9" w:rsidR="009F49E9" w:rsidRPr="00600C0E" w:rsidRDefault="002A3250" w:rsidP="00B247D7">
            <w:pPr>
              <w:pStyle w:val="Heading6"/>
              <w:rPr>
                <w:rFonts w:eastAsia="Arial"/>
              </w:rPr>
            </w:pPr>
            <w:r w:rsidRPr="00600C0E">
              <w:rPr>
                <w:rFonts w:eastAsiaTheme="majorEastAsia"/>
              </w:rPr>
              <w:t xml:space="preserve">Implementation phase </w:t>
            </w:r>
            <w:r w:rsidR="00FD25EA" w:rsidRPr="00600C0E">
              <w:rPr>
                <w:rFonts w:eastAsiaTheme="majorEastAsia"/>
              </w:rPr>
              <w:t>begins</w:t>
            </w:r>
            <w:r w:rsidR="00341D21" w:rsidRPr="00600C0E">
              <w:rPr>
                <w:rFonts w:eastAsia="Arial"/>
              </w:rPr>
              <w:t xml:space="preserve"> (</w:t>
            </w:r>
            <w:r w:rsidR="007E22B8" w:rsidRPr="00600C0E">
              <w:rPr>
                <w:rFonts w:eastAsia="Arial"/>
              </w:rPr>
              <w:t>01 Oct to 28 Feb 2026)</w:t>
            </w:r>
          </w:p>
          <w:p w14:paraId="3B89ADAA" w14:textId="3A1947E4" w:rsidR="002A3250" w:rsidRPr="00600C0E" w:rsidRDefault="002A3250" w:rsidP="00600C0E">
            <w:pPr>
              <w:rPr>
                <w:rFonts w:eastAsia="Arial"/>
              </w:rPr>
            </w:pPr>
            <w:r w:rsidRPr="00600C0E">
              <w:rPr>
                <w:rFonts w:eastAsia="Arial"/>
              </w:rPr>
              <w:t>Transitional Arrangement remains active</w:t>
            </w:r>
            <w:r w:rsidR="00E632B0" w:rsidRPr="00600C0E">
              <w:rPr>
                <w:rFonts w:eastAsia="Arial"/>
              </w:rPr>
              <w:t xml:space="preserve"> only</w:t>
            </w:r>
            <w:r w:rsidRPr="00600C0E">
              <w:rPr>
                <w:rFonts w:eastAsia="Arial"/>
              </w:rPr>
              <w:t xml:space="preserve"> for </w:t>
            </w:r>
            <w:r w:rsidR="00E01367" w:rsidRPr="00600C0E">
              <w:rPr>
                <w:rFonts w:eastAsia="Arial"/>
              </w:rPr>
              <w:t xml:space="preserve">eNRMC systems that </w:t>
            </w:r>
            <w:r w:rsidR="00691C2C" w:rsidRPr="00600C0E">
              <w:rPr>
                <w:rFonts w:eastAsia="Arial"/>
              </w:rPr>
              <w:t>have</w:t>
            </w:r>
            <w:r w:rsidR="00017449" w:rsidRPr="00600C0E">
              <w:rPr>
                <w:rFonts w:eastAsia="Arial"/>
              </w:rPr>
              <w:t xml:space="preserve"> approved</w:t>
            </w:r>
            <w:r w:rsidR="00691C2C" w:rsidRPr="00600C0E">
              <w:rPr>
                <w:rFonts w:eastAsia="Arial"/>
              </w:rPr>
              <w:t xml:space="preserve"> </w:t>
            </w:r>
            <w:r w:rsidRPr="00600C0E">
              <w:rPr>
                <w:rFonts w:eastAsia="Arial"/>
              </w:rPr>
              <w:t>electronic prescribing conforman</w:t>
            </w:r>
            <w:r w:rsidR="00691C2C" w:rsidRPr="00600C0E">
              <w:rPr>
                <w:rFonts w:eastAsia="Arial"/>
              </w:rPr>
              <w:t>t versions</w:t>
            </w:r>
            <w:r w:rsidR="008D0003" w:rsidRPr="00600C0E">
              <w:rPr>
                <w:rFonts w:eastAsia="Arial"/>
              </w:rPr>
              <w:t xml:space="preserve"> available. </w:t>
            </w:r>
            <w:r w:rsidR="00F4160F" w:rsidRPr="00600C0E">
              <w:rPr>
                <w:rFonts w:eastAsia="Arial"/>
              </w:rPr>
              <w:t>The eNRMC</w:t>
            </w:r>
            <w:r w:rsidR="008D0003" w:rsidRPr="00600C0E">
              <w:rPr>
                <w:rFonts w:eastAsia="Arial"/>
              </w:rPr>
              <w:t xml:space="preserve"> can </w:t>
            </w:r>
            <w:r w:rsidR="007304F4" w:rsidRPr="00600C0E">
              <w:rPr>
                <w:rFonts w:eastAsia="Arial"/>
              </w:rPr>
              <w:t xml:space="preserve">continue to </w:t>
            </w:r>
            <w:r w:rsidR="008D0003" w:rsidRPr="00600C0E">
              <w:rPr>
                <w:rFonts w:eastAsia="Arial"/>
              </w:rPr>
              <w:t xml:space="preserve">operate </w:t>
            </w:r>
            <w:r w:rsidR="00F80C13" w:rsidRPr="00600C0E">
              <w:rPr>
                <w:rFonts w:eastAsia="Arial"/>
              </w:rPr>
              <w:t xml:space="preserve">under the Transitional Arrangement </w:t>
            </w:r>
            <w:r w:rsidR="008D0003" w:rsidRPr="00600C0E">
              <w:rPr>
                <w:rFonts w:eastAsia="Arial"/>
              </w:rPr>
              <w:t xml:space="preserve">until </w:t>
            </w:r>
            <w:r w:rsidRPr="00600C0E">
              <w:rPr>
                <w:rFonts w:eastAsia="Arial"/>
              </w:rPr>
              <w:t xml:space="preserve">RACHs </w:t>
            </w:r>
            <w:r w:rsidR="00BA152E" w:rsidRPr="00600C0E">
              <w:rPr>
                <w:rFonts w:eastAsia="Arial"/>
              </w:rPr>
              <w:t xml:space="preserve">can safely </w:t>
            </w:r>
            <w:r w:rsidRPr="00600C0E">
              <w:rPr>
                <w:rFonts w:eastAsia="Arial"/>
              </w:rPr>
              <w:t>upgrade to</w:t>
            </w:r>
            <w:r w:rsidR="00F4160F" w:rsidRPr="00600C0E">
              <w:rPr>
                <w:rFonts w:eastAsia="Arial"/>
              </w:rPr>
              <w:t xml:space="preserve"> the new</w:t>
            </w:r>
            <w:r w:rsidRPr="00600C0E">
              <w:rPr>
                <w:rFonts w:eastAsia="Arial"/>
              </w:rPr>
              <w:t xml:space="preserve"> </w:t>
            </w:r>
            <w:r w:rsidR="003B4581" w:rsidRPr="00600C0E">
              <w:rPr>
                <w:rFonts w:eastAsia="Arial"/>
              </w:rPr>
              <w:t>electronic prescribing</w:t>
            </w:r>
            <w:r w:rsidRPr="00600C0E">
              <w:rPr>
                <w:rFonts w:eastAsia="Arial"/>
              </w:rPr>
              <w:t xml:space="preserve"> </w:t>
            </w:r>
            <w:r w:rsidR="003B4581" w:rsidRPr="00600C0E">
              <w:rPr>
                <w:rFonts w:eastAsia="Arial"/>
              </w:rPr>
              <w:t xml:space="preserve">conformant </w:t>
            </w:r>
            <w:r w:rsidRPr="00600C0E">
              <w:rPr>
                <w:rFonts w:eastAsia="Arial"/>
              </w:rPr>
              <w:t>version</w:t>
            </w:r>
            <w:r w:rsidR="00017449" w:rsidRPr="00600C0E">
              <w:rPr>
                <w:rFonts w:eastAsia="Arial"/>
              </w:rPr>
              <w:t>.</w:t>
            </w:r>
          </w:p>
        </w:tc>
      </w:tr>
      <w:tr w:rsidR="006918FC" w:rsidRPr="00600C0E" w14:paraId="33FC8E4B" w14:textId="77777777" w:rsidTr="004022E3">
        <w:tc>
          <w:tcPr>
            <w:tcW w:w="1838" w:type="dxa"/>
            <w:shd w:val="clear" w:color="auto" w:fill="D5EBF2" w:themeFill="accent5" w:themeFillTint="33"/>
          </w:tcPr>
          <w:p w14:paraId="0EFEB597" w14:textId="26735319" w:rsidR="00CA6154" w:rsidRPr="00600C0E" w:rsidRDefault="00CA6154" w:rsidP="00600C0E">
            <w:pPr>
              <w:rPr>
                <w:rFonts w:eastAsia="Arial"/>
              </w:rPr>
            </w:pPr>
          </w:p>
          <w:p w14:paraId="1D313268" w14:textId="68A1F53A" w:rsidR="00FD25EA" w:rsidRPr="00600C0E" w:rsidRDefault="00180180" w:rsidP="0094144D">
            <w:pPr>
              <w:spacing w:before="0" w:after="0"/>
              <w:jc w:val="center"/>
            </w:pPr>
            <w:r w:rsidRPr="00027388">
              <w:rPr>
                <w:noProof/>
              </w:rPr>
              <w:drawing>
                <wp:inline distT="0" distB="0" distL="0" distR="0" wp14:anchorId="03742C60" wp14:editId="1AD7204A">
                  <wp:extent cx="857250" cy="822402"/>
                  <wp:effectExtent l="0" t="0" r="0" b="0"/>
                  <wp:docPr id="13089546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2998" name="Picture 1">
                            <a:extLst>
                              <a:ext uri="{C183D7F6-B498-43B3-948B-1728B52AA6E4}">
                                <adec:decorative xmlns:adec="http://schemas.microsoft.com/office/drawing/2017/decorative" val="1"/>
                              </a:ext>
                            </a:extLst>
                          </pic:cNvPr>
                          <pic:cNvPicPr/>
                        </pic:nvPicPr>
                        <pic:blipFill>
                          <a:blip r:embed="rId24"/>
                          <a:stretch>
                            <a:fillRect/>
                          </a:stretch>
                        </pic:blipFill>
                        <pic:spPr>
                          <a:xfrm>
                            <a:off x="0" y="0"/>
                            <a:ext cx="858869" cy="823955"/>
                          </a:xfrm>
                          <a:prstGeom prst="rect">
                            <a:avLst/>
                          </a:prstGeom>
                        </pic:spPr>
                      </pic:pic>
                    </a:graphicData>
                  </a:graphic>
                </wp:inline>
              </w:drawing>
            </w:r>
          </w:p>
        </w:tc>
        <w:tc>
          <w:tcPr>
            <w:tcW w:w="7655" w:type="dxa"/>
            <w:shd w:val="clear" w:color="auto" w:fill="F2F2F2" w:themeFill="background1" w:themeFillShade="F2"/>
          </w:tcPr>
          <w:p w14:paraId="2AABA0EF" w14:textId="566EEFE8" w:rsidR="00A730FF" w:rsidRPr="00600C0E" w:rsidRDefault="000F569A" w:rsidP="00B247D7">
            <w:pPr>
              <w:pStyle w:val="Heading6"/>
            </w:pPr>
            <w:r w:rsidRPr="00600C0E">
              <w:t xml:space="preserve">Implementation phase and </w:t>
            </w:r>
            <w:r w:rsidR="002A3250" w:rsidRPr="00600C0E">
              <w:t xml:space="preserve">Transitional Arrangement </w:t>
            </w:r>
            <w:r w:rsidR="00FD25EA" w:rsidRPr="00600C0E">
              <w:t>end</w:t>
            </w:r>
            <w:r w:rsidR="002D3D8C" w:rsidRPr="00600C0E">
              <w:t xml:space="preserve"> </w:t>
            </w:r>
            <w:r w:rsidR="00A223A5">
              <w:t>(01 Mar 2026)</w:t>
            </w:r>
          </w:p>
          <w:p w14:paraId="14C7B6A3" w14:textId="68720952" w:rsidR="002D3D8C" w:rsidRPr="00600C0E" w:rsidRDefault="00A730FF" w:rsidP="00600C0E">
            <w:pPr>
              <w:rPr>
                <w:rFonts w:eastAsia="Arial"/>
              </w:rPr>
            </w:pPr>
            <w:r w:rsidRPr="00600C0E">
              <w:rPr>
                <w:rFonts w:eastAsia="Arial"/>
              </w:rPr>
              <w:t>A</w:t>
            </w:r>
            <w:r w:rsidR="00473A47" w:rsidRPr="00600C0E">
              <w:rPr>
                <w:rFonts w:eastAsia="Arial"/>
              </w:rPr>
              <w:t xml:space="preserve">ll </w:t>
            </w:r>
            <w:r w:rsidR="002A3250" w:rsidRPr="00600C0E">
              <w:rPr>
                <w:rFonts w:eastAsia="Arial"/>
              </w:rPr>
              <w:t>RACH</w:t>
            </w:r>
            <w:r w:rsidR="002D3D8C" w:rsidRPr="00600C0E">
              <w:rPr>
                <w:rFonts w:eastAsia="Arial"/>
              </w:rPr>
              <w:t>s</w:t>
            </w:r>
            <w:r w:rsidR="007F7D8C" w:rsidRPr="00600C0E">
              <w:rPr>
                <w:rFonts w:eastAsia="Arial"/>
              </w:rPr>
              <w:t xml:space="preserve"> </w:t>
            </w:r>
            <w:r w:rsidR="00473A47" w:rsidRPr="00600C0E">
              <w:rPr>
                <w:rFonts w:eastAsia="Arial"/>
              </w:rPr>
              <w:t xml:space="preserve">using an eNRMC system </w:t>
            </w:r>
            <w:r w:rsidR="007F7D8C" w:rsidRPr="00600C0E">
              <w:rPr>
                <w:rFonts w:eastAsia="Arial"/>
              </w:rPr>
              <w:t>must</w:t>
            </w:r>
            <w:r w:rsidR="002A3250" w:rsidRPr="00600C0E">
              <w:rPr>
                <w:rFonts w:eastAsia="Arial"/>
              </w:rPr>
              <w:t xml:space="preserve"> </w:t>
            </w:r>
            <w:r w:rsidR="002D3D8C" w:rsidRPr="00600C0E">
              <w:rPr>
                <w:rFonts w:eastAsia="Arial"/>
              </w:rPr>
              <w:t>either:</w:t>
            </w:r>
          </w:p>
          <w:p w14:paraId="7695F71B" w14:textId="79DC9043" w:rsidR="002E05CB" w:rsidRPr="008B5812" w:rsidRDefault="004813F2" w:rsidP="008B5812">
            <w:pPr>
              <w:pStyle w:val="ListParagraph"/>
              <w:numPr>
                <w:ilvl w:val="0"/>
                <w:numId w:val="33"/>
              </w:numPr>
              <w:rPr>
                <w:rFonts w:eastAsia="Arial"/>
              </w:rPr>
            </w:pPr>
            <w:r w:rsidRPr="008B5812">
              <w:rPr>
                <w:rFonts w:eastAsia="Arial"/>
              </w:rPr>
              <w:t>U</w:t>
            </w:r>
            <w:r w:rsidR="00473A47" w:rsidRPr="008B5812">
              <w:rPr>
                <w:rFonts w:eastAsia="Arial"/>
              </w:rPr>
              <w:t>s</w:t>
            </w:r>
            <w:r w:rsidRPr="008B5812">
              <w:rPr>
                <w:rFonts w:eastAsia="Arial"/>
              </w:rPr>
              <w:t xml:space="preserve">e </w:t>
            </w:r>
            <w:r w:rsidR="00505526" w:rsidRPr="008B5812">
              <w:rPr>
                <w:rFonts w:eastAsia="Arial"/>
              </w:rPr>
              <w:t>an</w:t>
            </w:r>
            <w:r w:rsidR="00473A47" w:rsidRPr="008B5812">
              <w:rPr>
                <w:rFonts w:eastAsia="Arial"/>
              </w:rPr>
              <w:t xml:space="preserve"> </w:t>
            </w:r>
            <w:r w:rsidR="002A3250" w:rsidRPr="008B5812">
              <w:rPr>
                <w:rFonts w:eastAsia="Arial"/>
              </w:rPr>
              <w:t>electronic prescribing conformant</w:t>
            </w:r>
            <w:r w:rsidR="007F7D8C" w:rsidRPr="008B5812">
              <w:rPr>
                <w:rFonts w:eastAsia="Arial"/>
              </w:rPr>
              <w:t xml:space="preserve"> version of their</w:t>
            </w:r>
            <w:r w:rsidR="002A3250" w:rsidRPr="008B5812">
              <w:rPr>
                <w:rFonts w:eastAsia="Arial"/>
              </w:rPr>
              <w:t xml:space="preserve"> eNRMC system</w:t>
            </w:r>
            <w:r w:rsidR="00135257" w:rsidRPr="008B5812">
              <w:rPr>
                <w:rFonts w:eastAsia="Arial"/>
              </w:rPr>
              <w:t>s</w:t>
            </w:r>
          </w:p>
          <w:p w14:paraId="45A7E9C6" w14:textId="1D9755C0" w:rsidR="006918FC" w:rsidRPr="008B5812" w:rsidRDefault="00CF7349" w:rsidP="00600C0E">
            <w:pPr>
              <w:rPr>
                <w:rFonts w:eastAsia="Arial"/>
                <w:b/>
                <w:bCs/>
                <w:i/>
                <w:iCs/>
              </w:rPr>
            </w:pPr>
            <w:r w:rsidRPr="008B5812">
              <w:rPr>
                <w:rFonts w:eastAsia="Arial"/>
                <w:b/>
                <w:bCs/>
                <w:i/>
                <w:iCs/>
              </w:rPr>
              <w:t>OR</w:t>
            </w:r>
          </w:p>
          <w:p w14:paraId="03677B94" w14:textId="38B7C0E4" w:rsidR="000462FE" w:rsidRPr="008B5812" w:rsidRDefault="00135257" w:rsidP="008B5812">
            <w:pPr>
              <w:pStyle w:val="ListParagraph"/>
              <w:numPr>
                <w:ilvl w:val="0"/>
                <w:numId w:val="33"/>
              </w:numPr>
              <w:rPr>
                <w:rFonts w:eastAsia="Arial"/>
              </w:rPr>
            </w:pPr>
            <w:r w:rsidRPr="008B5812">
              <w:rPr>
                <w:rFonts w:eastAsia="Arial"/>
              </w:rPr>
              <w:t xml:space="preserve">use </w:t>
            </w:r>
            <w:r w:rsidR="00817455" w:rsidRPr="008B5812">
              <w:rPr>
                <w:rFonts w:eastAsia="Arial"/>
              </w:rPr>
              <w:t>non-conformant version</w:t>
            </w:r>
            <w:r w:rsidRPr="008B5812">
              <w:rPr>
                <w:rFonts w:eastAsia="Arial"/>
              </w:rPr>
              <w:t xml:space="preserve"> </w:t>
            </w:r>
            <w:r w:rsidR="00BA3A43" w:rsidRPr="008B5812">
              <w:rPr>
                <w:rFonts w:eastAsia="Arial"/>
              </w:rPr>
              <w:t>of eNRMC for administration purposes onl</w:t>
            </w:r>
            <w:r w:rsidR="005F5766" w:rsidRPr="008B5812">
              <w:rPr>
                <w:rFonts w:eastAsia="Arial"/>
              </w:rPr>
              <w:t>y</w:t>
            </w:r>
            <w:r w:rsidR="00BA3A43" w:rsidRPr="008B5812">
              <w:rPr>
                <w:rFonts w:eastAsia="Arial"/>
              </w:rPr>
              <w:t xml:space="preserve"> and revert to using </w:t>
            </w:r>
            <w:r w:rsidRPr="008B5812">
              <w:rPr>
                <w:rFonts w:eastAsia="Arial"/>
              </w:rPr>
              <w:t xml:space="preserve">separate paper/electronic </w:t>
            </w:r>
            <w:r w:rsidR="00BA3A43" w:rsidRPr="008B5812">
              <w:rPr>
                <w:rFonts w:eastAsia="Arial"/>
              </w:rPr>
              <w:t xml:space="preserve">PBS </w:t>
            </w:r>
            <w:r w:rsidRPr="008B5812">
              <w:rPr>
                <w:rFonts w:eastAsia="Arial"/>
              </w:rPr>
              <w:t>prescriptions or</w:t>
            </w:r>
            <w:r w:rsidR="00817455" w:rsidRPr="008B5812">
              <w:rPr>
                <w:rFonts w:eastAsia="Arial"/>
              </w:rPr>
              <w:t xml:space="preserve"> revert to</w:t>
            </w:r>
            <w:r w:rsidRPr="008B5812">
              <w:rPr>
                <w:rFonts w:eastAsia="Arial"/>
              </w:rPr>
              <w:t xml:space="preserve"> </w:t>
            </w:r>
            <w:r w:rsidR="00321F82" w:rsidRPr="008B5812">
              <w:rPr>
                <w:rFonts w:eastAsia="Arial"/>
              </w:rPr>
              <w:t xml:space="preserve">paper </w:t>
            </w:r>
            <w:r w:rsidRPr="008B5812">
              <w:rPr>
                <w:rFonts w:eastAsia="Arial"/>
              </w:rPr>
              <w:t>NRMC</w:t>
            </w:r>
            <w:r w:rsidR="003C7443" w:rsidRPr="008B5812">
              <w:rPr>
                <w:rFonts w:eastAsia="Arial"/>
              </w:rPr>
              <w:t>.</w:t>
            </w:r>
          </w:p>
        </w:tc>
      </w:tr>
    </w:tbl>
    <w:p w14:paraId="44773A2E" w14:textId="0FDF4BFD" w:rsidR="00BB5947" w:rsidRPr="00600C0E" w:rsidRDefault="006E67C8" w:rsidP="00F30A3D">
      <w:pPr>
        <w:pStyle w:val="Heading3"/>
      </w:pPr>
      <w:r w:rsidRPr="00600C0E">
        <w:t>Types of eNRMC systems during the rollout of conformant eNRMC</w:t>
      </w:r>
    </w:p>
    <w:p w14:paraId="1DAE7B8B" w14:textId="20AB5959" w:rsidR="005330F5" w:rsidRPr="00600C0E" w:rsidRDefault="00DC5954" w:rsidP="00600C0E">
      <w:r w:rsidRPr="00600C0E">
        <w:t xml:space="preserve">Until 1 March 2026, </w:t>
      </w:r>
      <w:r w:rsidR="00ED7D67" w:rsidRPr="00600C0E">
        <w:t>P</w:t>
      </w:r>
      <w:r w:rsidRPr="00600C0E">
        <w:t xml:space="preserve">rescribers may interact with </w:t>
      </w:r>
      <w:r w:rsidR="001D02BA" w:rsidRPr="00600C0E">
        <w:t>three</w:t>
      </w:r>
      <w:r w:rsidRPr="00600C0E">
        <w:t xml:space="preserve"> different </w:t>
      </w:r>
      <w:r w:rsidR="00393BE4" w:rsidRPr="00600C0E">
        <w:t>versions</w:t>
      </w:r>
      <w:r w:rsidRPr="00600C0E">
        <w:t xml:space="preserve"> of eNRMC systems to prescribe medicines.</w:t>
      </w:r>
    </w:p>
    <w:p w14:paraId="393DD342" w14:textId="0110594F" w:rsidR="005330F5" w:rsidRPr="00600C0E" w:rsidRDefault="005330F5" w:rsidP="00F30A3D">
      <w:pPr>
        <w:pStyle w:val="Heading4"/>
      </w:pPr>
      <w:r w:rsidRPr="00600C0E">
        <w:t>eP conformant eNRMC system (available from 2025)</w:t>
      </w:r>
    </w:p>
    <w:p w14:paraId="13DE55AF" w14:textId="6B3ECF70" w:rsidR="005330F5" w:rsidRPr="009962CE" w:rsidRDefault="005330F5" w:rsidP="009962CE">
      <w:pPr>
        <w:pStyle w:val="ListBullet"/>
      </w:pPr>
      <w:r w:rsidRPr="009962CE">
        <w:t>Has been approved by the Agency as conformant with the technical and legislative requirements for electronic prescribing.</w:t>
      </w:r>
    </w:p>
    <w:p w14:paraId="5389D1B8" w14:textId="63A8EE2D" w:rsidR="005330F5" w:rsidRPr="009962CE" w:rsidRDefault="005330F5" w:rsidP="009962CE">
      <w:pPr>
        <w:pStyle w:val="ListBullet"/>
      </w:pPr>
      <w:r w:rsidRPr="009962CE">
        <w:t>RACHs are expected to transition to this version of their Transitional eNRMC systems by 1 March 2026.</w:t>
      </w:r>
    </w:p>
    <w:p w14:paraId="693F740E" w14:textId="62C62EB4" w:rsidR="005330F5" w:rsidRPr="00600C0E" w:rsidRDefault="005330F5" w:rsidP="00F30A3D">
      <w:pPr>
        <w:pStyle w:val="Heading4"/>
      </w:pPr>
      <w:r w:rsidRPr="00600C0E">
        <w:t>2025-26 Transitional eNRMC system</w:t>
      </w:r>
    </w:p>
    <w:p w14:paraId="425432B9" w14:textId="77777777" w:rsidR="005330F5" w:rsidRPr="009962CE" w:rsidRDefault="005330F5" w:rsidP="009962CE">
      <w:pPr>
        <w:pStyle w:val="ListBullet"/>
      </w:pPr>
      <w:r w:rsidRPr="009962CE">
        <w:t>Meets the legislative and technical requirements to operate under the temporary Transitional Arrangement between 1 October 2025 and 28 February 2026.</w:t>
      </w:r>
    </w:p>
    <w:p w14:paraId="332AC3CA" w14:textId="77777777" w:rsidR="005330F5" w:rsidRPr="009962CE" w:rsidRDefault="005330F5" w:rsidP="009962CE">
      <w:pPr>
        <w:pStyle w:val="ListBullet"/>
      </w:pPr>
      <w:r w:rsidRPr="009962CE">
        <w:t>Has a more recent eP conformant version approved by the Agency by 30 September 2025.</w:t>
      </w:r>
    </w:p>
    <w:p w14:paraId="0AA5FB65" w14:textId="77777777" w:rsidR="005330F5" w:rsidRPr="009962CE" w:rsidRDefault="005330F5" w:rsidP="009962CE">
      <w:pPr>
        <w:pStyle w:val="ListBullet"/>
      </w:pPr>
      <w:r w:rsidRPr="009962CE">
        <w:t>Does not connect to the NPDS or have prescription QR codes or tokens.</w:t>
      </w:r>
    </w:p>
    <w:p w14:paraId="1CAA1175" w14:textId="67FAA0FB" w:rsidR="005330F5" w:rsidRPr="009962CE" w:rsidRDefault="005330F5" w:rsidP="009962CE">
      <w:pPr>
        <w:pStyle w:val="ListBullet"/>
      </w:pPr>
      <w:r w:rsidRPr="009962CE">
        <w:t>Does not meet all of the requirements for electronic prescribing.</w:t>
      </w:r>
    </w:p>
    <w:p w14:paraId="3EF68BE6" w14:textId="4F6477A2" w:rsidR="00180180" w:rsidRPr="00180180" w:rsidRDefault="005330F5" w:rsidP="009962CE">
      <w:pPr>
        <w:pStyle w:val="ListBullet"/>
      </w:pPr>
      <w:r w:rsidRPr="009962CE">
        <w:t>Can operate under the Transitional Arrangement until 1 March 2026 when RACHs are expected to have upgraded to the eP conformant version of the system.</w:t>
      </w:r>
      <w:r w:rsidR="00180180" w:rsidRPr="00180180">
        <w:br w:type="page"/>
      </w:r>
    </w:p>
    <w:p w14:paraId="345430B5" w14:textId="77777777" w:rsidR="005330F5" w:rsidRPr="009962CE" w:rsidRDefault="005330F5" w:rsidP="007E6179">
      <w:pPr>
        <w:pStyle w:val="Heading4"/>
      </w:pPr>
      <w:r w:rsidRPr="009962CE">
        <w:lastRenderedPageBreak/>
        <w:t>2022-25 Transitional eNRMC system (or non-conformant system)</w:t>
      </w:r>
    </w:p>
    <w:p w14:paraId="1CDD4EB2" w14:textId="77777777" w:rsidR="005330F5" w:rsidRPr="009962CE" w:rsidRDefault="005330F5" w:rsidP="009962CE">
      <w:pPr>
        <w:pStyle w:val="ListBullet"/>
      </w:pPr>
      <w:r w:rsidRPr="009962CE">
        <w:t>Meets the legislative and technical requirements to operate under the temporary Transitional Arrangement between 2022 and 30 September 2025.</w:t>
      </w:r>
    </w:p>
    <w:p w14:paraId="7120CC51" w14:textId="14FEA51D" w:rsidR="005330F5" w:rsidRPr="009962CE" w:rsidRDefault="005330F5" w:rsidP="009962CE">
      <w:pPr>
        <w:pStyle w:val="ListBullet"/>
      </w:pPr>
      <w:r w:rsidRPr="009962CE">
        <w:t>Does not have an eP conformant version approved by the Agency by 30 September 2025.</w:t>
      </w:r>
    </w:p>
    <w:p w14:paraId="124B2E79" w14:textId="0810FA8B" w:rsidR="005330F5" w:rsidRPr="009962CE" w:rsidRDefault="005330F5" w:rsidP="009962CE">
      <w:pPr>
        <w:pStyle w:val="ListBullet"/>
      </w:pPr>
      <w:r w:rsidRPr="009962CE">
        <w:t>Does not meet all of the requirements for electronic prescribing.</w:t>
      </w:r>
    </w:p>
    <w:p w14:paraId="3A0B6610" w14:textId="0E685208" w:rsidR="005330F5" w:rsidRPr="009962CE" w:rsidRDefault="005330F5" w:rsidP="009962CE">
      <w:pPr>
        <w:pStyle w:val="ListBullet"/>
      </w:pPr>
      <w:r w:rsidRPr="009962CE">
        <w:t>Must be used in parallel with separate prescriptions (paper/electronic/NRMC) from 30 September 2025.</w:t>
      </w:r>
    </w:p>
    <w:p w14:paraId="530A197A" w14:textId="146F01C4" w:rsidR="00FC4449" w:rsidRPr="00600C0E" w:rsidRDefault="005330F5" w:rsidP="009962CE">
      <w:r w:rsidRPr="00600C0E">
        <w:t>Identifiable features of these three systems are outlined in Table 2 below.</w:t>
      </w:r>
    </w:p>
    <w:p w14:paraId="62E75CF5" w14:textId="1C2BC50D" w:rsidR="004E24F8" w:rsidRPr="00600C0E" w:rsidRDefault="004E24F8" w:rsidP="00180180">
      <w:pPr>
        <w:pStyle w:val="TableTitle"/>
      </w:pPr>
      <w:r w:rsidRPr="00600C0E">
        <w:t xml:space="preserve">Table </w:t>
      </w:r>
      <w:r w:rsidR="000E2545" w:rsidRPr="00600C0E">
        <w:t>2</w:t>
      </w:r>
      <w:r w:rsidR="00526697" w:rsidRPr="00600C0E">
        <w:t>:</w:t>
      </w:r>
      <w:r w:rsidRPr="00600C0E">
        <w:t xml:space="preserve"> </w:t>
      </w:r>
      <w:r w:rsidR="009826C8" w:rsidRPr="00600C0E">
        <w:t>Understanding eNRMC systems during transition phase (Oct</w:t>
      </w:r>
      <w:r w:rsidR="00320C03" w:rsidRPr="00600C0E">
        <w:t xml:space="preserve">ober </w:t>
      </w:r>
      <w:r w:rsidR="001010C3" w:rsidRPr="00600C0E">
        <w:t>25</w:t>
      </w:r>
      <w:r w:rsidR="00320C03" w:rsidRPr="00600C0E">
        <w:t xml:space="preserve"> </w:t>
      </w:r>
      <w:r w:rsidR="001010C3" w:rsidRPr="00600C0E">
        <w:t>to</w:t>
      </w:r>
      <w:r w:rsidR="00320C03" w:rsidRPr="00600C0E">
        <w:t xml:space="preserve"> March</w:t>
      </w:r>
      <w:r w:rsidR="00CA15E7" w:rsidRPr="00600C0E">
        <w:t xml:space="preserve"> </w:t>
      </w:r>
      <w:r w:rsidR="001010C3" w:rsidRPr="00600C0E">
        <w:t>26</w:t>
      </w:r>
      <w:r w:rsidR="00320C03" w:rsidRPr="00600C0E">
        <w:t>)</w:t>
      </w:r>
    </w:p>
    <w:tbl>
      <w:tblPr>
        <w:tblStyle w:val="TableGrid"/>
        <w:tblW w:w="5151"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0"/>
        <w:gridCol w:w="2267"/>
        <w:gridCol w:w="3261"/>
        <w:gridCol w:w="3261"/>
      </w:tblGrid>
      <w:tr w:rsidR="00E3185F" w:rsidRPr="00600C0E" w14:paraId="59920955" w14:textId="77777777" w:rsidTr="00E3185F">
        <w:trPr>
          <w:tblHeader/>
        </w:trPr>
        <w:tc>
          <w:tcPr>
            <w:tcW w:w="569" w:type="pct"/>
            <w:shd w:val="clear" w:color="auto" w:fill="3F4A75" w:themeFill="accent1"/>
          </w:tcPr>
          <w:p w14:paraId="707FD713" w14:textId="0AB8F913" w:rsidR="00E3185F" w:rsidRPr="00600C0E" w:rsidRDefault="00E3185F" w:rsidP="00180180">
            <w:pPr>
              <w:pStyle w:val="TableHeaderWhite"/>
            </w:pPr>
            <w:r w:rsidRPr="00600C0E">
              <w:t>eNRMC System Status</w:t>
            </w:r>
            <w:r w:rsidRPr="00600C0E" w:rsidDel="00036790">
              <w:t xml:space="preserve"> </w:t>
            </w:r>
          </w:p>
        </w:tc>
        <w:tc>
          <w:tcPr>
            <w:tcW w:w="1143" w:type="pct"/>
            <w:shd w:val="clear" w:color="auto" w:fill="3F4A75" w:themeFill="accent1"/>
          </w:tcPr>
          <w:p w14:paraId="2128321C" w14:textId="75380F76" w:rsidR="00E3185F" w:rsidRPr="00600C0E" w:rsidRDefault="00E3185F" w:rsidP="00180180">
            <w:pPr>
              <w:pStyle w:val="TableHeaderWhite"/>
            </w:pPr>
            <w:r w:rsidRPr="00600C0E">
              <w:t>Identifiable features</w:t>
            </w:r>
            <w:r w:rsidRPr="00600C0E" w:rsidDel="00036790">
              <w:t xml:space="preserve"> </w:t>
            </w:r>
          </w:p>
        </w:tc>
        <w:tc>
          <w:tcPr>
            <w:tcW w:w="1644" w:type="pct"/>
            <w:shd w:val="clear" w:color="auto" w:fill="3F4A75" w:themeFill="accent1"/>
          </w:tcPr>
          <w:p w14:paraId="1CD16BEF" w14:textId="0D87567F" w:rsidR="00E3185F" w:rsidRPr="00E3185F" w:rsidRDefault="00E3185F" w:rsidP="00E3185F">
            <w:pPr>
              <w:pStyle w:val="TableHeaderWhite"/>
            </w:pPr>
            <w:r w:rsidRPr="00600C0E">
              <w:t>Impact</w:t>
            </w:r>
          </w:p>
        </w:tc>
        <w:tc>
          <w:tcPr>
            <w:tcW w:w="1644" w:type="pct"/>
            <w:shd w:val="clear" w:color="auto" w:fill="3F4A75" w:themeFill="accent1"/>
          </w:tcPr>
          <w:p w14:paraId="2BFE65BF" w14:textId="46270673" w:rsidR="00E3185F" w:rsidRPr="00600C0E" w:rsidRDefault="00E3185F" w:rsidP="00180180">
            <w:pPr>
              <w:pStyle w:val="TableHeaderWhite"/>
            </w:pPr>
            <w:r>
              <w:t>Impact</w:t>
            </w:r>
          </w:p>
        </w:tc>
      </w:tr>
      <w:tr w:rsidR="00EB4B66" w:rsidRPr="00600C0E" w14:paraId="24F5D5B8" w14:textId="77777777" w:rsidTr="00E3185F">
        <w:tc>
          <w:tcPr>
            <w:tcW w:w="569" w:type="pct"/>
            <w:shd w:val="clear" w:color="auto" w:fill="F2F2F2" w:themeFill="background1" w:themeFillShade="F2"/>
          </w:tcPr>
          <w:p w14:paraId="143AC39D" w14:textId="015BE0A3" w:rsidR="00B0792F" w:rsidRPr="00600C0E" w:rsidRDefault="00B0792F" w:rsidP="00600C0E">
            <w:r w:rsidRPr="00600C0E">
              <w:rPr>
                <w:noProof/>
              </w:rPr>
              <w:drawing>
                <wp:inline distT="0" distB="0" distL="0" distR="0" wp14:anchorId="3CC58410" wp14:editId="087038B7">
                  <wp:extent cx="284672" cy="284672"/>
                  <wp:effectExtent l="0" t="0" r="1270" b="1270"/>
                  <wp:docPr id="446176727"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40146" name="Graphic 695940146" descr="Checkmark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290404" cy="290404"/>
                          </a:xfrm>
                          <a:prstGeom prst="rect">
                            <a:avLst/>
                          </a:prstGeom>
                        </pic:spPr>
                      </pic:pic>
                    </a:graphicData>
                  </a:graphic>
                </wp:inline>
              </w:drawing>
            </w:r>
          </w:p>
        </w:tc>
        <w:tc>
          <w:tcPr>
            <w:tcW w:w="1143" w:type="pct"/>
            <w:shd w:val="clear" w:color="auto" w:fill="F2F2F2" w:themeFill="background1" w:themeFillShade="F2"/>
          </w:tcPr>
          <w:p w14:paraId="0FA20E83" w14:textId="7FC544DF" w:rsidR="00B0792F" w:rsidRPr="00600C0E" w:rsidRDefault="00B10043" w:rsidP="0094144D">
            <w:r w:rsidRPr="00180180">
              <w:rPr>
                <w:b/>
                <w:bCs/>
              </w:rPr>
              <w:t xml:space="preserve">eP </w:t>
            </w:r>
            <w:r w:rsidR="00B0792F" w:rsidRPr="00180180">
              <w:rPr>
                <w:b/>
                <w:bCs/>
              </w:rPr>
              <w:t>Conformant</w:t>
            </w:r>
            <w:r w:rsidR="0094144D">
              <w:rPr>
                <w:b/>
                <w:bCs/>
              </w:rPr>
              <w:t xml:space="preserve"> </w:t>
            </w:r>
            <w:r w:rsidRPr="00180180">
              <w:rPr>
                <w:b/>
                <w:bCs/>
              </w:rPr>
              <w:t>eNRMC system</w:t>
            </w:r>
          </w:p>
        </w:tc>
        <w:tc>
          <w:tcPr>
            <w:tcW w:w="1644" w:type="pct"/>
            <w:shd w:val="clear" w:color="auto" w:fill="F2F2F2" w:themeFill="background1" w:themeFillShade="F2"/>
          </w:tcPr>
          <w:p w14:paraId="2B1F9B74" w14:textId="04CF2DF9" w:rsidR="00B10043" w:rsidRPr="00180180" w:rsidRDefault="00B10043" w:rsidP="00180180">
            <w:pPr>
              <w:pStyle w:val="ListParagraph"/>
              <w:numPr>
                <w:ilvl w:val="0"/>
                <w:numId w:val="33"/>
              </w:numPr>
              <w:rPr>
                <w:sz w:val="20"/>
              </w:rPr>
            </w:pPr>
            <w:r w:rsidRPr="00180180">
              <w:rPr>
                <w:sz w:val="20"/>
              </w:rPr>
              <w:t>Able to electronically prescribe in the eNRMC system.</w:t>
            </w:r>
          </w:p>
          <w:p w14:paraId="2067AB66" w14:textId="1B234FF9" w:rsidR="00B10043" w:rsidRPr="00180180" w:rsidRDefault="00B10043" w:rsidP="00180180">
            <w:pPr>
              <w:pStyle w:val="ListParagraph"/>
              <w:numPr>
                <w:ilvl w:val="0"/>
                <w:numId w:val="33"/>
              </w:numPr>
              <w:rPr>
                <w:sz w:val="20"/>
              </w:rPr>
            </w:pPr>
            <w:r w:rsidRPr="00180180">
              <w:rPr>
                <w:sz w:val="20"/>
              </w:rPr>
              <w:t>Prescriptions will be sent to the NPDS.</w:t>
            </w:r>
          </w:p>
          <w:p w14:paraId="601B95F8" w14:textId="6700B44C" w:rsidR="00B0792F" w:rsidRPr="00180180" w:rsidRDefault="00B10043" w:rsidP="00180180">
            <w:pPr>
              <w:pStyle w:val="ListParagraph"/>
              <w:numPr>
                <w:ilvl w:val="0"/>
                <w:numId w:val="33"/>
              </w:numPr>
              <w:rPr>
                <w:sz w:val="20"/>
              </w:rPr>
            </w:pPr>
            <w:r w:rsidRPr="00180180">
              <w:rPr>
                <w:sz w:val="20"/>
              </w:rPr>
              <w:t xml:space="preserve">Listed in Table 3 of the Department’s </w:t>
            </w:r>
            <w:hyperlink r:id="rId27" w:history="1">
              <w:r w:rsidRPr="00C9767F">
                <w:rPr>
                  <w:rStyle w:val="Hyperlink"/>
                </w:rPr>
                <w:t>Conformance status tracker</w:t>
              </w:r>
            </w:hyperlink>
            <w:r w:rsidRPr="00180180">
              <w:rPr>
                <w:sz w:val="20"/>
              </w:rPr>
              <w:t xml:space="preserve"> and Agency’s </w:t>
            </w:r>
            <w:hyperlink r:id="rId28" w:history="1">
              <w:r w:rsidR="000A46E5" w:rsidRPr="000A46E5">
                <w:rPr>
                  <w:rStyle w:val="Hyperlink"/>
                </w:rPr>
                <w:t>Electronic Prescribing – External Conformance Register.</w:t>
              </w:r>
            </w:hyperlink>
          </w:p>
        </w:tc>
        <w:tc>
          <w:tcPr>
            <w:tcW w:w="1644" w:type="pct"/>
            <w:shd w:val="clear" w:color="auto" w:fill="F2F2F2" w:themeFill="background1" w:themeFillShade="F2"/>
          </w:tcPr>
          <w:p w14:paraId="705694F9" w14:textId="64F84A95" w:rsidR="00B0792F" w:rsidRPr="00F30A3D" w:rsidRDefault="002F5865" w:rsidP="00F30A3D">
            <w:pPr>
              <w:pStyle w:val="ListParagraph"/>
              <w:numPr>
                <w:ilvl w:val="0"/>
                <w:numId w:val="33"/>
              </w:numPr>
              <w:rPr>
                <w:sz w:val="20"/>
              </w:rPr>
            </w:pPr>
            <w:r w:rsidRPr="00F30A3D">
              <w:rPr>
                <w:sz w:val="20"/>
              </w:rPr>
              <w:t xml:space="preserve">Functions </w:t>
            </w:r>
            <w:r w:rsidR="00B76BDC" w:rsidRPr="00F30A3D">
              <w:rPr>
                <w:sz w:val="20"/>
              </w:rPr>
              <w:t>similarly to</w:t>
            </w:r>
            <w:r w:rsidRPr="00F30A3D">
              <w:rPr>
                <w:sz w:val="20"/>
              </w:rPr>
              <w:t xml:space="preserve"> </w:t>
            </w:r>
            <w:r w:rsidR="00B95B45" w:rsidRPr="00F30A3D">
              <w:rPr>
                <w:sz w:val="20"/>
              </w:rPr>
              <w:t>community-based</w:t>
            </w:r>
            <w:r w:rsidR="00540A63" w:rsidRPr="00F30A3D">
              <w:rPr>
                <w:sz w:val="20"/>
              </w:rPr>
              <w:t xml:space="preserve"> prescriptions</w:t>
            </w:r>
            <w:r w:rsidR="00B76BDC" w:rsidRPr="00F30A3D">
              <w:rPr>
                <w:sz w:val="20"/>
              </w:rPr>
              <w:t xml:space="preserve"> using the NPDS</w:t>
            </w:r>
            <w:r w:rsidR="00B10043" w:rsidRPr="00F30A3D">
              <w:rPr>
                <w:sz w:val="20"/>
              </w:rPr>
              <w:t>.</w:t>
            </w:r>
          </w:p>
          <w:p w14:paraId="6E74D629" w14:textId="4FA0E226" w:rsidR="00B10043" w:rsidRPr="00180180" w:rsidRDefault="00B10043" w:rsidP="00180180">
            <w:pPr>
              <w:pStyle w:val="ListParagraph"/>
              <w:numPr>
                <w:ilvl w:val="0"/>
                <w:numId w:val="33"/>
              </w:numPr>
              <w:rPr>
                <w:sz w:val="20"/>
              </w:rPr>
            </w:pPr>
            <w:r w:rsidRPr="00180180">
              <w:rPr>
                <w:sz w:val="20"/>
              </w:rPr>
              <w:t>RACH has completed upgrade.</w:t>
            </w:r>
          </w:p>
          <w:p w14:paraId="3442491B" w14:textId="34BFC4DF" w:rsidR="00B10043" w:rsidRPr="00180180" w:rsidRDefault="00B10043" w:rsidP="00180180">
            <w:pPr>
              <w:pStyle w:val="ListParagraph"/>
              <w:numPr>
                <w:ilvl w:val="0"/>
                <w:numId w:val="33"/>
              </w:numPr>
              <w:rPr>
                <w:sz w:val="20"/>
              </w:rPr>
            </w:pPr>
            <w:r w:rsidRPr="00180180">
              <w:rPr>
                <w:sz w:val="20"/>
              </w:rPr>
              <w:t>Can prescribe and dispense via eNRMC.</w:t>
            </w:r>
          </w:p>
          <w:p w14:paraId="1B4AF06A" w14:textId="139DAD9D" w:rsidR="00B22F14" w:rsidRPr="00180180" w:rsidRDefault="00B22F14" w:rsidP="00600C0E">
            <w:pPr>
              <w:rPr>
                <w:sz w:val="20"/>
              </w:rPr>
            </w:pPr>
          </w:p>
        </w:tc>
      </w:tr>
      <w:tr w:rsidR="00EB4B66" w:rsidRPr="00600C0E" w14:paraId="44F4C41A" w14:textId="77777777" w:rsidTr="00E3185F">
        <w:tc>
          <w:tcPr>
            <w:tcW w:w="569" w:type="pct"/>
            <w:shd w:val="clear" w:color="auto" w:fill="F2F2F2" w:themeFill="background1" w:themeFillShade="F2"/>
          </w:tcPr>
          <w:p w14:paraId="22524383" w14:textId="549A760F" w:rsidR="00B0792F" w:rsidRPr="00600C0E" w:rsidRDefault="00B0792F" w:rsidP="00600C0E">
            <w:r w:rsidRPr="00600C0E">
              <w:rPr>
                <w:noProof/>
              </w:rPr>
              <w:drawing>
                <wp:inline distT="0" distB="0" distL="0" distR="0" wp14:anchorId="44AFEED2" wp14:editId="6ECDF55F">
                  <wp:extent cx="284672" cy="284672"/>
                  <wp:effectExtent l="0" t="0" r="1270" b="1270"/>
                  <wp:docPr id="695940146"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40146" name="Graphic 695940146" descr="Checkmark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290404" cy="290404"/>
                          </a:xfrm>
                          <a:prstGeom prst="rect">
                            <a:avLst/>
                          </a:prstGeom>
                        </pic:spPr>
                      </pic:pic>
                    </a:graphicData>
                  </a:graphic>
                </wp:inline>
              </w:drawing>
            </w:r>
          </w:p>
        </w:tc>
        <w:tc>
          <w:tcPr>
            <w:tcW w:w="1143" w:type="pct"/>
            <w:shd w:val="clear" w:color="auto" w:fill="F2F2F2" w:themeFill="background1" w:themeFillShade="F2"/>
          </w:tcPr>
          <w:p w14:paraId="497B53A2" w14:textId="01EFA258" w:rsidR="00B0792F" w:rsidRPr="0094144D" w:rsidRDefault="00B10043" w:rsidP="0094144D">
            <w:pPr>
              <w:rPr>
                <w:b/>
                <w:bCs/>
              </w:rPr>
            </w:pPr>
            <w:r w:rsidRPr="00180180">
              <w:rPr>
                <w:b/>
                <w:bCs/>
              </w:rPr>
              <w:t>2025-26</w:t>
            </w:r>
            <w:r w:rsidR="0094144D">
              <w:rPr>
                <w:b/>
                <w:bCs/>
              </w:rPr>
              <w:t xml:space="preserve"> </w:t>
            </w:r>
            <w:r w:rsidRPr="00180180">
              <w:rPr>
                <w:b/>
                <w:bCs/>
              </w:rPr>
              <w:t>Transitional</w:t>
            </w:r>
            <w:r w:rsidR="0094144D">
              <w:rPr>
                <w:b/>
                <w:bCs/>
              </w:rPr>
              <w:t xml:space="preserve"> </w:t>
            </w:r>
            <w:r w:rsidRPr="00180180">
              <w:rPr>
                <w:b/>
                <w:bCs/>
              </w:rPr>
              <w:t>eNRMC system</w:t>
            </w:r>
          </w:p>
        </w:tc>
        <w:tc>
          <w:tcPr>
            <w:tcW w:w="1644" w:type="pct"/>
            <w:shd w:val="clear" w:color="auto" w:fill="F2F2F2" w:themeFill="background1" w:themeFillShade="F2"/>
          </w:tcPr>
          <w:p w14:paraId="6CCE666A" w14:textId="4DF01BFE" w:rsidR="00B10043" w:rsidRPr="00180180" w:rsidRDefault="00B10043" w:rsidP="00180180">
            <w:pPr>
              <w:pStyle w:val="ListParagraph"/>
              <w:numPr>
                <w:ilvl w:val="0"/>
                <w:numId w:val="33"/>
              </w:numPr>
              <w:rPr>
                <w:sz w:val="20"/>
              </w:rPr>
            </w:pPr>
            <w:r w:rsidRPr="00180180">
              <w:rPr>
                <w:sz w:val="20"/>
              </w:rPr>
              <w:t>Continue to prescribe in eNRMC but as a transitional product.</w:t>
            </w:r>
          </w:p>
          <w:p w14:paraId="6A50AD6A" w14:textId="77777777" w:rsidR="00B10043" w:rsidRPr="00180180" w:rsidRDefault="00B10043" w:rsidP="00180180">
            <w:pPr>
              <w:pStyle w:val="ListParagraph"/>
              <w:numPr>
                <w:ilvl w:val="0"/>
                <w:numId w:val="33"/>
              </w:numPr>
              <w:rPr>
                <w:sz w:val="20"/>
              </w:rPr>
            </w:pPr>
            <w:r w:rsidRPr="00180180">
              <w:rPr>
                <w:sz w:val="20"/>
              </w:rPr>
              <w:t>Prescriptions will not be sent to NPDS until conformant.</w:t>
            </w:r>
          </w:p>
          <w:p w14:paraId="5FCA50BF" w14:textId="6BB98198" w:rsidR="00612792" w:rsidRPr="00180180" w:rsidRDefault="00B10043" w:rsidP="00180180">
            <w:pPr>
              <w:pStyle w:val="ListParagraph"/>
              <w:numPr>
                <w:ilvl w:val="0"/>
                <w:numId w:val="33"/>
              </w:numPr>
              <w:rPr>
                <w:sz w:val="20"/>
              </w:rPr>
            </w:pPr>
            <w:r w:rsidRPr="00180180">
              <w:rPr>
                <w:sz w:val="20"/>
              </w:rPr>
              <w:t xml:space="preserve">Listed in Table 2 of the Department’s </w:t>
            </w:r>
            <w:hyperlink r:id="rId29" w:history="1">
              <w:r w:rsidR="00C9767F" w:rsidRPr="00C9767F">
                <w:rPr>
                  <w:rStyle w:val="Hyperlink"/>
                </w:rPr>
                <w:t>Conformance status tracker</w:t>
              </w:r>
            </w:hyperlink>
            <w:r w:rsidRPr="00180180">
              <w:rPr>
                <w:sz w:val="20"/>
              </w:rPr>
              <w:t xml:space="preserve"> and Agency’s </w:t>
            </w:r>
            <w:hyperlink r:id="rId30" w:history="1">
              <w:r w:rsidR="00C9767F" w:rsidRPr="000A46E5">
                <w:rPr>
                  <w:rStyle w:val="Hyperlink"/>
                </w:rPr>
                <w:t>Electronic Prescribing – External Conformance Register.</w:t>
              </w:r>
            </w:hyperlink>
          </w:p>
        </w:tc>
        <w:tc>
          <w:tcPr>
            <w:tcW w:w="1644" w:type="pct"/>
            <w:shd w:val="clear" w:color="auto" w:fill="F2F2F2" w:themeFill="background1" w:themeFillShade="F2"/>
          </w:tcPr>
          <w:p w14:paraId="2675005E" w14:textId="5A96F5E1" w:rsidR="00B10043" w:rsidRPr="00180180" w:rsidRDefault="00540A63" w:rsidP="00180180">
            <w:pPr>
              <w:pStyle w:val="ListParagraph"/>
              <w:numPr>
                <w:ilvl w:val="0"/>
                <w:numId w:val="33"/>
              </w:numPr>
              <w:rPr>
                <w:sz w:val="20"/>
              </w:rPr>
            </w:pPr>
            <w:r w:rsidRPr="00180180">
              <w:rPr>
                <w:sz w:val="20"/>
              </w:rPr>
              <w:t xml:space="preserve">Legal to </w:t>
            </w:r>
            <w:r w:rsidR="00B10043" w:rsidRPr="00180180">
              <w:rPr>
                <w:sz w:val="20"/>
              </w:rPr>
              <w:t>prescribe</w:t>
            </w:r>
            <w:r w:rsidRPr="00180180">
              <w:rPr>
                <w:sz w:val="20"/>
              </w:rPr>
              <w:t xml:space="preserve"> from</w:t>
            </w:r>
            <w:r w:rsidR="002043F7" w:rsidRPr="00180180">
              <w:rPr>
                <w:sz w:val="20"/>
              </w:rPr>
              <w:t xml:space="preserve"> during </w:t>
            </w:r>
            <w:r w:rsidR="003F440C" w:rsidRPr="00180180">
              <w:rPr>
                <w:sz w:val="20"/>
              </w:rPr>
              <w:t xml:space="preserve">the </w:t>
            </w:r>
            <w:r w:rsidR="00B10043" w:rsidRPr="00180180">
              <w:rPr>
                <w:sz w:val="20"/>
              </w:rPr>
              <w:t>implementation phase (see Key dates table above).</w:t>
            </w:r>
          </w:p>
          <w:p w14:paraId="66BEE8C5" w14:textId="6C639499" w:rsidR="00B0792F" w:rsidRPr="00180180" w:rsidRDefault="00B10043" w:rsidP="00180180">
            <w:pPr>
              <w:pStyle w:val="ListParagraph"/>
              <w:numPr>
                <w:ilvl w:val="0"/>
                <w:numId w:val="33"/>
              </w:numPr>
              <w:rPr>
                <w:sz w:val="20"/>
              </w:rPr>
            </w:pPr>
            <w:r w:rsidRPr="00180180">
              <w:rPr>
                <w:sz w:val="20"/>
              </w:rPr>
              <w:t xml:space="preserve">RACHs must </w:t>
            </w:r>
            <w:r w:rsidR="003F440C" w:rsidRPr="00180180">
              <w:rPr>
                <w:sz w:val="20"/>
              </w:rPr>
              <w:t xml:space="preserve">transition </w:t>
            </w:r>
            <w:r w:rsidRPr="00180180">
              <w:rPr>
                <w:sz w:val="20"/>
              </w:rPr>
              <w:t>to conformant system version by 1 March 2026.</w:t>
            </w:r>
          </w:p>
        </w:tc>
      </w:tr>
      <w:tr w:rsidR="00EB4B66" w:rsidRPr="00600C0E" w14:paraId="1BA1BE4B" w14:textId="77777777" w:rsidTr="00E3185F">
        <w:tc>
          <w:tcPr>
            <w:tcW w:w="569" w:type="pct"/>
            <w:shd w:val="clear" w:color="auto" w:fill="F2F2F2" w:themeFill="background1" w:themeFillShade="F2"/>
          </w:tcPr>
          <w:p w14:paraId="702375D9" w14:textId="4880214C" w:rsidR="00B0792F" w:rsidRPr="00600C0E" w:rsidRDefault="00B0792F" w:rsidP="00600C0E">
            <w:r w:rsidRPr="00600C0E">
              <w:rPr>
                <w:noProof/>
              </w:rPr>
              <w:drawing>
                <wp:inline distT="0" distB="0" distL="0" distR="0" wp14:anchorId="768A4B61" wp14:editId="577F8502">
                  <wp:extent cx="284480" cy="284480"/>
                  <wp:effectExtent l="0" t="0" r="1270" b="1270"/>
                  <wp:docPr id="480935695" name="Graphic 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35695" name="Graphic 480935695" descr="Close with solid fill"/>
                          <pic:cNvPicPr/>
                        </pic:nvPicPr>
                        <pic:blipFill>
                          <a:blip r:embed="rId31">
                            <a:extLst>
                              <a:ext uri="{96DAC541-7B7A-43D3-8B79-37D633B846F1}">
                                <asvg:svgBlip xmlns:asvg="http://schemas.microsoft.com/office/drawing/2016/SVG/main" r:embed="rId32"/>
                              </a:ext>
                            </a:extLst>
                          </a:blip>
                          <a:stretch>
                            <a:fillRect/>
                          </a:stretch>
                        </pic:blipFill>
                        <pic:spPr>
                          <a:xfrm>
                            <a:off x="0" y="0"/>
                            <a:ext cx="286628" cy="286628"/>
                          </a:xfrm>
                          <a:prstGeom prst="rect">
                            <a:avLst/>
                          </a:prstGeom>
                        </pic:spPr>
                      </pic:pic>
                    </a:graphicData>
                  </a:graphic>
                </wp:inline>
              </w:drawing>
            </w:r>
          </w:p>
        </w:tc>
        <w:tc>
          <w:tcPr>
            <w:tcW w:w="1143" w:type="pct"/>
            <w:shd w:val="clear" w:color="auto" w:fill="F2F2F2" w:themeFill="background1" w:themeFillShade="F2"/>
          </w:tcPr>
          <w:p w14:paraId="2FDDE392" w14:textId="55578D95" w:rsidR="00B0792F" w:rsidRPr="00600C0E" w:rsidRDefault="00B10043" w:rsidP="0094144D">
            <w:r w:rsidRPr="00180180">
              <w:rPr>
                <w:b/>
                <w:bCs/>
              </w:rPr>
              <w:t>2022-25</w:t>
            </w:r>
            <w:r w:rsidR="0094144D">
              <w:rPr>
                <w:b/>
                <w:bCs/>
              </w:rPr>
              <w:t xml:space="preserve"> </w:t>
            </w:r>
            <w:r w:rsidRPr="00180180">
              <w:rPr>
                <w:b/>
                <w:bCs/>
              </w:rPr>
              <w:t>Transitional</w:t>
            </w:r>
            <w:r w:rsidR="0094144D">
              <w:rPr>
                <w:b/>
                <w:bCs/>
              </w:rPr>
              <w:t xml:space="preserve"> </w:t>
            </w:r>
            <w:r w:rsidRPr="00180180">
              <w:rPr>
                <w:b/>
                <w:bCs/>
              </w:rPr>
              <w:t>eNRMC system (non</w:t>
            </w:r>
            <w:r w:rsidR="00945023" w:rsidRPr="00180180">
              <w:rPr>
                <w:b/>
                <w:bCs/>
              </w:rPr>
              <w:t>-</w:t>
            </w:r>
            <w:r w:rsidR="00B0792F" w:rsidRPr="00180180">
              <w:rPr>
                <w:b/>
                <w:bCs/>
              </w:rPr>
              <w:t>conformant</w:t>
            </w:r>
            <w:r w:rsidR="0094144D">
              <w:rPr>
                <w:b/>
                <w:bCs/>
              </w:rPr>
              <w:t xml:space="preserve"> </w:t>
            </w:r>
            <w:r w:rsidRPr="00180180">
              <w:rPr>
                <w:b/>
                <w:bCs/>
              </w:rPr>
              <w:t>system)</w:t>
            </w:r>
          </w:p>
        </w:tc>
        <w:tc>
          <w:tcPr>
            <w:tcW w:w="1644" w:type="pct"/>
            <w:shd w:val="clear" w:color="auto" w:fill="F2F2F2" w:themeFill="background1" w:themeFillShade="F2"/>
          </w:tcPr>
          <w:p w14:paraId="674D7F72" w14:textId="4325A250" w:rsidR="003F440C" w:rsidRPr="00180180" w:rsidRDefault="00B10043" w:rsidP="00180180">
            <w:pPr>
              <w:pStyle w:val="ListParagraph"/>
              <w:numPr>
                <w:ilvl w:val="0"/>
                <w:numId w:val="33"/>
              </w:numPr>
              <w:rPr>
                <w:sz w:val="20"/>
              </w:rPr>
            </w:pPr>
            <w:r w:rsidRPr="00180180">
              <w:rPr>
                <w:sz w:val="20"/>
              </w:rPr>
              <w:t xml:space="preserve">NOT listed on Table 2 or 3 of the Department’s </w:t>
            </w:r>
            <w:hyperlink r:id="rId33" w:history="1">
              <w:r w:rsidR="00C9767F" w:rsidRPr="00C9767F">
                <w:rPr>
                  <w:rStyle w:val="Hyperlink"/>
                </w:rPr>
                <w:t>Conformance status tracker</w:t>
              </w:r>
            </w:hyperlink>
            <w:r w:rsidRPr="00180180">
              <w:rPr>
                <w:sz w:val="20"/>
              </w:rPr>
              <w:t xml:space="preserve"> or on either of the Agency’s </w:t>
            </w:r>
            <w:hyperlink r:id="rId34" w:history="1">
              <w:r w:rsidR="00F6288F" w:rsidRPr="000A46E5">
                <w:rPr>
                  <w:rStyle w:val="Hyperlink"/>
                </w:rPr>
                <w:t>Electronic Prescribing – External Conformance Register.</w:t>
              </w:r>
            </w:hyperlink>
          </w:p>
        </w:tc>
        <w:tc>
          <w:tcPr>
            <w:tcW w:w="1644" w:type="pct"/>
            <w:shd w:val="clear" w:color="auto" w:fill="F2F2F2" w:themeFill="background1" w:themeFillShade="F2"/>
          </w:tcPr>
          <w:p w14:paraId="4A192342" w14:textId="1ADF6B8B" w:rsidR="00B10043" w:rsidRPr="00180180" w:rsidRDefault="00B10043" w:rsidP="00180180">
            <w:pPr>
              <w:pStyle w:val="ListParagraph"/>
              <w:numPr>
                <w:ilvl w:val="0"/>
                <w:numId w:val="33"/>
              </w:numPr>
              <w:rPr>
                <w:rFonts w:eastAsia="Arial"/>
                <w:sz w:val="20"/>
              </w:rPr>
            </w:pPr>
            <w:r w:rsidRPr="00180180">
              <w:rPr>
                <w:rFonts w:eastAsia="Arial"/>
                <w:sz w:val="20"/>
              </w:rPr>
              <w:t>Only legal for medicine administration purposes.</w:t>
            </w:r>
          </w:p>
          <w:p w14:paraId="15063EEC" w14:textId="12E1BB4D" w:rsidR="00A25AC1" w:rsidRPr="00180180" w:rsidRDefault="00B10043" w:rsidP="00180180">
            <w:pPr>
              <w:pStyle w:val="ListParagraph"/>
              <w:numPr>
                <w:ilvl w:val="0"/>
                <w:numId w:val="33"/>
              </w:numPr>
              <w:rPr>
                <w:rFonts w:eastAsia="Arial"/>
                <w:sz w:val="20"/>
              </w:rPr>
            </w:pPr>
            <w:r w:rsidRPr="00180180">
              <w:rPr>
                <w:rFonts w:eastAsia="Arial"/>
                <w:sz w:val="20"/>
              </w:rPr>
              <w:t>Prescribers</w:t>
            </w:r>
            <w:r w:rsidR="00A25AC1" w:rsidRPr="00180180">
              <w:rPr>
                <w:rFonts w:eastAsia="Arial"/>
                <w:sz w:val="20"/>
              </w:rPr>
              <w:t xml:space="preserve"> must revert to using separate paper/electronic PBS prescriptions or NRMC</w:t>
            </w:r>
            <w:r w:rsidR="00555E71" w:rsidRPr="00180180">
              <w:rPr>
                <w:rFonts w:eastAsia="Arial"/>
                <w:sz w:val="20"/>
              </w:rPr>
              <w:t>s</w:t>
            </w:r>
            <w:r w:rsidR="00A25AC1" w:rsidRPr="00180180">
              <w:rPr>
                <w:rFonts w:eastAsia="Arial"/>
                <w:sz w:val="20"/>
              </w:rPr>
              <w:t>.</w:t>
            </w:r>
          </w:p>
          <w:p w14:paraId="037431A8" w14:textId="6FA064C7" w:rsidR="00B22F14" w:rsidRPr="00180180" w:rsidRDefault="00B10043" w:rsidP="00180180">
            <w:pPr>
              <w:pStyle w:val="ListParagraph"/>
              <w:numPr>
                <w:ilvl w:val="0"/>
                <w:numId w:val="33"/>
              </w:numPr>
              <w:rPr>
                <w:sz w:val="20"/>
              </w:rPr>
            </w:pPr>
            <w:r w:rsidRPr="00180180">
              <w:rPr>
                <w:sz w:val="20"/>
              </w:rPr>
              <w:t>A</w:t>
            </w:r>
            <w:r w:rsidR="00B51FE1" w:rsidRPr="00180180">
              <w:rPr>
                <w:sz w:val="20"/>
              </w:rPr>
              <w:t xml:space="preserve"> separate supporting prescription (paper or electronic) must be </w:t>
            </w:r>
            <w:r w:rsidR="00612792" w:rsidRPr="00180180">
              <w:rPr>
                <w:sz w:val="20"/>
              </w:rPr>
              <w:t>provided</w:t>
            </w:r>
            <w:r w:rsidR="00B51FE1" w:rsidRPr="00180180">
              <w:rPr>
                <w:sz w:val="20"/>
              </w:rPr>
              <w:t xml:space="preserve"> to enable supply</w:t>
            </w:r>
            <w:r w:rsidR="00555E71" w:rsidRPr="00180180">
              <w:rPr>
                <w:sz w:val="20"/>
              </w:rPr>
              <w:t>.</w:t>
            </w:r>
          </w:p>
        </w:tc>
      </w:tr>
    </w:tbl>
    <w:p w14:paraId="77988F75" w14:textId="27625B1A" w:rsidR="00B35BB8" w:rsidRPr="00600C0E" w:rsidRDefault="00180180" w:rsidP="00F30A3D">
      <w:pPr>
        <w:pStyle w:val="Heading3"/>
      </w:pPr>
      <w:r>
        <w:br w:type="page"/>
      </w:r>
      <w:r w:rsidR="00B35BB8" w:rsidRPr="00600C0E">
        <w:lastRenderedPageBreak/>
        <w:t xml:space="preserve">Prescriber </w:t>
      </w:r>
      <w:r w:rsidR="005C4B38" w:rsidRPr="00600C0E">
        <w:t>r</w:t>
      </w:r>
      <w:r w:rsidR="00B35BB8" w:rsidRPr="00600C0E">
        <w:t xml:space="preserve">esponsibilities </w:t>
      </w:r>
      <w:r w:rsidR="00C90758" w:rsidRPr="00600C0E">
        <w:t>d</w:t>
      </w:r>
      <w:r w:rsidR="00B35BB8" w:rsidRPr="00600C0E">
        <w:t xml:space="preserve">uring </w:t>
      </w:r>
      <w:r w:rsidR="00C90758" w:rsidRPr="00600C0E">
        <w:t>rollout</w:t>
      </w:r>
    </w:p>
    <w:p w14:paraId="6CE03B86" w14:textId="20647A31" w:rsidR="00215099" w:rsidRPr="009962CE" w:rsidRDefault="00215099" w:rsidP="009962CE">
      <w:r w:rsidRPr="009962CE">
        <w:rPr>
          <w:rFonts w:eastAsia="Arial"/>
        </w:rPr>
        <w:t>Speak with your RACH or software vendor to determine their advised timeframe for achieving conformance and rollout completion.</w:t>
      </w:r>
    </w:p>
    <w:p w14:paraId="28EDD6E8" w14:textId="77777777" w:rsidR="0088042E" w:rsidRPr="00600C0E" w:rsidRDefault="0088042E" w:rsidP="00F30A3D">
      <w:pPr>
        <w:pStyle w:val="Heading4"/>
      </w:pPr>
      <w:r w:rsidRPr="00600C0E">
        <w:t>When using a 2025-26 Transitional eNRMC system:</w:t>
      </w:r>
    </w:p>
    <w:p w14:paraId="475A5D05" w14:textId="5010B8EC" w:rsidR="0088042E" w:rsidRPr="00600C0E" w:rsidRDefault="0088042E" w:rsidP="009962CE">
      <w:pPr>
        <w:pStyle w:val="ListBullet"/>
      </w:pPr>
      <w:r w:rsidRPr="00600C0E">
        <w:t>medicine orders added to the chart on or before 28 February 2026 are valid prescriptions for dispense.</w:t>
      </w:r>
    </w:p>
    <w:p w14:paraId="70AF6161" w14:textId="77777777" w:rsidR="0088042E" w:rsidRPr="00600C0E" w:rsidRDefault="0088042E" w:rsidP="009962CE">
      <w:pPr>
        <w:pStyle w:val="ListBullet"/>
      </w:pPr>
      <w:r w:rsidRPr="00600C0E">
        <w:t>for any medicine orders on or after 1 March 2025, a separate supporting PBS prescription (paper, electronic or NRMC) will be required for dispense.</w:t>
      </w:r>
    </w:p>
    <w:p w14:paraId="048BA072" w14:textId="1ECDD23F" w:rsidR="009200B0" w:rsidRPr="00600C0E" w:rsidRDefault="009200B0" w:rsidP="009962CE">
      <w:pPr>
        <w:pStyle w:val="ListBullet"/>
      </w:pPr>
      <w:r w:rsidRPr="00600C0E">
        <w:t>ensure that medicine order information is added to the chart for administration purposes.</w:t>
      </w:r>
    </w:p>
    <w:p w14:paraId="1337BAE8" w14:textId="77777777" w:rsidR="0088042E" w:rsidRPr="00600C0E" w:rsidRDefault="0088042E" w:rsidP="00F30A3D">
      <w:pPr>
        <w:pStyle w:val="Heading4"/>
      </w:pPr>
      <w:r w:rsidRPr="00600C0E">
        <w:t>When using a 2022-25 Transitional eNRMC system (non-conformant system):</w:t>
      </w:r>
    </w:p>
    <w:p w14:paraId="5C0A02B6" w14:textId="227878AD" w:rsidR="0088042E" w:rsidRPr="00600C0E" w:rsidRDefault="0088042E" w:rsidP="009962CE">
      <w:pPr>
        <w:pStyle w:val="ListBullet"/>
      </w:pPr>
      <w:r w:rsidRPr="00600C0E">
        <w:t>medicine orders added to the chart before 30 September 2025 are valid prescriptions for dispense.</w:t>
      </w:r>
    </w:p>
    <w:p w14:paraId="4A83949F" w14:textId="77777777" w:rsidR="009200B0" w:rsidRPr="00600C0E" w:rsidRDefault="0088042E" w:rsidP="009962CE">
      <w:pPr>
        <w:pStyle w:val="ListBullet"/>
      </w:pPr>
      <w:r w:rsidRPr="00600C0E">
        <w:t>for any medicine orders on or after 1 October 2025, a separate supporting PBS prescription (paper, electronic or NRMC) will be required for dispense.</w:t>
      </w:r>
    </w:p>
    <w:p w14:paraId="159BA39D" w14:textId="02BA59E5" w:rsidR="009200B0" w:rsidRPr="00600C0E" w:rsidRDefault="00196158" w:rsidP="009962CE">
      <w:pPr>
        <w:pStyle w:val="ListBullet"/>
      </w:pPr>
      <w:r w:rsidRPr="00600C0E">
        <w:t xml:space="preserve">ensure that </w:t>
      </w:r>
      <w:r w:rsidR="00217274" w:rsidRPr="00600C0E">
        <w:t>medicine order</w:t>
      </w:r>
      <w:r w:rsidRPr="00600C0E">
        <w:t xml:space="preserve"> information is added to the chart for administration purposes.</w:t>
      </w:r>
    </w:p>
    <w:p w14:paraId="19B52008" w14:textId="110F8250" w:rsidR="00B35BB8" w:rsidRPr="00600C0E" w:rsidRDefault="009200B0" w:rsidP="00600C0E">
      <w:r w:rsidRPr="00600C0E">
        <w:t>When prescribing, you must review the resident’s full eNRMC for clinical assessment and quality use of medicines – even when using supporting prescriptions (paper/electronic or NRMC)</w:t>
      </w:r>
      <w:r w:rsidR="009962CE">
        <w:t>.</w:t>
      </w:r>
    </w:p>
    <w:p w14:paraId="69154970" w14:textId="42175FE3" w:rsidR="006A6108" w:rsidRPr="00600C0E" w:rsidRDefault="006A6108" w:rsidP="009962CE">
      <w:pPr>
        <w:pStyle w:val="Heading3"/>
        <w:rPr>
          <w:rFonts w:eastAsia="Arial"/>
        </w:rPr>
      </w:pPr>
      <w:r w:rsidRPr="00600C0E">
        <w:rPr>
          <w:rFonts w:eastAsia="Arial"/>
        </w:rPr>
        <w:t xml:space="preserve">Further information </w:t>
      </w:r>
      <w:r w:rsidR="00D33B69" w:rsidRPr="00600C0E">
        <w:rPr>
          <w:rFonts w:eastAsia="Arial"/>
        </w:rPr>
        <w:t>about</w:t>
      </w:r>
      <w:r w:rsidRPr="00600C0E">
        <w:rPr>
          <w:rFonts w:eastAsia="Arial"/>
        </w:rPr>
        <w:t xml:space="preserve"> eNRMC</w:t>
      </w:r>
    </w:p>
    <w:p w14:paraId="70AF3A2E" w14:textId="15C65C10" w:rsidR="006A6108" w:rsidRPr="00600C0E" w:rsidRDefault="006A6108" w:rsidP="00600C0E">
      <w:pPr>
        <w:rPr>
          <w:rFonts w:eastAsia="Arial"/>
        </w:rPr>
      </w:pPr>
      <w:r w:rsidRPr="00600C0E">
        <w:rPr>
          <w:rFonts w:eastAsia="Arial"/>
        </w:rPr>
        <w:t xml:space="preserve">A range targeted fact sheets about the </w:t>
      </w:r>
      <w:hyperlink r:id="rId35" w:history="1">
        <w:r w:rsidRPr="00600C0E">
          <w:rPr>
            <w:rStyle w:val="Hyperlink"/>
            <w:rFonts w:eastAsia="Arial"/>
          </w:rPr>
          <w:t>rollout of electronic prescribing and eNRMC</w:t>
        </w:r>
      </w:hyperlink>
      <w:r w:rsidRPr="00600C0E">
        <w:rPr>
          <w:rFonts w:eastAsia="Arial"/>
        </w:rPr>
        <w:t xml:space="preserve"> for prescribers, pharmacists and RACHs can be found on our website.</w:t>
      </w:r>
    </w:p>
    <w:p w14:paraId="0D57F784" w14:textId="75C69F10" w:rsidR="006A6108" w:rsidRPr="00600C0E" w:rsidRDefault="006A6108" w:rsidP="00600C0E">
      <w:pPr>
        <w:rPr>
          <w:rFonts w:eastAsia="Arial"/>
        </w:rPr>
      </w:pPr>
      <w:r w:rsidRPr="00600C0E">
        <w:rPr>
          <w:rFonts w:eastAsia="Arial"/>
        </w:rPr>
        <w:t xml:space="preserve">We have also published a comprehensive </w:t>
      </w:r>
      <w:hyperlink r:id="rId36" w:history="1">
        <w:r w:rsidRPr="00600C0E">
          <w:rPr>
            <w:rStyle w:val="Hyperlink"/>
            <w:rFonts w:eastAsia="Arial"/>
          </w:rPr>
          <w:t>eNRMC user resource</w:t>
        </w:r>
      </w:hyperlink>
      <w:r w:rsidRPr="00600C0E">
        <w:rPr>
          <w:rFonts w:eastAsia="Arial"/>
        </w:rPr>
        <w:t xml:space="preserve"> which brings together all the key information on using conformant eNRMC systems.</w:t>
      </w:r>
    </w:p>
    <w:p w14:paraId="2BD456F0" w14:textId="1335561C" w:rsidR="00725A0D" w:rsidRPr="00600C0E" w:rsidRDefault="00B32D57" w:rsidP="009962CE">
      <w:pPr>
        <w:pStyle w:val="Boxheading"/>
      </w:pPr>
      <w:r w:rsidRPr="00600C0E">
        <w:t>CONTACT</w:t>
      </w:r>
    </w:p>
    <w:p w14:paraId="1C030DBD" w14:textId="7DBF2B89" w:rsidR="00D12571" w:rsidRPr="0094144D" w:rsidRDefault="00B32D57" w:rsidP="0094144D">
      <w:pPr>
        <w:pStyle w:val="Boxheading"/>
      </w:pPr>
      <w:r w:rsidRPr="00600C0E">
        <w:t>F</w:t>
      </w:r>
      <w:r w:rsidR="009F09A3" w:rsidRPr="00600C0E">
        <w:t xml:space="preserve">or further information or if you have any questions, please email </w:t>
      </w:r>
      <w:hyperlink r:id="rId37" w:history="1">
        <w:r w:rsidR="009F09A3" w:rsidRPr="00600C0E">
          <w:rPr>
            <w:rStyle w:val="Hyperlink"/>
          </w:rPr>
          <w:t>enrmc@health.gov.au</w:t>
        </w:r>
      </w:hyperlink>
    </w:p>
    <w:sectPr w:rsidR="00D12571" w:rsidRPr="0094144D" w:rsidSect="00E7597E">
      <w:headerReference w:type="first" r:id="rId38"/>
      <w:type w:val="continuous"/>
      <w:pgSz w:w="11906" w:h="16838"/>
      <w:pgMar w:top="1134"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2DAD7" w14:textId="77777777" w:rsidR="001E046B" w:rsidRDefault="001E046B" w:rsidP="006B56BB">
      <w:r>
        <w:separator/>
      </w:r>
    </w:p>
    <w:p w14:paraId="4F821E08" w14:textId="77777777" w:rsidR="001E046B" w:rsidRDefault="001E046B"/>
  </w:endnote>
  <w:endnote w:type="continuationSeparator" w:id="0">
    <w:p w14:paraId="63A64334" w14:textId="77777777" w:rsidR="001E046B" w:rsidRDefault="001E046B" w:rsidP="006B56BB">
      <w:r>
        <w:continuationSeparator/>
      </w:r>
    </w:p>
    <w:p w14:paraId="7C6D18B9" w14:textId="77777777" w:rsidR="001E046B" w:rsidRDefault="001E046B"/>
  </w:endnote>
  <w:endnote w:type="continuationNotice" w:id="1">
    <w:p w14:paraId="29365576" w14:textId="77777777" w:rsidR="001E046B" w:rsidRDefault="001E0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440B" w14:textId="5464C3C0" w:rsidR="00B53987" w:rsidRPr="00834190" w:rsidRDefault="00C44578" w:rsidP="00834190">
    <w:pPr>
      <w:pStyle w:val="Footer"/>
    </w:pPr>
    <w:proofErr w:type="spellStart"/>
    <w:r>
      <w:t>e</w:t>
    </w:r>
    <w:r w:rsidRPr="008F1B53">
      <w:t>NRMC</w:t>
    </w:r>
    <w:proofErr w:type="spellEnd"/>
    <w:r w:rsidRPr="008F1B53">
      <w:t xml:space="preserve"> – </w:t>
    </w:r>
    <w:r>
      <w:t>Rollout of</w:t>
    </w:r>
    <w:r w:rsidR="00D964BD" w:rsidRPr="008F1B53">
      <w:t xml:space="preserve"> </w:t>
    </w:r>
    <w:r w:rsidR="24CC06B5" w:rsidRPr="008F1B53">
      <w:t>electronic prescribing</w:t>
    </w:r>
    <w:r w:rsidR="00D964BD" w:rsidRPr="008F1B53">
      <w:t xml:space="preserve"> and </w:t>
    </w:r>
    <w:r w:rsidR="00361465" w:rsidRPr="008F1B53">
      <w:t>end</w:t>
    </w:r>
    <w:r w:rsidR="00D964BD" w:rsidRPr="008F1B53">
      <w:t xml:space="preserve"> of Transitional Arrangement </w:t>
    </w:r>
    <w:r>
      <w:t>–</w:t>
    </w:r>
    <w:r w:rsidR="00725A52">
      <w:t xml:space="preserve"> Prescriber</w:t>
    </w:r>
    <w:r>
      <w:t xml:space="preserve"> fact sheet</w:t>
    </w:r>
    <w:r w:rsidR="00834190" w:rsidRPr="008F1B53">
      <w:tab/>
    </w:r>
    <w:r w:rsidR="00834190" w:rsidRPr="008F1B53">
      <w:fldChar w:fldCharType="begin"/>
    </w:r>
    <w:r w:rsidR="00834190" w:rsidRPr="008F1B53">
      <w:instrText xml:space="preserve"> PAGE   \* MERGEFORMAT </w:instrText>
    </w:r>
    <w:r w:rsidR="00834190" w:rsidRPr="008F1B53">
      <w:fldChar w:fldCharType="separate"/>
    </w:r>
    <w:r w:rsidR="00834190" w:rsidRPr="008F1B53">
      <w:t>1</w:t>
    </w:r>
    <w:r w:rsidR="00834190" w:rsidRPr="008F1B5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val="0"/>
      </w:rPr>
      <w:id w:val="-178737789"/>
      <w:docPartObj>
        <w:docPartGallery w:val="Page Numbers (Bottom of Page)"/>
        <w:docPartUnique/>
      </w:docPartObj>
    </w:sdtPr>
    <w:sdtEndPr>
      <w:rPr>
        <w:i/>
      </w:rPr>
    </w:sdtEndPr>
    <w:sdtContent>
      <w:p w14:paraId="6B5A6A52" w14:textId="043C270D" w:rsidR="00B53987" w:rsidRDefault="00C44578" w:rsidP="006506EE">
        <w:pPr>
          <w:pStyle w:val="Footer"/>
        </w:pPr>
        <w:proofErr w:type="spellStart"/>
        <w:r>
          <w:t>e</w:t>
        </w:r>
        <w:r w:rsidRPr="008F1B53">
          <w:t>NRMC</w:t>
        </w:r>
        <w:proofErr w:type="spellEnd"/>
        <w:r w:rsidRPr="008F1B53">
          <w:t xml:space="preserve"> – </w:t>
        </w:r>
        <w:r>
          <w:t>Rollout of</w:t>
        </w:r>
        <w:r w:rsidRPr="008F1B53">
          <w:t xml:space="preserve"> electronic prescribing</w:t>
        </w:r>
        <w:r w:rsidR="006506EE" w:rsidRPr="008F1B53">
          <w:t xml:space="preserve"> and </w:t>
        </w:r>
        <w:r w:rsidR="006177F1" w:rsidRPr="008F1B53">
          <w:t xml:space="preserve">end </w:t>
        </w:r>
        <w:r w:rsidR="006506EE" w:rsidRPr="008F1B53">
          <w:t>of Transitional Arrangement</w:t>
        </w:r>
        <w:r w:rsidRPr="008F1B53">
          <w:t xml:space="preserve"> </w:t>
        </w:r>
        <w:r>
          <w:t>– Prescriber fact sheet</w:t>
        </w:r>
        <w:r w:rsidR="006506EE">
          <w:tab/>
        </w:r>
        <w:r w:rsidR="006506EE">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3364C" w14:textId="77777777" w:rsidR="001E046B" w:rsidRDefault="001E046B" w:rsidP="006B56BB">
      <w:r>
        <w:separator/>
      </w:r>
    </w:p>
    <w:p w14:paraId="7D36D1B4" w14:textId="77777777" w:rsidR="001E046B" w:rsidRDefault="001E046B"/>
  </w:footnote>
  <w:footnote w:type="continuationSeparator" w:id="0">
    <w:p w14:paraId="1FF5FB62" w14:textId="77777777" w:rsidR="001E046B" w:rsidRDefault="001E046B" w:rsidP="006B56BB">
      <w:r>
        <w:continuationSeparator/>
      </w:r>
    </w:p>
    <w:p w14:paraId="3AB9A27D" w14:textId="77777777" w:rsidR="001E046B" w:rsidRDefault="001E046B"/>
  </w:footnote>
  <w:footnote w:type="continuationNotice" w:id="1">
    <w:p w14:paraId="298998A2" w14:textId="77777777" w:rsidR="001E046B" w:rsidRDefault="001E0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AA2C5D5" w14:paraId="2F64C8CA" w14:textId="77777777" w:rsidTr="2AA2C5D5">
      <w:trPr>
        <w:trHeight w:val="300"/>
      </w:trPr>
      <w:tc>
        <w:tcPr>
          <w:tcW w:w="3210" w:type="dxa"/>
        </w:tcPr>
        <w:p w14:paraId="566A7FEA" w14:textId="32616146" w:rsidR="2AA2C5D5" w:rsidRDefault="2AA2C5D5" w:rsidP="00B22F14">
          <w:pPr>
            <w:pStyle w:val="Header"/>
          </w:pPr>
        </w:p>
      </w:tc>
      <w:tc>
        <w:tcPr>
          <w:tcW w:w="3210" w:type="dxa"/>
        </w:tcPr>
        <w:p w14:paraId="4EBA1663" w14:textId="77777777" w:rsidR="2AA2C5D5" w:rsidRDefault="2AA2C5D5" w:rsidP="2AA2C5D5">
          <w:pPr>
            <w:pStyle w:val="Header"/>
            <w:jc w:val="center"/>
          </w:pPr>
        </w:p>
      </w:tc>
      <w:tc>
        <w:tcPr>
          <w:tcW w:w="3210" w:type="dxa"/>
        </w:tcPr>
        <w:p w14:paraId="53F9C0C3" w14:textId="77777777" w:rsidR="2AA2C5D5" w:rsidRDefault="2AA2C5D5" w:rsidP="2AA2C5D5">
          <w:pPr>
            <w:pStyle w:val="Header"/>
            <w:ind w:right="-115"/>
            <w:jc w:val="right"/>
          </w:pPr>
        </w:p>
      </w:tc>
    </w:tr>
  </w:tbl>
  <w:p w14:paraId="4877BFF4" w14:textId="77777777" w:rsidR="00D47977" w:rsidRDefault="00D47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1374" w14:textId="7062236D" w:rsidR="00B22F14" w:rsidRDefault="38A3F937" w:rsidP="006277BB">
    <w:pPr>
      <w:pStyle w:val="Header"/>
    </w:pPr>
    <w:r w:rsidRPr="006277BB">
      <w:rPr>
        <w:noProof/>
      </w:rPr>
      <w:drawing>
        <wp:inline distT="0" distB="0" distL="0" distR="0" wp14:anchorId="070EE870" wp14:editId="7D2F5057">
          <wp:extent cx="5543550" cy="903605"/>
          <wp:effectExtent l="0" t="0" r="0" b="0"/>
          <wp:docPr id="180778484" name="Picture 180778484"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8484" name="Picture 180778484" descr="Department of Health, Disability and Ageing logo"/>
                  <pic:cNvPicPr/>
                </pic:nvPicPr>
                <pic:blipFill>
                  <a:blip r:embed="rId1">
                    <a:extLst>
                      <a:ext uri="{28A0092B-C50C-407E-A947-70E740481C1C}">
                        <a14:useLocalDpi xmlns:a14="http://schemas.microsoft.com/office/drawing/2010/main" val="0"/>
                      </a:ext>
                    </a:extLst>
                  </a:blip>
                  <a:stretch>
                    <a:fillRect/>
                  </a:stretch>
                </pic:blipFill>
                <pic:spPr>
                  <a:xfrm>
                    <a:off x="0" y="0"/>
                    <a:ext cx="5550076" cy="9047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39898" w14:textId="6CA22FE9" w:rsidR="009B6391" w:rsidRDefault="009B6391">
    <w:pPr>
      <w:pStyle w:val="Header"/>
    </w:pPr>
  </w:p>
</w:hdr>
</file>

<file path=word/intelligence2.xml><?xml version="1.0" encoding="utf-8"?>
<int2:intelligence xmlns:int2="http://schemas.microsoft.com/office/intelligence/2020/intelligence" xmlns:oel="http://schemas.microsoft.com/office/2019/extlst">
  <int2:observations>
    <int2:textHash int2:hashCode="Tx6k8J2yqq+wqS" int2:id="P4PorxP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pStyle w:val="Tablelistnumb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916A8A"/>
    <w:multiLevelType w:val="multilevel"/>
    <w:tmpl w:val="FA9E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C174D"/>
    <w:multiLevelType w:val="hybridMultilevel"/>
    <w:tmpl w:val="4BB27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B4AE6"/>
    <w:multiLevelType w:val="multilevel"/>
    <w:tmpl w:val="3AF2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324761"/>
    <w:multiLevelType w:val="hybridMultilevel"/>
    <w:tmpl w:val="3D9610B8"/>
    <w:lvl w:ilvl="0" w:tplc="60D8B54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60614F"/>
    <w:multiLevelType w:val="multilevel"/>
    <w:tmpl w:val="ADF8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826E96"/>
    <w:multiLevelType w:val="hybridMultilevel"/>
    <w:tmpl w:val="03B45D62"/>
    <w:lvl w:ilvl="0" w:tplc="E7982EA6">
      <w:start w:val="1"/>
      <w:numFmt w:val="bullet"/>
      <w:lvlText w:val=""/>
      <w:lvlJc w:val="left"/>
      <w:pPr>
        <w:ind w:left="1080" w:hanging="360"/>
      </w:pPr>
      <w:rPr>
        <w:rFonts w:ascii="Symbol" w:hAnsi="Symbol" w:hint="default"/>
      </w:rPr>
    </w:lvl>
    <w:lvl w:ilvl="1" w:tplc="0C09000F">
      <w:start w:val="1"/>
      <w:numFmt w:val="decimal"/>
      <w:lvlText w:val="%2."/>
      <w:lvlJc w:val="left"/>
      <w:pPr>
        <w:ind w:left="720" w:hanging="360"/>
      </w:pPr>
    </w:lvl>
    <w:lvl w:ilvl="2" w:tplc="4FF61F70">
      <w:start w:val="1"/>
      <w:numFmt w:val="bullet"/>
      <w:lvlText w:val=""/>
      <w:lvlJc w:val="left"/>
      <w:pPr>
        <w:ind w:left="720" w:hanging="360"/>
      </w:pPr>
      <w:rPr>
        <w:rFonts w:ascii="Symbol" w:hAnsi="Symbol" w:hint="default"/>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356B2C"/>
    <w:multiLevelType w:val="multilevel"/>
    <w:tmpl w:val="A31A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306D6D"/>
    <w:multiLevelType w:val="multilevel"/>
    <w:tmpl w:val="64BC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985501"/>
    <w:multiLevelType w:val="hybridMultilevel"/>
    <w:tmpl w:val="3300D3A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6F709A2"/>
    <w:multiLevelType w:val="multilevel"/>
    <w:tmpl w:val="822E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7D30D9"/>
    <w:multiLevelType w:val="hybridMultilevel"/>
    <w:tmpl w:val="6A2ED18C"/>
    <w:lvl w:ilvl="0" w:tplc="96B87694">
      <w:start w:val="1"/>
      <w:numFmt w:val="decimal"/>
      <w:lvlText w:val="%1."/>
      <w:lvlJc w:val="left"/>
      <w:pPr>
        <w:ind w:left="37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61866AD"/>
    <w:multiLevelType w:val="hybridMultilevel"/>
    <w:tmpl w:val="A38A6466"/>
    <w:lvl w:ilvl="0" w:tplc="1BB8CA86">
      <w:start w:val="1"/>
      <w:numFmt w:val="decimal"/>
      <w:lvlText w:val="%1."/>
      <w:lvlJc w:val="left"/>
      <w:pPr>
        <w:ind w:left="360" w:hanging="360"/>
      </w:pPr>
      <w:rPr>
        <w:rFonts w:hint="default"/>
      </w:rPr>
    </w:lvl>
    <w:lvl w:ilvl="1" w:tplc="0C090001">
      <w:start w:val="1"/>
      <w:numFmt w:val="bullet"/>
      <w:lvlText w:val=""/>
      <w:lvlJc w:val="left"/>
      <w:pPr>
        <w:ind w:left="0" w:hanging="360"/>
      </w:pPr>
      <w:rPr>
        <w:rFonts w:ascii="Symbol" w:hAnsi="Symbol" w:hint="default"/>
      </w:rPr>
    </w:lvl>
    <w:lvl w:ilvl="2" w:tplc="0C090001">
      <w:start w:val="1"/>
      <w:numFmt w:val="bullet"/>
      <w:lvlText w:val=""/>
      <w:lvlJc w:val="left"/>
      <w:pPr>
        <w:ind w:left="0" w:hanging="360"/>
      </w:pPr>
      <w:rPr>
        <w:rFonts w:ascii="Symbol" w:hAnsi="Symbol"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5615AE0"/>
    <w:multiLevelType w:val="hybridMultilevel"/>
    <w:tmpl w:val="DB7A7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692FC1"/>
    <w:multiLevelType w:val="multilevel"/>
    <w:tmpl w:val="8898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C00449"/>
    <w:multiLevelType w:val="hybridMultilevel"/>
    <w:tmpl w:val="03D8B71A"/>
    <w:lvl w:ilvl="0" w:tplc="E0CA580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55322A"/>
    <w:multiLevelType w:val="multilevel"/>
    <w:tmpl w:val="72B6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7E3539"/>
    <w:multiLevelType w:val="multilevel"/>
    <w:tmpl w:val="42EA5D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E55175"/>
    <w:multiLevelType w:val="multilevel"/>
    <w:tmpl w:val="65A6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4F467F"/>
    <w:multiLevelType w:val="hybridMultilevel"/>
    <w:tmpl w:val="4F362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34C80"/>
    <w:multiLevelType w:val="hybridMultilevel"/>
    <w:tmpl w:val="05B67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405D72"/>
    <w:multiLevelType w:val="multilevel"/>
    <w:tmpl w:val="741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F822F9"/>
    <w:multiLevelType w:val="hybridMultilevel"/>
    <w:tmpl w:val="EC5C4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F16D1F"/>
    <w:multiLevelType w:val="multilevel"/>
    <w:tmpl w:val="3196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172EAD"/>
    <w:multiLevelType w:val="hybridMultilevel"/>
    <w:tmpl w:val="8CAAD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623816"/>
    <w:multiLevelType w:val="multilevel"/>
    <w:tmpl w:val="C470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pStyle w:val="Tablelist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5915E9"/>
    <w:multiLevelType w:val="hybridMultilevel"/>
    <w:tmpl w:val="5A9EF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08499705">
    <w:abstractNumId w:val="7"/>
  </w:num>
  <w:num w:numId="2" w16cid:durableId="2135168833">
    <w:abstractNumId w:val="13"/>
  </w:num>
  <w:num w:numId="3" w16cid:durableId="1331519124">
    <w:abstractNumId w:val="31"/>
  </w:num>
  <w:num w:numId="4" w16cid:durableId="768160667">
    <w:abstractNumId w:val="21"/>
  </w:num>
  <w:num w:numId="5" w16cid:durableId="501624301">
    <w:abstractNumId w:val="29"/>
  </w:num>
  <w:num w:numId="6" w16cid:durableId="1331903733">
    <w:abstractNumId w:val="0"/>
  </w:num>
  <w:num w:numId="7" w16cid:durableId="1946186396">
    <w:abstractNumId w:val="4"/>
  </w:num>
  <w:num w:numId="8" w16cid:durableId="2126000704">
    <w:abstractNumId w:val="2"/>
  </w:num>
  <w:num w:numId="9" w16cid:durableId="1467045468">
    <w:abstractNumId w:val="17"/>
  </w:num>
  <w:num w:numId="10" w16cid:durableId="480972238">
    <w:abstractNumId w:val="22"/>
  </w:num>
  <w:num w:numId="11" w16cid:durableId="1563100176">
    <w:abstractNumId w:val="10"/>
  </w:num>
  <w:num w:numId="12" w16cid:durableId="91441761">
    <w:abstractNumId w:val="30"/>
  </w:num>
  <w:num w:numId="13" w16cid:durableId="199440682">
    <w:abstractNumId w:val="15"/>
  </w:num>
  <w:num w:numId="14" w16cid:durableId="49622629">
    <w:abstractNumId w:val="26"/>
  </w:num>
  <w:num w:numId="15" w16cid:durableId="1728381420">
    <w:abstractNumId w:val="19"/>
  </w:num>
  <w:num w:numId="16" w16cid:durableId="1745713379">
    <w:abstractNumId w:val="25"/>
  </w:num>
  <w:num w:numId="17" w16cid:durableId="1172721596">
    <w:abstractNumId w:val="14"/>
  </w:num>
  <w:num w:numId="18" w16cid:durableId="923339023">
    <w:abstractNumId w:val="6"/>
  </w:num>
  <w:num w:numId="19" w16cid:durableId="709112336">
    <w:abstractNumId w:val="23"/>
  </w:num>
  <w:num w:numId="20" w16cid:durableId="477570342">
    <w:abstractNumId w:val="12"/>
  </w:num>
  <w:num w:numId="21" w16cid:durableId="461730128">
    <w:abstractNumId w:val="18"/>
  </w:num>
  <w:num w:numId="22" w16cid:durableId="2126654087">
    <w:abstractNumId w:val="3"/>
  </w:num>
  <w:num w:numId="23" w16cid:durableId="1378973916">
    <w:abstractNumId w:val="5"/>
  </w:num>
  <w:num w:numId="24" w16cid:durableId="179635179">
    <w:abstractNumId w:val="9"/>
  </w:num>
  <w:num w:numId="25" w16cid:durableId="1281379121">
    <w:abstractNumId w:val="1"/>
  </w:num>
  <w:num w:numId="26" w16cid:durableId="2031956278">
    <w:abstractNumId w:val="20"/>
  </w:num>
  <w:num w:numId="27" w16cid:durableId="1716391897">
    <w:abstractNumId w:val="16"/>
  </w:num>
  <w:num w:numId="28" w16cid:durableId="649601164">
    <w:abstractNumId w:val="28"/>
  </w:num>
  <w:num w:numId="29" w16cid:durableId="36010030">
    <w:abstractNumId w:val="8"/>
  </w:num>
  <w:num w:numId="30" w16cid:durableId="308749308">
    <w:abstractNumId w:val="24"/>
  </w:num>
  <w:num w:numId="31" w16cid:durableId="2043355752">
    <w:abstractNumId w:val="11"/>
  </w:num>
  <w:num w:numId="32" w16cid:durableId="2115978131">
    <w:abstractNumId w:val="14"/>
    <w:lvlOverride w:ilvl="0">
      <w:startOverride w:val="1"/>
    </w:lvlOverride>
  </w:num>
  <w:num w:numId="33" w16cid:durableId="906458659">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26"/>
    <w:rsid w:val="00001119"/>
    <w:rsid w:val="000018D1"/>
    <w:rsid w:val="00001C51"/>
    <w:rsid w:val="00002145"/>
    <w:rsid w:val="00002C90"/>
    <w:rsid w:val="00003667"/>
    <w:rsid w:val="00003743"/>
    <w:rsid w:val="00004268"/>
    <w:rsid w:val="00004525"/>
    <w:rsid w:val="000047B4"/>
    <w:rsid w:val="00005282"/>
    <w:rsid w:val="00005712"/>
    <w:rsid w:val="00006668"/>
    <w:rsid w:val="000067D2"/>
    <w:rsid w:val="00007E12"/>
    <w:rsid w:val="00007FD8"/>
    <w:rsid w:val="000100EE"/>
    <w:rsid w:val="000102E4"/>
    <w:rsid w:val="000108B1"/>
    <w:rsid w:val="000117F8"/>
    <w:rsid w:val="00012DED"/>
    <w:rsid w:val="00012EF2"/>
    <w:rsid w:val="00013267"/>
    <w:rsid w:val="00013C98"/>
    <w:rsid w:val="0001460F"/>
    <w:rsid w:val="0001640D"/>
    <w:rsid w:val="00017124"/>
    <w:rsid w:val="00017449"/>
    <w:rsid w:val="000175F9"/>
    <w:rsid w:val="000219F9"/>
    <w:rsid w:val="0002256B"/>
    <w:rsid w:val="00022629"/>
    <w:rsid w:val="00025BDC"/>
    <w:rsid w:val="00026139"/>
    <w:rsid w:val="0002689D"/>
    <w:rsid w:val="00027601"/>
    <w:rsid w:val="00027F64"/>
    <w:rsid w:val="00031A52"/>
    <w:rsid w:val="00033321"/>
    <w:rsid w:val="000338E5"/>
    <w:rsid w:val="00033ECC"/>
    <w:rsid w:val="0003422F"/>
    <w:rsid w:val="00034303"/>
    <w:rsid w:val="00034A6D"/>
    <w:rsid w:val="000356F6"/>
    <w:rsid w:val="000358B0"/>
    <w:rsid w:val="00035B1C"/>
    <w:rsid w:val="00036790"/>
    <w:rsid w:val="0003717A"/>
    <w:rsid w:val="00037198"/>
    <w:rsid w:val="00040C92"/>
    <w:rsid w:val="000434E5"/>
    <w:rsid w:val="00044DE4"/>
    <w:rsid w:val="00044E8A"/>
    <w:rsid w:val="00045288"/>
    <w:rsid w:val="00045861"/>
    <w:rsid w:val="00045B0F"/>
    <w:rsid w:val="00045EEF"/>
    <w:rsid w:val="000462FE"/>
    <w:rsid w:val="00046FF0"/>
    <w:rsid w:val="00050176"/>
    <w:rsid w:val="000501D6"/>
    <w:rsid w:val="00050342"/>
    <w:rsid w:val="00050A7C"/>
    <w:rsid w:val="00051938"/>
    <w:rsid w:val="000519E6"/>
    <w:rsid w:val="000525B1"/>
    <w:rsid w:val="00052BC8"/>
    <w:rsid w:val="00053BA1"/>
    <w:rsid w:val="00054A4C"/>
    <w:rsid w:val="00054A54"/>
    <w:rsid w:val="000562DE"/>
    <w:rsid w:val="00056BB8"/>
    <w:rsid w:val="00060352"/>
    <w:rsid w:val="000612BA"/>
    <w:rsid w:val="00061410"/>
    <w:rsid w:val="00062FBA"/>
    <w:rsid w:val="000630F8"/>
    <w:rsid w:val="00063398"/>
    <w:rsid w:val="00064ABE"/>
    <w:rsid w:val="0006608B"/>
    <w:rsid w:val="0006703D"/>
    <w:rsid w:val="00067456"/>
    <w:rsid w:val="0007034A"/>
    <w:rsid w:val="00071506"/>
    <w:rsid w:val="0007154F"/>
    <w:rsid w:val="000718CD"/>
    <w:rsid w:val="00071B9A"/>
    <w:rsid w:val="000735E0"/>
    <w:rsid w:val="00074E73"/>
    <w:rsid w:val="0007519D"/>
    <w:rsid w:val="00075780"/>
    <w:rsid w:val="00075A45"/>
    <w:rsid w:val="00077A1B"/>
    <w:rsid w:val="00080D49"/>
    <w:rsid w:val="000813D1"/>
    <w:rsid w:val="00081AB1"/>
    <w:rsid w:val="00081F08"/>
    <w:rsid w:val="000826E6"/>
    <w:rsid w:val="00082E38"/>
    <w:rsid w:val="000839CB"/>
    <w:rsid w:val="000843B3"/>
    <w:rsid w:val="00085251"/>
    <w:rsid w:val="00085F57"/>
    <w:rsid w:val="00086B00"/>
    <w:rsid w:val="00087AE6"/>
    <w:rsid w:val="00090316"/>
    <w:rsid w:val="000909A9"/>
    <w:rsid w:val="00091E8E"/>
    <w:rsid w:val="00092048"/>
    <w:rsid w:val="00093179"/>
    <w:rsid w:val="000935D2"/>
    <w:rsid w:val="00093981"/>
    <w:rsid w:val="0009445F"/>
    <w:rsid w:val="00097C34"/>
    <w:rsid w:val="000A09B7"/>
    <w:rsid w:val="000A0D07"/>
    <w:rsid w:val="000A0EE2"/>
    <w:rsid w:val="000A23F2"/>
    <w:rsid w:val="000A261D"/>
    <w:rsid w:val="000A26E6"/>
    <w:rsid w:val="000A30BF"/>
    <w:rsid w:val="000A34BF"/>
    <w:rsid w:val="000A46E5"/>
    <w:rsid w:val="000A5BB4"/>
    <w:rsid w:val="000A62C2"/>
    <w:rsid w:val="000A7CBE"/>
    <w:rsid w:val="000B067A"/>
    <w:rsid w:val="000B1540"/>
    <w:rsid w:val="000B1E53"/>
    <w:rsid w:val="000B28BC"/>
    <w:rsid w:val="000B33FD"/>
    <w:rsid w:val="000B3400"/>
    <w:rsid w:val="000B44DB"/>
    <w:rsid w:val="000B4ABA"/>
    <w:rsid w:val="000B54E7"/>
    <w:rsid w:val="000B5B06"/>
    <w:rsid w:val="000B5CF3"/>
    <w:rsid w:val="000C006E"/>
    <w:rsid w:val="000C19DC"/>
    <w:rsid w:val="000C2E63"/>
    <w:rsid w:val="000C4B16"/>
    <w:rsid w:val="000C4BA5"/>
    <w:rsid w:val="000C50C3"/>
    <w:rsid w:val="000C5978"/>
    <w:rsid w:val="000C5E14"/>
    <w:rsid w:val="000C606A"/>
    <w:rsid w:val="000D05D4"/>
    <w:rsid w:val="000D0B14"/>
    <w:rsid w:val="000D1C23"/>
    <w:rsid w:val="000D1F37"/>
    <w:rsid w:val="000D21F6"/>
    <w:rsid w:val="000D23CE"/>
    <w:rsid w:val="000D3353"/>
    <w:rsid w:val="000D4500"/>
    <w:rsid w:val="000D4FEF"/>
    <w:rsid w:val="000D57AC"/>
    <w:rsid w:val="000D5F85"/>
    <w:rsid w:val="000D6972"/>
    <w:rsid w:val="000D6AB5"/>
    <w:rsid w:val="000D6F51"/>
    <w:rsid w:val="000D72BF"/>
    <w:rsid w:val="000D7882"/>
    <w:rsid w:val="000D7AEA"/>
    <w:rsid w:val="000E07CF"/>
    <w:rsid w:val="000E200E"/>
    <w:rsid w:val="000E2545"/>
    <w:rsid w:val="000E2C66"/>
    <w:rsid w:val="000E2D9B"/>
    <w:rsid w:val="000E3296"/>
    <w:rsid w:val="000E35A0"/>
    <w:rsid w:val="000E4292"/>
    <w:rsid w:val="000E4F6B"/>
    <w:rsid w:val="000E5E7D"/>
    <w:rsid w:val="000E7036"/>
    <w:rsid w:val="000F0750"/>
    <w:rsid w:val="000F123C"/>
    <w:rsid w:val="000F2FED"/>
    <w:rsid w:val="000F434E"/>
    <w:rsid w:val="000F4777"/>
    <w:rsid w:val="000F569A"/>
    <w:rsid w:val="000F5714"/>
    <w:rsid w:val="000F5DA8"/>
    <w:rsid w:val="000F5EB9"/>
    <w:rsid w:val="000F6F74"/>
    <w:rsid w:val="000F70D0"/>
    <w:rsid w:val="000F7DEA"/>
    <w:rsid w:val="001010C3"/>
    <w:rsid w:val="001030F0"/>
    <w:rsid w:val="001033EE"/>
    <w:rsid w:val="00103551"/>
    <w:rsid w:val="00103787"/>
    <w:rsid w:val="00103FB5"/>
    <w:rsid w:val="00103FFF"/>
    <w:rsid w:val="00105672"/>
    <w:rsid w:val="00105BC1"/>
    <w:rsid w:val="0010616D"/>
    <w:rsid w:val="00110478"/>
    <w:rsid w:val="00111158"/>
    <w:rsid w:val="00113A4C"/>
    <w:rsid w:val="00113EB2"/>
    <w:rsid w:val="0011436F"/>
    <w:rsid w:val="00114799"/>
    <w:rsid w:val="001156F0"/>
    <w:rsid w:val="00115A21"/>
    <w:rsid w:val="00116EBC"/>
    <w:rsid w:val="0011711B"/>
    <w:rsid w:val="00117F8A"/>
    <w:rsid w:val="00120AAB"/>
    <w:rsid w:val="00121B9B"/>
    <w:rsid w:val="00122ADC"/>
    <w:rsid w:val="00123910"/>
    <w:rsid w:val="00123949"/>
    <w:rsid w:val="00123976"/>
    <w:rsid w:val="0012441A"/>
    <w:rsid w:val="001262EE"/>
    <w:rsid w:val="0012730C"/>
    <w:rsid w:val="00127499"/>
    <w:rsid w:val="001275BB"/>
    <w:rsid w:val="00127AF2"/>
    <w:rsid w:val="00127B33"/>
    <w:rsid w:val="00127D39"/>
    <w:rsid w:val="00130B00"/>
    <w:rsid w:val="00130F59"/>
    <w:rsid w:val="001316C3"/>
    <w:rsid w:val="00131C16"/>
    <w:rsid w:val="00131D15"/>
    <w:rsid w:val="001324F3"/>
    <w:rsid w:val="00132610"/>
    <w:rsid w:val="00132ACE"/>
    <w:rsid w:val="00133EC0"/>
    <w:rsid w:val="00135257"/>
    <w:rsid w:val="00135B14"/>
    <w:rsid w:val="0013614C"/>
    <w:rsid w:val="00136265"/>
    <w:rsid w:val="0013701B"/>
    <w:rsid w:val="00137CBB"/>
    <w:rsid w:val="00137F3B"/>
    <w:rsid w:val="001406D7"/>
    <w:rsid w:val="00141CE5"/>
    <w:rsid w:val="00143B62"/>
    <w:rsid w:val="00143D7C"/>
    <w:rsid w:val="001442EC"/>
    <w:rsid w:val="00144908"/>
    <w:rsid w:val="0014648F"/>
    <w:rsid w:val="001468B7"/>
    <w:rsid w:val="00147880"/>
    <w:rsid w:val="001501F1"/>
    <w:rsid w:val="001526C6"/>
    <w:rsid w:val="00154210"/>
    <w:rsid w:val="0015446E"/>
    <w:rsid w:val="0015556A"/>
    <w:rsid w:val="001567AD"/>
    <w:rsid w:val="00156953"/>
    <w:rsid w:val="00156D96"/>
    <w:rsid w:val="001571C7"/>
    <w:rsid w:val="001573B2"/>
    <w:rsid w:val="00157F0C"/>
    <w:rsid w:val="00161094"/>
    <w:rsid w:val="001613D0"/>
    <w:rsid w:val="00162294"/>
    <w:rsid w:val="001628C0"/>
    <w:rsid w:val="0016292B"/>
    <w:rsid w:val="001629D4"/>
    <w:rsid w:val="00163767"/>
    <w:rsid w:val="001640D2"/>
    <w:rsid w:val="0016523E"/>
    <w:rsid w:val="00166DF8"/>
    <w:rsid w:val="001676A1"/>
    <w:rsid w:val="0016D976"/>
    <w:rsid w:val="00171C25"/>
    <w:rsid w:val="00171D18"/>
    <w:rsid w:val="00171E42"/>
    <w:rsid w:val="00172367"/>
    <w:rsid w:val="001728D5"/>
    <w:rsid w:val="00172D96"/>
    <w:rsid w:val="001755BE"/>
    <w:rsid w:val="00176110"/>
    <w:rsid w:val="0017665C"/>
    <w:rsid w:val="001775C9"/>
    <w:rsid w:val="00177AD2"/>
    <w:rsid w:val="00177DA5"/>
    <w:rsid w:val="00180180"/>
    <w:rsid w:val="001815A8"/>
    <w:rsid w:val="001826A8"/>
    <w:rsid w:val="001840FA"/>
    <w:rsid w:val="00186004"/>
    <w:rsid w:val="00186F35"/>
    <w:rsid w:val="00186F6C"/>
    <w:rsid w:val="001875AB"/>
    <w:rsid w:val="00190079"/>
    <w:rsid w:val="001913B6"/>
    <w:rsid w:val="00191474"/>
    <w:rsid w:val="00192238"/>
    <w:rsid w:val="0019331E"/>
    <w:rsid w:val="001939A5"/>
    <w:rsid w:val="001955A0"/>
    <w:rsid w:val="00196158"/>
    <w:rsid w:val="0019622E"/>
    <w:rsid w:val="001963AD"/>
    <w:rsid w:val="001966A7"/>
    <w:rsid w:val="0019794E"/>
    <w:rsid w:val="001A1A91"/>
    <w:rsid w:val="001A1E57"/>
    <w:rsid w:val="001A236A"/>
    <w:rsid w:val="001A3F1D"/>
    <w:rsid w:val="001A4627"/>
    <w:rsid w:val="001A46BB"/>
    <w:rsid w:val="001A4979"/>
    <w:rsid w:val="001A497E"/>
    <w:rsid w:val="001A4AD9"/>
    <w:rsid w:val="001A57CA"/>
    <w:rsid w:val="001A5BE9"/>
    <w:rsid w:val="001A5CB4"/>
    <w:rsid w:val="001A5F73"/>
    <w:rsid w:val="001B15D3"/>
    <w:rsid w:val="001B1A39"/>
    <w:rsid w:val="001B1DB3"/>
    <w:rsid w:val="001B1E85"/>
    <w:rsid w:val="001B20DA"/>
    <w:rsid w:val="001B31D5"/>
    <w:rsid w:val="001B3443"/>
    <w:rsid w:val="001B3C4A"/>
    <w:rsid w:val="001B3E4F"/>
    <w:rsid w:val="001B549C"/>
    <w:rsid w:val="001B5D15"/>
    <w:rsid w:val="001B71C4"/>
    <w:rsid w:val="001B7345"/>
    <w:rsid w:val="001C029C"/>
    <w:rsid w:val="001C0326"/>
    <w:rsid w:val="001C06E1"/>
    <w:rsid w:val="001C0A60"/>
    <w:rsid w:val="001C0CBB"/>
    <w:rsid w:val="001C110F"/>
    <w:rsid w:val="001C1543"/>
    <w:rsid w:val="001C192F"/>
    <w:rsid w:val="001C3C42"/>
    <w:rsid w:val="001C3E65"/>
    <w:rsid w:val="001C61D5"/>
    <w:rsid w:val="001C73C2"/>
    <w:rsid w:val="001C757F"/>
    <w:rsid w:val="001C7C2D"/>
    <w:rsid w:val="001C7E2E"/>
    <w:rsid w:val="001D02BA"/>
    <w:rsid w:val="001D0C13"/>
    <w:rsid w:val="001D0D3D"/>
    <w:rsid w:val="001D17F0"/>
    <w:rsid w:val="001D3C1F"/>
    <w:rsid w:val="001D6522"/>
    <w:rsid w:val="001D734F"/>
    <w:rsid w:val="001D7869"/>
    <w:rsid w:val="001D7877"/>
    <w:rsid w:val="001E0179"/>
    <w:rsid w:val="001E046B"/>
    <w:rsid w:val="001E0C93"/>
    <w:rsid w:val="001E12A5"/>
    <w:rsid w:val="001E1A93"/>
    <w:rsid w:val="001E2F15"/>
    <w:rsid w:val="001E4B08"/>
    <w:rsid w:val="001E6276"/>
    <w:rsid w:val="001F1349"/>
    <w:rsid w:val="001F2121"/>
    <w:rsid w:val="001F5294"/>
    <w:rsid w:val="001F52E3"/>
    <w:rsid w:val="001F6D8E"/>
    <w:rsid w:val="001F71AA"/>
    <w:rsid w:val="00201702"/>
    <w:rsid w:val="00201F22"/>
    <w:rsid w:val="002026CD"/>
    <w:rsid w:val="00202ABF"/>
    <w:rsid w:val="00202E6A"/>
    <w:rsid w:val="00203090"/>
    <w:rsid w:val="002033FC"/>
    <w:rsid w:val="002043F7"/>
    <w:rsid w:val="002044BB"/>
    <w:rsid w:val="00205534"/>
    <w:rsid w:val="00205D9D"/>
    <w:rsid w:val="00207731"/>
    <w:rsid w:val="00207812"/>
    <w:rsid w:val="00210B09"/>
    <w:rsid w:val="00210C47"/>
    <w:rsid w:val="00210C9E"/>
    <w:rsid w:val="002117A7"/>
    <w:rsid w:val="00211840"/>
    <w:rsid w:val="00212219"/>
    <w:rsid w:val="002127EE"/>
    <w:rsid w:val="00212D73"/>
    <w:rsid w:val="0021304D"/>
    <w:rsid w:val="002130F9"/>
    <w:rsid w:val="00214730"/>
    <w:rsid w:val="00215099"/>
    <w:rsid w:val="00216BDE"/>
    <w:rsid w:val="00216DF2"/>
    <w:rsid w:val="00217274"/>
    <w:rsid w:val="002173B2"/>
    <w:rsid w:val="002177F1"/>
    <w:rsid w:val="00220E5F"/>
    <w:rsid w:val="00220E65"/>
    <w:rsid w:val="002212B5"/>
    <w:rsid w:val="00222CD8"/>
    <w:rsid w:val="00223205"/>
    <w:rsid w:val="002234F3"/>
    <w:rsid w:val="002239BE"/>
    <w:rsid w:val="00223C0C"/>
    <w:rsid w:val="00224F56"/>
    <w:rsid w:val="00225104"/>
    <w:rsid w:val="002258A7"/>
    <w:rsid w:val="00225B69"/>
    <w:rsid w:val="00226668"/>
    <w:rsid w:val="00226AB0"/>
    <w:rsid w:val="00233809"/>
    <w:rsid w:val="0023450E"/>
    <w:rsid w:val="0023604A"/>
    <w:rsid w:val="00240046"/>
    <w:rsid w:val="00240E27"/>
    <w:rsid w:val="00240FC4"/>
    <w:rsid w:val="00242AF9"/>
    <w:rsid w:val="00242CEF"/>
    <w:rsid w:val="002460EC"/>
    <w:rsid w:val="0024797F"/>
    <w:rsid w:val="00247C20"/>
    <w:rsid w:val="00247CDB"/>
    <w:rsid w:val="0025014B"/>
    <w:rsid w:val="00250B92"/>
    <w:rsid w:val="0025119E"/>
    <w:rsid w:val="00251269"/>
    <w:rsid w:val="00252163"/>
    <w:rsid w:val="002529A8"/>
    <w:rsid w:val="00252AA8"/>
    <w:rsid w:val="00252F02"/>
    <w:rsid w:val="002535C0"/>
    <w:rsid w:val="0025379C"/>
    <w:rsid w:val="002557F9"/>
    <w:rsid w:val="002559F3"/>
    <w:rsid w:val="00255CC2"/>
    <w:rsid w:val="00255CC3"/>
    <w:rsid w:val="00256F45"/>
    <w:rsid w:val="002579FE"/>
    <w:rsid w:val="00260552"/>
    <w:rsid w:val="00260D92"/>
    <w:rsid w:val="00261373"/>
    <w:rsid w:val="00261466"/>
    <w:rsid w:val="00262AF3"/>
    <w:rsid w:val="00262F82"/>
    <w:rsid w:val="0026311C"/>
    <w:rsid w:val="00263DA0"/>
    <w:rsid w:val="002648F4"/>
    <w:rsid w:val="0026668C"/>
    <w:rsid w:val="002666C9"/>
    <w:rsid w:val="002666FE"/>
    <w:rsid w:val="00266AC1"/>
    <w:rsid w:val="00266C0C"/>
    <w:rsid w:val="00267C8F"/>
    <w:rsid w:val="00267DE9"/>
    <w:rsid w:val="00270094"/>
    <w:rsid w:val="00270BA6"/>
    <w:rsid w:val="0027178C"/>
    <w:rsid w:val="002719FA"/>
    <w:rsid w:val="00272260"/>
    <w:rsid w:val="00272668"/>
    <w:rsid w:val="00272893"/>
    <w:rsid w:val="0027330B"/>
    <w:rsid w:val="00273315"/>
    <w:rsid w:val="00274733"/>
    <w:rsid w:val="00275E7C"/>
    <w:rsid w:val="00276013"/>
    <w:rsid w:val="002762D3"/>
    <w:rsid w:val="00277679"/>
    <w:rsid w:val="002803AD"/>
    <w:rsid w:val="002805BA"/>
    <w:rsid w:val="00282052"/>
    <w:rsid w:val="0028298D"/>
    <w:rsid w:val="002831A3"/>
    <w:rsid w:val="00283228"/>
    <w:rsid w:val="002845F2"/>
    <w:rsid w:val="00284EFF"/>
    <w:rsid w:val="0028519E"/>
    <w:rsid w:val="0028567A"/>
    <w:rsid w:val="002856A5"/>
    <w:rsid w:val="00285B50"/>
    <w:rsid w:val="002872ED"/>
    <w:rsid w:val="00287BBA"/>
    <w:rsid w:val="00287ECB"/>
    <w:rsid w:val="002905C2"/>
    <w:rsid w:val="002939ED"/>
    <w:rsid w:val="00293C60"/>
    <w:rsid w:val="002942FC"/>
    <w:rsid w:val="00294574"/>
    <w:rsid w:val="002952E5"/>
    <w:rsid w:val="00295AF2"/>
    <w:rsid w:val="00295C91"/>
    <w:rsid w:val="0029625B"/>
    <w:rsid w:val="00296ECF"/>
    <w:rsid w:val="00297151"/>
    <w:rsid w:val="00297330"/>
    <w:rsid w:val="002A31A4"/>
    <w:rsid w:val="002A3250"/>
    <w:rsid w:val="002A4FF1"/>
    <w:rsid w:val="002A52FC"/>
    <w:rsid w:val="002A55FA"/>
    <w:rsid w:val="002A588D"/>
    <w:rsid w:val="002A6C87"/>
    <w:rsid w:val="002B0D92"/>
    <w:rsid w:val="002B111A"/>
    <w:rsid w:val="002B1825"/>
    <w:rsid w:val="002B20E6"/>
    <w:rsid w:val="002B4237"/>
    <w:rsid w:val="002B42A3"/>
    <w:rsid w:val="002B5D05"/>
    <w:rsid w:val="002B5E4D"/>
    <w:rsid w:val="002B631F"/>
    <w:rsid w:val="002B6D9E"/>
    <w:rsid w:val="002B79B2"/>
    <w:rsid w:val="002C0850"/>
    <w:rsid w:val="002C0988"/>
    <w:rsid w:val="002C0CDD"/>
    <w:rsid w:val="002C221B"/>
    <w:rsid w:val="002C2589"/>
    <w:rsid w:val="002C274A"/>
    <w:rsid w:val="002C2ACA"/>
    <w:rsid w:val="002C35EC"/>
    <w:rsid w:val="002C38C4"/>
    <w:rsid w:val="002C5F31"/>
    <w:rsid w:val="002C71DB"/>
    <w:rsid w:val="002C7693"/>
    <w:rsid w:val="002D1A12"/>
    <w:rsid w:val="002D2488"/>
    <w:rsid w:val="002D2F53"/>
    <w:rsid w:val="002D3D8C"/>
    <w:rsid w:val="002D43E4"/>
    <w:rsid w:val="002D4ED8"/>
    <w:rsid w:val="002D5E0B"/>
    <w:rsid w:val="002D6B79"/>
    <w:rsid w:val="002D6C8B"/>
    <w:rsid w:val="002D7606"/>
    <w:rsid w:val="002D7E67"/>
    <w:rsid w:val="002E05CB"/>
    <w:rsid w:val="002E115D"/>
    <w:rsid w:val="002E1329"/>
    <w:rsid w:val="002E1A1D"/>
    <w:rsid w:val="002E1B39"/>
    <w:rsid w:val="002E3458"/>
    <w:rsid w:val="002E4081"/>
    <w:rsid w:val="002E4875"/>
    <w:rsid w:val="002E51F8"/>
    <w:rsid w:val="002E5B78"/>
    <w:rsid w:val="002E64DA"/>
    <w:rsid w:val="002F1029"/>
    <w:rsid w:val="002F3AE3"/>
    <w:rsid w:val="002F4C8D"/>
    <w:rsid w:val="002F5094"/>
    <w:rsid w:val="002F57D7"/>
    <w:rsid w:val="002F5865"/>
    <w:rsid w:val="002F598E"/>
    <w:rsid w:val="002F7441"/>
    <w:rsid w:val="003004BA"/>
    <w:rsid w:val="00303868"/>
    <w:rsid w:val="00303BE8"/>
    <w:rsid w:val="0030464B"/>
    <w:rsid w:val="003053E6"/>
    <w:rsid w:val="00305AEC"/>
    <w:rsid w:val="00306346"/>
    <w:rsid w:val="00306571"/>
    <w:rsid w:val="0030786C"/>
    <w:rsid w:val="00307C71"/>
    <w:rsid w:val="003107EB"/>
    <w:rsid w:val="003108B5"/>
    <w:rsid w:val="00311D4B"/>
    <w:rsid w:val="003122BA"/>
    <w:rsid w:val="003127FF"/>
    <w:rsid w:val="0031365E"/>
    <w:rsid w:val="00314032"/>
    <w:rsid w:val="003141D7"/>
    <w:rsid w:val="00314D5D"/>
    <w:rsid w:val="003158C9"/>
    <w:rsid w:val="00317AD5"/>
    <w:rsid w:val="00320520"/>
    <w:rsid w:val="00320C03"/>
    <w:rsid w:val="0032120A"/>
    <w:rsid w:val="00321F82"/>
    <w:rsid w:val="003233DE"/>
    <w:rsid w:val="00323CFA"/>
    <w:rsid w:val="003240F9"/>
    <w:rsid w:val="0032466B"/>
    <w:rsid w:val="00324F20"/>
    <w:rsid w:val="003267F1"/>
    <w:rsid w:val="00327161"/>
    <w:rsid w:val="003272CF"/>
    <w:rsid w:val="0033170E"/>
    <w:rsid w:val="00331872"/>
    <w:rsid w:val="00331C5D"/>
    <w:rsid w:val="003322BE"/>
    <w:rsid w:val="003330EB"/>
    <w:rsid w:val="00333DC3"/>
    <w:rsid w:val="00335903"/>
    <w:rsid w:val="0033797E"/>
    <w:rsid w:val="0034042A"/>
    <w:rsid w:val="00340768"/>
    <w:rsid w:val="003415FD"/>
    <w:rsid w:val="00341D21"/>
    <w:rsid w:val="003429F0"/>
    <w:rsid w:val="00342DA0"/>
    <w:rsid w:val="00343569"/>
    <w:rsid w:val="0034511E"/>
    <w:rsid w:val="00345A82"/>
    <w:rsid w:val="00346781"/>
    <w:rsid w:val="0034723B"/>
    <w:rsid w:val="00347320"/>
    <w:rsid w:val="00347ACA"/>
    <w:rsid w:val="00350392"/>
    <w:rsid w:val="00350774"/>
    <w:rsid w:val="0035097A"/>
    <w:rsid w:val="00351862"/>
    <w:rsid w:val="0035340B"/>
    <w:rsid w:val="003540A4"/>
    <w:rsid w:val="00354BB9"/>
    <w:rsid w:val="00354C38"/>
    <w:rsid w:val="0035504D"/>
    <w:rsid w:val="00355BD9"/>
    <w:rsid w:val="003560C2"/>
    <w:rsid w:val="003560FF"/>
    <w:rsid w:val="00357312"/>
    <w:rsid w:val="00357BCC"/>
    <w:rsid w:val="00360509"/>
    <w:rsid w:val="00360C22"/>
    <w:rsid w:val="00360E11"/>
    <w:rsid w:val="00360E4E"/>
    <w:rsid w:val="003613DE"/>
    <w:rsid w:val="00361465"/>
    <w:rsid w:val="003615EB"/>
    <w:rsid w:val="00361B9E"/>
    <w:rsid w:val="00363C9E"/>
    <w:rsid w:val="00363CDC"/>
    <w:rsid w:val="00364C99"/>
    <w:rsid w:val="003701E5"/>
    <w:rsid w:val="00370AAA"/>
    <w:rsid w:val="00370CFD"/>
    <w:rsid w:val="00370D27"/>
    <w:rsid w:val="00372C6F"/>
    <w:rsid w:val="003738B8"/>
    <w:rsid w:val="003756C0"/>
    <w:rsid w:val="003759F0"/>
    <w:rsid w:val="00375F77"/>
    <w:rsid w:val="003767F5"/>
    <w:rsid w:val="00376980"/>
    <w:rsid w:val="00380649"/>
    <w:rsid w:val="00380ED1"/>
    <w:rsid w:val="00381BBE"/>
    <w:rsid w:val="0038200F"/>
    <w:rsid w:val="0038246D"/>
    <w:rsid w:val="003824D6"/>
    <w:rsid w:val="00382903"/>
    <w:rsid w:val="00382B07"/>
    <w:rsid w:val="00383FA3"/>
    <w:rsid w:val="003846FF"/>
    <w:rsid w:val="003848BC"/>
    <w:rsid w:val="00384F71"/>
    <w:rsid w:val="00385654"/>
    <w:rsid w:val="00385745"/>
    <w:rsid w:val="003857D4"/>
    <w:rsid w:val="00385AD4"/>
    <w:rsid w:val="0038621F"/>
    <w:rsid w:val="0038639E"/>
    <w:rsid w:val="00387780"/>
    <w:rsid w:val="00387924"/>
    <w:rsid w:val="0039006A"/>
    <w:rsid w:val="00390905"/>
    <w:rsid w:val="00390BDA"/>
    <w:rsid w:val="00390E7C"/>
    <w:rsid w:val="003929CF"/>
    <w:rsid w:val="003932B9"/>
    <w:rsid w:val="0039384D"/>
    <w:rsid w:val="00393BE4"/>
    <w:rsid w:val="00393F25"/>
    <w:rsid w:val="00395205"/>
    <w:rsid w:val="00395C23"/>
    <w:rsid w:val="00395E3D"/>
    <w:rsid w:val="00395F7F"/>
    <w:rsid w:val="00396871"/>
    <w:rsid w:val="00396A8A"/>
    <w:rsid w:val="00397360"/>
    <w:rsid w:val="00397B50"/>
    <w:rsid w:val="003A04B8"/>
    <w:rsid w:val="003A09F9"/>
    <w:rsid w:val="003A2D92"/>
    <w:rsid w:val="003A2E4F"/>
    <w:rsid w:val="003A3723"/>
    <w:rsid w:val="003A3C16"/>
    <w:rsid w:val="003A41AF"/>
    <w:rsid w:val="003A42BC"/>
    <w:rsid w:val="003A4438"/>
    <w:rsid w:val="003A49B4"/>
    <w:rsid w:val="003A4BF3"/>
    <w:rsid w:val="003A4CEE"/>
    <w:rsid w:val="003A5013"/>
    <w:rsid w:val="003A5078"/>
    <w:rsid w:val="003A62DD"/>
    <w:rsid w:val="003A6449"/>
    <w:rsid w:val="003A775A"/>
    <w:rsid w:val="003B00D4"/>
    <w:rsid w:val="003B0FF6"/>
    <w:rsid w:val="003B1361"/>
    <w:rsid w:val="003B213A"/>
    <w:rsid w:val="003B2E02"/>
    <w:rsid w:val="003B39BA"/>
    <w:rsid w:val="003B43AD"/>
    <w:rsid w:val="003B4581"/>
    <w:rsid w:val="003B53A6"/>
    <w:rsid w:val="003B5D90"/>
    <w:rsid w:val="003B79A7"/>
    <w:rsid w:val="003B7C5C"/>
    <w:rsid w:val="003C0FEC"/>
    <w:rsid w:val="003C2AC8"/>
    <w:rsid w:val="003C2D20"/>
    <w:rsid w:val="003C305A"/>
    <w:rsid w:val="003C7443"/>
    <w:rsid w:val="003D033A"/>
    <w:rsid w:val="003D0C04"/>
    <w:rsid w:val="003D1339"/>
    <w:rsid w:val="003D1361"/>
    <w:rsid w:val="003D17F9"/>
    <w:rsid w:val="003D2D88"/>
    <w:rsid w:val="003D3055"/>
    <w:rsid w:val="003D41EA"/>
    <w:rsid w:val="003D4850"/>
    <w:rsid w:val="003D535A"/>
    <w:rsid w:val="003D55AC"/>
    <w:rsid w:val="003D59C8"/>
    <w:rsid w:val="003D6088"/>
    <w:rsid w:val="003D60A1"/>
    <w:rsid w:val="003D74AC"/>
    <w:rsid w:val="003DB46B"/>
    <w:rsid w:val="003E066A"/>
    <w:rsid w:val="003E15CF"/>
    <w:rsid w:val="003E2481"/>
    <w:rsid w:val="003E5265"/>
    <w:rsid w:val="003E5C35"/>
    <w:rsid w:val="003E61B9"/>
    <w:rsid w:val="003E74DC"/>
    <w:rsid w:val="003F0955"/>
    <w:rsid w:val="003F0A36"/>
    <w:rsid w:val="003F18FD"/>
    <w:rsid w:val="003F4048"/>
    <w:rsid w:val="003F4341"/>
    <w:rsid w:val="003F440C"/>
    <w:rsid w:val="003F5552"/>
    <w:rsid w:val="003F5F4D"/>
    <w:rsid w:val="003F5FC3"/>
    <w:rsid w:val="003F646F"/>
    <w:rsid w:val="00400F00"/>
    <w:rsid w:val="004011ED"/>
    <w:rsid w:val="00401EDF"/>
    <w:rsid w:val="004022E3"/>
    <w:rsid w:val="00402C17"/>
    <w:rsid w:val="00404368"/>
    <w:rsid w:val="00404D43"/>
    <w:rsid w:val="00404F8B"/>
    <w:rsid w:val="00405256"/>
    <w:rsid w:val="00405289"/>
    <w:rsid w:val="0040558D"/>
    <w:rsid w:val="00405F8B"/>
    <w:rsid w:val="00410031"/>
    <w:rsid w:val="00410515"/>
    <w:rsid w:val="004116E5"/>
    <w:rsid w:val="004125A8"/>
    <w:rsid w:val="00412EDC"/>
    <w:rsid w:val="00412F5A"/>
    <w:rsid w:val="00412FF4"/>
    <w:rsid w:val="0041527F"/>
    <w:rsid w:val="0041579C"/>
    <w:rsid w:val="00415C81"/>
    <w:rsid w:val="004163E5"/>
    <w:rsid w:val="00416550"/>
    <w:rsid w:val="004165E3"/>
    <w:rsid w:val="00420910"/>
    <w:rsid w:val="00423B22"/>
    <w:rsid w:val="004242AF"/>
    <w:rsid w:val="0042480F"/>
    <w:rsid w:val="004262C2"/>
    <w:rsid w:val="00427793"/>
    <w:rsid w:val="00432378"/>
    <w:rsid w:val="00432A99"/>
    <w:rsid w:val="00433C31"/>
    <w:rsid w:val="004343C5"/>
    <w:rsid w:val="00434916"/>
    <w:rsid w:val="00435865"/>
    <w:rsid w:val="00435DC4"/>
    <w:rsid w:val="00437CAC"/>
    <w:rsid w:val="00440D1C"/>
    <w:rsid w:val="00440D65"/>
    <w:rsid w:val="00441501"/>
    <w:rsid w:val="00442283"/>
    <w:rsid w:val="00442B13"/>
    <w:rsid w:val="004435E6"/>
    <w:rsid w:val="00443F44"/>
    <w:rsid w:val="0044462D"/>
    <w:rsid w:val="0044464F"/>
    <w:rsid w:val="00444B46"/>
    <w:rsid w:val="00444DEA"/>
    <w:rsid w:val="0044583B"/>
    <w:rsid w:val="00447E31"/>
    <w:rsid w:val="00450997"/>
    <w:rsid w:val="004509B6"/>
    <w:rsid w:val="00450B6E"/>
    <w:rsid w:val="00450B99"/>
    <w:rsid w:val="00451CEE"/>
    <w:rsid w:val="00452116"/>
    <w:rsid w:val="00453923"/>
    <w:rsid w:val="004544AC"/>
    <w:rsid w:val="00454B9B"/>
    <w:rsid w:val="0045617A"/>
    <w:rsid w:val="00456605"/>
    <w:rsid w:val="004568FC"/>
    <w:rsid w:val="00457858"/>
    <w:rsid w:val="0045788F"/>
    <w:rsid w:val="00460284"/>
    <w:rsid w:val="004603C7"/>
    <w:rsid w:val="00460B0B"/>
    <w:rsid w:val="00461023"/>
    <w:rsid w:val="00462FAC"/>
    <w:rsid w:val="004636FC"/>
    <w:rsid w:val="004638D9"/>
    <w:rsid w:val="0046448A"/>
    <w:rsid w:val="00464631"/>
    <w:rsid w:val="00464B79"/>
    <w:rsid w:val="00465723"/>
    <w:rsid w:val="00466156"/>
    <w:rsid w:val="00466EFF"/>
    <w:rsid w:val="00466F33"/>
    <w:rsid w:val="00467BBF"/>
    <w:rsid w:val="00470240"/>
    <w:rsid w:val="00470563"/>
    <w:rsid w:val="004709E6"/>
    <w:rsid w:val="00470DA4"/>
    <w:rsid w:val="00471904"/>
    <w:rsid w:val="00471E58"/>
    <w:rsid w:val="004722B1"/>
    <w:rsid w:val="004725F6"/>
    <w:rsid w:val="004727B6"/>
    <w:rsid w:val="00472AE2"/>
    <w:rsid w:val="00473A47"/>
    <w:rsid w:val="0047554E"/>
    <w:rsid w:val="00475CCA"/>
    <w:rsid w:val="0047655A"/>
    <w:rsid w:val="004767FC"/>
    <w:rsid w:val="00476D7D"/>
    <w:rsid w:val="00477AF0"/>
    <w:rsid w:val="00477B89"/>
    <w:rsid w:val="00477F6F"/>
    <w:rsid w:val="00480210"/>
    <w:rsid w:val="00480E79"/>
    <w:rsid w:val="004813F2"/>
    <w:rsid w:val="004814A8"/>
    <w:rsid w:val="004830C3"/>
    <w:rsid w:val="004831E2"/>
    <w:rsid w:val="00483314"/>
    <w:rsid w:val="00483C0B"/>
    <w:rsid w:val="004855DE"/>
    <w:rsid w:val="0048593C"/>
    <w:rsid w:val="004867E2"/>
    <w:rsid w:val="00487CE8"/>
    <w:rsid w:val="00490FC1"/>
    <w:rsid w:val="004911E2"/>
    <w:rsid w:val="004913AE"/>
    <w:rsid w:val="004929A9"/>
    <w:rsid w:val="004930E6"/>
    <w:rsid w:val="0049392C"/>
    <w:rsid w:val="00493D44"/>
    <w:rsid w:val="00494C09"/>
    <w:rsid w:val="004963EB"/>
    <w:rsid w:val="00497790"/>
    <w:rsid w:val="00497899"/>
    <w:rsid w:val="004A030E"/>
    <w:rsid w:val="004A091D"/>
    <w:rsid w:val="004A0CFC"/>
    <w:rsid w:val="004A154D"/>
    <w:rsid w:val="004A1E06"/>
    <w:rsid w:val="004A1F21"/>
    <w:rsid w:val="004A4884"/>
    <w:rsid w:val="004A5195"/>
    <w:rsid w:val="004A529A"/>
    <w:rsid w:val="004A613A"/>
    <w:rsid w:val="004A6BB1"/>
    <w:rsid w:val="004A76ED"/>
    <w:rsid w:val="004A78D9"/>
    <w:rsid w:val="004A7D3E"/>
    <w:rsid w:val="004B0498"/>
    <w:rsid w:val="004B1D4B"/>
    <w:rsid w:val="004B2C8E"/>
    <w:rsid w:val="004B2D4D"/>
    <w:rsid w:val="004B4DD3"/>
    <w:rsid w:val="004B5A8A"/>
    <w:rsid w:val="004B5B19"/>
    <w:rsid w:val="004B693A"/>
    <w:rsid w:val="004B71DB"/>
    <w:rsid w:val="004B72D1"/>
    <w:rsid w:val="004C0C11"/>
    <w:rsid w:val="004C1BCD"/>
    <w:rsid w:val="004C1D25"/>
    <w:rsid w:val="004C29F0"/>
    <w:rsid w:val="004C42E7"/>
    <w:rsid w:val="004C494C"/>
    <w:rsid w:val="004C6BCF"/>
    <w:rsid w:val="004C6D74"/>
    <w:rsid w:val="004C7165"/>
    <w:rsid w:val="004C716F"/>
    <w:rsid w:val="004C73DC"/>
    <w:rsid w:val="004D0698"/>
    <w:rsid w:val="004D0B18"/>
    <w:rsid w:val="004D0C57"/>
    <w:rsid w:val="004D0D5C"/>
    <w:rsid w:val="004D16FB"/>
    <w:rsid w:val="004D3CA5"/>
    <w:rsid w:val="004D3DAB"/>
    <w:rsid w:val="004D3F87"/>
    <w:rsid w:val="004D400E"/>
    <w:rsid w:val="004D4DF5"/>
    <w:rsid w:val="004D58BF"/>
    <w:rsid w:val="004D659A"/>
    <w:rsid w:val="004D65D5"/>
    <w:rsid w:val="004E1B71"/>
    <w:rsid w:val="004E1DD3"/>
    <w:rsid w:val="004E24F8"/>
    <w:rsid w:val="004E4335"/>
    <w:rsid w:val="004E525A"/>
    <w:rsid w:val="004E5A4C"/>
    <w:rsid w:val="004E6181"/>
    <w:rsid w:val="004F045E"/>
    <w:rsid w:val="004F0B31"/>
    <w:rsid w:val="004F13EE"/>
    <w:rsid w:val="004F2022"/>
    <w:rsid w:val="004F2BA5"/>
    <w:rsid w:val="004F32B1"/>
    <w:rsid w:val="004F47AD"/>
    <w:rsid w:val="004F6378"/>
    <w:rsid w:val="004F6405"/>
    <w:rsid w:val="004F7BFF"/>
    <w:rsid w:val="004F7C05"/>
    <w:rsid w:val="00501901"/>
    <w:rsid w:val="00501C94"/>
    <w:rsid w:val="005028F3"/>
    <w:rsid w:val="00503112"/>
    <w:rsid w:val="00505526"/>
    <w:rsid w:val="0050621B"/>
    <w:rsid w:val="0050632A"/>
    <w:rsid w:val="00506432"/>
    <w:rsid w:val="00506787"/>
    <w:rsid w:val="00506B40"/>
    <w:rsid w:val="00506E82"/>
    <w:rsid w:val="005074C8"/>
    <w:rsid w:val="005103C7"/>
    <w:rsid w:val="005106EB"/>
    <w:rsid w:val="00510EB2"/>
    <w:rsid w:val="00515B9D"/>
    <w:rsid w:val="00516152"/>
    <w:rsid w:val="005163A3"/>
    <w:rsid w:val="00516F25"/>
    <w:rsid w:val="00517CAB"/>
    <w:rsid w:val="00520476"/>
    <w:rsid w:val="0052051D"/>
    <w:rsid w:val="00520627"/>
    <w:rsid w:val="00520B95"/>
    <w:rsid w:val="00520E2D"/>
    <w:rsid w:val="00521519"/>
    <w:rsid w:val="00522008"/>
    <w:rsid w:val="00522425"/>
    <w:rsid w:val="005228CE"/>
    <w:rsid w:val="005259EB"/>
    <w:rsid w:val="00526697"/>
    <w:rsid w:val="00527A4B"/>
    <w:rsid w:val="00532044"/>
    <w:rsid w:val="005330F5"/>
    <w:rsid w:val="0053324F"/>
    <w:rsid w:val="005334D4"/>
    <w:rsid w:val="0053372C"/>
    <w:rsid w:val="00536130"/>
    <w:rsid w:val="00536D5A"/>
    <w:rsid w:val="005376F8"/>
    <w:rsid w:val="00537A4E"/>
    <w:rsid w:val="00537FAD"/>
    <w:rsid w:val="00540648"/>
    <w:rsid w:val="00540A63"/>
    <w:rsid w:val="005413BE"/>
    <w:rsid w:val="0054323F"/>
    <w:rsid w:val="0054346E"/>
    <w:rsid w:val="00543E17"/>
    <w:rsid w:val="00544662"/>
    <w:rsid w:val="00544E2A"/>
    <w:rsid w:val="005452DB"/>
    <w:rsid w:val="00545EE6"/>
    <w:rsid w:val="005465EE"/>
    <w:rsid w:val="005466D6"/>
    <w:rsid w:val="0054765A"/>
    <w:rsid w:val="00547DCB"/>
    <w:rsid w:val="0055059B"/>
    <w:rsid w:val="0055191A"/>
    <w:rsid w:val="00551B91"/>
    <w:rsid w:val="00552250"/>
    <w:rsid w:val="00553175"/>
    <w:rsid w:val="00553670"/>
    <w:rsid w:val="005550E7"/>
    <w:rsid w:val="00555420"/>
    <w:rsid w:val="00555E71"/>
    <w:rsid w:val="005564FB"/>
    <w:rsid w:val="0055688C"/>
    <w:rsid w:val="00556D68"/>
    <w:rsid w:val="005572C7"/>
    <w:rsid w:val="00560797"/>
    <w:rsid w:val="0056216F"/>
    <w:rsid w:val="00562ED7"/>
    <w:rsid w:val="005650ED"/>
    <w:rsid w:val="005656CA"/>
    <w:rsid w:val="00565A1A"/>
    <w:rsid w:val="00566670"/>
    <w:rsid w:val="00567396"/>
    <w:rsid w:val="00570675"/>
    <w:rsid w:val="00571D77"/>
    <w:rsid w:val="00572A2B"/>
    <w:rsid w:val="005739E2"/>
    <w:rsid w:val="0057409A"/>
    <w:rsid w:val="00574553"/>
    <w:rsid w:val="005745E3"/>
    <w:rsid w:val="00575754"/>
    <w:rsid w:val="005805B8"/>
    <w:rsid w:val="00580796"/>
    <w:rsid w:val="0058087D"/>
    <w:rsid w:val="00581FBA"/>
    <w:rsid w:val="00582F18"/>
    <w:rsid w:val="00583399"/>
    <w:rsid w:val="005836F9"/>
    <w:rsid w:val="00583AC3"/>
    <w:rsid w:val="00584FF6"/>
    <w:rsid w:val="00585BF1"/>
    <w:rsid w:val="00586FB2"/>
    <w:rsid w:val="00587CFF"/>
    <w:rsid w:val="00587E6F"/>
    <w:rsid w:val="00591296"/>
    <w:rsid w:val="00591E20"/>
    <w:rsid w:val="005924CA"/>
    <w:rsid w:val="00592676"/>
    <w:rsid w:val="00592797"/>
    <w:rsid w:val="00592E49"/>
    <w:rsid w:val="00593213"/>
    <w:rsid w:val="00593801"/>
    <w:rsid w:val="00594956"/>
    <w:rsid w:val="0059508B"/>
    <w:rsid w:val="005952E9"/>
    <w:rsid w:val="00595408"/>
    <w:rsid w:val="00595BF8"/>
    <w:rsid w:val="00595E84"/>
    <w:rsid w:val="005961E0"/>
    <w:rsid w:val="0059626A"/>
    <w:rsid w:val="00596B4F"/>
    <w:rsid w:val="00596C9D"/>
    <w:rsid w:val="00596DE0"/>
    <w:rsid w:val="00596EA2"/>
    <w:rsid w:val="005976D2"/>
    <w:rsid w:val="00597892"/>
    <w:rsid w:val="0059791E"/>
    <w:rsid w:val="005A0C59"/>
    <w:rsid w:val="005A13EC"/>
    <w:rsid w:val="005A214F"/>
    <w:rsid w:val="005A2E35"/>
    <w:rsid w:val="005A2F6F"/>
    <w:rsid w:val="005A303B"/>
    <w:rsid w:val="005A31ED"/>
    <w:rsid w:val="005A48EB"/>
    <w:rsid w:val="005A5346"/>
    <w:rsid w:val="005A6CFB"/>
    <w:rsid w:val="005A722A"/>
    <w:rsid w:val="005B1D80"/>
    <w:rsid w:val="005B33A0"/>
    <w:rsid w:val="005B4047"/>
    <w:rsid w:val="005B68D7"/>
    <w:rsid w:val="005B7467"/>
    <w:rsid w:val="005C34AD"/>
    <w:rsid w:val="005C4B38"/>
    <w:rsid w:val="005C4B42"/>
    <w:rsid w:val="005C5842"/>
    <w:rsid w:val="005C5AEB"/>
    <w:rsid w:val="005D0B50"/>
    <w:rsid w:val="005D1136"/>
    <w:rsid w:val="005D1C6E"/>
    <w:rsid w:val="005D1C92"/>
    <w:rsid w:val="005D247E"/>
    <w:rsid w:val="005D24E2"/>
    <w:rsid w:val="005D2D45"/>
    <w:rsid w:val="005D3297"/>
    <w:rsid w:val="005D446B"/>
    <w:rsid w:val="005D59FC"/>
    <w:rsid w:val="005E0235"/>
    <w:rsid w:val="005E0A3F"/>
    <w:rsid w:val="005E5056"/>
    <w:rsid w:val="005E6717"/>
    <w:rsid w:val="005E6883"/>
    <w:rsid w:val="005E772F"/>
    <w:rsid w:val="005E7875"/>
    <w:rsid w:val="005E7E38"/>
    <w:rsid w:val="005F0CF7"/>
    <w:rsid w:val="005F175C"/>
    <w:rsid w:val="005F2F19"/>
    <w:rsid w:val="005F490F"/>
    <w:rsid w:val="005F4A8A"/>
    <w:rsid w:val="005F4B0A"/>
    <w:rsid w:val="005F4ECA"/>
    <w:rsid w:val="005F5766"/>
    <w:rsid w:val="00600A31"/>
    <w:rsid w:val="00600C0E"/>
    <w:rsid w:val="006012A9"/>
    <w:rsid w:val="00602DA0"/>
    <w:rsid w:val="006041BE"/>
    <w:rsid w:val="006043C7"/>
    <w:rsid w:val="00605466"/>
    <w:rsid w:val="0061125B"/>
    <w:rsid w:val="00611823"/>
    <w:rsid w:val="00611FE1"/>
    <w:rsid w:val="006124E2"/>
    <w:rsid w:val="00612792"/>
    <w:rsid w:val="00614167"/>
    <w:rsid w:val="0061418A"/>
    <w:rsid w:val="00615201"/>
    <w:rsid w:val="00616648"/>
    <w:rsid w:val="00617141"/>
    <w:rsid w:val="006177F1"/>
    <w:rsid w:val="00617C45"/>
    <w:rsid w:val="00620D1D"/>
    <w:rsid w:val="00622F3F"/>
    <w:rsid w:val="00623288"/>
    <w:rsid w:val="006244B8"/>
    <w:rsid w:val="00624B52"/>
    <w:rsid w:val="00625A32"/>
    <w:rsid w:val="00626537"/>
    <w:rsid w:val="0062768A"/>
    <w:rsid w:val="006277BB"/>
    <w:rsid w:val="00627B1F"/>
    <w:rsid w:val="00627C19"/>
    <w:rsid w:val="00627D4D"/>
    <w:rsid w:val="00630794"/>
    <w:rsid w:val="00630A57"/>
    <w:rsid w:val="00631DF4"/>
    <w:rsid w:val="00632A28"/>
    <w:rsid w:val="006331D7"/>
    <w:rsid w:val="00633B18"/>
    <w:rsid w:val="00633F3F"/>
    <w:rsid w:val="00634175"/>
    <w:rsid w:val="00635C2C"/>
    <w:rsid w:val="00635D2C"/>
    <w:rsid w:val="006407F6"/>
    <w:rsid w:val="006408AC"/>
    <w:rsid w:val="00644A90"/>
    <w:rsid w:val="00644B6B"/>
    <w:rsid w:val="00645099"/>
    <w:rsid w:val="006456F6"/>
    <w:rsid w:val="00645A94"/>
    <w:rsid w:val="00645D55"/>
    <w:rsid w:val="00646F76"/>
    <w:rsid w:val="006478AE"/>
    <w:rsid w:val="00647FBD"/>
    <w:rsid w:val="006506EE"/>
    <w:rsid w:val="006511B6"/>
    <w:rsid w:val="00651515"/>
    <w:rsid w:val="006521AA"/>
    <w:rsid w:val="00653336"/>
    <w:rsid w:val="0065477A"/>
    <w:rsid w:val="00655218"/>
    <w:rsid w:val="006557C1"/>
    <w:rsid w:val="00657FF8"/>
    <w:rsid w:val="00660717"/>
    <w:rsid w:val="00661A0A"/>
    <w:rsid w:val="00661DC2"/>
    <w:rsid w:val="00663ED0"/>
    <w:rsid w:val="006679CA"/>
    <w:rsid w:val="0067060E"/>
    <w:rsid w:val="00670D99"/>
    <w:rsid w:val="00670E2B"/>
    <w:rsid w:val="00670E38"/>
    <w:rsid w:val="00671306"/>
    <w:rsid w:val="0067172F"/>
    <w:rsid w:val="0067202F"/>
    <w:rsid w:val="00672849"/>
    <w:rsid w:val="006734BB"/>
    <w:rsid w:val="006737E1"/>
    <w:rsid w:val="00675529"/>
    <w:rsid w:val="006755C1"/>
    <w:rsid w:val="006760B1"/>
    <w:rsid w:val="006768CE"/>
    <w:rsid w:val="0067697A"/>
    <w:rsid w:val="00681676"/>
    <w:rsid w:val="006821EB"/>
    <w:rsid w:val="00682C4E"/>
    <w:rsid w:val="00682E32"/>
    <w:rsid w:val="00682FAE"/>
    <w:rsid w:val="006830BD"/>
    <w:rsid w:val="00683AD3"/>
    <w:rsid w:val="00685D96"/>
    <w:rsid w:val="0068643C"/>
    <w:rsid w:val="00690042"/>
    <w:rsid w:val="006905F4"/>
    <w:rsid w:val="00690740"/>
    <w:rsid w:val="006918FC"/>
    <w:rsid w:val="00691C2C"/>
    <w:rsid w:val="0069304D"/>
    <w:rsid w:val="006937BD"/>
    <w:rsid w:val="00693BF9"/>
    <w:rsid w:val="00694F1C"/>
    <w:rsid w:val="0069654F"/>
    <w:rsid w:val="00696883"/>
    <w:rsid w:val="006A07CF"/>
    <w:rsid w:val="006A198D"/>
    <w:rsid w:val="006A4A6A"/>
    <w:rsid w:val="006A555B"/>
    <w:rsid w:val="006A6108"/>
    <w:rsid w:val="006A71DB"/>
    <w:rsid w:val="006A7B88"/>
    <w:rsid w:val="006B15B3"/>
    <w:rsid w:val="006B180D"/>
    <w:rsid w:val="006B1993"/>
    <w:rsid w:val="006B2286"/>
    <w:rsid w:val="006B5607"/>
    <w:rsid w:val="006B56BB"/>
    <w:rsid w:val="006C0D90"/>
    <w:rsid w:val="006C1B16"/>
    <w:rsid w:val="006C406E"/>
    <w:rsid w:val="006C63B6"/>
    <w:rsid w:val="006C662D"/>
    <w:rsid w:val="006C7632"/>
    <w:rsid w:val="006C77A8"/>
    <w:rsid w:val="006C7A9A"/>
    <w:rsid w:val="006C7DE8"/>
    <w:rsid w:val="006D0280"/>
    <w:rsid w:val="006D1D9A"/>
    <w:rsid w:val="006D2CA4"/>
    <w:rsid w:val="006D32D3"/>
    <w:rsid w:val="006D3703"/>
    <w:rsid w:val="006D4098"/>
    <w:rsid w:val="006D44BD"/>
    <w:rsid w:val="006D4BEA"/>
    <w:rsid w:val="006D6602"/>
    <w:rsid w:val="006D7681"/>
    <w:rsid w:val="006D7B2E"/>
    <w:rsid w:val="006D7EFD"/>
    <w:rsid w:val="006E02EA"/>
    <w:rsid w:val="006E0968"/>
    <w:rsid w:val="006E2791"/>
    <w:rsid w:val="006E297D"/>
    <w:rsid w:val="006E2AF6"/>
    <w:rsid w:val="006E3CA4"/>
    <w:rsid w:val="006E4142"/>
    <w:rsid w:val="006E66E8"/>
    <w:rsid w:val="006E67C8"/>
    <w:rsid w:val="006E6A85"/>
    <w:rsid w:val="006E747B"/>
    <w:rsid w:val="006F19C6"/>
    <w:rsid w:val="006F20CD"/>
    <w:rsid w:val="006F2473"/>
    <w:rsid w:val="006F6213"/>
    <w:rsid w:val="006F6230"/>
    <w:rsid w:val="006F657B"/>
    <w:rsid w:val="006F6BD5"/>
    <w:rsid w:val="006F6DC9"/>
    <w:rsid w:val="006F7CEC"/>
    <w:rsid w:val="00700309"/>
    <w:rsid w:val="00701275"/>
    <w:rsid w:val="0070130A"/>
    <w:rsid w:val="00702FBA"/>
    <w:rsid w:val="007046B2"/>
    <w:rsid w:val="00705E9C"/>
    <w:rsid w:val="00705F86"/>
    <w:rsid w:val="00706074"/>
    <w:rsid w:val="00706B2E"/>
    <w:rsid w:val="0070755A"/>
    <w:rsid w:val="0070764D"/>
    <w:rsid w:val="007076A2"/>
    <w:rsid w:val="00707F56"/>
    <w:rsid w:val="0071322B"/>
    <w:rsid w:val="00713558"/>
    <w:rsid w:val="00713BBA"/>
    <w:rsid w:val="00713C5B"/>
    <w:rsid w:val="00713FDB"/>
    <w:rsid w:val="00714740"/>
    <w:rsid w:val="007147AB"/>
    <w:rsid w:val="007159D0"/>
    <w:rsid w:val="00716F07"/>
    <w:rsid w:val="00717517"/>
    <w:rsid w:val="00717CD7"/>
    <w:rsid w:val="007207E9"/>
    <w:rsid w:val="00720B28"/>
    <w:rsid w:val="00720D08"/>
    <w:rsid w:val="00720E68"/>
    <w:rsid w:val="007210EF"/>
    <w:rsid w:val="0072169F"/>
    <w:rsid w:val="00721F2A"/>
    <w:rsid w:val="007228A0"/>
    <w:rsid w:val="00723C2B"/>
    <w:rsid w:val="00724959"/>
    <w:rsid w:val="00725000"/>
    <w:rsid w:val="00725023"/>
    <w:rsid w:val="00725A0D"/>
    <w:rsid w:val="00725A52"/>
    <w:rsid w:val="00726271"/>
    <w:rsid w:val="007263A1"/>
    <w:rsid w:val="007263B9"/>
    <w:rsid w:val="00726AA3"/>
    <w:rsid w:val="00727F7E"/>
    <w:rsid w:val="00727F9E"/>
    <w:rsid w:val="007304F4"/>
    <w:rsid w:val="007334F8"/>
    <w:rsid w:val="007339CD"/>
    <w:rsid w:val="00733CF7"/>
    <w:rsid w:val="007359D8"/>
    <w:rsid w:val="00735B8E"/>
    <w:rsid w:val="007360E2"/>
    <w:rsid w:val="007362D4"/>
    <w:rsid w:val="00736EB2"/>
    <w:rsid w:val="00736F92"/>
    <w:rsid w:val="00740A91"/>
    <w:rsid w:val="00740B26"/>
    <w:rsid w:val="00741082"/>
    <w:rsid w:val="007429C3"/>
    <w:rsid w:val="00742B05"/>
    <w:rsid w:val="00746579"/>
    <w:rsid w:val="0074748B"/>
    <w:rsid w:val="007474BC"/>
    <w:rsid w:val="00747545"/>
    <w:rsid w:val="00747843"/>
    <w:rsid w:val="0075186F"/>
    <w:rsid w:val="00751AD8"/>
    <w:rsid w:val="00753C19"/>
    <w:rsid w:val="00753D7D"/>
    <w:rsid w:val="00754285"/>
    <w:rsid w:val="00754B27"/>
    <w:rsid w:val="00755B9A"/>
    <w:rsid w:val="00756369"/>
    <w:rsid w:val="00756AA4"/>
    <w:rsid w:val="007577E2"/>
    <w:rsid w:val="00760693"/>
    <w:rsid w:val="00760B3D"/>
    <w:rsid w:val="0076102F"/>
    <w:rsid w:val="007616C3"/>
    <w:rsid w:val="00762419"/>
    <w:rsid w:val="0076283B"/>
    <w:rsid w:val="00762C15"/>
    <w:rsid w:val="007636F5"/>
    <w:rsid w:val="00765BF7"/>
    <w:rsid w:val="0076672A"/>
    <w:rsid w:val="00767309"/>
    <w:rsid w:val="00771BD9"/>
    <w:rsid w:val="00772254"/>
    <w:rsid w:val="00772826"/>
    <w:rsid w:val="0077378D"/>
    <w:rsid w:val="007737A8"/>
    <w:rsid w:val="00774A74"/>
    <w:rsid w:val="0077589B"/>
    <w:rsid w:val="00775E45"/>
    <w:rsid w:val="00776DF4"/>
    <w:rsid w:val="00776E74"/>
    <w:rsid w:val="0077734F"/>
    <w:rsid w:val="007810FE"/>
    <w:rsid w:val="00781EB6"/>
    <w:rsid w:val="00782373"/>
    <w:rsid w:val="007831E8"/>
    <w:rsid w:val="00783302"/>
    <w:rsid w:val="00785169"/>
    <w:rsid w:val="00785772"/>
    <w:rsid w:val="00786C2A"/>
    <w:rsid w:val="00791101"/>
    <w:rsid w:val="00791A36"/>
    <w:rsid w:val="00791BF5"/>
    <w:rsid w:val="0079295E"/>
    <w:rsid w:val="00793444"/>
    <w:rsid w:val="00793D02"/>
    <w:rsid w:val="00793EF4"/>
    <w:rsid w:val="0079407D"/>
    <w:rsid w:val="00794444"/>
    <w:rsid w:val="007954AB"/>
    <w:rsid w:val="00796B81"/>
    <w:rsid w:val="007A0251"/>
    <w:rsid w:val="007A14C5"/>
    <w:rsid w:val="007A2372"/>
    <w:rsid w:val="007A2F09"/>
    <w:rsid w:val="007A44D2"/>
    <w:rsid w:val="007A4A10"/>
    <w:rsid w:val="007A6BCE"/>
    <w:rsid w:val="007A75FA"/>
    <w:rsid w:val="007B0970"/>
    <w:rsid w:val="007B13A5"/>
    <w:rsid w:val="007B1760"/>
    <w:rsid w:val="007B1E9F"/>
    <w:rsid w:val="007B2855"/>
    <w:rsid w:val="007B45C3"/>
    <w:rsid w:val="007B4D35"/>
    <w:rsid w:val="007B52EA"/>
    <w:rsid w:val="007B577F"/>
    <w:rsid w:val="007B595E"/>
    <w:rsid w:val="007B5ED8"/>
    <w:rsid w:val="007B5FC6"/>
    <w:rsid w:val="007B7547"/>
    <w:rsid w:val="007B7A19"/>
    <w:rsid w:val="007B7DAB"/>
    <w:rsid w:val="007C0CEC"/>
    <w:rsid w:val="007C1475"/>
    <w:rsid w:val="007C1814"/>
    <w:rsid w:val="007C1AAD"/>
    <w:rsid w:val="007C1FDC"/>
    <w:rsid w:val="007C219F"/>
    <w:rsid w:val="007C2941"/>
    <w:rsid w:val="007C45F2"/>
    <w:rsid w:val="007C6D9C"/>
    <w:rsid w:val="007C6DA4"/>
    <w:rsid w:val="007C7173"/>
    <w:rsid w:val="007C719C"/>
    <w:rsid w:val="007C78F6"/>
    <w:rsid w:val="007C7DDB"/>
    <w:rsid w:val="007D087A"/>
    <w:rsid w:val="007D0DDF"/>
    <w:rsid w:val="007D0FB4"/>
    <w:rsid w:val="007D2259"/>
    <w:rsid w:val="007D2B71"/>
    <w:rsid w:val="007D2CC7"/>
    <w:rsid w:val="007D38FA"/>
    <w:rsid w:val="007D441F"/>
    <w:rsid w:val="007D505D"/>
    <w:rsid w:val="007D5341"/>
    <w:rsid w:val="007D58A4"/>
    <w:rsid w:val="007D5979"/>
    <w:rsid w:val="007D5BC3"/>
    <w:rsid w:val="007D624D"/>
    <w:rsid w:val="007D63B7"/>
    <w:rsid w:val="007D673D"/>
    <w:rsid w:val="007D790B"/>
    <w:rsid w:val="007E0FB8"/>
    <w:rsid w:val="007E1051"/>
    <w:rsid w:val="007E14DC"/>
    <w:rsid w:val="007E218E"/>
    <w:rsid w:val="007E22B8"/>
    <w:rsid w:val="007E23A6"/>
    <w:rsid w:val="007E32BA"/>
    <w:rsid w:val="007E4AE6"/>
    <w:rsid w:val="007E4D09"/>
    <w:rsid w:val="007E6179"/>
    <w:rsid w:val="007E7CC8"/>
    <w:rsid w:val="007F0EA4"/>
    <w:rsid w:val="007F1AE3"/>
    <w:rsid w:val="007F2220"/>
    <w:rsid w:val="007F39B6"/>
    <w:rsid w:val="007F4B3E"/>
    <w:rsid w:val="007F753B"/>
    <w:rsid w:val="007F756A"/>
    <w:rsid w:val="007F75A7"/>
    <w:rsid w:val="007F7D8C"/>
    <w:rsid w:val="00800207"/>
    <w:rsid w:val="008009BB"/>
    <w:rsid w:val="00801A32"/>
    <w:rsid w:val="0080258C"/>
    <w:rsid w:val="00803668"/>
    <w:rsid w:val="00803B3B"/>
    <w:rsid w:val="00805B62"/>
    <w:rsid w:val="00807891"/>
    <w:rsid w:val="00811019"/>
    <w:rsid w:val="008124AE"/>
    <w:rsid w:val="008127AF"/>
    <w:rsid w:val="00812B46"/>
    <w:rsid w:val="00812C6B"/>
    <w:rsid w:val="008133C9"/>
    <w:rsid w:val="008139FE"/>
    <w:rsid w:val="00814307"/>
    <w:rsid w:val="00814B64"/>
    <w:rsid w:val="00814E14"/>
    <w:rsid w:val="00815125"/>
    <w:rsid w:val="0081518B"/>
    <w:rsid w:val="00815700"/>
    <w:rsid w:val="008173B6"/>
    <w:rsid w:val="00817455"/>
    <w:rsid w:val="00817478"/>
    <w:rsid w:val="00821908"/>
    <w:rsid w:val="00821E46"/>
    <w:rsid w:val="00822173"/>
    <w:rsid w:val="0082246B"/>
    <w:rsid w:val="008228DF"/>
    <w:rsid w:val="00822D7D"/>
    <w:rsid w:val="00822D87"/>
    <w:rsid w:val="00822E97"/>
    <w:rsid w:val="00825CB4"/>
    <w:rsid w:val="00826190"/>
    <w:rsid w:val="008264EB"/>
    <w:rsid w:val="00826B2D"/>
    <w:rsid w:val="00826B8F"/>
    <w:rsid w:val="00830673"/>
    <w:rsid w:val="00830C4C"/>
    <w:rsid w:val="00831E8A"/>
    <w:rsid w:val="00834190"/>
    <w:rsid w:val="008349BC"/>
    <w:rsid w:val="008350A4"/>
    <w:rsid w:val="008357A4"/>
    <w:rsid w:val="00835C76"/>
    <w:rsid w:val="00836AE4"/>
    <w:rsid w:val="00836CAE"/>
    <w:rsid w:val="00836CDD"/>
    <w:rsid w:val="00837612"/>
    <w:rsid w:val="008376E2"/>
    <w:rsid w:val="00840FBB"/>
    <w:rsid w:val="0084120B"/>
    <w:rsid w:val="008425F5"/>
    <w:rsid w:val="008428BE"/>
    <w:rsid w:val="00843049"/>
    <w:rsid w:val="00845E26"/>
    <w:rsid w:val="008464AE"/>
    <w:rsid w:val="00846627"/>
    <w:rsid w:val="00847C58"/>
    <w:rsid w:val="00847EDC"/>
    <w:rsid w:val="008504EF"/>
    <w:rsid w:val="00850A23"/>
    <w:rsid w:val="00851426"/>
    <w:rsid w:val="00851EB4"/>
    <w:rsid w:val="0085209B"/>
    <w:rsid w:val="00852A01"/>
    <w:rsid w:val="008549CE"/>
    <w:rsid w:val="00854E67"/>
    <w:rsid w:val="00855C13"/>
    <w:rsid w:val="00855F95"/>
    <w:rsid w:val="0085643A"/>
    <w:rsid w:val="00856B66"/>
    <w:rsid w:val="008577B6"/>
    <w:rsid w:val="008577E6"/>
    <w:rsid w:val="00857F06"/>
    <w:rsid w:val="008601AC"/>
    <w:rsid w:val="008605BB"/>
    <w:rsid w:val="00861A5F"/>
    <w:rsid w:val="00861E4A"/>
    <w:rsid w:val="008644AD"/>
    <w:rsid w:val="00865735"/>
    <w:rsid w:val="0086584E"/>
    <w:rsid w:val="00865DDB"/>
    <w:rsid w:val="008661C0"/>
    <w:rsid w:val="00866421"/>
    <w:rsid w:val="00866D25"/>
    <w:rsid w:val="00867538"/>
    <w:rsid w:val="00867C06"/>
    <w:rsid w:val="00870741"/>
    <w:rsid w:val="0087078B"/>
    <w:rsid w:val="00871040"/>
    <w:rsid w:val="00871E97"/>
    <w:rsid w:val="00873A7B"/>
    <w:rsid w:val="00873C3E"/>
    <w:rsid w:val="00873D90"/>
    <w:rsid w:val="00873FC8"/>
    <w:rsid w:val="00875ED5"/>
    <w:rsid w:val="00876419"/>
    <w:rsid w:val="0088042E"/>
    <w:rsid w:val="0088132C"/>
    <w:rsid w:val="008814FA"/>
    <w:rsid w:val="0088394B"/>
    <w:rsid w:val="00883E5B"/>
    <w:rsid w:val="00884758"/>
    <w:rsid w:val="00884C63"/>
    <w:rsid w:val="00885908"/>
    <w:rsid w:val="00885C4F"/>
    <w:rsid w:val="00885CE3"/>
    <w:rsid w:val="00885F0D"/>
    <w:rsid w:val="008864B7"/>
    <w:rsid w:val="00886A71"/>
    <w:rsid w:val="00886B1D"/>
    <w:rsid w:val="00886B46"/>
    <w:rsid w:val="0089098A"/>
    <w:rsid w:val="00891059"/>
    <w:rsid w:val="008955D5"/>
    <w:rsid w:val="00895E65"/>
    <w:rsid w:val="0089677E"/>
    <w:rsid w:val="008A020A"/>
    <w:rsid w:val="008A0691"/>
    <w:rsid w:val="008A0A81"/>
    <w:rsid w:val="008A1B0C"/>
    <w:rsid w:val="008A3DA4"/>
    <w:rsid w:val="008A450E"/>
    <w:rsid w:val="008A4BEC"/>
    <w:rsid w:val="008A4D3C"/>
    <w:rsid w:val="008A7438"/>
    <w:rsid w:val="008A7AE6"/>
    <w:rsid w:val="008A7E06"/>
    <w:rsid w:val="008B0946"/>
    <w:rsid w:val="008B1334"/>
    <w:rsid w:val="008B25C7"/>
    <w:rsid w:val="008B3EE6"/>
    <w:rsid w:val="008B4966"/>
    <w:rsid w:val="008B5812"/>
    <w:rsid w:val="008B6C71"/>
    <w:rsid w:val="008C0278"/>
    <w:rsid w:val="008C24E9"/>
    <w:rsid w:val="008C3507"/>
    <w:rsid w:val="008C419E"/>
    <w:rsid w:val="008C557D"/>
    <w:rsid w:val="008C6C0F"/>
    <w:rsid w:val="008C6EDB"/>
    <w:rsid w:val="008D0003"/>
    <w:rsid w:val="008D0533"/>
    <w:rsid w:val="008D093B"/>
    <w:rsid w:val="008D1A65"/>
    <w:rsid w:val="008D1F41"/>
    <w:rsid w:val="008D1FFD"/>
    <w:rsid w:val="008D3CC6"/>
    <w:rsid w:val="008D3E36"/>
    <w:rsid w:val="008D3F71"/>
    <w:rsid w:val="008D42CB"/>
    <w:rsid w:val="008D48C9"/>
    <w:rsid w:val="008D5BF6"/>
    <w:rsid w:val="008D6381"/>
    <w:rsid w:val="008D7483"/>
    <w:rsid w:val="008D7500"/>
    <w:rsid w:val="008E0543"/>
    <w:rsid w:val="008E08D9"/>
    <w:rsid w:val="008E0C77"/>
    <w:rsid w:val="008E16CD"/>
    <w:rsid w:val="008E1761"/>
    <w:rsid w:val="008E1C2A"/>
    <w:rsid w:val="008E2658"/>
    <w:rsid w:val="008E2910"/>
    <w:rsid w:val="008E2B9B"/>
    <w:rsid w:val="008E2FDD"/>
    <w:rsid w:val="008E4945"/>
    <w:rsid w:val="008E50FA"/>
    <w:rsid w:val="008E5292"/>
    <w:rsid w:val="008E56D5"/>
    <w:rsid w:val="008E625F"/>
    <w:rsid w:val="008E69B3"/>
    <w:rsid w:val="008F1B53"/>
    <w:rsid w:val="008F264D"/>
    <w:rsid w:val="008F2F9C"/>
    <w:rsid w:val="008F3A55"/>
    <w:rsid w:val="008F57AB"/>
    <w:rsid w:val="009040E9"/>
    <w:rsid w:val="009074E1"/>
    <w:rsid w:val="00907551"/>
    <w:rsid w:val="00907C6F"/>
    <w:rsid w:val="00907F12"/>
    <w:rsid w:val="0091057A"/>
    <w:rsid w:val="009112F7"/>
    <w:rsid w:val="0091175F"/>
    <w:rsid w:val="00911E94"/>
    <w:rsid w:val="009122AF"/>
    <w:rsid w:val="00912607"/>
    <w:rsid w:val="00912D54"/>
    <w:rsid w:val="0091389F"/>
    <w:rsid w:val="0091566C"/>
    <w:rsid w:val="00916032"/>
    <w:rsid w:val="009168DC"/>
    <w:rsid w:val="0091700D"/>
    <w:rsid w:val="009179D5"/>
    <w:rsid w:val="009200B0"/>
    <w:rsid w:val="009207DD"/>
    <w:rsid w:val="009208F7"/>
    <w:rsid w:val="00920D18"/>
    <w:rsid w:val="0092100D"/>
    <w:rsid w:val="00921649"/>
    <w:rsid w:val="00922517"/>
    <w:rsid w:val="00922722"/>
    <w:rsid w:val="00923BFA"/>
    <w:rsid w:val="00923D52"/>
    <w:rsid w:val="009241C0"/>
    <w:rsid w:val="009261E6"/>
    <w:rsid w:val="009264E4"/>
    <w:rsid w:val="009268E1"/>
    <w:rsid w:val="00926A1A"/>
    <w:rsid w:val="00926A49"/>
    <w:rsid w:val="00926B8D"/>
    <w:rsid w:val="009271EE"/>
    <w:rsid w:val="009277DE"/>
    <w:rsid w:val="00930666"/>
    <w:rsid w:val="009308DB"/>
    <w:rsid w:val="00930A8B"/>
    <w:rsid w:val="00931727"/>
    <w:rsid w:val="00932795"/>
    <w:rsid w:val="0093354E"/>
    <w:rsid w:val="009344AE"/>
    <w:rsid w:val="009344DE"/>
    <w:rsid w:val="00935A3C"/>
    <w:rsid w:val="00935BC3"/>
    <w:rsid w:val="00937031"/>
    <w:rsid w:val="00937916"/>
    <w:rsid w:val="00937DE4"/>
    <w:rsid w:val="009401BC"/>
    <w:rsid w:val="00940E93"/>
    <w:rsid w:val="00940EBE"/>
    <w:rsid w:val="00941328"/>
    <w:rsid w:val="0094144D"/>
    <w:rsid w:val="00941696"/>
    <w:rsid w:val="00941B07"/>
    <w:rsid w:val="00941D15"/>
    <w:rsid w:val="00942A92"/>
    <w:rsid w:val="00944A40"/>
    <w:rsid w:val="00945023"/>
    <w:rsid w:val="009454E6"/>
    <w:rsid w:val="00945E7F"/>
    <w:rsid w:val="00946D7E"/>
    <w:rsid w:val="0094752E"/>
    <w:rsid w:val="009478B6"/>
    <w:rsid w:val="0095097A"/>
    <w:rsid w:val="00952F51"/>
    <w:rsid w:val="009557C1"/>
    <w:rsid w:val="00960D6E"/>
    <w:rsid w:val="0096193E"/>
    <w:rsid w:val="00961E5D"/>
    <w:rsid w:val="00962F56"/>
    <w:rsid w:val="009633E9"/>
    <w:rsid w:val="00964943"/>
    <w:rsid w:val="00965ED6"/>
    <w:rsid w:val="00971173"/>
    <w:rsid w:val="00971340"/>
    <w:rsid w:val="009717D9"/>
    <w:rsid w:val="00971C4B"/>
    <w:rsid w:val="009731DE"/>
    <w:rsid w:val="009742B5"/>
    <w:rsid w:val="00974B59"/>
    <w:rsid w:val="009751FF"/>
    <w:rsid w:val="009767BA"/>
    <w:rsid w:val="00976CF6"/>
    <w:rsid w:val="009808DB"/>
    <w:rsid w:val="00980F16"/>
    <w:rsid w:val="0098182B"/>
    <w:rsid w:val="009819BF"/>
    <w:rsid w:val="009826C8"/>
    <w:rsid w:val="0098340B"/>
    <w:rsid w:val="00983620"/>
    <w:rsid w:val="00983DC2"/>
    <w:rsid w:val="0098438C"/>
    <w:rsid w:val="009860CE"/>
    <w:rsid w:val="00986214"/>
    <w:rsid w:val="00986393"/>
    <w:rsid w:val="00986830"/>
    <w:rsid w:val="009873F6"/>
    <w:rsid w:val="0099229E"/>
    <w:rsid w:val="009923C8"/>
    <w:rsid w:val="009924C3"/>
    <w:rsid w:val="00992A25"/>
    <w:rsid w:val="00993102"/>
    <w:rsid w:val="0099310B"/>
    <w:rsid w:val="0099490E"/>
    <w:rsid w:val="009962CE"/>
    <w:rsid w:val="00996788"/>
    <w:rsid w:val="009975D6"/>
    <w:rsid w:val="009A028C"/>
    <w:rsid w:val="009A03D8"/>
    <w:rsid w:val="009A05F0"/>
    <w:rsid w:val="009A07AE"/>
    <w:rsid w:val="009A0AA0"/>
    <w:rsid w:val="009A18A7"/>
    <w:rsid w:val="009A18D2"/>
    <w:rsid w:val="009A1CB4"/>
    <w:rsid w:val="009A22B7"/>
    <w:rsid w:val="009A23F9"/>
    <w:rsid w:val="009A2DB4"/>
    <w:rsid w:val="009A43EA"/>
    <w:rsid w:val="009A4572"/>
    <w:rsid w:val="009A475C"/>
    <w:rsid w:val="009A61AE"/>
    <w:rsid w:val="009A6F21"/>
    <w:rsid w:val="009B0578"/>
    <w:rsid w:val="009B1570"/>
    <w:rsid w:val="009B204B"/>
    <w:rsid w:val="009B2341"/>
    <w:rsid w:val="009B5642"/>
    <w:rsid w:val="009B6391"/>
    <w:rsid w:val="009B70E7"/>
    <w:rsid w:val="009B77B6"/>
    <w:rsid w:val="009C087B"/>
    <w:rsid w:val="009C1252"/>
    <w:rsid w:val="009C218C"/>
    <w:rsid w:val="009C3564"/>
    <w:rsid w:val="009C471A"/>
    <w:rsid w:val="009C544A"/>
    <w:rsid w:val="009C602C"/>
    <w:rsid w:val="009C6832"/>
    <w:rsid w:val="009C6CE5"/>
    <w:rsid w:val="009C6F10"/>
    <w:rsid w:val="009C727C"/>
    <w:rsid w:val="009C748F"/>
    <w:rsid w:val="009D0A3F"/>
    <w:rsid w:val="009D11BA"/>
    <w:rsid w:val="009D12A9"/>
    <w:rsid w:val="009D148F"/>
    <w:rsid w:val="009D1B13"/>
    <w:rsid w:val="009D1B49"/>
    <w:rsid w:val="009D1BB3"/>
    <w:rsid w:val="009D1F17"/>
    <w:rsid w:val="009D2E65"/>
    <w:rsid w:val="009D3C1F"/>
    <w:rsid w:val="009D3CA0"/>
    <w:rsid w:val="009D3D70"/>
    <w:rsid w:val="009D433A"/>
    <w:rsid w:val="009D6E14"/>
    <w:rsid w:val="009D6FBC"/>
    <w:rsid w:val="009D71C6"/>
    <w:rsid w:val="009D7285"/>
    <w:rsid w:val="009D76C1"/>
    <w:rsid w:val="009D7DC4"/>
    <w:rsid w:val="009E0045"/>
    <w:rsid w:val="009E04FF"/>
    <w:rsid w:val="009E1ECA"/>
    <w:rsid w:val="009E23E2"/>
    <w:rsid w:val="009E6794"/>
    <w:rsid w:val="009E6F7E"/>
    <w:rsid w:val="009E7A57"/>
    <w:rsid w:val="009F09A3"/>
    <w:rsid w:val="009F0A9D"/>
    <w:rsid w:val="009F0CC4"/>
    <w:rsid w:val="009F1257"/>
    <w:rsid w:val="009F3B06"/>
    <w:rsid w:val="009F3CD5"/>
    <w:rsid w:val="009F3DD2"/>
    <w:rsid w:val="009F4803"/>
    <w:rsid w:val="009F49E9"/>
    <w:rsid w:val="009F4A8A"/>
    <w:rsid w:val="009F4C1B"/>
    <w:rsid w:val="009F4F6A"/>
    <w:rsid w:val="009F503F"/>
    <w:rsid w:val="009F5F32"/>
    <w:rsid w:val="009F623F"/>
    <w:rsid w:val="009F64AD"/>
    <w:rsid w:val="009F69A1"/>
    <w:rsid w:val="009F796A"/>
    <w:rsid w:val="00A023E3"/>
    <w:rsid w:val="00A027E4"/>
    <w:rsid w:val="00A02E26"/>
    <w:rsid w:val="00A03330"/>
    <w:rsid w:val="00A03722"/>
    <w:rsid w:val="00A04315"/>
    <w:rsid w:val="00A04478"/>
    <w:rsid w:val="00A04997"/>
    <w:rsid w:val="00A04DEF"/>
    <w:rsid w:val="00A05E3C"/>
    <w:rsid w:val="00A063DC"/>
    <w:rsid w:val="00A101B6"/>
    <w:rsid w:val="00A108A5"/>
    <w:rsid w:val="00A11D6F"/>
    <w:rsid w:val="00A1243B"/>
    <w:rsid w:val="00A129B8"/>
    <w:rsid w:val="00A13A24"/>
    <w:rsid w:val="00A13EB5"/>
    <w:rsid w:val="00A15D3F"/>
    <w:rsid w:val="00A16E36"/>
    <w:rsid w:val="00A17231"/>
    <w:rsid w:val="00A2030A"/>
    <w:rsid w:val="00A223A5"/>
    <w:rsid w:val="00A23282"/>
    <w:rsid w:val="00A244F7"/>
    <w:rsid w:val="00A248AE"/>
    <w:rsid w:val="00A24961"/>
    <w:rsid w:val="00A24B10"/>
    <w:rsid w:val="00A2568A"/>
    <w:rsid w:val="00A25AC1"/>
    <w:rsid w:val="00A26E62"/>
    <w:rsid w:val="00A277EF"/>
    <w:rsid w:val="00A30569"/>
    <w:rsid w:val="00A30648"/>
    <w:rsid w:val="00A30E9B"/>
    <w:rsid w:val="00A33428"/>
    <w:rsid w:val="00A34271"/>
    <w:rsid w:val="00A36196"/>
    <w:rsid w:val="00A361F8"/>
    <w:rsid w:val="00A36E6A"/>
    <w:rsid w:val="00A3724D"/>
    <w:rsid w:val="00A413DE"/>
    <w:rsid w:val="00A4142E"/>
    <w:rsid w:val="00A42426"/>
    <w:rsid w:val="00A42F26"/>
    <w:rsid w:val="00A44C5B"/>
    <w:rsid w:val="00A4512D"/>
    <w:rsid w:val="00A4543E"/>
    <w:rsid w:val="00A47BC8"/>
    <w:rsid w:val="00A50244"/>
    <w:rsid w:val="00A50467"/>
    <w:rsid w:val="00A50B73"/>
    <w:rsid w:val="00A51044"/>
    <w:rsid w:val="00A51A97"/>
    <w:rsid w:val="00A537BD"/>
    <w:rsid w:val="00A54893"/>
    <w:rsid w:val="00A57E9B"/>
    <w:rsid w:val="00A60051"/>
    <w:rsid w:val="00A61EB9"/>
    <w:rsid w:val="00A627D7"/>
    <w:rsid w:val="00A6328F"/>
    <w:rsid w:val="00A656C7"/>
    <w:rsid w:val="00A6594D"/>
    <w:rsid w:val="00A679E6"/>
    <w:rsid w:val="00A701AA"/>
    <w:rsid w:val="00A705AF"/>
    <w:rsid w:val="00A705C9"/>
    <w:rsid w:val="00A719F6"/>
    <w:rsid w:val="00A72454"/>
    <w:rsid w:val="00A72774"/>
    <w:rsid w:val="00A72A62"/>
    <w:rsid w:val="00A72BB4"/>
    <w:rsid w:val="00A730FF"/>
    <w:rsid w:val="00A74478"/>
    <w:rsid w:val="00A74821"/>
    <w:rsid w:val="00A75C06"/>
    <w:rsid w:val="00A75CE7"/>
    <w:rsid w:val="00A773EB"/>
    <w:rsid w:val="00A77696"/>
    <w:rsid w:val="00A80557"/>
    <w:rsid w:val="00A80874"/>
    <w:rsid w:val="00A811BC"/>
    <w:rsid w:val="00A81D33"/>
    <w:rsid w:val="00A82DE8"/>
    <w:rsid w:val="00A82DF6"/>
    <w:rsid w:val="00A8341C"/>
    <w:rsid w:val="00A84790"/>
    <w:rsid w:val="00A8497E"/>
    <w:rsid w:val="00A84B26"/>
    <w:rsid w:val="00A84C82"/>
    <w:rsid w:val="00A85130"/>
    <w:rsid w:val="00A87787"/>
    <w:rsid w:val="00A87AC7"/>
    <w:rsid w:val="00A87FBF"/>
    <w:rsid w:val="00A8B91C"/>
    <w:rsid w:val="00A91621"/>
    <w:rsid w:val="00A91B89"/>
    <w:rsid w:val="00A930AE"/>
    <w:rsid w:val="00A93F6A"/>
    <w:rsid w:val="00A93FBD"/>
    <w:rsid w:val="00A954F5"/>
    <w:rsid w:val="00A95D33"/>
    <w:rsid w:val="00A95DEC"/>
    <w:rsid w:val="00A95FB5"/>
    <w:rsid w:val="00A96522"/>
    <w:rsid w:val="00A9716E"/>
    <w:rsid w:val="00AA069A"/>
    <w:rsid w:val="00AA0A9A"/>
    <w:rsid w:val="00AA143D"/>
    <w:rsid w:val="00AA1A95"/>
    <w:rsid w:val="00AA1FA3"/>
    <w:rsid w:val="00AA260F"/>
    <w:rsid w:val="00AA332C"/>
    <w:rsid w:val="00AA53B0"/>
    <w:rsid w:val="00AA5750"/>
    <w:rsid w:val="00AB02DD"/>
    <w:rsid w:val="00AB038F"/>
    <w:rsid w:val="00AB08B3"/>
    <w:rsid w:val="00AB0C48"/>
    <w:rsid w:val="00AB170C"/>
    <w:rsid w:val="00AB1EE7"/>
    <w:rsid w:val="00AB1F4D"/>
    <w:rsid w:val="00AB23D7"/>
    <w:rsid w:val="00AB35CC"/>
    <w:rsid w:val="00AB4B37"/>
    <w:rsid w:val="00AB5762"/>
    <w:rsid w:val="00AB5EC6"/>
    <w:rsid w:val="00AB6507"/>
    <w:rsid w:val="00AC06B7"/>
    <w:rsid w:val="00AC203B"/>
    <w:rsid w:val="00AC2679"/>
    <w:rsid w:val="00AC2B87"/>
    <w:rsid w:val="00AC2EE0"/>
    <w:rsid w:val="00AC3E83"/>
    <w:rsid w:val="00AC4124"/>
    <w:rsid w:val="00AC4BE4"/>
    <w:rsid w:val="00AC4C51"/>
    <w:rsid w:val="00AC6F0A"/>
    <w:rsid w:val="00AD03FF"/>
    <w:rsid w:val="00AD05E6"/>
    <w:rsid w:val="00AD0D3F"/>
    <w:rsid w:val="00AD0E5F"/>
    <w:rsid w:val="00AD1DAB"/>
    <w:rsid w:val="00AD2CFC"/>
    <w:rsid w:val="00AD3AC7"/>
    <w:rsid w:val="00AD623D"/>
    <w:rsid w:val="00AD6A90"/>
    <w:rsid w:val="00AD6ADF"/>
    <w:rsid w:val="00AE0667"/>
    <w:rsid w:val="00AE0A7C"/>
    <w:rsid w:val="00AE1D7D"/>
    <w:rsid w:val="00AE2718"/>
    <w:rsid w:val="00AE2A8B"/>
    <w:rsid w:val="00AE3B82"/>
    <w:rsid w:val="00AE3C49"/>
    <w:rsid w:val="00AE3F64"/>
    <w:rsid w:val="00AE444B"/>
    <w:rsid w:val="00AE4D1D"/>
    <w:rsid w:val="00AE73E9"/>
    <w:rsid w:val="00AE76C3"/>
    <w:rsid w:val="00AE7AB4"/>
    <w:rsid w:val="00AF0C25"/>
    <w:rsid w:val="00AF0DE0"/>
    <w:rsid w:val="00AF5BA0"/>
    <w:rsid w:val="00AF7386"/>
    <w:rsid w:val="00AF7934"/>
    <w:rsid w:val="00B008AE"/>
    <w:rsid w:val="00B008CA"/>
    <w:rsid w:val="00B00B81"/>
    <w:rsid w:val="00B027AD"/>
    <w:rsid w:val="00B03098"/>
    <w:rsid w:val="00B04580"/>
    <w:rsid w:val="00B04B09"/>
    <w:rsid w:val="00B05064"/>
    <w:rsid w:val="00B05297"/>
    <w:rsid w:val="00B05642"/>
    <w:rsid w:val="00B0594C"/>
    <w:rsid w:val="00B0792F"/>
    <w:rsid w:val="00B10043"/>
    <w:rsid w:val="00B1148D"/>
    <w:rsid w:val="00B12FE8"/>
    <w:rsid w:val="00B14538"/>
    <w:rsid w:val="00B15C10"/>
    <w:rsid w:val="00B16A51"/>
    <w:rsid w:val="00B16E45"/>
    <w:rsid w:val="00B17B65"/>
    <w:rsid w:val="00B17E41"/>
    <w:rsid w:val="00B17F62"/>
    <w:rsid w:val="00B20451"/>
    <w:rsid w:val="00B205E9"/>
    <w:rsid w:val="00B210CB"/>
    <w:rsid w:val="00B21FBB"/>
    <w:rsid w:val="00B226DB"/>
    <w:rsid w:val="00B22F14"/>
    <w:rsid w:val="00B244F0"/>
    <w:rsid w:val="00B247D7"/>
    <w:rsid w:val="00B270AC"/>
    <w:rsid w:val="00B30425"/>
    <w:rsid w:val="00B30B6B"/>
    <w:rsid w:val="00B32222"/>
    <w:rsid w:val="00B3255A"/>
    <w:rsid w:val="00B32D57"/>
    <w:rsid w:val="00B3395D"/>
    <w:rsid w:val="00B34DCE"/>
    <w:rsid w:val="00B34E6C"/>
    <w:rsid w:val="00B357EB"/>
    <w:rsid w:val="00B35BB8"/>
    <w:rsid w:val="00B3618D"/>
    <w:rsid w:val="00B36233"/>
    <w:rsid w:val="00B36694"/>
    <w:rsid w:val="00B37A40"/>
    <w:rsid w:val="00B40043"/>
    <w:rsid w:val="00B42851"/>
    <w:rsid w:val="00B45690"/>
    <w:rsid w:val="00B45AC7"/>
    <w:rsid w:val="00B46136"/>
    <w:rsid w:val="00B46A70"/>
    <w:rsid w:val="00B47278"/>
    <w:rsid w:val="00B47596"/>
    <w:rsid w:val="00B47A3C"/>
    <w:rsid w:val="00B47FE9"/>
    <w:rsid w:val="00B50C83"/>
    <w:rsid w:val="00B51A07"/>
    <w:rsid w:val="00B51FE1"/>
    <w:rsid w:val="00B5372F"/>
    <w:rsid w:val="00B53987"/>
    <w:rsid w:val="00B53B2C"/>
    <w:rsid w:val="00B53E8C"/>
    <w:rsid w:val="00B5556A"/>
    <w:rsid w:val="00B55897"/>
    <w:rsid w:val="00B55EE0"/>
    <w:rsid w:val="00B56B19"/>
    <w:rsid w:val="00B573AB"/>
    <w:rsid w:val="00B5748D"/>
    <w:rsid w:val="00B57E29"/>
    <w:rsid w:val="00B60D57"/>
    <w:rsid w:val="00B61129"/>
    <w:rsid w:val="00B6284A"/>
    <w:rsid w:val="00B64B44"/>
    <w:rsid w:val="00B6687F"/>
    <w:rsid w:val="00B67035"/>
    <w:rsid w:val="00B6713D"/>
    <w:rsid w:val="00B67B02"/>
    <w:rsid w:val="00B67CA8"/>
    <w:rsid w:val="00B67E7F"/>
    <w:rsid w:val="00B705D7"/>
    <w:rsid w:val="00B732E7"/>
    <w:rsid w:val="00B7378E"/>
    <w:rsid w:val="00B749EF"/>
    <w:rsid w:val="00B76BDC"/>
    <w:rsid w:val="00B76C41"/>
    <w:rsid w:val="00B77C67"/>
    <w:rsid w:val="00B80CFE"/>
    <w:rsid w:val="00B81B66"/>
    <w:rsid w:val="00B81D83"/>
    <w:rsid w:val="00B839B2"/>
    <w:rsid w:val="00B85667"/>
    <w:rsid w:val="00B870D5"/>
    <w:rsid w:val="00B91389"/>
    <w:rsid w:val="00B9218C"/>
    <w:rsid w:val="00B9390A"/>
    <w:rsid w:val="00B93B00"/>
    <w:rsid w:val="00B94252"/>
    <w:rsid w:val="00B94C59"/>
    <w:rsid w:val="00B94E24"/>
    <w:rsid w:val="00B94FF8"/>
    <w:rsid w:val="00B95B45"/>
    <w:rsid w:val="00B9715A"/>
    <w:rsid w:val="00B975F3"/>
    <w:rsid w:val="00B976A0"/>
    <w:rsid w:val="00B97779"/>
    <w:rsid w:val="00BA14BE"/>
    <w:rsid w:val="00BA152E"/>
    <w:rsid w:val="00BA174D"/>
    <w:rsid w:val="00BA18AB"/>
    <w:rsid w:val="00BA1BF8"/>
    <w:rsid w:val="00BA2040"/>
    <w:rsid w:val="00BA2732"/>
    <w:rsid w:val="00BA293D"/>
    <w:rsid w:val="00BA3A43"/>
    <w:rsid w:val="00BA3C68"/>
    <w:rsid w:val="00BA49BC"/>
    <w:rsid w:val="00BA5625"/>
    <w:rsid w:val="00BA56B7"/>
    <w:rsid w:val="00BA6AA1"/>
    <w:rsid w:val="00BA6E6F"/>
    <w:rsid w:val="00BA768B"/>
    <w:rsid w:val="00BA7A1E"/>
    <w:rsid w:val="00BB05ED"/>
    <w:rsid w:val="00BB06F2"/>
    <w:rsid w:val="00BB2F6C"/>
    <w:rsid w:val="00BB3875"/>
    <w:rsid w:val="00BB39B7"/>
    <w:rsid w:val="00BB3E15"/>
    <w:rsid w:val="00BB4E0D"/>
    <w:rsid w:val="00BB5860"/>
    <w:rsid w:val="00BB5947"/>
    <w:rsid w:val="00BB6179"/>
    <w:rsid w:val="00BB6AAD"/>
    <w:rsid w:val="00BB6B02"/>
    <w:rsid w:val="00BC2060"/>
    <w:rsid w:val="00BC217F"/>
    <w:rsid w:val="00BC23BC"/>
    <w:rsid w:val="00BC2A05"/>
    <w:rsid w:val="00BC3F4A"/>
    <w:rsid w:val="00BC4371"/>
    <w:rsid w:val="00BC4A19"/>
    <w:rsid w:val="00BC4E6D"/>
    <w:rsid w:val="00BC579B"/>
    <w:rsid w:val="00BC5DE5"/>
    <w:rsid w:val="00BC627B"/>
    <w:rsid w:val="00BC6C67"/>
    <w:rsid w:val="00BD040F"/>
    <w:rsid w:val="00BD0617"/>
    <w:rsid w:val="00BD2E1E"/>
    <w:rsid w:val="00BD2E9B"/>
    <w:rsid w:val="00BD31FE"/>
    <w:rsid w:val="00BD4282"/>
    <w:rsid w:val="00BD46AE"/>
    <w:rsid w:val="00BD66ED"/>
    <w:rsid w:val="00BD6933"/>
    <w:rsid w:val="00BD7FB2"/>
    <w:rsid w:val="00BE00B1"/>
    <w:rsid w:val="00BE0493"/>
    <w:rsid w:val="00BE1FCA"/>
    <w:rsid w:val="00BE2060"/>
    <w:rsid w:val="00BE2203"/>
    <w:rsid w:val="00BE29C1"/>
    <w:rsid w:val="00BE2C04"/>
    <w:rsid w:val="00BE301B"/>
    <w:rsid w:val="00BE3334"/>
    <w:rsid w:val="00BE3551"/>
    <w:rsid w:val="00BE3691"/>
    <w:rsid w:val="00BE3815"/>
    <w:rsid w:val="00BE41D6"/>
    <w:rsid w:val="00BE5C1E"/>
    <w:rsid w:val="00BE5F5B"/>
    <w:rsid w:val="00BE797E"/>
    <w:rsid w:val="00BE7AAF"/>
    <w:rsid w:val="00BE7D7C"/>
    <w:rsid w:val="00BF0145"/>
    <w:rsid w:val="00BF035B"/>
    <w:rsid w:val="00BF04FC"/>
    <w:rsid w:val="00BF1EF0"/>
    <w:rsid w:val="00BF1FCE"/>
    <w:rsid w:val="00BF20DC"/>
    <w:rsid w:val="00BF3899"/>
    <w:rsid w:val="00BF42E6"/>
    <w:rsid w:val="00C00811"/>
    <w:rsid w:val="00C00930"/>
    <w:rsid w:val="00C00B8E"/>
    <w:rsid w:val="00C021DA"/>
    <w:rsid w:val="00C03396"/>
    <w:rsid w:val="00C03C3C"/>
    <w:rsid w:val="00C04C70"/>
    <w:rsid w:val="00C05239"/>
    <w:rsid w:val="00C05470"/>
    <w:rsid w:val="00C056F6"/>
    <w:rsid w:val="00C060AD"/>
    <w:rsid w:val="00C06236"/>
    <w:rsid w:val="00C07746"/>
    <w:rsid w:val="00C077DC"/>
    <w:rsid w:val="00C105CE"/>
    <w:rsid w:val="00C11038"/>
    <w:rsid w:val="00C113BF"/>
    <w:rsid w:val="00C12DD7"/>
    <w:rsid w:val="00C12E16"/>
    <w:rsid w:val="00C142FE"/>
    <w:rsid w:val="00C15B56"/>
    <w:rsid w:val="00C16025"/>
    <w:rsid w:val="00C16E29"/>
    <w:rsid w:val="00C17428"/>
    <w:rsid w:val="00C17C5C"/>
    <w:rsid w:val="00C17DAB"/>
    <w:rsid w:val="00C2176E"/>
    <w:rsid w:val="00C23430"/>
    <w:rsid w:val="00C23941"/>
    <w:rsid w:val="00C239BE"/>
    <w:rsid w:val="00C25068"/>
    <w:rsid w:val="00C253F1"/>
    <w:rsid w:val="00C25936"/>
    <w:rsid w:val="00C265B9"/>
    <w:rsid w:val="00C27D67"/>
    <w:rsid w:val="00C27F20"/>
    <w:rsid w:val="00C2E635"/>
    <w:rsid w:val="00C30372"/>
    <w:rsid w:val="00C30829"/>
    <w:rsid w:val="00C31099"/>
    <w:rsid w:val="00C32028"/>
    <w:rsid w:val="00C3245A"/>
    <w:rsid w:val="00C326B9"/>
    <w:rsid w:val="00C335E6"/>
    <w:rsid w:val="00C356D3"/>
    <w:rsid w:val="00C361D8"/>
    <w:rsid w:val="00C379F7"/>
    <w:rsid w:val="00C40DE6"/>
    <w:rsid w:val="00C41F00"/>
    <w:rsid w:val="00C43338"/>
    <w:rsid w:val="00C43895"/>
    <w:rsid w:val="00C44327"/>
    <w:rsid w:val="00C44578"/>
    <w:rsid w:val="00C449BC"/>
    <w:rsid w:val="00C44F0E"/>
    <w:rsid w:val="00C4631F"/>
    <w:rsid w:val="00C47CDE"/>
    <w:rsid w:val="00C50548"/>
    <w:rsid w:val="00C50B57"/>
    <w:rsid w:val="00C50E16"/>
    <w:rsid w:val="00C5172D"/>
    <w:rsid w:val="00C518DD"/>
    <w:rsid w:val="00C527F1"/>
    <w:rsid w:val="00C52893"/>
    <w:rsid w:val="00C52C12"/>
    <w:rsid w:val="00C53138"/>
    <w:rsid w:val="00C53FBD"/>
    <w:rsid w:val="00C54A0C"/>
    <w:rsid w:val="00C54F3B"/>
    <w:rsid w:val="00C55258"/>
    <w:rsid w:val="00C5531D"/>
    <w:rsid w:val="00C5569E"/>
    <w:rsid w:val="00C556DD"/>
    <w:rsid w:val="00C563A7"/>
    <w:rsid w:val="00C56D86"/>
    <w:rsid w:val="00C56F81"/>
    <w:rsid w:val="00C57A15"/>
    <w:rsid w:val="00C57A20"/>
    <w:rsid w:val="00C60176"/>
    <w:rsid w:val="00C61398"/>
    <w:rsid w:val="00C6143E"/>
    <w:rsid w:val="00C6154D"/>
    <w:rsid w:val="00C616E2"/>
    <w:rsid w:val="00C61DA0"/>
    <w:rsid w:val="00C61FFD"/>
    <w:rsid w:val="00C642FA"/>
    <w:rsid w:val="00C655E4"/>
    <w:rsid w:val="00C65854"/>
    <w:rsid w:val="00C65954"/>
    <w:rsid w:val="00C66530"/>
    <w:rsid w:val="00C674AC"/>
    <w:rsid w:val="00C71A3A"/>
    <w:rsid w:val="00C74562"/>
    <w:rsid w:val="00C75253"/>
    <w:rsid w:val="00C7544E"/>
    <w:rsid w:val="00C75A8B"/>
    <w:rsid w:val="00C75BE8"/>
    <w:rsid w:val="00C7715A"/>
    <w:rsid w:val="00C772CD"/>
    <w:rsid w:val="00C77CFD"/>
    <w:rsid w:val="00C77F01"/>
    <w:rsid w:val="00C8030F"/>
    <w:rsid w:val="00C807C0"/>
    <w:rsid w:val="00C82418"/>
    <w:rsid w:val="00C82EEB"/>
    <w:rsid w:val="00C83102"/>
    <w:rsid w:val="00C83C88"/>
    <w:rsid w:val="00C855F4"/>
    <w:rsid w:val="00C85E04"/>
    <w:rsid w:val="00C86412"/>
    <w:rsid w:val="00C90758"/>
    <w:rsid w:val="00C911BF"/>
    <w:rsid w:val="00C911D1"/>
    <w:rsid w:val="00C926B8"/>
    <w:rsid w:val="00C92E65"/>
    <w:rsid w:val="00C93CBD"/>
    <w:rsid w:val="00C9531F"/>
    <w:rsid w:val="00C95B23"/>
    <w:rsid w:val="00C9682E"/>
    <w:rsid w:val="00C96C62"/>
    <w:rsid w:val="00C9712F"/>
    <w:rsid w:val="00C971DC"/>
    <w:rsid w:val="00C972D2"/>
    <w:rsid w:val="00C9767F"/>
    <w:rsid w:val="00C97DC9"/>
    <w:rsid w:val="00C97FD6"/>
    <w:rsid w:val="00CA0F1C"/>
    <w:rsid w:val="00CA15E7"/>
    <w:rsid w:val="00CA16B7"/>
    <w:rsid w:val="00CA2644"/>
    <w:rsid w:val="00CA3028"/>
    <w:rsid w:val="00CA4BAD"/>
    <w:rsid w:val="00CA4F3D"/>
    <w:rsid w:val="00CA5D8C"/>
    <w:rsid w:val="00CA6154"/>
    <w:rsid w:val="00CA62AE"/>
    <w:rsid w:val="00CA62CF"/>
    <w:rsid w:val="00CA6FC1"/>
    <w:rsid w:val="00CA7C42"/>
    <w:rsid w:val="00CB08E2"/>
    <w:rsid w:val="00CB1703"/>
    <w:rsid w:val="00CB1AF3"/>
    <w:rsid w:val="00CB1F63"/>
    <w:rsid w:val="00CB20BC"/>
    <w:rsid w:val="00CB21D9"/>
    <w:rsid w:val="00CB42E9"/>
    <w:rsid w:val="00CB4DE2"/>
    <w:rsid w:val="00CB5B1A"/>
    <w:rsid w:val="00CB5C02"/>
    <w:rsid w:val="00CB6181"/>
    <w:rsid w:val="00CB62AE"/>
    <w:rsid w:val="00CB76E8"/>
    <w:rsid w:val="00CC06CA"/>
    <w:rsid w:val="00CC102E"/>
    <w:rsid w:val="00CC1871"/>
    <w:rsid w:val="00CC205F"/>
    <w:rsid w:val="00CC220B"/>
    <w:rsid w:val="00CC2394"/>
    <w:rsid w:val="00CC4E49"/>
    <w:rsid w:val="00CC53B0"/>
    <w:rsid w:val="00CC5C43"/>
    <w:rsid w:val="00CC5C4C"/>
    <w:rsid w:val="00CC6EE8"/>
    <w:rsid w:val="00CC7C3B"/>
    <w:rsid w:val="00CC7C41"/>
    <w:rsid w:val="00CD02AE"/>
    <w:rsid w:val="00CD0EAE"/>
    <w:rsid w:val="00CD2A4F"/>
    <w:rsid w:val="00CD2ED4"/>
    <w:rsid w:val="00CD3F07"/>
    <w:rsid w:val="00CD5CD8"/>
    <w:rsid w:val="00CD6470"/>
    <w:rsid w:val="00CE0198"/>
    <w:rsid w:val="00CE03CA"/>
    <w:rsid w:val="00CE22F1"/>
    <w:rsid w:val="00CE3176"/>
    <w:rsid w:val="00CE3EEE"/>
    <w:rsid w:val="00CE4E10"/>
    <w:rsid w:val="00CE4FFE"/>
    <w:rsid w:val="00CE50F2"/>
    <w:rsid w:val="00CE62B7"/>
    <w:rsid w:val="00CE6502"/>
    <w:rsid w:val="00CE66D5"/>
    <w:rsid w:val="00CF07A1"/>
    <w:rsid w:val="00CF07AB"/>
    <w:rsid w:val="00CF099A"/>
    <w:rsid w:val="00CF0A30"/>
    <w:rsid w:val="00CF0BE4"/>
    <w:rsid w:val="00CF18B7"/>
    <w:rsid w:val="00CF1EEE"/>
    <w:rsid w:val="00CF2CE6"/>
    <w:rsid w:val="00CF3280"/>
    <w:rsid w:val="00CF3DC4"/>
    <w:rsid w:val="00CF44E3"/>
    <w:rsid w:val="00CF4B18"/>
    <w:rsid w:val="00CF4B67"/>
    <w:rsid w:val="00CF7278"/>
    <w:rsid w:val="00CF7349"/>
    <w:rsid w:val="00CF7D3C"/>
    <w:rsid w:val="00D0094F"/>
    <w:rsid w:val="00D00B69"/>
    <w:rsid w:val="00D019AC"/>
    <w:rsid w:val="00D01F09"/>
    <w:rsid w:val="00D039B6"/>
    <w:rsid w:val="00D03D49"/>
    <w:rsid w:val="00D04483"/>
    <w:rsid w:val="00D05D2A"/>
    <w:rsid w:val="00D05F25"/>
    <w:rsid w:val="00D061B7"/>
    <w:rsid w:val="00D0662B"/>
    <w:rsid w:val="00D0732D"/>
    <w:rsid w:val="00D11FEE"/>
    <w:rsid w:val="00D12571"/>
    <w:rsid w:val="00D12D57"/>
    <w:rsid w:val="00D1329D"/>
    <w:rsid w:val="00D1385B"/>
    <w:rsid w:val="00D147EB"/>
    <w:rsid w:val="00D1561D"/>
    <w:rsid w:val="00D15E51"/>
    <w:rsid w:val="00D16250"/>
    <w:rsid w:val="00D164F9"/>
    <w:rsid w:val="00D1658F"/>
    <w:rsid w:val="00D20566"/>
    <w:rsid w:val="00D2149A"/>
    <w:rsid w:val="00D217CA"/>
    <w:rsid w:val="00D21845"/>
    <w:rsid w:val="00D218A8"/>
    <w:rsid w:val="00D22D00"/>
    <w:rsid w:val="00D22D0E"/>
    <w:rsid w:val="00D2442B"/>
    <w:rsid w:val="00D257B2"/>
    <w:rsid w:val="00D25AE5"/>
    <w:rsid w:val="00D25C22"/>
    <w:rsid w:val="00D263E4"/>
    <w:rsid w:val="00D26739"/>
    <w:rsid w:val="00D27C6D"/>
    <w:rsid w:val="00D31C85"/>
    <w:rsid w:val="00D32025"/>
    <w:rsid w:val="00D33758"/>
    <w:rsid w:val="00D339A5"/>
    <w:rsid w:val="00D33B69"/>
    <w:rsid w:val="00D34667"/>
    <w:rsid w:val="00D359F7"/>
    <w:rsid w:val="00D36DEA"/>
    <w:rsid w:val="00D36F9A"/>
    <w:rsid w:val="00D37CFA"/>
    <w:rsid w:val="00D401E1"/>
    <w:rsid w:val="00D408B4"/>
    <w:rsid w:val="00D40EA7"/>
    <w:rsid w:val="00D42A71"/>
    <w:rsid w:val="00D4363C"/>
    <w:rsid w:val="00D437AA"/>
    <w:rsid w:val="00D43C6B"/>
    <w:rsid w:val="00D44330"/>
    <w:rsid w:val="00D4440A"/>
    <w:rsid w:val="00D44788"/>
    <w:rsid w:val="00D44DCD"/>
    <w:rsid w:val="00D455DF"/>
    <w:rsid w:val="00D45811"/>
    <w:rsid w:val="00D459F9"/>
    <w:rsid w:val="00D465E1"/>
    <w:rsid w:val="00D47977"/>
    <w:rsid w:val="00D50A73"/>
    <w:rsid w:val="00D50DB8"/>
    <w:rsid w:val="00D50DC9"/>
    <w:rsid w:val="00D51CD5"/>
    <w:rsid w:val="00D5212E"/>
    <w:rsid w:val="00D521E5"/>
    <w:rsid w:val="00D524C8"/>
    <w:rsid w:val="00D5272B"/>
    <w:rsid w:val="00D529D2"/>
    <w:rsid w:val="00D530E2"/>
    <w:rsid w:val="00D5617A"/>
    <w:rsid w:val="00D56CEB"/>
    <w:rsid w:val="00D57263"/>
    <w:rsid w:val="00D605E8"/>
    <w:rsid w:val="00D60787"/>
    <w:rsid w:val="00D62465"/>
    <w:rsid w:val="00D6364B"/>
    <w:rsid w:val="00D64A4D"/>
    <w:rsid w:val="00D64D84"/>
    <w:rsid w:val="00D6504B"/>
    <w:rsid w:val="00D6610F"/>
    <w:rsid w:val="00D661DD"/>
    <w:rsid w:val="00D677E1"/>
    <w:rsid w:val="00D67902"/>
    <w:rsid w:val="00D703EF"/>
    <w:rsid w:val="00D70E24"/>
    <w:rsid w:val="00D720D8"/>
    <w:rsid w:val="00D72B61"/>
    <w:rsid w:val="00D73A96"/>
    <w:rsid w:val="00D7495E"/>
    <w:rsid w:val="00D75927"/>
    <w:rsid w:val="00D76F2A"/>
    <w:rsid w:val="00D773B1"/>
    <w:rsid w:val="00D77C5D"/>
    <w:rsid w:val="00D8081C"/>
    <w:rsid w:val="00D81F39"/>
    <w:rsid w:val="00D8590B"/>
    <w:rsid w:val="00D86019"/>
    <w:rsid w:val="00D8754F"/>
    <w:rsid w:val="00D91CCB"/>
    <w:rsid w:val="00D91F50"/>
    <w:rsid w:val="00D94011"/>
    <w:rsid w:val="00D94D84"/>
    <w:rsid w:val="00D9625E"/>
    <w:rsid w:val="00D964BD"/>
    <w:rsid w:val="00DA2A39"/>
    <w:rsid w:val="00DA3089"/>
    <w:rsid w:val="00DA3D1D"/>
    <w:rsid w:val="00DA3D96"/>
    <w:rsid w:val="00DA4E9A"/>
    <w:rsid w:val="00DB24F3"/>
    <w:rsid w:val="00DB6286"/>
    <w:rsid w:val="00DB645F"/>
    <w:rsid w:val="00DB76E9"/>
    <w:rsid w:val="00DC0A67"/>
    <w:rsid w:val="00DC133E"/>
    <w:rsid w:val="00DC1D5E"/>
    <w:rsid w:val="00DC294E"/>
    <w:rsid w:val="00DC4E7E"/>
    <w:rsid w:val="00DC5220"/>
    <w:rsid w:val="00DC57AE"/>
    <w:rsid w:val="00DC5954"/>
    <w:rsid w:val="00DD2061"/>
    <w:rsid w:val="00DD2A00"/>
    <w:rsid w:val="00DD2B2D"/>
    <w:rsid w:val="00DD2EB2"/>
    <w:rsid w:val="00DD42C4"/>
    <w:rsid w:val="00DD4559"/>
    <w:rsid w:val="00DD6E37"/>
    <w:rsid w:val="00DD79A1"/>
    <w:rsid w:val="00DD7DAB"/>
    <w:rsid w:val="00DE0253"/>
    <w:rsid w:val="00DE3355"/>
    <w:rsid w:val="00DE3AE2"/>
    <w:rsid w:val="00DE40F7"/>
    <w:rsid w:val="00DE4B8E"/>
    <w:rsid w:val="00DE545C"/>
    <w:rsid w:val="00DE5F37"/>
    <w:rsid w:val="00DE6696"/>
    <w:rsid w:val="00DE73F3"/>
    <w:rsid w:val="00DE7597"/>
    <w:rsid w:val="00DF0C60"/>
    <w:rsid w:val="00DF150F"/>
    <w:rsid w:val="00DF171E"/>
    <w:rsid w:val="00DF2E49"/>
    <w:rsid w:val="00DF486F"/>
    <w:rsid w:val="00DF4E35"/>
    <w:rsid w:val="00DF5438"/>
    <w:rsid w:val="00DF5B5B"/>
    <w:rsid w:val="00DF6625"/>
    <w:rsid w:val="00DF6A85"/>
    <w:rsid w:val="00DF75BC"/>
    <w:rsid w:val="00DF7619"/>
    <w:rsid w:val="00DF79CC"/>
    <w:rsid w:val="00E0026A"/>
    <w:rsid w:val="00E01367"/>
    <w:rsid w:val="00E020CD"/>
    <w:rsid w:val="00E02F16"/>
    <w:rsid w:val="00E035A1"/>
    <w:rsid w:val="00E03B6F"/>
    <w:rsid w:val="00E042D8"/>
    <w:rsid w:val="00E05199"/>
    <w:rsid w:val="00E07EE7"/>
    <w:rsid w:val="00E10E71"/>
    <w:rsid w:val="00E1103B"/>
    <w:rsid w:val="00E114D3"/>
    <w:rsid w:val="00E12129"/>
    <w:rsid w:val="00E1336A"/>
    <w:rsid w:val="00E13CD9"/>
    <w:rsid w:val="00E14416"/>
    <w:rsid w:val="00E146BD"/>
    <w:rsid w:val="00E146DE"/>
    <w:rsid w:val="00E14772"/>
    <w:rsid w:val="00E15009"/>
    <w:rsid w:val="00E17B44"/>
    <w:rsid w:val="00E17BF9"/>
    <w:rsid w:val="00E20A86"/>
    <w:rsid w:val="00E20F27"/>
    <w:rsid w:val="00E2170F"/>
    <w:rsid w:val="00E22443"/>
    <w:rsid w:val="00E2263C"/>
    <w:rsid w:val="00E237E3"/>
    <w:rsid w:val="00E23AA0"/>
    <w:rsid w:val="00E24516"/>
    <w:rsid w:val="00E247D3"/>
    <w:rsid w:val="00E24E72"/>
    <w:rsid w:val="00E25B1F"/>
    <w:rsid w:val="00E2701E"/>
    <w:rsid w:val="00E270D3"/>
    <w:rsid w:val="00E27FEA"/>
    <w:rsid w:val="00E3075D"/>
    <w:rsid w:val="00E30862"/>
    <w:rsid w:val="00E30B1B"/>
    <w:rsid w:val="00E3185F"/>
    <w:rsid w:val="00E32594"/>
    <w:rsid w:val="00E328D0"/>
    <w:rsid w:val="00E32E01"/>
    <w:rsid w:val="00E338B1"/>
    <w:rsid w:val="00E344C0"/>
    <w:rsid w:val="00E34948"/>
    <w:rsid w:val="00E34FC4"/>
    <w:rsid w:val="00E3561E"/>
    <w:rsid w:val="00E3588A"/>
    <w:rsid w:val="00E361FC"/>
    <w:rsid w:val="00E37D95"/>
    <w:rsid w:val="00E402FD"/>
    <w:rsid w:val="00E407DE"/>
    <w:rsid w:val="00E4086F"/>
    <w:rsid w:val="00E417CF"/>
    <w:rsid w:val="00E434D8"/>
    <w:rsid w:val="00E43B3C"/>
    <w:rsid w:val="00E4493D"/>
    <w:rsid w:val="00E46379"/>
    <w:rsid w:val="00E50188"/>
    <w:rsid w:val="00E50BB3"/>
    <w:rsid w:val="00E515CB"/>
    <w:rsid w:val="00E51CCB"/>
    <w:rsid w:val="00E51CEF"/>
    <w:rsid w:val="00E52260"/>
    <w:rsid w:val="00E52A49"/>
    <w:rsid w:val="00E53234"/>
    <w:rsid w:val="00E5461F"/>
    <w:rsid w:val="00E54AFE"/>
    <w:rsid w:val="00E54F6F"/>
    <w:rsid w:val="00E5565C"/>
    <w:rsid w:val="00E55AE7"/>
    <w:rsid w:val="00E55ED6"/>
    <w:rsid w:val="00E567F4"/>
    <w:rsid w:val="00E571A4"/>
    <w:rsid w:val="00E572C8"/>
    <w:rsid w:val="00E60223"/>
    <w:rsid w:val="00E632B0"/>
    <w:rsid w:val="00E639B6"/>
    <w:rsid w:val="00E6434B"/>
    <w:rsid w:val="00E6463D"/>
    <w:rsid w:val="00E649FB"/>
    <w:rsid w:val="00E65117"/>
    <w:rsid w:val="00E717FB"/>
    <w:rsid w:val="00E71FFF"/>
    <w:rsid w:val="00E72778"/>
    <w:rsid w:val="00E72E9B"/>
    <w:rsid w:val="00E74361"/>
    <w:rsid w:val="00E74642"/>
    <w:rsid w:val="00E7597E"/>
    <w:rsid w:val="00E75C8C"/>
    <w:rsid w:val="00E76C39"/>
    <w:rsid w:val="00E76D03"/>
    <w:rsid w:val="00E772AD"/>
    <w:rsid w:val="00E80ED6"/>
    <w:rsid w:val="00E80F36"/>
    <w:rsid w:val="00E81157"/>
    <w:rsid w:val="00E81C99"/>
    <w:rsid w:val="00E81D3A"/>
    <w:rsid w:val="00E82F0D"/>
    <w:rsid w:val="00E834EA"/>
    <w:rsid w:val="00E837ED"/>
    <w:rsid w:val="00E842A3"/>
    <w:rsid w:val="00E849F1"/>
    <w:rsid w:val="00E850C3"/>
    <w:rsid w:val="00E86E65"/>
    <w:rsid w:val="00E87DF2"/>
    <w:rsid w:val="00E90004"/>
    <w:rsid w:val="00E9234A"/>
    <w:rsid w:val="00E924AE"/>
    <w:rsid w:val="00E929D4"/>
    <w:rsid w:val="00E92BE5"/>
    <w:rsid w:val="00E93476"/>
    <w:rsid w:val="00E942E2"/>
    <w:rsid w:val="00E9462E"/>
    <w:rsid w:val="00E947BF"/>
    <w:rsid w:val="00E94A94"/>
    <w:rsid w:val="00E95161"/>
    <w:rsid w:val="00E9642D"/>
    <w:rsid w:val="00E972A4"/>
    <w:rsid w:val="00EA278B"/>
    <w:rsid w:val="00EA2812"/>
    <w:rsid w:val="00EA2857"/>
    <w:rsid w:val="00EA3F23"/>
    <w:rsid w:val="00EA470E"/>
    <w:rsid w:val="00EA47A7"/>
    <w:rsid w:val="00EA508C"/>
    <w:rsid w:val="00EA5093"/>
    <w:rsid w:val="00EA57EB"/>
    <w:rsid w:val="00EA70C5"/>
    <w:rsid w:val="00EA7206"/>
    <w:rsid w:val="00EB008E"/>
    <w:rsid w:val="00EB0602"/>
    <w:rsid w:val="00EB3226"/>
    <w:rsid w:val="00EB4B66"/>
    <w:rsid w:val="00EB7B47"/>
    <w:rsid w:val="00EB7BB1"/>
    <w:rsid w:val="00EC213A"/>
    <w:rsid w:val="00EC2C39"/>
    <w:rsid w:val="00EC2C89"/>
    <w:rsid w:val="00EC37ED"/>
    <w:rsid w:val="00EC3B9C"/>
    <w:rsid w:val="00EC3CB5"/>
    <w:rsid w:val="00EC3FC4"/>
    <w:rsid w:val="00EC434D"/>
    <w:rsid w:val="00EC5E65"/>
    <w:rsid w:val="00EC6C88"/>
    <w:rsid w:val="00EC75D6"/>
    <w:rsid w:val="00EC7744"/>
    <w:rsid w:val="00EC7BF7"/>
    <w:rsid w:val="00ED022F"/>
    <w:rsid w:val="00ED090C"/>
    <w:rsid w:val="00ED0DAD"/>
    <w:rsid w:val="00ED0F46"/>
    <w:rsid w:val="00ED118A"/>
    <w:rsid w:val="00ED2373"/>
    <w:rsid w:val="00ED2975"/>
    <w:rsid w:val="00ED2DFE"/>
    <w:rsid w:val="00ED3021"/>
    <w:rsid w:val="00ED3178"/>
    <w:rsid w:val="00ED3212"/>
    <w:rsid w:val="00ED40CE"/>
    <w:rsid w:val="00ED4D62"/>
    <w:rsid w:val="00ED5646"/>
    <w:rsid w:val="00ED576B"/>
    <w:rsid w:val="00ED647C"/>
    <w:rsid w:val="00ED6757"/>
    <w:rsid w:val="00ED7539"/>
    <w:rsid w:val="00ED7D67"/>
    <w:rsid w:val="00ED7F11"/>
    <w:rsid w:val="00EE03F8"/>
    <w:rsid w:val="00EE08CE"/>
    <w:rsid w:val="00EE16C9"/>
    <w:rsid w:val="00EE1F77"/>
    <w:rsid w:val="00EE35AE"/>
    <w:rsid w:val="00EE3E8A"/>
    <w:rsid w:val="00EE3FC2"/>
    <w:rsid w:val="00EE64AB"/>
    <w:rsid w:val="00EE651E"/>
    <w:rsid w:val="00EE71AD"/>
    <w:rsid w:val="00EE7D28"/>
    <w:rsid w:val="00EF0CC4"/>
    <w:rsid w:val="00EF2480"/>
    <w:rsid w:val="00EF35A8"/>
    <w:rsid w:val="00EF4C1F"/>
    <w:rsid w:val="00EF5446"/>
    <w:rsid w:val="00EF58B8"/>
    <w:rsid w:val="00EF5EFE"/>
    <w:rsid w:val="00EF653D"/>
    <w:rsid w:val="00EF6ECA"/>
    <w:rsid w:val="00EF73A3"/>
    <w:rsid w:val="00EF7412"/>
    <w:rsid w:val="00EF7AA6"/>
    <w:rsid w:val="00F00816"/>
    <w:rsid w:val="00F01A52"/>
    <w:rsid w:val="00F024E1"/>
    <w:rsid w:val="00F02A7A"/>
    <w:rsid w:val="00F03BD7"/>
    <w:rsid w:val="00F03FBC"/>
    <w:rsid w:val="00F044ED"/>
    <w:rsid w:val="00F058CB"/>
    <w:rsid w:val="00F06229"/>
    <w:rsid w:val="00F065F8"/>
    <w:rsid w:val="00F06C10"/>
    <w:rsid w:val="00F1031E"/>
    <w:rsid w:val="00F10779"/>
    <w:rsid w:val="00F1096F"/>
    <w:rsid w:val="00F12515"/>
    <w:rsid w:val="00F12589"/>
    <w:rsid w:val="00F12595"/>
    <w:rsid w:val="00F12674"/>
    <w:rsid w:val="00F127D1"/>
    <w:rsid w:val="00F134D9"/>
    <w:rsid w:val="00F1403D"/>
    <w:rsid w:val="00F1463F"/>
    <w:rsid w:val="00F14C48"/>
    <w:rsid w:val="00F163A4"/>
    <w:rsid w:val="00F16DD7"/>
    <w:rsid w:val="00F1761D"/>
    <w:rsid w:val="00F17B84"/>
    <w:rsid w:val="00F17E02"/>
    <w:rsid w:val="00F20302"/>
    <w:rsid w:val="00F2032A"/>
    <w:rsid w:val="00F20495"/>
    <w:rsid w:val="00F21302"/>
    <w:rsid w:val="00F22F04"/>
    <w:rsid w:val="00F2430D"/>
    <w:rsid w:val="00F25BB4"/>
    <w:rsid w:val="00F25CC4"/>
    <w:rsid w:val="00F260F3"/>
    <w:rsid w:val="00F26409"/>
    <w:rsid w:val="00F27B5F"/>
    <w:rsid w:val="00F30A3D"/>
    <w:rsid w:val="00F31BAB"/>
    <w:rsid w:val="00F321DE"/>
    <w:rsid w:val="00F3302B"/>
    <w:rsid w:val="00F333D6"/>
    <w:rsid w:val="00F33777"/>
    <w:rsid w:val="00F33A97"/>
    <w:rsid w:val="00F34335"/>
    <w:rsid w:val="00F3496B"/>
    <w:rsid w:val="00F34C9D"/>
    <w:rsid w:val="00F357B7"/>
    <w:rsid w:val="00F35B4D"/>
    <w:rsid w:val="00F36725"/>
    <w:rsid w:val="00F370A5"/>
    <w:rsid w:val="00F37105"/>
    <w:rsid w:val="00F400F5"/>
    <w:rsid w:val="00F40648"/>
    <w:rsid w:val="00F4160F"/>
    <w:rsid w:val="00F41A06"/>
    <w:rsid w:val="00F43BA3"/>
    <w:rsid w:val="00F44FF4"/>
    <w:rsid w:val="00F4511F"/>
    <w:rsid w:val="00F45717"/>
    <w:rsid w:val="00F4648C"/>
    <w:rsid w:val="00F47DA2"/>
    <w:rsid w:val="00F510F5"/>
    <w:rsid w:val="00F5130A"/>
    <w:rsid w:val="00F5143A"/>
    <w:rsid w:val="00F51966"/>
    <w:rsid w:val="00F519FC"/>
    <w:rsid w:val="00F52E22"/>
    <w:rsid w:val="00F53629"/>
    <w:rsid w:val="00F539F1"/>
    <w:rsid w:val="00F5447C"/>
    <w:rsid w:val="00F544C2"/>
    <w:rsid w:val="00F546AF"/>
    <w:rsid w:val="00F5732B"/>
    <w:rsid w:val="00F6239D"/>
    <w:rsid w:val="00F6282B"/>
    <w:rsid w:val="00F6288F"/>
    <w:rsid w:val="00F62FF3"/>
    <w:rsid w:val="00F63030"/>
    <w:rsid w:val="00F65BBD"/>
    <w:rsid w:val="00F65D9A"/>
    <w:rsid w:val="00F669DD"/>
    <w:rsid w:val="00F66B09"/>
    <w:rsid w:val="00F66D50"/>
    <w:rsid w:val="00F67285"/>
    <w:rsid w:val="00F67684"/>
    <w:rsid w:val="00F7001E"/>
    <w:rsid w:val="00F70365"/>
    <w:rsid w:val="00F715D2"/>
    <w:rsid w:val="00F71A34"/>
    <w:rsid w:val="00F72095"/>
    <w:rsid w:val="00F722E1"/>
    <w:rsid w:val="00F724A8"/>
    <w:rsid w:val="00F726AB"/>
    <w:rsid w:val="00F7274F"/>
    <w:rsid w:val="00F7317F"/>
    <w:rsid w:val="00F73B37"/>
    <w:rsid w:val="00F73B50"/>
    <w:rsid w:val="00F74565"/>
    <w:rsid w:val="00F74641"/>
    <w:rsid w:val="00F74E84"/>
    <w:rsid w:val="00F7613C"/>
    <w:rsid w:val="00F76517"/>
    <w:rsid w:val="00F76CC1"/>
    <w:rsid w:val="00F76FA8"/>
    <w:rsid w:val="00F773F7"/>
    <w:rsid w:val="00F77698"/>
    <w:rsid w:val="00F80C13"/>
    <w:rsid w:val="00F82735"/>
    <w:rsid w:val="00F8318E"/>
    <w:rsid w:val="00F8373A"/>
    <w:rsid w:val="00F8442C"/>
    <w:rsid w:val="00F84679"/>
    <w:rsid w:val="00F87B0F"/>
    <w:rsid w:val="00F87F24"/>
    <w:rsid w:val="00F93453"/>
    <w:rsid w:val="00F93F08"/>
    <w:rsid w:val="00F94CED"/>
    <w:rsid w:val="00F94D9F"/>
    <w:rsid w:val="00F94E19"/>
    <w:rsid w:val="00F9575E"/>
    <w:rsid w:val="00F9780B"/>
    <w:rsid w:val="00FA02BB"/>
    <w:rsid w:val="00FA12F9"/>
    <w:rsid w:val="00FA1A0F"/>
    <w:rsid w:val="00FA2AE4"/>
    <w:rsid w:val="00FA2CEE"/>
    <w:rsid w:val="00FA318C"/>
    <w:rsid w:val="00FA63F8"/>
    <w:rsid w:val="00FA717D"/>
    <w:rsid w:val="00FB0C71"/>
    <w:rsid w:val="00FB2A65"/>
    <w:rsid w:val="00FB2EE3"/>
    <w:rsid w:val="00FB4785"/>
    <w:rsid w:val="00FB5F25"/>
    <w:rsid w:val="00FB6620"/>
    <w:rsid w:val="00FB67EB"/>
    <w:rsid w:val="00FB6F92"/>
    <w:rsid w:val="00FB71D3"/>
    <w:rsid w:val="00FC015E"/>
    <w:rsid w:val="00FC026E"/>
    <w:rsid w:val="00FC1065"/>
    <w:rsid w:val="00FC3AF7"/>
    <w:rsid w:val="00FC4449"/>
    <w:rsid w:val="00FC5124"/>
    <w:rsid w:val="00FC519A"/>
    <w:rsid w:val="00FC6107"/>
    <w:rsid w:val="00FC65C6"/>
    <w:rsid w:val="00FC6755"/>
    <w:rsid w:val="00FC6C4B"/>
    <w:rsid w:val="00FC6FAF"/>
    <w:rsid w:val="00FC72F4"/>
    <w:rsid w:val="00FD114E"/>
    <w:rsid w:val="00FD25EA"/>
    <w:rsid w:val="00FD345E"/>
    <w:rsid w:val="00FD3908"/>
    <w:rsid w:val="00FD3AE6"/>
    <w:rsid w:val="00FD4731"/>
    <w:rsid w:val="00FD47C5"/>
    <w:rsid w:val="00FD4D18"/>
    <w:rsid w:val="00FD598F"/>
    <w:rsid w:val="00FD5ABB"/>
    <w:rsid w:val="00FD6768"/>
    <w:rsid w:val="00FD6B81"/>
    <w:rsid w:val="00FD6F97"/>
    <w:rsid w:val="00FE09BB"/>
    <w:rsid w:val="00FE0FFC"/>
    <w:rsid w:val="00FE1C48"/>
    <w:rsid w:val="00FE3359"/>
    <w:rsid w:val="00FE3484"/>
    <w:rsid w:val="00FE3BDF"/>
    <w:rsid w:val="00FE3F7A"/>
    <w:rsid w:val="00FE4032"/>
    <w:rsid w:val="00FE69AA"/>
    <w:rsid w:val="00FE6B34"/>
    <w:rsid w:val="00FE700A"/>
    <w:rsid w:val="00FE78E2"/>
    <w:rsid w:val="00FE8E74"/>
    <w:rsid w:val="00FF0AB0"/>
    <w:rsid w:val="00FF0B6C"/>
    <w:rsid w:val="00FF28AC"/>
    <w:rsid w:val="00FF330F"/>
    <w:rsid w:val="00FF63B8"/>
    <w:rsid w:val="00FF6715"/>
    <w:rsid w:val="00FF777D"/>
    <w:rsid w:val="00FF7957"/>
    <w:rsid w:val="00FF7F62"/>
    <w:rsid w:val="01542243"/>
    <w:rsid w:val="016FEC35"/>
    <w:rsid w:val="019AF14C"/>
    <w:rsid w:val="01AFFBE9"/>
    <w:rsid w:val="01F50DF7"/>
    <w:rsid w:val="0203B671"/>
    <w:rsid w:val="028ADF05"/>
    <w:rsid w:val="02975E43"/>
    <w:rsid w:val="033D542C"/>
    <w:rsid w:val="03409ED6"/>
    <w:rsid w:val="0360CDD7"/>
    <w:rsid w:val="03813D2E"/>
    <w:rsid w:val="03E413EE"/>
    <w:rsid w:val="046AB21F"/>
    <w:rsid w:val="04B6C3AB"/>
    <w:rsid w:val="04EEBBD7"/>
    <w:rsid w:val="05200E84"/>
    <w:rsid w:val="0520FD05"/>
    <w:rsid w:val="05561821"/>
    <w:rsid w:val="05A5F10A"/>
    <w:rsid w:val="05A63D91"/>
    <w:rsid w:val="05AEE104"/>
    <w:rsid w:val="05B7CBB6"/>
    <w:rsid w:val="060580FF"/>
    <w:rsid w:val="060B04D5"/>
    <w:rsid w:val="060EBCE5"/>
    <w:rsid w:val="0631368A"/>
    <w:rsid w:val="065BBF48"/>
    <w:rsid w:val="069B3426"/>
    <w:rsid w:val="06A408FB"/>
    <w:rsid w:val="06AD5384"/>
    <w:rsid w:val="06E84A6A"/>
    <w:rsid w:val="06EE74D1"/>
    <w:rsid w:val="077C9111"/>
    <w:rsid w:val="0783EAB2"/>
    <w:rsid w:val="08455B4C"/>
    <w:rsid w:val="086B1B4B"/>
    <w:rsid w:val="089C8442"/>
    <w:rsid w:val="08C42A78"/>
    <w:rsid w:val="093327A6"/>
    <w:rsid w:val="0936C66B"/>
    <w:rsid w:val="09476895"/>
    <w:rsid w:val="0953A53B"/>
    <w:rsid w:val="09720398"/>
    <w:rsid w:val="098C9BA6"/>
    <w:rsid w:val="0990F765"/>
    <w:rsid w:val="09B102DF"/>
    <w:rsid w:val="0A0E1539"/>
    <w:rsid w:val="0A3321AD"/>
    <w:rsid w:val="0A5870DF"/>
    <w:rsid w:val="0A635710"/>
    <w:rsid w:val="0AA3E2B3"/>
    <w:rsid w:val="0ABE67F6"/>
    <w:rsid w:val="0AE11691"/>
    <w:rsid w:val="0B05BE60"/>
    <w:rsid w:val="0B72C71E"/>
    <w:rsid w:val="0B806E75"/>
    <w:rsid w:val="0BBA0542"/>
    <w:rsid w:val="0BC19DF3"/>
    <w:rsid w:val="0BC1B815"/>
    <w:rsid w:val="0BF368BD"/>
    <w:rsid w:val="0C4FC59B"/>
    <w:rsid w:val="0C6082A7"/>
    <w:rsid w:val="0C65EAB6"/>
    <w:rsid w:val="0C6CC921"/>
    <w:rsid w:val="0CA07210"/>
    <w:rsid w:val="0CE5D7F8"/>
    <w:rsid w:val="0D0C98F9"/>
    <w:rsid w:val="0D31F25B"/>
    <w:rsid w:val="0D3B6876"/>
    <w:rsid w:val="0D68D360"/>
    <w:rsid w:val="0D8FDB83"/>
    <w:rsid w:val="0D993C3D"/>
    <w:rsid w:val="0DA88D38"/>
    <w:rsid w:val="0DC785AE"/>
    <w:rsid w:val="0E0912BF"/>
    <w:rsid w:val="0E1739C2"/>
    <w:rsid w:val="0E3E5889"/>
    <w:rsid w:val="0E778C6A"/>
    <w:rsid w:val="0E8507CC"/>
    <w:rsid w:val="0EC799BC"/>
    <w:rsid w:val="0EE33657"/>
    <w:rsid w:val="0F55A967"/>
    <w:rsid w:val="0F609888"/>
    <w:rsid w:val="0F66FAC0"/>
    <w:rsid w:val="0F70ED81"/>
    <w:rsid w:val="0FC0E8EE"/>
    <w:rsid w:val="102E5034"/>
    <w:rsid w:val="107CCDCE"/>
    <w:rsid w:val="10925035"/>
    <w:rsid w:val="1098BAE2"/>
    <w:rsid w:val="10FADBFD"/>
    <w:rsid w:val="111A77B9"/>
    <w:rsid w:val="11941C4E"/>
    <w:rsid w:val="11B02F54"/>
    <w:rsid w:val="11BA0BD7"/>
    <w:rsid w:val="11EE229C"/>
    <w:rsid w:val="1209A4E3"/>
    <w:rsid w:val="12206C0C"/>
    <w:rsid w:val="12311563"/>
    <w:rsid w:val="126B0661"/>
    <w:rsid w:val="126FB48B"/>
    <w:rsid w:val="12A36F1D"/>
    <w:rsid w:val="12AAAD7C"/>
    <w:rsid w:val="12E2B051"/>
    <w:rsid w:val="12F6B881"/>
    <w:rsid w:val="131E0ED4"/>
    <w:rsid w:val="133CEE85"/>
    <w:rsid w:val="138081A5"/>
    <w:rsid w:val="139A7CE3"/>
    <w:rsid w:val="13EAD637"/>
    <w:rsid w:val="1416C43A"/>
    <w:rsid w:val="141A19E2"/>
    <w:rsid w:val="14581CB1"/>
    <w:rsid w:val="148E76E1"/>
    <w:rsid w:val="14F56876"/>
    <w:rsid w:val="154C9EC1"/>
    <w:rsid w:val="15598596"/>
    <w:rsid w:val="159676C6"/>
    <w:rsid w:val="15A28217"/>
    <w:rsid w:val="15B44C79"/>
    <w:rsid w:val="15C28A81"/>
    <w:rsid w:val="16063622"/>
    <w:rsid w:val="1639EA87"/>
    <w:rsid w:val="16588B33"/>
    <w:rsid w:val="1664B64F"/>
    <w:rsid w:val="16786BA8"/>
    <w:rsid w:val="16A52FBB"/>
    <w:rsid w:val="17466AA5"/>
    <w:rsid w:val="17C36B62"/>
    <w:rsid w:val="17CA653E"/>
    <w:rsid w:val="17CD881D"/>
    <w:rsid w:val="17FE5F1C"/>
    <w:rsid w:val="184608FE"/>
    <w:rsid w:val="1857996C"/>
    <w:rsid w:val="188A818D"/>
    <w:rsid w:val="188FA0EE"/>
    <w:rsid w:val="18F515B2"/>
    <w:rsid w:val="191A4537"/>
    <w:rsid w:val="192EEFB1"/>
    <w:rsid w:val="193E85A3"/>
    <w:rsid w:val="19BF9338"/>
    <w:rsid w:val="1A0EB9C8"/>
    <w:rsid w:val="1A0F6B9E"/>
    <w:rsid w:val="1A5B2608"/>
    <w:rsid w:val="1A9666F7"/>
    <w:rsid w:val="1AF61BD4"/>
    <w:rsid w:val="1B196543"/>
    <w:rsid w:val="1B218170"/>
    <w:rsid w:val="1B75D494"/>
    <w:rsid w:val="1B851C36"/>
    <w:rsid w:val="1BAB6DC0"/>
    <w:rsid w:val="1C064770"/>
    <w:rsid w:val="1C131EA9"/>
    <w:rsid w:val="1C185809"/>
    <w:rsid w:val="1C3BA00E"/>
    <w:rsid w:val="1C55CD79"/>
    <w:rsid w:val="1C6326F6"/>
    <w:rsid w:val="1C68419B"/>
    <w:rsid w:val="1CB3ED88"/>
    <w:rsid w:val="1CE46736"/>
    <w:rsid w:val="1D13D3D5"/>
    <w:rsid w:val="1D5B7365"/>
    <w:rsid w:val="1D8D65E7"/>
    <w:rsid w:val="1E37DFD2"/>
    <w:rsid w:val="1E4BADAC"/>
    <w:rsid w:val="1E6FFB57"/>
    <w:rsid w:val="1E96D4BC"/>
    <w:rsid w:val="1EB5FB8C"/>
    <w:rsid w:val="1EC03E6A"/>
    <w:rsid w:val="1EC60B28"/>
    <w:rsid w:val="1EEAA29F"/>
    <w:rsid w:val="1EFD62B3"/>
    <w:rsid w:val="1F7FD413"/>
    <w:rsid w:val="1F898C10"/>
    <w:rsid w:val="1F918CBA"/>
    <w:rsid w:val="1F92E2F0"/>
    <w:rsid w:val="1FA28201"/>
    <w:rsid w:val="1FDCACD9"/>
    <w:rsid w:val="20098C49"/>
    <w:rsid w:val="200C7A38"/>
    <w:rsid w:val="201F518F"/>
    <w:rsid w:val="203CAAF6"/>
    <w:rsid w:val="20A8BB2E"/>
    <w:rsid w:val="214FC229"/>
    <w:rsid w:val="219B58A4"/>
    <w:rsid w:val="21D7B40F"/>
    <w:rsid w:val="22147B00"/>
    <w:rsid w:val="225BBF09"/>
    <w:rsid w:val="22667A65"/>
    <w:rsid w:val="2272EA7A"/>
    <w:rsid w:val="22E34C76"/>
    <w:rsid w:val="230A5E3F"/>
    <w:rsid w:val="230CB2CB"/>
    <w:rsid w:val="232730EC"/>
    <w:rsid w:val="232C018E"/>
    <w:rsid w:val="2395841F"/>
    <w:rsid w:val="23C847C1"/>
    <w:rsid w:val="23D99808"/>
    <w:rsid w:val="23EF1DB8"/>
    <w:rsid w:val="23F3D067"/>
    <w:rsid w:val="23F74122"/>
    <w:rsid w:val="241B5A56"/>
    <w:rsid w:val="245F3A33"/>
    <w:rsid w:val="2497EBB6"/>
    <w:rsid w:val="24CC06B5"/>
    <w:rsid w:val="24CF34EB"/>
    <w:rsid w:val="24D274FB"/>
    <w:rsid w:val="24EBBFD1"/>
    <w:rsid w:val="24F1BF89"/>
    <w:rsid w:val="24FF813D"/>
    <w:rsid w:val="25134F7F"/>
    <w:rsid w:val="25587307"/>
    <w:rsid w:val="25D2B3F4"/>
    <w:rsid w:val="25FCBD53"/>
    <w:rsid w:val="25FE743A"/>
    <w:rsid w:val="260A7A46"/>
    <w:rsid w:val="2654F824"/>
    <w:rsid w:val="26568DBF"/>
    <w:rsid w:val="265880FE"/>
    <w:rsid w:val="265B4AA7"/>
    <w:rsid w:val="2666537B"/>
    <w:rsid w:val="26BBA3AF"/>
    <w:rsid w:val="27313ED1"/>
    <w:rsid w:val="277582E5"/>
    <w:rsid w:val="27E754F7"/>
    <w:rsid w:val="27EE7E8A"/>
    <w:rsid w:val="27F4C3E7"/>
    <w:rsid w:val="280DEA78"/>
    <w:rsid w:val="28798EA9"/>
    <w:rsid w:val="28A30A56"/>
    <w:rsid w:val="28BEC724"/>
    <w:rsid w:val="28E51B1D"/>
    <w:rsid w:val="28EE0BCA"/>
    <w:rsid w:val="290E3E03"/>
    <w:rsid w:val="291EE34C"/>
    <w:rsid w:val="29820C6C"/>
    <w:rsid w:val="2994F963"/>
    <w:rsid w:val="299C0F05"/>
    <w:rsid w:val="2A9D3AEC"/>
    <w:rsid w:val="2AA2C5D5"/>
    <w:rsid w:val="2ABD9B7E"/>
    <w:rsid w:val="2AF505D9"/>
    <w:rsid w:val="2B1AB9B2"/>
    <w:rsid w:val="2B1F7DC6"/>
    <w:rsid w:val="2B26687E"/>
    <w:rsid w:val="2C128EE1"/>
    <w:rsid w:val="2C65FE83"/>
    <w:rsid w:val="2C8799B2"/>
    <w:rsid w:val="2C9227FB"/>
    <w:rsid w:val="2CD224C2"/>
    <w:rsid w:val="2CE52905"/>
    <w:rsid w:val="2CE7FCDB"/>
    <w:rsid w:val="2CEDE83A"/>
    <w:rsid w:val="2D0D1C9C"/>
    <w:rsid w:val="2D132B1E"/>
    <w:rsid w:val="2D4DB401"/>
    <w:rsid w:val="2D5F9460"/>
    <w:rsid w:val="2DC8DD2F"/>
    <w:rsid w:val="2E29275E"/>
    <w:rsid w:val="2E29C662"/>
    <w:rsid w:val="2E66B9D0"/>
    <w:rsid w:val="2F21AF53"/>
    <w:rsid w:val="2F231338"/>
    <w:rsid w:val="2F4DB155"/>
    <w:rsid w:val="2F502586"/>
    <w:rsid w:val="2F5B67CD"/>
    <w:rsid w:val="2F735CF3"/>
    <w:rsid w:val="2F9AF333"/>
    <w:rsid w:val="30082856"/>
    <w:rsid w:val="301A34C7"/>
    <w:rsid w:val="303C446F"/>
    <w:rsid w:val="3061F45A"/>
    <w:rsid w:val="307DC393"/>
    <w:rsid w:val="308BADCB"/>
    <w:rsid w:val="3098DEAD"/>
    <w:rsid w:val="30ADDC16"/>
    <w:rsid w:val="30BDE8E5"/>
    <w:rsid w:val="30EAEEA6"/>
    <w:rsid w:val="3125F15E"/>
    <w:rsid w:val="312F95B0"/>
    <w:rsid w:val="314EDEA9"/>
    <w:rsid w:val="319DBC98"/>
    <w:rsid w:val="31A1B896"/>
    <w:rsid w:val="31B7AD1A"/>
    <w:rsid w:val="31C29F30"/>
    <w:rsid w:val="31F086AE"/>
    <w:rsid w:val="31F62B03"/>
    <w:rsid w:val="320A8D70"/>
    <w:rsid w:val="322434FC"/>
    <w:rsid w:val="327D9FEF"/>
    <w:rsid w:val="329D63BF"/>
    <w:rsid w:val="329DC470"/>
    <w:rsid w:val="32BD1F7D"/>
    <w:rsid w:val="32FFD0B0"/>
    <w:rsid w:val="3313EE1F"/>
    <w:rsid w:val="3315F69B"/>
    <w:rsid w:val="33171832"/>
    <w:rsid w:val="331A38C4"/>
    <w:rsid w:val="33368B6E"/>
    <w:rsid w:val="33756006"/>
    <w:rsid w:val="338A8D4A"/>
    <w:rsid w:val="338CCB0B"/>
    <w:rsid w:val="33965B62"/>
    <w:rsid w:val="3396A9C0"/>
    <w:rsid w:val="33AFBE25"/>
    <w:rsid w:val="33CD8439"/>
    <w:rsid w:val="33EABF6E"/>
    <w:rsid w:val="33F60BE7"/>
    <w:rsid w:val="34154F2B"/>
    <w:rsid w:val="347E9B06"/>
    <w:rsid w:val="34806BB0"/>
    <w:rsid w:val="348E96E9"/>
    <w:rsid w:val="3490C792"/>
    <w:rsid w:val="34A69462"/>
    <w:rsid w:val="34C41813"/>
    <w:rsid w:val="3519155A"/>
    <w:rsid w:val="351931B2"/>
    <w:rsid w:val="35C1968B"/>
    <w:rsid w:val="35C445B6"/>
    <w:rsid w:val="35CC22DA"/>
    <w:rsid w:val="35D77484"/>
    <w:rsid w:val="35E97ADF"/>
    <w:rsid w:val="361A9168"/>
    <w:rsid w:val="361CA7C1"/>
    <w:rsid w:val="3623506F"/>
    <w:rsid w:val="363D4D53"/>
    <w:rsid w:val="364E927D"/>
    <w:rsid w:val="36C38D04"/>
    <w:rsid w:val="36D2E971"/>
    <w:rsid w:val="36F07E00"/>
    <w:rsid w:val="36FA2A39"/>
    <w:rsid w:val="37623A00"/>
    <w:rsid w:val="3768A0E7"/>
    <w:rsid w:val="3792C68A"/>
    <w:rsid w:val="37A222C7"/>
    <w:rsid w:val="37BE57A2"/>
    <w:rsid w:val="3842B4AE"/>
    <w:rsid w:val="384E2764"/>
    <w:rsid w:val="3884473E"/>
    <w:rsid w:val="3885D934"/>
    <w:rsid w:val="38A370B4"/>
    <w:rsid w:val="38A3F937"/>
    <w:rsid w:val="38B1FF9F"/>
    <w:rsid w:val="38C058ED"/>
    <w:rsid w:val="391FB653"/>
    <w:rsid w:val="394451E8"/>
    <w:rsid w:val="398C61D7"/>
    <w:rsid w:val="39CBE68C"/>
    <w:rsid w:val="39D78A82"/>
    <w:rsid w:val="39DC2F2A"/>
    <w:rsid w:val="3A01BC2A"/>
    <w:rsid w:val="3A34850C"/>
    <w:rsid w:val="3A6CAC20"/>
    <w:rsid w:val="3A81F2DA"/>
    <w:rsid w:val="3AA1E9CD"/>
    <w:rsid w:val="3AB221A0"/>
    <w:rsid w:val="3AD5786B"/>
    <w:rsid w:val="3B3C0FDE"/>
    <w:rsid w:val="3B46375E"/>
    <w:rsid w:val="3B655B22"/>
    <w:rsid w:val="3B9CBDBE"/>
    <w:rsid w:val="3B9F150D"/>
    <w:rsid w:val="3BD7ABB9"/>
    <w:rsid w:val="3BFF6154"/>
    <w:rsid w:val="3C0C9858"/>
    <w:rsid w:val="3C2060F5"/>
    <w:rsid w:val="3C4B0119"/>
    <w:rsid w:val="3C57F250"/>
    <w:rsid w:val="3C7B1399"/>
    <w:rsid w:val="3C959A00"/>
    <w:rsid w:val="3CE1F395"/>
    <w:rsid w:val="3D096D47"/>
    <w:rsid w:val="3D2CA5CD"/>
    <w:rsid w:val="3D39D0C5"/>
    <w:rsid w:val="3D3F0D15"/>
    <w:rsid w:val="3D6C93D6"/>
    <w:rsid w:val="3D8F3514"/>
    <w:rsid w:val="3DC38026"/>
    <w:rsid w:val="3DC89495"/>
    <w:rsid w:val="3E1D3A80"/>
    <w:rsid w:val="3E2418B1"/>
    <w:rsid w:val="3E7CC6DA"/>
    <w:rsid w:val="3F0FC17F"/>
    <w:rsid w:val="3F3BBE34"/>
    <w:rsid w:val="3F3DFF69"/>
    <w:rsid w:val="3F7632AB"/>
    <w:rsid w:val="3F7DE1A9"/>
    <w:rsid w:val="3FA03B85"/>
    <w:rsid w:val="3FA763D3"/>
    <w:rsid w:val="3FB2B43B"/>
    <w:rsid w:val="3FC69424"/>
    <w:rsid w:val="402F0D96"/>
    <w:rsid w:val="40614AD5"/>
    <w:rsid w:val="4065D2D5"/>
    <w:rsid w:val="409AFDE8"/>
    <w:rsid w:val="40BFA0D1"/>
    <w:rsid w:val="40C1455C"/>
    <w:rsid w:val="40F0EC5E"/>
    <w:rsid w:val="412CB15F"/>
    <w:rsid w:val="4130BEB4"/>
    <w:rsid w:val="413C1893"/>
    <w:rsid w:val="415A6A96"/>
    <w:rsid w:val="419B73F4"/>
    <w:rsid w:val="41A727DD"/>
    <w:rsid w:val="41CEDA16"/>
    <w:rsid w:val="41D4D202"/>
    <w:rsid w:val="41FCA6C9"/>
    <w:rsid w:val="4205F9A3"/>
    <w:rsid w:val="42149C34"/>
    <w:rsid w:val="42401F7F"/>
    <w:rsid w:val="4252806D"/>
    <w:rsid w:val="4290AAC2"/>
    <w:rsid w:val="42CA605A"/>
    <w:rsid w:val="42CC99F1"/>
    <w:rsid w:val="42FBD49B"/>
    <w:rsid w:val="43294AE5"/>
    <w:rsid w:val="436BE6C0"/>
    <w:rsid w:val="436DF3BC"/>
    <w:rsid w:val="436FE6E5"/>
    <w:rsid w:val="43857265"/>
    <w:rsid w:val="43962B0A"/>
    <w:rsid w:val="43962D05"/>
    <w:rsid w:val="4446C1CC"/>
    <w:rsid w:val="446032F5"/>
    <w:rsid w:val="44666CA9"/>
    <w:rsid w:val="449FEA42"/>
    <w:rsid w:val="44BDEBC0"/>
    <w:rsid w:val="44CF360D"/>
    <w:rsid w:val="44CFF3F3"/>
    <w:rsid w:val="451AE892"/>
    <w:rsid w:val="45383675"/>
    <w:rsid w:val="4551CCF0"/>
    <w:rsid w:val="4567A949"/>
    <w:rsid w:val="45777A2E"/>
    <w:rsid w:val="457E4B65"/>
    <w:rsid w:val="45AF2879"/>
    <w:rsid w:val="45B3BD7C"/>
    <w:rsid w:val="45B8F881"/>
    <w:rsid w:val="45F1161D"/>
    <w:rsid w:val="4614808E"/>
    <w:rsid w:val="461EF9DF"/>
    <w:rsid w:val="466ECB62"/>
    <w:rsid w:val="46A4341C"/>
    <w:rsid w:val="46A466AD"/>
    <w:rsid w:val="4710A925"/>
    <w:rsid w:val="47369AE1"/>
    <w:rsid w:val="473F0E79"/>
    <w:rsid w:val="47787AE8"/>
    <w:rsid w:val="47E3CBCF"/>
    <w:rsid w:val="481DFCDB"/>
    <w:rsid w:val="484690F0"/>
    <w:rsid w:val="484DBC70"/>
    <w:rsid w:val="486E0AB8"/>
    <w:rsid w:val="48771065"/>
    <w:rsid w:val="48897C00"/>
    <w:rsid w:val="48EC4852"/>
    <w:rsid w:val="48ECEF22"/>
    <w:rsid w:val="493CD397"/>
    <w:rsid w:val="4946EB6C"/>
    <w:rsid w:val="496F34AB"/>
    <w:rsid w:val="497662AE"/>
    <w:rsid w:val="4991F677"/>
    <w:rsid w:val="49CFA9B0"/>
    <w:rsid w:val="4A2388D6"/>
    <w:rsid w:val="4A436DED"/>
    <w:rsid w:val="4A4C8EC1"/>
    <w:rsid w:val="4AA9634F"/>
    <w:rsid w:val="4ABB3405"/>
    <w:rsid w:val="4AC2B454"/>
    <w:rsid w:val="4AFF8B8A"/>
    <w:rsid w:val="4B4EA238"/>
    <w:rsid w:val="4B70A8D3"/>
    <w:rsid w:val="4B8C54CC"/>
    <w:rsid w:val="4B9B4BE3"/>
    <w:rsid w:val="4B9DDF16"/>
    <w:rsid w:val="4B9F2BB6"/>
    <w:rsid w:val="4BED21A5"/>
    <w:rsid w:val="4BEE1B87"/>
    <w:rsid w:val="4C273488"/>
    <w:rsid w:val="4C5FFE37"/>
    <w:rsid w:val="4CAD24D9"/>
    <w:rsid w:val="4CDC8602"/>
    <w:rsid w:val="4CEA054D"/>
    <w:rsid w:val="4CF4035F"/>
    <w:rsid w:val="4D0066D5"/>
    <w:rsid w:val="4D9A4AC8"/>
    <w:rsid w:val="4DDA96BF"/>
    <w:rsid w:val="4E410284"/>
    <w:rsid w:val="4E9AC36F"/>
    <w:rsid w:val="4EB0A9EB"/>
    <w:rsid w:val="4EB29AEA"/>
    <w:rsid w:val="4EDE587F"/>
    <w:rsid w:val="4EE9EA82"/>
    <w:rsid w:val="4EF12CC2"/>
    <w:rsid w:val="4F2C883C"/>
    <w:rsid w:val="4F3598CD"/>
    <w:rsid w:val="4F479B02"/>
    <w:rsid w:val="4F6C5228"/>
    <w:rsid w:val="4FAEC05D"/>
    <w:rsid w:val="4FE4478E"/>
    <w:rsid w:val="4FEB4FD3"/>
    <w:rsid w:val="4FF59F9C"/>
    <w:rsid w:val="4FFEC327"/>
    <w:rsid w:val="50368787"/>
    <w:rsid w:val="5061325E"/>
    <w:rsid w:val="50683BCF"/>
    <w:rsid w:val="5075C10A"/>
    <w:rsid w:val="50957604"/>
    <w:rsid w:val="50C85E19"/>
    <w:rsid w:val="50DA2A6E"/>
    <w:rsid w:val="5109BE0D"/>
    <w:rsid w:val="51434E0D"/>
    <w:rsid w:val="5143BB9C"/>
    <w:rsid w:val="51602919"/>
    <w:rsid w:val="5192171D"/>
    <w:rsid w:val="51A6BE25"/>
    <w:rsid w:val="51B300F3"/>
    <w:rsid w:val="51B90FE2"/>
    <w:rsid w:val="51E568EF"/>
    <w:rsid w:val="51F65F70"/>
    <w:rsid w:val="5228F24D"/>
    <w:rsid w:val="522D34C4"/>
    <w:rsid w:val="522FB86B"/>
    <w:rsid w:val="52314D5B"/>
    <w:rsid w:val="5249B6D3"/>
    <w:rsid w:val="5268BC2D"/>
    <w:rsid w:val="528A3DB8"/>
    <w:rsid w:val="52910EE9"/>
    <w:rsid w:val="52EC9255"/>
    <w:rsid w:val="5314CE68"/>
    <w:rsid w:val="533ABC62"/>
    <w:rsid w:val="534938A4"/>
    <w:rsid w:val="53598E43"/>
    <w:rsid w:val="535F126F"/>
    <w:rsid w:val="5371A645"/>
    <w:rsid w:val="53870F65"/>
    <w:rsid w:val="53954F5F"/>
    <w:rsid w:val="5462A988"/>
    <w:rsid w:val="548774A7"/>
    <w:rsid w:val="54F9B7C4"/>
    <w:rsid w:val="55173ADF"/>
    <w:rsid w:val="55247FCC"/>
    <w:rsid w:val="555C36F1"/>
    <w:rsid w:val="55824232"/>
    <w:rsid w:val="560F59E8"/>
    <w:rsid w:val="56458FAC"/>
    <w:rsid w:val="5664A95C"/>
    <w:rsid w:val="567F0CA9"/>
    <w:rsid w:val="568A0CE7"/>
    <w:rsid w:val="569ED2B3"/>
    <w:rsid w:val="56B7AD88"/>
    <w:rsid w:val="56BBCF6E"/>
    <w:rsid w:val="56BF7B13"/>
    <w:rsid w:val="56E5BFBB"/>
    <w:rsid w:val="56EC059D"/>
    <w:rsid w:val="572BBED9"/>
    <w:rsid w:val="574E4C9B"/>
    <w:rsid w:val="576BE6CB"/>
    <w:rsid w:val="57887086"/>
    <w:rsid w:val="57991D4C"/>
    <w:rsid w:val="57A768CC"/>
    <w:rsid w:val="57C2F420"/>
    <w:rsid w:val="58239C00"/>
    <w:rsid w:val="5833156C"/>
    <w:rsid w:val="58670167"/>
    <w:rsid w:val="587AD268"/>
    <w:rsid w:val="587E4BB1"/>
    <w:rsid w:val="58B99B2A"/>
    <w:rsid w:val="58CED65C"/>
    <w:rsid w:val="58EBEC4B"/>
    <w:rsid w:val="590BDC3B"/>
    <w:rsid w:val="591F0FBF"/>
    <w:rsid w:val="59647FE3"/>
    <w:rsid w:val="5983263F"/>
    <w:rsid w:val="59BFF297"/>
    <w:rsid w:val="59D36EB6"/>
    <w:rsid w:val="59E8350F"/>
    <w:rsid w:val="5A189787"/>
    <w:rsid w:val="5A233D70"/>
    <w:rsid w:val="5A46A809"/>
    <w:rsid w:val="5A4EC7A9"/>
    <w:rsid w:val="5A503424"/>
    <w:rsid w:val="5A708B64"/>
    <w:rsid w:val="5A8BC510"/>
    <w:rsid w:val="5A9791E0"/>
    <w:rsid w:val="5B1E4DB2"/>
    <w:rsid w:val="5B60407F"/>
    <w:rsid w:val="5B6FFC66"/>
    <w:rsid w:val="5B7556B8"/>
    <w:rsid w:val="5B7B9A49"/>
    <w:rsid w:val="5B7DDFAE"/>
    <w:rsid w:val="5B93B952"/>
    <w:rsid w:val="5BA3CC4A"/>
    <w:rsid w:val="5BBEAFF6"/>
    <w:rsid w:val="5BCE5132"/>
    <w:rsid w:val="5C176F7B"/>
    <w:rsid w:val="5C4A8F2F"/>
    <w:rsid w:val="5C76A030"/>
    <w:rsid w:val="5C7D1C72"/>
    <w:rsid w:val="5C7F6227"/>
    <w:rsid w:val="5CCB5AA2"/>
    <w:rsid w:val="5D177CE4"/>
    <w:rsid w:val="5D19BB24"/>
    <w:rsid w:val="5D28B4D9"/>
    <w:rsid w:val="5D3C589D"/>
    <w:rsid w:val="5D465306"/>
    <w:rsid w:val="5D48FDBA"/>
    <w:rsid w:val="5D49A896"/>
    <w:rsid w:val="5D5844AC"/>
    <w:rsid w:val="5D63D7B3"/>
    <w:rsid w:val="5DEDCEB4"/>
    <w:rsid w:val="5DFDB0EF"/>
    <w:rsid w:val="5E0E8C5D"/>
    <w:rsid w:val="5E15F412"/>
    <w:rsid w:val="5E28926F"/>
    <w:rsid w:val="5E2A73D5"/>
    <w:rsid w:val="5E46C600"/>
    <w:rsid w:val="5EA989FB"/>
    <w:rsid w:val="5EE55607"/>
    <w:rsid w:val="5EF9B74D"/>
    <w:rsid w:val="5F4D895F"/>
    <w:rsid w:val="5F6248B2"/>
    <w:rsid w:val="5F7400F1"/>
    <w:rsid w:val="5F874FA5"/>
    <w:rsid w:val="5FC1718D"/>
    <w:rsid w:val="5FE9F0B0"/>
    <w:rsid w:val="600B4731"/>
    <w:rsid w:val="600C0E3B"/>
    <w:rsid w:val="6047808C"/>
    <w:rsid w:val="604D5483"/>
    <w:rsid w:val="6057C788"/>
    <w:rsid w:val="607C2D12"/>
    <w:rsid w:val="60808C27"/>
    <w:rsid w:val="608DA519"/>
    <w:rsid w:val="60BA6A94"/>
    <w:rsid w:val="611F9E3F"/>
    <w:rsid w:val="61263395"/>
    <w:rsid w:val="614C0D2F"/>
    <w:rsid w:val="6152FC7D"/>
    <w:rsid w:val="615C4667"/>
    <w:rsid w:val="6220359B"/>
    <w:rsid w:val="62A9E50B"/>
    <w:rsid w:val="62EB0488"/>
    <w:rsid w:val="62F39448"/>
    <w:rsid w:val="62F433D6"/>
    <w:rsid w:val="63118181"/>
    <w:rsid w:val="6315D1E4"/>
    <w:rsid w:val="6346BD8F"/>
    <w:rsid w:val="634C28EC"/>
    <w:rsid w:val="63D05824"/>
    <w:rsid w:val="63D2980D"/>
    <w:rsid w:val="63E72B4D"/>
    <w:rsid w:val="64443403"/>
    <w:rsid w:val="64649ECD"/>
    <w:rsid w:val="646F8764"/>
    <w:rsid w:val="6496C3CD"/>
    <w:rsid w:val="64B2E250"/>
    <w:rsid w:val="64B998D6"/>
    <w:rsid w:val="64D8DB61"/>
    <w:rsid w:val="65011A1B"/>
    <w:rsid w:val="652B8AD1"/>
    <w:rsid w:val="65B637F1"/>
    <w:rsid w:val="65CE3710"/>
    <w:rsid w:val="66129B5F"/>
    <w:rsid w:val="661A5A36"/>
    <w:rsid w:val="665CA9AA"/>
    <w:rsid w:val="66702F9C"/>
    <w:rsid w:val="668556B0"/>
    <w:rsid w:val="669B515F"/>
    <w:rsid w:val="66A3473B"/>
    <w:rsid w:val="66B43C67"/>
    <w:rsid w:val="66B5096F"/>
    <w:rsid w:val="66F444EE"/>
    <w:rsid w:val="6705EDEA"/>
    <w:rsid w:val="674919EB"/>
    <w:rsid w:val="67531E1C"/>
    <w:rsid w:val="6792ED1C"/>
    <w:rsid w:val="67A61677"/>
    <w:rsid w:val="67D954E2"/>
    <w:rsid w:val="67F91A81"/>
    <w:rsid w:val="680DCFB7"/>
    <w:rsid w:val="680F41AE"/>
    <w:rsid w:val="6872B4CF"/>
    <w:rsid w:val="687A0874"/>
    <w:rsid w:val="687FBFD0"/>
    <w:rsid w:val="688FA22E"/>
    <w:rsid w:val="6890214C"/>
    <w:rsid w:val="68C5562D"/>
    <w:rsid w:val="68EC906C"/>
    <w:rsid w:val="68F454DC"/>
    <w:rsid w:val="697D63DC"/>
    <w:rsid w:val="69898BFF"/>
    <w:rsid w:val="698B05AB"/>
    <w:rsid w:val="699A691B"/>
    <w:rsid w:val="69D8E527"/>
    <w:rsid w:val="69F87171"/>
    <w:rsid w:val="69FC8BD5"/>
    <w:rsid w:val="6A187F2F"/>
    <w:rsid w:val="6A1E618A"/>
    <w:rsid w:val="6A8673C5"/>
    <w:rsid w:val="6AE33D2E"/>
    <w:rsid w:val="6AF591B5"/>
    <w:rsid w:val="6B0325FD"/>
    <w:rsid w:val="6B10C40C"/>
    <w:rsid w:val="6B6067C1"/>
    <w:rsid w:val="6B7E750F"/>
    <w:rsid w:val="6B801820"/>
    <w:rsid w:val="6B94C696"/>
    <w:rsid w:val="6BA5E090"/>
    <w:rsid w:val="6BA93856"/>
    <w:rsid w:val="6BEFCCA3"/>
    <w:rsid w:val="6C43AA6B"/>
    <w:rsid w:val="6C7CE0CB"/>
    <w:rsid w:val="6C8865D0"/>
    <w:rsid w:val="6CE2E918"/>
    <w:rsid w:val="6CEC3F3F"/>
    <w:rsid w:val="6CF2F702"/>
    <w:rsid w:val="6D4DA509"/>
    <w:rsid w:val="6D5BF5AE"/>
    <w:rsid w:val="6D60564C"/>
    <w:rsid w:val="6D612532"/>
    <w:rsid w:val="6D67810E"/>
    <w:rsid w:val="6D83866D"/>
    <w:rsid w:val="6D9BF68D"/>
    <w:rsid w:val="6D9D7A65"/>
    <w:rsid w:val="6DA5F302"/>
    <w:rsid w:val="6DF29154"/>
    <w:rsid w:val="6E9001CB"/>
    <w:rsid w:val="6E9178C3"/>
    <w:rsid w:val="6E95ECB6"/>
    <w:rsid w:val="6E9C63AE"/>
    <w:rsid w:val="6EA0EACE"/>
    <w:rsid w:val="6ED90D95"/>
    <w:rsid w:val="6EE069A5"/>
    <w:rsid w:val="6EFB87CB"/>
    <w:rsid w:val="6F48A9BE"/>
    <w:rsid w:val="6F7D4576"/>
    <w:rsid w:val="6F8F9B5A"/>
    <w:rsid w:val="6FCA5A26"/>
    <w:rsid w:val="6FE2CDD2"/>
    <w:rsid w:val="7018B644"/>
    <w:rsid w:val="702D7514"/>
    <w:rsid w:val="70524467"/>
    <w:rsid w:val="709E57D6"/>
    <w:rsid w:val="70A068E8"/>
    <w:rsid w:val="70EB62F0"/>
    <w:rsid w:val="70F8CBB9"/>
    <w:rsid w:val="711AEBF6"/>
    <w:rsid w:val="712CCD97"/>
    <w:rsid w:val="718608A7"/>
    <w:rsid w:val="71CEE940"/>
    <w:rsid w:val="7230D4EB"/>
    <w:rsid w:val="723BA862"/>
    <w:rsid w:val="72729406"/>
    <w:rsid w:val="728E2854"/>
    <w:rsid w:val="728F8D78"/>
    <w:rsid w:val="72998032"/>
    <w:rsid w:val="729C8FDE"/>
    <w:rsid w:val="72F4D6CD"/>
    <w:rsid w:val="732CEBD3"/>
    <w:rsid w:val="73AD3669"/>
    <w:rsid w:val="74062B48"/>
    <w:rsid w:val="740C05E8"/>
    <w:rsid w:val="743D8D5D"/>
    <w:rsid w:val="744E7BE5"/>
    <w:rsid w:val="74A4C55B"/>
    <w:rsid w:val="74A90C8E"/>
    <w:rsid w:val="7525B7C1"/>
    <w:rsid w:val="752F6C22"/>
    <w:rsid w:val="756A9829"/>
    <w:rsid w:val="7598DB0C"/>
    <w:rsid w:val="75E79AC4"/>
    <w:rsid w:val="75EB83D2"/>
    <w:rsid w:val="7624D33A"/>
    <w:rsid w:val="762EB2F6"/>
    <w:rsid w:val="765725DC"/>
    <w:rsid w:val="766A4A71"/>
    <w:rsid w:val="768584EF"/>
    <w:rsid w:val="7685AA7E"/>
    <w:rsid w:val="76E5587C"/>
    <w:rsid w:val="76FAF0B9"/>
    <w:rsid w:val="7705F546"/>
    <w:rsid w:val="7772B918"/>
    <w:rsid w:val="77BE6337"/>
    <w:rsid w:val="77C08181"/>
    <w:rsid w:val="77DE2956"/>
    <w:rsid w:val="780F373D"/>
    <w:rsid w:val="7869335A"/>
    <w:rsid w:val="787911BF"/>
    <w:rsid w:val="787D151E"/>
    <w:rsid w:val="78847CAA"/>
    <w:rsid w:val="789439E2"/>
    <w:rsid w:val="78A9CAEE"/>
    <w:rsid w:val="78C2F85D"/>
    <w:rsid w:val="78C37A12"/>
    <w:rsid w:val="78CD3A73"/>
    <w:rsid w:val="78E051F9"/>
    <w:rsid w:val="78E52F25"/>
    <w:rsid w:val="79041FCD"/>
    <w:rsid w:val="7914FB32"/>
    <w:rsid w:val="79287C67"/>
    <w:rsid w:val="7936A549"/>
    <w:rsid w:val="79668E66"/>
    <w:rsid w:val="798ED5A1"/>
    <w:rsid w:val="7999B41D"/>
    <w:rsid w:val="7A552A22"/>
    <w:rsid w:val="7A5D065D"/>
    <w:rsid w:val="7A6B95B7"/>
    <w:rsid w:val="7AAA213B"/>
    <w:rsid w:val="7ACE3C5B"/>
    <w:rsid w:val="7AD2F8B0"/>
    <w:rsid w:val="7B0CA2FB"/>
    <w:rsid w:val="7B552DD6"/>
    <w:rsid w:val="7B713285"/>
    <w:rsid w:val="7BCEDDA1"/>
    <w:rsid w:val="7BE380A8"/>
    <w:rsid w:val="7C6834DA"/>
    <w:rsid w:val="7C6907BE"/>
    <w:rsid w:val="7C8EF49E"/>
    <w:rsid w:val="7CA78F1C"/>
    <w:rsid w:val="7D188A07"/>
    <w:rsid w:val="7D37E488"/>
    <w:rsid w:val="7DB8C170"/>
    <w:rsid w:val="7DBAE3CC"/>
    <w:rsid w:val="7DD32729"/>
    <w:rsid w:val="7E08C59E"/>
    <w:rsid w:val="7E0FB236"/>
    <w:rsid w:val="7E106B60"/>
    <w:rsid w:val="7E5A32AA"/>
    <w:rsid w:val="7ECF7E56"/>
    <w:rsid w:val="7EEC432D"/>
    <w:rsid w:val="7EFECA7B"/>
    <w:rsid w:val="7F0DDA85"/>
    <w:rsid w:val="7F1FDABF"/>
    <w:rsid w:val="7F4AD2D6"/>
    <w:rsid w:val="7F5C58A1"/>
    <w:rsid w:val="7F855218"/>
    <w:rsid w:val="7FF2E7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B2681"/>
  <w15:docId w15:val="{7AD5F879-FA4E-4AC7-BDF2-56ECB15C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C23BC"/>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autoRedefine/>
    <w:qFormat/>
    <w:rsid w:val="0074748B"/>
    <w:pPr>
      <w:keepNext/>
      <w:spacing w:before="120" w:after="60"/>
      <w:outlineLvl w:val="1"/>
    </w:pPr>
    <w:rPr>
      <w:rFonts w:ascii="Arial" w:hAnsi="Arial" w:cs="Arial"/>
      <w:b/>
      <w:bCs/>
      <w:iCs/>
      <w:color w:val="358189"/>
      <w:sz w:val="32"/>
      <w:szCs w:val="28"/>
      <w:lang w:eastAsia="en-US"/>
    </w:rPr>
  </w:style>
  <w:style w:type="paragraph" w:styleId="Heading3">
    <w:name w:val="heading 3"/>
    <w:next w:val="Normal"/>
    <w:link w:val="Heading3Char"/>
    <w:autoRedefine/>
    <w:qFormat/>
    <w:rsid w:val="00536D5A"/>
    <w:pPr>
      <w:keepNext/>
      <w:spacing w:before="180" w:after="60"/>
      <w:outlineLvl w:val="2"/>
    </w:pPr>
    <w:rPr>
      <w:rFonts w:ascii="Arial" w:hAnsi="Arial" w:cs="Arial"/>
      <w:b/>
      <w:bCs/>
      <w:color w:val="358189"/>
      <w:sz w:val="28"/>
      <w:szCs w:val="26"/>
      <w:lang w:eastAsia="en-US"/>
    </w:rPr>
  </w:style>
  <w:style w:type="paragraph" w:styleId="Heading4">
    <w:name w:val="heading 4"/>
    <w:next w:val="Normal"/>
    <w:autoRedefine/>
    <w:qFormat/>
    <w:rsid w:val="00536D5A"/>
    <w:pPr>
      <w:keepNext/>
      <w:spacing w:before="240" w:after="120"/>
      <w:outlineLvl w:val="3"/>
    </w:pPr>
    <w:rPr>
      <w:rFonts w:ascii="Arial" w:hAnsi="Arial"/>
      <w:b/>
      <w:bCs/>
      <w:i/>
      <w:color w:val="358189" w:themeColor="accent2"/>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autoRedefine/>
    <w:rsid w:val="00B247D7"/>
    <w:pPr>
      <w:keepNext/>
      <w:spacing w:before="240" w:after="12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C021DA"/>
    <w:pPr>
      <w:numPr>
        <w:ilvl w:val="1"/>
      </w:numPr>
      <w:spacing w:before="120" w:after="60"/>
    </w:pPr>
    <w:rPr>
      <w:rFonts w:ascii="Arial" w:eastAsiaTheme="majorEastAsia" w:hAnsi="Arial" w:cstheme="majorBidi"/>
      <w:b/>
      <w:iCs/>
      <w:color w:val="000000" w:themeColor="text1"/>
      <w:spacing w:val="15"/>
      <w:sz w:val="24"/>
      <w:szCs w:val="24"/>
      <w:lang w:eastAsia="en-US"/>
    </w:rPr>
  </w:style>
  <w:style w:type="character" w:customStyle="1" w:styleId="SubtitleChar">
    <w:name w:val="Subtitle Char"/>
    <w:basedOn w:val="DefaultParagraphFont"/>
    <w:link w:val="Subtitle"/>
    <w:rsid w:val="00C021DA"/>
    <w:rPr>
      <w:rFonts w:ascii="Arial" w:eastAsiaTheme="majorEastAsia" w:hAnsi="Arial" w:cstheme="majorBidi"/>
      <w:b/>
      <w:iCs/>
      <w:color w:val="000000" w:themeColor="text1"/>
      <w:spacing w:val="15"/>
      <w:sz w:val="24"/>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9A4572"/>
    <w:pPr>
      <w:spacing w:before="60" w:after="60"/>
    </w:pPr>
    <w:rPr>
      <w:rFonts w:ascii="Arial" w:hAnsi="Arial"/>
      <w:color w:val="000000" w:themeColor="text1"/>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8F1B53"/>
    <w:pPr>
      <w:tabs>
        <w:tab w:val="center" w:pos="0"/>
        <w:tab w:val="right" w:pos="9026"/>
      </w:tabs>
    </w:pPr>
    <w:rPr>
      <w:rFonts w:ascii="Arial" w:hAnsi="Arial"/>
      <w:i/>
      <w:sz w:val="16"/>
      <w:szCs w:val="24"/>
      <w:lang w:eastAsia="en-US"/>
    </w:rPr>
  </w:style>
  <w:style w:type="character" w:customStyle="1" w:styleId="FooterChar">
    <w:name w:val="Footer Char"/>
    <w:basedOn w:val="DefaultParagraphFont"/>
    <w:link w:val="Footer"/>
    <w:uiPriority w:val="99"/>
    <w:rsid w:val="008F1B53"/>
    <w:rPr>
      <w:rFonts w:ascii="Arial" w:hAnsi="Arial"/>
      <w:i/>
      <w:sz w:val="16"/>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D50DC9"/>
    <w:rPr>
      <w:color w:val="0000FF" w:themeColor="hyperlink"/>
      <w:sz w:val="20"/>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ilvl w:val="1"/>
        <w:numId w:val="5"/>
      </w:numPr>
    </w:pPr>
    <w:rPr>
      <w:szCs w:val="20"/>
    </w:rPr>
  </w:style>
  <w:style w:type="paragraph" w:customStyle="1" w:styleId="Tablelistnumber">
    <w:name w:val="Table list number"/>
    <w:basedOn w:val="Tabletextleft"/>
    <w:qFormat/>
    <w:rsid w:val="00A719F6"/>
    <w:pPr>
      <w:numPr>
        <w:ilvl w:val="1"/>
        <w:numId w:val="6"/>
      </w:numPr>
    </w:pPr>
    <w:rPr>
      <w:bCs w:val="0"/>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VisionBox"/>
    <w:autoRedefine/>
    <w:rsid w:val="0074748B"/>
    <w:pPr>
      <w:pBdr>
        <w:top w:val="none" w:sz="0" w:space="0" w:color="auto"/>
        <w:bottom w:val="none" w:sz="0" w:space="0" w:color="auto"/>
      </w:pBdr>
      <w:shd w:val="clear" w:color="auto" w:fill="3F4A75" w:themeFill="text2"/>
      <w:spacing w:before="120" w:after="120" w:line="400" w:lineRule="exact"/>
    </w:pPr>
    <w:rPr>
      <w:color w:val="FFFFFF" w:themeColor="background1"/>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EB4B66"/>
    <w:pPr>
      <w:spacing w:before="60" w:after="60"/>
      <w:ind w:left="360" w:hanging="360"/>
    </w:pPr>
    <w:rPr>
      <w:rFonts w:ascii="Arial" w:hAnsi="Arial"/>
      <w:b/>
      <w:bCs/>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uiPriority w:val="99"/>
    <w:semiHidden/>
    <w:unhideWhenUsed/>
    <w:rsid w:val="002D43E4"/>
    <w:rPr>
      <w:sz w:val="16"/>
      <w:szCs w:val="16"/>
    </w:rPr>
  </w:style>
  <w:style w:type="paragraph" w:styleId="CommentText">
    <w:name w:val="annotation text"/>
    <w:basedOn w:val="Normal"/>
    <w:link w:val="CommentTextChar"/>
    <w:uiPriority w:val="99"/>
    <w:unhideWhenUsed/>
    <w:rsid w:val="002D43E4"/>
    <w:pPr>
      <w:spacing w:line="240" w:lineRule="auto"/>
    </w:pPr>
    <w:rPr>
      <w:sz w:val="20"/>
      <w:szCs w:val="20"/>
    </w:rPr>
  </w:style>
  <w:style w:type="character" w:customStyle="1" w:styleId="CommentTextChar">
    <w:name w:val="Comment Text Char"/>
    <w:basedOn w:val="DefaultParagraphFont"/>
    <w:link w:val="CommentText"/>
    <w:uiPriority w:val="99"/>
    <w:rsid w:val="002D43E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2D43E4"/>
    <w:rPr>
      <w:b/>
      <w:bCs/>
    </w:rPr>
  </w:style>
  <w:style w:type="character" w:customStyle="1" w:styleId="CommentSubjectChar">
    <w:name w:val="Comment Subject Char"/>
    <w:basedOn w:val="CommentTextChar"/>
    <w:link w:val="CommentSubject"/>
    <w:semiHidden/>
    <w:rsid w:val="002D43E4"/>
    <w:rPr>
      <w:rFonts w:ascii="Arial" w:hAnsi="Arial"/>
      <w:b/>
      <w:bCs/>
      <w:color w:val="000000" w:themeColor="text1"/>
      <w:lang w:eastAsia="en-US"/>
    </w:rPr>
  </w:style>
  <w:style w:type="paragraph" w:styleId="Revision">
    <w:name w:val="Revision"/>
    <w:hidden/>
    <w:uiPriority w:val="99"/>
    <w:semiHidden/>
    <w:rsid w:val="00772826"/>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F94D9F"/>
    <w:rPr>
      <w:color w:val="605E5C"/>
      <w:shd w:val="clear" w:color="auto" w:fill="E1DFDD"/>
    </w:rPr>
  </w:style>
  <w:style w:type="character" w:customStyle="1" w:styleId="Heading3Char">
    <w:name w:val="Heading 3 Char"/>
    <w:basedOn w:val="DefaultParagraphFont"/>
    <w:link w:val="Heading3"/>
    <w:rsid w:val="00536D5A"/>
    <w:rPr>
      <w:rFonts w:ascii="Arial" w:hAnsi="Arial" w:cs="Arial"/>
      <w:b/>
      <w:bCs/>
      <w:color w:val="358189"/>
      <w:sz w:val="28"/>
      <w:szCs w:val="26"/>
      <w:lang w:eastAsia="en-US"/>
    </w:rPr>
  </w:style>
  <w:style w:type="character" w:styleId="FollowedHyperlink">
    <w:name w:val="FollowedHyperlink"/>
    <w:basedOn w:val="DefaultParagraphFont"/>
    <w:semiHidden/>
    <w:unhideWhenUsed/>
    <w:rsid w:val="00971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61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0227757">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78826070">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33145956">
      <w:bodyDiv w:val="1"/>
      <w:marLeft w:val="0"/>
      <w:marRight w:val="0"/>
      <w:marTop w:val="0"/>
      <w:marBottom w:val="0"/>
      <w:divBdr>
        <w:top w:val="none" w:sz="0" w:space="0" w:color="auto"/>
        <w:left w:val="none" w:sz="0" w:space="0" w:color="auto"/>
        <w:bottom w:val="none" w:sz="0" w:space="0" w:color="auto"/>
        <w:right w:val="none" w:sz="0" w:space="0" w:color="auto"/>
      </w:divBdr>
    </w:div>
    <w:div w:id="717970989">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39249840">
      <w:bodyDiv w:val="1"/>
      <w:marLeft w:val="0"/>
      <w:marRight w:val="0"/>
      <w:marTop w:val="0"/>
      <w:marBottom w:val="0"/>
      <w:divBdr>
        <w:top w:val="none" w:sz="0" w:space="0" w:color="auto"/>
        <w:left w:val="none" w:sz="0" w:space="0" w:color="auto"/>
        <w:bottom w:val="none" w:sz="0" w:space="0" w:color="auto"/>
        <w:right w:val="none" w:sz="0" w:space="0" w:color="auto"/>
      </w:divBdr>
    </w:div>
    <w:div w:id="789327514">
      <w:bodyDiv w:val="1"/>
      <w:marLeft w:val="0"/>
      <w:marRight w:val="0"/>
      <w:marTop w:val="0"/>
      <w:marBottom w:val="0"/>
      <w:divBdr>
        <w:top w:val="none" w:sz="0" w:space="0" w:color="auto"/>
        <w:left w:val="none" w:sz="0" w:space="0" w:color="auto"/>
        <w:bottom w:val="none" w:sz="0" w:space="0" w:color="auto"/>
        <w:right w:val="none" w:sz="0" w:space="0" w:color="auto"/>
      </w:divBdr>
      <w:divsChild>
        <w:div w:id="520096713">
          <w:marLeft w:val="0"/>
          <w:marRight w:val="0"/>
          <w:marTop w:val="0"/>
          <w:marBottom w:val="0"/>
          <w:divBdr>
            <w:top w:val="none" w:sz="0" w:space="0" w:color="auto"/>
            <w:left w:val="none" w:sz="0" w:space="0" w:color="auto"/>
            <w:bottom w:val="none" w:sz="0" w:space="0" w:color="auto"/>
            <w:right w:val="none" w:sz="0" w:space="0" w:color="auto"/>
          </w:divBdr>
          <w:divsChild>
            <w:div w:id="1697847302">
              <w:marLeft w:val="-75"/>
              <w:marRight w:val="0"/>
              <w:marTop w:val="30"/>
              <w:marBottom w:val="30"/>
              <w:divBdr>
                <w:top w:val="none" w:sz="0" w:space="0" w:color="auto"/>
                <w:left w:val="none" w:sz="0" w:space="0" w:color="auto"/>
                <w:bottom w:val="none" w:sz="0" w:space="0" w:color="auto"/>
                <w:right w:val="none" w:sz="0" w:space="0" w:color="auto"/>
              </w:divBdr>
              <w:divsChild>
                <w:div w:id="389429367">
                  <w:marLeft w:val="0"/>
                  <w:marRight w:val="0"/>
                  <w:marTop w:val="0"/>
                  <w:marBottom w:val="0"/>
                  <w:divBdr>
                    <w:top w:val="none" w:sz="0" w:space="0" w:color="auto"/>
                    <w:left w:val="none" w:sz="0" w:space="0" w:color="auto"/>
                    <w:bottom w:val="none" w:sz="0" w:space="0" w:color="auto"/>
                    <w:right w:val="none" w:sz="0" w:space="0" w:color="auto"/>
                  </w:divBdr>
                  <w:divsChild>
                    <w:div w:id="396242979">
                      <w:marLeft w:val="0"/>
                      <w:marRight w:val="0"/>
                      <w:marTop w:val="0"/>
                      <w:marBottom w:val="0"/>
                      <w:divBdr>
                        <w:top w:val="none" w:sz="0" w:space="0" w:color="auto"/>
                        <w:left w:val="none" w:sz="0" w:space="0" w:color="auto"/>
                        <w:bottom w:val="none" w:sz="0" w:space="0" w:color="auto"/>
                        <w:right w:val="none" w:sz="0" w:space="0" w:color="auto"/>
                      </w:divBdr>
                    </w:div>
                    <w:div w:id="527257411">
                      <w:marLeft w:val="0"/>
                      <w:marRight w:val="0"/>
                      <w:marTop w:val="0"/>
                      <w:marBottom w:val="0"/>
                      <w:divBdr>
                        <w:top w:val="none" w:sz="0" w:space="0" w:color="auto"/>
                        <w:left w:val="none" w:sz="0" w:space="0" w:color="auto"/>
                        <w:bottom w:val="none" w:sz="0" w:space="0" w:color="auto"/>
                        <w:right w:val="none" w:sz="0" w:space="0" w:color="auto"/>
                      </w:divBdr>
                    </w:div>
                    <w:div w:id="897283354">
                      <w:marLeft w:val="0"/>
                      <w:marRight w:val="0"/>
                      <w:marTop w:val="0"/>
                      <w:marBottom w:val="0"/>
                      <w:divBdr>
                        <w:top w:val="none" w:sz="0" w:space="0" w:color="auto"/>
                        <w:left w:val="none" w:sz="0" w:space="0" w:color="auto"/>
                        <w:bottom w:val="none" w:sz="0" w:space="0" w:color="auto"/>
                        <w:right w:val="none" w:sz="0" w:space="0" w:color="auto"/>
                      </w:divBdr>
                    </w:div>
                  </w:divsChild>
                </w:div>
                <w:div w:id="436024666">
                  <w:marLeft w:val="0"/>
                  <w:marRight w:val="0"/>
                  <w:marTop w:val="0"/>
                  <w:marBottom w:val="0"/>
                  <w:divBdr>
                    <w:top w:val="none" w:sz="0" w:space="0" w:color="auto"/>
                    <w:left w:val="none" w:sz="0" w:space="0" w:color="auto"/>
                    <w:bottom w:val="none" w:sz="0" w:space="0" w:color="auto"/>
                    <w:right w:val="none" w:sz="0" w:space="0" w:color="auto"/>
                  </w:divBdr>
                  <w:divsChild>
                    <w:div w:id="1048993965">
                      <w:marLeft w:val="0"/>
                      <w:marRight w:val="0"/>
                      <w:marTop w:val="0"/>
                      <w:marBottom w:val="0"/>
                      <w:divBdr>
                        <w:top w:val="none" w:sz="0" w:space="0" w:color="auto"/>
                        <w:left w:val="none" w:sz="0" w:space="0" w:color="auto"/>
                        <w:bottom w:val="none" w:sz="0" w:space="0" w:color="auto"/>
                        <w:right w:val="none" w:sz="0" w:space="0" w:color="auto"/>
                      </w:divBdr>
                    </w:div>
                    <w:div w:id="1390569847">
                      <w:marLeft w:val="0"/>
                      <w:marRight w:val="0"/>
                      <w:marTop w:val="0"/>
                      <w:marBottom w:val="0"/>
                      <w:divBdr>
                        <w:top w:val="none" w:sz="0" w:space="0" w:color="auto"/>
                        <w:left w:val="none" w:sz="0" w:space="0" w:color="auto"/>
                        <w:bottom w:val="none" w:sz="0" w:space="0" w:color="auto"/>
                        <w:right w:val="none" w:sz="0" w:space="0" w:color="auto"/>
                      </w:divBdr>
                    </w:div>
                  </w:divsChild>
                </w:div>
                <w:div w:id="576284010">
                  <w:marLeft w:val="0"/>
                  <w:marRight w:val="0"/>
                  <w:marTop w:val="0"/>
                  <w:marBottom w:val="0"/>
                  <w:divBdr>
                    <w:top w:val="none" w:sz="0" w:space="0" w:color="auto"/>
                    <w:left w:val="none" w:sz="0" w:space="0" w:color="auto"/>
                    <w:bottom w:val="none" w:sz="0" w:space="0" w:color="auto"/>
                    <w:right w:val="none" w:sz="0" w:space="0" w:color="auto"/>
                  </w:divBdr>
                  <w:divsChild>
                    <w:div w:id="974405475">
                      <w:marLeft w:val="0"/>
                      <w:marRight w:val="0"/>
                      <w:marTop w:val="0"/>
                      <w:marBottom w:val="0"/>
                      <w:divBdr>
                        <w:top w:val="none" w:sz="0" w:space="0" w:color="auto"/>
                        <w:left w:val="none" w:sz="0" w:space="0" w:color="auto"/>
                        <w:bottom w:val="none" w:sz="0" w:space="0" w:color="auto"/>
                        <w:right w:val="none" w:sz="0" w:space="0" w:color="auto"/>
                      </w:divBdr>
                    </w:div>
                    <w:div w:id="1633949098">
                      <w:marLeft w:val="0"/>
                      <w:marRight w:val="0"/>
                      <w:marTop w:val="0"/>
                      <w:marBottom w:val="0"/>
                      <w:divBdr>
                        <w:top w:val="none" w:sz="0" w:space="0" w:color="auto"/>
                        <w:left w:val="none" w:sz="0" w:space="0" w:color="auto"/>
                        <w:bottom w:val="none" w:sz="0" w:space="0" w:color="auto"/>
                        <w:right w:val="none" w:sz="0" w:space="0" w:color="auto"/>
                      </w:divBdr>
                    </w:div>
                  </w:divsChild>
                </w:div>
                <w:div w:id="593897557">
                  <w:marLeft w:val="0"/>
                  <w:marRight w:val="0"/>
                  <w:marTop w:val="0"/>
                  <w:marBottom w:val="0"/>
                  <w:divBdr>
                    <w:top w:val="none" w:sz="0" w:space="0" w:color="auto"/>
                    <w:left w:val="none" w:sz="0" w:space="0" w:color="auto"/>
                    <w:bottom w:val="none" w:sz="0" w:space="0" w:color="auto"/>
                    <w:right w:val="none" w:sz="0" w:space="0" w:color="auto"/>
                  </w:divBdr>
                  <w:divsChild>
                    <w:div w:id="107050783">
                      <w:marLeft w:val="0"/>
                      <w:marRight w:val="0"/>
                      <w:marTop w:val="0"/>
                      <w:marBottom w:val="0"/>
                      <w:divBdr>
                        <w:top w:val="none" w:sz="0" w:space="0" w:color="auto"/>
                        <w:left w:val="none" w:sz="0" w:space="0" w:color="auto"/>
                        <w:bottom w:val="none" w:sz="0" w:space="0" w:color="auto"/>
                        <w:right w:val="none" w:sz="0" w:space="0" w:color="auto"/>
                      </w:divBdr>
                    </w:div>
                    <w:div w:id="1880779381">
                      <w:marLeft w:val="0"/>
                      <w:marRight w:val="0"/>
                      <w:marTop w:val="0"/>
                      <w:marBottom w:val="0"/>
                      <w:divBdr>
                        <w:top w:val="none" w:sz="0" w:space="0" w:color="auto"/>
                        <w:left w:val="none" w:sz="0" w:space="0" w:color="auto"/>
                        <w:bottom w:val="none" w:sz="0" w:space="0" w:color="auto"/>
                        <w:right w:val="none" w:sz="0" w:space="0" w:color="auto"/>
                      </w:divBdr>
                    </w:div>
                    <w:div w:id="1920553817">
                      <w:marLeft w:val="0"/>
                      <w:marRight w:val="0"/>
                      <w:marTop w:val="0"/>
                      <w:marBottom w:val="0"/>
                      <w:divBdr>
                        <w:top w:val="none" w:sz="0" w:space="0" w:color="auto"/>
                        <w:left w:val="none" w:sz="0" w:space="0" w:color="auto"/>
                        <w:bottom w:val="none" w:sz="0" w:space="0" w:color="auto"/>
                        <w:right w:val="none" w:sz="0" w:space="0" w:color="auto"/>
                      </w:divBdr>
                    </w:div>
                  </w:divsChild>
                </w:div>
                <w:div w:id="988479771">
                  <w:marLeft w:val="0"/>
                  <w:marRight w:val="0"/>
                  <w:marTop w:val="0"/>
                  <w:marBottom w:val="0"/>
                  <w:divBdr>
                    <w:top w:val="none" w:sz="0" w:space="0" w:color="auto"/>
                    <w:left w:val="none" w:sz="0" w:space="0" w:color="auto"/>
                    <w:bottom w:val="none" w:sz="0" w:space="0" w:color="auto"/>
                    <w:right w:val="none" w:sz="0" w:space="0" w:color="auto"/>
                  </w:divBdr>
                  <w:divsChild>
                    <w:div w:id="513032298">
                      <w:marLeft w:val="0"/>
                      <w:marRight w:val="0"/>
                      <w:marTop w:val="0"/>
                      <w:marBottom w:val="0"/>
                      <w:divBdr>
                        <w:top w:val="none" w:sz="0" w:space="0" w:color="auto"/>
                        <w:left w:val="none" w:sz="0" w:space="0" w:color="auto"/>
                        <w:bottom w:val="none" w:sz="0" w:space="0" w:color="auto"/>
                        <w:right w:val="none" w:sz="0" w:space="0" w:color="auto"/>
                      </w:divBdr>
                    </w:div>
                  </w:divsChild>
                </w:div>
                <w:div w:id="1279142801">
                  <w:marLeft w:val="0"/>
                  <w:marRight w:val="0"/>
                  <w:marTop w:val="0"/>
                  <w:marBottom w:val="0"/>
                  <w:divBdr>
                    <w:top w:val="none" w:sz="0" w:space="0" w:color="auto"/>
                    <w:left w:val="none" w:sz="0" w:space="0" w:color="auto"/>
                    <w:bottom w:val="none" w:sz="0" w:space="0" w:color="auto"/>
                    <w:right w:val="none" w:sz="0" w:space="0" w:color="auto"/>
                  </w:divBdr>
                  <w:divsChild>
                    <w:div w:id="499083964">
                      <w:marLeft w:val="0"/>
                      <w:marRight w:val="0"/>
                      <w:marTop w:val="0"/>
                      <w:marBottom w:val="0"/>
                      <w:divBdr>
                        <w:top w:val="none" w:sz="0" w:space="0" w:color="auto"/>
                        <w:left w:val="none" w:sz="0" w:space="0" w:color="auto"/>
                        <w:bottom w:val="none" w:sz="0" w:space="0" w:color="auto"/>
                        <w:right w:val="none" w:sz="0" w:space="0" w:color="auto"/>
                      </w:divBdr>
                    </w:div>
                    <w:div w:id="743992045">
                      <w:marLeft w:val="0"/>
                      <w:marRight w:val="0"/>
                      <w:marTop w:val="0"/>
                      <w:marBottom w:val="0"/>
                      <w:divBdr>
                        <w:top w:val="none" w:sz="0" w:space="0" w:color="auto"/>
                        <w:left w:val="none" w:sz="0" w:space="0" w:color="auto"/>
                        <w:bottom w:val="none" w:sz="0" w:space="0" w:color="auto"/>
                        <w:right w:val="none" w:sz="0" w:space="0" w:color="auto"/>
                      </w:divBdr>
                    </w:div>
                    <w:div w:id="2112580658">
                      <w:marLeft w:val="0"/>
                      <w:marRight w:val="0"/>
                      <w:marTop w:val="0"/>
                      <w:marBottom w:val="0"/>
                      <w:divBdr>
                        <w:top w:val="none" w:sz="0" w:space="0" w:color="auto"/>
                        <w:left w:val="none" w:sz="0" w:space="0" w:color="auto"/>
                        <w:bottom w:val="none" w:sz="0" w:space="0" w:color="auto"/>
                        <w:right w:val="none" w:sz="0" w:space="0" w:color="auto"/>
                      </w:divBdr>
                    </w:div>
                  </w:divsChild>
                </w:div>
                <w:div w:id="1286086150">
                  <w:marLeft w:val="0"/>
                  <w:marRight w:val="0"/>
                  <w:marTop w:val="0"/>
                  <w:marBottom w:val="0"/>
                  <w:divBdr>
                    <w:top w:val="none" w:sz="0" w:space="0" w:color="auto"/>
                    <w:left w:val="none" w:sz="0" w:space="0" w:color="auto"/>
                    <w:bottom w:val="none" w:sz="0" w:space="0" w:color="auto"/>
                    <w:right w:val="none" w:sz="0" w:space="0" w:color="auto"/>
                  </w:divBdr>
                  <w:divsChild>
                    <w:div w:id="658114562">
                      <w:marLeft w:val="0"/>
                      <w:marRight w:val="0"/>
                      <w:marTop w:val="0"/>
                      <w:marBottom w:val="0"/>
                      <w:divBdr>
                        <w:top w:val="none" w:sz="0" w:space="0" w:color="auto"/>
                        <w:left w:val="none" w:sz="0" w:space="0" w:color="auto"/>
                        <w:bottom w:val="none" w:sz="0" w:space="0" w:color="auto"/>
                        <w:right w:val="none" w:sz="0" w:space="0" w:color="auto"/>
                      </w:divBdr>
                    </w:div>
                    <w:div w:id="1245453106">
                      <w:marLeft w:val="0"/>
                      <w:marRight w:val="0"/>
                      <w:marTop w:val="0"/>
                      <w:marBottom w:val="0"/>
                      <w:divBdr>
                        <w:top w:val="none" w:sz="0" w:space="0" w:color="auto"/>
                        <w:left w:val="none" w:sz="0" w:space="0" w:color="auto"/>
                        <w:bottom w:val="none" w:sz="0" w:space="0" w:color="auto"/>
                        <w:right w:val="none" w:sz="0" w:space="0" w:color="auto"/>
                      </w:divBdr>
                    </w:div>
                    <w:div w:id="1420560321">
                      <w:marLeft w:val="0"/>
                      <w:marRight w:val="0"/>
                      <w:marTop w:val="0"/>
                      <w:marBottom w:val="0"/>
                      <w:divBdr>
                        <w:top w:val="none" w:sz="0" w:space="0" w:color="auto"/>
                        <w:left w:val="none" w:sz="0" w:space="0" w:color="auto"/>
                        <w:bottom w:val="none" w:sz="0" w:space="0" w:color="auto"/>
                        <w:right w:val="none" w:sz="0" w:space="0" w:color="auto"/>
                      </w:divBdr>
                    </w:div>
                  </w:divsChild>
                </w:div>
                <w:div w:id="1353335273">
                  <w:marLeft w:val="0"/>
                  <w:marRight w:val="0"/>
                  <w:marTop w:val="0"/>
                  <w:marBottom w:val="0"/>
                  <w:divBdr>
                    <w:top w:val="none" w:sz="0" w:space="0" w:color="auto"/>
                    <w:left w:val="none" w:sz="0" w:space="0" w:color="auto"/>
                    <w:bottom w:val="none" w:sz="0" w:space="0" w:color="auto"/>
                    <w:right w:val="none" w:sz="0" w:space="0" w:color="auto"/>
                  </w:divBdr>
                  <w:divsChild>
                    <w:div w:id="1203252150">
                      <w:marLeft w:val="0"/>
                      <w:marRight w:val="0"/>
                      <w:marTop w:val="0"/>
                      <w:marBottom w:val="0"/>
                      <w:divBdr>
                        <w:top w:val="none" w:sz="0" w:space="0" w:color="auto"/>
                        <w:left w:val="none" w:sz="0" w:space="0" w:color="auto"/>
                        <w:bottom w:val="none" w:sz="0" w:space="0" w:color="auto"/>
                        <w:right w:val="none" w:sz="0" w:space="0" w:color="auto"/>
                      </w:divBdr>
                    </w:div>
                    <w:div w:id="1950888312">
                      <w:marLeft w:val="0"/>
                      <w:marRight w:val="0"/>
                      <w:marTop w:val="0"/>
                      <w:marBottom w:val="0"/>
                      <w:divBdr>
                        <w:top w:val="none" w:sz="0" w:space="0" w:color="auto"/>
                        <w:left w:val="none" w:sz="0" w:space="0" w:color="auto"/>
                        <w:bottom w:val="none" w:sz="0" w:space="0" w:color="auto"/>
                        <w:right w:val="none" w:sz="0" w:space="0" w:color="auto"/>
                      </w:divBdr>
                    </w:div>
                  </w:divsChild>
                </w:div>
                <w:div w:id="1813020608">
                  <w:marLeft w:val="0"/>
                  <w:marRight w:val="0"/>
                  <w:marTop w:val="0"/>
                  <w:marBottom w:val="0"/>
                  <w:divBdr>
                    <w:top w:val="none" w:sz="0" w:space="0" w:color="auto"/>
                    <w:left w:val="none" w:sz="0" w:space="0" w:color="auto"/>
                    <w:bottom w:val="none" w:sz="0" w:space="0" w:color="auto"/>
                    <w:right w:val="none" w:sz="0" w:space="0" w:color="auto"/>
                  </w:divBdr>
                  <w:divsChild>
                    <w:div w:id="1314914380">
                      <w:marLeft w:val="0"/>
                      <w:marRight w:val="0"/>
                      <w:marTop w:val="0"/>
                      <w:marBottom w:val="0"/>
                      <w:divBdr>
                        <w:top w:val="none" w:sz="0" w:space="0" w:color="auto"/>
                        <w:left w:val="none" w:sz="0" w:space="0" w:color="auto"/>
                        <w:bottom w:val="none" w:sz="0" w:space="0" w:color="auto"/>
                        <w:right w:val="none" w:sz="0" w:space="0" w:color="auto"/>
                      </w:divBdr>
                    </w:div>
                    <w:div w:id="1508592097">
                      <w:marLeft w:val="0"/>
                      <w:marRight w:val="0"/>
                      <w:marTop w:val="0"/>
                      <w:marBottom w:val="0"/>
                      <w:divBdr>
                        <w:top w:val="none" w:sz="0" w:space="0" w:color="auto"/>
                        <w:left w:val="none" w:sz="0" w:space="0" w:color="auto"/>
                        <w:bottom w:val="none" w:sz="0" w:space="0" w:color="auto"/>
                        <w:right w:val="none" w:sz="0" w:space="0" w:color="auto"/>
                      </w:divBdr>
                    </w:div>
                  </w:divsChild>
                </w:div>
                <w:div w:id="1827164727">
                  <w:marLeft w:val="0"/>
                  <w:marRight w:val="0"/>
                  <w:marTop w:val="0"/>
                  <w:marBottom w:val="0"/>
                  <w:divBdr>
                    <w:top w:val="none" w:sz="0" w:space="0" w:color="auto"/>
                    <w:left w:val="none" w:sz="0" w:space="0" w:color="auto"/>
                    <w:bottom w:val="none" w:sz="0" w:space="0" w:color="auto"/>
                    <w:right w:val="none" w:sz="0" w:space="0" w:color="auto"/>
                  </w:divBdr>
                  <w:divsChild>
                    <w:div w:id="1654485770">
                      <w:marLeft w:val="0"/>
                      <w:marRight w:val="0"/>
                      <w:marTop w:val="0"/>
                      <w:marBottom w:val="0"/>
                      <w:divBdr>
                        <w:top w:val="none" w:sz="0" w:space="0" w:color="auto"/>
                        <w:left w:val="none" w:sz="0" w:space="0" w:color="auto"/>
                        <w:bottom w:val="none" w:sz="0" w:space="0" w:color="auto"/>
                        <w:right w:val="none" w:sz="0" w:space="0" w:color="auto"/>
                      </w:divBdr>
                    </w:div>
                  </w:divsChild>
                </w:div>
                <w:div w:id="1897817159">
                  <w:marLeft w:val="0"/>
                  <w:marRight w:val="0"/>
                  <w:marTop w:val="0"/>
                  <w:marBottom w:val="0"/>
                  <w:divBdr>
                    <w:top w:val="none" w:sz="0" w:space="0" w:color="auto"/>
                    <w:left w:val="none" w:sz="0" w:space="0" w:color="auto"/>
                    <w:bottom w:val="none" w:sz="0" w:space="0" w:color="auto"/>
                    <w:right w:val="none" w:sz="0" w:space="0" w:color="auto"/>
                  </w:divBdr>
                  <w:divsChild>
                    <w:div w:id="1247880721">
                      <w:marLeft w:val="0"/>
                      <w:marRight w:val="0"/>
                      <w:marTop w:val="0"/>
                      <w:marBottom w:val="0"/>
                      <w:divBdr>
                        <w:top w:val="none" w:sz="0" w:space="0" w:color="auto"/>
                        <w:left w:val="none" w:sz="0" w:space="0" w:color="auto"/>
                        <w:bottom w:val="none" w:sz="0" w:space="0" w:color="auto"/>
                        <w:right w:val="none" w:sz="0" w:space="0" w:color="auto"/>
                      </w:divBdr>
                    </w:div>
                    <w:div w:id="1625235756">
                      <w:marLeft w:val="0"/>
                      <w:marRight w:val="0"/>
                      <w:marTop w:val="0"/>
                      <w:marBottom w:val="0"/>
                      <w:divBdr>
                        <w:top w:val="none" w:sz="0" w:space="0" w:color="auto"/>
                        <w:left w:val="none" w:sz="0" w:space="0" w:color="auto"/>
                        <w:bottom w:val="none" w:sz="0" w:space="0" w:color="auto"/>
                        <w:right w:val="none" w:sz="0" w:space="0" w:color="auto"/>
                      </w:divBdr>
                    </w:div>
                    <w:div w:id="1644196334">
                      <w:marLeft w:val="0"/>
                      <w:marRight w:val="0"/>
                      <w:marTop w:val="0"/>
                      <w:marBottom w:val="0"/>
                      <w:divBdr>
                        <w:top w:val="none" w:sz="0" w:space="0" w:color="auto"/>
                        <w:left w:val="none" w:sz="0" w:space="0" w:color="auto"/>
                        <w:bottom w:val="none" w:sz="0" w:space="0" w:color="auto"/>
                        <w:right w:val="none" w:sz="0" w:space="0" w:color="auto"/>
                      </w:divBdr>
                    </w:div>
                  </w:divsChild>
                </w:div>
                <w:div w:id="2036998885">
                  <w:marLeft w:val="0"/>
                  <w:marRight w:val="0"/>
                  <w:marTop w:val="0"/>
                  <w:marBottom w:val="0"/>
                  <w:divBdr>
                    <w:top w:val="none" w:sz="0" w:space="0" w:color="auto"/>
                    <w:left w:val="none" w:sz="0" w:space="0" w:color="auto"/>
                    <w:bottom w:val="none" w:sz="0" w:space="0" w:color="auto"/>
                    <w:right w:val="none" w:sz="0" w:space="0" w:color="auto"/>
                  </w:divBdr>
                  <w:divsChild>
                    <w:div w:id="17813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391">
          <w:marLeft w:val="0"/>
          <w:marRight w:val="0"/>
          <w:marTop w:val="0"/>
          <w:marBottom w:val="0"/>
          <w:divBdr>
            <w:top w:val="none" w:sz="0" w:space="0" w:color="auto"/>
            <w:left w:val="none" w:sz="0" w:space="0" w:color="auto"/>
            <w:bottom w:val="none" w:sz="0" w:space="0" w:color="auto"/>
            <w:right w:val="none" w:sz="0" w:space="0" w:color="auto"/>
          </w:divBdr>
        </w:div>
      </w:divsChild>
    </w:div>
    <w:div w:id="846752322">
      <w:bodyDiv w:val="1"/>
      <w:marLeft w:val="0"/>
      <w:marRight w:val="0"/>
      <w:marTop w:val="0"/>
      <w:marBottom w:val="0"/>
      <w:divBdr>
        <w:top w:val="none" w:sz="0" w:space="0" w:color="auto"/>
        <w:left w:val="none" w:sz="0" w:space="0" w:color="auto"/>
        <w:bottom w:val="none" w:sz="0" w:space="0" w:color="auto"/>
        <w:right w:val="none" w:sz="0" w:space="0" w:color="auto"/>
      </w:divBdr>
    </w:div>
    <w:div w:id="885724073">
      <w:bodyDiv w:val="1"/>
      <w:marLeft w:val="0"/>
      <w:marRight w:val="0"/>
      <w:marTop w:val="0"/>
      <w:marBottom w:val="0"/>
      <w:divBdr>
        <w:top w:val="none" w:sz="0" w:space="0" w:color="auto"/>
        <w:left w:val="none" w:sz="0" w:space="0" w:color="auto"/>
        <w:bottom w:val="none" w:sz="0" w:space="0" w:color="auto"/>
        <w:right w:val="none" w:sz="0" w:space="0" w:color="auto"/>
      </w:divBdr>
    </w:div>
    <w:div w:id="912618563">
      <w:bodyDiv w:val="1"/>
      <w:marLeft w:val="0"/>
      <w:marRight w:val="0"/>
      <w:marTop w:val="0"/>
      <w:marBottom w:val="0"/>
      <w:divBdr>
        <w:top w:val="none" w:sz="0" w:space="0" w:color="auto"/>
        <w:left w:val="none" w:sz="0" w:space="0" w:color="auto"/>
        <w:bottom w:val="none" w:sz="0" w:space="0" w:color="auto"/>
        <w:right w:val="none" w:sz="0" w:space="0" w:color="auto"/>
      </w:divBdr>
    </w:div>
    <w:div w:id="934824930">
      <w:bodyDiv w:val="1"/>
      <w:marLeft w:val="0"/>
      <w:marRight w:val="0"/>
      <w:marTop w:val="0"/>
      <w:marBottom w:val="0"/>
      <w:divBdr>
        <w:top w:val="none" w:sz="0" w:space="0" w:color="auto"/>
        <w:left w:val="none" w:sz="0" w:space="0" w:color="auto"/>
        <w:bottom w:val="none" w:sz="0" w:space="0" w:color="auto"/>
        <w:right w:val="none" w:sz="0" w:space="0" w:color="auto"/>
      </w:divBdr>
    </w:div>
    <w:div w:id="1003556616">
      <w:bodyDiv w:val="1"/>
      <w:marLeft w:val="0"/>
      <w:marRight w:val="0"/>
      <w:marTop w:val="0"/>
      <w:marBottom w:val="0"/>
      <w:divBdr>
        <w:top w:val="none" w:sz="0" w:space="0" w:color="auto"/>
        <w:left w:val="none" w:sz="0" w:space="0" w:color="auto"/>
        <w:bottom w:val="none" w:sz="0" w:space="0" w:color="auto"/>
        <w:right w:val="none" w:sz="0" w:space="0" w:color="auto"/>
      </w:divBdr>
    </w:div>
    <w:div w:id="113209680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03340853">
      <w:bodyDiv w:val="1"/>
      <w:marLeft w:val="0"/>
      <w:marRight w:val="0"/>
      <w:marTop w:val="0"/>
      <w:marBottom w:val="0"/>
      <w:divBdr>
        <w:top w:val="none" w:sz="0" w:space="0" w:color="auto"/>
        <w:left w:val="none" w:sz="0" w:space="0" w:color="auto"/>
        <w:bottom w:val="none" w:sz="0" w:space="0" w:color="auto"/>
        <w:right w:val="none" w:sz="0" w:space="0" w:color="auto"/>
      </w:divBdr>
    </w:div>
    <w:div w:id="1365055568">
      <w:bodyDiv w:val="1"/>
      <w:marLeft w:val="0"/>
      <w:marRight w:val="0"/>
      <w:marTop w:val="0"/>
      <w:marBottom w:val="0"/>
      <w:divBdr>
        <w:top w:val="none" w:sz="0" w:space="0" w:color="auto"/>
        <w:left w:val="none" w:sz="0" w:space="0" w:color="auto"/>
        <w:bottom w:val="none" w:sz="0" w:space="0" w:color="auto"/>
        <w:right w:val="none" w:sz="0" w:space="0" w:color="auto"/>
      </w:divBdr>
    </w:div>
    <w:div w:id="1403717153">
      <w:bodyDiv w:val="1"/>
      <w:marLeft w:val="0"/>
      <w:marRight w:val="0"/>
      <w:marTop w:val="0"/>
      <w:marBottom w:val="0"/>
      <w:divBdr>
        <w:top w:val="none" w:sz="0" w:space="0" w:color="auto"/>
        <w:left w:val="none" w:sz="0" w:space="0" w:color="auto"/>
        <w:bottom w:val="none" w:sz="0" w:space="0" w:color="auto"/>
        <w:right w:val="none" w:sz="0" w:space="0" w:color="auto"/>
      </w:divBdr>
    </w:div>
    <w:div w:id="1405909336">
      <w:bodyDiv w:val="1"/>
      <w:marLeft w:val="0"/>
      <w:marRight w:val="0"/>
      <w:marTop w:val="0"/>
      <w:marBottom w:val="0"/>
      <w:divBdr>
        <w:top w:val="none" w:sz="0" w:space="0" w:color="auto"/>
        <w:left w:val="none" w:sz="0" w:space="0" w:color="auto"/>
        <w:bottom w:val="none" w:sz="0" w:space="0" w:color="auto"/>
        <w:right w:val="none" w:sz="0" w:space="0" w:color="auto"/>
      </w:divBdr>
    </w:div>
    <w:div w:id="1448618690">
      <w:bodyDiv w:val="1"/>
      <w:marLeft w:val="0"/>
      <w:marRight w:val="0"/>
      <w:marTop w:val="0"/>
      <w:marBottom w:val="0"/>
      <w:divBdr>
        <w:top w:val="none" w:sz="0" w:space="0" w:color="auto"/>
        <w:left w:val="none" w:sz="0" w:space="0" w:color="auto"/>
        <w:bottom w:val="none" w:sz="0" w:space="0" w:color="auto"/>
        <w:right w:val="none" w:sz="0" w:space="0" w:color="auto"/>
      </w:divBdr>
    </w:div>
    <w:div w:id="1448890209">
      <w:bodyDiv w:val="1"/>
      <w:marLeft w:val="0"/>
      <w:marRight w:val="0"/>
      <w:marTop w:val="0"/>
      <w:marBottom w:val="0"/>
      <w:divBdr>
        <w:top w:val="none" w:sz="0" w:space="0" w:color="auto"/>
        <w:left w:val="none" w:sz="0" w:space="0" w:color="auto"/>
        <w:bottom w:val="none" w:sz="0" w:space="0" w:color="auto"/>
        <w:right w:val="none" w:sz="0" w:space="0" w:color="auto"/>
      </w:divBdr>
    </w:div>
    <w:div w:id="1456172753">
      <w:bodyDiv w:val="1"/>
      <w:marLeft w:val="0"/>
      <w:marRight w:val="0"/>
      <w:marTop w:val="0"/>
      <w:marBottom w:val="0"/>
      <w:divBdr>
        <w:top w:val="none" w:sz="0" w:space="0" w:color="auto"/>
        <w:left w:val="none" w:sz="0" w:space="0" w:color="auto"/>
        <w:bottom w:val="none" w:sz="0" w:space="0" w:color="auto"/>
        <w:right w:val="none" w:sz="0" w:space="0" w:color="auto"/>
      </w:divBdr>
    </w:div>
    <w:div w:id="1548760512">
      <w:bodyDiv w:val="1"/>
      <w:marLeft w:val="0"/>
      <w:marRight w:val="0"/>
      <w:marTop w:val="0"/>
      <w:marBottom w:val="0"/>
      <w:divBdr>
        <w:top w:val="none" w:sz="0" w:space="0" w:color="auto"/>
        <w:left w:val="none" w:sz="0" w:space="0" w:color="auto"/>
        <w:bottom w:val="none" w:sz="0" w:space="0" w:color="auto"/>
        <w:right w:val="none" w:sz="0" w:space="0" w:color="auto"/>
      </w:divBdr>
    </w:div>
    <w:div w:id="1585263460">
      <w:bodyDiv w:val="1"/>
      <w:marLeft w:val="0"/>
      <w:marRight w:val="0"/>
      <w:marTop w:val="0"/>
      <w:marBottom w:val="0"/>
      <w:divBdr>
        <w:top w:val="none" w:sz="0" w:space="0" w:color="auto"/>
        <w:left w:val="none" w:sz="0" w:space="0" w:color="auto"/>
        <w:bottom w:val="none" w:sz="0" w:space="0" w:color="auto"/>
        <w:right w:val="none" w:sz="0" w:space="0" w:color="auto"/>
      </w:divBdr>
    </w:div>
    <w:div w:id="1662780307">
      <w:bodyDiv w:val="1"/>
      <w:marLeft w:val="0"/>
      <w:marRight w:val="0"/>
      <w:marTop w:val="0"/>
      <w:marBottom w:val="0"/>
      <w:divBdr>
        <w:top w:val="none" w:sz="0" w:space="0" w:color="auto"/>
        <w:left w:val="none" w:sz="0" w:space="0" w:color="auto"/>
        <w:bottom w:val="none" w:sz="0" w:space="0" w:color="auto"/>
        <w:right w:val="none" w:sz="0" w:space="0" w:color="auto"/>
      </w:divBdr>
    </w:div>
    <w:div w:id="1738623319">
      <w:bodyDiv w:val="1"/>
      <w:marLeft w:val="0"/>
      <w:marRight w:val="0"/>
      <w:marTop w:val="0"/>
      <w:marBottom w:val="0"/>
      <w:divBdr>
        <w:top w:val="none" w:sz="0" w:space="0" w:color="auto"/>
        <w:left w:val="none" w:sz="0" w:space="0" w:color="auto"/>
        <w:bottom w:val="none" w:sz="0" w:space="0" w:color="auto"/>
        <w:right w:val="none" w:sz="0" w:space="0" w:color="auto"/>
      </w:divBdr>
    </w:div>
    <w:div w:id="1804693474">
      <w:bodyDiv w:val="1"/>
      <w:marLeft w:val="0"/>
      <w:marRight w:val="0"/>
      <w:marTop w:val="0"/>
      <w:marBottom w:val="0"/>
      <w:divBdr>
        <w:top w:val="none" w:sz="0" w:space="0" w:color="auto"/>
        <w:left w:val="none" w:sz="0" w:space="0" w:color="auto"/>
        <w:bottom w:val="none" w:sz="0" w:space="0" w:color="auto"/>
        <w:right w:val="none" w:sz="0" w:space="0" w:color="auto"/>
      </w:divBdr>
      <w:divsChild>
        <w:div w:id="648943163">
          <w:marLeft w:val="0"/>
          <w:marRight w:val="0"/>
          <w:marTop w:val="0"/>
          <w:marBottom w:val="0"/>
          <w:divBdr>
            <w:top w:val="none" w:sz="0" w:space="0" w:color="auto"/>
            <w:left w:val="none" w:sz="0" w:space="0" w:color="auto"/>
            <w:bottom w:val="none" w:sz="0" w:space="0" w:color="auto"/>
            <w:right w:val="none" w:sz="0" w:space="0" w:color="auto"/>
          </w:divBdr>
          <w:divsChild>
            <w:div w:id="1987468125">
              <w:marLeft w:val="-75"/>
              <w:marRight w:val="0"/>
              <w:marTop w:val="30"/>
              <w:marBottom w:val="30"/>
              <w:divBdr>
                <w:top w:val="none" w:sz="0" w:space="0" w:color="auto"/>
                <w:left w:val="none" w:sz="0" w:space="0" w:color="auto"/>
                <w:bottom w:val="none" w:sz="0" w:space="0" w:color="auto"/>
                <w:right w:val="none" w:sz="0" w:space="0" w:color="auto"/>
              </w:divBdr>
              <w:divsChild>
                <w:div w:id="168564957">
                  <w:marLeft w:val="0"/>
                  <w:marRight w:val="0"/>
                  <w:marTop w:val="0"/>
                  <w:marBottom w:val="0"/>
                  <w:divBdr>
                    <w:top w:val="none" w:sz="0" w:space="0" w:color="auto"/>
                    <w:left w:val="none" w:sz="0" w:space="0" w:color="auto"/>
                    <w:bottom w:val="none" w:sz="0" w:space="0" w:color="auto"/>
                    <w:right w:val="none" w:sz="0" w:space="0" w:color="auto"/>
                  </w:divBdr>
                  <w:divsChild>
                    <w:div w:id="899942841">
                      <w:marLeft w:val="0"/>
                      <w:marRight w:val="0"/>
                      <w:marTop w:val="0"/>
                      <w:marBottom w:val="0"/>
                      <w:divBdr>
                        <w:top w:val="none" w:sz="0" w:space="0" w:color="auto"/>
                        <w:left w:val="none" w:sz="0" w:space="0" w:color="auto"/>
                        <w:bottom w:val="none" w:sz="0" w:space="0" w:color="auto"/>
                        <w:right w:val="none" w:sz="0" w:space="0" w:color="auto"/>
                      </w:divBdr>
                    </w:div>
                    <w:div w:id="900989592">
                      <w:marLeft w:val="0"/>
                      <w:marRight w:val="0"/>
                      <w:marTop w:val="0"/>
                      <w:marBottom w:val="0"/>
                      <w:divBdr>
                        <w:top w:val="none" w:sz="0" w:space="0" w:color="auto"/>
                        <w:left w:val="none" w:sz="0" w:space="0" w:color="auto"/>
                        <w:bottom w:val="none" w:sz="0" w:space="0" w:color="auto"/>
                        <w:right w:val="none" w:sz="0" w:space="0" w:color="auto"/>
                      </w:divBdr>
                    </w:div>
                    <w:div w:id="1819615584">
                      <w:marLeft w:val="0"/>
                      <w:marRight w:val="0"/>
                      <w:marTop w:val="0"/>
                      <w:marBottom w:val="0"/>
                      <w:divBdr>
                        <w:top w:val="none" w:sz="0" w:space="0" w:color="auto"/>
                        <w:left w:val="none" w:sz="0" w:space="0" w:color="auto"/>
                        <w:bottom w:val="none" w:sz="0" w:space="0" w:color="auto"/>
                        <w:right w:val="none" w:sz="0" w:space="0" w:color="auto"/>
                      </w:divBdr>
                    </w:div>
                  </w:divsChild>
                </w:div>
                <w:div w:id="482819270">
                  <w:marLeft w:val="0"/>
                  <w:marRight w:val="0"/>
                  <w:marTop w:val="0"/>
                  <w:marBottom w:val="0"/>
                  <w:divBdr>
                    <w:top w:val="none" w:sz="0" w:space="0" w:color="auto"/>
                    <w:left w:val="none" w:sz="0" w:space="0" w:color="auto"/>
                    <w:bottom w:val="none" w:sz="0" w:space="0" w:color="auto"/>
                    <w:right w:val="none" w:sz="0" w:space="0" w:color="auto"/>
                  </w:divBdr>
                  <w:divsChild>
                    <w:div w:id="330985520">
                      <w:marLeft w:val="0"/>
                      <w:marRight w:val="0"/>
                      <w:marTop w:val="0"/>
                      <w:marBottom w:val="0"/>
                      <w:divBdr>
                        <w:top w:val="none" w:sz="0" w:space="0" w:color="auto"/>
                        <w:left w:val="none" w:sz="0" w:space="0" w:color="auto"/>
                        <w:bottom w:val="none" w:sz="0" w:space="0" w:color="auto"/>
                        <w:right w:val="none" w:sz="0" w:space="0" w:color="auto"/>
                      </w:divBdr>
                    </w:div>
                  </w:divsChild>
                </w:div>
                <w:div w:id="637611377">
                  <w:marLeft w:val="0"/>
                  <w:marRight w:val="0"/>
                  <w:marTop w:val="0"/>
                  <w:marBottom w:val="0"/>
                  <w:divBdr>
                    <w:top w:val="none" w:sz="0" w:space="0" w:color="auto"/>
                    <w:left w:val="none" w:sz="0" w:space="0" w:color="auto"/>
                    <w:bottom w:val="none" w:sz="0" w:space="0" w:color="auto"/>
                    <w:right w:val="none" w:sz="0" w:space="0" w:color="auto"/>
                  </w:divBdr>
                  <w:divsChild>
                    <w:div w:id="157353695">
                      <w:marLeft w:val="0"/>
                      <w:marRight w:val="0"/>
                      <w:marTop w:val="0"/>
                      <w:marBottom w:val="0"/>
                      <w:divBdr>
                        <w:top w:val="none" w:sz="0" w:space="0" w:color="auto"/>
                        <w:left w:val="none" w:sz="0" w:space="0" w:color="auto"/>
                        <w:bottom w:val="none" w:sz="0" w:space="0" w:color="auto"/>
                        <w:right w:val="none" w:sz="0" w:space="0" w:color="auto"/>
                      </w:divBdr>
                    </w:div>
                    <w:div w:id="1039620736">
                      <w:marLeft w:val="0"/>
                      <w:marRight w:val="0"/>
                      <w:marTop w:val="0"/>
                      <w:marBottom w:val="0"/>
                      <w:divBdr>
                        <w:top w:val="none" w:sz="0" w:space="0" w:color="auto"/>
                        <w:left w:val="none" w:sz="0" w:space="0" w:color="auto"/>
                        <w:bottom w:val="none" w:sz="0" w:space="0" w:color="auto"/>
                        <w:right w:val="none" w:sz="0" w:space="0" w:color="auto"/>
                      </w:divBdr>
                    </w:div>
                  </w:divsChild>
                </w:div>
                <w:div w:id="695890782">
                  <w:marLeft w:val="0"/>
                  <w:marRight w:val="0"/>
                  <w:marTop w:val="0"/>
                  <w:marBottom w:val="0"/>
                  <w:divBdr>
                    <w:top w:val="none" w:sz="0" w:space="0" w:color="auto"/>
                    <w:left w:val="none" w:sz="0" w:space="0" w:color="auto"/>
                    <w:bottom w:val="none" w:sz="0" w:space="0" w:color="auto"/>
                    <w:right w:val="none" w:sz="0" w:space="0" w:color="auto"/>
                  </w:divBdr>
                  <w:divsChild>
                    <w:div w:id="569510690">
                      <w:marLeft w:val="0"/>
                      <w:marRight w:val="0"/>
                      <w:marTop w:val="0"/>
                      <w:marBottom w:val="0"/>
                      <w:divBdr>
                        <w:top w:val="none" w:sz="0" w:space="0" w:color="auto"/>
                        <w:left w:val="none" w:sz="0" w:space="0" w:color="auto"/>
                        <w:bottom w:val="none" w:sz="0" w:space="0" w:color="auto"/>
                        <w:right w:val="none" w:sz="0" w:space="0" w:color="auto"/>
                      </w:divBdr>
                    </w:div>
                  </w:divsChild>
                </w:div>
                <w:div w:id="788085063">
                  <w:marLeft w:val="0"/>
                  <w:marRight w:val="0"/>
                  <w:marTop w:val="0"/>
                  <w:marBottom w:val="0"/>
                  <w:divBdr>
                    <w:top w:val="none" w:sz="0" w:space="0" w:color="auto"/>
                    <w:left w:val="none" w:sz="0" w:space="0" w:color="auto"/>
                    <w:bottom w:val="none" w:sz="0" w:space="0" w:color="auto"/>
                    <w:right w:val="none" w:sz="0" w:space="0" w:color="auto"/>
                  </w:divBdr>
                  <w:divsChild>
                    <w:div w:id="321352190">
                      <w:marLeft w:val="0"/>
                      <w:marRight w:val="0"/>
                      <w:marTop w:val="0"/>
                      <w:marBottom w:val="0"/>
                      <w:divBdr>
                        <w:top w:val="none" w:sz="0" w:space="0" w:color="auto"/>
                        <w:left w:val="none" w:sz="0" w:space="0" w:color="auto"/>
                        <w:bottom w:val="none" w:sz="0" w:space="0" w:color="auto"/>
                        <w:right w:val="none" w:sz="0" w:space="0" w:color="auto"/>
                      </w:divBdr>
                    </w:div>
                    <w:div w:id="542329629">
                      <w:marLeft w:val="0"/>
                      <w:marRight w:val="0"/>
                      <w:marTop w:val="0"/>
                      <w:marBottom w:val="0"/>
                      <w:divBdr>
                        <w:top w:val="none" w:sz="0" w:space="0" w:color="auto"/>
                        <w:left w:val="none" w:sz="0" w:space="0" w:color="auto"/>
                        <w:bottom w:val="none" w:sz="0" w:space="0" w:color="auto"/>
                        <w:right w:val="none" w:sz="0" w:space="0" w:color="auto"/>
                      </w:divBdr>
                    </w:div>
                  </w:divsChild>
                </w:div>
                <w:div w:id="914633516">
                  <w:marLeft w:val="0"/>
                  <w:marRight w:val="0"/>
                  <w:marTop w:val="0"/>
                  <w:marBottom w:val="0"/>
                  <w:divBdr>
                    <w:top w:val="none" w:sz="0" w:space="0" w:color="auto"/>
                    <w:left w:val="none" w:sz="0" w:space="0" w:color="auto"/>
                    <w:bottom w:val="none" w:sz="0" w:space="0" w:color="auto"/>
                    <w:right w:val="none" w:sz="0" w:space="0" w:color="auto"/>
                  </w:divBdr>
                  <w:divsChild>
                    <w:div w:id="1940522109">
                      <w:marLeft w:val="0"/>
                      <w:marRight w:val="0"/>
                      <w:marTop w:val="0"/>
                      <w:marBottom w:val="0"/>
                      <w:divBdr>
                        <w:top w:val="none" w:sz="0" w:space="0" w:color="auto"/>
                        <w:left w:val="none" w:sz="0" w:space="0" w:color="auto"/>
                        <w:bottom w:val="none" w:sz="0" w:space="0" w:color="auto"/>
                        <w:right w:val="none" w:sz="0" w:space="0" w:color="auto"/>
                      </w:divBdr>
                    </w:div>
                  </w:divsChild>
                </w:div>
                <w:div w:id="972322204">
                  <w:marLeft w:val="0"/>
                  <w:marRight w:val="0"/>
                  <w:marTop w:val="0"/>
                  <w:marBottom w:val="0"/>
                  <w:divBdr>
                    <w:top w:val="none" w:sz="0" w:space="0" w:color="auto"/>
                    <w:left w:val="none" w:sz="0" w:space="0" w:color="auto"/>
                    <w:bottom w:val="none" w:sz="0" w:space="0" w:color="auto"/>
                    <w:right w:val="none" w:sz="0" w:space="0" w:color="auto"/>
                  </w:divBdr>
                  <w:divsChild>
                    <w:div w:id="39936370">
                      <w:marLeft w:val="0"/>
                      <w:marRight w:val="0"/>
                      <w:marTop w:val="0"/>
                      <w:marBottom w:val="0"/>
                      <w:divBdr>
                        <w:top w:val="none" w:sz="0" w:space="0" w:color="auto"/>
                        <w:left w:val="none" w:sz="0" w:space="0" w:color="auto"/>
                        <w:bottom w:val="none" w:sz="0" w:space="0" w:color="auto"/>
                        <w:right w:val="none" w:sz="0" w:space="0" w:color="auto"/>
                      </w:divBdr>
                    </w:div>
                    <w:div w:id="386881173">
                      <w:marLeft w:val="0"/>
                      <w:marRight w:val="0"/>
                      <w:marTop w:val="0"/>
                      <w:marBottom w:val="0"/>
                      <w:divBdr>
                        <w:top w:val="none" w:sz="0" w:space="0" w:color="auto"/>
                        <w:left w:val="none" w:sz="0" w:space="0" w:color="auto"/>
                        <w:bottom w:val="none" w:sz="0" w:space="0" w:color="auto"/>
                        <w:right w:val="none" w:sz="0" w:space="0" w:color="auto"/>
                      </w:divBdr>
                    </w:div>
                    <w:div w:id="1576354819">
                      <w:marLeft w:val="0"/>
                      <w:marRight w:val="0"/>
                      <w:marTop w:val="0"/>
                      <w:marBottom w:val="0"/>
                      <w:divBdr>
                        <w:top w:val="none" w:sz="0" w:space="0" w:color="auto"/>
                        <w:left w:val="none" w:sz="0" w:space="0" w:color="auto"/>
                        <w:bottom w:val="none" w:sz="0" w:space="0" w:color="auto"/>
                        <w:right w:val="none" w:sz="0" w:space="0" w:color="auto"/>
                      </w:divBdr>
                    </w:div>
                  </w:divsChild>
                </w:div>
                <w:div w:id="1046567860">
                  <w:marLeft w:val="0"/>
                  <w:marRight w:val="0"/>
                  <w:marTop w:val="0"/>
                  <w:marBottom w:val="0"/>
                  <w:divBdr>
                    <w:top w:val="none" w:sz="0" w:space="0" w:color="auto"/>
                    <w:left w:val="none" w:sz="0" w:space="0" w:color="auto"/>
                    <w:bottom w:val="none" w:sz="0" w:space="0" w:color="auto"/>
                    <w:right w:val="none" w:sz="0" w:space="0" w:color="auto"/>
                  </w:divBdr>
                  <w:divsChild>
                    <w:div w:id="1158882049">
                      <w:marLeft w:val="0"/>
                      <w:marRight w:val="0"/>
                      <w:marTop w:val="0"/>
                      <w:marBottom w:val="0"/>
                      <w:divBdr>
                        <w:top w:val="none" w:sz="0" w:space="0" w:color="auto"/>
                        <w:left w:val="none" w:sz="0" w:space="0" w:color="auto"/>
                        <w:bottom w:val="none" w:sz="0" w:space="0" w:color="auto"/>
                        <w:right w:val="none" w:sz="0" w:space="0" w:color="auto"/>
                      </w:divBdr>
                    </w:div>
                    <w:div w:id="1405644403">
                      <w:marLeft w:val="0"/>
                      <w:marRight w:val="0"/>
                      <w:marTop w:val="0"/>
                      <w:marBottom w:val="0"/>
                      <w:divBdr>
                        <w:top w:val="none" w:sz="0" w:space="0" w:color="auto"/>
                        <w:left w:val="none" w:sz="0" w:space="0" w:color="auto"/>
                        <w:bottom w:val="none" w:sz="0" w:space="0" w:color="auto"/>
                        <w:right w:val="none" w:sz="0" w:space="0" w:color="auto"/>
                      </w:divBdr>
                    </w:div>
                    <w:div w:id="1978029957">
                      <w:marLeft w:val="0"/>
                      <w:marRight w:val="0"/>
                      <w:marTop w:val="0"/>
                      <w:marBottom w:val="0"/>
                      <w:divBdr>
                        <w:top w:val="none" w:sz="0" w:space="0" w:color="auto"/>
                        <w:left w:val="none" w:sz="0" w:space="0" w:color="auto"/>
                        <w:bottom w:val="none" w:sz="0" w:space="0" w:color="auto"/>
                        <w:right w:val="none" w:sz="0" w:space="0" w:color="auto"/>
                      </w:divBdr>
                    </w:div>
                  </w:divsChild>
                </w:div>
                <w:div w:id="1372539410">
                  <w:marLeft w:val="0"/>
                  <w:marRight w:val="0"/>
                  <w:marTop w:val="0"/>
                  <w:marBottom w:val="0"/>
                  <w:divBdr>
                    <w:top w:val="none" w:sz="0" w:space="0" w:color="auto"/>
                    <w:left w:val="none" w:sz="0" w:space="0" w:color="auto"/>
                    <w:bottom w:val="none" w:sz="0" w:space="0" w:color="auto"/>
                    <w:right w:val="none" w:sz="0" w:space="0" w:color="auto"/>
                  </w:divBdr>
                  <w:divsChild>
                    <w:div w:id="547301077">
                      <w:marLeft w:val="0"/>
                      <w:marRight w:val="0"/>
                      <w:marTop w:val="0"/>
                      <w:marBottom w:val="0"/>
                      <w:divBdr>
                        <w:top w:val="none" w:sz="0" w:space="0" w:color="auto"/>
                        <w:left w:val="none" w:sz="0" w:space="0" w:color="auto"/>
                        <w:bottom w:val="none" w:sz="0" w:space="0" w:color="auto"/>
                        <w:right w:val="none" w:sz="0" w:space="0" w:color="auto"/>
                      </w:divBdr>
                    </w:div>
                    <w:div w:id="1830056163">
                      <w:marLeft w:val="0"/>
                      <w:marRight w:val="0"/>
                      <w:marTop w:val="0"/>
                      <w:marBottom w:val="0"/>
                      <w:divBdr>
                        <w:top w:val="none" w:sz="0" w:space="0" w:color="auto"/>
                        <w:left w:val="none" w:sz="0" w:space="0" w:color="auto"/>
                        <w:bottom w:val="none" w:sz="0" w:space="0" w:color="auto"/>
                        <w:right w:val="none" w:sz="0" w:space="0" w:color="auto"/>
                      </w:divBdr>
                    </w:div>
                    <w:div w:id="2095589122">
                      <w:marLeft w:val="0"/>
                      <w:marRight w:val="0"/>
                      <w:marTop w:val="0"/>
                      <w:marBottom w:val="0"/>
                      <w:divBdr>
                        <w:top w:val="none" w:sz="0" w:space="0" w:color="auto"/>
                        <w:left w:val="none" w:sz="0" w:space="0" w:color="auto"/>
                        <w:bottom w:val="none" w:sz="0" w:space="0" w:color="auto"/>
                        <w:right w:val="none" w:sz="0" w:space="0" w:color="auto"/>
                      </w:divBdr>
                    </w:div>
                  </w:divsChild>
                </w:div>
                <w:div w:id="1427386077">
                  <w:marLeft w:val="0"/>
                  <w:marRight w:val="0"/>
                  <w:marTop w:val="0"/>
                  <w:marBottom w:val="0"/>
                  <w:divBdr>
                    <w:top w:val="none" w:sz="0" w:space="0" w:color="auto"/>
                    <w:left w:val="none" w:sz="0" w:space="0" w:color="auto"/>
                    <w:bottom w:val="none" w:sz="0" w:space="0" w:color="auto"/>
                    <w:right w:val="none" w:sz="0" w:space="0" w:color="auto"/>
                  </w:divBdr>
                  <w:divsChild>
                    <w:div w:id="14499083">
                      <w:marLeft w:val="0"/>
                      <w:marRight w:val="0"/>
                      <w:marTop w:val="0"/>
                      <w:marBottom w:val="0"/>
                      <w:divBdr>
                        <w:top w:val="none" w:sz="0" w:space="0" w:color="auto"/>
                        <w:left w:val="none" w:sz="0" w:space="0" w:color="auto"/>
                        <w:bottom w:val="none" w:sz="0" w:space="0" w:color="auto"/>
                        <w:right w:val="none" w:sz="0" w:space="0" w:color="auto"/>
                      </w:divBdr>
                    </w:div>
                    <w:div w:id="2030980677">
                      <w:marLeft w:val="0"/>
                      <w:marRight w:val="0"/>
                      <w:marTop w:val="0"/>
                      <w:marBottom w:val="0"/>
                      <w:divBdr>
                        <w:top w:val="none" w:sz="0" w:space="0" w:color="auto"/>
                        <w:left w:val="none" w:sz="0" w:space="0" w:color="auto"/>
                        <w:bottom w:val="none" w:sz="0" w:space="0" w:color="auto"/>
                        <w:right w:val="none" w:sz="0" w:space="0" w:color="auto"/>
                      </w:divBdr>
                    </w:div>
                  </w:divsChild>
                </w:div>
                <w:div w:id="1470130872">
                  <w:marLeft w:val="0"/>
                  <w:marRight w:val="0"/>
                  <w:marTop w:val="0"/>
                  <w:marBottom w:val="0"/>
                  <w:divBdr>
                    <w:top w:val="none" w:sz="0" w:space="0" w:color="auto"/>
                    <w:left w:val="none" w:sz="0" w:space="0" w:color="auto"/>
                    <w:bottom w:val="none" w:sz="0" w:space="0" w:color="auto"/>
                    <w:right w:val="none" w:sz="0" w:space="0" w:color="auto"/>
                  </w:divBdr>
                  <w:divsChild>
                    <w:div w:id="1211721158">
                      <w:marLeft w:val="0"/>
                      <w:marRight w:val="0"/>
                      <w:marTop w:val="0"/>
                      <w:marBottom w:val="0"/>
                      <w:divBdr>
                        <w:top w:val="none" w:sz="0" w:space="0" w:color="auto"/>
                        <w:left w:val="none" w:sz="0" w:space="0" w:color="auto"/>
                        <w:bottom w:val="none" w:sz="0" w:space="0" w:color="auto"/>
                        <w:right w:val="none" w:sz="0" w:space="0" w:color="auto"/>
                      </w:divBdr>
                    </w:div>
                    <w:div w:id="1477137569">
                      <w:marLeft w:val="0"/>
                      <w:marRight w:val="0"/>
                      <w:marTop w:val="0"/>
                      <w:marBottom w:val="0"/>
                      <w:divBdr>
                        <w:top w:val="none" w:sz="0" w:space="0" w:color="auto"/>
                        <w:left w:val="none" w:sz="0" w:space="0" w:color="auto"/>
                        <w:bottom w:val="none" w:sz="0" w:space="0" w:color="auto"/>
                        <w:right w:val="none" w:sz="0" w:space="0" w:color="auto"/>
                      </w:divBdr>
                    </w:div>
                    <w:div w:id="1617521037">
                      <w:marLeft w:val="0"/>
                      <w:marRight w:val="0"/>
                      <w:marTop w:val="0"/>
                      <w:marBottom w:val="0"/>
                      <w:divBdr>
                        <w:top w:val="none" w:sz="0" w:space="0" w:color="auto"/>
                        <w:left w:val="none" w:sz="0" w:space="0" w:color="auto"/>
                        <w:bottom w:val="none" w:sz="0" w:space="0" w:color="auto"/>
                        <w:right w:val="none" w:sz="0" w:space="0" w:color="auto"/>
                      </w:divBdr>
                    </w:div>
                  </w:divsChild>
                </w:div>
                <w:div w:id="1564370456">
                  <w:marLeft w:val="0"/>
                  <w:marRight w:val="0"/>
                  <w:marTop w:val="0"/>
                  <w:marBottom w:val="0"/>
                  <w:divBdr>
                    <w:top w:val="none" w:sz="0" w:space="0" w:color="auto"/>
                    <w:left w:val="none" w:sz="0" w:space="0" w:color="auto"/>
                    <w:bottom w:val="none" w:sz="0" w:space="0" w:color="auto"/>
                    <w:right w:val="none" w:sz="0" w:space="0" w:color="auto"/>
                  </w:divBdr>
                  <w:divsChild>
                    <w:div w:id="1776900044">
                      <w:marLeft w:val="0"/>
                      <w:marRight w:val="0"/>
                      <w:marTop w:val="0"/>
                      <w:marBottom w:val="0"/>
                      <w:divBdr>
                        <w:top w:val="none" w:sz="0" w:space="0" w:color="auto"/>
                        <w:left w:val="none" w:sz="0" w:space="0" w:color="auto"/>
                        <w:bottom w:val="none" w:sz="0" w:space="0" w:color="auto"/>
                        <w:right w:val="none" w:sz="0" w:space="0" w:color="auto"/>
                      </w:divBdr>
                    </w:div>
                    <w:div w:id="20812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8181">
          <w:marLeft w:val="0"/>
          <w:marRight w:val="0"/>
          <w:marTop w:val="0"/>
          <w:marBottom w:val="0"/>
          <w:divBdr>
            <w:top w:val="none" w:sz="0" w:space="0" w:color="auto"/>
            <w:left w:val="none" w:sz="0" w:space="0" w:color="auto"/>
            <w:bottom w:val="none" w:sz="0" w:space="0" w:color="auto"/>
            <w:right w:val="none" w:sz="0" w:space="0" w:color="auto"/>
          </w:divBdr>
        </w:div>
      </w:divsChild>
    </w:div>
    <w:div w:id="1871141182">
      <w:bodyDiv w:val="1"/>
      <w:marLeft w:val="0"/>
      <w:marRight w:val="0"/>
      <w:marTop w:val="0"/>
      <w:marBottom w:val="0"/>
      <w:divBdr>
        <w:top w:val="none" w:sz="0" w:space="0" w:color="auto"/>
        <w:left w:val="none" w:sz="0" w:space="0" w:color="auto"/>
        <w:bottom w:val="none" w:sz="0" w:space="0" w:color="auto"/>
        <w:right w:val="none" w:sz="0" w:space="0" w:color="auto"/>
      </w:divBdr>
    </w:div>
    <w:div w:id="1930382956">
      <w:bodyDiv w:val="1"/>
      <w:marLeft w:val="0"/>
      <w:marRight w:val="0"/>
      <w:marTop w:val="0"/>
      <w:marBottom w:val="0"/>
      <w:divBdr>
        <w:top w:val="none" w:sz="0" w:space="0" w:color="auto"/>
        <w:left w:val="none" w:sz="0" w:space="0" w:color="auto"/>
        <w:bottom w:val="none" w:sz="0" w:space="0" w:color="auto"/>
        <w:right w:val="none" w:sz="0" w:space="0" w:color="auto"/>
      </w:divBdr>
    </w:div>
    <w:div w:id="1963341092">
      <w:bodyDiv w:val="1"/>
      <w:marLeft w:val="0"/>
      <w:marRight w:val="0"/>
      <w:marTop w:val="0"/>
      <w:marBottom w:val="0"/>
      <w:divBdr>
        <w:top w:val="none" w:sz="0" w:space="0" w:color="auto"/>
        <w:left w:val="none" w:sz="0" w:space="0" w:color="auto"/>
        <w:bottom w:val="none" w:sz="0" w:space="0" w:color="auto"/>
        <w:right w:val="none" w:sz="0" w:space="0" w:color="auto"/>
      </w:divBdr>
    </w:div>
    <w:div w:id="2060401148">
      <w:bodyDiv w:val="1"/>
      <w:marLeft w:val="0"/>
      <w:marRight w:val="0"/>
      <w:marTop w:val="0"/>
      <w:marBottom w:val="0"/>
      <w:divBdr>
        <w:top w:val="none" w:sz="0" w:space="0" w:color="auto"/>
        <w:left w:val="none" w:sz="0" w:space="0" w:color="auto"/>
        <w:bottom w:val="none" w:sz="0" w:space="0" w:color="auto"/>
        <w:right w:val="none" w:sz="0" w:space="0" w:color="auto"/>
      </w:divBdr>
    </w:div>
    <w:div w:id="211362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1.sv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yperlink" Target="https://www.digitalhealth.gov.au/about-us/policies-privacy-and-reporting/register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yperlink" Target="https://www.health.gov.au/resources/publications/electronic-national-residential-medication-charts-enrmc-conformance-status-tracker?language=en"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www.health.gov.au/resources/publications/electronic-national-residential-medication-charts-enrmc-conformance-status-tracker?language=en"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image" Target="media/image13.svg"/><Relationship Id="rId37" Type="http://schemas.openxmlformats.org/officeDocument/2006/relationships/hyperlink" Target="mailto:enrmc@health.gov.au"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our-work/gpaci" TargetMode="External"/><Relationship Id="rId23" Type="http://schemas.openxmlformats.org/officeDocument/2006/relationships/image" Target="media/image8.png"/><Relationship Id="rId28" Type="http://schemas.openxmlformats.org/officeDocument/2006/relationships/hyperlink" Target="https://www.digitalhealth.gov.au/about-us/policies-privacy-and-reporting/registers" TargetMode="External"/><Relationship Id="rId36" Type="http://schemas.openxmlformats.org/officeDocument/2006/relationships/hyperlink" Target="https://www.health.gov.au/resources/publications/enrmc-user-resource?language=en"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igitalhealth.gov.au/about-us/policies-privacy-and-reporting/registers" TargetMode="External"/><Relationship Id="rId27" Type="http://schemas.openxmlformats.org/officeDocument/2006/relationships/hyperlink" Target="https://www.health.gov.au/resources/publications/electronic-national-residential-medication-charts-enrmc-conformance-status-tracker?language=en" TargetMode="External"/><Relationship Id="rId30" Type="http://schemas.openxmlformats.org/officeDocument/2006/relationships/hyperlink" Target="https://www.digitalhealth.gov.au/about-us/policies-privacy-and-reporting/registers" TargetMode="External"/><Relationship Id="rId35" Type="http://schemas.openxmlformats.org/officeDocument/2006/relationships/hyperlink" Target="https://www.health.gov.au/resources/collections/enrmc-transitional-arrangements-collection?language=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14" ma:contentTypeDescription="Create a new document." ma:contentTypeScope="" ma:versionID="a1e011329a0f70766b9fcd70e4b7bf02">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fe799e0d4b2b5aa068cafd3003a66c5b"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642748-eb5e-49ca-a2c1-ad11f348f04d}" ma:internalName="TaxCatchAll" ma:showField="CatchAllData" ma:web="1ce55e6e-06dd-4e73-9374-e006fe8d856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lcf76f155ced4ddcb4097134ff3c332f xmlns="8d7b5d65-6a7b-4d29-8058-532dd865f997">
      <Terms xmlns="http://schemas.microsoft.com/office/infopath/2007/PartnerControls"/>
    </lcf76f155ced4ddcb4097134ff3c332f>
    <TaxCatchAll xmlns="1ce55e6e-06dd-4e73-9374-e006fe8d8563" xsi:nil="true"/>
  </documentManagement>
</p:properties>
</file>

<file path=customXml/itemProps1.xml><?xml version="1.0" encoding="utf-8"?>
<ds:datastoreItem xmlns:ds="http://schemas.openxmlformats.org/officeDocument/2006/customXml" ds:itemID="{200C2AE0-42EB-455C-957E-E788C41DA60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B9EA5D7-5002-47C6-BEA9-08FCAD9BB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8d7b5d65-6a7b-4d29-8058-532dd865f997"/>
    <ds:schemaRef ds:uri="1ce55e6e-06dd-4e73-9374-e006fe8d8563"/>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1415</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PBS Prescriber Fact Sheet: Electronic National Residential Medication Charts (eNRMC)</vt:lpstr>
    </vt:vector>
  </TitlesOfParts>
  <Company/>
  <LinksUpToDate>false</LinksUpToDate>
  <CharactersWithSpaces>11127</CharactersWithSpaces>
  <SharedDoc>false</SharedDoc>
  <HLinks>
    <vt:vector size="48" baseType="variant">
      <vt:variant>
        <vt:i4>7405592</vt:i4>
      </vt:variant>
      <vt:variant>
        <vt:i4>18</vt:i4>
      </vt:variant>
      <vt:variant>
        <vt:i4>0</vt:i4>
      </vt:variant>
      <vt:variant>
        <vt:i4>5</vt:i4>
      </vt:variant>
      <vt:variant>
        <vt:lpwstr>mailto:enrmc@health.gov.au</vt:lpwstr>
      </vt:variant>
      <vt:variant>
        <vt:lpwstr/>
      </vt:variant>
      <vt:variant>
        <vt:i4>4259857</vt:i4>
      </vt:variant>
      <vt:variant>
        <vt:i4>15</vt:i4>
      </vt:variant>
      <vt:variant>
        <vt:i4>0</vt:i4>
      </vt:variant>
      <vt:variant>
        <vt:i4>5</vt:i4>
      </vt:variant>
      <vt:variant>
        <vt:lpwstr>https://www.health.gov.au/resources/publications/enrmc-user-resource?language=en</vt:lpwstr>
      </vt:variant>
      <vt:variant>
        <vt:lpwstr/>
      </vt:variant>
      <vt:variant>
        <vt:i4>3932201</vt:i4>
      </vt:variant>
      <vt:variant>
        <vt:i4>12</vt:i4>
      </vt:variant>
      <vt:variant>
        <vt:i4>0</vt:i4>
      </vt:variant>
      <vt:variant>
        <vt:i4>5</vt:i4>
      </vt:variant>
      <vt:variant>
        <vt:lpwstr>https://www.health.gov.au/resources/collections/enrmc-transitional-arrangements-collection?language=en</vt:lpwstr>
      </vt:variant>
      <vt:variant>
        <vt:lpwstr/>
      </vt:variant>
      <vt:variant>
        <vt:i4>7864359</vt:i4>
      </vt:variant>
      <vt:variant>
        <vt:i4>9</vt:i4>
      </vt:variant>
      <vt:variant>
        <vt:i4>0</vt:i4>
      </vt:variant>
      <vt:variant>
        <vt:i4>5</vt:i4>
      </vt:variant>
      <vt:variant>
        <vt:lpwstr>https://www.digitalhealth.gov.au/about-us/policies-privacy-and-reporting/registers</vt:lpwstr>
      </vt:variant>
      <vt:variant>
        <vt:lpwstr/>
      </vt:variant>
      <vt:variant>
        <vt:i4>3932208</vt:i4>
      </vt:variant>
      <vt:variant>
        <vt:i4>6</vt:i4>
      </vt:variant>
      <vt:variant>
        <vt:i4>0</vt:i4>
      </vt:variant>
      <vt:variant>
        <vt:i4>5</vt:i4>
      </vt:variant>
      <vt:variant>
        <vt:lpwstr>https://www.digitalhealth.gov.au/sites/default/files/documents/transitional-enrmc-conformance-register-20240604.pdf</vt:lpwstr>
      </vt:variant>
      <vt:variant>
        <vt:lpwstr/>
      </vt:variant>
      <vt:variant>
        <vt:i4>7864359</vt:i4>
      </vt:variant>
      <vt:variant>
        <vt:i4>3</vt:i4>
      </vt:variant>
      <vt:variant>
        <vt:i4>0</vt:i4>
      </vt:variant>
      <vt:variant>
        <vt:i4>5</vt:i4>
      </vt:variant>
      <vt:variant>
        <vt:lpwstr>https://www.digitalhealth.gov.au/about-us/policies-privacy-and-reporting/registers</vt:lpwstr>
      </vt:variant>
      <vt:variant>
        <vt:lpwstr/>
      </vt:variant>
      <vt:variant>
        <vt:i4>7864359</vt:i4>
      </vt:variant>
      <vt:variant>
        <vt:i4>0</vt:i4>
      </vt:variant>
      <vt:variant>
        <vt:i4>0</vt:i4>
      </vt:variant>
      <vt:variant>
        <vt:i4>5</vt:i4>
      </vt:variant>
      <vt:variant>
        <vt:lpwstr>https://www.digitalhealth.gov.au/about-us/policies-privacy-and-reporting/registers</vt:lpwstr>
      </vt:variant>
      <vt:variant>
        <vt:lpwstr/>
      </vt:variant>
      <vt:variant>
        <vt:i4>4521987</vt:i4>
      </vt:variant>
      <vt:variant>
        <vt:i4>0</vt:i4>
      </vt:variant>
      <vt:variant>
        <vt:i4>0</vt:i4>
      </vt:variant>
      <vt:variant>
        <vt:i4>5</vt:i4>
      </vt:variant>
      <vt:variant>
        <vt:lpwstr>https://www.health.gov.au/our-work/gpaci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PBS Prescriber Fact Sheet: Electronic National Residential Medication Charts (eNRMC)</dc:title>
  <dc:subject>eNRMC – Prescriber fact sheet</dc:subject>
  <dc:creator>Australian Government Department of Health Disability and Ageing</dc:creator>
  <cp:keywords>eNRMC</cp:keywords>
  <cp:revision>3</cp:revision>
  <dcterms:created xsi:type="dcterms:W3CDTF">2025-09-08T00:15:00Z</dcterms:created>
  <dcterms:modified xsi:type="dcterms:W3CDTF">2025-09-19T06:14:00Z</dcterms:modified>
</cp:coreProperties>
</file>