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C3D5" w14:textId="48EBCF3C" w:rsidR="00764AC3" w:rsidRPr="007B096F" w:rsidRDefault="003702F1" w:rsidP="001D217F">
      <w:pPr>
        <w:pStyle w:val="Heading1"/>
        <w:rPr>
          <w:sz w:val="40"/>
          <w:szCs w:val="32"/>
        </w:rPr>
      </w:pPr>
      <w:r w:rsidRPr="007B096F">
        <w:rPr>
          <w:sz w:val="40"/>
          <w:szCs w:val="32"/>
        </w:rPr>
        <w:t xml:space="preserve">Delivery </w:t>
      </w:r>
      <w:r w:rsidR="009A2CD7" w:rsidRPr="007B096F">
        <w:rPr>
          <w:sz w:val="40"/>
          <w:szCs w:val="32"/>
        </w:rPr>
        <w:t xml:space="preserve">of </w:t>
      </w:r>
      <w:r w:rsidR="00004C2C" w:rsidRPr="007B096F">
        <w:rPr>
          <w:sz w:val="40"/>
          <w:szCs w:val="32"/>
        </w:rPr>
        <w:t>r</w:t>
      </w:r>
      <w:r w:rsidR="00764AC3" w:rsidRPr="007B096F">
        <w:rPr>
          <w:sz w:val="40"/>
          <w:szCs w:val="32"/>
        </w:rPr>
        <w:t>eform</w:t>
      </w:r>
      <w:r w:rsidR="00004C2C" w:rsidRPr="007B096F">
        <w:rPr>
          <w:sz w:val="40"/>
          <w:szCs w:val="32"/>
        </w:rPr>
        <w:t>s to</w:t>
      </w:r>
      <w:r w:rsidR="00764AC3" w:rsidRPr="007B096F">
        <w:rPr>
          <w:sz w:val="40"/>
          <w:szCs w:val="32"/>
        </w:rPr>
        <w:t xml:space="preserve"> </w:t>
      </w:r>
      <w:r w:rsidR="00CA5DBA" w:rsidRPr="007B096F">
        <w:rPr>
          <w:sz w:val="40"/>
          <w:szCs w:val="32"/>
        </w:rPr>
        <w:t>p</w:t>
      </w:r>
      <w:r w:rsidR="00764AC3" w:rsidRPr="007B096F">
        <w:rPr>
          <w:sz w:val="40"/>
          <w:szCs w:val="32"/>
        </w:rPr>
        <w:t xml:space="preserve">athology </w:t>
      </w:r>
      <w:r w:rsidR="00CA5DBA" w:rsidRPr="007B096F">
        <w:rPr>
          <w:sz w:val="40"/>
          <w:szCs w:val="32"/>
        </w:rPr>
        <w:t>a</w:t>
      </w:r>
      <w:r w:rsidR="00764AC3" w:rsidRPr="007B096F">
        <w:rPr>
          <w:sz w:val="40"/>
          <w:szCs w:val="32"/>
        </w:rPr>
        <w:t xml:space="preserve">pplication </w:t>
      </w:r>
      <w:r w:rsidR="00CA5DBA" w:rsidRPr="007B096F">
        <w:rPr>
          <w:sz w:val="40"/>
          <w:szCs w:val="32"/>
        </w:rPr>
        <w:t>c</w:t>
      </w:r>
      <w:r w:rsidR="00764AC3" w:rsidRPr="007B096F">
        <w:rPr>
          <w:sz w:val="40"/>
          <w:szCs w:val="32"/>
        </w:rPr>
        <w:t xml:space="preserve">harging </w:t>
      </w:r>
      <w:r w:rsidR="00CA5DBA" w:rsidRPr="007B096F">
        <w:rPr>
          <w:sz w:val="40"/>
          <w:szCs w:val="32"/>
        </w:rPr>
        <w:t>a</w:t>
      </w:r>
      <w:r w:rsidR="00764AC3" w:rsidRPr="007B096F">
        <w:rPr>
          <w:sz w:val="40"/>
          <w:szCs w:val="32"/>
        </w:rPr>
        <w:t>rrangements</w:t>
      </w:r>
    </w:p>
    <w:p w14:paraId="00B4F37D" w14:textId="618F623F" w:rsidR="00AD7DB6" w:rsidRDefault="00764AC3" w:rsidP="00764AC3">
      <w:r w:rsidRPr="00F70F44">
        <w:t>The Australian Government</w:t>
      </w:r>
      <w:r w:rsidR="00BA334D" w:rsidRPr="00F70F44">
        <w:t xml:space="preserve"> has delivered it</w:t>
      </w:r>
      <w:r w:rsidRPr="00F70F44">
        <w:t>s 2024-25 Budget commitment to reform pathology application charging arrangements</w:t>
      </w:r>
      <w:r w:rsidR="00164D47" w:rsidRPr="00F70F44">
        <w:t xml:space="preserve">. </w:t>
      </w:r>
      <w:r w:rsidR="00B22D0E" w:rsidRPr="00F70F44">
        <w:t>T</w:t>
      </w:r>
      <w:r w:rsidR="00850B46" w:rsidRPr="00F70F44">
        <w:t xml:space="preserve">his has been achieved </w:t>
      </w:r>
      <w:r w:rsidRPr="00F70F44">
        <w:t xml:space="preserve">by </w:t>
      </w:r>
      <w:r w:rsidR="002E06D6" w:rsidRPr="00F70F44">
        <w:t xml:space="preserve">making the </w:t>
      </w:r>
      <w:hyperlink r:id="rId11" w:history="1">
        <w:r w:rsidR="002E06D6" w:rsidRPr="00F70F44">
          <w:rPr>
            <w:rStyle w:val="Hyperlink"/>
          </w:rPr>
          <w:t xml:space="preserve">Health Insurance </w:t>
        </w:r>
        <w:r w:rsidR="0041738D" w:rsidRPr="00F70F44">
          <w:rPr>
            <w:rStyle w:val="Hyperlink"/>
          </w:rPr>
          <w:t>(</w:t>
        </w:r>
        <w:r w:rsidR="002E06D6" w:rsidRPr="00F70F44">
          <w:rPr>
            <w:rStyle w:val="Hyperlink"/>
          </w:rPr>
          <w:t>Pathology</w:t>
        </w:r>
        <w:r w:rsidR="0041738D" w:rsidRPr="00F70F44">
          <w:rPr>
            <w:rStyle w:val="Hyperlink"/>
          </w:rPr>
          <w:t>)</w:t>
        </w:r>
        <w:r w:rsidR="00476319" w:rsidRPr="00F70F44">
          <w:rPr>
            <w:rStyle w:val="Hyperlink"/>
          </w:rPr>
          <w:t xml:space="preserve"> </w:t>
        </w:r>
        <w:r w:rsidR="0041738D" w:rsidRPr="00F70F44">
          <w:rPr>
            <w:rStyle w:val="Hyperlink"/>
          </w:rPr>
          <w:t>(</w:t>
        </w:r>
        <w:r w:rsidR="002E06D6" w:rsidRPr="00F70F44">
          <w:rPr>
            <w:rStyle w:val="Hyperlink"/>
          </w:rPr>
          <w:t>Fees</w:t>
        </w:r>
        <w:r w:rsidR="0041738D" w:rsidRPr="00F70F44">
          <w:rPr>
            <w:rStyle w:val="Hyperlink"/>
          </w:rPr>
          <w:t>)</w:t>
        </w:r>
        <w:r w:rsidR="00476319" w:rsidRPr="00F70F44">
          <w:rPr>
            <w:rStyle w:val="Hyperlink"/>
          </w:rPr>
          <w:t xml:space="preserve"> </w:t>
        </w:r>
        <w:r w:rsidR="0041738D" w:rsidRPr="00F70F44">
          <w:rPr>
            <w:rStyle w:val="Hyperlink"/>
          </w:rPr>
          <w:t>(</w:t>
        </w:r>
        <w:r w:rsidR="002E06D6" w:rsidRPr="00F70F44">
          <w:rPr>
            <w:rStyle w:val="Hyperlink"/>
          </w:rPr>
          <w:t>Repeal</w:t>
        </w:r>
        <w:r w:rsidR="0041738D" w:rsidRPr="00F70F44">
          <w:rPr>
            <w:rStyle w:val="Hyperlink"/>
          </w:rPr>
          <w:t>)</w:t>
        </w:r>
        <w:r w:rsidR="002E06D6" w:rsidRPr="00F70F44">
          <w:rPr>
            <w:rStyle w:val="Hyperlink"/>
          </w:rPr>
          <w:t xml:space="preserve"> Act </w:t>
        </w:r>
        <w:r w:rsidR="0016469F" w:rsidRPr="00F70F44">
          <w:rPr>
            <w:rStyle w:val="Hyperlink"/>
          </w:rPr>
          <w:t>2025</w:t>
        </w:r>
      </w:hyperlink>
      <w:r w:rsidR="0016469F" w:rsidRPr="00F70F44">
        <w:t xml:space="preserve"> to </w:t>
      </w:r>
      <w:r w:rsidR="007E1382" w:rsidRPr="00F70F44">
        <w:t>r</w:t>
      </w:r>
      <w:r w:rsidRPr="00F70F44">
        <w:t xml:space="preserve">epeal the </w:t>
      </w:r>
      <w:r w:rsidRPr="00F70F44">
        <w:rPr>
          <w:i/>
          <w:iCs/>
        </w:rPr>
        <w:t xml:space="preserve">Health Insurance (Pathology)(Fees) Act 1991 </w:t>
      </w:r>
      <w:r w:rsidR="002E1427" w:rsidRPr="00F70F44">
        <w:t xml:space="preserve">and amend the </w:t>
      </w:r>
      <w:r w:rsidR="002E1427" w:rsidRPr="00F70F44">
        <w:rPr>
          <w:i/>
          <w:iCs/>
        </w:rPr>
        <w:t>Health Insurance Act 1973</w:t>
      </w:r>
      <w:r w:rsidR="008C2C22" w:rsidRPr="00F70F44">
        <w:rPr>
          <w:i/>
          <w:iCs/>
        </w:rPr>
        <w:t>.</w:t>
      </w:r>
    </w:p>
    <w:p w14:paraId="1AD22029" w14:textId="0584B4DC" w:rsidR="00764AC3" w:rsidRPr="00CC65DF" w:rsidRDefault="00AD7DB6" w:rsidP="00082F61">
      <w:r>
        <w:t xml:space="preserve">It means that the </w:t>
      </w:r>
      <w:r w:rsidR="0070328C">
        <w:t>pathology sector will no</w:t>
      </w:r>
      <w:r w:rsidR="00FD1C53">
        <w:t xml:space="preserve"> longer</w:t>
      </w:r>
      <w:r w:rsidR="0070328C">
        <w:t xml:space="preserve"> be required to pay </w:t>
      </w:r>
      <w:r w:rsidR="00764AC3">
        <w:t>fees for the</w:t>
      </w:r>
      <w:r w:rsidR="00AC3A1B">
        <w:t xml:space="preserve"> </w:t>
      </w:r>
      <w:r w:rsidR="0051091A">
        <w:t xml:space="preserve">approval of </w:t>
      </w:r>
      <w:r w:rsidR="00A1439E">
        <w:t xml:space="preserve">applications to provide Medicare </w:t>
      </w:r>
      <w:r w:rsidR="00E059B4">
        <w:t xml:space="preserve">eligible pathology services. </w:t>
      </w:r>
      <w:r w:rsidR="00A57A40">
        <w:t xml:space="preserve">This reform applies to </w:t>
      </w:r>
      <w:r w:rsidR="001C30F7">
        <w:t>a</w:t>
      </w:r>
      <w:r w:rsidR="00764AC3">
        <w:t xml:space="preserve">pproved pathology </w:t>
      </w:r>
      <w:r w:rsidR="003C3853">
        <w:t>authority</w:t>
      </w:r>
      <w:r w:rsidR="00764AC3">
        <w:t xml:space="preserve"> (APA)</w:t>
      </w:r>
      <w:r w:rsidR="00EA7C3F">
        <w:t xml:space="preserve">, </w:t>
      </w:r>
      <w:r w:rsidR="00764AC3">
        <w:t>approved pathology practitioner (APP)</w:t>
      </w:r>
      <w:r w:rsidR="009257B5">
        <w:t xml:space="preserve"> </w:t>
      </w:r>
      <w:r w:rsidR="00C507C3">
        <w:t xml:space="preserve">or accredited </w:t>
      </w:r>
      <w:r w:rsidR="00196BB1">
        <w:t>patho</w:t>
      </w:r>
      <w:r w:rsidR="00764AC3">
        <w:t>logy laborator</w:t>
      </w:r>
      <w:r w:rsidR="00A47A1B">
        <w:t>y</w:t>
      </w:r>
      <w:r w:rsidR="00764AC3">
        <w:t xml:space="preserve"> (APL)</w:t>
      </w:r>
      <w:r w:rsidR="00747651">
        <w:t xml:space="preserve"> applications</w:t>
      </w:r>
      <w:r w:rsidR="00764AC3">
        <w:t>.</w:t>
      </w:r>
      <w:r w:rsidR="005858EA">
        <w:t xml:space="preserve"> </w:t>
      </w:r>
    </w:p>
    <w:p w14:paraId="2CE44145" w14:textId="77777777" w:rsidR="00E77142" w:rsidRDefault="009F64A5" w:rsidP="00764AC3">
      <w:r w:rsidRPr="00F44879">
        <w:t xml:space="preserve">The reforms will </w:t>
      </w:r>
      <w:r w:rsidR="0072026B">
        <w:t>provide fee relief of</w:t>
      </w:r>
      <w:r w:rsidR="000D7B89">
        <w:t xml:space="preserve"> around</w:t>
      </w:r>
      <w:r w:rsidRPr="00F44879">
        <w:t xml:space="preserve"> $800,000 yearly </w:t>
      </w:r>
      <w:r w:rsidR="0072026B">
        <w:t xml:space="preserve">to the pathology sector </w:t>
      </w:r>
      <w:r w:rsidRPr="00F44879">
        <w:t>and simplify Medicare approval, reducing administrative burden for APAs.</w:t>
      </w:r>
      <w:r w:rsidR="007F5E43">
        <w:t xml:space="preserve"> </w:t>
      </w:r>
    </w:p>
    <w:p w14:paraId="7A6B2243" w14:textId="3AECE399" w:rsidR="00F44879" w:rsidRDefault="00D61C8C" w:rsidP="00764AC3">
      <w:r w:rsidRPr="00F44879">
        <w:t xml:space="preserve">Accreditation requirements </w:t>
      </w:r>
      <w:r w:rsidR="007F5E43">
        <w:t>have not been changed by this reform</w:t>
      </w:r>
      <w:r w:rsidRPr="00F44879">
        <w:t xml:space="preserve">, ensuring </w:t>
      </w:r>
      <w:r w:rsidR="00A87262" w:rsidRPr="00F44879">
        <w:t xml:space="preserve">ongoing </w:t>
      </w:r>
      <w:r w:rsidRPr="00F44879">
        <w:t xml:space="preserve">compliance with quality standards and </w:t>
      </w:r>
      <w:r w:rsidR="00040B1F">
        <w:t xml:space="preserve">maintaining public </w:t>
      </w:r>
      <w:r w:rsidRPr="00F44879">
        <w:t>confidence in pathology testing accuracy.</w:t>
      </w:r>
    </w:p>
    <w:p w14:paraId="51E0152B" w14:textId="44DA0128" w:rsidR="00764AC3" w:rsidRPr="00FE27B7" w:rsidRDefault="00694158" w:rsidP="00764AC3">
      <w:r w:rsidRPr="00F44879">
        <w:t xml:space="preserve">Details on applying for APA, APP, and APL approvals are available on Services Australia’s website for health professionals </w:t>
      </w:r>
      <w:r w:rsidR="00764AC3" w:rsidRPr="00FE27B7">
        <w:t>at</w:t>
      </w:r>
      <w:r w:rsidR="001E1A9D" w:rsidRPr="00FE27B7">
        <w:t>:</w:t>
      </w:r>
      <w:r w:rsidR="00764AC3" w:rsidRPr="00FE27B7">
        <w:t xml:space="preserve"> </w:t>
      </w:r>
      <w:hyperlink r:id="rId12" w:history="1">
        <w:r w:rsidR="009E481C" w:rsidRPr="00FE27B7">
          <w:rPr>
            <w:color w:val="0000FF"/>
            <w:u w:val="single"/>
          </w:rPr>
          <w:t>Pathology services for health professionals</w:t>
        </w:r>
      </w:hyperlink>
      <w:r w:rsidR="00764AC3" w:rsidRPr="00FE27B7">
        <w:t>.</w:t>
      </w:r>
    </w:p>
    <w:p w14:paraId="1C98F707" w14:textId="2090E3DD" w:rsidR="00764AC3" w:rsidRPr="007B096F" w:rsidRDefault="00764AC3" w:rsidP="001D217F">
      <w:pPr>
        <w:pStyle w:val="Heading2"/>
        <w:rPr>
          <w:sz w:val="32"/>
          <w:szCs w:val="24"/>
        </w:rPr>
      </w:pPr>
      <w:r w:rsidRPr="007B096F">
        <w:rPr>
          <w:sz w:val="32"/>
          <w:szCs w:val="24"/>
        </w:rPr>
        <w:t xml:space="preserve">What </w:t>
      </w:r>
      <w:r w:rsidR="00825FB2" w:rsidRPr="007B096F">
        <w:rPr>
          <w:sz w:val="32"/>
          <w:szCs w:val="24"/>
        </w:rPr>
        <w:t>will change</w:t>
      </w:r>
      <w:r w:rsidR="000823AB" w:rsidRPr="007B096F">
        <w:rPr>
          <w:sz w:val="32"/>
          <w:szCs w:val="24"/>
        </w:rPr>
        <w:t>?</w:t>
      </w:r>
    </w:p>
    <w:p w14:paraId="33498A4E" w14:textId="33DA5ABA" w:rsidR="00764AC3" w:rsidRPr="007B096F" w:rsidRDefault="007A4C12" w:rsidP="001D217F">
      <w:pPr>
        <w:pStyle w:val="Heading3"/>
        <w:rPr>
          <w:sz w:val="28"/>
          <w:szCs w:val="24"/>
        </w:rPr>
      </w:pPr>
      <w:r w:rsidRPr="007B096F">
        <w:rPr>
          <w:sz w:val="28"/>
          <w:szCs w:val="24"/>
        </w:rPr>
        <w:t xml:space="preserve">Fee free </w:t>
      </w:r>
      <w:r w:rsidR="008F2F01" w:rsidRPr="007B096F">
        <w:rPr>
          <w:sz w:val="28"/>
          <w:szCs w:val="24"/>
        </w:rPr>
        <w:t>APA, APP and APL approvals</w:t>
      </w:r>
    </w:p>
    <w:p w14:paraId="53E88919" w14:textId="29DACFA8" w:rsidR="00330209" w:rsidRPr="00FE27B7" w:rsidRDefault="00E14636" w:rsidP="001262D6">
      <w:r w:rsidRPr="00FE27B7">
        <w:t xml:space="preserve">The </w:t>
      </w:r>
      <w:r w:rsidRPr="00FE27B7">
        <w:rPr>
          <w:i/>
          <w:iCs/>
        </w:rPr>
        <w:t>Health Insurance (Pathol</w:t>
      </w:r>
      <w:r w:rsidR="001E6CE3" w:rsidRPr="00FE27B7">
        <w:rPr>
          <w:i/>
          <w:iCs/>
        </w:rPr>
        <w:t>ogy)(Fees)(Repeal) Act 2025</w:t>
      </w:r>
      <w:r w:rsidR="00E76E0F" w:rsidRPr="00FE27B7">
        <w:t xml:space="preserve"> commenced on </w:t>
      </w:r>
      <w:r w:rsidR="00080431" w:rsidRPr="00FE27B7">
        <w:br/>
      </w:r>
      <w:r w:rsidR="00E76E0F" w:rsidRPr="00FE27B7">
        <w:t>5 September 2025</w:t>
      </w:r>
      <w:r w:rsidR="00FB7A02" w:rsidRPr="00FE27B7">
        <w:t>. It repea</w:t>
      </w:r>
      <w:r w:rsidR="00982BA0" w:rsidRPr="00FE27B7">
        <w:t>led</w:t>
      </w:r>
      <w:r w:rsidR="00FB7A02" w:rsidRPr="00FE27B7">
        <w:t xml:space="preserve"> the </w:t>
      </w:r>
      <w:r w:rsidR="00FB7A02" w:rsidRPr="00FE27B7">
        <w:rPr>
          <w:i/>
          <w:iCs/>
        </w:rPr>
        <w:t xml:space="preserve">Health Insurance </w:t>
      </w:r>
      <w:r w:rsidR="00964F11" w:rsidRPr="00FE27B7">
        <w:rPr>
          <w:i/>
          <w:iCs/>
        </w:rPr>
        <w:t>(</w:t>
      </w:r>
      <w:r w:rsidR="00FB7A02" w:rsidRPr="00FE27B7">
        <w:rPr>
          <w:i/>
          <w:iCs/>
        </w:rPr>
        <w:t>Pathology</w:t>
      </w:r>
      <w:r w:rsidR="00964F11" w:rsidRPr="00FE27B7">
        <w:rPr>
          <w:i/>
          <w:iCs/>
        </w:rPr>
        <w:t>)(Fees) Act 1991</w:t>
      </w:r>
      <w:r w:rsidR="00964F11" w:rsidRPr="00FE27B7">
        <w:t xml:space="preserve"> and amend</w:t>
      </w:r>
      <w:r w:rsidR="00982BA0" w:rsidRPr="00FE27B7">
        <w:t>ed</w:t>
      </w:r>
      <w:r w:rsidR="00964F11" w:rsidRPr="00FE27B7">
        <w:t xml:space="preserve"> the </w:t>
      </w:r>
      <w:r w:rsidR="00964F11" w:rsidRPr="00FE27B7">
        <w:rPr>
          <w:i/>
          <w:iCs/>
        </w:rPr>
        <w:t>Health Insurance Act 1973</w:t>
      </w:r>
      <w:r w:rsidR="00CD52D1" w:rsidRPr="00FE27B7">
        <w:t>, to</w:t>
      </w:r>
      <w:r w:rsidR="00330209" w:rsidRPr="00FE27B7">
        <w:t>:</w:t>
      </w:r>
    </w:p>
    <w:p w14:paraId="2D3B53B6" w14:textId="3B88A75B" w:rsidR="00355700" w:rsidRPr="00FE27B7" w:rsidRDefault="00A246F8" w:rsidP="001262D6">
      <w:pPr>
        <w:pStyle w:val="ListBullet"/>
        <w:ind w:left="584" w:hanging="357"/>
      </w:pPr>
      <w:r w:rsidRPr="00FE27B7">
        <w:t>remove fees for APA, APP and APL approvals</w:t>
      </w:r>
      <w:r w:rsidR="009A0B8E" w:rsidRPr="00FE27B7">
        <w:t xml:space="preserve"> </w:t>
      </w:r>
      <w:r w:rsidR="00476319" w:rsidRPr="00FE27B7">
        <w:t xml:space="preserve">in effect </w:t>
      </w:r>
      <w:r w:rsidR="00852195" w:rsidRPr="00FE27B7">
        <w:t>from 1 July 2025</w:t>
      </w:r>
      <w:r w:rsidR="00C747CF" w:rsidRPr="00FE27B7">
        <w:t xml:space="preserve">; </w:t>
      </w:r>
      <w:r w:rsidR="00D36033" w:rsidRPr="00FE27B7">
        <w:t>and</w:t>
      </w:r>
    </w:p>
    <w:p w14:paraId="33AE93F3" w14:textId="1A0B0E74" w:rsidR="003D18DF" w:rsidRPr="00F44879" w:rsidRDefault="00C747CF" w:rsidP="001262D6">
      <w:pPr>
        <w:pStyle w:val="ListBullet"/>
        <w:ind w:left="584" w:hanging="357"/>
      </w:pPr>
      <w:r w:rsidRPr="00F44879">
        <w:t xml:space="preserve">permit the </w:t>
      </w:r>
      <w:r w:rsidR="00434E0F" w:rsidRPr="00F44879">
        <w:t xml:space="preserve">full </w:t>
      </w:r>
      <w:r w:rsidRPr="00F44879">
        <w:t xml:space="preserve">refund of </w:t>
      </w:r>
      <w:r w:rsidR="00476319" w:rsidRPr="00F44879">
        <w:t xml:space="preserve">any </w:t>
      </w:r>
      <w:r w:rsidRPr="00F44879">
        <w:t xml:space="preserve">fees paid for </w:t>
      </w:r>
      <w:r w:rsidR="002628DE" w:rsidRPr="00F44879">
        <w:t xml:space="preserve">APA, APP and APL approvals </w:t>
      </w:r>
      <w:r w:rsidR="00CA4F08" w:rsidRPr="00F44879">
        <w:t xml:space="preserve">that came into effect </w:t>
      </w:r>
      <w:r w:rsidR="00476319" w:rsidRPr="00F44879">
        <w:t xml:space="preserve">from </w:t>
      </w:r>
      <w:r w:rsidR="00DF7588" w:rsidRPr="00F44879">
        <w:t>1 July 2025</w:t>
      </w:r>
      <w:r w:rsidR="00B94BF9" w:rsidRPr="00F44879">
        <w:t xml:space="preserve"> onwards</w:t>
      </w:r>
      <w:r w:rsidR="00DF7588" w:rsidRPr="00F44879">
        <w:t xml:space="preserve"> </w:t>
      </w:r>
      <w:r w:rsidR="00AE4FDD" w:rsidRPr="00F44879">
        <w:t>(</w:t>
      </w:r>
      <w:r w:rsidR="00F70F44" w:rsidRPr="00F44879">
        <w:t>i.e.</w:t>
      </w:r>
      <w:r w:rsidR="00AE4FDD" w:rsidRPr="00F44879">
        <w:t xml:space="preserve"> before the </w:t>
      </w:r>
      <w:r w:rsidR="0053175D" w:rsidRPr="00F44879">
        <w:t>commencement of the Health Insurance (Pathology)(Fees)(Repeal) Act 2025</w:t>
      </w:r>
      <w:r w:rsidR="00AE73FE" w:rsidRPr="00F44879">
        <w:t>)</w:t>
      </w:r>
      <w:r w:rsidR="0053175D" w:rsidRPr="00F44879">
        <w:t>.</w:t>
      </w:r>
    </w:p>
    <w:p w14:paraId="189BBE76" w14:textId="779BD5A6" w:rsidR="00430395" w:rsidRPr="007B096F" w:rsidRDefault="00AB16BB" w:rsidP="00430395">
      <w:pPr>
        <w:pStyle w:val="Heading3"/>
        <w:rPr>
          <w:sz w:val="28"/>
          <w:szCs w:val="24"/>
        </w:rPr>
      </w:pPr>
      <w:r w:rsidRPr="007B096F">
        <w:rPr>
          <w:sz w:val="28"/>
          <w:szCs w:val="24"/>
        </w:rPr>
        <w:t xml:space="preserve">Refund of </w:t>
      </w:r>
      <w:r w:rsidR="0000053D" w:rsidRPr="007B096F">
        <w:rPr>
          <w:sz w:val="28"/>
          <w:szCs w:val="24"/>
        </w:rPr>
        <w:t>AP</w:t>
      </w:r>
      <w:r w:rsidR="00BB2EE2" w:rsidRPr="007B096F">
        <w:rPr>
          <w:sz w:val="28"/>
          <w:szCs w:val="24"/>
        </w:rPr>
        <w:t>A, APP and APL approval</w:t>
      </w:r>
      <w:r w:rsidR="0000053D" w:rsidRPr="007B096F">
        <w:rPr>
          <w:sz w:val="28"/>
          <w:szCs w:val="24"/>
        </w:rPr>
        <w:t xml:space="preserve"> fees</w:t>
      </w:r>
    </w:p>
    <w:p w14:paraId="417F5387" w14:textId="1386A493" w:rsidR="00A71D3D" w:rsidRDefault="004954E2" w:rsidP="001262D6">
      <w:r w:rsidRPr="00FE27B7">
        <w:t xml:space="preserve">Applicants </w:t>
      </w:r>
      <w:r w:rsidRPr="00FE27B7">
        <w:rPr>
          <w:b/>
          <w:bCs/>
        </w:rPr>
        <w:t>do not</w:t>
      </w:r>
      <w:r w:rsidRPr="00FE27B7">
        <w:t xml:space="preserve"> need to contact Services Australia to request a refund. </w:t>
      </w:r>
      <w:r w:rsidR="003371B9" w:rsidRPr="00F44879">
        <w:t>Services Australia will notify applicants eli</w:t>
      </w:r>
      <w:r w:rsidR="00922710" w:rsidRPr="00F44879">
        <w:t>gible to receive</w:t>
      </w:r>
      <w:r w:rsidR="003371B9" w:rsidRPr="00F44879">
        <w:t xml:space="preserve"> full refunds of APA, APP, and APL fees from 1 July</w:t>
      </w:r>
      <w:r w:rsidR="003371B9" w:rsidRPr="00F44879">
        <w:rPr>
          <w:i/>
          <w:iCs/>
        </w:rPr>
        <w:t xml:space="preserve"> </w:t>
      </w:r>
      <w:r w:rsidR="003371B9" w:rsidRPr="00F44879">
        <w:t>2025.</w:t>
      </w:r>
      <w:r w:rsidR="00177685">
        <w:t xml:space="preserve"> </w:t>
      </w:r>
      <w:r w:rsidR="00BC1338" w:rsidRPr="00FE27B7">
        <w:t xml:space="preserve">As part of this process, Services Australia will ask </w:t>
      </w:r>
      <w:r w:rsidR="00746C0F" w:rsidRPr="00FE27B7">
        <w:t>APAs</w:t>
      </w:r>
      <w:r w:rsidR="004A6FDC" w:rsidRPr="00FE27B7">
        <w:t xml:space="preserve"> and APPs</w:t>
      </w:r>
      <w:r w:rsidR="00746C0F" w:rsidRPr="00FE27B7">
        <w:t xml:space="preserve"> </w:t>
      </w:r>
      <w:r w:rsidR="00BC1338" w:rsidRPr="00FE27B7">
        <w:t>to confirm their bank account</w:t>
      </w:r>
      <w:r w:rsidR="00BC1338">
        <w:t xml:space="preserve"> details to ensure </w:t>
      </w:r>
      <w:r w:rsidR="002C4A4C">
        <w:t xml:space="preserve">refunds are </w:t>
      </w:r>
      <w:r w:rsidR="00255818">
        <w:t>dep</w:t>
      </w:r>
      <w:r w:rsidR="00291C37">
        <w:t xml:space="preserve">osited into the </w:t>
      </w:r>
      <w:r w:rsidR="00F67BB9">
        <w:t>correct bank account</w:t>
      </w:r>
      <w:r w:rsidR="002C4A4C">
        <w:t>.</w:t>
      </w:r>
    </w:p>
    <w:p w14:paraId="5C1646BE" w14:textId="7D3579A0" w:rsidR="00764AC3" w:rsidRPr="007B096F" w:rsidRDefault="006A4CF5" w:rsidP="001D217F">
      <w:pPr>
        <w:pStyle w:val="Heading3"/>
        <w:rPr>
          <w:sz w:val="28"/>
          <w:szCs w:val="24"/>
        </w:rPr>
      </w:pPr>
      <w:r w:rsidRPr="007B096F">
        <w:rPr>
          <w:sz w:val="28"/>
          <w:szCs w:val="24"/>
        </w:rPr>
        <w:t xml:space="preserve">Streamlined </w:t>
      </w:r>
      <w:r w:rsidR="00A74CF7" w:rsidRPr="007B096F">
        <w:rPr>
          <w:sz w:val="28"/>
          <w:szCs w:val="24"/>
        </w:rPr>
        <w:t xml:space="preserve">APA, APP and APL </w:t>
      </w:r>
      <w:r w:rsidR="00105473" w:rsidRPr="007B096F">
        <w:rPr>
          <w:sz w:val="28"/>
          <w:szCs w:val="24"/>
        </w:rPr>
        <w:t xml:space="preserve">application </w:t>
      </w:r>
      <w:r w:rsidR="00A74CF7" w:rsidRPr="007B096F">
        <w:rPr>
          <w:sz w:val="28"/>
          <w:szCs w:val="24"/>
        </w:rPr>
        <w:t>approvals</w:t>
      </w:r>
    </w:p>
    <w:p w14:paraId="08E5857A" w14:textId="27F5C2B1" w:rsidR="00DB73ED" w:rsidRDefault="007551EE" w:rsidP="00A65407">
      <w:r>
        <w:rPr>
          <w:i/>
          <w:iCs/>
        </w:rPr>
        <w:t xml:space="preserve">The </w:t>
      </w:r>
      <w:r w:rsidRPr="00BE08E2">
        <w:rPr>
          <w:i/>
          <w:iCs/>
        </w:rPr>
        <w:t>Health Insurance (Pathology)</w:t>
      </w:r>
      <w:r w:rsidR="00E429DB">
        <w:rPr>
          <w:i/>
          <w:iCs/>
        </w:rPr>
        <w:t xml:space="preserve"> </w:t>
      </w:r>
      <w:r w:rsidRPr="00BE08E2">
        <w:rPr>
          <w:i/>
          <w:iCs/>
        </w:rPr>
        <w:t>(Fees)</w:t>
      </w:r>
      <w:r w:rsidR="00E429DB">
        <w:rPr>
          <w:i/>
          <w:iCs/>
        </w:rPr>
        <w:t xml:space="preserve"> </w:t>
      </w:r>
      <w:r w:rsidRPr="00BE08E2">
        <w:rPr>
          <w:i/>
          <w:iCs/>
        </w:rPr>
        <w:t>(Repeal) Act 2025</w:t>
      </w:r>
      <w:r>
        <w:t xml:space="preserve"> has streamlined </w:t>
      </w:r>
      <w:r w:rsidR="005E2DB5">
        <w:t xml:space="preserve">APA, APP and APL </w:t>
      </w:r>
      <w:r w:rsidR="00A27583">
        <w:t>application approval processes.</w:t>
      </w:r>
      <w:r w:rsidR="005E2DB5">
        <w:t xml:space="preserve"> </w:t>
      </w:r>
    </w:p>
    <w:p w14:paraId="641F557C" w14:textId="741A6ACF" w:rsidR="00E031D1" w:rsidRDefault="00097CE2" w:rsidP="00214783">
      <w:pPr>
        <w:spacing w:before="0"/>
      </w:pPr>
      <w:r>
        <w:lastRenderedPageBreak/>
        <w:t xml:space="preserve">From </w:t>
      </w:r>
      <w:r w:rsidR="0098654B">
        <w:t xml:space="preserve">5 September </w:t>
      </w:r>
      <w:r w:rsidR="007E296B">
        <w:t xml:space="preserve">2025, the </w:t>
      </w:r>
      <w:r w:rsidR="00664D50" w:rsidRPr="00BE08E2">
        <w:rPr>
          <w:i/>
          <w:iCs/>
        </w:rPr>
        <w:t>Health Insurance (Pathology)(Fees)(Repeal) Act 2025</w:t>
      </w:r>
      <w:r w:rsidR="00664D50">
        <w:t xml:space="preserve"> </w:t>
      </w:r>
      <w:r w:rsidR="00B61883">
        <w:t>will ensure:</w:t>
      </w:r>
    </w:p>
    <w:p w14:paraId="3A36009F" w14:textId="316E00BE" w:rsidR="00764AC3" w:rsidRPr="0040324A" w:rsidRDefault="00764AC3" w:rsidP="002F5C6A">
      <w:pPr>
        <w:pStyle w:val="ListBullet"/>
        <w:ind w:left="584" w:hanging="357"/>
      </w:pPr>
      <w:r w:rsidRPr="0040324A">
        <w:t>applicants will no longer receive a preliminary approval, or requests for payment to finalise their applications; and</w:t>
      </w:r>
    </w:p>
    <w:p w14:paraId="44C29B51" w14:textId="77777777" w:rsidR="00764AC3" w:rsidRDefault="00764AC3" w:rsidP="002F5C6A">
      <w:pPr>
        <w:pStyle w:val="ListBullet"/>
        <w:ind w:left="584" w:hanging="357"/>
      </w:pPr>
      <w:r w:rsidRPr="0040324A">
        <w:t xml:space="preserve">approvals will be granted in accordance with the </w:t>
      </w:r>
      <w:r w:rsidRPr="002F5C6A">
        <w:rPr>
          <w:i/>
          <w:iCs/>
        </w:rPr>
        <w:t>Health Insurance Act 1973,</w:t>
      </w:r>
      <w:r w:rsidRPr="0040324A">
        <w:t xml:space="preserve"> following assessment of application forms and supporting information. </w:t>
      </w:r>
    </w:p>
    <w:p w14:paraId="78CD5E2B" w14:textId="77777777" w:rsidR="00764AC3" w:rsidRPr="007B096F" w:rsidRDefault="00764AC3" w:rsidP="006677E3">
      <w:pPr>
        <w:pStyle w:val="Heading2"/>
        <w:rPr>
          <w:sz w:val="32"/>
          <w:szCs w:val="24"/>
        </w:rPr>
      </w:pPr>
      <w:r w:rsidRPr="007B096F">
        <w:rPr>
          <w:sz w:val="32"/>
          <w:szCs w:val="24"/>
        </w:rPr>
        <w:t>What will not change?</w:t>
      </w:r>
    </w:p>
    <w:p w14:paraId="79A29F77" w14:textId="67714CDF" w:rsidR="00764AC3" w:rsidRPr="007B096F" w:rsidRDefault="00337CF6" w:rsidP="006677E3">
      <w:pPr>
        <w:pStyle w:val="Heading3"/>
        <w:numPr>
          <w:ilvl w:val="0"/>
          <w:numId w:val="33"/>
        </w:numPr>
        <w:ind w:hanging="578"/>
        <w:rPr>
          <w:sz w:val="28"/>
          <w:szCs w:val="24"/>
        </w:rPr>
      </w:pPr>
      <w:r w:rsidRPr="007B096F">
        <w:rPr>
          <w:sz w:val="28"/>
          <w:szCs w:val="24"/>
        </w:rPr>
        <w:t>A</w:t>
      </w:r>
      <w:r w:rsidR="00764AC3" w:rsidRPr="007B096F">
        <w:rPr>
          <w:sz w:val="28"/>
          <w:szCs w:val="24"/>
        </w:rPr>
        <w:t>pplication types</w:t>
      </w:r>
    </w:p>
    <w:p w14:paraId="6ECC7E35" w14:textId="0CE974D1" w:rsidR="00764AC3" w:rsidRDefault="00764AC3" w:rsidP="00764AC3">
      <w:r w:rsidRPr="003E2E94">
        <w:t>Each of the existing application types will remain in place and continue to serve the same purpose</w:t>
      </w:r>
      <w:r w:rsidR="004F4052">
        <w:t>. T</w:t>
      </w:r>
      <w:r w:rsidRPr="003E2E94">
        <w:t>axes for Approved Collection Centres will continue unchanged.</w:t>
      </w:r>
      <w:r>
        <w:t xml:space="preserve"> </w:t>
      </w:r>
    </w:p>
    <w:p w14:paraId="36129956" w14:textId="265EEE3F" w:rsidR="00764AC3" w:rsidRPr="007B096F" w:rsidRDefault="00764AC3" w:rsidP="001D217F">
      <w:pPr>
        <w:pStyle w:val="Heading3"/>
        <w:rPr>
          <w:sz w:val="28"/>
          <w:szCs w:val="24"/>
        </w:rPr>
      </w:pPr>
      <w:r w:rsidRPr="007B096F">
        <w:rPr>
          <w:sz w:val="28"/>
          <w:szCs w:val="24"/>
        </w:rPr>
        <w:t>Accreditation requirements</w:t>
      </w:r>
    </w:p>
    <w:p w14:paraId="0291493E" w14:textId="14CEF86D" w:rsidR="00764AC3" w:rsidRPr="001D217F" w:rsidRDefault="001D217F" w:rsidP="001D217F">
      <w:r w:rsidRPr="001D217F">
        <w:t xml:space="preserve">Under the </w:t>
      </w:r>
      <w:r w:rsidRPr="001D217F">
        <w:rPr>
          <w:rStyle w:val="Emphasis"/>
        </w:rPr>
        <w:t>Health Insurance Act 1973</w:t>
      </w:r>
      <w:r w:rsidRPr="001D217F">
        <w:t xml:space="preserve">, </w:t>
      </w:r>
      <w:r w:rsidR="00764AC3" w:rsidRPr="001D217F">
        <w:t xml:space="preserve">those seeking approval to provide pathology services under Medicare must meet certain criteria, including complying with all relevant undertakings and approvals. With few exceptions, Medicare benefits for pathology services are only payable when they are rendered by or on behalf of an APP in an APL </w:t>
      </w:r>
      <w:r w:rsidR="00E429DB">
        <w:t>owned</w:t>
      </w:r>
      <w:r w:rsidR="00E429DB" w:rsidRPr="001D217F">
        <w:t xml:space="preserve"> </w:t>
      </w:r>
      <w:r w:rsidR="00764AC3" w:rsidRPr="001D217F">
        <w:t xml:space="preserve">by an APA. </w:t>
      </w:r>
    </w:p>
    <w:p w14:paraId="1AB39090" w14:textId="6BBD5204" w:rsidR="00764AC3" w:rsidRPr="007B096F" w:rsidRDefault="00764AC3" w:rsidP="001D217F">
      <w:pPr>
        <w:pStyle w:val="Heading3"/>
        <w:rPr>
          <w:sz w:val="28"/>
          <w:szCs w:val="24"/>
        </w:rPr>
      </w:pPr>
      <w:r w:rsidRPr="007B096F">
        <w:rPr>
          <w:sz w:val="28"/>
          <w:szCs w:val="24"/>
        </w:rPr>
        <w:t>Providers must apply to Services Australia for approvals</w:t>
      </w:r>
      <w:r w:rsidR="00D60AA4" w:rsidRPr="007B096F">
        <w:rPr>
          <w:sz w:val="28"/>
          <w:szCs w:val="24"/>
        </w:rPr>
        <w:t xml:space="preserve"> and renewals</w:t>
      </w:r>
    </w:p>
    <w:p w14:paraId="39EDDF46" w14:textId="2D5EAD0C" w:rsidR="00246F53" w:rsidRPr="00CC65DF" w:rsidRDefault="00764AC3" w:rsidP="00CC65DF">
      <w:pPr>
        <w:rPr>
          <w:rFonts w:eastAsiaTheme="minorHAnsi"/>
        </w:rPr>
      </w:pPr>
      <w:r w:rsidRPr="00CC65DF">
        <w:rPr>
          <w:rFonts w:eastAsiaTheme="minorHAnsi"/>
        </w:rPr>
        <w:t xml:space="preserve">Pathology service providers must obtain approval from Services Australia before they can commence providing pathology services under Medicare. </w:t>
      </w:r>
    </w:p>
    <w:p w14:paraId="75BDB143" w14:textId="09EBE647" w:rsidR="00764AC3" w:rsidRPr="00CC65DF" w:rsidRDefault="00D60AA4" w:rsidP="00CC65DF">
      <w:pPr>
        <w:rPr>
          <w:rFonts w:eastAsiaTheme="minorHAnsi"/>
        </w:rPr>
      </w:pPr>
      <w:r w:rsidRPr="00CC65DF">
        <w:rPr>
          <w:rFonts w:eastAsiaTheme="minorHAnsi"/>
        </w:rPr>
        <w:t>R</w:t>
      </w:r>
      <w:r w:rsidR="00764AC3" w:rsidRPr="00CC65DF">
        <w:rPr>
          <w:rFonts w:eastAsiaTheme="minorHAnsi"/>
        </w:rPr>
        <w:t xml:space="preserve">enewal applications </w:t>
      </w:r>
      <w:r w:rsidRPr="00CC65DF">
        <w:rPr>
          <w:rFonts w:eastAsiaTheme="minorHAnsi"/>
        </w:rPr>
        <w:t xml:space="preserve">must </w:t>
      </w:r>
      <w:r w:rsidR="00764AC3" w:rsidRPr="00CC65DF">
        <w:rPr>
          <w:rFonts w:eastAsiaTheme="minorHAnsi"/>
        </w:rPr>
        <w:t xml:space="preserve">be submitted for assessment within 3 months of expected expiry, allowing enough time for processing before approval periods end. </w:t>
      </w:r>
    </w:p>
    <w:p w14:paraId="6B6DF7AC" w14:textId="4C7E3176" w:rsidR="00764AC3" w:rsidRPr="007B096F" w:rsidRDefault="00764AC3" w:rsidP="001D217F">
      <w:pPr>
        <w:pStyle w:val="Heading3"/>
        <w:rPr>
          <w:sz w:val="28"/>
          <w:szCs w:val="24"/>
        </w:rPr>
      </w:pPr>
      <w:r w:rsidRPr="007B096F">
        <w:rPr>
          <w:sz w:val="28"/>
          <w:szCs w:val="24"/>
        </w:rPr>
        <w:t>Approval periods</w:t>
      </w:r>
    </w:p>
    <w:p w14:paraId="74C363CA" w14:textId="6572D0A5" w:rsidR="00764AC3" w:rsidRDefault="00764AC3" w:rsidP="00764AC3">
      <w:r>
        <w:t>Approval periods will remain the same for each application type</w:t>
      </w:r>
      <w:r w:rsidR="00152868">
        <w:t>, as</w:t>
      </w:r>
      <w:r>
        <w:t xml:space="preserve"> outlined in Table 1.</w:t>
      </w:r>
    </w:p>
    <w:p w14:paraId="06D82237" w14:textId="130749BC" w:rsidR="00764AC3" w:rsidRDefault="00764AC3" w:rsidP="00764AC3">
      <w:pPr>
        <w:pStyle w:val="Caption"/>
        <w:keepNext/>
      </w:pPr>
      <w:r>
        <w:t xml:space="preserve">Table </w:t>
      </w:r>
      <w:r>
        <w:fldChar w:fldCharType="begin"/>
      </w:r>
      <w:r>
        <w:instrText xml:space="preserve"> SEQ Table \* ARABIC </w:instrText>
      </w:r>
      <w:r>
        <w:fldChar w:fldCharType="separate"/>
      </w:r>
      <w:r w:rsidR="00EE0E93">
        <w:rPr>
          <w:noProof/>
        </w:rPr>
        <w:t>1</w:t>
      </w:r>
      <w:r>
        <w:rPr>
          <w:noProof/>
        </w:rPr>
        <w:fldChar w:fldCharType="end"/>
      </w:r>
      <w:r>
        <w:t xml:space="preserve"> Approval period for each application type</w:t>
      </w:r>
    </w:p>
    <w:tbl>
      <w:tblPr>
        <w:tblStyle w:val="GridTable4-Accent1"/>
        <w:tblW w:w="5003" w:type="pct"/>
        <w:tblLook w:val="04A0" w:firstRow="1" w:lastRow="0" w:firstColumn="1" w:lastColumn="0" w:noHBand="0" w:noVBand="1"/>
      </w:tblPr>
      <w:tblGrid>
        <w:gridCol w:w="4531"/>
        <w:gridCol w:w="4534"/>
      </w:tblGrid>
      <w:tr w:rsidR="00764AC3" w:rsidRPr="00A835E2" w14:paraId="44B5BD0C" w14:textId="77777777" w:rsidTr="0031598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499" w:type="pct"/>
            <w:vAlign w:val="center"/>
            <w:hideMark/>
          </w:tcPr>
          <w:p w14:paraId="2CA545C3" w14:textId="77777777" w:rsidR="00764AC3" w:rsidRPr="007D78F1" w:rsidRDefault="00764AC3" w:rsidP="00315984">
            <w:pPr>
              <w:pStyle w:val="TableHeaderWhite"/>
              <w:spacing w:before="0" w:after="0"/>
            </w:pPr>
            <w:r w:rsidRPr="007D78F1">
              <w:t>Application type</w:t>
            </w:r>
          </w:p>
        </w:tc>
        <w:tc>
          <w:tcPr>
            <w:tcW w:w="2501" w:type="pct"/>
            <w:vAlign w:val="center"/>
            <w:hideMark/>
          </w:tcPr>
          <w:p w14:paraId="5B722301" w14:textId="77777777" w:rsidR="00764AC3" w:rsidRPr="007D78F1" w:rsidRDefault="00764AC3" w:rsidP="00315984">
            <w:pPr>
              <w:pStyle w:val="TableHeaderWhite"/>
              <w:spacing w:before="0" w:after="0"/>
              <w:cnfStyle w:val="100000000000" w:firstRow="1" w:lastRow="0" w:firstColumn="0" w:lastColumn="0" w:oddVBand="0" w:evenVBand="0" w:oddHBand="0" w:evenHBand="0" w:firstRowFirstColumn="0" w:firstRowLastColumn="0" w:lastRowFirstColumn="0" w:lastRowLastColumn="0"/>
            </w:pPr>
            <w:r w:rsidRPr="007D78F1">
              <w:t>Approval period</w:t>
            </w:r>
          </w:p>
        </w:tc>
      </w:tr>
      <w:tr w:rsidR="00764AC3" w:rsidRPr="00A835E2" w14:paraId="15F6DF6F" w14:textId="77777777" w:rsidTr="0031598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99" w:type="pct"/>
            <w:vAlign w:val="center"/>
            <w:hideMark/>
          </w:tcPr>
          <w:p w14:paraId="0B224D7B" w14:textId="77777777" w:rsidR="00764AC3" w:rsidRPr="00A835E2" w:rsidRDefault="00764AC3" w:rsidP="00315984">
            <w:pPr>
              <w:spacing w:before="0" w:after="0"/>
            </w:pPr>
            <w:r>
              <w:t>A</w:t>
            </w:r>
            <w:r w:rsidRPr="00A835E2">
              <w:t xml:space="preserve">pproved </w:t>
            </w:r>
            <w:r>
              <w:t>P</w:t>
            </w:r>
            <w:r w:rsidRPr="00A835E2">
              <w:t xml:space="preserve">athology </w:t>
            </w:r>
            <w:r>
              <w:t>A</w:t>
            </w:r>
            <w:r w:rsidRPr="00A835E2">
              <w:t>uthorit</w:t>
            </w:r>
            <w:r>
              <w:t>ies</w:t>
            </w:r>
          </w:p>
        </w:tc>
        <w:tc>
          <w:tcPr>
            <w:tcW w:w="2501" w:type="pct"/>
            <w:vAlign w:val="center"/>
            <w:hideMark/>
          </w:tcPr>
          <w:p w14:paraId="3E030C2D" w14:textId="77777777" w:rsidR="00764AC3" w:rsidRPr="00A835E2" w:rsidRDefault="00764AC3" w:rsidP="00315984">
            <w:pPr>
              <w:spacing w:before="0" w:after="0"/>
              <w:cnfStyle w:val="000000100000" w:firstRow="0" w:lastRow="0" w:firstColumn="0" w:lastColumn="0" w:oddVBand="0" w:evenVBand="0" w:oddHBand="1" w:evenHBand="0" w:firstRowFirstColumn="0" w:firstRowLastColumn="0" w:lastRowFirstColumn="0" w:lastRowLastColumn="0"/>
            </w:pPr>
            <w:r w:rsidRPr="00A835E2">
              <w:t xml:space="preserve">1 </w:t>
            </w:r>
            <w:r>
              <w:t>y</w:t>
            </w:r>
            <w:r w:rsidRPr="00A835E2">
              <w:t>ear</w:t>
            </w:r>
          </w:p>
        </w:tc>
      </w:tr>
      <w:tr w:rsidR="00764AC3" w:rsidRPr="00A835E2" w14:paraId="24C2B860" w14:textId="77777777" w:rsidTr="00315984">
        <w:trPr>
          <w:trHeight w:val="397"/>
        </w:trPr>
        <w:tc>
          <w:tcPr>
            <w:cnfStyle w:val="001000000000" w:firstRow="0" w:lastRow="0" w:firstColumn="1" w:lastColumn="0" w:oddVBand="0" w:evenVBand="0" w:oddHBand="0" w:evenHBand="0" w:firstRowFirstColumn="0" w:firstRowLastColumn="0" w:lastRowFirstColumn="0" w:lastRowLastColumn="0"/>
            <w:tcW w:w="2499" w:type="pct"/>
            <w:vAlign w:val="center"/>
            <w:hideMark/>
          </w:tcPr>
          <w:p w14:paraId="3AE66AEF" w14:textId="77777777" w:rsidR="00764AC3" w:rsidRPr="00A835E2" w:rsidRDefault="00764AC3" w:rsidP="00315984">
            <w:pPr>
              <w:spacing w:before="0" w:after="0"/>
            </w:pPr>
            <w:r>
              <w:t>A</w:t>
            </w:r>
            <w:r w:rsidRPr="00A835E2">
              <w:t xml:space="preserve">pproved </w:t>
            </w:r>
            <w:r>
              <w:t>P</w:t>
            </w:r>
            <w:r w:rsidRPr="00A835E2">
              <w:t xml:space="preserve">athology </w:t>
            </w:r>
            <w:r>
              <w:t>P</w:t>
            </w:r>
            <w:r w:rsidRPr="00A835E2">
              <w:t>ractitioners</w:t>
            </w:r>
          </w:p>
        </w:tc>
        <w:tc>
          <w:tcPr>
            <w:tcW w:w="2501" w:type="pct"/>
            <w:vAlign w:val="center"/>
            <w:hideMark/>
          </w:tcPr>
          <w:p w14:paraId="34A122D9" w14:textId="77777777" w:rsidR="00764AC3" w:rsidRPr="00A835E2" w:rsidRDefault="00764AC3" w:rsidP="00315984">
            <w:pPr>
              <w:spacing w:before="0" w:after="0"/>
              <w:cnfStyle w:val="000000000000" w:firstRow="0" w:lastRow="0" w:firstColumn="0" w:lastColumn="0" w:oddVBand="0" w:evenVBand="0" w:oddHBand="0" w:evenHBand="0" w:firstRowFirstColumn="0" w:firstRowLastColumn="0" w:lastRowFirstColumn="0" w:lastRowLastColumn="0"/>
            </w:pPr>
            <w:r w:rsidRPr="00A835E2">
              <w:t xml:space="preserve">1 </w:t>
            </w:r>
            <w:r>
              <w:t>y</w:t>
            </w:r>
            <w:r w:rsidRPr="00A835E2">
              <w:t>ear</w:t>
            </w:r>
          </w:p>
        </w:tc>
      </w:tr>
      <w:tr w:rsidR="00764AC3" w:rsidRPr="00A835E2" w14:paraId="66D3F625" w14:textId="77777777" w:rsidTr="0031598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99" w:type="pct"/>
            <w:vAlign w:val="center"/>
            <w:hideMark/>
          </w:tcPr>
          <w:p w14:paraId="5D27F0AC" w14:textId="77777777" w:rsidR="00764AC3" w:rsidRPr="00A835E2" w:rsidRDefault="00764AC3" w:rsidP="00315984">
            <w:pPr>
              <w:spacing w:before="0" w:after="0"/>
            </w:pPr>
            <w:r>
              <w:t>A</w:t>
            </w:r>
            <w:r w:rsidRPr="00A835E2">
              <w:t xml:space="preserve">ccredited </w:t>
            </w:r>
            <w:r>
              <w:t>P</w:t>
            </w:r>
            <w:r w:rsidRPr="00A835E2">
              <w:t xml:space="preserve">athology </w:t>
            </w:r>
            <w:r>
              <w:t>L</w:t>
            </w:r>
            <w:r w:rsidRPr="00A835E2">
              <w:t>aborator</w:t>
            </w:r>
            <w:r>
              <w:t>ies</w:t>
            </w:r>
          </w:p>
        </w:tc>
        <w:tc>
          <w:tcPr>
            <w:tcW w:w="2501" w:type="pct"/>
            <w:vAlign w:val="center"/>
            <w:hideMark/>
          </w:tcPr>
          <w:p w14:paraId="6048E05B" w14:textId="77777777" w:rsidR="00764AC3" w:rsidRPr="00A835E2" w:rsidRDefault="00764AC3" w:rsidP="00315984">
            <w:pPr>
              <w:spacing w:before="0" w:after="0"/>
              <w:cnfStyle w:val="000000100000" w:firstRow="0" w:lastRow="0" w:firstColumn="0" w:lastColumn="0" w:oddVBand="0" w:evenVBand="0" w:oddHBand="1" w:evenHBand="0" w:firstRowFirstColumn="0" w:firstRowLastColumn="0" w:lastRowFirstColumn="0" w:lastRowLastColumn="0"/>
            </w:pPr>
            <w:r w:rsidRPr="00A835E2">
              <w:t>Up to 3 years</w:t>
            </w:r>
          </w:p>
        </w:tc>
      </w:tr>
      <w:tr w:rsidR="00764AC3" w:rsidRPr="00A835E2" w14:paraId="0DEBD094" w14:textId="77777777" w:rsidTr="00315984">
        <w:trPr>
          <w:trHeight w:val="397"/>
        </w:trPr>
        <w:tc>
          <w:tcPr>
            <w:cnfStyle w:val="001000000000" w:firstRow="0" w:lastRow="0" w:firstColumn="1" w:lastColumn="0" w:oddVBand="0" w:evenVBand="0" w:oddHBand="0" w:evenHBand="0" w:firstRowFirstColumn="0" w:firstRowLastColumn="0" w:lastRowFirstColumn="0" w:lastRowLastColumn="0"/>
            <w:tcW w:w="2499" w:type="pct"/>
            <w:vAlign w:val="center"/>
            <w:hideMark/>
          </w:tcPr>
          <w:p w14:paraId="6C96E9A4" w14:textId="79069050" w:rsidR="00764AC3" w:rsidRPr="00A835E2" w:rsidRDefault="00764AC3" w:rsidP="00315984">
            <w:pPr>
              <w:spacing w:before="0" w:after="0"/>
            </w:pPr>
            <w:r>
              <w:t>Approved Collection Centres</w:t>
            </w:r>
          </w:p>
        </w:tc>
        <w:tc>
          <w:tcPr>
            <w:tcW w:w="2501" w:type="pct"/>
            <w:vAlign w:val="center"/>
            <w:hideMark/>
          </w:tcPr>
          <w:p w14:paraId="748E309C" w14:textId="77777777" w:rsidR="00764AC3" w:rsidRPr="00A835E2" w:rsidRDefault="00764AC3" w:rsidP="00315984">
            <w:pPr>
              <w:spacing w:before="0" w:after="0"/>
              <w:cnfStyle w:val="000000000000" w:firstRow="0" w:lastRow="0" w:firstColumn="0" w:lastColumn="0" w:oddVBand="0" w:evenVBand="0" w:oddHBand="0" w:evenHBand="0" w:firstRowFirstColumn="0" w:firstRowLastColumn="0" w:lastRowFirstColumn="0" w:lastRowLastColumn="0"/>
            </w:pPr>
            <w:r w:rsidRPr="00A835E2">
              <w:t xml:space="preserve">2 </w:t>
            </w:r>
            <w:r>
              <w:t>y</w:t>
            </w:r>
            <w:r w:rsidRPr="00A835E2">
              <w:t>ears</w:t>
            </w:r>
          </w:p>
        </w:tc>
      </w:tr>
    </w:tbl>
    <w:p w14:paraId="2AAD73A4" w14:textId="10B76BBE" w:rsidR="00764AC3" w:rsidRPr="007B096F" w:rsidRDefault="00462A20" w:rsidP="001D217F">
      <w:pPr>
        <w:pStyle w:val="Heading3"/>
        <w:rPr>
          <w:sz w:val="28"/>
          <w:szCs w:val="24"/>
        </w:rPr>
      </w:pPr>
      <w:r w:rsidRPr="007B096F">
        <w:rPr>
          <w:sz w:val="28"/>
          <w:szCs w:val="24"/>
        </w:rPr>
        <w:t>T</w:t>
      </w:r>
      <w:r w:rsidR="00764AC3" w:rsidRPr="007B096F">
        <w:rPr>
          <w:sz w:val="28"/>
          <w:szCs w:val="24"/>
        </w:rPr>
        <w:t>ax for Approved Collection Centre applications</w:t>
      </w:r>
    </w:p>
    <w:p w14:paraId="65A7AEA6" w14:textId="020598EE" w:rsidR="00D35D06" w:rsidRPr="00CC65DF" w:rsidRDefault="00764AC3" w:rsidP="00764AC3">
      <w:pPr>
        <w:rPr>
          <w:rFonts w:eastAsiaTheme="minorHAnsi"/>
        </w:rPr>
      </w:pPr>
      <w:r w:rsidRPr="00CC65DF">
        <w:rPr>
          <w:rFonts w:eastAsiaTheme="minorHAnsi"/>
        </w:rPr>
        <w:t xml:space="preserve">Taxes for the approval of Approved Collection Centres are imposed under the </w:t>
      </w:r>
      <w:r w:rsidRPr="00CC65DF">
        <w:rPr>
          <w:rStyle w:val="Emphasis"/>
          <w:rFonts w:eastAsiaTheme="minorHAnsi"/>
        </w:rPr>
        <w:t xml:space="preserve">Health Insurance (Approved Pathology Specimen Collection Centres) Tax Act 2000 </w:t>
      </w:r>
      <w:r w:rsidRPr="00CC65DF">
        <w:rPr>
          <w:rFonts w:eastAsiaTheme="minorHAnsi"/>
        </w:rPr>
        <w:t>(ACC Tax Act).</w:t>
      </w:r>
      <w:r w:rsidRPr="00CC65DF">
        <w:rPr>
          <w:rStyle w:val="Emphasis"/>
          <w:rFonts w:eastAsiaTheme="minorHAnsi"/>
        </w:rPr>
        <w:t xml:space="preserve"> </w:t>
      </w:r>
      <w:r w:rsidR="007C6557">
        <w:rPr>
          <w:rFonts w:eastAsiaTheme="minorHAnsi"/>
        </w:rPr>
        <w:t>No</w:t>
      </w:r>
      <w:r w:rsidRPr="00CC65DF">
        <w:rPr>
          <w:rFonts w:eastAsiaTheme="minorHAnsi"/>
        </w:rPr>
        <w:t xml:space="preserve"> amendments </w:t>
      </w:r>
      <w:r w:rsidR="007C6557">
        <w:rPr>
          <w:rFonts w:eastAsiaTheme="minorHAnsi"/>
        </w:rPr>
        <w:t xml:space="preserve">have been made </w:t>
      </w:r>
      <w:r w:rsidRPr="00CC65DF">
        <w:rPr>
          <w:rFonts w:eastAsiaTheme="minorHAnsi"/>
        </w:rPr>
        <w:t>to the ACC Tax Act</w:t>
      </w:r>
      <w:r w:rsidR="00D60AA4" w:rsidRPr="00CC65DF">
        <w:rPr>
          <w:rFonts w:eastAsiaTheme="minorHAnsi"/>
        </w:rPr>
        <w:t>. T</w:t>
      </w:r>
      <w:r w:rsidRPr="00CC65DF">
        <w:rPr>
          <w:rFonts w:eastAsiaTheme="minorHAnsi"/>
        </w:rPr>
        <w:t>axes, eligibility criteria</w:t>
      </w:r>
      <w:r w:rsidR="00D60AA4" w:rsidRPr="00CC65DF">
        <w:rPr>
          <w:rFonts w:eastAsiaTheme="minorHAnsi"/>
        </w:rPr>
        <w:t>,</w:t>
      </w:r>
      <w:r w:rsidRPr="00CC65DF">
        <w:rPr>
          <w:rFonts w:eastAsiaTheme="minorHAnsi"/>
        </w:rPr>
        <w:t xml:space="preserve"> and application processes will not be affected by this change</w:t>
      </w:r>
      <w:r w:rsidR="00CC65DF">
        <w:rPr>
          <w:rFonts w:eastAsiaTheme="minorHAnsi"/>
        </w:rPr>
        <w:t>.</w:t>
      </w:r>
    </w:p>
    <w:sectPr w:rsidR="00D35D06" w:rsidRPr="00CC65DF" w:rsidSect="00B5398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44AA" w14:textId="77777777" w:rsidR="007616A0" w:rsidRDefault="007616A0" w:rsidP="006B56BB">
      <w:r>
        <w:separator/>
      </w:r>
    </w:p>
    <w:p w14:paraId="7D282065" w14:textId="77777777" w:rsidR="007616A0" w:rsidRDefault="007616A0"/>
  </w:endnote>
  <w:endnote w:type="continuationSeparator" w:id="0">
    <w:p w14:paraId="651622A0" w14:textId="77777777" w:rsidR="007616A0" w:rsidRDefault="007616A0" w:rsidP="006B56BB">
      <w:r>
        <w:continuationSeparator/>
      </w:r>
    </w:p>
    <w:p w14:paraId="1D3B505C" w14:textId="77777777" w:rsidR="007616A0" w:rsidRDefault="007616A0"/>
  </w:endnote>
  <w:endnote w:type="continuationNotice" w:id="1">
    <w:p w14:paraId="50C3DA9F" w14:textId="77777777" w:rsidR="007616A0" w:rsidRDefault="00761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7931" w14:textId="7F86C9A6" w:rsidR="00A32098" w:rsidRDefault="00A32098">
    <w:pPr>
      <w:pStyle w:val="Footer"/>
    </w:pPr>
    <w:r>
      <w:rPr>
        <w:noProof/>
      </w:rPr>
      <mc:AlternateContent>
        <mc:Choice Requires="wps">
          <w:drawing>
            <wp:anchor distT="0" distB="0" distL="0" distR="0" simplePos="0" relativeHeight="251660288" behindDoc="0" locked="0" layoutInCell="1" allowOverlap="1" wp14:anchorId="70F2CF07" wp14:editId="066E8A2D">
              <wp:simplePos x="635" y="635"/>
              <wp:positionH relativeFrom="page">
                <wp:align>center</wp:align>
              </wp:positionH>
              <wp:positionV relativeFrom="page">
                <wp:align>bottom</wp:align>
              </wp:positionV>
              <wp:extent cx="551815" cy="480695"/>
              <wp:effectExtent l="0" t="0" r="635" b="0"/>
              <wp:wrapNone/>
              <wp:docPr id="153632953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13A9413" w14:textId="5F4F5339" w:rsidR="00A32098" w:rsidRPr="00A32098" w:rsidRDefault="00A32098" w:rsidP="00A32098">
                          <w:pPr>
                            <w:spacing w:after="0"/>
                            <w:rPr>
                              <w:rFonts w:ascii="Calibri" w:eastAsia="Calibri" w:hAnsi="Calibri" w:cs="Calibri"/>
                              <w:noProof/>
                              <w:color w:val="FF0000"/>
                              <w:sz w:val="24"/>
                            </w:rPr>
                          </w:pPr>
                          <w:r w:rsidRPr="00A3209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F2CF07" id="_x0000_t202" coordsize="21600,21600" o:spt="202" path="m,l,21600r21600,l21600,xe">
              <v:stroke joinstyle="miter"/>
              <v:path gradientshapeok="t" o:connecttype="rect"/>
            </v:shapetype>
            <v:shape id="Text Box 5" o:spid="_x0000_s1027" type="#_x0000_t202" alt="OFFICIAL" style="position:absolute;left:0;text-align:left;margin-left:0;margin-top:0;width:43.45pt;height:37.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213A9413" w14:textId="5F4F5339" w:rsidR="00A32098" w:rsidRPr="00A32098" w:rsidRDefault="00A32098" w:rsidP="00A32098">
                    <w:pPr>
                      <w:spacing w:after="0"/>
                      <w:rPr>
                        <w:rFonts w:ascii="Calibri" w:eastAsia="Calibri" w:hAnsi="Calibri" w:cs="Calibri"/>
                        <w:noProof/>
                        <w:color w:val="FF0000"/>
                        <w:sz w:val="24"/>
                      </w:rPr>
                    </w:pPr>
                    <w:r w:rsidRPr="00A32098">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9FAB9" w14:textId="223EEE71" w:rsidR="00B53987" w:rsidRDefault="00320B27" w:rsidP="00764AC3">
    <w:pPr>
      <w:pStyle w:val="Footer"/>
      <w:jc w:val="both"/>
    </w:pPr>
    <w:r>
      <w:t>Department of Health, Disability and Ageing – Delivery of reforms to pathology application charging arrangements</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13C4" w14:textId="1D0C838D" w:rsidR="00B53987" w:rsidRDefault="00AA262B" w:rsidP="009D356C">
    <w:pPr>
      <w:pStyle w:val="Footer"/>
      <w:jc w:val="left"/>
    </w:pPr>
    <w:r>
      <w:t>Department of Health</w:t>
    </w:r>
    <w:r w:rsidR="00313F8B">
      <w:t xml:space="preserve">, Disability and </w:t>
    </w:r>
    <w:r>
      <w:t>Age</w:t>
    </w:r>
    <w:r w:rsidR="00313F8B">
      <w:t>ing</w:t>
    </w:r>
    <w:r>
      <w:t xml:space="preserve"> </w:t>
    </w:r>
    <w:r w:rsidR="00B53987">
      <w:t xml:space="preserve">– </w:t>
    </w:r>
    <w:r w:rsidR="002258CB">
      <w:t>Delivery of reforms to pathology application charging arrangements</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BDE93" w14:textId="77777777" w:rsidR="007616A0" w:rsidRDefault="007616A0" w:rsidP="006B56BB">
      <w:r>
        <w:separator/>
      </w:r>
    </w:p>
    <w:p w14:paraId="7C466C7D" w14:textId="77777777" w:rsidR="007616A0" w:rsidRDefault="007616A0"/>
  </w:footnote>
  <w:footnote w:type="continuationSeparator" w:id="0">
    <w:p w14:paraId="501DD7A9" w14:textId="77777777" w:rsidR="007616A0" w:rsidRDefault="007616A0" w:rsidP="006B56BB">
      <w:r>
        <w:continuationSeparator/>
      </w:r>
    </w:p>
    <w:p w14:paraId="23E7574C" w14:textId="77777777" w:rsidR="007616A0" w:rsidRDefault="007616A0"/>
  </w:footnote>
  <w:footnote w:type="continuationNotice" w:id="1">
    <w:p w14:paraId="6CCDB401" w14:textId="77777777" w:rsidR="007616A0" w:rsidRDefault="00761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9B49" w14:textId="1DCD3211" w:rsidR="00A32098" w:rsidRDefault="00A32098">
    <w:pPr>
      <w:pStyle w:val="Header"/>
    </w:pPr>
    <w:r>
      <w:rPr>
        <w:noProof/>
      </w:rPr>
      <mc:AlternateContent>
        <mc:Choice Requires="wps">
          <w:drawing>
            <wp:anchor distT="0" distB="0" distL="0" distR="0" simplePos="0" relativeHeight="251658240" behindDoc="0" locked="0" layoutInCell="1" allowOverlap="1" wp14:anchorId="64068A78" wp14:editId="1702F1FC">
              <wp:simplePos x="635" y="635"/>
              <wp:positionH relativeFrom="page">
                <wp:align>center</wp:align>
              </wp:positionH>
              <wp:positionV relativeFrom="page">
                <wp:align>top</wp:align>
              </wp:positionV>
              <wp:extent cx="551815" cy="480695"/>
              <wp:effectExtent l="0" t="0" r="635" b="14605"/>
              <wp:wrapNone/>
              <wp:docPr id="19169800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A0DFCAC" w14:textId="65A33CA8" w:rsidR="00A32098" w:rsidRPr="00A32098" w:rsidRDefault="00A32098" w:rsidP="00A32098">
                          <w:pPr>
                            <w:spacing w:after="0"/>
                            <w:rPr>
                              <w:rFonts w:ascii="Calibri" w:eastAsia="Calibri" w:hAnsi="Calibri" w:cs="Calibri"/>
                              <w:noProof/>
                              <w:color w:val="FF0000"/>
                              <w:sz w:val="24"/>
                            </w:rPr>
                          </w:pPr>
                          <w:r w:rsidRPr="00A3209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068A78"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5A0DFCAC" w14:textId="65A33CA8" w:rsidR="00A32098" w:rsidRPr="00A32098" w:rsidRDefault="00A32098" w:rsidP="00A32098">
                    <w:pPr>
                      <w:spacing w:after="0"/>
                      <w:rPr>
                        <w:rFonts w:ascii="Calibri" w:eastAsia="Calibri" w:hAnsi="Calibri" w:cs="Calibri"/>
                        <w:noProof/>
                        <w:color w:val="FF0000"/>
                        <w:sz w:val="24"/>
                      </w:rPr>
                    </w:pPr>
                    <w:r w:rsidRPr="00A32098">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684F" w14:textId="1151D728"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CF8C" w14:textId="07147681" w:rsidR="00B53987" w:rsidRDefault="00313F8B">
    <w:pPr>
      <w:pStyle w:val="Header"/>
    </w:pPr>
    <w:r>
      <w:rPr>
        <w:noProof/>
        <w:lang w:eastAsia="en-AU"/>
      </w:rPr>
      <w:drawing>
        <wp:inline distT="0" distB="0" distL="0" distR="0" wp14:anchorId="1E95548A" wp14:editId="3712ED02">
          <wp:extent cx="5756803"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rotWithShape="1">
                  <a:blip r:embed="rId1">
                    <a:extLst>
                      <a:ext uri="{28A0092B-C50C-407E-A947-70E740481C1C}">
                        <a14:useLocalDpi xmlns:a14="http://schemas.microsoft.com/office/drawing/2010/main" val="0"/>
                      </a:ext>
                    </a:extLst>
                  </a:blip>
                  <a:srcRect l="136" r="136"/>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340352"/>
    <w:multiLevelType w:val="hybridMultilevel"/>
    <w:tmpl w:val="6E80C71A"/>
    <w:lvl w:ilvl="0" w:tplc="CB82B10C">
      <w:start w:val="1"/>
      <w:numFmt w:val="decimal"/>
      <w:pStyle w:val="Heading3"/>
      <w:lvlText w:val="%1."/>
      <w:lvlJc w:val="left"/>
      <w:pPr>
        <w:ind w:left="720" w:hanging="360"/>
      </w:pPr>
      <w:rPr>
        <w:rFonts w:cs="Arial" w:hint="default"/>
        <w:bCs/>
        <w:iCs w:val="0"/>
        <w:color w:val="358189" w:themeColor="accent2"/>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95E22"/>
    <w:multiLevelType w:val="hybridMultilevel"/>
    <w:tmpl w:val="F5BCD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327258"/>
    <w:multiLevelType w:val="hybridMultilevel"/>
    <w:tmpl w:val="C234E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641E99"/>
    <w:multiLevelType w:val="hybridMultilevel"/>
    <w:tmpl w:val="22F6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F6B06"/>
    <w:multiLevelType w:val="hybridMultilevel"/>
    <w:tmpl w:val="29D0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C291F2C"/>
    <w:multiLevelType w:val="hybridMultilevel"/>
    <w:tmpl w:val="3FD8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1A1C3B"/>
    <w:multiLevelType w:val="hybridMultilevel"/>
    <w:tmpl w:val="5B3E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4663D0E"/>
    <w:multiLevelType w:val="hybridMultilevel"/>
    <w:tmpl w:val="F06285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1D4033"/>
    <w:multiLevelType w:val="hybridMultilevel"/>
    <w:tmpl w:val="60983398"/>
    <w:lvl w:ilvl="0" w:tplc="E54E62A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23"/>
  </w:num>
  <w:num w:numId="3" w16cid:durableId="99111382">
    <w:abstractNumId w:val="26"/>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20"/>
  </w:num>
  <w:num w:numId="8" w16cid:durableId="1674914654">
    <w:abstractNumId w:val="25"/>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7"/>
  </w:num>
  <w:num w:numId="17" w16cid:durableId="1161384352">
    <w:abstractNumId w:val="11"/>
  </w:num>
  <w:num w:numId="18" w16cid:durableId="1115442587">
    <w:abstractNumId w:val="13"/>
  </w:num>
  <w:num w:numId="19" w16cid:durableId="913049504">
    <w:abstractNumId w:val="17"/>
  </w:num>
  <w:num w:numId="20" w16cid:durableId="1185171215">
    <w:abstractNumId w:val="11"/>
  </w:num>
  <w:num w:numId="21" w16cid:durableId="1306743019">
    <w:abstractNumId w:val="17"/>
  </w:num>
  <w:num w:numId="22" w16cid:durableId="1809544992">
    <w:abstractNumId w:val="27"/>
  </w:num>
  <w:num w:numId="23" w16cid:durableId="638191149">
    <w:abstractNumId w:val="23"/>
  </w:num>
  <w:num w:numId="24" w16cid:durableId="503975017">
    <w:abstractNumId w:val="26"/>
  </w:num>
  <w:num w:numId="25" w16cid:durableId="215359669">
    <w:abstractNumId w:val="8"/>
  </w:num>
  <w:num w:numId="26" w16cid:durableId="352608886">
    <w:abstractNumId w:val="22"/>
  </w:num>
  <w:num w:numId="27" w16cid:durableId="1322731801">
    <w:abstractNumId w:val="16"/>
  </w:num>
  <w:num w:numId="28" w16cid:durableId="1960065557">
    <w:abstractNumId w:val="15"/>
  </w:num>
  <w:num w:numId="29" w16cid:durableId="1050298769">
    <w:abstractNumId w:val="14"/>
  </w:num>
  <w:num w:numId="30" w16cid:durableId="283771755">
    <w:abstractNumId w:val="24"/>
  </w:num>
  <w:num w:numId="31" w16cid:durableId="1462920978">
    <w:abstractNumId w:val="19"/>
  </w:num>
  <w:num w:numId="32" w16cid:durableId="1140536920">
    <w:abstractNumId w:val="10"/>
  </w:num>
  <w:num w:numId="33" w16cid:durableId="1586377340">
    <w:abstractNumId w:val="10"/>
    <w:lvlOverride w:ilvl="0">
      <w:startOverride w:val="1"/>
    </w:lvlOverride>
  </w:num>
  <w:num w:numId="34" w16cid:durableId="320087730">
    <w:abstractNumId w:val="21"/>
  </w:num>
  <w:num w:numId="35" w16cid:durableId="1473254297">
    <w:abstractNumId w:val="12"/>
  </w:num>
  <w:num w:numId="36" w16cid:durableId="738596492">
    <w:abstractNumId w:val="18"/>
  </w:num>
  <w:num w:numId="37" w16cid:durableId="226188822">
    <w:abstractNumId w:val="11"/>
  </w:num>
  <w:num w:numId="38" w16cid:durableId="2000569571">
    <w:abstractNumId w:val="11"/>
  </w:num>
  <w:num w:numId="39" w16cid:durableId="1786466745">
    <w:abstractNumId w:val="11"/>
  </w:num>
  <w:num w:numId="40" w16cid:durableId="77949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8B"/>
    <w:rsid w:val="0000053D"/>
    <w:rsid w:val="00000D39"/>
    <w:rsid w:val="00002C74"/>
    <w:rsid w:val="00003743"/>
    <w:rsid w:val="0000450D"/>
    <w:rsid w:val="000047B4"/>
    <w:rsid w:val="00004C2C"/>
    <w:rsid w:val="00005712"/>
    <w:rsid w:val="000064E0"/>
    <w:rsid w:val="00007FD8"/>
    <w:rsid w:val="000117F8"/>
    <w:rsid w:val="0001460F"/>
    <w:rsid w:val="000153C4"/>
    <w:rsid w:val="000163C2"/>
    <w:rsid w:val="00016B22"/>
    <w:rsid w:val="00017773"/>
    <w:rsid w:val="00022629"/>
    <w:rsid w:val="0002428A"/>
    <w:rsid w:val="00026139"/>
    <w:rsid w:val="00027601"/>
    <w:rsid w:val="00033321"/>
    <w:rsid w:val="000338E5"/>
    <w:rsid w:val="00033ECC"/>
    <w:rsid w:val="0003422F"/>
    <w:rsid w:val="00037E6C"/>
    <w:rsid w:val="0004072E"/>
    <w:rsid w:val="00040B1F"/>
    <w:rsid w:val="00041716"/>
    <w:rsid w:val="00043DC0"/>
    <w:rsid w:val="00046FF0"/>
    <w:rsid w:val="00050176"/>
    <w:rsid w:val="00050342"/>
    <w:rsid w:val="00065549"/>
    <w:rsid w:val="00065721"/>
    <w:rsid w:val="00067456"/>
    <w:rsid w:val="00071506"/>
    <w:rsid w:val="0007154F"/>
    <w:rsid w:val="00074FAF"/>
    <w:rsid w:val="00080431"/>
    <w:rsid w:val="000806FB"/>
    <w:rsid w:val="00080D79"/>
    <w:rsid w:val="00081AB1"/>
    <w:rsid w:val="000823AB"/>
    <w:rsid w:val="00082F61"/>
    <w:rsid w:val="00085A92"/>
    <w:rsid w:val="00090316"/>
    <w:rsid w:val="00093981"/>
    <w:rsid w:val="00097CE2"/>
    <w:rsid w:val="000A0E83"/>
    <w:rsid w:val="000B067A"/>
    <w:rsid w:val="000B1540"/>
    <w:rsid w:val="000B1E53"/>
    <w:rsid w:val="000B33FD"/>
    <w:rsid w:val="000B4ABA"/>
    <w:rsid w:val="000C4B16"/>
    <w:rsid w:val="000C50C3"/>
    <w:rsid w:val="000C5E14"/>
    <w:rsid w:val="000D21F6"/>
    <w:rsid w:val="000D4500"/>
    <w:rsid w:val="000D4A4A"/>
    <w:rsid w:val="000D6A4D"/>
    <w:rsid w:val="000D7AEA"/>
    <w:rsid w:val="000D7B89"/>
    <w:rsid w:val="000E07BB"/>
    <w:rsid w:val="000E2C66"/>
    <w:rsid w:val="000F123C"/>
    <w:rsid w:val="000F2FED"/>
    <w:rsid w:val="00105473"/>
    <w:rsid w:val="001059B5"/>
    <w:rsid w:val="0010616D"/>
    <w:rsid w:val="00110478"/>
    <w:rsid w:val="00115266"/>
    <w:rsid w:val="0011711B"/>
    <w:rsid w:val="00117F8A"/>
    <w:rsid w:val="00121B9B"/>
    <w:rsid w:val="00122ADC"/>
    <w:rsid w:val="001262D6"/>
    <w:rsid w:val="00130F59"/>
    <w:rsid w:val="00133A26"/>
    <w:rsid w:val="00133EC0"/>
    <w:rsid w:val="00140DE8"/>
    <w:rsid w:val="00141CE5"/>
    <w:rsid w:val="00144908"/>
    <w:rsid w:val="001514F1"/>
    <w:rsid w:val="00152868"/>
    <w:rsid w:val="00153B46"/>
    <w:rsid w:val="00156D96"/>
    <w:rsid w:val="001571C7"/>
    <w:rsid w:val="00161094"/>
    <w:rsid w:val="00161349"/>
    <w:rsid w:val="0016297A"/>
    <w:rsid w:val="0016469F"/>
    <w:rsid w:val="00164D47"/>
    <w:rsid w:val="00167673"/>
    <w:rsid w:val="0017665C"/>
    <w:rsid w:val="00177685"/>
    <w:rsid w:val="00177AD2"/>
    <w:rsid w:val="001815A8"/>
    <w:rsid w:val="001840FA"/>
    <w:rsid w:val="00190079"/>
    <w:rsid w:val="0019622E"/>
    <w:rsid w:val="001966A7"/>
    <w:rsid w:val="00196BB1"/>
    <w:rsid w:val="001A4627"/>
    <w:rsid w:val="001A4979"/>
    <w:rsid w:val="001A4E19"/>
    <w:rsid w:val="001A7A0B"/>
    <w:rsid w:val="001B15D3"/>
    <w:rsid w:val="001B1E5E"/>
    <w:rsid w:val="001B3443"/>
    <w:rsid w:val="001B77D5"/>
    <w:rsid w:val="001C0326"/>
    <w:rsid w:val="001C192F"/>
    <w:rsid w:val="001C30F7"/>
    <w:rsid w:val="001C3C42"/>
    <w:rsid w:val="001C504E"/>
    <w:rsid w:val="001D217F"/>
    <w:rsid w:val="001D220E"/>
    <w:rsid w:val="001D22F6"/>
    <w:rsid w:val="001D4540"/>
    <w:rsid w:val="001D7869"/>
    <w:rsid w:val="001E1A9D"/>
    <w:rsid w:val="001E6CE3"/>
    <w:rsid w:val="001E6E04"/>
    <w:rsid w:val="0020011F"/>
    <w:rsid w:val="002026CD"/>
    <w:rsid w:val="002033FC"/>
    <w:rsid w:val="002044BB"/>
    <w:rsid w:val="00210B09"/>
    <w:rsid w:val="00210C9E"/>
    <w:rsid w:val="00211840"/>
    <w:rsid w:val="00214783"/>
    <w:rsid w:val="00220E5F"/>
    <w:rsid w:val="002212B5"/>
    <w:rsid w:val="002258CB"/>
    <w:rsid w:val="00226668"/>
    <w:rsid w:val="00233809"/>
    <w:rsid w:val="00236AEA"/>
    <w:rsid w:val="00240046"/>
    <w:rsid w:val="00246F53"/>
    <w:rsid w:val="0024797F"/>
    <w:rsid w:val="0025098D"/>
    <w:rsid w:val="00250C77"/>
    <w:rsid w:val="0025119E"/>
    <w:rsid w:val="00251269"/>
    <w:rsid w:val="002535C0"/>
    <w:rsid w:val="00255818"/>
    <w:rsid w:val="00257108"/>
    <w:rsid w:val="002579FE"/>
    <w:rsid w:val="002628DE"/>
    <w:rsid w:val="0026311C"/>
    <w:rsid w:val="0026668C"/>
    <w:rsid w:val="00266AC1"/>
    <w:rsid w:val="0027178C"/>
    <w:rsid w:val="002719FA"/>
    <w:rsid w:val="00272668"/>
    <w:rsid w:val="0027330B"/>
    <w:rsid w:val="0027712F"/>
    <w:rsid w:val="002803AD"/>
    <w:rsid w:val="00282052"/>
    <w:rsid w:val="002831A3"/>
    <w:rsid w:val="0028519E"/>
    <w:rsid w:val="002856A5"/>
    <w:rsid w:val="00286C79"/>
    <w:rsid w:val="002872ED"/>
    <w:rsid w:val="002905C2"/>
    <w:rsid w:val="00291C37"/>
    <w:rsid w:val="00295AF2"/>
    <w:rsid w:val="00295C91"/>
    <w:rsid w:val="002965FA"/>
    <w:rsid w:val="00297151"/>
    <w:rsid w:val="002A0C6C"/>
    <w:rsid w:val="002A486A"/>
    <w:rsid w:val="002B20E6"/>
    <w:rsid w:val="002B42A3"/>
    <w:rsid w:val="002C0CDD"/>
    <w:rsid w:val="002C38C4"/>
    <w:rsid w:val="002C4A4C"/>
    <w:rsid w:val="002C641B"/>
    <w:rsid w:val="002E06D6"/>
    <w:rsid w:val="002E1427"/>
    <w:rsid w:val="002E1A1D"/>
    <w:rsid w:val="002E4081"/>
    <w:rsid w:val="002E5B78"/>
    <w:rsid w:val="002F3AE3"/>
    <w:rsid w:val="002F5C6A"/>
    <w:rsid w:val="0030464B"/>
    <w:rsid w:val="0030786C"/>
    <w:rsid w:val="00313F8B"/>
    <w:rsid w:val="00315984"/>
    <w:rsid w:val="00320B27"/>
    <w:rsid w:val="00321D63"/>
    <w:rsid w:val="003233DE"/>
    <w:rsid w:val="0032466B"/>
    <w:rsid w:val="003250ED"/>
    <w:rsid w:val="003263EF"/>
    <w:rsid w:val="00326484"/>
    <w:rsid w:val="00330209"/>
    <w:rsid w:val="003330EB"/>
    <w:rsid w:val="00335AE0"/>
    <w:rsid w:val="0033711F"/>
    <w:rsid w:val="003371B9"/>
    <w:rsid w:val="00337CF6"/>
    <w:rsid w:val="0034031E"/>
    <w:rsid w:val="003415FD"/>
    <w:rsid w:val="003429F0"/>
    <w:rsid w:val="00345721"/>
    <w:rsid w:val="00345A82"/>
    <w:rsid w:val="0035097A"/>
    <w:rsid w:val="003540A4"/>
    <w:rsid w:val="00355700"/>
    <w:rsid w:val="003579A1"/>
    <w:rsid w:val="00357BCC"/>
    <w:rsid w:val="00360E4E"/>
    <w:rsid w:val="003669F9"/>
    <w:rsid w:val="00367F0A"/>
    <w:rsid w:val="003702F1"/>
    <w:rsid w:val="00370AAA"/>
    <w:rsid w:val="00375F77"/>
    <w:rsid w:val="00376977"/>
    <w:rsid w:val="00381BBE"/>
    <w:rsid w:val="00382903"/>
    <w:rsid w:val="00382B5B"/>
    <w:rsid w:val="003846FF"/>
    <w:rsid w:val="003857D4"/>
    <w:rsid w:val="00385AD4"/>
    <w:rsid w:val="00387924"/>
    <w:rsid w:val="0039384D"/>
    <w:rsid w:val="00395C23"/>
    <w:rsid w:val="003965E0"/>
    <w:rsid w:val="003976FC"/>
    <w:rsid w:val="003A2E4F"/>
    <w:rsid w:val="003A4438"/>
    <w:rsid w:val="003A5013"/>
    <w:rsid w:val="003A5078"/>
    <w:rsid w:val="003A62DD"/>
    <w:rsid w:val="003A775A"/>
    <w:rsid w:val="003B213A"/>
    <w:rsid w:val="003B43AD"/>
    <w:rsid w:val="003B625E"/>
    <w:rsid w:val="003C0FEC"/>
    <w:rsid w:val="003C2AC8"/>
    <w:rsid w:val="003C3853"/>
    <w:rsid w:val="003D033A"/>
    <w:rsid w:val="003D17F9"/>
    <w:rsid w:val="003D18DF"/>
    <w:rsid w:val="003D2D88"/>
    <w:rsid w:val="003D41EA"/>
    <w:rsid w:val="003D4850"/>
    <w:rsid w:val="003D535A"/>
    <w:rsid w:val="003E5265"/>
    <w:rsid w:val="003F0955"/>
    <w:rsid w:val="003F21F4"/>
    <w:rsid w:val="003F29D2"/>
    <w:rsid w:val="003F5F4D"/>
    <w:rsid w:val="003F646F"/>
    <w:rsid w:val="00400F00"/>
    <w:rsid w:val="00400FB5"/>
    <w:rsid w:val="0040295D"/>
    <w:rsid w:val="00404F8B"/>
    <w:rsid w:val="00405256"/>
    <w:rsid w:val="00410031"/>
    <w:rsid w:val="00415C19"/>
    <w:rsid w:val="00415C81"/>
    <w:rsid w:val="0041738D"/>
    <w:rsid w:val="00420DD3"/>
    <w:rsid w:val="00426779"/>
    <w:rsid w:val="00430395"/>
    <w:rsid w:val="00430B7F"/>
    <w:rsid w:val="00432378"/>
    <w:rsid w:val="0043490B"/>
    <w:rsid w:val="00434E0F"/>
    <w:rsid w:val="00440D65"/>
    <w:rsid w:val="004435E6"/>
    <w:rsid w:val="0044711A"/>
    <w:rsid w:val="00447E31"/>
    <w:rsid w:val="00453923"/>
    <w:rsid w:val="00454B9B"/>
    <w:rsid w:val="00457858"/>
    <w:rsid w:val="00460B0B"/>
    <w:rsid w:val="00461023"/>
    <w:rsid w:val="00462A20"/>
    <w:rsid w:val="00462FAC"/>
    <w:rsid w:val="00464631"/>
    <w:rsid w:val="00464B79"/>
    <w:rsid w:val="00467BBF"/>
    <w:rsid w:val="004741AD"/>
    <w:rsid w:val="00476319"/>
    <w:rsid w:val="0048593C"/>
    <w:rsid w:val="004867E2"/>
    <w:rsid w:val="004929A9"/>
    <w:rsid w:val="0049394B"/>
    <w:rsid w:val="004954E2"/>
    <w:rsid w:val="00497846"/>
    <w:rsid w:val="004A6FDC"/>
    <w:rsid w:val="004A78D9"/>
    <w:rsid w:val="004C205F"/>
    <w:rsid w:val="004C4C69"/>
    <w:rsid w:val="004C588D"/>
    <w:rsid w:val="004C6BCF"/>
    <w:rsid w:val="004D58BF"/>
    <w:rsid w:val="004E4335"/>
    <w:rsid w:val="004E6F93"/>
    <w:rsid w:val="004F13EE"/>
    <w:rsid w:val="004F2022"/>
    <w:rsid w:val="004F4052"/>
    <w:rsid w:val="004F7C05"/>
    <w:rsid w:val="00501C94"/>
    <w:rsid w:val="00502D38"/>
    <w:rsid w:val="00505A35"/>
    <w:rsid w:val="00506432"/>
    <w:rsid w:val="00506E82"/>
    <w:rsid w:val="005077AE"/>
    <w:rsid w:val="0051091A"/>
    <w:rsid w:val="0051256D"/>
    <w:rsid w:val="00512A6F"/>
    <w:rsid w:val="005139D5"/>
    <w:rsid w:val="005165A4"/>
    <w:rsid w:val="0052051D"/>
    <w:rsid w:val="005276E4"/>
    <w:rsid w:val="00530E49"/>
    <w:rsid w:val="0053175D"/>
    <w:rsid w:val="00541EFC"/>
    <w:rsid w:val="0054588D"/>
    <w:rsid w:val="00545EE6"/>
    <w:rsid w:val="005461C2"/>
    <w:rsid w:val="005550E7"/>
    <w:rsid w:val="005564FB"/>
    <w:rsid w:val="005572C7"/>
    <w:rsid w:val="0056160A"/>
    <w:rsid w:val="005650ED"/>
    <w:rsid w:val="00574F65"/>
    <w:rsid w:val="00575754"/>
    <w:rsid w:val="00581FBA"/>
    <w:rsid w:val="00582FF0"/>
    <w:rsid w:val="005858EA"/>
    <w:rsid w:val="00591E20"/>
    <w:rsid w:val="00595408"/>
    <w:rsid w:val="00595E84"/>
    <w:rsid w:val="005A0C59"/>
    <w:rsid w:val="005A43A0"/>
    <w:rsid w:val="005A48EB"/>
    <w:rsid w:val="005A6CFB"/>
    <w:rsid w:val="005C5AEB"/>
    <w:rsid w:val="005C71C3"/>
    <w:rsid w:val="005E0A3F"/>
    <w:rsid w:val="005E2DB5"/>
    <w:rsid w:val="005E6883"/>
    <w:rsid w:val="005E772F"/>
    <w:rsid w:val="005F4ECA"/>
    <w:rsid w:val="006027F9"/>
    <w:rsid w:val="006041BE"/>
    <w:rsid w:val="006043C7"/>
    <w:rsid w:val="00604513"/>
    <w:rsid w:val="00614583"/>
    <w:rsid w:val="00614E9A"/>
    <w:rsid w:val="006205BB"/>
    <w:rsid w:val="00624B52"/>
    <w:rsid w:val="00630794"/>
    <w:rsid w:val="00631DF4"/>
    <w:rsid w:val="00634175"/>
    <w:rsid w:val="006408AC"/>
    <w:rsid w:val="006511B6"/>
    <w:rsid w:val="00656ADA"/>
    <w:rsid w:val="006574C4"/>
    <w:rsid w:val="00657FF8"/>
    <w:rsid w:val="00664D50"/>
    <w:rsid w:val="006677E3"/>
    <w:rsid w:val="00670D99"/>
    <w:rsid w:val="00670E2B"/>
    <w:rsid w:val="006734BB"/>
    <w:rsid w:val="0067697A"/>
    <w:rsid w:val="006821EB"/>
    <w:rsid w:val="00685470"/>
    <w:rsid w:val="006927E7"/>
    <w:rsid w:val="00694158"/>
    <w:rsid w:val="006A4CF5"/>
    <w:rsid w:val="006B2286"/>
    <w:rsid w:val="006B5672"/>
    <w:rsid w:val="006B56BB"/>
    <w:rsid w:val="006C65F1"/>
    <w:rsid w:val="006C77A8"/>
    <w:rsid w:val="006D4098"/>
    <w:rsid w:val="006D7681"/>
    <w:rsid w:val="006D779C"/>
    <w:rsid w:val="006D7B2E"/>
    <w:rsid w:val="006E02EA"/>
    <w:rsid w:val="006E0968"/>
    <w:rsid w:val="006E2AF6"/>
    <w:rsid w:val="006E5272"/>
    <w:rsid w:val="00701275"/>
    <w:rsid w:val="00702CAD"/>
    <w:rsid w:val="0070328C"/>
    <w:rsid w:val="0070471F"/>
    <w:rsid w:val="00707F56"/>
    <w:rsid w:val="00713558"/>
    <w:rsid w:val="00716BC2"/>
    <w:rsid w:val="0072026B"/>
    <w:rsid w:val="00720D08"/>
    <w:rsid w:val="007263B9"/>
    <w:rsid w:val="007334F8"/>
    <w:rsid w:val="007339CD"/>
    <w:rsid w:val="007359D8"/>
    <w:rsid w:val="007362D4"/>
    <w:rsid w:val="00742765"/>
    <w:rsid w:val="00743737"/>
    <w:rsid w:val="00746C0F"/>
    <w:rsid w:val="00747651"/>
    <w:rsid w:val="0075141B"/>
    <w:rsid w:val="007551EE"/>
    <w:rsid w:val="00757D78"/>
    <w:rsid w:val="007616A0"/>
    <w:rsid w:val="00764AC3"/>
    <w:rsid w:val="0076672A"/>
    <w:rsid w:val="007668BC"/>
    <w:rsid w:val="00774956"/>
    <w:rsid w:val="00775E45"/>
    <w:rsid w:val="00776E74"/>
    <w:rsid w:val="00784615"/>
    <w:rsid w:val="00785169"/>
    <w:rsid w:val="00794276"/>
    <w:rsid w:val="007954AB"/>
    <w:rsid w:val="007A14C5"/>
    <w:rsid w:val="007A4A10"/>
    <w:rsid w:val="007A4C12"/>
    <w:rsid w:val="007B096F"/>
    <w:rsid w:val="007B1760"/>
    <w:rsid w:val="007C167C"/>
    <w:rsid w:val="007C1FDC"/>
    <w:rsid w:val="007C6557"/>
    <w:rsid w:val="007C6BD0"/>
    <w:rsid w:val="007C6D9C"/>
    <w:rsid w:val="007C7DDB"/>
    <w:rsid w:val="007D2CC7"/>
    <w:rsid w:val="007D3590"/>
    <w:rsid w:val="007D673D"/>
    <w:rsid w:val="007D78F1"/>
    <w:rsid w:val="007E0FB8"/>
    <w:rsid w:val="007E1382"/>
    <w:rsid w:val="007E296B"/>
    <w:rsid w:val="007E2CA0"/>
    <w:rsid w:val="007E3C21"/>
    <w:rsid w:val="007E4D09"/>
    <w:rsid w:val="007F2220"/>
    <w:rsid w:val="007F4B3E"/>
    <w:rsid w:val="007F5E43"/>
    <w:rsid w:val="007F7022"/>
    <w:rsid w:val="00800E51"/>
    <w:rsid w:val="00801AC5"/>
    <w:rsid w:val="008042B9"/>
    <w:rsid w:val="00805413"/>
    <w:rsid w:val="008127AF"/>
    <w:rsid w:val="00812B46"/>
    <w:rsid w:val="00815700"/>
    <w:rsid w:val="008158A2"/>
    <w:rsid w:val="00825FB2"/>
    <w:rsid w:val="008264EB"/>
    <w:rsid w:val="00826B8F"/>
    <w:rsid w:val="00831E8A"/>
    <w:rsid w:val="00834A52"/>
    <w:rsid w:val="00835C76"/>
    <w:rsid w:val="008376E2"/>
    <w:rsid w:val="00843049"/>
    <w:rsid w:val="008460E5"/>
    <w:rsid w:val="00850B46"/>
    <w:rsid w:val="0085209B"/>
    <w:rsid w:val="00852195"/>
    <w:rsid w:val="00856B66"/>
    <w:rsid w:val="008601AC"/>
    <w:rsid w:val="00861A5F"/>
    <w:rsid w:val="008644AD"/>
    <w:rsid w:val="00865735"/>
    <w:rsid w:val="00865DDB"/>
    <w:rsid w:val="00866E8C"/>
    <w:rsid w:val="00867538"/>
    <w:rsid w:val="00871E23"/>
    <w:rsid w:val="00873AF7"/>
    <w:rsid w:val="00873D90"/>
    <w:rsid w:val="00873FC8"/>
    <w:rsid w:val="00876757"/>
    <w:rsid w:val="00884C63"/>
    <w:rsid w:val="00885908"/>
    <w:rsid w:val="008864B7"/>
    <w:rsid w:val="00894ACD"/>
    <w:rsid w:val="00895762"/>
    <w:rsid w:val="0089677E"/>
    <w:rsid w:val="008A7438"/>
    <w:rsid w:val="008A75AA"/>
    <w:rsid w:val="008A7F65"/>
    <w:rsid w:val="008B1334"/>
    <w:rsid w:val="008B25C7"/>
    <w:rsid w:val="008B70ED"/>
    <w:rsid w:val="008C0278"/>
    <w:rsid w:val="008C24E9"/>
    <w:rsid w:val="008C2805"/>
    <w:rsid w:val="008C2C22"/>
    <w:rsid w:val="008D0533"/>
    <w:rsid w:val="008D2972"/>
    <w:rsid w:val="008D42CB"/>
    <w:rsid w:val="008D46E0"/>
    <w:rsid w:val="008D48C9"/>
    <w:rsid w:val="008D6381"/>
    <w:rsid w:val="008E0C77"/>
    <w:rsid w:val="008E1F6C"/>
    <w:rsid w:val="008E5367"/>
    <w:rsid w:val="008E547C"/>
    <w:rsid w:val="008E625F"/>
    <w:rsid w:val="008F24EC"/>
    <w:rsid w:val="008F264D"/>
    <w:rsid w:val="008F2F01"/>
    <w:rsid w:val="008F6A0A"/>
    <w:rsid w:val="009019C2"/>
    <w:rsid w:val="009040E9"/>
    <w:rsid w:val="009074E1"/>
    <w:rsid w:val="009112F7"/>
    <w:rsid w:val="009122AF"/>
    <w:rsid w:val="00912D54"/>
    <w:rsid w:val="0091389F"/>
    <w:rsid w:val="009208F7"/>
    <w:rsid w:val="00921649"/>
    <w:rsid w:val="00922517"/>
    <w:rsid w:val="00922710"/>
    <w:rsid w:val="00922722"/>
    <w:rsid w:val="009257B5"/>
    <w:rsid w:val="009261E6"/>
    <w:rsid w:val="00926781"/>
    <w:rsid w:val="009268E1"/>
    <w:rsid w:val="009271EE"/>
    <w:rsid w:val="009344AE"/>
    <w:rsid w:val="009344DE"/>
    <w:rsid w:val="00937EB6"/>
    <w:rsid w:val="00942EFC"/>
    <w:rsid w:val="009437E0"/>
    <w:rsid w:val="00945E7F"/>
    <w:rsid w:val="00951FE1"/>
    <w:rsid w:val="009545FD"/>
    <w:rsid w:val="009557C1"/>
    <w:rsid w:val="00960D6E"/>
    <w:rsid w:val="00964F11"/>
    <w:rsid w:val="009658B6"/>
    <w:rsid w:val="00972A79"/>
    <w:rsid w:val="00974B59"/>
    <w:rsid w:val="00977DCD"/>
    <w:rsid w:val="00982BA0"/>
    <w:rsid w:val="0098340B"/>
    <w:rsid w:val="0098654B"/>
    <w:rsid w:val="00986830"/>
    <w:rsid w:val="00991725"/>
    <w:rsid w:val="009924C3"/>
    <w:rsid w:val="00993102"/>
    <w:rsid w:val="009A0B8E"/>
    <w:rsid w:val="009A2CD7"/>
    <w:rsid w:val="009B1570"/>
    <w:rsid w:val="009C6F10"/>
    <w:rsid w:val="009D148F"/>
    <w:rsid w:val="009D356C"/>
    <w:rsid w:val="009D3D70"/>
    <w:rsid w:val="009D6E31"/>
    <w:rsid w:val="009E481C"/>
    <w:rsid w:val="009E6F7E"/>
    <w:rsid w:val="009E7A57"/>
    <w:rsid w:val="009F3229"/>
    <w:rsid w:val="009F327A"/>
    <w:rsid w:val="009F4803"/>
    <w:rsid w:val="009F4A5A"/>
    <w:rsid w:val="009F4E0C"/>
    <w:rsid w:val="009F4F6A"/>
    <w:rsid w:val="009F5EE4"/>
    <w:rsid w:val="009F64A5"/>
    <w:rsid w:val="00A13EB5"/>
    <w:rsid w:val="00A1439E"/>
    <w:rsid w:val="00A16E36"/>
    <w:rsid w:val="00A22B36"/>
    <w:rsid w:val="00A246F8"/>
    <w:rsid w:val="00A24961"/>
    <w:rsid w:val="00A24B10"/>
    <w:rsid w:val="00A27583"/>
    <w:rsid w:val="00A277EF"/>
    <w:rsid w:val="00A30E9B"/>
    <w:rsid w:val="00A32098"/>
    <w:rsid w:val="00A36E5A"/>
    <w:rsid w:val="00A4512D"/>
    <w:rsid w:val="00A4608F"/>
    <w:rsid w:val="00A46EE7"/>
    <w:rsid w:val="00A47A1B"/>
    <w:rsid w:val="00A50244"/>
    <w:rsid w:val="00A57A40"/>
    <w:rsid w:val="00A627D7"/>
    <w:rsid w:val="00A65407"/>
    <w:rsid w:val="00A656C7"/>
    <w:rsid w:val="00A705AF"/>
    <w:rsid w:val="00A719F6"/>
    <w:rsid w:val="00A71D3D"/>
    <w:rsid w:val="00A72454"/>
    <w:rsid w:val="00A734FC"/>
    <w:rsid w:val="00A7361F"/>
    <w:rsid w:val="00A74CF7"/>
    <w:rsid w:val="00A77696"/>
    <w:rsid w:val="00A80557"/>
    <w:rsid w:val="00A81D33"/>
    <w:rsid w:val="00A83177"/>
    <w:rsid w:val="00A8341C"/>
    <w:rsid w:val="00A87262"/>
    <w:rsid w:val="00A9146D"/>
    <w:rsid w:val="00A92408"/>
    <w:rsid w:val="00A930AE"/>
    <w:rsid w:val="00AA1A95"/>
    <w:rsid w:val="00AA260F"/>
    <w:rsid w:val="00AA262B"/>
    <w:rsid w:val="00AA67DE"/>
    <w:rsid w:val="00AB16BB"/>
    <w:rsid w:val="00AB1EE7"/>
    <w:rsid w:val="00AB4B37"/>
    <w:rsid w:val="00AB5762"/>
    <w:rsid w:val="00AC2679"/>
    <w:rsid w:val="00AC3A1B"/>
    <w:rsid w:val="00AC4B21"/>
    <w:rsid w:val="00AC4BE4"/>
    <w:rsid w:val="00AD05E6"/>
    <w:rsid w:val="00AD0D3F"/>
    <w:rsid w:val="00AD0E80"/>
    <w:rsid w:val="00AD7DB6"/>
    <w:rsid w:val="00AE1D7D"/>
    <w:rsid w:val="00AE2A8B"/>
    <w:rsid w:val="00AE3F64"/>
    <w:rsid w:val="00AE4FDD"/>
    <w:rsid w:val="00AE72C9"/>
    <w:rsid w:val="00AE73FE"/>
    <w:rsid w:val="00AF2667"/>
    <w:rsid w:val="00AF7386"/>
    <w:rsid w:val="00AF7934"/>
    <w:rsid w:val="00B00B81"/>
    <w:rsid w:val="00B04580"/>
    <w:rsid w:val="00B04B09"/>
    <w:rsid w:val="00B15EDD"/>
    <w:rsid w:val="00B16A51"/>
    <w:rsid w:val="00B208A1"/>
    <w:rsid w:val="00B22D0E"/>
    <w:rsid w:val="00B23E8A"/>
    <w:rsid w:val="00B32222"/>
    <w:rsid w:val="00B3618D"/>
    <w:rsid w:val="00B36233"/>
    <w:rsid w:val="00B423A3"/>
    <w:rsid w:val="00B42851"/>
    <w:rsid w:val="00B45AC7"/>
    <w:rsid w:val="00B5372F"/>
    <w:rsid w:val="00B53987"/>
    <w:rsid w:val="00B61129"/>
    <w:rsid w:val="00B61883"/>
    <w:rsid w:val="00B67E7F"/>
    <w:rsid w:val="00B839B2"/>
    <w:rsid w:val="00B862E0"/>
    <w:rsid w:val="00B92AF5"/>
    <w:rsid w:val="00B94252"/>
    <w:rsid w:val="00B94BF9"/>
    <w:rsid w:val="00B9715A"/>
    <w:rsid w:val="00BA14BE"/>
    <w:rsid w:val="00BA2732"/>
    <w:rsid w:val="00BA293D"/>
    <w:rsid w:val="00BA334D"/>
    <w:rsid w:val="00BA49BC"/>
    <w:rsid w:val="00BA56B7"/>
    <w:rsid w:val="00BA748F"/>
    <w:rsid w:val="00BA7A1E"/>
    <w:rsid w:val="00BB077B"/>
    <w:rsid w:val="00BB2EE2"/>
    <w:rsid w:val="00BB2F6C"/>
    <w:rsid w:val="00BB3875"/>
    <w:rsid w:val="00BB5860"/>
    <w:rsid w:val="00BB6AAD"/>
    <w:rsid w:val="00BC1338"/>
    <w:rsid w:val="00BC1CD7"/>
    <w:rsid w:val="00BC4A19"/>
    <w:rsid w:val="00BC4E6D"/>
    <w:rsid w:val="00BC5F5F"/>
    <w:rsid w:val="00BD0617"/>
    <w:rsid w:val="00BD2E9B"/>
    <w:rsid w:val="00BD2F65"/>
    <w:rsid w:val="00BD4F62"/>
    <w:rsid w:val="00BD7FB2"/>
    <w:rsid w:val="00BE29C0"/>
    <w:rsid w:val="00BF14B8"/>
    <w:rsid w:val="00BF52D1"/>
    <w:rsid w:val="00C00930"/>
    <w:rsid w:val="00C036EF"/>
    <w:rsid w:val="00C03A15"/>
    <w:rsid w:val="00C060AD"/>
    <w:rsid w:val="00C07A5F"/>
    <w:rsid w:val="00C113BF"/>
    <w:rsid w:val="00C1192E"/>
    <w:rsid w:val="00C156F9"/>
    <w:rsid w:val="00C2176E"/>
    <w:rsid w:val="00C23430"/>
    <w:rsid w:val="00C27D67"/>
    <w:rsid w:val="00C314D4"/>
    <w:rsid w:val="00C43A05"/>
    <w:rsid w:val="00C449B3"/>
    <w:rsid w:val="00C4631F"/>
    <w:rsid w:val="00C47CDE"/>
    <w:rsid w:val="00C507C3"/>
    <w:rsid w:val="00C50E16"/>
    <w:rsid w:val="00C50FF2"/>
    <w:rsid w:val="00C55258"/>
    <w:rsid w:val="00C66BC7"/>
    <w:rsid w:val="00C747CF"/>
    <w:rsid w:val="00C82EEB"/>
    <w:rsid w:val="00C971DC"/>
    <w:rsid w:val="00CA129F"/>
    <w:rsid w:val="00CA16B7"/>
    <w:rsid w:val="00CA346F"/>
    <w:rsid w:val="00CA4F08"/>
    <w:rsid w:val="00CA5DBA"/>
    <w:rsid w:val="00CA62AE"/>
    <w:rsid w:val="00CB4E54"/>
    <w:rsid w:val="00CB4FDB"/>
    <w:rsid w:val="00CB5348"/>
    <w:rsid w:val="00CB5B1A"/>
    <w:rsid w:val="00CC220B"/>
    <w:rsid w:val="00CC5C43"/>
    <w:rsid w:val="00CC65DF"/>
    <w:rsid w:val="00CD02AE"/>
    <w:rsid w:val="00CD0F5E"/>
    <w:rsid w:val="00CD2A4F"/>
    <w:rsid w:val="00CD3C17"/>
    <w:rsid w:val="00CD52D1"/>
    <w:rsid w:val="00CE03CA"/>
    <w:rsid w:val="00CE16E0"/>
    <w:rsid w:val="00CE22F1"/>
    <w:rsid w:val="00CE50F2"/>
    <w:rsid w:val="00CE6287"/>
    <w:rsid w:val="00CE6502"/>
    <w:rsid w:val="00CF7D3C"/>
    <w:rsid w:val="00D004AC"/>
    <w:rsid w:val="00D01F09"/>
    <w:rsid w:val="00D147EB"/>
    <w:rsid w:val="00D20D8D"/>
    <w:rsid w:val="00D34667"/>
    <w:rsid w:val="00D35D06"/>
    <w:rsid w:val="00D36033"/>
    <w:rsid w:val="00D401E1"/>
    <w:rsid w:val="00D408B4"/>
    <w:rsid w:val="00D46D3D"/>
    <w:rsid w:val="00D50545"/>
    <w:rsid w:val="00D524C8"/>
    <w:rsid w:val="00D60AA4"/>
    <w:rsid w:val="00D61C8C"/>
    <w:rsid w:val="00D64BFE"/>
    <w:rsid w:val="00D64E7D"/>
    <w:rsid w:val="00D65099"/>
    <w:rsid w:val="00D70E24"/>
    <w:rsid w:val="00D72B61"/>
    <w:rsid w:val="00D80595"/>
    <w:rsid w:val="00D818DC"/>
    <w:rsid w:val="00D94013"/>
    <w:rsid w:val="00D96F5B"/>
    <w:rsid w:val="00DA3D1D"/>
    <w:rsid w:val="00DB6286"/>
    <w:rsid w:val="00DB645F"/>
    <w:rsid w:val="00DB73ED"/>
    <w:rsid w:val="00DB76E9"/>
    <w:rsid w:val="00DC0A67"/>
    <w:rsid w:val="00DC1D5E"/>
    <w:rsid w:val="00DC3985"/>
    <w:rsid w:val="00DC3A9B"/>
    <w:rsid w:val="00DC5220"/>
    <w:rsid w:val="00DC7886"/>
    <w:rsid w:val="00DD2061"/>
    <w:rsid w:val="00DD6180"/>
    <w:rsid w:val="00DD7DAB"/>
    <w:rsid w:val="00DE30B0"/>
    <w:rsid w:val="00DE3355"/>
    <w:rsid w:val="00DF0C60"/>
    <w:rsid w:val="00DF486F"/>
    <w:rsid w:val="00DF5B5B"/>
    <w:rsid w:val="00DF7588"/>
    <w:rsid w:val="00DF7619"/>
    <w:rsid w:val="00E00A5E"/>
    <w:rsid w:val="00E031D1"/>
    <w:rsid w:val="00E042D8"/>
    <w:rsid w:val="00E059B4"/>
    <w:rsid w:val="00E07EE7"/>
    <w:rsid w:val="00E1103B"/>
    <w:rsid w:val="00E14636"/>
    <w:rsid w:val="00E16A72"/>
    <w:rsid w:val="00E17B44"/>
    <w:rsid w:val="00E20F27"/>
    <w:rsid w:val="00E22443"/>
    <w:rsid w:val="00E25B1F"/>
    <w:rsid w:val="00E27FEA"/>
    <w:rsid w:val="00E31D85"/>
    <w:rsid w:val="00E36913"/>
    <w:rsid w:val="00E37378"/>
    <w:rsid w:val="00E4086F"/>
    <w:rsid w:val="00E429DB"/>
    <w:rsid w:val="00E42BCE"/>
    <w:rsid w:val="00E43B3C"/>
    <w:rsid w:val="00E50188"/>
    <w:rsid w:val="00E50BB3"/>
    <w:rsid w:val="00E515CB"/>
    <w:rsid w:val="00E52260"/>
    <w:rsid w:val="00E552F4"/>
    <w:rsid w:val="00E56575"/>
    <w:rsid w:val="00E639B6"/>
    <w:rsid w:val="00E6434B"/>
    <w:rsid w:val="00E6463D"/>
    <w:rsid w:val="00E72E9B"/>
    <w:rsid w:val="00E737C8"/>
    <w:rsid w:val="00E76E0F"/>
    <w:rsid w:val="00E77142"/>
    <w:rsid w:val="00E850C3"/>
    <w:rsid w:val="00E8574B"/>
    <w:rsid w:val="00E87DF2"/>
    <w:rsid w:val="00E9462E"/>
    <w:rsid w:val="00EA236F"/>
    <w:rsid w:val="00EA470E"/>
    <w:rsid w:val="00EA47A7"/>
    <w:rsid w:val="00EA57EB"/>
    <w:rsid w:val="00EA7910"/>
    <w:rsid w:val="00EA7C3F"/>
    <w:rsid w:val="00EB3226"/>
    <w:rsid w:val="00EB5A23"/>
    <w:rsid w:val="00EB604C"/>
    <w:rsid w:val="00EC0BAC"/>
    <w:rsid w:val="00EC213A"/>
    <w:rsid w:val="00EC7744"/>
    <w:rsid w:val="00ED0DAD"/>
    <w:rsid w:val="00ED0F46"/>
    <w:rsid w:val="00ED2373"/>
    <w:rsid w:val="00EE0E9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57B5"/>
    <w:rsid w:val="00F40648"/>
    <w:rsid w:val="00F44879"/>
    <w:rsid w:val="00F47DA2"/>
    <w:rsid w:val="00F5008C"/>
    <w:rsid w:val="00F5084A"/>
    <w:rsid w:val="00F519FC"/>
    <w:rsid w:val="00F6239D"/>
    <w:rsid w:val="00F67BB9"/>
    <w:rsid w:val="00F70F44"/>
    <w:rsid w:val="00F715D2"/>
    <w:rsid w:val="00F723E3"/>
    <w:rsid w:val="00F7274F"/>
    <w:rsid w:val="00F74E84"/>
    <w:rsid w:val="00F76FA8"/>
    <w:rsid w:val="00F871B4"/>
    <w:rsid w:val="00F91AB8"/>
    <w:rsid w:val="00F93F08"/>
    <w:rsid w:val="00F94CED"/>
    <w:rsid w:val="00FA02BB"/>
    <w:rsid w:val="00FA2CEE"/>
    <w:rsid w:val="00FA318C"/>
    <w:rsid w:val="00FB6F92"/>
    <w:rsid w:val="00FB7A02"/>
    <w:rsid w:val="00FC026E"/>
    <w:rsid w:val="00FC1DAB"/>
    <w:rsid w:val="00FC5124"/>
    <w:rsid w:val="00FD1C53"/>
    <w:rsid w:val="00FD4731"/>
    <w:rsid w:val="00FD6768"/>
    <w:rsid w:val="00FE27B7"/>
    <w:rsid w:val="00FE6791"/>
    <w:rsid w:val="00FF0AB0"/>
    <w:rsid w:val="00FF28AC"/>
    <w:rsid w:val="00FF4542"/>
    <w:rsid w:val="00FF5966"/>
    <w:rsid w:val="00FF7361"/>
    <w:rsid w:val="00FF777D"/>
    <w:rsid w:val="00FF7F62"/>
    <w:rsid w:val="0E8D66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C7595"/>
  <w15:docId w15:val="{C8739D6D-FAEB-4772-ACE0-8B0CB30D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65DF"/>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1D217F"/>
    <w:pPr>
      <w:keepNext/>
      <w:spacing w:before="360" w:after="12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1D217F"/>
    <w:pPr>
      <w:keepNext/>
      <w:numPr>
        <w:numId w:val="32"/>
      </w:numPr>
      <w:spacing w:before="180" w:after="60"/>
      <w:ind w:hanging="578"/>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CC65DF"/>
    <w:pPr>
      <w:numPr>
        <w:numId w:val="20"/>
      </w:numPr>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styleId="GridTable4-Accent1">
    <w:name w:val="Grid Table 4 Accent 1"/>
    <w:basedOn w:val="TableNormal"/>
    <w:uiPriority w:val="49"/>
    <w:rsid w:val="007D78F1"/>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val="0"/>
        <w:bCs/>
        <w:color w:val="FFFFFF" w:themeColor="background1"/>
      </w:rPr>
      <w:tblPr/>
      <w:tcPr>
        <w:tcBorders>
          <w:top w:val="single" w:sz="4" w:space="0" w:color="3F4A75" w:themeColor="accent1"/>
          <w:left w:val="single" w:sz="4" w:space="0" w:color="3F4A75" w:themeColor="accent1"/>
          <w:bottom w:val="single" w:sz="4" w:space="0" w:color="3F4A75" w:themeColor="accent1"/>
          <w:right w:val="single" w:sz="4" w:space="0" w:color="3F4A75" w:themeColor="accent1"/>
          <w:insideH w:val="nil"/>
          <w:insideV w:val="nil"/>
        </w:tcBorders>
        <w:shd w:val="clear" w:color="auto" w:fill="3F4A75" w:themeFill="accent1"/>
      </w:tcPr>
    </w:tblStylePr>
    <w:tblStylePr w:type="lastRow">
      <w:rPr>
        <w:b/>
        <w:bCs/>
      </w:rPr>
      <w:tblPr/>
      <w:tcPr>
        <w:tcBorders>
          <w:top w:val="double" w:sz="4" w:space="0" w:color="3F4A75" w:themeColor="accent1"/>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paragraph" w:styleId="Revision">
    <w:name w:val="Revision"/>
    <w:hidden/>
    <w:uiPriority w:val="99"/>
    <w:semiHidden/>
    <w:rsid w:val="004F4052"/>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D60AA4"/>
    <w:rPr>
      <w:sz w:val="16"/>
      <w:szCs w:val="16"/>
    </w:rPr>
  </w:style>
  <w:style w:type="paragraph" w:styleId="CommentText">
    <w:name w:val="annotation text"/>
    <w:basedOn w:val="Normal"/>
    <w:link w:val="CommentTextChar"/>
    <w:unhideWhenUsed/>
    <w:rsid w:val="00D60AA4"/>
    <w:pPr>
      <w:spacing w:line="240" w:lineRule="auto"/>
    </w:pPr>
    <w:rPr>
      <w:sz w:val="20"/>
      <w:szCs w:val="20"/>
    </w:rPr>
  </w:style>
  <w:style w:type="character" w:customStyle="1" w:styleId="CommentTextChar">
    <w:name w:val="Comment Text Char"/>
    <w:basedOn w:val="DefaultParagraphFont"/>
    <w:link w:val="CommentText"/>
    <w:rsid w:val="00D60AA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60AA4"/>
    <w:rPr>
      <w:b/>
      <w:bCs/>
    </w:rPr>
  </w:style>
  <w:style w:type="character" w:customStyle="1" w:styleId="CommentSubjectChar">
    <w:name w:val="Comment Subject Char"/>
    <w:basedOn w:val="CommentTextChar"/>
    <w:link w:val="CommentSubject"/>
    <w:semiHidden/>
    <w:rsid w:val="00D60AA4"/>
    <w:rPr>
      <w:rFonts w:ascii="Arial" w:hAnsi="Arial"/>
      <w:b/>
      <w:bCs/>
      <w:color w:val="000000" w:themeColor="text1"/>
      <w:lang w:eastAsia="en-US"/>
    </w:rPr>
  </w:style>
  <w:style w:type="paragraph" w:styleId="ListParagraph">
    <w:name w:val="List Paragraph"/>
    <w:basedOn w:val="Normal"/>
    <w:uiPriority w:val="34"/>
    <w:qFormat/>
    <w:rsid w:val="00330209"/>
    <w:pPr>
      <w:ind w:left="720"/>
      <w:contextualSpacing/>
    </w:pPr>
  </w:style>
  <w:style w:type="character" w:styleId="FollowedHyperlink">
    <w:name w:val="FollowedHyperlink"/>
    <w:basedOn w:val="DefaultParagraphFont"/>
    <w:semiHidden/>
    <w:unhideWhenUsed/>
    <w:rsid w:val="00F5008C"/>
    <w:rPr>
      <w:color w:val="800080" w:themeColor="followedHyperlink"/>
      <w:u w:val="single"/>
    </w:rPr>
  </w:style>
  <w:style w:type="character" w:styleId="UnresolvedMention">
    <w:name w:val="Unresolved Mention"/>
    <w:basedOn w:val="DefaultParagraphFont"/>
    <w:uiPriority w:val="99"/>
    <w:semiHidden/>
    <w:unhideWhenUsed/>
    <w:rsid w:val="00507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saustralia.gov.au/pathology-services-for-health-professionals?context=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25A00040/asmade/tex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Value>7</Value>
    </TaxCatchAll>
    <lcf76f155ced4ddcb4097134ff3c332f xmlns="4ad531cf-87ce-42ef-97b9-c349eda1b4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4.xml><?xml version="1.0" encoding="utf-8"?>
<ds:datastoreItem xmlns:ds="http://schemas.openxmlformats.org/officeDocument/2006/customXml" ds:itemID="{9143CCE3-31B8-47BB-A69C-1F2F725D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3712</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Reforming Pathology Application Charging Arrangements – Implementation update</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Reforming Pathology Application Charging Arrangements – Implementation update</dc:title>
  <dc:subject>About the department</dc:subject>
  <dc:creator>Australian Government Department of Health, Disability and Ageing</dc:creator>
  <cp:keywords>About Us</cp:keywords>
  <cp:lastModifiedBy>MASCHKE, Elvia</cp:lastModifiedBy>
  <cp:revision>9</cp:revision>
  <cp:lastPrinted>2025-09-12T05:46:00Z</cp:lastPrinted>
  <dcterms:created xsi:type="dcterms:W3CDTF">2025-09-11T23:27:00Z</dcterms:created>
  <dcterms:modified xsi:type="dcterms:W3CDTF">2025-09-12T05:46:00Z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1563f0fa,7242cb3f,7d237ad2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5cb4203,5b92873f,b0ce77b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2025-09-04T04:46:00Z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de05066b-6afa-4a40-9ddc-a304c7403d28</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