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3350F" w14:textId="77777777" w:rsidR="00741C0B" w:rsidRDefault="0067663B">
      <w:pPr>
        <w:pStyle w:val="Title"/>
      </w:pPr>
      <w:r>
        <w:t>Australian Respiratory Surveillance Report</w:t>
      </w:r>
    </w:p>
    <w:p w14:paraId="31133510" w14:textId="77777777" w:rsidR="00741C0B" w:rsidRDefault="0067663B">
      <w:r>
        <w:br w:type="page"/>
      </w:r>
    </w:p>
    <w:p w14:paraId="31133511" w14:textId="77777777" w:rsidR="00741C0B" w:rsidRDefault="0067663B">
      <w:pPr>
        <w:pStyle w:val="Heading1"/>
      </w:pPr>
      <w:bookmarkStart w:id="0" w:name="key-messages"/>
      <w:r>
        <w:lastRenderedPageBreak/>
        <w:t>Key messages</w:t>
      </w:r>
    </w:p>
    <w:p w14:paraId="31133512" w14:textId="77777777" w:rsidR="00741C0B" w:rsidRDefault="0067663B">
      <w:r>
        <w:t>This report presents a national epidemiological update for acute respiratory infections, including coronavirus disease 2019 (COVID-19), influenza and respiratory syncytial virus (RSV), with a focus on the current reporting period (8 September to 21 September 2025) and earlier severity reporting periods (up to 7 September 2025).</w:t>
      </w:r>
    </w:p>
    <w:p w14:paraId="31133513" w14:textId="63933393" w:rsidR="00741C0B" w:rsidRDefault="0067663B">
      <w:pPr>
        <w:pStyle w:val="Boxtype"/>
      </w:pPr>
      <w:r w:rsidRPr="08B5D19C">
        <w:rPr>
          <w:b/>
          <w:lang w:val="en-US"/>
        </w:rPr>
        <w:t>In the community:</w:t>
      </w:r>
      <w:r w:rsidRPr="08B5D19C">
        <w:rPr>
          <w:lang w:val="en-US"/>
        </w:rPr>
        <w:t xml:space="preserve"> In the last fortnight, influenza-like illness among national helpline callers and the rate of helpline callers referred to </w:t>
      </w:r>
      <w:proofErr w:type="gramStart"/>
      <w:r w:rsidRPr="08B5D19C">
        <w:rPr>
          <w:lang w:val="en-US"/>
        </w:rPr>
        <w:t>seek</w:t>
      </w:r>
      <w:proofErr w:type="gramEnd"/>
      <w:r w:rsidRPr="08B5D19C">
        <w:rPr>
          <w:lang w:val="en-US"/>
        </w:rPr>
        <w:t xml:space="preserve"> urgent medical care both decreased </w:t>
      </w:r>
      <w:r w:rsidR="008D6472">
        <w:rPr>
          <w:lang w:val="en-US"/>
        </w:rPr>
        <w:t xml:space="preserve">slightly </w:t>
      </w:r>
      <w:r w:rsidRPr="08B5D19C">
        <w:rPr>
          <w:lang w:val="en-US"/>
        </w:rPr>
        <w:t xml:space="preserve">compared to the previous fortnight. Self-reported new fever and cough symptoms among community survey participants also decreased </w:t>
      </w:r>
      <w:r w:rsidR="008F358E">
        <w:rPr>
          <w:lang w:val="en-US"/>
        </w:rPr>
        <w:t xml:space="preserve">slightly </w:t>
      </w:r>
      <w:r w:rsidRPr="08B5D19C">
        <w:rPr>
          <w:lang w:val="en-US"/>
        </w:rPr>
        <w:t xml:space="preserve">compared to the previous </w:t>
      </w:r>
      <w:r w:rsidR="003F7793" w:rsidRPr="08B5D19C">
        <w:rPr>
          <w:lang w:val="en-US"/>
        </w:rPr>
        <w:t>fortnight</w:t>
      </w:r>
      <w:r w:rsidR="00883CF7">
        <w:rPr>
          <w:lang w:val="en-US"/>
        </w:rPr>
        <w:t xml:space="preserve"> </w:t>
      </w:r>
      <w:r w:rsidR="003F7793" w:rsidRPr="08B5D19C">
        <w:rPr>
          <w:lang w:val="en-US"/>
        </w:rPr>
        <w:t xml:space="preserve">and </w:t>
      </w:r>
      <w:r w:rsidRPr="08B5D19C">
        <w:rPr>
          <w:lang w:val="en-US"/>
        </w:rPr>
        <w:t>fewer community survey participants reported taking time off work due to respiratory illness. COVID-19 cases continued to decrease in the last fortnight and remain lower than at the same time in previous years. Influenza cases decreased in the last fortnight;</w:t>
      </w:r>
      <w:r w:rsidR="002B786A">
        <w:rPr>
          <w:lang w:val="en-US"/>
        </w:rPr>
        <w:t xml:space="preserve"> </w:t>
      </w:r>
      <w:r w:rsidR="002B786A" w:rsidRPr="00CB3AAB">
        <w:t xml:space="preserve">however, </w:t>
      </w:r>
      <w:proofErr w:type="gramStart"/>
      <w:r w:rsidR="002B786A" w:rsidRPr="00CB3AAB">
        <w:t>were</w:t>
      </w:r>
      <w:proofErr w:type="gramEnd"/>
      <w:r w:rsidR="002B786A" w:rsidRPr="00CB3AAB">
        <w:t xml:space="preserve"> higher than observed at the same time in previous years. This can be attributed to a prolonged peak </w:t>
      </w:r>
      <w:r w:rsidR="002B786A" w:rsidRPr="00C07B0A">
        <w:t>between late June to mid-August 2025, and</w:t>
      </w:r>
      <w:r w:rsidR="00AB4290">
        <w:t xml:space="preserve"> a</w:t>
      </w:r>
      <w:r w:rsidR="002B786A" w:rsidRPr="00C07B0A">
        <w:t xml:space="preserve"> slower decrease in case numbers than observed in previous seasons</w:t>
      </w:r>
      <w:r w:rsidR="002B786A">
        <w:t>.</w:t>
      </w:r>
      <w:r w:rsidRPr="08B5D19C">
        <w:rPr>
          <w:lang w:val="en-US"/>
        </w:rPr>
        <w:t xml:space="preserve"> RSV cases continued to decrease in the last fortnight, continuing the </w:t>
      </w:r>
      <w:r w:rsidR="004D14D2">
        <w:rPr>
          <w:lang w:val="en-US"/>
        </w:rPr>
        <w:t xml:space="preserve">downward </w:t>
      </w:r>
      <w:r w:rsidRPr="08B5D19C">
        <w:rPr>
          <w:lang w:val="en-US"/>
        </w:rPr>
        <w:t>trend in national case numbers observed since mid-July 2025.</w:t>
      </w:r>
    </w:p>
    <w:p w14:paraId="6F9E6349" w14:textId="77777777" w:rsidR="002B786A" w:rsidRDefault="0067663B" w:rsidP="002B786A">
      <w:pPr>
        <w:pStyle w:val="Boxtype"/>
        <w:rPr>
          <w:lang w:val="en-US"/>
        </w:rPr>
      </w:pPr>
      <w:r w:rsidRPr="08B5D19C">
        <w:rPr>
          <w:b/>
          <w:lang w:val="en-US"/>
        </w:rPr>
        <w:t>In general practice:</w:t>
      </w:r>
      <w:r w:rsidRPr="08B5D19C">
        <w:rPr>
          <w:lang w:val="en-US"/>
        </w:rPr>
        <w:t xml:space="preserve"> In the last fortnight, there were </w:t>
      </w:r>
      <w:r w:rsidR="68490B5B" w:rsidRPr="5A9AE894">
        <w:rPr>
          <w:lang w:val="en-US"/>
        </w:rPr>
        <w:t xml:space="preserve">slightly </w:t>
      </w:r>
      <w:r w:rsidRPr="08B5D19C">
        <w:rPr>
          <w:lang w:val="en-US"/>
        </w:rPr>
        <w:t>fewer general practice consultations with influenza-like illness (defined as new fever and cough symptoms) at sentinel surveillance sites than in the previous fortnight. Since late June 2025, influenza-like illness consultation rates have exceeded the five-year average but have continued the similar downward trend observed at the same time last year.</w:t>
      </w:r>
    </w:p>
    <w:p w14:paraId="342CB4EA" w14:textId="36AB95CB" w:rsidR="002B786A" w:rsidRPr="007D4544" w:rsidRDefault="002B786A" w:rsidP="002B786A">
      <w:pPr>
        <w:pStyle w:val="Boxtype"/>
        <w:rPr>
          <w:lang w:val="en-US"/>
        </w:rPr>
      </w:pPr>
      <w:r w:rsidRPr="08B5D19C">
        <w:rPr>
          <w:b/>
          <w:lang w:val="en-US"/>
        </w:rPr>
        <w:t>In hospitals:</w:t>
      </w:r>
      <w:r w:rsidRPr="08B5D19C">
        <w:rPr>
          <w:lang w:val="en-US"/>
        </w:rPr>
        <w:t xml:space="preserve"> Sentinel hospital-based surveillance indicates that admissions with severe acute respiratory infections have been decreasing since a peak in late June 2025. The proportion of patients who were admitted directly to intensive care at a sentinel hospital site remains low. At sentinel hospitals, more children (those aged 16 years and younger) were admitted with RSV than with influenza or COVID-19. In contrast, more adults were admitted with COVID-19 compared to influenza or RSV. Sentinel intensive care surveillance shows that intensive care admissions with severe acute respiratory infections have been declining since late June 2025. In the year to date, most patients </w:t>
      </w:r>
      <w:proofErr w:type="gramStart"/>
      <w:r w:rsidRPr="08B5D19C">
        <w:rPr>
          <w:lang w:val="en-US"/>
        </w:rPr>
        <w:t>were</w:t>
      </w:r>
      <w:proofErr w:type="gramEnd"/>
      <w:r w:rsidRPr="08B5D19C">
        <w:rPr>
          <w:lang w:val="en-US"/>
        </w:rPr>
        <w:t xml:space="preserve"> admitted with influenza. A higher proportion of intensive care admissions with influenza and parainfluenza required invasive mechanical ventilation. The duration of intensive care stay is relatively similar between illnesses. In the last fortnight, both the average number of COVID-19 cases occupying intensive care beds and the average number of intensive care staff unavailable due to illness </w:t>
      </w:r>
      <w:r>
        <w:rPr>
          <w:lang w:val="en-US"/>
        </w:rPr>
        <w:t>decreased</w:t>
      </w:r>
      <w:r w:rsidRPr="08B5D19C">
        <w:rPr>
          <w:lang w:val="en-US"/>
        </w:rPr>
        <w:t>.</w:t>
      </w:r>
    </w:p>
    <w:p w14:paraId="1B12E85B" w14:textId="225DC630" w:rsidR="007D4544" w:rsidRPr="007D4544" w:rsidRDefault="0067663B" w:rsidP="007D4544">
      <w:pPr>
        <w:pStyle w:val="Boxtype"/>
      </w:pPr>
      <w:r w:rsidRPr="08B5D19C">
        <w:rPr>
          <w:b/>
          <w:lang w:val="en-US"/>
        </w:rPr>
        <w:t>Deaths:</w:t>
      </w:r>
      <w:r w:rsidRPr="08B5D19C">
        <w:rPr>
          <w:lang w:val="en-US"/>
        </w:rPr>
        <w:t xml:space="preserve"> COVID-19 has remained the leading cause of acute respiratory infection mortality across 2023–2025. All three of these acute respiratory infections are more likely to cause death in older age groups than younger age groups.</w:t>
      </w:r>
    </w:p>
    <w:p w14:paraId="7F1689AF" w14:textId="5E51EB77" w:rsidR="002D7596" w:rsidRPr="007D4544" w:rsidRDefault="0067663B" w:rsidP="007D4544">
      <w:pPr>
        <w:pStyle w:val="Boxtype"/>
      </w:pPr>
      <w:r w:rsidRPr="08B5D19C">
        <w:rPr>
          <w:b/>
          <w:lang w:val="en-US"/>
        </w:rPr>
        <w:t>In laboratories:</w:t>
      </w:r>
      <w:r w:rsidRPr="08B5D19C">
        <w:rPr>
          <w:lang w:val="en-US"/>
        </w:rPr>
        <w:t xml:space="preserve"> </w:t>
      </w:r>
      <w:r w:rsidR="00827C76">
        <w:rPr>
          <w:lang w:val="en-US"/>
        </w:rPr>
        <w:t>In the last fortnight, t</w:t>
      </w:r>
      <w:r w:rsidRPr="08B5D19C">
        <w:rPr>
          <w:lang w:val="en-US"/>
        </w:rPr>
        <w:t>est positivity for SARS-CoV-2</w:t>
      </w:r>
      <w:r w:rsidR="00D47BB5">
        <w:rPr>
          <w:lang w:val="en-US"/>
        </w:rPr>
        <w:t xml:space="preserve"> increased</w:t>
      </w:r>
      <w:r w:rsidR="00F02C66">
        <w:rPr>
          <w:lang w:val="en-US"/>
        </w:rPr>
        <w:t xml:space="preserve"> slightly</w:t>
      </w:r>
      <w:r w:rsidR="00D47BB5">
        <w:rPr>
          <w:lang w:val="en-US"/>
        </w:rPr>
        <w:t>, while test positivity fo</w:t>
      </w:r>
      <w:r w:rsidR="00D47BB5" w:rsidRPr="007A2AA8">
        <w:rPr>
          <w:lang w:val="en-US"/>
        </w:rPr>
        <w:t>r</w:t>
      </w:r>
      <w:r w:rsidRPr="007A2AA8">
        <w:rPr>
          <w:lang w:val="en-US"/>
        </w:rPr>
        <w:t xml:space="preserve"> influenza</w:t>
      </w:r>
      <w:r w:rsidRPr="08B5D19C">
        <w:rPr>
          <w:lang w:val="en-US"/>
        </w:rPr>
        <w:t xml:space="preserve"> and RSV decreased </w:t>
      </w:r>
      <w:r w:rsidR="007A2AA8">
        <w:rPr>
          <w:lang w:val="en-US"/>
        </w:rPr>
        <w:t>slightly</w:t>
      </w:r>
      <w:r w:rsidRPr="08B5D19C">
        <w:rPr>
          <w:lang w:val="en-US"/>
        </w:rPr>
        <w:t>. The SARS-CoV-2 variant under monitoring, NB.1.8.1, is the dominant SARS-CoV-2 variant in the last 28 days (11 August to 7 September 2025) accounting for 58.4</w:t>
      </w:r>
      <w:r w:rsidR="007706C4">
        <w:rPr>
          <w:lang w:val="en-US"/>
        </w:rPr>
        <w:t>%</w:t>
      </w:r>
      <w:r w:rsidRPr="08B5D19C">
        <w:rPr>
          <w:lang w:val="en-US"/>
        </w:rPr>
        <w:t xml:space="preserve"> of sequences in Australia. Small numbers of sequences of other variants under monitoring, including XFG, LP.8.1, KP.3.1.1 and XEC continue to be observed in Australia.</w:t>
      </w:r>
    </w:p>
    <w:p w14:paraId="31133519" w14:textId="03A23A50" w:rsidR="00741C0B" w:rsidRDefault="0067663B" w:rsidP="00C07B0A">
      <w:pPr>
        <w:pStyle w:val="Boxtype"/>
      </w:pPr>
      <w:r w:rsidRPr="08B5D19C">
        <w:rPr>
          <w:b/>
          <w:lang w:val="en-US"/>
        </w:rPr>
        <w:t>Vaccine coverage, effectiveness and match:</w:t>
      </w:r>
      <w:r w:rsidRPr="08B5D19C">
        <w:rPr>
          <w:lang w:val="en-US"/>
        </w:rPr>
        <w:t xml:space="preserve"> Nationally, fewer adults have received a COVID-19 vaccine in the last 12 months compared to the 12 months prior. Influenza vaccine coverage is 30.</w:t>
      </w:r>
      <w:r w:rsidR="00A27AB5">
        <w:rPr>
          <w:lang w:val="en-US"/>
        </w:rPr>
        <w:t>5</w:t>
      </w:r>
      <w:r w:rsidRPr="08B5D19C">
        <w:rPr>
          <w:lang w:val="en-US"/>
        </w:rPr>
        <w:t xml:space="preserve">% this year, lower than at the same time in 2023 or 2022. Since the commencement of the National RSV Mother and Infant Protection Program, </w:t>
      </w:r>
      <w:r w:rsidR="00B7657D" w:rsidRPr="00B7657D">
        <w:rPr>
          <w:lang w:val="en-AU"/>
        </w:rPr>
        <w:t>125,123</w:t>
      </w:r>
      <w:r w:rsidRPr="00B7657D">
        <w:rPr>
          <w:lang w:val="en-AU"/>
        </w:rPr>
        <w:t xml:space="preserve"> </w:t>
      </w:r>
      <w:proofErr w:type="spellStart"/>
      <w:r w:rsidRPr="08B5D19C">
        <w:rPr>
          <w:lang w:val="en-US"/>
        </w:rPr>
        <w:t>Abrysvo</w:t>
      </w:r>
      <w:proofErr w:type="spellEnd"/>
      <w:r w:rsidRPr="08B5D19C">
        <w:rPr>
          <w:lang w:val="en-US"/>
        </w:rPr>
        <w:t xml:space="preserve"> doses have been administered. In the last six months, </w:t>
      </w:r>
      <w:proofErr w:type="spellStart"/>
      <w:r w:rsidRPr="08B5D19C">
        <w:rPr>
          <w:lang w:val="en-US"/>
        </w:rPr>
        <w:t>nirsevimab</w:t>
      </w:r>
      <w:proofErr w:type="spellEnd"/>
      <w:r w:rsidRPr="08B5D19C">
        <w:rPr>
          <w:lang w:val="en-US"/>
        </w:rPr>
        <w:t xml:space="preserve"> uptake is </w:t>
      </w:r>
      <w:r w:rsidR="00B804E2" w:rsidRPr="08B5D19C">
        <w:rPr>
          <w:lang w:val="en-US"/>
        </w:rPr>
        <w:t>2</w:t>
      </w:r>
      <w:r w:rsidR="00B7657D">
        <w:rPr>
          <w:lang w:val="en-US"/>
        </w:rPr>
        <w:t>0</w:t>
      </w:r>
      <w:r w:rsidR="00B804E2" w:rsidRPr="08B5D19C">
        <w:rPr>
          <w:lang w:val="en-US"/>
        </w:rPr>
        <w:t>.</w:t>
      </w:r>
      <w:r w:rsidR="00B7657D">
        <w:rPr>
          <w:lang w:val="en-US"/>
        </w:rPr>
        <w:t>8</w:t>
      </w:r>
      <w:r w:rsidRPr="08B5D19C">
        <w:rPr>
          <w:lang w:val="en-US"/>
        </w:rPr>
        <w:t xml:space="preserve">% nationally. </w:t>
      </w:r>
      <w:r w:rsidR="00D43E85">
        <w:rPr>
          <w:lang w:val="en-US"/>
        </w:rPr>
        <w:t xml:space="preserve">Initial </w:t>
      </w:r>
      <w:r w:rsidR="00F70E5A">
        <w:rPr>
          <w:lang w:val="en-US"/>
        </w:rPr>
        <w:t xml:space="preserve">Australian studies suggest that in 2025, vaccinated individuals are roughly 53% less likely to attend general practice or be </w:t>
      </w:r>
      <w:proofErr w:type="spellStart"/>
      <w:r w:rsidR="00F70E5A">
        <w:rPr>
          <w:lang w:val="en-US"/>
        </w:rPr>
        <w:t>hospitalised</w:t>
      </w:r>
      <w:proofErr w:type="spellEnd"/>
      <w:r w:rsidR="00F70E5A">
        <w:rPr>
          <w:lang w:val="en-US"/>
        </w:rPr>
        <w:t xml:space="preserve"> with influenza than unvaccinated people. </w:t>
      </w:r>
      <w:r w:rsidRPr="08B5D19C">
        <w:rPr>
          <w:lang w:val="en-US"/>
        </w:rPr>
        <w:t xml:space="preserve">Of influenza isolates </w:t>
      </w:r>
      <w:proofErr w:type="spellStart"/>
      <w:r w:rsidRPr="08B5D19C">
        <w:rPr>
          <w:lang w:val="en-US"/>
        </w:rPr>
        <w:t>characterised</w:t>
      </w:r>
      <w:proofErr w:type="spellEnd"/>
      <w:r w:rsidRPr="08B5D19C">
        <w:rPr>
          <w:lang w:val="en-US"/>
        </w:rPr>
        <w:t xml:space="preserve"> in 2025 thus far, over </w:t>
      </w:r>
      <w:r w:rsidR="00B804E2" w:rsidRPr="08B5D19C">
        <w:rPr>
          <w:lang w:val="en-US"/>
        </w:rPr>
        <w:t>9</w:t>
      </w:r>
      <w:r w:rsidR="00B804E2">
        <w:rPr>
          <w:lang w:val="en-US"/>
        </w:rPr>
        <w:t>9</w:t>
      </w:r>
      <w:r w:rsidRPr="08B5D19C">
        <w:rPr>
          <w:lang w:val="en-US"/>
        </w:rPr>
        <w:t>% have been a good match to the corresponding 2025 vaccine components.</w:t>
      </w:r>
    </w:p>
    <w:p w14:paraId="3113351A" w14:textId="77777777" w:rsidR="00741C0B" w:rsidRDefault="0067663B">
      <w:pPr>
        <w:pStyle w:val="Heading1"/>
      </w:pPr>
      <w:bookmarkStart w:id="1" w:name="Xb38d0cffd8a81be8f26a3ed55dcf92ea697f36c"/>
      <w:bookmarkEnd w:id="0"/>
      <w:r>
        <w:lastRenderedPageBreak/>
        <w:t>Australian Respiratory Surveillance Report</w:t>
      </w:r>
    </w:p>
    <w:p w14:paraId="3113351B" w14:textId="1CA5DE31" w:rsidR="00741C0B" w:rsidRDefault="0067663B">
      <w:r>
        <w:t xml:space="preserve">This report was prepared by </w:t>
      </w:r>
      <w:r w:rsidR="00D17F28">
        <w:t>Ash Donovan</w:t>
      </w:r>
      <w:r>
        <w:t xml:space="preserve">, </w:t>
      </w:r>
      <w:r w:rsidR="004C1DB5">
        <w:t xml:space="preserve">Lauren </w:t>
      </w:r>
      <w:proofErr w:type="spellStart"/>
      <w:r w:rsidR="004C1DB5">
        <w:t>Kutzner</w:t>
      </w:r>
      <w:proofErr w:type="spellEnd"/>
      <w:r w:rsidR="004C1DB5">
        <w:t>, Suzie Whitehead</w:t>
      </w:r>
      <w:r w:rsidR="00470CAB">
        <w:t>,</w:t>
      </w:r>
      <w:r w:rsidR="00735DF1">
        <w:t xml:space="preserve"> </w:t>
      </w:r>
      <w:r w:rsidR="004C1DB5">
        <w:t>Caitlin Trenorden</w:t>
      </w:r>
      <w:r w:rsidR="00470CAB">
        <w:t xml:space="preserve"> and Siobhan St George</w:t>
      </w:r>
      <w:r>
        <w:t xml:space="preserve"> on behalf of the interim Australian Centre for Disease Control. We thank the staff and participants from the surveillance systems who contribute data for acute respiratory illness surveillance across Australia.</w:t>
      </w:r>
    </w:p>
    <w:p w14:paraId="3113351C" w14:textId="77777777" w:rsidR="00741C0B" w:rsidRDefault="0067663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113351D" w14:textId="77777777" w:rsidR="00741C0B" w:rsidRDefault="0067663B">
      <w:pPr>
        <w:pStyle w:val="BodyText"/>
      </w:pPr>
      <w:r>
        <w:t xml:space="preserve">Surveillance indicators presented in this report are based on the </w:t>
      </w:r>
      <w:hyperlink r:id="rId11">
        <w:r w:rsidR="00741C0B">
          <w:rPr>
            <w:rStyle w:val="Hyperlink"/>
          </w:rPr>
          <w:t>Australian National Surveillance Plan for COVID-19, Influenza, and RSV</w:t>
        </w:r>
      </w:hyperlink>
      <w:r>
        <w:t xml:space="preserve">. Please refer to the </w:t>
      </w:r>
      <w:hyperlink r:id="rId12">
        <w:r w:rsidR="00741C0B">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3113351E" w14:textId="77777777" w:rsidR="00741C0B" w:rsidRDefault="0067663B" w:rsidP="00FF4889">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113351F" w14:textId="77777777" w:rsidR="00741C0B" w:rsidRDefault="0067663B" w:rsidP="00FF4889">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8 September to 21 September 2025 and where comparisons to the previous fortnight are made, this includes 25 August to 7 September 2025.</w:t>
      </w:r>
    </w:p>
    <w:p w14:paraId="0CE10C2F" w14:textId="77777777" w:rsidR="002B786A" w:rsidRDefault="0067663B" w:rsidP="003973BC">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sidR="00741C0B">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24 September 2025.</w:t>
      </w:r>
    </w:p>
    <w:p w14:paraId="462F86C9" w14:textId="77777777" w:rsidR="002B786A" w:rsidRDefault="0067663B" w:rsidP="003973BC">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25 August to 7 September 2025 unless specified otherwise. Where comparisons to the previous severity fortnight are made this includes 11 August to 24 August 2025.</w:t>
      </w:r>
    </w:p>
    <w:p w14:paraId="625EAF40" w14:textId="77777777" w:rsidR="002B786A" w:rsidRDefault="0067663B" w:rsidP="00C07B0A">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BA5BFE8" w14:textId="78E41DF8" w:rsidR="00735DF1" w:rsidRDefault="0067663B" w:rsidP="00C07B0A">
      <w:pPr>
        <w:numPr>
          <w:ilvl w:val="0"/>
          <w:numId w:val="7"/>
        </w:numPr>
      </w:pPr>
      <w:r w:rsidRPr="003973BC">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sidR="00741C0B" w:rsidRPr="00C07B0A">
          <w:t>Technical Supplement – Australian Respiratory Surveillance Report</w:t>
        </w:r>
      </w:hyperlink>
      <w:r w:rsidRPr="003973BC">
        <w:t xml:space="preserve"> or contact </w:t>
      </w:r>
      <w:hyperlink r:id="rId15">
        <w:r w:rsidR="00741C0B" w:rsidRPr="00C07B0A">
          <w:t>respiratory.surveillance@health.gov.au</w:t>
        </w:r>
      </w:hyperlink>
      <w:r w:rsidR="00571B6E" w:rsidRPr="00C07B0A">
        <w:t xml:space="preserve">. </w:t>
      </w:r>
    </w:p>
    <w:p w14:paraId="1A1AE381" w14:textId="77777777" w:rsidR="003973BC" w:rsidRDefault="003973BC" w:rsidP="003973BC"/>
    <w:p w14:paraId="31133525" w14:textId="77777777" w:rsidR="00741C0B" w:rsidRDefault="0067663B" w:rsidP="002B786A">
      <w:pPr>
        <w:pStyle w:val="Heading1"/>
      </w:pPr>
      <w:bookmarkStart w:id="2" w:name="community-surveillance"/>
      <w:bookmarkEnd w:id="1"/>
      <w:r>
        <w:lastRenderedPageBreak/>
        <w:t>Community surveillance</w:t>
      </w:r>
    </w:p>
    <w:p w14:paraId="31133526" w14:textId="77777777" w:rsidR="00741C0B" w:rsidRDefault="0067663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1133527" w14:textId="64A5DF38" w:rsidR="00741C0B" w:rsidRDefault="0067663B" w:rsidP="00FF4889">
      <w:pPr>
        <w:numPr>
          <w:ilvl w:val="0"/>
          <w:numId w:val="8"/>
        </w:numPr>
      </w:pPr>
      <w:r>
        <w:t xml:space="preserve">In the last fortnight (8 September to 21 September 2025), there were </w:t>
      </w:r>
      <w:r w:rsidR="004C2899">
        <w:t xml:space="preserve">slightly </w:t>
      </w:r>
      <w:r>
        <w:t xml:space="preserve">fewer </w:t>
      </w:r>
      <w:proofErr w:type="spellStart"/>
      <w:r>
        <w:t>Healthdirect</w:t>
      </w:r>
      <w:proofErr w:type="spellEnd"/>
      <w:r>
        <w:t xml:space="preserve"> helpline callers with influenza-like illness (382 per 1,000 callers per fortnight) than in the previous fortnight (396 per 1,000 callers per fortnight) (Figure 1).</w:t>
      </w:r>
    </w:p>
    <w:p w14:paraId="31133528" w14:textId="2DA6B8BA" w:rsidR="00741C0B" w:rsidRDefault="00A92FCB" w:rsidP="00FF4889">
      <w:pPr>
        <w:numPr>
          <w:ilvl w:val="0"/>
          <w:numId w:val="8"/>
        </w:numPr>
      </w:pPr>
      <w:r w:rsidRPr="0050640E">
        <w:t xml:space="preserve">A gradual </w:t>
      </w:r>
      <w:r w:rsidR="00E649B1" w:rsidRPr="0050640E">
        <w:t xml:space="preserve">downward trend </w:t>
      </w:r>
      <w:r w:rsidR="00924D3D" w:rsidRPr="0050640E">
        <w:t xml:space="preserve">in </w:t>
      </w:r>
      <w:r w:rsidR="00354481" w:rsidRPr="0050640E">
        <w:t xml:space="preserve">the </w:t>
      </w:r>
      <w:r w:rsidR="00C5610E" w:rsidRPr="0050640E">
        <w:t>rate of influenza</w:t>
      </w:r>
      <w:r w:rsidR="007C1089" w:rsidRPr="0050640E">
        <w:t xml:space="preserve">-like illness </w:t>
      </w:r>
      <w:r w:rsidR="001B4561" w:rsidRPr="0050640E">
        <w:t xml:space="preserve">among helpline callers </w:t>
      </w:r>
      <w:r w:rsidR="00395D80" w:rsidRPr="0050640E">
        <w:t xml:space="preserve">has been </w:t>
      </w:r>
      <w:r w:rsidR="003218C3" w:rsidRPr="0050640E">
        <w:t xml:space="preserve">observed </w:t>
      </w:r>
      <w:r w:rsidR="00877437" w:rsidRPr="00C07B0A">
        <w:t>following</w:t>
      </w:r>
      <w:r w:rsidR="00FA6FF6" w:rsidRPr="0050640E">
        <w:t xml:space="preserve"> </w:t>
      </w:r>
      <w:r w:rsidR="14AA5877" w:rsidRPr="00C07B0A">
        <w:t>a</w:t>
      </w:r>
      <w:r w:rsidR="00A82F00" w:rsidRPr="0050640E">
        <w:t xml:space="preserve"> peak in</w:t>
      </w:r>
      <w:r w:rsidR="00CA16D8" w:rsidRPr="0050640E">
        <w:t xml:space="preserve"> </w:t>
      </w:r>
      <w:r w:rsidR="000C0FF9" w:rsidRPr="0050640E">
        <w:t>late June</w:t>
      </w:r>
      <w:r w:rsidR="00E76E84" w:rsidRPr="0050640E">
        <w:t xml:space="preserve"> 2025</w:t>
      </w:r>
      <w:r w:rsidR="00E82A03" w:rsidRPr="00C07B0A">
        <w:t>.</w:t>
      </w:r>
      <w:r w:rsidR="004B5C93">
        <w:t xml:space="preserve"> </w:t>
      </w:r>
      <w:r w:rsidR="00121273" w:rsidRPr="0050640E">
        <w:t xml:space="preserve">Since late June 2025, </w:t>
      </w:r>
      <w:r w:rsidR="00E76E84" w:rsidRPr="0050640E">
        <w:t>the rate of influenza-like illness among helpline callers has been higher than the rate of influenza-like illness at the same time in 2024 and 2023</w:t>
      </w:r>
      <w:r w:rsidR="00BB5658" w:rsidRPr="0050640E">
        <w:t xml:space="preserve"> </w:t>
      </w:r>
      <w:r w:rsidR="0067663B" w:rsidRPr="0050640E">
        <w:t>(Fig</w:t>
      </w:r>
      <w:r w:rsidR="0067663B">
        <w:t>ure 1).</w:t>
      </w:r>
      <w:r w:rsidR="0067663B">
        <w:br/>
      </w:r>
    </w:p>
    <w:p w14:paraId="31133529" w14:textId="77777777" w:rsidR="00741C0B" w:rsidRDefault="0067663B">
      <w:r>
        <w:rPr>
          <w:b/>
          <w:bCs/>
        </w:rPr>
        <w:t>Figure 1: Rate of influenza-like illness per 1,000 helpline callers by year and week of call*, Australia</w:t>
      </w:r>
      <w:r>
        <w:rPr>
          <w:b/>
          <w:bCs/>
          <w:vertAlign w:val="superscript"/>
        </w:rPr>
        <w:t>†</w:t>
      </w:r>
      <w:r>
        <w:rPr>
          <w:b/>
          <w:bCs/>
        </w:rPr>
        <w:t>, 22 March 2023 to 21 September 2025</w:t>
      </w:r>
    </w:p>
    <w:p w14:paraId="3113352A" w14:textId="77777777" w:rsidR="00741C0B" w:rsidRDefault="0067663B">
      <w:pPr>
        <w:pStyle w:val="BodyText"/>
      </w:pPr>
      <w:r>
        <w:rPr>
          <w:noProof/>
        </w:rPr>
        <w:drawing>
          <wp:inline distT="0" distB="0" distL="0" distR="0" wp14:anchorId="31133A5B" wp14:editId="3D93199B">
            <wp:extent cx="6184900" cy="2650671"/>
            <wp:effectExtent l="0" t="0" r="0" b="0"/>
            <wp:docPr id="27" name="Picture" descr="A line graph comparing the weekly rate of influenza-like-illness per 1,000 helpline callers from 22 March 2023 to 21 Septem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21 Septem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52B" w14:textId="77777777" w:rsidR="00741C0B" w:rsidRDefault="0067663B">
      <w:pPr>
        <w:pStyle w:val="Smalltext"/>
      </w:pPr>
      <w:r>
        <w:t xml:space="preserve">Source: </w:t>
      </w:r>
      <w:proofErr w:type="spellStart"/>
      <w:r>
        <w:t>Healthdirect</w:t>
      </w:r>
      <w:proofErr w:type="spellEnd"/>
      <w:r>
        <w:t xml:space="preserve"> Australia</w:t>
      </w:r>
      <w:r>
        <w:br/>
        <w:t xml:space="preserve">* </w:t>
      </w:r>
      <w:proofErr w:type="spellStart"/>
      <w:r>
        <w:t>Healthdirect</w:t>
      </w:r>
      <w:proofErr w:type="spellEnd"/>
      <w:r>
        <w:t xml:space="preserve"> data prior to 22 March 2023 are unavailable as prior to this date a different data collection method was used.</w:t>
      </w:r>
      <w:r>
        <w:br/>
        <w:t xml:space="preserve">† The </w:t>
      </w:r>
      <w:proofErr w:type="spellStart"/>
      <w:r>
        <w:t>Healthdirect</w:t>
      </w:r>
      <w:proofErr w:type="spellEnd"/>
      <w:r>
        <w:t xml:space="preserve"> helpline operates in all states and territories except Qld; therefore influenza-like illness trends will not be representative of Qld and may be underrepresented. See the </w:t>
      </w:r>
      <w:hyperlink r:id="rId18">
        <w:r w:rsidR="00741C0B">
          <w:rPr>
            <w:rStyle w:val="Hyperlink"/>
          </w:rPr>
          <w:t>Technical Supplement</w:t>
        </w:r>
      </w:hyperlink>
      <w:r>
        <w:t xml:space="preserve"> for more information.</w:t>
      </w:r>
      <w:r>
        <w:br/>
      </w:r>
    </w:p>
    <w:p w14:paraId="3113352C" w14:textId="13352930" w:rsidR="00741C0B" w:rsidRDefault="0067663B" w:rsidP="00FF4889">
      <w:pPr>
        <w:numPr>
          <w:ilvl w:val="0"/>
          <w:numId w:val="9"/>
        </w:numPr>
      </w:pPr>
      <w:r>
        <w:t xml:space="preserve">In the last fortnight, there were </w:t>
      </w:r>
      <w:r w:rsidR="00806328">
        <w:t xml:space="preserve">slightly </w:t>
      </w:r>
      <w:r>
        <w:t xml:space="preserve">fewer </w:t>
      </w:r>
      <w:proofErr w:type="spellStart"/>
      <w:r>
        <w:t>Healthdirect</w:t>
      </w:r>
      <w:proofErr w:type="spellEnd"/>
      <w:r>
        <w:t xml:space="preserve"> helpline callers with influenza-like illness referred to seek urgent medical care (194 per 1,000 callers per fortnight) than in the previous fortnight (200 per 1,000 callers per fortnight) (Figure 2).</w:t>
      </w:r>
    </w:p>
    <w:p w14:paraId="3113352D" w14:textId="77777777" w:rsidR="00741C0B" w:rsidRDefault="0067663B" w:rsidP="00FF4889">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3113352F" w14:textId="4486AF67" w:rsidR="00741C0B" w:rsidRDefault="00C772C4" w:rsidP="00C07B0A">
      <w:pPr>
        <w:numPr>
          <w:ilvl w:val="0"/>
          <w:numId w:val="9"/>
        </w:numPr>
      </w:pPr>
      <w:r w:rsidRPr="00C772C4">
        <w:t xml:space="preserve">In the last fortnight, referral pathways for influenza-like illness varied across Australian jurisdictions. NSW, SA and Vic had the highest proportion of callers referred to see a general practitioner (GP) or seek other urgent medical care (Figure 2). By comparison, the ACT, </w:t>
      </w:r>
      <w:r w:rsidR="0013544B">
        <w:t xml:space="preserve">the </w:t>
      </w:r>
      <w:r w:rsidRPr="00C772C4">
        <w:t>NT, Tas and WA had a higher proportion of callers who were recommended to attend a hospital emergency department</w:t>
      </w:r>
      <w:r w:rsidR="00052C1F">
        <w:t xml:space="preserve"> or call triple zero</w:t>
      </w:r>
      <w:r w:rsidRPr="00C772C4">
        <w:t xml:space="preserve"> (Figure 2). These differences may reflect variations in healthcare access and service </w:t>
      </w:r>
      <w:proofErr w:type="gramStart"/>
      <w:r w:rsidRPr="00C772C4">
        <w:t>models, and</w:t>
      </w:r>
      <w:proofErr w:type="gramEnd"/>
      <w:r w:rsidRPr="00C772C4">
        <w:t xml:space="preserve"> should be interpreted with caution</w:t>
      </w:r>
      <w:r>
        <w:t xml:space="preserve"> </w:t>
      </w:r>
      <w:r w:rsidR="0067663B">
        <w:t>(Figure 2).</w:t>
      </w:r>
      <w:r w:rsidR="0067663B">
        <w:br/>
      </w:r>
    </w:p>
    <w:p w14:paraId="1BDF292C" w14:textId="77777777" w:rsidR="00070168" w:rsidRDefault="00070168">
      <w:pPr>
        <w:rPr>
          <w:b/>
          <w:bCs/>
        </w:rPr>
      </w:pPr>
    </w:p>
    <w:p w14:paraId="31133530" w14:textId="1ECC3A24" w:rsidR="00741C0B" w:rsidRDefault="0067663B">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21 September 2025</w:t>
      </w:r>
    </w:p>
    <w:p w14:paraId="31133531" w14:textId="77777777" w:rsidR="00741C0B" w:rsidRDefault="0067663B">
      <w:pPr>
        <w:pStyle w:val="BodyText"/>
      </w:pPr>
      <w:r>
        <w:rPr>
          <w:noProof/>
        </w:rPr>
        <w:drawing>
          <wp:inline distT="0" distB="0" distL="0" distR="0" wp14:anchorId="31133A5D" wp14:editId="102A02A0">
            <wp:extent cx="6184900" cy="7846921"/>
            <wp:effectExtent l="0" t="0" r="0" b="0"/>
            <wp:docPr id="30" name="Picture" descr="A series of stacked area charts showing the proportion of referral categories for helpline callers with influenza-like-illness by jurisdiction and call date in Australia from 1 January to 21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21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31133532" w14:textId="77777777" w:rsidR="00741C0B" w:rsidRDefault="0067663B">
      <w:pPr>
        <w:pStyle w:val="Smalltext"/>
      </w:pPr>
      <w:r>
        <w:t xml:space="preserve">Source: </w:t>
      </w:r>
      <w:proofErr w:type="spellStart"/>
      <w:r>
        <w:t>Healthdirect</w:t>
      </w:r>
      <w:proofErr w:type="spellEnd"/>
      <w:r>
        <w:t xml:space="preserve"> Australia</w:t>
      </w:r>
      <w:r>
        <w:br/>
        <w:t>* See other health professionals category includes pharmacist, dentist, mental health provider, primary maternity care, poison information centre or other.</w:t>
      </w:r>
      <w:r>
        <w:br/>
        <w:t xml:space="preserve">† The </w:t>
      </w:r>
      <w:proofErr w:type="spellStart"/>
      <w:r>
        <w:t>Healthdirect</w:t>
      </w:r>
      <w:proofErr w:type="spellEnd"/>
      <w:r>
        <w:t xml:space="preserve"> helpline operates in all states and territories except Qld; therefore influenza-like illness referral trends are not provided for Qld. See the </w:t>
      </w:r>
      <w:hyperlink r:id="rId21">
        <w:r w:rsidR="00741C0B">
          <w:rPr>
            <w:rStyle w:val="Hyperlink"/>
          </w:rPr>
          <w:t>Technical Supplement</w:t>
        </w:r>
      </w:hyperlink>
      <w:r>
        <w:t xml:space="preserve"> for more information.</w:t>
      </w:r>
      <w:r>
        <w:br/>
      </w:r>
    </w:p>
    <w:p w14:paraId="31133533" w14:textId="77777777" w:rsidR="00741C0B" w:rsidRDefault="0067663B">
      <w:r>
        <w:br w:type="page"/>
      </w:r>
    </w:p>
    <w:p w14:paraId="31133534" w14:textId="77777777" w:rsidR="00741C0B" w:rsidRDefault="0067663B" w:rsidP="00FF4889">
      <w:pPr>
        <w:numPr>
          <w:ilvl w:val="0"/>
          <w:numId w:val="11"/>
        </w:numPr>
      </w:pPr>
      <w:r>
        <w:lastRenderedPageBreak/>
        <w:t xml:space="preserve">In the last fortnight, slightly fewer </w:t>
      </w:r>
      <w:proofErr w:type="spellStart"/>
      <w:r>
        <w:t>FluTracking</w:t>
      </w:r>
      <w:proofErr w:type="spellEnd"/>
      <w:r>
        <w:t xml:space="preserve"> survey participants reported new fever and cough symptoms (1.5%), than in the previous fortnight (1.7%) (Figure 3).</w:t>
      </w:r>
    </w:p>
    <w:p w14:paraId="31133535" w14:textId="77777777" w:rsidR="00741C0B" w:rsidRDefault="0067663B" w:rsidP="00FF4889">
      <w:pPr>
        <w:numPr>
          <w:ilvl w:val="0"/>
          <w:numId w:val="11"/>
        </w:numPr>
      </w:pPr>
      <w:r>
        <w:t>In the last fortnight, more survey participants with new fever and cough symptoms used a rapid antigen test (RAT) (48.7%; 440/903) than a polymerase chain reaction (PCR) test (11.6%; 105/903) to test for severe acute respiratory syndrome coronavirus 2 (SARS-CoV-2).</w:t>
      </w:r>
    </w:p>
    <w:p w14:paraId="31133536" w14:textId="337E351C" w:rsidR="00741C0B" w:rsidRDefault="0067663B" w:rsidP="00FF4889">
      <w:pPr>
        <w:numPr>
          <w:ilvl w:val="0"/>
          <w:numId w:val="11"/>
        </w:numPr>
      </w:pPr>
      <w:r>
        <w:t>Self-reported SARS-CoV-2 RAT positivity was higher in the last fortnight (15.5%; 68/440) than in the previous fortnight (14.4%; 84/585). Self-reported SARS-CoV-2 PCR positivity was</w:t>
      </w:r>
      <w:r w:rsidR="00A11494">
        <w:t xml:space="preserve"> also</w:t>
      </w:r>
      <w:r>
        <w:t xml:space="preserve"> slightly higher in the last fortnight (6.7%; 7/105) than in the previous fortnight (6.2%; 8/129).</w:t>
      </w:r>
    </w:p>
    <w:p w14:paraId="31133537" w14:textId="77777777" w:rsidR="00741C0B" w:rsidRDefault="0067663B" w:rsidP="00FF4889">
      <w:pPr>
        <w:numPr>
          <w:ilvl w:val="0"/>
          <w:numId w:val="11"/>
        </w:numPr>
      </w:pPr>
      <w:r>
        <w:t xml:space="preserve">In the last fortnight, 11.0% (99/903) of survey participants with new fever and cough symptoms used a PCR test to test for influenza. Self-reported influenza PCR positivity was lower this fortnight (26.3%; 26/99), </w:t>
      </w:r>
      <w:proofErr w:type="gramStart"/>
      <w:r>
        <w:t>than</w:t>
      </w:r>
      <w:proofErr w:type="gramEnd"/>
      <w:r>
        <w:t xml:space="preserve"> in the previous fortnight (33.3%; 43/129).</w:t>
      </w:r>
    </w:p>
    <w:p w14:paraId="31133538" w14:textId="77777777" w:rsidR="00741C0B" w:rsidRDefault="0067663B" w:rsidP="00FF4889">
      <w:pPr>
        <w:numPr>
          <w:ilvl w:val="0"/>
          <w:numId w:val="11"/>
        </w:numPr>
      </w:pPr>
      <w:r>
        <w:t>In the last fortnight, fewer survey participants reported taking three or more days off work or normal duties due to fever and cough symptoms (43.4%; 392/903), than in the previous fortnight (50.0%; 551/1,101).</w:t>
      </w:r>
    </w:p>
    <w:p w14:paraId="31133539" w14:textId="6DF07515" w:rsidR="00741C0B" w:rsidRDefault="0096063B" w:rsidP="00FF4889">
      <w:pPr>
        <w:numPr>
          <w:ilvl w:val="0"/>
          <w:numId w:val="11"/>
        </w:numPr>
      </w:pPr>
      <w:r>
        <w:t xml:space="preserve">An overall decreasing </w:t>
      </w:r>
      <w:r w:rsidR="00710694">
        <w:t>trend in</w:t>
      </w:r>
      <w:r w:rsidR="0067663B">
        <w:t xml:space="preserve"> the weekly percentage of </w:t>
      </w:r>
      <w:proofErr w:type="spellStart"/>
      <w:r w:rsidR="0067663B">
        <w:t>FluTracking</w:t>
      </w:r>
      <w:proofErr w:type="spellEnd"/>
      <w:r w:rsidR="0067663B">
        <w:t xml:space="preserve"> participants reporting new fever and cough symptoms </w:t>
      </w:r>
      <w:r w:rsidR="00341C03">
        <w:t>has been observed since June 2025</w:t>
      </w:r>
      <w:r w:rsidR="00B858F9">
        <w:t xml:space="preserve">, </w:t>
      </w:r>
      <w:proofErr w:type="gramStart"/>
      <w:r w:rsidR="00B858F9">
        <w:t xml:space="preserve">with </w:t>
      </w:r>
      <w:r w:rsidR="0067663B">
        <w:t xml:space="preserve"> the</w:t>
      </w:r>
      <w:proofErr w:type="gramEnd"/>
      <w:r w:rsidR="0067663B">
        <w:t xml:space="preserve"> weekly percentage relatively </w:t>
      </w:r>
      <w:proofErr w:type="gramStart"/>
      <w:r w:rsidR="0067663B">
        <w:t>similar to</w:t>
      </w:r>
      <w:proofErr w:type="gramEnd"/>
      <w:r w:rsidR="0067663B">
        <w:t xml:space="preserve"> the trends observed at the same time in 2024 and the five-year average (Figure 3).</w:t>
      </w:r>
      <w:r w:rsidR="0067663B">
        <w:br/>
      </w:r>
    </w:p>
    <w:p w14:paraId="3113353A" w14:textId="77777777" w:rsidR="00741C0B" w:rsidRDefault="0067663B">
      <w:r>
        <w:rPr>
          <w:b/>
          <w:bCs/>
        </w:rPr>
        <w:t>Figure 3: Age standardised percentage of survey participants reporting new fever and cough symptoms compared with the five-year average* by year and week of survey, Australia, 2022 to 21 September 2025</w:t>
      </w:r>
    </w:p>
    <w:p w14:paraId="3113353B" w14:textId="77777777" w:rsidR="00741C0B" w:rsidRDefault="0067663B">
      <w:pPr>
        <w:pStyle w:val="BodyText"/>
      </w:pPr>
      <w:r>
        <w:rPr>
          <w:noProof/>
        </w:rPr>
        <w:drawing>
          <wp:inline distT="0" distB="0" distL="0" distR="0" wp14:anchorId="31133A5F" wp14:editId="0D52C91B">
            <wp:extent cx="6184900" cy="2650671"/>
            <wp:effectExtent l="0" t="0" r="0" b="0"/>
            <wp:docPr id="33" name="Picture" descr="A line graph comparing weekly age standardised percentage of FluTracking survey participants reporting new fever and cough symptoms from 3 January 2022 up to 21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21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53C" w14:textId="77777777" w:rsidR="00741C0B" w:rsidRDefault="0067663B">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741C0B">
          <w:rPr>
            <w:rStyle w:val="Hyperlink"/>
          </w:rPr>
          <w:t>Technical Supplement</w:t>
        </w:r>
      </w:hyperlink>
      <w:r>
        <w:t xml:space="preserve"> for interpretation of the five-year average.</w:t>
      </w:r>
    </w:p>
    <w:p w14:paraId="3113353D" w14:textId="77777777" w:rsidR="00741C0B" w:rsidRDefault="0067663B">
      <w:r>
        <w:br w:type="page"/>
      </w:r>
    </w:p>
    <w:p w14:paraId="3113353E" w14:textId="77777777" w:rsidR="00741C0B" w:rsidRDefault="0067663B" w:rsidP="00FF4889">
      <w:pPr>
        <w:numPr>
          <w:ilvl w:val="0"/>
          <w:numId w:val="12"/>
        </w:numPr>
      </w:pPr>
      <w:r>
        <w:lastRenderedPageBreak/>
        <w:t>In the last fortnight (8 September to 21 September 2025), there was a 23.4% decrease in COVID-19 cases, a 21.5% decrease in influenza cases, and a 26.4% decrease in RSV cases.</w:t>
      </w:r>
      <w:r>
        <w:br/>
      </w:r>
    </w:p>
    <w:p w14:paraId="3113353F" w14:textId="77777777" w:rsidR="00741C0B" w:rsidRDefault="0067663B">
      <w:r>
        <w:rPr>
          <w:b/>
          <w:bCs/>
        </w:rPr>
        <w:t>Table 1: Notified cases and notification rate per 100,000 population by disease, five-year age group, and jurisdiction*</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8 September to 21 September 2025) and for year to date (1 January to 21 September 2025).  "/>
      </w:tblPr>
      <w:tblGrid>
        <w:gridCol w:w="827"/>
        <w:gridCol w:w="1107"/>
        <w:gridCol w:w="1001"/>
        <w:gridCol w:w="867"/>
        <w:gridCol w:w="1107"/>
        <w:gridCol w:w="1001"/>
        <w:gridCol w:w="867"/>
        <w:gridCol w:w="1107"/>
        <w:gridCol w:w="1001"/>
        <w:gridCol w:w="867"/>
      </w:tblGrid>
      <w:tr w:rsidR="00741C0B" w14:paraId="3113354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0"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41C0B" w14:paraId="3113354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5"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41C0B" w14:paraId="3113355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41C0B" w14:paraId="31133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4,741</w:t>
            </w:r>
          </w:p>
        </w:tc>
      </w:tr>
      <w:tr w:rsidR="00741C0B" w14:paraId="311335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735</w:t>
            </w:r>
          </w:p>
        </w:tc>
      </w:tr>
      <w:tr w:rsidR="00741C0B" w14:paraId="311335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r>
      <w:tr w:rsidR="00741C0B" w14:paraId="311335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41C0B" w14:paraId="311335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r>
      <w:tr w:rsidR="00741C0B" w14:paraId="311335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r>
      <w:tr w:rsidR="00741C0B" w14:paraId="311335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r>
      <w:tr w:rsidR="00741C0B" w14:paraId="311335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5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r>
      <w:tr w:rsidR="00741C0B" w14:paraId="311335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r>
      <w:tr w:rsidR="00741C0B" w14:paraId="311335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r>
      <w:tr w:rsidR="00741C0B" w14:paraId="311335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r>
      <w:tr w:rsidR="00741C0B" w14:paraId="311335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r>
      <w:tr w:rsidR="00741C0B" w14:paraId="311335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r>
      <w:tr w:rsidR="00741C0B" w14:paraId="311335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681</w:t>
            </w:r>
          </w:p>
        </w:tc>
      </w:tr>
      <w:tr w:rsidR="00741C0B" w14:paraId="311335F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41C0B" w14:paraId="311336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w:t>
            </w:r>
          </w:p>
        </w:tc>
      </w:tr>
      <w:tr w:rsidR="00741C0B" w14:paraId="311336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765</w:t>
            </w:r>
          </w:p>
        </w:tc>
      </w:tr>
      <w:tr w:rsidR="00741C0B" w14:paraId="3113361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r>
      <w:tr w:rsidR="00741C0B" w14:paraId="311336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505</w:t>
            </w:r>
          </w:p>
        </w:tc>
      </w:tr>
      <w:tr w:rsidR="00741C0B" w14:paraId="311336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591</w:t>
            </w:r>
          </w:p>
        </w:tc>
      </w:tr>
      <w:tr w:rsidR="00741C0B" w14:paraId="311336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416</w:t>
            </w:r>
          </w:p>
        </w:tc>
      </w:tr>
      <w:tr w:rsidR="00741C0B" w14:paraId="3113364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493</w:t>
            </w:r>
          </w:p>
        </w:tc>
      </w:tr>
      <w:tr w:rsidR="00741C0B" w14:paraId="311336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r>
      <w:tr w:rsidR="00741C0B" w14:paraId="311336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159,547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28,360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377,107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155,347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571</w:t>
            </w:r>
          </w:p>
        </w:tc>
      </w:tr>
    </w:tbl>
    <w:p w14:paraId="3113365C"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5">
        <w:r w:rsidR="00741C0B">
          <w:rPr>
            <w:rStyle w:val="Hyperlink"/>
          </w:rPr>
          <w:t>Estimated Resident Population (ERP) for the reference period June 2024, released 12 December 2024</w:t>
        </w:r>
      </w:hyperlink>
      <w:r>
        <w:t>.</w:t>
      </w:r>
      <w:r>
        <w:br/>
        <w:t>† Total includes cases with missing age.</w:t>
      </w:r>
    </w:p>
    <w:p w14:paraId="3113365D" w14:textId="77777777" w:rsidR="00741C0B" w:rsidRDefault="0067663B">
      <w:r>
        <w:br w:type="page"/>
      </w:r>
    </w:p>
    <w:p w14:paraId="3113365E" w14:textId="74933AB7" w:rsidR="00741C0B" w:rsidRDefault="00A53E3D" w:rsidP="00FF4889">
      <w:pPr>
        <w:numPr>
          <w:ilvl w:val="0"/>
          <w:numId w:val="13"/>
        </w:numPr>
      </w:pPr>
      <w:r w:rsidRPr="00A53E3D">
        <w:lastRenderedPageBreak/>
        <w:t xml:space="preserve">In the last fortnight, </w:t>
      </w:r>
      <w:r w:rsidR="00416B53">
        <w:t xml:space="preserve">nationally </w:t>
      </w:r>
      <w:r w:rsidRPr="00A53E3D">
        <w:t>the number of COVID-19 cases reported each week</w:t>
      </w:r>
      <w:r w:rsidR="006757D5">
        <w:t xml:space="preserve"> continued to</w:t>
      </w:r>
      <w:r w:rsidRPr="00A53E3D">
        <w:t xml:space="preserve"> decrease following a peak in late June </w:t>
      </w:r>
      <w:r w:rsidR="0047040C">
        <w:t>(Figure 4).</w:t>
      </w:r>
    </w:p>
    <w:p w14:paraId="3113365F" w14:textId="77777777" w:rsidR="00741C0B" w:rsidRDefault="0067663B" w:rsidP="00FF4889">
      <w:pPr>
        <w:numPr>
          <w:ilvl w:val="0"/>
          <w:numId w:val="13"/>
        </w:numPr>
      </w:pPr>
      <w:r>
        <w:t xml:space="preserve">The number of COVID-19 cases this year to date (n=159,547) is 30.3% fewer than the number of cases observed in the same </w:t>
      </w:r>
      <w:proofErr w:type="gramStart"/>
      <w:r>
        <w:t>time period</w:t>
      </w:r>
      <w:proofErr w:type="gramEnd"/>
      <w:r>
        <w:t xml:space="preserve"> last year (n=228,869) (Figure 4).</w:t>
      </w:r>
    </w:p>
    <w:p w14:paraId="31133660" w14:textId="4F407338" w:rsidR="00741C0B" w:rsidRDefault="005A5329" w:rsidP="00FF4889">
      <w:pPr>
        <w:numPr>
          <w:ilvl w:val="0"/>
          <w:numId w:val="13"/>
        </w:numPr>
      </w:pPr>
      <w:r w:rsidRPr="005A5329">
        <w:t xml:space="preserve">In the last fortnight, COVID-19 notification rates decreased </w:t>
      </w:r>
      <w:r w:rsidRPr="00BE2A57">
        <w:t>across most jurisdictions</w:t>
      </w:r>
      <w:r w:rsidRPr="005A5329">
        <w:t xml:space="preserve">; </w:t>
      </w:r>
      <w:r w:rsidR="00344962">
        <w:t>though</w:t>
      </w:r>
      <w:r w:rsidR="003A3D81">
        <w:t xml:space="preserve"> </w:t>
      </w:r>
      <w:r w:rsidRPr="005A5329">
        <w:t>notification rates remained stable in the ACT compared with the previous fortnight</w:t>
      </w:r>
      <w:r w:rsidRPr="005A5329" w:rsidDel="004D342F">
        <w:t xml:space="preserve"> </w:t>
      </w:r>
      <w:r w:rsidR="00D362C3">
        <w:t>(Figure 5).</w:t>
      </w:r>
    </w:p>
    <w:p w14:paraId="31133661" w14:textId="77777777" w:rsidR="00741C0B" w:rsidRDefault="0067663B" w:rsidP="00FF4889">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31133662" w14:textId="77777777" w:rsidR="00741C0B" w:rsidRDefault="0067663B" w:rsidP="00FF4889">
      <w:pPr>
        <w:numPr>
          <w:ilvl w:val="0"/>
          <w:numId w:val="13"/>
        </w:numPr>
      </w:pPr>
      <w:r>
        <w:t>In the year to date, COVID-19 notification rates are highest in NSW and lowest in WA (Table 1).</w:t>
      </w:r>
      <w:r>
        <w:br/>
      </w:r>
    </w:p>
    <w:p w14:paraId="31133663" w14:textId="77777777" w:rsidR="00741C0B" w:rsidRDefault="0067663B">
      <w:r>
        <w:rPr>
          <w:b/>
          <w:bCs/>
        </w:rPr>
        <w:t>Figure 4: Notified COVID-19 cases (laboratory-confirmed only) by year and week of diagnosis, Australia, 2022 to 21 September 2025</w:t>
      </w:r>
    </w:p>
    <w:p w14:paraId="31133664" w14:textId="2336157C" w:rsidR="00741C0B" w:rsidRDefault="004B0A52">
      <w:pPr>
        <w:pStyle w:val="BodyText"/>
      </w:pPr>
      <w:r>
        <w:rPr>
          <w:noProof/>
        </w:rPr>
        <mc:AlternateContent>
          <mc:Choice Requires="wps">
            <w:drawing>
              <wp:anchor distT="0" distB="0" distL="114300" distR="114300" simplePos="0" relativeHeight="251656192" behindDoc="0" locked="0" layoutInCell="1" allowOverlap="1" wp14:anchorId="7F4C6599" wp14:editId="3F6C78CB">
                <wp:simplePos x="0" y="0"/>
                <wp:positionH relativeFrom="column">
                  <wp:posOffset>6106933</wp:posOffset>
                </wp:positionH>
                <wp:positionV relativeFrom="paragraph">
                  <wp:posOffset>1520795</wp:posOffset>
                </wp:positionV>
                <wp:extent cx="73672" cy="689050"/>
                <wp:effectExtent l="0" t="0" r="21590" b="34925"/>
                <wp:wrapNone/>
                <wp:docPr id="12995250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672" cy="68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C4BE8" id="Straight Connector 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85pt,119.75pt" to="486.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" strokecolor="#033636 [3200]" strokeweight=".5pt">
                <v:stroke joinstyle="miter"/>
              </v:line>
            </w:pict>
          </mc:Fallback>
        </mc:AlternateContent>
      </w:r>
      <w:r w:rsidR="005B0CDC">
        <w:rPr>
          <w:noProof/>
        </w:rPr>
        <mc:AlternateContent>
          <mc:Choice Requires="wps">
            <w:drawing>
              <wp:anchor distT="0" distB="0" distL="114300" distR="114300" simplePos="0" relativeHeight="251655168" behindDoc="0" locked="0" layoutInCell="1" allowOverlap="1" wp14:anchorId="3C57499F" wp14:editId="3F62CF59">
                <wp:simplePos x="0" y="0"/>
                <wp:positionH relativeFrom="margin">
                  <wp:align>left</wp:align>
                </wp:positionH>
                <wp:positionV relativeFrom="paragraph">
                  <wp:posOffset>1520794</wp:posOffset>
                </wp:positionV>
                <wp:extent cx="4759659" cy="684229"/>
                <wp:effectExtent l="0" t="0" r="22225" b="20955"/>
                <wp:wrapNone/>
                <wp:docPr id="95488001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59659" cy="6842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A3DAC" id="Straight Connector 1" o:spid="_x0000_s1026" alt="&quot;&quot;" style="position:absolute;flip:x;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9.75pt" to="374.8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" strokecolor="#033636 [3200]" strokeweight=".5pt">
                <v:stroke joinstyle="miter"/>
                <w10:wrap anchorx="margin"/>
              </v:line>
            </w:pict>
          </mc:Fallback>
        </mc:AlternateContent>
      </w:r>
      <w:r w:rsidR="0067663B">
        <w:rPr>
          <w:noProof/>
        </w:rPr>
        <w:drawing>
          <wp:inline distT="0" distB="0" distL="0" distR="0" wp14:anchorId="31133A61" wp14:editId="1FB8E7E6">
            <wp:extent cx="6184900" cy="4417785"/>
            <wp:effectExtent l="0" t="0" r="0" b="0"/>
            <wp:docPr id="37" name="Picture" descr="A pair of histograms showing all laboratory-confirmed COVID-19 cases notified to the NNDSS in Australia, by year and week of diagnosis, from 3 January 2022 to 21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1 September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21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1 September 2025.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665" w14:textId="77777777" w:rsidR="00741C0B" w:rsidRDefault="0067663B">
      <w:pPr>
        <w:pStyle w:val="Smalltext"/>
      </w:pPr>
      <w:r>
        <w:t>Source: National Notifiable Diseases Surveillance System (NNDSS)</w:t>
      </w:r>
      <w:r>
        <w:br/>
      </w:r>
    </w:p>
    <w:p w14:paraId="31133666" w14:textId="77777777" w:rsidR="00741C0B" w:rsidRDefault="0067663B">
      <w:r>
        <w:br w:type="page"/>
      </w:r>
    </w:p>
    <w:p w14:paraId="31133667" w14:textId="77777777" w:rsidR="00741C0B" w:rsidRDefault="0067663B">
      <w:pPr>
        <w:pStyle w:val="BodyText"/>
      </w:pPr>
      <w:r>
        <w:rPr>
          <w:b/>
          <w:bCs/>
        </w:rPr>
        <w:lastRenderedPageBreak/>
        <w:t>Figure 5: Notification rates* per 100,000 population for COVID-19 cases by state or territory and week of diagnosis, Australia, 1 January to 21 September 2025</w:t>
      </w:r>
    </w:p>
    <w:p w14:paraId="31133668" w14:textId="77777777" w:rsidR="00741C0B" w:rsidRDefault="0067663B">
      <w:pPr>
        <w:pStyle w:val="BodyText"/>
      </w:pPr>
      <w:r>
        <w:rPr>
          <w:noProof/>
        </w:rPr>
        <w:drawing>
          <wp:inline distT="0" distB="0" distL="0" distR="0" wp14:anchorId="31133A63" wp14:editId="01EB0ADA">
            <wp:extent cx="6184900" cy="2650671"/>
            <wp:effectExtent l="0" t="0" r="0" b="0"/>
            <wp:docPr id="40" name="Picture" descr="A line graph showing the notification rates per 100,000 population for COVID-19 cases notified to the NNDSS, by state or territory in Australia with diagnosis dates from 1 January to 21 Septem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21 September 2025. The y-axis (left) shows the rate of notified cases,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69"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0">
        <w:r w:rsidR="00741C0B">
          <w:rPr>
            <w:rStyle w:val="Hyperlink"/>
          </w:rPr>
          <w:t>Estimated Resident Population (ERP) for the reference period June 2024, released 12 December 2024</w:t>
        </w:r>
      </w:hyperlink>
      <w:r>
        <w:br/>
      </w:r>
    </w:p>
    <w:p w14:paraId="3113366A" w14:textId="77777777" w:rsidR="00741C0B" w:rsidRDefault="0067663B">
      <w:pPr>
        <w:pStyle w:val="BodyText"/>
      </w:pPr>
      <w:r>
        <w:rPr>
          <w:b/>
          <w:bCs/>
        </w:rPr>
        <w:t>Figure 6: Notified influenza cases and five-year average* by year and week of diagnosis, Australia, 2022 to 21 September 2025</w:t>
      </w:r>
    </w:p>
    <w:p w14:paraId="3113366B" w14:textId="77777777" w:rsidR="00741C0B" w:rsidRDefault="0067663B">
      <w:pPr>
        <w:pStyle w:val="BodyText"/>
      </w:pPr>
      <w:r>
        <w:rPr>
          <w:noProof/>
        </w:rPr>
        <w:drawing>
          <wp:inline distT="0" distB="0" distL="0" distR="0" wp14:anchorId="31133A65" wp14:editId="20DA5C25">
            <wp:extent cx="6184900" cy="2650671"/>
            <wp:effectExtent l="0" t="0" r="0" b="0"/>
            <wp:docPr id="43" name="Picture" descr="A line graph showing influenza cases notified to the NNDSS in Australia, by year and week of diagnosis, from 3 January 2022 to 21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1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6C" w14:textId="77777777" w:rsidR="00741C0B" w:rsidRPr="00CB3AAB" w:rsidRDefault="0067663B">
      <w:pPr>
        <w:pStyle w:val="Smalltext"/>
      </w:pPr>
      <w:r>
        <w:t>Source: National Notifiable Diseases Surveillance System (NNDSS)</w:t>
      </w:r>
      <w:r>
        <w:br/>
        <w:t>* The years 2020 and 2021 are excluded when comparing the current season to historical periods when influenza virus has circulated without public health re</w:t>
      </w:r>
      <w:r w:rsidRPr="00CB3AAB">
        <w:t xml:space="preserve">strictions. As such, the five-year average includes the years 2018 to 2019 and 2022 to 2024. Please refer to the </w:t>
      </w:r>
      <w:hyperlink r:id="rId33">
        <w:r w:rsidR="00741C0B" w:rsidRPr="00CB3AAB">
          <w:rPr>
            <w:rStyle w:val="Hyperlink"/>
          </w:rPr>
          <w:t>Technical Supplement</w:t>
        </w:r>
      </w:hyperlink>
      <w:r w:rsidRPr="00CB3AAB">
        <w:t xml:space="preserve"> for interpretation of the five-year average.</w:t>
      </w:r>
      <w:r w:rsidRPr="00CB3AAB">
        <w:br/>
      </w:r>
    </w:p>
    <w:p w14:paraId="3113366D" w14:textId="561FD1ED" w:rsidR="00741C0B" w:rsidRPr="00C07B0A" w:rsidRDefault="003F4490" w:rsidP="00FF4889">
      <w:pPr>
        <w:numPr>
          <w:ilvl w:val="0"/>
          <w:numId w:val="14"/>
        </w:numPr>
      </w:pPr>
      <w:r w:rsidRPr="00CB3AAB">
        <w:t>In the last fortnight, the number of influenza cases nationally decreased; however, influenza case numbers in the last fortnight were higher than observed at the same time in previous years</w:t>
      </w:r>
      <w:r w:rsidR="00E16DCB" w:rsidRPr="00CB3AAB">
        <w:t xml:space="preserve"> (Figure 6). </w:t>
      </w:r>
      <w:r w:rsidR="003B63A9" w:rsidRPr="00CB3AAB">
        <w:t xml:space="preserve">This </w:t>
      </w:r>
      <w:r w:rsidR="00CB3AAB" w:rsidRPr="00CB3AAB">
        <w:t>can be</w:t>
      </w:r>
      <w:r w:rsidR="02B95A41" w:rsidRPr="00CB3AAB">
        <w:t xml:space="preserve"> attributed to a </w:t>
      </w:r>
      <w:r w:rsidR="0048666D" w:rsidRPr="00CB3AAB">
        <w:t>prolonged</w:t>
      </w:r>
      <w:r w:rsidR="02B95A41" w:rsidRPr="00CB3AAB">
        <w:t xml:space="preserve"> peak in</w:t>
      </w:r>
      <w:r w:rsidR="00593BCF" w:rsidRPr="00CB3AAB">
        <w:t xml:space="preserve"> </w:t>
      </w:r>
      <w:r w:rsidR="00E2126E" w:rsidRPr="00C07B0A">
        <w:t xml:space="preserve">between late June to </w:t>
      </w:r>
      <w:r w:rsidR="009C20CC" w:rsidRPr="00C07B0A">
        <w:t>mid-August 2025</w:t>
      </w:r>
      <w:r w:rsidR="00470F9F" w:rsidRPr="00C07B0A">
        <w:t xml:space="preserve">, and </w:t>
      </w:r>
      <w:r w:rsidR="009827E1">
        <w:t xml:space="preserve">a </w:t>
      </w:r>
      <w:r w:rsidR="00470F9F" w:rsidRPr="00C07B0A">
        <w:t xml:space="preserve">slower </w:t>
      </w:r>
      <w:r w:rsidR="003D32AB" w:rsidRPr="00C07B0A">
        <w:t xml:space="preserve">decrease in case numbers </w:t>
      </w:r>
      <w:r w:rsidR="02B95A41" w:rsidRPr="00C07B0A">
        <w:t>than observed in previous seasons</w:t>
      </w:r>
      <w:r w:rsidRPr="00CB3AAB">
        <w:t xml:space="preserve"> </w:t>
      </w:r>
      <w:r w:rsidR="009A4548" w:rsidRPr="00CB3AAB">
        <w:t>(Figure 6).</w:t>
      </w:r>
      <w:r w:rsidR="008F4C3F" w:rsidRPr="00CB3AAB">
        <w:t xml:space="preserve"> </w:t>
      </w:r>
    </w:p>
    <w:p w14:paraId="3113366E" w14:textId="77777777" w:rsidR="00741C0B" w:rsidRDefault="0067663B" w:rsidP="00FF4889">
      <w:pPr>
        <w:numPr>
          <w:ilvl w:val="0"/>
          <w:numId w:val="14"/>
        </w:numPr>
      </w:pPr>
      <w:r>
        <w:t xml:space="preserve">The number of influenza cases this year to date (n=377,107) is 10.5% more than the number of cases observed in the same </w:t>
      </w:r>
      <w:proofErr w:type="gramStart"/>
      <w:r>
        <w:t>time period</w:t>
      </w:r>
      <w:proofErr w:type="gramEnd"/>
      <w:r>
        <w:t xml:space="preserve"> last year (n=341,412) (Figure 6).</w:t>
      </w:r>
    </w:p>
    <w:p w14:paraId="3113366F" w14:textId="63241652" w:rsidR="00741C0B" w:rsidRDefault="0067663B" w:rsidP="00FF4889">
      <w:pPr>
        <w:numPr>
          <w:ilvl w:val="0"/>
          <w:numId w:val="14"/>
        </w:numPr>
      </w:pPr>
      <w:r>
        <w:t xml:space="preserve">In the last fortnight, influenza </w:t>
      </w:r>
      <w:r w:rsidR="00F91CFC" w:rsidRPr="00F91CFC">
        <w:t>notification</w:t>
      </w:r>
      <w:r w:rsidR="00C33A19">
        <w:t xml:space="preserve"> tr</w:t>
      </w:r>
      <w:r w:rsidR="009B4AAE">
        <w:t>ends</w:t>
      </w:r>
      <w:r w:rsidR="00F91CFC" w:rsidRPr="00F91CFC">
        <w:t xml:space="preserve"> </w:t>
      </w:r>
      <w:r w:rsidR="00F91CFC">
        <w:t xml:space="preserve">varied across </w:t>
      </w:r>
      <w:r>
        <w:t>jurisdictions</w:t>
      </w:r>
      <w:r w:rsidR="00F91CFC">
        <w:t>.</w:t>
      </w:r>
      <w:r w:rsidR="00F91CFC" w:rsidRPr="00F91CFC">
        <w:t xml:space="preserve"> </w:t>
      </w:r>
      <w:r w:rsidR="00F91CFC">
        <w:t>N</w:t>
      </w:r>
      <w:r w:rsidR="00F91CFC" w:rsidRPr="00F91CFC">
        <w:t xml:space="preserve">otification rates </w:t>
      </w:r>
      <w:r w:rsidR="00F91CFC">
        <w:t xml:space="preserve">remained </w:t>
      </w:r>
      <w:r w:rsidR="00FE786B">
        <w:t xml:space="preserve">relatively </w:t>
      </w:r>
      <w:r w:rsidR="00F91CFC">
        <w:t xml:space="preserve">stable in </w:t>
      </w:r>
      <w:r w:rsidR="00966352">
        <w:t xml:space="preserve">the </w:t>
      </w:r>
      <w:r w:rsidR="003C0721">
        <w:t xml:space="preserve">ACT, the </w:t>
      </w:r>
      <w:r w:rsidR="00966352">
        <w:t>NT, Tas and WA</w:t>
      </w:r>
      <w:r w:rsidR="00631E77">
        <w:t xml:space="preserve">; however, </w:t>
      </w:r>
      <w:r w:rsidR="0009288E">
        <w:t>decreased</w:t>
      </w:r>
      <w:r w:rsidR="00631E77">
        <w:t xml:space="preserve"> in </w:t>
      </w:r>
      <w:r w:rsidR="0009288E">
        <w:t>NSW, Qld, SA and Vic</w:t>
      </w:r>
      <w:r w:rsidR="00631E77">
        <w:t xml:space="preserve"> </w:t>
      </w:r>
      <w:r w:rsidR="00F91CFC" w:rsidRPr="00F91CFC">
        <w:t>compared with the previous fortnight</w:t>
      </w:r>
      <w:r>
        <w:t xml:space="preserve"> (Figure 7).</w:t>
      </w:r>
    </w:p>
    <w:p w14:paraId="31133670" w14:textId="77777777" w:rsidR="00741C0B" w:rsidRDefault="0067663B" w:rsidP="00FF4889">
      <w:pPr>
        <w:numPr>
          <w:ilvl w:val="0"/>
          <w:numId w:val="14"/>
        </w:numPr>
      </w:pPr>
      <w:r>
        <w:lastRenderedPageBreak/>
        <w:t>In the year to date, influenza notification rates remain highest in children aged 5–9 years and children aged 0–4 years (Table 1).</w:t>
      </w:r>
    </w:p>
    <w:p w14:paraId="31133671" w14:textId="77777777" w:rsidR="00741C0B" w:rsidRDefault="0067663B" w:rsidP="00FF4889">
      <w:pPr>
        <w:numPr>
          <w:ilvl w:val="0"/>
          <w:numId w:val="14"/>
        </w:numPr>
      </w:pPr>
      <w:r>
        <w:t>In the year to date, influenza notification rates are highest NSW and lowest in WA (Table 1).</w:t>
      </w:r>
      <w:r>
        <w:br/>
      </w:r>
    </w:p>
    <w:p w14:paraId="31133672" w14:textId="77777777" w:rsidR="00741C0B" w:rsidRDefault="0067663B">
      <w:r>
        <w:rPr>
          <w:b/>
          <w:bCs/>
        </w:rPr>
        <w:t>Figure 7: Notification rates* per 100,000 population for influenza cases by state or territory and week of diagnosis, Australia, 1 January to 21 September 2025</w:t>
      </w:r>
    </w:p>
    <w:p w14:paraId="31133673" w14:textId="77777777" w:rsidR="00741C0B" w:rsidRDefault="0067663B">
      <w:pPr>
        <w:pStyle w:val="BodyText"/>
      </w:pPr>
      <w:r>
        <w:rPr>
          <w:noProof/>
        </w:rPr>
        <w:drawing>
          <wp:inline distT="0" distB="0" distL="0" distR="0" wp14:anchorId="31133A67" wp14:editId="2E6649FF">
            <wp:extent cx="6184900" cy="2650671"/>
            <wp:effectExtent l="0" t="0" r="0" b="0"/>
            <wp:docPr id="46" name="Picture" descr="A line graph showing the notification rates per 100,000 population for influenza cases notified to the NNDSS, by state or territory in Australia, with diagnosis dates from 1 January to 21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1 September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74"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sidR="00741C0B">
          <w:rPr>
            <w:rStyle w:val="Hyperlink"/>
          </w:rPr>
          <w:t>Estimated Resident Population (ERP) for the reference period June 2024, released 12 December 2024</w:t>
        </w:r>
      </w:hyperlink>
      <w:r>
        <w:t>.</w:t>
      </w:r>
      <w:r>
        <w:br/>
      </w:r>
    </w:p>
    <w:p w14:paraId="31133675" w14:textId="5CF5410A" w:rsidR="00741C0B" w:rsidRDefault="0067663B" w:rsidP="00FF4889">
      <w:pPr>
        <w:numPr>
          <w:ilvl w:val="0"/>
          <w:numId w:val="15"/>
        </w:numPr>
      </w:pPr>
      <w:r>
        <w:t>In the last fortnight, most influenza notifications were influenza A(</w:t>
      </w:r>
      <w:proofErr w:type="spellStart"/>
      <w:r>
        <w:t>Unsubtyped</w:t>
      </w:r>
      <w:proofErr w:type="spellEnd"/>
      <w:r>
        <w:t xml:space="preserve">) (60.0%; 17,003/28,360), followed by influenza B (37.7%; 10,704/28,360), then influenza A(H1N1) (1.1%; 302/28,360), </w:t>
      </w:r>
      <w:r w:rsidR="00CC331D">
        <w:t xml:space="preserve">and </w:t>
      </w:r>
      <w:r>
        <w:t>influenza untyped (0.6%; 166/28,360) and influenza A(H3N2) (0.6%; 160/28,360). In the last fortnight, there were 25 influenza A&amp;B co-detections (Figure 8).</w:t>
      </w:r>
    </w:p>
    <w:p w14:paraId="38C62F45" w14:textId="05EFA6CE" w:rsidR="0072692A" w:rsidRDefault="0072692A" w:rsidP="0072692A">
      <w:pPr>
        <w:numPr>
          <w:ilvl w:val="0"/>
          <w:numId w:val="15"/>
        </w:numPr>
      </w:pPr>
      <w:r w:rsidRPr="00DF0570">
        <w:t>In the year to date, influenza A(</w:t>
      </w:r>
      <w:proofErr w:type="spellStart"/>
      <w:r w:rsidRPr="00DF0570">
        <w:t>Unsubtyped</w:t>
      </w:r>
      <w:proofErr w:type="spellEnd"/>
      <w:r w:rsidRPr="00DF0570">
        <w:t xml:space="preserve">) has accounted for most cases across </w:t>
      </w:r>
      <w:r>
        <w:t>most</w:t>
      </w:r>
      <w:r w:rsidRPr="00DF0570">
        <w:t xml:space="preserve"> age groups, followed by influenza B. The proportion of influenza B cases is the highest in the 5–19 years age group. There has been a small number of influenza A(H1N1) and influenza A(H3N2) cases across all age groups (Figure 8)</w:t>
      </w:r>
      <w:r>
        <w:t>.</w:t>
      </w:r>
    </w:p>
    <w:p w14:paraId="26102D0E" w14:textId="77777777" w:rsidR="0072692A" w:rsidRDefault="0072692A" w:rsidP="0072692A">
      <w:pPr>
        <w:numPr>
          <w:ilvl w:val="1"/>
          <w:numId w:val="15"/>
        </w:numPr>
      </w:pPr>
      <w:r w:rsidRPr="00F843F8">
        <w:t>There is a comparatively higher proportion of influenza B cases this season than observed in 2024. While influenza B is often a good match with the seasonal influenza vaccine strain, influenza B can result in more severe infections in children.</w:t>
      </w:r>
    </w:p>
    <w:p w14:paraId="559D3466" w14:textId="08E8CF99" w:rsidR="0072692A" w:rsidRDefault="0072692A" w:rsidP="0072692A">
      <w:pPr>
        <w:numPr>
          <w:ilvl w:val="1"/>
          <w:numId w:val="15"/>
        </w:numPr>
      </w:pPr>
      <w:r>
        <w:t>In the recent weeks, influenza notification</w:t>
      </w:r>
      <w:r w:rsidR="00930177">
        <w:t>s have been</w:t>
      </w:r>
      <w:r>
        <w:t xml:space="preserve"> elevated in school aged children (5-19 years) (Figure 8).</w:t>
      </w:r>
    </w:p>
    <w:p w14:paraId="657B9D98" w14:textId="3876C951" w:rsidR="007872F2" w:rsidRDefault="007872F2" w:rsidP="007872F2">
      <w:pPr>
        <w:numPr>
          <w:ilvl w:val="0"/>
          <w:numId w:val="15"/>
        </w:numPr>
      </w:pPr>
      <w:r w:rsidRPr="007F7F46">
        <w:t>In the year to date, influenza A(</w:t>
      </w:r>
      <w:proofErr w:type="spellStart"/>
      <w:r w:rsidRPr="007F7F46">
        <w:t>Unsubtyped</w:t>
      </w:r>
      <w:proofErr w:type="spellEnd"/>
      <w:r w:rsidRPr="007F7F46">
        <w:t xml:space="preserve">) has accounted for </w:t>
      </w:r>
      <w:proofErr w:type="gramStart"/>
      <w:r w:rsidRPr="007F7F46">
        <w:t>the majority of</w:t>
      </w:r>
      <w:proofErr w:type="gramEnd"/>
      <w:r w:rsidRPr="007F7F46">
        <w:t xml:space="preserve"> influenza cases across all jurisdic</w:t>
      </w:r>
      <w:r w:rsidRPr="003D516C">
        <w:t>tions. Several jurisdictions have been experiencing increasing numbers of influenza B cases in the year to date; howe</w:t>
      </w:r>
      <w:r w:rsidRPr="007F7F46">
        <w:t xml:space="preserve">ver, the proportion of influenza B and influenza A varies week-on-week (Figure 9). </w:t>
      </w:r>
    </w:p>
    <w:p w14:paraId="5B811E48" w14:textId="08832485" w:rsidR="007872F2" w:rsidRDefault="005F6E44" w:rsidP="007872F2">
      <w:pPr>
        <w:numPr>
          <w:ilvl w:val="0"/>
          <w:numId w:val="15"/>
        </w:numPr>
      </w:pPr>
      <w:r w:rsidRPr="007F7F46">
        <w:t xml:space="preserve">Influenza A(H1N1) and influenza A(H3N2) cases were </w:t>
      </w:r>
      <w:proofErr w:type="gramStart"/>
      <w:r w:rsidRPr="007F7F46">
        <w:t>most commonly observed</w:t>
      </w:r>
      <w:proofErr w:type="gramEnd"/>
      <w:r w:rsidRPr="007F7F46">
        <w:t xml:space="preserve"> in Tas and WA (Figure 9); however, trends in influenza subtypes should be interpreted with care as there are jurisdictional differences in the number and selection of influenza samples that undergo typing.</w:t>
      </w:r>
    </w:p>
    <w:p w14:paraId="31133678" w14:textId="77777777" w:rsidR="00741C0B" w:rsidRDefault="0067663B">
      <w:r>
        <w:br w:type="page"/>
      </w:r>
    </w:p>
    <w:p w14:paraId="31133679" w14:textId="77777777" w:rsidR="00741C0B" w:rsidRDefault="0067663B">
      <w:r>
        <w:rPr>
          <w:b/>
          <w:bCs/>
        </w:rPr>
        <w:lastRenderedPageBreak/>
        <w:t>Figure 8: Notified influenza cases by influenza subtype, age group*, and week of diagnosis, Australia, 1 January to 21 September 2025</w:t>
      </w:r>
    </w:p>
    <w:p w14:paraId="3113367A" w14:textId="77777777" w:rsidR="00741C0B" w:rsidRDefault="0067663B">
      <w:pPr>
        <w:pStyle w:val="BodyText"/>
      </w:pPr>
      <w:r>
        <w:rPr>
          <w:noProof/>
        </w:rPr>
        <w:drawing>
          <wp:inline distT="0" distB="0" distL="0" distR="0" wp14:anchorId="31133A69" wp14:editId="04D295D3">
            <wp:extent cx="6184900" cy="3534228"/>
            <wp:effectExtent l="0" t="0" r="0" b="0"/>
            <wp:docPr id="49" name="Picture" descr="A set of four stacked bar charts, one for each age group (0–4, 5–19, 20–64 and 65 years and over), showing influenza notifications to the NNDSS by subtype and age group from 1 January to 21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21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113367B" w14:textId="77777777" w:rsidR="00741C0B" w:rsidRDefault="0067663B">
      <w:pPr>
        <w:pStyle w:val="Smalltext"/>
      </w:pPr>
      <w:r>
        <w:t>Source: National Notifiable Diseases Surveillance System (NNDSS)</w:t>
      </w:r>
      <w:r>
        <w:br/>
        <w:t>* Axis varies between age groups.</w:t>
      </w:r>
      <w:r>
        <w:br/>
      </w:r>
    </w:p>
    <w:p w14:paraId="3113367C" w14:textId="77777777" w:rsidR="00741C0B" w:rsidRDefault="0067663B">
      <w:pPr>
        <w:pStyle w:val="BodyText"/>
      </w:pPr>
      <w:r>
        <w:rPr>
          <w:b/>
          <w:bCs/>
        </w:rPr>
        <w:t>Figure 9: Notified influenza cases by influenza subtype, jurisdiction*, and week of diagnosis, Australia, 1 January to 21 September 2025</w:t>
      </w:r>
    </w:p>
    <w:p w14:paraId="3113367D" w14:textId="77777777" w:rsidR="00741C0B" w:rsidRDefault="0067663B">
      <w:pPr>
        <w:pStyle w:val="BodyText"/>
      </w:pPr>
      <w:r>
        <w:rPr>
          <w:noProof/>
        </w:rPr>
        <w:drawing>
          <wp:inline distT="0" distB="0" distL="0" distR="0" wp14:anchorId="31133A6B" wp14:editId="15881AB1">
            <wp:extent cx="6184900" cy="3976007"/>
            <wp:effectExtent l="0" t="0" r="0" b="0"/>
            <wp:docPr id="52" name="Picture" descr="A set of eight stacked bar charts, one for each Australian state or territory, showing influenza notifications to the NNDSS by subtype and jurisdiction from 1 January to 21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21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113367E" w14:textId="77777777" w:rsidR="00741C0B" w:rsidRDefault="0067663B">
      <w:pPr>
        <w:pStyle w:val="Smalltext"/>
      </w:pPr>
      <w:r>
        <w:t>Source: National Notifiable Diseases Surveillance System (NNDSS)</w:t>
      </w:r>
      <w:r>
        <w:br/>
        <w:t>* Axis varies between jurisdictions.</w:t>
      </w:r>
      <w:r>
        <w:br/>
      </w:r>
    </w:p>
    <w:p w14:paraId="3113367F" w14:textId="5E06F5FD" w:rsidR="00741C0B" w:rsidRDefault="003479AE" w:rsidP="00FF4889">
      <w:pPr>
        <w:numPr>
          <w:ilvl w:val="0"/>
          <w:numId w:val="16"/>
        </w:numPr>
      </w:pPr>
      <w:r w:rsidRPr="003479AE">
        <w:lastRenderedPageBreak/>
        <w:t>In the last fortnight, the number of RSV cases decreased, continuing the decreasing trend in national case numbers observed since mid-July 2025</w:t>
      </w:r>
      <w:r w:rsidRPr="003479AE" w:rsidDel="0036644E">
        <w:t xml:space="preserve"> </w:t>
      </w:r>
      <w:r w:rsidR="0087360B">
        <w:t>(Figure 10).</w:t>
      </w:r>
    </w:p>
    <w:p w14:paraId="31133680" w14:textId="06C41CE4" w:rsidR="00741C0B" w:rsidRDefault="0067663B" w:rsidP="00FF4889">
      <w:pPr>
        <w:numPr>
          <w:ilvl w:val="0"/>
          <w:numId w:val="16"/>
        </w:numPr>
      </w:pPr>
      <w:r>
        <w:t xml:space="preserve">The number of cases this year to date (n=155,347) is 1.1% fewer than the number of cases observed in the same </w:t>
      </w:r>
      <w:proofErr w:type="gramStart"/>
      <w:r>
        <w:t>time period</w:t>
      </w:r>
      <w:proofErr w:type="gramEnd"/>
      <w:r>
        <w:t xml:space="preserve"> last year (n=157,066) (Figure 10).</w:t>
      </w:r>
    </w:p>
    <w:p w14:paraId="31133681" w14:textId="6095BB3D" w:rsidR="00741C0B" w:rsidRDefault="00012D5C" w:rsidP="00FF4889">
      <w:pPr>
        <w:numPr>
          <w:ilvl w:val="0"/>
          <w:numId w:val="16"/>
        </w:numPr>
      </w:pPr>
      <w:r>
        <w:t xml:space="preserve">In the last fortnight, </w:t>
      </w:r>
      <w:r w:rsidR="00E46552" w:rsidRPr="00E46552">
        <w:t xml:space="preserve">RSV notification rates decreased across </w:t>
      </w:r>
      <w:r w:rsidR="00643625">
        <w:t>all</w:t>
      </w:r>
      <w:r w:rsidR="00643625" w:rsidRPr="00E46552">
        <w:t xml:space="preserve"> </w:t>
      </w:r>
      <w:r w:rsidR="00E46552" w:rsidRPr="00E46552">
        <w:t>jurisdictions</w:t>
      </w:r>
      <w:r w:rsidR="00103759">
        <w:t xml:space="preserve">, </w:t>
      </w:r>
      <w:r w:rsidR="005D0E94">
        <w:t xml:space="preserve">though </w:t>
      </w:r>
      <w:r w:rsidR="00E46552" w:rsidRPr="00E46552">
        <w:t xml:space="preserve">notification rates </w:t>
      </w:r>
      <w:r w:rsidR="00CE410D">
        <w:t xml:space="preserve">are </w:t>
      </w:r>
      <w:r w:rsidR="00103759">
        <w:t xml:space="preserve">declining more </w:t>
      </w:r>
      <w:r w:rsidR="00CE410D">
        <w:t>gradually</w:t>
      </w:r>
      <w:r w:rsidR="0093599B">
        <w:t xml:space="preserve"> in </w:t>
      </w:r>
      <w:r w:rsidR="00E46552" w:rsidRPr="00E46552">
        <w:t xml:space="preserve">Qld </w:t>
      </w:r>
      <w:r>
        <w:t>(Figure 11).</w:t>
      </w:r>
    </w:p>
    <w:p w14:paraId="31133682" w14:textId="77777777" w:rsidR="00741C0B" w:rsidRDefault="0067663B" w:rsidP="00FF4889">
      <w:pPr>
        <w:numPr>
          <w:ilvl w:val="0"/>
          <w:numId w:val="16"/>
        </w:numPr>
      </w:pPr>
      <w:r>
        <w:t>In the year to date, RSV notification rates remain considerably higher in children aged 0–4 years than in other age groups (Table 1).</w:t>
      </w:r>
    </w:p>
    <w:p w14:paraId="31133683" w14:textId="77777777" w:rsidR="00741C0B" w:rsidRDefault="0067663B" w:rsidP="00FF4889">
      <w:pPr>
        <w:numPr>
          <w:ilvl w:val="0"/>
          <w:numId w:val="16"/>
        </w:numPr>
      </w:pPr>
      <w:r>
        <w:t>In the year to date, RSV notification rates are highest in NSW and lowest in NT (Table 1).</w:t>
      </w:r>
      <w:r>
        <w:br/>
      </w:r>
    </w:p>
    <w:p w14:paraId="31133684" w14:textId="77777777" w:rsidR="00741C0B" w:rsidRDefault="0067663B">
      <w:r>
        <w:rPr>
          <w:b/>
          <w:bCs/>
        </w:rPr>
        <w:t>Figure 10: Notified RSV cases by year and week of diagnosis*, Australia, 2023 to 21 September 2025</w:t>
      </w:r>
    </w:p>
    <w:p w14:paraId="31133685" w14:textId="6D093BC5" w:rsidR="00741C0B" w:rsidRDefault="00D7538C">
      <w:pPr>
        <w:pStyle w:val="BodyText"/>
      </w:pPr>
      <w:r>
        <w:rPr>
          <w:noProof/>
        </w:rPr>
        <mc:AlternateContent>
          <mc:Choice Requires="wps">
            <w:drawing>
              <wp:anchor distT="0" distB="0" distL="114300" distR="114300" simplePos="0" relativeHeight="251661312" behindDoc="0" locked="0" layoutInCell="1" allowOverlap="1" wp14:anchorId="1646D66D" wp14:editId="623476A0">
                <wp:simplePos x="0" y="0"/>
                <wp:positionH relativeFrom="column">
                  <wp:posOffset>6111926</wp:posOffset>
                </wp:positionH>
                <wp:positionV relativeFrom="paragraph">
                  <wp:posOffset>1535532</wp:posOffset>
                </wp:positionV>
                <wp:extent cx="64922" cy="679145"/>
                <wp:effectExtent l="0" t="0" r="30480" b="26035"/>
                <wp:wrapNone/>
                <wp:docPr id="201940226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922" cy="6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3C1CB" id="Straight Connector 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25pt,120.9pt" to="486.3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" strokecolor="#033636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68C99EB" wp14:editId="7B6A4DD3">
                <wp:simplePos x="0" y="0"/>
                <wp:positionH relativeFrom="margin">
                  <wp:align>left</wp:align>
                </wp:positionH>
                <wp:positionV relativeFrom="paragraph">
                  <wp:posOffset>1535532</wp:posOffset>
                </wp:positionV>
                <wp:extent cx="4263568" cy="680313"/>
                <wp:effectExtent l="0" t="0" r="22860" b="24765"/>
                <wp:wrapNone/>
                <wp:docPr id="43831814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63568" cy="6803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D6BB53" id="Straight Connector 3" o:spid="_x0000_s1026" alt="&quot;&quot;" style="position:absolute;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0.9pt" to="335.7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" strokecolor="#033636 [3200]" strokeweight=".5pt">
                <v:stroke joinstyle="miter"/>
                <w10:wrap anchorx="margin"/>
              </v:line>
            </w:pict>
          </mc:Fallback>
        </mc:AlternateContent>
      </w:r>
      <w:r w:rsidR="0067663B">
        <w:rPr>
          <w:noProof/>
        </w:rPr>
        <w:drawing>
          <wp:inline distT="0" distB="0" distL="0" distR="0" wp14:anchorId="31133A6D" wp14:editId="3FD04345">
            <wp:extent cx="6184900" cy="4417785"/>
            <wp:effectExtent l="0" t="0" r="0" b="0"/>
            <wp:docPr id="55" name="Picture" descr="A pair of histograms showing RSV cases notified to the NNDSS in Australia, by year and week of diagnosis, from 2 January 2023 to 21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1 September.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21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1 September.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686" w14:textId="77777777" w:rsidR="00741C0B" w:rsidRDefault="0067663B">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31133687" w14:textId="77777777" w:rsidR="00741C0B" w:rsidRDefault="0067663B">
      <w:r>
        <w:br w:type="page"/>
      </w:r>
    </w:p>
    <w:p w14:paraId="31133688" w14:textId="77777777" w:rsidR="00741C0B" w:rsidRDefault="0067663B">
      <w:pPr>
        <w:pStyle w:val="BodyText"/>
      </w:pPr>
      <w:r>
        <w:rPr>
          <w:b/>
          <w:bCs/>
        </w:rPr>
        <w:lastRenderedPageBreak/>
        <w:t>Figure 11: Notification rates* per 100,000 population for RSV cases by state or territory and week of diagnosis, Australia, 1 January to 21 September 2025</w:t>
      </w:r>
    </w:p>
    <w:p w14:paraId="31133689" w14:textId="77777777" w:rsidR="00741C0B" w:rsidRDefault="0067663B">
      <w:pPr>
        <w:pStyle w:val="BodyText"/>
      </w:pPr>
      <w:r>
        <w:rPr>
          <w:noProof/>
        </w:rPr>
        <w:drawing>
          <wp:inline distT="0" distB="0" distL="0" distR="0" wp14:anchorId="31133A6F" wp14:editId="6A0F2734">
            <wp:extent cx="6184900" cy="2650671"/>
            <wp:effectExtent l="0" t="0" r="0" b="0"/>
            <wp:docPr id="58" name="Picture" descr="A line graph showing the notification rates per 100,000 population for RSV cases notified to the NNDSS, by state or territory in Australia, with diagnosis dates from 1 January to 21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21 September 2025. The y-axis (left) shows the rate of notified cases, and the x-axis (horizontal) shows the week of diagnosi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8A"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45">
        <w:r w:rsidR="00741C0B">
          <w:rPr>
            <w:rStyle w:val="Hyperlink"/>
          </w:rPr>
          <w:t>Estimated Resident Population (ERP) for the reference period June 2024, released 12 December 2024</w:t>
        </w:r>
      </w:hyperlink>
      <w:r>
        <w:t>.</w:t>
      </w:r>
      <w:r>
        <w:br/>
      </w:r>
    </w:p>
    <w:p w14:paraId="46618642" w14:textId="77777777" w:rsidR="00D6575E" w:rsidRDefault="00D6575E">
      <w:pPr>
        <w:spacing w:before="0" w:after="0" w:line="240" w:lineRule="auto"/>
        <w:rPr>
          <w:rFonts w:cs="Arial"/>
          <w:b/>
          <w:bCs/>
          <w:kern w:val="28"/>
          <w:sz w:val="44"/>
          <w:szCs w:val="36"/>
        </w:rPr>
      </w:pPr>
      <w:bookmarkStart w:id="3" w:name="primary-care-surveillance"/>
      <w:bookmarkEnd w:id="2"/>
      <w:r>
        <w:br w:type="page"/>
      </w:r>
    </w:p>
    <w:p w14:paraId="3113368C" w14:textId="70429BD7" w:rsidR="00741C0B" w:rsidRDefault="0067663B" w:rsidP="00070168">
      <w:pPr>
        <w:pStyle w:val="Heading1"/>
      </w:pPr>
      <w:r>
        <w:lastRenderedPageBreak/>
        <w:t>Primary care surveillance</w:t>
      </w:r>
    </w:p>
    <w:p w14:paraId="3113368D" w14:textId="77777777" w:rsidR="00741C0B" w:rsidRDefault="0067663B">
      <w:r>
        <w:t>Primary care surveillance monitors the number and characteristics of people who have presented to a general practice with influenza-like illness and provides insight on the different respiratory pathogens that are causing illness in the community.</w:t>
      </w:r>
    </w:p>
    <w:p w14:paraId="3113368E" w14:textId="73AA00BF" w:rsidR="00741C0B" w:rsidRDefault="0067663B" w:rsidP="00FF4889">
      <w:pPr>
        <w:numPr>
          <w:ilvl w:val="0"/>
          <w:numId w:val="17"/>
        </w:numPr>
      </w:pPr>
      <w:r>
        <w:t xml:space="preserve">In the last fortnight (8 September to 21 September 2025), there were </w:t>
      </w:r>
      <w:r w:rsidR="14B1DFC6">
        <w:t>slightly</w:t>
      </w:r>
      <w:r>
        <w:t xml:space="preserve"> fewer general practice consultations for influenza-like illness (9.7 notifications per 1,000 consultations per fortnight) compared to </w:t>
      </w:r>
      <w:r w:rsidR="005D06CF">
        <w:t xml:space="preserve">the previous </w:t>
      </w:r>
      <w:r>
        <w:t>fortnight (10.3 notifications per 1,000 consultations per fortnight) (Figure 12).</w:t>
      </w:r>
    </w:p>
    <w:p w14:paraId="32DA45CB" w14:textId="109242C9" w:rsidR="00D6575E" w:rsidRPr="00D6575E" w:rsidRDefault="0067663B" w:rsidP="00D6575E">
      <w:pPr>
        <w:numPr>
          <w:ilvl w:val="0"/>
          <w:numId w:val="17"/>
        </w:numPr>
      </w:pPr>
      <w:r>
        <w:t>From late June 2025, influenza-like illness consultation rates have been higher than in 2022, 2023 and the five-year average but have continued the similar downward trend observed at the same time in 2024 (Figure 12).</w:t>
      </w:r>
    </w:p>
    <w:p w14:paraId="31133690" w14:textId="3D4A8C1E" w:rsidR="00741C0B" w:rsidRDefault="0067663B">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21 September 2025</w:t>
      </w:r>
    </w:p>
    <w:p w14:paraId="31133691" w14:textId="77777777" w:rsidR="00741C0B" w:rsidRDefault="0067663B">
      <w:pPr>
        <w:pStyle w:val="BodyText"/>
      </w:pPr>
      <w:r>
        <w:rPr>
          <w:noProof/>
        </w:rPr>
        <w:drawing>
          <wp:inline distT="0" distB="0" distL="0" distR="0" wp14:anchorId="31133A71" wp14:editId="3A43F99F">
            <wp:extent cx="6184900" cy="2650671"/>
            <wp:effectExtent l="0" t="0" r="0" b="0"/>
            <wp:docPr id="62" name="Picture" descr="A line graph comparing the rate of influenza-like-illness per 1,000 consultations per week at sentinel general practice sites from 3 January 2022 up to 21 Septem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21 Septem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92" w14:textId="77777777" w:rsidR="00741C0B" w:rsidRDefault="0067663B">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8">
        <w:r w:rsidR="00741C0B">
          <w:rPr>
            <w:rStyle w:val="Hyperlink"/>
          </w:rPr>
          <w:t>Technical Supplement</w:t>
        </w:r>
      </w:hyperlink>
      <w:r>
        <w:t xml:space="preserve"> for interpretation of the five-year average.</w:t>
      </w:r>
      <w:r>
        <w:br/>
        <w:t xml:space="preserve">† Please refer to the </w:t>
      </w:r>
      <w:hyperlink r:id="rId49">
        <w:r w:rsidR="00741C0B">
          <w:rPr>
            <w:rStyle w:val="Hyperlink"/>
          </w:rPr>
          <w:t>Technical Supplement</w:t>
        </w:r>
      </w:hyperlink>
      <w:r>
        <w:t xml:space="preserve"> for notes on impact of COVID-19 on ASPREN data.</w:t>
      </w:r>
      <w:r>
        <w:br/>
      </w:r>
    </w:p>
    <w:p w14:paraId="31133693" w14:textId="77777777" w:rsidR="00741C0B" w:rsidRDefault="0067663B" w:rsidP="00FF4889">
      <w:pPr>
        <w:numPr>
          <w:ilvl w:val="0"/>
          <w:numId w:val="18"/>
        </w:numPr>
      </w:pPr>
      <w:r>
        <w:t>In the last fortnight, 77.9% (113/145) of people attending general practice with influenza-like illness who were tested have then tested positive for a respiratory pathogen.</w:t>
      </w:r>
    </w:p>
    <w:p w14:paraId="31133694" w14:textId="77777777" w:rsidR="00741C0B" w:rsidRDefault="0067663B" w:rsidP="00FF4889">
      <w:pPr>
        <w:numPr>
          <w:ilvl w:val="0"/>
          <w:numId w:val="18"/>
        </w:numPr>
      </w:pPr>
      <w:r>
        <w:t xml:space="preserve">In the last fortnight, influenza (32.7%; 37/113) was the </w:t>
      </w:r>
      <w:proofErr w:type="gramStart"/>
      <w:r>
        <w:t>most commonly detected</w:t>
      </w:r>
      <w:proofErr w:type="gramEnd"/>
      <w:r>
        <w:t xml:space="preserve"> pathogen, followed by rhinovirus (31.0%; 35/113) and RSV (10.6%; 12/113) (Figure 13).</w:t>
      </w:r>
    </w:p>
    <w:p w14:paraId="31133695" w14:textId="77777777" w:rsidR="00741C0B" w:rsidRDefault="0067663B" w:rsidP="00FF4889">
      <w:pPr>
        <w:numPr>
          <w:ilvl w:val="0"/>
          <w:numId w:val="18"/>
        </w:numPr>
      </w:pPr>
      <w:r>
        <w:t>In the year to date, 66.8% (1,583/2,368) of people attending general practice with influenza-like illness who were tested have then tested positive for a respiratory pathogen.</w:t>
      </w:r>
    </w:p>
    <w:p w14:paraId="7F48CB64" w14:textId="3E753A2C" w:rsidR="00070168" w:rsidRPr="00070168" w:rsidRDefault="0067663B" w:rsidP="001D13EC">
      <w:pPr>
        <w:numPr>
          <w:ilvl w:val="0"/>
          <w:numId w:val="18"/>
        </w:numPr>
        <w:rPr>
          <w:b/>
          <w:bCs/>
        </w:rPr>
      </w:pPr>
      <w:r>
        <w:t xml:space="preserve">In the year to date, rhinovirus (33.6%; 532/1,583) has been the </w:t>
      </w:r>
      <w:proofErr w:type="gramStart"/>
      <w:r>
        <w:t>most commonly detected</w:t>
      </w:r>
      <w:proofErr w:type="gramEnd"/>
      <w:r>
        <w:t xml:space="preserve"> pathogen, followed by influenza (30.7%; 486/1,583), RSV (9.8%; 155/1,583), SARS-CoV-2 (8.8%; 139/1,583), and human metapneumovirus (5.2%; 82/1,583) (Figure 13).</w:t>
      </w:r>
      <w:r>
        <w:br/>
      </w:r>
    </w:p>
    <w:p w14:paraId="122D4182" w14:textId="77777777" w:rsidR="00D6575E" w:rsidRDefault="00D6575E">
      <w:pPr>
        <w:spacing w:before="0" w:after="0" w:line="240" w:lineRule="auto"/>
        <w:rPr>
          <w:b/>
          <w:bCs/>
        </w:rPr>
      </w:pPr>
      <w:r>
        <w:rPr>
          <w:b/>
          <w:bCs/>
        </w:rPr>
        <w:br w:type="page"/>
      </w:r>
    </w:p>
    <w:p w14:paraId="3DD9EC3E" w14:textId="5618D842" w:rsidR="00070168" w:rsidRPr="00070168" w:rsidRDefault="0067663B">
      <w:pPr>
        <w:rPr>
          <w:b/>
          <w:bCs/>
        </w:rPr>
      </w:pPr>
      <w:r>
        <w:rPr>
          <w:b/>
          <w:bCs/>
        </w:rPr>
        <w:lastRenderedPageBreak/>
        <w:t>Figure 13: Number of samples tested for respiratory pathogens among people with influenza-like illness attending sentinel general practice sites by respiratory pathogen and week of specimen collection, Australia, 1 January to 21 September 2025</w:t>
      </w:r>
    </w:p>
    <w:p w14:paraId="31133698" w14:textId="77777777" w:rsidR="00741C0B" w:rsidRDefault="0067663B">
      <w:pPr>
        <w:pStyle w:val="BodyText"/>
      </w:pPr>
      <w:r>
        <w:rPr>
          <w:noProof/>
        </w:rPr>
        <w:drawing>
          <wp:inline distT="0" distB="0" distL="0" distR="0" wp14:anchorId="31133A73" wp14:editId="470F3D07">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1 Septem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1 Septem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99" w14:textId="77777777" w:rsidR="00741C0B" w:rsidRDefault="0067663B">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3113369A" w14:textId="77777777" w:rsidR="00741C0B" w:rsidRDefault="0067663B">
      <w:r>
        <w:br w:type="page"/>
      </w:r>
    </w:p>
    <w:p w14:paraId="3113369B" w14:textId="77777777" w:rsidR="00741C0B" w:rsidRDefault="0067663B">
      <w:pPr>
        <w:pStyle w:val="Heading1"/>
      </w:pPr>
      <w:bookmarkStart w:id="4" w:name="hospital-based-surveillance"/>
      <w:bookmarkEnd w:id="3"/>
      <w:r>
        <w:lastRenderedPageBreak/>
        <w:t>Hospital-based surveillance</w:t>
      </w:r>
    </w:p>
    <w:p w14:paraId="3113369C" w14:textId="77777777" w:rsidR="00741C0B" w:rsidRDefault="0067663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113369D" w14:textId="0EAA01E0" w:rsidR="00741C0B" w:rsidRDefault="0067663B" w:rsidP="00FF4889">
      <w:pPr>
        <w:numPr>
          <w:ilvl w:val="0"/>
          <w:numId w:val="19"/>
        </w:numPr>
      </w:pPr>
      <w:r>
        <w:t>In the last severity reporting period (25 August to 7 September 2025), fewer patients were admitted to a sentinel hospital with a severe acute respiratory infection (n=659), than in the previous severity reporting period (n=938)</w:t>
      </w:r>
      <w:r w:rsidR="167E18D3">
        <w:t>, continuing the downward trend since a peak in June 2025</w:t>
      </w:r>
      <w:r>
        <w:t>.</w:t>
      </w:r>
    </w:p>
    <w:p w14:paraId="3113369E" w14:textId="77777777" w:rsidR="00741C0B" w:rsidRDefault="0067663B" w:rsidP="00FF4889">
      <w:pPr>
        <w:numPr>
          <w:ilvl w:val="1"/>
          <w:numId w:val="20"/>
        </w:numPr>
      </w:pPr>
      <w:r>
        <w:t>In the last severity reporting period, at sentinel hospitals there was 35.1% fewer admissions with COVID-19 (from 111 to 72), 30.8% fewer admissions with influenza (from 568 to 393), and 25.1% fewer admissions with RSV (from 259 to 194), compared to the previous severity reporting period.</w:t>
      </w:r>
    </w:p>
    <w:p w14:paraId="3113369F" w14:textId="77777777" w:rsidR="00741C0B" w:rsidRDefault="0067663B" w:rsidP="00FF4889">
      <w:pPr>
        <w:numPr>
          <w:ilvl w:val="0"/>
          <w:numId w:val="19"/>
        </w:numPr>
      </w:pPr>
      <w:r>
        <w:t>In the year to date for severity reporting (1 January to 7 September 2025), there have been 11,852 admissions with severe acute respiratory infections at sentinel hospitals. Most patients with a severe acute respiratory infection have been admitted with influenza (n=5,441) followed by RSV (n=3,727) (Figure 14).</w:t>
      </w:r>
      <w:r>
        <w:br/>
      </w:r>
    </w:p>
    <w:p w14:paraId="311336A0" w14:textId="77777777" w:rsidR="00741C0B" w:rsidRDefault="0067663B">
      <w:r>
        <w:rPr>
          <w:b/>
          <w:bCs/>
        </w:rPr>
        <w:t>Figure 14: Total number of patients (children and adults) admitted with a severe acute respiratory infection to sentinel hospitals by disease and week of admission, Australia, 1 January to 7 September 2025</w:t>
      </w:r>
    </w:p>
    <w:p w14:paraId="311336A1" w14:textId="77777777" w:rsidR="00741C0B" w:rsidRDefault="0067663B">
      <w:pPr>
        <w:pStyle w:val="BodyText"/>
      </w:pPr>
      <w:r>
        <w:rPr>
          <w:noProof/>
        </w:rPr>
        <w:drawing>
          <wp:inline distT="0" distB="0" distL="0" distR="0" wp14:anchorId="31133A75" wp14:editId="11CFBF7C">
            <wp:extent cx="6184900" cy="2650671"/>
            <wp:effectExtent l="0" t="0" r="0" b="0"/>
            <wp:docPr id="69" name="Picture" descr="A stacked bar chart showing the number of patients admitted with a severe acute respiratory infection to sentinel hospitals by disease and week of admission in Australia, from 1 January to 7 Septem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7 September 2025. The y-axis (left) shows the number of admissions, and the x-axis (horizontal) shows the week of admission.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A2" w14:textId="77777777" w:rsidR="00741C0B" w:rsidRDefault="0067663B">
      <w:pPr>
        <w:pStyle w:val="Smalltext"/>
      </w:pPr>
      <w:r>
        <w:t>Source: Influenza Complications Alert Network (</w:t>
      </w:r>
      <w:proofErr w:type="spellStart"/>
      <w:r>
        <w:t>FluCAN</w:t>
      </w:r>
      <w:proofErr w:type="spellEnd"/>
      <w:r>
        <w:t>)</w:t>
      </w:r>
      <w:r>
        <w:br/>
      </w:r>
    </w:p>
    <w:p w14:paraId="311336A3" w14:textId="77777777" w:rsidR="00741C0B" w:rsidRDefault="0067663B" w:rsidP="00FF4889">
      <w:pPr>
        <w:numPr>
          <w:ilvl w:val="0"/>
          <w:numId w:val="21"/>
        </w:numPr>
      </w:pPr>
      <w:r>
        <w:t>Patients admitted to sentinel hospitals with influenza have mostly been admitted with influenza A (78.8%; 4,287/5,441), while 20.8% (1,131/5,441) were admitted with influenza B.</w:t>
      </w:r>
    </w:p>
    <w:p w14:paraId="311336A4" w14:textId="77777777" w:rsidR="00741C0B" w:rsidRDefault="0067663B" w:rsidP="00FF4889">
      <w:pPr>
        <w:numPr>
          <w:ilvl w:val="1"/>
          <w:numId w:val="22"/>
        </w:numPr>
      </w:pPr>
      <w:r>
        <w:t>Most hospital admissions with influenza A have been with influenza A(</w:t>
      </w:r>
      <w:proofErr w:type="spellStart"/>
      <w:r>
        <w:t>Unsubtyped</w:t>
      </w:r>
      <w:proofErr w:type="spellEnd"/>
      <w:r>
        <w:t>) (74.0%; 3,171/4,287), followed by influenza A(H1N1) (25.0%; 1,071/4,287) and then influenza A(H3N2) (1.0%; 45/4,287).</w:t>
      </w:r>
    </w:p>
    <w:p w14:paraId="279D23C6" w14:textId="77777777" w:rsidR="00AF328E" w:rsidRPr="00AF328E" w:rsidRDefault="00AF328E" w:rsidP="00AF328E">
      <w:pPr>
        <w:pStyle w:val="ListParagraph"/>
        <w:numPr>
          <w:ilvl w:val="0"/>
          <w:numId w:val="22"/>
        </w:numPr>
      </w:pPr>
      <w:r w:rsidRPr="00AF328E">
        <w:t xml:space="preserve">In the year to date for severity reporting, influenza A was the </w:t>
      </w:r>
      <w:proofErr w:type="gramStart"/>
      <w:r w:rsidRPr="00AF328E">
        <w:t>most commonly detected</w:t>
      </w:r>
      <w:proofErr w:type="gramEnd"/>
      <w:r w:rsidRPr="00AF328E">
        <w:t xml:space="preserve"> influenza type in all age groups. Influenza A(H1N1) and influenza A(H3N2) subtypes have been more commonly observed in adults than children, while influenza B has been more commonly observed in children. Of note, school aged children (5–16 years) had the highest proportion of influenza B compared with influenza A (Figure 15).</w:t>
      </w:r>
    </w:p>
    <w:p w14:paraId="52722876" w14:textId="77777777" w:rsidR="00AF328E" w:rsidRPr="00AF328E" w:rsidRDefault="00AF328E" w:rsidP="00AF328E">
      <w:pPr>
        <w:numPr>
          <w:ilvl w:val="1"/>
          <w:numId w:val="23"/>
        </w:numPr>
      </w:pPr>
      <w:r w:rsidRPr="00AF328E">
        <w:t xml:space="preserve">While influenza B is often a good match with the seasonal influenza vaccine strain, influenza B can result in more severe infections in children. </w:t>
      </w:r>
    </w:p>
    <w:p w14:paraId="6C82A136" w14:textId="42028F47" w:rsidR="59869676" w:rsidRDefault="6AA96C62" w:rsidP="4FAD2ABF">
      <w:pPr>
        <w:numPr>
          <w:ilvl w:val="1"/>
          <w:numId w:val="23"/>
        </w:numPr>
      </w:pPr>
      <w:r>
        <w:lastRenderedPageBreak/>
        <w:t xml:space="preserve">In the last </w:t>
      </w:r>
      <w:r w:rsidR="2FF37CF6">
        <w:t>severity reporting period,</w:t>
      </w:r>
      <w:r>
        <w:t xml:space="preserve"> </w:t>
      </w:r>
      <w:r w:rsidR="4C4FCFE4">
        <w:t>a</w:t>
      </w:r>
      <w:r>
        <w:t xml:space="preserve"> </w:t>
      </w:r>
      <w:r w:rsidR="4C4FCFE4">
        <w:t xml:space="preserve">greater decrease in </w:t>
      </w:r>
      <w:r w:rsidR="13823AC5">
        <w:t xml:space="preserve">patients admitted to sentinel hospitals with influenza was observed in </w:t>
      </w:r>
      <w:r w:rsidR="5754C35D">
        <w:t xml:space="preserve">adults than </w:t>
      </w:r>
      <w:r w:rsidR="00BA12CC">
        <w:t xml:space="preserve">in </w:t>
      </w:r>
      <w:r w:rsidR="5754C35D">
        <w:t xml:space="preserve">children </w:t>
      </w:r>
      <w:r w:rsidR="30F20ED7">
        <w:t xml:space="preserve">when compared with the previous </w:t>
      </w:r>
      <w:r w:rsidR="00BA12CC">
        <w:t>fortnight</w:t>
      </w:r>
      <w:r w:rsidR="30F20ED7">
        <w:t xml:space="preserve"> </w:t>
      </w:r>
      <w:r w:rsidR="5754C35D">
        <w:t>(Figure 15)</w:t>
      </w:r>
      <w:r w:rsidR="19E86439">
        <w:t xml:space="preserve">. </w:t>
      </w:r>
    </w:p>
    <w:p w14:paraId="311336A6" w14:textId="5BD49C2E" w:rsidR="00741C0B" w:rsidRDefault="0067663B" w:rsidP="00FF4889">
      <w:pPr>
        <w:numPr>
          <w:ilvl w:val="1"/>
          <w:numId w:val="23"/>
        </w:numPr>
      </w:pPr>
      <w:r>
        <w:t>Trends in influenza subtypes should be interpreted with care as there may be differences in the number and selection of influenza samples that undergo typing.</w:t>
      </w:r>
      <w:r>
        <w:br/>
      </w:r>
    </w:p>
    <w:p w14:paraId="311336A8" w14:textId="5D8AD239" w:rsidR="00741C0B" w:rsidRDefault="0067663B">
      <w:r>
        <w:rPr>
          <w:b/>
          <w:bCs/>
        </w:rPr>
        <w:t>Figure 15: Number of patients admitted with influenza to sentinel hospitals by influenza subtype, age group*, and week of admission, Australia, 1 January to 7 September 2025</w:t>
      </w:r>
    </w:p>
    <w:p w14:paraId="311336A9" w14:textId="77777777" w:rsidR="00741C0B" w:rsidRDefault="0067663B">
      <w:pPr>
        <w:pStyle w:val="BodyText"/>
      </w:pPr>
      <w:r>
        <w:rPr>
          <w:noProof/>
        </w:rPr>
        <w:drawing>
          <wp:inline distT="0" distB="0" distL="0" distR="0" wp14:anchorId="31133A77" wp14:editId="50FFF127">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7 Septem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7 Septem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11336AA" w14:textId="77777777" w:rsidR="00741C0B" w:rsidRDefault="0067663B">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311336AB" w14:textId="77777777" w:rsidR="00741C0B" w:rsidRDefault="0067663B" w:rsidP="00FF4889">
      <w:pPr>
        <w:numPr>
          <w:ilvl w:val="0"/>
          <w:numId w:val="24"/>
        </w:numPr>
      </w:pPr>
      <w:r>
        <w:t>In the year to date for severity reporting, more children (those aged 16 years and younger) have been admitted to sentinel hospitals with RSV than with influenza or COVID-19 (Table 2a).</w:t>
      </w:r>
    </w:p>
    <w:p w14:paraId="311336AC" w14:textId="4045EDF9" w:rsidR="00741C0B" w:rsidRDefault="0067663B" w:rsidP="00FF4889">
      <w:pPr>
        <w:numPr>
          <w:ilvl w:val="0"/>
          <w:numId w:val="24"/>
        </w:numPr>
      </w:pPr>
      <w:r>
        <w:t>Children admitted to sentinel hospitals with influenza tended to be older than children admitted with COVID-19 or RSV (Table 2a).</w:t>
      </w:r>
    </w:p>
    <w:p w14:paraId="7453C6A2" w14:textId="77777777" w:rsidR="00867C57" w:rsidRDefault="00867C57" w:rsidP="00867C57">
      <w:pPr>
        <w:numPr>
          <w:ilvl w:val="0"/>
          <w:numId w:val="24"/>
        </w:numPr>
      </w:pPr>
      <w:r w:rsidRPr="00841451">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rsidRPr="00841451" w:rsidDel="00841451">
        <w:t xml:space="preserve"> </w:t>
      </w:r>
      <w:r>
        <w:t>(Table 2a).</w:t>
      </w:r>
    </w:p>
    <w:p w14:paraId="311336AF" w14:textId="7638C62A" w:rsidR="00741C0B" w:rsidRDefault="0067663B" w:rsidP="00070168">
      <w:pPr>
        <w:numPr>
          <w:ilvl w:val="0"/>
          <w:numId w:val="24"/>
        </w:numPr>
      </w:pPr>
      <w:r>
        <w:t>Sadly, there have been a small number of children admitted with a severe acute respiratory infection who have died in sentinel hospitals (Table 2a).</w:t>
      </w:r>
    </w:p>
    <w:p w14:paraId="311336B0" w14:textId="77777777" w:rsidR="00741C0B" w:rsidRDefault="0067663B">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7 September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
        <w:tblDescription w:val="A table summarising demographic characteristics and outcomes for children (16 years or younger) admitted with admitted with a severe acute respiratory infection to a sentinel hospital by disease, for the year to date (1 January to 7 September 2025).  "/>
      </w:tblPr>
      <w:tblGrid>
        <w:gridCol w:w="3614"/>
        <w:gridCol w:w="2046"/>
        <w:gridCol w:w="2046"/>
        <w:gridCol w:w="2046"/>
      </w:tblGrid>
      <w:tr w:rsidR="00741C0B" w14:paraId="311336B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1"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41C0B" w14:paraId="311336B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(n=3,063)</w:t>
            </w:r>
          </w:p>
        </w:tc>
      </w:tr>
      <w:tr w:rsidR="00741C0B" w14:paraId="311336B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6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41C0B" w14:paraId="311336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41C0B" w14:paraId="311336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260 (31.3%)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731 (23.9%)</w:t>
            </w:r>
          </w:p>
        </w:tc>
      </w:tr>
      <w:tr w:rsidR="00741C0B" w14:paraId="31133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369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1321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2091 (68.3%)</w:t>
            </w:r>
          </w:p>
        </w:tc>
      </w:tr>
      <w:tr w:rsidR="00741C0B" w14:paraId="311336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201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1381 (47.9%)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241 (7.9%)</w:t>
            </w:r>
          </w:p>
        </w:tc>
      </w:tr>
      <w:tr w:rsidR="00741C0B" w14:paraId="311336D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6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191 (6.2%)</w:t>
            </w:r>
          </w:p>
        </w:tc>
      </w:tr>
      <w:tr w:rsidR="00741C0B" w14:paraId="311336D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6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41C0B" w14:paraId="311336E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41C0B" w14:paraId="311336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770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2728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2896 (94.5%)</w:t>
            </w:r>
          </w:p>
        </w:tc>
      </w:tr>
      <w:tr w:rsidR="00741C0B" w14:paraId="311336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153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167 (5.5%)</w:t>
            </w:r>
          </w:p>
        </w:tc>
      </w:tr>
      <w:tr w:rsidR="00741C0B" w14:paraId="311336E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41C0B" w14:paraId="311336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615 (74.1%)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2163 (75.1%)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2199 (71.8%)</w:t>
            </w:r>
          </w:p>
        </w:tc>
      </w:tr>
      <w:tr w:rsidR="00741C0B" w14:paraId="311336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(0.0%)</w:t>
            </w:r>
          </w:p>
        </w:tc>
      </w:tr>
      <w:tr w:rsidR="00741C0B" w14:paraId="311336F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214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713 (24.7%)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863 (28.2%)</w:t>
            </w:r>
          </w:p>
        </w:tc>
      </w:tr>
    </w:tbl>
    <w:p w14:paraId="311336FE" w14:textId="77777777" w:rsidR="00741C0B" w:rsidRDefault="0067663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1133700" w14:textId="3420955B" w:rsidR="00741C0B" w:rsidRDefault="0067663B" w:rsidP="0007016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6">
        <w:r w:rsidR="00741C0B">
          <w:rPr>
            <w:rStyle w:val="Hyperlink"/>
          </w:rPr>
          <w:t>COVID-19 in children</w:t>
        </w:r>
      </w:hyperlink>
      <w:r>
        <w:t xml:space="preserve">, </w:t>
      </w:r>
      <w:hyperlink r:id="rId57">
        <w:r w:rsidR="00741C0B">
          <w:rPr>
            <w:rStyle w:val="Hyperlink"/>
          </w:rPr>
          <w:t>Paediatric Inflammatory Multisystem Syndrome (PIMS-TS) following COVID-19</w:t>
        </w:r>
      </w:hyperlink>
      <w:r>
        <w:t xml:space="preserve">, </w:t>
      </w:r>
      <w:hyperlink r:id="rId58">
        <w:r w:rsidR="00741C0B">
          <w:rPr>
            <w:rStyle w:val="Hyperlink"/>
          </w:rPr>
          <w:t>influenza in children</w:t>
        </w:r>
      </w:hyperlink>
      <w:r>
        <w:t xml:space="preserve">, or </w:t>
      </w:r>
      <w:hyperlink r:id="rId59">
        <w:r w:rsidR="00741C0B">
          <w:rPr>
            <w:rStyle w:val="Hyperlink"/>
          </w:rPr>
          <w:t>RSV in children</w:t>
        </w:r>
      </w:hyperlink>
      <w:r>
        <w:t xml:space="preserve"> please visit the </w:t>
      </w:r>
      <w:hyperlink r:id="rId60">
        <w:r w:rsidR="00741C0B">
          <w:rPr>
            <w:rStyle w:val="Hyperlink"/>
          </w:rPr>
          <w:t>PAEDS</w:t>
        </w:r>
      </w:hyperlink>
      <w:r>
        <w:t xml:space="preserve"> webpages and dashboards.</w:t>
      </w:r>
    </w:p>
    <w:p w14:paraId="31133701" w14:textId="77777777" w:rsidR="00741C0B" w:rsidRDefault="0067663B" w:rsidP="00FF4889">
      <w:pPr>
        <w:numPr>
          <w:ilvl w:val="0"/>
          <w:numId w:val="25"/>
        </w:numPr>
      </w:pPr>
      <w:r>
        <w:t>In the year to date for severity reporting, more adults (those aged 17 years and over) have been admitted to sentinel hospitals with influenza than with COVID-19 or RSV (Table 2b).</w:t>
      </w:r>
    </w:p>
    <w:p w14:paraId="6A1F4062" w14:textId="77777777" w:rsidR="008A3B65" w:rsidRDefault="008A3B65" w:rsidP="008A3B65">
      <w:pPr>
        <w:numPr>
          <w:ilvl w:val="0"/>
          <w:numId w:val="25"/>
        </w:numPr>
      </w:pPr>
      <w:r w:rsidRPr="005509C2">
        <w:t>Adults admitted to sentinel hospitals with COVID-</w:t>
      </w:r>
      <w:proofErr w:type="gramStart"/>
      <w:r w:rsidRPr="005509C2">
        <w:t>19</w:t>
      </w:r>
      <w:proofErr w:type="gramEnd"/>
      <w:r w:rsidRPr="005509C2">
        <w:t xml:space="preserve"> or RSV were predominately 65 years and over, whereas the proportion of admissions with influenza was only slightly higher in the 65 years and over age group compared to the 17–64 years age group</w:t>
      </w:r>
      <w:r w:rsidRPr="005509C2" w:rsidDel="005509C2">
        <w:t xml:space="preserve"> </w:t>
      </w:r>
      <w:r>
        <w:t>(Table 2b).</w:t>
      </w:r>
    </w:p>
    <w:p w14:paraId="006C903A" w14:textId="77777777" w:rsidR="00BF7B0B" w:rsidRDefault="00BF7B0B" w:rsidP="00BF7B0B">
      <w:pPr>
        <w:numPr>
          <w:ilvl w:val="0"/>
          <w:numId w:val="25"/>
        </w:numPr>
      </w:pPr>
      <w:r w:rsidRPr="008512EE">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Pr="008512EE" w:rsidDel="008512EE">
        <w:t xml:space="preserve"> </w:t>
      </w:r>
      <w:r>
        <w:t>(Table 2b).</w:t>
      </w:r>
    </w:p>
    <w:p w14:paraId="31133704" w14:textId="32BAEFEF" w:rsidR="00741C0B" w:rsidRDefault="0067663B" w:rsidP="00FF4889">
      <w:pPr>
        <w:numPr>
          <w:ilvl w:val="0"/>
          <w:numId w:val="25"/>
        </w:numPr>
      </w:pPr>
      <w:r>
        <w:lastRenderedPageBreak/>
        <w:t xml:space="preserve">Sadly, there have been </w:t>
      </w:r>
      <w:proofErr w:type="gramStart"/>
      <w:r>
        <w:t>a number of</w:t>
      </w:r>
      <w:proofErr w:type="gramEnd"/>
      <w:r>
        <w:t xml:space="preserve"> adults admitted with a severe acute respiratory infection who have died in sentinel hospitals (Table 2b).</w:t>
      </w:r>
      <w:r>
        <w:br/>
      </w:r>
    </w:p>
    <w:p w14:paraId="31133705" w14:textId="77777777" w:rsidR="00741C0B" w:rsidRDefault="0067663B">
      <w:r>
        <w:rPr>
          <w:b/>
          <w:bCs/>
        </w:rPr>
        <w:t>Table 2b: Demographic characteristics and outcomes for adults admitted with a severe acute respiratory infection to a sentinel hospital by disease*</w:t>
      </w:r>
      <w:r>
        <w:rPr>
          <w:b/>
          <w:bCs/>
          <w:vertAlign w:val="superscript"/>
        </w:rPr>
        <w:t>†‡</w:t>
      </w:r>
      <w:r>
        <w:rPr>
          <w:b/>
          <w:bCs/>
        </w:rPr>
        <w:t>, Australia, 1 January to 7 September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
        <w:tblDescription w:val="A table summarising demographic characteristics and outcomes for adults (17 years or older) admitted with admitted with a severe acute respiratory infection to a sentinel hospital by disease, for the year to date (1 January to 7 September 2025).  "/>
      </w:tblPr>
      <w:tblGrid>
        <w:gridCol w:w="3614"/>
        <w:gridCol w:w="2046"/>
        <w:gridCol w:w="2046"/>
        <w:gridCol w:w="2046"/>
      </w:tblGrid>
      <w:tr w:rsidR="00741C0B" w14:paraId="3113370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41C0B" w14:paraId="3113370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B"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(n=1,854)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(n=2,559)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(n=664)</w:t>
            </w:r>
          </w:p>
        </w:tc>
      </w:tr>
      <w:tr w:rsidR="00741C0B" w14:paraId="3113371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41C0B" w14:paraId="3113371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41C0B" w14:paraId="311337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528 (28.5%)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1182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191 (28.8%)</w:t>
            </w:r>
          </w:p>
        </w:tc>
      </w:tr>
      <w:tr w:rsidR="00741C0B" w14:paraId="311337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1326 (71.5%)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1377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473 (71.2%)</w:t>
            </w:r>
          </w:p>
        </w:tc>
      </w:tr>
      <w:tr w:rsidR="00741C0B" w14:paraId="3113372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7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190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 (5.9%)</w:t>
            </w:r>
          </w:p>
        </w:tc>
      </w:tr>
      <w:tr w:rsidR="00741C0B" w14:paraId="3113372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7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41C0B" w14:paraId="3113373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41C0B" w14:paraId="31133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1753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2361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624 (94.0%)</w:t>
            </w:r>
          </w:p>
        </w:tc>
      </w:tr>
      <w:tr w:rsidR="00741C0B" w14:paraId="311337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101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198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(6.0%)</w:t>
            </w:r>
          </w:p>
        </w:tc>
      </w:tr>
      <w:tr w:rsidR="00741C0B" w14:paraId="3113373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41C0B" w14:paraId="311337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1389 (74.9%)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1839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445 (67.0%)</w:t>
            </w:r>
          </w:p>
        </w:tc>
      </w:tr>
      <w:tr w:rsidR="00741C0B" w14:paraId="311337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(3.8%)</w:t>
            </w:r>
          </w:p>
        </w:tc>
      </w:tr>
      <w:tr w:rsidR="00741C0B" w14:paraId="311337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395 (21.3%)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646 (25.2%)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194 (29.2%)</w:t>
            </w:r>
          </w:p>
        </w:tc>
      </w:tr>
    </w:tbl>
    <w:p w14:paraId="3113374E" w14:textId="77777777" w:rsidR="00741C0B" w:rsidRDefault="0067663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113374F" w14:textId="77777777" w:rsidR="00741C0B" w:rsidRDefault="0067663B">
      <w:r>
        <w:br w:type="page"/>
      </w:r>
    </w:p>
    <w:p w14:paraId="31133750" w14:textId="65141C39" w:rsidR="00741C0B" w:rsidRPr="008246C4" w:rsidRDefault="0067663B" w:rsidP="00FF4889">
      <w:pPr>
        <w:numPr>
          <w:ilvl w:val="0"/>
          <w:numId w:val="26"/>
        </w:numPr>
        <w:rPr>
          <w:i/>
          <w:iCs/>
        </w:rPr>
      </w:pPr>
      <w:r w:rsidRPr="008246C4">
        <w:rPr>
          <w:i/>
          <w:iCs/>
        </w:rPr>
        <w:lastRenderedPageBreak/>
        <w:t xml:space="preserve">Please note, sentinel intensive care data are updated each month, </w:t>
      </w:r>
      <w:r w:rsidR="006B4643" w:rsidRPr="008246C4">
        <w:rPr>
          <w:i/>
          <w:iCs/>
        </w:rPr>
        <w:t xml:space="preserve">and </w:t>
      </w:r>
      <w:r w:rsidRPr="008246C4">
        <w:rPr>
          <w:i/>
          <w:iCs/>
        </w:rPr>
        <w:t>as such</w:t>
      </w:r>
      <w:r w:rsidR="006B4643" w:rsidRPr="008246C4">
        <w:rPr>
          <w:i/>
          <w:iCs/>
        </w:rPr>
        <w:t>,</w:t>
      </w:r>
      <w:r w:rsidRPr="008246C4">
        <w:rPr>
          <w:i/>
          <w:iCs/>
        </w:rPr>
        <w:t xml:space="preserve"> the sentinel intensive care surveillance data presented here have not been updated since the previous report.</w:t>
      </w:r>
    </w:p>
    <w:p w14:paraId="31133751" w14:textId="77777777" w:rsidR="00741C0B" w:rsidRDefault="0067663B" w:rsidP="00FF4889">
      <w:pPr>
        <w:numPr>
          <w:ilvl w:val="0"/>
          <w:numId w:val="26"/>
        </w:numPr>
      </w:pPr>
      <w:r>
        <w:t>In the last severity reporting period for sentinel intensive care (28 July to 24 August 2025), fewer patients have been admitted to a sentinel intensive care with a severe acute respiratory infection (n=339), than in the previous severity reporting period (n=497) (Figure 16).</w:t>
      </w:r>
    </w:p>
    <w:p w14:paraId="31133752" w14:textId="77777777" w:rsidR="00741C0B" w:rsidRDefault="0067663B" w:rsidP="00FF4889">
      <w:pPr>
        <w:numPr>
          <w:ilvl w:val="0"/>
          <w:numId w:val="26"/>
        </w:numPr>
      </w:pPr>
      <w:r>
        <w:t>In the year to date for severity reporting (1 January to 24 August 2025), most patients were admitted to sentinel intensive care with influenza, followed by rhinovirus / enterovirus (Figure 16; Table 3).</w:t>
      </w:r>
      <w:r>
        <w:br/>
      </w:r>
    </w:p>
    <w:p w14:paraId="31133753" w14:textId="77777777" w:rsidR="00741C0B" w:rsidRDefault="0067663B">
      <w:r>
        <w:rPr>
          <w:b/>
          <w:bCs/>
        </w:rPr>
        <w:t>Figure 16: Number of patients admitted with severe acute respiratory infections to a sentinel intensive care by disease and week of admission, Australia, 1 January to 24 August 2025</w:t>
      </w:r>
    </w:p>
    <w:p w14:paraId="31133754" w14:textId="77777777" w:rsidR="00741C0B" w:rsidRDefault="0067663B">
      <w:pPr>
        <w:pStyle w:val="BodyText"/>
      </w:pPr>
      <w:r>
        <w:rPr>
          <w:noProof/>
        </w:rPr>
        <w:drawing>
          <wp:inline distT="0" distB="0" distL="0" distR="0" wp14:anchorId="31133A79" wp14:editId="149FE0EB">
            <wp:extent cx="6184900" cy="2650671"/>
            <wp:effectExtent l="0" t="0" r="0" b="0"/>
            <wp:doc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55" w14:textId="77777777" w:rsidR="00741C0B" w:rsidRDefault="0067663B">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31133756" w14:textId="77777777" w:rsidR="00741C0B" w:rsidRDefault="0067663B">
      <w:pPr>
        <w:pStyle w:val="BodyText"/>
      </w:pPr>
      <w:r>
        <w:rPr>
          <w:b/>
          <w:bCs/>
        </w:rPr>
        <w:t>Figure 17: Number of patients admitted with severe acute respiratory infections to a sentinel intensive care by disease and age group*, Australia, 1 January to 24 August 2025</w:t>
      </w:r>
    </w:p>
    <w:p w14:paraId="31133757" w14:textId="77777777" w:rsidR="00741C0B" w:rsidRDefault="0067663B">
      <w:pPr>
        <w:pStyle w:val="BodyText"/>
      </w:pPr>
      <w:r>
        <w:rPr>
          <w:noProof/>
        </w:rPr>
        <w:drawing>
          <wp:inline distT="0" distB="0" distL="0" distR="0" wp14:anchorId="31133A7B" wp14:editId="635CD934">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58" w14:textId="77777777" w:rsidR="00741C0B" w:rsidRDefault="0067663B">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31133759" w14:textId="77777777" w:rsidR="00741C0B" w:rsidRDefault="0067663B" w:rsidP="00FF4889">
      <w:pPr>
        <w:numPr>
          <w:ilvl w:val="0"/>
          <w:numId w:val="27"/>
        </w:numPr>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3113375A" w14:textId="77777777" w:rsidR="00741C0B" w:rsidRDefault="0067663B" w:rsidP="00FF4889">
      <w:pPr>
        <w:numPr>
          <w:ilvl w:val="0"/>
          <w:numId w:val="27"/>
        </w:numPr>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3113375B" w14:textId="77777777" w:rsidR="00741C0B" w:rsidRDefault="0067663B" w:rsidP="00FF4889">
      <w:pPr>
        <w:numPr>
          <w:ilvl w:val="0"/>
          <w:numId w:val="27"/>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(Table 3).</w:t>
      </w:r>
      <w:r>
        <w:br/>
      </w:r>
    </w:p>
    <w:p w14:paraId="3113375C" w14:textId="77777777" w:rsidR="00741C0B" w:rsidRDefault="0067663B">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24 August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4 August 2025).  "/>
      </w:tblPr>
      <w:tblGrid>
        <w:gridCol w:w="1241"/>
        <w:gridCol w:w="1169"/>
        <w:gridCol w:w="1170"/>
        <w:gridCol w:w="1170"/>
        <w:gridCol w:w="1401"/>
        <w:gridCol w:w="1261"/>
        <w:gridCol w:w="1170"/>
        <w:gridCol w:w="1170"/>
      </w:tblGrid>
      <w:tr w:rsidR="00741C0B" w14:paraId="3113376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D"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41C0B" w14:paraId="3113376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(n=910)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(n=134)</w:t>
            </w:r>
          </w:p>
        </w:tc>
      </w:tr>
      <w:tr w:rsidR="00741C0B" w14:paraId="3113377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7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[41–75]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[38–69]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[7–59]</w:t>
            </w:r>
          </w:p>
        </w:tc>
      </w:tr>
      <w:tr w:rsidR="00741C0B" w14:paraId="3113377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7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(10.4%)</w:t>
            </w:r>
          </w:p>
        </w:tc>
      </w:tr>
      <w:tr w:rsidR="00741C0B" w14:paraId="311337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447</w:t>
            </w:r>
            <w:r>
              <w:rPr>
                <w:rFonts w:eastAsia="Arial" w:cs="Arial"/>
                <w:color w:val="033636"/>
                <w:sz w:val="14"/>
                <w:szCs w:val="14"/>
              </w:rPr>
              <w:br/>
              <w:t xml:space="preserve"> (91.0%)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836</w:t>
            </w:r>
            <w:r>
              <w:rPr>
                <w:rFonts w:eastAsia="Arial" w:cs="Arial"/>
                <w:color w:val="033636"/>
                <w:sz w:val="14"/>
                <w:szCs w:val="14"/>
              </w:rPr>
              <w:br/>
              <w:t xml:space="preserve"> (91.9%)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727</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329</w:t>
            </w:r>
            <w:r>
              <w:rPr>
                <w:rFonts w:eastAsia="Arial" w:cs="Arial"/>
                <w:color w:val="033636"/>
                <w:sz w:val="14"/>
                <w:szCs w:val="14"/>
              </w:rPr>
              <w:br/>
              <w:t xml:space="preserve"> (91.1%)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120</w:t>
            </w:r>
            <w:r>
              <w:rPr>
                <w:rFonts w:eastAsia="Arial" w:cs="Arial"/>
                <w:color w:val="033636"/>
                <w:sz w:val="14"/>
                <w:szCs w:val="14"/>
              </w:rPr>
              <w:br/>
              <w:t xml:space="preserve"> (89.6%)</w:t>
            </w:r>
          </w:p>
        </w:tc>
      </w:tr>
      <w:tr w:rsidR="00741C0B" w14:paraId="311337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41C0B" w14:paraId="311337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308</w:t>
            </w:r>
            <w:r>
              <w:rPr>
                <w:rFonts w:eastAsia="Arial" w:cs="Arial"/>
                <w:color w:val="033636"/>
                <w:sz w:val="14"/>
                <w:szCs w:val="14"/>
              </w:rPr>
              <w:br/>
              <w:t xml:space="preserve"> (33.8%)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w:t>
            </w:r>
            <w:r>
              <w:rPr>
                <w:rFonts w:eastAsia="Arial" w:cs="Arial"/>
                <w:color w:val="033636"/>
                <w:sz w:val="14"/>
                <w:szCs w:val="14"/>
              </w:rPr>
              <w:br/>
              <w:t xml:space="preserve"> (20.2%)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(38.8%)</w:t>
            </w:r>
          </w:p>
        </w:tc>
      </w:tr>
      <w:tr w:rsidR="00741C0B" w14:paraId="3113379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41C0B" w14:paraId="311337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741C0B" w14:paraId="311337A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41C0B" w14:paraId="311337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r>
      <w:tr w:rsidR="00741C0B" w14:paraId="311337B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7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[3–17]</w:t>
            </w:r>
          </w:p>
        </w:tc>
      </w:tr>
      <w:tr w:rsidR="00741C0B" w14:paraId="311337B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41C0B" w14:paraId="311337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r>
      <w:tr w:rsidR="00741C0B" w14:paraId="31133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(3.7%)</w:t>
            </w:r>
          </w:p>
        </w:tc>
      </w:tr>
      <w:tr w:rsidR="00741C0B" w14:paraId="311337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84</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(12.7%)</w:t>
            </w:r>
          </w:p>
        </w:tc>
      </w:tr>
      <w:tr w:rsidR="00741C0B" w14:paraId="311337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304</w:t>
            </w:r>
            <w:r>
              <w:rPr>
                <w:rFonts w:eastAsia="Arial" w:cs="Arial"/>
                <w:color w:val="033636"/>
                <w:sz w:val="14"/>
                <w:szCs w:val="14"/>
              </w:rPr>
              <w:br/>
              <w:t xml:space="preserve">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590</w:t>
            </w:r>
            <w:r>
              <w:rPr>
                <w:rFonts w:eastAsia="Arial" w:cs="Arial"/>
                <w:color w:val="033636"/>
                <w:sz w:val="14"/>
                <w:szCs w:val="14"/>
              </w:rPr>
              <w:br/>
              <w:t xml:space="preserve"> (64.8%)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w:t>
            </w:r>
            <w:r>
              <w:rPr>
                <w:rFonts w:eastAsia="Arial" w:cs="Arial"/>
                <w:color w:val="033636"/>
                <w:sz w:val="14"/>
                <w:szCs w:val="14"/>
              </w:rPr>
              <w:br/>
              <w:t xml:space="preserve"> (72.4%)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644</w:t>
            </w:r>
            <w:r>
              <w:rPr>
                <w:rFonts w:eastAsia="Arial" w:cs="Arial"/>
                <w:color w:val="033636"/>
                <w:sz w:val="14"/>
                <w:szCs w:val="14"/>
              </w:rPr>
              <w:br/>
              <w:t xml:space="preserve"> (80.0%)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281</w:t>
            </w:r>
            <w:r>
              <w:rPr>
                <w:rFonts w:eastAsia="Arial" w:cs="Arial"/>
                <w:color w:val="033636"/>
                <w:sz w:val="14"/>
                <w:szCs w:val="14"/>
              </w:rPr>
              <w:br/>
              <w:t xml:space="preserve"> (77.8%)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94</w:t>
            </w:r>
            <w:r>
              <w:rPr>
                <w:rFonts w:eastAsia="Arial" w:cs="Arial"/>
                <w:color w:val="033636"/>
                <w:sz w:val="14"/>
                <w:szCs w:val="14"/>
              </w:rPr>
              <w:br/>
              <w:t xml:space="preserve"> (70.1%)</w:t>
            </w:r>
          </w:p>
        </w:tc>
      </w:tr>
      <w:tr w:rsidR="00741C0B" w14:paraId="311337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(11.2%)</w:t>
            </w:r>
          </w:p>
        </w:tc>
      </w:tr>
    </w:tbl>
    <w:p w14:paraId="311337E9" w14:textId="77777777" w:rsidR="00741C0B" w:rsidRDefault="0067663B">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311337EB" w14:textId="4E5FD96D" w:rsidR="00741C0B" w:rsidRDefault="0067663B" w:rsidP="00CD2FB3">
      <w:pPr>
        <w:pStyle w:val="ListParagraph"/>
        <w:numPr>
          <w:ilvl w:val="0"/>
          <w:numId w:val="48"/>
        </w:numPr>
      </w:pPr>
      <w:r>
        <w:br w:type="page"/>
      </w:r>
      <w:r>
        <w:lastRenderedPageBreak/>
        <w:t>In the last fortnight (8 September to 21 September 2025), there were less COVID-19 cases occupying intensive care beds across Australia than in the previous fortnight (Figure 18).</w:t>
      </w:r>
    </w:p>
    <w:p w14:paraId="311337EC" w14:textId="77777777" w:rsidR="00741C0B" w:rsidRDefault="0067663B" w:rsidP="00FF4889">
      <w:pPr>
        <w:numPr>
          <w:ilvl w:val="0"/>
          <w:numId w:val="28"/>
        </w:numPr>
      </w:pPr>
      <w:r>
        <w:t>In the last fortnight, there were less intensive care staff unavailable to work due to illness across Australia than in the previous fortnight (Figure 18).</w:t>
      </w:r>
      <w:r>
        <w:br/>
      </w:r>
    </w:p>
    <w:p w14:paraId="311337ED" w14:textId="77777777" w:rsidR="00741C0B" w:rsidRDefault="0067663B">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21 September 2025</w:t>
      </w:r>
      <w:r>
        <w:t xml:space="preserve"> </w:t>
      </w:r>
      <w:r>
        <w:rPr>
          <w:noProof/>
        </w:rPr>
        <w:drawing>
          <wp:inline distT="0" distB="0" distL="0" distR="0" wp14:anchorId="31133A7D" wp14:editId="33092831">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21 Septem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21 September 2025. The y-axis (left) shows the average number of COVID-19 cases and the average number of staff unavailable, and the x-axis (horizontal) shows the week of report.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EE" w14:textId="77777777" w:rsidR="00741C0B" w:rsidRDefault="0067663B">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11337EF" w14:textId="77777777" w:rsidR="00741C0B" w:rsidRPr="00CA5C7D" w:rsidRDefault="0067663B" w:rsidP="00FF4889">
      <w:pPr>
        <w:numPr>
          <w:ilvl w:val="0"/>
          <w:numId w:val="29"/>
        </w:numPr>
      </w:pPr>
      <w:r w:rsidRPr="00CA5C7D">
        <w:t>In the last fortnight, the number of COVID-19 cases occupying intensive care beds decreased in NSW, and Vic, and remained stable in Tas, the NT, Qld, SA, the ACT, and WA compared with the previous fortnight (Figure 19).</w:t>
      </w:r>
    </w:p>
    <w:p w14:paraId="311337F0" w14:textId="77777777" w:rsidR="00741C0B" w:rsidRPr="00CA5C7D" w:rsidRDefault="0067663B" w:rsidP="00FF4889">
      <w:pPr>
        <w:numPr>
          <w:ilvl w:val="0"/>
          <w:numId w:val="29"/>
        </w:numPr>
      </w:pPr>
      <w:r w:rsidRPr="00CA5C7D">
        <w:t>In the last fortnight, the number of intensive care staff unavailable to work due to illness remained stable in NSW, the NT, SA, the ACT, and WA, and decreased in Tas, Vic, and Qld compared with the previous fortnight (Figure 19).</w:t>
      </w:r>
    </w:p>
    <w:p w14:paraId="311337F1" w14:textId="304DB1C6" w:rsidR="00741C0B" w:rsidRDefault="00741C0B"/>
    <w:p w14:paraId="6AE6A1EA" w14:textId="77777777" w:rsidR="00D6575E" w:rsidRDefault="00D6575E">
      <w:pPr>
        <w:spacing w:before="0" w:after="0" w:line="240" w:lineRule="auto"/>
        <w:rPr>
          <w:b/>
          <w:bCs/>
        </w:rPr>
      </w:pPr>
      <w:r>
        <w:rPr>
          <w:b/>
          <w:bCs/>
        </w:rPr>
        <w:br w:type="page"/>
      </w:r>
    </w:p>
    <w:p w14:paraId="311337F2" w14:textId="6D36D06C" w:rsidR="00741C0B" w:rsidRDefault="0067663B">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21 September 2025</w:t>
      </w:r>
    </w:p>
    <w:p w14:paraId="311337F3" w14:textId="77777777" w:rsidR="00741C0B" w:rsidRDefault="0067663B">
      <w:pPr>
        <w:pStyle w:val="BodyText"/>
      </w:pPr>
      <w:r>
        <w:rPr>
          <w:noProof/>
        </w:rPr>
        <w:drawing>
          <wp:inline distT="0" distB="0" distL="0" distR="0" wp14:anchorId="31133A7F" wp14:editId="1B1835AB">
            <wp:extent cx="6184900" cy="7068457"/>
            <wp:effectExtent l="0" t="0" r="0" b="0"/>
            <wp:docPr id="89" name="Picture" descr="A set of eight stacked bar charts, one for each Australian state or territory, showing the mean number of ventilated and non-ventilated COVID-19 cases in intensive care from 1 January to 21 September 2025. A line graph plotted on the same axis (left) shows the average number of intensive care staff unavailable to work due to COVID-19 exposure or illness from 1 January to 21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21 September 2025. A line graph plotted on the same axis (left) shows the average number of intensive care staff unavailable to work due to COVID-19 exposure or illness from 1 January to 21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11337F4" w14:textId="77777777" w:rsidR="00741C0B" w:rsidRDefault="0067663B">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11337F5" w14:textId="77777777" w:rsidR="00741C0B" w:rsidRDefault="0067663B">
      <w:r>
        <w:br w:type="page"/>
      </w:r>
    </w:p>
    <w:p w14:paraId="311337F6" w14:textId="77777777" w:rsidR="00741C0B" w:rsidRDefault="0067663B">
      <w:pPr>
        <w:pStyle w:val="Heading1"/>
      </w:pPr>
      <w:bookmarkStart w:id="5" w:name="mortality-surveillance"/>
      <w:bookmarkEnd w:id="4"/>
      <w:r>
        <w:lastRenderedPageBreak/>
        <w:t>Mortality surveillance</w:t>
      </w:r>
    </w:p>
    <w:p w14:paraId="38810B26" w14:textId="77777777" w:rsidR="008246C4" w:rsidRDefault="0067663B">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9">
        <w:r w:rsidR="00741C0B">
          <w:rPr>
            <w:rStyle w:val="Hyperlink"/>
          </w:rPr>
          <w:t>Technical Supplement</w:t>
        </w:r>
      </w:hyperlink>
      <w:r>
        <w:t>.</w:t>
      </w:r>
      <w:r w:rsidR="00512636">
        <w:t xml:space="preserve"> </w:t>
      </w:r>
    </w:p>
    <w:p w14:paraId="311337F7" w14:textId="0FC2A001" w:rsidR="00741C0B" w:rsidRPr="008246C4" w:rsidRDefault="00512636" w:rsidP="008246C4">
      <w:pPr>
        <w:numPr>
          <w:ilvl w:val="0"/>
          <w:numId w:val="30"/>
        </w:numPr>
        <w:rPr>
          <w:i/>
          <w:iCs/>
        </w:rPr>
      </w:pPr>
      <w:r w:rsidRPr="008246C4">
        <w:rPr>
          <w:i/>
          <w:iCs/>
        </w:rPr>
        <w:t>Please note, there has not been an update to the Provisional Mortality Statistics, as such the mortality surveillance data presented here have not been updated since the previous report.</w:t>
      </w:r>
    </w:p>
    <w:p w14:paraId="311337F8" w14:textId="77777777" w:rsidR="00741C0B" w:rsidRDefault="0067663B" w:rsidP="00FF4889">
      <w:pPr>
        <w:numPr>
          <w:ilvl w:val="0"/>
          <w:numId w:val="30"/>
        </w:numPr>
      </w:pPr>
      <w:r>
        <w:t>COVID-19 has been the leading cause of acute respiratory infection mortality across 2023–2025.</w:t>
      </w:r>
    </w:p>
    <w:p w14:paraId="311337F9" w14:textId="77777777" w:rsidR="00741C0B" w:rsidRDefault="0067663B" w:rsidP="00FF4889">
      <w:pPr>
        <w:numPr>
          <w:ilvl w:val="0"/>
          <w:numId w:val="30"/>
        </w:numPr>
      </w:pPr>
      <w:r>
        <w:t>Since the end of 2021, a pattern has been observed for COVID-19 where there are two peaks of mortality during the year - one occurring between November and January and the other occurring between May and August. While there was still an increase in deaths involving COVID-19 occurring between November 2024 and January 2025, the number of deaths occurring during this period was much lower than other years (Figure 20a/b).</w:t>
      </w:r>
    </w:p>
    <w:p w14:paraId="311337FA" w14:textId="77777777" w:rsidR="00741C0B" w:rsidRDefault="0067663B" w:rsidP="00FF4889">
      <w:pPr>
        <w:numPr>
          <w:ilvl w:val="0"/>
          <w:numId w:val="30"/>
        </w:numPr>
      </w:pPr>
      <w:r>
        <w:t xml:space="preserve">The number of deaths </w:t>
      </w:r>
      <w:r>
        <w:rPr>
          <w:i/>
          <w:iCs/>
        </w:rPr>
        <w:t>due to</w:t>
      </w:r>
      <w:r>
        <w:t xml:space="preserve"> COVID-19 increased in June 2025 following the relatively low number of deaths </w:t>
      </w:r>
      <w:r>
        <w:rPr>
          <w:i/>
          <w:iCs/>
        </w:rPr>
        <w:t>due to</w:t>
      </w:r>
      <w:r>
        <w:t xml:space="preserve"> COVID-19 each month between February and May. Deaths remain at lower levels than the same period in 2024 and 2023 (Figure 20a).</w:t>
      </w:r>
      <w:r>
        <w:br/>
      </w:r>
    </w:p>
    <w:p w14:paraId="311337FB" w14:textId="77777777" w:rsidR="00741C0B" w:rsidRDefault="0067663B">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July 2025</w:t>
      </w:r>
    </w:p>
    <w:p w14:paraId="311337FC" w14:textId="77777777" w:rsidR="00741C0B" w:rsidRDefault="0067663B">
      <w:pPr>
        <w:pStyle w:val="BodyText"/>
      </w:pPr>
      <w:r>
        <w:rPr>
          <w:noProof/>
        </w:rPr>
        <w:drawing>
          <wp:inline distT="0" distB="0" distL="0" distR="0" wp14:anchorId="31133A81" wp14:editId="1C8F596E">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7FD" w14:textId="77777777" w:rsidR="00741C0B" w:rsidRDefault="0067663B">
      <w:pPr>
        <w:pStyle w:val="Smalltext"/>
      </w:pPr>
      <w:r>
        <w:t xml:space="preserve">Source: Australian Bureau of Statistics, </w:t>
      </w:r>
      <w:hyperlink r:id="rId72">
        <w:r w:rsidR="00741C0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311337FE" w14:textId="77777777" w:rsidR="00741C0B" w:rsidRDefault="0067663B">
      <w:r>
        <w:br w:type="page"/>
      </w:r>
    </w:p>
    <w:p w14:paraId="311337FF" w14:textId="77777777" w:rsidR="00741C0B" w:rsidRDefault="0067663B" w:rsidP="00FF4889">
      <w:pPr>
        <w:numPr>
          <w:ilvl w:val="0"/>
          <w:numId w:val="31"/>
        </w:numPr>
      </w:pPr>
      <w:r>
        <w:lastRenderedPageBreak/>
        <w:t xml:space="preserve">Deaths </w:t>
      </w:r>
      <w:r>
        <w:rPr>
          <w:i/>
          <w:iCs/>
        </w:rPr>
        <w:t>due to</w:t>
      </w:r>
      <w:r>
        <w:t xml:space="preserve"> influenza increased in June 2025 and the number of deaths that occurred in July is likely to increase further (Figure 20a).</w:t>
      </w:r>
    </w:p>
    <w:p w14:paraId="31133800" w14:textId="77777777" w:rsidR="00741C0B" w:rsidRDefault="0067663B" w:rsidP="00FF4889">
      <w:pPr>
        <w:numPr>
          <w:ilvl w:val="0"/>
          <w:numId w:val="31"/>
        </w:numPr>
      </w:pPr>
      <w:r>
        <w:t xml:space="preserve">There were 373 deaths </w:t>
      </w:r>
      <w:r>
        <w:rPr>
          <w:i/>
          <w:iCs/>
        </w:rPr>
        <w:t>due to</w:t>
      </w:r>
      <w:r>
        <w:t xml:space="preserve"> influenza in the first six months of 2025 (Figure 20a). Although higher than the number of deaths </w:t>
      </w:r>
      <w:r>
        <w:rPr>
          <w:i/>
          <w:iCs/>
        </w:rPr>
        <w:t>due to</w:t>
      </w:r>
      <w:r>
        <w:t xml:space="preserve"> influenza in the same period in 2023 (174) or 2024 (253), it remains lower than the 436 deaths recorded in the first six months of 2019, which was a recent high mortality year for influenza.</w:t>
      </w:r>
    </w:p>
    <w:p w14:paraId="31133801" w14:textId="77777777" w:rsidR="00741C0B" w:rsidRDefault="0067663B" w:rsidP="00FF4889">
      <w:pPr>
        <w:numPr>
          <w:ilvl w:val="0"/>
          <w:numId w:val="31"/>
        </w:numPr>
      </w:pPr>
      <w:r>
        <w:t xml:space="preserve">There were 81 deaths </w:t>
      </w:r>
      <w:r>
        <w:rPr>
          <w:i/>
          <w:iCs/>
        </w:rPr>
        <w:t>due to</w:t>
      </w:r>
      <w:r>
        <w:t xml:space="preserve"> RSV in the first six months of 2025; however, for privacy reasons six deaths </w:t>
      </w:r>
      <w:r>
        <w:rPr>
          <w:i/>
          <w:iCs/>
        </w:rPr>
        <w:t>due to</w:t>
      </w:r>
      <w:r>
        <w:t xml:space="preserve"> RSV are not published in Figure 20a.</w:t>
      </w:r>
    </w:p>
    <w:p w14:paraId="31133802" w14:textId="77777777" w:rsidR="00741C0B" w:rsidRDefault="0067663B" w:rsidP="00FF4889">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31133803" w14:textId="77777777" w:rsidR="00741C0B" w:rsidRDefault="0067663B" w:rsidP="00FF4889">
      <w:pPr>
        <w:numPr>
          <w:ilvl w:val="0"/>
          <w:numId w:val="31"/>
        </w:numPr>
      </w:pPr>
      <w:r>
        <w:t xml:space="preserve">Deaths </w:t>
      </w:r>
      <w:r>
        <w:rPr>
          <w:i/>
          <w:iCs/>
        </w:rPr>
        <w:t>with</w:t>
      </w:r>
      <w:r>
        <w:t xml:space="preserve"> COVID-19 increased in June 2025 but remained lower than in 2023 or 2024 (Figure 20b).</w:t>
      </w:r>
    </w:p>
    <w:p w14:paraId="31133804" w14:textId="77777777" w:rsidR="00741C0B" w:rsidRDefault="0067663B" w:rsidP="00FF4889">
      <w:pPr>
        <w:numPr>
          <w:ilvl w:val="0"/>
          <w:numId w:val="31"/>
        </w:numPr>
      </w:pPr>
      <w:r>
        <w:t xml:space="preserve">Deaths </w:t>
      </w:r>
      <w:r>
        <w:rPr>
          <w:i/>
          <w:iCs/>
        </w:rPr>
        <w:t>with</w:t>
      </w:r>
      <w:r>
        <w:t xml:space="preserve"> influenza in May and June 2025 remained below the number recorded in April 2025 (Figure 20b).</w:t>
      </w:r>
    </w:p>
    <w:p w14:paraId="31133805" w14:textId="77777777" w:rsidR="00741C0B" w:rsidRDefault="0067663B" w:rsidP="00FF4889">
      <w:pPr>
        <w:numPr>
          <w:ilvl w:val="0"/>
          <w:numId w:val="31"/>
        </w:numPr>
      </w:pPr>
      <w:r>
        <w:t xml:space="preserve">Deaths </w:t>
      </w:r>
      <w:r>
        <w:rPr>
          <w:i/>
          <w:iCs/>
        </w:rPr>
        <w:t>with</w:t>
      </w:r>
      <w:r>
        <w:t xml:space="preserve"> RSV have increased each month from February to June 2025, </w:t>
      </w:r>
      <w:proofErr w:type="gramStart"/>
      <w:r>
        <w:t>similar to</w:t>
      </w:r>
      <w:proofErr w:type="gramEnd"/>
      <w:r>
        <w:t xml:space="preserve"> the increasing trend during the same period in 2023 and 2024 (Figure 20b).</w:t>
      </w:r>
    </w:p>
    <w:p w14:paraId="31133806" w14:textId="77777777" w:rsidR="00741C0B" w:rsidRDefault="0067663B" w:rsidP="00FF4889">
      <w:pPr>
        <w:numPr>
          <w:ilvl w:val="0"/>
          <w:numId w:val="31"/>
        </w:numPr>
      </w:pPr>
      <w:r>
        <w:t>All three of these acute respiratory infections are more likely to cause death in older age groups than younger age groups.</w:t>
      </w:r>
      <w:r>
        <w:br/>
      </w:r>
    </w:p>
    <w:p w14:paraId="31133807" w14:textId="77777777" w:rsidR="00741C0B" w:rsidRDefault="0067663B">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July 2025</w:t>
      </w:r>
    </w:p>
    <w:p w14:paraId="31133808" w14:textId="77777777" w:rsidR="00741C0B" w:rsidRDefault="0067663B">
      <w:pPr>
        <w:pStyle w:val="BodyText"/>
      </w:pPr>
      <w:r>
        <w:rPr>
          <w:noProof/>
        </w:rPr>
        <w:drawing>
          <wp:inline distT="0" distB="0" distL="0" distR="0" wp14:anchorId="31133A83" wp14:editId="7696B8F2">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809" w14:textId="77777777" w:rsidR="00741C0B" w:rsidRDefault="0067663B">
      <w:pPr>
        <w:pStyle w:val="Smalltext"/>
      </w:pPr>
      <w:r>
        <w:t xml:space="preserve">Source: Australian Bureau of Statistics, </w:t>
      </w:r>
      <w:hyperlink r:id="rId75">
        <w:r w:rsidR="00741C0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3113380B" w14:textId="77777777" w:rsidR="00741C0B" w:rsidRDefault="0067663B">
      <w:pPr>
        <w:pStyle w:val="Heading1"/>
      </w:pPr>
      <w:bookmarkStart w:id="6" w:name="laboratory-surveillance"/>
      <w:bookmarkEnd w:id="5"/>
      <w:r>
        <w:lastRenderedPageBreak/>
        <w:t>Laboratory surveillance</w:t>
      </w:r>
    </w:p>
    <w:p w14:paraId="3113380C" w14:textId="77777777" w:rsidR="00741C0B" w:rsidRDefault="0067663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113380D" w14:textId="330530E4" w:rsidR="00741C0B" w:rsidRDefault="0067663B" w:rsidP="00FF4889">
      <w:pPr>
        <w:numPr>
          <w:ilvl w:val="0"/>
          <w:numId w:val="32"/>
        </w:numPr>
      </w:pPr>
      <w:r>
        <w:t>In the last fortnight (8 September to 21 September 2025), SARS-CoV-2 test positivity increased slightly to 2.2% (307/14,237), influenza test positivit</w:t>
      </w:r>
      <w:r w:rsidRPr="00676369">
        <w:t>y decreased slightly to 11.2% (</w:t>
      </w:r>
      <w:r>
        <w:t>1,936/17,231), and RSV test positivity decreased slightly to 3.9% (562/14,237) (Figure 21).</w:t>
      </w:r>
    </w:p>
    <w:p w14:paraId="3113380E" w14:textId="77777777" w:rsidR="00741C0B" w:rsidRDefault="00741C0B"/>
    <w:p w14:paraId="3113380F" w14:textId="77777777" w:rsidR="00741C0B" w:rsidRDefault="0067663B">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21 September 2025</w:t>
      </w:r>
    </w:p>
    <w:p w14:paraId="31133810" w14:textId="77777777" w:rsidR="00741C0B" w:rsidRDefault="0067663B">
      <w:pPr>
        <w:pStyle w:val="BodyText"/>
      </w:pPr>
      <w:r>
        <w:rPr>
          <w:noProof/>
        </w:rPr>
        <w:drawing>
          <wp:inline distT="0" distB="0" distL="0" distR="0" wp14:anchorId="31133A85" wp14:editId="6DDEE5DB">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21 Septem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21 Septem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31133811" w14:textId="77777777" w:rsidR="00741C0B" w:rsidRDefault="0067663B">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1133812" w14:textId="77777777" w:rsidR="00741C0B" w:rsidRDefault="0067663B">
      <w:r>
        <w:br w:type="page"/>
      </w:r>
    </w:p>
    <w:p w14:paraId="0DB33794" w14:textId="77777777" w:rsidR="003A1F1D" w:rsidRPr="0065751F" w:rsidRDefault="0067663B" w:rsidP="00FF4889">
      <w:pPr>
        <w:numPr>
          <w:ilvl w:val="0"/>
          <w:numId w:val="33"/>
        </w:numPr>
        <w:rPr>
          <w:i/>
          <w:iCs/>
        </w:rPr>
      </w:pPr>
      <w:r w:rsidRPr="0065751F">
        <w:rPr>
          <w:i/>
          <w:iCs/>
        </w:rPr>
        <w:lastRenderedPageBreak/>
        <w:t xml:space="preserve">Please note, </w:t>
      </w:r>
      <w:proofErr w:type="spellStart"/>
      <w:r w:rsidRPr="0065751F">
        <w:rPr>
          <w:i/>
          <w:iCs/>
        </w:rPr>
        <w:t>AusTrakka</w:t>
      </w:r>
      <w:proofErr w:type="spellEnd"/>
      <w:r w:rsidRPr="0065751F">
        <w:rPr>
          <w:i/>
          <w:iCs/>
        </w:rPr>
        <w:t xml:space="preserve"> SARS-CoV-2 sequencing data are updated each month, as such SARS-CoV-2 sequence data presented here have not been updated since the previous report. </w:t>
      </w:r>
    </w:p>
    <w:p w14:paraId="31133813" w14:textId="3DA568D3" w:rsidR="00741C0B" w:rsidRDefault="0067663B" w:rsidP="00FF4889">
      <w:pPr>
        <w:numPr>
          <w:ilvl w:val="0"/>
          <w:numId w:val="33"/>
        </w:numPr>
      </w:pPr>
      <w:r>
        <w:t xml:space="preserve">There were 250 SARS-CoV-2 sequences uploaded to </w:t>
      </w:r>
      <w:proofErr w:type="spellStart"/>
      <w:r>
        <w:t>AusTrakka</w:t>
      </w:r>
      <w:proofErr w:type="spellEnd"/>
      <w:r>
        <w:t xml:space="preserve"> with dates of collection in the last 28 days (11 August to 7 September 2025). These sequences were from NSW, Qld, SA, Tas and WA, with the most recent collection date 31 August 2025.</w:t>
      </w:r>
    </w:p>
    <w:p w14:paraId="31133814" w14:textId="77777777" w:rsidR="00741C0B" w:rsidRDefault="0067663B" w:rsidP="00FF4889">
      <w:pPr>
        <w:numPr>
          <w:ilvl w:val="0"/>
          <w:numId w:val="33"/>
        </w:numPr>
      </w:pPr>
      <w:r>
        <w:t>Most sequences were assigned to the BA.2.86 sub-lineage within B.1.1.529 (Omicron), or recombinants consisting of one or more Omicron sub-lineages (Figure 22a/b). In the last 28 days:</w:t>
      </w:r>
    </w:p>
    <w:p w14:paraId="31133815" w14:textId="77777777" w:rsidR="00741C0B" w:rsidRDefault="0067663B" w:rsidP="00FF4889">
      <w:pPr>
        <w:numPr>
          <w:ilvl w:val="1"/>
          <w:numId w:val="34"/>
        </w:numPr>
      </w:pPr>
      <w:r>
        <w:t>21.2% (53/250) of sequences were from the sub-sub-lineages JN.1 (BA.2.86.1.1), including KP.3 (47/250). No sequences were identified from KP.2.</w:t>
      </w:r>
    </w:p>
    <w:p w14:paraId="31133816" w14:textId="77777777" w:rsidR="00741C0B" w:rsidRDefault="0067663B" w:rsidP="00FF4889">
      <w:pPr>
        <w:numPr>
          <w:ilvl w:val="1"/>
          <w:numId w:val="34"/>
        </w:numPr>
      </w:pPr>
      <w:r>
        <w:t>78.8% (197/250) of sequences were recombinant or recombinant sub-lineages, including NB.1.8.1.</w:t>
      </w:r>
    </w:p>
    <w:p w14:paraId="31133817" w14:textId="77777777" w:rsidR="00741C0B" w:rsidRDefault="0067663B" w:rsidP="00FF4889">
      <w:pPr>
        <w:numPr>
          <w:ilvl w:val="1"/>
          <w:numId w:val="34"/>
        </w:numPr>
      </w:pPr>
      <w:r>
        <w:t>there were no BA.1, BA.3, BA.4, BA.5 or other BA.2 sub-sub-lineage sequences.</w:t>
      </w:r>
    </w:p>
    <w:p w14:paraId="31133818" w14:textId="77777777" w:rsidR="00741C0B" w:rsidRDefault="0067663B" w:rsidP="00FF4889">
      <w:pPr>
        <w:numPr>
          <w:ilvl w:val="0"/>
          <w:numId w:val="33"/>
        </w:numPr>
      </w:pPr>
      <w:r>
        <w:t>NB.1.8.1 is the dominant sub-lineage in the last 28 days, accounting for 58.4% (146/250) of sequences (Figure 22a).</w:t>
      </w:r>
    </w:p>
    <w:p w14:paraId="31133819" w14:textId="77777777" w:rsidR="00741C0B" w:rsidRDefault="0067663B" w:rsidP="00FF4889">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3113381A" w14:textId="77777777" w:rsidR="00741C0B" w:rsidRDefault="0067663B" w:rsidP="00FF4889">
      <w:pPr>
        <w:numPr>
          <w:ilvl w:val="1"/>
          <w:numId w:val="35"/>
        </w:numPr>
      </w:pPr>
      <w:r>
        <w:t xml:space="preserve">246 XFG sequences in </w:t>
      </w:r>
      <w:proofErr w:type="spellStart"/>
      <w:r>
        <w:t>AusTrakka</w:t>
      </w:r>
      <w:proofErr w:type="spellEnd"/>
      <w:r>
        <w:t>, with 48 collected in the last 28 days</w:t>
      </w:r>
    </w:p>
    <w:p w14:paraId="3113381B" w14:textId="77777777" w:rsidR="00741C0B" w:rsidRDefault="0067663B" w:rsidP="00FF4889">
      <w:pPr>
        <w:numPr>
          <w:ilvl w:val="1"/>
          <w:numId w:val="35"/>
        </w:numPr>
      </w:pPr>
      <w:r>
        <w:t xml:space="preserve">1,715 NB.1.8.1 sequences in </w:t>
      </w:r>
      <w:proofErr w:type="spellStart"/>
      <w:r>
        <w:t>AusTrakka</w:t>
      </w:r>
      <w:proofErr w:type="spellEnd"/>
      <w:r>
        <w:t>, with 146 collected in the last 28 days</w:t>
      </w:r>
    </w:p>
    <w:p w14:paraId="3113381C" w14:textId="77777777" w:rsidR="00741C0B" w:rsidRDefault="0067663B" w:rsidP="00FF4889">
      <w:pPr>
        <w:numPr>
          <w:ilvl w:val="1"/>
          <w:numId w:val="35"/>
        </w:numPr>
      </w:pPr>
      <w:r>
        <w:t xml:space="preserve">763 LP.8.1 sequences in </w:t>
      </w:r>
      <w:proofErr w:type="spellStart"/>
      <w:r>
        <w:t>AusTrakka</w:t>
      </w:r>
      <w:proofErr w:type="spellEnd"/>
      <w:r>
        <w:t>, with 5 collected in the last 28 days</w:t>
      </w:r>
    </w:p>
    <w:p w14:paraId="3113381D" w14:textId="77777777" w:rsidR="00741C0B" w:rsidRDefault="0067663B" w:rsidP="00FF4889">
      <w:pPr>
        <w:numPr>
          <w:ilvl w:val="1"/>
          <w:numId w:val="35"/>
        </w:numPr>
      </w:pPr>
      <w:r>
        <w:t xml:space="preserve">3,168 KP.3.1.1 sequences in </w:t>
      </w:r>
      <w:proofErr w:type="spellStart"/>
      <w:r>
        <w:t>AusTrakka</w:t>
      </w:r>
      <w:proofErr w:type="spellEnd"/>
      <w:r>
        <w:t>, with 47 sequences collected in the last 28 days</w:t>
      </w:r>
    </w:p>
    <w:p w14:paraId="3113381E" w14:textId="77777777" w:rsidR="00741C0B" w:rsidRDefault="0067663B" w:rsidP="00FF4889">
      <w:pPr>
        <w:numPr>
          <w:ilvl w:val="1"/>
          <w:numId w:val="35"/>
        </w:numPr>
      </w:pPr>
      <w:r>
        <w:t xml:space="preserve">3,467 XEC sequences in </w:t>
      </w:r>
      <w:proofErr w:type="spellStart"/>
      <w:r>
        <w:t>AusTrakka</w:t>
      </w:r>
      <w:proofErr w:type="spellEnd"/>
      <w:r>
        <w:t>, with 2 collected in last 28 days.</w:t>
      </w:r>
    </w:p>
    <w:p w14:paraId="3113381F" w14:textId="77777777" w:rsidR="00741C0B" w:rsidRDefault="0067663B">
      <w:r w:rsidRPr="026664F0">
        <w:rPr>
          <w:b/>
          <w:bCs/>
        </w:rPr>
        <w:t>Figure 22a: SARS-CoV-2 Omicron sub-lineage* sequences by sample collection date, showing the proportions of sequences per week</w:t>
      </w:r>
      <w:r w:rsidRPr="026664F0">
        <w:rPr>
          <w:b/>
          <w:bCs/>
          <w:vertAlign w:val="superscript"/>
        </w:rPr>
        <w:t>†‡</w:t>
      </w:r>
      <w:r w:rsidRPr="026664F0">
        <w:rPr>
          <w:b/>
          <w:bCs/>
        </w:rPr>
        <w:t>, Australia, 1 January to 7 September 2025</w:t>
      </w:r>
    </w:p>
    <w:p w14:paraId="1756F9B8" w14:textId="443C02D4" w:rsidR="026664F0" w:rsidRDefault="00755946" w:rsidP="026664F0">
      <w:pPr>
        <w:rPr>
          <w:b/>
          <w:bCs/>
        </w:rPr>
      </w:pPr>
      <w:r>
        <w:rPr>
          <w:b/>
          <w:bCs/>
          <w:noProof/>
        </w:rPr>
        <w:drawing>
          <wp:inline distT="0" distB="0" distL="0" distR="0" wp14:anchorId="67DC3D0D" wp14:editId="475BCA36">
            <wp:extent cx="6188075" cy="3096895"/>
            <wp:effectExtent l="0" t="0" r="3175" b="8255"/>
            <wp:docPr id="1147064297" name="Picture 2"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64297" name="Picture 2"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31133820" w14:textId="77777777" w:rsidR="00741C0B" w:rsidRDefault="0067663B">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1133821" w14:textId="77777777" w:rsidR="00741C0B" w:rsidRDefault="0067663B">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7 September 2025</w:t>
      </w:r>
    </w:p>
    <w:p w14:paraId="4C9638E1" w14:textId="5B9E5E1C" w:rsidR="00CD54CA" w:rsidRDefault="00CD54CA">
      <w:pPr>
        <w:pStyle w:val="BodyText"/>
      </w:pPr>
      <w:r>
        <w:rPr>
          <w:noProof/>
        </w:rPr>
        <w:drawing>
          <wp:inline distT="0" distB="0" distL="0" distR="0" wp14:anchorId="4B42F2D4" wp14:editId="41C38F61">
            <wp:extent cx="6188075" cy="3096895"/>
            <wp:effectExtent l="0" t="0" r="3175" b="8255"/>
            <wp:docPr id="1848209916" name="Picture 1"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9916" name="Picture 1"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31133822" w14:textId="77777777" w:rsidR="00741C0B" w:rsidRDefault="0067663B">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1133823" w14:textId="77777777" w:rsidR="00741C0B" w:rsidRDefault="0067663B" w:rsidP="00FF4889">
      <w:pPr>
        <w:numPr>
          <w:ilvl w:val="0"/>
          <w:numId w:val="36"/>
        </w:numPr>
      </w:pPr>
      <w:r>
        <w:t>In the year to date, the WHO Collaborating Centre for Reference and Research on Influenza has antigenically characterised 3,855 influenza viruses from Australia (Table 4), of which:</w:t>
      </w:r>
    </w:p>
    <w:p w14:paraId="31133824" w14:textId="77777777" w:rsidR="00741C0B" w:rsidRDefault="0067663B" w:rsidP="00FF4889">
      <w:pPr>
        <w:numPr>
          <w:ilvl w:val="1"/>
          <w:numId w:val="37"/>
        </w:numPr>
      </w:pPr>
      <w:r>
        <w:t>73.5% (2,834/3,855) have been influenza A(H1N1)</w:t>
      </w:r>
    </w:p>
    <w:p w14:paraId="31133825" w14:textId="77777777" w:rsidR="00741C0B" w:rsidRDefault="0067663B" w:rsidP="00FF4889">
      <w:pPr>
        <w:numPr>
          <w:ilvl w:val="1"/>
          <w:numId w:val="37"/>
        </w:numPr>
      </w:pPr>
      <w:r>
        <w:t>8.2% (316/3,855) have been influenza A(H3N2)</w:t>
      </w:r>
    </w:p>
    <w:p w14:paraId="31133826" w14:textId="77777777" w:rsidR="00741C0B" w:rsidRDefault="0067663B" w:rsidP="00FF4889">
      <w:pPr>
        <w:numPr>
          <w:ilvl w:val="1"/>
          <w:numId w:val="37"/>
        </w:numPr>
      </w:pPr>
      <w:r>
        <w:t>18.3% (705/3,855) have been influenza B/Victoria.</w:t>
      </w:r>
    </w:p>
    <w:p w14:paraId="31133827" w14:textId="77777777" w:rsidR="00741C0B" w:rsidRDefault="0067663B" w:rsidP="00FF4889">
      <w:pPr>
        <w:numPr>
          <w:ilvl w:val="0"/>
          <w:numId w:val="36"/>
        </w:numPr>
      </w:pPr>
      <w:r>
        <w:t>In the year to date, there have been no influenza B/Yamagata viruses characterised (Table 4). The last influenza B/Yamagata virus characterised in Australia was in a sample from 2020.</w:t>
      </w:r>
    </w:p>
    <w:p w14:paraId="31133828" w14:textId="1DAF07C8" w:rsidR="00741C0B" w:rsidRDefault="0067663B" w:rsidP="00FF4889">
      <w:pPr>
        <w:numPr>
          <w:ilvl w:val="0"/>
          <w:numId w:val="36"/>
        </w:numPr>
      </w:pPr>
      <w:r>
        <w:t xml:space="preserve">Of the influenza A(H1N1) samples tested for neuraminidase inhibitor resistance, 2.0% (26/1,271) demonstrated highly reduced inhibition to Oseltamivir. </w:t>
      </w:r>
      <w:r w:rsidR="00CD2098">
        <w:t xml:space="preserve">None of </w:t>
      </w:r>
      <w:proofErr w:type="gramStart"/>
      <w:r w:rsidR="00CD2098">
        <w:t xml:space="preserve">the </w:t>
      </w:r>
      <w:r>
        <w:t xml:space="preserve"> influenza</w:t>
      </w:r>
      <w:proofErr w:type="gramEnd"/>
      <w:r>
        <w:t xml:space="preserve"> A(H3N2) samples tested for neuraminidase inhibitor resistance</w:t>
      </w:r>
      <w:r w:rsidR="007D4544">
        <w:t xml:space="preserve"> </w:t>
      </w:r>
      <w:r>
        <w:t>demonstrated highly reduced inhibition to Oseltamivir.</w:t>
      </w:r>
    </w:p>
    <w:p w14:paraId="31133829" w14:textId="3FCD4A77" w:rsidR="00741C0B" w:rsidRDefault="0067663B" w:rsidP="004F348F">
      <w:pPr>
        <w:numPr>
          <w:ilvl w:val="0"/>
          <w:numId w:val="36"/>
        </w:numPr>
        <w:spacing w:after="0"/>
      </w:pPr>
      <w:r>
        <w:t>None of the samples tested demonstrated highly reduced inhibition to Zanamivir.</w:t>
      </w:r>
    </w:p>
    <w:p w14:paraId="65A57112" w14:textId="77777777" w:rsidR="004F348F" w:rsidRPr="004F348F" w:rsidRDefault="004F348F" w:rsidP="004F348F">
      <w:pPr>
        <w:spacing w:before="0" w:after="0"/>
        <w:rPr>
          <w:sz w:val="16"/>
          <w:szCs w:val="16"/>
        </w:rPr>
      </w:pPr>
    </w:p>
    <w:p w14:paraId="3113382A" w14:textId="15421756" w:rsidR="00741C0B" w:rsidRPr="009052F1" w:rsidRDefault="0067663B" w:rsidP="009052F1">
      <w:pPr>
        <w:spacing w:before="0" w:after="0" w:line="240" w:lineRule="auto"/>
        <w:rPr>
          <w:b/>
          <w:bCs/>
        </w:rPr>
      </w:pPr>
      <w:r>
        <w:rPr>
          <w:b/>
          <w:bCs/>
        </w:rPr>
        <w:t>Table 4: Australian influenza viruses typed by haemagglutination inhibition assay and jurisdiction*</w:t>
      </w:r>
      <w:r>
        <w:rPr>
          <w:b/>
          <w:bCs/>
          <w:vertAlign w:val="superscript"/>
        </w:rPr>
        <w:t>†</w:t>
      </w:r>
      <w:r>
        <w:rPr>
          <w:b/>
          <w:bCs/>
        </w:rPr>
        <w:t>, 1 January to 21 September 2025</w:t>
      </w:r>
    </w:p>
    <w:tbl>
      <w:tblPr>
        <w:tblW w:w="5000" w:type="pct"/>
        <w:jc w:val="center"/>
        <w:tblLook w:val="0420" w:firstRow="1" w:lastRow="0" w:firstColumn="0" w:lastColumn="0" w:noHBand="0" w:noVBand="1"/>
        <w:tblCaption w:val="Table 4: Australian influenza viruses typed by haemagglutination inhibition assay and jurisdiction*† "/>
        <w:tblDescription w:val="A table summarising the Australian influenza viruses typed by the World Health Organization Collaborating Centre for Reference and Research on Influenza by haemagglutination inhibition assay and state or territory of residence from 1 January to 21 September 2025.  "/>
      </w:tblPr>
      <w:tblGrid>
        <w:gridCol w:w="2603"/>
        <w:gridCol w:w="814"/>
        <w:gridCol w:w="885"/>
        <w:gridCol w:w="715"/>
        <w:gridCol w:w="715"/>
        <w:gridCol w:w="715"/>
        <w:gridCol w:w="730"/>
        <w:gridCol w:w="930"/>
        <w:gridCol w:w="715"/>
        <w:gridCol w:w="930"/>
      </w:tblGrid>
      <w:tr w:rsidR="00741C0B" w14:paraId="3113383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41C0B" w14:paraId="311338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2,834</w:t>
            </w:r>
          </w:p>
        </w:tc>
      </w:tr>
      <w:tr w:rsidR="00741C0B" w14:paraId="311338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316</w:t>
            </w:r>
          </w:p>
        </w:tc>
      </w:tr>
      <w:tr w:rsidR="00741C0B" w14:paraId="311338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705</w:t>
            </w:r>
          </w:p>
        </w:tc>
      </w:tr>
      <w:tr w:rsidR="00741C0B" w14:paraId="311338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41C0B" w14:paraId="31133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3,855</w:t>
            </w:r>
          </w:p>
        </w:tc>
      </w:tr>
    </w:tbl>
    <w:p w14:paraId="3113386D" w14:textId="26ED6725" w:rsidR="00741C0B" w:rsidRDefault="0067663B">
      <w:pPr>
        <w:pStyle w:val="Smalltext"/>
      </w:pPr>
      <w:r>
        <w:t>Source: World Health Organization (WHO) Collaborating Centre for Reference and Research on Influenza</w:t>
      </w:r>
      <w:r>
        <w:br/>
        <w:t xml:space="preserve">*Viruses tested by the WHO Collaborating Centre for Reference and Research on Influenza are not necessarily a random sample of all those in the </w:t>
      </w:r>
      <w:r w:rsidR="00CD7001">
        <w:t>c</w:t>
      </w:r>
      <w:r>
        <w:t>ommunity and early-year data may be based on limited samples received. There may be up to a month delay on reporting of samples.</w:t>
      </w:r>
      <w:r>
        <w:br/>
        <w:t>† Jurisdiction indicates the residential location for the individual tested, not the submitting laboratory.</w:t>
      </w:r>
    </w:p>
    <w:p w14:paraId="3113386F" w14:textId="77777777" w:rsidR="00741C0B" w:rsidRDefault="0067663B">
      <w:pPr>
        <w:pStyle w:val="Heading1"/>
      </w:pPr>
      <w:bookmarkStart w:id="7" w:name="vaccine-coverage-effectiveness-and-match"/>
      <w:bookmarkEnd w:id="6"/>
      <w:r>
        <w:lastRenderedPageBreak/>
        <w:t>Vaccine coverage, effectiveness and match</w:t>
      </w:r>
    </w:p>
    <w:p w14:paraId="31133870" w14:textId="77777777" w:rsidR="00741C0B" w:rsidRDefault="0067663B">
      <w:r>
        <w:t xml:space="preserve">Vaccine coverage, effectiveness and match for acute respiratory infections are monitored from several data sources in Australia. Refer to the </w:t>
      </w:r>
      <w:hyperlink r:id="rId80">
        <w:r w:rsidR="00741C0B">
          <w:rPr>
            <w:rStyle w:val="Hyperlink"/>
          </w:rPr>
          <w:t>Technical Supplement</w:t>
        </w:r>
      </w:hyperlink>
      <w:r>
        <w:t xml:space="preserve"> for more information.</w:t>
      </w:r>
    </w:p>
    <w:p w14:paraId="31133871" w14:textId="77777777" w:rsidR="00741C0B" w:rsidRDefault="0067663B">
      <w:pPr>
        <w:pStyle w:val="Heading3"/>
      </w:pPr>
      <w:bookmarkStart w:id="8" w:name="vaccine-coverage"/>
      <w:r>
        <w:t>Vaccine coverage</w:t>
      </w:r>
    </w:p>
    <w:p w14:paraId="31133872" w14:textId="77777777" w:rsidR="00741C0B" w:rsidRDefault="0067663B" w:rsidP="00FF4889">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31133873" w14:textId="77777777" w:rsidR="00741C0B" w:rsidRDefault="0067663B" w:rsidP="00FF4889">
      <w:pPr>
        <w:numPr>
          <w:ilvl w:val="1"/>
          <w:numId w:val="39"/>
        </w:numPr>
      </w:pPr>
      <w:r>
        <w:t xml:space="preserve">More information on COVID-19 vaccines in Australia is available via the </w:t>
      </w:r>
      <w:hyperlink r:id="rId81">
        <w:r w:rsidR="00741C0B">
          <w:rPr>
            <w:rStyle w:val="Hyperlink"/>
          </w:rPr>
          <w:t>department’s COVID-19 webpages</w:t>
        </w:r>
      </w:hyperlink>
      <w:r>
        <w:t xml:space="preserve"> or from the </w:t>
      </w:r>
      <w:hyperlink r:id="rId82">
        <w:r w:rsidR="00741C0B">
          <w:rPr>
            <w:rStyle w:val="Hyperlink"/>
          </w:rPr>
          <w:t>National Centre for Immunisation Research and Surveillance (NCIRS)</w:t>
        </w:r>
      </w:hyperlink>
      <w:r>
        <w:t>.</w:t>
      </w:r>
    </w:p>
    <w:p w14:paraId="31133874" w14:textId="77777777" w:rsidR="00741C0B" w:rsidRDefault="0067663B" w:rsidP="00FF4889">
      <w:pPr>
        <w:numPr>
          <w:ilvl w:val="0"/>
          <w:numId w:val="38"/>
        </w:numPr>
      </w:pPr>
      <w:r>
        <w:t>Nationally, 8.5% of adults (aged 18 years and over) have received a COVID-19 vaccine in the last six months (Table 5).</w:t>
      </w:r>
    </w:p>
    <w:p w14:paraId="31133875" w14:textId="77777777" w:rsidR="00741C0B" w:rsidRDefault="0067663B" w:rsidP="00FF4889">
      <w:pPr>
        <w:numPr>
          <w:ilvl w:val="0"/>
          <w:numId w:val="38"/>
        </w:numPr>
      </w:pPr>
      <w:r>
        <w:t>Nationally, fewer adults have received a COVID-19 vaccine in the last 12 months (11.1%; Table 5), compared to the 12 months prior (13.9% from 18 September 2023 to 15 September 2024).</w:t>
      </w:r>
    </w:p>
    <w:p w14:paraId="31133876" w14:textId="77777777" w:rsidR="00741C0B" w:rsidRDefault="0067663B" w:rsidP="00FF4889">
      <w:pPr>
        <w:numPr>
          <w:ilvl w:val="0"/>
          <w:numId w:val="38"/>
        </w:numPr>
      </w:pPr>
      <w:r>
        <w:t>In the last 12 months, vaccine coverage decreased in all age groups, with the largest decrease seen in 65–74 years age group (from 33.9% in the 12 months prior to 26.9% in the last 12 months).</w:t>
      </w:r>
    </w:p>
    <w:p w14:paraId="31133877" w14:textId="77777777" w:rsidR="00741C0B" w:rsidRDefault="0067663B" w:rsidP="00FF4889">
      <w:pPr>
        <w:numPr>
          <w:ilvl w:val="0"/>
          <w:numId w:val="38"/>
        </w:numPr>
      </w:pPr>
      <w:r>
        <w:t>There is substantial variation in COVID-19 vaccine coverage across age groups, ranging from 4.7% in adults aged 18–64 years to 41.7% in adults aged 75 years and over. Vaccine coverage increases with increasing age (Table 5).</w:t>
      </w:r>
    </w:p>
    <w:p w14:paraId="31133878" w14:textId="77777777" w:rsidR="00741C0B" w:rsidRDefault="0067663B" w:rsidP="00FF4889">
      <w:pPr>
        <w:numPr>
          <w:ilvl w:val="0"/>
          <w:numId w:val="38"/>
        </w:numPr>
      </w:pPr>
      <w:r>
        <w:t>There is some variation in vaccine coverage across jurisdictions, ranging from 4.2% in the NT to 19.2% in Tas (Table 5).</w:t>
      </w:r>
      <w:r>
        <w:br/>
      </w:r>
    </w:p>
    <w:p w14:paraId="6DE47A6F" w14:textId="77777777" w:rsidR="00D6575E" w:rsidRDefault="00D6575E">
      <w:pPr>
        <w:spacing w:before="0" w:after="0" w:line="240" w:lineRule="auto"/>
        <w:rPr>
          <w:b/>
          <w:bCs/>
        </w:rPr>
      </w:pPr>
      <w:r>
        <w:rPr>
          <w:b/>
          <w:bCs/>
        </w:rPr>
        <w:br w:type="page"/>
      </w:r>
    </w:p>
    <w:p w14:paraId="31133879" w14:textId="1EC104DE" w:rsidR="00741C0B" w:rsidRDefault="0067663B">
      <w:r>
        <w:rPr>
          <w:b/>
          <w:bCs/>
        </w:rPr>
        <w:lastRenderedPageBreak/>
        <w:t>Table 5: COVID-19 vaccine coverage*</w:t>
      </w:r>
      <w:r>
        <w:rPr>
          <w:b/>
          <w:bCs/>
          <w:vertAlign w:val="superscript"/>
        </w:rPr>
        <w:t>†‡</w:t>
      </w:r>
      <w:r>
        <w:rPr>
          <w:b/>
          <w:bCs/>
        </w:rPr>
        <w:t xml:space="preserve"> by age group and jurisdiction, Australia, 16 September 2024 to 21 September 2025</w:t>
      </w:r>
    </w:p>
    <w:tbl>
      <w:tblPr>
        <w:tblW w:w="5000" w:type="pct"/>
        <w:jc w:val="center"/>
        <w:tblLook w:val="0420" w:firstRow="1" w:lastRow="0" w:firstColumn="0" w:lastColumn="0" w:noHBand="0" w:noVBand="1"/>
        <w:tblCaption w:val="Table 5: COVID-19 vaccine coverage*†‡ by age group and jurisdiction "/>
        <w:tblDescription w:val="A table summarising the COVID-19 vaccine coverage by age group (18–64 years, 65–74 years and 75 years and over) and state or territory of residence for the past twelve months (16 September 2024 to 21 September 2025) and the past six months (17 March to 21 September 2025). "/>
      </w:tblPr>
      <w:tblGrid>
        <w:gridCol w:w="3086"/>
        <w:gridCol w:w="742"/>
        <w:gridCol w:w="805"/>
        <w:gridCol w:w="717"/>
        <w:gridCol w:w="717"/>
        <w:gridCol w:w="717"/>
        <w:gridCol w:w="717"/>
        <w:gridCol w:w="717"/>
        <w:gridCol w:w="717"/>
        <w:gridCol w:w="817"/>
      </w:tblGrid>
      <w:tr w:rsidR="00741C0B" w14:paraId="3113388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88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(16 September 2024 to 21 September 2025)</w:t>
            </w:r>
          </w:p>
        </w:tc>
      </w:tr>
      <w:tr w:rsidR="00741C0B" w14:paraId="311338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741C0B" w14:paraId="311338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r>
      <w:tr w:rsidR="00741C0B" w14:paraId="311338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r>
      <w:tr w:rsidR="00741C0B" w14:paraId="311338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r>
      <w:tr w:rsidR="00741C0B" w14:paraId="311338B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(17 March 2025 to 21 September 2025)</w:t>
            </w:r>
          </w:p>
        </w:tc>
      </w:tr>
      <w:tr w:rsidR="00741C0B" w14:paraId="311338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41C0B" w14:paraId="311338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8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r>
      <w:tr w:rsidR="00741C0B" w14:paraId="311338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bl>
    <w:p w14:paraId="311338E1" w14:textId="77777777" w:rsidR="00741C0B" w:rsidRDefault="0067663B" w:rsidP="0088068D">
      <w:pPr>
        <w:pStyle w:val="Smalltext"/>
        <w:spacing w:after="240"/>
      </w:pPr>
      <w:r>
        <w:t xml:space="preserve">Source: Australian Immunisation Register (AIR) as </w:t>
      </w:r>
      <w:proofErr w:type="gramStart"/>
      <w:r>
        <w:t>at</w:t>
      </w:r>
      <w:proofErr w:type="gramEnd"/>
      <w:r>
        <w:t xml:space="preserve"> 22 September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311338E3" w14:textId="58130466" w:rsidR="00741C0B" w:rsidRDefault="0067663B" w:rsidP="00CD7001">
      <w:r>
        <w:t>Nationally, 3.6% of Aboriginal and Torres Strait Islander adults (aged 18 years or over) have received a COVID-19 vaccine in the last six months (Table 6).</w:t>
      </w:r>
    </w:p>
    <w:p w14:paraId="311338E4" w14:textId="77777777" w:rsidR="00741C0B" w:rsidRDefault="0067663B" w:rsidP="00FF4889">
      <w:pPr>
        <w:numPr>
          <w:ilvl w:val="0"/>
          <w:numId w:val="40"/>
        </w:numPr>
      </w:pPr>
      <w:r>
        <w:t>Nationally, fewer Aboriginal and Torres Strait Islander adults have received a COVID-19 vaccine in the last 12 months (4.7%; Table 6), compared to the 12 months prior (6.5% from 18 September 2023 to 15 September 2024).</w:t>
      </w:r>
    </w:p>
    <w:p w14:paraId="311338E5" w14:textId="77777777" w:rsidR="00741C0B" w:rsidRDefault="0067663B" w:rsidP="00FF4889">
      <w:pPr>
        <w:numPr>
          <w:ilvl w:val="0"/>
          <w:numId w:val="40"/>
        </w:numPr>
      </w:pPr>
      <w:r>
        <w:t>In the last 12 months, vaccine coverage decreased in all age groups of Aboriginal and Torres Strait Islander people, with the largest decrease seen in ≥ 75 years age group (from 34.5% in the 12 months prior to 27.4% in the last 12 months).</w:t>
      </w:r>
    </w:p>
    <w:p w14:paraId="311338E6" w14:textId="77777777" w:rsidR="00741C0B" w:rsidRDefault="0067663B" w:rsidP="00FF4889">
      <w:pPr>
        <w:numPr>
          <w:ilvl w:val="0"/>
          <w:numId w:val="40"/>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311338E7" w14:textId="77777777" w:rsidR="00741C0B" w:rsidRDefault="0067663B" w:rsidP="00FF4889">
      <w:pPr>
        <w:numPr>
          <w:ilvl w:val="0"/>
          <w:numId w:val="40"/>
        </w:numPr>
      </w:pPr>
      <w:r>
        <w:t>Among Aboriginal and Torres Strait Islander people, there is slight variation in vaccine coverage across jurisdictions, ranging from 2.6% in the NT to 9.7% in Tas (Table 6).</w:t>
      </w:r>
      <w:r>
        <w:br/>
      </w:r>
    </w:p>
    <w:p w14:paraId="046BCF44" w14:textId="77777777" w:rsidR="009052F1" w:rsidRDefault="009052F1">
      <w:pPr>
        <w:spacing w:before="0" w:after="0" w:line="240" w:lineRule="auto"/>
        <w:rPr>
          <w:b/>
          <w:bCs/>
        </w:rPr>
      </w:pPr>
      <w:r>
        <w:rPr>
          <w:b/>
          <w:bCs/>
        </w:rPr>
        <w:br w:type="page"/>
      </w:r>
    </w:p>
    <w:p w14:paraId="311338E8" w14:textId="056B676F" w:rsidR="00741C0B" w:rsidRDefault="0067663B">
      <w:r>
        <w:rPr>
          <w:b/>
          <w:bCs/>
        </w:rPr>
        <w:lastRenderedPageBreak/>
        <w:t>Table 6: COVID-19 vaccine coverage*</w:t>
      </w:r>
      <w:r>
        <w:rPr>
          <w:b/>
          <w:bCs/>
          <w:vertAlign w:val="superscript"/>
        </w:rPr>
        <w:t>†‡</w:t>
      </w:r>
      <w:r>
        <w:rPr>
          <w:b/>
          <w:bCs/>
        </w:rPr>
        <w:t xml:space="preserve"> among Aboriginal and Torres Strait Islander populations by age group and jurisdiction, Australia, 16 September 2024 to 21 September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
        <w:tblDescription w:val="A table summarising the COVID-19 vaccine coverage among Aboriginal and Torres Strait Islander populations by age group (18–64 years, 65–74 years and 75 years and over) and state or territory of residence for the past twelve months (16 September 2024 to 21 September 2025) and the past six months (17 March to 21 September 2025). "/>
      </w:tblPr>
      <w:tblGrid>
        <w:gridCol w:w="3086"/>
        <w:gridCol w:w="742"/>
        <w:gridCol w:w="805"/>
        <w:gridCol w:w="717"/>
        <w:gridCol w:w="717"/>
        <w:gridCol w:w="717"/>
        <w:gridCol w:w="717"/>
        <w:gridCol w:w="717"/>
        <w:gridCol w:w="717"/>
        <w:gridCol w:w="817"/>
      </w:tblGrid>
      <w:tr w:rsidR="00741C0B" w14:paraId="311338F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8F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(16 September 2024 to 21 September 2025)</w:t>
            </w:r>
          </w:p>
        </w:tc>
      </w:tr>
      <w:tr w:rsidR="00741C0B" w14:paraId="311339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741C0B" w14:paraId="311339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741C0B" w14:paraId="311339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741C0B" w14:paraId="311339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741C0B" w14:paraId="311339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(17 March 2025 to 21 September 2025)</w:t>
            </w:r>
          </w:p>
        </w:tc>
      </w:tr>
      <w:tr w:rsidR="00741C0B" w14:paraId="311339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741C0B" w14:paraId="311339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r>
      <w:tr w:rsidR="00741C0B" w14:paraId="311339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41C0B" w14:paraId="311339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bl>
    <w:p w14:paraId="31133950"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31133951" w14:textId="6C9CA62D" w:rsidR="00741C0B" w:rsidRDefault="00741C0B"/>
    <w:p w14:paraId="31133952" w14:textId="77777777" w:rsidR="00741C0B" w:rsidRDefault="0067663B" w:rsidP="00FF4889">
      <w:pPr>
        <w:numPr>
          <w:ilvl w:val="0"/>
          <w:numId w:val="41"/>
        </w:numPr>
      </w:pPr>
      <w:r>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1133953" w14:textId="77777777" w:rsidR="00741C0B" w:rsidRDefault="0067663B" w:rsidP="00FF4889">
      <w:pPr>
        <w:numPr>
          <w:ilvl w:val="1"/>
          <w:numId w:val="42"/>
        </w:numPr>
      </w:pPr>
      <w:r>
        <w:t xml:space="preserve">More information on influenza vaccines in Australia is available via the </w:t>
      </w:r>
      <w:hyperlink r:id="rId83">
        <w:r w:rsidR="00741C0B">
          <w:rPr>
            <w:rStyle w:val="Hyperlink"/>
          </w:rPr>
          <w:t>department’s influenza vaccine webpages</w:t>
        </w:r>
      </w:hyperlink>
      <w:r>
        <w:t xml:space="preserve"> or from </w:t>
      </w:r>
      <w:hyperlink r:id="rId84">
        <w:r w:rsidR="00741C0B">
          <w:rPr>
            <w:rStyle w:val="Hyperlink"/>
          </w:rPr>
          <w:t>NCIRS</w:t>
        </w:r>
      </w:hyperlink>
      <w:r>
        <w:t>.</w:t>
      </w:r>
    </w:p>
    <w:p w14:paraId="31133954" w14:textId="5ECA3721" w:rsidR="00741C0B" w:rsidRDefault="0067663B" w:rsidP="00FF4889">
      <w:pPr>
        <w:numPr>
          <w:ilvl w:val="0"/>
          <w:numId w:val="41"/>
        </w:numPr>
      </w:pPr>
      <w:r>
        <w:t xml:space="preserve">Nationally, influenza vaccine coverage is 30.5% for 2025 so far (Table 7); however, remains lower than coverage at the same time in 2023 and </w:t>
      </w:r>
      <w:proofErr w:type="gramStart"/>
      <w:r>
        <w:t>2022 .</w:t>
      </w:r>
      <w:proofErr w:type="gramEnd"/>
    </w:p>
    <w:p w14:paraId="31133955" w14:textId="77777777" w:rsidR="00741C0B" w:rsidRDefault="0067663B" w:rsidP="00FF4889">
      <w:pPr>
        <w:numPr>
          <w:ilvl w:val="0"/>
          <w:numId w:val="41"/>
        </w:numPr>
      </w:pPr>
      <w:r>
        <w:t>There is substantial variation in influenza vaccine coverage across age groups, ranging from 14.7% in children aged 5–14 years to 61.2% in adults aged 65 years and over (Table 7). The current trend should be interpreted with care as people aged 5–64 years are generally not eligible for free seasonal influenza vaccine under the National Immunisation Program.</w:t>
      </w:r>
    </w:p>
    <w:p w14:paraId="31133956" w14:textId="77777777" w:rsidR="00741C0B" w:rsidRDefault="0067663B" w:rsidP="00FF4889">
      <w:pPr>
        <w:numPr>
          <w:ilvl w:val="0"/>
          <w:numId w:val="41"/>
        </w:numPr>
      </w:pPr>
      <w:r>
        <w:t>There is some variation in influenza vaccine coverage across jurisdictions, ranging from 24.8% in the NT to 39.8% in the ACT (Table 7).</w:t>
      </w:r>
    </w:p>
    <w:p w14:paraId="31133957" w14:textId="77777777" w:rsidR="00741C0B" w:rsidRDefault="0067663B" w:rsidP="00FF4889">
      <w:pPr>
        <w:numPr>
          <w:ilvl w:val="0"/>
          <w:numId w:val="41"/>
        </w:numPr>
      </w:pPr>
      <w:r>
        <w:t>Among Aboriginal and Torres Strait Islander populations, there is substantial variation in influenza vaccine coverage across age groups, ranging from 11.9% in children aged 5–14 years to 57.5% in adults aged 65 years and over (Table 7).</w:t>
      </w:r>
    </w:p>
    <w:p w14:paraId="31133958" w14:textId="77777777" w:rsidR="00741C0B" w:rsidRDefault="0067663B" w:rsidP="00FF4889">
      <w:pPr>
        <w:numPr>
          <w:ilvl w:val="0"/>
          <w:numId w:val="41"/>
        </w:numPr>
      </w:pPr>
      <w:r>
        <w:t>Among Aboriginal and Torres Strait Islander populations, there is some variation in influenza vaccine coverage across jurisdictions, ranging from 13.9% in the ACT to 32.7% in the NT (Table 7).</w:t>
      </w:r>
      <w:r>
        <w:br/>
      </w:r>
    </w:p>
    <w:p w14:paraId="26257986" w14:textId="77777777" w:rsidR="00CD7001" w:rsidRDefault="00CD7001">
      <w:pPr>
        <w:spacing w:before="0" w:after="0" w:line="240" w:lineRule="auto"/>
        <w:rPr>
          <w:b/>
          <w:bCs/>
        </w:rPr>
      </w:pPr>
      <w:r>
        <w:rPr>
          <w:b/>
          <w:bCs/>
        </w:rPr>
        <w:br w:type="page"/>
      </w:r>
    </w:p>
    <w:p w14:paraId="31133959" w14:textId="50A0067B" w:rsidR="00741C0B" w:rsidRDefault="0067663B">
      <w:r>
        <w:rPr>
          <w:b/>
          <w:bCs/>
        </w:rPr>
        <w:lastRenderedPageBreak/>
        <w:t>Table 7: Influenza vaccine coverage*</w:t>
      </w:r>
      <w:r>
        <w:rPr>
          <w:b/>
          <w:bCs/>
          <w:vertAlign w:val="superscript"/>
        </w:rPr>
        <w:t>†‡</w:t>
      </w:r>
      <w:r>
        <w:rPr>
          <w:b/>
          <w:bCs/>
        </w:rPr>
        <w:t xml:space="preserve"> by age group and jurisdiction, Australia, 1 March to 21 September 2025</w:t>
      </w:r>
    </w:p>
    <w:tbl>
      <w:tblPr>
        <w:tblW w:w="5000" w:type="pct"/>
        <w:jc w:val="center"/>
        <w:tblLook w:val="0420" w:firstRow="1" w:lastRow="0" w:firstColumn="0" w:lastColumn="0" w:noHBand="0" w:noVBand="1"/>
        <w:tblCaption w:val="Table 7: Influenza vaccine coverage*†‡ by age group and jurisdiction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1 September 2025. "/>
      </w:tblPr>
      <w:tblGrid>
        <w:gridCol w:w="3126"/>
        <w:gridCol w:w="737"/>
        <w:gridCol w:w="799"/>
        <w:gridCol w:w="713"/>
        <w:gridCol w:w="713"/>
        <w:gridCol w:w="713"/>
        <w:gridCol w:w="713"/>
        <w:gridCol w:w="713"/>
        <w:gridCol w:w="713"/>
        <w:gridCol w:w="812"/>
      </w:tblGrid>
      <w:tr w:rsidR="00741C0B" w14:paraId="3113396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A"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96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41C0B" w14:paraId="311339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r>
      <w:tr w:rsidR="00741C0B" w14:paraId="311339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r>
      <w:tr w:rsidR="00741C0B" w14:paraId="311339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9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r>
      <w:tr w:rsidR="00741C0B" w14:paraId="311339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r>
      <w:tr w:rsidR="00741C0B" w14:paraId="311339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r>
      <w:tr w:rsidR="00741C0B" w14:paraId="311339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41C0B" w14:paraId="311339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r>
      <w:tr w:rsidR="00741C0B" w14:paraId="311339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741C0B" w14:paraId="311339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r>
      <w:tr w:rsidR="00741C0B" w14:paraId="311339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r>
      <w:tr w:rsidR="00741C0B" w14:paraId="311339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57.5</w:t>
            </w:r>
          </w:p>
        </w:tc>
      </w:tr>
      <w:tr w:rsidR="00741C0B" w14:paraId="311339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r>
    </w:tbl>
    <w:p w14:paraId="311339EE" w14:textId="38BA15B6" w:rsidR="00741C0B" w:rsidRDefault="0067663B" w:rsidP="00CD7001">
      <w:pPr>
        <w:pStyle w:val="Smalltext"/>
      </w:pPr>
      <w:r>
        <w:t xml:space="preserve">Source: Australian Immunisation Register (AIR) as </w:t>
      </w:r>
      <w:proofErr w:type="gramStart"/>
      <w:r>
        <w:t>at</w:t>
      </w:r>
      <w:proofErr w:type="gramEnd"/>
      <w:r>
        <w:t xml:space="preserve"> 22 September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311339EF" w14:textId="77777777" w:rsidR="00741C0B" w:rsidRDefault="0067663B" w:rsidP="00FF4889">
      <w:pPr>
        <w:numPr>
          <w:ilvl w:val="0"/>
          <w:numId w:val="43"/>
        </w:numPr>
      </w:pPr>
      <w:r>
        <w:t xml:space="preserve">Infants can be protected against severe illness from RSV through the vaccination of pregnant people or the direct administration of monoclonal antibodies like </w:t>
      </w:r>
      <w:proofErr w:type="spellStart"/>
      <w:r>
        <w:t>nirsevimab</w:t>
      </w:r>
      <w:proofErr w:type="spellEnd"/>
      <w:r>
        <w:t xml:space="preserve">. These are part of the National RSV Maternal and Infant Protection Program which launched on 3 February 2025 and includes both the National Immunisation Program funded </w:t>
      </w:r>
      <w:proofErr w:type="spellStart"/>
      <w:r>
        <w:t>Abrysvo</w:t>
      </w:r>
      <w:proofErr w:type="spellEnd"/>
      <w:r>
        <w:t xml:space="preserve"> vaccine and jurisdictional </w:t>
      </w:r>
      <w:proofErr w:type="spellStart"/>
      <w:r>
        <w:t>nirsevimab</w:t>
      </w:r>
      <w:proofErr w:type="spellEnd"/>
      <w:r>
        <w:t xml:space="preserve"> programs.</w:t>
      </w:r>
    </w:p>
    <w:p w14:paraId="311339F0" w14:textId="77777777" w:rsidR="00741C0B" w:rsidRDefault="0067663B" w:rsidP="00FF4889">
      <w:pPr>
        <w:numPr>
          <w:ilvl w:val="1"/>
          <w:numId w:val="44"/>
        </w:numPr>
      </w:pPr>
      <w:r>
        <w:t xml:space="preserve">More information on RSV immunisation in Australia is available via the </w:t>
      </w:r>
      <w:hyperlink r:id="rId85">
        <w:r w:rsidR="00741C0B">
          <w:rPr>
            <w:rStyle w:val="Hyperlink"/>
          </w:rPr>
          <w:t>department’s RSV vaccine webpages</w:t>
        </w:r>
      </w:hyperlink>
      <w:r>
        <w:t xml:space="preserve"> or from </w:t>
      </w:r>
      <w:hyperlink r:id="rId86">
        <w:r w:rsidR="00741C0B">
          <w:rPr>
            <w:rStyle w:val="Hyperlink"/>
          </w:rPr>
          <w:t>NCIRS</w:t>
        </w:r>
      </w:hyperlink>
      <w:r>
        <w:t>.</w:t>
      </w:r>
    </w:p>
    <w:p w14:paraId="311339F1" w14:textId="77777777" w:rsidR="00741C0B" w:rsidRDefault="0067663B" w:rsidP="00FF4889">
      <w:pPr>
        <w:numPr>
          <w:ilvl w:val="0"/>
          <w:numId w:val="43"/>
        </w:numPr>
      </w:pPr>
      <w:r>
        <w:t xml:space="preserve">Since the commencement of the National RSV Mother and Infant Protection Program, 125,123 </w:t>
      </w:r>
      <w:proofErr w:type="spellStart"/>
      <w:r>
        <w:t>Abrysvo</w:t>
      </w:r>
      <w:proofErr w:type="spellEnd"/>
      <w:r>
        <w:t xml:space="preserve"> doses have been administered to pregnant people nationally (Table 8).</w:t>
      </w:r>
    </w:p>
    <w:p w14:paraId="311339F2" w14:textId="77777777" w:rsidR="00741C0B" w:rsidRDefault="0067663B" w:rsidP="00FF4889">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r>
        <w:br/>
      </w:r>
    </w:p>
    <w:p w14:paraId="047BA2DC" w14:textId="77777777" w:rsidR="00CD7001" w:rsidRDefault="00CD7001">
      <w:pPr>
        <w:spacing w:before="0" w:after="0" w:line="240" w:lineRule="auto"/>
        <w:rPr>
          <w:b/>
          <w:bCs/>
        </w:rPr>
      </w:pPr>
      <w:r>
        <w:rPr>
          <w:b/>
          <w:bCs/>
        </w:rPr>
        <w:br w:type="page"/>
      </w:r>
    </w:p>
    <w:p w14:paraId="311339F3" w14:textId="55DFC454" w:rsidR="00741C0B" w:rsidRDefault="0067663B">
      <w:r>
        <w:rPr>
          <w:b/>
          <w:bCs/>
        </w:rPr>
        <w:lastRenderedPageBreak/>
        <w:t xml:space="preserve">Table 8: Number of doses of </w:t>
      </w:r>
      <w:proofErr w:type="spellStart"/>
      <w:r>
        <w:rPr>
          <w:b/>
          <w:bCs/>
        </w:rPr>
        <w:t>Abrysvo</w:t>
      </w:r>
      <w:proofErr w:type="spellEnd"/>
      <w:r>
        <w:rPr>
          <w:b/>
          <w:bCs/>
        </w:rPr>
        <w:t xml:space="preserve"> administered to pregnant people by jurisdiction*, Australia, 3 February to 21 September 2025</w:t>
      </w:r>
    </w:p>
    <w:tbl>
      <w:tblPr>
        <w:tblW w:w="5000" w:type="pct"/>
        <w:jc w:val="center"/>
        <w:tblLook w:val="0420" w:firstRow="1" w:lastRow="0" w:firstColumn="0" w:lastColumn="0" w:noHBand="0" w:noVBand="1"/>
        <w:tblCaption w:val="Table 8: Number of doses of Abrysvo administered to pregnant people by jurisdiction "/>
        <w:tblDescription w:val="A table summarising the number of Abrysvo doses administered by age group (15–24 years, 25–39 years, 40–54 years) and state or territory of residence for the period 3 February to 21 September 2025). "/>
      </w:tblPr>
      <w:tblGrid>
        <w:gridCol w:w="2057"/>
        <w:gridCol w:w="779"/>
        <w:gridCol w:w="894"/>
        <w:gridCol w:w="778"/>
        <w:gridCol w:w="893"/>
        <w:gridCol w:w="778"/>
        <w:gridCol w:w="778"/>
        <w:gridCol w:w="893"/>
        <w:gridCol w:w="893"/>
        <w:gridCol w:w="1009"/>
      </w:tblGrid>
      <w:tr w:rsidR="00741C0B" w14:paraId="311339F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4"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A0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41C0B" w14:paraId="31133A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10,472</w:t>
            </w:r>
          </w:p>
        </w:tc>
      </w:tr>
      <w:tr w:rsidR="00741C0B" w14:paraId="31133A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107,937</w:t>
            </w:r>
          </w:p>
        </w:tc>
      </w:tr>
      <w:tr w:rsidR="00741C0B" w14:paraId="31133A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6,714</w:t>
            </w:r>
          </w:p>
        </w:tc>
      </w:tr>
      <w:tr w:rsidR="00741C0B" w14:paraId="31133A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125,123</w:t>
            </w:r>
          </w:p>
        </w:tc>
      </w:tr>
    </w:tbl>
    <w:p w14:paraId="31133A2D"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Jurisdiction is based on the state or territory in which a vaccine was administered and may differ from a person’s residential address. Total rows will include individuals where jurisdiction was missing.</w:t>
      </w:r>
      <w:r>
        <w:br/>
      </w:r>
    </w:p>
    <w:p w14:paraId="31133A2E" w14:textId="77777777" w:rsidR="00741C0B" w:rsidRDefault="0067663B" w:rsidP="00FF4889">
      <w:pPr>
        <w:numPr>
          <w:ilvl w:val="0"/>
          <w:numId w:val="45"/>
        </w:numPr>
      </w:pPr>
      <w:r>
        <w:t xml:space="preserve">In the last six months, 20.8% of infants (aged &lt; 8 months) have received </w:t>
      </w:r>
      <w:proofErr w:type="spellStart"/>
      <w:r>
        <w:t>nirsevimab</w:t>
      </w:r>
      <w:proofErr w:type="spellEnd"/>
      <w:r>
        <w:t xml:space="preserve"> (Table 9).</w:t>
      </w:r>
    </w:p>
    <w:p w14:paraId="31133A2F" w14:textId="77777777" w:rsidR="00741C0B" w:rsidRDefault="0067663B" w:rsidP="00FF4889">
      <w:pPr>
        <w:numPr>
          <w:ilvl w:val="0"/>
          <w:numId w:val="45"/>
        </w:numPr>
      </w:pPr>
      <w:r>
        <w:t xml:space="preserve">There is substantial variation in </w:t>
      </w:r>
      <w:proofErr w:type="spellStart"/>
      <w:r>
        <w:t>nirsevimab</w:t>
      </w:r>
      <w:proofErr w:type="spellEnd"/>
      <w:r>
        <w:t xml:space="preserve"> uptake in infants across jurisdictions, ranging from 13.1% in NSW to 40.9% in WA (Table 9).</w:t>
      </w:r>
    </w:p>
    <w:p w14:paraId="31133A30" w14:textId="77777777" w:rsidR="00741C0B" w:rsidRDefault="0067663B" w:rsidP="00FF4889">
      <w:pPr>
        <w:numPr>
          <w:ilvl w:val="0"/>
          <w:numId w:val="45"/>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r>
        <w:br/>
      </w:r>
    </w:p>
    <w:p w14:paraId="31133A31" w14:textId="77777777" w:rsidR="00741C0B" w:rsidRDefault="0067663B">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17 March 2025 to 21 September 2025</w:t>
      </w:r>
    </w:p>
    <w:tbl>
      <w:tblPr>
        <w:tblW w:w="5000" w:type="pct"/>
        <w:jc w:val="center"/>
        <w:tblLook w:val="0420" w:firstRow="1" w:lastRow="0" w:firstColumn="0" w:lastColumn="0" w:noHBand="0" w:noVBand="1"/>
        <w:tblCaption w:val="Table 9: Nirsevimab (Beyfortus) coverage*†‡ by age group and jurisdiction "/>
        <w:tblDescription w:val="A table summarising the nirsevimab coverage by age group (&lt; 8 months and ≥ 8 to 24 months) and state or territory of residence for the period 24 February to 21 September 2025. "/>
      </w:tblPr>
      <w:tblGrid>
        <w:gridCol w:w="3778"/>
        <w:gridCol w:w="663"/>
        <w:gridCol w:w="721"/>
        <w:gridCol w:w="643"/>
        <w:gridCol w:w="643"/>
        <w:gridCol w:w="643"/>
        <w:gridCol w:w="643"/>
        <w:gridCol w:w="643"/>
        <w:gridCol w:w="643"/>
        <w:gridCol w:w="732"/>
      </w:tblGrid>
      <w:tr w:rsidR="00741C0B" w14:paraId="31133A3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2"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A3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41C0B" w14:paraId="31133A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r>
      <w:tr w:rsidR="00741C0B" w14:paraId="31133A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31133A55"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r>
        <w:br/>
      </w:r>
    </w:p>
    <w:p w14:paraId="6CA48182" w14:textId="77777777" w:rsidR="00CD7001" w:rsidRDefault="00CD7001">
      <w:pPr>
        <w:spacing w:before="0" w:after="0" w:line="240" w:lineRule="auto"/>
        <w:rPr>
          <w:rFonts w:cs="Arial"/>
          <w:b/>
          <w:bCs/>
          <w:sz w:val="32"/>
          <w:szCs w:val="26"/>
        </w:rPr>
      </w:pPr>
      <w:bookmarkStart w:id="9" w:name="vaccine-effectiveness"/>
      <w:bookmarkEnd w:id="8"/>
      <w:r>
        <w:br w:type="page"/>
      </w:r>
    </w:p>
    <w:p w14:paraId="31133A56" w14:textId="16238B52" w:rsidR="00741C0B" w:rsidRDefault="0067663B">
      <w:pPr>
        <w:pStyle w:val="Heading3"/>
      </w:pPr>
      <w:r>
        <w:lastRenderedPageBreak/>
        <w:t>Vaccine effectiveness</w:t>
      </w:r>
      <w:r w:rsidR="00443909">
        <w:t xml:space="preserve"> Estimates</w:t>
      </w:r>
    </w:p>
    <w:p w14:paraId="599B77DB" w14:textId="2AB43553" w:rsidR="00296C46" w:rsidRDefault="00146BC1" w:rsidP="00D77392">
      <w:pPr>
        <w:pStyle w:val="Heading4"/>
      </w:pPr>
      <w:r>
        <w:t xml:space="preserve">ASPREN and </w:t>
      </w:r>
      <w:proofErr w:type="spellStart"/>
      <w:r>
        <w:t>FluCAN</w:t>
      </w:r>
      <w:proofErr w:type="spellEnd"/>
      <w:r>
        <w:t xml:space="preserve"> for the Global Influenza Vaccine Effectiveness (GIVE) Collaboration</w:t>
      </w:r>
    </w:p>
    <w:p w14:paraId="3FA69232" w14:textId="215D0706" w:rsidR="00FF4E32" w:rsidRDefault="00D95141" w:rsidP="00FF4E32">
      <w:pPr>
        <w:pStyle w:val="ListParagraph"/>
        <w:numPr>
          <w:ilvl w:val="0"/>
          <w:numId w:val="51"/>
        </w:numPr>
      </w:pPr>
      <w:r w:rsidRPr="00D95141">
        <w:t xml:space="preserve">Vaccine effectiveness is the reduction in risk of influenza and its complications in those vaccinated, compared to those not vaccinated. </w:t>
      </w:r>
      <w:r w:rsidR="00105771">
        <w:t xml:space="preserve">Initial </w:t>
      </w:r>
      <w:r w:rsidRPr="00D95141">
        <w:t xml:space="preserve">Australian studies suggest that in 2025, vaccinated individuals are roughly </w:t>
      </w:r>
      <w:r w:rsidR="003B1388">
        <w:t>53</w:t>
      </w:r>
      <w:r w:rsidRPr="00D95141">
        <w:t>% less likely to attend general practice or be hospitalised with influenza than unvaccinated people.</w:t>
      </w:r>
    </w:p>
    <w:p w14:paraId="74436812" w14:textId="0310DB78" w:rsidR="00D95141" w:rsidRDefault="00D95141" w:rsidP="00FF4E32">
      <w:pPr>
        <w:pStyle w:val="ListParagraph"/>
        <w:numPr>
          <w:ilvl w:val="0"/>
          <w:numId w:val="51"/>
        </w:numPr>
      </w:pPr>
      <w:r w:rsidRPr="00D95141">
        <w:t>Estimated vaccine effectiveness against general practice attendance with influenza</w:t>
      </w:r>
      <w:r w:rsidR="0034024D">
        <w:t xml:space="preserve"> overall</w:t>
      </w:r>
      <w:r w:rsidRPr="00D95141">
        <w:t xml:space="preserve"> </w:t>
      </w:r>
      <w:r w:rsidR="00BA0FB7">
        <w:t>is</w:t>
      </w:r>
      <w:r w:rsidRPr="00D95141">
        <w:t xml:space="preserve"> 56% (95% Confidence Interval [CI]: 40%, 68%). </w:t>
      </w:r>
    </w:p>
    <w:p w14:paraId="101A11BB" w14:textId="08653A67" w:rsidR="00AF118C" w:rsidRPr="00D95141" w:rsidRDefault="00AF118C" w:rsidP="00296C46">
      <w:pPr>
        <w:numPr>
          <w:ilvl w:val="1"/>
          <w:numId w:val="49"/>
        </w:numPr>
      </w:pPr>
      <w:r w:rsidRPr="00D95141">
        <w:t xml:space="preserve">Estimated vaccine effectiveness against general practice attendance with influenza A(H1N1) </w:t>
      </w:r>
      <w:r w:rsidR="0046420E">
        <w:t>is</w:t>
      </w:r>
      <w:r w:rsidRPr="00D95141">
        <w:t xml:space="preserve"> 51% (95% CI: 26%, 67%)</w:t>
      </w:r>
      <w:r>
        <w:t xml:space="preserve">. No estimates are available for </w:t>
      </w:r>
      <w:r w:rsidR="00125352" w:rsidRPr="00D95141">
        <w:t>vaccine effectiveness against general practice attendance with influenza A(H3N2)</w:t>
      </w:r>
      <w:r w:rsidR="00006380">
        <w:t xml:space="preserve"> due to low case numbers</w:t>
      </w:r>
      <w:r w:rsidR="00125352">
        <w:t>.</w:t>
      </w:r>
    </w:p>
    <w:p w14:paraId="3AAD5935" w14:textId="190F18DA" w:rsidR="00AF118C" w:rsidRDefault="00EE036A" w:rsidP="00296C46">
      <w:pPr>
        <w:numPr>
          <w:ilvl w:val="1"/>
          <w:numId w:val="49"/>
        </w:numPr>
      </w:pPr>
      <w:r w:rsidRPr="00D95141">
        <w:t xml:space="preserve">Estimated vaccine effectiveness against general practice attendance with influenza B </w:t>
      </w:r>
      <w:r w:rsidR="00006380">
        <w:t>is</w:t>
      </w:r>
      <w:r w:rsidRPr="00D95141">
        <w:t xml:space="preserve"> 60% (95% CI: 27%, 78%).</w:t>
      </w:r>
    </w:p>
    <w:p w14:paraId="481663E1" w14:textId="6A855E49" w:rsidR="00951606" w:rsidRDefault="00951606" w:rsidP="00296C46">
      <w:pPr>
        <w:numPr>
          <w:ilvl w:val="1"/>
          <w:numId w:val="49"/>
        </w:numPr>
      </w:pPr>
      <w:r w:rsidRPr="00D95141">
        <w:t xml:space="preserve">Estimated vaccine effectiveness against general practice attendance with influenza </w:t>
      </w:r>
      <w:r w:rsidR="00E51874">
        <w:t>is</w:t>
      </w:r>
      <w:r w:rsidRPr="00D95141">
        <w:t xml:space="preserve"> comparable </w:t>
      </w:r>
      <w:r>
        <w:t>between</w:t>
      </w:r>
      <w:r w:rsidRPr="00D95141">
        <w:t xml:space="preserve"> children </w:t>
      </w:r>
      <w:r>
        <w:t>(less than</w:t>
      </w:r>
      <w:r w:rsidR="00845255">
        <w:t xml:space="preserve"> </w:t>
      </w:r>
      <w:r w:rsidRPr="00D95141">
        <w:t>18 years</w:t>
      </w:r>
      <w:r>
        <w:t>)</w:t>
      </w:r>
      <w:r w:rsidRPr="00D95141">
        <w:t xml:space="preserve"> (61%, 95% CI: 20%, 81%)</w:t>
      </w:r>
      <w:r>
        <w:t xml:space="preserve"> and </w:t>
      </w:r>
      <w:r w:rsidRPr="00D95141">
        <w:t>adults aged 65 years and over (62%, % CI: 41%, 75%), and lower in those aged 18–64 year</w:t>
      </w:r>
      <w:r>
        <w:t>s</w:t>
      </w:r>
      <w:r w:rsidRPr="00D95141">
        <w:t xml:space="preserve"> (32%, 95% CI: -38%, 66%). </w:t>
      </w:r>
    </w:p>
    <w:p w14:paraId="0A1D3DDE" w14:textId="12996B6C" w:rsidR="00FF4E32" w:rsidRDefault="00296C46" w:rsidP="00FF4E32">
      <w:pPr>
        <w:numPr>
          <w:ilvl w:val="1"/>
          <w:numId w:val="49"/>
        </w:numPr>
      </w:pPr>
      <w:r w:rsidRPr="00D95141">
        <w:t xml:space="preserve">These </w:t>
      </w:r>
      <w:r w:rsidR="00F84B5E">
        <w:t xml:space="preserve">vaccine effectiveness </w:t>
      </w:r>
      <w:r w:rsidRPr="00D95141">
        <w:t xml:space="preserve">estimates against general practice attendance for influenza </w:t>
      </w:r>
      <w:r w:rsidR="00004E62">
        <w:t>are</w:t>
      </w:r>
      <w:r w:rsidRPr="00D95141">
        <w:t xml:space="preserve"> slightly lower than </w:t>
      </w:r>
      <w:r w:rsidR="00004E62">
        <w:t xml:space="preserve">observed </w:t>
      </w:r>
      <w:r w:rsidRPr="00D95141">
        <w:t>in 2024 (62%</w:t>
      </w:r>
      <w:r w:rsidR="00AB721C">
        <w:t xml:space="preserve"> overall</w:t>
      </w:r>
      <w:r w:rsidRPr="00D95141">
        <w:t xml:space="preserve">, 95%CI: 45 to 74). </w:t>
      </w:r>
      <w:r>
        <w:t>Vaccine effectiveness estimates</w:t>
      </w:r>
      <w:r w:rsidRPr="00D95141">
        <w:t xml:space="preserve"> w</w:t>
      </w:r>
      <w:r>
        <w:t>ere</w:t>
      </w:r>
      <w:r w:rsidRPr="00D95141">
        <w:t xml:space="preserve"> higher in th</w:t>
      </w:r>
      <w:r>
        <w:t>ose</w:t>
      </w:r>
      <w:r w:rsidRPr="00D95141">
        <w:t xml:space="preserve"> 65</w:t>
      </w:r>
      <w:r>
        <w:t xml:space="preserve"> years and over </w:t>
      </w:r>
      <w:r w:rsidRPr="00D95141">
        <w:t xml:space="preserve">in 2024 and lower in </w:t>
      </w:r>
      <w:r>
        <w:t xml:space="preserve">children (less than18 years) </w:t>
      </w:r>
      <w:r w:rsidRPr="00D95141">
        <w:t xml:space="preserve">in 2024 compared to 2025.  Notably, </w:t>
      </w:r>
      <w:r>
        <w:t xml:space="preserve">vaccine effectiveness estimates </w:t>
      </w:r>
      <w:r w:rsidRPr="00D95141">
        <w:t>against general practice attendance with influenza A H1N1, which also circulated at high levels in 2024, w</w:t>
      </w:r>
      <w:r w:rsidR="00386683">
        <w:t>ere</w:t>
      </w:r>
      <w:r w:rsidRPr="00D95141">
        <w:t xml:space="preserve"> </w:t>
      </w:r>
      <w:r w:rsidR="0082266B">
        <w:t>substantially</w:t>
      </w:r>
      <w:r w:rsidRPr="00D95141">
        <w:t xml:space="preserve"> lower in 2025</w:t>
      </w:r>
      <w:r w:rsidR="004F3A3F">
        <w:t xml:space="preserve"> than in 2024</w:t>
      </w:r>
      <w:r w:rsidRPr="00D95141">
        <w:t xml:space="preserve"> (74%, 95%CI: 45 to 88 in 2024). </w:t>
      </w:r>
    </w:p>
    <w:p w14:paraId="58FC678F" w14:textId="70541BBB" w:rsidR="00D95141" w:rsidRPr="00D95141" w:rsidRDefault="00D95141" w:rsidP="00FF4E32">
      <w:pPr>
        <w:numPr>
          <w:ilvl w:val="0"/>
          <w:numId w:val="52"/>
        </w:numPr>
      </w:pPr>
      <w:r w:rsidRPr="00D95141">
        <w:t xml:space="preserve">Estimated vaccine effectiveness against hospitalisation </w:t>
      </w:r>
      <w:r w:rsidR="00263526">
        <w:t xml:space="preserve">with influenza overall </w:t>
      </w:r>
      <w:r w:rsidR="001663F8">
        <w:t>is</w:t>
      </w:r>
      <w:r w:rsidRPr="00D95141">
        <w:t xml:space="preserve"> 49% (95% CI: 42%, 56%). </w:t>
      </w:r>
    </w:p>
    <w:p w14:paraId="1E0A2DEB" w14:textId="551446E1" w:rsidR="00EE036A" w:rsidRDefault="00D95141" w:rsidP="00296C46">
      <w:pPr>
        <w:numPr>
          <w:ilvl w:val="1"/>
          <w:numId w:val="49"/>
        </w:numPr>
      </w:pPr>
      <w:r w:rsidRPr="00D95141">
        <w:t xml:space="preserve">Estimated vaccine effectiveness against hospitalisation with influenza A(H1N1) </w:t>
      </w:r>
      <w:r w:rsidR="00004E62">
        <w:t xml:space="preserve">is </w:t>
      </w:r>
      <w:r w:rsidRPr="00D95141">
        <w:t xml:space="preserve">42% (95% CI: 29%, 52%), and for influenza A(H3N2) </w:t>
      </w:r>
      <w:r w:rsidR="00183BEF">
        <w:t>is</w:t>
      </w:r>
      <w:r w:rsidRPr="00D95141">
        <w:t xml:space="preserve"> 60% (95% CI: 4%, 84%). </w:t>
      </w:r>
    </w:p>
    <w:p w14:paraId="450BE78E" w14:textId="3880B070" w:rsidR="00951606" w:rsidRDefault="00D95141" w:rsidP="00296C46">
      <w:pPr>
        <w:numPr>
          <w:ilvl w:val="1"/>
          <w:numId w:val="49"/>
        </w:numPr>
      </w:pPr>
      <w:r w:rsidRPr="00D95141">
        <w:t xml:space="preserve">Estimated vaccine effectiveness against hospitalisation with influenza B </w:t>
      </w:r>
      <w:r w:rsidR="00183BEF">
        <w:t>is</w:t>
      </w:r>
      <w:r w:rsidRPr="00D95141">
        <w:t xml:space="preserve"> 78% (95% CI: 68%, 85%). </w:t>
      </w:r>
    </w:p>
    <w:p w14:paraId="6091802A" w14:textId="24D22C9E" w:rsidR="00D95141" w:rsidRDefault="00D95141" w:rsidP="00296C46">
      <w:pPr>
        <w:numPr>
          <w:ilvl w:val="1"/>
          <w:numId w:val="49"/>
        </w:numPr>
      </w:pPr>
      <w:r w:rsidRPr="00D95141">
        <w:t xml:space="preserve">Estimated vaccine effectiveness against hospitalisation with influenza </w:t>
      </w:r>
      <w:r w:rsidR="00183BEF">
        <w:t>is</w:t>
      </w:r>
      <w:r w:rsidRPr="00D95141">
        <w:t xml:space="preserve"> </w:t>
      </w:r>
      <w:r w:rsidR="004904F8">
        <w:t xml:space="preserve">much </w:t>
      </w:r>
      <w:r w:rsidRPr="00D95141">
        <w:t xml:space="preserve">higher in children &lt;18 years of age (67%, 95% CI: 58%, 74%), compared to adults aged 65 years and over (38%, 95% CI: 19%, 52%), and those aged 18–64 year (22%, 95% CI: -5%, 43%). </w:t>
      </w:r>
    </w:p>
    <w:p w14:paraId="3AFA2D2B" w14:textId="4164D88D" w:rsidR="00296C46" w:rsidRPr="00D95141" w:rsidRDefault="00296C46" w:rsidP="00296C46">
      <w:pPr>
        <w:numPr>
          <w:ilvl w:val="1"/>
          <w:numId w:val="49"/>
        </w:numPr>
      </w:pPr>
      <w:r w:rsidRPr="00D95141">
        <w:t xml:space="preserve">These </w:t>
      </w:r>
      <w:r w:rsidR="00183BEF">
        <w:t xml:space="preserve">vaccine effectiveness </w:t>
      </w:r>
      <w:r w:rsidRPr="00D95141">
        <w:t>estimates against hospitalisation with influenza are lower when compared to 2024 estimates (56%</w:t>
      </w:r>
      <w:r w:rsidR="00183BEF">
        <w:t xml:space="preserve"> overall</w:t>
      </w:r>
      <w:r w:rsidRPr="00D95141">
        <w:t xml:space="preserve">, 95%CI: 48 to 63). </w:t>
      </w:r>
      <w:r>
        <w:t xml:space="preserve">Vaccine effectiveness estimates </w:t>
      </w:r>
      <w:r w:rsidRPr="00D95141">
        <w:t xml:space="preserve">in the 18 – 64 years and 65 years </w:t>
      </w:r>
      <w:r>
        <w:t xml:space="preserve">and over </w:t>
      </w:r>
      <w:r w:rsidRPr="00D95141">
        <w:t xml:space="preserve">age groups </w:t>
      </w:r>
      <w:r w:rsidR="00D35DF0">
        <w:t>are</w:t>
      </w:r>
      <w:r w:rsidRPr="00D95141">
        <w:t xml:space="preserve"> significantly lower compared to 2024 (60%, 95% CI: 35 to 77 and 81%, 95%CI: 50 to 93 respectively) </w:t>
      </w:r>
      <w:r w:rsidR="00D35DF0">
        <w:t>but</w:t>
      </w:r>
      <w:r w:rsidRPr="00D95141">
        <w:t xml:space="preserve"> remain consistent in </w:t>
      </w:r>
      <w:r>
        <w:t>children less than 18 years</w:t>
      </w:r>
      <w:r w:rsidRPr="00D95141">
        <w:t xml:space="preserve">. </w:t>
      </w:r>
    </w:p>
    <w:p w14:paraId="45E87474" w14:textId="467ACB0B" w:rsidR="00D95141" w:rsidRPr="009956A2" w:rsidRDefault="005B6DDE" w:rsidP="005B6DDE">
      <w:pPr>
        <w:rPr>
          <w:i/>
          <w:iCs/>
        </w:rPr>
      </w:pPr>
      <w:r w:rsidRPr="009956A2">
        <w:rPr>
          <w:i/>
          <w:iCs/>
        </w:rPr>
        <w:t>Please note, t</w:t>
      </w:r>
      <w:r w:rsidR="00D95141" w:rsidRPr="009956A2">
        <w:rPr>
          <w:i/>
          <w:iCs/>
        </w:rPr>
        <w:t xml:space="preserve">hese figures are based on </w:t>
      </w:r>
      <w:r w:rsidRPr="009956A2">
        <w:rPr>
          <w:i/>
          <w:iCs/>
        </w:rPr>
        <w:t xml:space="preserve">initial analyses </w:t>
      </w:r>
      <w:r w:rsidR="009956A2">
        <w:rPr>
          <w:i/>
          <w:iCs/>
        </w:rPr>
        <w:t>on</w:t>
      </w:r>
      <w:r w:rsidRPr="009956A2">
        <w:rPr>
          <w:i/>
          <w:iCs/>
        </w:rPr>
        <w:t xml:space="preserve"> </w:t>
      </w:r>
      <w:r w:rsidR="00D95141" w:rsidRPr="009956A2">
        <w:rPr>
          <w:i/>
          <w:iCs/>
        </w:rPr>
        <w:t xml:space="preserve">incomplete </w:t>
      </w:r>
      <w:proofErr w:type="gramStart"/>
      <w:r w:rsidR="00D95141" w:rsidRPr="009956A2">
        <w:rPr>
          <w:i/>
          <w:iCs/>
        </w:rPr>
        <w:t>data</w:t>
      </w:r>
      <w:proofErr w:type="gramEnd"/>
      <w:r w:rsidR="00D95141" w:rsidRPr="009956A2">
        <w:rPr>
          <w:i/>
          <w:iCs/>
        </w:rPr>
        <w:t xml:space="preserve"> and the final </w:t>
      </w:r>
      <w:r w:rsidRPr="009956A2">
        <w:rPr>
          <w:i/>
          <w:iCs/>
        </w:rPr>
        <w:t xml:space="preserve">vaccine effectiveness </w:t>
      </w:r>
      <w:r w:rsidR="00D95141" w:rsidRPr="009956A2">
        <w:rPr>
          <w:i/>
          <w:iCs/>
        </w:rPr>
        <w:t>estimates for 2025 may differ.</w:t>
      </w:r>
    </w:p>
    <w:p w14:paraId="31133A58" w14:textId="77777777" w:rsidR="00741C0B" w:rsidRDefault="0067663B">
      <w:pPr>
        <w:pStyle w:val="Heading3"/>
      </w:pPr>
      <w:bookmarkStart w:id="10" w:name="vaccine-match"/>
      <w:bookmarkEnd w:id="9"/>
      <w:r>
        <w:t>Vaccine match</w:t>
      </w:r>
    </w:p>
    <w:p w14:paraId="31133A59" w14:textId="77777777" w:rsidR="00741C0B" w:rsidRDefault="0067663B" w:rsidP="00FF4889">
      <w:pPr>
        <w:numPr>
          <w:ilvl w:val="0"/>
          <w:numId w:val="47"/>
        </w:numPr>
      </w:pPr>
      <w:r>
        <w:t xml:space="preserve">Refer to the </w:t>
      </w:r>
      <w:hyperlink r:id="rId87">
        <w:r w:rsidR="00741C0B">
          <w:rPr>
            <w:rStyle w:val="Hyperlink"/>
          </w:rPr>
          <w:t>Technical Supplement</w:t>
        </w:r>
      </w:hyperlink>
      <w:r>
        <w:t xml:space="preserve"> for information on the 2025 southern hemisphere influenza vaccines composition.</w:t>
      </w:r>
    </w:p>
    <w:p w14:paraId="31133A5A" w14:textId="77777777" w:rsidR="00741C0B" w:rsidRDefault="0067663B" w:rsidP="00FF4889">
      <w:pPr>
        <w:numPr>
          <w:ilvl w:val="0"/>
          <w:numId w:val="47"/>
        </w:numPr>
      </w:pPr>
      <w:r>
        <w:t xml:space="preserve">In the year to date, 99.4% (2,817/2,834) of influenza A(H1N1) isolates, 95.3% (301/316) of influenza A(H3N2) isolates and 98.2% (692/705)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741C0B" w:rsidSect="003D3A5D">
      <w:headerReference w:type="even" r:id="rId88"/>
      <w:footerReference w:type="even" r:id="rId89"/>
      <w:footerReference w:type="default" r:id="rId90"/>
      <w:headerReference w:type="first" r:id="rId91"/>
      <w:footerReference w:type="first" r:id="rId92"/>
      <w:type w:val="continuous"/>
      <w:pgSz w:w="11906" w:h="16838"/>
      <w:pgMar w:top="1077" w:right="1077" w:bottom="1077" w:left="1077" w:header="851" w:footer="5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A7F1F" w14:textId="77777777" w:rsidR="002C1B1A" w:rsidRDefault="002C1B1A">
      <w:pPr>
        <w:spacing w:before="0" w:after="0" w:line="240" w:lineRule="auto"/>
      </w:pPr>
      <w:r>
        <w:separator/>
      </w:r>
    </w:p>
  </w:endnote>
  <w:endnote w:type="continuationSeparator" w:id="0">
    <w:p w14:paraId="1187D058" w14:textId="77777777" w:rsidR="002C1B1A" w:rsidRDefault="002C1B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0997" w14:textId="279D1DAE" w:rsidR="00845C9A" w:rsidRDefault="00845C9A">
    <w:pPr>
      <w:pStyle w:val="Footer"/>
    </w:pPr>
    <w:r>
      <w:rPr>
        <w:noProof/>
      </w:rPr>
      <mc:AlternateContent>
        <mc:Choice Requires="wps">
          <w:drawing>
            <wp:anchor distT="0" distB="0" distL="0" distR="0" simplePos="0" relativeHeight="251663361" behindDoc="0" locked="0" layoutInCell="1" allowOverlap="1" wp14:anchorId="518866EA" wp14:editId="78E0FC84">
              <wp:simplePos x="635" y="635"/>
              <wp:positionH relativeFrom="page">
                <wp:align>center</wp:align>
              </wp:positionH>
              <wp:positionV relativeFrom="page">
                <wp:align>bottom</wp:align>
              </wp:positionV>
              <wp:extent cx="609600" cy="485775"/>
              <wp:effectExtent l="0" t="0" r="0" b="0"/>
              <wp:wrapNone/>
              <wp:docPr id="22075454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89168F8" w14:textId="5D74D9A5"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866EA" id="_x0000_t202" coordsize="21600,21600" o:spt="202" path="m,l,21600r21600,l21600,xe">
              <v:stroke joinstyle="miter"/>
              <v:path gradientshapeok="t" o:connecttype="rect"/>
            </v:shapetype>
            <v:shape id="Text Box 5" o:spid="_x0000_s1028" type="#_x0000_t202" alt="OFFICIAL" style="position:absolute;left:0;text-align:left;margin-left:0;margin-top:0;width:48pt;height:38.2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589168F8" w14:textId="5D74D9A5"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9" w14:textId="22A88D78" w:rsidR="00673A07" w:rsidRPr="00847FAC" w:rsidRDefault="00673A07">
    <w:pPr>
      <w:pStyle w:val="Footer"/>
      <w:jc w:val="center"/>
      <w:rPr>
        <w:b/>
        <w:bCs/>
      </w:rPr>
    </w:pPr>
  </w:p>
  <w:sdt>
    <w:sdtPr>
      <w:rPr>
        <w:sz w:val="16"/>
        <w:szCs w:val="20"/>
      </w:rPr>
      <w:id w:val="-215809206"/>
      <w:docPartObj>
        <w:docPartGallery w:val="Page Numbers (Bottom of Page)"/>
        <w:docPartUnique/>
      </w:docPartObj>
    </w:sdtPr>
    <w:sdtEndPr>
      <w:rPr>
        <w:noProof/>
        <w:szCs w:val="16"/>
      </w:rPr>
    </w:sdtEndPr>
    <w:sdtContent>
      <w:p w14:paraId="642C80C9" w14:textId="77777777" w:rsidR="00673A07" w:rsidRPr="00847FAC" w:rsidRDefault="0067663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B" w14:textId="4BAF88DE" w:rsidR="00673A07" w:rsidRDefault="0067663B">
    <w:pPr>
      <w:pStyle w:val="Footer"/>
    </w:pPr>
    <w:r>
      <w:rPr>
        <w:noProof/>
        <w:lang w:eastAsia="en-AU"/>
      </w:rPr>
      <w:drawing>
        <wp:anchor distT="0" distB="0" distL="114300" distR="114300" simplePos="0" relativeHeight="251658240" behindDoc="1" locked="1" layoutInCell="1" allowOverlap="1" wp14:anchorId="31133A8E" wp14:editId="28227D46">
          <wp:simplePos x="0" y="0"/>
          <wp:positionH relativeFrom="page">
            <wp:posOffset>-27940</wp:posOffset>
          </wp:positionH>
          <wp:positionV relativeFrom="page">
            <wp:posOffset>-10160</wp:posOffset>
          </wp:positionV>
          <wp:extent cx="7563485" cy="10690225"/>
          <wp:effectExtent l="0" t="0" r="5715" b="3175"/>
          <wp:wrapNone/>
          <wp:docPr id="1566809104" name="Picture 1566809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29FFF" w14:textId="77777777" w:rsidR="002C1B1A" w:rsidRDefault="002C1B1A">
      <w:r>
        <w:separator/>
      </w:r>
    </w:p>
  </w:footnote>
  <w:footnote w:type="continuationSeparator" w:id="0">
    <w:p w14:paraId="21038B23" w14:textId="77777777" w:rsidR="002C1B1A" w:rsidRDefault="002C1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CE4A" w14:textId="66AFC4E0" w:rsidR="00845C9A" w:rsidRDefault="00845C9A">
    <w:pPr>
      <w:pStyle w:val="Header"/>
    </w:pPr>
    <w:r>
      <w:rPr>
        <w:noProof/>
      </w:rPr>
      <mc:AlternateContent>
        <mc:Choice Requires="wps">
          <w:drawing>
            <wp:anchor distT="0" distB="0" distL="0" distR="0" simplePos="0" relativeHeight="251660289" behindDoc="0" locked="0" layoutInCell="1" allowOverlap="1" wp14:anchorId="0020BA1E" wp14:editId="49DA13C1">
              <wp:simplePos x="635" y="635"/>
              <wp:positionH relativeFrom="page">
                <wp:align>center</wp:align>
              </wp:positionH>
              <wp:positionV relativeFrom="page">
                <wp:align>top</wp:align>
              </wp:positionV>
              <wp:extent cx="609600" cy="485775"/>
              <wp:effectExtent l="0" t="0" r="0" b="9525"/>
              <wp:wrapNone/>
              <wp:docPr id="9205861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18CD6D8" w14:textId="531AE543"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0BA1E"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18CD6D8" w14:textId="531AE543"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A" w14:textId="2B0CF1D6" w:rsidR="00673A07" w:rsidRDefault="0067663B">
    <w:pPr>
      <w:pStyle w:val="Header"/>
    </w:pPr>
    <w:r>
      <w:rPr>
        <w:noProof/>
        <w:lang w:eastAsia="en-AU"/>
      </w:rPr>
      <w:drawing>
        <wp:anchor distT="0" distB="0" distL="114300" distR="114300" simplePos="0" relativeHeight="251658241" behindDoc="1" locked="0" layoutInCell="1" allowOverlap="1" wp14:anchorId="31133A8C" wp14:editId="2AA65FA2">
          <wp:simplePos x="0" y="0"/>
          <wp:positionH relativeFrom="column">
            <wp:posOffset>-184876</wp:posOffset>
          </wp:positionH>
          <wp:positionV relativeFrom="paragraph">
            <wp:posOffset>-29301</wp:posOffset>
          </wp:positionV>
          <wp:extent cx="2934000" cy="793929"/>
          <wp:effectExtent l="0" t="0" r="0" b="6350"/>
          <wp:wrapNone/>
          <wp:docPr id="1199640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3C5792"/>
    <w:multiLevelType w:val="hybridMultilevel"/>
    <w:tmpl w:val="8D08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40FA7CC7"/>
    <w:multiLevelType w:val="multilevel"/>
    <w:tmpl w:val="A9549D0A"/>
    <w:lvl w:ilvl="0">
      <w:start w:val="1"/>
      <w:numFmt w:val="bullet"/>
      <w:lvlText w:val=""/>
      <w:lvlJc w:val="left"/>
      <w:pPr>
        <w:ind w:left="720" w:hanging="480"/>
      </w:pPr>
      <w:rPr>
        <w:rFonts w:ascii="Symbol" w:hAnsi="Symbol"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4A3C2CBB"/>
    <w:multiLevelType w:val="hybridMultilevel"/>
    <w:tmpl w:val="925C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5370F"/>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4"/>
  </w:num>
  <w:num w:numId="3" w16cid:durableId="1504319644">
    <w:abstractNumId w:val="10"/>
  </w:num>
  <w:num w:numId="4" w16cid:durableId="1823959635">
    <w:abstractNumId w:val="7"/>
  </w:num>
  <w:num w:numId="5" w16cid:durableId="1449813617">
    <w:abstractNumId w:val="8"/>
  </w:num>
  <w:num w:numId="6" w16cid:durableId="1444181194">
    <w:abstractNumId w:val="1"/>
  </w:num>
  <w:num w:numId="7" w16cid:durableId="1746222889">
    <w:abstractNumId w:val="0"/>
  </w:num>
  <w:num w:numId="8" w16cid:durableId="391585327">
    <w:abstractNumId w:val="0"/>
  </w:num>
  <w:num w:numId="9" w16cid:durableId="1512916877">
    <w:abstractNumId w:val="0"/>
  </w:num>
  <w:num w:numId="10" w16cid:durableId="1783449399">
    <w:abstractNumId w:val="0"/>
  </w:num>
  <w:num w:numId="11" w16cid:durableId="1018429888">
    <w:abstractNumId w:val="0"/>
  </w:num>
  <w:num w:numId="12" w16cid:durableId="1739790308">
    <w:abstractNumId w:val="0"/>
  </w:num>
  <w:num w:numId="13" w16cid:durableId="1415515291">
    <w:abstractNumId w:val="0"/>
  </w:num>
  <w:num w:numId="14" w16cid:durableId="1777015320">
    <w:abstractNumId w:val="0"/>
  </w:num>
  <w:num w:numId="15" w16cid:durableId="471600399">
    <w:abstractNumId w:val="0"/>
  </w:num>
  <w:num w:numId="16" w16cid:durableId="1868643107">
    <w:abstractNumId w:val="0"/>
  </w:num>
  <w:num w:numId="17" w16cid:durableId="215169494">
    <w:abstractNumId w:val="0"/>
  </w:num>
  <w:num w:numId="18" w16cid:durableId="751856886">
    <w:abstractNumId w:val="0"/>
  </w:num>
  <w:num w:numId="19" w16cid:durableId="916209107">
    <w:abstractNumId w:val="0"/>
  </w:num>
  <w:num w:numId="20" w16cid:durableId="883759233">
    <w:abstractNumId w:val="0"/>
  </w:num>
  <w:num w:numId="21" w16cid:durableId="1298531015">
    <w:abstractNumId w:val="0"/>
  </w:num>
  <w:num w:numId="22" w16cid:durableId="1498764507">
    <w:abstractNumId w:val="0"/>
  </w:num>
  <w:num w:numId="23" w16cid:durableId="987590654">
    <w:abstractNumId w:val="0"/>
  </w:num>
  <w:num w:numId="24" w16cid:durableId="1408845224">
    <w:abstractNumId w:val="0"/>
  </w:num>
  <w:num w:numId="25" w16cid:durableId="724182984">
    <w:abstractNumId w:val="0"/>
  </w:num>
  <w:num w:numId="26" w16cid:durableId="2135361594">
    <w:abstractNumId w:val="0"/>
  </w:num>
  <w:num w:numId="27" w16cid:durableId="921180166">
    <w:abstractNumId w:val="0"/>
  </w:num>
  <w:num w:numId="28" w16cid:durableId="103692699">
    <w:abstractNumId w:val="0"/>
  </w:num>
  <w:num w:numId="29" w16cid:durableId="445462474">
    <w:abstractNumId w:val="0"/>
  </w:num>
  <w:num w:numId="30" w16cid:durableId="1611086608">
    <w:abstractNumId w:val="0"/>
  </w:num>
  <w:num w:numId="31" w16cid:durableId="229392009">
    <w:abstractNumId w:val="0"/>
  </w:num>
  <w:num w:numId="32" w16cid:durableId="163596960">
    <w:abstractNumId w:val="0"/>
  </w:num>
  <w:num w:numId="33" w16cid:durableId="561528847">
    <w:abstractNumId w:val="0"/>
  </w:num>
  <w:num w:numId="34" w16cid:durableId="988628487">
    <w:abstractNumId w:val="0"/>
  </w:num>
  <w:num w:numId="35" w16cid:durableId="1367101404">
    <w:abstractNumId w:val="0"/>
  </w:num>
  <w:num w:numId="36" w16cid:durableId="126514505">
    <w:abstractNumId w:val="0"/>
  </w:num>
  <w:num w:numId="37" w16cid:durableId="1637291827">
    <w:abstractNumId w:val="0"/>
  </w:num>
  <w:num w:numId="38" w16cid:durableId="86464137">
    <w:abstractNumId w:val="0"/>
  </w:num>
  <w:num w:numId="39" w16cid:durableId="1037391431">
    <w:abstractNumId w:val="0"/>
  </w:num>
  <w:num w:numId="40" w16cid:durableId="654142282">
    <w:abstractNumId w:val="0"/>
  </w:num>
  <w:num w:numId="41" w16cid:durableId="1395544983">
    <w:abstractNumId w:val="0"/>
  </w:num>
  <w:num w:numId="42" w16cid:durableId="2129201085">
    <w:abstractNumId w:val="0"/>
  </w:num>
  <w:num w:numId="43" w16cid:durableId="34351050">
    <w:abstractNumId w:val="0"/>
  </w:num>
  <w:num w:numId="44" w16cid:durableId="624584013">
    <w:abstractNumId w:val="0"/>
  </w:num>
  <w:num w:numId="45" w16cid:durableId="471677397">
    <w:abstractNumId w:val="0"/>
  </w:num>
  <w:num w:numId="46" w16cid:durableId="1015882986">
    <w:abstractNumId w:val="0"/>
  </w:num>
  <w:num w:numId="47" w16cid:durableId="716125584">
    <w:abstractNumId w:val="0"/>
  </w:num>
  <w:num w:numId="48" w16cid:durableId="122121235">
    <w:abstractNumId w:val="9"/>
  </w:num>
  <w:num w:numId="49" w16cid:durableId="1580365191">
    <w:abstractNumId w:val="0"/>
  </w:num>
  <w:num w:numId="50" w16cid:durableId="806514830">
    <w:abstractNumId w:val="6"/>
  </w:num>
  <w:num w:numId="51" w16cid:durableId="1667056123">
    <w:abstractNumId w:val="2"/>
  </w:num>
  <w:num w:numId="52" w16cid:durableId="717821488">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0B"/>
    <w:rsid w:val="00001B56"/>
    <w:rsid w:val="00001E13"/>
    <w:rsid w:val="00002AE8"/>
    <w:rsid w:val="00004E62"/>
    <w:rsid w:val="00006380"/>
    <w:rsid w:val="000103D4"/>
    <w:rsid w:val="00010E69"/>
    <w:rsid w:val="00012D5C"/>
    <w:rsid w:val="0001584A"/>
    <w:rsid w:val="0001600E"/>
    <w:rsid w:val="00016AC0"/>
    <w:rsid w:val="00016CCA"/>
    <w:rsid w:val="00016E7A"/>
    <w:rsid w:val="00021F5F"/>
    <w:rsid w:val="00022DDA"/>
    <w:rsid w:val="0002474F"/>
    <w:rsid w:val="00024E4A"/>
    <w:rsid w:val="00034E5B"/>
    <w:rsid w:val="000351D0"/>
    <w:rsid w:val="00041CD4"/>
    <w:rsid w:val="00047515"/>
    <w:rsid w:val="00047DEA"/>
    <w:rsid w:val="000522EF"/>
    <w:rsid w:val="00052620"/>
    <w:rsid w:val="00052C1F"/>
    <w:rsid w:val="00070168"/>
    <w:rsid w:val="00074AD3"/>
    <w:rsid w:val="00082A0A"/>
    <w:rsid w:val="000871A4"/>
    <w:rsid w:val="0009288E"/>
    <w:rsid w:val="000976D6"/>
    <w:rsid w:val="000A0B21"/>
    <w:rsid w:val="000A34A2"/>
    <w:rsid w:val="000B35AA"/>
    <w:rsid w:val="000B3A6C"/>
    <w:rsid w:val="000B7412"/>
    <w:rsid w:val="000C07CD"/>
    <w:rsid w:val="000C0FF9"/>
    <w:rsid w:val="000C1BD0"/>
    <w:rsid w:val="000C36BE"/>
    <w:rsid w:val="000C785B"/>
    <w:rsid w:val="000D65F8"/>
    <w:rsid w:val="000E2E54"/>
    <w:rsid w:val="000F005E"/>
    <w:rsid w:val="000F25E1"/>
    <w:rsid w:val="000F4167"/>
    <w:rsid w:val="000F4E9A"/>
    <w:rsid w:val="000F6BCB"/>
    <w:rsid w:val="00102693"/>
    <w:rsid w:val="001035D9"/>
    <w:rsid w:val="00103759"/>
    <w:rsid w:val="00105771"/>
    <w:rsid w:val="00110813"/>
    <w:rsid w:val="00121273"/>
    <w:rsid w:val="00125352"/>
    <w:rsid w:val="001267B8"/>
    <w:rsid w:val="00130E71"/>
    <w:rsid w:val="0013544B"/>
    <w:rsid w:val="00136F98"/>
    <w:rsid w:val="00137506"/>
    <w:rsid w:val="00144DB0"/>
    <w:rsid w:val="001462C3"/>
    <w:rsid w:val="00146BC1"/>
    <w:rsid w:val="00151E65"/>
    <w:rsid w:val="00156542"/>
    <w:rsid w:val="0016255D"/>
    <w:rsid w:val="001663F8"/>
    <w:rsid w:val="00166C6E"/>
    <w:rsid w:val="001754B8"/>
    <w:rsid w:val="00175C1D"/>
    <w:rsid w:val="00176EEE"/>
    <w:rsid w:val="00183BEF"/>
    <w:rsid w:val="0019332B"/>
    <w:rsid w:val="001952FF"/>
    <w:rsid w:val="001A2A2B"/>
    <w:rsid w:val="001A5A83"/>
    <w:rsid w:val="001A6D36"/>
    <w:rsid w:val="001B4561"/>
    <w:rsid w:val="001B6159"/>
    <w:rsid w:val="001C063C"/>
    <w:rsid w:val="001C06B1"/>
    <w:rsid w:val="001C1AE1"/>
    <w:rsid w:val="001D06A0"/>
    <w:rsid w:val="001D0846"/>
    <w:rsid w:val="001D1496"/>
    <w:rsid w:val="001D1BF8"/>
    <w:rsid w:val="001D545E"/>
    <w:rsid w:val="001D7887"/>
    <w:rsid w:val="001E2911"/>
    <w:rsid w:val="001E314E"/>
    <w:rsid w:val="001E3321"/>
    <w:rsid w:val="001E3CD9"/>
    <w:rsid w:val="001E6270"/>
    <w:rsid w:val="001F0F8B"/>
    <w:rsid w:val="001F139A"/>
    <w:rsid w:val="001F3E8F"/>
    <w:rsid w:val="001F5142"/>
    <w:rsid w:val="002037D4"/>
    <w:rsid w:val="002049BF"/>
    <w:rsid w:val="00206246"/>
    <w:rsid w:val="00207034"/>
    <w:rsid w:val="00207184"/>
    <w:rsid w:val="0021667E"/>
    <w:rsid w:val="00217AF2"/>
    <w:rsid w:val="00220FA2"/>
    <w:rsid w:val="00224CBE"/>
    <w:rsid w:val="00225970"/>
    <w:rsid w:val="00227881"/>
    <w:rsid w:val="00231E14"/>
    <w:rsid w:val="00236E5D"/>
    <w:rsid w:val="00241093"/>
    <w:rsid w:val="00243D0B"/>
    <w:rsid w:val="00243FDF"/>
    <w:rsid w:val="002443AF"/>
    <w:rsid w:val="002471B7"/>
    <w:rsid w:val="002579E5"/>
    <w:rsid w:val="00263526"/>
    <w:rsid w:val="0026447F"/>
    <w:rsid w:val="00267FF8"/>
    <w:rsid w:val="0027265B"/>
    <w:rsid w:val="002744C9"/>
    <w:rsid w:val="00275104"/>
    <w:rsid w:val="002763A9"/>
    <w:rsid w:val="00287DA7"/>
    <w:rsid w:val="002917DC"/>
    <w:rsid w:val="00292640"/>
    <w:rsid w:val="00296C46"/>
    <w:rsid w:val="002A15CF"/>
    <w:rsid w:val="002A35A2"/>
    <w:rsid w:val="002A6D80"/>
    <w:rsid w:val="002B1203"/>
    <w:rsid w:val="002B3146"/>
    <w:rsid w:val="002B786A"/>
    <w:rsid w:val="002C0282"/>
    <w:rsid w:val="002C1B1A"/>
    <w:rsid w:val="002C4EDB"/>
    <w:rsid w:val="002C62DB"/>
    <w:rsid w:val="002C6488"/>
    <w:rsid w:val="002D083A"/>
    <w:rsid w:val="002D09A2"/>
    <w:rsid w:val="002D0F6D"/>
    <w:rsid w:val="002D632E"/>
    <w:rsid w:val="002D7596"/>
    <w:rsid w:val="002D787D"/>
    <w:rsid w:val="002E2ACA"/>
    <w:rsid w:val="002F50B0"/>
    <w:rsid w:val="00300281"/>
    <w:rsid w:val="00302220"/>
    <w:rsid w:val="003027D6"/>
    <w:rsid w:val="003143B4"/>
    <w:rsid w:val="0031750E"/>
    <w:rsid w:val="003178AF"/>
    <w:rsid w:val="003218C3"/>
    <w:rsid w:val="00321F0C"/>
    <w:rsid w:val="00340160"/>
    <w:rsid w:val="0034024D"/>
    <w:rsid w:val="00341C03"/>
    <w:rsid w:val="00344962"/>
    <w:rsid w:val="003466C1"/>
    <w:rsid w:val="003479AE"/>
    <w:rsid w:val="00351B70"/>
    <w:rsid w:val="00354481"/>
    <w:rsid w:val="00354A93"/>
    <w:rsid w:val="003676CF"/>
    <w:rsid w:val="00370F7B"/>
    <w:rsid w:val="00386683"/>
    <w:rsid w:val="00395B77"/>
    <w:rsid w:val="00395D80"/>
    <w:rsid w:val="003973BC"/>
    <w:rsid w:val="003A103E"/>
    <w:rsid w:val="003A1F1D"/>
    <w:rsid w:val="003A3D81"/>
    <w:rsid w:val="003A6D69"/>
    <w:rsid w:val="003B1388"/>
    <w:rsid w:val="003B63A9"/>
    <w:rsid w:val="003B69A0"/>
    <w:rsid w:val="003B7C13"/>
    <w:rsid w:val="003C0721"/>
    <w:rsid w:val="003C0726"/>
    <w:rsid w:val="003C0919"/>
    <w:rsid w:val="003C1CA8"/>
    <w:rsid w:val="003C2CAA"/>
    <w:rsid w:val="003C3843"/>
    <w:rsid w:val="003D32AB"/>
    <w:rsid w:val="003D374C"/>
    <w:rsid w:val="003D3A5D"/>
    <w:rsid w:val="003D46E8"/>
    <w:rsid w:val="003D516C"/>
    <w:rsid w:val="003E5AD0"/>
    <w:rsid w:val="003E69C0"/>
    <w:rsid w:val="003F4490"/>
    <w:rsid w:val="003F6A7A"/>
    <w:rsid w:val="003F6B2B"/>
    <w:rsid w:val="003F6FE3"/>
    <w:rsid w:val="003F7209"/>
    <w:rsid w:val="003F7793"/>
    <w:rsid w:val="00405A43"/>
    <w:rsid w:val="0040678C"/>
    <w:rsid w:val="00410BB6"/>
    <w:rsid w:val="00416B53"/>
    <w:rsid w:val="00422A0A"/>
    <w:rsid w:val="004246B7"/>
    <w:rsid w:val="00426CF8"/>
    <w:rsid w:val="00427324"/>
    <w:rsid w:val="004337C7"/>
    <w:rsid w:val="00442671"/>
    <w:rsid w:val="00443909"/>
    <w:rsid w:val="00447956"/>
    <w:rsid w:val="00457241"/>
    <w:rsid w:val="00460EB7"/>
    <w:rsid w:val="004621FD"/>
    <w:rsid w:val="0046420E"/>
    <w:rsid w:val="0047040C"/>
    <w:rsid w:val="00470CAB"/>
    <w:rsid w:val="00470F9F"/>
    <w:rsid w:val="0048513A"/>
    <w:rsid w:val="0048666D"/>
    <w:rsid w:val="004904F8"/>
    <w:rsid w:val="00493992"/>
    <w:rsid w:val="00494E12"/>
    <w:rsid w:val="00496D9B"/>
    <w:rsid w:val="004976BF"/>
    <w:rsid w:val="004A0C73"/>
    <w:rsid w:val="004A2917"/>
    <w:rsid w:val="004A5F4D"/>
    <w:rsid w:val="004B0A52"/>
    <w:rsid w:val="004B1122"/>
    <w:rsid w:val="004B4DCA"/>
    <w:rsid w:val="004B5C93"/>
    <w:rsid w:val="004B7E06"/>
    <w:rsid w:val="004C1DB5"/>
    <w:rsid w:val="004C2501"/>
    <w:rsid w:val="004C2899"/>
    <w:rsid w:val="004D0204"/>
    <w:rsid w:val="004D14D2"/>
    <w:rsid w:val="004D1C75"/>
    <w:rsid w:val="004D21F8"/>
    <w:rsid w:val="004D4EE0"/>
    <w:rsid w:val="004E21CF"/>
    <w:rsid w:val="004E387D"/>
    <w:rsid w:val="004F122D"/>
    <w:rsid w:val="004F2F51"/>
    <w:rsid w:val="004F348F"/>
    <w:rsid w:val="004F3A3F"/>
    <w:rsid w:val="004F7036"/>
    <w:rsid w:val="004F7B47"/>
    <w:rsid w:val="00501B79"/>
    <w:rsid w:val="0050640E"/>
    <w:rsid w:val="00510BC9"/>
    <w:rsid w:val="00512040"/>
    <w:rsid w:val="00512636"/>
    <w:rsid w:val="00512673"/>
    <w:rsid w:val="005163BD"/>
    <w:rsid w:val="005304DC"/>
    <w:rsid w:val="005316C9"/>
    <w:rsid w:val="0053543D"/>
    <w:rsid w:val="00535BCE"/>
    <w:rsid w:val="0054177C"/>
    <w:rsid w:val="00554AAB"/>
    <w:rsid w:val="00567EB2"/>
    <w:rsid w:val="00571B6E"/>
    <w:rsid w:val="00572595"/>
    <w:rsid w:val="00577C46"/>
    <w:rsid w:val="00592F6F"/>
    <w:rsid w:val="00593BCF"/>
    <w:rsid w:val="005A00B0"/>
    <w:rsid w:val="005A251C"/>
    <w:rsid w:val="005A5329"/>
    <w:rsid w:val="005A5A51"/>
    <w:rsid w:val="005B0CDC"/>
    <w:rsid w:val="005B2640"/>
    <w:rsid w:val="005B4127"/>
    <w:rsid w:val="005B4481"/>
    <w:rsid w:val="005B48ED"/>
    <w:rsid w:val="005B4C75"/>
    <w:rsid w:val="005B5DFA"/>
    <w:rsid w:val="005B6DDE"/>
    <w:rsid w:val="005B6F47"/>
    <w:rsid w:val="005B75D1"/>
    <w:rsid w:val="005C0EF9"/>
    <w:rsid w:val="005C16BA"/>
    <w:rsid w:val="005C55F4"/>
    <w:rsid w:val="005D06CF"/>
    <w:rsid w:val="005D0E94"/>
    <w:rsid w:val="005D16CF"/>
    <w:rsid w:val="005D33F8"/>
    <w:rsid w:val="005D45E8"/>
    <w:rsid w:val="005E6B7F"/>
    <w:rsid w:val="005E76B9"/>
    <w:rsid w:val="005F4E45"/>
    <w:rsid w:val="005F6E44"/>
    <w:rsid w:val="005F7022"/>
    <w:rsid w:val="006001AF"/>
    <w:rsid w:val="00606D57"/>
    <w:rsid w:val="006107B3"/>
    <w:rsid w:val="00611FBB"/>
    <w:rsid w:val="00626A75"/>
    <w:rsid w:val="00626FD9"/>
    <w:rsid w:val="00631E77"/>
    <w:rsid w:val="00632512"/>
    <w:rsid w:val="00643625"/>
    <w:rsid w:val="00646C75"/>
    <w:rsid w:val="0064759B"/>
    <w:rsid w:val="00651E68"/>
    <w:rsid w:val="00653430"/>
    <w:rsid w:val="00654038"/>
    <w:rsid w:val="006546D9"/>
    <w:rsid w:val="00654847"/>
    <w:rsid w:val="00654F41"/>
    <w:rsid w:val="0065751F"/>
    <w:rsid w:val="00662EAC"/>
    <w:rsid w:val="00665FDB"/>
    <w:rsid w:val="00666139"/>
    <w:rsid w:val="00673A07"/>
    <w:rsid w:val="006757D5"/>
    <w:rsid w:val="00676369"/>
    <w:rsid w:val="0067663B"/>
    <w:rsid w:val="0068083A"/>
    <w:rsid w:val="00685B9F"/>
    <w:rsid w:val="0069055D"/>
    <w:rsid w:val="0069180E"/>
    <w:rsid w:val="006972A8"/>
    <w:rsid w:val="006B3B8E"/>
    <w:rsid w:val="006B3D74"/>
    <w:rsid w:val="006B4643"/>
    <w:rsid w:val="006B5633"/>
    <w:rsid w:val="006C27AB"/>
    <w:rsid w:val="006C6333"/>
    <w:rsid w:val="006C769D"/>
    <w:rsid w:val="006C7D3A"/>
    <w:rsid w:val="006D252A"/>
    <w:rsid w:val="006D2D04"/>
    <w:rsid w:val="006D4919"/>
    <w:rsid w:val="006D5ABB"/>
    <w:rsid w:val="006E1CA5"/>
    <w:rsid w:val="006E2883"/>
    <w:rsid w:val="006F4B1C"/>
    <w:rsid w:val="00700F1B"/>
    <w:rsid w:val="00710694"/>
    <w:rsid w:val="00717DEF"/>
    <w:rsid w:val="00721937"/>
    <w:rsid w:val="007238E7"/>
    <w:rsid w:val="00726512"/>
    <w:rsid w:val="0072692A"/>
    <w:rsid w:val="007331D6"/>
    <w:rsid w:val="00735ACD"/>
    <w:rsid w:val="00735DF1"/>
    <w:rsid w:val="00736936"/>
    <w:rsid w:val="00736D09"/>
    <w:rsid w:val="00741C0B"/>
    <w:rsid w:val="00745B2B"/>
    <w:rsid w:val="0074651A"/>
    <w:rsid w:val="00747CC2"/>
    <w:rsid w:val="0075005B"/>
    <w:rsid w:val="007556E1"/>
    <w:rsid w:val="00755946"/>
    <w:rsid w:val="00765421"/>
    <w:rsid w:val="007706C4"/>
    <w:rsid w:val="00776F13"/>
    <w:rsid w:val="0078184C"/>
    <w:rsid w:val="007824A8"/>
    <w:rsid w:val="00783DE5"/>
    <w:rsid w:val="00786802"/>
    <w:rsid w:val="007872F2"/>
    <w:rsid w:val="00797309"/>
    <w:rsid w:val="007A2AA8"/>
    <w:rsid w:val="007A3CE9"/>
    <w:rsid w:val="007A4115"/>
    <w:rsid w:val="007B2262"/>
    <w:rsid w:val="007C1089"/>
    <w:rsid w:val="007C6CEA"/>
    <w:rsid w:val="007D2135"/>
    <w:rsid w:val="007D4544"/>
    <w:rsid w:val="007D5124"/>
    <w:rsid w:val="007D65FD"/>
    <w:rsid w:val="007F1DC5"/>
    <w:rsid w:val="007F42AC"/>
    <w:rsid w:val="007F7F18"/>
    <w:rsid w:val="00803691"/>
    <w:rsid w:val="00806328"/>
    <w:rsid w:val="00807008"/>
    <w:rsid w:val="008132A4"/>
    <w:rsid w:val="00813DBD"/>
    <w:rsid w:val="008163EE"/>
    <w:rsid w:val="0082266B"/>
    <w:rsid w:val="00822F80"/>
    <w:rsid w:val="0082418D"/>
    <w:rsid w:val="008246C4"/>
    <w:rsid w:val="00825A50"/>
    <w:rsid w:val="00827C76"/>
    <w:rsid w:val="0083560D"/>
    <w:rsid w:val="00837586"/>
    <w:rsid w:val="0083785E"/>
    <w:rsid w:val="00841CA3"/>
    <w:rsid w:val="00842236"/>
    <w:rsid w:val="00845255"/>
    <w:rsid w:val="00845C9A"/>
    <w:rsid w:val="00852875"/>
    <w:rsid w:val="00867C57"/>
    <w:rsid w:val="0087360B"/>
    <w:rsid w:val="00877437"/>
    <w:rsid w:val="0088068D"/>
    <w:rsid w:val="00883CF7"/>
    <w:rsid w:val="008851DA"/>
    <w:rsid w:val="00896B90"/>
    <w:rsid w:val="008A1A1D"/>
    <w:rsid w:val="008A3B65"/>
    <w:rsid w:val="008A71BB"/>
    <w:rsid w:val="008A77F5"/>
    <w:rsid w:val="008B37AF"/>
    <w:rsid w:val="008B6A55"/>
    <w:rsid w:val="008C0D94"/>
    <w:rsid w:val="008D5EFF"/>
    <w:rsid w:val="008D6472"/>
    <w:rsid w:val="008D7EAC"/>
    <w:rsid w:val="008E25D4"/>
    <w:rsid w:val="008E3835"/>
    <w:rsid w:val="008E4153"/>
    <w:rsid w:val="008E4710"/>
    <w:rsid w:val="008E58C0"/>
    <w:rsid w:val="008E7ACE"/>
    <w:rsid w:val="008F358E"/>
    <w:rsid w:val="008F3991"/>
    <w:rsid w:val="008F4C3F"/>
    <w:rsid w:val="008F77C1"/>
    <w:rsid w:val="008F79E2"/>
    <w:rsid w:val="0090001A"/>
    <w:rsid w:val="009052F1"/>
    <w:rsid w:val="009065F0"/>
    <w:rsid w:val="00906B60"/>
    <w:rsid w:val="00906D72"/>
    <w:rsid w:val="0091107C"/>
    <w:rsid w:val="00913CE2"/>
    <w:rsid w:val="00924D3D"/>
    <w:rsid w:val="00930177"/>
    <w:rsid w:val="00930E3E"/>
    <w:rsid w:val="009335F2"/>
    <w:rsid w:val="0093599B"/>
    <w:rsid w:val="00951606"/>
    <w:rsid w:val="00951FBD"/>
    <w:rsid w:val="0095793E"/>
    <w:rsid w:val="0096063B"/>
    <w:rsid w:val="00964211"/>
    <w:rsid w:val="009660D5"/>
    <w:rsid w:val="00966352"/>
    <w:rsid w:val="00967E37"/>
    <w:rsid w:val="009744C8"/>
    <w:rsid w:val="009827E1"/>
    <w:rsid w:val="009848B3"/>
    <w:rsid w:val="00986BE5"/>
    <w:rsid w:val="00993190"/>
    <w:rsid w:val="009949A7"/>
    <w:rsid w:val="009956A2"/>
    <w:rsid w:val="009A1474"/>
    <w:rsid w:val="009A1824"/>
    <w:rsid w:val="009A4548"/>
    <w:rsid w:val="009A62A6"/>
    <w:rsid w:val="009B3565"/>
    <w:rsid w:val="009B4AAE"/>
    <w:rsid w:val="009B7440"/>
    <w:rsid w:val="009C13C7"/>
    <w:rsid w:val="009C20CC"/>
    <w:rsid w:val="009C3C96"/>
    <w:rsid w:val="009C4713"/>
    <w:rsid w:val="009C5059"/>
    <w:rsid w:val="009C63CC"/>
    <w:rsid w:val="009D1F27"/>
    <w:rsid w:val="009D4196"/>
    <w:rsid w:val="009D5AA9"/>
    <w:rsid w:val="009D6BAC"/>
    <w:rsid w:val="009D769B"/>
    <w:rsid w:val="009D787B"/>
    <w:rsid w:val="009E1407"/>
    <w:rsid w:val="009E298F"/>
    <w:rsid w:val="009E5748"/>
    <w:rsid w:val="009E5765"/>
    <w:rsid w:val="009E614E"/>
    <w:rsid w:val="009E7FAA"/>
    <w:rsid w:val="009F10F0"/>
    <w:rsid w:val="009F20CB"/>
    <w:rsid w:val="009F3D13"/>
    <w:rsid w:val="009F6985"/>
    <w:rsid w:val="00A0146F"/>
    <w:rsid w:val="00A0513C"/>
    <w:rsid w:val="00A07077"/>
    <w:rsid w:val="00A11494"/>
    <w:rsid w:val="00A12B67"/>
    <w:rsid w:val="00A27AB5"/>
    <w:rsid w:val="00A30832"/>
    <w:rsid w:val="00A30A3A"/>
    <w:rsid w:val="00A33432"/>
    <w:rsid w:val="00A35A40"/>
    <w:rsid w:val="00A3688B"/>
    <w:rsid w:val="00A3797A"/>
    <w:rsid w:val="00A40F9D"/>
    <w:rsid w:val="00A417CB"/>
    <w:rsid w:val="00A4371D"/>
    <w:rsid w:val="00A443A3"/>
    <w:rsid w:val="00A451C8"/>
    <w:rsid w:val="00A463CE"/>
    <w:rsid w:val="00A50FE6"/>
    <w:rsid w:val="00A5274C"/>
    <w:rsid w:val="00A53E3D"/>
    <w:rsid w:val="00A547C4"/>
    <w:rsid w:val="00A81E0A"/>
    <w:rsid w:val="00A82F00"/>
    <w:rsid w:val="00A85F19"/>
    <w:rsid w:val="00A92F23"/>
    <w:rsid w:val="00A92FCB"/>
    <w:rsid w:val="00A94F3D"/>
    <w:rsid w:val="00A9519D"/>
    <w:rsid w:val="00A952BC"/>
    <w:rsid w:val="00A96D93"/>
    <w:rsid w:val="00A96DD9"/>
    <w:rsid w:val="00A97C7F"/>
    <w:rsid w:val="00AA0F2B"/>
    <w:rsid w:val="00AA1241"/>
    <w:rsid w:val="00AA575A"/>
    <w:rsid w:val="00AA6232"/>
    <w:rsid w:val="00AB0EB4"/>
    <w:rsid w:val="00AB4290"/>
    <w:rsid w:val="00AB5202"/>
    <w:rsid w:val="00AB721C"/>
    <w:rsid w:val="00AC0D9F"/>
    <w:rsid w:val="00AC712B"/>
    <w:rsid w:val="00AE3F4F"/>
    <w:rsid w:val="00AE5C0B"/>
    <w:rsid w:val="00AE6D50"/>
    <w:rsid w:val="00AE6F6C"/>
    <w:rsid w:val="00AE727A"/>
    <w:rsid w:val="00AE7FD2"/>
    <w:rsid w:val="00AF05B8"/>
    <w:rsid w:val="00AF118C"/>
    <w:rsid w:val="00AF328E"/>
    <w:rsid w:val="00AF4A24"/>
    <w:rsid w:val="00AF5243"/>
    <w:rsid w:val="00AF5D87"/>
    <w:rsid w:val="00B043F2"/>
    <w:rsid w:val="00B07825"/>
    <w:rsid w:val="00B11ECA"/>
    <w:rsid w:val="00B13975"/>
    <w:rsid w:val="00B13B11"/>
    <w:rsid w:val="00B14EC4"/>
    <w:rsid w:val="00B15D39"/>
    <w:rsid w:val="00B17EBA"/>
    <w:rsid w:val="00B2057B"/>
    <w:rsid w:val="00B2140B"/>
    <w:rsid w:val="00B23BC4"/>
    <w:rsid w:val="00B24658"/>
    <w:rsid w:val="00B27650"/>
    <w:rsid w:val="00B300C1"/>
    <w:rsid w:val="00B30B0A"/>
    <w:rsid w:val="00B329B2"/>
    <w:rsid w:val="00B3495F"/>
    <w:rsid w:val="00B35071"/>
    <w:rsid w:val="00B404D5"/>
    <w:rsid w:val="00B40736"/>
    <w:rsid w:val="00B41CC5"/>
    <w:rsid w:val="00B4298F"/>
    <w:rsid w:val="00B432B5"/>
    <w:rsid w:val="00B509E1"/>
    <w:rsid w:val="00B50A5B"/>
    <w:rsid w:val="00B51FDC"/>
    <w:rsid w:val="00B536E6"/>
    <w:rsid w:val="00B62397"/>
    <w:rsid w:val="00B63419"/>
    <w:rsid w:val="00B64C83"/>
    <w:rsid w:val="00B65169"/>
    <w:rsid w:val="00B713AC"/>
    <w:rsid w:val="00B72D3A"/>
    <w:rsid w:val="00B74CFE"/>
    <w:rsid w:val="00B750BC"/>
    <w:rsid w:val="00B7657D"/>
    <w:rsid w:val="00B77BD0"/>
    <w:rsid w:val="00B804E2"/>
    <w:rsid w:val="00B8290E"/>
    <w:rsid w:val="00B858F9"/>
    <w:rsid w:val="00B85AD5"/>
    <w:rsid w:val="00B8656E"/>
    <w:rsid w:val="00B86597"/>
    <w:rsid w:val="00B9094B"/>
    <w:rsid w:val="00B96E5C"/>
    <w:rsid w:val="00B974EE"/>
    <w:rsid w:val="00BA0FB7"/>
    <w:rsid w:val="00BA12CC"/>
    <w:rsid w:val="00BA12F6"/>
    <w:rsid w:val="00BA19AB"/>
    <w:rsid w:val="00BA1FE6"/>
    <w:rsid w:val="00BA2C76"/>
    <w:rsid w:val="00BA34D1"/>
    <w:rsid w:val="00BB0099"/>
    <w:rsid w:val="00BB409C"/>
    <w:rsid w:val="00BB4EE7"/>
    <w:rsid w:val="00BB5523"/>
    <w:rsid w:val="00BB5658"/>
    <w:rsid w:val="00BD166C"/>
    <w:rsid w:val="00BD5D99"/>
    <w:rsid w:val="00BD6D96"/>
    <w:rsid w:val="00BE2A57"/>
    <w:rsid w:val="00BE40CB"/>
    <w:rsid w:val="00BE6C0C"/>
    <w:rsid w:val="00BF11B1"/>
    <w:rsid w:val="00BF292A"/>
    <w:rsid w:val="00BF43AE"/>
    <w:rsid w:val="00BF7B0B"/>
    <w:rsid w:val="00C00B4B"/>
    <w:rsid w:val="00C044FD"/>
    <w:rsid w:val="00C0519A"/>
    <w:rsid w:val="00C07B0A"/>
    <w:rsid w:val="00C1017B"/>
    <w:rsid w:val="00C119DD"/>
    <w:rsid w:val="00C20F36"/>
    <w:rsid w:val="00C27C99"/>
    <w:rsid w:val="00C27EC3"/>
    <w:rsid w:val="00C33A19"/>
    <w:rsid w:val="00C33E8C"/>
    <w:rsid w:val="00C35FDB"/>
    <w:rsid w:val="00C404D0"/>
    <w:rsid w:val="00C425BA"/>
    <w:rsid w:val="00C5610E"/>
    <w:rsid w:val="00C56B6A"/>
    <w:rsid w:val="00C61287"/>
    <w:rsid w:val="00C61C23"/>
    <w:rsid w:val="00C65FFC"/>
    <w:rsid w:val="00C67D74"/>
    <w:rsid w:val="00C7458D"/>
    <w:rsid w:val="00C772C4"/>
    <w:rsid w:val="00C80E1C"/>
    <w:rsid w:val="00C84B63"/>
    <w:rsid w:val="00C9532C"/>
    <w:rsid w:val="00CA16D8"/>
    <w:rsid w:val="00CA5C7D"/>
    <w:rsid w:val="00CB0B7D"/>
    <w:rsid w:val="00CB12B5"/>
    <w:rsid w:val="00CB3AAB"/>
    <w:rsid w:val="00CC331D"/>
    <w:rsid w:val="00CC3D82"/>
    <w:rsid w:val="00CC5469"/>
    <w:rsid w:val="00CC5809"/>
    <w:rsid w:val="00CD2028"/>
    <w:rsid w:val="00CD2098"/>
    <w:rsid w:val="00CD2FB3"/>
    <w:rsid w:val="00CD3471"/>
    <w:rsid w:val="00CD54CA"/>
    <w:rsid w:val="00CD7001"/>
    <w:rsid w:val="00CE2101"/>
    <w:rsid w:val="00CE410D"/>
    <w:rsid w:val="00CF2ECA"/>
    <w:rsid w:val="00CF3F58"/>
    <w:rsid w:val="00CF6C34"/>
    <w:rsid w:val="00D04073"/>
    <w:rsid w:val="00D05C11"/>
    <w:rsid w:val="00D1128F"/>
    <w:rsid w:val="00D17F28"/>
    <w:rsid w:val="00D27B85"/>
    <w:rsid w:val="00D31206"/>
    <w:rsid w:val="00D312CE"/>
    <w:rsid w:val="00D35A86"/>
    <w:rsid w:val="00D35DF0"/>
    <w:rsid w:val="00D362C3"/>
    <w:rsid w:val="00D43E85"/>
    <w:rsid w:val="00D47BB5"/>
    <w:rsid w:val="00D53ED7"/>
    <w:rsid w:val="00D64F22"/>
    <w:rsid w:val="00D6575E"/>
    <w:rsid w:val="00D70E0E"/>
    <w:rsid w:val="00D7538C"/>
    <w:rsid w:val="00D77392"/>
    <w:rsid w:val="00D804D1"/>
    <w:rsid w:val="00D83EAC"/>
    <w:rsid w:val="00D92F08"/>
    <w:rsid w:val="00D95141"/>
    <w:rsid w:val="00DA50F9"/>
    <w:rsid w:val="00DA6ED2"/>
    <w:rsid w:val="00DB30B7"/>
    <w:rsid w:val="00DB3493"/>
    <w:rsid w:val="00DB3E36"/>
    <w:rsid w:val="00DD338C"/>
    <w:rsid w:val="00DD34A7"/>
    <w:rsid w:val="00DD5EC0"/>
    <w:rsid w:val="00DD7147"/>
    <w:rsid w:val="00DE2BFD"/>
    <w:rsid w:val="00DF0F21"/>
    <w:rsid w:val="00E00F71"/>
    <w:rsid w:val="00E04DE9"/>
    <w:rsid w:val="00E16DCB"/>
    <w:rsid w:val="00E2126E"/>
    <w:rsid w:val="00E216D7"/>
    <w:rsid w:val="00E2243C"/>
    <w:rsid w:val="00E22B36"/>
    <w:rsid w:val="00E2308D"/>
    <w:rsid w:val="00E31EC2"/>
    <w:rsid w:val="00E34901"/>
    <w:rsid w:val="00E420B8"/>
    <w:rsid w:val="00E46552"/>
    <w:rsid w:val="00E51874"/>
    <w:rsid w:val="00E52267"/>
    <w:rsid w:val="00E57906"/>
    <w:rsid w:val="00E6116E"/>
    <w:rsid w:val="00E649B1"/>
    <w:rsid w:val="00E66CF5"/>
    <w:rsid w:val="00E6797C"/>
    <w:rsid w:val="00E76E84"/>
    <w:rsid w:val="00E80183"/>
    <w:rsid w:val="00E824BA"/>
    <w:rsid w:val="00E82A03"/>
    <w:rsid w:val="00E906FE"/>
    <w:rsid w:val="00E914DC"/>
    <w:rsid w:val="00E9313C"/>
    <w:rsid w:val="00EA34A4"/>
    <w:rsid w:val="00EA6355"/>
    <w:rsid w:val="00EA750B"/>
    <w:rsid w:val="00EB2CC7"/>
    <w:rsid w:val="00EB45B4"/>
    <w:rsid w:val="00EC00BA"/>
    <w:rsid w:val="00ED0F8D"/>
    <w:rsid w:val="00ED469E"/>
    <w:rsid w:val="00ED62A7"/>
    <w:rsid w:val="00EE036A"/>
    <w:rsid w:val="00EE0A66"/>
    <w:rsid w:val="00EE5868"/>
    <w:rsid w:val="00EE7115"/>
    <w:rsid w:val="00EE7D75"/>
    <w:rsid w:val="00EF5EE3"/>
    <w:rsid w:val="00F01A60"/>
    <w:rsid w:val="00F02C66"/>
    <w:rsid w:val="00F07824"/>
    <w:rsid w:val="00F128D7"/>
    <w:rsid w:val="00F139A7"/>
    <w:rsid w:val="00F146B5"/>
    <w:rsid w:val="00F21F41"/>
    <w:rsid w:val="00F31715"/>
    <w:rsid w:val="00F32115"/>
    <w:rsid w:val="00F34920"/>
    <w:rsid w:val="00F368A0"/>
    <w:rsid w:val="00F36AB7"/>
    <w:rsid w:val="00F44BD1"/>
    <w:rsid w:val="00F556CD"/>
    <w:rsid w:val="00F55E9C"/>
    <w:rsid w:val="00F66990"/>
    <w:rsid w:val="00F70E5A"/>
    <w:rsid w:val="00F73653"/>
    <w:rsid w:val="00F81421"/>
    <w:rsid w:val="00F83355"/>
    <w:rsid w:val="00F84B5E"/>
    <w:rsid w:val="00F8788D"/>
    <w:rsid w:val="00F90BFD"/>
    <w:rsid w:val="00F9188E"/>
    <w:rsid w:val="00F91CFC"/>
    <w:rsid w:val="00F92C70"/>
    <w:rsid w:val="00F93090"/>
    <w:rsid w:val="00F93F10"/>
    <w:rsid w:val="00F9403B"/>
    <w:rsid w:val="00F97B6B"/>
    <w:rsid w:val="00FA1E8A"/>
    <w:rsid w:val="00FA3D34"/>
    <w:rsid w:val="00FA4639"/>
    <w:rsid w:val="00FA4C42"/>
    <w:rsid w:val="00FA6FF6"/>
    <w:rsid w:val="00FA79D8"/>
    <w:rsid w:val="00FB6BD9"/>
    <w:rsid w:val="00FC7C72"/>
    <w:rsid w:val="00FD6F0E"/>
    <w:rsid w:val="00FE0938"/>
    <w:rsid w:val="00FE0D88"/>
    <w:rsid w:val="00FE1DFC"/>
    <w:rsid w:val="00FE242D"/>
    <w:rsid w:val="00FE786B"/>
    <w:rsid w:val="00FF31DF"/>
    <w:rsid w:val="00FF4889"/>
    <w:rsid w:val="00FF4E32"/>
    <w:rsid w:val="026664F0"/>
    <w:rsid w:val="02B95A41"/>
    <w:rsid w:val="031E9C6B"/>
    <w:rsid w:val="08B5D19C"/>
    <w:rsid w:val="0DD1F80F"/>
    <w:rsid w:val="1289C08B"/>
    <w:rsid w:val="13823AC5"/>
    <w:rsid w:val="141A1CD9"/>
    <w:rsid w:val="14AA5877"/>
    <w:rsid w:val="14B1DFC6"/>
    <w:rsid w:val="167E18D3"/>
    <w:rsid w:val="19E86439"/>
    <w:rsid w:val="2A28DF4F"/>
    <w:rsid w:val="2B9F6824"/>
    <w:rsid w:val="2FF37CF6"/>
    <w:rsid w:val="304B711C"/>
    <w:rsid w:val="30F20ED7"/>
    <w:rsid w:val="38EB7B19"/>
    <w:rsid w:val="3ADBBF4A"/>
    <w:rsid w:val="4C4FCFE4"/>
    <w:rsid w:val="4C84F6F7"/>
    <w:rsid w:val="4E0772B5"/>
    <w:rsid w:val="4FAD2ABF"/>
    <w:rsid w:val="502BD0CD"/>
    <w:rsid w:val="52A4781D"/>
    <w:rsid w:val="5754C35D"/>
    <w:rsid w:val="59869676"/>
    <w:rsid w:val="5A9AE894"/>
    <w:rsid w:val="5CF0DDBB"/>
    <w:rsid w:val="636D0802"/>
    <w:rsid w:val="68490B5B"/>
    <w:rsid w:val="6A294677"/>
    <w:rsid w:val="6AA96C62"/>
    <w:rsid w:val="71E879AE"/>
    <w:rsid w:val="72D2CA6F"/>
    <w:rsid w:val="7366AB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3350F"/>
  <w15:docId w15:val="{80E80C55-2E1D-4DA4-8B46-DF1719B3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041CD4"/>
    <w:rPr>
      <w:rFonts w:ascii="Arial" w:hAnsi="Arial"/>
      <w:color w:val="033636" w:themeColor="text1"/>
      <w:szCs w:val="24"/>
      <w:lang w:eastAsia="en-US"/>
    </w:rPr>
  </w:style>
  <w:style w:type="character" w:styleId="CommentReference">
    <w:name w:val="annotation reference"/>
    <w:basedOn w:val="DefaultParagraphFont"/>
    <w:uiPriority w:val="99"/>
    <w:semiHidden/>
    <w:unhideWhenUsed/>
    <w:rsid w:val="00D95141"/>
    <w:rPr>
      <w:sz w:val="16"/>
      <w:szCs w:val="16"/>
    </w:rPr>
  </w:style>
  <w:style w:type="paragraph" w:styleId="CommentSubject">
    <w:name w:val="annotation subject"/>
    <w:basedOn w:val="CommentText"/>
    <w:next w:val="CommentText"/>
    <w:link w:val="CommentSubjectChar"/>
    <w:semiHidden/>
    <w:unhideWhenUsed/>
    <w:rsid w:val="0054177C"/>
    <w:rPr>
      <w:b/>
      <w:bCs/>
      <w:szCs w:val="20"/>
    </w:rPr>
  </w:style>
  <w:style w:type="character" w:customStyle="1" w:styleId="CommentSubjectChar">
    <w:name w:val="Comment Subject Char"/>
    <w:basedOn w:val="CommentTextChar"/>
    <w:link w:val="CommentSubject"/>
    <w:semiHidden/>
    <w:rsid w:val="0054177C"/>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2153750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89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image" Target="media/image20.svgz"/><Relationship Id="rId47" Type="http://schemas.openxmlformats.org/officeDocument/2006/relationships/image" Target="media/image24.svgz"/><Relationship Id="rId50" Type="http://schemas.openxmlformats.org/officeDocument/2006/relationships/image" Target="media/image25.png"/><Relationship Id="rId55" Type="http://schemas.openxmlformats.org/officeDocument/2006/relationships/image" Target="media/image30.svgz"/><Relationship Id="rId63" Type="http://schemas.openxmlformats.org/officeDocument/2006/relationships/image" Target="media/image33.png"/><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ncirs-fact-sheets-faqs-and-other-resources/influenza"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svgz"/><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2.svgz"/><Relationship Id="rId37" Type="http://schemas.openxmlformats.org/officeDocument/2006/relationships/image" Target="media/image15.png"/><Relationship Id="rId40" Type="http://schemas.openxmlformats.org/officeDocument/2006/relationships/image" Target="media/image18.svgz"/><Relationship Id="rId45" Type="http://schemas.openxmlformats.org/officeDocument/2006/relationships/hyperlink" Target="https://www.abs.gov.au/statistics/people/population/national-state-and-territory-population/jun-2024" TargetMode="External"/><Relationship Id="rId53" Type="http://schemas.openxmlformats.org/officeDocument/2006/relationships/image" Target="media/image28.svgz"/><Relationship Id="rId58" Type="http://schemas.openxmlformats.org/officeDocument/2006/relationships/hyperlink" Target="https://paeds.org.au/influenza/paediatric-influenza-australia" TargetMode="External"/><Relationship Id="rId66" Type="http://schemas.openxmlformats.org/officeDocument/2006/relationships/image" Target="media/image36.svgz"/><Relationship Id="rId74" Type="http://schemas.openxmlformats.org/officeDocument/2006/relationships/image" Target="media/image42.svgz"/><Relationship Id="rId79" Type="http://schemas.openxmlformats.org/officeDocument/2006/relationships/image" Target="media/image46.png"/><Relationship Id="rId87"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ncirs.org.au/public/covid-19-vaccines" TargetMode="External"/><Relationship Id="rId90"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svgz"/><Relationship Id="rId30" Type="http://schemas.openxmlformats.org/officeDocument/2006/relationships/hyperlink" Target="https://www.abs.gov.au/statistics/people/population/national-state-and-territory-population/jun-2024"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hyperlink" Target="https://paeds.org.au/covid-19/paediatric-covid-19-australia" TargetMode="External"/><Relationship Id="rId64" Type="http://schemas.openxmlformats.org/officeDocument/2006/relationships/image" Target="media/image34.svgz"/><Relationship Id="rId69" Type="http://schemas.openxmlformats.org/officeDocument/2006/relationships/hyperlink" Target="https://www.health.gov.au/resources/publications/technical-supplement-australian-respiratory-surveillance-report" TargetMode="External"/><Relationship Id="rId77" Type="http://schemas.openxmlformats.org/officeDocument/2006/relationships/image" Target="media/image44.svgz"/><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resources/publications/technical-supplement-australian-respiratory-surveillance-report" TargetMode="External"/><Relationship Id="rId85" Type="http://schemas.openxmlformats.org/officeDocument/2006/relationships/hyperlink" Target="https://www.health.gov.au/topics/immunisation/vaccines/respiratory-syncytial-virus-rsv-vaccin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hyperlink" Target="https://paeds.org.au/respiratory-syncytial-virus-rsv/paediatric-rsv-australia" TargetMode="External"/><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2.svgz"/><Relationship Id="rId70" Type="http://schemas.openxmlformats.org/officeDocument/2006/relationships/image" Target="media/image39.png"/><Relationship Id="rId75" Type="http://schemas.openxmlformats.org/officeDocument/2006/relationships/hyperlink" Target="https://www.abs.gov.au/statistics/health/causes-death/deaths-due-acute-respiratory-infections-australia/latest-release" TargetMode="External"/><Relationship Id="rId83" Type="http://schemas.openxmlformats.org/officeDocument/2006/relationships/hyperlink" Target="https://www.health.gov.au/topics/immunisation/vaccines/influenza-flu-vaccine" TargetMode="External"/><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hyperlink" Target="https://paeds.org.au/pims-ts/paeds-pims-ts-case-dat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7.png"/><Relationship Id="rId60" Type="http://schemas.openxmlformats.org/officeDocument/2006/relationships/hyperlink" Target="https://paeds.org.au/" TargetMode="External"/><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yperlink" Target="https://www.health.gov.au/our-work/covid-19-vaccines/getting-your-vaccination" TargetMode="External"/><Relationship Id="rId86" Type="http://schemas.openxmlformats.org/officeDocument/2006/relationships/hyperlink" Target="https://ncirs.org.au/respiratory-syncytial-virus-rsv/respiratory-syncytial-virus-rsv-immunis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E4B65AA6-43BB-43EA-834B-41F2A4C29F5F}">
  <ds:schemaRefs>
    <ds:schemaRef ds:uri="http://schemas.openxmlformats.org/officeDocument/2006/bibliography"/>
  </ds:schemaRefs>
</ds:datastoreItem>
</file>

<file path=customXml/itemProps2.xml><?xml version="1.0" encoding="utf-8"?>
<ds:datastoreItem xmlns:ds="http://schemas.openxmlformats.org/officeDocument/2006/customXml" ds:itemID="{A9247364-1CF3-455A-B666-BB98B5514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E81C8C-88F1-4E56-96F1-5258026F1EC6}">
  <ds:schemaRefs>
    <ds:schemaRef ds:uri="http://schemas.microsoft.com/sharepoint/v3/contenttype/forms"/>
  </ds:schemaRefs>
</ds:datastoreItem>
</file>

<file path=customXml/itemProps4.xml><?xml version="1.0" encoding="utf-8"?>
<ds:datastoreItem xmlns:ds="http://schemas.openxmlformats.org/officeDocument/2006/customXml" ds:itemID="{3C0F2759-37BF-4AFF-A3C4-006CD309DC3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11163</Words>
  <Characters>63633</Characters>
  <Application>Microsoft Office Word</Application>
  <DocSecurity>0</DocSecurity>
  <Lines>530</Lines>
  <Paragraphs>149</Paragraphs>
  <ScaleCrop>false</ScaleCrop>
  <Company/>
  <LinksUpToDate>false</LinksUpToDate>
  <CharactersWithSpaces>74647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8 September to 21 September 2025</dc:title>
  <dc:subject/>
  <dc:creator>WHITEHEAD, Suzie</dc:creator>
  <cp:keywords>Respiratory syncytial virus (RSV) infection; Influenza (flu); COVID-19, Coronavirus; Influenza surveillance program</cp:keywords>
  <cp:lastModifiedBy>TRENORDEN, Caitlin</cp:lastModifiedBy>
  <cp:revision>3</cp:revision>
  <dcterms:created xsi:type="dcterms:W3CDTF">2025-09-26T02:05:00Z</dcterms:created>
  <dcterms:modified xsi:type="dcterms:W3CDTF">2025-09-26T02:06:00Z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y fmtid="{D5CDD505-2E9C-101B-9397-08002B2CF9AE}" pid="7" name="docLang">
    <vt:lpwstr>en</vt:lpwstr>
  </property>
  <property fmtid="{D5CDD505-2E9C-101B-9397-08002B2CF9AE}" pid="8" name="ClassificationContentMarkingHeaderShapeIds">
    <vt:lpwstr>7eb39709,36df0783,47470c7</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41bfa6bb,d287270,5a5fb9ce</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2025-09-25T22:45:57Z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62a6504e-cdcf-41a9-92a6-3808bb8e1128</vt:lpwstr>
  </property>
  <property fmtid="{D5CDD505-2E9C-101B-9397-08002B2CF9AE}" pid="20" name="MSIP_Label_7cd3e8b9-ffed-43a8-b7f4-cc2fa0382d36_ContentBits">
    <vt:lpwstr>3</vt:lpwstr>
  </property>
  <property fmtid="{D5CDD505-2E9C-101B-9397-08002B2CF9AE}" pid="21" name="MSIP_Label_7cd3e8b9-ffed-43a8-b7f4-cc2fa0382d36_Tag">
    <vt:lpwstr>10, 0, 1, 2</vt:lpwstr>
  </property>
</Properties>
</file>