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2E54" w14:textId="7A0435F2" w:rsidR="00BA2732" w:rsidRPr="00425702" w:rsidRDefault="00144900" w:rsidP="0068134A">
      <w:pPr>
        <w:pStyle w:val="Heading1"/>
      </w:pPr>
      <w:r w:rsidRPr="00425702">
        <w:t>Australian Technical Advisory Group on Immunisation (ATAGI</w:t>
      </w:r>
      <w:r w:rsidR="000F2F5F" w:rsidRPr="00425702">
        <w:t>)</w:t>
      </w:r>
    </w:p>
    <w:p w14:paraId="6E052E4A" w14:textId="5FC3AE6E" w:rsidR="008376E2" w:rsidRPr="00425702" w:rsidRDefault="008376E2" w:rsidP="00DE6AD6">
      <w:pPr>
        <w:sectPr w:rsidR="008376E2" w:rsidRPr="0042570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8900896" w14:textId="201B2F59" w:rsidR="0054768D" w:rsidRPr="00425702" w:rsidRDefault="00144900" w:rsidP="0054768D">
      <w:pPr>
        <w:pStyle w:val="Heading2"/>
      </w:pPr>
      <w:r w:rsidRPr="00425702">
        <w:t>S</w:t>
      </w:r>
      <w:r w:rsidR="0098122D" w:rsidRPr="00425702">
        <w:t>ummary</w:t>
      </w:r>
      <w:r w:rsidRPr="00425702">
        <w:t xml:space="preserve"> of the </w:t>
      </w:r>
      <w:r w:rsidR="00B617B0" w:rsidRPr="00425702">
        <w:t>1</w:t>
      </w:r>
      <w:r w:rsidR="00222145">
        <w:t>1</w:t>
      </w:r>
      <w:r w:rsidR="00A6685D">
        <w:t>3</w:t>
      </w:r>
      <w:r w:rsidR="00B617B0" w:rsidRPr="00425702">
        <w:t>th</w:t>
      </w:r>
      <w:r w:rsidRPr="00425702">
        <w:t xml:space="preserve"> meeting, </w:t>
      </w:r>
      <w:r w:rsidR="00A6685D">
        <w:t>19 and 20 June</w:t>
      </w:r>
      <w:r w:rsidR="006131F2">
        <w:t xml:space="preserve"> 2025</w:t>
      </w:r>
    </w:p>
    <w:p w14:paraId="020AEB72" w14:textId="1CA1300F" w:rsidR="00416689" w:rsidRDefault="005604FD" w:rsidP="0047446C">
      <w:pPr>
        <w:pStyle w:val="Heading3"/>
      </w:pPr>
      <w:r>
        <w:t>Respiratory syncytial virus (RSV)</w:t>
      </w:r>
    </w:p>
    <w:p w14:paraId="0D3E0CF8" w14:textId="36D4602E" w:rsidR="00AA0145" w:rsidRDefault="006552A5" w:rsidP="000A7FB9">
      <w:pPr>
        <w:pStyle w:val="ListParagraph"/>
      </w:pPr>
      <w:r>
        <w:t xml:space="preserve">Australia’s RSV prevention program includes free RSV vaccine </w:t>
      </w:r>
      <w:r w:rsidR="00142D18">
        <w:t>(</w:t>
      </w:r>
      <w:proofErr w:type="spellStart"/>
      <w:r w:rsidR="00142D18">
        <w:t>Abrysvo</w:t>
      </w:r>
      <w:proofErr w:type="spellEnd"/>
      <w:r w:rsidR="00142D18">
        <w:t xml:space="preserve">) </w:t>
      </w:r>
      <w:r>
        <w:t xml:space="preserve">under the National Immunisation Program (NIP) for pregnant people </w:t>
      </w:r>
      <w:r w:rsidR="00142D18">
        <w:t>from 28 weeks</w:t>
      </w:r>
      <w:r>
        <w:t xml:space="preserve"> of pregnancy to protect their newborn baby from RSV, and free </w:t>
      </w:r>
      <w:proofErr w:type="spellStart"/>
      <w:r>
        <w:t>nirsevimab</w:t>
      </w:r>
      <w:proofErr w:type="spellEnd"/>
      <w:r>
        <w:t xml:space="preserve"> (a long-acting monoclonal antibody against RSV) for eligible infants through state and territory funded programs. These immunisation products help protect newborn babies from RSV.</w:t>
      </w:r>
      <w:r w:rsidR="000A278D">
        <w:t xml:space="preserve"> </w:t>
      </w:r>
      <w:hyperlink r:id="rId14">
        <w:r w:rsidR="00EB077B" w:rsidRPr="646645D6">
          <w:rPr>
            <w:rStyle w:val="Hyperlink"/>
          </w:rPr>
          <w:t xml:space="preserve">ATAGI’s recommendations </w:t>
        </w:r>
        <w:r w:rsidR="00EE2392" w:rsidRPr="646645D6">
          <w:rPr>
            <w:rStyle w:val="Hyperlink"/>
          </w:rPr>
          <w:t>for RSV prevention</w:t>
        </w:r>
      </w:hyperlink>
      <w:r w:rsidR="00EE2392">
        <w:t xml:space="preserve"> are on the Australian Immunisation Handbook website.</w:t>
      </w:r>
    </w:p>
    <w:p w14:paraId="6F822EBC" w14:textId="212EBAF2" w:rsidR="00C33E49" w:rsidRPr="000A7FB9" w:rsidRDefault="000615A1" w:rsidP="000A7FB9">
      <w:pPr>
        <w:pStyle w:val="ListParagraph"/>
      </w:pPr>
      <w:r w:rsidRPr="000A7FB9">
        <w:t xml:space="preserve">Recent Australian studies have shown that </w:t>
      </w:r>
      <w:hyperlink r:id="rId15" w:anchor="background-on-rsv-immunisation-effectiveness" w:history="1">
        <w:r w:rsidRPr="000A7FB9">
          <w:rPr>
            <w:rStyle w:val="Hyperlink"/>
          </w:rPr>
          <w:t>RSV immunisation products are very effective</w:t>
        </w:r>
      </w:hyperlink>
      <w:r w:rsidR="00A923FF" w:rsidRPr="000A7FB9">
        <w:t xml:space="preserve"> and </w:t>
      </w:r>
      <w:r w:rsidR="002D556A" w:rsidRPr="000A7FB9">
        <w:t xml:space="preserve">have led to a substantial decrease in </w:t>
      </w:r>
      <w:r w:rsidR="00A923FF" w:rsidRPr="000A7FB9">
        <w:t>RSV-related hospitalisations in infants.</w:t>
      </w:r>
      <w:r w:rsidR="00B61BF6" w:rsidRPr="000A7FB9">
        <w:t xml:space="preserve"> </w:t>
      </w:r>
      <w:r w:rsidR="00E25F76" w:rsidRPr="000A7FB9">
        <w:t xml:space="preserve">The NCIRS website has </w:t>
      </w:r>
      <w:hyperlink r:id="rId16" w:history="1">
        <w:r w:rsidR="00E25F76" w:rsidRPr="000A7FB9">
          <w:rPr>
            <w:rStyle w:val="Hyperlink"/>
          </w:rPr>
          <w:t>d</w:t>
        </w:r>
        <w:r w:rsidR="00B61BF6" w:rsidRPr="000A7FB9">
          <w:rPr>
            <w:rStyle w:val="Hyperlink"/>
          </w:rPr>
          <w:t>ata on uptake of RSV immunisation products</w:t>
        </w:r>
      </w:hyperlink>
      <w:r w:rsidR="00E25F76" w:rsidRPr="000A7FB9">
        <w:t>.</w:t>
      </w:r>
    </w:p>
    <w:p w14:paraId="60DDD6AA" w14:textId="5CC1D30B" w:rsidR="00FB3440" w:rsidRPr="000A7FB9" w:rsidRDefault="00531489" w:rsidP="000A7FB9">
      <w:pPr>
        <w:pStyle w:val="ListParagraph"/>
      </w:pPr>
      <w:r w:rsidRPr="000A7FB9">
        <w:t xml:space="preserve">ATAGI </w:t>
      </w:r>
      <w:r w:rsidR="00E02BF6" w:rsidRPr="000A7FB9">
        <w:t>reviewed</w:t>
      </w:r>
      <w:r w:rsidRPr="000A7FB9">
        <w:t xml:space="preserve"> data from the </w:t>
      </w:r>
      <w:r w:rsidR="00F87FCE" w:rsidRPr="000A7FB9">
        <w:t>Therapeutic Goods Administration (</w:t>
      </w:r>
      <w:r w:rsidRPr="000A7FB9">
        <w:t>TGA</w:t>
      </w:r>
      <w:r w:rsidR="00F87FCE" w:rsidRPr="000A7FB9">
        <w:t>)</w:t>
      </w:r>
      <w:r w:rsidRPr="000A7FB9">
        <w:t xml:space="preserve"> on reports of </w:t>
      </w:r>
      <w:hyperlink r:id="rId17" w:history="1">
        <w:r w:rsidRPr="000A7FB9">
          <w:rPr>
            <w:rStyle w:val="Hyperlink"/>
          </w:rPr>
          <w:t>administration errors relating to RSV immunisation products</w:t>
        </w:r>
      </w:hyperlink>
      <w:r w:rsidRPr="000A7FB9">
        <w:t>.</w:t>
      </w:r>
      <w:r w:rsidR="00D9240C" w:rsidRPr="000A7FB9">
        <w:t xml:space="preserve"> </w:t>
      </w:r>
      <w:r w:rsidR="002B55CC" w:rsidRPr="000A7FB9">
        <w:t>Most of these errors did not lead to any adverse events</w:t>
      </w:r>
      <w:r w:rsidR="0031069C" w:rsidRPr="000A7FB9">
        <w:t xml:space="preserve">, but </w:t>
      </w:r>
      <w:r w:rsidR="00AC3D62" w:rsidRPr="000A7FB9">
        <w:t>the potential consequences of these errors could include inadequate immunological protection, cost impacts, inconvenience and reduced confidence in vaccination more broadly.</w:t>
      </w:r>
    </w:p>
    <w:p w14:paraId="6DF44EFD" w14:textId="6B3C4AC2" w:rsidR="008E3E31" w:rsidRPr="004E1048" w:rsidRDefault="001845E8" w:rsidP="000A7FB9">
      <w:pPr>
        <w:pStyle w:val="ListParagraph"/>
      </w:pPr>
      <w:r>
        <w:t xml:space="preserve">ATAGI have recently released a statement on </w:t>
      </w:r>
      <w:hyperlink r:id="rId18" w:history="1">
        <w:r w:rsidRPr="646645D6">
          <w:rPr>
            <w:rStyle w:val="Hyperlink"/>
          </w:rPr>
          <w:t>RSV immunisation product administration errors</w:t>
        </w:r>
      </w:hyperlink>
      <w:r>
        <w:t xml:space="preserve">, which </w:t>
      </w:r>
      <w:r w:rsidR="008E3E31">
        <w:t>provides advice on the management of a range of possible administration errors, including when a repeat dose is needed.</w:t>
      </w:r>
    </w:p>
    <w:p w14:paraId="145586A8" w14:textId="07008E25" w:rsidR="001845E8" w:rsidRDefault="00A63B13" w:rsidP="000A7FB9">
      <w:pPr>
        <w:pStyle w:val="ListParagraph"/>
      </w:pPr>
      <w:r>
        <w:t xml:space="preserve">ATAGI urges providers to be aware of the </w:t>
      </w:r>
      <w:r w:rsidR="00611C5E">
        <w:t xml:space="preserve">three </w:t>
      </w:r>
      <w:r w:rsidR="00FB3440">
        <w:t>different RSV products that are available in Australia and their different indications for use</w:t>
      </w:r>
      <w:r w:rsidR="001845E8">
        <w:t>.</w:t>
      </w:r>
    </w:p>
    <w:p w14:paraId="14DA3D22" w14:textId="4274C279" w:rsidR="0056609E" w:rsidRDefault="0056609E" w:rsidP="0047446C">
      <w:pPr>
        <w:pStyle w:val="Heading3"/>
      </w:pPr>
      <w:r>
        <w:t>Measles</w:t>
      </w:r>
    </w:p>
    <w:p w14:paraId="187532C2" w14:textId="17C67B37" w:rsidR="00EE250C" w:rsidRDefault="0056609E" w:rsidP="000A7FB9">
      <w:pPr>
        <w:pStyle w:val="ListParagraph"/>
      </w:pPr>
      <w:r>
        <w:t xml:space="preserve">ATAGI </w:t>
      </w:r>
      <w:r w:rsidR="00FE255E">
        <w:t>noted with concern the</w:t>
      </w:r>
      <w:r w:rsidR="00B97901">
        <w:t xml:space="preserve"> </w:t>
      </w:r>
      <w:r w:rsidR="000119A8">
        <w:t>ongoing notifications of measles in Australia</w:t>
      </w:r>
      <w:r w:rsidR="001F3EA2">
        <w:t xml:space="preserve"> and overseas. </w:t>
      </w:r>
    </w:p>
    <w:p w14:paraId="3A297B6A" w14:textId="64B9D3EC" w:rsidR="00112DF2" w:rsidRDefault="00112DF2" w:rsidP="000A7FB9">
      <w:pPr>
        <w:pStyle w:val="ListParagraph"/>
      </w:pPr>
      <w:r>
        <w:t xml:space="preserve">The </w:t>
      </w:r>
      <w:hyperlink r:id="rId19">
        <w:r w:rsidRPr="646645D6">
          <w:rPr>
            <w:rStyle w:val="Hyperlink"/>
          </w:rPr>
          <w:t>Australian Health Protection Committee</w:t>
        </w:r>
        <w:r w:rsidR="009650E7" w:rsidRPr="646645D6">
          <w:rPr>
            <w:rStyle w:val="Hyperlink"/>
          </w:rPr>
          <w:t xml:space="preserve"> statement on measles</w:t>
        </w:r>
      </w:hyperlink>
      <w:r w:rsidR="00B644F8">
        <w:t xml:space="preserve"> highlight</w:t>
      </w:r>
      <w:r w:rsidR="00AA4C46">
        <w:t>s</w:t>
      </w:r>
      <w:r w:rsidR="00B644F8">
        <w:t xml:space="preserve"> </w:t>
      </w:r>
      <w:r w:rsidR="006A24E5">
        <w:t>four </w:t>
      </w:r>
      <w:r w:rsidR="00B644F8">
        <w:t xml:space="preserve">priority areas </w:t>
      </w:r>
      <w:r w:rsidR="00333003">
        <w:t xml:space="preserve">to address measles </w:t>
      </w:r>
      <w:r w:rsidR="00B644F8">
        <w:t>– on-time vaccination for children, catch-up vaccination for children and adults</w:t>
      </w:r>
      <w:r w:rsidR="00AA3B2D">
        <w:t>, all relevant vaccinations for overseas travellers, and nationally consistent information for healthcare providers and the public.</w:t>
      </w:r>
    </w:p>
    <w:p w14:paraId="0B97123D" w14:textId="77777777" w:rsidR="00453B74" w:rsidRDefault="000760B7" w:rsidP="000A7FB9">
      <w:pPr>
        <w:pStyle w:val="ListParagraph"/>
      </w:pPr>
      <w:hyperlink r:id="rId20" w:anchor="children">
        <w:r w:rsidRPr="646645D6">
          <w:rPr>
            <w:rStyle w:val="Hyperlink"/>
          </w:rPr>
          <w:t>Infants who are travelling overseas can receive their first dose of measles vaccine from 6 months of age</w:t>
        </w:r>
      </w:hyperlink>
      <w:r w:rsidR="00155612">
        <w:t xml:space="preserve"> to protect them during travel.</w:t>
      </w:r>
      <w:r w:rsidR="00453B74">
        <w:t xml:space="preserve"> All states and territories offer this vaccine for free to eligible infants.</w:t>
      </w:r>
      <w:r w:rsidR="00155612">
        <w:t xml:space="preserve"> </w:t>
      </w:r>
    </w:p>
    <w:p w14:paraId="55C88798" w14:textId="00C781A4" w:rsidR="0056609E" w:rsidRDefault="00453B74" w:rsidP="000A7FB9">
      <w:pPr>
        <w:pStyle w:val="ListParagraph"/>
      </w:pPr>
      <w:r>
        <w:t>Infants will</w:t>
      </w:r>
      <w:r w:rsidR="004C017D">
        <w:t xml:space="preserve"> </w:t>
      </w:r>
      <w:r>
        <w:t>also need to</w:t>
      </w:r>
      <w:r w:rsidR="004C017D">
        <w:t xml:space="preserve"> receive the </w:t>
      </w:r>
      <w:r>
        <w:t>two</w:t>
      </w:r>
      <w:r w:rsidR="004C017D">
        <w:t xml:space="preserve"> recommended doses at 12 months and 18 months of age</w:t>
      </w:r>
      <w:r>
        <w:t>, as per the primary measles schedule</w:t>
      </w:r>
      <w:r w:rsidR="004C017D">
        <w:t>.</w:t>
      </w:r>
      <w:r w:rsidR="00754745">
        <w:t xml:space="preserve"> See the </w:t>
      </w:r>
      <w:hyperlink r:id="rId21">
        <w:r w:rsidR="00754745" w:rsidRPr="646645D6">
          <w:rPr>
            <w:rStyle w:val="Hyperlink"/>
          </w:rPr>
          <w:t>Australian Immunisation Handbook</w:t>
        </w:r>
      </w:hyperlink>
      <w:r w:rsidR="00754745">
        <w:t xml:space="preserve"> for more details.</w:t>
      </w:r>
    </w:p>
    <w:p w14:paraId="5466701F" w14:textId="30950A28" w:rsidR="00A7177E" w:rsidRDefault="006332D7" w:rsidP="000A7FB9">
      <w:pPr>
        <w:pStyle w:val="ListParagraph"/>
      </w:pPr>
      <w:r>
        <w:lastRenderedPageBreak/>
        <w:t>Adolescent</w:t>
      </w:r>
      <w:r w:rsidR="00371897">
        <w:t>s</w:t>
      </w:r>
      <w:r>
        <w:t xml:space="preserve"> and adults born during or since 1966 are recommended to</w:t>
      </w:r>
      <w:r w:rsidR="00A7177E">
        <w:t xml:space="preserve"> </w:t>
      </w:r>
      <w:r>
        <w:t>receive</w:t>
      </w:r>
      <w:r w:rsidR="00BC2967">
        <w:t xml:space="preserve"> 2 doses of measles-containing vaccine.</w:t>
      </w:r>
      <w:r w:rsidR="006A24E5">
        <w:t xml:space="preserve"> </w:t>
      </w:r>
    </w:p>
    <w:p w14:paraId="4CF386B8" w14:textId="0203AD63" w:rsidR="006332D7" w:rsidRDefault="006A24E5" w:rsidP="000A7FB9">
      <w:pPr>
        <w:pStyle w:val="ListParagraph"/>
      </w:pPr>
      <w:r>
        <w:t>Individuals who are unsure of their immunisation status are safe to receive a</w:t>
      </w:r>
      <w:r w:rsidR="00453B74">
        <w:t>n additional dose of measles-containing vaccine.</w:t>
      </w:r>
      <w:r w:rsidR="00BC2967">
        <w:t xml:space="preserve"> </w:t>
      </w:r>
      <w:r w:rsidR="00371897">
        <w:t>See the</w:t>
      </w:r>
      <w:r w:rsidR="00012815">
        <w:t xml:space="preserve"> </w:t>
      </w:r>
      <w:hyperlink r:id="rId22" w:history="1">
        <w:r w:rsidR="00012815" w:rsidRPr="00012815">
          <w:rPr>
            <w:rStyle w:val="Hyperlink"/>
          </w:rPr>
          <w:t>Measles | The Australian Immunisation Handbook</w:t>
        </w:r>
      </w:hyperlink>
      <w:r w:rsidR="00012815">
        <w:t xml:space="preserve"> </w:t>
      </w:r>
      <w:r w:rsidR="00371897">
        <w:t>for more details.</w:t>
      </w:r>
    </w:p>
    <w:p w14:paraId="07245372" w14:textId="77777777" w:rsidR="00561286" w:rsidRDefault="00561286" w:rsidP="00561286">
      <w:pPr>
        <w:pStyle w:val="Heading3"/>
      </w:pPr>
      <w:r>
        <w:t>Pertussis</w:t>
      </w:r>
    </w:p>
    <w:p w14:paraId="17A1FBCE" w14:textId="2EE5BBE2" w:rsidR="00561286" w:rsidRPr="000A7FB9" w:rsidRDefault="00561286" w:rsidP="000A7FB9">
      <w:pPr>
        <w:pStyle w:val="ListParagraph"/>
      </w:pPr>
      <w:r w:rsidRPr="000A7FB9">
        <w:t xml:space="preserve">ATAGI noted the increase in pertussis notification rates </w:t>
      </w:r>
      <w:r w:rsidR="003B4263" w:rsidRPr="000A7FB9">
        <w:t xml:space="preserve">in Australia </w:t>
      </w:r>
      <w:r w:rsidRPr="000A7FB9">
        <w:t>since 2024.</w:t>
      </w:r>
    </w:p>
    <w:p w14:paraId="3C45DAF0" w14:textId="403CBACB" w:rsidR="00561286" w:rsidRPr="005C09CE" w:rsidRDefault="00561286" w:rsidP="000A7FB9">
      <w:pPr>
        <w:pStyle w:val="ListParagraph"/>
      </w:pPr>
      <w:r>
        <w:t xml:space="preserve">ATAGI reviewed data on pertussis epidemiology and vaccination coverage that will inform a review of </w:t>
      </w:r>
      <w:r w:rsidR="005E56FD">
        <w:t xml:space="preserve">the </w:t>
      </w:r>
      <w:r>
        <w:t>pertussis</w:t>
      </w:r>
      <w:r w:rsidR="005E56FD">
        <w:t xml:space="preserve"> vaccine schedule</w:t>
      </w:r>
      <w:r>
        <w:t xml:space="preserve"> in Australia</w:t>
      </w:r>
      <w:r w:rsidR="005E56FD">
        <w:t xml:space="preserve">. </w:t>
      </w:r>
      <w:r>
        <w:t xml:space="preserve">Further analysis will include data on hospitalisations due to pertussis and timeliness of vaccination across the </w:t>
      </w:r>
      <w:r w:rsidR="005E56FD">
        <w:t>life-course.</w:t>
      </w:r>
    </w:p>
    <w:p w14:paraId="3DF86C70" w14:textId="6BC309E2" w:rsidR="00A22EBA" w:rsidRDefault="00A22EBA" w:rsidP="0047446C">
      <w:pPr>
        <w:pStyle w:val="Heading3"/>
      </w:pPr>
      <w:r>
        <w:t>Influenza</w:t>
      </w:r>
    </w:p>
    <w:p w14:paraId="6D22A194" w14:textId="77777777" w:rsidR="00183B5D" w:rsidRDefault="00561286" w:rsidP="000A7FB9">
      <w:pPr>
        <w:pStyle w:val="ListParagraph"/>
      </w:pPr>
      <w:r>
        <w:t xml:space="preserve">ATAGI received an update on the 2025 influenza vaccination program. </w:t>
      </w:r>
    </w:p>
    <w:p w14:paraId="3E258F41" w14:textId="1572B8A7" w:rsidR="00A22EBA" w:rsidRDefault="00267E56" w:rsidP="000A7FB9">
      <w:pPr>
        <w:pStyle w:val="ListParagraph"/>
      </w:pPr>
      <w:r>
        <w:t>As of 8 June 2025, Australia had received 12.7 million doses of influenza vaccines (around 7.5</w:t>
      </w:r>
      <w:r w:rsidR="00561286">
        <w:t> </w:t>
      </w:r>
      <w:r>
        <w:t>million for NIP cohorts and the remainder for the private market). A total of 7.4</w:t>
      </w:r>
      <w:r w:rsidR="00561286">
        <w:t> </w:t>
      </w:r>
      <w:r>
        <w:t>million doses had been administered so far</w:t>
      </w:r>
      <w:r w:rsidR="000334F4">
        <w:t xml:space="preserve"> for the 2025 influenza season</w:t>
      </w:r>
      <w:r>
        <w:t>, and around 28% of these were administered in pharmacies</w:t>
      </w:r>
      <w:r w:rsidR="00533A2E">
        <w:t>.</w:t>
      </w:r>
    </w:p>
    <w:p w14:paraId="72642C84" w14:textId="77777777" w:rsidR="00B71963" w:rsidRDefault="00B71963" w:rsidP="0047446C">
      <w:pPr>
        <w:pStyle w:val="Heading3"/>
      </w:pPr>
      <w:r>
        <w:t>Pneumococcal disease</w:t>
      </w:r>
    </w:p>
    <w:p w14:paraId="69F6C512" w14:textId="5E800E1F" w:rsidR="00B71963" w:rsidRDefault="5D3065B7" w:rsidP="000A7FB9">
      <w:pPr>
        <w:pStyle w:val="ListParagraph"/>
      </w:pPr>
      <w:r>
        <w:t xml:space="preserve">The </w:t>
      </w:r>
      <w:r w:rsidR="0015732D">
        <w:t xml:space="preserve">ATAGI reviewed and </w:t>
      </w:r>
      <w:r w:rsidR="0AFFA481">
        <w:t>endorsed the</w:t>
      </w:r>
      <w:r w:rsidR="0015732D">
        <w:t xml:space="preserve"> final report on</w:t>
      </w:r>
      <w:r w:rsidR="5B679320">
        <w:t xml:space="preserve"> adult</w:t>
      </w:r>
      <w:r w:rsidR="0015732D">
        <w:t xml:space="preserve"> pneumococcal modelling </w:t>
      </w:r>
      <w:r w:rsidR="72AAAC14">
        <w:t xml:space="preserve">that was developed </w:t>
      </w:r>
      <w:r w:rsidR="0015732D">
        <w:t>to</w:t>
      </w:r>
      <w:r w:rsidR="2E258485">
        <w:t xml:space="preserve"> help</w:t>
      </w:r>
      <w:r w:rsidR="0015732D">
        <w:t xml:space="preserve"> inform the optimal pneumococcal vaccination schedule in Australia. </w:t>
      </w:r>
    </w:p>
    <w:p w14:paraId="1E2E9821" w14:textId="1A2197C1" w:rsidR="00936207" w:rsidRPr="00B71963" w:rsidRDefault="00541F62" w:rsidP="000A7FB9">
      <w:pPr>
        <w:pStyle w:val="ListParagraph"/>
      </w:pPr>
      <w:r>
        <w:t>ATAGI reviewed and discussed</w:t>
      </w:r>
      <w:r w:rsidR="00942373">
        <w:t xml:space="preserve"> draft advice to the department on the optimal pneumococcal vaccination schedule for adults. </w:t>
      </w:r>
      <w:r w:rsidR="000D7065">
        <w:t>The advice considers the pneumococcal vaccines available in Australia</w:t>
      </w:r>
      <w:r w:rsidR="00A0159B">
        <w:t xml:space="preserve"> and recommended ages for vaccination</w:t>
      </w:r>
      <w:r w:rsidR="005C09CE">
        <w:t xml:space="preserve"> in adults. </w:t>
      </w:r>
    </w:p>
    <w:p w14:paraId="57A9BB7F" w14:textId="063F3D38" w:rsidR="00267E56" w:rsidRDefault="00267E56" w:rsidP="0047446C">
      <w:pPr>
        <w:pStyle w:val="Heading3"/>
      </w:pPr>
      <w:r>
        <w:t>COVID-19</w:t>
      </w:r>
    </w:p>
    <w:p w14:paraId="2EB01750" w14:textId="77777777" w:rsidR="00EC28F8" w:rsidRDefault="00183F63" w:rsidP="000A7FB9">
      <w:pPr>
        <w:pStyle w:val="ListParagraph"/>
      </w:pPr>
      <w:r>
        <w:t xml:space="preserve">ATAGI received an update on the COVID-19 vaccination program from the department. </w:t>
      </w:r>
      <w:r w:rsidR="00DF1BB3">
        <w:t xml:space="preserve">Members were pleased to note that a high proportion of adults in residential aged care had </w:t>
      </w:r>
      <w:r w:rsidR="005D72C9">
        <w:t>received a COVID-19 vaccine dose in the past 12 months</w:t>
      </w:r>
      <w:r w:rsidR="007D259B">
        <w:t>.</w:t>
      </w:r>
    </w:p>
    <w:p w14:paraId="220D6C53" w14:textId="45EEEF97" w:rsidR="00183F63" w:rsidRPr="00183F63" w:rsidRDefault="007D259B" w:rsidP="000A7FB9">
      <w:pPr>
        <w:pStyle w:val="ListParagraph"/>
      </w:pPr>
      <w:r>
        <w:t>Older age continues to be the biggest risk factor for severe COVID-19</w:t>
      </w:r>
      <w:r w:rsidR="00482196">
        <w:t>, and residents of aged care homes are an important group</w:t>
      </w:r>
      <w:r w:rsidR="00250318">
        <w:t xml:space="preserve"> that can be protected through vaccination.</w:t>
      </w:r>
    </w:p>
    <w:p w14:paraId="60AD9521" w14:textId="77777777" w:rsidR="000615A0" w:rsidRDefault="000615A0" w:rsidP="0047446C">
      <w:pPr>
        <w:pStyle w:val="Heading3"/>
      </w:pPr>
      <w:r>
        <w:t>Mpox</w:t>
      </w:r>
    </w:p>
    <w:p w14:paraId="52174F3B" w14:textId="0727DB5E" w:rsidR="000F3DB6" w:rsidRDefault="003F1AE0" w:rsidP="000A7FB9">
      <w:pPr>
        <w:pStyle w:val="ListParagraph"/>
      </w:pPr>
      <w:r>
        <w:t>Mpox cases in Australia have been decreasing</w:t>
      </w:r>
      <w:r w:rsidR="00D36C91">
        <w:t>, although mpox transmission is still occurring in</w:t>
      </w:r>
      <w:r w:rsidR="33B39B87">
        <w:t xml:space="preserve"> Australia and</w:t>
      </w:r>
      <w:r w:rsidR="00D36C91">
        <w:t xml:space="preserve"> other countries. </w:t>
      </w:r>
    </w:p>
    <w:p w14:paraId="2DB6625B" w14:textId="768FCD0E" w:rsidR="007B5A50" w:rsidRPr="000615A0" w:rsidRDefault="009A1132" w:rsidP="000A7FB9">
      <w:pPr>
        <w:pStyle w:val="ListParagraph"/>
      </w:pPr>
      <w:r>
        <w:t xml:space="preserve">ATAGI recommends </w:t>
      </w:r>
      <w:r w:rsidR="008D7584">
        <w:t xml:space="preserve">pre-travel vaccination for anyone (regardless of sexual orientation or gender identity) who may undertake sexual risk activities during travel to countries with mpox transmission. More information is available in </w:t>
      </w:r>
      <w:r w:rsidR="001521FE">
        <w:t xml:space="preserve">ATAGI’s </w:t>
      </w:r>
      <w:hyperlink r:id="rId23">
        <w:r w:rsidR="001521FE" w:rsidRPr="646645D6">
          <w:rPr>
            <w:rStyle w:val="Hyperlink"/>
          </w:rPr>
          <w:t>clinical guidance on the use of mpox vaccines</w:t>
        </w:r>
      </w:hyperlink>
      <w:r w:rsidR="007E3F02">
        <w:t xml:space="preserve"> and the </w:t>
      </w:r>
      <w:hyperlink r:id="rId24">
        <w:r w:rsidR="007E3F02" w:rsidRPr="646645D6">
          <w:rPr>
            <w:rStyle w:val="Hyperlink"/>
          </w:rPr>
          <w:t>mpox chapter of the Australian Immunisation Handbook</w:t>
        </w:r>
      </w:hyperlink>
      <w:r w:rsidR="008D7584">
        <w:t>.</w:t>
      </w:r>
    </w:p>
    <w:p w14:paraId="7F646B6A" w14:textId="77777777" w:rsidR="00822381" w:rsidRPr="00822381" w:rsidRDefault="00822381" w:rsidP="0047446C">
      <w:pPr>
        <w:pStyle w:val="Heading3"/>
      </w:pPr>
      <w:r w:rsidRPr="00822381">
        <w:lastRenderedPageBreak/>
        <w:t>Immunisation coverage</w:t>
      </w:r>
    </w:p>
    <w:p w14:paraId="2E24563A" w14:textId="77777777" w:rsidR="00EC28F8" w:rsidRDefault="00822381" w:rsidP="000A7FB9">
      <w:pPr>
        <w:pStyle w:val="ListParagraph"/>
      </w:pPr>
      <w:r>
        <w:t xml:space="preserve">ATAGI reviewed data on immunisation coverage and noted the continuing decrease in coverage rates for childhood immunisation. </w:t>
      </w:r>
    </w:p>
    <w:p w14:paraId="5EAF6372" w14:textId="4DD637B7" w:rsidR="00822381" w:rsidRDefault="00822381" w:rsidP="000A7FB9">
      <w:pPr>
        <w:pStyle w:val="ListParagraph"/>
      </w:pPr>
      <w:r>
        <w:t xml:space="preserve">ATAGI emphasised the importance of receiving every dose in the childhood schedule on time to protect young children against serious diseases. Data on immunisation coverage is available on the </w:t>
      </w:r>
      <w:hyperlink r:id="rId25">
        <w:r w:rsidRPr="00EC28F8">
          <w:rPr>
            <w:rStyle w:val="Hyperlink"/>
          </w:rPr>
          <w:t>department website</w:t>
        </w:r>
      </w:hyperlink>
      <w:r w:rsidR="0A8C2775">
        <w:t>.</w:t>
      </w:r>
      <w:r w:rsidR="646645D6" w:rsidDel="00822381">
        <w:t>￼</w:t>
      </w:r>
    </w:p>
    <w:p w14:paraId="23FD64CF" w14:textId="38E58EF0" w:rsidR="00A66F8D" w:rsidRDefault="00A66F8D" w:rsidP="0047446C">
      <w:pPr>
        <w:pStyle w:val="Heading3"/>
      </w:pPr>
      <w:r>
        <w:t xml:space="preserve">International </w:t>
      </w:r>
      <w:r w:rsidR="00D72BD6">
        <w:t xml:space="preserve">updates and </w:t>
      </w:r>
      <w:r w:rsidR="005C01C6">
        <w:t>National Technical Advisory Groups (</w:t>
      </w:r>
      <w:r w:rsidR="00D72BD6">
        <w:t>NITAGs</w:t>
      </w:r>
      <w:r w:rsidR="005C01C6">
        <w:t>)</w:t>
      </w:r>
    </w:p>
    <w:p w14:paraId="16B8C1ED" w14:textId="4EC94F55" w:rsidR="00A66F8D" w:rsidRDefault="00A66F8D" w:rsidP="000A7FB9">
      <w:pPr>
        <w:pStyle w:val="ListParagraph"/>
      </w:pPr>
      <w:r>
        <w:t xml:space="preserve">ATAGI welcomed a delegation from Vietnam, who had been invited to observe this meeting. ATAGI was honoured to host the delegation and emphasised the importance of collaboration with regional </w:t>
      </w:r>
      <w:r w:rsidR="005C01C6">
        <w:t>NITAGs.</w:t>
      </w:r>
    </w:p>
    <w:p w14:paraId="75D24489" w14:textId="77777777" w:rsidR="005C01C6" w:rsidRDefault="00FF3AA9" w:rsidP="000A7FB9">
      <w:pPr>
        <w:pStyle w:val="ListParagraph"/>
      </w:pPr>
      <w:r>
        <w:t>ATAGI completed t</w:t>
      </w:r>
      <w:r w:rsidR="00A66F8D">
        <w:t xml:space="preserve">he </w:t>
      </w:r>
      <w:hyperlink r:id="rId26">
        <w:r w:rsidR="00A66F8D" w:rsidRPr="646645D6">
          <w:rPr>
            <w:rStyle w:val="Hyperlink"/>
          </w:rPr>
          <w:t>NITAG Maturity Assessment Tool</w:t>
        </w:r>
      </w:hyperlink>
      <w:r w:rsidR="00A66F8D">
        <w:t xml:space="preserve"> (NMAT)</w:t>
      </w:r>
      <w:r>
        <w:t>. The NMAT</w:t>
      </w:r>
      <w:r w:rsidR="00A66F8D">
        <w:t xml:space="preserve"> is a practical planning, monitoring and evaluation tool to guide NITAG development and strengthening. </w:t>
      </w:r>
    </w:p>
    <w:p w14:paraId="6C7B6857" w14:textId="01B41D3C" w:rsidR="00A66F8D" w:rsidRPr="000A7FB9" w:rsidRDefault="00A66F8D" w:rsidP="000A7FB9">
      <w:pPr>
        <w:pStyle w:val="ListParagraph"/>
      </w:pPr>
      <w:r w:rsidRPr="000A7FB9">
        <w:t>It</w:t>
      </w:r>
      <w:r w:rsidR="006058D5" w:rsidRPr="000A7FB9">
        <w:t xml:space="preserve"> uses 7 key indicators: </w:t>
      </w:r>
      <w:r w:rsidR="00EA6E51" w:rsidRPr="000A7FB9">
        <w:t>establishment and composition; independence and non-bias; resources and secretariat support; operations; decision-making process; integration into the policy-making process; and stakeholder recognition.</w:t>
      </w:r>
      <w:r w:rsidR="00A4391B" w:rsidRPr="000A7FB9">
        <w:t xml:space="preserve"> </w:t>
      </w:r>
      <w:r w:rsidR="00EA1CAC" w:rsidRPr="000A7FB9">
        <w:t>Completing the tool highlighted</w:t>
      </w:r>
      <w:r w:rsidR="00A36690" w:rsidRPr="000A7FB9">
        <w:t xml:space="preserve"> some areas for improvement</w:t>
      </w:r>
      <w:r w:rsidR="00D237A0" w:rsidRPr="000A7FB9">
        <w:t xml:space="preserve"> </w:t>
      </w:r>
      <w:r w:rsidR="00845D84" w:rsidRPr="000A7FB9">
        <w:t>for</w:t>
      </w:r>
      <w:r w:rsidR="00D237A0" w:rsidRPr="000A7FB9">
        <w:t xml:space="preserve"> ATAGI.</w:t>
      </w:r>
    </w:p>
    <w:p w14:paraId="7E5F1640" w14:textId="77777777" w:rsidR="00F50455" w:rsidRPr="000A7FB9" w:rsidRDefault="00F50455" w:rsidP="000A7FB9">
      <w:pPr>
        <w:pStyle w:val="ListParagraph"/>
      </w:pPr>
      <w:r w:rsidRPr="000A7FB9">
        <w:t>ATAGI received an update from Professor Kim Mulholland on recent considerations of the World Health Organization Strategic Group of Experts on Immunisation (WHO SAGE).</w:t>
      </w:r>
    </w:p>
    <w:p w14:paraId="429F28E5" w14:textId="0061C68E" w:rsidR="0025156E" w:rsidRPr="000A7FB9" w:rsidRDefault="0025156E" w:rsidP="000A7FB9">
      <w:pPr>
        <w:pStyle w:val="ListParagraph"/>
      </w:pPr>
      <w:r>
        <w:t xml:space="preserve">ATAGI noted a </w:t>
      </w:r>
      <w:r w:rsidR="004A4143">
        <w:t xml:space="preserve">summary from </w:t>
      </w:r>
      <w:r w:rsidR="00D57AFC">
        <w:t>the National Centre for Immunisation Research and Surveillance (</w:t>
      </w:r>
      <w:r w:rsidR="004A4143">
        <w:t>NCIRS</w:t>
      </w:r>
      <w:r w:rsidR="00D57AFC">
        <w:t>)</w:t>
      </w:r>
      <w:r w:rsidR="004A4143">
        <w:t xml:space="preserve"> on </w:t>
      </w:r>
      <w:r w:rsidR="00BF024E">
        <w:t>key topics discussed by other NITAGs in their recent meetings.</w:t>
      </w:r>
    </w:p>
    <w:p w14:paraId="0AF854C2" w14:textId="77777777" w:rsidR="00333B64" w:rsidRDefault="00333B64" w:rsidP="0047446C">
      <w:pPr>
        <w:pStyle w:val="Heading3"/>
      </w:pPr>
      <w:r>
        <w:t>ATAGI publications</w:t>
      </w:r>
    </w:p>
    <w:p w14:paraId="480C2328" w14:textId="153B36BE" w:rsidR="00333B64" w:rsidRDefault="00333B64" w:rsidP="000A7FB9">
      <w:pPr>
        <w:pStyle w:val="ListParagraph"/>
      </w:pPr>
      <w:r>
        <w:t xml:space="preserve">ATAGI reviewed and endorsed changes to the </w:t>
      </w:r>
      <w:hyperlink r:id="rId27" w:history="1">
        <w:r w:rsidRPr="00973527">
          <w:rPr>
            <w:rStyle w:val="Hyperlink"/>
          </w:rPr>
          <w:t>Australian Immunisation Handbook</w:t>
        </w:r>
      </w:hyperlink>
      <w:r>
        <w:t>, including standardising terminology for vaccine dose intervals and clarifying catch-up arrangements for diphtheria, tetanus and pertussis vaccines.</w:t>
      </w:r>
    </w:p>
    <w:p w14:paraId="14AD863B" w14:textId="77777777" w:rsidR="00333B64" w:rsidRPr="00484020" w:rsidRDefault="00333B64" w:rsidP="000A7FB9">
      <w:pPr>
        <w:pStyle w:val="ListParagraph"/>
      </w:pPr>
      <w:r>
        <w:t>ATAGI endorsed the final targeted review on vaccination for people who are immunocompromised, which will be published in due course.</w:t>
      </w:r>
    </w:p>
    <w:p w14:paraId="54FA7523" w14:textId="5D1F0B10" w:rsidR="00C96599" w:rsidRDefault="00C96599" w:rsidP="0047446C">
      <w:pPr>
        <w:pStyle w:val="Heading3"/>
      </w:pPr>
      <w:r>
        <w:t>Departmental updates</w:t>
      </w:r>
    </w:p>
    <w:p w14:paraId="0E8D7444" w14:textId="4557E70E" w:rsidR="00C96599" w:rsidRPr="000A7FB9" w:rsidRDefault="00C96599" w:rsidP="000A7FB9">
      <w:pPr>
        <w:pStyle w:val="ListParagraph"/>
      </w:pPr>
      <w:r w:rsidRPr="000A7FB9">
        <w:t xml:space="preserve">The </w:t>
      </w:r>
      <w:hyperlink r:id="rId28" w:history="1">
        <w:r w:rsidRPr="000A7FB9">
          <w:rPr>
            <w:rStyle w:val="Hyperlink"/>
          </w:rPr>
          <w:t>National Immunisation Strategy for Australia 2025–2030</w:t>
        </w:r>
      </w:hyperlink>
      <w:r w:rsidRPr="000A7FB9">
        <w:t xml:space="preserve"> was published on 12</w:t>
      </w:r>
      <w:r w:rsidR="00662B37" w:rsidRPr="000A7FB9">
        <w:t> </w:t>
      </w:r>
      <w:r w:rsidRPr="000A7FB9">
        <w:t>June 2025</w:t>
      </w:r>
      <w:r w:rsidR="00662B37" w:rsidRPr="000A7FB9">
        <w:t xml:space="preserve">. </w:t>
      </w:r>
      <w:r w:rsidR="0062501B" w:rsidRPr="000A7FB9">
        <w:t>With a vision of a healthier Australia through immunisation, the strategy sets a mission to reduce the impact of vaccine-preventable diseases through high uptake of safe, effective and equitable immunisation across the lifespan of the Australian population</w:t>
      </w:r>
      <w:r w:rsidR="00A1490E" w:rsidRPr="000A7FB9">
        <w:t>.</w:t>
      </w:r>
    </w:p>
    <w:p w14:paraId="20A0E2FC" w14:textId="0AB7FCE0" w:rsidR="0084641A" w:rsidRPr="000A7FB9" w:rsidRDefault="0084641A" w:rsidP="000A7FB9">
      <w:pPr>
        <w:pStyle w:val="ListParagraph"/>
      </w:pPr>
      <w:r w:rsidRPr="000A7FB9">
        <w:t xml:space="preserve">ATAGI received an update from the TGA on vaccines that are currently under evaluation for </w:t>
      </w:r>
      <w:hyperlink r:id="rId29" w:history="1">
        <w:r w:rsidRPr="000A7FB9">
          <w:rPr>
            <w:rStyle w:val="Hyperlink"/>
          </w:rPr>
          <w:t>registration in Australia</w:t>
        </w:r>
      </w:hyperlink>
      <w:r w:rsidRPr="000A7FB9">
        <w:t xml:space="preserve">. </w:t>
      </w:r>
    </w:p>
    <w:p w14:paraId="5730AB65" w14:textId="77777777" w:rsidR="0084641A" w:rsidRPr="000A7FB9" w:rsidRDefault="0084641A" w:rsidP="000A7FB9">
      <w:pPr>
        <w:pStyle w:val="ListParagraph"/>
      </w:pPr>
      <w:r w:rsidRPr="000A7FB9">
        <w:t xml:space="preserve">ATAGI received an update from the HTA Review Implementation Advisory Group, whose role is to advise government on implementation of the </w:t>
      </w:r>
      <w:hyperlink r:id="rId30" w:history="1">
        <w:r w:rsidRPr="000A7FB9">
          <w:rPr>
            <w:rStyle w:val="Hyperlink"/>
          </w:rPr>
          <w:t>HTA Review recommendations</w:t>
        </w:r>
      </w:hyperlink>
      <w:r w:rsidRPr="000A7FB9">
        <w:t>.</w:t>
      </w:r>
    </w:p>
    <w:p w14:paraId="23B4AEFC" w14:textId="7ECBA2B3" w:rsidR="0026087E" w:rsidRDefault="00C41C1D" w:rsidP="000A7FB9">
      <w:pPr>
        <w:pStyle w:val="ListParagraph"/>
      </w:pPr>
      <w:r>
        <w:lastRenderedPageBreak/>
        <w:t>The department informed ATAGI that it is conducting</w:t>
      </w:r>
      <w:r w:rsidR="3FC25AD1">
        <w:t xml:space="preserve"> a</w:t>
      </w:r>
      <w:r>
        <w:t xml:space="preserve"> strategic </w:t>
      </w:r>
      <w:r w:rsidR="59CEFA57">
        <w:t xml:space="preserve">functional </w:t>
      </w:r>
      <w:r>
        <w:t xml:space="preserve">and administrative review that will include ATAGI’s </w:t>
      </w:r>
      <w:r w:rsidR="0057146F">
        <w:t>declaration of interest</w:t>
      </w:r>
      <w:r>
        <w:t xml:space="preserve"> processes, </w:t>
      </w:r>
      <w:r w:rsidR="005C0EBC">
        <w:t>terms of reference</w:t>
      </w:r>
      <w:r>
        <w:t>, resourcing and other administrative arrangements.</w:t>
      </w:r>
      <w:r w:rsidR="315810AE">
        <w:t xml:space="preserve"> </w:t>
      </w:r>
    </w:p>
    <w:p w14:paraId="22CF710E" w14:textId="13C2654B" w:rsidR="00772B1C" w:rsidRPr="0026087E" w:rsidRDefault="315810AE" w:rsidP="000A7FB9">
      <w:pPr>
        <w:pStyle w:val="ListParagraph"/>
      </w:pPr>
      <w:r>
        <w:t>A key objective of the review is to evaluate the efficiency and effectiveness of the ATAGI’s administrative and operational processes.</w:t>
      </w:r>
      <w:r w:rsidR="00C41C1D">
        <w:t xml:space="preserve"> The review is planned to conclude in November 2025. ATAGI discussed its framework for members’ declarations of interest and potential improvements.</w:t>
      </w:r>
    </w:p>
    <w:p w14:paraId="3670A41B" w14:textId="1E5AC89D" w:rsidR="0044690A" w:rsidRPr="00AC5451" w:rsidRDefault="0044690A" w:rsidP="000A7FB9">
      <w:pPr>
        <w:pStyle w:val="ListParagraph"/>
      </w:pPr>
      <w:r>
        <w:t xml:space="preserve">ATAGI participated in an ideation </w:t>
      </w:r>
      <w:r w:rsidR="3368538F">
        <w:t>workshop</w:t>
      </w:r>
      <w:r>
        <w:t xml:space="preserve"> to inform the department’s Immunisation Sustainability Review. The review aims to determine the return on investment of the NIP​, provide an economic model to inform future funding decisions​ and develop funding options to support long-term sustainability of the NIP. The review will be completed by 30 June 2026.</w:t>
      </w:r>
    </w:p>
    <w:p w14:paraId="1A5480C5" w14:textId="77777777" w:rsidR="0044690A" w:rsidRPr="000A7FB9" w:rsidRDefault="0044690A" w:rsidP="000A7FB9">
      <w:pPr>
        <w:pStyle w:val="ListParagraph"/>
      </w:pPr>
      <w:r w:rsidRPr="000A7FB9">
        <w:t>ATAGI received an update on the use of artificial intelligence (AI) in the department, including how this might be used in the future for data analysis.</w:t>
      </w:r>
    </w:p>
    <w:p w14:paraId="35A704F1" w14:textId="460BFD1F" w:rsidR="003D7472" w:rsidRDefault="003D7472" w:rsidP="0047446C">
      <w:pPr>
        <w:pStyle w:val="Heading3"/>
      </w:pPr>
      <w:r>
        <w:t>Other ATAGI business</w:t>
      </w:r>
    </w:p>
    <w:p w14:paraId="7C5D293C" w14:textId="5E2952D6" w:rsidR="00D747B7" w:rsidRDefault="00644B25" w:rsidP="000A7FB9">
      <w:pPr>
        <w:pStyle w:val="ListParagraph"/>
      </w:pPr>
      <w:r w:rsidRPr="00644B25">
        <w:t>Members noted that this was the final meeting for Professor Crawford, Professor Giles and Professor Cheng, as their terms on ATAGI expire on 30 June. ATAGI members and the department gave their sincere thanks to the outgoing members for their valuable contributions to ATAGI and immunisation over many years.</w:t>
      </w:r>
      <w:r w:rsidR="0040471B">
        <w:t xml:space="preserve"> </w:t>
      </w:r>
      <w:r w:rsidR="0056291F">
        <w:t>New ATAGI members</w:t>
      </w:r>
      <w:r w:rsidR="002F2C1C">
        <w:t xml:space="preserve"> are in the process of being appointed and will join ATAGI from the 114th meeting in August 2025.</w:t>
      </w:r>
    </w:p>
    <w:p w14:paraId="06DBCA2A" w14:textId="56305834" w:rsidR="002872F0" w:rsidRDefault="002872F0" w:rsidP="000A7FB9">
      <w:pPr>
        <w:pStyle w:val="ListParagraph"/>
      </w:pPr>
      <w:r>
        <w:t>ATAGI note</w:t>
      </w:r>
      <w:r w:rsidR="00226477">
        <w:t xml:space="preserve">d the successful Horizon Scanning and Industry Day </w:t>
      </w:r>
      <w:r w:rsidR="00E8299F">
        <w:t xml:space="preserve">(HSID) </w:t>
      </w:r>
      <w:r w:rsidR="00226477">
        <w:t xml:space="preserve">held in May 2025. </w:t>
      </w:r>
      <w:r w:rsidR="002E212A">
        <w:t>ATAGI had received updates from a range of vaccine manufacturers in the region</w:t>
      </w:r>
      <w:r w:rsidR="00E8299F">
        <w:t xml:space="preserve"> on their </w:t>
      </w:r>
      <w:r w:rsidR="0001304B">
        <w:t>upcoming</w:t>
      </w:r>
      <w:r w:rsidR="00E8299F">
        <w:t xml:space="preserve"> vaccine products. HSID is an important mechanism for</w:t>
      </w:r>
      <w:r w:rsidR="00774FE3">
        <w:t xml:space="preserve"> </w:t>
      </w:r>
      <w:r w:rsidR="007E765D">
        <w:t xml:space="preserve">monitoring </w:t>
      </w:r>
      <w:r w:rsidR="007E765D" w:rsidRPr="000A7FB9">
        <w:t>vaccines in the pipeline that will require ATAGI consideration over the next 1 to 2 years.</w:t>
      </w:r>
    </w:p>
    <w:p w14:paraId="1382B990" w14:textId="342CADDF" w:rsidR="00E22D02" w:rsidRPr="00D419B5" w:rsidRDefault="00E22D02" w:rsidP="000A7FB9">
      <w:pPr>
        <w:pStyle w:val="ListParagraph"/>
      </w:pPr>
      <w:r w:rsidRPr="00E22D02">
        <w:t xml:space="preserve">ATAGI held a joint meeting with the Communicable Diseases Network Australia (CDNA). Members </w:t>
      </w:r>
      <w:r w:rsidRPr="00D419B5">
        <w:t xml:space="preserve">discussed the epidemiology and vaccination programs for </w:t>
      </w:r>
      <w:r w:rsidR="00985C80" w:rsidRPr="00D419B5">
        <w:t xml:space="preserve">measles, </w:t>
      </w:r>
      <w:r w:rsidRPr="00D419B5">
        <w:t xml:space="preserve">mpox and </w:t>
      </w:r>
      <w:r w:rsidR="00D419B5" w:rsidRPr="00D419B5">
        <w:t>RSV</w:t>
      </w:r>
      <w:r w:rsidR="00F17A46" w:rsidRPr="00D419B5">
        <w:t>.</w:t>
      </w:r>
    </w:p>
    <w:p w14:paraId="6A42503E" w14:textId="3F52628B" w:rsidR="00F17A46" w:rsidRDefault="00F17A46" w:rsidP="000A7FB9">
      <w:pPr>
        <w:pStyle w:val="ListParagraph"/>
      </w:pPr>
      <w:r>
        <w:t>ATAGI rev</w:t>
      </w:r>
      <w:r w:rsidRPr="000A7FB9">
        <w:t xml:space="preserve">iewed </w:t>
      </w:r>
      <w:r w:rsidR="00144CC7" w:rsidRPr="000A7FB9">
        <w:t xml:space="preserve">and discussed </w:t>
      </w:r>
      <w:r w:rsidRPr="000A7FB9">
        <w:t>its advice to the PBAC for several upcoming immunisation products.</w:t>
      </w:r>
    </w:p>
    <w:p w14:paraId="39EAB389" w14:textId="2AAD4DA9" w:rsidR="0032498C" w:rsidRPr="00425702" w:rsidRDefault="0065109D" w:rsidP="0032498C">
      <w:pPr>
        <w:pStyle w:val="Heading3"/>
      </w:pPr>
      <w:r w:rsidRPr="00425702">
        <w:t>R</w:t>
      </w:r>
      <w:r w:rsidR="0032498C" w:rsidRPr="00425702">
        <w:t>esources</w:t>
      </w:r>
    </w:p>
    <w:p w14:paraId="1F99841F" w14:textId="2ED5C895" w:rsidR="0032498C" w:rsidRPr="000A7FB9" w:rsidRDefault="0032498C" w:rsidP="000A7FB9">
      <w:pPr>
        <w:pStyle w:val="ListParagraph"/>
      </w:pPr>
      <w:r w:rsidRPr="000A7FB9">
        <w:t xml:space="preserve">ATAGI’s membership, terms of reference and declaration of interest information is available on the </w:t>
      </w:r>
      <w:hyperlink r:id="rId31" w:history="1">
        <w:r w:rsidR="00A024FC" w:rsidRPr="000A7FB9">
          <w:rPr>
            <w:rStyle w:val="Hyperlink"/>
          </w:rPr>
          <w:t>Department of Health, Disability and Ageing website</w:t>
        </w:r>
      </w:hyperlink>
      <w:r w:rsidRPr="000A7FB9">
        <w:t>.</w:t>
      </w:r>
    </w:p>
    <w:sectPr w:rsidR="0032498C" w:rsidRPr="000A7FB9" w:rsidSect="009724AB">
      <w:footerReference w:type="default" r:id="rId3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FF70" w14:textId="77777777" w:rsidR="00B33F39" w:rsidRDefault="00B33F39" w:rsidP="006B56BB">
      <w:r>
        <w:separator/>
      </w:r>
    </w:p>
    <w:p w14:paraId="0D40630D" w14:textId="77777777" w:rsidR="00B33F39" w:rsidRDefault="00B33F39"/>
  </w:endnote>
  <w:endnote w:type="continuationSeparator" w:id="0">
    <w:p w14:paraId="6BB7C7CA" w14:textId="77777777" w:rsidR="00B33F39" w:rsidRDefault="00B33F39" w:rsidP="006B56BB">
      <w:r>
        <w:continuationSeparator/>
      </w:r>
    </w:p>
    <w:p w14:paraId="04787F35" w14:textId="77777777" w:rsidR="00B33F39" w:rsidRDefault="00B33F39"/>
  </w:endnote>
  <w:endnote w:type="continuationNotice" w:id="1">
    <w:p w14:paraId="3959B9E3" w14:textId="77777777" w:rsidR="00B33F39" w:rsidRDefault="00B33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A816" w14:textId="308163BC" w:rsidR="0068134A" w:rsidRPr="00DE3355" w:rsidRDefault="0032498C" w:rsidP="00AC24B7">
    <w:pPr>
      <w:pStyle w:val="Footer"/>
      <w:tabs>
        <w:tab w:val="clear" w:pos="4513"/>
      </w:tabs>
    </w:pPr>
    <w:r>
      <w:t xml:space="preserve">ATAGI </w:t>
    </w:r>
    <w:r w:rsidR="006131F2">
      <w:t>11</w:t>
    </w:r>
    <w:r w:rsidR="00A6685D">
      <w:t>3</w:t>
    </w:r>
    <w:r w:rsidR="006131F2">
      <w:t>th</w:t>
    </w:r>
    <w:r w:rsidR="000708BC">
      <w:t xml:space="preserve"> </w:t>
    </w:r>
    <w:r>
      <w:t>m</w:t>
    </w:r>
    <w:r w:rsidR="0098122D">
      <w:t>eeting summary</w:t>
    </w:r>
    <w:r w:rsidR="00D21AF6">
      <w:t xml:space="preserve"> –</w:t>
    </w:r>
    <w:r>
      <w:t xml:space="preserve"> </w:t>
    </w:r>
    <w:r w:rsidR="00A6685D">
      <w:t>19 and 20 June</w:t>
    </w:r>
    <w:r w:rsidR="006131F2">
      <w:t xml:space="preserve"> 2025</w:t>
    </w:r>
    <w:r>
      <w:t xml:space="preserve"> </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01C7" w14:textId="028FC7F4" w:rsidR="00440411" w:rsidRPr="0068134A" w:rsidRDefault="006131F2" w:rsidP="0068134A">
    <w:pPr>
      <w:pStyle w:val="Footer"/>
      <w:tabs>
        <w:tab w:val="clear" w:pos="4513"/>
      </w:tabs>
    </w:pPr>
    <w:r>
      <w:t>ATAGI 11</w:t>
    </w:r>
    <w:r w:rsidR="00974F3B">
      <w:t>3</w:t>
    </w:r>
    <w:r>
      <w:t xml:space="preserve">th meeting summary – </w:t>
    </w:r>
    <w:r w:rsidR="00974F3B">
      <w:t>19 and 20 June</w:t>
    </w:r>
    <w:r>
      <w:t xml:space="preserve"> 2025 </w:t>
    </w:r>
    <w:sdt>
      <w:sdtPr>
        <w:id w:val="-1932272195"/>
        <w:docPartObj>
          <w:docPartGallery w:val="Page Numbers (Bottom of Page)"/>
          <w:docPartUnique/>
        </w:docPartObj>
      </w:sdt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859D" w14:textId="77777777" w:rsidR="00B33F39" w:rsidRDefault="00B33F39" w:rsidP="006B56BB">
      <w:r>
        <w:separator/>
      </w:r>
    </w:p>
    <w:p w14:paraId="5011A4C3" w14:textId="77777777" w:rsidR="00B33F39" w:rsidRDefault="00B33F39"/>
  </w:footnote>
  <w:footnote w:type="continuationSeparator" w:id="0">
    <w:p w14:paraId="780932E1" w14:textId="77777777" w:rsidR="00B33F39" w:rsidRDefault="00B33F39" w:rsidP="006B56BB">
      <w:r>
        <w:continuationSeparator/>
      </w:r>
    </w:p>
    <w:p w14:paraId="13F1E17E" w14:textId="77777777" w:rsidR="00B33F39" w:rsidRDefault="00B33F39"/>
  </w:footnote>
  <w:footnote w:type="continuationNotice" w:id="1">
    <w:p w14:paraId="44B944A0" w14:textId="77777777" w:rsidR="00B33F39" w:rsidRDefault="00B33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7" w14:textId="24A6C876" w:rsidR="008D48C9" w:rsidRDefault="00E46E08">
    <w:pPr>
      <w:pStyle w:val="Header"/>
    </w:pPr>
    <w:r>
      <w:rPr>
        <w:noProof/>
      </w:rPr>
      <w:drawing>
        <wp:inline distT="0" distB="0" distL="0" distR="0" wp14:anchorId="2D6516EF" wp14:editId="1A2D8DEB">
          <wp:extent cx="5731510" cy="937895"/>
          <wp:effectExtent l="0" t="0" r="2540" b="0"/>
          <wp:docPr id="201100452"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0452" name="Picture 1" descr="Australian Government Department of Health, Disability and Ageing"/>
                  <pic:cNvPicPr>
                    <a:picLocks noChangeAspect="1"/>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31510" cy="9378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3F2"/>
    <w:multiLevelType w:val="hybridMultilevel"/>
    <w:tmpl w:val="99C8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C7AB2"/>
    <w:multiLevelType w:val="hybridMultilevel"/>
    <w:tmpl w:val="AAD2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36E06"/>
    <w:multiLevelType w:val="hybridMultilevel"/>
    <w:tmpl w:val="795A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4388C"/>
    <w:multiLevelType w:val="hybridMultilevel"/>
    <w:tmpl w:val="431C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14EA6"/>
    <w:multiLevelType w:val="hybridMultilevel"/>
    <w:tmpl w:val="E63C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01D95"/>
    <w:multiLevelType w:val="hybridMultilevel"/>
    <w:tmpl w:val="19E6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A92F23"/>
    <w:multiLevelType w:val="hybridMultilevel"/>
    <w:tmpl w:val="0BB2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5B7C"/>
    <w:multiLevelType w:val="hybridMultilevel"/>
    <w:tmpl w:val="D98C5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C06A9"/>
    <w:multiLevelType w:val="hybridMultilevel"/>
    <w:tmpl w:val="765C3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84B3B"/>
    <w:multiLevelType w:val="hybridMultilevel"/>
    <w:tmpl w:val="91B4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C93FF1"/>
    <w:multiLevelType w:val="hybridMultilevel"/>
    <w:tmpl w:val="6FBE3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1774E7"/>
    <w:multiLevelType w:val="hybridMultilevel"/>
    <w:tmpl w:val="3328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B6CDB"/>
    <w:multiLevelType w:val="hybridMultilevel"/>
    <w:tmpl w:val="99F4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D5B32"/>
    <w:multiLevelType w:val="hybridMultilevel"/>
    <w:tmpl w:val="5E9E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8537470"/>
    <w:multiLevelType w:val="hybridMultilevel"/>
    <w:tmpl w:val="0042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0381B"/>
    <w:multiLevelType w:val="hybridMultilevel"/>
    <w:tmpl w:val="0F3CF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7E1618"/>
    <w:multiLevelType w:val="hybridMultilevel"/>
    <w:tmpl w:val="7F20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BF4F14"/>
    <w:multiLevelType w:val="hybridMultilevel"/>
    <w:tmpl w:val="7E90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6E0AA7"/>
    <w:multiLevelType w:val="hybridMultilevel"/>
    <w:tmpl w:val="AA36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F16FC"/>
    <w:multiLevelType w:val="hybridMultilevel"/>
    <w:tmpl w:val="CE92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B05D38"/>
    <w:multiLevelType w:val="hybridMultilevel"/>
    <w:tmpl w:val="F39E7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951D05"/>
    <w:multiLevelType w:val="hybridMultilevel"/>
    <w:tmpl w:val="03F0895E"/>
    <w:lvl w:ilvl="0" w:tplc="69AA217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A37FB1"/>
    <w:multiLevelType w:val="hybridMultilevel"/>
    <w:tmpl w:val="F736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5470B"/>
    <w:multiLevelType w:val="hybridMultilevel"/>
    <w:tmpl w:val="5EB227A0"/>
    <w:lvl w:ilvl="0" w:tplc="B01CADF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9624D1D"/>
    <w:multiLevelType w:val="multilevel"/>
    <w:tmpl w:val="344C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DB443A"/>
    <w:multiLevelType w:val="hybridMultilevel"/>
    <w:tmpl w:val="4100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10861"/>
    <w:multiLevelType w:val="hybridMultilevel"/>
    <w:tmpl w:val="54D2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B66025"/>
    <w:multiLevelType w:val="hybridMultilevel"/>
    <w:tmpl w:val="5DBC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0A328F"/>
    <w:multiLevelType w:val="hybridMultilevel"/>
    <w:tmpl w:val="8852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26E81"/>
    <w:multiLevelType w:val="hybridMultilevel"/>
    <w:tmpl w:val="4262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BF23B5"/>
    <w:multiLevelType w:val="hybridMultilevel"/>
    <w:tmpl w:val="31FAB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7A5B75"/>
    <w:multiLevelType w:val="hybridMultilevel"/>
    <w:tmpl w:val="DE7E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ED805F3"/>
    <w:multiLevelType w:val="hybridMultilevel"/>
    <w:tmpl w:val="FBFE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727635">
    <w:abstractNumId w:val="25"/>
  </w:num>
  <w:num w:numId="2" w16cid:durableId="1507791199">
    <w:abstractNumId w:val="37"/>
  </w:num>
  <w:num w:numId="3" w16cid:durableId="611401788">
    <w:abstractNumId w:val="7"/>
  </w:num>
  <w:num w:numId="4" w16cid:durableId="1022513200">
    <w:abstractNumId w:val="16"/>
  </w:num>
  <w:num w:numId="5" w16cid:durableId="2003729646">
    <w:abstractNumId w:val="32"/>
  </w:num>
  <w:num w:numId="6" w16cid:durableId="1946763033">
    <w:abstractNumId w:val="2"/>
  </w:num>
  <w:num w:numId="7" w16cid:durableId="1115557363">
    <w:abstractNumId w:val="27"/>
  </w:num>
  <w:num w:numId="8" w16cid:durableId="2012835068">
    <w:abstractNumId w:val="26"/>
  </w:num>
  <w:num w:numId="9" w16cid:durableId="2021929169">
    <w:abstractNumId w:val="1"/>
  </w:num>
  <w:num w:numId="10" w16cid:durableId="1501847244">
    <w:abstractNumId w:val="5"/>
  </w:num>
  <w:num w:numId="11" w16cid:durableId="1870727769">
    <w:abstractNumId w:val="12"/>
  </w:num>
  <w:num w:numId="12" w16cid:durableId="823349988">
    <w:abstractNumId w:val="19"/>
  </w:num>
  <w:num w:numId="13" w16cid:durableId="1426148514">
    <w:abstractNumId w:val="8"/>
  </w:num>
  <w:num w:numId="14" w16cid:durableId="1476407765">
    <w:abstractNumId w:val="30"/>
  </w:num>
  <w:num w:numId="15" w16cid:durableId="1179084514">
    <w:abstractNumId w:val="15"/>
  </w:num>
  <w:num w:numId="16" w16cid:durableId="1292788085">
    <w:abstractNumId w:val="4"/>
  </w:num>
  <w:num w:numId="17" w16cid:durableId="1719164069">
    <w:abstractNumId w:val="38"/>
  </w:num>
  <w:num w:numId="18" w16cid:durableId="1168406299">
    <w:abstractNumId w:val="10"/>
  </w:num>
  <w:num w:numId="19" w16cid:durableId="1705979114">
    <w:abstractNumId w:val="22"/>
  </w:num>
  <w:num w:numId="20" w16cid:durableId="1309868670">
    <w:abstractNumId w:val="21"/>
  </w:num>
  <w:num w:numId="21" w16cid:durableId="1544974676">
    <w:abstractNumId w:val="3"/>
  </w:num>
  <w:num w:numId="22" w16cid:durableId="1446463128">
    <w:abstractNumId w:val="0"/>
  </w:num>
  <w:num w:numId="23" w16cid:durableId="1450583388">
    <w:abstractNumId w:val="34"/>
  </w:num>
  <w:num w:numId="24" w16cid:durableId="1058283322">
    <w:abstractNumId w:val="11"/>
  </w:num>
  <w:num w:numId="25" w16cid:durableId="2050568938">
    <w:abstractNumId w:val="31"/>
  </w:num>
  <w:num w:numId="26" w16cid:durableId="225342355">
    <w:abstractNumId w:val="9"/>
  </w:num>
  <w:num w:numId="27" w16cid:durableId="524825466">
    <w:abstractNumId w:val="6"/>
  </w:num>
  <w:num w:numId="28" w16cid:durableId="2091921091">
    <w:abstractNumId w:val="14"/>
  </w:num>
  <w:num w:numId="29" w16cid:durableId="23946341">
    <w:abstractNumId w:val="20"/>
  </w:num>
  <w:num w:numId="30" w16cid:durableId="71896350">
    <w:abstractNumId w:val="36"/>
  </w:num>
  <w:num w:numId="31" w16cid:durableId="214587286">
    <w:abstractNumId w:val="24"/>
  </w:num>
  <w:num w:numId="32" w16cid:durableId="473641514">
    <w:abstractNumId w:val="18"/>
  </w:num>
  <w:num w:numId="33" w16cid:durableId="426581266">
    <w:abstractNumId w:val="35"/>
  </w:num>
  <w:num w:numId="34" w16cid:durableId="178278023">
    <w:abstractNumId w:val="27"/>
  </w:num>
  <w:num w:numId="35" w16cid:durableId="1546212994">
    <w:abstractNumId w:val="24"/>
  </w:num>
  <w:num w:numId="36" w16cid:durableId="249386921">
    <w:abstractNumId w:val="1"/>
  </w:num>
  <w:num w:numId="37" w16cid:durableId="1868370816">
    <w:abstractNumId w:val="23"/>
  </w:num>
  <w:num w:numId="38" w16cid:durableId="690306086">
    <w:abstractNumId w:val="17"/>
  </w:num>
  <w:num w:numId="39" w16cid:durableId="106969882">
    <w:abstractNumId w:val="13"/>
  </w:num>
  <w:num w:numId="40" w16cid:durableId="1456362575">
    <w:abstractNumId w:val="28"/>
  </w:num>
  <w:num w:numId="41" w16cid:durableId="111674703">
    <w:abstractNumId w:val="29"/>
  </w:num>
  <w:num w:numId="42" w16cid:durableId="1685521040">
    <w:abstractNumId w:val="33"/>
  </w:num>
  <w:num w:numId="43" w16cid:durableId="2077238656">
    <w:abstractNumId w:val="27"/>
  </w:num>
  <w:num w:numId="44" w16cid:durableId="1196692866">
    <w:abstractNumId w:val="27"/>
  </w:num>
  <w:num w:numId="45" w16cid:durableId="7172625">
    <w:abstractNumId w:val="27"/>
  </w:num>
  <w:num w:numId="46" w16cid:durableId="957295405">
    <w:abstractNumId w:val="27"/>
  </w:num>
  <w:num w:numId="47" w16cid:durableId="2025087686">
    <w:abstractNumId w:val="27"/>
  </w:num>
  <w:num w:numId="48" w16cid:durableId="1002274117">
    <w:abstractNumId w:val="27"/>
  </w:num>
  <w:num w:numId="49" w16cid:durableId="189839426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088"/>
    <w:rsid w:val="00002DB5"/>
    <w:rsid w:val="00002FD0"/>
    <w:rsid w:val="00003743"/>
    <w:rsid w:val="000047B4"/>
    <w:rsid w:val="00005712"/>
    <w:rsid w:val="00007FD8"/>
    <w:rsid w:val="000117F8"/>
    <w:rsid w:val="000119A8"/>
    <w:rsid w:val="00012815"/>
    <w:rsid w:val="0001304B"/>
    <w:rsid w:val="0001460F"/>
    <w:rsid w:val="000206A2"/>
    <w:rsid w:val="00022629"/>
    <w:rsid w:val="00023019"/>
    <w:rsid w:val="00024328"/>
    <w:rsid w:val="00024428"/>
    <w:rsid w:val="00025A0D"/>
    <w:rsid w:val="00026139"/>
    <w:rsid w:val="00027601"/>
    <w:rsid w:val="00030626"/>
    <w:rsid w:val="0003072B"/>
    <w:rsid w:val="000307FB"/>
    <w:rsid w:val="00031E0C"/>
    <w:rsid w:val="000325F3"/>
    <w:rsid w:val="00033321"/>
    <w:rsid w:val="000334F4"/>
    <w:rsid w:val="000338E5"/>
    <w:rsid w:val="00033EB7"/>
    <w:rsid w:val="00033ECC"/>
    <w:rsid w:val="0003422F"/>
    <w:rsid w:val="00034DF0"/>
    <w:rsid w:val="000350EF"/>
    <w:rsid w:val="00036153"/>
    <w:rsid w:val="000372E9"/>
    <w:rsid w:val="00040113"/>
    <w:rsid w:val="00042D2A"/>
    <w:rsid w:val="00042DD1"/>
    <w:rsid w:val="0004308A"/>
    <w:rsid w:val="00046FF0"/>
    <w:rsid w:val="00050176"/>
    <w:rsid w:val="00050D00"/>
    <w:rsid w:val="00052B7A"/>
    <w:rsid w:val="00054BC3"/>
    <w:rsid w:val="000575D3"/>
    <w:rsid w:val="000577CB"/>
    <w:rsid w:val="000602D1"/>
    <w:rsid w:val="000607C2"/>
    <w:rsid w:val="0006083B"/>
    <w:rsid w:val="00061544"/>
    <w:rsid w:val="000615A0"/>
    <w:rsid w:val="000615A1"/>
    <w:rsid w:val="00064ED0"/>
    <w:rsid w:val="00065EC6"/>
    <w:rsid w:val="000661FB"/>
    <w:rsid w:val="00067456"/>
    <w:rsid w:val="00067888"/>
    <w:rsid w:val="000708BC"/>
    <w:rsid w:val="00071506"/>
    <w:rsid w:val="0007154F"/>
    <w:rsid w:val="000716AE"/>
    <w:rsid w:val="00072118"/>
    <w:rsid w:val="00075D55"/>
    <w:rsid w:val="000760B7"/>
    <w:rsid w:val="00080AC4"/>
    <w:rsid w:val="0008122A"/>
    <w:rsid w:val="0008195E"/>
    <w:rsid w:val="00081AB1"/>
    <w:rsid w:val="000825D3"/>
    <w:rsid w:val="00084C81"/>
    <w:rsid w:val="00090316"/>
    <w:rsid w:val="00090CF8"/>
    <w:rsid w:val="000912DC"/>
    <w:rsid w:val="00091755"/>
    <w:rsid w:val="00093981"/>
    <w:rsid w:val="00093F8B"/>
    <w:rsid w:val="00096717"/>
    <w:rsid w:val="000967F5"/>
    <w:rsid w:val="000A00FC"/>
    <w:rsid w:val="000A152A"/>
    <w:rsid w:val="000A278D"/>
    <w:rsid w:val="000A5F3E"/>
    <w:rsid w:val="000A6853"/>
    <w:rsid w:val="000A7EF3"/>
    <w:rsid w:val="000A7FB9"/>
    <w:rsid w:val="000B067A"/>
    <w:rsid w:val="000B0B6A"/>
    <w:rsid w:val="000B1150"/>
    <w:rsid w:val="000B13F8"/>
    <w:rsid w:val="000B1460"/>
    <w:rsid w:val="000B1540"/>
    <w:rsid w:val="000B18C0"/>
    <w:rsid w:val="000B1E53"/>
    <w:rsid w:val="000B31F1"/>
    <w:rsid w:val="000B33FD"/>
    <w:rsid w:val="000B447B"/>
    <w:rsid w:val="000B4ABA"/>
    <w:rsid w:val="000B74B5"/>
    <w:rsid w:val="000B75EC"/>
    <w:rsid w:val="000B7E2E"/>
    <w:rsid w:val="000C0288"/>
    <w:rsid w:val="000C03C8"/>
    <w:rsid w:val="000C1C2B"/>
    <w:rsid w:val="000C243A"/>
    <w:rsid w:val="000C33FA"/>
    <w:rsid w:val="000C4B16"/>
    <w:rsid w:val="000C4CB7"/>
    <w:rsid w:val="000C50C3"/>
    <w:rsid w:val="000C59BE"/>
    <w:rsid w:val="000C5E14"/>
    <w:rsid w:val="000C747E"/>
    <w:rsid w:val="000D2123"/>
    <w:rsid w:val="000D21F6"/>
    <w:rsid w:val="000D3798"/>
    <w:rsid w:val="000D4500"/>
    <w:rsid w:val="000D45AE"/>
    <w:rsid w:val="000D573F"/>
    <w:rsid w:val="000D7065"/>
    <w:rsid w:val="000D7AEA"/>
    <w:rsid w:val="000E2649"/>
    <w:rsid w:val="000E2C66"/>
    <w:rsid w:val="000E5778"/>
    <w:rsid w:val="000E78E2"/>
    <w:rsid w:val="000F123C"/>
    <w:rsid w:val="000F2BF0"/>
    <w:rsid w:val="000F2C6E"/>
    <w:rsid w:val="000F2F5F"/>
    <w:rsid w:val="000F2FED"/>
    <w:rsid w:val="000F3DB6"/>
    <w:rsid w:val="000F3EBF"/>
    <w:rsid w:val="000F507C"/>
    <w:rsid w:val="000F6101"/>
    <w:rsid w:val="000F705A"/>
    <w:rsid w:val="000F7087"/>
    <w:rsid w:val="00100BFF"/>
    <w:rsid w:val="00102DC9"/>
    <w:rsid w:val="00105112"/>
    <w:rsid w:val="0010616D"/>
    <w:rsid w:val="001062CD"/>
    <w:rsid w:val="00107DE9"/>
    <w:rsid w:val="00107FD8"/>
    <w:rsid w:val="0011035C"/>
    <w:rsid w:val="00110478"/>
    <w:rsid w:val="00112DF2"/>
    <w:rsid w:val="00113BCB"/>
    <w:rsid w:val="0011711B"/>
    <w:rsid w:val="00117F2F"/>
    <w:rsid w:val="00117F8A"/>
    <w:rsid w:val="00120E0F"/>
    <w:rsid w:val="00121B9B"/>
    <w:rsid w:val="00122ADC"/>
    <w:rsid w:val="00124423"/>
    <w:rsid w:val="001308F7"/>
    <w:rsid w:val="00130F59"/>
    <w:rsid w:val="001336A9"/>
    <w:rsid w:val="00133B0C"/>
    <w:rsid w:val="00133EC0"/>
    <w:rsid w:val="001354A1"/>
    <w:rsid w:val="00136401"/>
    <w:rsid w:val="00141CE5"/>
    <w:rsid w:val="00142D18"/>
    <w:rsid w:val="00144900"/>
    <w:rsid w:val="00144908"/>
    <w:rsid w:val="00144CC7"/>
    <w:rsid w:val="0014659C"/>
    <w:rsid w:val="00146BBF"/>
    <w:rsid w:val="00150974"/>
    <w:rsid w:val="001521FE"/>
    <w:rsid w:val="0015481F"/>
    <w:rsid w:val="00154AD0"/>
    <w:rsid w:val="00155523"/>
    <w:rsid w:val="00155535"/>
    <w:rsid w:val="00155612"/>
    <w:rsid w:val="00156E29"/>
    <w:rsid w:val="00156E34"/>
    <w:rsid w:val="001571C7"/>
    <w:rsid w:val="0015732D"/>
    <w:rsid w:val="0016044E"/>
    <w:rsid w:val="00161094"/>
    <w:rsid w:val="0016519B"/>
    <w:rsid w:val="00165A38"/>
    <w:rsid w:val="00170DEC"/>
    <w:rsid w:val="0017185D"/>
    <w:rsid w:val="0017199F"/>
    <w:rsid w:val="00173433"/>
    <w:rsid w:val="001764C7"/>
    <w:rsid w:val="0017665C"/>
    <w:rsid w:val="00177355"/>
    <w:rsid w:val="001776B5"/>
    <w:rsid w:val="00177AD2"/>
    <w:rsid w:val="001815A8"/>
    <w:rsid w:val="00182904"/>
    <w:rsid w:val="00183B5D"/>
    <w:rsid w:val="00183F63"/>
    <w:rsid w:val="001840FA"/>
    <w:rsid w:val="001845E8"/>
    <w:rsid w:val="00190079"/>
    <w:rsid w:val="00193F1A"/>
    <w:rsid w:val="0019622E"/>
    <w:rsid w:val="001966A7"/>
    <w:rsid w:val="00197061"/>
    <w:rsid w:val="0019771D"/>
    <w:rsid w:val="00197FEE"/>
    <w:rsid w:val="001A2802"/>
    <w:rsid w:val="001A2AA3"/>
    <w:rsid w:val="001A45F2"/>
    <w:rsid w:val="001A4627"/>
    <w:rsid w:val="001A4979"/>
    <w:rsid w:val="001B03D0"/>
    <w:rsid w:val="001B15D3"/>
    <w:rsid w:val="001B16E0"/>
    <w:rsid w:val="001B3443"/>
    <w:rsid w:val="001B3B14"/>
    <w:rsid w:val="001B4275"/>
    <w:rsid w:val="001B5447"/>
    <w:rsid w:val="001B7A4C"/>
    <w:rsid w:val="001C0326"/>
    <w:rsid w:val="001C0936"/>
    <w:rsid w:val="001C192F"/>
    <w:rsid w:val="001C2139"/>
    <w:rsid w:val="001C33EC"/>
    <w:rsid w:val="001C3C42"/>
    <w:rsid w:val="001C7D58"/>
    <w:rsid w:val="001D0B95"/>
    <w:rsid w:val="001D0D8E"/>
    <w:rsid w:val="001D1145"/>
    <w:rsid w:val="001D1DA0"/>
    <w:rsid w:val="001D20E5"/>
    <w:rsid w:val="001D3BBF"/>
    <w:rsid w:val="001D466C"/>
    <w:rsid w:val="001D4AE4"/>
    <w:rsid w:val="001D67A5"/>
    <w:rsid w:val="001D7869"/>
    <w:rsid w:val="001E0038"/>
    <w:rsid w:val="001E19BA"/>
    <w:rsid w:val="001E370A"/>
    <w:rsid w:val="001E503F"/>
    <w:rsid w:val="001F09A5"/>
    <w:rsid w:val="001F2658"/>
    <w:rsid w:val="001F26F9"/>
    <w:rsid w:val="001F3733"/>
    <w:rsid w:val="001F3EA2"/>
    <w:rsid w:val="001F3FC8"/>
    <w:rsid w:val="001F5C3B"/>
    <w:rsid w:val="001F667F"/>
    <w:rsid w:val="001F698A"/>
    <w:rsid w:val="001F762F"/>
    <w:rsid w:val="001F7A60"/>
    <w:rsid w:val="00200F67"/>
    <w:rsid w:val="00201FF6"/>
    <w:rsid w:val="002026CD"/>
    <w:rsid w:val="002031CC"/>
    <w:rsid w:val="002033FC"/>
    <w:rsid w:val="002044BB"/>
    <w:rsid w:val="002048A5"/>
    <w:rsid w:val="00204B64"/>
    <w:rsid w:val="00207C26"/>
    <w:rsid w:val="00210B09"/>
    <w:rsid w:val="00210C9E"/>
    <w:rsid w:val="00211840"/>
    <w:rsid w:val="0021347C"/>
    <w:rsid w:val="00220E5F"/>
    <w:rsid w:val="002212B5"/>
    <w:rsid w:val="00222145"/>
    <w:rsid w:val="00226477"/>
    <w:rsid w:val="00226668"/>
    <w:rsid w:val="00226E79"/>
    <w:rsid w:val="00231441"/>
    <w:rsid w:val="00233809"/>
    <w:rsid w:val="00234CDB"/>
    <w:rsid w:val="00237D7A"/>
    <w:rsid w:val="00240046"/>
    <w:rsid w:val="00241039"/>
    <w:rsid w:val="00241129"/>
    <w:rsid w:val="00242BB5"/>
    <w:rsid w:val="0024656C"/>
    <w:rsid w:val="00246AF4"/>
    <w:rsid w:val="0024797F"/>
    <w:rsid w:val="00250318"/>
    <w:rsid w:val="0025119E"/>
    <w:rsid w:val="00251269"/>
    <w:rsid w:val="002514ED"/>
    <w:rsid w:val="0025156E"/>
    <w:rsid w:val="00252A10"/>
    <w:rsid w:val="002535C0"/>
    <w:rsid w:val="002543ED"/>
    <w:rsid w:val="002579FE"/>
    <w:rsid w:val="00257F9D"/>
    <w:rsid w:val="0026087E"/>
    <w:rsid w:val="00261C2D"/>
    <w:rsid w:val="0026311C"/>
    <w:rsid w:val="00265510"/>
    <w:rsid w:val="0026668C"/>
    <w:rsid w:val="00266AC1"/>
    <w:rsid w:val="00267E56"/>
    <w:rsid w:val="0027095D"/>
    <w:rsid w:val="0027178C"/>
    <w:rsid w:val="002719FA"/>
    <w:rsid w:val="00271B34"/>
    <w:rsid w:val="00272668"/>
    <w:rsid w:val="0027330B"/>
    <w:rsid w:val="002742F6"/>
    <w:rsid w:val="00275EA5"/>
    <w:rsid w:val="002803AD"/>
    <w:rsid w:val="00281610"/>
    <w:rsid w:val="00281A00"/>
    <w:rsid w:val="00282052"/>
    <w:rsid w:val="0028519E"/>
    <w:rsid w:val="002856A5"/>
    <w:rsid w:val="00285A86"/>
    <w:rsid w:val="002872ED"/>
    <w:rsid w:val="002872F0"/>
    <w:rsid w:val="00287C47"/>
    <w:rsid w:val="002905C2"/>
    <w:rsid w:val="002914D7"/>
    <w:rsid w:val="002926CA"/>
    <w:rsid w:val="00292DF9"/>
    <w:rsid w:val="00293521"/>
    <w:rsid w:val="00293BE0"/>
    <w:rsid w:val="00295115"/>
    <w:rsid w:val="00295AF2"/>
    <w:rsid w:val="00295C91"/>
    <w:rsid w:val="00297151"/>
    <w:rsid w:val="002977AF"/>
    <w:rsid w:val="002A0D4F"/>
    <w:rsid w:val="002A1674"/>
    <w:rsid w:val="002A1824"/>
    <w:rsid w:val="002A29CE"/>
    <w:rsid w:val="002A4A6D"/>
    <w:rsid w:val="002A51E7"/>
    <w:rsid w:val="002A7BD1"/>
    <w:rsid w:val="002B0CD1"/>
    <w:rsid w:val="002B0E2B"/>
    <w:rsid w:val="002B20CA"/>
    <w:rsid w:val="002B20E6"/>
    <w:rsid w:val="002B36F8"/>
    <w:rsid w:val="002B42A3"/>
    <w:rsid w:val="002B4653"/>
    <w:rsid w:val="002B4D37"/>
    <w:rsid w:val="002B55CC"/>
    <w:rsid w:val="002B66A8"/>
    <w:rsid w:val="002B7BB4"/>
    <w:rsid w:val="002C0CDD"/>
    <w:rsid w:val="002C0F13"/>
    <w:rsid w:val="002C220B"/>
    <w:rsid w:val="002C38C4"/>
    <w:rsid w:val="002C3965"/>
    <w:rsid w:val="002C44C4"/>
    <w:rsid w:val="002C7ED3"/>
    <w:rsid w:val="002D3F4E"/>
    <w:rsid w:val="002D556A"/>
    <w:rsid w:val="002D698D"/>
    <w:rsid w:val="002D7AB6"/>
    <w:rsid w:val="002E0E0A"/>
    <w:rsid w:val="002E1A1D"/>
    <w:rsid w:val="002E212A"/>
    <w:rsid w:val="002E4081"/>
    <w:rsid w:val="002E5B78"/>
    <w:rsid w:val="002E63AC"/>
    <w:rsid w:val="002F0005"/>
    <w:rsid w:val="002F0A22"/>
    <w:rsid w:val="002F2C1C"/>
    <w:rsid w:val="002F3AE3"/>
    <w:rsid w:val="002F547B"/>
    <w:rsid w:val="002F649F"/>
    <w:rsid w:val="00300A6E"/>
    <w:rsid w:val="003022FD"/>
    <w:rsid w:val="0030464B"/>
    <w:rsid w:val="00305D17"/>
    <w:rsid w:val="00306394"/>
    <w:rsid w:val="0030786C"/>
    <w:rsid w:val="0031069C"/>
    <w:rsid w:val="00313CC5"/>
    <w:rsid w:val="00317815"/>
    <w:rsid w:val="0032267F"/>
    <w:rsid w:val="003233DE"/>
    <w:rsid w:val="0032466B"/>
    <w:rsid w:val="0032498C"/>
    <w:rsid w:val="00326BA4"/>
    <w:rsid w:val="00327516"/>
    <w:rsid w:val="00327710"/>
    <w:rsid w:val="00331BAD"/>
    <w:rsid w:val="00333003"/>
    <w:rsid w:val="003330EB"/>
    <w:rsid w:val="00333B64"/>
    <w:rsid w:val="003415FD"/>
    <w:rsid w:val="003429F0"/>
    <w:rsid w:val="00342B5A"/>
    <w:rsid w:val="00345A82"/>
    <w:rsid w:val="00346BA7"/>
    <w:rsid w:val="00346D53"/>
    <w:rsid w:val="0035097A"/>
    <w:rsid w:val="00352048"/>
    <w:rsid w:val="00352819"/>
    <w:rsid w:val="003540A4"/>
    <w:rsid w:val="0035624E"/>
    <w:rsid w:val="00357BCC"/>
    <w:rsid w:val="0036069D"/>
    <w:rsid w:val="00360E4E"/>
    <w:rsid w:val="00361386"/>
    <w:rsid w:val="00361CA1"/>
    <w:rsid w:val="003654C3"/>
    <w:rsid w:val="0036576D"/>
    <w:rsid w:val="00370AAA"/>
    <w:rsid w:val="00371897"/>
    <w:rsid w:val="00372469"/>
    <w:rsid w:val="003732B1"/>
    <w:rsid w:val="003737EE"/>
    <w:rsid w:val="00373899"/>
    <w:rsid w:val="0037390C"/>
    <w:rsid w:val="00373CEA"/>
    <w:rsid w:val="00375F77"/>
    <w:rsid w:val="00377ABD"/>
    <w:rsid w:val="00381BBE"/>
    <w:rsid w:val="0038216B"/>
    <w:rsid w:val="00382558"/>
    <w:rsid w:val="00382903"/>
    <w:rsid w:val="003846FF"/>
    <w:rsid w:val="00385000"/>
    <w:rsid w:val="003857D4"/>
    <w:rsid w:val="00385AB9"/>
    <w:rsid w:val="00385AD4"/>
    <w:rsid w:val="00387924"/>
    <w:rsid w:val="00390837"/>
    <w:rsid w:val="00391EA7"/>
    <w:rsid w:val="0039209D"/>
    <w:rsid w:val="00392EEF"/>
    <w:rsid w:val="0039384D"/>
    <w:rsid w:val="00395BCD"/>
    <w:rsid w:val="00395C23"/>
    <w:rsid w:val="003A2E4F"/>
    <w:rsid w:val="003A3044"/>
    <w:rsid w:val="003A32D7"/>
    <w:rsid w:val="003A4438"/>
    <w:rsid w:val="003A4C40"/>
    <w:rsid w:val="003A5013"/>
    <w:rsid w:val="003A5078"/>
    <w:rsid w:val="003A50A3"/>
    <w:rsid w:val="003A62DD"/>
    <w:rsid w:val="003A775A"/>
    <w:rsid w:val="003B213A"/>
    <w:rsid w:val="003B4263"/>
    <w:rsid w:val="003B43AD"/>
    <w:rsid w:val="003B5BB2"/>
    <w:rsid w:val="003B5E2D"/>
    <w:rsid w:val="003C0FEC"/>
    <w:rsid w:val="003C2AC8"/>
    <w:rsid w:val="003C66AA"/>
    <w:rsid w:val="003D033A"/>
    <w:rsid w:val="003D0BE8"/>
    <w:rsid w:val="003D17F9"/>
    <w:rsid w:val="003D2D88"/>
    <w:rsid w:val="003D41EA"/>
    <w:rsid w:val="003D4577"/>
    <w:rsid w:val="003D4850"/>
    <w:rsid w:val="003D535A"/>
    <w:rsid w:val="003D7472"/>
    <w:rsid w:val="003D7D37"/>
    <w:rsid w:val="003E034B"/>
    <w:rsid w:val="003E0362"/>
    <w:rsid w:val="003E1175"/>
    <w:rsid w:val="003E1B6B"/>
    <w:rsid w:val="003E5265"/>
    <w:rsid w:val="003E6770"/>
    <w:rsid w:val="003E7648"/>
    <w:rsid w:val="003F0955"/>
    <w:rsid w:val="003F0CA5"/>
    <w:rsid w:val="003F19B6"/>
    <w:rsid w:val="003F1AE0"/>
    <w:rsid w:val="003F5F4D"/>
    <w:rsid w:val="003F646F"/>
    <w:rsid w:val="004001AA"/>
    <w:rsid w:val="00400F00"/>
    <w:rsid w:val="00400F96"/>
    <w:rsid w:val="004032F7"/>
    <w:rsid w:val="0040363F"/>
    <w:rsid w:val="0040471B"/>
    <w:rsid w:val="0040489E"/>
    <w:rsid w:val="00404F8B"/>
    <w:rsid w:val="00405256"/>
    <w:rsid w:val="0040620D"/>
    <w:rsid w:val="00410031"/>
    <w:rsid w:val="00411DA9"/>
    <w:rsid w:val="00413013"/>
    <w:rsid w:val="00415407"/>
    <w:rsid w:val="00415C81"/>
    <w:rsid w:val="0041652B"/>
    <w:rsid w:val="00416689"/>
    <w:rsid w:val="004168F8"/>
    <w:rsid w:val="0041750F"/>
    <w:rsid w:val="00417B34"/>
    <w:rsid w:val="00422D38"/>
    <w:rsid w:val="00425702"/>
    <w:rsid w:val="004269BA"/>
    <w:rsid w:val="004308F0"/>
    <w:rsid w:val="00432378"/>
    <w:rsid w:val="004326D4"/>
    <w:rsid w:val="0043293A"/>
    <w:rsid w:val="00440411"/>
    <w:rsid w:val="00440A71"/>
    <w:rsid w:val="00440D65"/>
    <w:rsid w:val="00440DCE"/>
    <w:rsid w:val="004418BB"/>
    <w:rsid w:val="0044294A"/>
    <w:rsid w:val="004435E6"/>
    <w:rsid w:val="00443C3E"/>
    <w:rsid w:val="0044690A"/>
    <w:rsid w:val="00446DE5"/>
    <w:rsid w:val="00447047"/>
    <w:rsid w:val="00447E31"/>
    <w:rsid w:val="00453923"/>
    <w:rsid w:val="00453981"/>
    <w:rsid w:val="00453B74"/>
    <w:rsid w:val="00454835"/>
    <w:rsid w:val="00454B9B"/>
    <w:rsid w:val="00454BCA"/>
    <w:rsid w:val="00455A9B"/>
    <w:rsid w:val="0045661E"/>
    <w:rsid w:val="0045766D"/>
    <w:rsid w:val="00457858"/>
    <w:rsid w:val="00460B0B"/>
    <w:rsid w:val="00461023"/>
    <w:rsid w:val="00461B76"/>
    <w:rsid w:val="00462FAC"/>
    <w:rsid w:val="0046314D"/>
    <w:rsid w:val="0046332D"/>
    <w:rsid w:val="00464631"/>
    <w:rsid w:val="00464B79"/>
    <w:rsid w:val="00467BBF"/>
    <w:rsid w:val="00470285"/>
    <w:rsid w:val="00470F20"/>
    <w:rsid w:val="00471C88"/>
    <w:rsid w:val="004724C2"/>
    <w:rsid w:val="00472760"/>
    <w:rsid w:val="00473AB7"/>
    <w:rsid w:val="0047446C"/>
    <w:rsid w:val="00480D5E"/>
    <w:rsid w:val="0048211A"/>
    <w:rsid w:val="00482196"/>
    <w:rsid w:val="004833A3"/>
    <w:rsid w:val="00483BCA"/>
    <w:rsid w:val="00484020"/>
    <w:rsid w:val="0048593C"/>
    <w:rsid w:val="004867E2"/>
    <w:rsid w:val="00487F39"/>
    <w:rsid w:val="0049141D"/>
    <w:rsid w:val="004929A9"/>
    <w:rsid w:val="00492AEA"/>
    <w:rsid w:val="004933C2"/>
    <w:rsid w:val="004945A2"/>
    <w:rsid w:val="004A09C7"/>
    <w:rsid w:val="004A4143"/>
    <w:rsid w:val="004A60B9"/>
    <w:rsid w:val="004A78D9"/>
    <w:rsid w:val="004B00DC"/>
    <w:rsid w:val="004B281D"/>
    <w:rsid w:val="004B3739"/>
    <w:rsid w:val="004B4ACA"/>
    <w:rsid w:val="004B4CF3"/>
    <w:rsid w:val="004B5A85"/>
    <w:rsid w:val="004B616D"/>
    <w:rsid w:val="004B6C36"/>
    <w:rsid w:val="004B6E85"/>
    <w:rsid w:val="004B794A"/>
    <w:rsid w:val="004C017D"/>
    <w:rsid w:val="004C16DC"/>
    <w:rsid w:val="004C3138"/>
    <w:rsid w:val="004C52DF"/>
    <w:rsid w:val="004C6BCF"/>
    <w:rsid w:val="004C6F2B"/>
    <w:rsid w:val="004D58BF"/>
    <w:rsid w:val="004E085A"/>
    <w:rsid w:val="004E1048"/>
    <w:rsid w:val="004E4329"/>
    <w:rsid w:val="004E4335"/>
    <w:rsid w:val="004E5F71"/>
    <w:rsid w:val="004E621B"/>
    <w:rsid w:val="004E6E17"/>
    <w:rsid w:val="004E7C20"/>
    <w:rsid w:val="004F135C"/>
    <w:rsid w:val="004F13EE"/>
    <w:rsid w:val="004F2022"/>
    <w:rsid w:val="004F50D9"/>
    <w:rsid w:val="004F7C05"/>
    <w:rsid w:val="004F7D77"/>
    <w:rsid w:val="00501268"/>
    <w:rsid w:val="00501C94"/>
    <w:rsid w:val="00504F40"/>
    <w:rsid w:val="00506432"/>
    <w:rsid w:val="00506A5D"/>
    <w:rsid w:val="00510D55"/>
    <w:rsid w:val="00512602"/>
    <w:rsid w:val="00514208"/>
    <w:rsid w:val="00516589"/>
    <w:rsid w:val="00516EF9"/>
    <w:rsid w:val="00517A3A"/>
    <w:rsid w:val="0052051D"/>
    <w:rsid w:val="005207BC"/>
    <w:rsid w:val="00521279"/>
    <w:rsid w:val="00521655"/>
    <w:rsid w:val="00521BC2"/>
    <w:rsid w:val="00525865"/>
    <w:rsid w:val="00526649"/>
    <w:rsid w:val="005267BE"/>
    <w:rsid w:val="0052777A"/>
    <w:rsid w:val="00527971"/>
    <w:rsid w:val="00530508"/>
    <w:rsid w:val="00531489"/>
    <w:rsid w:val="00531F55"/>
    <w:rsid w:val="00533A2E"/>
    <w:rsid w:val="00535FA6"/>
    <w:rsid w:val="00540569"/>
    <w:rsid w:val="00541F62"/>
    <w:rsid w:val="005443D3"/>
    <w:rsid w:val="00545EE6"/>
    <w:rsid w:val="00546D17"/>
    <w:rsid w:val="005471BB"/>
    <w:rsid w:val="0054768D"/>
    <w:rsid w:val="00550A0D"/>
    <w:rsid w:val="00553574"/>
    <w:rsid w:val="005550E7"/>
    <w:rsid w:val="00555D93"/>
    <w:rsid w:val="005564FB"/>
    <w:rsid w:val="00556C8B"/>
    <w:rsid w:val="005572C7"/>
    <w:rsid w:val="005604FD"/>
    <w:rsid w:val="0056074F"/>
    <w:rsid w:val="00561286"/>
    <w:rsid w:val="005620EA"/>
    <w:rsid w:val="005622C2"/>
    <w:rsid w:val="0056291F"/>
    <w:rsid w:val="00562949"/>
    <w:rsid w:val="00562FC4"/>
    <w:rsid w:val="00564AAB"/>
    <w:rsid w:val="00564FD5"/>
    <w:rsid w:val="005650ED"/>
    <w:rsid w:val="0056609E"/>
    <w:rsid w:val="005703DE"/>
    <w:rsid w:val="0057146F"/>
    <w:rsid w:val="00575754"/>
    <w:rsid w:val="005762BD"/>
    <w:rsid w:val="00576588"/>
    <w:rsid w:val="005774DC"/>
    <w:rsid w:val="00577E3C"/>
    <w:rsid w:val="00581FBA"/>
    <w:rsid w:val="005840D5"/>
    <w:rsid w:val="0058596A"/>
    <w:rsid w:val="00590D6C"/>
    <w:rsid w:val="00591E20"/>
    <w:rsid w:val="00594A1E"/>
    <w:rsid w:val="00595408"/>
    <w:rsid w:val="00595C22"/>
    <w:rsid w:val="00595E84"/>
    <w:rsid w:val="00596B96"/>
    <w:rsid w:val="00597D78"/>
    <w:rsid w:val="005A0C59"/>
    <w:rsid w:val="005A48EB"/>
    <w:rsid w:val="005A62D2"/>
    <w:rsid w:val="005A6CFB"/>
    <w:rsid w:val="005B354B"/>
    <w:rsid w:val="005B399A"/>
    <w:rsid w:val="005B3FAC"/>
    <w:rsid w:val="005B68A1"/>
    <w:rsid w:val="005C01C6"/>
    <w:rsid w:val="005C09CE"/>
    <w:rsid w:val="005C0C70"/>
    <w:rsid w:val="005C0CCB"/>
    <w:rsid w:val="005C0EBC"/>
    <w:rsid w:val="005C1CB2"/>
    <w:rsid w:val="005C2B42"/>
    <w:rsid w:val="005C3A64"/>
    <w:rsid w:val="005C3FA4"/>
    <w:rsid w:val="005C4804"/>
    <w:rsid w:val="005C5AEB"/>
    <w:rsid w:val="005C668B"/>
    <w:rsid w:val="005C7B33"/>
    <w:rsid w:val="005D0A85"/>
    <w:rsid w:val="005D163F"/>
    <w:rsid w:val="005D1828"/>
    <w:rsid w:val="005D2A67"/>
    <w:rsid w:val="005D4422"/>
    <w:rsid w:val="005D4C8A"/>
    <w:rsid w:val="005D50CD"/>
    <w:rsid w:val="005D63CB"/>
    <w:rsid w:val="005D6553"/>
    <w:rsid w:val="005D72C9"/>
    <w:rsid w:val="005E06FF"/>
    <w:rsid w:val="005E0A3F"/>
    <w:rsid w:val="005E2E5D"/>
    <w:rsid w:val="005E454C"/>
    <w:rsid w:val="005E56FD"/>
    <w:rsid w:val="005E6883"/>
    <w:rsid w:val="005E772F"/>
    <w:rsid w:val="005F1EDE"/>
    <w:rsid w:val="005F4ECA"/>
    <w:rsid w:val="005F5A43"/>
    <w:rsid w:val="00600DD7"/>
    <w:rsid w:val="00600EDF"/>
    <w:rsid w:val="006041BE"/>
    <w:rsid w:val="006043C7"/>
    <w:rsid w:val="00604BDA"/>
    <w:rsid w:val="006058D5"/>
    <w:rsid w:val="00607631"/>
    <w:rsid w:val="00610F7D"/>
    <w:rsid w:val="00611C5E"/>
    <w:rsid w:val="006131F2"/>
    <w:rsid w:val="00613BCC"/>
    <w:rsid w:val="00613D1B"/>
    <w:rsid w:val="00614369"/>
    <w:rsid w:val="0061565A"/>
    <w:rsid w:val="00621834"/>
    <w:rsid w:val="00622813"/>
    <w:rsid w:val="00623F51"/>
    <w:rsid w:val="006246A5"/>
    <w:rsid w:val="00624B52"/>
    <w:rsid w:val="0062501B"/>
    <w:rsid w:val="00626D0B"/>
    <w:rsid w:val="00630794"/>
    <w:rsid w:val="00631DF4"/>
    <w:rsid w:val="006332D7"/>
    <w:rsid w:val="00634175"/>
    <w:rsid w:val="00634B41"/>
    <w:rsid w:val="00636CD6"/>
    <w:rsid w:val="006404C1"/>
    <w:rsid w:val="006408AC"/>
    <w:rsid w:val="00642982"/>
    <w:rsid w:val="00644B25"/>
    <w:rsid w:val="00645D21"/>
    <w:rsid w:val="00646439"/>
    <w:rsid w:val="0064740E"/>
    <w:rsid w:val="00647B78"/>
    <w:rsid w:val="006503AA"/>
    <w:rsid w:val="0065054F"/>
    <w:rsid w:val="00650F5F"/>
    <w:rsid w:val="0065109D"/>
    <w:rsid w:val="006511B6"/>
    <w:rsid w:val="0065421D"/>
    <w:rsid w:val="00655090"/>
    <w:rsid w:val="006552A5"/>
    <w:rsid w:val="00657FF8"/>
    <w:rsid w:val="00662476"/>
    <w:rsid w:val="00662B37"/>
    <w:rsid w:val="00663EC0"/>
    <w:rsid w:val="0066437D"/>
    <w:rsid w:val="00665776"/>
    <w:rsid w:val="00670D99"/>
    <w:rsid w:val="00670E2B"/>
    <w:rsid w:val="00670E70"/>
    <w:rsid w:val="006720F9"/>
    <w:rsid w:val="006727C9"/>
    <w:rsid w:val="006734BB"/>
    <w:rsid w:val="00673E79"/>
    <w:rsid w:val="0067677C"/>
    <w:rsid w:val="0067697A"/>
    <w:rsid w:val="00680E83"/>
    <w:rsid w:val="0068134A"/>
    <w:rsid w:val="00681E2F"/>
    <w:rsid w:val="006821EB"/>
    <w:rsid w:val="0068472E"/>
    <w:rsid w:val="006900CB"/>
    <w:rsid w:val="00692706"/>
    <w:rsid w:val="00692DFE"/>
    <w:rsid w:val="0069543D"/>
    <w:rsid w:val="00696752"/>
    <w:rsid w:val="006A07CD"/>
    <w:rsid w:val="006A0FAA"/>
    <w:rsid w:val="006A24E5"/>
    <w:rsid w:val="006A444D"/>
    <w:rsid w:val="006A6949"/>
    <w:rsid w:val="006A7DA5"/>
    <w:rsid w:val="006B0161"/>
    <w:rsid w:val="006B18B6"/>
    <w:rsid w:val="006B2286"/>
    <w:rsid w:val="006B2546"/>
    <w:rsid w:val="006B56BB"/>
    <w:rsid w:val="006B6D7A"/>
    <w:rsid w:val="006B713F"/>
    <w:rsid w:val="006B7839"/>
    <w:rsid w:val="006C12BA"/>
    <w:rsid w:val="006C3E43"/>
    <w:rsid w:val="006C482B"/>
    <w:rsid w:val="006C5CE6"/>
    <w:rsid w:val="006C72A7"/>
    <w:rsid w:val="006C7374"/>
    <w:rsid w:val="006C77A8"/>
    <w:rsid w:val="006D0800"/>
    <w:rsid w:val="006D17FE"/>
    <w:rsid w:val="006D32FE"/>
    <w:rsid w:val="006D3399"/>
    <w:rsid w:val="006D4098"/>
    <w:rsid w:val="006D5902"/>
    <w:rsid w:val="006D5D97"/>
    <w:rsid w:val="006D6AD2"/>
    <w:rsid w:val="006D7681"/>
    <w:rsid w:val="006D7B2E"/>
    <w:rsid w:val="006E02EA"/>
    <w:rsid w:val="006E0968"/>
    <w:rsid w:val="006E1BE0"/>
    <w:rsid w:val="006E2AF6"/>
    <w:rsid w:val="006E3F8F"/>
    <w:rsid w:val="006E6997"/>
    <w:rsid w:val="006F0333"/>
    <w:rsid w:val="006F0A68"/>
    <w:rsid w:val="006F4795"/>
    <w:rsid w:val="006F4F7A"/>
    <w:rsid w:val="006F6287"/>
    <w:rsid w:val="00700152"/>
    <w:rsid w:val="007010DA"/>
    <w:rsid w:val="00701275"/>
    <w:rsid w:val="00701B16"/>
    <w:rsid w:val="0070357C"/>
    <w:rsid w:val="00707F56"/>
    <w:rsid w:val="00710C8D"/>
    <w:rsid w:val="00713558"/>
    <w:rsid w:val="00714527"/>
    <w:rsid w:val="00715B9D"/>
    <w:rsid w:val="00715D13"/>
    <w:rsid w:val="007174DE"/>
    <w:rsid w:val="00717954"/>
    <w:rsid w:val="00717DE9"/>
    <w:rsid w:val="00720D08"/>
    <w:rsid w:val="00720F3C"/>
    <w:rsid w:val="0072265E"/>
    <w:rsid w:val="0072341A"/>
    <w:rsid w:val="007238A3"/>
    <w:rsid w:val="00724D87"/>
    <w:rsid w:val="00725347"/>
    <w:rsid w:val="00725532"/>
    <w:rsid w:val="0072569B"/>
    <w:rsid w:val="0072571D"/>
    <w:rsid w:val="007263B9"/>
    <w:rsid w:val="00730E51"/>
    <w:rsid w:val="007334F8"/>
    <w:rsid w:val="007339CD"/>
    <w:rsid w:val="0073475F"/>
    <w:rsid w:val="007359D8"/>
    <w:rsid w:val="0073619D"/>
    <w:rsid w:val="007362D4"/>
    <w:rsid w:val="00736A52"/>
    <w:rsid w:val="007375FA"/>
    <w:rsid w:val="00737817"/>
    <w:rsid w:val="007378EE"/>
    <w:rsid w:val="00737C71"/>
    <w:rsid w:val="00737C72"/>
    <w:rsid w:val="0075131F"/>
    <w:rsid w:val="00753B3E"/>
    <w:rsid w:val="0075422B"/>
    <w:rsid w:val="00754745"/>
    <w:rsid w:val="00757009"/>
    <w:rsid w:val="007570A6"/>
    <w:rsid w:val="00761D9D"/>
    <w:rsid w:val="00763FA8"/>
    <w:rsid w:val="00764771"/>
    <w:rsid w:val="007654D7"/>
    <w:rsid w:val="0076578D"/>
    <w:rsid w:val="00765B85"/>
    <w:rsid w:val="00766019"/>
    <w:rsid w:val="0076625C"/>
    <w:rsid w:val="0076672A"/>
    <w:rsid w:val="007668A6"/>
    <w:rsid w:val="00770E49"/>
    <w:rsid w:val="00772B1C"/>
    <w:rsid w:val="00774FE3"/>
    <w:rsid w:val="00775E45"/>
    <w:rsid w:val="00776111"/>
    <w:rsid w:val="0077626E"/>
    <w:rsid w:val="00776E74"/>
    <w:rsid w:val="007773B3"/>
    <w:rsid w:val="00780317"/>
    <w:rsid w:val="00781136"/>
    <w:rsid w:val="00783E30"/>
    <w:rsid w:val="00785169"/>
    <w:rsid w:val="00785CDE"/>
    <w:rsid w:val="00787D92"/>
    <w:rsid w:val="00787F4B"/>
    <w:rsid w:val="00791518"/>
    <w:rsid w:val="00792AFB"/>
    <w:rsid w:val="00793D4A"/>
    <w:rsid w:val="007954AB"/>
    <w:rsid w:val="00797C0F"/>
    <w:rsid w:val="007A0830"/>
    <w:rsid w:val="007A14C5"/>
    <w:rsid w:val="007A2CE2"/>
    <w:rsid w:val="007A4A10"/>
    <w:rsid w:val="007A51FB"/>
    <w:rsid w:val="007B1760"/>
    <w:rsid w:val="007B3EB4"/>
    <w:rsid w:val="007B4D6E"/>
    <w:rsid w:val="007B5472"/>
    <w:rsid w:val="007B5A50"/>
    <w:rsid w:val="007C05E2"/>
    <w:rsid w:val="007C1091"/>
    <w:rsid w:val="007C1FDC"/>
    <w:rsid w:val="007C4C97"/>
    <w:rsid w:val="007C6D9C"/>
    <w:rsid w:val="007C7073"/>
    <w:rsid w:val="007C74D6"/>
    <w:rsid w:val="007C7DDB"/>
    <w:rsid w:val="007D0B54"/>
    <w:rsid w:val="007D1830"/>
    <w:rsid w:val="007D1F4A"/>
    <w:rsid w:val="007D259B"/>
    <w:rsid w:val="007D2CC7"/>
    <w:rsid w:val="007D3868"/>
    <w:rsid w:val="007D5F6C"/>
    <w:rsid w:val="007D673D"/>
    <w:rsid w:val="007E1B79"/>
    <w:rsid w:val="007E3F02"/>
    <w:rsid w:val="007E4D09"/>
    <w:rsid w:val="007E75D7"/>
    <w:rsid w:val="007E765D"/>
    <w:rsid w:val="007F08E3"/>
    <w:rsid w:val="007F1A21"/>
    <w:rsid w:val="007F2220"/>
    <w:rsid w:val="007F37CF"/>
    <w:rsid w:val="007F3E79"/>
    <w:rsid w:val="007F4B3E"/>
    <w:rsid w:val="007F62BA"/>
    <w:rsid w:val="007F6306"/>
    <w:rsid w:val="00800F87"/>
    <w:rsid w:val="00801C7C"/>
    <w:rsid w:val="008038C3"/>
    <w:rsid w:val="008057A9"/>
    <w:rsid w:val="008057C4"/>
    <w:rsid w:val="00805A56"/>
    <w:rsid w:val="0081253A"/>
    <w:rsid w:val="008127AF"/>
    <w:rsid w:val="00812B46"/>
    <w:rsid w:val="00815700"/>
    <w:rsid w:val="00815A65"/>
    <w:rsid w:val="00815FBB"/>
    <w:rsid w:val="0082142D"/>
    <w:rsid w:val="00822381"/>
    <w:rsid w:val="00822B4E"/>
    <w:rsid w:val="008264EB"/>
    <w:rsid w:val="00826B8F"/>
    <w:rsid w:val="008307E3"/>
    <w:rsid w:val="00830F8D"/>
    <w:rsid w:val="00831E8A"/>
    <w:rsid w:val="008322BF"/>
    <w:rsid w:val="00835C76"/>
    <w:rsid w:val="00836B61"/>
    <w:rsid w:val="00836DDF"/>
    <w:rsid w:val="00837383"/>
    <w:rsid w:val="008373AF"/>
    <w:rsid w:val="008376E2"/>
    <w:rsid w:val="00840055"/>
    <w:rsid w:val="00842C93"/>
    <w:rsid w:val="00842FE6"/>
    <w:rsid w:val="00843049"/>
    <w:rsid w:val="00844E04"/>
    <w:rsid w:val="00844FAB"/>
    <w:rsid w:val="00845A86"/>
    <w:rsid w:val="00845D84"/>
    <w:rsid w:val="0084641A"/>
    <w:rsid w:val="008469B2"/>
    <w:rsid w:val="008469F3"/>
    <w:rsid w:val="00846E9F"/>
    <w:rsid w:val="0084714D"/>
    <w:rsid w:val="00847582"/>
    <w:rsid w:val="00851987"/>
    <w:rsid w:val="0085209B"/>
    <w:rsid w:val="008539EE"/>
    <w:rsid w:val="00853D2B"/>
    <w:rsid w:val="00853F99"/>
    <w:rsid w:val="00853FD5"/>
    <w:rsid w:val="008541DC"/>
    <w:rsid w:val="0085593E"/>
    <w:rsid w:val="00856B66"/>
    <w:rsid w:val="008579C1"/>
    <w:rsid w:val="008601AC"/>
    <w:rsid w:val="008607E3"/>
    <w:rsid w:val="00861597"/>
    <w:rsid w:val="00861723"/>
    <w:rsid w:val="00861A5F"/>
    <w:rsid w:val="00862C72"/>
    <w:rsid w:val="00863240"/>
    <w:rsid w:val="008644AD"/>
    <w:rsid w:val="00865735"/>
    <w:rsid w:val="00865DDB"/>
    <w:rsid w:val="00867538"/>
    <w:rsid w:val="00871C29"/>
    <w:rsid w:val="00873637"/>
    <w:rsid w:val="008737E5"/>
    <w:rsid w:val="00873AB6"/>
    <w:rsid w:val="00873D90"/>
    <w:rsid w:val="00873FC8"/>
    <w:rsid w:val="00877B54"/>
    <w:rsid w:val="00882A67"/>
    <w:rsid w:val="0088386A"/>
    <w:rsid w:val="00884C63"/>
    <w:rsid w:val="00885908"/>
    <w:rsid w:val="00885F85"/>
    <w:rsid w:val="008864B7"/>
    <w:rsid w:val="008910EB"/>
    <w:rsid w:val="00891196"/>
    <w:rsid w:val="008926B7"/>
    <w:rsid w:val="0089510B"/>
    <w:rsid w:val="00895516"/>
    <w:rsid w:val="008955C2"/>
    <w:rsid w:val="0089677E"/>
    <w:rsid w:val="0089780F"/>
    <w:rsid w:val="00897CD0"/>
    <w:rsid w:val="008A03FC"/>
    <w:rsid w:val="008A0D90"/>
    <w:rsid w:val="008A275E"/>
    <w:rsid w:val="008A3D73"/>
    <w:rsid w:val="008A7438"/>
    <w:rsid w:val="008A7DFF"/>
    <w:rsid w:val="008B04C3"/>
    <w:rsid w:val="008B097D"/>
    <w:rsid w:val="008B1334"/>
    <w:rsid w:val="008B1C42"/>
    <w:rsid w:val="008B25C7"/>
    <w:rsid w:val="008B2C51"/>
    <w:rsid w:val="008B4660"/>
    <w:rsid w:val="008B67BB"/>
    <w:rsid w:val="008C0278"/>
    <w:rsid w:val="008C053E"/>
    <w:rsid w:val="008C24E9"/>
    <w:rsid w:val="008C3313"/>
    <w:rsid w:val="008C33F1"/>
    <w:rsid w:val="008C40AD"/>
    <w:rsid w:val="008C5190"/>
    <w:rsid w:val="008C77F2"/>
    <w:rsid w:val="008C7B7C"/>
    <w:rsid w:val="008D0533"/>
    <w:rsid w:val="008D1047"/>
    <w:rsid w:val="008D1498"/>
    <w:rsid w:val="008D29E5"/>
    <w:rsid w:val="008D42CB"/>
    <w:rsid w:val="008D48C9"/>
    <w:rsid w:val="008D6381"/>
    <w:rsid w:val="008D7584"/>
    <w:rsid w:val="008E06D5"/>
    <w:rsid w:val="008E0C77"/>
    <w:rsid w:val="008E15B0"/>
    <w:rsid w:val="008E188B"/>
    <w:rsid w:val="008E2668"/>
    <w:rsid w:val="008E3E31"/>
    <w:rsid w:val="008E415C"/>
    <w:rsid w:val="008E625F"/>
    <w:rsid w:val="008E6F85"/>
    <w:rsid w:val="008E77FF"/>
    <w:rsid w:val="008F264D"/>
    <w:rsid w:val="008F3205"/>
    <w:rsid w:val="008F3B85"/>
    <w:rsid w:val="008F482F"/>
    <w:rsid w:val="008F5125"/>
    <w:rsid w:val="00900751"/>
    <w:rsid w:val="00903186"/>
    <w:rsid w:val="009040E9"/>
    <w:rsid w:val="009074E1"/>
    <w:rsid w:val="00907A37"/>
    <w:rsid w:val="009112F7"/>
    <w:rsid w:val="009122AF"/>
    <w:rsid w:val="00912D54"/>
    <w:rsid w:val="0091389F"/>
    <w:rsid w:val="00913DEC"/>
    <w:rsid w:val="009165CC"/>
    <w:rsid w:val="009208F7"/>
    <w:rsid w:val="00921649"/>
    <w:rsid w:val="00922517"/>
    <w:rsid w:val="00922722"/>
    <w:rsid w:val="00924005"/>
    <w:rsid w:val="00924698"/>
    <w:rsid w:val="009261E6"/>
    <w:rsid w:val="009268E1"/>
    <w:rsid w:val="00927DF6"/>
    <w:rsid w:val="00930719"/>
    <w:rsid w:val="00930B81"/>
    <w:rsid w:val="00933E9F"/>
    <w:rsid w:val="009344DE"/>
    <w:rsid w:val="009347EF"/>
    <w:rsid w:val="00934D02"/>
    <w:rsid w:val="00936207"/>
    <w:rsid w:val="0093633C"/>
    <w:rsid w:val="00940352"/>
    <w:rsid w:val="00942373"/>
    <w:rsid w:val="00945E7F"/>
    <w:rsid w:val="009468C9"/>
    <w:rsid w:val="0094744C"/>
    <w:rsid w:val="009557C1"/>
    <w:rsid w:val="009574C0"/>
    <w:rsid w:val="00960706"/>
    <w:rsid w:val="00960D6E"/>
    <w:rsid w:val="00961981"/>
    <w:rsid w:val="00962283"/>
    <w:rsid w:val="00962997"/>
    <w:rsid w:val="00962AA2"/>
    <w:rsid w:val="009650E7"/>
    <w:rsid w:val="009707BD"/>
    <w:rsid w:val="009724AB"/>
    <w:rsid w:val="009724B2"/>
    <w:rsid w:val="009731E2"/>
    <w:rsid w:val="00973527"/>
    <w:rsid w:val="0097499F"/>
    <w:rsid w:val="00974B59"/>
    <w:rsid w:val="00974BF4"/>
    <w:rsid w:val="00974F3B"/>
    <w:rsid w:val="00976722"/>
    <w:rsid w:val="009804E3"/>
    <w:rsid w:val="0098122D"/>
    <w:rsid w:val="0098340B"/>
    <w:rsid w:val="0098356B"/>
    <w:rsid w:val="00985A33"/>
    <w:rsid w:val="00985C80"/>
    <w:rsid w:val="00986830"/>
    <w:rsid w:val="009876E1"/>
    <w:rsid w:val="00987F9D"/>
    <w:rsid w:val="0099175D"/>
    <w:rsid w:val="009924A5"/>
    <w:rsid w:val="009924C3"/>
    <w:rsid w:val="0099275B"/>
    <w:rsid w:val="00993102"/>
    <w:rsid w:val="00993DC1"/>
    <w:rsid w:val="00994B0F"/>
    <w:rsid w:val="009A1132"/>
    <w:rsid w:val="009A14C0"/>
    <w:rsid w:val="009A2438"/>
    <w:rsid w:val="009A48F1"/>
    <w:rsid w:val="009A6EF4"/>
    <w:rsid w:val="009B0351"/>
    <w:rsid w:val="009B1570"/>
    <w:rsid w:val="009B4164"/>
    <w:rsid w:val="009B6DFB"/>
    <w:rsid w:val="009C0502"/>
    <w:rsid w:val="009C0CE4"/>
    <w:rsid w:val="009C374D"/>
    <w:rsid w:val="009C3D29"/>
    <w:rsid w:val="009C3D9A"/>
    <w:rsid w:val="009C57AD"/>
    <w:rsid w:val="009C6F10"/>
    <w:rsid w:val="009D148F"/>
    <w:rsid w:val="009D34A6"/>
    <w:rsid w:val="009D3D70"/>
    <w:rsid w:val="009D48FB"/>
    <w:rsid w:val="009D7483"/>
    <w:rsid w:val="009E17D0"/>
    <w:rsid w:val="009E32DD"/>
    <w:rsid w:val="009E5413"/>
    <w:rsid w:val="009E6A6E"/>
    <w:rsid w:val="009E6F7E"/>
    <w:rsid w:val="009E7A57"/>
    <w:rsid w:val="009F18A4"/>
    <w:rsid w:val="009F34F4"/>
    <w:rsid w:val="009F40A3"/>
    <w:rsid w:val="009F455F"/>
    <w:rsid w:val="009F4803"/>
    <w:rsid w:val="009F4F6A"/>
    <w:rsid w:val="009F5C54"/>
    <w:rsid w:val="009F68C0"/>
    <w:rsid w:val="009F6B27"/>
    <w:rsid w:val="00A0000B"/>
    <w:rsid w:val="00A007A7"/>
    <w:rsid w:val="00A0159B"/>
    <w:rsid w:val="00A024FC"/>
    <w:rsid w:val="00A0381D"/>
    <w:rsid w:val="00A0402E"/>
    <w:rsid w:val="00A1115D"/>
    <w:rsid w:val="00A12812"/>
    <w:rsid w:val="00A13EB5"/>
    <w:rsid w:val="00A144D4"/>
    <w:rsid w:val="00A1490E"/>
    <w:rsid w:val="00A150FD"/>
    <w:rsid w:val="00A153C8"/>
    <w:rsid w:val="00A15502"/>
    <w:rsid w:val="00A16E36"/>
    <w:rsid w:val="00A22EBA"/>
    <w:rsid w:val="00A23A6D"/>
    <w:rsid w:val="00A24961"/>
    <w:rsid w:val="00A24B10"/>
    <w:rsid w:val="00A25D9E"/>
    <w:rsid w:val="00A277EF"/>
    <w:rsid w:val="00A3010E"/>
    <w:rsid w:val="00A30E9B"/>
    <w:rsid w:val="00A31869"/>
    <w:rsid w:val="00A31DC4"/>
    <w:rsid w:val="00A32A3B"/>
    <w:rsid w:val="00A32F81"/>
    <w:rsid w:val="00A3523B"/>
    <w:rsid w:val="00A35565"/>
    <w:rsid w:val="00A36690"/>
    <w:rsid w:val="00A36AB5"/>
    <w:rsid w:val="00A42C32"/>
    <w:rsid w:val="00A437C6"/>
    <w:rsid w:val="00A4391B"/>
    <w:rsid w:val="00A4512D"/>
    <w:rsid w:val="00A471E7"/>
    <w:rsid w:val="00A47EE6"/>
    <w:rsid w:val="00A50244"/>
    <w:rsid w:val="00A52709"/>
    <w:rsid w:val="00A53706"/>
    <w:rsid w:val="00A627D7"/>
    <w:rsid w:val="00A6293E"/>
    <w:rsid w:val="00A63B13"/>
    <w:rsid w:val="00A63F30"/>
    <w:rsid w:val="00A6567F"/>
    <w:rsid w:val="00A656C7"/>
    <w:rsid w:val="00A6685D"/>
    <w:rsid w:val="00A66F8D"/>
    <w:rsid w:val="00A67D68"/>
    <w:rsid w:val="00A67E13"/>
    <w:rsid w:val="00A704C6"/>
    <w:rsid w:val="00A705AF"/>
    <w:rsid w:val="00A7177E"/>
    <w:rsid w:val="00A72454"/>
    <w:rsid w:val="00A73B0C"/>
    <w:rsid w:val="00A74828"/>
    <w:rsid w:val="00A77661"/>
    <w:rsid w:val="00A77696"/>
    <w:rsid w:val="00A80557"/>
    <w:rsid w:val="00A81D33"/>
    <w:rsid w:val="00A8291B"/>
    <w:rsid w:val="00A8341C"/>
    <w:rsid w:val="00A865AC"/>
    <w:rsid w:val="00A9123D"/>
    <w:rsid w:val="00A91E61"/>
    <w:rsid w:val="00A923FF"/>
    <w:rsid w:val="00A930AE"/>
    <w:rsid w:val="00A93908"/>
    <w:rsid w:val="00A93C88"/>
    <w:rsid w:val="00A93CCF"/>
    <w:rsid w:val="00A9709A"/>
    <w:rsid w:val="00AA0145"/>
    <w:rsid w:val="00AA0D70"/>
    <w:rsid w:val="00AA1A95"/>
    <w:rsid w:val="00AA2258"/>
    <w:rsid w:val="00AA260F"/>
    <w:rsid w:val="00AA30E1"/>
    <w:rsid w:val="00AA3583"/>
    <w:rsid w:val="00AA3B2D"/>
    <w:rsid w:val="00AA4C46"/>
    <w:rsid w:val="00AB1B55"/>
    <w:rsid w:val="00AB1EE7"/>
    <w:rsid w:val="00AB28E6"/>
    <w:rsid w:val="00AB2F62"/>
    <w:rsid w:val="00AB458F"/>
    <w:rsid w:val="00AB4B37"/>
    <w:rsid w:val="00AB5762"/>
    <w:rsid w:val="00AB6F05"/>
    <w:rsid w:val="00AB7406"/>
    <w:rsid w:val="00AB744B"/>
    <w:rsid w:val="00AC24B7"/>
    <w:rsid w:val="00AC2679"/>
    <w:rsid w:val="00AC2DE6"/>
    <w:rsid w:val="00AC3D62"/>
    <w:rsid w:val="00AC4BE4"/>
    <w:rsid w:val="00AC5339"/>
    <w:rsid w:val="00AC5451"/>
    <w:rsid w:val="00AD05E6"/>
    <w:rsid w:val="00AD0D3F"/>
    <w:rsid w:val="00AD5085"/>
    <w:rsid w:val="00AE0B9E"/>
    <w:rsid w:val="00AE1D7D"/>
    <w:rsid w:val="00AE2A8B"/>
    <w:rsid w:val="00AE2C62"/>
    <w:rsid w:val="00AE2FAF"/>
    <w:rsid w:val="00AE3F64"/>
    <w:rsid w:val="00AE7677"/>
    <w:rsid w:val="00AF0096"/>
    <w:rsid w:val="00AF02EC"/>
    <w:rsid w:val="00AF143B"/>
    <w:rsid w:val="00AF209D"/>
    <w:rsid w:val="00AF2E68"/>
    <w:rsid w:val="00AF2F3A"/>
    <w:rsid w:val="00AF7386"/>
    <w:rsid w:val="00AF7934"/>
    <w:rsid w:val="00B00B81"/>
    <w:rsid w:val="00B02CBD"/>
    <w:rsid w:val="00B0343A"/>
    <w:rsid w:val="00B03459"/>
    <w:rsid w:val="00B041B6"/>
    <w:rsid w:val="00B04580"/>
    <w:rsid w:val="00B04B09"/>
    <w:rsid w:val="00B11BBE"/>
    <w:rsid w:val="00B16A51"/>
    <w:rsid w:val="00B2090C"/>
    <w:rsid w:val="00B236DC"/>
    <w:rsid w:val="00B30DA4"/>
    <w:rsid w:val="00B3130F"/>
    <w:rsid w:val="00B31885"/>
    <w:rsid w:val="00B31D68"/>
    <w:rsid w:val="00B32222"/>
    <w:rsid w:val="00B33C74"/>
    <w:rsid w:val="00B33F39"/>
    <w:rsid w:val="00B3618D"/>
    <w:rsid w:val="00B36233"/>
    <w:rsid w:val="00B36929"/>
    <w:rsid w:val="00B3703E"/>
    <w:rsid w:val="00B42851"/>
    <w:rsid w:val="00B448CD"/>
    <w:rsid w:val="00B45AC7"/>
    <w:rsid w:val="00B45D36"/>
    <w:rsid w:val="00B4641B"/>
    <w:rsid w:val="00B471D8"/>
    <w:rsid w:val="00B51B06"/>
    <w:rsid w:val="00B5329D"/>
    <w:rsid w:val="00B5372F"/>
    <w:rsid w:val="00B53D10"/>
    <w:rsid w:val="00B54577"/>
    <w:rsid w:val="00B546D6"/>
    <w:rsid w:val="00B55586"/>
    <w:rsid w:val="00B55A61"/>
    <w:rsid w:val="00B55BF7"/>
    <w:rsid w:val="00B55E09"/>
    <w:rsid w:val="00B55EBB"/>
    <w:rsid w:val="00B56128"/>
    <w:rsid w:val="00B57113"/>
    <w:rsid w:val="00B57937"/>
    <w:rsid w:val="00B60865"/>
    <w:rsid w:val="00B61129"/>
    <w:rsid w:val="00B617B0"/>
    <w:rsid w:val="00B61BF6"/>
    <w:rsid w:val="00B633D5"/>
    <w:rsid w:val="00B644F8"/>
    <w:rsid w:val="00B6596B"/>
    <w:rsid w:val="00B67E7F"/>
    <w:rsid w:val="00B71963"/>
    <w:rsid w:val="00B71FAA"/>
    <w:rsid w:val="00B72A5C"/>
    <w:rsid w:val="00B74BF5"/>
    <w:rsid w:val="00B75B3D"/>
    <w:rsid w:val="00B76DC5"/>
    <w:rsid w:val="00B8078C"/>
    <w:rsid w:val="00B839B2"/>
    <w:rsid w:val="00B84856"/>
    <w:rsid w:val="00B87474"/>
    <w:rsid w:val="00B91B44"/>
    <w:rsid w:val="00B9213A"/>
    <w:rsid w:val="00B94252"/>
    <w:rsid w:val="00B95C12"/>
    <w:rsid w:val="00B96D2F"/>
    <w:rsid w:val="00B96EA0"/>
    <w:rsid w:val="00B9715A"/>
    <w:rsid w:val="00B97901"/>
    <w:rsid w:val="00BA1462"/>
    <w:rsid w:val="00BA14BE"/>
    <w:rsid w:val="00BA2732"/>
    <w:rsid w:val="00BA293D"/>
    <w:rsid w:val="00BA2A50"/>
    <w:rsid w:val="00BA4216"/>
    <w:rsid w:val="00BA49BC"/>
    <w:rsid w:val="00BA5388"/>
    <w:rsid w:val="00BA5443"/>
    <w:rsid w:val="00BA5676"/>
    <w:rsid w:val="00BA56B7"/>
    <w:rsid w:val="00BA5978"/>
    <w:rsid w:val="00BA6161"/>
    <w:rsid w:val="00BA7A1E"/>
    <w:rsid w:val="00BB1EC7"/>
    <w:rsid w:val="00BB2F6C"/>
    <w:rsid w:val="00BB3875"/>
    <w:rsid w:val="00BB52DF"/>
    <w:rsid w:val="00BB5860"/>
    <w:rsid w:val="00BB591F"/>
    <w:rsid w:val="00BB6AA7"/>
    <w:rsid w:val="00BB6AAD"/>
    <w:rsid w:val="00BC0E2F"/>
    <w:rsid w:val="00BC13AB"/>
    <w:rsid w:val="00BC2967"/>
    <w:rsid w:val="00BC4347"/>
    <w:rsid w:val="00BC4A19"/>
    <w:rsid w:val="00BC4E6D"/>
    <w:rsid w:val="00BC4EB6"/>
    <w:rsid w:val="00BC5053"/>
    <w:rsid w:val="00BD0617"/>
    <w:rsid w:val="00BD09DB"/>
    <w:rsid w:val="00BD1708"/>
    <w:rsid w:val="00BD2E9B"/>
    <w:rsid w:val="00BD3A95"/>
    <w:rsid w:val="00BD3E7F"/>
    <w:rsid w:val="00BD4CF0"/>
    <w:rsid w:val="00BD7D93"/>
    <w:rsid w:val="00BD7FB2"/>
    <w:rsid w:val="00BE1FBE"/>
    <w:rsid w:val="00BE2C32"/>
    <w:rsid w:val="00BE50F2"/>
    <w:rsid w:val="00BE6183"/>
    <w:rsid w:val="00BE6C4A"/>
    <w:rsid w:val="00BE7093"/>
    <w:rsid w:val="00BF024E"/>
    <w:rsid w:val="00BF2F23"/>
    <w:rsid w:val="00BF674F"/>
    <w:rsid w:val="00C006E5"/>
    <w:rsid w:val="00C00779"/>
    <w:rsid w:val="00C00930"/>
    <w:rsid w:val="00C00AE7"/>
    <w:rsid w:val="00C01C61"/>
    <w:rsid w:val="00C0348A"/>
    <w:rsid w:val="00C040F8"/>
    <w:rsid w:val="00C042FB"/>
    <w:rsid w:val="00C045E0"/>
    <w:rsid w:val="00C060AD"/>
    <w:rsid w:val="00C068B0"/>
    <w:rsid w:val="00C10248"/>
    <w:rsid w:val="00C10EDE"/>
    <w:rsid w:val="00C113BF"/>
    <w:rsid w:val="00C12287"/>
    <w:rsid w:val="00C1280A"/>
    <w:rsid w:val="00C13D04"/>
    <w:rsid w:val="00C14826"/>
    <w:rsid w:val="00C149D7"/>
    <w:rsid w:val="00C1578C"/>
    <w:rsid w:val="00C16960"/>
    <w:rsid w:val="00C2039F"/>
    <w:rsid w:val="00C2176E"/>
    <w:rsid w:val="00C21C40"/>
    <w:rsid w:val="00C22030"/>
    <w:rsid w:val="00C23430"/>
    <w:rsid w:val="00C25FF5"/>
    <w:rsid w:val="00C27D67"/>
    <w:rsid w:val="00C319A6"/>
    <w:rsid w:val="00C33316"/>
    <w:rsid w:val="00C33794"/>
    <w:rsid w:val="00C33E49"/>
    <w:rsid w:val="00C34AD7"/>
    <w:rsid w:val="00C35F07"/>
    <w:rsid w:val="00C37B3F"/>
    <w:rsid w:val="00C401ED"/>
    <w:rsid w:val="00C40DF2"/>
    <w:rsid w:val="00C41C1D"/>
    <w:rsid w:val="00C449C9"/>
    <w:rsid w:val="00C4631F"/>
    <w:rsid w:val="00C463F0"/>
    <w:rsid w:val="00C47CDE"/>
    <w:rsid w:val="00C50E16"/>
    <w:rsid w:val="00C50E4A"/>
    <w:rsid w:val="00C53252"/>
    <w:rsid w:val="00C53E14"/>
    <w:rsid w:val="00C54B34"/>
    <w:rsid w:val="00C55258"/>
    <w:rsid w:val="00C55A1C"/>
    <w:rsid w:val="00C601D9"/>
    <w:rsid w:val="00C60F5F"/>
    <w:rsid w:val="00C61C65"/>
    <w:rsid w:val="00C61CCD"/>
    <w:rsid w:val="00C620A5"/>
    <w:rsid w:val="00C64701"/>
    <w:rsid w:val="00C71446"/>
    <w:rsid w:val="00C72B76"/>
    <w:rsid w:val="00C8008D"/>
    <w:rsid w:val="00C806ED"/>
    <w:rsid w:val="00C826E3"/>
    <w:rsid w:val="00C82EEB"/>
    <w:rsid w:val="00C82FC2"/>
    <w:rsid w:val="00C91EF4"/>
    <w:rsid w:val="00C924D6"/>
    <w:rsid w:val="00C949CD"/>
    <w:rsid w:val="00C94A0B"/>
    <w:rsid w:val="00C95D79"/>
    <w:rsid w:val="00C96599"/>
    <w:rsid w:val="00C971DC"/>
    <w:rsid w:val="00CA044D"/>
    <w:rsid w:val="00CA09C2"/>
    <w:rsid w:val="00CA0E90"/>
    <w:rsid w:val="00CA16B7"/>
    <w:rsid w:val="00CA556A"/>
    <w:rsid w:val="00CA62AE"/>
    <w:rsid w:val="00CB07CC"/>
    <w:rsid w:val="00CB2015"/>
    <w:rsid w:val="00CB46A9"/>
    <w:rsid w:val="00CB5B1A"/>
    <w:rsid w:val="00CC0FA6"/>
    <w:rsid w:val="00CC220B"/>
    <w:rsid w:val="00CC5C43"/>
    <w:rsid w:val="00CC7AD1"/>
    <w:rsid w:val="00CD02AE"/>
    <w:rsid w:val="00CD267E"/>
    <w:rsid w:val="00CD2A4F"/>
    <w:rsid w:val="00CD3600"/>
    <w:rsid w:val="00CD4335"/>
    <w:rsid w:val="00CD75C5"/>
    <w:rsid w:val="00CE03CA"/>
    <w:rsid w:val="00CE0C8D"/>
    <w:rsid w:val="00CE22F1"/>
    <w:rsid w:val="00CE392D"/>
    <w:rsid w:val="00CE50F2"/>
    <w:rsid w:val="00CE6440"/>
    <w:rsid w:val="00CE6502"/>
    <w:rsid w:val="00CE711E"/>
    <w:rsid w:val="00CF2331"/>
    <w:rsid w:val="00CF2580"/>
    <w:rsid w:val="00CF5F6E"/>
    <w:rsid w:val="00CF60C7"/>
    <w:rsid w:val="00CF7748"/>
    <w:rsid w:val="00CF7D3C"/>
    <w:rsid w:val="00D000FC"/>
    <w:rsid w:val="00D00ECB"/>
    <w:rsid w:val="00D01DDE"/>
    <w:rsid w:val="00D01F09"/>
    <w:rsid w:val="00D0312D"/>
    <w:rsid w:val="00D03E12"/>
    <w:rsid w:val="00D05B89"/>
    <w:rsid w:val="00D07E02"/>
    <w:rsid w:val="00D10C48"/>
    <w:rsid w:val="00D114BD"/>
    <w:rsid w:val="00D1395F"/>
    <w:rsid w:val="00D13CE9"/>
    <w:rsid w:val="00D147EB"/>
    <w:rsid w:val="00D14997"/>
    <w:rsid w:val="00D15733"/>
    <w:rsid w:val="00D20DA5"/>
    <w:rsid w:val="00D21AF6"/>
    <w:rsid w:val="00D2207B"/>
    <w:rsid w:val="00D23717"/>
    <w:rsid w:val="00D237A0"/>
    <w:rsid w:val="00D24230"/>
    <w:rsid w:val="00D3215C"/>
    <w:rsid w:val="00D34667"/>
    <w:rsid w:val="00D36C91"/>
    <w:rsid w:val="00D401E1"/>
    <w:rsid w:val="00D408B4"/>
    <w:rsid w:val="00D419B5"/>
    <w:rsid w:val="00D41F0C"/>
    <w:rsid w:val="00D43CA3"/>
    <w:rsid w:val="00D45692"/>
    <w:rsid w:val="00D46BEB"/>
    <w:rsid w:val="00D50140"/>
    <w:rsid w:val="00D50158"/>
    <w:rsid w:val="00D5212E"/>
    <w:rsid w:val="00D524C8"/>
    <w:rsid w:val="00D525B3"/>
    <w:rsid w:val="00D529AA"/>
    <w:rsid w:val="00D529FC"/>
    <w:rsid w:val="00D54187"/>
    <w:rsid w:val="00D5485E"/>
    <w:rsid w:val="00D553A7"/>
    <w:rsid w:val="00D55B10"/>
    <w:rsid w:val="00D57AFC"/>
    <w:rsid w:val="00D61744"/>
    <w:rsid w:val="00D63824"/>
    <w:rsid w:val="00D656FA"/>
    <w:rsid w:val="00D706DC"/>
    <w:rsid w:val="00D70E24"/>
    <w:rsid w:val="00D711D6"/>
    <w:rsid w:val="00D7189F"/>
    <w:rsid w:val="00D724EB"/>
    <w:rsid w:val="00D7281B"/>
    <w:rsid w:val="00D72B61"/>
    <w:rsid w:val="00D72BD6"/>
    <w:rsid w:val="00D74678"/>
    <w:rsid w:val="00D747B7"/>
    <w:rsid w:val="00D7509E"/>
    <w:rsid w:val="00D753EB"/>
    <w:rsid w:val="00D77633"/>
    <w:rsid w:val="00D8034D"/>
    <w:rsid w:val="00D85A7F"/>
    <w:rsid w:val="00D85F5A"/>
    <w:rsid w:val="00D86BBB"/>
    <w:rsid w:val="00D87947"/>
    <w:rsid w:val="00D91BC9"/>
    <w:rsid w:val="00D9240C"/>
    <w:rsid w:val="00D92B90"/>
    <w:rsid w:val="00D95C12"/>
    <w:rsid w:val="00DA1908"/>
    <w:rsid w:val="00DA2726"/>
    <w:rsid w:val="00DA2A35"/>
    <w:rsid w:val="00DA3D1D"/>
    <w:rsid w:val="00DA4C66"/>
    <w:rsid w:val="00DA55E6"/>
    <w:rsid w:val="00DA5C0D"/>
    <w:rsid w:val="00DA687D"/>
    <w:rsid w:val="00DA7A5B"/>
    <w:rsid w:val="00DB312E"/>
    <w:rsid w:val="00DB5D7A"/>
    <w:rsid w:val="00DB6286"/>
    <w:rsid w:val="00DB645F"/>
    <w:rsid w:val="00DB76E9"/>
    <w:rsid w:val="00DC08F1"/>
    <w:rsid w:val="00DC0A67"/>
    <w:rsid w:val="00DC1942"/>
    <w:rsid w:val="00DC1D5E"/>
    <w:rsid w:val="00DC4238"/>
    <w:rsid w:val="00DC50E2"/>
    <w:rsid w:val="00DC5220"/>
    <w:rsid w:val="00DD0998"/>
    <w:rsid w:val="00DD2061"/>
    <w:rsid w:val="00DD2CB0"/>
    <w:rsid w:val="00DD3E22"/>
    <w:rsid w:val="00DD57E6"/>
    <w:rsid w:val="00DD5909"/>
    <w:rsid w:val="00DD7DAB"/>
    <w:rsid w:val="00DE05AD"/>
    <w:rsid w:val="00DE0D1D"/>
    <w:rsid w:val="00DE0F54"/>
    <w:rsid w:val="00DE1B8F"/>
    <w:rsid w:val="00DE2FED"/>
    <w:rsid w:val="00DE3121"/>
    <w:rsid w:val="00DE3355"/>
    <w:rsid w:val="00DE6AD6"/>
    <w:rsid w:val="00DE6B53"/>
    <w:rsid w:val="00DF0C60"/>
    <w:rsid w:val="00DF1BB3"/>
    <w:rsid w:val="00DF486F"/>
    <w:rsid w:val="00DF5B5B"/>
    <w:rsid w:val="00DF7619"/>
    <w:rsid w:val="00E0078B"/>
    <w:rsid w:val="00E007FF"/>
    <w:rsid w:val="00E02B02"/>
    <w:rsid w:val="00E02BF6"/>
    <w:rsid w:val="00E02D09"/>
    <w:rsid w:val="00E030E4"/>
    <w:rsid w:val="00E042D8"/>
    <w:rsid w:val="00E04CED"/>
    <w:rsid w:val="00E04D9D"/>
    <w:rsid w:val="00E078F7"/>
    <w:rsid w:val="00E07EE7"/>
    <w:rsid w:val="00E1103B"/>
    <w:rsid w:val="00E14C99"/>
    <w:rsid w:val="00E15E3C"/>
    <w:rsid w:val="00E164EE"/>
    <w:rsid w:val="00E17B44"/>
    <w:rsid w:val="00E20A1C"/>
    <w:rsid w:val="00E20F27"/>
    <w:rsid w:val="00E21109"/>
    <w:rsid w:val="00E22443"/>
    <w:rsid w:val="00E22D02"/>
    <w:rsid w:val="00E25F76"/>
    <w:rsid w:val="00E269FA"/>
    <w:rsid w:val="00E27FEA"/>
    <w:rsid w:val="00E31ACF"/>
    <w:rsid w:val="00E330C6"/>
    <w:rsid w:val="00E3588E"/>
    <w:rsid w:val="00E365C1"/>
    <w:rsid w:val="00E4086F"/>
    <w:rsid w:val="00E424A7"/>
    <w:rsid w:val="00E43B3C"/>
    <w:rsid w:val="00E452FB"/>
    <w:rsid w:val="00E45E09"/>
    <w:rsid w:val="00E46E08"/>
    <w:rsid w:val="00E47447"/>
    <w:rsid w:val="00E477DF"/>
    <w:rsid w:val="00E47C8C"/>
    <w:rsid w:val="00E50188"/>
    <w:rsid w:val="00E501AD"/>
    <w:rsid w:val="00E50BB3"/>
    <w:rsid w:val="00E5106D"/>
    <w:rsid w:val="00E515CB"/>
    <w:rsid w:val="00E52260"/>
    <w:rsid w:val="00E524CE"/>
    <w:rsid w:val="00E55BC7"/>
    <w:rsid w:val="00E57839"/>
    <w:rsid w:val="00E60FE5"/>
    <w:rsid w:val="00E632FB"/>
    <w:rsid w:val="00E639B6"/>
    <w:rsid w:val="00E63AAD"/>
    <w:rsid w:val="00E6434B"/>
    <w:rsid w:val="00E6463D"/>
    <w:rsid w:val="00E64D93"/>
    <w:rsid w:val="00E65DE4"/>
    <w:rsid w:val="00E67BAE"/>
    <w:rsid w:val="00E702CF"/>
    <w:rsid w:val="00E72E9B"/>
    <w:rsid w:val="00E76189"/>
    <w:rsid w:val="00E767BD"/>
    <w:rsid w:val="00E77441"/>
    <w:rsid w:val="00E81F48"/>
    <w:rsid w:val="00E8299F"/>
    <w:rsid w:val="00E850C3"/>
    <w:rsid w:val="00E86740"/>
    <w:rsid w:val="00E87048"/>
    <w:rsid w:val="00E87DF2"/>
    <w:rsid w:val="00E91BB9"/>
    <w:rsid w:val="00E9248C"/>
    <w:rsid w:val="00E93069"/>
    <w:rsid w:val="00E9462E"/>
    <w:rsid w:val="00E95DC5"/>
    <w:rsid w:val="00EA11E2"/>
    <w:rsid w:val="00EA1CAC"/>
    <w:rsid w:val="00EA470E"/>
    <w:rsid w:val="00EA47A7"/>
    <w:rsid w:val="00EA57EB"/>
    <w:rsid w:val="00EA6220"/>
    <w:rsid w:val="00EA6E51"/>
    <w:rsid w:val="00EA6F68"/>
    <w:rsid w:val="00EA6F9D"/>
    <w:rsid w:val="00EA7CBA"/>
    <w:rsid w:val="00EB077B"/>
    <w:rsid w:val="00EB098E"/>
    <w:rsid w:val="00EB3226"/>
    <w:rsid w:val="00EB3448"/>
    <w:rsid w:val="00EB3A65"/>
    <w:rsid w:val="00EB40A0"/>
    <w:rsid w:val="00EB504F"/>
    <w:rsid w:val="00EB6780"/>
    <w:rsid w:val="00EC213A"/>
    <w:rsid w:val="00EC28F8"/>
    <w:rsid w:val="00EC3101"/>
    <w:rsid w:val="00EC37EF"/>
    <w:rsid w:val="00EC44B6"/>
    <w:rsid w:val="00EC5E67"/>
    <w:rsid w:val="00EC7304"/>
    <w:rsid w:val="00EC7744"/>
    <w:rsid w:val="00ED0DAD"/>
    <w:rsid w:val="00ED0F46"/>
    <w:rsid w:val="00ED1504"/>
    <w:rsid w:val="00ED2373"/>
    <w:rsid w:val="00ED41C6"/>
    <w:rsid w:val="00ED537F"/>
    <w:rsid w:val="00ED5F19"/>
    <w:rsid w:val="00ED744F"/>
    <w:rsid w:val="00EE02EC"/>
    <w:rsid w:val="00EE1F48"/>
    <w:rsid w:val="00EE2392"/>
    <w:rsid w:val="00EE250C"/>
    <w:rsid w:val="00EE3E8A"/>
    <w:rsid w:val="00EE4CF9"/>
    <w:rsid w:val="00EF2429"/>
    <w:rsid w:val="00EF4D6E"/>
    <w:rsid w:val="00EF58B8"/>
    <w:rsid w:val="00EF6ECA"/>
    <w:rsid w:val="00F00ECC"/>
    <w:rsid w:val="00F024E1"/>
    <w:rsid w:val="00F05891"/>
    <w:rsid w:val="00F06C10"/>
    <w:rsid w:val="00F1096F"/>
    <w:rsid w:val="00F12553"/>
    <w:rsid w:val="00F12589"/>
    <w:rsid w:val="00F12595"/>
    <w:rsid w:val="00F134D9"/>
    <w:rsid w:val="00F1403D"/>
    <w:rsid w:val="00F1463F"/>
    <w:rsid w:val="00F17A46"/>
    <w:rsid w:val="00F20786"/>
    <w:rsid w:val="00F20848"/>
    <w:rsid w:val="00F20B38"/>
    <w:rsid w:val="00F21302"/>
    <w:rsid w:val="00F22417"/>
    <w:rsid w:val="00F22C26"/>
    <w:rsid w:val="00F2724F"/>
    <w:rsid w:val="00F27FD0"/>
    <w:rsid w:val="00F304E0"/>
    <w:rsid w:val="00F30654"/>
    <w:rsid w:val="00F3218A"/>
    <w:rsid w:val="00F321DE"/>
    <w:rsid w:val="00F33777"/>
    <w:rsid w:val="00F372DE"/>
    <w:rsid w:val="00F40163"/>
    <w:rsid w:val="00F40648"/>
    <w:rsid w:val="00F4075C"/>
    <w:rsid w:val="00F40FD0"/>
    <w:rsid w:val="00F432A8"/>
    <w:rsid w:val="00F44872"/>
    <w:rsid w:val="00F44ADB"/>
    <w:rsid w:val="00F4536C"/>
    <w:rsid w:val="00F46898"/>
    <w:rsid w:val="00F47DA2"/>
    <w:rsid w:val="00F50455"/>
    <w:rsid w:val="00F506F2"/>
    <w:rsid w:val="00F519FC"/>
    <w:rsid w:val="00F51BAA"/>
    <w:rsid w:val="00F520D4"/>
    <w:rsid w:val="00F54EFC"/>
    <w:rsid w:val="00F560F3"/>
    <w:rsid w:val="00F60323"/>
    <w:rsid w:val="00F61117"/>
    <w:rsid w:val="00F62196"/>
    <w:rsid w:val="00F6239D"/>
    <w:rsid w:val="00F62C39"/>
    <w:rsid w:val="00F63A18"/>
    <w:rsid w:val="00F63E3D"/>
    <w:rsid w:val="00F63F5B"/>
    <w:rsid w:val="00F63FEA"/>
    <w:rsid w:val="00F642E1"/>
    <w:rsid w:val="00F715D2"/>
    <w:rsid w:val="00F7274F"/>
    <w:rsid w:val="00F74E84"/>
    <w:rsid w:val="00F76A93"/>
    <w:rsid w:val="00F76FA8"/>
    <w:rsid w:val="00F77BB1"/>
    <w:rsid w:val="00F83730"/>
    <w:rsid w:val="00F84F7B"/>
    <w:rsid w:val="00F8665F"/>
    <w:rsid w:val="00F87489"/>
    <w:rsid w:val="00F87FCE"/>
    <w:rsid w:val="00F912A3"/>
    <w:rsid w:val="00F9162F"/>
    <w:rsid w:val="00F93F08"/>
    <w:rsid w:val="00F94CED"/>
    <w:rsid w:val="00FA02BB"/>
    <w:rsid w:val="00FA0449"/>
    <w:rsid w:val="00FA04A8"/>
    <w:rsid w:val="00FA0DA7"/>
    <w:rsid w:val="00FA1D39"/>
    <w:rsid w:val="00FA1EBE"/>
    <w:rsid w:val="00FA2102"/>
    <w:rsid w:val="00FA2CEE"/>
    <w:rsid w:val="00FA318C"/>
    <w:rsid w:val="00FA3968"/>
    <w:rsid w:val="00FA6930"/>
    <w:rsid w:val="00FA6B1B"/>
    <w:rsid w:val="00FB3440"/>
    <w:rsid w:val="00FB3B88"/>
    <w:rsid w:val="00FB4A10"/>
    <w:rsid w:val="00FB543D"/>
    <w:rsid w:val="00FB54F8"/>
    <w:rsid w:val="00FB60CB"/>
    <w:rsid w:val="00FB6F92"/>
    <w:rsid w:val="00FB7859"/>
    <w:rsid w:val="00FC026E"/>
    <w:rsid w:val="00FC0D3A"/>
    <w:rsid w:val="00FC1E30"/>
    <w:rsid w:val="00FC3761"/>
    <w:rsid w:val="00FC4602"/>
    <w:rsid w:val="00FC4BE2"/>
    <w:rsid w:val="00FC5124"/>
    <w:rsid w:val="00FC5CC1"/>
    <w:rsid w:val="00FC669B"/>
    <w:rsid w:val="00FD1EB4"/>
    <w:rsid w:val="00FD4731"/>
    <w:rsid w:val="00FD674B"/>
    <w:rsid w:val="00FD6768"/>
    <w:rsid w:val="00FD68BD"/>
    <w:rsid w:val="00FD6FC2"/>
    <w:rsid w:val="00FD7D99"/>
    <w:rsid w:val="00FE1F22"/>
    <w:rsid w:val="00FE255E"/>
    <w:rsid w:val="00FE3708"/>
    <w:rsid w:val="00FF0AB0"/>
    <w:rsid w:val="00FF2899"/>
    <w:rsid w:val="00FF28AC"/>
    <w:rsid w:val="00FF3AA9"/>
    <w:rsid w:val="00FF4495"/>
    <w:rsid w:val="00FF55CB"/>
    <w:rsid w:val="00FF7692"/>
    <w:rsid w:val="00FF7D60"/>
    <w:rsid w:val="00FF7F62"/>
    <w:rsid w:val="048E5D04"/>
    <w:rsid w:val="0A8C2775"/>
    <w:rsid w:val="0AFFA481"/>
    <w:rsid w:val="1C37C3B4"/>
    <w:rsid w:val="1E2F8A29"/>
    <w:rsid w:val="1F357371"/>
    <w:rsid w:val="27F87F8A"/>
    <w:rsid w:val="29D0355D"/>
    <w:rsid w:val="2E258485"/>
    <w:rsid w:val="2F7A4EB2"/>
    <w:rsid w:val="30A9E8B0"/>
    <w:rsid w:val="315810AE"/>
    <w:rsid w:val="3368538F"/>
    <w:rsid w:val="33B39B87"/>
    <w:rsid w:val="3FC25AD1"/>
    <w:rsid w:val="4CED5E59"/>
    <w:rsid w:val="59CEFA57"/>
    <w:rsid w:val="5A7D9466"/>
    <w:rsid w:val="5B679320"/>
    <w:rsid w:val="5D3065B7"/>
    <w:rsid w:val="5E0BA1F8"/>
    <w:rsid w:val="646645D6"/>
    <w:rsid w:val="65277C12"/>
    <w:rsid w:val="65FAC3AA"/>
    <w:rsid w:val="67F4940C"/>
    <w:rsid w:val="6984A0C3"/>
    <w:rsid w:val="72AAAC14"/>
    <w:rsid w:val="7A0360B0"/>
    <w:rsid w:val="7C2A8D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DB4F4261-2058-4983-BF00-A5660CE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qFormat/>
    <w:rsid w:val="000A7FB9"/>
    <w:pPr>
      <w:numPr>
        <w:numId w:val="31"/>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32498C"/>
    <w:rPr>
      <w:color w:val="605E5C"/>
      <w:shd w:val="clear" w:color="auto" w:fill="E1DFDD"/>
    </w:rPr>
  </w:style>
  <w:style w:type="character" w:styleId="FollowedHyperlink">
    <w:name w:val="FollowedHyperlink"/>
    <w:basedOn w:val="DefaultParagraphFont"/>
    <w:semiHidden/>
    <w:unhideWhenUsed/>
    <w:rsid w:val="00C35F07"/>
    <w:rPr>
      <w:color w:val="800080" w:themeColor="followedHyperlink"/>
      <w:u w:val="single"/>
    </w:rPr>
  </w:style>
  <w:style w:type="paragraph" w:styleId="Revision">
    <w:name w:val="Revision"/>
    <w:hidden/>
    <w:uiPriority w:val="99"/>
    <w:semiHidden/>
    <w:rsid w:val="00390837"/>
    <w:rPr>
      <w:rFonts w:ascii="Arial" w:hAnsi="Arial"/>
      <w:sz w:val="22"/>
      <w:szCs w:val="24"/>
      <w:lang w:eastAsia="en-US"/>
    </w:rPr>
  </w:style>
  <w:style w:type="character" w:customStyle="1" w:styleId="normaltextrun">
    <w:name w:val="normaltextrun"/>
    <w:basedOn w:val="DefaultParagraphFont"/>
    <w:rsid w:val="0078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062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4418649">
      <w:bodyDiv w:val="1"/>
      <w:marLeft w:val="0"/>
      <w:marRight w:val="0"/>
      <w:marTop w:val="0"/>
      <w:marBottom w:val="0"/>
      <w:divBdr>
        <w:top w:val="none" w:sz="0" w:space="0" w:color="auto"/>
        <w:left w:val="none" w:sz="0" w:space="0" w:color="auto"/>
        <w:bottom w:val="none" w:sz="0" w:space="0" w:color="auto"/>
        <w:right w:val="none" w:sz="0" w:space="0" w:color="auto"/>
      </w:divBdr>
    </w:div>
    <w:div w:id="50000244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745176">
      <w:bodyDiv w:val="1"/>
      <w:marLeft w:val="0"/>
      <w:marRight w:val="0"/>
      <w:marTop w:val="0"/>
      <w:marBottom w:val="0"/>
      <w:divBdr>
        <w:top w:val="none" w:sz="0" w:space="0" w:color="auto"/>
        <w:left w:val="none" w:sz="0" w:space="0" w:color="auto"/>
        <w:bottom w:val="none" w:sz="0" w:space="0" w:color="auto"/>
        <w:right w:val="none" w:sz="0" w:space="0" w:color="auto"/>
      </w:divBdr>
    </w:div>
    <w:div w:id="630064215">
      <w:bodyDiv w:val="1"/>
      <w:marLeft w:val="0"/>
      <w:marRight w:val="0"/>
      <w:marTop w:val="0"/>
      <w:marBottom w:val="0"/>
      <w:divBdr>
        <w:top w:val="none" w:sz="0" w:space="0" w:color="auto"/>
        <w:left w:val="none" w:sz="0" w:space="0" w:color="auto"/>
        <w:bottom w:val="none" w:sz="0" w:space="0" w:color="auto"/>
        <w:right w:val="none" w:sz="0" w:space="0" w:color="auto"/>
      </w:divBdr>
    </w:div>
    <w:div w:id="68100650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6290690">
      <w:bodyDiv w:val="1"/>
      <w:marLeft w:val="0"/>
      <w:marRight w:val="0"/>
      <w:marTop w:val="0"/>
      <w:marBottom w:val="0"/>
      <w:divBdr>
        <w:top w:val="none" w:sz="0" w:space="0" w:color="auto"/>
        <w:left w:val="none" w:sz="0" w:space="0" w:color="auto"/>
        <w:bottom w:val="none" w:sz="0" w:space="0" w:color="auto"/>
        <w:right w:val="none" w:sz="0" w:space="0" w:color="auto"/>
      </w:divBdr>
    </w:div>
    <w:div w:id="1103767524">
      <w:bodyDiv w:val="1"/>
      <w:marLeft w:val="0"/>
      <w:marRight w:val="0"/>
      <w:marTop w:val="0"/>
      <w:marBottom w:val="0"/>
      <w:divBdr>
        <w:top w:val="none" w:sz="0" w:space="0" w:color="auto"/>
        <w:left w:val="none" w:sz="0" w:space="0" w:color="auto"/>
        <w:bottom w:val="none" w:sz="0" w:space="0" w:color="auto"/>
        <w:right w:val="none" w:sz="0" w:space="0" w:color="auto"/>
      </w:divBdr>
    </w:div>
    <w:div w:id="1121386842">
      <w:bodyDiv w:val="1"/>
      <w:marLeft w:val="0"/>
      <w:marRight w:val="0"/>
      <w:marTop w:val="0"/>
      <w:marBottom w:val="0"/>
      <w:divBdr>
        <w:top w:val="none" w:sz="0" w:space="0" w:color="auto"/>
        <w:left w:val="none" w:sz="0" w:space="0" w:color="auto"/>
        <w:bottom w:val="none" w:sz="0" w:space="0" w:color="auto"/>
        <w:right w:val="none" w:sz="0" w:space="0" w:color="auto"/>
      </w:divBdr>
    </w:div>
    <w:div w:id="118687251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904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au/resources/publications/atagi-statement-on-rsv-administration-errors" TargetMode="External"/><Relationship Id="rId26" Type="http://schemas.openxmlformats.org/officeDocument/2006/relationships/hyperlink" Target="https://www.nitag-resource.org/training/evaluating-processes-and-competences/nitag-maturity-assessment" TargetMode="External"/><Relationship Id="rId3" Type="http://schemas.openxmlformats.org/officeDocument/2006/relationships/customXml" Target="../customXml/item3.xml"/><Relationship Id="rId21" Type="http://schemas.openxmlformats.org/officeDocument/2006/relationships/hyperlink" Target="https://immunisationhandbook.health.gov.au/contents/vaccine-preventable-diseases/measl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tga.gov.au/news/safety-updates/correct-administration-rsv-vaccine-and-antibody-products" TargetMode="External"/><Relationship Id="rId25" Type="http://schemas.openxmlformats.org/officeDocument/2006/relationships/hyperlink" Target="https://www.health.gov.au/topics/immunisation/immunisation-data/childhood-immunisation-coverag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cirs.org.au/immunisation-coverage-data-and-reports/respiratory-syncytial-virus-mother-and-infant-protection" TargetMode="External"/><Relationship Id="rId20" Type="http://schemas.openxmlformats.org/officeDocument/2006/relationships/hyperlink" Target="https://immunisationhandbook.health.gov.au/contents/vaccine-preventable-diseases/measles" TargetMode="External"/><Relationship Id="rId29" Type="http://schemas.openxmlformats.org/officeDocument/2006/relationships/hyperlink" Target="https://www.tga.gov.au/resources/prescription-medicines-under-evalu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immunisationhandbook.health.gov.au/contents/vaccine-preventable-diseases/mpox-previously-known-as-monkeypo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tga.gov.au/news/safety-updates/correct-administration-rsv-vaccine-and-antibody-products" TargetMode="External"/><Relationship Id="rId23" Type="http://schemas.openxmlformats.org/officeDocument/2006/relationships/hyperlink" Target="https://www.health.gov.au/resources/publications/atagi-clinical-guidance-on-the-use-of-vaccines-for-the-prevention-of-mpox?language=en" TargetMode="External"/><Relationship Id="rId28" Type="http://schemas.openxmlformats.org/officeDocument/2006/relationships/hyperlink" Target="https://www.health.gov.au/resources/publications/national-immunisation-strategy-for-australia-2025-2030?language=en" TargetMode="External"/><Relationship Id="rId10" Type="http://schemas.openxmlformats.org/officeDocument/2006/relationships/endnotes" Target="endnotes.xml"/><Relationship Id="rId19" Type="http://schemas.openxmlformats.org/officeDocument/2006/relationships/hyperlink" Target="https://www.health.gov.au/news/ahpc-statement-on-measles" TargetMode="External"/><Relationship Id="rId31" Type="http://schemas.openxmlformats.org/officeDocument/2006/relationships/hyperlink" Target="https://www.health.gov.au/committees-and-groups/australian-technical-advisory-group-on-immunisation-atagi?language=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contents/vaccine-preventable-diseases/respiratory-syncytial-virus-rsv" TargetMode="External"/><Relationship Id="rId22" Type="http://schemas.openxmlformats.org/officeDocument/2006/relationships/hyperlink" Target="https://immunisationhandbook.health.gov.au/contents/vaccine-preventable-diseases/measles" TargetMode="External"/><Relationship Id="rId27" Type="http://schemas.openxmlformats.org/officeDocument/2006/relationships/hyperlink" Target="https://immunisationhandbook.health.gov.au" TargetMode="External"/><Relationship Id="rId30" Type="http://schemas.openxmlformats.org/officeDocument/2006/relationships/hyperlink" Target="https://www.health.gov.au/resources/collections/hta-review-final-report-coll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E433571F75594DABC13493BBF107D5" ma:contentTypeVersion="8" ma:contentTypeDescription="Create a new document." ma:contentTypeScope="" ma:versionID="4b92a348bdcd422f1dd4daf0bb77015c">
  <xsd:schema xmlns:xsd="http://www.w3.org/2001/XMLSchema" xmlns:xs="http://www.w3.org/2001/XMLSchema" xmlns:p="http://schemas.microsoft.com/office/2006/metadata/properties" xmlns:ns2="846013ab-a6e8-40a7-abe9-0bafd39f5010" targetNamespace="http://schemas.microsoft.com/office/2006/metadata/properties" ma:root="true" ma:fieldsID="10668d7231cc724ef1e767ed07101311" ns2:_="">
    <xsd:import namespace="846013ab-a6e8-40a7-abe9-0bafd39f501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013ab-a6e8-40a7-abe9-0bafd39f501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C81ACA70-EA01-4B81-BFD4-C16FB4E36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013ab-a6e8-40a7-abe9-0bafd39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1389</Words>
  <Characters>8174</Characters>
  <Application>Microsoft Office Word</Application>
  <DocSecurity>0</DocSecurity>
  <Lines>153</Lines>
  <Paragraphs>57</Paragraphs>
  <ScaleCrop>false</ScaleCrop>
  <HeadingPairs>
    <vt:vector size="2" baseType="variant">
      <vt:variant>
        <vt:lpstr>Title</vt:lpstr>
      </vt:variant>
      <vt:variant>
        <vt:i4>1</vt:i4>
      </vt:variant>
    </vt:vector>
  </HeadingPairs>
  <TitlesOfParts>
    <vt:vector size="1" baseType="lpstr">
      <vt:lpstr>ATAGI 113th meeting bulletin – 19 to 20 June 2025</vt:lpstr>
    </vt:vector>
  </TitlesOfParts>
  <Manager/>
  <Company/>
  <LinksUpToDate>false</LinksUpToDate>
  <CharactersWithSpaces>9558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113th meeting bulletin – 19 to 20 June 2025</dc:title>
  <dc:subject>Immunisation</dc:subject>
  <dc:creator>Australian Government Department of Health , Disability and Ageing</dc:creator>
  <cp:keywords>Fact sheet; Australian Technical Advisory Group on Immunisation (ATAGI); ATAGI</cp:keywords>
  <dc:description/>
  <cp:lastModifiedBy>MASCHKE, Elvia</cp:lastModifiedBy>
  <cp:revision>5</cp:revision>
  <cp:lastPrinted>2025-09-02T01:53:00Z</cp:lastPrinted>
  <dcterms:created xsi:type="dcterms:W3CDTF">2025-08-22T08:16:00Z</dcterms:created>
  <dcterms:modified xsi:type="dcterms:W3CDTF">2025-09-02T01:53:00Z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0x01010082E433571F75594DABC13493BBF107D5</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7;#PCPD CC Corporate Communication SN|73cff0d0-7b20-43e0-ad96-75a3b55de641</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Order">
    <vt:r8>1758600</vt:r8>
  </property>
  <property fmtid="{D5CDD505-2E9C-101B-9397-08002B2CF9AE}" pid="13" name="TaxCatchAll">
    <vt:lpwstr>7;#PCPD CC Corporate Communication SN|73cff0d0-7b20-43e0-ad96-75a3b55de641</vt:lpwstr>
  </property>
  <property fmtid="{D5CDD505-2E9C-101B-9397-08002B2CF9AE}" pid="14" name="mfb9edab7134471d8c78133ba7b278810">
    <vt:lpwstr>PCPD CC Corporate Communication SN|73cff0d0-7b20-43e0-ad96-75a3b55de641</vt:lpwstr>
  </property>
</Properties>
</file>