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61B4" w14:textId="77777777" w:rsidR="00E05FD8" w:rsidRPr="00E05FD8" w:rsidRDefault="00E05FD8" w:rsidP="00E05FD8">
      <w:pPr>
        <w:rPr>
          <w:b/>
          <w:bCs/>
        </w:rPr>
      </w:pPr>
      <w:r w:rsidRPr="00E05FD8">
        <w:rPr>
          <w:b/>
          <w:bCs/>
        </w:rPr>
        <w:t>Attachment A: Terms of Reference </w:t>
      </w:r>
    </w:p>
    <w:p w14:paraId="3FAE250F" w14:textId="77777777" w:rsidR="00E05FD8" w:rsidRPr="00E05FD8" w:rsidRDefault="00E05FD8" w:rsidP="00E05FD8">
      <w:pPr>
        <w:rPr>
          <w:i/>
          <w:iCs/>
        </w:rPr>
      </w:pPr>
      <w:r w:rsidRPr="00E05FD8">
        <w:rPr>
          <w:i/>
          <w:iCs/>
        </w:rPr>
        <w:t>Purpose </w:t>
      </w:r>
    </w:p>
    <w:p w14:paraId="16D0953B" w14:textId="77777777" w:rsidR="00E05FD8" w:rsidRPr="00E05FD8" w:rsidRDefault="00E05FD8" w:rsidP="00E05FD8">
      <w:r w:rsidRPr="00E05FD8">
        <w:t>On 12 September 2024, the Australian Government released its response to the Aged Care Taskforce (Taskforce) final report which included a number of reforms to ensure the viability and quality of aged care. As part of that response, the government committed to a review of Accommodation Pricing, which has been legislated in the Aged Care Act 2024 (Act). </w:t>
      </w:r>
    </w:p>
    <w:p w14:paraId="5AF9B7AC" w14:textId="77777777" w:rsidR="00E05FD8" w:rsidRPr="00E05FD8" w:rsidRDefault="00E05FD8" w:rsidP="00E05FD8">
      <w:r w:rsidRPr="00E05FD8">
        <w:t>The Taskforce, established in 2023, was tasked with developing options for a fair and sustainable funding model for aged care, to ensure older people in Australia can access safe, high quality, person-centred care. The Taskforce final report made a number of recommendations to strengthen accommodation funding arrangements, recognising the need to improve the financial viability of providers in relation to accommodation.  </w:t>
      </w:r>
    </w:p>
    <w:p w14:paraId="39082703" w14:textId="77777777" w:rsidR="00E05FD8" w:rsidRPr="00E05FD8" w:rsidRDefault="00E05FD8" w:rsidP="00E05FD8">
      <w:r w:rsidRPr="00E05FD8">
        <w:t>The Accommodation Pricing Review (the Review) will consider the appropriateness of current settings for the Accommodation Supplement and accommodation pricing. In doing so, the Review will take a resident-focused approach in line with the Statement of Rights as per Part 3.1.23 of the Aged Care Act 2024; and also have regard to the ongoing sustainability of the aged care sector, the fiscal impact of reforms, and the efficient delivery of aged care services over the short and long term. </w:t>
      </w:r>
    </w:p>
    <w:p w14:paraId="08CD7CA7" w14:textId="77777777" w:rsidR="00E05FD8" w:rsidRPr="00E05FD8" w:rsidRDefault="00E05FD8" w:rsidP="00E05FD8">
      <w:pPr>
        <w:rPr>
          <w:lang w:val="en-US"/>
        </w:rPr>
      </w:pPr>
      <w:r w:rsidRPr="00E05FD8">
        <w:t>The Review will provide advice on policy, program, funding, and administrative settings that should:</w:t>
      </w:r>
      <w:r w:rsidRPr="00E05FD8">
        <w:rPr>
          <w:lang w:val="en-US"/>
        </w:rPr>
        <w:t> </w:t>
      </w:r>
    </w:p>
    <w:p w14:paraId="4E33CEFC" w14:textId="77777777" w:rsidR="00E05FD8" w:rsidRPr="00E05FD8" w:rsidRDefault="00E05FD8" w:rsidP="00E05FD8">
      <w:pPr>
        <w:numPr>
          <w:ilvl w:val="0"/>
          <w:numId w:val="1"/>
        </w:numPr>
      </w:pPr>
      <w:r w:rsidRPr="00E05FD8">
        <w:t>provide equity of contribution and outcomes regardless of how a particular individual’s aged care accommodation costs are met or where they are located; </w:t>
      </w:r>
    </w:p>
    <w:p w14:paraId="34987BDB" w14:textId="77777777" w:rsidR="00E05FD8" w:rsidRPr="00E05FD8" w:rsidRDefault="00E05FD8" w:rsidP="00E05FD8">
      <w:pPr>
        <w:numPr>
          <w:ilvl w:val="0"/>
          <w:numId w:val="2"/>
        </w:numPr>
      </w:pPr>
      <w:r w:rsidRPr="00E05FD8">
        <w:t>ensure that low means residents have access to high quality accommodation within residential aged care;  </w:t>
      </w:r>
    </w:p>
    <w:p w14:paraId="58D44006" w14:textId="77777777" w:rsidR="00E05FD8" w:rsidRPr="00E05FD8" w:rsidRDefault="00E05FD8" w:rsidP="00E05FD8">
      <w:pPr>
        <w:numPr>
          <w:ilvl w:val="0"/>
          <w:numId w:val="3"/>
        </w:numPr>
      </w:pPr>
      <w:r w:rsidRPr="00E05FD8">
        <w:t>support the capacity of providers to invest in and deliver places in high quality residential aged care homes that will meet the needs of Australia’s ageing population;  </w:t>
      </w:r>
    </w:p>
    <w:p w14:paraId="61A8FA3F" w14:textId="77777777" w:rsidR="00E05FD8" w:rsidRPr="00E05FD8" w:rsidRDefault="00E05FD8" w:rsidP="00E05FD8">
      <w:pPr>
        <w:numPr>
          <w:ilvl w:val="0"/>
          <w:numId w:val="4"/>
        </w:numPr>
      </w:pPr>
      <w:r w:rsidRPr="00E05FD8">
        <w:t>foster a sector able to innovate and attract investment; and </w:t>
      </w:r>
    </w:p>
    <w:p w14:paraId="2A953B73" w14:textId="77777777" w:rsidR="00E05FD8" w:rsidRPr="00E05FD8" w:rsidRDefault="00E05FD8" w:rsidP="00E05FD8">
      <w:pPr>
        <w:numPr>
          <w:ilvl w:val="0"/>
          <w:numId w:val="5"/>
        </w:numPr>
      </w:pPr>
      <w:r w:rsidRPr="00E05FD8">
        <w:t>examine the adequacy of accommodation revenue, including the supplement, having regard to the impact of recent reforms, including changes to the Refundable Accommodation Deposits (2% retention and increasing the maximum room price from $550,000 to $750,000 on 1 January 2025).  </w:t>
      </w:r>
    </w:p>
    <w:p w14:paraId="3A166838" w14:textId="77777777" w:rsidR="00E05FD8" w:rsidRPr="00E05FD8" w:rsidRDefault="00E05FD8" w:rsidP="00E05FD8">
      <w:pPr>
        <w:rPr>
          <w:i/>
          <w:iCs/>
        </w:rPr>
      </w:pPr>
      <w:r w:rsidRPr="00E05FD8">
        <w:rPr>
          <w:i/>
          <w:iCs/>
        </w:rPr>
        <w:t>Accommodation Supplement design and incentives </w:t>
      </w:r>
    </w:p>
    <w:p w14:paraId="08A90417" w14:textId="77777777" w:rsidR="00E05FD8" w:rsidRPr="00E05FD8" w:rsidRDefault="00E05FD8" w:rsidP="00E05FD8">
      <w:r w:rsidRPr="00E05FD8">
        <w:t>The Review will consider the rate and design of the Accommodation Supplement to offer high quality accommodation and provide incentives for access, including: </w:t>
      </w:r>
    </w:p>
    <w:p w14:paraId="570E8E5E" w14:textId="77777777" w:rsidR="00E05FD8" w:rsidRPr="00E05FD8" w:rsidRDefault="00E05FD8" w:rsidP="00E05FD8">
      <w:pPr>
        <w:numPr>
          <w:ilvl w:val="0"/>
          <w:numId w:val="6"/>
        </w:numPr>
      </w:pPr>
      <w:r w:rsidRPr="00E05FD8">
        <w:t>Whether the current rates are adequate to cover providers’ capital and operational costs (including to support worker capability and development) in delivering quality accommodation to supported residents, accounting for differences in operating environments. </w:t>
      </w:r>
    </w:p>
    <w:p w14:paraId="647885D6" w14:textId="77777777" w:rsidR="00E05FD8" w:rsidRPr="00E05FD8" w:rsidRDefault="00E05FD8" w:rsidP="00E05FD8">
      <w:pPr>
        <w:numPr>
          <w:ilvl w:val="0"/>
          <w:numId w:val="7"/>
        </w:numPr>
      </w:pPr>
      <w:r w:rsidRPr="00E05FD8">
        <w:t>The suitability of the current incentive structure to encourage providers to accept low means residents (a discount on the Accommodation Supplement based on a single threshold of 40% supported residents). </w:t>
      </w:r>
    </w:p>
    <w:p w14:paraId="7EB34CD6" w14:textId="77777777" w:rsidR="00E05FD8" w:rsidRPr="00E05FD8" w:rsidRDefault="00E05FD8" w:rsidP="00E05FD8">
      <w:pPr>
        <w:numPr>
          <w:ilvl w:val="0"/>
          <w:numId w:val="8"/>
        </w:numPr>
      </w:pPr>
      <w:r w:rsidRPr="00E05FD8">
        <w:t>The case to reform quality incentives in the Accommodation Supplement to support an uplift in the quality of accommodation so that it better meets community expectations, including the potential to introduce incentives linked to the National Aged Care Design Principles and Guidelines.  </w:t>
      </w:r>
    </w:p>
    <w:p w14:paraId="3F97B5BD" w14:textId="77777777" w:rsidR="00E05FD8" w:rsidRPr="00E05FD8" w:rsidRDefault="00E05FD8" w:rsidP="00E05FD8">
      <w:pPr>
        <w:numPr>
          <w:ilvl w:val="0"/>
          <w:numId w:val="9"/>
        </w:numPr>
      </w:pPr>
      <w:r w:rsidRPr="00E05FD8">
        <w:t>The impact of the Accommodation Supplement pricing on incentives for capital investment in residential aged care. </w:t>
      </w:r>
    </w:p>
    <w:p w14:paraId="3A23E136" w14:textId="77777777" w:rsidR="00E05FD8" w:rsidRPr="00E05FD8" w:rsidRDefault="00E05FD8" w:rsidP="00E05FD8">
      <w:pPr>
        <w:numPr>
          <w:ilvl w:val="0"/>
          <w:numId w:val="10"/>
        </w:numPr>
      </w:pPr>
      <w:r w:rsidRPr="00E05FD8">
        <w:t>Ensuring Commonwealth funding remains equitable, effective and sustainable. </w:t>
      </w:r>
    </w:p>
    <w:p w14:paraId="0D83AE62" w14:textId="77777777" w:rsidR="00E05FD8" w:rsidRPr="00E05FD8" w:rsidRDefault="00E05FD8" w:rsidP="00E05FD8">
      <w:pPr>
        <w:rPr>
          <w:i/>
          <w:iCs/>
        </w:rPr>
      </w:pPr>
      <w:r w:rsidRPr="00E05FD8">
        <w:rPr>
          <w:i/>
          <w:iCs/>
        </w:rPr>
        <w:lastRenderedPageBreak/>
        <w:t>Accommodation pricing </w:t>
      </w:r>
    </w:p>
    <w:p w14:paraId="0FC5B04F" w14:textId="77777777" w:rsidR="00E05FD8" w:rsidRPr="00E05FD8" w:rsidRDefault="00E05FD8" w:rsidP="00E05FD8">
      <w:r w:rsidRPr="00E05FD8">
        <w:t>At the same time as the supplement settings are reviewed, broader consideration will be given to accommodation price settings. Several factors will be considered, including: </w:t>
      </w:r>
    </w:p>
    <w:p w14:paraId="2E097DD9" w14:textId="77777777" w:rsidR="00E05FD8" w:rsidRPr="00E05FD8" w:rsidRDefault="00E05FD8" w:rsidP="00E05FD8">
      <w:pPr>
        <w:numPr>
          <w:ilvl w:val="0"/>
          <w:numId w:val="11"/>
        </w:numPr>
      </w:pPr>
      <w:r w:rsidRPr="00E05FD8">
        <w:t>The case for using daily prices as the default way to express accommodation prices (reversing the Refundable Accommodation Deposit (RAD)/Daily Accommodation Payment (DAP) relationship). This would make prices easier to understand for incoming residents and simplify price setting for providers. </w:t>
      </w:r>
    </w:p>
    <w:p w14:paraId="3D2DBBAF" w14:textId="77777777" w:rsidR="00E05FD8" w:rsidRPr="00E05FD8" w:rsidRDefault="00E05FD8" w:rsidP="00E05FD8">
      <w:pPr>
        <w:numPr>
          <w:ilvl w:val="0"/>
          <w:numId w:val="12"/>
        </w:numPr>
      </w:pPr>
      <w:r w:rsidRPr="00E05FD8">
        <w:t>The appropriateness of the Maximum Permissible Interest Rate (MPIR) as the metric for setting the relationship between the price of RADs and DAPs. </w:t>
      </w:r>
    </w:p>
    <w:p w14:paraId="1E85F7DA" w14:textId="77777777" w:rsidR="00E05FD8" w:rsidRPr="00E05FD8" w:rsidRDefault="00E05FD8" w:rsidP="00E05FD8">
      <w:pPr>
        <w:numPr>
          <w:ilvl w:val="0"/>
          <w:numId w:val="13"/>
        </w:numPr>
      </w:pPr>
      <w:r w:rsidRPr="00E05FD8">
        <w:t>Whether there is a need for a mandated minimum room price for non-supported residents. </w:t>
      </w:r>
    </w:p>
    <w:p w14:paraId="1482206B" w14:textId="77777777" w:rsidR="00E05FD8" w:rsidRPr="00E05FD8" w:rsidRDefault="00E05FD8" w:rsidP="00E05FD8">
      <w:pPr>
        <w:rPr>
          <w:i/>
          <w:iCs/>
        </w:rPr>
      </w:pPr>
      <w:r w:rsidRPr="00E05FD8">
        <w:rPr>
          <w:i/>
          <w:iCs/>
        </w:rPr>
        <w:t>Independent Panel </w:t>
      </w:r>
    </w:p>
    <w:p w14:paraId="5F226184" w14:textId="77777777" w:rsidR="00E05FD8" w:rsidRPr="00E05FD8" w:rsidRDefault="00E05FD8" w:rsidP="00E05FD8">
      <w:r w:rsidRPr="00E05FD8">
        <w:t>The Minister will appoint an Independent Panel of eminent persons to conduct the review.  </w:t>
      </w:r>
    </w:p>
    <w:p w14:paraId="4503EB15" w14:textId="77777777" w:rsidR="00E05FD8" w:rsidRPr="00E05FD8" w:rsidRDefault="00E05FD8" w:rsidP="00E05FD8">
      <w:pPr>
        <w:numPr>
          <w:ilvl w:val="0"/>
          <w:numId w:val="14"/>
        </w:numPr>
      </w:pPr>
      <w:r w:rsidRPr="00E05FD8">
        <w:t>The independent panel will be provided with secretarial support from within the Department of Health, Disability and Ageing.  </w:t>
      </w:r>
    </w:p>
    <w:p w14:paraId="425E4E35" w14:textId="77777777" w:rsidR="00E05FD8" w:rsidRPr="00E05FD8" w:rsidRDefault="00E05FD8" w:rsidP="00E05FD8">
      <w:pPr>
        <w:rPr>
          <w:i/>
          <w:iCs/>
        </w:rPr>
      </w:pPr>
      <w:r w:rsidRPr="00E05FD8">
        <w:rPr>
          <w:i/>
          <w:iCs/>
        </w:rPr>
        <w:t>Public consultation </w:t>
      </w:r>
    </w:p>
    <w:p w14:paraId="36EB2F55" w14:textId="77777777" w:rsidR="00E05FD8" w:rsidRPr="00E05FD8" w:rsidRDefault="00E05FD8" w:rsidP="00E05FD8">
      <w:r w:rsidRPr="00E05FD8">
        <w:t>Public consultation will be completed during the review on the substance of the issues outlined in the Terms of Reference. The Independent Reviewer/s may invite and publish submissions and seek information from any persons or bodies. The reviewer/s may seek meetings with key stakeholders, which can be held either in person or online. The reviewer/s may seek comment on draft aspects of the report. </w:t>
      </w:r>
    </w:p>
    <w:p w14:paraId="77838ED1" w14:textId="77777777" w:rsidR="00E05FD8" w:rsidRPr="00E05FD8" w:rsidRDefault="00E05FD8" w:rsidP="00E05FD8">
      <w:r w:rsidRPr="00E05FD8">
        <w:t>Consultation will take place with: </w:t>
      </w:r>
    </w:p>
    <w:p w14:paraId="0D0AD7F2" w14:textId="77777777" w:rsidR="00E05FD8" w:rsidRPr="00E05FD8" w:rsidRDefault="00E05FD8" w:rsidP="00E05FD8">
      <w:pPr>
        <w:numPr>
          <w:ilvl w:val="0"/>
          <w:numId w:val="15"/>
        </w:numPr>
      </w:pPr>
      <w:r w:rsidRPr="00E05FD8">
        <w:t>Key community and stakeholder organisations reflecting a diversity of backgrounds </w:t>
      </w:r>
    </w:p>
    <w:p w14:paraId="740B27AB" w14:textId="77777777" w:rsidR="00E05FD8" w:rsidRPr="00E05FD8" w:rsidRDefault="00E05FD8" w:rsidP="00E05FD8">
      <w:pPr>
        <w:numPr>
          <w:ilvl w:val="0"/>
          <w:numId w:val="16"/>
        </w:numPr>
      </w:pPr>
      <w:r w:rsidRPr="00E05FD8">
        <w:t>Experts in both residential aged care and the housing sector </w:t>
      </w:r>
    </w:p>
    <w:p w14:paraId="6AFDB345" w14:textId="77777777" w:rsidR="00E05FD8" w:rsidRPr="00E05FD8" w:rsidRDefault="00E05FD8" w:rsidP="00E05FD8">
      <w:pPr>
        <w:numPr>
          <w:ilvl w:val="0"/>
          <w:numId w:val="17"/>
        </w:numPr>
      </w:pPr>
      <w:r w:rsidRPr="00E05FD8">
        <w:t>Providers of residential aged care </w:t>
      </w:r>
    </w:p>
    <w:p w14:paraId="21D34A7D" w14:textId="77777777" w:rsidR="00E05FD8" w:rsidRPr="00E05FD8" w:rsidRDefault="00E05FD8" w:rsidP="00E05FD8">
      <w:pPr>
        <w:numPr>
          <w:ilvl w:val="0"/>
          <w:numId w:val="18"/>
        </w:numPr>
      </w:pPr>
      <w:r w:rsidRPr="00E05FD8">
        <w:t>Members of the public </w:t>
      </w:r>
    </w:p>
    <w:p w14:paraId="41DD70F5" w14:textId="77777777" w:rsidR="00E05FD8" w:rsidRPr="00E05FD8" w:rsidRDefault="00E05FD8" w:rsidP="00E05FD8">
      <w:pPr>
        <w:rPr>
          <w:i/>
          <w:iCs/>
        </w:rPr>
      </w:pPr>
      <w:r w:rsidRPr="00E05FD8">
        <w:rPr>
          <w:i/>
          <w:iCs/>
        </w:rPr>
        <w:t>Timing </w:t>
      </w:r>
    </w:p>
    <w:p w14:paraId="67432EC8" w14:textId="77777777" w:rsidR="00E05FD8" w:rsidRPr="00E05FD8" w:rsidRDefault="00E05FD8" w:rsidP="00E05FD8">
      <w:r w:rsidRPr="00E05FD8">
        <w:t>The Review will report to the Minister by no later than May 2026 and be tabled in the Parliament no later than 1 July 2026.</w:t>
      </w:r>
    </w:p>
    <w:p w14:paraId="3AA4D867" w14:textId="77777777" w:rsidR="00280050" w:rsidRPr="00F746C0" w:rsidRDefault="00280050"/>
    <w:sectPr w:rsidR="00280050" w:rsidRPr="00F746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E1E8" w14:textId="77777777" w:rsidR="00E05FD8" w:rsidRDefault="00E05FD8" w:rsidP="00E05FD8">
      <w:pPr>
        <w:spacing w:after="0" w:line="240" w:lineRule="auto"/>
      </w:pPr>
      <w:r>
        <w:separator/>
      </w:r>
    </w:p>
  </w:endnote>
  <w:endnote w:type="continuationSeparator" w:id="0">
    <w:p w14:paraId="6D904008" w14:textId="77777777" w:rsidR="00E05FD8" w:rsidRDefault="00E05FD8" w:rsidP="00E0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2ADF" w14:textId="2D2311A2" w:rsidR="00E05FD8" w:rsidRDefault="00E05FD8">
    <w:pPr>
      <w:pStyle w:val="Footer"/>
    </w:pPr>
    <w:r>
      <w:rPr>
        <w:noProof/>
      </w:rPr>
      <mc:AlternateContent>
        <mc:Choice Requires="wps">
          <w:drawing>
            <wp:anchor distT="0" distB="0" distL="0" distR="0" simplePos="0" relativeHeight="251662336" behindDoc="0" locked="0" layoutInCell="1" allowOverlap="1" wp14:anchorId="35682D79" wp14:editId="5F736812">
              <wp:simplePos x="635" y="635"/>
              <wp:positionH relativeFrom="page">
                <wp:align>center</wp:align>
              </wp:positionH>
              <wp:positionV relativeFrom="page">
                <wp:align>bottom</wp:align>
              </wp:positionV>
              <wp:extent cx="551815" cy="391160"/>
              <wp:effectExtent l="0" t="0" r="635" b="0"/>
              <wp:wrapNone/>
              <wp:docPr id="20571000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89D50F2" w14:textId="3637127B"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82D7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89D50F2" w14:textId="3637127B"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7DB1" w14:textId="00C1E74E" w:rsidR="00E05FD8" w:rsidRDefault="00E05FD8">
    <w:pPr>
      <w:pStyle w:val="Footer"/>
    </w:pPr>
    <w:r>
      <w:rPr>
        <w:noProof/>
      </w:rPr>
      <mc:AlternateContent>
        <mc:Choice Requires="wps">
          <w:drawing>
            <wp:anchor distT="0" distB="0" distL="0" distR="0" simplePos="0" relativeHeight="251663360" behindDoc="0" locked="0" layoutInCell="1" allowOverlap="1" wp14:anchorId="29D34705" wp14:editId="0ED8770D">
              <wp:simplePos x="635" y="635"/>
              <wp:positionH relativeFrom="page">
                <wp:align>center</wp:align>
              </wp:positionH>
              <wp:positionV relativeFrom="page">
                <wp:align>bottom</wp:align>
              </wp:positionV>
              <wp:extent cx="551815" cy="391160"/>
              <wp:effectExtent l="0" t="0" r="635" b="0"/>
              <wp:wrapNone/>
              <wp:docPr id="15767827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08ECBA" w14:textId="7A6E5650"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34705"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D08ECBA" w14:textId="7A6E5650"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02C5" w14:textId="55D40E2B" w:rsidR="00E05FD8" w:rsidRDefault="00E05FD8">
    <w:pPr>
      <w:pStyle w:val="Footer"/>
    </w:pPr>
    <w:r>
      <w:rPr>
        <w:noProof/>
      </w:rPr>
      <mc:AlternateContent>
        <mc:Choice Requires="wps">
          <w:drawing>
            <wp:anchor distT="0" distB="0" distL="0" distR="0" simplePos="0" relativeHeight="251661312" behindDoc="0" locked="0" layoutInCell="1" allowOverlap="1" wp14:anchorId="43307CA9" wp14:editId="3D42A1AF">
              <wp:simplePos x="635" y="635"/>
              <wp:positionH relativeFrom="page">
                <wp:align>center</wp:align>
              </wp:positionH>
              <wp:positionV relativeFrom="page">
                <wp:align>bottom</wp:align>
              </wp:positionV>
              <wp:extent cx="551815" cy="391160"/>
              <wp:effectExtent l="0" t="0" r="635" b="0"/>
              <wp:wrapNone/>
              <wp:docPr id="19482504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BB0C81" w14:textId="51DBBCFA"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07CA9"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BBB0C81" w14:textId="51DBBCFA"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4654" w14:textId="77777777" w:rsidR="00E05FD8" w:rsidRDefault="00E05FD8" w:rsidP="00E05FD8">
      <w:pPr>
        <w:spacing w:after="0" w:line="240" w:lineRule="auto"/>
      </w:pPr>
      <w:r>
        <w:separator/>
      </w:r>
    </w:p>
  </w:footnote>
  <w:footnote w:type="continuationSeparator" w:id="0">
    <w:p w14:paraId="69BABA9E" w14:textId="77777777" w:rsidR="00E05FD8" w:rsidRDefault="00E05FD8" w:rsidP="00E05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EBB5" w14:textId="4CDEB744" w:rsidR="00E05FD8" w:rsidRDefault="00E05FD8">
    <w:pPr>
      <w:pStyle w:val="Header"/>
    </w:pPr>
    <w:r>
      <w:rPr>
        <w:noProof/>
      </w:rPr>
      <mc:AlternateContent>
        <mc:Choice Requires="wps">
          <w:drawing>
            <wp:anchor distT="0" distB="0" distL="0" distR="0" simplePos="0" relativeHeight="251659264" behindDoc="0" locked="0" layoutInCell="1" allowOverlap="1" wp14:anchorId="17299342" wp14:editId="7A4B7957">
              <wp:simplePos x="635" y="635"/>
              <wp:positionH relativeFrom="page">
                <wp:align>center</wp:align>
              </wp:positionH>
              <wp:positionV relativeFrom="page">
                <wp:align>top</wp:align>
              </wp:positionV>
              <wp:extent cx="551815" cy="391160"/>
              <wp:effectExtent l="0" t="0" r="635" b="8890"/>
              <wp:wrapNone/>
              <wp:docPr id="8055272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6FC46C" w14:textId="79CF36B4"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9934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B6FC46C" w14:textId="79CF36B4"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1BA4" w14:textId="51BFA8B6" w:rsidR="00E05FD8" w:rsidRDefault="00E05FD8">
    <w:pPr>
      <w:pStyle w:val="Header"/>
    </w:pPr>
    <w:r>
      <w:rPr>
        <w:noProof/>
      </w:rPr>
      <mc:AlternateContent>
        <mc:Choice Requires="wps">
          <w:drawing>
            <wp:anchor distT="0" distB="0" distL="0" distR="0" simplePos="0" relativeHeight="251660288" behindDoc="0" locked="0" layoutInCell="1" allowOverlap="1" wp14:anchorId="40B83777" wp14:editId="45163599">
              <wp:simplePos x="635" y="635"/>
              <wp:positionH relativeFrom="page">
                <wp:align>center</wp:align>
              </wp:positionH>
              <wp:positionV relativeFrom="page">
                <wp:align>top</wp:align>
              </wp:positionV>
              <wp:extent cx="551815" cy="391160"/>
              <wp:effectExtent l="0" t="0" r="635" b="8890"/>
              <wp:wrapNone/>
              <wp:docPr id="16718230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A1455C" w14:textId="5BEEA619"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83777"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0EA1455C" w14:textId="5BEEA619"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E2D8" w14:textId="16E08784" w:rsidR="00E05FD8" w:rsidRDefault="00E05FD8">
    <w:pPr>
      <w:pStyle w:val="Header"/>
    </w:pPr>
    <w:r>
      <w:rPr>
        <w:noProof/>
      </w:rPr>
      <mc:AlternateContent>
        <mc:Choice Requires="wps">
          <w:drawing>
            <wp:anchor distT="0" distB="0" distL="0" distR="0" simplePos="0" relativeHeight="251658240" behindDoc="0" locked="0" layoutInCell="1" allowOverlap="1" wp14:anchorId="3EBB9544" wp14:editId="607AFF5F">
              <wp:simplePos x="635" y="635"/>
              <wp:positionH relativeFrom="page">
                <wp:align>center</wp:align>
              </wp:positionH>
              <wp:positionV relativeFrom="page">
                <wp:align>top</wp:align>
              </wp:positionV>
              <wp:extent cx="551815" cy="391160"/>
              <wp:effectExtent l="0" t="0" r="635" b="8890"/>
              <wp:wrapNone/>
              <wp:docPr id="4283761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8CD3E6" w14:textId="3FA9E390"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B9544"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128CD3E6" w14:textId="3FA9E390" w:rsidR="00E05FD8" w:rsidRPr="00E05FD8" w:rsidRDefault="00E05FD8" w:rsidP="00E05FD8">
                    <w:pPr>
                      <w:spacing w:after="0"/>
                      <w:rPr>
                        <w:rFonts w:ascii="Calibri" w:eastAsia="Calibri" w:hAnsi="Calibri" w:cs="Calibri"/>
                        <w:noProof/>
                        <w:color w:val="FF0000"/>
                        <w:sz w:val="24"/>
                      </w:rPr>
                    </w:pPr>
                    <w:r w:rsidRPr="00E05FD8">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170"/>
    <w:multiLevelType w:val="multilevel"/>
    <w:tmpl w:val="28D8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77F86"/>
    <w:multiLevelType w:val="multilevel"/>
    <w:tmpl w:val="049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42227"/>
    <w:multiLevelType w:val="multilevel"/>
    <w:tmpl w:val="E4E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82CF3"/>
    <w:multiLevelType w:val="multilevel"/>
    <w:tmpl w:val="355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773FE"/>
    <w:multiLevelType w:val="multilevel"/>
    <w:tmpl w:val="359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41A66"/>
    <w:multiLevelType w:val="multilevel"/>
    <w:tmpl w:val="D0F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701E6"/>
    <w:multiLevelType w:val="multilevel"/>
    <w:tmpl w:val="F7FC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844A4"/>
    <w:multiLevelType w:val="multilevel"/>
    <w:tmpl w:val="0B8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F003E"/>
    <w:multiLevelType w:val="multilevel"/>
    <w:tmpl w:val="03EE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44172"/>
    <w:multiLevelType w:val="multilevel"/>
    <w:tmpl w:val="FC9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E2476"/>
    <w:multiLevelType w:val="multilevel"/>
    <w:tmpl w:val="D8A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C11DAA"/>
    <w:multiLevelType w:val="multilevel"/>
    <w:tmpl w:val="7CD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C6E80"/>
    <w:multiLevelType w:val="multilevel"/>
    <w:tmpl w:val="027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101FC"/>
    <w:multiLevelType w:val="multilevel"/>
    <w:tmpl w:val="86B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1F135E"/>
    <w:multiLevelType w:val="multilevel"/>
    <w:tmpl w:val="80D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AE17B6"/>
    <w:multiLevelType w:val="multilevel"/>
    <w:tmpl w:val="A74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D00E9"/>
    <w:multiLevelType w:val="multilevel"/>
    <w:tmpl w:val="308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7A17BC"/>
    <w:multiLevelType w:val="multilevel"/>
    <w:tmpl w:val="955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725096">
    <w:abstractNumId w:val="12"/>
  </w:num>
  <w:num w:numId="2" w16cid:durableId="369844696">
    <w:abstractNumId w:val="10"/>
  </w:num>
  <w:num w:numId="3" w16cid:durableId="684291058">
    <w:abstractNumId w:val="13"/>
  </w:num>
  <w:num w:numId="4" w16cid:durableId="244415536">
    <w:abstractNumId w:val="14"/>
  </w:num>
  <w:num w:numId="5" w16cid:durableId="1151412705">
    <w:abstractNumId w:val="9"/>
  </w:num>
  <w:num w:numId="6" w16cid:durableId="779688122">
    <w:abstractNumId w:val="15"/>
  </w:num>
  <w:num w:numId="7" w16cid:durableId="1869292795">
    <w:abstractNumId w:val="7"/>
  </w:num>
  <w:num w:numId="8" w16cid:durableId="1597210467">
    <w:abstractNumId w:val="3"/>
  </w:num>
  <w:num w:numId="9" w16cid:durableId="1906065902">
    <w:abstractNumId w:val="5"/>
  </w:num>
  <w:num w:numId="10" w16cid:durableId="112873353">
    <w:abstractNumId w:val="17"/>
  </w:num>
  <w:num w:numId="11" w16cid:durableId="1431704898">
    <w:abstractNumId w:val="16"/>
  </w:num>
  <w:num w:numId="12" w16cid:durableId="1230270183">
    <w:abstractNumId w:val="11"/>
  </w:num>
  <w:num w:numId="13" w16cid:durableId="208957849">
    <w:abstractNumId w:val="1"/>
  </w:num>
  <w:num w:numId="14" w16cid:durableId="459610883">
    <w:abstractNumId w:val="2"/>
  </w:num>
  <w:num w:numId="15" w16cid:durableId="1778939315">
    <w:abstractNumId w:val="4"/>
  </w:num>
  <w:num w:numId="16" w16cid:durableId="1666320423">
    <w:abstractNumId w:val="6"/>
  </w:num>
  <w:num w:numId="17" w16cid:durableId="1036390417">
    <w:abstractNumId w:val="8"/>
  </w:num>
  <w:num w:numId="18" w16cid:durableId="31176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D8"/>
    <w:rsid w:val="00280050"/>
    <w:rsid w:val="006A7465"/>
    <w:rsid w:val="007230DA"/>
    <w:rsid w:val="00816F39"/>
    <w:rsid w:val="00B349C4"/>
    <w:rsid w:val="00E05FD8"/>
    <w:rsid w:val="00F14D6C"/>
    <w:rsid w:val="00F74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C9CD"/>
  <w15:chartTrackingRefBased/>
  <w15:docId w15:val="{5150A466-2EED-4305-B4EA-AFD3BC7C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F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F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5F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5F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5F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5F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5F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F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F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5F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5F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5F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5F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5F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5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5FD8"/>
    <w:pPr>
      <w:spacing w:before="160"/>
      <w:jc w:val="center"/>
    </w:pPr>
    <w:rPr>
      <w:i/>
      <w:iCs/>
      <w:color w:val="404040" w:themeColor="text1" w:themeTint="BF"/>
    </w:rPr>
  </w:style>
  <w:style w:type="character" w:customStyle="1" w:styleId="QuoteChar">
    <w:name w:val="Quote Char"/>
    <w:basedOn w:val="DefaultParagraphFont"/>
    <w:link w:val="Quote"/>
    <w:uiPriority w:val="29"/>
    <w:rsid w:val="00E05FD8"/>
    <w:rPr>
      <w:i/>
      <w:iCs/>
      <w:color w:val="404040" w:themeColor="text1" w:themeTint="BF"/>
    </w:rPr>
  </w:style>
  <w:style w:type="paragraph" w:styleId="ListParagraph">
    <w:name w:val="List Paragraph"/>
    <w:basedOn w:val="Normal"/>
    <w:uiPriority w:val="34"/>
    <w:qFormat/>
    <w:rsid w:val="00E05FD8"/>
    <w:pPr>
      <w:ind w:left="720"/>
      <w:contextualSpacing/>
    </w:pPr>
  </w:style>
  <w:style w:type="character" w:styleId="IntenseEmphasis">
    <w:name w:val="Intense Emphasis"/>
    <w:basedOn w:val="DefaultParagraphFont"/>
    <w:uiPriority w:val="21"/>
    <w:qFormat/>
    <w:rsid w:val="00E05FD8"/>
    <w:rPr>
      <w:i/>
      <w:iCs/>
      <w:color w:val="0F4761" w:themeColor="accent1" w:themeShade="BF"/>
    </w:rPr>
  </w:style>
  <w:style w:type="paragraph" w:styleId="IntenseQuote">
    <w:name w:val="Intense Quote"/>
    <w:basedOn w:val="Normal"/>
    <w:next w:val="Normal"/>
    <w:link w:val="IntenseQuoteChar"/>
    <w:uiPriority w:val="30"/>
    <w:qFormat/>
    <w:rsid w:val="00E0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D8"/>
    <w:rPr>
      <w:i/>
      <w:iCs/>
      <w:color w:val="0F4761" w:themeColor="accent1" w:themeShade="BF"/>
    </w:rPr>
  </w:style>
  <w:style w:type="character" w:styleId="IntenseReference">
    <w:name w:val="Intense Reference"/>
    <w:basedOn w:val="DefaultParagraphFont"/>
    <w:uiPriority w:val="32"/>
    <w:qFormat/>
    <w:rsid w:val="00E05FD8"/>
    <w:rPr>
      <w:b/>
      <w:bCs/>
      <w:smallCaps/>
      <w:color w:val="0F4761" w:themeColor="accent1" w:themeShade="BF"/>
      <w:spacing w:val="5"/>
    </w:rPr>
  </w:style>
  <w:style w:type="paragraph" w:styleId="Header">
    <w:name w:val="header"/>
    <w:basedOn w:val="Normal"/>
    <w:link w:val="HeaderChar"/>
    <w:uiPriority w:val="99"/>
    <w:unhideWhenUsed/>
    <w:rsid w:val="00E05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D8"/>
  </w:style>
  <w:style w:type="paragraph" w:styleId="Footer">
    <w:name w:val="footer"/>
    <w:basedOn w:val="Normal"/>
    <w:link w:val="FooterChar"/>
    <w:uiPriority w:val="99"/>
    <w:unhideWhenUsed/>
    <w:rsid w:val="00E05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29614">
      <w:bodyDiv w:val="1"/>
      <w:marLeft w:val="0"/>
      <w:marRight w:val="0"/>
      <w:marTop w:val="0"/>
      <w:marBottom w:val="0"/>
      <w:divBdr>
        <w:top w:val="none" w:sz="0" w:space="0" w:color="auto"/>
        <w:left w:val="none" w:sz="0" w:space="0" w:color="auto"/>
        <w:bottom w:val="none" w:sz="0" w:space="0" w:color="auto"/>
        <w:right w:val="none" w:sz="0" w:space="0" w:color="auto"/>
      </w:divBdr>
      <w:divsChild>
        <w:div w:id="1333411044">
          <w:marLeft w:val="0"/>
          <w:marRight w:val="0"/>
          <w:marTop w:val="0"/>
          <w:marBottom w:val="0"/>
          <w:divBdr>
            <w:top w:val="none" w:sz="0" w:space="0" w:color="auto"/>
            <w:left w:val="none" w:sz="0" w:space="0" w:color="auto"/>
            <w:bottom w:val="none" w:sz="0" w:space="0" w:color="auto"/>
            <w:right w:val="none" w:sz="0" w:space="0" w:color="auto"/>
          </w:divBdr>
        </w:div>
        <w:div w:id="321128110">
          <w:marLeft w:val="0"/>
          <w:marRight w:val="0"/>
          <w:marTop w:val="0"/>
          <w:marBottom w:val="0"/>
          <w:divBdr>
            <w:top w:val="none" w:sz="0" w:space="0" w:color="auto"/>
            <w:left w:val="none" w:sz="0" w:space="0" w:color="auto"/>
            <w:bottom w:val="none" w:sz="0" w:space="0" w:color="auto"/>
            <w:right w:val="none" w:sz="0" w:space="0" w:color="auto"/>
          </w:divBdr>
        </w:div>
        <w:div w:id="1272325340">
          <w:marLeft w:val="0"/>
          <w:marRight w:val="0"/>
          <w:marTop w:val="0"/>
          <w:marBottom w:val="0"/>
          <w:divBdr>
            <w:top w:val="none" w:sz="0" w:space="0" w:color="auto"/>
            <w:left w:val="none" w:sz="0" w:space="0" w:color="auto"/>
            <w:bottom w:val="none" w:sz="0" w:space="0" w:color="auto"/>
            <w:right w:val="none" w:sz="0" w:space="0" w:color="auto"/>
          </w:divBdr>
        </w:div>
        <w:div w:id="1777212074">
          <w:marLeft w:val="0"/>
          <w:marRight w:val="0"/>
          <w:marTop w:val="0"/>
          <w:marBottom w:val="0"/>
          <w:divBdr>
            <w:top w:val="none" w:sz="0" w:space="0" w:color="auto"/>
            <w:left w:val="none" w:sz="0" w:space="0" w:color="auto"/>
            <w:bottom w:val="none" w:sz="0" w:space="0" w:color="auto"/>
            <w:right w:val="none" w:sz="0" w:space="0" w:color="auto"/>
          </w:divBdr>
          <w:divsChild>
            <w:div w:id="319693455">
              <w:marLeft w:val="0"/>
              <w:marRight w:val="0"/>
              <w:marTop w:val="0"/>
              <w:marBottom w:val="0"/>
              <w:divBdr>
                <w:top w:val="none" w:sz="0" w:space="0" w:color="auto"/>
                <w:left w:val="none" w:sz="0" w:space="0" w:color="auto"/>
                <w:bottom w:val="none" w:sz="0" w:space="0" w:color="auto"/>
                <w:right w:val="none" w:sz="0" w:space="0" w:color="auto"/>
              </w:divBdr>
            </w:div>
            <w:div w:id="1341741831">
              <w:marLeft w:val="0"/>
              <w:marRight w:val="0"/>
              <w:marTop w:val="0"/>
              <w:marBottom w:val="0"/>
              <w:divBdr>
                <w:top w:val="none" w:sz="0" w:space="0" w:color="auto"/>
                <w:left w:val="none" w:sz="0" w:space="0" w:color="auto"/>
                <w:bottom w:val="none" w:sz="0" w:space="0" w:color="auto"/>
                <w:right w:val="none" w:sz="0" w:space="0" w:color="auto"/>
              </w:divBdr>
            </w:div>
            <w:div w:id="1133526366">
              <w:marLeft w:val="0"/>
              <w:marRight w:val="0"/>
              <w:marTop w:val="0"/>
              <w:marBottom w:val="0"/>
              <w:divBdr>
                <w:top w:val="none" w:sz="0" w:space="0" w:color="auto"/>
                <w:left w:val="none" w:sz="0" w:space="0" w:color="auto"/>
                <w:bottom w:val="none" w:sz="0" w:space="0" w:color="auto"/>
                <w:right w:val="none" w:sz="0" w:space="0" w:color="auto"/>
              </w:divBdr>
            </w:div>
            <w:div w:id="397482007">
              <w:marLeft w:val="0"/>
              <w:marRight w:val="0"/>
              <w:marTop w:val="0"/>
              <w:marBottom w:val="0"/>
              <w:divBdr>
                <w:top w:val="none" w:sz="0" w:space="0" w:color="auto"/>
                <w:left w:val="none" w:sz="0" w:space="0" w:color="auto"/>
                <w:bottom w:val="none" w:sz="0" w:space="0" w:color="auto"/>
                <w:right w:val="none" w:sz="0" w:space="0" w:color="auto"/>
              </w:divBdr>
            </w:div>
            <w:div w:id="306981656">
              <w:marLeft w:val="0"/>
              <w:marRight w:val="0"/>
              <w:marTop w:val="0"/>
              <w:marBottom w:val="0"/>
              <w:divBdr>
                <w:top w:val="none" w:sz="0" w:space="0" w:color="auto"/>
                <w:left w:val="none" w:sz="0" w:space="0" w:color="auto"/>
                <w:bottom w:val="none" w:sz="0" w:space="0" w:color="auto"/>
                <w:right w:val="none" w:sz="0" w:space="0" w:color="auto"/>
              </w:divBdr>
            </w:div>
            <w:div w:id="1778400475">
              <w:marLeft w:val="0"/>
              <w:marRight w:val="0"/>
              <w:marTop w:val="0"/>
              <w:marBottom w:val="0"/>
              <w:divBdr>
                <w:top w:val="none" w:sz="0" w:space="0" w:color="auto"/>
                <w:left w:val="none" w:sz="0" w:space="0" w:color="auto"/>
                <w:bottom w:val="none" w:sz="0" w:space="0" w:color="auto"/>
                <w:right w:val="none" w:sz="0" w:space="0" w:color="auto"/>
              </w:divBdr>
            </w:div>
            <w:div w:id="316764167">
              <w:marLeft w:val="0"/>
              <w:marRight w:val="0"/>
              <w:marTop w:val="0"/>
              <w:marBottom w:val="0"/>
              <w:divBdr>
                <w:top w:val="none" w:sz="0" w:space="0" w:color="auto"/>
                <w:left w:val="none" w:sz="0" w:space="0" w:color="auto"/>
                <w:bottom w:val="none" w:sz="0" w:space="0" w:color="auto"/>
                <w:right w:val="none" w:sz="0" w:space="0" w:color="auto"/>
              </w:divBdr>
            </w:div>
            <w:div w:id="1088230895">
              <w:marLeft w:val="0"/>
              <w:marRight w:val="0"/>
              <w:marTop w:val="0"/>
              <w:marBottom w:val="0"/>
              <w:divBdr>
                <w:top w:val="none" w:sz="0" w:space="0" w:color="auto"/>
                <w:left w:val="none" w:sz="0" w:space="0" w:color="auto"/>
                <w:bottom w:val="none" w:sz="0" w:space="0" w:color="auto"/>
                <w:right w:val="none" w:sz="0" w:space="0" w:color="auto"/>
              </w:divBdr>
            </w:div>
            <w:div w:id="194075357">
              <w:marLeft w:val="0"/>
              <w:marRight w:val="0"/>
              <w:marTop w:val="0"/>
              <w:marBottom w:val="0"/>
              <w:divBdr>
                <w:top w:val="none" w:sz="0" w:space="0" w:color="auto"/>
                <w:left w:val="none" w:sz="0" w:space="0" w:color="auto"/>
                <w:bottom w:val="none" w:sz="0" w:space="0" w:color="auto"/>
                <w:right w:val="none" w:sz="0" w:space="0" w:color="auto"/>
              </w:divBdr>
            </w:div>
            <w:div w:id="84613243">
              <w:marLeft w:val="0"/>
              <w:marRight w:val="0"/>
              <w:marTop w:val="0"/>
              <w:marBottom w:val="0"/>
              <w:divBdr>
                <w:top w:val="none" w:sz="0" w:space="0" w:color="auto"/>
                <w:left w:val="none" w:sz="0" w:space="0" w:color="auto"/>
                <w:bottom w:val="none" w:sz="0" w:space="0" w:color="auto"/>
                <w:right w:val="none" w:sz="0" w:space="0" w:color="auto"/>
              </w:divBdr>
            </w:div>
            <w:div w:id="1631091426">
              <w:marLeft w:val="0"/>
              <w:marRight w:val="0"/>
              <w:marTop w:val="0"/>
              <w:marBottom w:val="0"/>
              <w:divBdr>
                <w:top w:val="none" w:sz="0" w:space="0" w:color="auto"/>
                <w:left w:val="none" w:sz="0" w:space="0" w:color="auto"/>
                <w:bottom w:val="none" w:sz="0" w:space="0" w:color="auto"/>
                <w:right w:val="none" w:sz="0" w:space="0" w:color="auto"/>
              </w:divBdr>
            </w:div>
            <w:div w:id="855464099">
              <w:marLeft w:val="0"/>
              <w:marRight w:val="0"/>
              <w:marTop w:val="0"/>
              <w:marBottom w:val="0"/>
              <w:divBdr>
                <w:top w:val="none" w:sz="0" w:space="0" w:color="auto"/>
                <w:left w:val="none" w:sz="0" w:space="0" w:color="auto"/>
                <w:bottom w:val="none" w:sz="0" w:space="0" w:color="auto"/>
                <w:right w:val="none" w:sz="0" w:space="0" w:color="auto"/>
              </w:divBdr>
            </w:div>
            <w:div w:id="1853371629">
              <w:marLeft w:val="0"/>
              <w:marRight w:val="0"/>
              <w:marTop w:val="0"/>
              <w:marBottom w:val="0"/>
              <w:divBdr>
                <w:top w:val="none" w:sz="0" w:space="0" w:color="auto"/>
                <w:left w:val="none" w:sz="0" w:space="0" w:color="auto"/>
                <w:bottom w:val="none" w:sz="0" w:space="0" w:color="auto"/>
                <w:right w:val="none" w:sz="0" w:space="0" w:color="auto"/>
              </w:divBdr>
            </w:div>
            <w:div w:id="540364426">
              <w:marLeft w:val="0"/>
              <w:marRight w:val="0"/>
              <w:marTop w:val="0"/>
              <w:marBottom w:val="0"/>
              <w:divBdr>
                <w:top w:val="none" w:sz="0" w:space="0" w:color="auto"/>
                <w:left w:val="none" w:sz="0" w:space="0" w:color="auto"/>
                <w:bottom w:val="none" w:sz="0" w:space="0" w:color="auto"/>
                <w:right w:val="none" w:sz="0" w:space="0" w:color="auto"/>
              </w:divBdr>
            </w:div>
            <w:div w:id="515776537">
              <w:marLeft w:val="0"/>
              <w:marRight w:val="0"/>
              <w:marTop w:val="0"/>
              <w:marBottom w:val="0"/>
              <w:divBdr>
                <w:top w:val="none" w:sz="0" w:space="0" w:color="auto"/>
                <w:left w:val="none" w:sz="0" w:space="0" w:color="auto"/>
                <w:bottom w:val="none" w:sz="0" w:space="0" w:color="auto"/>
                <w:right w:val="none" w:sz="0" w:space="0" w:color="auto"/>
              </w:divBdr>
            </w:div>
            <w:div w:id="1702705769">
              <w:marLeft w:val="0"/>
              <w:marRight w:val="0"/>
              <w:marTop w:val="0"/>
              <w:marBottom w:val="0"/>
              <w:divBdr>
                <w:top w:val="none" w:sz="0" w:space="0" w:color="auto"/>
                <w:left w:val="none" w:sz="0" w:space="0" w:color="auto"/>
                <w:bottom w:val="none" w:sz="0" w:space="0" w:color="auto"/>
                <w:right w:val="none" w:sz="0" w:space="0" w:color="auto"/>
              </w:divBdr>
            </w:div>
            <w:div w:id="1736464217">
              <w:marLeft w:val="0"/>
              <w:marRight w:val="0"/>
              <w:marTop w:val="0"/>
              <w:marBottom w:val="0"/>
              <w:divBdr>
                <w:top w:val="none" w:sz="0" w:space="0" w:color="auto"/>
                <w:left w:val="none" w:sz="0" w:space="0" w:color="auto"/>
                <w:bottom w:val="none" w:sz="0" w:space="0" w:color="auto"/>
                <w:right w:val="none" w:sz="0" w:space="0" w:color="auto"/>
              </w:divBdr>
            </w:div>
            <w:div w:id="103573549">
              <w:marLeft w:val="0"/>
              <w:marRight w:val="0"/>
              <w:marTop w:val="0"/>
              <w:marBottom w:val="0"/>
              <w:divBdr>
                <w:top w:val="none" w:sz="0" w:space="0" w:color="auto"/>
                <w:left w:val="none" w:sz="0" w:space="0" w:color="auto"/>
                <w:bottom w:val="none" w:sz="0" w:space="0" w:color="auto"/>
                <w:right w:val="none" w:sz="0" w:space="0" w:color="auto"/>
              </w:divBdr>
            </w:div>
            <w:div w:id="834876321">
              <w:marLeft w:val="0"/>
              <w:marRight w:val="0"/>
              <w:marTop w:val="0"/>
              <w:marBottom w:val="0"/>
              <w:divBdr>
                <w:top w:val="none" w:sz="0" w:space="0" w:color="auto"/>
                <w:left w:val="none" w:sz="0" w:space="0" w:color="auto"/>
                <w:bottom w:val="none" w:sz="0" w:space="0" w:color="auto"/>
                <w:right w:val="none" w:sz="0" w:space="0" w:color="auto"/>
              </w:divBdr>
            </w:div>
            <w:div w:id="1286887726">
              <w:marLeft w:val="0"/>
              <w:marRight w:val="0"/>
              <w:marTop w:val="0"/>
              <w:marBottom w:val="0"/>
              <w:divBdr>
                <w:top w:val="none" w:sz="0" w:space="0" w:color="auto"/>
                <w:left w:val="none" w:sz="0" w:space="0" w:color="auto"/>
                <w:bottom w:val="none" w:sz="0" w:space="0" w:color="auto"/>
                <w:right w:val="none" w:sz="0" w:space="0" w:color="auto"/>
              </w:divBdr>
            </w:div>
          </w:divsChild>
        </w:div>
        <w:div w:id="991250661">
          <w:marLeft w:val="0"/>
          <w:marRight w:val="0"/>
          <w:marTop w:val="0"/>
          <w:marBottom w:val="0"/>
          <w:divBdr>
            <w:top w:val="none" w:sz="0" w:space="0" w:color="auto"/>
            <w:left w:val="none" w:sz="0" w:space="0" w:color="auto"/>
            <w:bottom w:val="none" w:sz="0" w:space="0" w:color="auto"/>
            <w:right w:val="none" w:sz="0" w:space="0" w:color="auto"/>
          </w:divBdr>
          <w:divsChild>
            <w:div w:id="51732179">
              <w:marLeft w:val="0"/>
              <w:marRight w:val="0"/>
              <w:marTop w:val="0"/>
              <w:marBottom w:val="0"/>
              <w:divBdr>
                <w:top w:val="none" w:sz="0" w:space="0" w:color="auto"/>
                <w:left w:val="none" w:sz="0" w:space="0" w:color="auto"/>
                <w:bottom w:val="none" w:sz="0" w:space="0" w:color="auto"/>
                <w:right w:val="none" w:sz="0" w:space="0" w:color="auto"/>
              </w:divBdr>
            </w:div>
            <w:div w:id="1776712955">
              <w:marLeft w:val="0"/>
              <w:marRight w:val="0"/>
              <w:marTop w:val="0"/>
              <w:marBottom w:val="0"/>
              <w:divBdr>
                <w:top w:val="none" w:sz="0" w:space="0" w:color="auto"/>
                <w:left w:val="none" w:sz="0" w:space="0" w:color="auto"/>
                <w:bottom w:val="none" w:sz="0" w:space="0" w:color="auto"/>
                <w:right w:val="none" w:sz="0" w:space="0" w:color="auto"/>
              </w:divBdr>
            </w:div>
            <w:div w:id="887105235">
              <w:marLeft w:val="0"/>
              <w:marRight w:val="0"/>
              <w:marTop w:val="0"/>
              <w:marBottom w:val="0"/>
              <w:divBdr>
                <w:top w:val="none" w:sz="0" w:space="0" w:color="auto"/>
                <w:left w:val="none" w:sz="0" w:space="0" w:color="auto"/>
                <w:bottom w:val="none" w:sz="0" w:space="0" w:color="auto"/>
                <w:right w:val="none" w:sz="0" w:space="0" w:color="auto"/>
              </w:divBdr>
            </w:div>
            <w:div w:id="278680716">
              <w:marLeft w:val="0"/>
              <w:marRight w:val="0"/>
              <w:marTop w:val="0"/>
              <w:marBottom w:val="0"/>
              <w:divBdr>
                <w:top w:val="none" w:sz="0" w:space="0" w:color="auto"/>
                <w:left w:val="none" w:sz="0" w:space="0" w:color="auto"/>
                <w:bottom w:val="none" w:sz="0" w:space="0" w:color="auto"/>
                <w:right w:val="none" w:sz="0" w:space="0" w:color="auto"/>
              </w:divBdr>
            </w:div>
            <w:div w:id="400325053">
              <w:marLeft w:val="0"/>
              <w:marRight w:val="0"/>
              <w:marTop w:val="0"/>
              <w:marBottom w:val="0"/>
              <w:divBdr>
                <w:top w:val="none" w:sz="0" w:space="0" w:color="auto"/>
                <w:left w:val="none" w:sz="0" w:space="0" w:color="auto"/>
                <w:bottom w:val="none" w:sz="0" w:space="0" w:color="auto"/>
                <w:right w:val="none" w:sz="0" w:space="0" w:color="auto"/>
              </w:divBdr>
            </w:div>
            <w:div w:id="1643849722">
              <w:marLeft w:val="0"/>
              <w:marRight w:val="0"/>
              <w:marTop w:val="0"/>
              <w:marBottom w:val="0"/>
              <w:divBdr>
                <w:top w:val="none" w:sz="0" w:space="0" w:color="auto"/>
                <w:left w:val="none" w:sz="0" w:space="0" w:color="auto"/>
                <w:bottom w:val="none" w:sz="0" w:space="0" w:color="auto"/>
                <w:right w:val="none" w:sz="0" w:space="0" w:color="auto"/>
              </w:divBdr>
            </w:div>
            <w:div w:id="472867910">
              <w:marLeft w:val="0"/>
              <w:marRight w:val="0"/>
              <w:marTop w:val="0"/>
              <w:marBottom w:val="0"/>
              <w:divBdr>
                <w:top w:val="none" w:sz="0" w:space="0" w:color="auto"/>
                <w:left w:val="none" w:sz="0" w:space="0" w:color="auto"/>
                <w:bottom w:val="none" w:sz="0" w:space="0" w:color="auto"/>
                <w:right w:val="none" w:sz="0" w:space="0" w:color="auto"/>
              </w:divBdr>
            </w:div>
            <w:div w:id="1564219263">
              <w:marLeft w:val="0"/>
              <w:marRight w:val="0"/>
              <w:marTop w:val="0"/>
              <w:marBottom w:val="0"/>
              <w:divBdr>
                <w:top w:val="none" w:sz="0" w:space="0" w:color="auto"/>
                <w:left w:val="none" w:sz="0" w:space="0" w:color="auto"/>
                <w:bottom w:val="none" w:sz="0" w:space="0" w:color="auto"/>
                <w:right w:val="none" w:sz="0" w:space="0" w:color="auto"/>
              </w:divBdr>
            </w:div>
            <w:div w:id="1310133055">
              <w:marLeft w:val="0"/>
              <w:marRight w:val="0"/>
              <w:marTop w:val="0"/>
              <w:marBottom w:val="0"/>
              <w:divBdr>
                <w:top w:val="none" w:sz="0" w:space="0" w:color="auto"/>
                <w:left w:val="none" w:sz="0" w:space="0" w:color="auto"/>
                <w:bottom w:val="none" w:sz="0" w:space="0" w:color="auto"/>
                <w:right w:val="none" w:sz="0" w:space="0" w:color="auto"/>
              </w:divBdr>
            </w:div>
            <w:div w:id="1232883234">
              <w:marLeft w:val="0"/>
              <w:marRight w:val="0"/>
              <w:marTop w:val="0"/>
              <w:marBottom w:val="0"/>
              <w:divBdr>
                <w:top w:val="none" w:sz="0" w:space="0" w:color="auto"/>
                <w:left w:val="none" w:sz="0" w:space="0" w:color="auto"/>
                <w:bottom w:val="none" w:sz="0" w:space="0" w:color="auto"/>
                <w:right w:val="none" w:sz="0" w:space="0" w:color="auto"/>
              </w:divBdr>
            </w:div>
            <w:div w:id="422607209">
              <w:marLeft w:val="0"/>
              <w:marRight w:val="0"/>
              <w:marTop w:val="0"/>
              <w:marBottom w:val="0"/>
              <w:divBdr>
                <w:top w:val="none" w:sz="0" w:space="0" w:color="auto"/>
                <w:left w:val="none" w:sz="0" w:space="0" w:color="auto"/>
                <w:bottom w:val="none" w:sz="0" w:space="0" w:color="auto"/>
                <w:right w:val="none" w:sz="0" w:space="0" w:color="auto"/>
              </w:divBdr>
            </w:div>
            <w:div w:id="1625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2295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40">
          <w:marLeft w:val="0"/>
          <w:marRight w:val="0"/>
          <w:marTop w:val="0"/>
          <w:marBottom w:val="0"/>
          <w:divBdr>
            <w:top w:val="none" w:sz="0" w:space="0" w:color="auto"/>
            <w:left w:val="none" w:sz="0" w:space="0" w:color="auto"/>
            <w:bottom w:val="none" w:sz="0" w:space="0" w:color="auto"/>
            <w:right w:val="none" w:sz="0" w:space="0" w:color="auto"/>
          </w:divBdr>
        </w:div>
        <w:div w:id="708190312">
          <w:marLeft w:val="0"/>
          <w:marRight w:val="0"/>
          <w:marTop w:val="0"/>
          <w:marBottom w:val="0"/>
          <w:divBdr>
            <w:top w:val="none" w:sz="0" w:space="0" w:color="auto"/>
            <w:left w:val="none" w:sz="0" w:space="0" w:color="auto"/>
            <w:bottom w:val="none" w:sz="0" w:space="0" w:color="auto"/>
            <w:right w:val="none" w:sz="0" w:space="0" w:color="auto"/>
          </w:divBdr>
        </w:div>
        <w:div w:id="953441638">
          <w:marLeft w:val="0"/>
          <w:marRight w:val="0"/>
          <w:marTop w:val="0"/>
          <w:marBottom w:val="0"/>
          <w:divBdr>
            <w:top w:val="none" w:sz="0" w:space="0" w:color="auto"/>
            <w:left w:val="none" w:sz="0" w:space="0" w:color="auto"/>
            <w:bottom w:val="none" w:sz="0" w:space="0" w:color="auto"/>
            <w:right w:val="none" w:sz="0" w:space="0" w:color="auto"/>
          </w:divBdr>
        </w:div>
        <w:div w:id="957760815">
          <w:marLeft w:val="0"/>
          <w:marRight w:val="0"/>
          <w:marTop w:val="0"/>
          <w:marBottom w:val="0"/>
          <w:divBdr>
            <w:top w:val="none" w:sz="0" w:space="0" w:color="auto"/>
            <w:left w:val="none" w:sz="0" w:space="0" w:color="auto"/>
            <w:bottom w:val="none" w:sz="0" w:space="0" w:color="auto"/>
            <w:right w:val="none" w:sz="0" w:space="0" w:color="auto"/>
          </w:divBdr>
          <w:divsChild>
            <w:div w:id="788552630">
              <w:marLeft w:val="0"/>
              <w:marRight w:val="0"/>
              <w:marTop w:val="0"/>
              <w:marBottom w:val="0"/>
              <w:divBdr>
                <w:top w:val="none" w:sz="0" w:space="0" w:color="auto"/>
                <w:left w:val="none" w:sz="0" w:space="0" w:color="auto"/>
                <w:bottom w:val="none" w:sz="0" w:space="0" w:color="auto"/>
                <w:right w:val="none" w:sz="0" w:space="0" w:color="auto"/>
              </w:divBdr>
            </w:div>
            <w:div w:id="1930650651">
              <w:marLeft w:val="0"/>
              <w:marRight w:val="0"/>
              <w:marTop w:val="0"/>
              <w:marBottom w:val="0"/>
              <w:divBdr>
                <w:top w:val="none" w:sz="0" w:space="0" w:color="auto"/>
                <w:left w:val="none" w:sz="0" w:space="0" w:color="auto"/>
                <w:bottom w:val="none" w:sz="0" w:space="0" w:color="auto"/>
                <w:right w:val="none" w:sz="0" w:space="0" w:color="auto"/>
              </w:divBdr>
            </w:div>
            <w:div w:id="2058509624">
              <w:marLeft w:val="0"/>
              <w:marRight w:val="0"/>
              <w:marTop w:val="0"/>
              <w:marBottom w:val="0"/>
              <w:divBdr>
                <w:top w:val="none" w:sz="0" w:space="0" w:color="auto"/>
                <w:left w:val="none" w:sz="0" w:space="0" w:color="auto"/>
                <w:bottom w:val="none" w:sz="0" w:space="0" w:color="auto"/>
                <w:right w:val="none" w:sz="0" w:space="0" w:color="auto"/>
              </w:divBdr>
            </w:div>
            <w:div w:id="1207792690">
              <w:marLeft w:val="0"/>
              <w:marRight w:val="0"/>
              <w:marTop w:val="0"/>
              <w:marBottom w:val="0"/>
              <w:divBdr>
                <w:top w:val="none" w:sz="0" w:space="0" w:color="auto"/>
                <w:left w:val="none" w:sz="0" w:space="0" w:color="auto"/>
                <w:bottom w:val="none" w:sz="0" w:space="0" w:color="auto"/>
                <w:right w:val="none" w:sz="0" w:space="0" w:color="auto"/>
              </w:divBdr>
            </w:div>
            <w:div w:id="1903978989">
              <w:marLeft w:val="0"/>
              <w:marRight w:val="0"/>
              <w:marTop w:val="0"/>
              <w:marBottom w:val="0"/>
              <w:divBdr>
                <w:top w:val="none" w:sz="0" w:space="0" w:color="auto"/>
                <w:left w:val="none" w:sz="0" w:space="0" w:color="auto"/>
                <w:bottom w:val="none" w:sz="0" w:space="0" w:color="auto"/>
                <w:right w:val="none" w:sz="0" w:space="0" w:color="auto"/>
              </w:divBdr>
            </w:div>
            <w:div w:id="1643466383">
              <w:marLeft w:val="0"/>
              <w:marRight w:val="0"/>
              <w:marTop w:val="0"/>
              <w:marBottom w:val="0"/>
              <w:divBdr>
                <w:top w:val="none" w:sz="0" w:space="0" w:color="auto"/>
                <w:left w:val="none" w:sz="0" w:space="0" w:color="auto"/>
                <w:bottom w:val="none" w:sz="0" w:space="0" w:color="auto"/>
                <w:right w:val="none" w:sz="0" w:space="0" w:color="auto"/>
              </w:divBdr>
            </w:div>
            <w:div w:id="7490590">
              <w:marLeft w:val="0"/>
              <w:marRight w:val="0"/>
              <w:marTop w:val="0"/>
              <w:marBottom w:val="0"/>
              <w:divBdr>
                <w:top w:val="none" w:sz="0" w:space="0" w:color="auto"/>
                <w:left w:val="none" w:sz="0" w:space="0" w:color="auto"/>
                <w:bottom w:val="none" w:sz="0" w:space="0" w:color="auto"/>
                <w:right w:val="none" w:sz="0" w:space="0" w:color="auto"/>
              </w:divBdr>
            </w:div>
            <w:div w:id="1411342349">
              <w:marLeft w:val="0"/>
              <w:marRight w:val="0"/>
              <w:marTop w:val="0"/>
              <w:marBottom w:val="0"/>
              <w:divBdr>
                <w:top w:val="none" w:sz="0" w:space="0" w:color="auto"/>
                <w:left w:val="none" w:sz="0" w:space="0" w:color="auto"/>
                <w:bottom w:val="none" w:sz="0" w:space="0" w:color="auto"/>
                <w:right w:val="none" w:sz="0" w:space="0" w:color="auto"/>
              </w:divBdr>
            </w:div>
            <w:div w:id="1822887295">
              <w:marLeft w:val="0"/>
              <w:marRight w:val="0"/>
              <w:marTop w:val="0"/>
              <w:marBottom w:val="0"/>
              <w:divBdr>
                <w:top w:val="none" w:sz="0" w:space="0" w:color="auto"/>
                <w:left w:val="none" w:sz="0" w:space="0" w:color="auto"/>
                <w:bottom w:val="none" w:sz="0" w:space="0" w:color="auto"/>
                <w:right w:val="none" w:sz="0" w:space="0" w:color="auto"/>
              </w:divBdr>
            </w:div>
            <w:div w:id="1433354407">
              <w:marLeft w:val="0"/>
              <w:marRight w:val="0"/>
              <w:marTop w:val="0"/>
              <w:marBottom w:val="0"/>
              <w:divBdr>
                <w:top w:val="none" w:sz="0" w:space="0" w:color="auto"/>
                <w:left w:val="none" w:sz="0" w:space="0" w:color="auto"/>
                <w:bottom w:val="none" w:sz="0" w:space="0" w:color="auto"/>
                <w:right w:val="none" w:sz="0" w:space="0" w:color="auto"/>
              </w:divBdr>
            </w:div>
            <w:div w:id="1460104778">
              <w:marLeft w:val="0"/>
              <w:marRight w:val="0"/>
              <w:marTop w:val="0"/>
              <w:marBottom w:val="0"/>
              <w:divBdr>
                <w:top w:val="none" w:sz="0" w:space="0" w:color="auto"/>
                <w:left w:val="none" w:sz="0" w:space="0" w:color="auto"/>
                <w:bottom w:val="none" w:sz="0" w:space="0" w:color="auto"/>
                <w:right w:val="none" w:sz="0" w:space="0" w:color="auto"/>
              </w:divBdr>
            </w:div>
            <w:div w:id="1880624032">
              <w:marLeft w:val="0"/>
              <w:marRight w:val="0"/>
              <w:marTop w:val="0"/>
              <w:marBottom w:val="0"/>
              <w:divBdr>
                <w:top w:val="none" w:sz="0" w:space="0" w:color="auto"/>
                <w:left w:val="none" w:sz="0" w:space="0" w:color="auto"/>
                <w:bottom w:val="none" w:sz="0" w:space="0" w:color="auto"/>
                <w:right w:val="none" w:sz="0" w:space="0" w:color="auto"/>
              </w:divBdr>
            </w:div>
            <w:div w:id="1215314228">
              <w:marLeft w:val="0"/>
              <w:marRight w:val="0"/>
              <w:marTop w:val="0"/>
              <w:marBottom w:val="0"/>
              <w:divBdr>
                <w:top w:val="none" w:sz="0" w:space="0" w:color="auto"/>
                <w:left w:val="none" w:sz="0" w:space="0" w:color="auto"/>
                <w:bottom w:val="none" w:sz="0" w:space="0" w:color="auto"/>
                <w:right w:val="none" w:sz="0" w:space="0" w:color="auto"/>
              </w:divBdr>
            </w:div>
            <w:div w:id="2029526141">
              <w:marLeft w:val="0"/>
              <w:marRight w:val="0"/>
              <w:marTop w:val="0"/>
              <w:marBottom w:val="0"/>
              <w:divBdr>
                <w:top w:val="none" w:sz="0" w:space="0" w:color="auto"/>
                <w:left w:val="none" w:sz="0" w:space="0" w:color="auto"/>
                <w:bottom w:val="none" w:sz="0" w:space="0" w:color="auto"/>
                <w:right w:val="none" w:sz="0" w:space="0" w:color="auto"/>
              </w:divBdr>
            </w:div>
            <w:div w:id="1981375750">
              <w:marLeft w:val="0"/>
              <w:marRight w:val="0"/>
              <w:marTop w:val="0"/>
              <w:marBottom w:val="0"/>
              <w:divBdr>
                <w:top w:val="none" w:sz="0" w:space="0" w:color="auto"/>
                <w:left w:val="none" w:sz="0" w:space="0" w:color="auto"/>
                <w:bottom w:val="none" w:sz="0" w:space="0" w:color="auto"/>
                <w:right w:val="none" w:sz="0" w:space="0" w:color="auto"/>
              </w:divBdr>
            </w:div>
            <w:div w:id="967473756">
              <w:marLeft w:val="0"/>
              <w:marRight w:val="0"/>
              <w:marTop w:val="0"/>
              <w:marBottom w:val="0"/>
              <w:divBdr>
                <w:top w:val="none" w:sz="0" w:space="0" w:color="auto"/>
                <w:left w:val="none" w:sz="0" w:space="0" w:color="auto"/>
                <w:bottom w:val="none" w:sz="0" w:space="0" w:color="auto"/>
                <w:right w:val="none" w:sz="0" w:space="0" w:color="auto"/>
              </w:divBdr>
            </w:div>
            <w:div w:id="1466895490">
              <w:marLeft w:val="0"/>
              <w:marRight w:val="0"/>
              <w:marTop w:val="0"/>
              <w:marBottom w:val="0"/>
              <w:divBdr>
                <w:top w:val="none" w:sz="0" w:space="0" w:color="auto"/>
                <w:left w:val="none" w:sz="0" w:space="0" w:color="auto"/>
                <w:bottom w:val="none" w:sz="0" w:space="0" w:color="auto"/>
                <w:right w:val="none" w:sz="0" w:space="0" w:color="auto"/>
              </w:divBdr>
            </w:div>
            <w:div w:id="1131436096">
              <w:marLeft w:val="0"/>
              <w:marRight w:val="0"/>
              <w:marTop w:val="0"/>
              <w:marBottom w:val="0"/>
              <w:divBdr>
                <w:top w:val="none" w:sz="0" w:space="0" w:color="auto"/>
                <w:left w:val="none" w:sz="0" w:space="0" w:color="auto"/>
                <w:bottom w:val="none" w:sz="0" w:space="0" w:color="auto"/>
                <w:right w:val="none" w:sz="0" w:space="0" w:color="auto"/>
              </w:divBdr>
            </w:div>
            <w:div w:id="1904177413">
              <w:marLeft w:val="0"/>
              <w:marRight w:val="0"/>
              <w:marTop w:val="0"/>
              <w:marBottom w:val="0"/>
              <w:divBdr>
                <w:top w:val="none" w:sz="0" w:space="0" w:color="auto"/>
                <w:left w:val="none" w:sz="0" w:space="0" w:color="auto"/>
                <w:bottom w:val="none" w:sz="0" w:space="0" w:color="auto"/>
                <w:right w:val="none" w:sz="0" w:space="0" w:color="auto"/>
              </w:divBdr>
            </w:div>
            <w:div w:id="972636289">
              <w:marLeft w:val="0"/>
              <w:marRight w:val="0"/>
              <w:marTop w:val="0"/>
              <w:marBottom w:val="0"/>
              <w:divBdr>
                <w:top w:val="none" w:sz="0" w:space="0" w:color="auto"/>
                <w:left w:val="none" w:sz="0" w:space="0" w:color="auto"/>
                <w:bottom w:val="none" w:sz="0" w:space="0" w:color="auto"/>
                <w:right w:val="none" w:sz="0" w:space="0" w:color="auto"/>
              </w:divBdr>
            </w:div>
          </w:divsChild>
        </w:div>
        <w:div w:id="1452674191">
          <w:marLeft w:val="0"/>
          <w:marRight w:val="0"/>
          <w:marTop w:val="0"/>
          <w:marBottom w:val="0"/>
          <w:divBdr>
            <w:top w:val="none" w:sz="0" w:space="0" w:color="auto"/>
            <w:left w:val="none" w:sz="0" w:space="0" w:color="auto"/>
            <w:bottom w:val="none" w:sz="0" w:space="0" w:color="auto"/>
            <w:right w:val="none" w:sz="0" w:space="0" w:color="auto"/>
          </w:divBdr>
          <w:divsChild>
            <w:div w:id="1085614776">
              <w:marLeft w:val="0"/>
              <w:marRight w:val="0"/>
              <w:marTop w:val="0"/>
              <w:marBottom w:val="0"/>
              <w:divBdr>
                <w:top w:val="none" w:sz="0" w:space="0" w:color="auto"/>
                <w:left w:val="none" w:sz="0" w:space="0" w:color="auto"/>
                <w:bottom w:val="none" w:sz="0" w:space="0" w:color="auto"/>
                <w:right w:val="none" w:sz="0" w:space="0" w:color="auto"/>
              </w:divBdr>
            </w:div>
            <w:div w:id="1533347170">
              <w:marLeft w:val="0"/>
              <w:marRight w:val="0"/>
              <w:marTop w:val="0"/>
              <w:marBottom w:val="0"/>
              <w:divBdr>
                <w:top w:val="none" w:sz="0" w:space="0" w:color="auto"/>
                <w:left w:val="none" w:sz="0" w:space="0" w:color="auto"/>
                <w:bottom w:val="none" w:sz="0" w:space="0" w:color="auto"/>
                <w:right w:val="none" w:sz="0" w:space="0" w:color="auto"/>
              </w:divBdr>
            </w:div>
            <w:div w:id="1800607449">
              <w:marLeft w:val="0"/>
              <w:marRight w:val="0"/>
              <w:marTop w:val="0"/>
              <w:marBottom w:val="0"/>
              <w:divBdr>
                <w:top w:val="none" w:sz="0" w:space="0" w:color="auto"/>
                <w:left w:val="none" w:sz="0" w:space="0" w:color="auto"/>
                <w:bottom w:val="none" w:sz="0" w:space="0" w:color="auto"/>
                <w:right w:val="none" w:sz="0" w:space="0" w:color="auto"/>
              </w:divBdr>
            </w:div>
            <w:div w:id="109009753">
              <w:marLeft w:val="0"/>
              <w:marRight w:val="0"/>
              <w:marTop w:val="0"/>
              <w:marBottom w:val="0"/>
              <w:divBdr>
                <w:top w:val="none" w:sz="0" w:space="0" w:color="auto"/>
                <w:left w:val="none" w:sz="0" w:space="0" w:color="auto"/>
                <w:bottom w:val="none" w:sz="0" w:space="0" w:color="auto"/>
                <w:right w:val="none" w:sz="0" w:space="0" w:color="auto"/>
              </w:divBdr>
            </w:div>
            <w:div w:id="128548135">
              <w:marLeft w:val="0"/>
              <w:marRight w:val="0"/>
              <w:marTop w:val="0"/>
              <w:marBottom w:val="0"/>
              <w:divBdr>
                <w:top w:val="none" w:sz="0" w:space="0" w:color="auto"/>
                <w:left w:val="none" w:sz="0" w:space="0" w:color="auto"/>
                <w:bottom w:val="none" w:sz="0" w:space="0" w:color="auto"/>
                <w:right w:val="none" w:sz="0" w:space="0" w:color="auto"/>
              </w:divBdr>
            </w:div>
            <w:div w:id="1654483786">
              <w:marLeft w:val="0"/>
              <w:marRight w:val="0"/>
              <w:marTop w:val="0"/>
              <w:marBottom w:val="0"/>
              <w:divBdr>
                <w:top w:val="none" w:sz="0" w:space="0" w:color="auto"/>
                <w:left w:val="none" w:sz="0" w:space="0" w:color="auto"/>
                <w:bottom w:val="none" w:sz="0" w:space="0" w:color="auto"/>
                <w:right w:val="none" w:sz="0" w:space="0" w:color="auto"/>
              </w:divBdr>
            </w:div>
            <w:div w:id="893083445">
              <w:marLeft w:val="0"/>
              <w:marRight w:val="0"/>
              <w:marTop w:val="0"/>
              <w:marBottom w:val="0"/>
              <w:divBdr>
                <w:top w:val="none" w:sz="0" w:space="0" w:color="auto"/>
                <w:left w:val="none" w:sz="0" w:space="0" w:color="auto"/>
                <w:bottom w:val="none" w:sz="0" w:space="0" w:color="auto"/>
                <w:right w:val="none" w:sz="0" w:space="0" w:color="auto"/>
              </w:divBdr>
            </w:div>
            <w:div w:id="2028670791">
              <w:marLeft w:val="0"/>
              <w:marRight w:val="0"/>
              <w:marTop w:val="0"/>
              <w:marBottom w:val="0"/>
              <w:divBdr>
                <w:top w:val="none" w:sz="0" w:space="0" w:color="auto"/>
                <w:left w:val="none" w:sz="0" w:space="0" w:color="auto"/>
                <w:bottom w:val="none" w:sz="0" w:space="0" w:color="auto"/>
                <w:right w:val="none" w:sz="0" w:space="0" w:color="auto"/>
              </w:divBdr>
            </w:div>
            <w:div w:id="3751430">
              <w:marLeft w:val="0"/>
              <w:marRight w:val="0"/>
              <w:marTop w:val="0"/>
              <w:marBottom w:val="0"/>
              <w:divBdr>
                <w:top w:val="none" w:sz="0" w:space="0" w:color="auto"/>
                <w:left w:val="none" w:sz="0" w:space="0" w:color="auto"/>
                <w:bottom w:val="none" w:sz="0" w:space="0" w:color="auto"/>
                <w:right w:val="none" w:sz="0" w:space="0" w:color="auto"/>
              </w:divBdr>
            </w:div>
            <w:div w:id="1461344486">
              <w:marLeft w:val="0"/>
              <w:marRight w:val="0"/>
              <w:marTop w:val="0"/>
              <w:marBottom w:val="0"/>
              <w:divBdr>
                <w:top w:val="none" w:sz="0" w:space="0" w:color="auto"/>
                <w:left w:val="none" w:sz="0" w:space="0" w:color="auto"/>
                <w:bottom w:val="none" w:sz="0" w:space="0" w:color="auto"/>
                <w:right w:val="none" w:sz="0" w:space="0" w:color="auto"/>
              </w:divBdr>
            </w:div>
            <w:div w:id="359089812">
              <w:marLeft w:val="0"/>
              <w:marRight w:val="0"/>
              <w:marTop w:val="0"/>
              <w:marBottom w:val="0"/>
              <w:divBdr>
                <w:top w:val="none" w:sz="0" w:space="0" w:color="auto"/>
                <w:left w:val="none" w:sz="0" w:space="0" w:color="auto"/>
                <w:bottom w:val="none" w:sz="0" w:space="0" w:color="auto"/>
                <w:right w:val="none" w:sz="0" w:space="0" w:color="auto"/>
              </w:divBdr>
            </w:div>
            <w:div w:id="8341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Company>Department of Health, Disability and Ageing</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 John</dc:creator>
  <cp:keywords/>
  <dc:description/>
  <cp:lastModifiedBy>LOMBARD, John</cp:lastModifiedBy>
  <cp:revision>1</cp:revision>
  <dcterms:created xsi:type="dcterms:W3CDTF">2025-08-28T05:42:00Z</dcterms:created>
  <dcterms:modified xsi:type="dcterms:W3CDTF">2025-08-28T05:42:00Z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1988807b,30035ede,63a5fe9e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741ff121,7a9cdae1,5dfbcb93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2025-08-28T05:42:38Z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fa805e3e-9b91-421d-b9a8-10250357d2a5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