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88144" w14:textId="355F6DD3" w:rsidR="00280050" w:rsidRDefault="002C5557" w:rsidP="002C5557">
      <w:pPr>
        <w:pStyle w:val="Heading1"/>
      </w:pPr>
      <w:r>
        <w:t>Building the next National Oral Health Plan</w:t>
      </w:r>
    </w:p>
    <w:p w14:paraId="3FE7BE31" w14:textId="18BACCF6" w:rsidR="002C5557" w:rsidRDefault="002C5557" w:rsidP="00D1185B">
      <w:r w:rsidRPr="00D1185B">
        <w:drawing>
          <wp:inline distT="0" distB="0" distL="0" distR="0" wp14:anchorId="27991887" wp14:editId="2EF808C9">
            <wp:extent cx="5823429" cy="1466850"/>
            <wp:effectExtent l="0" t="0" r="6350" b="0"/>
            <wp:docPr id="1533160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1646" cy="1473958"/>
                    </a:xfrm>
                    <a:prstGeom prst="rect">
                      <a:avLst/>
                    </a:prstGeom>
                    <a:noFill/>
                  </pic:spPr>
                </pic:pic>
              </a:graphicData>
            </a:graphic>
          </wp:inline>
        </w:drawing>
      </w:r>
    </w:p>
    <w:p w14:paraId="16F5876E" w14:textId="77777777" w:rsidR="002C5557" w:rsidRDefault="002C5557" w:rsidP="002C5557">
      <w:r>
        <w:t>T</w:t>
      </w:r>
      <w:r w:rsidRPr="007D7454">
        <w:t xml:space="preserve">he </w:t>
      </w:r>
      <w:r w:rsidRPr="001A1C67">
        <w:t>Department of Health, Disability and Ageing</w:t>
      </w:r>
      <w:r>
        <w:t xml:space="preserve"> has </w:t>
      </w:r>
      <w:r w:rsidRPr="007D7454">
        <w:t xml:space="preserve">engaged </w:t>
      </w:r>
      <w:hyperlink r:id="rId9" w:history="1">
        <w:proofErr w:type="spellStart"/>
        <w:r w:rsidRPr="0045102B">
          <w:rPr>
            <w:rStyle w:val="Hyperlink"/>
          </w:rPr>
          <w:t>HealthConsult</w:t>
        </w:r>
        <w:proofErr w:type="spellEnd"/>
      </w:hyperlink>
      <w:r w:rsidRPr="00827A75">
        <w:t xml:space="preserve"> </w:t>
      </w:r>
      <w:r w:rsidRPr="007D7454">
        <w:t xml:space="preserve">to provide expert analysis, </w:t>
      </w:r>
      <w:r>
        <w:t xml:space="preserve">and </w:t>
      </w:r>
      <w:r w:rsidRPr="007D7454">
        <w:t>facilitate stakeholder engagement</w:t>
      </w:r>
      <w:r>
        <w:t xml:space="preserve"> to build the evidence base for the next National Oral Health Plan 2025 to 2034 (the Plan.</w:t>
      </w:r>
    </w:p>
    <w:p w14:paraId="71BFC9B1" w14:textId="64595183" w:rsidR="002C5557" w:rsidRDefault="002C5557" w:rsidP="002C5557">
      <w:hyperlink r:id="rId10" w:history="1">
        <w:r>
          <w:rPr>
            <w:rStyle w:val="Hyperlink"/>
          </w:rPr>
          <w:t>A</w:t>
        </w:r>
        <w:r w:rsidRPr="006C5278">
          <w:rPr>
            <w:rStyle w:val="Hyperlink"/>
          </w:rPr>
          <w:t xml:space="preserve"> two-day national co-design workshop</w:t>
        </w:r>
      </w:hyperlink>
      <w:r>
        <w:t xml:space="preserve"> held </w:t>
      </w:r>
      <w:r w:rsidRPr="006C5278">
        <w:t>in December 2024</w:t>
      </w:r>
      <w:r>
        <w:t xml:space="preserve"> helped</w:t>
      </w:r>
      <w:r w:rsidRPr="00724C7A">
        <w:t xml:space="preserve"> shap</w:t>
      </w:r>
      <w:r>
        <w:t>e</w:t>
      </w:r>
      <w:r w:rsidRPr="00724C7A">
        <w:t xml:space="preserve"> the </w:t>
      </w:r>
      <w:r>
        <w:t xml:space="preserve">draft </w:t>
      </w:r>
      <w:r w:rsidRPr="00724C7A">
        <w:t>vision, principles</w:t>
      </w:r>
      <w:r>
        <w:t xml:space="preserve"> and </w:t>
      </w:r>
      <w:r w:rsidRPr="00724C7A">
        <w:t xml:space="preserve">focus areas. On 30 June 2025, </w:t>
      </w:r>
      <w:r>
        <w:t>we</w:t>
      </w:r>
      <w:r w:rsidRPr="00724C7A">
        <w:t xml:space="preserve"> </w:t>
      </w:r>
      <w:r>
        <w:t>reconvened</w:t>
      </w:r>
      <w:r w:rsidRPr="00724C7A">
        <w:t xml:space="preserve"> 29 participants from 24 organisations</w:t>
      </w:r>
      <w:r>
        <w:t xml:space="preserve"> </w:t>
      </w:r>
      <w:r w:rsidRPr="00724C7A">
        <w:t>including state and territory health departments, peak bodies, consumer groups, universities and specialist providers</w:t>
      </w:r>
      <w:r>
        <w:t xml:space="preserve"> </w:t>
      </w:r>
      <w:r w:rsidRPr="00724C7A">
        <w:t>to</w:t>
      </w:r>
      <w:r>
        <w:t xml:space="preserve"> help</w:t>
      </w:r>
      <w:r w:rsidRPr="00724C7A">
        <w:t xml:space="preserve"> </w:t>
      </w:r>
      <w:r>
        <w:t>refine the key elements of</w:t>
      </w:r>
      <w:r w:rsidRPr="00724C7A">
        <w:t xml:space="preserve"> the </w:t>
      </w:r>
      <w:r>
        <w:t>draft Plan.</w:t>
      </w:r>
    </w:p>
    <w:p w14:paraId="65A9923F" w14:textId="77777777" w:rsidR="002C5557" w:rsidRDefault="002C5557" w:rsidP="002C5557">
      <w:r w:rsidRPr="00E86D26">
        <w:t xml:space="preserve">In July 2025, two online workshops were held with 27 stakeholders from rural, remote and very remote communities. </w:t>
      </w:r>
      <w:r w:rsidRPr="00724C7A">
        <w:t>Participants included representatives from Aboriginal medical services, local dental providers, state and territory health departments, academic institutions, peak bodies, and advocacy organisations.</w:t>
      </w:r>
      <w:r>
        <w:t xml:space="preserve"> </w:t>
      </w:r>
    </w:p>
    <w:p w14:paraId="355C59F9" w14:textId="77777777" w:rsidR="002C5557" w:rsidRDefault="002C5557" w:rsidP="002C5557">
      <w:r>
        <w:t>Throughout, s</w:t>
      </w:r>
      <w:r w:rsidRPr="003D69E6">
        <w:t>takeholders brought energy, practical experience, and a shared commitment to improving</w:t>
      </w:r>
      <w:r>
        <w:t xml:space="preserve"> Australia’s</w:t>
      </w:r>
      <w:r w:rsidRPr="003D69E6">
        <w:t xml:space="preserve"> </w:t>
      </w:r>
      <w:r>
        <w:t>oral health.</w:t>
      </w:r>
    </w:p>
    <w:p w14:paraId="753AF46C" w14:textId="1C51C6AC" w:rsidR="002C5557" w:rsidRDefault="002C5557" w:rsidP="002C5557">
      <w:pPr>
        <w:pStyle w:val="Heading2"/>
      </w:pPr>
      <w:r w:rsidRPr="002C5557">
        <w:t>Broader stakeholders’ insights</w:t>
      </w:r>
    </w:p>
    <w:tbl>
      <w:tblPr>
        <w:tblStyle w:val="GridTable1Light-Accent1"/>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CellMar>
          <w:top w:w="113" w:type="dxa"/>
          <w:left w:w="113" w:type="dxa"/>
          <w:bottom w:w="113" w:type="dxa"/>
          <w:right w:w="113" w:type="dxa"/>
        </w:tblCellMar>
        <w:tblLook w:val="0400" w:firstRow="0" w:lastRow="0" w:firstColumn="0" w:lastColumn="0" w:noHBand="0" w:noVBand="1"/>
      </w:tblPr>
      <w:tblGrid>
        <w:gridCol w:w="9016"/>
      </w:tblGrid>
      <w:tr w:rsidR="00D1185B" w:rsidRPr="00A9395D" w14:paraId="3420ADDC" w14:textId="77777777" w:rsidTr="00D1185B">
        <w:tc>
          <w:tcPr>
            <w:tcW w:w="0" w:type="auto"/>
            <w:tcBorders>
              <w:left w:val="nil"/>
              <w:bottom w:val="single" w:sz="4" w:space="0" w:color="D9D9D9" w:themeColor="background1" w:themeShade="D9"/>
            </w:tcBorders>
            <w:shd w:val="clear" w:color="auto" w:fill="F2F2F2" w:themeFill="background1" w:themeFillShade="F2"/>
          </w:tcPr>
          <w:p w14:paraId="47EEEDAC" w14:textId="77777777" w:rsidR="00D1185B" w:rsidRPr="00044A9B" w:rsidRDefault="00D1185B" w:rsidP="002C5557">
            <w:pPr>
              <w:pStyle w:val="ListBullet"/>
            </w:pPr>
            <w:r w:rsidRPr="00044A9B">
              <w:t xml:space="preserve">Participants strongly supported “Better oral health” </w:t>
            </w:r>
            <w:r>
              <w:t xml:space="preserve">as the proposed vision. Participants noted </w:t>
            </w:r>
            <w:r w:rsidRPr="000612F8">
              <w:t>that it was easy to remember, inclusive, and covered all aspects of oral health.</w:t>
            </w:r>
          </w:p>
        </w:tc>
      </w:tr>
      <w:tr w:rsidR="00D1185B" w:rsidRPr="00A9395D" w14:paraId="03289F90" w14:textId="77777777" w:rsidTr="00D1185B">
        <w:tc>
          <w:tcPr>
            <w:tcW w:w="0" w:type="auto"/>
            <w:tcBorders>
              <w:left w:val="nil"/>
              <w:bottom w:val="single" w:sz="4" w:space="0" w:color="D9D9D9" w:themeColor="background1" w:themeShade="D9"/>
            </w:tcBorders>
          </w:tcPr>
          <w:p w14:paraId="68300CC5" w14:textId="77777777" w:rsidR="00D1185B" w:rsidRDefault="00D1185B" w:rsidP="002C5557">
            <w:pPr>
              <w:pStyle w:val="ListBullet"/>
            </w:pPr>
            <w:r>
              <w:t xml:space="preserve">Participants discussed and refined the principles underpinning the vision. There was consensus the following would be important: </w:t>
            </w:r>
          </w:p>
          <w:p w14:paraId="1666C333" w14:textId="77777777" w:rsidR="00D1185B" w:rsidRDefault="00D1185B" w:rsidP="002C5557">
            <w:pPr>
              <w:pStyle w:val="ListBullet2"/>
            </w:pPr>
            <w:r w:rsidRPr="00956A54">
              <w:t>A population health approach to oral health, emphasising prevention and promotion.</w:t>
            </w:r>
          </w:p>
          <w:p w14:paraId="7F5B4900" w14:textId="77777777" w:rsidR="00D1185B" w:rsidRDefault="00D1185B" w:rsidP="002C5557">
            <w:pPr>
              <w:pStyle w:val="ListBullet2"/>
            </w:pPr>
            <w:r w:rsidRPr="00860BDB">
              <w:t>Person-centred, equitable oral health care across the lifespan</w:t>
            </w:r>
          </w:p>
          <w:p w14:paraId="6C0C7E28" w14:textId="77777777" w:rsidR="00D1185B" w:rsidRDefault="00D1185B" w:rsidP="002C5557">
            <w:pPr>
              <w:pStyle w:val="ListBullet2"/>
            </w:pPr>
            <w:r w:rsidRPr="00AA37CF">
              <w:t xml:space="preserve">A sustainable oral </w:t>
            </w:r>
            <w:r w:rsidRPr="00C76899">
              <w:t>health system</w:t>
            </w:r>
          </w:p>
          <w:p w14:paraId="3650B9CC" w14:textId="77777777" w:rsidR="00D1185B" w:rsidRDefault="00D1185B" w:rsidP="002C5557">
            <w:pPr>
              <w:pStyle w:val="ListBullet2"/>
            </w:pPr>
            <w:r w:rsidRPr="00E71530">
              <w:t>An oral health workforce for contemporary and future needs</w:t>
            </w:r>
          </w:p>
          <w:p w14:paraId="51F484ED" w14:textId="77777777" w:rsidR="00D1185B" w:rsidRDefault="00D1185B" w:rsidP="002C5557">
            <w:pPr>
              <w:pStyle w:val="ListBullet2"/>
            </w:pPr>
            <w:r w:rsidRPr="001715EE">
              <w:t>Integrat</w:t>
            </w:r>
            <w:r>
              <w:t>ing</w:t>
            </w:r>
            <w:r w:rsidRPr="001715EE">
              <w:t xml:space="preserve"> oral health </w:t>
            </w:r>
            <w:r w:rsidRPr="00C76899">
              <w:t>into general health</w:t>
            </w:r>
          </w:p>
          <w:p w14:paraId="2C9C4C52" w14:textId="77777777" w:rsidR="00D1185B" w:rsidRPr="00C76899" w:rsidRDefault="00D1185B" w:rsidP="002C5557">
            <w:pPr>
              <w:pStyle w:val="ListBullet2"/>
            </w:pPr>
            <w:r w:rsidRPr="0068782E">
              <w:lastRenderedPageBreak/>
              <w:t>Optimising technologies and innovation for oral health</w:t>
            </w:r>
            <w:r>
              <w:t>.</w:t>
            </w:r>
          </w:p>
        </w:tc>
      </w:tr>
      <w:tr w:rsidR="00D1185B" w:rsidRPr="00A9395D" w14:paraId="5EDF123B" w14:textId="77777777" w:rsidTr="00D1185B">
        <w:tc>
          <w:tcPr>
            <w:tcW w:w="0" w:type="auto"/>
            <w:tcBorders>
              <w:left w:val="nil"/>
              <w:bottom w:val="single" w:sz="4" w:space="0" w:color="D9D9D9" w:themeColor="background1" w:themeShade="D9"/>
            </w:tcBorders>
            <w:shd w:val="clear" w:color="auto" w:fill="F2F2F2" w:themeFill="background1" w:themeFillShade="F2"/>
          </w:tcPr>
          <w:p w14:paraId="26B2D616" w14:textId="77777777" w:rsidR="00D1185B" w:rsidRPr="00FF49B2" w:rsidRDefault="00D1185B" w:rsidP="002C5557">
            <w:pPr>
              <w:pStyle w:val="ListBullet"/>
            </w:pPr>
            <w:r w:rsidRPr="00416C70">
              <w:lastRenderedPageBreak/>
              <w:t xml:space="preserve">Participants </w:t>
            </w:r>
            <w:r>
              <w:t>supported</w:t>
            </w:r>
            <w:r>
              <w:rPr>
                <w:b/>
                <w:bCs/>
              </w:rPr>
              <w:t xml:space="preserve"> </w:t>
            </w:r>
            <w:r w:rsidRPr="00F85CB8">
              <w:rPr>
                <w:b/>
                <w:bCs/>
              </w:rPr>
              <w:t>Focus Areas</w:t>
            </w:r>
            <w:r w:rsidRPr="00D11CB9">
              <w:t xml:space="preserve"> </w:t>
            </w:r>
            <w:r>
              <w:t xml:space="preserve">that concentrated on important goals </w:t>
            </w:r>
            <w:r w:rsidRPr="00D11CB9">
              <w:t>for</w:t>
            </w:r>
            <w:r>
              <w:rPr>
                <w:b/>
                <w:bCs/>
              </w:rPr>
              <w:t xml:space="preserve"> </w:t>
            </w:r>
            <w:r w:rsidRPr="00416C70">
              <w:t>the next Plan</w:t>
            </w:r>
            <w:r>
              <w:t xml:space="preserve"> and expressed strong support for the following </w:t>
            </w:r>
            <w:r w:rsidRPr="00FF49B2">
              <w:rPr>
                <w:b/>
                <w:bCs/>
              </w:rPr>
              <w:t>outcomes</w:t>
            </w:r>
            <w:r w:rsidRPr="00416C70">
              <w:t>:</w:t>
            </w:r>
          </w:p>
          <w:p w14:paraId="35CBC1F7" w14:textId="77777777" w:rsidR="00D1185B" w:rsidRPr="002C5557" w:rsidRDefault="00D1185B" w:rsidP="002C5557">
            <w:pPr>
              <w:pStyle w:val="ListBullet2"/>
            </w:pPr>
            <w:r w:rsidRPr="00FF49B2">
              <w:t xml:space="preserve">Reduce </w:t>
            </w:r>
            <w:r w:rsidRPr="002C5557">
              <w:t>prevalence of oral diseases</w:t>
            </w:r>
          </w:p>
          <w:p w14:paraId="64DCEE81" w14:textId="77777777" w:rsidR="00D1185B" w:rsidRPr="002C5557" w:rsidRDefault="00D1185B" w:rsidP="002C5557">
            <w:pPr>
              <w:pStyle w:val="ListBullet2"/>
            </w:pPr>
            <w:r w:rsidRPr="002C5557">
              <w:t>Reduce disparity of oral health access due to geographical location</w:t>
            </w:r>
          </w:p>
          <w:p w14:paraId="0AB6B989" w14:textId="77777777" w:rsidR="00D1185B" w:rsidRPr="002C5557" w:rsidRDefault="00D1185B" w:rsidP="002C5557">
            <w:pPr>
              <w:pStyle w:val="ListBullet2"/>
            </w:pPr>
            <w:r w:rsidRPr="002C5557">
              <w:t>An oral health workforce strategy that supports training, retention and distribution</w:t>
            </w:r>
          </w:p>
          <w:p w14:paraId="1EF87B1D" w14:textId="77777777" w:rsidR="00D1185B" w:rsidRPr="002C5557" w:rsidRDefault="00D1185B" w:rsidP="002C5557">
            <w:pPr>
              <w:pStyle w:val="ListBullet2"/>
            </w:pPr>
            <w:r w:rsidRPr="002C5557">
              <w:t>Improve oral health literacy</w:t>
            </w:r>
          </w:p>
          <w:p w14:paraId="3D97BFCF" w14:textId="77777777" w:rsidR="00D1185B" w:rsidRPr="002C5557" w:rsidRDefault="00D1185B" w:rsidP="002C5557">
            <w:pPr>
              <w:pStyle w:val="ListBullet2"/>
            </w:pPr>
            <w:r w:rsidRPr="002C5557">
              <w:t>Local jurisdictional and national leadership driving oral health reform</w:t>
            </w:r>
          </w:p>
          <w:p w14:paraId="01A62B7D" w14:textId="77777777" w:rsidR="00D1185B" w:rsidRPr="00494EE8" w:rsidRDefault="00D1185B" w:rsidP="002C5557">
            <w:pPr>
              <w:pStyle w:val="ListBullet2"/>
            </w:pPr>
            <w:r w:rsidRPr="002C5557">
              <w:t>Oral health research</w:t>
            </w:r>
            <w:r w:rsidRPr="00FF49B2">
              <w:t xml:space="preserve"> and data compliance strategy</w:t>
            </w:r>
            <w:r>
              <w:t>.</w:t>
            </w:r>
          </w:p>
        </w:tc>
      </w:tr>
      <w:tr w:rsidR="00D1185B" w:rsidRPr="00A9395D" w14:paraId="4A7CD102" w14:textId="77777777" w:rsidTr="00D1185B">
        <w:tc>
          <w:tcPr>
            <w:tcW w:w="0" w:type="auto"/>
            <w:tcBorders>
              <w:left w:val="nil"/>
              <w:bottom w:val="single" w:sz="4" w:space="0" w:color="D9D9D9" w:themeColor="background1" w:themeShade="D9"/>
            </w:tcBorders>
          </w:tcPr>
          <w:p w14:paraId="4788143A" w14:textId="77777777" w:rsidR="00D1185B" w:rsidRPr="00E215E1" w:rsidRDefault="00D1185B" w:rsidP="002C5557">
            <w:pPr>
              <w:pStyle w:val="ListBullet"/>
            </w:pPr>
            <w:r w:rsidRPr="00E215E1">
              <w:t>Participants emphasised the need for practical and implementable actions. There was a strong call for locally adaptable strategies, infrastructure investment, flexible workforce models, and accountability mechanisms to ensure change occurs on the ground.</w:t>
            </w:r>
          </w:p>
        </w:tc>
      </w:tr>
      <w:tr w:rsidR="00D1185B" w:rsidRPr="00A9395D" w14:paraId="1EA713D5" w14:textId="77777777" w:rsidTr="00D1185B">
        <w:tc>
          <w:tcPr>
            <w:tcW w:w="0" w:type="auto"/>
            <w:tcBorders>
              <w:left w:val="nil"/>
            </w:tcBorders>
            <w:shd w:val="clear" w:color="auto" w:fill="F2F2F2" w:themeFill="background1" w:themeFillShade="F2"/>
          </w:tcPr>
          <w:p w14:paraId="731F9BC0" w14:textId="77777777" w:rsidR="00D1185B" w:rsidRPr="00E215E1" w:rsidDel="00E326E8" w:rsidRDefault="00D1185B" w:rsidP="002C5557">
            <w:pPr>
              <w:pStyle w:val="ListBullet"/>
            </w:pPr>
            <w:r w:rsidRPr="002C5557">
              <w:t>Participants</w:t>
            </w:r>
            <w:r w:rsidRPr="00E215E1">
              <w:t xml:space="preserve"> recommended that the next Plan </w:t>
            </w:r>
            <w:r>
              <w:t xml:space="preserve">should </w:t>
            </w:r>
            <w:r w:rsidRPr="005C5AB9">
              <w:t xml:space="preserve">use </w:t>
            </w:r>
            <w:r w:rsidRPr="005C5AB9">
              <w:rPr>
                <w:b/>
                <w:bCs/>
              </w:rPr>
              <w:t>Plain English and consistent terminology</w:t>
            </w:r>
            <w:r w:rsidRPr="005C5AB9">
              <w:t>, to improve accessibility for all audiences</w:t>
            </w:r>
            <w:r>
              <w:t>. They also recommended to</w:t>
            </w:r>
            <w:r w:rsidRPr="00E215E1">
              <w:t xml:space="preserve"> include a broad range of stakeholders in its implementation such as private providers, health insurers, general health services, consumers, educators and researchers to drive a more coordinated and aligned oral health system.</w:t>
            </w:r>
          </w:p>
        </w:tc>
      </w:tr>
    </w:tbl>
    <w:p w14:paraId="5932EB58" w14:textId="19DD0A3C" w:rsidR="002C5557" w:rsidRDefault="002C5557" w:rsidP="002C5557">
      <w:pPr>
        <w:pStyle w:val="Heading2"/>
      </w:pPr>
      <w:r w:rsidRPr="002C5557">
        <w:t>Rural, remote and very remote stakeholders’ insights</w:t>
      </w:r>
    </w:p>
    <w:tbl>
      <w:tblPr>
        <w:tblStyle w:val="GridTable1Light-Accent1"/>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CellMar>
          <w:top w:w="113" w:type="dxa"/>
          <w:left w:w="113" w:type="dxa"/>
          <w:bottom w:w="113" w:type="dxa"/>
          <w:right w:w="113" w:type="dxa"/>
        </w:tblCellMar>
        <w:tblLook w:val="0400" w:firstRow="0" w:lastRow="0" w:firstColumn="0" w:lastColumn="0" w:noHBand="0" w:noVBand="1"/>
      </w:tblPr>
      <w:tblGrid>
        <w:gridCol w:w="9016"/>
      </w:tblGrid>
      <w:tr w:rsidR="002C5557" w:rsidRPr="00A9395D" w14:paraId="0632256A" w14:textId="77777777" w:rsidTr="002C5557">
        <w:tc>
          <w:tcPr>
            <w:tcW w:w="0" w:type="auto"/>
            <w:tcBorders>
              <w:left w:val="nil"/>
              <w:bottom w:val="single" w:sz="4" w:space="0" w:color="D9D9D9" w:themeColor="background1" w:themeShade="D9"/>
            </w:tcBorders>
            <w:shd w:val="clear" w:color="auto" w:fill="F2F2F2" w:themeFill="background1" w:themeFillShade="F2"/>
          </w:tcPr>
          <w:p w14:paraId="10541EE6" w14:textId="77777777" w:rsidR="002C5557" w:rsidRPr="00DF73AC" w:rsidRDefault="002C5557" w:rsidP="002C5557">
            <w:pPr>
              <w:pStyle w:val="ListBullet"/>
            </w:pPr>
            <w:r w:rsidRPr="00A9395D">
              <w:t xml:space="preserve">Participants </w:t>
            </w:r>
            <w:r>
              <w:t>agreed the current Plan has been successful in highlighting that people in rural and remote communities have different needs and the challenges faced in addressing those needs. Key challenges being funding, workforce and infrastructure.</w:t>
            </w:r>
          </w:p>
        </w:tc>
      </w:tr>
      <w:tr w:rsidR="002C5557" w:rsidRPr="00A9395D" w14:paraId="7D2307E8" w14:textId="77777777" w:rsidTr="002C5557">
        <w:tc>
          <w:tcPr>
            <w:tcW w:w="0" w:type="auto"/>
            <w:tcBorders>
              <w:left w:val="nil"/>
            </w:tcBorders>
            <w:shd w:val="clear" w:color="auto" w:fill="FFFFFF" w:themeFill="background1"/>
          </w:tcPr>
          <w:p w14:paraId="317F566B" w14:textId="77777777" w:rsidR="002C5557" w:rsidRPr="00981786" w:rsidRDefault="002C5557" w:rsidP="002C5557">
            <w:pPr>
              <w:pStyle w:val="ListBullet"/>
            </w:pPr>
            <w:r>
              <w:t>Participants</w:t>
            </w:r>
            <w:r w:rsidRPr="00590539">
              <w:t xml:space="preserve"> consistently called for </w:t>
            </w:r>
            <w:r w:rsidRPr="00590539">
              <w:rPr>
                <w:b/>
                <w:bCs/>
              </w:rPr>
              <w:t>flexible funding models</w:t>
            </w:r>
            <w:r w:rsidRPr="00590539">
              <w:t xml:space="preserve"> that incorporate </w:t>
            </w:r>
            <w:r w:rsidRPr="00590539">
              <w:rPr>
                <w:b/>
                <w:bCs/>
              </w:rPr>
              <w:t>rural loadings</w:t>
            </w:r>
            <w:r w:rsidRPr="00590539">
              <w:t xml:space="preserve"> to reflect the true cost of service delivery, including activities that occur </w:t>
            </w:r>
            <w:r w:rsidRPr="00590539">
              <w:rPr>
                <w:i/>
                <w:iCs/>
              </w:rPr>
              <w:t>before the chair</w:t>
            </w:r>
            <w:r w:rsidRPr="00590539">
              <w:t>, such as care coordination, travel, and community engagement.</w:t>
            </w:r>
            <w:r>
              <w:t xml:space="preserve"> </w:t>
            </w:r>
            <w:r w:rsidRPr="005636F5">
              <w:t xml:space="preserve">Participants discussed the value of </w:t>
            </w:r>
            <w:r w:rsidRPr="005636F5">
              <w:rPr>
                <w:b/>
                <w:bCs/>
              </w:rPr>
              <w:t>public–private partnerships</w:t>
            </w:r>
            <w:r w:rsidRPr="005636F5">
              <w:t xml:space="preserve">, particularly in </w:t>
            </w:r>
            <w:r w:rsidRPr="005636F5">
              <w:rPr>
                <w:b/>
                <w:bCs/>
              </w:rPr>
              <w:t>thin markets</w:t>
            </w:r>
            <w:r w:rsidRPr="005636F5">
              <w:t xml:space="preserve"> where neither sector alone can maintain viable services.</w:t>
            </w:r>
          </w:p>
        </w:tc>
      </w:tr>
      <w:tr w:rsidR="002C5557" w:rsidRPr="00A9395D" w14:paraId="73C43BE8" w14:textId="77777777" w:rsidTr="002C5557">
        <w:tc>
          <w:tcPr>
            <w:tcW w:w="0" w:type="auto"/>
            <w:tcBorders>
              <w:left w:val="nil"/>
            </w:tcBorders>
            <w:shd w:val="clear" w:color="auto" w:fill="F2F2F2" w:themeFill="background1" w:themeFillShade="F2"/>
          </w:tcPr>
          <w:p w14:paraId="664EB009" w14:textId="77777777" w:rsidR="002C5557" w:rsidRPr="00981786" w:rsidRDefault="002C5557" w:rsidP="002C5557">
            <w:pPr>
              <w:pStyle w:val="ListBullet"/>
            </w:pPr>
            <w:r w:rsidRPr="00590539">
              <w:t xml:space="preserve">Participants emphasised that access does not necessarily mean having every service available locally. Instead, they highlighted the importance of </w:t>
            </w:r>
            <w:r w:rsidRPr="00590539">
              <w:rPr>
                <w:b/>
                <w:bCs/>
              </w:rPr>
              <w:t>well-supported referral pathways</w:t>
            </w:r>
            <w:r w:rsidRPr="00590539">
              <w:t xml:space="preserve"> and </w:t>
            </w:r>
            <w:r w:rsidRPr="00590539">
              <w:rPr>
                <w:b/>
                <w:bCs/>
              </w:rPr>
              <w:t>regional centres</w:t>
            </w:r>
            <w:r w:rsidRPr="00590539">
              <w:t xml:space="preserve">. Several noted the </w:t>
            </w:r>
            <w:r w:rsidRPr="00590539">
              <w:lastRenderedPageBreak/>
              <w:t xml:space="preserve">need for </w:t>
            </w:r>
            <w:r w:rsidRPr="00590539">
              <w:rPr>
                <w:b/>
                <w:bCs/>
              </w:rPr>
              <w:t>data-driven planning</w:t>
            </w:r>
            <w:r w:rsidRPr="00590539">
              <w:t xml:space="preserve"> to guide the location and resourcing of these hubs.</w:t>
            </w:r>
          </w:p>
        </w:tc>
      </w:tr>
      <w:tr w:rsidR="002C5557" w:rsidRPr="00A9395D" w14:paraId="58325E22" w14:textId="77777777" w:rsidTr="002C5557">
        <w:tc>
          <w:tcPr>
            <w:tcW w:w="0" w:type="auto"/>
            <w:tcBorders>
              <w:left w:val="nil"/>
            </w:tcBorders>
            <w:shd w:val="clear" w:color="auto" w:fill="F2F2F2" w:themeFill="background1" w:themeFillShade="F2"/>
          </w:tcPr>
          <w:p w14:paraId="5BAEB3BE" w14:textId="77777777" w:rsidR="002C5557" w:rsidRPr="00981786" w:rsidRDefault="002C5557" w:rsidP="002C5557">
            <w:pPr>
              <w:pStyle w:val="ListBullet"/>
            </w:pPr>
            <w:r w:rsidRPr="00590539">
              <w:lastRenderedPageBreak/>
              <w:t xml:space="preserve">There was strong support for </w:t>
            </w:r>
            <w:r w:rsidRPr="00590539">
              <w:rPr>
                <w:b/>
                <w:bCs/>
              </w:rPr>
              <w:t>embedding oral health within broader health strategies</w:t>
            </w:r>
            <w:r w:rsidRPr="00590539">
              <w:t xml:space="preserve">, including primary care, aged care, maternal and child health, and chronic disease management. Participants </w:t>
            </w:r>
            <w:r>
              <w:t xml:space="preserve">highlighted </w:t>
            </w:r>
            <w:r w:rsidRPr="00590539">
              <w:t xml:space="preserve">oral health’s role in supporting </w:t>
            </w:r>
            <w:r w:rsidRPr="00590539">
              <w:rPr>
                <w:b/>
                <w:bCs/>
              </w:rPr>
              <w:t>functional wellbeing, dignity, and quality of life</w:t>
            </w:r>
            <w:r w:rsidRPr="00590539">
              <w:t>.</w:t>
            </w:r>
          </w:p>
        </w:tc>
      </w:tr>
      <w:tr w:rsidR="002C5557" w:rsidRPr="00A9395D" w14:paraId="29CA4027" w14:textId="77777777" w:rsidTr="002C5557">
        <w:tc>
          <w:tcPr>
            <w:tcW w:w="0" w:type="auto"/>
            <w:tcBorders>
              <w:left w:val="nil"/>
            </w:tcBorders>
          </w:tcPr>
          <w:p w14:paraId="2C45D82A" w14:textId="77777777" w:rsidR="002C5557" w:rsidRPr="00590539" w:rsidRDefault="002C5557" w:rsidP="002C5557">
            <w:pPr>
              <w:pStyle w:val="ListBullet"/>
            </w:pPr>
            <w:r>
              <w:t>Participant</w:t>
            </w:r>
            <w:r w:rsidRPr="00590539">
              <w:t xml:space="preserve">s advocated for a system-wide </w:t>
            </w:r>
            <w:r w:rsidRPr="00590539">
              <w:rPr>
                <w:b/>
                <w:bCs/>
              </w:rPr>
              <w:t>shift towards prevention</w:t>
            </w:r>
            <w:r w:rsidRPr="00590539">
              <w:t>, rather than reactive treatment. Recommended strategies included:</w:t>
            </w:r>
          </w:p>
          <w:p w14:paraId="0E82807A" w14:textId="77777777" w:rsidR="002C5557" w:rsidRPr="00590539" w:rsidRDefault="002C5557" w:rsidP="002C5557">
            <w:pPr>
              <w:pStyle w:val="ListBullet2"/>
            </w:pPr>
            <w:r w:rsidRPr="00590539">
              <w:t>Strengthening oral health literacy across the community</w:t>
            </w:r>
          </w:p>
          <w:p w14:paraId="3F878B28" w14:textId="77777777" w:rsidR="002C5557" w:rsidRPr="00590539" w:rsidRDefault="002C5557" w:rsidP="002C5557">
            <w:pPr>
              <w:pStyle w:val="ListBullet2"/>
            </w:pPr>
            <w:r w:rsidRPr="00590539">
              <w:t>Investing in early outreach to children and families</w:t>
            </w:r>
          </w:p>
          <w:p w14:paraId="4DF25845" w14:textId="77777777" w:rsidR="002C5557" w:rsidRPr="00590539" w:rsidRDefault="002C5557" w:rsidP="002C5557">
            <w:pPr>
              <w:pStyle w:val="ListBullet2"/>
            </w:pPr>
            <w:r w:rsidRPr="00590539">
              <w:t>Expanding community water fluoridation</w:t>
            </w:r>
          </w:p>
          <w:p w14:paraId="653127A1" w14:textId="77777777" w:rsidR="002C5557" w:rsidRPr="00DF73AC" w:rsidRDefault="002C5557" w:rsidP="002C5557">
            <w:pPr>
              <w:pStyle w:val="ListBullet2"/>
            </w:pPr>
            <w:r w:rsidRPr="00590539">
              <w:t>Enabling non-dental health professionals to play a role in preventive care.</w:t>
            </w:r>
          </w:p>
        </w:tc>
      </w:tr>
      <w:tr w:rsidR="002C5557" w:rsidRPr="00A9395D" w14:paraId="728DA4BE" w14:textId="77777777" w:rsidTr="002C5557">
        <w:trPr>
          <w:trHeight w:val="1769"/>
        </w:trPr>
        <w:tc>
          <w:tcPr>
            <w:tcW w:w="0" w:type="auto"/>
            <w:tcBorders>
              <w:left w:val="nil"/>
            </w:tcBorders>
            <w:shd w:val="clear" w:color="auto" w:fill="F2F2F2" w:themeFill="background1" w:themeFillShade="F2"/>
          </w:tcPr>
          <w:p w14:paraId="173EF4B0" w14:textId="77777777" w:rsidR="002C5557" w:rsidRPr="00590539" w:rsidRDefault="002C5557" w:rsidP="002C5557">
            <w:pPr>
              <w:pStyle w:val="ListBullet"/>
            </w:pPr>
            <w:r w:rsidRPr="002C5557">
              <w:t>Examples</w:t>
            </w:r>
            <w:r w:rsidRPr="00590539">
              <w:t xml:space="preserve"> of </w:t>
            </w:r>
            <w:r w:rsidRPr="00590539">
              <w:rPr>
                <w:b/>
                <w:bCs/>
              </w:rPr>
              <w:t>effective practices</w:t>
            </w:r>
            <w:r w:rsidRPr="00590539">
              <w:t xml:space="preserve"> shared during the workshops included student placement programs, mobile outreach, and ACCHO-led initiatives. Participants encouraged scaling up of these successful models, supported by:</w:t>
            </w:r>
          </w:p>
          <w:p w14:paraId="653DBED4" w14:textId="77777777" w:rsidR="002C5557" w:rsidRPr="00590539" w:rsidRDefault="002C5557" w:rsidP="002C5557">
            <w:pPr>
              <w:pStyle w:val="ListBullet2"/>
            </w:pPr>
            <w:r w:rsidRPr="00590539">
              <w:t>Flexible commissioning arrangements</w:t>
            </w:r>
          </w:p>
          <w:p w14:paraId="0CCEC261" w14:textId="77777777" w:rsidR="002C5557" w:rsidRPr="00590539" w:rsidRDefault="002C5557" w:rsidP="002C5557">
            <w:pPr>
              <w:pStyle w:val="ListBullet2"/>
            </w:pPr>
            <w:r w:rsidRPr="00590539">
              <w:t>Collaborative design and governance</w:t>
            </w:r>
          </w:p>
          <w:p w14:paraId="7303C446" w14:textId="77777777" w:rsidR="002C5557" w:rsidRPr="0033042F" w:rsidRDefault="002C5557" w:rsidP="002C5557">
            <w:pPr>
              <w:pStyle w:val="ListBullet2"/>
            </w:pPr>
            <w:r w:rsidRPr="00590539">
              <w:t>Long-term funding certainty</w:t>
            </w:r>
            <w:r>
              <w:t xml:space="preserve"> </w:t>
            </w:r>
            <w:r w:rsidRPr="00590539">
              <w:t>to attract and retain workforce.</w:t>
            </w:r>
          </w:p>
        </w:tc>
      </w:tr>
    </w:tbl>
    <w:p w14:paraId="69712ED5" w14:textId="4B87C2A6" w:rsidR="002C5557" w:rsidRDefault="002C5557" w:rsidP="002C5557">
      <w:pPr>
        <w:pStyle w:val="Heading2"/>
      </w:pPr>
      <w:r w:rsidRPr="002C5557">
        <w:t>This is what we’re doing next</w:t>
      </w:r>
    </w:p>
    <w:p w14:paraId="1233AA52" w14:textId="4B139947" w:rsidR="002C5557" w:rsidRDefault="002C5557" w:rsidP="00D1185B">
      <w:r w:rsidRPr="002C5557">
        <w:t>If you haven’t had a chance to contribute your insights and expertise, there will be more opportunities this month (August 2025):</w:t>
      </w:r>
    </w:p>
    <w:p w14:paraId="4D543F52" w14:textId="77777777" w:rsidR="002C5557" w:rsidRDefault="002C5557" w:rsidP="002C5557">
      <w:pPr>
        <w:pStyle w:val="ListBullet"/>
      </w:pPr>
      <w:r>
        <w:t>First Peoples Health Consulting will lead targeted consultations with First Nations stakeholders.</w:t>
      </w:r>
    </w:p>
    <w:p w14:paraId="001DC7D4" w14:textId="790198EA" w:rsidR="002C5557" w:rsidRDefault="002C5557" w:rsidP="002C5557">
      <w:pPr>
        <w:pStyle w:val="ListBullet"/>
      </w:pPr>
      <w:r>
        <w:t>A public survey will be released via the Department’s Consultation Hub to gather broader community feedback.</w:t>
      </w:r>
    </w:p>
    <w:p w14:paraId="36A9154E" w14:textId="5FCD03AF" w:rsidR="00D1185B" w:rsidRDefault="00D1185B" w:rsidP="00D1185B">
      <w:pPr>
        <w:pStyle w:val="Boxtext"/>
      </w:pPr>
      <w:r>
        <w:t>Share your thoughts or feedback</w:t>
      </w:r>
    </w:p>
    <w:p w14:paraId="7B34E512" w14:textId="02FE4AD9" w:rsidR="00D1185B" w:rsidRPr="00D1185B" w:rsidRDefault="00D1185B" w:rsidP="00D1185B">
      <w:pPr>
        <w:pStyle w:val="Boxtextsmall"/>
      </w:pPr>
      <w:r>
        <w:t xml:space="preserve">Send us an email to: </w:t>
      </w:r>
      <w:hyperlink r:id="rId11" w:history="1">
        <w:r w:rsidRPr="00D1185B">
          <w:rPr>
            <w:rStyle w:val="Hyperlink"/>
          </w:rPr>
          <w:t>oral.health@health.gov.au</w:t>
        </w:r>
      </w:hyperlink>
    </w:p>
    <w:sectPr w:rsidR="00D1185B" w:rsidRPr="00D1185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1E918" w14:textId="77777777" w:rsidR="004A60E8" w:rsidRDefault="004A60E8" w:rsidP="002C5557">
      <w:r>
        <w:separator/>
      </w:r>
    </w:p>
  </w:endnote>
  <w:endnote w:type="continuationSeparator" w:id="0">
    <w:p w14:paraId="43C0B391" w14:textId="77777777" w:rsidR="004A60E8" w:rsidRDefault="004A60E8" w:rsidP="002C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09CE" w14:textId="529236A9" w:rsidR="00D1185B" w:rsidRDefault="00D1185B">
    <w:pPr>
      <w:pStyle w:val="Footer"/>
    </w:pPr>
    <w:r>
      <w:t>30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2A0E" w14:textId="77777777" w:rsidR="004A60E8" w:rsidRDefault="004A60E8" w:rsidP="002C5557">
      <w:r>
        <w:separator/>
      </w:r>
    </w:p>
  </w:footnote>
  <w:footnote w:type="continuationSeparator" w:id="0">
    <w:p w14:paraId="34ABBE8A" w14:textId="77777777" w:rsidR="004A60E8" w:rsidRDefault="004A60E8" w:rsidP="002C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C0B9" w14:textId="3C6B5138" w:rsidR="002C5557" w:rsidRDefault="002C5557" w:rsidP="002C5557">
    <w:pPr>
      <w:pStyle w:val="Header"/>
    </w:pPr>
    <w:r>
      <w:rPr>
        <w:noProof/>
      </w:rPr>
      <w:drawing>
        <wp:inline distT="0" distB="0" distL="0" distR="0" wp14:anchorId="7C17AB67" wp14:editId="466D0C70">
          <wp:extent cx="5731510" cy="588010"/>
          <wp:effectExtent l="0" t="0" r="2540" b="2540"/>
          <wp:docPr id="11984346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3461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31510" cy="588010"/>
                  </a:xfrm>
                  <a:prstGeom prst="rect">
                    <a:avLst/>
                  </a:prstGeom>
                </pic:spPr>
              </pic:pic>
            </a:graphicData>
          </a:graphic>
        </wp:inline>
      </w:drawing>
    </w:r>
    <w:r>
      <w:rPr>
        <w:noProof/>
      </w:rPr>
      <w:drawing>
        <wp:anchor distT="0" distB="0" distL="114300" distR="114300" simplePos="0" relativeHeight="251658240" behindDoc="0" locked="0" layoutInCell="1" allowOverlap="1" wp14:anchorId="5BDC3D40" wp14:editId="63E18A6D">
          <wp:simplePos x="0" y="0"/>
          <wp:positionH relativeFrom="column">
            <wp:posOffset>-400050</wp:posOffset>
          </wp:positionH>
          <wp:positionV relativeFrom="paragraph">
            <wp:posOffset>-1905</wp:posOffset>
          </wp:positionV>
          <wp:extent cx="6689725" cy="225425"/>
          <wp:effectExtent l="0" t="0" r="0" b="3175"/>
          <wp:wrapSquare wrapText="bothSides"/>
          <wp:docPr id="18634505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63117" name="Picture 658063117"/>
                  <pic:cNvPicPr/>
                </pic:nvPicPr>
                <pic:blipFill>
                  <a:blip r:embed="rId2">
                    <a:extLst>
                      <a:ext uri="{28A0092B-C50C-407E-A947-70E740481C1C}">
                        <a14:useLocalDpi xmlns:a14="http://schemas.microsoft.com/office/drawing/2010/main" val="0"/>
                      </a:ext>
                    </a:extLst>
                  </a:blip>
                  <a:stretch>
                    <a:fillRect/>
                  </a:stretch>
                </pic:blipFill>
                <pic:spPr>
                  <a:xfrm>
                    <a:off x="0" y="0"/>
                    <a:ext cx="6689725" cy="225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1741E9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DB6CA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860354"/>
    <w:multiLevelType w:val="hybridMultilevel"/>
    <w:tmpl w:val="7E448ADC"/>
    <w:lvl w:ilvl="0" w:tplc="5FDE2CCA">
      <w:start w:val="1"/>
      <w:numFmt w:val="bullet"/>
      <w:pStyle w:val="ListBullet"/>
      <w:lvlText w:val=""/>
      <w:lvlJc w:val="left"/>
      <w:pPr>
        <w:ind w:left="473" w:hanging="360"/>
      </w:pPr>
      <w:rPr>
        <w:rFonts w:ascii="Symbol" w:hAnsi="Symbol" w:cs="Symbol" w:hint="default"/>
        <w:b w:val="0"/>
        <w:i w:val="0"/>
        <w:color w:val="44546A" w:themeColor="text2"/>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9E152F"/>
    <w:multiLevelType w:val="hybridMultilevel"/>
    <w:tmpl w:val="028CFC4A"/>
    <w:lvl w:ilvl="0" w:tplc="5F8E31D2">
      <w:numFmt w:val="bullet"/>
      <w:pStyle w:val="ListBullet2"/>
      <w:lvlText w:val="-"/>
      <w:lvlJc w:val="left"/>
      <w:pPr>
        <w:ind w:left="720" w:hanging="360"/>
      </w:pPr>
      <w:rPr>
        <w:rFonts w:ascii="Poppins" w:eastAsia="Times New Roman" w:hAnsi="Poppins"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CD2B8E"/>
    <w:multiLevelType w:val="hybridMultilevel"/>
    <w:tmpl w:val="E0EAFEA8"/>
    <w:lvl w:ilvl="0" w:tplc="ACC80200">
      <w:start w:val="1"/>
      <w:numFmt w:val="bullet"/>
      <w:lvlText w:val=""/>
      <w:lvlJc w:val="left"/>
      <w:pPr>
        <w:ind w:left="360" w:hanging="360"/>
      </w:pPr>
      <w:rPr>
        <w:rFonts w:ascii="Symbol" w:hAnsi="Symbol" w:hint="default"/>
        <w:color w:val="3B0083"/>
        <w:u w:val="none" w:color="3B008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9517DC"/>
    <w:multiLevelType w:val="multilevel"/>
    <w:tmpl w:val="5AC00148"/>
    <w:lvl w:ilvl="0">
      <w:numFmt w:val="bullet"/>
      <w:lvlText w:val="-"/>
      <w:lvlJc w:val="left"/>
      <w:pPr>
        <w:tabs>
          <w:tab w:val="num" w:pos="720"/>
        </w:tabs>
        <w:ind w:left="720" w:hanging="360"/>
      </w:pPr>
      <w:rPr>
        <w:rFonts w:ascii="Poppins" w:eastAsia="Times New Roman" w:hAnsi="Poppins" w:cs="Poppi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781622">
    <w:abstractNumId w:val="4"/>
  </w:num>
  <w:num w:numId="2" w16cid:durableId="1607421184">
    <w:abstractNumId w:val="3"/>
  </w:num>
  <w:num w:numId="3" w16cid:durableId="1163356962">
    <w:abstractNumId w:val="1"/>
  </w:num>
  <w:num w:numId="4" w16cid:durableId="1716083647">
    <w:abstractNumId w:val="0"/>
  </w:num>
  <w:num w:numId="5" w16cid:durableId="888683034">
    <w:abstractNumId w:val="5"/>
  </w:num>
  <w:num w:numId="6" w16cid:durableId="1962608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7"/>
    <w:rsid w:val="00007EAE"/>
    <w:rsid w:val="00087CD3"/>
    <w:rsid w:val="0016446F"/>
    <w:rsid w:val="00173BA3"/>
    <w:rsid w:val="0018456B"/>
    <w:rsid w:val="00280050"/>
    <w:rsid w:val="002C0599"/>
    <w:rsid w:val="002C5557"/>
    <w:rsid w:val="003A4272"/>
    <w:rsid w:val="004A60E8"/>
    <w:rsid w:val="006C50E0"/>
    <w:rsid w:val="00863469"/>
    <w:rsid w:val="00A008A9"/>
    <w:rsid w:val="00B906FA"/>
    <w:rsid w:val="00CB1C64"/>
    <w:rsid w:val="00CB58D1"/>
    <w:rsid w:val="00D1185B"/>
    <w:rsid w:val="00D972AB"/>
    <w:rsid w:val="00F14D6C"/>
    <w:rsid w:val="00FE44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FC6B7"/>
  <w15:chartTrackingRefBased/>
  <w15:docId w15:val="{6385201F-23F6-4CFE-8C21-A854CFD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57"/>
    <w:pPr>
      <w:spacing w:line="240" w:lineRule="auto"/>
    </w:pPr>
    <w:rPr>
      <w:rFonts w:ascii="Poppins" w:hAnsi="Poppins" w:cs="Poppins"/>
      <w:sz w:val="22"/>
      <w:szCs w:val="22"/>
    </w:rPr>
  </w:style>
  <w:style w:type="paragraph" w:styleId="Heading1">
    <w:name w:val="heading 1"/>
    <w:basedOn w:val="Normal"/>
    <w:next w:val="Normal"/>
    <w:link w:val="Heading1Char"/>
    <w:uiPriority w:val="9"/>
    <w:qFormat/>
    <w:rsid w:val="002C5557"/>
    <w:pPr>
      <w:keepNext/>
      <w:keepLines/>
      <w:spacing w:before="360" w:after="80"/>
      <w:outlineLvl w:val="0"/>
    </w:pPr>
    <w:rPr>
      <w:rFonts w:eastAsiaTheme="majorEastAsia"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2C5557"/>
    <w:pPr>
      <w:keepNext/>
      <w:keepLines/>
      <w:spacing w:before="160" w:after="80"/>
      <w:outlineLvl w:val="1"/>
    </w:pPr>
    <w:rPr>
      <w:rFonts w:eastAsiaTheme="majorEastAsia" w:cstheme="majorBidi"/>
      <w:b/>
      <w:color w:val="2E74B5" w:themeColor="accent1" w:themeShade="BF"/>
      <w:sz w:val="32"/>
      <w:szCs w:val="32"/>
    </w:rPr>
  </w:style>
  <w:style w:type="paragraph" w:styleId="Heading3">
    <w:name w:val="heading 3"/>
    <w:basedOn w:val="Normal"/>
    <w:next w:val="Normal"/>
    <w:link w:val="Heading3Char"/>
    <w:uiPriority w:val="9"/>
    <w:semiHidden/>
    <w:unhideWhenUsed/>
    <w:qFormat/>
    <w:rsid w:val="002C555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C555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C555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C55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55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55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55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rsid w:val="00007EA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before="120" w:after="0" w:line="240" w:lineRule="auto"/>
    </w:pPr>
    <w:rPr>
      <w:rFonts w:ascii="Arial" w:eastAsia="Arial Black" w:hAnsi="Arial" w:cs="Arial"/>
      <w:color w:val="767171" w:themeColor="background2" w:themeShade="80"/>
      <w:kern w:val="0"/>
      <w:sz w:val="20"/>
      <w:szCs w:val="20"/>
      <w:lang w:val="en-US" w:eastAsia="en-US" w:bidi="en-US"/>
      <w14:ligatures w14:val="none"/>
    </w:rPr>
  </w:style>
  <w:style w:type="character" w:customStyle="1" w:styleId="MacroTextChar">
    <w:name w:val="Macro Text Char"/>
    <w:basedOn w:val="DefaultParagraphFont"/>
    <w:link w:val="MacroText"/>
    <w:rsid w:val="00007EAE"/>
    <w:rPr>
      <w:rFonts w:ascii="Arial" w:eastAsia="Arial Black" w:hAnsi="Arial" w:cs="Arial"/>
      <w:color w:val="767171" w:themeColor="background2" w:themeShade="80"/>
      <w:kern w:val="0"/>
      <w:sz w:val="20"/>
      <w:szCs w:val="20"/>
      <w:lang w:val="en-US" w:eastAsia="en-US" w:bidi="en-US"/>
      <w14:ligatures w14:val="none"/>
    </w:rPr>
  </w:style>
  <w:style w:type="character" w:customStyle="1" w:styleId="Heading1Char">
    <w:name w:val="Heading 1 Char"/>
    <w:basedOn w:val="DefaultParagraphFont"/>
    <w:link w:val="Heading1"/>
    <w:uiPriority w:val="9"/>
    <w:rsid w:val="002C5557"/>
    <w:rPr>
      <w:rFonts w:ascii="Poppins" w:eastAsiaTheme="majorEastAsia" w:hAnsi="Poppins" w:cstheme="majorBidi"/>
      <w:b/>
      <w:color w:val="2E74B5" w:themeColor="accent1" w:themeShade="BF"/>
      <w:sz w:val="40"/>
      <w:szCs w:val="40"/>
    </w:rPr>
  </w:style>
  <w:style w:type="character" w:customStyle="1" w:styleId="Heading2Char">
    <w:name w:val="Heading 2 Char"/>
    <w:basedOn w:val="DefaultParagraphFont"/>
    <w:link w:val="Heading2"/>
    <w:uiPriority w:val="9"/>
    <w:rsid w:val="002C5557"/>
    <w:rPr>
      <w:rFonts w:ascii="Poppins" w:eastAsiaTheme="majorEastAsia" w:hAnsi="Poppins" w:cstheme="majorBidi"/>
      <w:b/>
      <w:color w:val="2E74B5" w:themeColor="accent1" w:themeShade="BF"/>
      <w:sz w:val="32"/>
      <w:szCs w:val="32"/>
    </w:rPr>
  </w:style>
  <w:style w:type="character" w:customStyle="1" w:styleId="Heading3Char">
    <w:name w:val="Heading 3 Char"/>
    <w:basedOn w:val="DefaultParagraphFont"/>
    <w:link w:val="Heading3"/>
    <w:uiPriority w:val="9"/>
    <w:semiHidden/>
    <w:rsid w:val="002C5557"/>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C5557"/>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C5557"/>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C55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55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55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55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55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55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5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5557"/>
    <w:pPr>
      <w:spacing w:before="160"/>
      <w:jc w:val="center"/>
    </w:pPr>
    <w:rPr>
      <w:i/>
      <w:iCs/>
      <w:color w:val="404040" w:themeColor="text1" w:themeTint="BF"/>
    </w:rPr>
  </w:style>
  <w:style w:type="character" w:customStyle="1" w:styleId="QuoteChar">
    <w:name w:val="Quote Char"/>
    <w:basedOn w:val="DefaultParagraphFont"/>
    <w:link w:val="Quote"/>
    <w:uiPriority w:val="29"/>
    <w:rsid w:val="002C5557"/>
    <w:rPr>
      <w:i/>
      <w:iCs/>
      <w:color w:val="404040" w:themeColor="text1" w:themeTint="BF"/>
    </w:r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
    <w:basedOn w:val="Normal"/>
    <w:link w:val="ListParagraphChar"/>
    <w:uiPriority w:val="34"/>
    <w:qFormat/>
    <w:rsid w:val="002C5557"/>
    <w:pPr>
      <w:ind w:left="720"/>
      <w:contextualSpacing/>
    </w:pPr>
  </w:style>
  <w:style w:type="character" w:styleId="IntenseEmphasis">
    <w:name w:val="Intense Emphasis"/>
    <w:basedOn w:val="DefaultParagraphFont"/>
    <w:uiPriority w:val="21"/>
    <w:qFormat/>
    <w:rsid w:val="002C5557"/>
    <w:rPr>
      <w:i/>
      <w:iCs/>
      <w:color w:val="2E74B5" w:themeColor="accent1" w:themeShade="BF"/>
    </w:rPr>
  </w:style>
  <w:style w:type="paragraph" w:styleId="IntenseQuote">
    <w:name w:val="Intense Quote"/>
    <w:basedOn w:val="Normal"/>
    <w:next w:val="Normal"/>
    <w:link w:val="IntenseQuoteChar"/>
    <w:uiPriority w:val="30"/>
    <w:qFormat/>
    <w:rsid w:val="002C55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C5557"/>
    <w:rPr>
      <w:i/>
      <w:iCs/>
      <w:color w:val="2E74B5" w:themeColor="accent1" w:themeShade="BF"/>
    </w:rPr>
  </w:style>
  <w:style w:type="character" w:styleId="IntenseReference">
    <w:name w:val="Intense Reference"/>
    <w:basedOn w:val="DefaultParagraphFont"/>
    <w:uiPriority w:val="32"/>
    <w:qFormat/>
    <w:rsid w:val="002C5557"/>
    <w:rPr>
      <w:b/>
      <w:bCs/>
      <w:smallCaps/>
      <w:color w:val="2E74B5" w:themeColor="accent1" w:themeShade="BF"/>
      <w:spacing w:val="5"/>
    </w:rPr>
  </w:style>
  <w:style w:type="paragraph" w:styleId="Header">
    <w:name w:val="header"/>
    <w:basedOn w:val="Normal"/>
    <w:link w:val="HeaderChar"/>
    <w:uiPriority w:val="99"/>
    <w:unhideWhenUsed/>
    <w:rsid w:val="002C5557"/>
    <w:pPr>
      <w:tabs>
        <w:tab w:val="center" w:pos="4513"/>
        <w:tab w:val="right" w:pos="9026"/>
      </w:tabs>
      <w:spacing w:after="0"/>
      <w:jc w:val="center"/>
    </w:pPr>
  </w:style>
  <w:style w:type="character" w:customStyle="1" w:styleId="HeaderChar">
    <w:name w:val="Header Char"/>
    <w:basedOn w:val="DefaultParagraphFont"/>
    <w:link w:val="Header"/>
    <w:uiPriority w:val="99"/>
    <w:rsid w:val="002C5557"/>
  </w:style>
  <w:style w:type="paragraph" w:styleId="Footer">
    <w:name w:val="footer"/>
    <w:basedOn w:val="Normal"/>
    <w:link w:val="FooterChar"/>
    <w:uiPriority w:val="99"/>
    <w:unhideWhenUsed/>
    <w:rsid w:val="002C5557"/>
    <w:pPr>
      <w:tabs>
        <w:tab w:val="center" w:pos="4513"/>
        <w:tab w:val="right" w:pos="9026"/>
      </w:tabs>
      <w:spacing w:after="0"/>
    </w:pPr>
  </w:style>
  <w:style w:type="character" w:customStyle="1" w:styleId="FooterChar">
    <w:name w:val="Footer Char"/>
    <w:basedOn w:val="DefaultParagraphFont"/>
    <w:link w:val="Footer"/>
    <w:uiPriority w:val="99"/>
    <w:rsid w:val="002C5557"/>
  </w:style>
  <w:style w:type="character" w:styleId="Hyperlink">
    <w:name w:val="Hyperlink"/>
    <w:basedOn w:val="DefaultParagraphFont"/>
    <w:uiPriority w:val="99"/>
    <w:unhideWhenUsed/>
    <w:rsid w:val="002C5557"/>
    <w:rPr>
      <w:color w:val="0000FF"/>
      <w:u w:val="single"/>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2C5557"/>
    <w:rPr>
      <w:rFonts w:ascii="Poppins" w:hAnsi="Poppins" w:cs="Poppins"/>
      <w:sz w:val="22"/>
      <w:szCs w:val="22"/>
    </w:rPr>
  </w:style>
  <w:style w:type="table" w:styleId="GridTable1Light-Accent1">
    <w:name w:val="Grid Table 1 Light Accent 1"/>
    <w:basedOn w:val="TableNormal"/>
    <w:uiPriority w:val="46"/>
    <w:rsid w:val="002C5557"/>
    <w:pPr>
      <w:spacing w:after="0" w:line="240" w:lineRule="auto"/>
    </w:pPr>
    <w:rPr>
      <w:rFonts w:eastAsiaTheme="minorHAnsi"/>
      <w:kern w:val="0"/>
      <w:lang w:eastAsia="en-US"/>
      <w14:ligatures w14:val="none"/>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D1185B"/>
    <w:pPr>
      <w:numPr>
        <w:numId w:val="6"/>
      </w:numPr>
      <w:spacing w:after="0"/>
      <w:ind w:left="357" w:hanging="357"/>
    </w:pPr>
    <w:rPr>
      <w:rFonts w:eastAsiaTheme="minorHAnsi"/>
      <w:kern w:val="0"/>
      <w:szCs w:val="20"/>
      <w:lang w:eastAsia="en-US"/>
      <w14:ligatures w14:val="none"/>
    </w:rPr>
  </w:style>
  <w:style w:type="paragraph" w:styleId="ListBullet2">
    <w:name w:val="List Bullet 2"/>
    <w:basedOn w:val="ListParagraph"/>
    <w:uiPriority w:val="99"/>
    <w:unhideWhenUsed/>
    <w:rsid w:val="002C5557"/>
    <w:pPr>
      <w:numPr>
        <w:numId w:val="2"/>
      </w:numPr>
      <w:spacing w:before="40" w:after="0"/>
    </w:pPr>
    <w:rPr>
      <w:rFonts w:eastAsiaTheme="minorHAnsi"/>
      <w:kern w:val="0"/>
      <w:sz w:val="20"/>
      <w:szCs w:val="20"/>
      <w:lang w:eastAsia="en-US"/>
      <w14:ligatures w14:val="none"/>
    </w:rPr>
  </w:style>
  <w:style w:type="paragraph" w:customStyle="1" w:styleId="Boxtext">
    <w:name w:val="Box text"/>
    <w:basedOn w:val="Normal"/>
    <w:link w:val="BoxtextChar"/>
    <w:qFormat/>
    <w:rsid w:val="00D1185B"/>
    <w:pPr>
      <w:pBdr>
        <w:top w:val="single" w:sz="12" w:space="1" w:color="44546A" w:themeColor="text2"/>
        <w:left w:val="single" w:sz="12" w:space="4" w:color="44546A" w:themeColor="text2"/>
        <w:bottom w:val="single" w:sz="12" w:space="1" w:color="44546A" w:themeColor="text2"/>
        <w:right w:val="single" w:sz="12" w:space="4" w:color="44546A" w:themeColor="text2"/>
      </w:pBdr>
      <w:spacing w:before="200" w:after="200" w:line="276" w:lineRule="auto"/>
    </w:pPr>
    <w:rPr>
      <w:b/>
      <w:sz w:val="28"/>
    </w:rPr>
  </w:style>
  <w:style w:type="character" w:customStyle="1" w:styleId="BoxtextChar">
    <w:name w:val="Box text Char"/>
    <w:basedOn w:val="DefaultParagraphFont"/>
    <w:link w:val="Boxtext"/>
    <w:rsid w:val="00D1185B"/>
    <w:rPr>
      <w:rFonts w:ascii="Poppins" w:hAnsi="Poppins" w:cs="Poppins"/>
      <w:b/>
      <w:sz w:val="28"/>
      <w:szCs w:val="22"/>
    </w:rPr>
  </w:style>
  <w:style w:type="paragraph" w:customStyle="1" w:styleId="Boxtextsmall">
    <w:name w:val="Box text (small)"/>
    <w:basedOn w:val="Boxtext"/>
    <w:link w:val="BoxtextsmallChar"/>
    <w:qFormat/>
    <w:rsid w:val="00D1185B"/>
    <w:rPr>
      <w:b w:val="0"/>
      <w:sz w:val="24"/>
    </w:rPr>
  </w:style>
  <w:style w:type="character" w:customStyle="1" w:styleId="BoxtextsmallChar">
    <w:name w:val="Box text (small) Char"/>
    <w:basedOn w:val="BoxtextChar"/>
    <w:link w:val="Boxtextsmall"/>
    <w:rsid w:val="00D1185B"/>
    <w:rPr>
      <w:rFonts w:ascii="Poppins" w:hAnsi="Poppins" w:cs="Poppins"/>
      <w:b w:val="0"/>
      <w:sz w:val="28"/>
      <w:szCs w:val="22"/>
    </w:rPr>
  </w:style>
  <w:style w:type="character" w:styleId="UnresolvedMention">
    <w:name w:val="Unresolved Mention"/>
    <w:basedOn w:val="DefaultParagraphFont"/>
    <w:uiPriority w:val="99"/>
    <w:semiHidden/>
    <w:unhideWhenUsed/>
    <w:rsid w:val="00D11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al.health@health.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au/news/developing-the-national-oral-health-plan-2025-2034" TargetMode="External"/><Relationship Id="rId4" Type="http://schemas.openxmlformats.org/officeDocument/2006/relationships/settings" Target="settings.xml"/><Relationship Id="rId9" Type="http://schemas.openxmlformats.org/officeDocument/2006/relationships/hyperlink" Target="https://www.healthconsult.com.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978B9-06FB-4CDF-A0BE-1C1A3759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745</Words>
  <Characters>4633</Characters>
  <Application>Microsoft Office Word</Application>
  <DocSecurity>0</DocSecurity>
  <Lines>90</Lines>
  <Paragraphs>43</Paragraphs>
  <ScaleCrop>false</ScaleCrop>
  <HeadingPairs>
    <vt:vector size="2" baseType="variant">
      <vt:variant>
        <vt:lpstr>Title</vt:lpstr>
      </vt:variant>
      <vt:variant>
        <vt:i4>1</vt:i4>
      </vt:variant>
    </vt:vector>
  </HeadingPairs>
  <TitlesOfParts>
    <vt:vector size="1" baseType="lpstr">
      <vt:lpstr>Building the next National Oral Health Plan</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the next National Oral Health Plan</dc:title>
  <dc:subject>Dental Care</dc:subject>
  <dc:creator>Australian Government Department of Health, Disability and Ageing</dc:creator>
  <cp:keywords>National Oral Health Plan</cp:keywords>
  <dc:description/>
  <cp:lastModifiedBy>MASCHKE, Elvia</cp:lastModifiedBy>
  <cp:revision>5</cp:revision>
  <cp:lastPrinted>2025-08-25T09:41:00Z</cp:lastPrinted>
  <dcterms:created xsi:type="dcterms:W3CDTF">2025-08-25T09:20:00Z</dcterms:created>
  <dcterms:modified xsi:type="dcterms:W3CDTF">2025-08-25T09:42:00Z</dcterms:modified>
</cp:coreProperties>
</file>