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7BC0" w14:textId="1510A5C7" w:rsidR="00C57001" w:rsidRPr="0087600D" w:rsidRDefault="00031C1D" w:rsidP="00856159">
      <w:pPr>
        <w:pStyle w:val="Title"/>
        <w:ind w:left="-709"/>
        <w:jc w:val="center"/>
      </w:pPr>
      <w:bookmarkStart w:id="0" w:name="_Hlk77245649"/>
      <w:r>
        <w:t>T</w:t>
      </w:r>
      <w:r w:rsidR="0043477B">
        <w:t>ransition Care Programme Guidelines</w:t>
      </w:r>
    </w:p>
    <w:bookmarkEnd w:id="0"/>
    <w:p w14:paraId="522447EB" w14:textId="426B5B83" w:rsidR="0054713E" w:rsidRPr="00FE4A3A" w:rsidRDefault="00CC4602" w:rsidP="00856159">
      <w:pPr>
        <w:pStyle w:val="Subtitle"/>
        <w:ind w:hanging="709"/>
        <w:jc w:val="center"/>
      </w:pPr>
      <w:r>
        <w:t>Updated</w:t>
      </w:r>
      <w:r w:rsidR="006346CF">
        <w:t xml:space="preserve"> </w:t>
      </w:r>
      <w:r w:rsidR="004F328C">
        <w:t xml:space="preserve">August </w:t>
      </w:r>
      <w:r w:rsidR="00867780">
        <w:t>202</w:t>
      </w:r>
      <w:r w:rsidR="00306F98">
        <w:t>5</w:t>
      </w:r>
    </w:p>
    <w:p w14:paraId="54E7F409" w14:textId="77777777" w:rsidR="0094563F" w:rsidRPr="00DF7B75" w:rsidRDefault="0094563F" w:rsidP="00DF7B75">
      <w:pPr>
        <w:sectPr w:rsidR="0094563F" w:rsidRPr="00DF7B75" w:rsidSect="00A74769">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14:paraId="6189EC29" w14:textId="77777777" w:rsidR="00876CA6" w:rsidRPr="00586246" w:rsidRDefault="00876CA6" w:rsidP="004D7443">
      <w:pPr>
        <w:pStyle w:val="Heading1"/>
        <w:numPr>
          <w:ilvl w:val="0"/>
          <w:numId w:val="0"/>
        </w:numPr>
        <w:ind w:left="360" w:hanging="360"/>
      </w:pPr>
      <w:bookmarkStart w:id="1" w:name="_Toc395536194"/>
      <w:bookmarkStart w:id="2" w:name="_Toc421095788"/>
      <w:bookmarkStart w:id="3" w:name="_Toc17807746"/>
      <w:bookmarkStart w:id="4" w:name="_Toc20138483"/>
      <w:bookmarkStart w:id="5" w:name="_Toc197076848"/>
      <w:r>
        <w:lastRenderedPageBreak/>
        <w:t>Table of contents</w:t>
      </w:r>
      <w:bookmarkEnd w:id="1"/>
      <w:bookmarkEnd w:id="2"/>
      <w:bookmarkEnd w:id="3"/>
      <w:bookmarkEnd w:id="4"/>
      <w:bookmarkEnd w:id="5"/>
    </w:p>
    <w:sdt>
      <w:sdtPr>
        <w:rPr>
          <w:bCs/>
        </w:rPr>
        <w:id w:val="-373621591"/>
        <w:docPartObj>
          <w:docPartGallery w:val="Table of Contents"/>
          <w:docPartUnique/>
        </w:docPartObj>
      </w:sdtPr>
      <w:sdtEndPr>
        <w:rPr>
          <w:b/>
          <w:bCs w:val="0"/>
          <w:noProof/>
          <w:szCs w:val="20"/>
        </w:rPr>
      </w:sdtEndPr>
      <w:sdtContent>
        <w:p w14:paraId="0F7E2D79" w14:textId="08F78CFC" w:rsidR="00BF3E4C" w:rsidRDefault="00070A87">
          <w:pPr>
            <w:pStyle w:val="TOC1"/>
            <w:rPr>
              <w:rFonts w:asciiTheme="minorHAnsi" w:eastAsiaTheme="minorEastAsia" w:hAnsiTheme="minorHAnsi" w:cstheme="minorBidi"/>
              <w:noProof/>
              <w:spacing w:val="0"/>
              <w:kern w:val="2"/>
              <w:sz w:val="24"/>
              <w14:ligatures w14:val="standardContextual"/>
            </w:rPr>
          </w:pPr>
          <w:r w:rsidRPr="00134F37">
            <w:rPr>
              <w:rFonts w:asciiTheme="minorHAnsi" w:eastAsiaTheme="majorEastAsia" w:hAnsiTheme="minorHAnsi" w:cstheme="minorHAnsi"/>
              <w:color w:val="24596E"/>
              <w:szCs w:val="20"/>
              <w:u w:val="single"/>
              <w:lang w:bidi="en-US"/>
            </w:rPr>
            <w:fldChar w:fldCharType="begin"/>
          </w:r>
          <w:r w:rsidRPr="00C349E7">
            <w:rPr>
              <w:rFonts w:asciiTheme="minorHAnsi" w:hAnsiTheme="minorHAnsi" w:cstheme="minorHAnsi"/>
              <w:szCs w:val="20"/>
              <w:u w:val="single"/>
            </w:rPr>
            <w:instrText xml:space="preserve"> TOC \o "1-3" \h \z \u </w:instrText>
          </w:r>
          <w:r w:rsidRPr="00134F37">
            <w:rPr>
              <w:rFonts w:asciiTheme="minorHAnsi" w:eastAsiaTheme="majorEastAsia" w:hAnsiTheme="minorHAnsi" w:cstheme="minorHAnsi"/>
              <w:color w:val="24596E"/>
              <w:szCs w:val="20"/>
              <w:u w:val="single"/>
              <w:lang w:bidi="en-US"/>
            </w:rPr>
            <w:fldChar w:fldCharType="separate"/>
          </w:r>
          <w:hyperlink w:anchor="_Toc197076848" w:history="1">
            <w:r w:rsidR="00BF3E4C" w:rsidRPr="00DC07FE">
              <w:rPr>
                <w:rStyle w:val="Hyperlink"/>
                <w:rFonts w:eastAsiaTheme="majorEastAsia"/>
                <w:noProof/>
              </w:rPr>
              <w:t>Table of contents</w:t>
            </w:r>
            <w:r w:rsidR="00BF3E4C">
              <w:rPr>
                <w:noProof/>
                <w:webHidden/>
              </w:rPr>
              <w:tab/>
            </w:r>
            <w:r w:rsidR="00BF3E4C">
              <w:rPr>
                <w:noProof/>
                <w:webHidden/>
              </w:rPr>
              <w:fldChar w:fldCharType="begin"/>
            </w:r>
            <w:r w:rsidR="00BF3E4C">
              <w:rPr>
                <w:noProof/>
                <w:webHidden/>
              </w:rPr>
              <w:instrText xml:space="preserve"> PAGEREF _Toc197076848 \h </w:instrText>
            </w:r>
            <w:r w:rsidR="00BF3E4C">
              <w:rPr>
                <w:noProof/>
                <w:webHidden/>
              </w:rPr>
            </w:r>
            <w:r w:rsidR="00BF3E4C">
              <w:rPr>
                <w:noProof/>
                <w:webHidden/>
              </w:rPr>
              <w:fldChar w:fldCharType="separate"/>
            </w:r>
            <w:r w:rsidR="00365F01">
              <w:rPr>
                <w:noProof/>
                <w:webHidden/>
              </w:rPr>
              <w:t>1</w:t>
            </w:r>
            <w:r w:rsidR="00BF3E4C">
              <w:rPr>
                <w:noProof/>
                <w:webHidden/>
              </w:rPr>
              <w:fldChar w:fldCharType="end"/>
            </w:r>
          </w:hyperlink>
        </w:p>
        <w:p w14:paraId="76A32CB5" w14:textId="3ABA5F5F" w:rsidR="00BF3E4C" w:rsidRDefault="00BF3E4C">
          <w:pPr>
            <w:pStyle w:val="TOC1"/>
            <w:rPr>
              <w:rFonts w:asciiTheme="minorHAnsi" w:eastAsiaTheme="minorEastAsia" w:hAnsiTheme="minorHAnsi" w:cstheme="minorBidi"/>
              <w:noProof/>
              <w:spacing w:val="0"/>
              <w:kern w:val="2"/>
              <w:sz w:val="24"/>
              <w14:ligatures w14:val="standardContextual"/>
            </w:rPr>
          </w:pPr>
          <w:hyperlink w:anchor="_Toc197076849" w:history="1">
            <w:r w:rsidRPr="00DC07FE">
              <w:rPr>
                <w:rStyle w:val="Hyperlink"/>
                <w:rFonts w:eastAsiaTheme="majorEastAsia"/>
                <w:noProof/>
              </w:rPr>
              <w:t>FOREWORD</w:t>
            </w:r>
            <w:r>
              <w:rPr>
                <w:noProof/>
                <w:webHidden/>
              </w:rPr>
              <w:tab/>
            </w:r>
            <w:r>
              <w:rPr>
                <w:noProof/>
                <w:webHidden/>
              </w:rPr>
              <w:fldChar w:fldCharType="begin"/>
            </w:r>
            <w:r>
              <w:rPr>
                <w:noProof/>
                <w:webHidden/>
              </w:rPr>
              <w:instrText xml:space="preserve"> PAGEREF _Toc197076849 \h </w:instrText>
            </w:r>
            <w:r>
              <w:rPr>
                <w:noProof/>
                <w:webHidden/>
              </w:rPr>
            </w:r>
            <w:r>
              <w:rPr>
                <w:noProof/>
                <w:webHidden/>
              </w:rPr>
              <w:fldChar w:fldCharType="separate"/>
            </w:r>
            <w:r w:rsidR="00365F01">
              <w:rPr>
                <w:noProof/>
                <w:webHidden/>
              </w:rPr>
              <w:t>1</w:t>
            </w:r>
            <w:r>
              <w:rPr>
                <w:noProof/>
                <w:webHidden/>
              </w:rPr>
              <w:fldChar w:fldCharType="end"/>
            </w:r>
          </w:hyperlink>
        </w:p>
        <w:p w14:paraId="6CF70CF8" w14:textId="0B5449E9" w:rsidR="00BF3E4C" w:rsidRDefault="00BF3E4C">
          <w:pPr>
            <w:pStyle w:val="TOC1"/>
            <w:rPr>
              <w:rFonts w:asciiTheme="minorHAnsi" w:eastAsiaTheme="minorEastAsia" w:hAnsiTheme="minorHAnsi" w:cstheme="minorBidi"/>
              <w:noProof/>
              <w:spacing w:val="0"/>
              <w:kern w:val="2"/>
              <w:sz w:val="24"/>
              <w14:ligatures w14:val="standardContextual"/>
            </w:rPr>
          </w:pPr>
          <w:hyperlink w:anchor="_Toc197076850" w:history="1">
            <w:r w:rsidRPr="00DC07FE">
              <w:rPr>
                <w:rStyle w:val="Hyperlink"/>
                <w:rFonts w:eastAsiaTheme="majorEastAsia"/>
                <w:noProof/>
              </w:rPr>
              <w:t>ABOUT THE GUIDELINES</w:t>
            </w:r>
            <w:r>
              <w:rPr>
                <w:noProof/>
                <w:webHidden/>
              </w:rPr>
              <w:tab/>
            </w:r>
            <w:r>
              <w:rPr>
                <w:noProof/>
                <w:webHidden/>
              </w:rPr>
              <w:fldChar w:fldCharType="begin"/>
            </w:r>
            <w:r>
              <w:rPr>
                <w:noProof/>
                <w:webHidden/>
              </w:rPr>
              <w:instrText xml:space="preserve"> PAGEREF _Toc197076850 \h </w:instrText>
            </w:r>
            <w:r>
              <w:rPr>
                <w:noProof/>
                <w:webHidden/>
              </w:rPr>
            </w:r>
            <w:r>
              <w:rPr>
                <w:noProof/>
                <w:webHidden/>
              </w:rPr>
              <w:fldChar w:fldCharType="separate"/>
            </w:r>
            <w:r w:rsidR="00365F01">
              <w:rPr>
                <w:noProof/>
                <w:webHidden/>
              </w:rPr>
              <w:t>2</w:t>
            </w:r>
            <w:r>
              <w:rPr>
                <w:noProof/>
                <w:webHidden/>
              </w:rPr>
              <w:fldChar w:fldCharType="end"/>
            </w:r>
          </w:hyperlink>
        </w:p>
        <w:p w14:paraId="5CB9719D" w14:textId="22E42DF0"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51" w:history="1">
            <w:r w:rsidRPr="00DC07FE">
              <w:rPr>
                <w:rStyle w:val="Hyperlink"/>
                <w:rFonts w:eastAsiaTheme="majorEastAsia"/>
                <w:noProof/>
              </w:rPr>
              <w:t>1.1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What the guidelines contain</w:t>
            </w:r>
            <w:r>
              <w:rPr>
                <w:noProof/>
                <w:webHidden/>
              </w:rPr>
              <w:tab/>
            </w:r>
            <w:r>
              <w:rPr>
                <w:noProof/>
                <w:webHidden/>
              </w:rPr>
              <w:fldChar w:fldCharType="begin"/>
            </w:r>
            <w:r>
              <w:rPr>
                <w:noProof/>
                <w:webHidden/>
              </w:rPr>
              <w:instrText xml:space="preserve"> PAGEREF _Toc197076851 \h </w:instrText>
            </w:r>
            <w:r>
              <w:rPr>
                <w:noProof/>
                <w:webHidden/>
              </w:rPr>
            </w:r>
            <w:r>
              <w:rPr>
                <w:noProof/>
                <w:webHidden/>
              </w:rPr>
              <w:fldChar w:fldCharType="separate"/>
            </w:r>
            <w:r w:rsidR="00365F01">
              <w:rPr>
                <w:noProof/>
                <w:webHidden/>
              </w:rPr>
              <w:t>2</w:t>
            </w:r>
            <w:r>
              <w:rPr>
                <w:noProof/>
                <w:webHidden/>
              </w:rPr>
              <w:fldChar w:fldCharType="end"/>
            </w:r>
          </w:hyperlink>
        </w:p>
        <w:p w14:paraId="5148870D" w14:textId="225F2335"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52" w:history="1">
            <w:r w:rsidRPr="00DC07FE">
              <w:rPr>
                <w:rStyle w:val="Hyperlink"/>
                <w:rFonts w:eastAsiaTheme="majorEastAsia"/>
                <w:noProof/>
              </w:rPr>
              <w:t>1.2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How the guidelines will be updated</w:t>
            </w:r>
            <w:r>
              <w:rPr>
                <w:noProof/>
                <w:webHidden/>
              </w:rPr>
              <w:tab/>
            </w:r>
            <w:r>
              <w:rPr>
                <w:noProof/>
                <w:webHidden/>
              </w:rPr>
              <w:fldChar w:fldCharType="begin"/>
            </w:r>
            <w:r>
              <w:rPr>
                <w:noProof/>
                <w:webHidden/>
              </w:rPr>
              <w:instrText xml:space="preserve"> PAGEREF _Toc197076852 \h </w:instrText>
            </w:r>
            <w:r>
              <w:rPr>
                <w:noProof/>
                <w:webHidden/>
              </w:rPr>
            </w:r>
            <w:r>
              <w:rPr>
                <w:noProof/>
                <w:webHidden/>
              </w:rPr>
              <w:fldChar w:fldCharType="separate"/>
            </w:r>
            <w:r w:rsidR="00365F01">
              <w:rPr>
                <w:noProof/>
                <w:webHidden/>
              </w:rPr>
              <w:t>2</w:t>
            </w:r>
            <w:r>
              <w:rPr>
                <w:noProof/>
                <w:webHidden/>
              </w:rPr>
              <w:fldChar w:fldCharType="end"/>
            </w:r>
          </w:hyperlink>
        </w:p>
        <w:p w14:paraId="6671D097" w14:textId="5C2D3CB4"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53" w:history="1">
            <w:r w:rsidRPr="00DC07FE">
              <w:rPr>
                <w:rStyle w:val="Hyperlink"/>
                <w:rFonts w:eastAsiaTheme="majorEastAsia"/>
                <w:noProof/>
              </w:rPr>
              <w:t>1.3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Feedback</w:t>
            </w:r>
            <w:r>
              <w:rPr>
                <w:noProof/>
                <w:webHidden/>
              </w:rPr>
              <w:tab/>
            </w:r>
            <w:r>
              <w:rPr>
                <w:noProof/>
                <w:webHidden/>
              </w:rPr>
              <w:fldChar w:fldCharType="begin"/>
            </w:r>
            <w:r>
              <w:rPr>
                <w:noProof/>
                <w:webHidden/>
              </w:rPr>
              <w:instrText xml:space="preserve"> PAGEREF _Toc197076853 \h </w:instrText>
            </w:r>
            <w:r>
              <w:rPr>
                <w:noProof/>
                <w:webHidden/>
              </w:rPr>
            </w:r>
            <w:r>
              <w:rPr>
                <w:noProof/>
                <w:webHidden/>
              </w:rPr>
              <w:fldChar w:fldCharType="separate"/>
            </w:r>
            <w:r w:rsidR="00365F01">
              <w:rPr>
                <w:noProof/>
                <w:webHidden/>
              </w:rPr>
              <w:t>2</w:t>
            </w:r>
            <w:r>
              <w:rPr>
                <w:noProof/>
                <w:webHidden/>
              </w:rPr>
              <w:fldChar w:fldCharType="end"/>
            </w:r>
          </w:hyperlink>
        </w:p>
        <w:p w14:paraId="375C2D03" w14:textId="6BBD9FF2" w:rsidR="00BF3E4C" w:rsidRDefault="00BF3E4C">
          <w:pPr>
            <w:pStyle w:val="TOC1"/>
            <w:tabs>
              <w:tab w:val="left" w:pos="1540"/>
            </w:tabs>
            <w:rPr>
              <w:rFonts w:asciiTheme="minorHAnsi" w:eastAsiaTheme="minorEastAsia" w:hAnsiTheme="minorHAnsi" w:cstheme="minorBidi"/>
              <w:noProof/>
              <w:spacing w:val="0"/>
              <w:kern w:val="2"/>
              <w:sz w:val="24"/>
              <w14:ligatures w14:val="standardContextual"/>
            </w:rPr>
          </w:pPr>
          <w:hyperlink w:anchor="_Toc197076854" w:history="1">
            <w:r w:rsidRPr="00DC07FE">
              <w:rPr>
                <w:rStyle w:val="Hyperlink"/>
                <w:rFonts w:eastAsiaTheme="majorEastAsia"/>
                <w:noProof/>
              </w:rPr>
              <w:t>CHAPTER 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INTRODUCTION</w:t>
            </w:r>
            <w:r>
              <w:rPr>
                <w:noProof/>
                <w:webHidden/>
              </w:rPr>
              <w:tab/>
            </w:r>
            <w:r>
              <w:rPr>
                <w:noProof/>
                <w:webHidden/>
              </w:rPr>
              <w:fldChar w:fldCharType="begin"/>
            </w:r>
            <w:r>
              <w:rPr>
                <w:noProof/>
                <w:webHidden/>
              </w:rPr>
              <w:instrText xml:space="preserve"> PAGEREF _Toc197076854 \h </w:instrText>
            </w:r>
            <w:r>
              <w:rPr>
                <w:noProof/>
                <w:webHidden/>
              </w:rPr>
            </w:r>
            <w:r>
              <w:rPr>
                <w:noProof/>
                <w:webHidden/>
              </w:rPr>
              <w:fldChar w:fldCharType="separate"/>
            </w:r>
            <w:r w:rsidR="00365F01">
              <w:rPr>
                <w:noProof/>
                <w:webHidden/>
              </w:rPr>
              <w:t>3</w:t>
            </w:r>
            <w:r>
              <w:rPr>
                <w:noProof/>
                <w:webHidden/>
              </w:rPr>
              <w:fldChar w:fldCharType="end"/>
            </w:r>
          </w:hyperlink>
        </w:p>
        <w:p w14:paraId="6637A51A" w14:textId="02B2E2E4"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55" w:history="1">
            <w:r w:rsidRPr="00DC07FE">
              <w:rPr>
                <w:rStyle w:val="Hyperlink"/>
                <w:rFonts w:eastAsiaTheme="majorEastAsia"/>
                <w:noProof/>
              </w:rPr>
              <w:t>2.1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Transition care in brief</w:t>
            </w:r>
            <w:r>
              <w:rPr>
                <w:noProof/>
                <w:webHidden/>
              </w:rPr>
              <w:tab/>
            </w:r>
            <w:r>
              <w:rPr>
                <w:noProof/>
                <w:webHidden/>
              </w:rPr>
              <w:fldChar w:fldCharType="begin"/>
            </w:r>
            <w:r>
              <w:rPr>
                <w:noProof/>
                <w:webHidden/>
              </w:rPr>
              <w:instrText xml:space="preserve"> PAGEREF _Toc197076855 \h </w:instrText>
            </w:r>
            <w:r>
              <w:rPr>
                <w:noProof/>
                <w:webHidden/>
              </w:rPr>
            </w:r>
            <w:r>
              <w:rPr>
                <w:noProof/>
                <w:webHidden/>
              </w:rPr>
              <w:fldChar w:fldCharType="separate"/>
            </w:r>
            <w:r w:rsidR="00365F01">
              <w:rPr>
                <w:noProof/>
                <w:webHidden/>
              </w:rPr>
              <w:t>3</w:t>
            </w:r>
            <w:r>
              <w:rPr>
                <w:noProof/>
                <w:webHidden/>
              </w:rPr>
              <w:fldChar w:fldCharType="end"/>
            </w:r>
          </w:hyperlink>
        </w:p>
        <w:p w14:paraId="7FC5CE8D" w14:textId="3E71ADB9"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56" w:history="1">
            <w:r w:rsidRPr="00DC07FE">
              <w:rPr>
                <w:rStyle w:val="Hyperlink"/>
                <w:rFonts w:eastAsiaTheme="majorEastAsia"/>
                <w:noProof/>
              </w:rPr>
              <w:t>2.2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Roles and responsibilities within the Transition Care Programme</w:t>
            </w:r>
            <w:r>
              <w:rPr>
                <w:noProof/>
                <w:webHidden/>
              </w:rPr>
              <w:tab/>
            </w:r>
            <w:r>
              <w:rPr>
                <w:noProof/>
                <w:webHidden/>
              </w:rPr>
              <w:fldChar w:fldCharType="begin"/>
            </w:r>
            <w:r>
              <w:rPr>
                <w:noProof/>
                <w:webHidden/>
              </w:rPr>
              <w:instrText xml:space="preserve"> PAGEREF _Toc197076856 \h </w:instrText>
            </w:r>
            <w:r>
              <w:rPr>
                <w:noProof/>
                <w:webHidden/>
              </w:rPr>
            </w:r>
            <w:r>
              <w:rPr>
                <w:noProof/>
                <w:webHidden/>
              </w:rPr>
              <w:fldChar w:fldCharType="separate"/>
            </w:r>
            <w:r w:rsidR="00365F01">
              <w:rPr>
                <w:noProof/>
                <w:webHidden/>
              </w:rPr>
              <w:t>3</w:t>
            </w:r>
            <w:r>
              <w:rPr>
                <w:noProof/>
                <w:webHidden/>
              </w:rPr>
              <w:fldChar w:fldCharType="end"/>
            </w:r>
          </w:hyperlink>
        </w:p>
        <w:p w14:paraId="6291FDF1" w14:textId="07CB40B0" w:rsidR="00BF3E4C" w:rsidRDefault="00BF3E4C">
          <w:pPr>
            <w:pStyle w:val="TOC3"/>
            <w:rPr>
              <w:rFonts w:eastAsiaTheme="minorEastAsia" w:cstheme="minorBidi"/>
              <w:bCs w:val="0"/>
              <w:snapToGrid/>
              <w:spacing w:val="0"/>
              <w:kern w:val="2"/>
              <w:sz w:val="24"/>
              <w14:ligatures w14:val="standardContextual"/>
            </w:rPr>
          </w:pPr>
          <w:hyperlink w:anchor="_Toc197076857" w:history="1">
            <w:r w:rsidRPr="00DC07FE">
              <w:rPr>
                <w:rStyle w:val="Hyperlink"/>
              </w:rPr>
              <w:t>2.2.1</w:t>
            </w:r>
            <w:r>
              <w:rPr>
                <w:rFonts w:eastAsiaTheme="minorEastAsia" w:cstheme="minorBidi"/>
                <w:bCs w:val="0"/>
                <w:snapToGrid/>
                <w:spacing w:val="0"/>
                <w:kern w:val="2"/>
                <w:sz w:val="24"/>
                <w14:ligatures w14:val="standardContextual"/>
              </w:rPr>
              <w:tab/>
            </w:r>
            <w:r w:rsidRPr="00DC07FE">
              <w:rPr>
                <w:rStyle w:val="Hyperlink"/>
              </w:rPr>
              <w:t>Australian Government</w:t>
            </w:r>
            <w:r>
              <w:rPr>
                <w:webHidden/>
              </w:rPr>
              <w:tab/>
            </w:r>
            <w:r>
              <w:rPr>
                <w:webHidden/>
              </w:rPr>
              <w:fldChar w:fldCharType="begin"/>
            </w:r>
            <w:r>
              <w:rPr>
                <w:webHidden/>
              </w:rPr>
              <w:instrText xml:space="preserve"> PAGEREF _Toc197076857 \h </w:instrText>
            </w:r>
            <w:r>
              <w:rPr>
                <w:webHidden/>
              </w:rPr>
            </w:r>
            <w:r>
              <w:rPr>
                <w:webHidden/>
              </w:rPr>
              <w:fldChar w:fldCharType="separate"/>
            </w:r>
            <w:r w:rsidR="00365F01">
              <w:rPr>
                <w:webHidden/>
              </w:rPr>
              <w:t>3</w:t>
            </w:r>
            <w:r>
              <w:rPr>
                <w:webHidden/>
              </w:rPr>
              <w:fldChar w:fldCharType="end"/>
            </w:r>
          </w:hyperlink>
        </w:p>
        <w:p w14:paraId="15C7F72C" w14:textId="31941F94" w:rsidR="00BF3E4C" w:rsidRDefault="00BF3E4C">
          <w:pPr>
            <w:pStyle w:val="TOC3"/>
            <w:rPr>
              <w:rFonts w:eastAsiaTheme="minorEastAsia" w:cstheme="minorBidi"/>
              <w:bCs w:val="0"/>
              <w:snapToGrid/>
              <w:spacing w:val="0"/>
              <w:kern w:val="2"/>
              <w:sz w:val="24"/>
              <w14:ligatures w14:val="standardContextual"/>
            </w:rPr>
          </w:pPr>
          <w:hyperlink w:anchor="_Toc197076859" w:history="1">
            <w:r w:rsidRPr="00DC07FE">
              <w:rPr>
                <w:rStyle w:val="Hyperlink"/>
              </w:rPr>
              <w:t>2.2.2</w:t>
            </w:r>
            <w:r>
              <w:rPr>
                <w:rFonts w:eastAsiaTheme="minorEastAsia" w:cstheme="minorBidi"/>
                <w:bCs w:val="0"/>
                <w:snapToGrid/>
                <w:spacing w:val="0"/>
                <w:kern w:val="2"/>
                <w:sz w:val="24"/>
                <w14:ligatures w14:val="standardContextual"/>
              </w:rPr>
              <w:tab/>
            </w:r>
            <w:r w:rsidRPr="00DC07FE">
              <w:rPr>
                <w:rStyle w:val="Hyperlink"/>
              </w:rPr>
              <w:t>State/territory governments (approved providers)</w:t>
            </w:r>
            <w:r>
              <w:rPr>
                <w:webHidden/>
              </w:rPr>
              <w:tab/>
            </w:r>
            <w:r>
              <w:rPr>
                <w:webHidden/>
              </w:rPr>
              <w:fldChar w:fldCharType="begin"/>
            </w:r>
            <w:r>
              <w:rPr>
                <w:webHidden/>
              </w:rPr>
              <w:instrText xml:space="preserve"> PAGEREF _Toc197076859 \h </w:instrText>
            </w:r>
            <w:r>
              <w:rPr>
                <w:webHidden/>
              </w:rPr>
            </w:r>
            <w:r>
              <w:rPr>
                <w:webHidden/>
              </w:rPr>
              <w:fldChar w:fldCharType="separate"/>
            </w:r>
            <w:r w:rsidR="00365F01">
              <w:rPr>
                <w:webHidden/>
              </w:rPr>
              <w:t>3</w:t>
            </w:r>
            <w:r>
              <w:rPr>
                <w:webHidden/>
              </w:rPr>
              <w:fldChar w:fldCharType="end"/>
            </w:r>
          </w:hyperlink>
        </w:p>
        <w:p w14:paraId="336206B0" w14:textId="110605C8"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60" w:history="1">
            <w:r w:rsidRPr="00DC07FE">
              <w:rPr>
                <w:rStyle w:val="Hyperlink"/>
                <w:rFonts w:eastAsiaTheme="majorEastAsia"/>
                <w:noProof/>
              </w:rPr>
              <w:t>2.3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Allocation of transition care places</w:t>
            </w:r>
            <w:r>
              <w:rPr>
                <w:noProof/>
                <w:webHidden/>
              </w:rPr>
              <w:tab/>
            </w:r>
            <w:r>
              <w:rPr>
                <w:noProof/>
                <w:webHidden/>
              </w:rPr>
              <w:fldChar w:fldCharType="begin"/>
            </w:r>
            <w:r>
              <w:rPr>
                <w:noProof/>
                <w:webHidden/>
              </w:rPr>
              <w:instrText xml:space="preserve"> PAGEREF _Toc197076860 \h </w:instrText>
            </w:r>
            <w:r>
              <w:rPr>
                <w:noProof/>
                <w:webHidden/>
              </w:rPr>
            </w:r>
            <w:r>
              <w:rPr>
                <w:noProof/>
                <w:webHidden/>
              </w:rPr>
              <w:fldChar w:fldCharType="separate"/>
            </w:r>
            <w:r w:rsidR="00365F01">
              <w:rPr>
                <w:noProof/>
                <w:webHidden/>
              </w:rPr>
              <w:t>4</w:t>
            </w:r>
            <w:r>
              <w:rPr>
                <w:noProof/>
                <w:webHidden/>
              </w:rPr>
              <w:fldChar w:fldCharType="end"/>
            </w:r>
          </w:hyperlink>
        </w:p>
        <w:p w14:paraId="52A74E26" w14:textId="581B2351" w:rsidR="00BF3E4C" w:rsidRDefault="00BF3E4C">
          <w:pPr>
            <w:pStyle w:val="TOC3"/>
            <w:rPr>
              <w:rFonts w:eastAsiaTheme="minorEastAsia" w:cstheme="minorBidi"/>
              <w:bCs w:val="0"/>
              <w:snapToGrid/>
              <w:spacing w:val="0"/>
              <w:kern w:val="2"/>
              <w:sz w:val="24"/>
              <w14:ligatures w14:val="standardContextual"/>
            </w:rPr>
          </w:pPr>
          <w:hyperlink w:anchor="_Toc197076861" w:history="1">
            <w:r w:rsidRPr="00DC07FE">
              <w:rPr>
                <w:rStyle w:val="Hyperlink"/>
              </w:rPr>
              <w:t>2.3.1</w:t>
            </w:r>
            <w:r>
              <w:rPr>
                <w:rFonts w:eastAsiaTheme="minorEastAsia" w:cstheme="minorBidi"/>
                <w:bCs w:val="0"/>
                <w:snapToGrid/>
                <w:spacing w:val="0"/>
                <w:kern w:val="2"/>
                <w:sz w:val="24"/>
                <w14:ligatures w14:val="standardContextual"/>
              </w:rPr>
              <w:tab/>
            </w:r>
            <w:r w:rsidRPr="00DC07FE">
              <w:rPr>
                <w:rStyle w:val="Hyperlink"/>
              </w:rPr>
              <w:t>Service planning</w:t>
            </w:r>
            <w:r>
              <w:rPr>
                <w:webHidden/>
              </w:rPr>
              <w:tab/>
            </w:r>
            <w:r>
              <w:rPr>
                <w:webHidden/>
              </w:rPr>
              <w:fldChar w:fldCharType="begin"/>
            </w:r>
            <w:r>
              <w:rPr>
                <w:webHidden/>
              </w:rPr>
              <w:instrText xml:space="preserve"> PAGEREF _Toc197076861 \h </w:instrText>
            </w:r>
            <w:r>
              <w:rPr>
                <w:webHidden/>
              </w:rPr>
            </w:r>
            <w:r>
              <w:rPr>
                <w:webHidden/>
              </w:rPr>
              <w:fldChar w:fldCharType="separate"/>
            </w:r>
            <w:r w:rsidR="00365F01">
              <w:rPr>
                <w:webHidden/>
              </w:rPr>
              <w:t>4</w:t>
            </w:r>
            <w:r>
              <w:rPr>
                <w:webHidden/>
              </w:rPr>
              <w:fldChar w:fldCharType="end"/>
            </w:r>
          </w:hyperlink>
        </w:p>
        <w:p w14:paraId="776DFB31" w14:textId="7EE0C3B6" w:rsidR="00BF3E4C" w:rsidRDefault="00BF3E4C">
          <w:pPr>
            <w:pStyle w:val="TOC3"/>
            <w:rPr>
              <w:rFonts w:eastAsiaTheme="minorEastAsia" w:cstheme="minorBidi"/>
              <w:bCs w:val="0"/>
              <w:snapToGrid/>
              <w:spacing w:val="0"/>
              <w:kern w:val="2"/>
              <w:sz w:val="24"/>
              <w14:ligatures w14:val="standardContextual"/>
            </w:rPr>
          </w:pPr>
          <w:hyperlink w:anchor="_Toc197076862" w:history="1">
            <w:r w:rsidRPr="00DC07FE">
              <w:rPr>
                <w:rStyle w:val="Hyperlink"/>
              </w:rPr>
              <w:t>2.3.2</w:t>
            </w:r>
            <w:r>
              <w:rPr>
                <w:rFonts w:eastAsiaTheme="minorEastAsia" w:cstheme="minorBidi"/>
                <w:bCs w:val="0"/>
                <w:snapToGrid/>
                <w:spacing w:val="0"/>
                <w:kern w:val="2"/>
                <w:sz w:val="24"/>
                <w14:ligatures w14:val="standardContextual"/>
              </w:rPr>
              <w:tab/>
            </w:r>
            <w:r w:rsidRPr="00DC07FE">
              <w:rPr>
                <w:rStyle w:val="Hyperlink"/>
              </w:rPr>
              <w:t>Flexible care setting</w:t>
            </w:r>
            <w:r>
              <w:rPr>
                <w:webHidden/>
              </w:rPr>
              <w:tab/>
            </w:r>
            <w:r>
              <w:rPr>
                <w:webHidden/>
              </w:rPr>
              <w:fldChar w:fldCharType="begin"/>
            </w:r>
            <w:r>
              <w:rPr>
                <w:webHidden/>
              </w:rPr>
              <w:instrText xml:space="preserve"> PAGEREF _Toc197076862 \h </w:instrText>
            </w:r>
            <w:r>
              <w:rPr>
                <w:webHidden/>
              </w:rPr>
            </w:r>
            <w:r>
              <w:rPr>
                <w:webHidden/>
              </w:rPr>
              <w:fldChar w:fldCharType="separate"/>
            </w:r>
            <w:r w:rsidR="00365F01">
              <w:rPr>
                <w:webHidden/>
              </w:rPr>
              <w:t>5</w:t>
            </w:r>
            <w:r>
              <w:rPr>
                <w:webHidden/>
              </w:rPr>
              <w:fldChar w:fldCharType="end"/>
            </w:r>
          </w:hyperlink>
        </w:p>
        <w:p w14:paraId="514A7C83" w14:textId="7FB3D757" w:rsidR="00BF3E4C" w:rsidRDefault="00BF3E4C">
          <w:pPr>
            <w:pStyle w:val="TOC3"/>
            <w:rPr>
              <w:rFonts w:eastAsiaTheme="minorEastAsia" w:cstheme="minorBidi"/>
              <w:bCs w:val="0"/>
              <w:snapToGrid/>
              <w:spacing w:val="0"/>
              <w:kern w:val="2"/>
              <w:sz w:val="24"/>
              <w14:ligatures w14:val="standardContextual"/>
            </w:rPr>
          </w:pPr>
          <w:hyperlink w:anchor="_Toc197076863" w:history="1">
            <w:r w:rsidRPr="00DC07FE">
              <w:rPr>
                <w:rStyle w:val="Hyperlink"/>
              </w:rPr>
              <w:t>2.3.3</w:t>
            </w:r>
            <w:r>
              <w:rPr>
                <w:rFonts w:eastAsiaTheme="minorEastAsia" w:cstheme="minorBidi"/>
                <w:bCs w:val="0"/>
                <w:snapToGrid/>
                <w:spacing w:val="0"/>
                <w:kern w:val="2"/>
                <w:sz w:val="24"/>
                <w14:ligatures w14:val="standardContextual"/>
              </w:rPr>
              <w:tab/>
            </w:r>
            <w:r w:rsidRPr="00DC07FE">
              <w:rPr>
                <w:rStyle w:val="Hyperlink"/>
              </w:rPr>
              <w:t>How to participate in delivering transition care services</w:t>
            </w:r>
            <w:r>
              <w:rPr>
                <w:webHidden/>
              </w:rPr>
              <w:tab/>
            </w:r>
            <w:r>
              <w:rPr>
                <w:webHidden/>
              </w:rPr>
              <w:fldChar w:fldCharType="begin"/>
            </w:r>
            <w:r>
              <w:rPr>
                <w:webHidden/>
              </w:rPr>
              <w:instrText xml:space="preserve"> PAGEREF _Toc197076863 \h </w:instrText>
            </w:r>
            <w:r>
              <w:rPr>
                <w:webHidden/>
              </w:rPr>
            </w:r>
            <w:r>
              <w:rPr>
                <w:webHidden/>
              </w:rPr>
              <w:fldChar w:fldCharType="separate"/>
            </w:r>
            <w:r w:rsidR="00365F01">
              <w:rPr>
                <w:webHidden/>
              </w:rPr>
              <w:t>5</w:t>
            </w:r>
            <w:r>
              <w:rPr>
                <w:webHidden/>
              </w:rPr>
              <w:fldChar w:fldCharType="end"/>
            </w:r>
          </w:hyperlink>
        </w:p>
        <w:p w14:paraId="31979538" w14:textId="451F3CC6"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64" w:history="1">
            <w:r w:rsidRPr="00DC07FE">
              <w:rPr>
                <w:rStyle w:val="Hyperlink"/>
                <w:rFonts w:eastAsiaTheme="majorEastAsia"/>
                <w:noProof/>
              </w:rPr>
              <w:t>2.4</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Funding and management of the Transition Care Programme</w:t>
            </w:r>
            <w:r>
              <w:rPr>
                <w:noProof/>
                <w:webHidden/>
              </w:rPr>
              <w:tab/>
            </w:r>
            <w:r>
              <w:rPr>
                <w:noProof/>
                <w:webHidden/>
              </w:rPr>
              <w:fldChar w:fldCharType="begin"/>
            </w:r>
            <w:r>
              <w:rPr>
                <w:noProof/>
                <w:webHidden/>
              </w:rPr>
              <w:instrText xml:space="preserve"> PAGEREF _Toc197076864 \h </w:instrText>
            </w:r>
            <w:r>
              <w:rPr>
                <w:noProof/>
                <w:webHidden/>
              </w:rPr>
            </w:r>
            <w:r>
              <w:rPr>
                <w:noProof/>
                <w:webHidden/>
              </w:rPr>
              <w:fldChar w:fldCharType="separate"/>
            </w:r>
            <w:r w:rsidR="00365F01">
              <w:rPr>
                <w:noProof/>
                <w:webHidden/>
              </w:rPr>
              <w:t>5</w:t>
            </w:r>
            <w:r>
              <w:rPr>
                <w:noProof/>
                <w:webHidden/>
              </w:rPr>
              <w:fldChar w:fldCharType="end"/>
            </w:r>
          </w:hyperlink>
        </w:p>
        <w:p w14:paraId="1F4440D7" w14:textId="63C7D1BE"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65" w:history="1">
            <w:r w:rsidRPr="00DC07FE">
              <w:rPr>
                <w:rStyle w:val="Hyperlink"/>
                <w:rFonts w:eastAsiaTheme="majorEastAsia"/>
                <w:noProof/>
              </w:rPr>
              <w:t>2.5</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Relevant Legislation</w:t>
            </w:r>
            <w:r>
              <w:rPr>
                <w:noProof/>
                <w:webHidden/>
              </w:rPr>
              <w:tab/>
            </w:r>
            <w:r>
              <w:rPr>
                <w:noProof/>
                <w:webHidden/>
              </w:rPr>
              <w:fldChar w:fldCharType="begin"/>
            </w:r>
            <w:r>
              <w:rPr>
                <w:noProof/>
                <w:webHidden/>
              </w:rPr>
              <w:instrText xml:space="preserve"> PAGEREF _Toc197076865 \h </w:instrText>
            </w:r>
            <w:r>
              <w:rPr>
                <w:noProof/>
                <w:webHidden/>
              </w:rPr>
            </w:r>
            <w:r>
              <w:rPr>
                <w:noProof/>
                <w:webHidden/>
              </w:rPr>
              <w:fldChar w:fldCharType="separate"/>
            </w:r>
            <w:r w:rsidR="00365F01">
              <w:rPr>
                <w:noProof/>
                <w:webHidden/>
              </w:rPr>
              <w:t>6</w:t>
            </w:r>
            <w:r>
              <w:rPr>
                <w:noProof/>
                <w:webHidden/>
              </w:rPr>
              <w:fldChar w:fldCharType="end"/>
            </w:r>
          </w:hyperlink>
        </w:p>
        <w:p w14:paraId="18783420" w14:textId="6B278971"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66" w:history="1">
            <w:r w:rsidRPr="00DC07FE">
              <w:rPr>
                <w:rStyle w:val="Hyperlink"/>
                <w:rFonts w:eastAsiaTheme="majorEastAsia"/>
                <w:noProof/>
              </w:rPr>
              <w:t>2.6</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Additional National Support</w:t>
            </w:r>
            <w:r>
              <w:rPr>
                <w:noProof/>
                <w:webHidden/>
              </w:rPr>
              <w:tab/>
            </w:r>
            <w:r>
              <w:rPr>
                <w:noProof/>
                <w:webHidden/>
              </w:rPr>
              <w:fldChar w:fldCharType="begin"/>
            </w:r>
            <w:r>
              <w:rPr>
                <w:noProof/>
                <w:webHidden/>
              </w:rPr>
              <w:instrText xml:space="preserve"> PAGEREF _Toc197076866 \h </w:instrText>
            </w:r>
            <w:r>
              <w:rPr>
                <w:noProof/>
                <w:webHidden/>
              </w:rPr>
            </w:r>
            <w:r>
              <w:rPr>
                <w:noProof/>
                <w:webHidden/>
              </w:rPr>
              <w:fldChar w:fldCharType="separate"/>
            </w:r>
            <w:r w:rsidR="00365F01">
              <w:rPr>
                <w:noProof/>
                <w:webHidden/>
              </w:rPr>
              <w:t>7</w:t>
            </w:r>
            <w:r>
              <w:rPr>
                <w:noProof/>
                <w:webHidden/>
              </w:rPr>
              <w:fldChar w:fldCharType="end"/>
            </w:r>
          </w:hyperlink>
        </w:p>
        <w:p w14:paraId="5674760E" w14:textId="6CC8B427" w:rsidR="00BF3E4C" w:rsidRDefault="00BF3E4C">
          <w:pPr>
            <w:pStyle w:val="TOC3"/>
            <w:rPr>
              <w:rFonts w:eastAsiaTheme="minorEastAsia" w:cstheme="minorBidi"/>
              <w:bCs w:val="0"/>
              <w:snapToGrid/>
              <w:spacing w:val="0"/>
              <w:kern w:val="2"/>
              <w:sz w:val="24"/>
              <w14:ligatures w14:val="standardContextual"/>
            </w:rPr>
          </w:pPr>
          <w:hyperlink w:anchor="_Toc197076867" w:history="1">
            <w:r w:rsidRPr="00DC07FE">
              <w:rPr>
                <w:rStyle w:val="Hyperlink"/>
                <w:rFonts w:eastAsia="Arial"/>
              </w:rPr>
              <w:t>2.6.1</w:t>
            </w:r>
            <w:r>
              <w:rPr>
                <w:rFonts w:eastAsiaTheme="minorEastAsia" w:cstheme="minorBidi"/>
                <w:bCs w:val="0"/>
                <w:snapToGrid/>
                <w:spacing w:val="0"/>
                <w:kern w:val="2"/>
                <w:sz w:val="24"/>
                <w14:ligatures w14:val="standardContextual"/>
              </w:rPr>
              <w:tab/>
            </w:r>
            <w:r w:rsidRPr="00DC07FE">
              <w:rPr>
                <w:rStyle w:val="Hyperlink"/>
                <w:rFonts w:eastAsia="Arial"/>
              </w:rPr>
              <w:t>Translating and Interpreting Service (TIS National)</w:t>
            </w:r>
            <w:r>
              <w:rPr>
                <w:webHidden/>
              </w:rPr>
              <w:tab/>
            </w:r>
            <w:r>
              <w:rPr>
                <w:webHidden/>
              </w:rPr>
              <w:fldChar w:fldCharType="begin"/>
            </w:r>
            <w:r>
              <w:rPr>
                <w:webHidden/>
              </w:rPr>
              <w:instrText xml:space="preserve"> PAGEREF _Toc197076867 \h </w:instrText>
            </w:r>
            <w:r>
              <w:rPr>
                <w:webHidden/>
              </w:rPr>
            </w:r>
            <w:r>
              <w:rPr>
                <w:webHidden/>
              </w:rPr>
              <w:fldChar w:fldCharType="separate"/>
            </w:r>
            <w:r w:rsidR="00365F01">
              <w:rPr>
                <w:webHidden/>
              </w:rPr>
              <w:t>7</w:t>
            </w:r>
            <w:r>
              <w:rPr>
                <w:webHidden/>
              </w:rPr>
              <w:fldChar w:fldCharType="end"/>
            </w:r>
          </w:hyperlink>
        </w:p>
        <w:p w14:paraId="4CE1ED66" w14:textId="1CC81981" w:rsidR="00BF3E4C" w:rsidRDefault="00BF3E4C">
          <w:pPr>
            <w:pStyle w:val="TOC3"/>
            <w:rPr>
              <w:rFonts w:eastAsiaTheme="minorEastAsia" w:cstheme="minorBidi"/>
              <w:bCs w:val="0"/>
              <w:snapToGrid/>
              <w:spacing w:val="0"/>
              <w:kern w:val="2"/>
              <w:sz w:val="24"/>
              <w14:ligatures w14:val="standardContextual"/>
            </w:rPr>
          </w:pPr>
          <w:hyperlink w:anchor="_Toc197076868" w:history="1">
            <w:r w:rsidRPr="00DC07FE">
              <w:rPr>
                <w:rStyle w:val="Hyperlink"/>
                <w:rFonts w:eastAsia="Arial"/>
              </w:rPr>
              <w:t>2.6.2</w:t>
            </w:r>
            <w:r>
              <w:rPr>
                <w:rFonts w:eastAsiaTheme="minorEastAsia" w:cstheme="minorBidi"/>
                <w:bCs w:val="0"/>
                <w:snapToGrid/>
                <w:spacing w:val="0"/>
                <w:kern w:val="2"/>
                <w:sz w:val="24"/>
                <w14:ligatures w14:val="standardContextual"/>
              </w:rPr>
              <w:tab/>
            </w:r>
            <w:r w:rsidRPr="00DC07FE">
              <w:rPr>
                <w:rStyle w:val="Hyperlink"/>
                <w:rFonts w:eastAsia="Arial"/>
              </w:rPr>
              <w:t>My Aged Care</w:t>
            </w:r>
            <w:r>
              <w:rPr>
                <w:webHidden/>
              </w:rPr>
              <w:tab/>
            </w:r>
            <w:r>
              <w:rPr>
                <w:webHidden/>
              </w:rPr>
              <w:fldChar w:fldCharType="begin"/>
            </w:r>
            <w:r>
              <w:rPr>
                <w:webHidden/>
              </w:rPr>
              <w:instrText xml:space="preserve"> PAGEREF _Toc197076868 \h </w:instrText>
            </w:r>
            <w:r>
              <w:rPr>
                <w:webHidden/>
              </w:rPr>
            </w:r>
            <w:r>
              <w:rPr>
                <w:webHidden/>
              </w:rPr>
              <w:fldChar w:fldCharType="separate"/>
            </w:r>
            <w:r w:rsidR="00365F01">
              <w:rPr>
                <w:webHidden/>
              </w:rPr>
              <w:t>7</w:t>
            </w:r>
            <w:r>
              <w:rPr>
                <w:webHidden/>
              </w:rPr>
              <w:fldChar w:fldCharType="end"/>
            </w:r>
          </w:hyperlink>
        </w:p>
        <w:p w14:paraId="125D34A1" w14:textId="32DEF45F" w:rsidR="00BF3E4C" w:rsidRDefault="00BF3E4C">
          <w:pPr>
            <w:pStyle w:val="TOC3"/>
            <w:rPr>
              <w:rFonts w:eastAsiaTheme="minorEastAsia" w:cstheme="minorBidi"/>
              <w:bCs w:val="0"/>
              <w:snapToGrid/>
              <w:spacing w:val="0"/>
              <w:kern w:val="2"/>
              <w:sz w:val="24"/>
              <w14:ligatures w14:val="standardContextual"/>
            </w:rPr>
          </w:pPr>
          <w:hyperlink w:anchor="_Toc197076869" w:history="1">
            <w:r w:rsidRPr="00DC07FE">
              <w:rPr>
                <w:rStyle w:val="Hyperlink"/>
              </w:rPr>
              <w:t>2.6.3</w:t>
            </w:r>
            <w:r>
              <w:rPr>
                <w:rFonts w:eastAsiaTheme="minorEastAsia" w:cstheme="minorBidi"/>
                <w:bCs w:val="0"/>
                <w:snapToGrid/>
                <w:spacing w:val="0"/>
                <w:kern w:val="2"/>
                <w:sz w:val="24"/>
                <w14:ligatures w14:val="standardContextual"/>
              </w:rPr>
              <w:tab/>
            </w:r>
            <w:r w:rsidRPr="00DC07FE">
              <w:rPr>
                <w:rStyle w:val="Hyperlink"/>
              </w:rPr>
              <w:t>Services Australia</w:t>
            </w:r>
            <w:r>
              <w:rPr>
                <w:webHidden/>
              </w:rPr>
              <w:tab/>
            </w:r>
            <w:r>
              <w:rPr>
                <w:webHidden/>
              </w:rPr>
              <w:fldChar w:fldCharType="begin"/>
            </w:r>
            <w:r>
              <w:rPr>
                <w:webHidden/>
              </w:rPr>
              <w:instrText xml:space="preserve"> PAGEREF _Toc197076869 \h </w:instrText>
            </w:r>
            <w:r>
              <w:rPr>
                <w:webHidden/>
              </w:rPr>
            </w:r>
            <w:r>
              <w:rPr>
                <w:webHidden/>
              </w:rPr>
              <w:fldChar w:fldCharType="separate"/>
            </w:r>
            <w:r w:rsidR="00365F01">
              <w:rPr>
                <w:webHidden/>
              </w:rPr>
              <w:t>7</w:t>
            </w:r>
            <w:r>
              <w:rPr>
                <w:webHidden/>
              </w:rPr>
              <w:fldChar w:fldCharType="end"/>
            </w:r>
          </w:hyperlink>
        </w:p>
        <w:p w14:paraId="1CB8BE69" w14:textId="0F1C4F3E" w:rsidR="00BF3E4C" w:rsidRDefault="00BF3E4C">
          <w:pPr>
            <w:pStyle w:val="TOC1"/>
            <w:tabs>
              <w:tab w:val="left" w:pos="1540"/>
            </w:tabs>
            <w:rPr>
              <w:rFonts w:asciiTheme="minorHAnsi" w:eastAsiaTheme="minorEastAsia" w:hAnsiTheme="minorHAnsi" w:cstheme="minorBidi"/>
              <w:noProof/>
              <w:spacing w:val="0"/>
              <w:kern w:val="2"/>
              <w:sz w:val="24"/>
              <w14:ligatures w14:val="standardContextual"/>
            </w:rPr>
          </w:pPr>
          <w:hyperlink w:anchor="_Toc197076870" w:history="1">
            <w:r w:rsidRPr="00DC07FE">
              <w:rPr>
                <w:rStyle w:val="Hyperlink"/>
                <w:rFonts w:eastAsiaTheme="majorEastAsia"/>
                <w:noProof/>
              </w:rPr>
              <w:t>CHAPTER 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THE TRANSITION CARE PROGRAMME</w:t>
            </w:r>
            <w:r>
              <w:rPr>
                <w:noProof/>
                <w:webHidden/>
              </w:rPr>
              <w:tab/>
            </w:r>
            <w:r>
              <w:rPr>
                <w:noProof/>
                <w:webHidden/>
              </w:rPr>
              <w:fldChar w:fldCharType="begin"/>
            </w:r>
            <w:r>
              <w:rPr>
                <w:noProof/>
                <w:webHidden/>
              </w:rPr>
              <w:instrText xml:space="preserve"> PAGEREF _Toc197076870 \h </w:instrText>
            </w:r>
            <w:r>
              <w:rPr>
                <w:noProof/>
                <w:webHidden/>
              </w:rPr>
            </w:r>
            <w:r>
              <w:rPr>
                <w:noProof/>
                <w:webHidden/>
              </w:rPr>
              <w:fldChar w:fldCharType="separate"/>
            </w:r>
            <w:r w:rsidR="00365F01">
              <w:rPr>
                <w:noProof/>
                <w:webHidden/>
              </w:rPr>
              <w:t>9</w:t>
            </w:r>
            <w:r>
              <w:rPr>
                <w:noProof/>
                <w:webHidden/>
              </w:rPr>
              <w:fldChar w:fldCharType="end"/>
            </w:r>
          </w:hyperlink>
        </w:p>
        <w:p w14:paraId="766D8547" w14:textId="6C42280A"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71" w:history="1">
            <w:r w:rsidRPr="00DC07FE">
              <w:rPr>
                <w:rStyle w:val="Hyperlink"/>
                <w:rFonts w:eastAsiaTheme="majorEastAsia"/>
                <w:noProof/>
              </w:rPr>
              <w:t>3.1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What is transition care?</w:t>
            </w:r>
            <w:r>
              <w:rPr>
                <w:noProof/>
                <w:webHidden/>
              </w:rPr>
              <w:tab/>
            </w:r>
            <w:r>
              <w:rPr>
                <w:noProof/>
                <w:webHidden/>
              </w:rPr>
              <w:fldChar w:fldCharType="begin"/>
            </w:r>
            <w:r>
              <w:rPr>
                <w:noProof/>
                <w:webHidden/>
              </w:rPr>
              <w:instrText xml:space="preserve"> PAGEREF _Toc197076871 \h </w:instrText>
            </w:r>
            <w:r>
              <w:rPr>
                <w:noProof/>
                <w:webHidden/>
              </w:rPr>
            </w:r>
            <w:r>
              <w:rPr>
                <w:noProof/>
                <w:webHidden/>
              </w:rPr>
              <w:fldChar w:fldCharType="separate"/>
            </w:r>
            <w:r w:rsidR="00365F01">
              <w:rPr>
                <w:noProof/>
                <w:webHidden/>
              </w:rPr>
              <w:t>9</w:t>
            </w:r>
            <w:r>
              <w:rPr>
                <w:noProof/>
                <w:webHidden/>
              </w:rPr>
              <w:fldChar w:fldCharType="end"/>
            </w:r>
          </w:hyperlink>
        </w:p>
        <w:p w14:paraId="629EEB67" w14:textId="411B8416" w:rsidR="00BF3E4C" w:rsidRDefault="00BF3E4C">
          <w:pPr>
            <w:pStyle w:val="TOC3"/>
            <w:rPr>
              <w:rFonts w:eastAsiaTheme="minorEastAsia" w:cstheme="minorBidi"/>
              <w:bCs w:val="0"/>
              <w:snapToGrid/>
              <w:spacing w:val="0"/>
              <w:kern w:val="2"/>
              <w:sz w:val="24"/>
              <w14:ligatures w14:val="standardContextual"/>
            </w:rPr>
          </w:pPr>
          <w:hyperlink w:anchor="_Toc197076872" w:history="1">
            <w:r w:rsidRPr="00DC07FE">
              <w:rPr>
                <w:rStyle w:val="Hyperlink"/>
              </w:rPr>
              <w:t>Aim/Objectives</w:t>
            </w:r>
            <w:r>
              <w:rPr>
                <w:webHidden/>
              </w:rPr>
              <w:tab/>
            </w:r>
            <w:r>
              <w:rPr>
                <w:webHidden/>
              </w:rPr>
              <w:fldChar w:fldCharType="begin"/>
            </w:r>
            <w:r>
              <w:rPr>
                <w:webHidden/>
              </w:rPr>
              <w:instrText xml:space="preserve"> PAGEREF _Toc197076872 \h </w:instrText>
            </w:r>
            <w:r>
              <w:rPr>
                <w:webHidden/>
              </w:rPr>
            </w:r>
            <w:r>
              <w:rPr>
                <w:webHidden/>
              </w:rPr>
              <w:fldChar w:fldCharType="separate"/>
            </w:r>
            <w:r w:rsidR="00365F01">
              <w:rPr>
                <w:webHidden/>
              </w:rPr>
              <w:t>9</w:t>
            </w:r>
            <w:r>
              <w:rPr>
                <w:webHidden/>
              </w:rPr>
              <w:fldChar w:fldCharType="end"/>
            </w:r>
          </w:hyperlink>
        </w:p>
        <w:p w14:paraId="05B9BCF1" w14:textId="3E1B8EA2" w:rsidR="00BF3E4C" w:rsidRDefault="00BF3E4C">
          <w:pPr>
            <w:pStyle w:val="TOC3"/>
            <w:rPr>
              <w:rFonts w:eastAsiaTheme="minorEastAsia" w:cstheme="minorBidi"/>
              <w:bCs w:val="0"/>
              <w:snapToGrid/>
              <w:spacing w:val="0"/>
              <w:kern w:val="2"/>
              <w:sz w:val="24"/>
              <w14:ligatures w14:val="standardContextual"/>
            </w:rPr>
          </w:pPr>
          <w:hyperlink w:anchor="_Toc197076873" w:history="1">
            <w:r w:rsidRPr="00DC07FE">
              <w:rPr>
                <w:rStyle w:val="Hyperlink"/>
              </w:rPr>
              <w:t>Mix of Services</w:t>
            </w:r>
            <w:r>
              <w:rPr>
                <w:webHidden/>
              </w:rPr>
              <w:tab/>
            </w:r>
            <w:r>
              <w:rPr>
                <w:webHidden/>
              </w:rPr>
              <w:fldChar w:fldCharType="begin"/>
            </w:r>
            <w:r>
              <w:rPr>
                <w:webHidden/>
              </w:rPr>
              <w:instrText xml:space="preserve"> PAGEREF _Toc197076873 \h </w:instrText>
            </w:r>
            <w:r>
              <w:rPr>
                <w:webHidden/>
              </w:rPr>
            </w:r>
            <w:r>
              <w:rPr>
                <w:webHidden/>
              </w:rPr>
              <w:fldChar w:fldCharType="separate"/>
            </w:r>
            <w:r w:rsidR="00365F01">
              <w:rPr>
                <w:webHidden/>
              </w:rPr>
              <w:t>9</w:t>
            </w:r>
            <w:r>
              <w:rPr>
                <w:webHidden/>
              </w:rPr>
              <w:fldChar w:fldCharType="end"/>
            </w:r>
          </w:hyperlink>
        </w:p>
        <w:p w14:paraId="419219F4" w14:textId="064CE7F4" w:rsidR="00BF3E4C" w:rsidRDefault="00BF3E4C">
          <w:pPr>
            <w:pStyle w:val="TOC3"/>
            <w:rPr>
              <w:rFonts w:eastAsiaTheme="minorEastAsia" w:cstheme="minorBidi"/>
              <w:bCs w:val="0"/>
              <w:snapToGrid/>
              <w:spacing w:val="0"/>
              <w:kern w:val="2"/>
              <w:sz w:val="24"/>
              <w14:ligatures w14:val="standardContextual"/>
            </w:rPr>
          </w:pPr>
          <w:hyperlink w:anchor="_Toc197076874" w:history="1">
            <w:r w:rsidRPr="00DC07FE">
              <w:rPr>
                <w:rStyle w:val="Hyperlink"/>
              </w:rPr>
              <w:t>3.1.1</w:t>
            </w:r>
            <w:r>
              <w:rPr>
                <w:rFonts w:eastAsiaTheme="minorEastAsia" w:cstheme="minorBidi"/>
                <w:bCs w:val="0"/>
                <w:snapToGrid/>
                <w:spacing w:val="0"/>
                <w:kern w:val="2"/>
                <w:sz w:val="24"/>
                <w14:ligatures w14:val="standardContextual"/>
              </w:rPr>
              <w:tab/>
            </w:r>
            <w:r w:rsidRPr="00DC07FE">
              <w:rPr>
                <w:rStyle w:val="Hyperlink"/>
              </w:rPr>
              <w:t>Services provided through transition care</w:t>
            </w:r>
            <w:r>
              <w:rPr>
                <w:webHidden/>
              </w:rPr>
              <w:tab/>
            </w:r>
            <w:r>
              <w:rPr>
                <w:webHidden/>
              </w:rPr>
              <w:fldChar w:fldCharType="begin"/>
            </w:r>
            <w:r>
              <w:rPr>
                <w:webHidden/>
              </w:rPr>
              <w:instrText xml:space="preserve"> PAGEREF _Toc197076874 \h </w:instrText>
            </w:r>
            <w:r>
              <w:rPr>
                <w:webHidden/>
              </w:rPr>
            </w:r>
            <w:r>
              <w:rPr>
                <w:webHidden/>
              </w:rPr>
              <w:fldChar w:fldCharType="separate"/>
            </w:r>
            <w:r w:rsidR="00365F01">
              <w:rPr>
                <w:webHidden/>
              </w:rPr>
              <w:t>9</w:t>
            </w:r>
            <w:r>
              <w:rPr>
                <w:webHidden/>
              </w:rPr>
              <w:fldChar w:fldCharType="end"/>
            </w:r>
          </w:hyperlink>
        </w:p>
        <w:p w14:paraId="1CFA8C85" w14:textId="5D8588DF"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75" w:history="1">
            <w:r w:rsidRPr="00DC07FE">
              <w:rPr>
                <w:rStyle w:val="Hyperlink"/>
                <w:rFonts w:eastAsiaTheme="majorEastAsia"/>
                <w:noProof/>
              </w:rPr>
              <w:t>3.2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Eligible care recipients</w:t>
            </w:r>
            <w:r>
              <w:rPr>
                <w:noProof/>
                <w:webHidden/>
              </w:rPr>
              <w:tab/>
            </w:r>
            <w:r>
              <w:rPr>
                <w:noProof/>
                <w:webHidden/>
              </w:rPr>
              <w:fldChar w:fldCharType="begin"/>
            </w:r>
            <w:r>
              <w:rPr>
                <w:noProof/>
                <w:webHidden/>
              </w:rPr>
              <w:instrText xml:space="preserve"> PAGEREF _Toc197076875 \h </w:instrText>
            </w:r>
            <w:r>
              <w:rPr>
                <w:noProof/>
                <w:webHidden/>
              </w:rPr>
            </w:r>
            <w:r>
              <w:rPr>
                <w:noProof/>
                <w:webHidden/>
              </w:rPr>
              <w:fldChar w:fldCharType="separate"/>
            </w:r>
            <w:r w:rsidR="00365F01">
              <w:rPr>
                <w:noProof/>
                <w:webHidden/>
              </w:rPr>
              <w:t>10</w:t>
            </w:r>
            <w:r>
              <w:rPr>
                <w:noProof/>
                <w:webHidden/>
              </w:rPr>
              <w:fldChar w:fldCharType="end"/>
            </w:r>
          </w:hyperlink>
        </w:p>
        <w:p w14:paraId="52ED8CDA" w14:textId="5695BEDF" w:rsidR="00BF3E4C" w:rsidRDefault="00BF3E4C">
          <w:pPr>
            <w:pStyle w:val="TOC3"/>
            <w:rPr>
              <w:rFonts w:eastAsiaTheme="minorEastAsia" w:cstheme="minorBidi"/>
              <w:bCs w:val="0"/>
              <w:snapToGrid/>
              <w:spacing w:val="0"/>
              <w:kern w:val="2"/>
              <w:sz w:val="24"/>
              <w14:ligatures w14:val="standardContextual"/>
            </w:rPr>
          </w:pPr>
          <w:hyperlink w:anchor="_Toc197076876" w:history="1">
            <w:r w:rsidRPr="00DC07FE">
              <w:rPr>
                <w:rStyle w:val="Hyperlink"/>
              </w:rPr>
              <w:t>3.2.1</w:t>
            </w:r>
            <w:r>
              <w:rPr>
                <w:rFonts w:eastAsiaTheme="minorEastAsia" w:cstheme="minorBidi"/>
                <w:bCs w:val="0"/>
                <w:snapToGrid/>
                <w:spacing w:val="0"/>
                <w:kern w:val="2"/>
                <w:sz w:val="24"/>
                <w14:ligatures w14:val="standardContextual"/>
              </w:rPr>
              <w:tab/>
            </w:r>
            <w:r w:rsidRPr="00DC07FE">
              <w:rPr>
                <w:rStyle w:val="Hyperlink"/>
              </w:rPr>
              <w:t>Aboriginal and Torres Strait Islander people</w:t>
            </w:r>
            <w:r>
              <w:rPr>
                <w:webHidden/>
              </w:rPr>
              <w:tab/>
            </w:r>
            <w:r>
              <w:rPr>
                <w:webHidden/>
              </w:rPr>
              <w:fldChar w:fldCharType="begin"/>
            </w:r>
            <w:r>
              <w:rPr>
                <w:webHidden/>
              </w:rPr>
              <w:instrText xml:space="preserve"> PAGEREF _Toc197076876 \h </w:instrText>
            </w:r>
            <w:r>
              <w:rPr>
                <w:webHidden/>
              </w:rPr>
            </w:r>
            <w:r>
              <w:rPr>
                <w:webHidden/>
              </w:rPr>
              <w:fldChar w:fldCharType="separate"/>
            </w:r>
            <w:r w:rsidR="00365F01">
              <w:rPr>
                <w:webHidden/>
              </w:rPr>
              <w:t>10</w:t>
            </w:r>
            <w:r>
              <w:rPr>
                <w:webHidden/>
              </w:rPr>
              <w:fldChar w:fldCharType="end"/>
            </w:r>
          </w:hyperlink>
        </w:p>
        <w:p w14:paraId="7E416C6C" w14:textId="2633E49E" w:rsidR="00BF3E4C" w:rsidRDefault="00BF3E4C">
          <w:pPr>
            <w:pStyle w:val="TOC3"/>
            <w:rPr>
              <w:rFonts w:eastAsiaTheme="minorEastAsia" w:cstheme="minorBidi"/>
              <w:bCs w:val="0"/>
              <w:snapToGrid/>
              <w:spacing w:val="0"/>
              <w:kern w:val="2"/>
              <w:sz w:val="24"/>
              <w14:ligatures w14:val="standardContextual"/>
            </w:rPr>
          </w:pPr>
          <w:hyperlink w:anchor="_Toc197076877" w:history="1">
            <w:r w:rsidRPr="00DC07FE">
              <w:rPr>
                <w:rStyle w:val="Hyperlink"/>
              </w:rPr>
              <w:t>3.2.2</w:t>
            </w:r>
            <w:r>
              <w:rPr>
                <w:rFonts w:eastAsiaTheme="minorEastAsia" w:cstheme="minorBidi"/>
                <w:bCs w:val="0"/>
                <w:snapToGrid/>
                <w:spacing w:val="0"/>
                <w:kern w:val="2"/>
                <w:sz w:val="24"/>
                <w14:ligatures w14:val="standardContextual"/>
              </w:rPr>
              <w:tab/>
            </w:r>
            <w:r w:rsidRPr="00DC07FE">
              <w:rPr>
                <w:rStyle w:val="Hyperlink"/>
              </w:rPr>
              <w:t>Older people with dementia</w:t>
            </w:r>
            <w:r>
              <w:rPr>
                <w:webHidden/>
              </w:rPr>
              <w:tab/>
            </w:r>
            <w:r>
              <w:rPr>
                <w:webHidden/>
              </w:rPr>
              <w:fldChar w:fldCharType="begin"/>
            </w:r>
            <w:r>
              <w:rPr>
                <w:webHidden/>
              </w:rPr>
              <w:instrText xml:space="preserve"> PAGEREF _Toc197076877 \h </w:instrText>
            </w:r>
            <w:r>
              <w:rPr>
                <w:webHidden/>
              </w:rPr>
            </w:r>
            <w:r>
              <w:rPr>
                <w:webHidden/>
              </w:rPr>
              <w:fldChar w:fldCharType="separate"/>
            </w:r>
            <w:r w:rsidR="00365F01">
              <w:rPr>
                <w:webHidden/>
              </w:rPr>
              <w:t>11</w:t>
            </w:r>
            <w:r>
              <w:rPr>
                <w:webHidden/>
              </w:rPr>
              <w:fldChar w:fldCharType="end"/>
            </w:r>
          </w:hyperlink>
        </w:p>
        <w:p w14:paraId="2EE95449" w14:textId="48C29B05" w:rsidR="00BF3E4C" w:rsidRDefault="00BF3E4C">
          <w:pPr>
            <w:pStyle w:val="TOC3"/>
            <w:rPr>
              <w:rFonts w:eastAsiaTheme="minorEastAsia" w:cstheme="minorBidi"/>
              <w:bCs w:val="0"/>
              <w:snapToGrid/>
              <w:spacing w:val="0"/>
              <w:kern w:val="2"/>
              <w:sz w:val="24"/>
              <w14:ligatures w14:val="standardContextual"/>
            </w:rPr>
          </w:pPr>
          <w:hyperlink w:anchor="_Toc197076878" w:history="1">
            <w:r w:rsidRPr="00DC07FE">
              <w:rPr>
                <w:rStyle w:val="Hyperlink"/>
              </w:rPr>
              <w:t>3.2.3</w:t>
            </w:r>
            <w:r>
              <w:rPr>
                <w:rFonts w:eastAsiaTheme="minorEastAsia" w:cstheme="minorBidi"/>
                <w:bCs w:val="0"/>
                <w:snapToGrid/>
                <w:spacing w:val="0"/>
                <w:kern w:val="2"/>
                <w:sz w:val="24"/>
                <w14:ligatures w14:val="standardContextual"/>
              </w:rPr>
              <w:tab/>
            </w:r>
            <w:r w:rsidRPr="00DC07FE">
              <w:rPr>
                <w:rStyle w:val="Hyperlink"/>
              </w:rPr>
              <w:t>National Disability Insurance Scheme (NDIS) Client Eligibility</w:t>
            </w:r>
            <w:r>
              <w:rPr>
                <w:webHidden/>
              </w:rPr>
              <w:tab/>
            </w:r>
            <w:r>
              <w:rPr>
                <w:webHidden/>
              </w:rPr>
              <w:fldChar w:fldCharType="begin"/>
            </w:r>
            <w:r>
              <w:rPr>
                <w:webHidden/>
              </w:rPr>
              <w:instrText xml:space="preserve"> PAGEREF _Toc197076878 \h </w:instrText>
            </w:r>
            <w:r>
              <w:rPr>
                <w:webHidden/>
              </w:rPr>
            </w:r>
            <w:r>
              <w:rPr>
                <w:webHidden/>
              </w:rPr>
              <w:fldChar w:fldCharType="separate"/>
            </w:r>
            <w:r w:rsidR="00365F01">
              <w:rPr>
                <w:webHidden/>
              </w:rPr>
              <w:t>11</w:t>
            </w:r>
            <w:r>
              <w:rPr>
                <w:webHidden/>
              </w:rPr>
              <w:fldChar w:fldCharType="end"/>
            </w:r>
          </w:hyperlink>
        </w:p>
        <w:p w14:paraId="48534179" w14:textId="660466D5" w:rsidR="00BF3E4C" w:rsidRDefault="00BF3E4C">
          <w:pPr>
            <w:pStyle w:val="TOC3"/>
            <w:rPr>
              <w:rFonts w:eastAsiaTheme="minorEastAsia" w:cstheme="minorBidi"/>
              <w:bCs w:val="0"/>
              <w:snapToGrid/>
              <w:spacing w:val="0"/>
              <w:kern w:val="2"/>
              <w:sz w:val="24"/>
              <w14:ligatures w14:val="standardContextual"/>
            </w:rPr>
          </w:pPr>
          <w:hyperlink w:anchor="_Toc197076879" w:history="1">
            <w:r w:rsidRPr="00DC07FE">
              <w:rPr>
                <w:rStyle w:val="Hyperlink"/>
              </w:rPr>
              <w:t>3.2.4</w:t>
            </w:r>
            <w:r>
              <w:rPr>
                <w:rFonts w:eastAsiaTheme="minorEastAsia" w:cstheme="minorBidi"/>
                <w:bCs w:val="0"/>
                <w:snapToGrid/>
                <w:spacing w:val="0"/>
                <w:kern w:val="2"/>
                <w:sz w:val="24"/>
                <w14:ligatures w14:val="standardContextual"/>
              </w:rPr>
              <w:tab/>
            </w:r>
            <w:r w:rsidRPr="00DC07FE">
              <w:rPr>
                <w:rStyle w:val="Hyperlink"/>
              </w:rPr>
              <w:t>Older people who usually reside interstate</w:t>
            </w:r>
            <w:r>
              <w:rPr>
                <w:webHidden/>
              </w:rPr>
              <w:tab/>
            </w:r>
            <w:r>
              <w:rPr>
                <w:webHidden/>
              </w:rPr>
              <w:fldChar w:fldCharType="begin"/>
            </w:r>
            <w:r>
              <w:rPr>
                <w:webHidden/>
              </w:rPr>
              <w:instrText xml:space="preserve"> PAGEREF _Toc197076879 \h </w:instrText>
            </w:r>
            <w:r>
              <w:rPr>
                <w:webHidden/>
              </w:rPr>
            </w:r>
            <w:r>
              <w:rPr>
                <w:webHidden/>
              </w:rPr>
              <w:fldChar w:fldCharType="separate"/>
            </w:r>
            <w:r w:rsidR="00365F01">
              <w:rPr>
                <w:webHidden/>
              </w:rPr>
              <w:t>11</w:t>
            </w:r>
            <w:r>
              <w:rPr>
                <w:webHidden/>
              </w:rPr>
              <w:fldChar w:fldCharType="end"/>
            </w:r>
          </w:hyperlink>
        </w:p>
        <w:p w14:paraId="3D038757" w14:textId="12E8968D" w:rsidR="00BF3E4C" w:rsidRDefault="00BF3E4C">
          <w:pPr>
            <w:pStyle w:val="TOC3"/>
            <w:rPr>
              <w:rFonts w:eastAsiaTheme="minorEastAsia" w:cstheme="minorBidi"/>
              <w:bCs w:val="0"/>
              <w:snapToGrid/>
              <w:spacing w:val="0"/>
              <w:kern w:val="2"/>
              <w:sz w:val="24"/>
              <w14:ligatures w14:val="standardContextual"/>
            </w:rPr>
          </w:pPr>
          <w:hyperlink w:anchor="_Toc197076880" w:history="1">
            <w:r w:rsidRPr="00DC07FE">
              <w:rPr>
                <w:rStyle w:val="Hyperlink"/>
              </w:rPr>
              <w:t>3.2.5</w:t>
            </w:r>
            <w:r>
              <w:rPr>
                <w:rFonts w:eastAsiaTheme="minorEastAsia" w:cstheme="minorBidi"/>
                <w:bCs w:val="0"/>
                <w:snapToGrid/>
                <w:spacing w:val="0"/>
                <w:kern w:val="2"/>
                <w:sz w:val="24"/>
                <w14:ligatures w14:val="standardContextual"/>
              </w:rPr>
              <w:tab/>
            </w:r>
            <w:r w:rsidRPr="00DC07FE">
              <w:rPr>
                <w:rStyle w:val="Hyperlink"/>
              </w:rPr>
              <w:t>Non-Australian residents and older people from overseas</w:t>
            </w:r>
            <w:r>
              <w:rPr>
                <w:webHidden/>
              </w:rPr>
              <w:tab/>
            </w:r>
            <w:r>
              <w:rPr>
                <w:webHidden/>
              </w:rPr>
              <w:fldChar w:fldCharType="begin"/>
            </w:r>
            <w:r>
              <w:rPr>
                <w:webHidden/>
              </w:rPr>
              <w:instrText xml:space="preserve"> PAGEREF _Toc197076880 \h </w:instrText>
            </w:r>
            <w:r>
              <w:rPr>
                <w:webHidden/>
              </w:rPr>
            </w:r>
            <w:r>
              <w:rPr>
                <w:webHidden/>
              </w:rPr>
              <w:fldChar w:fldCharType="separate"/>
            </w:r>
            <w:r w:rsidR="00365F01">
              <w:rPr>
                <w:webHidden/>
              </w:rPr>
              <w:t>11</w:t>
            </w:r>
            <w:r>
              <w:rPr>
                <w:webHidden/>
              </w:rPr>
              <w:fldChar w:fldCharType="end"/>
            </w:r>
          </w:hyperlink>
        </w:p>
        <w:p w14:paraId="4B6BD9EA" w14:textId="78D1C5D4"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81" w:history="1">
            <w:r w:rsidRPr="00DC07FE">
              <w:rPr>
                <w:rStyle w:val="Hyperlink"/>
                <w:rFonts w:eastAsiaTheme="majorEastAsia"/>
                <w:noProof/>
              </w:rPr>
              <w:t>3.3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The role of hospitals</w:t>
            </w:r>
            <w:r>
              <w:rPr>
                <w:noProof/>
                <w:webHidden/>
              </w:rPr>
              <w:tab/>
            </w:r>
            <w:r>
              <w:rPr>
                <w:noProof/>
                <w:webHidden/>
              </w:rPr>
              <w:fldChar w:fldCharType="begin"/>
            </w:r>
            <w:r>
              <w:rPr>
                <w:noProof/>
                <w:webHidden/>
              </w:rPr>
              <w:instrText xml:space="preserve"> PAGEREF _Toc197076881 \h </w:instrText>
            </w:r>
            <w:r>
              <w:rPr>
                <w:noProof/>
                <w:webHidden/>
              </w:rPr>
            </w:r>
            <w:r>
              <w:rPr>
                <w:noProof/>
                <w:webHidden/>
              </w:rPr>
              <w:fldChar w:fldCharType="separate"/>
            </w:r>
            <w:r w:rsidR="00365F01">
              <w:rPr>
                <w:noProof/>
                <w:webHidden/>
              </w:rPr>
              <w:t>12</w:t>
            </w:r>
            <w:r>
              <w:rPr>
                <w:noProof/>
                <w:webHidden/>
              </w:rPr>
              <w:fldChar w:fldCharType="end"/>
            </w:r>
          </w:hyperlink>
        </w:p>
        <w:p w14:paraId="0393C086" w14:textId="560070FC" w:rsidR="00BF3E4C" w:rsidRDefault="00BF3E4C">
          <w:pPr>
            <w:pStyle w:val="TOC3"/>
            <w:rPr>
              <w:rFonts w:eastAsiaTheme="minorEastAsia" w:cstheme="minorBidi"/>
              <w:bCs w:val="0"/>
              <w:snapToGrid/>
              <w:spacing w:val="0"/>
              <w:kern w:val="2"/>
              <w:sz w:val="24"/>
              <w14:ligatures w14:val="standardContextual"/>
            </w:rPr>
          </w:pPr>
          <w:hyperlink w:anchor="_Toc197076882" w:history="1">
            <w:r w:rsidRPr="00DC07FE">
              <w:rPr>
                <w:rStyle w:val="Hyperlink"/>
              </w:rPr>
              <w:t>3.3.1</w:t>
            </w:r>
            <w:r>
              <w:rPr>
                <w:rFonts w:eastAsiaTheme="minorEastAsia" w:cstheme="minorBidi"/>
                <w:bCs w:val="0"/>
                <w:snapToGrid/>
                <w:spacing w:val="0"/>
                <w:kern w:val="2"/>
                <w:sz w:val="24"/>
                <w14:ligatures w14:val="standardContextual"/>
              </w:rPr>
              <w:tab/>
            </w:r>
            <w:r w:rsidRPr="00DC07FE">
              <w:rPr>
                <w:rStyle w:val="Hyperlink"/>
              </w:rPr>
              <w:t>Referral process</w:t>
            </w:r>
            <w:r>
              <w:rPr>
                <w:webHidden/>
              </w:rPr>
              <w:tab/>
            </w:r>
            <w:r>
              <w:rPr>
                <w:webHidden/>
              </w:rPr>
              <w:fldChar w:fldCharType="begin"/>
            </w:r>
            <w:r>
              <w:rPr>
                <w:webHidden/>
              </w:rPr>
              <w:instrText xml:space="preserve"> PAGEREF _Toc197076882 \h </w:instrText>
            </w:r>
            <w:r>
              <w:rPr>
                <w:webHidden/>
              </w:rPr>
            </w:r>
            <w:r>
              <w:rPr>
                <w:webHidden/>
              </w:rPr>
              <w:fldChar w:fldCharType="separate"/>
            </w:r>
            <w:r w:rsidR="00365F01">
              <w:rPr>
                <w:webHidden/>
              </w:rPr>
              <w:t>12</w:t>
            </w:r>
            <w:r>
              <w:rPr>
                <w:webHidden/>
              </w:rPr>
              <w:fldChar w:fldCharType="end"/>
            </w:r>
          </w:hyperlink>
        </w:p>
        <w:p w14:paraId="564D9857" w14:textId="6C3B9973"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83" w:history="1">
            <w:r w:rsidRPr="00DC07FE">
              <w:rPr>
                <w:rStyle w:val="Hyperlink"/>
                <w:rFonts w:eastAsiaTheme="majorEastAsia"/>
                <w:noProof/>
              </w:rPr>
              <w:t>3.4</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Assessment and approval of care recipients for transition care</w:t>
            </w:r>
            <w:r>
              <w:rPr>
                <w:noProof/>
                <w:webHidden/>
              </w:rPr>
              <w:tab/>
            </w:r>
            <w:r>
              <w:rPr>
                <w:noProof/>
                <w:webHidden/>
              </w:rPr>
              <w:fldChar w:fldCharType="begin"/>
            </w:r>
            <w:r>
              <w:rPr>
                <w:noProof/>
                <w:webHidden/>
              </w:rPr>
              <w:instrText xml:space="preserve"> PAGEREF _Toc197076883 \h </w:instrText>
            </w:r>
            <w:r>
              <w:rPr>
                <w:noProof/>
                <w:webHidden/>
              </w:rPr>
            </w:r>
            <w:r>
              <w:rPr>
                <w:noProof/>
                <w:webHidden/>
              </w:rPr>
              <w:fldChar w:fldCharType="separate"/>
            </w:r>
            <w:r w:rsidR="00365F01">
              <w:rPr>
                <w:noProof/>
                <w:webHidden/>
              </w:rPr>
              <w:t>12</w:t>
            </w:r>
            <w:r>
              <w:rPr>
                <w:noProof/>
                <w:webHidden/>
              </w:rPr>
              <w:fldChar w:fldCharType="end"/>
            </w:r>
          </w:hyperlink>
        </w:p>
        <w:p w14:paraId="79DA1C44" w14:textId="107703FA" w:rsidR="00BF3E4C" w:rsidRDefault="00BF3E4C">
          <w:pPr>
            <w:pStyle w:val="TOC3"/>
            <w:rPr>
              <w:rFonts w:eastAsiaTheme="minorEastAsia" w:cstheme="minorBidi"/>
              <w:bCs w:val="0"/>
              <w:snapToGrid/>
              <w:spacing w:val="0"/>
              <w:kern w:val="2"/>
              <w:sz w:val="24"/>
              <w14:ligatures w14:val="standardContextual"/>
            </w:rPr>
          </w:pPr>
          <w:hyperlink w:anchor="_Toc197076884" w:history="1">
            <w:r w:rsidRPr="00DC07FE">
              <w:rPr>
                <w:rStyle w:val="Hyperlink"/>
              </w:rPr>
              <w:t>3.4.1</w:t>
            </w:r>
            <w:r>
              <w:rPr>
                <w:rFonts w:eastAsiaTheme="minorEastAsia" w:cstheme="minorBidi"/>
                <w:bCs w:val="0"/>
                <w:snapToGrid/>
                <w:spacing w:val="0"/>
                <w:kern w:val="2"/>
                <w:sz w:val="24"/>
                <w14:ligatures w14:val="standardContextual"/>
              </w:rPr>
              <w:tab/>
            </w:r>
            <w:r w:rsidRPr="00DC07FE">
              <w:rPr>
                <w:rStyle w:val="Hyperlink"/>
              </w:rPr>
              <w:t>Assessment: role of the clinical aged care needs Aged Care Assessor</w:t>
            </w:r>
            <w:r>
              <w:rPr>
                <w:webHidden/>
              </w:rPr>
              <w:tab/>
            </w:r>
            <w:r>
              <w:rPr>
                <w:webHidden/>
              </w:rPr>
              <w:fldChar w:fldCharType="begin"/>
            </w:r>
            <w:r>
              <w:rPr>
                <w:webHidden/>
              </w:rPr>
              <w:instrText xml:space="preserve"> PAGEREF _Toc197076884 \h </w:instrText>
            </w:r>
            <w:r>
              <w:rPr>
                <w:webHidden/>
              </w:rPr>
            </w:r>
            <w:r>
              <w:rPr>
                <w:webHidden/>
              </w:rPr>
              <w:fldChar w:fldCharType="separate"/>
            </w:r>
            <w:r w:rsidR="00365F01">
              <w:rPr>
                <w:webHidden/>
              </w:rPr>
              <w:t>12</w:t>
            </w:r>
            <w:r>
              <w:rPr>
                <w:webHidden/>
              </w:rPr>
              <w:fldChar w:fldCharType="end"/>
            </w:r>
          </w:hyperlink>
        </w:p>
        <w:p w14:paraId="3F7B54AA" w14:textId="752A7E4E" w:rsidR="00BF3E4C" w:rsidRDefault="00BF3E4C">
          <w:pPr>
            <w:pStyle w:val="TOC3"/>
            <w:rPr>
              <w:rFonts w:eastAsiaTheme="minorEastAsia" w:cstheme="minorBidi"/>
              <w:bCs w:val="0"/>
              <w:snapToGrid/>
              <w:spacing w:val="0"/>
              <w:kern w:val="2"/>
              <w:sz w:val="24"/>
              <w14:ligatures w14:val="standardContextual"/>
            </w:rPr>
          </w:pPr>
          <w:hyperlink w:anchor="_Toc197076885" w:history="1">
            <w:r w:rsidRPr="00DC07FE">
              <w:rPr>
                <w:rStyle w:val="Hyperlink"/>
                <w:rFonts w:eastAsia="Times New Roman"/>
              </w:rPr>
              <w:t>3.4.2</w:t>
            </w:r>
            <w:r>
              <w:rPr>
                <w:rFonts w:eastAsiaTheme="minorEastAsia" w:cstheme="minorBidi"/>
                <w:bCs w:val="0"/>
                <w:snapToGrid/>
                <w:spacing w:val="0"/>
                <w:kern w:val="2"/>
                <w:sz w:val="24"/>
                <w14:ligatures w14:val="standardContextual"/>
              </w:rPr>
              <w:tab/>
            </w:r>
            <w:r w:rsidRPr="00DC07FE">
              <w:rPr>
                <w:rStyle w:val="Hyperlink"/>
                <w:rFonts w:eastAsia="Times New Roman" w:cs="Times New Roman"/>
              </w:rPr>
              <w:t>Who should participate in an aged care needs assessment?</w:t>
            </w:r>
            <w:r>
              <w:rPr>
                <w:webHidden/>
              </w:rPr>
              <w:tab/>
            </w:r>
            <w:r>
              <w:rPr>
                <w:webHidden/>
              </w:rPr>
              <w:fldChar w:fldCharType="begin"/>
            </w:r>
            <w:r>
              <w:rPr>
                <w:webHidden/>
              </w:rPr>
              <w:instrText xml:space="preserve"> PAGEREF _Toc197076885 \h </w:instrText>
            </w:r>
            <w:r>
              <w:rPr>
                <w:webHidden/>
              </w:rPr>
            </w:r>
            <w:r>
              <w:rPr>
                <w:webHidden/>
              </w:rPr>
              <w:fldChar w:fldCharType="separate"/>
            </w:r>
            <w:r w:rsidR="00365F01">
              <w:rPr>
                <w:webHidden/>
              </w:rPr>
              <w:t>13</w:t>
            </w:r>
            <w:r>
              <w:rPr>
                <w:webHidden/>
              </w:rPr>
              <w:fldChar w:fldCharType="end"/>
            </w:r>
          </w:hyperlink>
        </w:p>
        <w:p w14:paraId="796BD040" w14:textId="7C7CBF39" w:rsidR="00BF3E4C" w:rsidRDefault="00BF3E4C">
          <w:pPr>
            <w:pStyle w:val="TOC3"/>
            <w:rPr>
              <w:rFonts w:eastAsiaTheme="minorEastAsia" w:cstheme="minorBidi"/>
              <w:bCs w:val="0"/>
              <w:snapToGrid/>
              <w:spacing w:val="0"/>
              <w:kern w:val="2"/>
              <w:sz w:val="24"/>
              <w14:ligatures w14:val="standardContextual"/>
            </w:rPr>
          </w:pPr>
          <w:hyperlink w:anchor="_Toc197076886" w:history="1">
            <w:r w:rsidRPr="00DC07FE">
              <w:rPr>
                <w:rStyle w:val="Hyperlink"/>
                <w:rFonts w:eastAsia="Times New Roman"/>
              </w:rPr>
              <w:t>3.4.3</w:t>
            </w:r>
            <w:r>
              <w:rPr>
                <w:rFonts w:eastAsiaTheme="minorEastAsia" w:cstheme="minorBidi"/>
                <w:bCs w:val="0"/>
                <w:snapToGrid/>
                <w:spacing w:val="0"/>
                <w:kern w:val="2"/>
                <w:sz w:val="24"/>
                <w14:ligatures w14:val="standardContextual"/>
              </w:rPr>
              <w:tab/>
            </w:r>
            <w:r w:rsidRPr="00DC07FE">
              <w:rPr>
                <w:rStyle w:val="Hyperlink"/>
                <w:rFonts w:eastAsia="Times New Roman" w:cs="Times New Roman"/>
              </w:rPr>
              <w:t>Assessment process for transition care</w:t>
            </w:r>
            <w:r>
              <w:rPr>
                <w:webHidden/>
              </w:rPr>
              <w:tab/>
            </w:r>
            <w:r>
              <w:rPr>
                <w:webHidden/>
              </w:rPr>
              <w:fldChar w:fldCharType="begin"/>
            </w:r>
            <w:r>
              <w:rPr>
                <w:webHidden/>
              </w:rPr>
              <w:instrText xml:space="preserve"> PAGEREF _Toc197076886 \h </w:instrText>
            </w:r>
            <w:r>
              <w:rPr>
                <w:webHidden/>
              </w:rPr>
            </w:r>
            <w:r>
              <w:rPr>
                <w:webHidden/>
              </w:rPr>
              <w:fldChar w:fldCharType="separate"/>
            </w:r>
            <w:r w:rsidR="00365F01">
              <w:rPr>
                <w:webHidden/>
              </w:rPr>
              <w:t>14</w:t>
            </w:r>
            <w:r>
              <w:rPr>
                <w:webHidden/>
              </w:rPr>
              <w:fldChar w:fldCharType="end"/>
            </w:r>
          </w:hyperlink>
        </w:p>
        <w:p w14:paraId="382126EE" w14:textId="7D70CA02" w:rsidR="00BF3E4C" w:rsidRDefault="00BF3E4C">
          <w:pPr>
            <w:pStyle w:val="TOC3"/>
            <w:rPr>
              <w:rFonts w:eastAsiaTheme="minorEastAsia" w:cstheme="minorBidi"/>
              <w:bCs w:val="0"/>
              <w:snapToGrid/>
              <w:spacing w:val="0"/>
              <w:kern w:val="2"/>
              <w:sz w:val="24"/>
              <w14:ligatures w14:val="standardContextual"/>
            </w:rPr>
          </w:pPr>
          <w:hyperlink w:anchor="_Toc197076887" w:history="1">
            <w:r w:rsidRPr="00DC07FE">
              <w:rPr>
                <w:rStyle w:val="Hyperlink"/>
              </w:rPr>
              <w:t>3.4.4</w:t>
            </w:r>
            <w:r>
              <w:rPr>
                <w:rFonts w:eastAsiaTheme="minorEastAsia" w:cstheme="minorBidi"/>
                <w:bCs w:val="0"/>
                <w:snapToGrid/>
                <w:spacing w:val="0"/>
                <w:kern w:val="2"/>
                <w:sz w:val="24"/>
                <w14:ligatures w14:val="standardContextual"/>
              </w:rPr>
              <w:tab/>
            </w:r>
            <w:r w:rsidRPr="00DC07FE">
              <w:rPr>
                <w:rStyle w:val="Hyperlink"/>
              </w:rPr>
              <w:t>Approval for transition care</w:t>
            </w:r>
            <w:r>
              <w:rPr>
                <w:webHidden/>
              </w:rPr>
              <w:tab/>
            </w:r>
            <w:r>
              <w:rPr>
                <w:webHidden/>
              </w:rPr>
              <w:fldChar w:fldCharType="begin"/>
            </w:r>
            <w:r>
              <w:rPr>
                <w:webHidden/>
              </w:rPr>
              <w:instrText xml:space="preserve"> PAGEREF _Toc197076887 \h </w:instrText>
            </w:r>
            <w:r>
              <w:rPr>
                <w:webHidden/>
              </w:rPr>
            </w:r>
            <w:r>
              <w:rPr>
                <w:webHidden/>
              </w:rPr>
              <w:fldChar w:fldCharType="separate"/>
            </w:r>
            <w:r w:rsidR="00365F01">
              <w:rPr>
                <w:webHidden/>
              </w:rPr>
              <w:t>14</w:t>
            </w:r>
            <w:r>
              <w:rPr>
                <w:webHidden/>
              </w:rPr>
              <w:fldChar w:fldCharType="end"/>
            </w:r>
          </w:hyperlink>
        </w:p>
        <w:p w14:paraId="6ADF3FB7" w14:textId="5F5CE509" w:rsidR="00BF3E4C" w:rsidRDefault="00BF3E4C">
          <w:pPr>
            <w:pStyle w:val="TOC3"/>
            <w:rPr>
              <w:rFonts w:eastAsiaTheme="minorEastAsia" w:cstheme="minorBidi"/>
              <w:bCs w:val="0"/>
              <w:snapToGrid/>
              <w:spacing w:val="0"/>
              <w:kern w:val="2"/>
              <w:sz w:val="24"/>
              <w14:ligatures w14:val="standardContextual"/>
            </w:rPr>
          </w:pPr>
          <w:hyperlink w:anchor="_Toc197076888" w:history="1">
            <w:r w:rsidRPr="00DC07FE">
              <w:rPr>
                <w:rStyle w:val="Hyperlink"/>
              </w:rPr>
              <w:t>3.4.5</w:t>
            </w:r>
            <w:r>
              <w:rPr>
                <w:rFonts w:eastAsiaTheme="minorEastAsia" w:cstheme="minorBidi"/>
                <w:bCs w:val="0"/>
                <w:snapToGrid/>
                <w:spacing w:val="0"/>
                <w:kern w:val="2"/>
                <w:sz w:val="24"/>
                <w14:ligatures w14:val="standardContextual"/>
              </w:rPr>
              <w:tab/>
            </w:r>
            <w:r w:rsidRPr="00DC07FE">
              <w:rPr>
                <w:rStyle w:val="Hyperlink"/>
              </w:rPr>
              <w:t>Assessment and approval in a short stay unit of an emergency department</w:t>
            </w:r>
            <w:r>
              <w:rPr>
                <w:webHidden/>
              </w:rPr>
              <w:tab/>
            </w:r>
            <w:r>
              <w:rPr>
                <w:webHidden/>
              </w:rPr>
              <w:fldChar w:fldCharType="begin"/>
            </w:r>
            <w:r>
              <w:rPr>
                <w:webHidden/>
              </w:rPr>
              <w:instrText xml:space="preserve"> PAGEREF _Toc197076888 \h </w:instrText>
            </w:r>
            <w:r>
              <w:rPr>
                <w:webHidden/>
              </w:rPr>
            </w:r>
            <w:r>
              <w:rPr>
                <w:webHidden/>
              </w:rPr>
              <w:fldChar w:fldCharType="separate"/>
            </w:r>
            <w:r w:rsidR="00365F01">
              <w:rPr>
                <w:webHidden/>
              </w:rPr>
              <w:t>15</w:t>
            </w:r>
            <w:r>
              <w:rPr>
                <w:webHidden/>
              </w:rPr>
              <w:fldChar w:fldCharType="end"/>
            </w:r>
          </w:hyperlink>
        </w:p>
        <w:p w14:paraId="119C45B8" w14:textId="5A64DC80" w:rsidR="00BF3E4C" w:rsidRDefault="00BF3E4C">
          <w:pPr>
            <w:pStyle w:val="TOC3"/>
            <w:rPr>
              <w:rFonts w:eastAsiaTheme="minorEastAsia" w:cstheme="minorBidi"/>
              <w:bCs w:val="0"/>
              <w:snapToGrid/>
              <w:spacing w:val="0"/>
              <w:kern w:val="2"/>
              <w:sz w:val="24"/>
              <w14:ligatures w14:val="standardContextual"/>
            </w:rPr>
          </w:pPr>
          <w:hyperlink w:anchor="_Toc197076889" w:history="1">
            <w:r w:rsidRPr="00DC07FE">
              <w:rPr>
                <w:rStyle w:val="Hyperlink"/>
              </w:rPr>
              <w:t>3.4.6</w:t>
            </w:r>
            <w:r>
              <w:rPr>
                <w:rFonts w:eastAsiaTheme="minorEastAsia" w:cstheme="minorBidi"/>
                <w:bCs w:val="0"/>
                <w:snapToGrid/>
                <w:spacing w:val="0"/>
                <w:kern w:val="2"/>
                <w:sz w:val="24"/>
                <w14:ligatures w14:val="standardContextual"/>
              </w:rPr>
              <w:tab/>
            </w:r>
            <w:r w:rsidRPr="00DC07FE">
              <w:rPr>
                <w:rStyle w:val="Hyperlink"/>
              </w:rPr>
              <w:t>Hospital and assessment information for care plan development</w:t>
            </w:r>
            <w:r>
              <w:rPr>
                <w:webHidden/>
              </w:rPr>
              <w:tab/>
            </w:r>
            <w:r>
              <w:rPr>
                <w:webHidden/>
              </w:rPr>
              <w:fldChar w:fldCharType="begin"/>
            </w:r>
            <w:r>
              <w:rPr>
                <w:webHidden/>
              </w:rPr>
              <w:instrText xml:space="preserve"> PAGEREF _Toc197076889 \h </w:instrText>
            </w:r>
            <w:r>
              <w:rPr>
                <w:webHidden/>
              </w:rPr>
            </w:r>
            <w:r>
              <w:rPr>
                <w:webHidden/>
              </w:rPr>
              <w:fldChar w:fldCharType="separate"/>
            </w:r>
            <w:r w:rsidR="00365F01">
              <w:rPr>
                <w:webHidden/>
              </w:rPr>
              <w:t>15</w:t>
            </w:r>
            <w:r>
              <w:rPr>
                <w:webHidden/>
              </w:rPr>
              <w:fldChar w:fldCharType="end"/>
            </w:r>
          </w:hyperlink>
        </w:p>
        <w:p w14:paraId="332B6F99" w14:textId="49B4C8D9"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890" w:history="1">
            <w:r w:rsidRPr="00DC07FE">
              <w:rPr>
                <w:rStyle w:val="Hyperlink"/>
                <w:rFonts w:eastAsiaTheme="majorEastAsia"/>
                <w:noProof/>
              </w:rPr>
              <w:t>3.5</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Entry to transition care</w:t>
            </w:r>
            <w:r>
              <w:rPr>
                <w:noProof/>
                <w:webHidden/>
              </w:rPr>
              <w:tab/>
            </w:r>
            <w:r>
              <w:rPr>
                <w:noProof/>
                <w:webHidden/>
              </w:rPr>
              <w:fldChar w:fldCharType="begin"/>
            </w:r>
            <w:r>
              <w:rPr>
                <w:noProof/>
                <w:webHidden/>
              </w:rPr>
              <w:instrText xml:space="preserve"> PAGEREF _Toc197076890 \h </w:instrText>
            </w:r>
            <w:r>
              <w:rPr>
                <w:noProof/>
                <w:webHidden/>
              </w:rPr>
            </w:r>
            <w:r>
              <w:rPr>
                <w:noProof/>
                <w:webHidden/>
              </w:rPr>
              <w:fldChar w:fldCharType="separate"/>
            </w:r>
            <w:r w:rsidR="00365F01">
              <w:rPr>
                <w:noProof/>
                <w:webHidden/>
              </w:rPr>
              <w:t>15</w:t>
            </w:r>
            <w:r>
              <w:rPr>
                <w:noProof/>
                <w:webHidden/>
              </w:rPr>
              <w:fldChar w:fldCharType="end"/>
            </w:r>
          </w:hyperlink>
        </w:p>
        <w:p w14:paraId="24650C90" w14:textId="44D2CA4B" w:rsidR="00BF3E4C" w:rsidRDefault="00BF3E4C">
          <w:pPr>
            <w:pStyle w:val="TOC3"/>
            <w:rPr>
              <w:rFonts w:eastAsiaTheme="minorEastAsia" w:cstheme="minorBidi"/>
              <w:bCs w:val="0"/>
              <w:snapToGrid/>
              <w:spacing w:val="0"/>
              <w:kern w:val="2"/>
              <w:sz w:val="24"/>
              <w14:ligatures w14:val="standardContextual"/>
            </w:rPr>
          </w:pPr>
          <w:hyperlink w:anchor="_Toc197076891" w:history="1">
            <w:r w:rsidRPr="00DC07FE">
              <w:rPr>
                <w:rStyle w:val="Hyperlink"/>
              </w:rPr>
              <w:t>3.5.1</w:t>
            </w:r>
            <w:r>
              <w:rPr>
                <w:rFonts w:eastAsiaTheme="minorEastAsia" w:cstheme="minorBidi"/>
                <w:bCs w:val="0"/>
                <w:snapToGrid/>
                <w:spacing w:val="0"/>
                <w:kern w:val="2"/>
                <w:sz w:val="24"/>
                <w14:ligatures w14:val="standardContextual"/>
              </w:rPr>
              <w:tab/>
            </w:r>
            <w:r w:rsidRPr="00DC07FE">
              <w:rPr>
                <w:rStyle w:val="Hyperlink"/>
              </w:rPr>
              <w:t>Duration of care</w:t>
            </w:r>
            <w:r>
              <w:rPr>
                <w:webHidden/>
              </w:rPr>
              <w:tab/>
            </w:r>
            <w:r>
              <w:rPr>
                <w:webHidden/>
              </w:rPr>
              <w:fldChar w:fldCharType="begin"/>
            </w:r>
            <w:r>
              <w:rPr>
                <w:webHidden/>
              </w:rPr>
              <w:instrText xml:space="preserve"> PAGEREF _Toc197076891 \h </w:instrText>
            </w:r>
            <w:r>
              <w:rPr>
                <w:webHidden/>
              </w:rPr>
            </w:r>
            <w:r>
              <w:rPr>
                <w:webHidden/>
              </w:rPr>
              <w:fldChar w:fldCharType="separate"/>
            </w:r>
            <w:r w:rsidR="00365F01">
              <w:rPr>
                <w:webHidden/>
              </w:rPr>
              <w:t>16</w:t>
            </w:r>
            <w:r>
              <w:rPr>
                <w:webHidden/>
              </w:rPr>
              <w:fldChar w:fldCharType="end"/>
            </w:r>
          </w:hyperlink>
        </w:p>
        <w:p w14:paraId="539FAAD5" w14:textId="674FB678" w:rsidR="00BF3E4C" w:rsidRDefault="00BF3E4C">
          <w:pPr>
            <w:pStyle w:val="TOC3"/>
            <w:rPr>
              <w:rFonts w:eastAsiaTheme="minorEastAsia" w:cstheme="minorBidi"/>
              <w:bCs w:val="0"/>
              <w:snapToGrid/>
              <w:spacing w:val="0"/>
              <w:kern w:val="2"/>
              <w:sz w:val="24"/>
              <w14:ligatures w14:val="standardContextual"/>
            </w:rPr>
          </w:pPr>
          <w:hyperlink w:anchor="_Toc197076892" w:history="1">
            <w:r w:rsidRPr="00DC07FE">
              <w:rPr>
                <w:rStyle w:val="Hyperlink"/>
              </w:rPr>
              <w:t>3.5.2</w:t>
            </w:r>
            <w:r>
              <w:rPr>
                <w:rFonts w:eastAsiaTheme="minorEastAsia" w:cstheme="minorBidi"/>
                <w:bCs w:val="0"/>
                <w:snapToGrid/>
                <w:spacing w:val="0"/>
                <w:kern w:val="2"/>
                <w:sz w:val="24"/>
                <w14:ligatures w14:val="standardContextual"/>
              </w:rPr>
              <w:tab/>
            </w:r>
            <w:r w:rsidRPr="00DC07FE">
              <w:rPr>
                <w:rStyle w:val="Hyperlink"/>
              </w:rPr>
              <w:t>The service provider</w:t>
            </w:r>
            <w:r>
              <w:rPr>
                <w:webHidden/>
              </w:rPr>
              <w:tab/>
            </w:r>
            <w:r>
              <w:rPr>
                <w:webHidden/>
              </w:rPr>
              <w:fldChar w:fldCharType="begin"/>
            </w:r>
            <w:r>
              <w:rPr>
                <w:webHidden/>
              </w:rPr>
              <w:instrText xml:space="preserve"> PAGEREF _Toc197076892 \h </w:instrText>
            </w:r>
            <w:r>
              <w:rPr>
                <w:webHidden/>
              </w:rPr>
            </w:r>
            <w:r>
              <w:rPr>
                <w:webHidden/>
              </w:rPr>
              <w:fldChar w:fldCharType="separate"/>
            </w:r>
            <w:r w:rsidR="00365F01">
              <w:rPr>
                <w:webHidden/>
              </w:rPr>
              <w:t>16</w:t>
            </w:r>
            <w:r>
              <w:rPr>
                <w:webHidden/>
              </w:rPr>
              <w:fldChar w:fldCharType="end"/>
            </w:r>
          </w:hyperlink>
        </w:p>
        <w:p w14:paraId="2F6981E6" w14:textId="4D2A153C" w:rsidR="00BF3E4C" w:rsidRDefault="00BF3E4C">
          <w:pPr>
            <w:pStyle w:val="TOC3"/>
            <w:rPr>
              <w:rFonts w:eastAsiaTheme="minorEastAsia" w:cstheme="minorBidi"/>
              <w:bCs w:val="0"/>
              <w:snapToGrid/>
              <w:spacing w:val="0"/>
              <w:kern w:val="2"/>
              <w:sz w:val="24"/>
              <w14:ligatures w14:val="standardContextual"/>
            </w:rPr>
          </w:pPr>
          <w:hyperlink w:anchor="_Toc197076893" w:history="1">
            <w:r w:rsidRPr="00DC07FE">
              <w:rPr>
                <w:rStyle w:val="Hyperlink"/>
              </w:rPr>
              <w:t>3.5.3</w:t>
            </w:r>
            <w:r>
              <w:rPr>
                <w:rFonts w:eastAsiaTheme="minorEastAsia" w:cstheme="minorBidi"/>
                <w:bCs w:val="0"/>
                <w:snapToGrid/>
                <w:spacing w:val="0"/>
                <w:kern w:val="2"/>
                <w:sz w:val="24"/>
                <w14:ligatures w14:val="standardContextual"/>
              </w:rPr>
              <w:tab/>
            </w:r>
            <w:r w:rsidRPr="00DC07FE">
              <w:rPr>
                <w:rStyle w:val="Hyperlink"/>
              </w:rPr>
              <w:t>Residential based transition care</w:t>
            </w:r>
            <w:r>
              <w:rPr>
                <w:webHidden/>
              </w:rPr>
              <w:tab/>
            </w:r>
            <w:r>
              <w:rPr>
                <w:webHidden/>
              </w:rPr>
              <w:fldChar w:fldCharType="begin"/>
            </w:r>
            <w:r>
              <w:rPr>
                <w:webHidden/>
              </w:rPr>
              <w:instrText xml:space="preserve"> PAGEREF _Toc197076893 \h </w:instrText>
            </w:r>
            <w:r>
              <w:rPr>
                <w:webHidden/>
              </w:rPr>
            </w:r>
            <w:r>
              <w:rPr>
                <w:webHidden/>
              </w:rPr>
              <w:fldChar w:fldCharType="separate"/>
            </w:r>
            <w:r w:rsidR="00365F01">
              <w:rPr>
                <w:webHidden/>
              </w:rPr>
              <w:t>17</w:t>
            </w:r>
            <w:r>
              <w:rPr>
                <w:webHidden/>
              </w:rPr>
              <w:fldChar w:fldCharType="end"/>
            </w:r>
          </w:hyperlink>
        </w:p>
        <w:p w14:paraId="7DA92A32" w14:textId="0061EFB9" w:rsidR="00BF3E4C" w:rsidRDefault="00BF3E4C">
          <w:pPr>
            <w:pStyle w:val="TOC3"/>
            <w:rPr>
              <w:rFonts w:eastAsiaTheme="minorEastAsia" w:cstheme="minorBidi"/>
              <w:bCs w:val="0"/>
              <w:snapToGrid/>
              <w:spacing w:val="0"/>
              <w:kern w:val="2"/>
              <w:sz w:val="24"/>
              <w14:ligatures w14:val="standardContextual"/>
            </w:rPr>
          </w:pPr>
          <w:hyperlink w:anchor="_Toc197076894" w:history="1">
            <w:r w:rsidRPr="00DC07FE">
              <w:rPr>
                <w:rStyle w:val="Hyperlink"/>
              </w:rPr>
              <w:t>3.5.4</w:t>
            </w:r>
            <w:r>
              <w:rPr>
                <w:rFonts w:eastAsiaTheme="minorEastAsia" w:cstheme="minorBidi"/>
                <w:bCs w:val="0"/>
                <w:snapToGrid/>
                <w:spacing w:val="0"/>
                <w:kern w:val="2"/>
                <w:sz w:val="24"/>
                <w14:ligatures w14:val="standardContextual"/>
              </w:rPr>
              <w:tab/>
            </w:r>
            <w:r w:rsidRPr="00DC07FE">
              <w:rPr>
                <w:rStyle w:val="Hyperlink"/>
              </w:rPr>
              <w:t>Existing recipients of residential or home care</w:t>
            </w:r>
            <w:r>
              <w:rPr>
                <w:webHidden/>
              </w:rPr>
              <w:tab/>
            </w:r>
            <w:r>
              <w:rPr>
                <w:webHidden/>
              </w:rPr>
              <w:fldChar w:fldCharType="begin"/>
            </w:r>
            <w:r>
              <w:rPr>
                <w:webHidden/>
              </w:rPr>
              <w:instrText xml:space="preserve"> PAGEREF _Toc197076894 \h </w:instrText>
            </w:r>
            <w:r>
              <w:rPr>
                <w:webHidden/>
              </w:rPr>
            </w:r>
            <w:r>
              <w:rPr>
                <w:webHidden/>
              </w:rPr>
              <w:fldChar w:fldCharType="separate"/>
            </w:r>
            <w:r w:rsidR="00365F01">
              <w:rPr>
                <w:webHidden/>
              </w:rPr>
              <w:t>17</w:t>
            </w:r>
            <w:r>
              <w:rPr>
                <w:webHidden/>
              </w:rPr>
              <w:fldChar w:fldCharType="end"/>
            </w:r>
          </w:hyperlink>
        </w:p>
        <w:p w14:paraId="5DC4B19B" w14:textId="61FCC7DA" w:rsidR="00BF3E4C" w:rsidRDefault="00BF3E4C">
          <w:pPr>
            <w:pStyle w:val="TOC3"/>
            <w:rPr>
              <w:rFonts w:eastAsiaTheme="minorEastAsia" w:cstheme="minorBidi"/>
              <w:bCs w:val="0"/>
              <w:snapToGrid/>
              <w:spacing w:val="0"/>
              <w:kern w:val="2"/>
              <w:sz w:val="24"/>
              <w14:ligatures w14:val="standardContextual"/>
            </w:rPr>
          </w:pPr>
          <w:hyperlink w:anchor="_Toc197076895" w:history="1">
            <w:r w:rsidRPr="00DC07FE">
              <w:rPr>
                <w:rStyle w:val="Hyperlink"/>
              </w:rPr>
              <w:t>3.5.5</w:t>
            </w:r>
            <w:r>
              <w:rPr>
                <w:rFonts w:eastAsiaTheme="minorEastAsia" w:cstheme="minorBidi"/>
                <w:bCs w:val="0"/>
                <w:snapToGrid/>
                <w:spacing w:val="0"/>
                <w:kern w:val="2"/>
                <w:sz w:val="24"/>
                <w14:ligatures w14:val="standardContextual"/>
              </w:rPr>
              <w:tab/>
            </w:r>
            <w:r w:rsidRPr="00DC07FE">
              <w:rPr>
                <w:rStyle w:val="Hyperlink"/>
              </w:rPr>
              <w:t>Movement between care settings and services</w:t>
            </w:r>
            <w:r>
              <w:rPr>
                <w:webHidden/>
              </w:rPr>
              <w:tab/>
            </w:r>
            <w:r>
              <w:rPr>
                <w:webHidden/>
              </w:rPr>
              <w:fldChar w:fldCharType="begin"/>
            </w:r>
            <w:r>
              <w:rPr>
                <w:webHidden/>
              </w:rPr>
              <w:instrText xml:space="preserve"> PAGEREF _Toc197076895 \h </w:instrText>
            </w:r>
            <w:r>
              <w:rPr>
                <w:webHidden/>
              </w:rPr>
            </w:r>
            <w:r>
              <w:rPr>
                <w:webHidden/>
              </w:rPr>
              <w:fldChar w:fldCharType="separate"/>
            </w:r>
            <w:r w:rsidR="00365F01">
              <w:rPr>
                <w:webHidden/>
              </w:rPr>
              <w:t>18</w:t>
            </w:r>
            <w:r>
              <w:rPr>
                <w:webHidden/>
              </w:rPr>
              <w:fldChar w:fldCharType="end"/>
            </w:r>
          </w:hyperlink>
        </w:p>
        <w:p w14:paraId="5DDE6172" w14:textId="475C110A" w:rsidR="00BF3E4C" w:rsidRDefault="00BF3E4C">
          <w:pPr>
            <w:pStyle w:val="TOC3"/>
            <w:rPr>
              <w:rFonts w:eastAsiaTheme="minorEastAsia" w:cstheme="minorBidi"/>
              <w:bCs w:val="0"/>
              <w:snapToGrid/>
              <w:spacing w:val="0"/>
              <w:kern w:val="2"/>
              <w:sz w:val="24"/>
              <w14:ligatures w14:val="standardContextual"/>
            </w:rPr>
          </w:pPr>
          <w:hyperlink w:anchor="_Toc197076896" w:history="1">
            <w:r w:rsidRPr="00DC07FE">
              <w:rPr>
                <w:rStyle w:val="Hyperlink"/>
              </w:rPr>
              <w:t>3.5.6</w:t>
            </w:r>
            <w:r>
              <w:rPr>
                <w:rFonts w:eastAsiaTheme="minorEastAsia" w:cstheme="minorBidi"/>
                <w:bCs w:val="0"/>
                <w:snapToGrid/>
                <w:spacing w:val="0"/>
                <w:kern w:val="2"/>
                <w:sz w:val="24"/>
                <w14:ligatures w14:val="standardContextual"/>
              </w:rPr>
              <w:tab/>
            </w:r>
            <w:r w:rsidRPr="00DC07FE">
              <w:rPr>
                <w:rStyle w:val="Hyperlink"/>
              </w:rPr>
              <w:t>Interrupting a TCP episode – available break days</w:t>
            </w:r>
            <w:r>
              <w:rPr>
                <w:webHidden/>
              </w:rPr>
              <w:tab/>
            </w:r>
            <w:r>
              <w:rPr>
                <w:webHidden/>
              </w:rPr>
              <w:fldChar w:fldCharType="begin"/>
            </w:r>
            <w:r>
              <w:rPr>
                <w:webHidden/>
              </w:rPr>
              <w:instrText xml:space="preserve"> PAGEREF _Toc197076896 \h </w:instrText>
            </w:r>
            <w:r>
              <w:rPr>
                <w:webHidden/>
              </w:rPr>
            </w:r>
            <w:r>
              <w:rPr>
                <w:webHidden/>
              </w:rPr>
              <w:fldChar w:fldCharType="separate"/>
            </w:r>
            <w:r w:rsidR="00365F01">
              <w:rPr>
                <w:webHidden/>
              </w:rPr>
              <w:t>18</w:t>
            </w:r>
            <w:r>
              <w:rPr>
                <w:webHidden/>
              </w:rPr>
              <w:fldChar w:fldCharType="end"/>
            </w:r>
          </w:hyperlink>
        </w:p>
        <w:p w14:paraId="374D3FF6" w14:textId="406FD579" w:rsidR="00BF3E4C" w:rsidRDefault="00BF3E4C">
          <w:pPr>
            <w:pStyle w:val="TOC3"/>
            <w:rPr>
              <w:rFonts w:eastAsiaTheme="minorEastAsia" w:cstheme="minorBidi"/>
              <w:bCs w:val="0"/>
              <w:snapToGrid/>
              <w:spacing w:val="0"/>
              <w:kern w:val="2"/>
              <w:sz w:val="24"/>
              <w14:ligatures w14:val="standardContextual"/>
            </w:rPr>
          </w:pPr>
          <w:hyperlink w:anchor="_Toc197076897" w:history="1">
            <w:r w:rsidRPr="00DC07FE">
              <w:rPr>
                <w:rStyle w:val="Hyperlink"/>
              </w:rPr>
              <w:t>3.5.7</w:t>
            </w:r>
            <w:r>
              <w:rPr>
                <w:rFonts w:eastAsiaTheme="minorEastAsia" w:cstheme="minorBidi"/>
                <w:bCs w:val="0"/>
                <w:snapToGrid/>
                <w:spacing w:val="0"/>
                <w:kern w:val="2"/>
                <w:sz w:val="24"/>
                <w14:ligatures w14:val="standardContextual"/>
              </w:rPr>
              <w:tab/>
            </w:r>
            <w:r w:rsidRPr="00DC07FE">
              <w:rPr>
                <w:rStyle w:val="Hyperlink"/>
              </w:rPr>
              <w:t>Readmission to hospital from transition care</w:t>
            </w:r>
            <w:r>
              <w:rPr>
                <w:webHidden/>
              </w:rPr>
              <w:tab/>
            </w:r>
            <w:r>
              <w:rPr>
                <w:webHidden/>
              </w:rPr>
              <w:fldChar w:fldCharType="begin"/>
            </w:r>
            <w:r>
              <w:rPr>
                <w:webHidden/>
              </w:rPr>
              <w:instrText xml:space="preserve"> PAGEREF _Toc197076897 \h </w:instrText>
            </w:r>
            <w:r>
              <w:rPr>
                <w:webHidden/>
              </w:rPr>
            </w:r>
            <w:r>
              <w:rPr>
                <w:webHidden/>
              </w:rPr>
              <w:fldChar w:fldCharType="separate"/>
            </w:r>
            <w:r w:rsidR="00365F01">
              <w:rPr>
                <w:webHidden/>
              </w:rPr>
              <w:t>19</w:t>
            </w:r>
            <w:r>
              <w:rPr>
                <w:webHidden/>
              </w:rPr>
              <w:fldChar w:fldCharType="end"/>
            </w:r>
          </w:hyperlink>
        </w:p>
        <w:p w14:paraId="299B8946" w14:textId="211CD707" w:rsidR="00BF3E4C" w:rsidRDefault="00BF3E4C">
          <w:pPr>
            <w:pStyle w:val="TOC3"/>
            <w:rPr>
              <w:rFonts w:eastAsiaTheme="minorEastAsia" w:cstheme="minorBidi"/>
              <w:bCs w:val="0"/>
              <w:snapToGrid/>
              <w:spacing w:val="0"/>
              <w:kern w:val="2"/>
              <w:sz w:val="24"/>
              <w14:ligatures w14:val="standardContextual"/>
            </w:rPr>
          </w:pPr>
          <w:hyperlink w:anchor="_Toc197076898" w:history="1">
            <w:r w:rsidRPr="00DC07FE">
              <w:rPr>
                <w:rStyle w:val="Hyperlink"/>
              </w:rPr>
              <w:t>3.5.8</w:t>
            </w:r>
            <w:r>
              <w:rPr>
                <w:rFonts w:eastAsiaTheme="minorEastAsia" w:cstheme="minorBidi"/>
                <w:bCs w:val="0"/>
                <w:snapToGrid/>
                <w:spacing w:val="0"/>
                <w:kern w:val="2"/>
                <w:sz w:val="24"/>
                <w14:ligatures w14:val="standardContextual"/>
              </w:rPr>
              <w:tab/>
            </w:r>
            <w:r w:rsidRPr="00DC07FE">
              <w:rPr>
                <w:rStyle w:val="Hyperlink"/>
              </w:rPr>
              <w:t>Extensions</w:t>
            </w:r>
            <w:r>
              <w:rPr>
                <w:webHidden/>
              </w:rPr>
              <w:tab/>
            </w:r>
            <w:r>
              <w:rPr>
                <w:webHidden/>
              </w:rPr>
              <w:fldChar w:fldCharType="begin"/>
            </w:r>
            <w:r>
              <w:rPr>
                <w:webHidden/>
              </w:rPr>
              <w:instrText xml:space="preserve"> PAGEREF _Toc197076898 \h </w:instrText>
            </w:r>
            <w:r>
              <w:rPr>
                <w:webHidden/>
              </w:rPr>
            </w:r>
            <w:r>
              <w:rPr>
                <w:webHidden/>
              </w:rPr>
              <w:fldChar w:fldCharType="separate"/>
            </w:r>
            <w:r w:rsidR="00365F01">
              <w:rPr>
                <w:webHidden/>
              </w:rPr>
              <w:t>19</w:t>
            </w:r>
            <w:r>
              <w:rPr>
                <w:webHidden/>
              </w:rPr>
              <w:fldChar w:fldCharType="end"/>
            </w:r>
          </w:hyperlink>
        </w:p>
        <w:p w14:paraId="4EEE1227" w14:textId="2CF1E03B" w:rsidR="00BF3E4C" w:rsidRDefault="00BF3E4C">
          <w:pPr>
            <w:pStyle w:val="TOC3"/>
            <w:rPr>
              <w:rFonts w:eastAsiaTheme="minorEastAsia" w:cstheme="minorBidi"/>
              <w:bCs w:val="0"/>
              <w:snapToGrid/>
              <w:spacing w:val="0"/>
              <w:kern w:val="2"/>
              <w:sz w:val="24"/>
              <w14:ligatures w14:val="standardContextual"/>
            </w:rPr>
          </w:pPr>
          <w:hyperlink w:anchor="_Toc197076899" w:history="1">
            <w:r w:rsidRPr="00DC07FE">
              <w:rPr>
                <w:rStyle w:val="Hyperlink"/>
              </w:rPr>
              <w:t>3.5.9</w:t>
            </w:r>
            <w:r>
              <w:rPr>
                <w:rFonts w:eastAsiaTheme="minorEastAsia" w:cstheme="minorBidi"/>
                <w:bCs w:val="0"/>
                <w:snapToGrid/>
                <w:spacing w:val="0"/>
                <w:kern w:val="2"/>
                <w:sz w:val="24"/>
                <w14:ligatures w14:val="standardContextual"/>
              </w:rPr>
              <w:tab/>
            </w:r>
            <w:r w:rsidRPr="00DC07FE">
              <w:rPr>
                <w:rStyle w:val="Hyperlink"/>
              </w:rPr>
              <w:t>Review of the assessment extension decisions</w:t>
            </w:r>
            <w:r>
              <w:rPr>
                <w:webHidden/>
              </w:rPr>
              <w:tab/>
            </w:r>
            <w:r>
              <w:rPr>
                <w:webHidden/>
              </w:rPr>
              <w:fldChar w:fldCharType="begin"/>
            </w:r>
            <w:r>
              <w:rPr>
                <w:webHidden/>
              </w:rPr>
              <w:instrText xml:space="preserve"> PAGEREF _Toc197076899 \h </w:instrText>
            </w:r>
            <w:r>
              <w:rPr>
                <w:webHidden/>
              </w:rPr>
            </w:r>
            <w:r>
              <w:rPr>
                <w:webHidden/>
              </w:rPr>
              <w:fldChar w:fldCharType="separate"/>
            </w:r>
            <w:r w:rsidR="00365F01">
              <w:rPr>
                <w:webHidden/>
              </w:rPr>
              <w:t>20</w:t>
            </w:r>
            <w:r>
              <w:rPr>
                <w:webHidden/>
              </w:rPr>
              <w:fldChar w:fldCharType="end"/>
            </w:r>
          </w:hyperlink>
        </w:p>
        <w:p w14:paraId="1E3B4633" w14:textId="253A0B1B" w:rsidR="00BF3E4C" w:rsidRDefault="00BF3E4C">
          <w:pPr>
            <w:pStyle w:val="TOC3"/>
            <w:rPr>
              <w:rFonts w:eastAsiaTheme="minorEastAsia" w:cstheme="minorBidi"/>
              <w:bCs w:val="0"/>
              <w:snapToGrid/>
              <w:spacing w:val="0"/>
              <w:kern w:val="2"/>
              <w:sz w:val="24"/>
              <w14:ligatures w14:val="standardContextual"/>
            </w:rPr>
          </w:pPr>
          <w:hyperlink w:anchor="_Toc197076900" w:history="1">
            <w:r w:rsidRPr="00DC07FE">
              <w:rPr>
                <w:rStyle w:val="Hyperlink"/>
              </w:rPr>
              <w:t>3.5.10</w:t>
            </w:r>
            <w:r>
              <w:rPr>
                <w:rFonts w:eastAsiaTheme="minorEastAsia" w:cstheme="minorBidi"/>
                <w:bCs w:val="0"/>
                <w:snapToGrid/>
                <w:spacing w:val="0"/>
                <w:kern w:val="2"/>
                <w:sz w:val="24"/>
                <w14:ligatures w14:val="standardContextual"/>
              </w:rPr>
              <w:tab/>
            </w:r>
            <w:r w:rsidRPr="00DC07FE">
              <w:rPr>
                <w:rStyle w:val="Hyperlink"/>
              </w:rPr>
              <w:t>Accessing long-term care during/after transition care</w:t>
            </w:r>
            <w:r>
              <w:rPr>
                <w:webHidden/>
              </w:rPr>
              <w:tab/>
            </w:r>
            <w:r>
              <w:rPr>
                <w:webHidden/>
              </w:rPr>
              <w:fldChar w:fldCharType="begin"/>
            </w:r>
            <w:r>
              <w:rPr>
                <w:webHidden/>
              </w:rPr>
              <w:instrText xml:space="preserve"> PAGEREF _Toc197076900 \h </w:instrText>
            </w:r>
            <w:r>
              <w:rPr>
                <w:webHidden/>
              </w:rPr>
            </w:r>
            <w:r>
              <w:rPr>
                <w:webHidden/>
              </w:rPr>
              <w:fldChar w:fldCharType="separate"/>
            </w:r>
            <w:r w:rsidR="00365F01">
              <w:rPr>
                <w:webHidden/>
              </w:rPr>
              <w:t>20</w:t>
            </w:r>
            <w:r>
              <w:rPr>
                <w:webHidden/>
              </w:rPr>
              <w:fldChar w:fldCharType="end"/>
            </w:r>
          </w:hyperlink>
        </w:p>
        <w:p w14:paraId="6300D8CF" w14:textId="38CDEA72" w:rsidR="00BF3E4C" w:rsidRDefault="00BF3E4C">
          <w:pPr>
            <w:pStyle w:val="TOC1"/>
            <w:tabs>
              <w:tab w:val="left" w:pos="1540"/>
            </w:tabs>
            <w:rPr>
              <w:rFonts w:asciiTheme="minorHAnsi" w:eastAsiaTheme="minorEastAsia" w:hAnsiTheme="minorHAnsi" w:cstheme="minorBidi"/>
              <w:noProof/>
              <w:spacing w:val="0"/>
              <w:kern w:val="2"/>
              <w:sz w:val="24"/>
              <w14:ligatures w14:val="standardContextual"/>
            </w:rPr>
          </w:pPr>
          <w:hyperlink w:anchor="_Toc197076901" w:history="1">
            <w:r w:rsidRPr="00DC07FE">
              <w:rPr>
                <w:rStyle w:val="Hyperlink"/>
                <w:rFonts w:eastAsiaTheme="majorEastAsia"/>
                <w:noProof/>
              </w:rPr>
              <w:t>CHAPTER 4</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TRANSITION CARE PROGRAMME RESTORATIVE CARE REQUIREMENTS</w:t>
            </w:r>
            <w:r>
              <w:rPr>
                <w:noProof/>
                <w:webHidden/>
              </w:rPr>
              <w:tab/>
            </w:r>
            <w:r>
              <w:rPr>
                <w:noProof/>
                <w:webHidden/>
              </w:rPr>
              <w:fldChar w:fldCharType="begin"/>
            </w:r>
            <w:r>
              <w:rPr>
                <w:noProof/>
                <w:webHidden/>
              </w:rPr>
              <w:instrText xml:space="preserve"> PAGEREF _Toc197076901 \h </w:instrText>
            </w:r>
            <w:r>
              <w:rPr>
                <w:noProof/>
                <w:webHidden/>
              </w:rPr>
            </w:r>
            <w:r>
              <w:rPr>
                <w:noProof/>
                <w:webHidden/>
              </w:rPr>
              <w:fldChar w:fldCharType="separate"/>
            </w:r>
            <w:r w:rsidR="00365F01">
              <w:rPr>
                <w:noProof/>
                <w:webHidden/>
              </w:rPr>
              <w:t>22</w:t>
            </w:r>
            <w:r>
              <w:rPr>
                <w:noProof/>
                <w:webHidden/>
              </w:rPr>
              <w:fldChar w:fldCharType="end"/>
            </w:r>
          </w:hyperlink>
        </w:p>
        <w:p w14:paraId="328A6593" w14:textId="1D7D09AA"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02" w:history="1">
            <w:r w:rsidRPr="00DC07FE">
              <w:rPr>
                <w:rStyle w:val="Hyperlink"/>
                <w:rFonts w:eastAsiaTheme="majorEastAsia"/>
                <w:noProof/>
              </w:rPr>
              <w:t>4.1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Optimising Independence and Wellbeing – Requirement 1</w:t>
            </w:r>
            <w:r>
              <w:rPr>
                <w:noProof/>
                <w:webHidden/>
              </w:rPr>
              <w:tab/>
            </w:r>
            <w:r>
              <w:rPr>
                <w:noProof/>
                <w:webHidden/>
              </w:rPr>
              <w:fldChar w:fldCharType="begin"/>
            </w:r>
            <w:r>
              <w:rPr>
                <w:noProof/>
                <w:webHidden/>
              </w:rPr>
              <w:instrText xml:space="preserve"> PAGEREF _Toc197076902 \h </w:instrText>
            </w:r>
            <w:r>
              <w:rPr>
                <w:noProof/>
                <w:webHidden/>
              </w:rPr>
            </w:r>
            <w:r>
              <w:rPr>
                <w:noProof/>
                <w:webHidden/>
              </w:rPr>
              <w:fldChar w:fldCharType="separate"/>
            </w:r>
            <w:r w:rsidR="00365F01">
              <w:rPr>
                <w:noProof/>
                <w:webHidden/>
              </w:rPr>
              <w:t>22</w:t>
            </w:r>
            <w:r>
              <w:rPr>
                <w:noProof/>
                <w:webHidden/>
              </w:rPr>
              <w:fldChar w:fldCharType="end"/>
            </w:r>
          </w:hyperlink>
        </w:p>
        <w:p w14:paraId="02679338" w14:textId="536FD711" w:rsidR="00BF3E4C" w:rsidRDefault="00BF3E4C">
          <w:pPr>
            <w:pStyle w:val="TOC3"/>
            <w:rPr>
              <w:rFonts w:eastAsiaTheme="minorEastAsia" w:cstheme="minorBidi"/>
              <w:bCs w:val="0"/>
              <w:snapToGrid/>
              <w:spacing w:val="0"/>
              <w:kern w:val="2"/>
              <w:sz w:val="24"/>
              <w14:ligatures w14:val="standardContextual"/>
            </w:rPr>
          </w:pPr>
          <w:hyperlink w:anchor="_Toc197076903" w:history="1">
            <w:r w:rsidRPr="00DC07FE">
              <w:rPr>
                <w:rStyle w:val="Hyperlink"/>
              </w:rPr>
              <w:t>4.1.1</w:t>
            </w:r>
            <w:r>
              <w:rPr>
                <w:rFonts w:eastAsiaTheme="minorEastAsia" w:cstheme="minorBidi"/>
                <w:bCs w:val="0"/>
                <w:snapToGrid/>
                <w:spacing w:val="0"/>
                <w:kern w:val="2"/>
                <w:sz w:val="24"/>
                <w14:ligatures w14:val="standardContextual"/>
              </w:rPr>
              <w:tab/>
            </w:r>
            <w:r w:rsidRPr="00DC07FE">
              <w:rPr>
                <w:rStyle w:val="Hyperlink"/>
              </w:rPr>
              <w:t>Assessment processes:</w:t>
            </w:r>
            <w:r>
              <w:rPr>
                <w:webHidden/>
              </w:rPr>
              <w:tab/>
            </w:r>
            <w:r>
              <w:rPr>
                <w:webHidden/>
              </w:rPr>
              <w:fldChar w:fldCharType="begin"/>
            </w:r>
            <w:r>
              <w:rPr>
                <w:webHidden/>
              </w:rPr>
              <w:instrText xml:space="preserve"> PAGEREF _Toc197076903 \h </w:instrText>
            </w:r>
            <w:r>
              <w:rPr>
                <w:webHidden/>
              </w:rPr>
            </w:r>
            <w:r>
              <w:rPr>
                <w:webHidden/>
              </w:rPr>
              <w:fldChar w:fldCharType="separate"/>
            </w:r>
            <w:r w:rsidR="00365F01">
              <w:rPr>
                <w:webHidden/>
              </w:rPr>
              <w:t>22</w:t>
            </w:r>
            <w:r>
              <w:rPr>
                <w:webHidden/>
              </w:rPr>
              <w:fldChar w:fldCharType="end"/>
            </w:r>
          </w:hyperlink>
        </w:p>
        <w:p w14:paraId="5A878483" w14:textId="38B5ACB5" w:rsidR="00BF3E4C" w:rsidRDefault="00BF3E4C">
          <w:pPr>
            <w:pStyle w:val="TOC3"/>
            <w:rPr>
              <w:rFonts w:eastAsiaTheme="minorEastAsia" w:cstheme="minorBidi"/>
              <w:bCs w:val="0"/>
              <w:snapToGrid/>
              <w:spacing w:val="0"/>
              <w:kern w:val="2"/>
              <w:sz w:val="24"/>
              <w14:ligatures w14:val="standardContextual"/>
            </w:rPr>
          </w:pPr>
          <w:hyperlink w:anchor="_Toc197076904" w:history="1">
            <w:r w:rsidRPr="00DC07FE">
              <w:rPr>
                <w:rStyle w:val="Hyperlink"/>
              </w:rPr>
              <w:t>4.1.2</w:t>
            </w:r>
            <w:r>
              <w:rPr>
                <w:rFonts w:eastAsiaTheme="minorEastAsia" w:cstheme="minorBidi"/>
                <w:bCs w:val="0"/>
                <w:snapToGrid/>
                <w:spacing w:val="0"/>
                <w:kern w:val="2"/>
                <w:sz w:val="24"/>
                <w14:ligatures w14:val="standardContextual"/>
              </w:rPr>
              <w:tab/>
            </w:r>
            <w:r w:rsidRPr="00DC07FE">
              <w:rPr>
                <w:rStyle w:val="Hyperlink"/>
              </w:rPr>
              <w:t>Care planning is focussed on optimising independence and wellbeing and includes a goal-oriented care plan for the care recipient that:</w:t>
            </w:r>
            <w:r>
              <w:rPr>
                <w:webHidden/>
              </w:rPr>
              <w:tab/>
            </w:r>
            <w:r>
              <w:rPr>
                <w:webHidden/>
              </w:rPr>
              <w:fldChar w:fldCharType="begin"/>
            </w:r>
            <w:r>
              <w:rPr>
                <w:webHidden/>
              </w:rPr>
              <w:instrText xml:space="preserve"> PAGEREF _Toc197076904 \h </w:instrText>
            </w:r>
            <w:r>
              <w:rPr>
                <w:webHidden/>
              </w:rPr>
            </w:r>
            <w:r>
              <w:rPr>
                <w:webHidden/>
              </w:rPr>
              <w:fldChar w:fldCharType="separate"/>
            </w:r>
            <w:r w:rsidR="00365F01">
              <w:rPr>
                <w:webHidden/>
              </w:rPr>
              <w:t>22</w:t>
            </w:r>
            <w:r>
              <w:rPr>
                <w:webHidden/>
              </w:rPr>
              <w:fldChar w:fldCharType="end"/>
            </w:r>
          </w:hyperlink>
        </w:p>
        <w:p w14:paraId="1BF38623" w14:textId="637B4BAA" w:rsidR="00BF3E4C" w:rsidRDefault="00BF3E4C">
          <w:pPr>
            <w:pStyle w:val="TOC3"/>
            <w:rPr>
              <w:rFonts w:eastAsiaTheme="minorEastAsia" w:cstheme="minorBidi"/>
              <w:bCs w:val="0"/>
              <w:snapToGrid/>
              <w:spacing w:val="0"/>
              <w:kern w:val="2"/>
              <w:sz w:val="24"/>
              <w14:ligatures w14:val="standardContextual"/>
            </w:rPr>
          </w:pPr>
          <w:hyperlink w:anchor="_Toc197076905" w:history="1">
            <w:r w:rsidRPr="00DC07FE">
              <w:rPr>
                <w:rStyle w:val="Hyperlink"/>
              </w:rPr>
              <w:t>4.1.3</w:t>
            </w:r>
            <w:r>
              <w:rPr>
                <w:rFonts w:eastAsiaTheme="minorEastAsia" w:cstheme="minorBidi"/>
                <w:bCs w:val="0"/>
                <w:snapToGrid/>
                <w:spacing w:val="0"/>
                <w:kern w:val="2"/>
                <w:sz w:val="24"/>
                <w14:ligatures w14:val="standardContextual"/>
              </w:rPr>
              <w:tab/>
            </w:r>
            <w:r w:rsidRPr="00DC07FE">
              <w:rPr>
                <w:rStyle w:val="Hyperlink"/>
              </w:rPr>
              <w:t>The transition care service demonstrates its service:</w:t>
            </w:r>
            <w:r>
              <w:rPr>
                <w:webHidden/>
              </w:rPr>
              <w:tab/>
            </w:r>
            <w:r>
              <w:rPr>
                <w:webHidden/>
              </w:rPr>
              <w:fldChar w:fldCharType="begin"/>
            </w:r>
            <w:r>
              <w:rPr>
                <w:webHidden/>
              </w:rPr>
              <w:instrText xml:space="preserve"> PAGEREF _Toc197076905 \h </w:instrText>
            </w:r>
            <w:r>
              <w:rPr>
                <w:webHidden/>
              </w:rPr>
            </w:r>
            <w:r>
              <w:rPr>
                <w:webHidden/>
              </w:rPr>
              <w:fldChar w:fldCharType="separate"/>
            </w:r>
            <w:r w:rsidR="00365F01">
              <w:rPr>
                <w:webHidden/>
              </w:rPr>
              <w:t>22</w:t>
            </w:r>
            <w:r>
              <w:rPr>
                <w:webHidden/>
              </w:rPr>
              <w:fldChar w:fldCharType="end"/>
            </w:r>
          </w:hyperlink>
        </w:p>
        <w:p w14:paraId="686DB073" w14:textId="408BBDE0"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06" w:history="1">
            <w:r w:rsidRPr="00DC07FE">
              <w:rPr>
                <w:rStyle w:val="Hyperlink"/>
                <w:rFonts w:eastAsiaTheme="majorEastAsia"/>
                <w:noProof/>
              </w:rPr>
              <w:t>4.2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Multidisciplinary Approach and Therapy Focused Care – Requirement 2</w:t>
            </w:r>
            <w:r>
              <w:rPr>
                <w:noProof/>
                <w:webHidden/>
              </w:rPr>
              <w:tab/>
            </w:r>
            <w:r>
              <w:rPr>
                <w:noProof/>
                <w:webHidden/>
              </w:rPr>
              <w:fldChar w:fldCharType="begin"/>
            </w:r>
            <w:r>
              <w:rPr>
                <w:noProof/>
                <w:webHidden/>
              </w:rPr>
              <w:instrText xml:space="preserve"> PAGEREF _Toc197076906 \h </w:instrText>
            </w:r>
            <w:r>
              <w:rPr>
                <w:noProof/>
                <w:webHidden/>
              </w:rPr>
            </w:r>
            <w:r>
              <w:rPr>
                <w:noProof/>
                <w:webHidden/>
              </w:rPr>
              <w:fldChar w:fldCharType="separate"/>
            </w:r>
            <w:r w:rsidR="00365F01">
              <w:rPr>
                <w:noProof/>
                <w:webHidden/>
              </w:rPr>
              <w:t>23</w:t>
            </w:r>
            <w:r>
              <w:rPr>
                <w:noProof/>
                <w:webHidden/>
              </w:rPr>
              <w:fldChar w:fldCharType="end"/>
            </w:r>
          </w:hyperlink>
        </w:p>
        <w:p w14:paraId="53170D68" w14:textId="3768326F" w:rsidR="00BF3E4C" w:rsidRDefault="00BF3E4C">
          <w:pPr>
            <w:pStyle w:val="TOC3"/>
            <w:rPr>
              <w:rFonts w:eastAsiaTheme="minorEastAsia" w:cstheme="minorBidi"/>
              <w:bCs w:val="0"/>
              <w:snapToGrid/>
              <w:spacing w:val="0"/>
              <w:kern w:val="2"/>
              <w:sz w:val="24"/>
              <w14:ligatures w14:val="standardContextual"/>
            </w:rPr>
          </w:pPr>
          <w:hyperlink w:anchor="_Toc197076907" w:history="1">
            <w:r w:rsidRPr="00DC07FE">
              <w:rPr>
                <w:rStyle w:val="Hyperlink"/>
                <w:lang w:val="en-US"/>
              </w:rPr>
              <w:t>4.2.1</w:t>
            </w:r>
            <w:r>
              <w:rPr>
                <w:rFonts w:eastAsiaTheme="minorEastAsia" w:cstheme="minorBidi"/>
                <w:bCs w:val="0"/>
                <w:snapToGrid/>
                <w:spacing w:val="0"/>
                <w:kern w:val="2"/>
                <w:sz w:val="24"/>
                <w14:ligatures w14:val="standardContextual"/>
              </w:rPr>
              <w:tab/>
            </w:r>
            <w:r w:rsidRPr="00DC07FE">
              <w:rPr>
                <w:rStyle w:val="Hyperlink"/>
              </w:rPr>
              <w:t>Assessment processes:</w:t>
            </w:r>
            <w:r>
              <w:rPr>
                <w:webHidden/>
              </w:rPr>
              <w:tab/>
            </w:r>
            <w:r>
              <w:rPr>
                <w:webHidden/>
              </w:rPr>
              <w:fldChar w:fldCharType="begin"/>
            </w:r>
            <w:r>
              <w:rPr>
                <w:webHidden/>
              </w:rPr>
              <w:instrText xml:space="preserve"> PAGEREF _Toc197076907 \h </w:instrText>
            </w:r>
            <w:r>
              <w:rPr>
                <w:webHidden/>
              </w:rPr>
            </w:r>
            <w:r>
              <w:rPr>
                <w:webHidden/>
              </w:rPr>
              <w:fldChar w:fldCharType="separate"/>
            </w:r>
            <w:r w:rsidR="00365F01">
              <w:rPr>
                <w:webHidden/>
              </w:rPr>
              <w:t>23</w:t>
            </w:r>
            <w:r>
              <w:rPr>
                <w:webHidden/>
              </w:rPr>
              <w:fldChar w:fldCharType="end"/>
            </w:r>
          </w:hyperlink>
        </w:p>
        <w:p w14:paraId="366A429F" w14:textId="0E5B086B" w:rsidR="00BF3E4C" w:rsidRDefault="00BF3E4C">
          <w:pPr>
            <w:pStyle w:val="TOC3"/>
            <w:rPr>
              <w:rFonts w:eastAsiaTheme="minorEastAsia" w:cstheme="minorBidi"/>
              <w:bCs w:val="0"/>
              <w:snapToGrid/>
              <w:spacing w:val="0"/>
              <w:kern w:val="2"/>
              <w:sz w:val="24"/>
              <w14:ligatures w14:val="standardContextual"/>
            </w:rPr>
          </w:pPr>
          <w:hyperlink w:anchor="_Toc197076908" w:history="1">
            <w:r w:rsidRPr="00DC07FE">
              <w:rPr>
                <w:rStyle w:val="Hyperlink"/>
              </w:rPr>
              <w:t>4.2.2</w:t>
            </w:r>
            <w:r>
              <w:rPr>
                <w:rFonts w:eastAsiaTheme="minorEastAsia" w:cstheme="minorBidi"/>
                <w:bCs w:val="0"/>
                <w:snapToGrid/>
                <w:spacing w:val="0"/>
                <w:kern w:val="2"/>
                <w:sz w:val="24"/>
                <w14:ligatures w14:val="standardContextual"/>
              </w:rPr>
              <w:tab/>
            </w:r>
            <w:r w:rsidRPr="00DC07FE">
              <w:rPr>
                <w:rStyle w:val="Hyperlink"/>
              </w:rPr>
              <w:t>Care planning processes demonstrate that:</w:t>
            </w:r>
            <w:r>
              <w:rPr>
                <w:webHidden/>
              </w:rPr>
              <w:tab/>
            </w:r>
            <w:r>
              <w:rPr>
                <w:webHidden/>
              </w:rPr>
              <w:fldChar w:fldCharType="begin"/>
            </w:r>
            <w:r>
              <w:rPr>
                <w:webHidden/>
              </w:rPr>
              <w:instrText xml:space="preserve"> PAGEREF _Toc197076908 \h </w:instrText>
            </w:r>
            <w:r>
              <w:rPr>
                <w:webHidden/>
              </w:rPr>
            </w:r>
            <w:r>
              <w:rPr>
                <w:webHidden/>
              </w:rPr>
              <w:fldChar w:fldCharType="separate"/>
            </w:r>
            <w:r w:rsidR="00365F01">
              <w:rPr>
                <w:webHidden/>
              </w:rPr>
              <w:t>23</w:t>
            </w:r>
            <w:r>
              <w:rPr>
                <w:webHidden/>
              </w:rPr>
              <w:fldChar w:fldCharType="end"/>
            </w:r>
          </w:hyperlink>
        </w:p>
        <w:p w14:paraId="258AA08F" w14:textId="2D96DC31" w:rsidR="00BF3E4C" w:rsidRDefault="00BF3E4C">
          <w:pPr>
            <w:pStyle w:val="TOC3"/>
            <w:rPr>
              <w:rFonts w:eastAsiaTheme="minorEastAsia" w:cstheme="minorBidi"/>
              <w:bCs w:val="0"/>
              <w:snapToGrid/>
              <w:spacing w:val="0"/>
              <w:kern w:val="2"/>
              <w:sz w:val="24"/>
              <w14:ligatures w14:val="standardContextual"/>
            </w:rPr>
          </w:pPr>
          <w:hyperlink w:anchor="_Toc197076909" w:history="1">
            <w:r w:rsidRPr="00DC07FE">
              <w:rPr>
                <w:rStyle w:val="Hyperlink"/>
              </w:rPr>
              <w:t>4.2.3</w:t>
            </w:r>
            <w:r>
              <w:rPr>
                <w:rFonts w:eastAsiaTheme="minorEastAsia" w:cstheme="minorBidi"/>
                <w:bCs w:val="0"/>
                <w:snapToGrid/>
                <w:spacing w:val="0"/>
                <w:kern w:val="2"/>
                <w:sz w:val="24"/>
                <w14:ligatures w14:val="standardContextual"/>
              </w:rPr>
              <w:tab/>
            </w:r>
            <w:r w:rsidRPr="00DC07FE">
              <w:rPr>
                <w:rStyle w:val="Hyperlink"/>
              </w:rPr>
              <w:t>The MDT approach to the planning and review of care recipient care demonstrates that:</w:t>
            </w:r>
            <w:r>
              <w:rPr>
                <w:webHidden/>
              </w:rPr>
              <w:tab/>
            </w:r>
            <w:r>
              <w:rPr>
                <w:webHidden/>
              </w:rPr>
              <w:fldChar w:fldCharType="begin"/>
            </w:r>
            <w:r>
              <w:rPr>
                <w:webHidden/>
              </w:rPr>
              <w:instrText xml:space="preserve"> PAGEREF _Toc197076909 \h </w:instrText>
            </w:r>
            <w:r>
              <w:rPr>
                <w:webHidden/>
              </w:rPr>
            </w:r>
            <w:r>
              <w:rPr>
                <w:webHidden/>
              </w:rPr>
              <w:fldChar w:fldCharType="separate"/>
            </w:r>
            <w:r w:rsidR="00365F01">
              <w:rPr>
                <w:webHidden/>
              </w:rPr>
              <w:t>24</w:t>
            </w:r>
            <w:r>
              <w:rPr>
                <w:webHidden/>
              </w:rPr>
              <w:fldChar w:fldCharType="end"/>
            </w:r>
          </w:hyperlink>
        </w:p>
        <w:p w14:paraId="523E5CC6" w14:textId="3E1C0B38"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10" w:history="1">
            <w:r w:rsidRPr="00DC07FE">
              <w:rPr>
                <w:rStyle w:val="Hyperlink"/>
                <w:rFonts w:eastAsiaTheme="majorEastAsia"/>
                <w:noProof/>
              </w:rPr>
              <w:t>4.3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Seamless Care – Requirement 3</w:t>
            </w:r>
            <w:r>
              <w:rPr>
                <w:noProof/>
                <w:webHidden/>
              </w:rPr>
              <w:tab/>
            </w:r>
            <w:r>
              <w:rPr>
                <w:noProof/>
                <w:webHidden/>
              </w:rPr>
              <w:fldChar w:fldCharType="begin"/>
            </w:r>
            <w:r>
              <w:rPr>
                <w:noProof/>
                <w:webHidden/>
              </w:rPr>
              <w:instrText xml:space="preserve"> PAGEREF _Toc197076910 \h </w:instrText>
            </w:r>
            <w:r>
              <w:rPr>
                <w:noProof/>
                <w:webHidden/>
              </w:rPr>
            </w:r>
            <w:r>
              <w:rPr>
                <w:noProof/>
                <w:webHidden/>
              </w:rPr>
              <w:fldChar w:fldCharType="separate"/>
            </w:r>
            <w:r w:rsidR="00365F01">
              <w:rPr>
                <w:noProof/>
                <w:webHidden/>
              </w:rPr>
              <w:t>24</w:t>
            </w:r>
            <w:r>
              <w:rPr>
                <w:noProof/>
                <w:webHidden/>
              </w:rPr>
              <w:fldChar w:fldCharType="end"/>
            </w:r>
          </w:hyperlink>
        </w:p>
        <w:p w14:paraId="3D79F511" w14:textId="466DC262" w:rsidR="00BF3E4C" w:rsidRDefault="00BF3E4C">
          <w:pPr>
            <w:pStyle w:val="TOC3"/>
            <w:rPr>
              <w:rFonts w:eastAsiaTheme="minorEastAsia" w:cstheme="minorBidi"/>
              <w:bCs w:val="0"/>
              <w:snapToGrid/>
              <w:spacing w:val="0"/>
              <w:kern w:val="2"/>
              <w:sz w:val="24"/>
              <w14:ligatures w14:val="standardContextual"/>
            </w:rPr>
          </w:pPr>
          <w:hyperlink w:anchor="_Toc197076911" w:history="1">
            <w:r w:rsidRPr="00DC07FE">
              <w:rPr>
                <w:rStyle w:val="Hyperlink"/>
              </w:rPr>
              <w:t>4.3.1</w:t>
            </w:r>
            <w:r>
              <w:rPr>
                <w:rFonts w:eastAsiaTheme="minorEastAsia" w:cstheme="minorBidi"/>
                <w:bCs w:val="0"/>
                <w:snapToGrid/>
                <w:spacing w:val="0"/>
                <w:kern w:val="2"/>
                <w:sz w:val="24"/>
                <w14:ligatures w14:val="standardContextual"/>
              </w:rPr>
              <w:tab/>
            </w:r>
            <w:r w:rsidRPr="00DC07FE">
              <w:rPr>
                <w:rStyle w:val="Hyperlink"/>
              </w:rPr>
              <w:t>Assessment processes:</w:t>
            </w:r>
            <w:r>
              <w:rPr>
                <w:webHidden/>
              </w:rPr>
              <w:tab/>
            </w:r>
            <w:r>
              <w:rPr>
                <w:webHidden/>
              </w:rPr>
              <w:fldChar w:fldCharType="begin"/>
            </w:r>
            <w:r>
              <w:rPr>
                <w:webHidden/>
              </w:rPr>
              <w:instrText xml:space="preserve"> PAGEREF _Toc197076911 \h </w:instrText>
            </w:r>
            <w:r>
              <w:rPr>
                <w:webHidden/>
              </w:rPr>
            </w:r>
            <w:r>
              <w:rPr>
                <w:webHidden/>
              </w:rPr>
              <w:fldChar w:fldCharType="separate"/>
            </w:r>
            <w:r w:rsidR="00365F01">
              <w:rPr>
                <w:webHidden/>
              </w:rPr>
              <w:t>24</w:t>
            </w:r>
            <w:r>
              <w:rPr>
                <w:webHidden/>
              </w:rPr>
              <w:fldChar w:fldCharType="end"/>
            </w:r>
          </w:hyperlink>
        </w:p>
        <w:p w14:paraId="0ABB5E8D" w14:textId="1DFB4ACB" w:rsidR="00BF3E4C" w:rsidRDefault="00BF3E4C">
          <w:pPr>
            <w:pStyle w:val="TOC3"/>
            <w:rPr>
              <w:rFonts w:eastAsiaTheme="minorEastAsia" w:cstheme="minorBidi"/>
              <w:bCs w:val="0"/>
              <w:snapToGrid/>
              <w:spacing w:val="0"/>
              <w:kern w:val="2"/>
              <w:sz w:val="24"/>
              <w14:ligatures w14:val="standardContextual"/>
            </w:rPr>
          </w:pPr>
          <w:hyperlink w:anchor="_Toc197076912" w:history="1">
            <w:r w:rsidRPr="00DC07FE">
              <w:rPr>
                <w:rStyle w:val="Hyperlink"/>
              </w:rPr>
              <w:t>4.3.2</w:t>
            </w:r>
            <w:r>
              <w:rPr>
                <w:rFonts w:eastAsiaTheme="minorEastAsia" w:cstheme="minorBidi"/>
                <w:bCs w:val="0"/>
                <w:snapToGrid/>
                <w:spacing w:val="0"/>
                <w:kern w:val="2"/>
                <w:sz w:val="24"/>
                <w14:ligatures w14:val="standardContextual"/>
              </w:rPr>
              <w:tab/>
            </w:r>
            <w:r w:rsidRPr="00DC07FE">
              <w:rPr>
                <w:rStyle w:val="Hyperlink"/>
              </w:rPr>
              <w:t>The transition care service works within an integrated system of care with other organisations by:</w:t>
            </w:r>
            <w:r>
              <w:rPr>
                <w:webHidden/>
              </w:rPr>
              <w:tab/>
            </w:r>
            <w:r>
              <w:rPr>
                <w:webHidden/>
              </w:rPr>
              <w:fldChar w:fldCharType="begin"/>
            </w:r>
            <w:r>
              <w:rPr>
                <w:webHidden/>
              </w:rPr>
              <w:instrText xml:space="preserve"> PAGEREF _Toc197076912 \h </w:instrText>
            </w:r>
            <w:r>
              <w:rPr>
                <w:webHidden/>
              </w:rPr>
            </w:r>
            <w:r>
              <w:rPr>
                <w:webHidden/>
              </w:rPr>
              <w:fldChar w:fldCharType="separate"/>
            </w:r>
            <w:r w:rsidR="00365F01">
              <w:rPr>
                <w:webHidden/>
              </w:rPr>
              <w:t>24</w:t>
            </w:r>
            <w:r>
              <w:rPr>
                <w:webHidden/>
              </w:rPr>
              <w:fldChar w:fldCharType="end"/>
            </w:r>
          </w:hyperlink>
        </w:p>
        <w:p w14:paraId="512704BD" w14:textId="27B8A8D4" w:rsidR="00BF3E4C" w:rsidRDefault="00BF3E4C">
          <w:pPr>
            <w:pStyle w:val="TOC3"/>
            <w:rPr>
              <w:rFonts w:eastAsiaTheme="minorEastAsia" w:cstheme="minorBidi"/>
              <w:bCs w:val="0"/>
              <w:snapToGrid/>
              <w:spacing w:val="0"/>
              <w:kern w:val="2"/>
              <w:sz w:val="24"/>
              <w14:ligatures w14:val="standardContextual"/>
            </w:rPr>
          </w:pPr>
          <w:hyperlink w:anchor="_Toc197076913" w:history="1">
            <w:r w:rsidRPr="00DC07FE">
              <w:rPr>
                <w:rStyle w:val="Hyperlink"/>
                <w:lang w:val="en-US"/>
              </w:rPr>
              <w:t>4.3.3</w:t>
            </w:r>
            <w:r>
              <w:rPr>
                <w:rFonts w:eastAsiaTheme="minorEastAsia" w:cstheme="minorBidi"/>
                <w:bCs w:val="0"/>
                <w:snapToGrid/>
                <w:spacing w:val="0"/>
                <w:kern w:val="2"/>
                <w:sz w:val="24"/>
                <w14:ligatures w14:val="standardContextual"/>
              </w:rPr>
              <w:tab/>
            </w:r>
            <w:r w:rsidRPr="00DC07FE">
              <w:rPr>
                <w:rStyle w:val="Hyperlink"/>
              </w:rPr>
              <w:t xml:space="preserve">The </w:t>
            </w:r>
            <w:r w:rsidRPr="00DC07FE">
              <w:rPr>
                <w:rStyle w:val="Hyperlink"/>
                <w:lang w:val="en-US"/>
              </w:rPr>
              <w:t>transition care service develops systems for the safe discharge of care recipients that help prevent re-admission, including:</w:t>
            </w:r>
            <w:r>
              <w:rPr>
                <w:webHidden/>
              </w:rPr>
              <w:tab/>
            </w:r>
            <w:r>
              <w:rPr>
                <w:webHidden/>
              </w:rPr>
              <w:fldChar w:fldCharType="begin"/>
            </w:r>
            <w:r>
              <w:rPr>
                <w:webHidden/>
              </w:rPr>
              <w:instrText xml:space="preserve"> PAGEREF _Toc197076913 \h </w:instrText>
            </w:r>
            <w:r>
              <w:rPr>
                <w:webHidden/>
              </w:rPr>
            </w:r>
            <w:r>
              <w:rPr>
                <w:webHidden/>
              </w:rPr>
              <w:fldChar w:fldCharType="separate"/>
            </w:r>
            <w:r w:rsidR="00365F01">
              <w:rPr>
                <w:webHidden/>
              </w:rPr>
              <w:t>25</w:t>
            </w:r>
            <w:r>
              <w:rPr>
                <w:webHidden/>
              </w:rPr>
              <w:fldChar w:fldCharType="end"/>
            </w:r>
          </w:hyperlink>
        </w:p>
        <w:p w14:paraId="60EDA55E" w14:textId="7179E3AA" w:rsidR="00BF3E4C" w:rsidRDefault="00BF3E4C">
          <w:pPr>
            <w:pStyle w:val="TOC1"/>
            <w:tabs>
              <w:tab w:val="left" w:pos="1540"/>
            </w:tabs>
            <w:rPr>
              <w:rFonts w:asciiTheme="minorHAnsi" w:eastAsiaTheme="minorEastAsia" w:hAnsiTheme="minorHAnsi" w:cstheme="minorBidi"/>
              <w:noProof/>
              <w:spacing w:val="0"/>
              <w:kern w:val="2"/>
              <w:sz w:val="24"/>
              <w14:ligatures w14:val="standardContextual"/>
            </w:rPr>
          </w:pPr>
          <w:hyperlink w:anchor="_Toc197076914" w:history="1">
            <w:r w:rsidRPr="00DC07FE">
              <w:rPr>
                <w:rStyle w:val="Hyperlink"/>
                <w:rFonts w:eastAsiaTheme="majorEastAsia"/>
                <w:noProof/>
              </w:rPr>
              <w:t>CHAPTER 5</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CARE RECIPIENTS</w:t>
            </w:r>
            <w:r>
              <w:rPr>
                <w:noProof/>
                <w:webHidden/>
              </w:rPr>
              <w:tab/>
            </w:r>
            <w:r>
              <w:rPr>
                <w:noProof/>
                <w:webHidden/>
              </w:rPr>
              <w:fldChar w:fldCharType="begin"/>
            </w:r>
            <w:r>
              <w:rPr>
                <w:noProof/>
                <w:webHidden/>
              </w:rPr>
              <w:instrText xml:space="preserve"> PAGEREF _Toc197076914 \h </w:instrText>
            </w:r>
            <w:r>
              <w:rPr>
                <w:noProof/>
                <w:webHidden/>
              </w:rPr>
            </w:r>
            <w:r>
              <w:rPr>
                <w:noProof/>
                <w:webHidden/>
              </w:rPr>
              <w:fldChar w:fldCharType="separate"/>
            </w:r>
            <w:r w:rsidR="00365F01">
              <w:rPr>
                <w:noProof/>
                <w:webHidden/>
              </w:rPr>
              <w:t>26</w:t>
            </w:r>
            <w:r>
              <w:rPr>
                <w:noProof/>
                <w:webHidden/>
              </w:rPr>
              <w:fldChar w:fldCharType="end"/>
            </w:r>
          </w:hyperlink>
        </w:p>
        <w:p w14:paraId="17EDF7C5" w14:textId="1FBF66E0"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15" w:history="1">
            <w:r w:rsidRPr="00DC07FE">
              <w:rPr>
                <w:rStyle w:val="Hyperlink"/>
                <w:rFonts w:eastAsiaTheme="majorEastAsia"/>
                <w:noProof/>
              </w:rPr>
              <w:t>5.1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Charter of Aged Care Rights</w:t>
            </w:r>
            <w:r>
              <w:rPr>
                <w:noProof/>
                <w:webHidden/>
              </w:rPr>
              <w:tab/>
            </w:r>
            <w:r>
              <w:rPr>
                <w:noProof/>
                <w:webHidden/>
              </w:rPr>
              <w:fldChar w:fldCharType="begin"/>
            </w:r>
            <w:r>
              <w:rPr>
                <w:noProof/>
                <w:webHidden/>
              </w:rPr>
              <w:instrText xml:space="preserve"> PAGEREF _Toc197076915 \h </w:instrText>
            </w:r>
            <w:r>
              <w:rPr>
                <w:noProof/>
                <w:webHidden/>
              </w:rPr>
            </w:r>
            <w:r>
              <w:rPr>
                <w:noProof/>
                <w:webHidden/>
              </w:rPr>
              <w:fldChar w:fldCharType="separate"/>
            </w:r>
            <w:r w:rsidR="00365F01">
              <w:rPr>
                <w:noProof/>
                <w:webHidden/>
              </w:rPr>
              <w:t>26</w:t>
            </w:r>
            <w:r>
              <w:rPr>
                <w:noProof/>
                <w:webHidden/>
              </w:rPr>
              <w:fldChar w:fldCharType="end"/>
            </w:r>
          </w:hyperlink>
        </w:p>
        <w:p w14:paraId="1F46F445" w14:textId="32359E00" w:rsidR="00BF3E4C" w:rsidRDefault="00BF3E4C">
          <w:pPr>
            <w:pStyle w:val="TOC3"/>
            <w:rPr>
              <w:rFonts w:eastAsiaTheme="minorEastAsia" w:cstheme="minorBidi"/>
              <w:bCs w:val="0"/>
              <w:snapToGrid/>
              <w:spacing w:val="0"/>
              <w:kern w:val="2"/>
              <w:sz w:val="24"/>
              <w14:ligatures w14:val="standardContextual"/>
            </w:rPr>
          </w:pPr>
          <w:hyperlink w:anchor="_Toc197076916" w:history="1">
            <w:r w:rsidRPr="00DC07FE">
              <w:rPr>
                <w:rStyle w:val="Hyperlink"/>
              </w:rPr>
              <w:t>5.1.1</w:t>
            </w:r>
            <w:r>
              <w:rPr>
                <w:rFonts w:eastAsiaTheme="minorEastAsia" w:cstheme="minorBidi"/>
                <w:bCs w:val="0"/>
                <w:snapToGrid/>
                <w:spacing w:val="0"/>
                <w:kern w:val="2"/>
                <w:sz w:val="24"/>
                <w14:ligatures w14:val="standardContextual"/>
              </w:rPr>
              <w:tab/>
            </w:r>
            <w:r w:rsidRPr="00DC07FE">
              <w:rPr>
                <w:rStyle w:val="Hyperlink"/>
              </w:rPr>
              <w:t>Provider responsibilities in relation to the Charter</w:t>
            </w:r>
            <w:r>
              <w:rPr>
                <w:webHidden/>
              </w:rPr>
              <w:tab/>
            </w:r>
            <w:r>
              <w:rPr>
                <w:webHidden/>
              </w:rPr>
              <w:fldChar w:fldCharType="begin"/>
            </w:r>
            <w:r>
              <w:rPr>
                <w:webHidden/>
              </w:rPr>
              <w:instrText xml:space="preserve"> PAGEREF _Toc197076916 \h </w:instrText>
            </w:r>
            <w:r>
              <w:rPr>
                <w:webHidden/>
              </w:rPr>
            </w:r>
            <w:r>
              <w:rPr>
                <w:webHidden/>
              </w:rPr>
              <w:fldChar w:fldCharType="separate"/>
            </w:r>
            <w:r w:rsidR="00365F01">
              <w:rPr>
                <w:webHidden/>
              </w:rPr>
              <w:t>26</w:t>
            </w:r>
            <w:r>
              <w:rPr>
                <w:webHidden/>
              </w:rPr>
              <w:fldChar w:fldCharType="end"/>
            </w:r>
          </w:hyperlink>
        </w:p>
        <w:p w14:paraId="0015BB49" w14:textId="3B0C29EF"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17" w:history="1">
            <w:r w:rsidRPr="00DC07FE">
              <w:rPr>
                <w:rStyle w:val="Hyperlink"/>
                <w:rFonts w:eastAsiaTheme="majorEastAsia"/>
                <w:noProof/>
              </w:rPr>
              <w:t>5.2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Recipient agreement</w:t>
            </w:r>
            <w:r>
              <w:rPr>
                <w:noProof/>
                <w:webHidden/>
              </w:rPr>
              <w:tab/>
            </w:r>
            <w:r>
              <w:rPr>
                <w:noProof/>
                <w:webHidden/>
              </w:rPr>
              <w:fldChar w:fldCharType="begin"/>
            </w:r>
            <w:r>
              <w:rPr>
                <w:noProof/>
                <w:webHidden/>
              </w:rPr>
              <w:instrText xml:space="preserve"> PAGEREF _Toc197076917 \h </w:instrText>
            </w:r>
            <w:r>
              <w:rPr>
                <w:noProof/>
                <w:webHidden/>
              </w:rPr>
            </w:r>
            <w:r>
              <w:rPr>
                <w:noProof/>
                <w:webHidden/>
              </w:rPr>
              <w:fldChar w:fldCharType="separate"/>
            </w:r>
            <w:r w:rsidR="00365F01">
              <w:rPr>
                <w:noProof/>
                <w:webHidden/>
              </w:rPr>
              <w:t>27</w:t>
            </w:r>
            <w:r>
              <w:rPr>
                <w:noProof/>
                <w:webHidden/>
              </w:rPr>
              <w:fldChar w:fldCharType="end"/>
            </w:r>
          </w:hyperlink>
        </w:p>
        <w:p w14:paraId="5CBE862E" w14:textId="20B95743"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18" w:history="1">
            <w:r w:rsidRPr="00DC07FE">
              <w:rPr>
                <w:rStyle w:val="Hyperlink"/>
                <w:rFonts w:eastAsiaTheme="majorEastAsia"/>
                <w:noProof/>
              </w:rPr>
              <w:t>5.3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Care recipient responsibilities</w:t>
            </w:r>
            <w:r>
              <w:rPr>
                <w:noProof/>
                <w:webHidden/>
              </w:rPr>
              <w:tab/>
            </w:r>
            <w:r>
              <w:rPr>
                <w:noProof/>
                <w:webHidden/>
              </w:rPr>
              <w:fldChar w:fldCharType="begin"/>
            </w:r>
            <w:r>
              <w:rPr>
                <w:noProof/>
                <w:webHidden/>
              </w:rPr>
              <w:instrText xml:space="preserve"> PAGEREF _Toc197076918 \h </w:instrText>
            </w:r>
            <w:r>
              <w:rPr>
                <w:noProof/>
                <w:webHidden/>
              </w:rPr>
            </w:r>
            <w:r>
              <w:rPr>
                <w:noProof/>
                <w:webHidden/>
              </w:rPr>
              <w:fldChar w:fldCharType="separate"/>
            </w:r>
            <w:r w:rsidR="00365F01">
              <w:rPr>
                <w:noProof/>
                <w:webHidden/>
              </w:rPr>
              <w:t>27</w:t>
            </w:r>
            <w:r>
              <w:rPr>
                <w:noProof/>
                <w:webHidden/>
              </w:rPr>
              <w:fldChar w:fldCharType="end"/>
            </w:r>
          </w:hyperlink>
        </w:p>
        <w:p w14:paraId="142E886D" w14:textId="45C3B2FD"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19" w:history="1">
            <w:r w:rsidRPr="00DC07FE">
              <w:rPr>
                <w:rStyle w:val="Hyperlink"/>
                <w:rFonts w:eastAsiaTheme="majorEastAsia"/>
                <w:noProof/>
                <w:snapToGrid w:val="0"/>
              </w:rPr>
              <w:t>5.4</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snapToGrid w:val="0"/>
              </w:rPr>
              <w:t>Advocacy</w:t>
            </w:r>
            <w:r>
              <w:rPr>
                <w:noProof/>
                <w:webHidden/>
              </w:rPr>
              <w:tab/>
            </w:r>
            <w:r>
              <w:rPr>
                <w:noProof/>
                <w:webHidden/>
              </w:rPr>
              <w:fldChar w:fldCharType="begin"/>
            </w:r>
            <w:r>
              <w:rPr>
                <w:noProof/>
                <w:webHidden/>
              </w:rPr>
              <w:instrText xml:space="preserve"> PAGEREF _Toc197076919 \h </w:instrText>
            </w:r>
            <w:r>
              <w:rPr>
                <w:noProof/>
                <w:webHidden/>
              </w:rPr>
            </w:r>
            <w:r>
              <w:rPr>
                <w:noProof/>
                <w:webHidden/>
              </w:rPr>
              <w:fldChar w:fldCharType="separate"/>
            </w:r>
            <w:r w:rsidR="00365F01">
              <w:rPr>
                <w:noProof/>
                <w:webHidden/>
              </w:rPr>
              <w:t>28</w:t>
            </w:r>
            <w:r>
              <w:rPr>
                <w:noProof/>
                <w:webHidden/>
              </w:rPr>
              <w:fldChar w:fldCharType="end"/>
            </w:r>
          </w:hyperlink>
        </w:p>
        <w:p w14:paraId="58348C6C" w14:textId="1618AAD1"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20" w:history="1">
            <w:r w:rsidRPr="00DC07FE">
              <w:rPr>
                <w:rStyle w:val="Hyperlink"/>
                <w:rFonts w:eastAsiaTheme="majorEastAsia"/>
                <w:noProof/>
                <w:snapToGrid w:val="0"/>
              </w:rPr>
              <w:t>5.5</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snapToGrid w:val="0"/>
              </w:rPr>
              <w:t>Privacy/confidentiality</w:t>
            </w:r>
            <w:r>
              <w:rPr>
                <w:noProof/>
                <w:webHidden/>
              </w:rPr>
              <w:tab/>
            </w:r>
            <w:r>
              <w:rPr>
                <w:noProof/>
                <w:webHidden/>
              </w:rPr>
              <w:fldChar w:fldCharType="begin"/>
            </w:r>
            <w:r>
              <w:rPr>
                <w:noProof/>
                <w:webHidden/>
              </w:rPr>
              <w:instrText xml:space="preserve"> PAGEREF _Toc197076920 \h </w:instrText>
            </w:r>
            <w:r>
              <w:rPr>
                <w:noProof/>
                <w:webHidden/>
              </w:rPr>
            </w:r>
            <w:r>
              <w:rPr>
                <w:noProof/>
                <w:webHidden/>
              </w:rPr>
              <w:fldChar w:fldCharType="separate"/>
            </w:r>
            <w:r w:rsidR="00365F01">
              <w:rPr>
                <w:noProof/>
                <w:webHidden/>
              </w:rPr>
              <w:t>28</w:t>
            </w:r>
            <w:r>
              <w:rPr>
                <w:noProof/>
                <w:webHidden/>
              </w:rPr>
              <w:fldChar w:fldCharType="end"/>
            </w:r>
          </w:hyperlink>
        </w:p>
        <w:p w14:paraId="72FBE85E" w14:textId="6B2CE441"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21" w:history="1">
            <w:r w:rsidRPr="00DC07FE">
              <w:rPr>
                <w:rStyle w:val="Hyperlink"/>
                <w:rFonts w:eastAsiaTheme="majorEastAsia"/>
                <w:noProof/>
                <w:snapToGrid w:val="0"/>
              </w:rPr>
              <w:t>5.6</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snapToGrid w:val="0"/>
              </w:rPr>
              <w:t>Fees payable by care recipients</w:t>
            </w:r>
            <w:r>
              <w:rPr>
                <w:noProof/>
                <w:webHidden/>
              </w:rPr>
              <w:tab/>
            </w:r>
            <w:r>
              <w:rPr>
                <w:noProof/>
                <w:webHidden/>
              </w:rPr>
              <w:fldChar w:fldCharType="begin"/>
            </w:r>
            <w:r>
              <w:rPr>
                <w:noProof/>
                <w:webHidden/>
              </w:rPr>
              <w:instrText xml:space="preserve"> PAGEREF _Toc197076921 \h </w:instrText>
            </w:r>
            <w:r>
              <w:rPr>
                <w:noProof/>
                <w:webHidden/>
              </w:rPr>
            </w:r>
            <w:r>
              <w:rPr>
                <w:noProof/>
                <w:webHidden/>
              </w:rPr>
              <w:fldChar w:fldCharType="separate"/>
            </w:r>
            <w:r w:rsidR="00365F01">
              <w:rPr>
                <w:noProof/>
                <w:webHidden/>
              </w:rPr>
              <w:t>28</w:t>
            </w:r>
            <w:r>
              <w:rPr>
                <w:noProof/>
                <w:webHidden/>
              </w:rPr>
              <w:fldChar w:fldCharType="end"/>
            </w:r>
          </w:hyperlink>
        </w:p>
        <w:p w14:paraId="450E55E2" w14:textId="38801724" w:rsidR="00BF3E4C" w:rsidRDefault="00BF3E4C">
          <w:pPr>
            <w:pStyle w:val="TOC3"/>
            <w:rPr>
              <w:rFonts w:eastAsiaTheme="minorEastAsia" w:cstheme="minorBidi"/>
              <w:bCs w:val="0"/>
              <w:snapToGrid/>
              <w:spacing w:val="0"/>
              <w:kern w:val="2"/>
              <w:sz w:val="24"/>
              <w14:ligatures w14:val="standardContextual"/>
            </w:rPr>
          </w:pPr>
          <w:hyperlink w:anchor="_Toc197076922" w:history="1">
            <w:r w:rsidRPr="00DC07FE">
              <w:rPr>
                <w:rStyle w:val="Hyperlink"/>
              </w:rPr>
              <w:t>5.6.1</w:t>
            </w:r>
            <w:r>
              <w:rPr>
                <w:rFonts w:eastAsiaTheme="minorEastAsia" w:cstheme="minorBidi"/>
                <w:bCs w:val="0"/>
                <w:snapToGrid/>
                <w:spacing w:val="0"/>
                <w:kern w:val="2"/>
                <w:sz w:val="24"/>
                <w14:ligatures w14:val="standardContextual"/>
              </w:rPr>
              <w:tab/>
            </w:r>
            <w:r w:rsidRPr="00DC07FE">
              <w:rPr>
                <w:rStyle w:val="Hyperlink"/>
              </w:rPr>
              <w:t>Determining care fees</w:t>
            </w:r>
            <w:r>
              <w:rPr>
                <w:webHidden/>
              </w:rPr>
              <w:tab/>
            </w:r>
            <w:r>
              <w:rPr>
                <w:webHidden/>
              </w:rPr>
              <w:fldChar w:fldCharType="begin"/>
            </w:r>
            <w:r>
              <w:rPr>
                <w:webHidden/>
              </w:rPr>
              <w:instrText xml:space="preserve"> PAGEREF _Toc197076922 \h </w:instrText>
            </w:r>
            <w:r>
              <w:rPr>
                <w:webHidden/>
              </w:rPr>
            </w:r>
            <w:r>
              <w:rPr>
                <w:webHidden/>
              </w:rPr>
              <w:fldChar w:fldCharType="separate"/>
            </w:r>
            <w:r w:rsidR="00365F01">
              <w:rPr>
                <w:webHidden/>
              </w:rPr>
              <w:t>29</w:t>
            </w:r>
            <w:r>
              <w:rPr>
                <w:webHidden/>
              </w:rPr>
              <w:fldChar w:fldCharType="end"/>
            </w:r>
          </w:hyperlink>
        </w:p>
        <w:p w14:paraId="5201A321" w14:textId="39EE1C6F" w:rsidR="00BF3E4C" w:rsidRDefault="00BF3E4C">
          <w:pPr>
            <w:pStyle w:val="TOC3"/>
            <w:rPr>
              <w:rFonts w:eastAsiaTheme="minorEastAsia" w:cstheme="minorBidi"/>
              <w:bCs w:val="0"/>
              <w:snapToGrid/>
              <w:spacing w:val="0"/>
              <w:kern w:val="2"/>
              <w:sz w:val="24"/>
              <w14:ligatures w14:val="standardContextual"/>
            </w:rPr>
          </w:pPr>
          <w:hyperlink w:anchor="_Toc197076923" w:history="1">
            <w:r w:rsidRPr="00DC07FE">
              <w:rPr>
                <w:rStyle w:val="Hyperlink"/>
              </w:rPr>
              <w:t>5.6.2</w:t>
            </w:r>
            <w:r>
              <w:rPr>
                <w:rFonts w:eastAsiaTheme="minorEastAsia" w:cstheme="minorBidi"/>
                <w:bCs w:val="0"/>
                <w:snapToGrid/>
                <w:spacing w:val="0"/>
                <w:kern w:val="2"/>
                <w:sz w:val="24"/>
                <w14:ligatures w14:val="standardContextual"/>
              </w:rPr>
              <w:tab/>
            </w:r>
            <w:r w:rsidRPr="00DC07FE">
              <w:rPr>
                <w:rStyle w:val="Hyperlink"/>
              </w:rPr>
              <w:t>Maximum fees</w:t>
            </w:r>
            <w:r>
              <w:rPr>
                <w:webHidden/>
              </w:rPr>
              <w:tab/>
            </w:r>
            <w:r>
              <w:rPr>
                <w:webHidden/>
              </w:rPr>
              <w:fldChar w:fldCharType="begin"/>
            </w:r>
            <w:r>
              <w:rPr>
                <w:webHidden/>
              </w:rPr>
              <w:instrText xml:space="preserve"> PAGEREF _Toc197076923 \h </w:instrText>
            </w:r>
            <w:r>
              <w:rPr>
                <w:webHidden/>
              </w:rPr>
            </w:r>
            <w:r>
              <w:rPr>
                <w:webHidden/>
              </w:rPr>
              <w:fldChar w:fldCharType="separate"/>
            </w:r>
            <w:r w:rsidR="00365F01">
              <w:rPr>
                <w:webHidden/>
              </w:rPr>
              <w:t>29</w:t>
            </w:r>
            <w:r>
              <w:rPr>
                <w:webHidden/>
              </w:rPr>
              <w:fldChar w:fldCharType="end"/>
            </w:r>
          </w:hyperlink>
        </w:p>
        <w:p w14:paraId="23DC15A3" w14:textId="0127358B" w:rsidR="00BF3E4C" w:rsidRDefault="00BF3E4C">
          <w:pPr>
            <w:pStyle w:val="TOC3"/>
            <w:rPr>
              <w:rFonts w:eastAsiaTheme="minorEastAsia" w:cstheme="minorBidi"/>
              <w:bCs w:val="0"/>
              <w:snapToGrid/>
              <w:spacing w:val="0"/>
              <w:kern w:val="2"/>
              <w:sz w:val="24"/>
              <w14:ligatures w14:val="standardContextual"/>
            </w:rPr>
          </w:pPr>
          <w:hyperlink w:anchor="_Toc197076924" w:history="1">
            <w:r w:rsidRPr="00DC07FE">
              <w:rPr>
                <w:rStyle w:val="Hyperlink"/>
              </w:rPr>
              <w:t>5.6.3</w:t>
            </w:r>
            <w:r>
              <w:rPr>
                <w:rFonts w:eastAsiaTheme="minorEastAsia" w:cstheme="minorBidi"/>
                <w:bCs w:val="0"/>
                <w:snapToGrid/>
                <w:spacing w:val="0"/>
                <w:kern w:val="2"/>
                <w:sz w:val="24"/>
                <w14:ligatures w14:val="standardContextual"/>
              </w:rPr>
              <w:tab/>
            </w:r>
            <w:r w:rsidRPr="00DC07FE">
              <w:rPr>
                <w:rStyle w:val="Hyperlink"/>
              </w:rPr>
              <w:t>Payment of fees in advance</w:t>
            </w:r>
            <w:r>
              <w:rPr>
                <w:webHidden/>
              </w:rPr>
              <w:tab/>
            </w:r>
            <w:r>
              <w:rPr>
                <w:webHidden/>
              </w:rPr>
              <w:fldChar w:fldCharType="begin"/>
            </w:r>
            <w:r>
              <w:rPr>
                <w:webHidden/>
              </w:rPr>
              <w:instrText xml:space="preserve"> PAGEREF _Toc197076924 \h </w:instrText>
            </w:r>
            <w:r>
              <w:rPr>
                <w:webHidden/>
              </w:rPr>
            </w:r>
            <w:r>
              <w:rPr>
                <w:webHidden/>
              </w:rPr>
              <w:fldChar w:fldCharType="separate"/>
            </w:r>
            <w:r w:rsidR="00365F01">
              <w:rPr>
                <w:webHidden/>
              </w:rPr>
              <w:t>29</w:t>
            </w:r>
            <w:r>
              <w:rPr>
                <w:webHidden/>
              </w:rPr>
              <w:fldChar w:fldCharType="end"/>
            </w:r>
          </w:hyperlink>
        </w:p>
        <w:p w14:paraId="4D36D03A" w14:textId="56847C6C" w:rsidR="00BF3E4C" w:rsidRDefault="00BF3E4C">
          <w:pPr>
            <w:pStyle w:val="TOC3"/>
            <w:rPr>
              <w:rFonts w:eastAsiaTheme="minorEastAsia" w:cstheme="minorBidi"/>
              <w:bCs w:val="0"/>
              <w:snapToGrid/>
              <w:spacing w:val="0"/>
              <w:kern w:val="2"/>
              <w:sz w:val="24"/>
              <w14:ligatures w14:val="standardContextual"/>
            </w:rPr>
          </w:pPr>
          <w:hyperlink w:anchor="_Toc197076925" w:history="1">
            <w:r w:rsidRPr="00DC07FE">
              <w:rPr>
                <w:rStyle w:val="Hyperlink"/>
              </w:rPr>
              <w:t>5.6.4</w:t>
            </w:r>
            <w:r>
              <w:rPr>
                <w:rFonts w:eastAsiaTheme="minorEastAsia" w:cstheme="minorBidi"/>
                <w:bCs w:val="0"/>
                <w:snapToGrid/>
                <w:spacing w:val="0"/>
                <w:kern w:val="2"/>
                <w:sz w:val="24"/>
                <w14:ligatures w14:val="standardContextual"/>
              </w:rPr>
              <w:tab/>
            </w:r>
            <w:r w:rsidRPr="00DC07FE">
              <w:rPr>
                <w:rStyle w:val="Hyperlink"/>
              </w:rPr>
              <w:t>Waiving Fees (Financial Hardship)</w:t>
            </w:r>
            <w:r>
              <w:rPr>
                <w:webHidden/>
              </w:rPr>
              <w:tab/>
            </w:r>
            <w:r>
              <w:rPr>
                <w:webHidden/>
              </w:rPr>
              <w:fldChar w:fldCharType="begin"/>
            </w:r>
            <w:r>
              <w:rPr>
                <w:webHidden/>
              </w:rPr>
              <w:instrText xml:space="preserve"> PAGEREF _Toc197076925 \h </w:instrText>
            </w:r>
            <w:r>
              <w:rPr>
                <w:webHidden/>
              </w:rPr>
            </w:r>
            <w:r>
              <w:rPr>
                <w:webHidden/>
              </w:rPr>
              <w:fldChar w:fldCharType="separate"/>
            </w:r>
            <w:r w:rsidR="00365F01">
              <w:rPr>
                <w:webHidden/>
              </w:rPr>
              <w:t>29</w:t>
            </w:r>
            <w:r>
              <w:rPr>
                <w:webHidden/>
              </w:rPr>
              <w:fldChar w:fldCharType="end"/>
            </w:r>
          </w:hyperlink>
        </w:p>
        <w:p w14:paraId="4ADF1BE2" w14:textId="04F0B22C" w:rsidR="00BF3E4C" w:rsidRDefault="00BF3E4C">
          <w:pPr>
            <w:pStyle w:val="TOC1"/>
            <w:tabs>
              <w:tab w:val="left" w:pos="1540"/>
            </w:tabs>
            <w:rPr>
              <w:rFonts w:asciiTheme="minorHAnsi" w:eastAsiaTheme="minorEastAsia" w:hAnsiTheme="minorHAnsi" w:cstheme="minorBidi"/>
              <w:noProof/>
              <w:spacing w:val="0"/>
              <w:kern w:val="2"/>
              <w:sz w:val="24"/>
              <w14:ligatures w14:val="standardContextual"/>
            </w:rPr>
          </w:pPr>
          <w:hyperlink w:anchor="_Toc197076926" w:history="1">
            <w:r w:rsidRPr="00DC07FE">
              <w:rPr>
                <w:rStyle w:val="Hyperlink"/>
                <w:rFonts w:eastAsiaTheme="majorEastAsia"/>
                <w:noProof/>
              </w:rPr>
              <w:t>CHAPTER 6</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RESPONSIBILITIES OF APPROVED PROVIDERS OF TRANSITION CARE</w:t>
            </w:r>
            <w:r>
              <w:rPr>
                <w:noProof/>
                <w:webHidden/>
              </w:rPr>
              <w:tab/>
            </w:r>
            <w:r>
              <w:rPr>
                <w:noProof/>
                <w:webHidden/>
              </w:rPr>
              <w:fldChar w:fldCharType="begin"/>
            </w:r>
            <w:r>
              <w:rPr>
                <w:noProof/>
                <w:webHidden/>
              </w:rPr>
              <w:instrText xml:space="preserve"> PAGEREF _Toc197076926 \h </w:instrText>
            </w:r>
            <w:r>
              <w:rPr>
                <w:noProof/>
                <w:webHidden/>
              </w:rPr>
            </w:r>
            <w:r>
              <w:rPr>
                <w:noProof/>
                <w:webHidden/>
              </w:rPr>
              <w:fldChar w:fldCharType="separate"/>
            </w:r>
            <w:r w:rsidR="00365F01">
              <w:rPr>
                <w:noProof/>
                <w:webHidden/>
              </w:rPr>
              <w:t>30</w:t>
            </w:r>
            <w:r>
              <w:rPr>
                <w:noProof/>
                <w:webHidden/>
              </w:rPr>
              <w:fldChar w:fldCharType="end"/>
            </w:r>
          </w:hyperlink>
        </w:p>
        <w:p w14:paraId="6C3D8CA2" w14:textId="335782A2"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27" w:history="1">
            <w:r w:rsidRPr="00DC07FE">
              <w:rPr>
                <w:rStyle w:val="Hyperlink"/>
                <w:rFonts w:eastAsiaTheme="majorEastAsia"/>
                <w:noProof/>
              </w:rPr>
              <w:t>6.1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Compliance with the legislation</w:t>
            </w:r>
            <w:r>
              <w:rPr>
                <w:noProof/>
                <w:webHidden/>
              </w:rPr>
              <w:tab/>
            </w:r>
            <w:r>
              <w:rPr>
                <w:noProof/>
                <w:webHidden/>
              </w:rPr>
              <w:fldChar w:fldCharType="begin"/>
            </w:r>
            <w:r>
              <w:rPr>
                <w:noProof/>
                <w:webHidden/>
              </w:rPr>
              <w:instrText xml:space="preserve"> PAGEREF _Toc197076927 \h </w:instrText>
            </w:r>
            <w:r>
              <w:rPr>
                <w:noProof/>
                <w:webHidden/>
              </w:rPr>
            </w:r>
            <w:r>
              <w:rPr>
                <w:noProof/>
                <w:webHidden/>
              </w:rPr>
              <w:fldChar w:fldCharType="separate"/>
            </w:r>
            <w:r w:rsidR="00365F01">
              <w:rPr>
                <w:noProof/>
                <w:webHidden/>
              </w:rPr>
              <w:t>30</w:t>
            </w:r>
            <w:r>
              <w:rPr>
                <w:noProof/>
                <w:webHidden/>
              </w:rPr>
              <w:fldChar w:fldCharType="end"/>
            </w:r>
          </w:hyperlink>
        </w:p>
        <w:p w14:paraId="10491366" w14:textId="5F22175D" w:rsidR="00BF3E4C" w:rsidRDefault="00BF3E4C">
          <w:pPr>
            <w:pStyle w:val="TOC3"/>
            <w:rPr>
              <w:rFonts w:eastAsiaTheme="minorEastAsia" w:cstheme="minorBidi"/>
              <w:bCs w:val="0"/>
              <w:snapToGrid/>
              <w:spacing w:val="0"/>
              <w:kern w:val="2"/>
              <w:sz w:val="24"/>
              <w14:ligatures w14:val="standardContextual"/>
            </w:rPr>
          </w:pPr>
          <w:hyperlink w:anchor="_Toc197076928" w:history="1">
            <w:r w:rsidRPr="00DC07FE">
              <w:rPr>
                <w:rStyle w:val="Hyperlink"/>
              </w:rPr>
              <w:t>6.1.1</w:t>
            </w:r>
            <w:r>
              <w:rPr>
                <w:rFonts w:eastAsiaTheme="minorEastAsia" w:cstheme="minorBidi"/>
                <w:bCs w:val="0"/>
                <w:snapToGrid/>
                <w:spacing w:val="0"/>
                <w:kern w:val="2"/>
                <w:sz w:val="24"/>
                <w14:ligatures w14:val="standardContextual"/>
              </w:rPr>
              <w:tab/>
            </w:r>
            <w:r w:rsidRPr="00DC07FE">
              <w:rPr>
                <w:rStyle w:val="Hyperlink"/>
              </w:rPr>
              <w:t>Failure to comply</w:t>
            </w:r>
            <w:r>
              <w:rPr>
                <w:webHidden/>
              </w:rPr>
              <w:tab/>
            </w:r>
            <w:r>
              <w:rPr>
                <w:webHidden/>
              </w:rPr>
              <w:fldChar w:fldCharType="begin"/>
            </w:r>
            <w:r>
              <w:rPr>
                <w:webHidden/>
              </w:rPr>
              <w:instrText xml:space="preserve"> PAGEREF _Toc197076928 \h </w:instrText>
            </w:r>
            <w:r>
              <w:rPr>
                <w:webHidden/>
              </w:rPr>
            </w:r>
            <w:r>
              <w:rPr>
                <w:webHidden/>
              </w:rPr>
              <w:fldChar w:fldCharType="separate"/>
            </w:r>
            <w:r w:rsidR="00365F01">
              <w:rPr>
                <w:webHidden/>
              </w:rPr>
              <w:t>30</w:t>
            </w:r>
            <w:r>
              <w:rPr>
                <w:webHidden/>
              </w:rPr>
              <w:fldChar w:fldCharType="end"/>
            </w:r>
          </w:hyperlink>
        </w:p>
        <w:p w14:paraId="5E79DCEF" w14:textId="777151E2" w:rsidR="00BF3E4C" w:rsidRDefault="00BF3E4C">
          <w:pPr>
            <w:pStyle w:val="TOC3"/>
            <w:rPr>
              <w:rFonts w:eastAsiaTheme="minorEastAsia" w:cstheme="minorBidi"/>
              <w:bCs w:val="0"/>
              <w:snapToGrid/>
              <w:spacing w:val="0"/>
              <w:kern w:val="2"/>
              <w:sz w:val="24"/>
              <w14:ligatures w14:val="standardContextual"/>
            </w:rPr>
          </w:pPr>
          <w:hyperlink w:anchor="_Toc197076929" w:history="1">
            <w:r w:rsidRPr="00DC07FE">
              <w:rPr>
                <w:rStyle w:val="Hyperlink"/>
              </w:rPr>
              <w:t>6.1.2</w:t>
            </w:r>
            <w:r>
              <w:rPr>
                <w:rFonts w:eastAsiaTheme="minorEastAsia" w:cstheme="minorBidi"/>
                <w:bCs w:val="0"/>
                <w:snapToGrid/>
                <w:spacing w:val="0"/>
                <w:kern w:val="2"/>
                <w:sz w:val="24"/>
                <w14:ligatures w14:val="standardContextual"/>
              </w:rPr>
              <w:tab/>
            </w:r>
            <w:r w:rsidRPr="00DC07FE">
              <w:rPr>
                <w:rStyle w:val="Hyperlink"/>
              </w:rPr>
              <w:t>Serious and immediate health and safety risk management and reporting</w:t>
            </w:r>
            <w:r>
              <w:rPr>
                <w:webHidden/>
              </w:rPr>
              <w:tab/>
            </w:r>
            <w:r>
              <w:rPr>
                <w:webHidden/>
              </w:rPr>
              <w:fldChar w:fldCharType="begin"/>
            </w:r>
            <w:r>
              <w:rPr>
                <w:webHidden/>
              </w:rPr>
              <w:instrText xml:space="preserve"> PAGEREF _Toc197076929 \h </w:instrText>
            </w:r>
            <w:r>
              <w:rPr>
                <w:webHidden/>
              </w:rPr>
            </w:r>
            <w:r>
              <w:rPr>
                <w:webHidden/>
              </w:rPr>
              <w:fldChar w:fldCharType="separate"/>
            </w:r>
            <w:r w:rsidR="00365F01">
              <w:rPr>
                <w:webHidden/>
              </w:rPr>
              <w:t>30</w:t>
            </w:r>
            <w:r>
              <w:rPr>
                <w:webHidden/>
              </w:rPr>
              <w:fldChar w:fldCharType="end"/>
            </w:r>
          </w:hyperlink>
        </w:p>
        <w:p w14:paraId="041DB576" w14:textId="4F012AB5" w:rsidR="00BF3E4C" w:rsidRDefault="00BF3E4C">
          <w:pPr>
            <w:pStyle w:val="TOC3"/>
            <w:rPr>
              <w:rFonts w:eastAsiaTheme="minorEastAsia" w:cstheme="minorBidi"/>
              <w:bCs w:val="0"/>
              <w:snapToGrid/>
              <w:spacing w:val="0"/>
              <w:kern w:val="2"/>
              <w:sz w:val="24"/>
              <w14:ligatures w14:val="standardContextual"/>
            </w:rPr>
          </w:pPr>
          <w:hyperlink w:anchor="_Toc197076930" w:history="1">
            <w:r w:rsidRPr="00DC07FE">
              <w:rPr>
                <w:rStyle w:val="Hyperlink"/>
              </w:rPr>
              <w:t>6.1.3</w:t>
            </w:r>
            <w:r>
              <w:rPr>
                <w:rFonts w:eastAsiaTheme="minorEastAsia" w:cstheme="minorBidi"/>
                <w:bCs w:val="0"/>
                <w:snapToGrid/>
                <w:spacing w:val="0"/>
                <w:kern w:val="2"/>
                <w:sz w:val="24"/>
                <w14:ligatures w14:val="standardContextual"/>
              </w:rPr>
              <w:tab/>
            </w:r>
            <w:r w:rsidRPr="00DC07FE">
              <w:rPr>
                <w:rStyle w:val="Hyperlink"/>
              </w:rPr>
              <w:t>Minimising the use of restraints</w:t>
            </w:r>
            <w:r>
              <w:rPr>
                <w:webHidden/>
              </w:rPr>
              <w:tab/>
            </w:r>
            <w:r>
              <w:rPr>
                <w:webHidden/>
              </w:rPr>
              <w:fldChar w:fldCharType="begin"/>
            </w:r>
            <w:r>
              <w:rPr>
                <w:webHidden/>
              </w:rPr>
              <w:instrText xml:space="preserve"> PAGEREF _Toc197076930 \h </w:instrText>
            </w:r>
            <w:r>
              <w:rPr>
                <w:webHidden/>
              </w:rPr>
            </w:r>
            <w:r>
              <w:rPr>
                <w:webHidden/>
              </w:rPr>
              <w:fldChar w:fldCharType="separate"/>
            </w:r>
            <w:r w:rsidR="00365F01">
              <w:rPr>
                <w:webHidden/>
              </w:rPr>
              <w:t>33</w:t>
            </w:r>
            <w:r>
              <w:rPr>
                <w:webHidden/>
              </w:rPr>
              <w:fldChar w:fldCharType="end"/>
            </w:r>
          </w:hyperlink>
        </w:p>
        <w:p w14:paraId="02C73448" w14:textId="21CD24EB"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31" w:history="1">
            <w:r w:rsidRPr="00DC07FE">
              <w:rPr>
                <w:rStyle w:val="Hyperlink"/>
                <w:rFonts w:eastAsiaTheme="majorEastAsia"/>
                <w:noProof/>
              </w:rPr>
              <w:t>6.2</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Specific legislative requirements</w:t>
            </w:r>
            <w:r>
              <w:rPr>
                <w:noProof/>
                <w:webHidden/>
              </w:rPr>
              <w:tab/>
            </w:r>
            <w:r>
              <w:rPr>
                <w:noProof/>
                <w:webHidden/>
              </w:rPr>
              <w:fldChar w:fldCharType="begin"/>
            </w:r>
            <w:r>
              <w:rPr>
                <w:noProof/>
                <w:webHidden/>
              </w:rPr>
              <w:instrText xml:space="preserve"> PAGEREF _Toc197076931 \h </w:instrText>
            </w:r>
            <w:r>
              <w:rPr>
                <w:noProof/>
                <w:webHidden/>
              </w:rPr>
            </w:r>
            <w:r>
              <w:rPr>
                <w:noProof/>
                <w:webHidden/>
              </w:rPr>
              <w:fldChar w:fldCharType="separate"/>
            </w:r>
            <w:r w:rsidR="00365F01">
              <w:rPr>
                <w:noProof/>
                <w:webHidden/>
              </w:rPr>
              <w:t>33</w:t>
            </w:r>
            <w:r>
              <w:rPr>
                <w:noProof/>
                <w:webHidden/>
              </w:rPr>
              <w:fldChar w:fldCharType="end"/>
            </w:r>
          </w:hyperlink>
        </w:p>
        <w:p w14:paraId="2F2D5B6A" w14:textId="74F33A1A" w:rsidR="00BF3E4C" w:rsidRDefault="00BF3E4C">
          <w:pPr>
            <w:pStyle w:val="TOC3"/>
            <w:rPr>
              <w:rFonts w:eastAsiaTheme="minorEastAsia" w:cstheme="minorBidi"/>
              <w:bCs w:val="0"/>
              <w:snapToGrid/>
              <w:spacing w:val="0"/>
              <w:kern w:val="2"/>
              <w:sz w:val="24"/>
              <w14:ligatures w14:val="standardContextual"/>
            </w:rPr>
          </w:pPr>
          <w:hyperlink w:anchor="_Toc197076932" w:history="1">
            <w:r w:rsidRPr="00DC07FE">
              <w:rPr>
                <w:rStyle w:val="Hyperlink"/>
              </w:rPr>
              <w:t>6.2.1</w:t>
            </w:r>
            <w:r>
              <w:rPr>
                <w:rFonts w:eastAsiaTheme="minorEastAsia" w:cstheme="minorBidi"/>
                <w:bCs w:val="0"/>
                <w:snapToGrid/>
                <w:spacing w:val="0"/>
                <w:kern w:val="2"/>
                <w:sz w:val="24"/>
                <w14:ligatures w14:val="standardContextual"/>
              </w:rPr>
              <w:tab/>
            </w:r>
            <w:r w:rsidRPr="00DC07FE">
              <w:rPr>
                <w:rStyle w:val="Hyperlink"/>
              </w:rPr>
              <w:t>Accountability</w:t>
            </w:r>
            <w:r>
              <w:rPr>
                <w:webHidden/>
              </w:rPr>
              <w:tab/>
            </w:r>
            <w:r>
              <w:rPr>
                <w:webHidden/>
              </w:rPr>
              <w:fldChar w:fldCharType="begin"/>
            </w:r>
            <w:r>
              <w:rPr>
                <w:webHidden/>
              </w:rPr>
              <w:instrText xml:space="preserve"> PAGEREF _Toc197076932 \h </w:instrText>
            </w:r>
            <w:r>
              <w:rPr>
                <w:webHidden/>
              </w:rPr>
            </w:r>
            <w:r>
              <w:rPr>
                <w:webHidden/>
              </w:rPr>
              <w:fldChar w:fldCharType="separate"/>
            </w:r>
            <w:r w:rsidR="00365F01">
              <w:rPr>
                <w:webHidden/>
              </w:rPr>
              <w:t>33</w:t>
            </w:r>
            <w:r>
              <w:rPr>
                <w:webHidden/>
              </w:rPr>
              <w:fldChar w:fldCharType="end"/>
            </w:r>
          </w:hyperlink>
        </w:p>
        <w:p w14:paraId="7A18C042" w14:textId="19B313DA" w:rsidR="00BF3E4C" w:rsidRDefault="00BF3E4C">
          <w:pPr>
            <w:pStyle w:val="TOC3"/>
            <w:rPr>
              <w:rFonts w:eastAsiaTheme="minorEastAsia" w:cstheme="minorBidi"/>
              <w:bCs w:val="0"/>
              <w:snapToGrid/>
              <w:spacing w:val="0"/>
              <w:kern w:val="2"/>
              <w:sz w:val="24"/>
              <w14:ligatures w14:val="standardContextual"/>
            </w:rPr>
          </w:pPr>
          <w:hyperlink w:anchor="_Toc197076933" w:history="1">
            <w:r w:rsidRPr="00DC07FE">
              <w:rPr>
                <w:rStyle w:val="Hyperlink"/>
              </w:rPr>
              <w:t>6.2.2</w:t>
            </w:r>
            <w:r>
              <w:rPr>
                <w:rFonts w:eastAsiaTheme="minorEastAsia" w:cstheme="minorBidi"/>
                <w:bCs w:val="0"/>
                <w:snapToGrid/>
                <w:spacing w:val="0"/>
                <w:kern w:val="2"/>
                <w:sz w:val="24"/>
                <w14:ligatures w14:val="standardContextual"/>
              </w:rPr>
              <w:tab/>
            </w:r>
            <w:r w:rsidRPr="00DC07FE">
              <w:rPr>
                <w:rStyle w:val="Hyperlink"/>
              </w:rPr>
              <w:t>Flexible care subsidy</w:t>
            </w:r>
            <w:r>
              <w:rPr>
                <w:webHidden/>
              </w:rPr>
              <w:tab/>
            </w:r>
            <w:r>
              <w:rPr>
                <w:webHidden/>
              </w:rPr>
              <w:fldChar w:fldCharType="begin"/>
            </w:r>
            <w:r>
              <w:rPr>
                <w:webHidden/>
              </w:rPr>
              <w:instrText xml:space="preserve"> PAGEREF _Toc197076933 \h </w:instrText>
            </w:r>
            <w:r>
              <w:rPr>
                <w:webHidden/>
              </w:rPr>
            </w:r>
            <w:r>
              <w:rPr>
                <w:webHidden/>
              </w:rPr>
              <w:fldChar w:fldCharType="separate"/>
            </w:r>
            <w:r w:rsidR="00365F01">
              <w:rPr>
                <w:webHidden/>
              </w:rPr>
              <w:t>33</w:t>
            </w:r>
            <w:r>
              <w:rPr>
                <w:webHidden/>
              </w:rPr>
              <w:fldChar w:fldCharType="end"/>
            </w:r>
          </w:hyperlink>
        </w:p>
        <w:p w14:paraId="22949126" w14:textId="487E2EE7" w:rsidR="00BF3E4C" w:rsidRDefault="00BF3E4C">
          <w:pPr>
            <w:pStyle w:val="TOC3"/>
            <w:rPr>
              <w:rFonts w:eastAsiaTheme="minorEastAsia" w:cstheme="minorBidi"/>
              <w:bCs w:val="0"/>
              <w:snapToGrid/>
              <w:spacing w:val="0"/>
              <w:kern w:val="2"/>
              <w:sz w:val="24"/>
              <w14:ligatures w14:val="standardContextual"/>
            </w:rPr>
          </w:pPr>
          <w:hyperlink w:anchor="_Toc197076934" w:history="1">
            <w:r w:rsidRPr="00DC07FE">
              <w:rPr>
                <w:rStyle w:val="Hyperlink"/>
              </w:rPr>
              <w:t>6.2.3</w:t>
            </w:r>
            <w:r>
              <w:rPr>
                <w:rFonts w:eastAsiaTheme="minorEastAsia" w:cstheme="minorBidi"/>
                <w:bCs w:val="0"/>
                <w:snapToGrid/>
                <w:spacing w:val="0"/>
                <w:kern w:val="2"/>
                <w:sz w:val="24"/>
                <w14:ligatures w14:val="standardContextual"/>
              </w:rPr>
              <w:tab/>
            </w:r>
            <w:r w:rsidRPr="00DC07FE">
              <w:rPr>
                <w:rStyle w:val="Hyperlink"/>
              </w:rPr>
              <w:t>Record Keeping</w:t>
            </w:r>
            <w:r>
              <w:rPr>
                <w:webHidden/>
              </w:rPr>
              <w:tab/>
            </w:r>
            <w:r>
              <w:rPr>
                <w:webHidden/>
              </w:rPr>
              <w:fldChar w:fldCharType="begin"/>
            </w:r>
            <w:r>
              <w:rPr>
                <w:webHidden/>
              </w:rPr>
              <w:instrText xml:space="preserve"> PAGEREF _Toc197076934 \h </w:instrText>
            </w:r>
            <w:r>
              <w:rPr>
                <w:webHidden/>
              </w:rPr>
            </w:r>
            <w:r>
              <w:rPr>
                <w:webHidden/>
              </w:rPr>
              <w:fldChar w:fldCharType="separate"/>
            </w:r>
            <w:r w:rsidR="00365F01">
              <w:rPr>
                <w:webHidden/>
              </w:rPr>
              <w:t>34</w:t>
            </w:r>
            <w:r>
              <w:rPr>
                <w:webHidden/>
              </w:rPr>
              <w:fldChar w:fldCharType="end"/>
            </w:r>
          </w:hyperlink>
        </w:p>
        <w:p w14:paraId="38912B4F" w14:textId="6D25911E" w:rsidR="00BF3E4C" w:rsidRDefault="00BF3E4C">
          <w:pPr>
            <w:pStyle w:val="TOC3"/>
            <w:rPr>
              <w:rFonts w:eastAsiaTheme="minorEastAsia" w:cstheme="minorBidi"/>
              <w:bCs w:val="0"/>
              <w:snapToGrid/>
              <w:spacing w:val="0"/>
              <w:kern w:val="2"/>
              <w:sz w:val="24"/>
              <w14:ligatures w14:val="standardContextual"/>
            </w:rPr>
          </w:pPr>
          <w:hyperlink w:anchor="_Toc197076935" w:history="1">
            <w:r w:rsidRPr="00DC07FE">
              <w:rPr>
                <w:rStyle w:val="Hyperlink"/>
              </w:rPr>
              <w:t>6.2.4</w:t>
            </w:r>
            <w:r>
              <w:rPr>
                <w:rFonts w:eastAsiaTheme="minorEastAsia" w:cstheme="minorBidi"/>
                <w:bCs w:val="0"/>
                <w:snapToGrid/>
                <w:spacing w:val="0"/>
                <w:kern w:val="2"/>
                <w:sz w:val="24"/>
                <w14:ligatures w14:val="standardContextual"/>
              </w:rPr>
              <w:tab/>
            </w:r>
            <w:r w:rsidRPr="00DC07FE">
              <w:rPr>
                <w:rStyle w:val="Hyperlink"/>
              </w:rPr>
              <w:t>Quality of care</w:t>
            </w:r>
            <w:r>
              <w:rPr>
                <w:webHidden/>
              </w:rPr>
              <w:tab/>
            </w:r>
            <w:r>
              <w:rPr>
                <w:webHidden/>
              </w:rPr>
              <w:fldChar w:fldCharType="begin"/>
            </w:r>
            <w:r>
              <w:rPr>
                <w:webHidden/>
              </w:rPr>
              <w:instrText xml:space="preserve"> PAGEREF _Toc197076935 \h </w:instrText>
            </w:r>
            <w:r>
              <w:rPr>
                <w:webHidden/>
              </w:rPr>
            </w:r>
            <w:r>
              <w:rPr>
                <w:webHidden/>
              </w:rPr>
              <w:fldChar w:fldCharType="separate"/>
            </w:r>
            <w:r w:rsidR="00365F01">
              <w:rPr>
                <w:webHidden/>
              </w:rPr>
              <w:t>34</w:t>
            </w:r>
            <w:r>
              <w:rPr>
                <w:webHidden/>
              </w:rPr>
              <w:fldChar w:fldCharType="end"/>
            </w:r>
          </w:hyperlink>
        </w:p>
        <w:p w14:paraId="34373AA2" w14:textId="26CED366" w:rsidR="00BF3E4C" w:rsidRDefault="00BF3E4C">
          <w:pPr>
            <w:pStyle w:val="TOC3"/>
            <w:rPr>
              <w:rFonts w:eastAsiaTheme="minorEastAsia" w:cstheme="minorBidi"/>
              <w:bCs w:val="0"/>
              <w:snapToGrid/>
              <w:spacing w:val="0"/>
              <w:kern w:val="2"/>
              <w:sz w:val="24"/>
              <w14:ligatures w14:val="standardContextual"/>
            </w:rPr>
          </w:pPr>
          <w:hyperlink w:anchor="_Toc197076936" w:history="1">
            <w:r w:rsidRPr="00DC07FE">
              <w:rPr>
                <w:rStyle w:val="Hyperlink"/>
              </w:rPr>
              <w:t>6.2.5</w:t>
            </w:r>
            <w:r>
              <w:rPr>
                <w:rFonts w:eastAsiaTheme="minorEastAsia" w:cstheme="minorBidi"/>
                <w:bCs w:val="0"/>
                <w:snapToGrid/>
                <w:spacing w:val="0"/>
                <w:kern w:val="2"/>
                <w:sz w:val="24"/>
                <w14:ligatures w14:val="standardContextual"/>
              </w:rPr>
              <w:tab/>
            </w:r>
            <w:r w:rsidRPr="00DC07FE">
              <w:rPr>
                <w:rStyle w:val="Hyperlink"/>
              </w:rPr>
              <w:t>Provider responsibilities</w:t>
            </w:r>
            <w:r>
              <w:rPr>
                <w:webHidden/>
              </w:rPr>
              <w:tab/>
            </w:r>
            <w:r>
              <w:rPr>
                <w:webHidden/>
              </w:rPr>
              <w:fldChar w:fldCharType="begin"/>
            </w:r>
            <w:r>
              <w:rPr>
                <w:webHidden/>
              </w:rPr>
              <w:instrText xml:space="preserve"> PAGEREF _Toc197076936 \h </w:instrText>
            </w:r>
            <w:r>
              <w:rPr>
                <w:webHidden/>
              </w:rPr>
            </w:r>
            <w:r>
              <w:rPr>
                <w:webHidden/>
              </w:rPr>
              <w:fldChar w:fldCharType="separate"/>
            </w:r>
            <w:r w:rsidR="00365F01">
              <w:rPr>
                <w:webHidden/>
              </w:rPr>
              <w:t>34</w:t>
            </w:r>
            <w:r>
              <w:rPr>
                <w:webHidden/>
              </w:rPr>
              <w:fldChar w:fldCharType="end"/>
            </w:r>
          </w:hyperlink>
        </w:p>
        <w:p w14:paraId="45D136E3" w14:textId="3581EBB0" w:rsidR="00BF3E4C" w:rsidRDefault="00BF3E4C">
          <w:pPr>
            <w:pStyle w:val="TOC3"/>
            <w:rPr>
              <w:rFonts w:eastAsiaTheme="minorEastAsia" w:cstheme="minorBidi"/>
              <w:bCs w:val="0"/>
              <w:snapToGrid/>
              <w:spacing w:val="0"/>
              <w:kern w:val="2"/>
              <w:sz w:val="24"/>
              <w14:ligatures w14:val="standardContextual"/>
            </w:rPr>
          </w:pPr>
          <w:hyperlink w:anchor="_Toc197076937" w:history="1">
            <w:r w:rsidRPr="00DC07FE">
              <w:rPr>
                <w:rStyle w:val="Hyperlink"/>
              </w:rPr>
              <w:t>6.2.6</w:t>
            </w:r>
            <w:r>
              <w:rPr>
                <w:rFonts w:eastAsiaTheme="minorEastAsia" w:cstheme="minorBidi"/>
                <w:bCs w:val="0"/>
                <w:snapToGrid/>
                <w:spacing w:val="0"/>
                <w:kern w:val="2"/>
                <w:sz w:val="24"/>
                <w14:ligatures w14:val="standardContextual"/>
              </w:rPr>
              <w:tab/>
            </w:r>
            <w:r w:rsidRPr="00DC07FE">
              <w:rPr>
                <w:rStyle w:val="Hyperlink"/>
              </w:rPr>
              <w:t>Notification of material change: key personnel</w:t>
            </w:r>
            <w:r>
              <w:rPr>
                <w:webHidden/>
              </w:rPr>
              <w:tab/>
            </w:r>
            <w:r>
              <w:rPr>
                <w:webHidden/>
              </w:rPr>
              <w:fldChar w:fldCharType="begin"/>
            </w:r>
            <w:r>
              <w:rPr>
                <w:webHidden/>
              </w:rPr>
              <w:instrText xml:space="preserve"> PAGEREF _Toc197076937 \h </w:instrText>
            </w:r>
            <w:r>
              <w:rPr>
                <w:webHidden/>
              </w:rPr>
            </w:r>
            <w:r>
              <w:rPr>
                <w:webHidden/>
              </w:rPr>
              <w:fldChar w:fldCharType="separate"/>
            </w:r>
            <w:r w:rsidR="00365F01">
              <w:rPr>
                <w:webHidden/>
              </w:rPr>
              <w:t>34</w:t>
            </w:r>
            <w:r>
              <w:rPr>
                <w:webHidden/>
              </w:rPr>
              <w:fldChar w:fldCharType="end"/>
            </w:r>
          </w:hyperlink>
        </w:p>
        <w:p w14:paraId="06337ABC" w14:textId="0BE84CE9" w:rsidR="00BF3E4C" w:rsidRDefault="00BF3E4C">
          <w:pPr>
            <w:pStyle w:val="TOC3"/>
            <w:rPr>
              <w:rFonts w:eastAsiaTheme="minorEastAsia" w:cstheme="minorBidi"/>
              <w:bCs w:val="0"/>
              <w:snapToGrid/>
              <w:spacing w:val="0"/>
              <w:kern w:val="2"/>
              <w:sz w:val="24"/>
              <w14:ligatures w14:val="standardContextual"/>
            </w:rPr>
          </w:pPr>
          <w:hyperlink w:anchor="_Toc197076938" w:history="1">
            <w:r w:rsidRPr="00DC07FE">
              <w:rPr>
                <w:rStyle w:val="Hyperlink"/>
              </w:rPr>
              <w:t>6.2.7</w:t>
            </w:r>
            <w:r>
              <w:rPr>
                <w:rFonts w:eastAsiaTheme="minorEastAsia" w:cstheme="minorBidi"/>
                <w:bCs w:val="0"/>
                <w:snapToGrid/>
                <w:spacing w:val="0"/>
                <w:kern w:val="2"/>
                <w:sz w:val="24"/>
                <w14:ligatures w14:val="standardContextual"/>
              </w:rPr>
              <w:tab/>
            </w:r>
            <w:r w:rsidRPr="00DC07FE">
              <w:rPr>
                <w:rStyle w:val="Hyperlink"/>
              </w:rPr>
              <w:t>Notification of deceased TCP recipient</w:t>
            </w:r>
            <w:r>
              <w:rPr>
                <w:webHidden/>
              </w:rPr>
              <w:tab/>
            </w:r>
            <w:r>
              <w:rPr>
                <w:webHidden/>
              </w:rPr>
              <w:fldChar w:fldCharType="begin"/>
            </w:r>
            <w:r>
              <w:rPr>
                <w:webHidden/>
              </w:rPr>
              <w:instrText xml:space="preserve"> PAGEREF _Toc197076938 \h </w:instrText>
            </w:r>
            <w:r>
              <w:rPr>
                <w:webHidden/>
              </w:rPr>
            </w:r>
            <w:r>
              <w:rPr>
                <w:webHidden/>
              </w:rPr>
              <w:fldChar w:fldCharType="separate"/>
            </w:r>
            <w:r w:rsidR="00365F01">
              <w:rPr>
                <w:webHidden/>
              </w:rPr>
              <w:t>35</w:t>
            </w:r>
            <w:r>
              <w:rPr>
                <w:webHidden/>
              </w:rPr>
              <w:fldChar w:fldCharType="end"/>
            </w:r>
          </w:hyperlink>
        </w:p>
        <w:p w14:paraId="7FF830B8" w14:textId="1AAAA4ED"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39" w:history="1">
            <w:r w:rsidRPr="00DC07FE">
              <w:rPr>
                <w:rStyle w:val="Hyperlink"/>
                <w:rFonts w:eastAsiaTheme="majorEastAsia"/>
                <w:noProof/>
              </w:rPr>
              <w:t>6.3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Transition care payment agreement</w:t>
            </w:r>
            <w:r>
              <w:rPr>
                <w:noProof/>
                <w:webHidden/>
              </w:rPr>
              <w:tab/>
            </w:r>
            <w:r>
              <w:rPr>
                <w:noProof/>
                <w:webHidden/>
              </w:rPr>
              <w:fldChar w:fldCharType="begin"/>
            </w:r>
            <w:r>
              <w:rPr>
                <w:noProof/>
                <w:webHidden/>
              </w:rPr>
              <w:instrText xml:space="preserve"> PAGEREF _Toc197076939 \h </w:instrText>
            </w:r>
            <w:r>
              <w:rPr>
                <w:noProof/>
                <w:webHidden/>
              </w:rPr>
            </w:r>
            <w:r>
              <w:rPr>
                <w:noProof/>
                <w:webHidden/>
              </w:rPr>
              <w:fldChar w:fldCharType="separate"/>
            </w:r>
            <w:r w:rsidR="00365F01">
              <w:rPr>
                <w:noProof/>
                <w:webHidden/>
              </w:rPr>
              <w:t>35</w:t>
            </w:r>
            <w:r>
              <w:rPr>
                <w:noProof/>
                <w:webHidden/>
              </w:rPr>
              <w:fldChar w:fldCharType="end"/>
            </w:r>
          </w:hyperlink>
        </w:p>
        <w:p w14:paraId="6F720C69" w14:textId="6EA84C7D" w:rsidR="00BF3E4C" w:rsidRDefault="00BF3E4C">
          <w:pPr>
            <w:pStyle w:val="TOC3"/>
            <w:rPr>
              <w:rFonts w:eastAsiaTheme="minorEastAsia" w:cstheme="minorBidi"/>
              <w:bCs w:val="0"/>
              <w:snapToGrid/>
              <w:spacing w:val="0"/>
              <w:kern w:val="2"/>
              <w:sz w:val="24"/>
              <w14:ligatures w14:val="standardContextual"/>
            </w:rPr>
          </w:pPr>
          <w:hyperlink w:anchor="_Toc197076940" w:history="1">
            <w:r w:rsidRPr="00DC07FE">
              <w:rPr>
                <w:rStyle w:val="Hyperlink"/>
              </w:rPr>
              <w:t>6.3.1</w:t>
            </w:r>
            <w:r>
              <w:rPr>
                <w:rFonts w:eastAsiaTheme="minorEastAsia" w:cstheme="minorBidi"/>
                <w:bCs w:val="0"/>
                <w:snapToGrid/>
                <w:spacing w:val="0"/>
                <w:kern w:val="2"/>
                <w:sz w:val="24"/>
                <w14:ligatures w14:val="standardContextual"/>
              </w:rPr>
              <w:tab/>
            </w:r>
            <w:r w:rsidRPr="00DC07FE">
              <w:rPr>
                <w:rStyle w:val="Hyperlink"/>
              </w:rPr>
              <w:t>Conditions of allocation of flexible care places for transition care</w:t>
            </w:r>
            <w:r>
              <w:rPr>
                <w:webHidden/>
              </w:rPr>
              <w:tab/>
            </w:r>
            <w:r>
              <w:rPr>
                <w:webHidden/>
              </w:rPr>
              <w:fldChar w:fldCharType="begin"/>
            </w:r>
            <w:r>
              <w:rPr>
                <w:webHidden/>
              </w:rPr>
              <w:instrText xml:space="preserve"> PAGEREF _Toc197076940 \h </w:instrText>
            </w:r>
            <w:r>
              <w:rPr>
                <w:webHidden/>
              </w:rPr>
            </w:r>
            <w:r>
              <w:rPr>
                <w:webHidden/>
              </w:rPr>
              <w:fldChar w:fldCharType="separate"/>
            </w:r>
            <w:r w:rsidR="00365F01">
              <w:rPr>
                <w:webHidden/>
              </w:rPr>
              <w:t>35</w:t>
            </w:r>
            <w:r>
              <w:rPr>
                <w:webHidden/>
              </w:rPr>
              <w:fldChar w:fldCharType="end"/>
            </w:r>
          </w:hyperlink>
        </w:p>
        <w:p w14:paraId="055304DF" w14:textId="0073A1F5" w:rsidR="00BF3E4C" w:rsidRDefault="00BF3E4C">
          <w:pPr>
            <w:pStyle w:val="TOC3"/>
            <w:rPr>
              <w:rFonts w:eastAsiaTheme="minorEastAsia" w:cstheme="minorBidi"/>
              <w:bCs w:val="0"/>
              <w:snapToGrid/>
              <w:spacing w:val="0"/>
              <w:kern w:val="2"/>
              <w:sz w:val="24"/>
              <w14:ligatures w14:val="standardContextual"/>
            </w:rPr>
          </w:pPr>
          <w:hyperlink w:anchor="_Toc197076941" w:history="1">
            <w:r w:rsidRPr="00DC07FE">
              <w:rPr>
                <w:rStyle w:val="Hyperlink"/>
              </w:rPr>
              <w:t>6.3.2</w:t>
            </w:r>
            <w:r>
              <w:rPr>
                <w:rFonts w:eastAsiaTheme="minorEastAsia" w:cstheme="minorBidi"/>
                <w:bCs w:val="0"/>
                <w:snapToGrid/>
                <w:spacing w:val="0"/>
                <w:kern w:val="2"/>
                <w:sz w:val="24"/>
                <w14:ligatures w14:val="standardContextual"/>
              </w:rPr>
              <w:tab/>
            </w:r>
            <w:r w:rsidRPr="00DC07FE">
              <w:rPr>
                <w:rStyle w:val="Hyperlink"/>
              </w:rPr>
              <w:t>Provision of information to the Department</w:t>
            </w:r>
            <w:r>
              <w:rPr>
                <w:webHidden/>
              </w:rPr>
              <w:tab/>
            </w:r>
            <w:r>
              <w:rPr>
                <w:webHidden/>
              </w:rPr>
              <w:fldChar w:fldCharType="begin"/>
            </w:r>
            <w:r>
              <w:rPr>
                <w:webHidden/>
              </w:rPr>
              <w:instrText xml:space="preserve"> PAGEREF _Toc197076941 \h </w:instrText>
            </w:r>
            <w:r>
              <w:rPr>
                <w:webHidden/>
              </w:rPr>
            </w:r>
            <w:r>
              <w:rPr>
                <w:webHidden/>
              </w:rPr>
              <w:fldChar w:fldCharType="separate"/>
            </w:r>
            <w:r w:rsidR="00365F01">
              <w:rPr>
                <w:webHidden/>
              </w:rPr>
              <w:t>36</w:t>
            </w:r>
            <w:r>
              <w:rPr>
                <w:webHidden/>
              </w:rPr>
              <w:fldChar w:fldCharType="end"/>
            </w:r>
          </w:hyperlink>
        </w:p>
        <w:p w14:paraId="5CEE81B4" w14:textId="29CE4759" w:rsidR="00BF3E4C" w:rsidRDefault="00BF3E4C">
          <w:pPr>
            <w:pStyle w:val="TOC3"/>
            <w:rPr>
              <w:rFonts w:eastAsiaTheme="minorEastAsia" w:cstheme="minorBidi"/>
              <w:bCs w:val="0"/>
              <w:snapToGrid/>
              <w:spacing w:val="0"/>
              <w:kern w:val="2"/>
              <w:sz w:val="24"/>
              <w14:ligatures w14:val="standardContextual"/>
            </w:rPr>
          </w:pPr>
          <w:hyperlink w:anchor="_Toc197076942" w:history="1">
            <w:r w:rsidRPr="00DC07FE">
              <w:rPr>
                <w:rStyle w:val="Hyperlink"/>
              </w:rPr>
              <w:t>6.3.3</w:t>
            </w:r>
            <w:r>
              <w:rPr>
                <w:rFonts w:eastAsiaTheme="minorEastAsia" w:cstheme="minorBidi"/>
                <w:bCs w:val="0"/>
                <w:snapToGrid/>
                <w:spacing w:val="0"/>
                <w:kern w:val="2"/>
                <w:sz w:val="24"/>
                <w14:ligatures w14:val="standardContextual"/>
              </w:rPr>
              <w:tab/>
            </w:r>
            <w:r w:rsidRPr="00DC07FE">
              <w:rPr>
                <w:rStyle w:val="Hyperlink"/>
              </w:rPr>
              <w:t>Insurance</w:t>
            </w:r>
            <w:r>
              <w:rPr>
                <w:webHidden/>
              </w:rPr>
              <w:tab/>
            </w:r>
            <w:r>
              <w:rPr>
                <w:webHidden/>
              </w:rPr>
              <w:fldChar w:fldCharType="begin"/>
            </w:r>
            <w:r>
              <w:rPr>
                <w:webHidden/>
              </w:rPr>
              <w:instrText xml:space="preserve"> PAGEREF _Toc197076942 \h </w:instrText>
            </w:r>
            <w:r>
              <w:rPr>
                <w:webHidden/>
              </w:rPr>
            </w:r>
            <w:r>
              <w:rPr>
                <w:webHidden/>
              </w:rPr>
              <w:fldChar w:fldCharType="separate"/>
            </w:r>
            <w:r w:rsidR="00365F01">
              <w:rPr>
                <w:webHidden/>
              </w:rPr>
              <w:t>36</w:t>
            </w:r>
            <w:r>
              <w:rPr>
                <w:webHidden/>
              </w:rPr>
              <w:fldChar w:fldCharType="end"/>
            </w:r>
          </w:hyperlink>
        </w:p>
        <w:p w14:paraId="44F2B40D" w14:textId="6CDE1B3E" w:rsidR="00BF3E4C" w:rsidRDefault="00BF3E4C">
          <w:pPr>
            <w:pStyle w:val="TOC3"/>
            <w:rPr>
              <w:rFonts w:eastAsiaTheme="minorEastAsia" w:cstheme="minorBidi"/>
              <w:bCs w:val="0"/>
              <w:snapToGrid/>
              <w:spacing w:val="0"/>
              <w:kern w:val="2"/>
              <w:sz w:val="24"/>
              <w14:ligatures w14:val="standardContextual"/>
            </w:rPr>
          </w:pPr>
          <w:hyperlink w:anchor="_Toc197076943" w:history="1">
            <w:r w:rsidRPr="00DC07FE">
              <w:rPr>
                <w:rStyle w:val="Hyperlink"/>
              </w:rPr>
              <w:t>6.3.4</w:t>
            </w:r>
            <w:r>
              <w:rPr>
                <w:rFonts w:eastAsiaTheme="minorEastAsia" w:cstheme="minorBidi"/>
                <w:bCs w:val="0"/>
                <w:snapToGrid/>
                <w:spacing w:val="0"/>
                <w:kern w:val="2"/>
                <w:sz w:val="24"/>
                <w14:ligatures w14:val="standardContextual"/>
              </w:rPr>
              <w:tab/>
            </w:r>
            <w:r w:rsidRPr="00DC07FE">
              <w:rPr>
                <w:rStyle w:val="Hyperlink"/>
              </w:rPr>
              <w:t>Compliance with the laws of the Australian Government, states and territories</w:t>
            </w:r>
            <w:r>
              <w:rPr>
                <w:webHidden/>
              </w:rPr>
              <w:tab/>
            </w:r>
            <w:r>
              <w:rPr>
                <w:webHidden/>
              </w:rPr>
              <w:fldChar w:fldCharType="begin"/>
            </w:r>
            <w:r>
              <w:rPr>
                <w:webHidden/>
              </w:rPr>
              <w:instrText xml:space="preserve"> PAGEREF _Toc197076943 \h </w:instrText>
            </w:r>
            <w:r>
              <w:rPr>
                <w:webHidden/>
              </w:rPr>
            </w:r>
            <w:r>
              <w:rPr>
                <w:webHidden/>
              </w:rPr>
              <w:fldChar w:fldCharType="separate"/>
            </w:r>
            <w:r w:rsidR="00365F01">
              <w:rPr>
                <w:webHidden/>
              </w:rPr>
              <w:t>36</w:t>
            </w:r>
            <w:r>
              <w:rPr>
                <w:webHidden/>
              </w:rPr>
              <w:fldChar w:fldCharType="end"/>
            </w:r>
          </w:hyperlink>
        </w:p>
        <w:p w14:paraId="2DF23283" w14:textId="55993F7A" w:rsidR="00BF3E4C" w:rsidRDefault="00BF3E4C">
          <w:pPr>
            <w:pStyle w:val="TOC3"/>
            <w:rPr>
              <w:rFonts w:eastAsiaTheme="minorEastAsia" w:cstheme="minorBidi"/>
              <w:bCs w:val="0"/>
              <w:snapToGrid/>
              <w:spacing w:val="0"/>
              <w:kern w:val="2"/>
              <w:sz w:val="24"/>
              <w14:ligatures w14:val="standardContextual"/>
            </w:rPr>
          </w:pPr>
          <w:hyperlink w:anchor="_Toc197076944" w:history="1">
            <w:r w:rsidRPr="00DC07FE">
              <w:rPr>
                <w:rStyle w:val="Hyperlink"/>
              </w:rPr>
              <w:t>6.3.5</w:t>
            </w:r>
            <w:r>
              <w:rPr>
                <w:rFonts w:eastAsiaTheme="minorEastAsia" w:cstheme="minorBidi"/>
                <w:bCs w:val="0"/>
                <w:snapToGrid/>
                <w:spacing w:val="0"/>
                <w:kern w:val="2"/>
                <w:sz w:val="24"/>
                <w14:ligatures w14:val="standardContextual"/>
              </w:rPr>
              <w:tab/>
            </w:r>
            <w:r w:rsidRPr="00DC07FE">
              <w:rPr>
                <w:rStyle w:val="Hyperlink"/>
              </w:rPr>
              <w:t>Publishing of TCP material</w:t>
            </w:r>
            <w:r>
              <w:rPr>
                <w:webHidden/>
              </w:rPr>
              <w:tab/>
            </w:r>
            <w:r>
              <w:rPr>
                <w:webHidden/>
              </w:rPr>
              <w:fldChar w:fldCharType="begin"/>
            </w:r>
            <w:r>
              <w:rPr>
                <w:webHidden/>
              </w:rPr>
              <w:instrText xml:space="preserve"> PAGEREF _Toc197076944 \h </w:instrText>
            </w:r>
            <w:r>
              <w:rPr>
                <w:webHidden/>
              </w:rPr>
            </w:r>
            <w:r>
              <w:rPr>
                <w:webHidden/>
              </w:rPr>
              <w:fldChar w:fldCharType="separate"/>
            </w:r>
            <w:r w:rsidR="00365F01">
              <w:rPr>
                <w:webHidden/>
              </w:rPr>
              <w:t>36</w:t>
            </w:r>
            <w:r>
              <w:rPr>
                <w:webHidden/>
              </w:rPr>
              <w:fldChar w:fldCharType="end"/>
            </w:r>
          </w:hyperlink>
        </w:p>
        <w:p w14:paraId="3F88929F" w14:textId="7200FC80" w:rsidR="00BF3E4C" w:rsidRDefault="00BF3E4C">
          <w:pPr>
            <w:pStyle w:val="TOC1"/>
            <w:tabs>
              <w:tab w:val="left" w:pos="1540"/>
            </w:tabs>
            <w:rPr>
              <w:rFonts w:asciiTheme="minorHAnsi" w:eastAsiaTheme="minorEastAsia" w:hAnsiTheme="minorHAnsi" w:cstheme="minorBidi"/>
              <w:noProof/>
              <w:spacing w:val="0"/>
              <w:kern w:val="2"/>
              <w:sz w:val="24"/>
              <w14:ligatures w14:val="standardContextual"/>
            </w:rPr>
          </w:pPr>
          <w:hyperlink w:anchor="_Toc197076945" w:history="1">
            <w:r w:rsidRPr="00DC07FE">
              <w:rPr>
                <w:rStyle w:val="Hyperlink"/>
                <w:rFonts w:eastAsiaTheme="majorEastAsia"/>
                <w:noProof/>
              </w:rPr>
              <w:t>CHAPTER 7</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QUALITY ASSURANCE AND COMPLAINTS IN TRANSITION CARE</w:t>
            </w:r>
            <w:r>
              <w:rPr>
                <w:noProof/>
                <w:webHidden/>
              </w:rPr>
              <w:tab/>
            </w:r>
            <w:r>
              <w:rPr>
                <w:noProof/>
                <w:webHidden/>
              </w:rPr>
              <w:fldChar w:fldCharType="begin"/>
            </w:r>
            <w:r>
              <w:rPr>
                <w:noProof/>
                <w:webHidden/>
              </w:rPr>
              <w:instrText xml:space="preserve"> PAGEREF _Toc197076945 \h </w:instrText>
            </w:r>
            <w:r>
              <w:rPr>
                <w:noProof/>
                <w:webHidden/>
              </w:rPr>
            </w:r>
            <w:r>
              <w:rPr>
                <w:noProof/>
                <w:webHidden/>
              </w:rPr>
              <w:fldChar w:fldCharType="separate"/>
            </w:r>
            <w:r w:rsidR="00365F01">
              <w:rPr>
                <w:noProof/>
                <w:webHidden/>
              </w:rPr>
              <w:t>37</w:t>
            </w:r>
            <w:r>
              <w:rPr>
                <w:noProof/>
                <w:webHidden/>
              </w:rPr>
              <w:fldChar w:fldCharType="end"/>
            </w:r>
          </w:hyperlink>
        </w:p>
        <w:p w14:paraId="756DBF17" w14:textId="790090DD"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46" w:history="1">
            <w:r w:rsidRPr="00DC07FE">
              <w:rPr>
                <w:rStyle w:val="Hyperlink"/>
                <w:rFonts w:eastAsiaTheme="majorEastAsia"/>
                <w:noProof/>
              </w:rPr>
              <w:t>7.1</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Aged Care Quality Standards</w:t>
            </w:r>
            <w:r>
              <w:rPr>
                <w:noProof/>
                <w:webHidden/>
              </w:rPr>
              <w:tab/>
            </w:r>
            <w:r>
              <w:rPr>
                <w:noProof/>
                <w:webHidden/>
              </w:rPr>
              <w:fldChar w:fldCharType="begin"/>
            </w:r>
            <w:r>
              <w:rPr>
                <w:noProof/>
                <w:webHidden/>
              </w:rPr>
              <w:instrText xml:space="preserve"> PAGEREF _Toc197076946 \h </w:instrText>
            </w:r>
            <w:r>
              <w:rPr>
                <w:noProof/>
                <w:webHidden/>
              </w:rPr>
            </w:r>
            <w:r>
              <w:rPr>
                <w:noProof/>
                <w:webHidden/>
              </w:rPr>
              <w:fldChar w:fldCharType="separate"/>
            </w:r>
            <w:r w:rsidR="00365F01">
              <w:rPr>
                <w:noProof/>
                <w:webHidden/>
              </w:rPr>
              <w:t>37</w:t>
            </w:r>
            <w:r>
              <w:rPr>
                <w:noProof/>
                <w:webHidden/>
              </w:rPr>
              <w:fldChar w:fldCharType="end"/>
            </w:r>
          </w:hyperlink>
        </w:p>
        <w:p w14:paraId="0E48D3B0" w14:textId="2FE19A0D"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47" w:history="1">
            <w:r w:rsidRPr="00DC07FE">
              <w:rPr>
                <w:rStyle w:val="Hyperlink"/>
                <w:rFonts w:eastAsia="Calibri"/>
                <w:noProof/>
                <w:lang w:eastAsia="en-US"/>
              </w:rPr>
              <w:t>7.2</w:t>
            </w:r>
            <w:r>
              <w:rPr>
                <w:rFonts w:asciiTheme="minorHAnsi" w:eastAsiaTheme="minorEastAsia" w:hAnsiTheme="minorHAnsi" w:cstheme="minorBidi"/>
                <w:noProof/>
                <w:spacing w:val="0"/>
                <w:kern w:val="2"/>
                <w:sz w:val="24"/>
                <w14:ligatures w14:val="standardContextual"/>
              </w:rPr>
              <w:tab/>
            </w:r>
            <w:r w:rsidRPr="00DC07FE">
              <w:rPr>
                <w:rStyle w:val="Hyperlink"/>
                <w:rFonts w:eastAsia="Calibri"/>
                <w:noProof/>
                <w:lang w:eastAsia="en-US"/>
              </w:rPr>
              <w:t>Quality Monitoring and Reviews</w:t>
            </w:r>
            <w:r>
              <w:rPr>
                <w:noProof/>
                <w:webHidden/>
              </w:rPr>
              <w:tab/>
            </w:r>
            <w:r>
              <w:rPr>
                <w:noProof/>
                <w:webHidden/>
              </w:rPr>
              <w:fldChar w:fldCharType="begin"/>
            </w:r>
            <w:r>
              <w:rPr>
                <w:noProof/>
                <w:webHidden/>
              </w:rPr>
              <w:instrText xml:space="preserve"> PAGEREF _Toc197076947 \h </w:instrText>
            </w:r>
            <w:r>
              <w:rPr>
                <w:noProof/>
                <w:webHidden/>
              </w:rPr>
            </w:r>
            <w:r>
              <w:rPr>
                <w:noProof/>
                <w:webHidden/>
              </w:rPr>
              <w:fldChar w:fldCharType="separate"/>
            </w:r>
            <w:r w:rsidR="00365F01">
              <w:rPr>
                <w:noProof/>
                <w:webHidden/>
              </w:rPr>
              <w:t>37</w:t>
            </w:r>
            <w:r>
              <w:rPr>
                <w:noProof/>
                <w:webHidden/>
              </w:rPr>
              <w:fldChar w:fldCharType="end"/>
            </w:r>
          </w:hyperlink>
        </w:p>
        <w:p w14:paraId="1AEDC402" w14:textId="2D091E39" w:rsidR="00BF3E4C" w:rsidRDefault="00BF3E4C">
          <w:pPr>
            <w:pStyle w:val="TOC2"/>
            <w:tabs>
              <w:tab w:val="left" w:pos="880"/>
              <w:tab w:val="right" w:leader="dot" w:pos="9485"/>
            </w:tabs>
            <w:rPr>
              <w:rFonts w:asciiTheme="minorHAnsi" w:eastAsiaTheme="minorEastAsia" w:hAnsiTheme="minorHAnsi" w:cstheme="minorBidi"/>
              <w:noProof/>
              <w:spacing w:val="0"/>
              <w:kern w:val="2"/>
              <w:sz w:val="24"/>
              <w14:ligatures w14:val="standardContextual"/>
            </w:rPr>
          </w:pPr>
          <w:hyperlink w:anchor="_Toc197076948" w:history="1">
            <w:r w:rsidRPr="00DC07FE">
              <w:rPr>
                <w:rStyle w:val="Hyperlink"/>
                <w:rFonts w:eastAsiaTheme="majorEastAsia"/>
                <w:noProof/>
              </w:rPr>
              <w:t>7.3</w:t>
            </w:r>
            <w:r>
              <w:rPr>
                <w:rFonts w:asciiTheme="minorHAnsi" w:eastAsiaTheme="minorEastAsia" w:hAnsiTheme="minorHAnsi" w:cstheme="minorBidi"/>
                <w:noProof/>
                <w:spacing w:val="0"/>
                <w:kern w:val="2"/>
                <w:sz w:val="24"/>
                <w14:ligatures w14:val="standardContextual"/>
              </w:rPr>
              <w:tab/>
            </w:r>
            <w:r w:rsidRPr="00DC07FE">
              <w:rPr>
                <w:rStyle w:val="Hyperlink"/>
                <w:rFonts w:eastAsiaTheme="majorEastAsia"/>
                <w:noProof/>
              </w:rPr>
              <w:t>Complaints</w:t>
            </w:r>
            <w:r>
              <w:rPr>
                <w:noProof/>
                <w:webHidden/>
              </w:rPr>
              <w:tab/>
            </w:r>
            <w:r>
              <w:rPr>
                <w:noProof/>
                <w:webHidden/>
              </w:rPr>
              <w:fldChar w:fldCharType="begin"/>
            </w:r>
            <w:r>
              <w:rPr>
                <w:noProof/>
                <w:webHidden/>
              </w:rPr>
              <w:instrText xml:space="preserve"> PAGEREF _Toc197076948 \h </w:instrText>
            </w:r>
            <w:r>
              <w:rPr>
                <w:noProof/>
                <w:webHidden/>
              </w:rPr>
            </w:r>
            <w:r>
              <w:rPr>
                <w:noProof/>
                <w:webHidden/>
              </w:rPr>
              <w:fldChar w:fldCharType="separate"/>
            </w:r>
            <w:r w:rsidR="00365F01">
              <w:rPr>
                <w:noProof/>
                <w:webHidden/>
              </w:rPr>
              <w:t>38</w:t>
            </w:r>
            <w:r>
              <w:rPr>
                <w:noProof/>
                <w:webHidden/>
              </w:rPr>
              <w:fldChar w:fldCharType="end"/>
            </w:r>
          </w:hyperlink>
        </w:p>
        <w:p w14:paraId="2E8535A1" w14:textId="131727B2" w:rsidR="00BF3E4C" w:rsidRDefault="00BF3E4C">
          <w:pPr>
            <w:pStyle w:val="TOC3"/>
            <w:rPr>
              <w:rFonts w:eastAsiaTheme="minorEastAsia" w:cstheme="minorBidi"/>
              <w:bCs w:val="0"/>
              <w:snapToGrid/>
              <w:spacing w:val="0"/>
              <w:kern w:val="2"/>
              <w:sz w:val="24"/>
              <w14:ligatures w14:val="standardContextual"/>
            </w:rPr>
          </w:pPr>
          <w:hyperlink w:anchor="_Toc197076949" w:history="1">
            <w:r w:rsidRPr="00DC07FE">
              <w:rPr>
                <w:rStyle w:val="Hyperlink"/>
              </w:rPr>
              <w:t>7.3.1</w:t>
            </w:r>
            <w:r>
              <w:rPr>
                <w:rFonts w:eastAsiaTheme="minorEastAsia" w:cstheme="minorBidi"/>
                <w:bCs w:val="0"/>
                <w:snapToGrid/>
                <w:spacing w:val="0"/>
                <w:kern w:val="2"/>
                <w:sz w:val="24"/>
                <w14:ligatures w14:val="standardContextual"/>
              </w:rPr>
              <w:tab/>
            </w:r>
            <w:r w:rsidRPr="00DC07FE">
              <w:rPr>
                <w:rStyle w:val="Hyperlink"/>
              </w:rPr>
              <w:t>Internal complaints processes</w:t>
            </w:r>
            <w:r>
              <w:rPr>
                <w:webHidden/>
              </w:rPr>
              <w:tab/>
            </w:r>
            <w:r>
              <w:rPr>
                <w:webHidden/>
              </w:rPr>
              <w:fldChar w:fldCharType="begin"/>
            </w:r>
            <w:r>
              <w:rPr>
                <w:webHidden/>
              </w:rPr>
              <w:instrText xml:space="preserve"> PAGEREF _Toc197076949 \h </w:instrText>
            </w:r>
            <w:r>
              <w:rPr>
                <w:webHidden/>
              </w:rPr>
            </w:r>
            <w:r>
              <w:rPr>
                <w:webHidden/>
              </w:rPr>
              <w:fldChar w:fldCharType="separate"/>
            </w:r>
            <w:r w:rsidR="00365F01">
              <w:rPr>
                <w:webHidden/>
              </w:rPr>
              <w:t>38</w:t>
            </w:r>
            <w:r>
              <w:rPr>
                <w:webHidden/>
              </w:rPr>
              <w:fldChar w:fldCharType="end"/>
            </w:r>
          </w:hyperlink>
        </w:p>
        <w:p w14:paraId="47671E1B" w14:textId="014A96B7" w:rsidR="00BF3E4C" w:rsidRDefault="00BF3E4C">
          <w:pPr>
            <w:pStyle w:val="TOC3"/>
            <w:rPr>
              <w:rFonts w:eastAsiaTheme="minorEastAsia" w:cstheme="minorBidi"/>
              <w:bCs w:val="0"/>
              <w:snapToGrid/>
              <w:spacing w:val="0"/>
              <w:kern w:val="2"/>
              <w:sz w:val="24"/>
              <w14:ligatures w14:val="standardContextual"/>
            </w:rPr>
          </w:pPr>
          <w:hyperlink w:anchor="_Toc197076950" w:history="1">
            <w:r w:rsidRPr="00DC07FE">
              <w:rPr>
                <w:rStyle w:val="Hyperlink"/>
              </w:rPr>
              <w:t>7.3.2</w:t>
            </w:r>
            <w:r>
              <w:rPr>
                <w:rFonts w:eastAsiaTheme="minorEastAsia" w:cstheme="minorBidi"/>
                <w:bCs w:val="0"/>
                <w:snapToGrid/>
                <w:spacing w:val="0"/>
                <w:kern w:val="2"/>
                <w:sz w:val="24"/>
                <w14:ligatures w14:val="standardContextual"/>
              </w:rPr>
              <w:tab/>
            </w:r>
            <w:r w:rsidRPr="00DC07FE">
              <w:rPr>
                <w:rStyle w:val="Hyperlink"/>
              </w:rPr>
              <w:t>External complaints processes</w:t>
            </w:r>
            <w:r>
              <w:rPr>
                <w:webHidden/>
              </w:rPr>
              <w:tab/>
            </w:r>
            <w:r>
              <w:rPr>
                <w:webHidden/>
              </w:rPr>
              <w:fldChar w:fldCharType="begin"/>
            </w:r>
            <w:r>
              <w:rPr>
                <w:webHidden/>
              </w:rPr>
              <w:instrText xml:space="preserve"> PAGEREF _Toc197076950 \h </w:instrText>
            </w:r>
            <w:r>
              <w:rPr>
                <w:webHidden/>
              </w:rPr>
            </w:r>
            <w:r>
              <w:rPr>
                <w:webHidden/>
              </w:rPr>
              <w:fldChar w:fldCharType="separate"/>
            </w:r>
            <w:r w:rsidR="00365F01">
              <w:rPr>
                <w:webHidden/>
              </w:rPr>
              <w:t>39</w:t>
            </w:r>
            <w:r>
              <w:rPr>
                <w:webHidden/>
              </w:rPr>
              <w:fldChar w:fldCharType="end"/>
            </w:r>
          </w:hyperlink>
        </w:p>
        <w:p w14:paraId="59FAC9A0" w14:textId="6CE303B5" w:rsidR="00BF3E4C" w:rsidRDefault="00BF3E4C">
          <w:pPr>
            <w:pStyle w:val="TOC3"/>
            <w:rPr>
              <w:rFonts w:eastAsiaTheme="minorEastAsia" w:cstheme="minorBidi"/>
              <w:bCs w:val="0"/>
              <w:snapToGrid/>
              <w:spacing w:val="0"/>
              <w:kern w:val="2"/>
              <w:sz w:val="24"/>
              <w14:ligatures w14:val="standardContextual"/>
            </w:rPr>
          </w:pPr>
          <w:hyperlink w:anchor="_Toc197076951" w:history="1">
            <w:r w:rsidRPr="00DC07FE">
              <w:rPr>
                <w:rStyle w:val="Hyperlink"/>
              </w:rPr>
              <w:t>7.3.3</w:t>
            </w:r>
            <w:r>
              <w:rPr>
                <w:rFonts w:eastAsiaTheme="minorEastAsia" w:cstheme="minorBidi"/>
                <w:bCs w:val="0"/>
                <w:snapToGrid/>
                <w:spacing w:val="0"/>
                <w:kern w:val="2"/>
                <w:sz w:val="24"/>
                <w14:ligatures w14:val="standardContextual"/>
              </w:rPr>
              <w:tab/>
            </w:r>
            <w:r w:rsidRPr="00DC07FE">
              <w:rPr>
                <w:rStyle w:val="Hyperlink"/>
              </w:rPr>
              <w:t>Australian Government Aged Care Quality and Safety Commission (the Commission)</w:t>
            </w:r>
            <w:r>
              <w:rPr>
                <w:webHidden/>
              </w:rPr>
              <w:tab/>
            </w:r>
            <w:r>
              <w:rPr>
                <w:webHidden/>
              </w:rPr>
              <w:fldChar w:fldCharType="begin"/>
            </w:r>
            <w:r>
              <w:rPr>
                <w:webHidden/>
              </w:rPr>
              <w:instrText xml:space="preserve"> PAGEREF _Toc197076951 \h </w:instrText>
            </w:r>
            <w:r>
              <w:rPr>
                <w:webHidden/>
              </w:rPr>
            </w:r>
            <w:r>
              <w:rPr>
                <w:webHidden/>
              </w:rPr>
              <w:fldChar w:fldCharType="separate"/>
            </w:r>
            <w:r w:rsidR="00365F01">
              <w:rPr>
                <w:webHidden/>
              </w:rPr>
              <w:t>39</w:t>
            </w:r>
            <w:r>
              <w:rPr>
                <w:webHidden/>
              </w:rPr>
              <w:fldChar w:fldCharType="end"/>
            </w:r>
          </w:hyperlink>
        </w:p>
        <w:p w14:paraId="0515D479" w14:textId="4005CB8C" w:rsidR="00BF3E4C" w:rsidRDefault="00BF3E4C">
          <w:pPr>
            <w:pStyle w:val="TOC1"/>
            <w:rPr>
              <w:rFonts w:asciiTheme="minorHAnsi" w:eastAsiaTheme="minorEastAsia" w:hAnsiTheme="minorHAnsi" w:cstheme="minorBidi"/>
              <w:noProof/>
              <w:spacing w:val="0"/>
              <w:kern w:val="2"/>
              <w:sz w:val="24"/>
              <w14:ligatures w14:val="standardContextual"/>
            </w:rPr>
          </w:pPr>
          <w:hyperlink w:anchor="_Toc197076952" w:history="1">
            <w:r w:rsidRPr="00DC07FE">
              <w:rPr>
                <w:rStyle w:val="Hyperlink"/>
                <w:rFonts w:eastAsiaTheme="majorEastAsia"/>
                <w:noProof/>
              </w:rPr>
              <w:t>Attachment A SCHEDULE 4 – TRANSITION CARE PROGRAMME QUALITY IMPROVEMENT FRAMEWORK</w:t>
            </w:r>
            <w:r>
              <w:rPr>
                <w:noProof/>
                <w:webHidden/>
              </w:rPr>
              <w:tab/>
            </w:r>
            <w:r>
              <w:rPr>
                <w:noProof/>
                <w:webHidden/>
              </w:rPr>
              <w:fldChar w:fldCharType="begin"/>
            </w:r>
            <w:r>
              <w:rPr>
                <w:noProof/>
                <w:webHidden/>
              </w:rPr>
              <w:instrText xml:space="preserve"> PAGEREF _Toc197076952 \h </w:instrText>
            </w:r>
            <w:r>
              <w:rPr>
                <w:noProof/>
                <w:webHidden/>
              </w:rPr>
            </w:r>
            <w:r>
              <w:rPr>
                <w:noProof/>
                <w:webHidden/>
              </w:rPr>
              <w:fldChar w:fldCharType="separate"/>
            </w:r>
            <w:r w:rsidR="00365F01">
              <w:rPr>
                <w:noProof/>
                <w:webHidden/>
              </w:rPr>
              <w:t>40</w:t>
            </w:r>
            <w:r>
              <w:rPr>
                <w:noProof/>
                <w:webHidden/>
              </w:rPr>
              <w:fldChar w:fldCharType="end"/>
            </w:r>
          </w:hyperlink>
        </w:p>
        <w:p w14:paraId="3184D52A" w14:textId="79780CAD" w:rsidR="00BF3E4C" w:rsidRDefault="00BF3E4C">
          <w:pPr>
            <w:pStyle w:val="TOC3"/>
            <w:rPr>
              <w:rFonts w:eastAsiaTheme="minorEastAsia" w:cstheme="minorBidi"/>
              <w:bCs w:val="0"/>
              <w:snapToGrid/>
              <w:spacing w:val="0"/>
              <w:kern w:val="2"/>
              <w:sz w:val="24"/>
              <w14:ligatures w14:val="standardContextual"/>
            </w:rPr>
          </w:pPr>
          <w:hyperlink w:anchor="_Toc197076953" w:history="1">
            <w:r w:rsidRPr="00DC07FE">
              <w:rPr>
                <w:rStyle w:val="Hyperlink"/>
              </w:rPr>
              <w:t>Framework Dimensions</w:t>
            </w:r>
            <w:r>
              <w:rPr>
                <w:webHidden/>
              </w:rPr>
              <w:tab/>
            </w:r>
            <w:r>
              <w:rPr>
                <w:webHidden/>
              </w:rPr>
              <w:fldChar w:fldCharType="begin"/>
            </w:r>
            <w:r>
              <w:rPr>
                <w:webHidden/>
              </w:rPr>
              <w:instrText xml:space="preserve"> PAGEREF _Toc197076953 \h </w:instrText>
            </w:r>
            <w:r>
              <w:rPr>
                <w:webHidden/>
              </w:rPr>
            </w:r>
            <w:r>
              <w:rPr>
                <w:webHidden/>
              </w:rPr>
              <w:fldChar w:fldCharType="separate"/>
            </w:r>
            <w:r w:rsidR="00365F01">
              <w:rPr>
                <w:webHidden/>
              </w:rPr>
              <w:t>40</w:t>
            </w:r>
            <w:r>
              <w:rPr>
                <w:webHidden/>
              </w:rPr>
              <w:fldChar w:fldCharType="end"/>
            </w:r>
          </w:hyperlink>
        </w:p>
        <w:p w14:paraId="4FF2705E" w14:textId="2FEF128B" w:rsidR="00BF3E4C" w:rsidRDefault="00BF3E4C">
          <w:pPr>
            <w:pStyle w:val="TOC2"/>
            <w:tabs>
              <w:tab w:val="right" w:leader="dot" w:pos="9485"/>
            </w:tabs>
            <w:rPr>
              <w:rFonts w:asciiTheme="minorHAnsi" w:eastAsiaTheme="minorEastAsia" w:hAnsiTheme="minorHAnsi" w:cstheme="minorBidi"/>
              <w:noProof/>
              <w:spacing w:val="0"/>
              <w:kern w:val="2"/>
              <w:sz w:val="24"/>
              <w14:ligatures w14:val="standardContextual"/>
            </w:rPr>
          </w:pPr>
          <w:hyperlink w:anchor="_Toc197076954" w:history="1">
            <w:r w:rsidRPr="00DC07FE">
              <w:rPr>
                <w:rStyle w:val="Hyperlink"/>
                <w:rFonts w:eastAsiaTheme="majorEastAsia"/>
                <w:noProof/>
              </w:rPr>
              <w:t>Essential Transition Care Quality Components</w:t>
            </w:r>
            <w:r>
              <w:rPr>
                <w:noProof/>
                <w:webHidden/>
              </w:rPr>
              <w:tab/>
            </w:r>
            <w:r>
              <w:rPr>
                <w:noProof/>
                <w:webHidden/>
              </w:rPr>
              <w:fldChar w:fldCharType="begin"/>
            </w:r>
            <w:r>
              <w:rPr>
                <w:noProof/>
                <w:webHidden/>
              </w:rPr>
              <w:instrText xml:space="preserve"> PAGEREF _Toc197076954 \h </w:instrText>
            </w:r>
            <w:r>
              <w:rPr>
                <w:noProof/>
                <w:webHidden/>
              </w:rPr>
            </w:r>
            <w:r>
              <w:rPr>
                <w:noProof/>
                <w:webHidden/>
              </w:rPr>
              <w:fldChar w:fldCharType="separate"/>
            </w:r>
            <w:r w:rsidR="00365F01">
              <w:rPr>
                <w:noProof/>
                <w:webHidden/>
              </w:rPr>
              <w:t>41</w:t>
            </w:r>
            <w:r>
              <w:rPr>
                <w:noProof/>
                <w:webHidden/>
              </w:rPr>
              <w:fldChar w:fldCharType="end"/>
            </w:r>
          </w:hyperlink>
        </w:p>
        <w:p w14:paraId="22CDA443" w14:textId="03BC545D" w:rsidR="00BF3E4C" w:rsidRDefault="00BF3E4C">
          <w:pPr>
            <w:pStyle w:val="TOC3"/>
            <w:rPr>
              <w:rFonts w:eastAsiaTheme="minorEastAsia" w:cstheme="minorBidi"/>
              <w:bCs w:val="0"/>
              <w:snapToGrid/>
              <w:spacing w:val="0"/>
              <w:kern w:val="2"/>
              <w:sz w:val="24"/>
              <w14:ligatures w14:val="standardContextual"/>
            </w:rPr>
          </w:pPr>
          <w:hyperlink w:anchor="_Toc197076955" w:history="1">
            <w:r w:rsidRPr="00DC07FE">
              <w:rPr>
                <w:rStyle w:val="Hyperlink"/>
              </w:rPr>
              <w:t>1 Organisational Elements</w:t>
            </w:r>
            <w:r>
              <w:rPr>
                <w:webHidden/>
              </w:rPr>
              <w:tab/>
            </w:r>
            <w:r>
              <w:rPr>
                <w:webHidden/>
              </w:rPr>
              <w:fldChar w:fldCharType="begin"/>
            </w:r>
            <w:r>
              <w:rPr>
                <w:webHidden/>
              </w:rPr>
              <w:instrText xml:space="preserve"> PAGEREF _Toc197076955 \h </w:instrText>
            </w:r>
            <w:r>
              <w:rPr>
                <w:webHidden/>
              </w:rPr>
            </w:r>
            <w:r>
              <w:rPr>
                <w:webHidden/>
              </w:rPr>
              <w:fldChar w:fldCharType="separate"/>
            </w:r>
            <w:r w:rsidR="00365F01">
              <w:rPr>
                <w:webHidden/>
              </w:rPr>
              <w:t>41</w:t>
            </w:r>
            <w:r>
              <w:rPr>
                <w:webHidden/>
              </w:rPr>
              <w:fldChar w:fldCharType="end"/>
            </w:r>
          </w:hyperlink>
        </w:p>
        <w:p w14:paraId="46235736" w14:textId="0B6B02F0" w:rsidR="00BF3E4C" w:rsidRDefault="00BF3E4C">
          <w:pPr>
            <w:pStyle w:val="TOC3"/>
            <w:rPr>
              <w:rFonts w:eastAsiaTheme="minorEastAsia" w:cstheme="minorBidi"/>
              <w:bCs w:val="0"/>
              <w:snapToGrid/>
              <w:spacing w:val="0"/>
              <w:kern w:val="2"/>
              <w:sz w:val="24"/>
              <w14:ligatures w14:val="standardContextual"/>
            </w:rPr>
          </w:pPr>
          <w:hyperlink w:anchor="_Toc197076956" w:history="1">
            <w:r w:rsidRPr="00DC07FE">
              <w:rPr>
                <w:rStyle w:val="Hyperlink"/>
              </w:rPr>
              <w:t>2 Dimensions of Quality</w:t>
            </w:r>
            <w:r>
              <w:rPr>
                <w:webHidden/>
              </w:rPr>
              <w:tab/>
            </w:r>
            <w:r>
              <w:rPr>
                <w:webHidden/>
              </w:rPr>
              <w:fldChar w:fldCharType="begin"/>
            </w:r>
            <w:r>
              <w:rPr>
                <w:webHidden/>
              </w:rPr>
              <w:instrText xml:space="preserve"> PAGEREF _Toc197076956 \h </w:instrText>
            </w:r>
            <w:r>
              <w:rPr>
                <w:webHidden/>
              </w:rPr>
            </w:r>
            <w:r>
              <w:rPr>
                <w:webHidden/>
              </w:rPr>
              <w:fldChar w:fldCharType="separate"/>
            </w:r>
            <w:r w:rsidR="00365F01">
              <w:rPr>
                <w:webHidden/>
              </w:rPr>
              <w:t>41</w:t>
            </w:r>
            <w:r>
              <w:rPr>
                <w:webHidden/>
              </w:rPr>
              <w:fldChar w:fldCharType="end"/>
            </w:r>
          </w:hyperlink>
        </w:p>
        <w:p w14:paraId="54D58749" w14:textId="29806B97" w:rsidR="00BF3E4C" w:rsidRDefault="00BF3E4C">
          <w:pPr>
            <w:pStyle w:val="TOC3"/>
            <w:rPr>
              <w:rFonts w:eastAsiaTheme="minorEastAsia" w:cstheme="minorBidi"/>
              <w:bCs w:val="0"/>
              <w:snapToGrid/>
              <w:spacing w:val="0"/>
              <w:kern w:val="2"/>
              <w:sz w:val="24"/>
              <w14:ligatures w14:val="standardContextual"/>
            </w:rPr>
          </w:pPr>
          <w:hyperlink w:anchor="_Toc197076957" w:history="1">
            <w:r w:rsidRPr="00DC07FE">
              <w:rPr>
                <w:rStyle w:val="Hyperlink"/>
              </w:rPr>
              <w:t>3 Operating Environment</w:t>
            </w:r>
            <w:r>
              <w:rPr>
                <w:webHidden/>
              </w:rPr>
              <w:tab/>
            </w:r>
            <w:r>
              <w:rPr>
                <w:webHidden/>
              </w:rPr>
              <w:fldChar w:fldCharType="begin"/>
            </w:r>
            <w:r>
              <w:rPr>
                <w:webHidden/>
              </w:rPr>
              <w:instrText xml:space="preserve"> PAGEREF _Toc197076957 \h </w:instrText>
            </w:r>
            <w:r>
              <w:rPr>
                <w:webHidden/>
              </w:rPr>
            </w:r>
            <w:r>
              <w:rPr>
                <w:webHidden/>
              </w:rPr>
              <w:fldChar w:fldCharType="separate"/>
            </w:r>
            <w:r w:rsidR="00365F01">
              <w:rPr>
                <w:webHidden/>
              </w:rPr>
              <w:t>43</w:t>
            </w:r>
            <w:r>
              <w:rPr>
                <w:webHidden/>
              </w:rPr>
              <w:fldChar w:fldCharType="end"/>
            </w:r>
          </w:hyperlink>
        </w:p>
        <w:p w14:paraId="1EB3DF1A" w14:textId="6FB88FDC" w:rsidR="00BF3E4C" w:rsidRDefault="00BF3E4C">
          <w:pPr>
            <w:pStyle w:val="TOC3"/>
            <w:rPr>
              <w:rFonts w:eastAsiaTheme="minorEastAsia" w:cstheme="minorBidi"/>
              <w:bCs w:val="0"/>
              <w:snapToGrid/>
              <w:spacing w:val="0"/>
              <w:kern w:val="2"/>
              <w:sz w:val="24"/>
              <w14:ligatures w14:val="standardContextual"/>
            </w:rPr>
          </w:pPr>
          <w:hyperlink w:anchor="_Toc197076958" w:history="1">
            <w:r w:rsidRPr="00DC07FE">
              <w:rPr>
                <w:rStyle w:val="Hyperlink"/>
              </w:rPr>
              <w:t>4 Review of the Framework</w:t>
            </w:r>
            <w:r>
              <w:rPr>
                <w:webHidden/>
              </w:rPr>
              <w:tab/>
            </w:r>
            <w:r>
              <w:rPr>
                <w:webHidden/>
              </w:rPr>
              <w:fldChar w:fldCharType="begin"/>
            </w:r>
            <w:r>
              <w:rPr>
                <w:webHidden/>
              </w:rPr>
              <w:instrText xml:space="preserve"> PAGEREF _Toc197076958 \h </w:instrText>
            </w:r>
            <w:r>
              <w:rPr>
                <w:webHidden/>
              </w:rPr>
            </w:r>
            <w:r>
              <w:rPr>
                <w:webHidden/>
              </w:rPr>
              <w:fldChar w:fldCharType="separate"/>
            </w:r>
            <w:r w:rsidR="00365F01">
              <w:rPr>
                <w:webHidden/>
              </w:rPr>
              <w:t>43</w:t>
            </w:r>
            <w:r>
              <w:rPr>
                <w:webHidden/>
              </w:rPr>
              <w:fldChar w:fldCharType="end"/>
            </w:r>
          </w:hyperlink>
        </w:p>
        <w:p w14:paraId="7582AB47" w14:textId="73D16D41" w:rsidR="00BF3E4C" w:rsidRDefault="00BF3E4C">
          <w:pPr>
            <w:pStyle w:val="TOC1"/>
            <w:rPr>
              <w:rFonts w:asciiTheme="minorHAnsi" w:eastAsiaTheme="minorEastAsia" w:hAnsiTheme="minorHAnsi" w:cstheme="minorBidi"/>
              <w:noProof/>
              <w:spacing w:val="0"/>
              <w:kern w:val="2"/>
              <w:sz w:val="24"/>
              <w14:ligatures w14:val="standardContextual"/>
            </w:rPr>
          </w:pPr>
          <w:hyperlink w:anchor="_Toc197076959" w:history="1">
            <w:r w:rsidRPr="00DC07FE">
              <w:rPr>
                <w:rStyle w:val="Hyperlink"/>
                <w:rFonts w:eastAsiaTheme="majorEastAsia"/>
                <w:noProof/>
              </w:rPr>
              <w:t>Attachment B SCHEDULE 1 – SPECIFIED CARE AND SERVICES FOR TRANSITION CARE SERVICES</w:t>
            </w:r>
            <w:r>
              <w:rPr>
                <w:noProof/>
                <w:webHidden/>
              </w:rPr>
              <w:tab/>
            </w:r>
            <w:r>
              <w:rPr>
                <w:noProof/>
                <w:webHidden/>
              </w:rPr>
              <w:fldChar w:fldCharType="begin"/>
            </w:r>
            <w:r>
              <w:rPr>
                <w:noProof/>
                <w:webHidden/>
              </w:rPr>
              <w:instrText xml:space="preserve"> PAGEREF _Toc197076959 \h </w:instrText>
            </w:r>
            <w:r>
              <w:rPr>
                <w:noProof/>
                <w:webHidden/>
              </w:rPr>
            </w:r>
            <w:r>
              <w:rPr>
                <w:noProof/>
                <w:webHidden/>
              </w:rPr>
              <w:fldChar w:fldCharType="separate"/>
            </w:r>
            <w:r w:rsidR="00365F01">
              <w:rPr>
                <w:noProof/>
                <w:webHidden/>
              </w:rPr>
              <w:t>44</w:t>
            </w:r>
            <w:r>
              <w:rPr>
                <w:noProof/>
                <w:webHidden/>
              </w:rPr>
              <w:fldChar w:fldCharType="end"/>
            </w:r>
          </w:hyperlink>
        </w:p>
        <w:p w14:paraId="30F1C3E5" w14:textId="3119D079" w:rsidR="00BF3E4C" w:rsidRDefault="00BF3E4C">
          <w:pPr>
            <w:pStyle w:val="TOC1"/>
            <w:rPr>
              <w:rFonts w:asciiTheme="minorHAnsi" w:eastAsiaTheme="minorEastAsia" w:hAnsiTheme="minorHAnsi" w:cstheme="minorBidi"/>
              <w:noProof/>
              <w:spacing w:val="0"/>
              <w:kern w:val="2"/>
              <w:sz w:val="24"/>
              <w14:ligatures w14:val="standardContextual"/>
            </w:rPr>
          </w:pPr>
          <w:hyperlink w:anchor="_Toc197076960" w:history="1">
            <w:r w:rsidRPr="00DC07FE">
              <w:rPr>
                <w:rStyle w:val="Hyperlink"/>
                <w:rFonts w:eastAsiaTheme="majorEastAsia"/>
                <w:noProof/>
              </w:rPr>
              <w:t>Attachment C SUMMARY OF TRANSITION CARE RESTORATIVE CARE REQUIREMENTS</w:t>
            </w:r>
            <w:r>
              <w:rPr>
                <w:noProof/>
                <w:webHidden/>
              </w:rPr>
              <w:tab/>
            </w:r>
            <w:r>
              <w:rPr>
                <w:noProof/>
                <w:webHidden/>
              </w:rPr>
              <w:fldChar w:fldCharType="begin"/>
            </w:r>
            <w:r>
              <w:rPr>
                <w:noProof/>
                <w:webHidden/>
              </w:rPr>
              <w:instrText xml:space="preserve"> PAGEREF _Toc197076960 \h </w:instrText>
            </w:r>
            <w:r>
              <w:rPr>
                <w:noProof/>
                <w:webHidden/>
              </w:rPr>
            </w:r>
            <w:r>
              <w:rPr>
                <w:noProof/>
                <w:webHidden/>
              </w:rPr>
              <w:fldChar w:fldCharType="separate"/>
            </w:r>
            <w:r w:rsidR="00365F01">
              <w:rPr>
                <w:noProof/>
                <w:webHidden/>
              </w:rPr>
              <w:t>53</w:t>
            </w:r>
            <w:r>
              <w:rPr>
                <w:noProof/>
                <w:webHidden/>
              </w:rPr>
              <w:fldChar w:fldCharType="end"/>
            </w:r>
          </w:hyperlink>
        </w:p>
        <w:p w14:paraId="45F500D5" w14:textId="56BA2E5D" w:rsidR="00BF3E4C" w:rsidRDefault="00BF3E4C">
          <w:pPr>
            <w:pStyle w:val="TOC1"/>
            <w:rPr>
              <w:rFonts w:asciiTheme="minorHAnsi" w:eastAsiaTheme="minorEastAsia" w:hAnsiTheme="minorHAnsi" w:cstheme="minorBidi"/>
              <w:noProof/>
              <w:spacing w:val="0"/>
              <w:kern w:val="2"/>
              <w:sz w:val="24"/>
              <w14:ligatures w14:val="standardContextual"/>
            </w:rPr>
          </w:pPr>
          <w:hyperlink w:anchor="_Toc197076961" w:history="1">
            <w:r w:rsidRPr="00DC07FE">
              <w:rPr>
                <w:rStyle w:val="Hyperlink"/>
                <w:rFonts w:eastAsiaTheme="majorEastAsia"/>
                <w:noProof/>
              </w:rPr>
              <w:t>GLOSSARY</w:t>
            </w:r>
            <w:r>
              <w:rPr>
                <w:noProof/>
                <w:webHidden/>
              </w:rPr>
              <w:tab/>
            </w:r>
            <w:r>
              <w:rPr>
                <w:noProof/>
                <w:webHidden/>
              </w:rPr>
              <w:fldChar w:fldCharType="begin"/>
            </w:r>
            <w:r>
              <w:rPr>
                <w:noProof/>
                <w:webHidden/>
              </w:rPr>
              <w:instrText xml:space="preserve"> PAGEREF _Toc197076961 \h </w:instrText>
            </w:r>
            <w:r>
              <w:rPr>
                <w:noProof/>
                <w:webHidden/>
              </w:rPr>
            </w:r>
            <w:r>
              <w:rPr>
                <w:noProof/>
                <w:webHidden/>
              </w:rPr>
              <w:fldChar w:fldCharType="separate"/>
            </w:r>
            <w:r w:rsidR="00365F01">
              <w:rPr>
                <w:noProof/>
                <w:webHidden/>
              </w:rPr>
              <w:t>57</w:t>
            </w:r>
            <w:r>
              <w:rPr>
                <w:noProof/>
                <w:webHidden/>
              </w:rPr>
              <w:fldChar w:fldCharType="end"/>
            </w:r>
          </w:hyperlink>
        </w:p>
        <w:p w14:paraId="25614CAC" w14:textId="66053D7C" w:rsidR="00070A87" w:rsidRPr="000717F8" w:rsidRDefault="00070A87" w:rsidP="00070A87">
          <w:pPr>
            <w:spacing w:before="0" w:after="0"/>
            <w:rPr>
              <w:szCs w:val="20"/>
            </w:rPr>
          </w:pPr>
          <w:r w:rsidRPr="00134F37">
            <w:rPr>
              <w:rFonts w:asciiTheme="minorHAnsi" w:hAnsiTheme="minorHAnsi" w:cstheme="minorHAnsi"/>
              <w:b/>
              <w:bCs/>
              <w:noProof/>
              <w:szCs w:val="20"/>
              <w:u w:val="single"/>
            </w:rPr>
            <w:fldChar w:fldCharType="end"/>
          </w:r>
        </w:p>
      </w:sdtContent>
    </w:sdt>
    <w:p w14:paraId="20C71ECE" w14:textId="77777777" w:rsidR="00190D5A" w:rsidRDefault="00190D5A" w:rsidP="0043477B">
      <w:pPr>
        <w:sectPr w:rsidR="00190D5A" w:rsidSect="00B011D9">
          <w:headerReference w:type="default" r:id="rId14"/>
          <w:footerReference w:type="default" r:id="rId15"/>
          <w:headerReference w:type="first" r:id="rId16"/>
          <w:footerReference w:type="first" r:id="rId17"/>
          <w:pgSz w:w="11906" w:h="16838"/>
          <w:pgMar w:top="1134" w:right="1418" w:bottom="1418" w:left="993" w:header="284" w:footer="341" w:gutter="0"/>
          <w:pgNumType w:start="1"/>
          <w:cols w:space="708"/>
          <w:docGrid w:linePitch="360"/>
        </w:sectPr>
      </w:pPr>
    </w:p>
    <w:p w14:paraId="11F580C8" w14:textId="77777777" w:rsidR="00605BA0" w:rsidRPr="00DB4F05" w:rsidRDefault="00605BA0" w:rsidP="004D7443">
      <w:pPr>
        <w:pStyle w:val="Heading1"/>
        <w:numPr>
          <w:ilvl w:val="0"/>
          <w:numId w:val="0"/>
        </w:numPr>
        <w:ind w:left="360" w:hanging="360"/>
      </w:pPr>
      <w:bookmarkStart w:id="6" w:name="_Toc245536152"/>
      <w:bookmarkStart w:id="7" w:name="_Toc395537154"/>
      <w:bookmarkStart w:id="8" w:name="_Toc422732512"/>
      <w:bookmarkStart w:id="9" w:name="_Toc422752853"/>
      <w:bookmarkStart w:id="10" w:name="_Toc197076849"/>
      <w:r w:rsidRPr="00DB4F05">
        <w:lastRenderedPageBreak/>
        <w:t>FOREWORD</w:t>
      </w:r>
      <w:bookmarkEnd w:id="6"/>
      <w:bookmarkEnd w:id="7"/>
      <w:bookmarkEnd w:id="8"/>
      <w:bookmarkEnd w:id="9"/>
      <w:bookmarkEnd w:id="10"/>
    </w:p>
    <w:p w14:paraId="125A3820" w14:textId="73A12EAF" w:rsidR="00605BA0" w:rsidRPr="002A0418" w:rsidRDefault="002F1496" w:rsidP="004055B0">
      <w:pPr>
        <w:spacing w:before="0" w:after="200"/>
        <w:rPr>
          <w:sz w:val="22"/>
          <w:szCs w:val="22"/>
        </w:rPr>
      </w:pPr>
      <w:r w:rsidRPr="002A0418">
        <w:rPr>
          <w:sz w:val="22"/>
          <w:szCs w:val="22"/>
        </w:rPr>
        <w:t>The Transition</w:t>
      </w:r>
      <w:r w:rsidR="00190D5A">
        <w:rPr>
          <w:sz w:val="22"/>
          <w:szCs w:val="22"/>
        </w:rPr>
        <w:t xml:space="preserve"> Care Programme Guidelines </w:t>
      </w:r>
      <w:r w:rsidRPr="002A0418">
        <w:rPr>
          <w:sz w:val="22"/>
          <w:szCs w:val="22"/>
        </w:rPr>
        <w:t>were developed by the Australian Government in consultation with all states and territories.</w:t>
      </w:r>
    </w:p>
    <w:p w14:paraId="54967C13" w14:textId="1A7853D8" w:rsidR="00605BA0" w:rsidRPr="002A0418" w:rsidRDefault="00605BA0" w:rsidP="004055B0">
      <w:pPr>
        <w:spacing w:before="0" w:after="200"/>
        <w:rPr>
          <w:sz w:val="22"/>
          <w:szCs w:val="22"/>
        </w:rPr>
      </w:pPr>
      <w:r w:rsidRPr="002A0418">
        <w:rPr>
          <w:sz w:val="22"/>
          <w:szCs w:val="22"/>
        </w:rPr>
        <w:t xml:space="preserve">The guidelines are a resource for the state and territory governments, as the approved providers of transition care, as well as service providers, officers of the Department of </w:t>
      </w:r>
      <w:r w:rsidR="00B82FC2" w:rsidRPr="002A0418">
        <w:rPr>
          <w:sz w:val="22"/>
          <w:szCs w:val="22"/>
        </w:rPr>
        <w:t>Health</w:t>
      </w:r>
      <w:r w:rsidR="00806FFF">
        <w:rPr>
          <w:sz w:val="22"/>
          <w:szCs w:val="22"/>
        </w:rPr>
        <w:t xml:space="preserve">, Disability and </w:t>
      </w:r>
      <w:proofErr w:type="spellStart"/>
      <w:r w:rsidR="00806FFF">
        <w:rPr>
          <w:sz w:val="22"/>
          <w:szCs w:val="22"/>
        </w:rPr>
        <w:t>AGeing</w:t>
      </w:r>
      <w:proofErr w:type="spellEnd"/>
      <w:r w:rsidR="00537296">
        <w:rPr>
          <w:sz w:val="22"/>
          <w:szCs w:val="22"/>
        </w:rPr>
        <w:t xml:space="preserve"> </w:t>
      </w:r>
      <w:r w:rsidRPr="002A0418">
        <w:rPr>
          <w:sz w:val="22"/>
          <w:szCs w:val="22"/>
        </w:rPr>
        <w:t>and other interested parties.</w:t>
      </w:r>
    </w:p>
    <w:p w14:paraId="4D7A9F7F" w14:textId="6856F3A8" w:rsidR="00605BA0" w:rsidRDefault="00605BA0" w:rsidP="004055B0">
      <w:pPr>
        <w:autoSpaceDE w:val="0"/>
        <w:autoSpaceDN w:val="0"/>
        <w:adjustRightInd w:val="0"/>
        <w:spacing w:before="0" w:after="200"/>
        <w:rPr>
          <w:sz w:val="22"/>
          <w:szCs w:val="22"/>
        </w:rPr>
      </w:pPr>
      <w:r w:rsidRPr="002A0418">
        <w:rPr>
          <w:sz w:val="22"/>
          <w:szCs w:val="22"/>
        </w:rPr>
        <w:t xml:space="preserve">The guidelines explain the Australian Government’s policy context and operational requirements for the </w:t>
      </w:r>
      <w:r w:rsidR="004D45E7">
        <w:rPr>
          <w:sz w:val="22"/>
          <w:szCs w:val="22"/>
        </w:rPr>
        <w:t>T</w:t>
      </w:r>
      <w:r w:rsidRPr="002A0418">
        <w:rPr>
          <w:sz w:val="22"/>
          <w:szCs w:val="22"/>
        </w:rPr>
        <w:t xml:space="preserve">ransition </w:t>
      </w:r>
      <w:r w:rsidR="004D45E7">
        <w:rPr>
          <w:sz w:val="22"/>
          <w:szCs w:val="22"/>
        </w:rPr>
        <w:t>C</w:t>
      </w:r>
      <w:r w:rsidRPr="002A0418">
        <w:rPr>
          <w:sz w:val="22"/>
          <w:szCs w:val="22"/>
        </w:rPr>
        <w:t xml:space="preserve">are </w:t>
      </w:r>
      <w:r w:rsidR="004D45E7">
        <w:rPr>
          <w:sz w:val="22"/>
          <w:szCs w:val="22"/>
        </w:rPr>
        <w:t>P</w:t>
      </w:r>
      <w:r w:rsidRPr="002A0418">
        <w:rPr>
          <w:sz w:val="22"/>
          <w:szCs w:val="22"/>
        </w:rPr>
        <w:t xml:space="preserve">rogramme, including the clarification of responsibilities of the approved providers under the </w:t>
      </w:r>
      <w:r w:rsidRPr="002A0418">
        <w:rPr>
          <w:bCs/>
          <w:i/>
          <w:iCs/>
          <w:sz w:val="22"/>
          <w:szCs w:val="22"/>
        </w:rPr>
        <w:t>Aged Care Act 1997</w:t>
      </w:r>
      <w:r w:rsidRPr="002A0418">
        <w:rPr>
          <w:sz w:val="22"/>
          <w:szCs w:val="22"/>
        </w:rPr>
        <w:t xml:space="preserve">, and the </w:t>
      </w:r>
      <w:r w:rsidRPr="002A0418">
        <w:rPr>
          <w:bCs/>
          <w:iCs/>
          <w:sz w:val="22"/>
          <w:szCs w:val="22"/>
        </w:rPr>
        <w:t>Aged Care Principles</w:t>
      </w:r>
      <w:r w:rsidRPr="002A0418">
        <w:rPr>
          <w:sz w:val="22"/>
          <w:szCs w:val="22"/>
        </w:rPr>
        <w:t xml:space="preserve"> which govern the operation of the programme.</w:t>
      </w:r>
      <w:r w:rsidR="00AC43E2" w:rsidRPr="002A0418">
        <w:rPr>
          <w:sz w:val="22"/>
          <w:szCs w:val="22"/>
        </w:rPr>
        <w:t xml:space="preserve"> </w:t>
      </w:r>
      <w:r w:rsidRPr="002A0418">
        <w:rPr>
          <w:bCs/>
          <w:sz w:val="22"/>
          <w:szCs w:val="22"/>
        </w:rPr>
        <w:t xml:space="preserve">Users of these guidelines should be aware </w:t>
      </w:r>
      <w:r w:rsidRPr="002A0418">
        <w:rPr>
          <w:sz w:val="22"/>
          <w:szCs w:val="22"/>
        </w:rPr>
        <w:t>state and territory governments, as the approved providers, may develop jurisdiction specific operational guidelines t</w:t>
      </w:r>
      <w:r w:rsidR="00537296">
        <w:rPr>
          <w:sz w:val="22"/>
          <w:szCs w:val="22"/>
        </w:rPr>
        <w:t>o</w:t>
      </w:r>
      <w:r w:rsidRPr="002A0418">
        <w:rPr>
          <w:sz w:val="22"/>
          <w:szCs w:val="22"/>
        </w:rPr>
        <w:t xml:space="preserve"> compl</w:t>
      </w:r>
      <w:r w:rsidR="004F02A3" w:rsidRPr="002A0418">
        <w:rPr>
          <w:sz w:val="22"/>
          <w:szCs w:val="22"/>
        </w:rPr>
        <w:t>ement the national guidelines.</w:t>
      </w:r>
    </w:p>
    <w:p w14:paraId="74459982" w14:textId="6ACE6ACA" w:rsidR="00605BA0" w:rsidRPr="002A0418" w:rsidRDefault="00605BA0" w:rsidP="004055B0">
      <w:pPr>
        <w:spacing w:before="0" w:after="360"/>
        <w:rPr>
          <w:sz w:val="22"/>
          <w:szCs w:val="22"/>
        </w:rPr>
      </w:pPr>
      <w:r w:rsidRPr="002A0418">
        <w:rPr>
          <w:sz w:val="22"/>
          <w:szCs w:val="22"/>
        </w:rPr>
        <w:t>We trust you will find the</w:t>
      </w:r>
      <w:r w:rsidR="007F017E">
        <w:rPr>
          <w:sz w:val="22"/>
          <w:szCs w:val="22"/>
        </w:rPr>
        <w:t>se</w:t>
      </w:r>
      <w:r w:rsidRPr="002A0418">
        <w:rPr>
          <w:sz w:val="22"/>
          <w:szCs w:val="22"/>
        </w:rPr>
        <w:t xml:space="preserve"> guidelines a valuable tool t</w:t>
      </w:r>
      <w:r w:rsidR="00537296">
        <w:rPr>
          <w:sz w:val="22"/>
          <w:szCs w:val="22"/>
        </w:rPr>
        <w:t>o</w:t>
      </w:r>
      <w:r w:rsidRPr="002A0418">
        <w:rPr>
          <w:sz w:val="22"/>
          <w:szCs w:val="22"/>
        </w:rPr>
        <w:t xml:space="preserve"> assist in the provision and operation of transition care.</w:t>
      </w:r>
    </w:p>
    <w:p w14:paraId="66F2ED4A" w14:textId="153534E7" w:rsidR="00601748" w:rsidRDefault="00605BA0" w:rsidP="004055B0">
      <w:pPr>
        <w:spacing w:before="200" w:after="200"/>
      </w:pPr>
      <w:r w:rsidRPr="002A0418">
        <w:rPr>
          <w:sz w:val="22"/>
          <w:szCs w:val="22"/>
        </w:rPr>
        <w:t xml:space="preserve">Australian Government Department of </w:t>
      </w:r>
      <w:r w:rsidR="00B82FC2" w:rsidRPr="002A0418">
        <w:rPr>
          <w:sz w:val="22"/>
          <w:szCs w:val="22"/>
        </w:rPr>
        <w:t>Health</w:t>
      </w:r>
      <w:r w:rsidR="00806FFF">
        <w:rPr>
          <w:sz w:val="22"/>
          <w:szCs w:val="22"/>
        </w:rPr>
        <w:t>, Disability and Ageing</w:t>
      </w:r>
    </w:p>
    <w:p w14:paraId="606E8F6B" w14:textId="54103A23" w:rsidR="00C04025" w:rsidRPr="00BA1451" w:rsidRDefault="00C04025" w:rsidP="00187113">
      <w:pPr>
        <w:pStyle w:val="Heading1"/>
        <w:numPr>
          <w:ilvl w:val="0"/>
          <w:numId w:val="0"/>
        </w:numPr>
        <w:ind w:left="431" w:hanging="431"/>
      </w:pPr>
      <w:bookmarkStart w:id="11" w:name="_Toc197076850"/>
      <w:bookmarkStart w:id="12" w:name="_Toc395537155"/>
      <w:bookmarkStart w:id="13" w:name="_Toc422732513"/>
      <w:bookmarkStart w:id="14" w:name="_Toc110834631"/>
      <w:r>
        <w:lastRenderedPageBreak/>
        <w:t>ABOUT THE GUIDELINES</w:t>
      </w:r>
      <w:bookmarkEnd w:id="11"/>
    </w:p>
    <w:bookmarkEnd w:id="12"/>
    <w:bookmarkEnd w:id="13"/>
    <w:bookmarkEnd w:id="14"/>
    <w:p w14:paraId="01179BF9" w14:textId="65B0670F" w:rsidR="00605BA0" w:rsidRPr="005E3A81" w:rsidRDefault="00605BA0" w:rsidP="000E125E">
      <w:pPr>
        <w:autoSpaceDE w:val="0"/>
        <w:autoSpaceDN w:val="0"/>
        <w:adjustRightInd w:val="0"/>
        <w:spacing w:before="0" w:after="200"/>
        <w:rPr>
          <w:bCs/>
          <w:szCs w:val="20"/>
        </w:rPr>
      </w:pPr>
      <w:r w:rsidRPr="005E3A81">
        <w:rPr>
          <w:bCs/>
          <w:szCs w:val="20"/>
        </w:rPr>
        <w:t xml:space="preserve">These guidelines provide general information about the </w:t>
      </w:r>
      <w:r w:rsidR="004D45E7" w:rsidRPr="005E3A81">
        <w:rPr>
          <w:bCs/>
          <w:szCs w:val="20"/>
        </w:rPr>
        <w:t>T</w:t>
      </w:r>
      <w:r w:rsidRPr="005E3A81">
        <w:rPr>
          <w:bCs/>
          <w:szCs w:val="20"/>
        </w:rPr>
        <w:t xml:space="preserve">ransition </w:t>
      </w:r>
      <w:r w:rsidR="004D45E7" w:rsidRPr="005E3A81">
        <w:rPr>
          <w:bCs/>
          <w:szCs w:val="20"/>
        </w:rPr>
        <w:t>C</w:t>
      </w:r>
      <w:r w:rsidRPr="005E3A81">
        <w:rPr>
          <w:bCs/>
          <w:szCs w:val="20"/>
        </w:rPr>
        <w:t xml:space="preserve">are </w:t>
      </w:r>
      <w:r w:rsidR="004D45E7" w:rsidRPr="005E3A81">
        <w:rPr>
          <w:bCs/>
          <w:szCs w:val="20"/>
        </w:rPr>
        <w:t>P</w:t>
      </w:r>
      <w:r w:rsidRPr="005E3A81">
        <w:rPr>
          <w:bCs/>
          <w:szCs w:val="20"/>
        </w:rPr>
        <w:t xml:space="preserve">rogramme (the </w:t>
      </w:r>
      <w:r w:rsidR="00ED1205" w:rsidRPr="005E3A81">
        <w:rPr>
          <w:bCs/>
          <w:szCs w:val="20"/>
        </w:rPr>
        <w:t>p</w:t>
      </w:r>
      <w:r w:rsidRPr="005E3A81">
        <w:rPr>
          <w:bCs/>
          <w:szCs w:val="20"/>
        </w:rPr>
        <w:t xml:space="preserve">rogramme). The guidelines are linked to the </w:t>
      </w:r>
      <w:r w:rsidRPr="003B6C96">
        <w:rPr>
          <w:bCs/>
          <w:i/>
          <w:szCs w:val="20"/>
        </w:rPr>
        <w:t>Aged Care Act 1997</w:t>
      </w:r>
      <w:r w:rsidRPr="005E3A81">
        <w:rPr>
          <w:bCs/>
          <w:szCs w:val="20"/>
        </w:rPr>
        <w:t xml:space="preserve"> </w:t>
      </w:r>
      <w:r w:rsidR="00F8430F" w:rsidRPr="005E3A81">
        <w:rPr>
          <w:bCs/>
          <w:szCs w:val="20"/>
        </w:rPr>
        <w:t xml:space="preserve">(the Act) </w:t>
      </w:r>
      <w:r w:rsidRPr="00CF16CD">
        <w:rPr>
          <w:bCs/>
          <w:szCs w:val="20"/>
        </w:rPr>
        <w:t>and</w:t>
      </w:r>
      <w:r w:rsidR="00F8430F" w:rsidRPr="00CF16CD">
        <w:rPr>
          <w:bCs/>
          <w:szCs w:val="20"/>
        </w:rPr>
        <w:t>, where relevant,</w:t>
      </w:r>
      <w:r w:rsidRPr="00CF16CD">
        <w:rPr>
          <w:bCs/>
          <w:szCs w:val="20"/>
        </w:rPr>
        <w:t xml:space="preserve"> the </w:t>
      </w:r>
      <w:r w:rsidRPr="00CF16CD">
        <w:rPr>
          <w:bCs/>
          <w:i/>
          <w:szCs w:val="20"/>
        </w:rPr>
        <w:t>Aged Care (Transitional Provisions) Act 1997</w:t>
      </w:r>
      <w:r w:rsidRPr="00C40005">
        <w:rPr>
          <w:bCs/>
          <w:szCs w:val="20"/>
        </w:rPr>
        <w:t xml:space="preserve"> </w:t>
      </w:r>
      <w:r w:rsidR="006E059E" w:rsidRPr="00CF16CD">
        <w:rPr>
          <w:bCs/>
          <w:szCs w:val="20"/>
        </w:rPr>
        <w:t>(the Transitional Provisions Act)</w:t>
      </w:r>
      <w:r w:rsidR="008049CF" w:rsidRPr="00645C7F">
        <w:rPr>
          <w:rStyle w:val="FootnoteReference"/>
          <w:rFonts w:cs="Arial"/>
          <w:snapToGrid w:val="0"/>
          <w:spacing w:val="0"/>
          <w:szCs w:val="20"/>
          <w:lang w:val="en-US" w:eastAsia="en-US"/>
        </w:rPr>
        <w:footnoteReference w:id="2"/>
      </w:r>
      <w:r w:rsidR="006E059E" w:rsidRPr="001354DC">
        <w:rPr>
          <w:rStyle w:val="FootnoteReference"/>
          <w:rFonts w:cs="Arial"/>
          <w:snapToGrid w:val="0"/>
          <w:spacing w:val="0"/>
          <w:lang w:val="en-US" w:eastAsia="en-US"/>
        </w:rPr>
        <w:t xml:space="preserve"> </w:t>
      </w:r>
      <w:r w:rsidRPr="005E3A81">
        <w:rPr>
          <w:bCs/>
          <w:szCs w:val="20"/>
        </w:rPr>
        <w:t>through a transition care payment agreement (payment agreement) between the Australian Government and each state or territory government. Compliance with the guidelines is a requirement under the payment agreement.</w:t>
      </w:r>
    </w:p>
    <w:p w14:paraId="5497C596" w14:textId="16D7C0C4" w:rsidR="00605BA0" w:rsidRPr="005E3A81" w:rsidRDefault="00605BA0" w:rsidP="00B42C61">
      <w:pPr>
        <w:autoSpaceDE w:val="0"/>
        <w:autoSpaceDN w:val="0"/>
        <w:adjustRightInd w:val="0"/>
        <w:spacing w:before="0" w:after="0"/>
        <w:rPr>
          <w:bCs/>
          <w:szCs w:val="20"/>
        </w:rPr>
      </w:pPr>
      <w:r w:rsidRPr="005E3A81">
        <w:rPr>
          <w:bCs/>
          <w:szCs w:val="20"/>
        </w:rPr>
        <w:t>The guidelines should be read in conjunction with the</w:t>
      </w:r>
      <w:r w:rsidR="00F8430F" w:rsidRPr="005E3A81">
        <w:rPr>
          <w:bCs/>
          <w:szCs w:val="20"/>
        </w:rPr>
        <w:t xml:space="preserve"> Act</w:t>
      </w:r>
      <w:r w:rsidR="00BB0515" w:rsidRPr="005E3A81">
        <w:rPr>
          <w:bCs/>
          <w:szCs w:val="20"/>
        </w:rPr>
        <w:t>,</w:t>
      </w:r>
      <w:r w:rsidRPr="005E3A81">
        <w:rPr>
          <w:bCs/>
          <w:szCs w:val="20"/>
        </w:rPr>
        <w:t xml:space="preserve"> the </w:t>
      </w:r>
      <w:r w:rsidR="006E059E" w:rsidRPr="005E3A81">
        <w:rPr>
          <w:szCs w:val="20"/>
        </w:rPr>
        <w:t>Transitional Provisions</w:t>
      </w:r>
      <w:r w:rsidR="00D75996">
        <w:rPr>
          <w:szCs w:val="20"/>
        </w:rPr>
        <w:t xml:space="preserve"> Act</w:t>
      </w:r>
      <w:r w:rsidR="003B6C96">
        <w:rPr>
          <w:szCs w:val="20"/>
        </w:rPr>
        <w:t xml:space="preserve"> </w:t>
      </w:r>
      <w:r w:rsidR="00F8430F" w:rsidRPr="005E3A81">
        <w:rPr>
          <w:szCs w:val="20"/>
        </w:rPr>
        <w:t>where relevant</w:t>
      </w:r>
      <w:r w:rsidRPr="005E3A81">
        <w:rPr>
          <w:i/>
          <w:szCs w:val="20"/>
        </w:rPr>
        <w:t xml:space="preserve">, </w:t>
      </w:r>
      <w:r w:rsidRPr="005E3A81">
        <w:rPr>
          <w:bCs/>
          <w:szCs w:val="20"/>
        </w:rPr>
        <w:t>the</w:t>
      </w:r>
      <w:r w:rsidR="00F8430F" w:rsidRPr="005E3A81">
        <w:rPr>
          <w:bCs/>
          <w:szCs w:val="20"/>
        </w:rPr>
        <w:t xml:space="preserve"> </w:t>
      </w:r>
      <w:r w:rsidR="00F8430F" w:rsidRPr="00C40005">
        <w:rPr>
          <w:bCs/>
          <w:i/>
          <w:szCs w:val="20"/>
        </w:rPr>
        <w:t>Aged Care Principles</w:t>
      </w:r>
      <w:r w:rsidR="00F8430F" w:rsidRPr="005E3A81">
        <w:rPr>
          <w:bCs/>
          <w:szCs w:val="20"/>
        </w:rPr>
        <w:t xml:space="preserve"> (the</w:t>
      </w:r>
      <w:r w:rsidRPr="005E3A81">
        <w:rPr>
          <w:bCs/>
          <w:szCs w:val="20"/>
        </w:rPr>
        <w:t xml:space="preserve"> </w:t>
      </w:r>
      <w:proofErr w:type="gramStart"/>
      <w:r w:rsidR="006E059E" w:rsidRPr="005E3A81">
        <w:rPr>
          <w:bCs/>
          <w:szCs w:val="20"/>
        </w:rPr>
        <w:t>P</w:t>
      </w:r>
      <w:r w:rsidRPr="005E3A81">
        <w:rPr>
          <w:bCs/>
          <w:szCs w:val="20"/>
        </w:rPr>
        <w:t>rinciples</w:t>
      </w:r>
      <w:proofErr w:type="gramEnd"/>
      <w:r w:rsidR="00F8430F" w:rsidRPr="005E3A81">
        <w:rPr>
          <w:bCs/>
          <w:szCs w:val="20"/>
        </w:rPr>
        <w:t>)</w:t>
      </w:r>
      <w:r w:rsidR="003B6C96">
        <w:rPr>
          <w:bCs/>
          <w:szCs w:val="20"/>
        </w:rPr>
        <w:t xml:space="preserve"> and the </w:t>
      </w:r>
      <w:r w:rsidR="003B6C96" w:rsidRPr="00473B81">
        <w:rPr>
          <w:bCs/>
          <w:i/>
          <w:szCs w:val="20"/>
        </w:rPr>
        <w:t>Aged Care Quality and Safety Commission Act 2018</w:t>
      </w:r>
      <w:r w:rsidR="003B6C96">
        <w:rPr>
          <w:bCs/>
          <w:i/>
          <w:szCs w:val="20"/>
        </w:rPr>
        <w:t xml:space="preserve"> </w:t>
      </w:r>
      <w:r w:rsidR="003B6C96">
        <w:rPr>
          <w:bCs/>
          <w:szCs w:val="20"/>
        </w:rPr>
        <w:t>(Quality and Safety Commission Act)</w:t>
      </w:r>
      <w:r w:rsidRPr="005E3A81">
        <w:rPr>
          <w:bCs/>
          <w:szCs w:val="20"/>
        </w:rPr>
        <w:t xml:space="preserve">. </w:t>
      </w:r>
      <w:r w:rsidR="00D07E67">
        <w:rPr>
          <w:bCs/>
          <w:szCs w:val="20"/>
        </w:rPr>
        <w:t>Further information about the programme or clarification of</w:t>
      </w:r>
      <w:r w:rsidRPr="005E3A81">
        <w:rPr>
          <w:bCs/>
          <w:szCs w:val="20"/>
        </w:rPr>
        <w:t xml:space="preserve"> the guidelines</w:t>
      </w:r>
      <w:r w:rsidR="00D07E67">
        <w:rPr>
          <w:bCs/>
          <w:szCs w:val="20"/>
        </w:rPr>
        <w:t xml:space="preserve"> can </w:t>
      </w:r>
      <w:r w:rsidRPr="005E3A81">
        <w:rPr>
          <w:bCs/>
          <w:szCs w:val="20"/>
        </w:rPr>
        <w:t>be sought from the</w:t>
      </w:r>
      <w:r w:rsidR="002800FA" w:rsidRPr="005E3A81">
        <w:rPr>
          <w:bCs/>
          <w:szCs w:val="20"/>
        </w:rPr>
        <w:t xml:space="preserve"> Australian Government</w:t>
      </w:r>
      <w:r w:rsidRPr="005E3A81">
        <w:rPr>
          <w:bCs/>
          <w:szCs w:val="20"/>
        </w:rPr>
        <w:t xml:space="preserve"> Department of </w:t>
      </w:r>
      <w:r w:rsidR="00B82FC2" w:rsidRPr="005E3A81">
        <w:rPr>
          <w:bCs/>
          <w:szCs w:val="20"/>
        </w:rPr>
        <w:t>Health</w:t>
      </w:r>
      <w:r w:rsidR="001F2696">
        <w:rPr>
          <w:bCs/>
          <w:szCs w:val="20"/>
        </w:rPr>
        <w:t>, Disability and Ageing</w:t>
      </w:r>
      <w:r w:rsidRPr="005E3A81">
        <w:rPr>
          <w:bCs/>
          <w:szCs w:val="20"/>
        </w:rPr>
        <w:t xml:space="preserve"> </w:t>
      </w:r>
      <w:r w:rsidR="00F43E59" w:rsidRPr="005E3A81">
        <w:rPr>
          <w:bCs/>
          <w:szCs w:val="20"/>
        </w:rPr>
        <w:t>(the Department)</w:t>
      </w:r>
      <w:r w:rsidR="00D07E67">
        <w:rPr>
          <w:bCs/>
          <w:szCs w:val="20"/>
        </w:rPr>
        <w:t>,</w:t>
      </w:r>
      <w:r w:rsidR="00F43E59" w:rsidRPr="005E3A81">
        <w:rPr>
          <w:bCs/>
          <w:szCs w:val="20"/>
        </w:rPr>
        <w:t xml:space="preserve"> </w:t>
      </w:r>
      <w:r w:rsidRPr="005E3A81">
        <w:rPr>
          <w:bCs/>
          <w:szCs w:val="20"/>
        </w:rPr>
        <w:t xml:space="preserve">or the </w:t>
      </w:r>
      <w:r w:rsidR="005A6474" w:rsidRPr="005E3A81">
        <w:rPr>
          <w:bCs/>
          <w:szCs w:val="20"/>
        </w:rPr>
        <w:t xml:space="preserve">relevant </w:t>
      </w:r>
      <w:r w:rsidRPr="005E3A81">
        <w:rPr>
          <w:bCs/>
          <w:szCs w:val="20"/>
        </w:rPr>
        <w:t xml:space="preserve">state or territory government </w:t>
      </w:r>
      <w:r w:rsidR="009D58BC">
        <w:rPr>
          <w:bCs/>
          <w:szCs w:val="20"/>
        </w:rPr>
        <w:t>who are</w:t>
      </w:r>
      <w:r w:rsidRPr="005E3A81">
        <w:rPr>
          <w:bCs/>
          <w:szCs w:val="20"/>
        </w:rPr>
        <w:t xml:space="preserve"> the approved providers of transition care (approved providers). </w:t>
      </w:r>
      <w:bookmarkStart w:id="15" w:name="_Toc245536153"/>
      <w:r w:rsidR="00D07E67">
        <w:rPr>
          <w:bCs/>
          <w:szCs w:val="20"/>
        </w:rPr>
        <w:t>These guidelines do not constitute legal advice.</w:t>
      </w:r>
    </w:p>
    <w:p w14:paraId="5D83EA3C" w14:textId="28DC13B7" w:rsidR="00605BA0" w:rsidRPr="00DB4F05" w:rsidRDefault="00605BA0" w:rsidP="00187113">
      <w:pPr>
        <w:pStyle w:val="Heading2"/>
      </w:pPr>
      <w:bookmarkStart w:id="16" w:name="_Toc197076851"/>
      <w:r w:rsidRPr="00DB4F05">
        <w:t xml:space="preserve">What the guidelines </w:t>
      </w:r>
      <w:r w:rsidRPr="00187113">
        <w:t>contain</w:t>
      </w:r>
      <w:bookmarkEnd w:id="15"/>
      <w:bookmarkEnd w:id="16"/>
    </w:p>
    <w:p w14:paraId="28BDF01E" w14:textId="5E2B31D0" w:rsidR="00605BA0" w:rsidRPr="00322698" w:rsidRDefault="00605BA0" w:rsidP="000E125E">
      <w:pPr>
        <w:spacing w:before="0" w:after="200"/>
        <w:rPr>
          <w:szCs w:val="20"/>
        </w:rPr>
      </w:pPr>
      <w:r w:rsidRPr="00322698">
        <w:rPr>
          <w:szCs w:val="20"/>
        </w:rPr>
        <w:t>The guidelines explain the Australian Government’s policy context and operational requirements for the</w:t>
      </w:r>
      <w:bookmarkStart w:id="17" w:name="_Toc245536154"/>
      <w:r w:rsidRPr="00322698">
        <w:rPr>
          <w:szCs w:val="20"/>
        </w:rPr>
        <w:t xml:space="preserve"> provision of transition care.</w:t>
      </w:r>
    </w:p>
    <w:p w14:paraId="19B16D17" w14:textId="0B93C0CE" w:rsidR="00605BA0" w:rsidRPr="00DB4F05" w:rsidRDefault="00605BA0" w:rsidP="00605BA0">
      <w:pPr>
        <w:pStyle w:val="Heading2"/>
      </w:pPr>
      <w:bookmarkStart w:id="18" w:name="_Toc197076852"/>
      <w:r w:rsidRPr="00DB4F05">
        <w:t>How the guidelines will be updated</w:t>
      </w:r>
      <w:bookmarkEnd w:id="17"/>
      <w:bookmarkEnd w:id="18"/>
    </w:p>
    <w:p w14:paraId="46B2DC0E" w14:textId="0740F456" w:rsidR="00605BA0" w:rsidRPr="00322698" w:rsidRDefault="00605BA0" w:rsidP="000E125E">
      <w:pPr>
        <w:spacing w:before="0" w:after="200"/>
        <w:rPr>
          <w:szCs w:val="20"/>
        </w:rPr>
      </w:pPr>
      <w:r w:rsidRPr="00322698">
        <w:rPr>
          <w:szCs w:val="20"/>
        </w:rPr>
        <w:t>The Department will update the guidelines, as required, in consultation with states and territories, to ensure their currency and accuracy.</w:t>
      </w:r>
    </w:p>
    <w:p w14:paraId="583FF478" w14:textId="7EC2EA4F" w:rsidR="00605BA0" w:rsidRPr="00322698" w:rsidRDefault="00605BA0" w:rsidP="00322698">
      <w:pPr>
        <w:spacing w:before="0" w:after="0"/>
        <w:rPr>
          <w:szCs w:val="20"/>
        </w:rPr>
      </w:pPr>
      <w:r w:rsidRPr="00322698">
        <w:rPr>
          <w:szCs w:val="20"/>
        </w:rPr>
        <w:t>Please refer to the online version of the guidelines located on the</w:t>
      </w:r>
      <w:r w:rsidR="00DB2703">
        <w:rPr>
          <w:szCs w:val="20"/>
        </w:rPr>
        <w:t xml:space="preserve"> Department’s</w:t>
      </w:r>
      <w:r w:rsidRPr="00322698">
        <w:rPr>
          <w:szCs w:val="20"/>
        </w:rPr>
        <w:t xml:space="preserve"> website to ensure you have the most recent version. The footer of each page includes the</w:t>
      </w:r>
      <w:bookmarkStart w:id="19" w:name="_Toc245536155"/>
      <w:r w:rsidRPr="00322698">
        <w:rPr>
          <w:szCs w:val="20"/>
        </w:rPr>
        <w:t xml:space="preserve"> issue date of the guidelines.</w:t>
      </w:r>
    </w:p>
    <w:p w14:paraId="28928CD7" w14:textId="5259BE31" w:rsidR="00605BA0" w:rsidRPr="00DB4F05" w:rsidRDefault="00605BA0" w:rsidP="00B011D9">
      <w:pPr>
        <w:pStyle w:val="Heading2"/>
        <w:tabs>
          <w:tab w:val="left" w:pos="4239"/>
        </w:tabs>
      </w:pPr>
      <w:bookmarkStart w:id="20" w:name="_Toc245536156"/>
      <w:bookmarkStart w:id="21" w:name="_Toc110834633"/>
      <w:bookmarkStart w:id="22" w:name="_Toc197076853"/>
      <w:bookmarkEnd w:id="19"/>
      <w:r w:rsidRPr="00DB4F05">
        <w:t>Feedback</w:t>
      </w:r>
      <w:bookmarkEnd w:id="20"/>
      <w:bookmarkEnd w:id="21"/>
      <w:bookmarkEnd w:id="22"/>
    </w:p>
    <w:p w14:paraId="1931E781" w14:textId="573F8C68" w:rsidR="00605BA0" w:rsidRDefault="00605BA0" w:rsidP="00322698">
      <w:pPr>
        <w:spacing w:before="0" w:after="0"/>
        <w:rPr>
          <w:szCs w:val="20"/>
        </w:rPr>
      </w:pPr>
      <w:r w:rsidRPr="00322698">
        <w:rPr>
          <w:szCs w:val="20"/>
        </w:rPr>
        <w:t>The Department and all state and territory governments welcome any comments on the guidelines.</w:t>
      </w:r>
      <w:r w:rsidR="009F7ADE">
        <w:rPr>
          <w:szCs w:val="20"/>
        </w:rPr>
        <w:t xml:space="preserve"> </w:t>
      </w:r>
      <w:r w:rsidR="00BF6BD8">
        <w:rPr>
          <w:szCs w:val="20"/>
        </w:rPr>
        <w:t>Please provide any comments via email</w:t>
      </w:r>
      <w:r w:rsidR="00AB2C1D">
        <w:rPr>
          <w:szCs w:val="20"/>
        </w:rPr>
        <w:t xml:space="preserve"> to</w:t>
      </w:r>
      <w:r w:rsidR="00FE2836">
        <w:rPr>
          <w:szCs w:val="20"/>
        </w:rPr>
        <w:t xml:space="preserve"> </w:t>
      </w:r>
      <w:hyperlink r:id="rId18" w:history="1">
        <w:r w:rsidR="00FE2836" w:rsidRPr="00385058">
          <w:rPr>
            <w:rStyle w:val="Hyperlink"/>
            <w:sz w:val="20"/>
            <w:szCs w:val="20"/>
          </w:rPr>
          <w:t>TCP@health.gov.au</w:t>
        </w:r>
      </w:hyperlink>
      <w:r w:rsidR="00FE2836">
        <w:rPr>
          <w:szCs w:val="20"/>
        </w:rPr>
        <w:t>.</w:t>
      </w:r>
    </w:p>
    <w:p w14:paraId="309A7749" w14:textId="68BD0A45" w:rsidR="00605BA0" w:rsidRPr="00BA1451" w:rsidRDefault="00605BA0" w:rsidP="00DF7B75">
      <w:pPr>
        <w:pStyle w:val="Heading1"/>
      </w:pPr>
      <w:bookmarkStart w:id="23" w:name="_Toc422732514"/>
      <w:bookmarkStart w:id="24" w:name="_Toc422752854"/>
      <w:bookmarkStart w:id="25" w:name="_Toc197076854"/>
      <w:bookmarkStart w:id="26" w:name="_Hlk76983937"/>
      <w:r w:rsidRPr="00953CC7">
        <w:lastRenderedPageBreak/>
        <w:t>INTRODUCTION</w:t>
      </w:r>
      <w:bookmarkEnd w:id="23"/>
      <w:bookmarkEnd w:id="24"/>
      <w:bookmarkEnd w:id="25"/>
    </w:p>
    <w:p w14:paraId="30DEFFE4" w14:textId="2D02F4DE" w:rsidR="00605BA0" w:rsidRPr="00DB4F05" w:rsidRDefault="00605BA0" w:rsidP="00605BA0">
      <w:pPr>
        <w:pStyle w:val="Heading2"/>
      </w:pPr>
      <w:bookmarkStart w:id="27" w:name="_Toc245536157"/>
      <w:bookmarkStart w:id="28" w:name="_Toc395537157"/>
      <w:bookmarkStart w:id="29" w:name="_Toc422732515"/>
      <w:bookmarkStart w:id="30" w:name="_Toc422752855"/>
      <w:bookmarkStart w:id="31" w:name="_Toc197076855"/>
      <w:bookmarkEnd w:id="26"/>
      <w:r w:rsidRPr="00DB4F05">
        <w:t>Transition care</w:t>
      </w:r>
      <w:bookmarkEnd w:id="27"/>
      <w:r w:rsidRPr="00DB4F05">
        <w:t xml:space="preserve"> in brief</w:t>
      </w:r>
      <w:bookmarkEnd w:id="28"/>
      <w:bookmarkEnd w:id="29"/>
      <w:bookmarkEnd w:id="30"/>
      <w:bookmarkEnd w:id="31"/>
      <w:r w:rsidRPr="00DB4F05">
        <w:t xml:space="preserve"> </w:t>
      </w:r>
    </w:p>
    <w:p w14:paraId="760B9588" w14:textId="3A018E46" w:rsidR="00605BA0" w:rsidRPr="00322698" w:rsidRDefault="00605BA0" w:rsidP="00D0331A">
      <w:r w:rsidRPr="00322698">
        <w:t>Transition care provides short-term care to optimise the functioning and independence of older people after a hospital stay. Transition care is goal</w:t>
      </w:r>
      <w:r w:rsidR="00D216C6">
        <w:noBreakHyphen/>
      </w:r>
      <w:r w:rsidRPr="00322698">
        <w:t>oriented, time</w:t>
      </w:r>
      <w:r w:rsidR="00D216C6">
        <w:noBreakHyphen/>
      </w:r>
      <w:r w:rsidRPr="00322698">
        <w:t>limited and therapy</w:t>
      </w:r>
      <w:r w:rsidR="00D216C6">
        <w:noBreakHyphen/>
      </w:r>
      <w:r w:rsidRPr="00322698">
        <w:t>focused. It provides older people with a package of services that includes low intensity therapy such as physiotherapy and occupational therapy, as well as social work, nursing support or personal care to maintain and improve physical and</w:t>
      </w:r>
      <w:r w:rsidR="00C64BE2">
        <w:t>/or</w:t>
      </w:r>
      <w:r w:rsidRPr="00322698">
        <w:t xml:space="preserve"> cognitive functioning.</w:t>
      </w:r>
      <w:r w:rsidRPr="00322698">
        <w:rPr>
          <w:rStyle w:val="FootnoteReference"/>
          <w:rFonts w:cs="Arial"/>
        </w:rPr>
        <w:footnoteReference w:id="3"/>
      </w:r>
      <w:r w:rsidRPr="00322698">
        <w:t xml:space="preserve"> </w:t>
      </w:r>
      <w:r w:rsidR="00F61186">
        <w:t>Whilst available to eligible permanent resident</w:t>
      </w:r>
      <w:r w:rsidR="00D75996">
        <w:t>s of</w:t>
      </w:r>
      <w:r w:rsidR="00F61186">
        <w:t xml:space="preserve"> aged care </w:t>
      </w:r>
      <w:r w:rsidR="00D75996">
        <w:t>homes</w:t>
      </w:r>
      <w:r w:rsidR="00F61186">
        <w:t>, t</w:t>
      </w:r>
      <w:r w:rsidR="00261E28">
        <w:t>he programme</w:t>
      </w:r>
      <w:r w:rsidRPr="00322698">
        <w:t xml:space="preserve"> seeks to ena</w:t>
      </w:r>
      <w:r w:rsidR="00413952">
        <w:t>ble older people</w:t>
      </w:r>
      <w:r w:rsidR="00731413">
        <w:t xml:space="preserve">, </w:t>
      </w:r>
      <w:r w:rsidR="00F61186">
        <w:t xml:space="preserve">where possible, </w:t>
      </w:r>
      <w:r w:rsidR="009C2D63">
        <w:t xml:space="preserve">to </w:t>
      </w:r>
      <w:r w:rsidR="00413952">
        <w:t>return home</w:t>
      </w:r>
      <w:r w:rsidR="00394A2B">
        <w:t xml:space="preserve"> </w:t>
      </w:r>
      <w:r w:rsidRPr="00322698">
        <w:t>after a hospital stay rather than</w:t>
      </w:r>
      <w:r w:rsidR="00B35484">
        <w:t xml:space="preserve"> prematurely</w:t>
      </w:r>
      <w:r w:rsidRPr="00322698">
        <w:t xml:space="preserve"> enter residential </w:t>
      </w:r>
      <w:r w:rsidR="009D3087">
        <w:t xml:space="preserve">aged </w:t>
      </w:r>
      <w:r w:rsidRPr="00322698">
        <w:t>care.</w:t>
      </w:r>
    </w:p>
    <w:p w14:paraId="35747C17" w14:textId="37F46E02" w:rsidR="00605BA0" w:rsidRDefault="00605BA0" w:rsidP="009760E2">
      <w:pPr>
        <w:spacing w:before="0" w:after="200"/>
        <w:rPr>
          <w:szCs w:val="20"/>
        </w:rPr>
      </w:pPr>
      <w:r w:rsidRPr="00322698">
        <w:rPr>
          <w:szCs w:val="20"/>
        </w:rPr>
        <w:t>Transition care facilitates a continuum of care for older people who have completed their hospital episode, including acute and subacute care</w:t>
      </w:r>
      <w:r w:rsidRPr="00322698">
        <w:rPr>
          <w:rStyle w:val="FootnoteReference"/>
          <w:szCs w:val="20"/>
        </w:rPr>
        <w:footnoteReference w:id="4"/>
      </w:r>
      <w:r w:rsidRPr="00322698">
        <w:rPr>
          <w:szCs w:val="20"/>
        </w:rPr>
        <w:t xml:space="preserve"> (</w:t>
      </w:r>
      <w:r w:rsidR="00856328" w:rsidRPr="00322698">
        <w:rPr>
          <w:szCs w:val="20"/>
        </w:rPr>
        <w:t>e.g.,</w:t>
      </w:r>
      <w:r w:rsidRPr="00322698">
        <w:rPr>
          <w:szCs w:val="20"/>
        </w:rPr>
        <w:t xml:space="preserve"> rehabilitation, geriatric evaluation and management), and who</w:t>
      </w:r>
      <w:r w:rsidR="00B92A20">
        <w:rPr>
          <w:szCs w:val="20"/>
        </w:rPr>
        <w:t xml:space="preserve"> may benefit from restorative care</w:t>
      </w:r>
      <w:r w:rsidRPr="00322698">
        <w:rPr>
          <w:szCs w:val="20"/>
        </w:rPr>
        <w:t xml:space="preserve"> </w:t>
      </w:r>
      <w:r w:rsidR="00B92A20">
        <w:rPr>
          <w:szCs w:val="20"/>
        </w:rPr>
        <w:t xml:space="preserve">and </w:t>
      </w:r>
      <w:r w:rsidRPr="00322698">
        <w:rPr>
          <w:szCs w:val="20"/>
        </w:rPr>
        <w:t xml:space="preserve">more time and support to </w:t>
      </w:r>
      <w:proofErr w:type="gramStart"/>
      <w:r w:rsidRPr="00322698">
        <w:rPr>
          <w:szCs w:val="20"/>
        </w:rPr>
        <w:t>make a decision</w:t>
      </w:r>
      <w:proofErr w:type="gramEnd"/>
      <w:r w:rsidRPr="00322698">
        <w:rPr>
          <w:szCs w:val="20"/>
        </w:rPr>
        <w:t xml:space="preserve"> on their </w:t>
      </w:r>
      <w:r w:rsidR="003A6D92" w:rsidRPr="00322698">
        <w:rPr>
          <w:szCs w:val="20"/>
        </w:rPr>
        <w:t>long-term</w:t>
      </w:r>
      <w:r w:rsidRPr="00322698">
        <w:rPr>
          <w:szCs w:val="20"/>
        </w:rPr>
        <w:t xml:space="preserve"> aged care options</w:t>
      </w:r>
      <w:r w:rsidR="00B92A20">
        <w:rPr>
          <w:szCs w:val="20"/>
        </w:rPr>
        <w:t xml:space="preserve"> if needed</w:t>
      </w:r>
      <w:r w:rsidRPr="00322698">
        <w:rPr>
          <w:szCs w:val="20"/>
        </w:rPr>
        <w:t>.</w:t>
      </w:r>
    </w:p>
    <w:p w14:paraId="50C95798" w14:textId="68BBDFC8" w:rsidR="0074706B" w:rsidRDefault="0074706B" w:rsidP="00322698">
      <w:pPr>
        <w:spacing w:before="0" w:after="0"/>
        <w:rPr>
          <w:szCs w:val="20"/>
        </w:rPr>
      </w:pPr>
      <w:r>
        <w:rPr>
          <w:szCs w:val="20"/>
        </w:rPr>
        <w:t xml:space="preserve">The programme is not intended to be a “holding” program for people </w:t>
      </w:r>
      <w:r w:rsidR="00C55250">
        <w:rPr>
          <w:szCs w:val="20"/>
        </w:rPr>
        <w:t>a</w:t>
      </w:r>
      <w:r>
        <w:rPr>
          <w:szCs w:val="20"/>
        </w:rPr>
        <w:t>waiting placement in a residential aged care</w:t>
      </w:r>
      <w:r w:rsidR="00DF12F7">
        <w:rPr>
          <w:szCs w:val="20"/>
        </w:rPr>
        <w:t xml:space="preserve"> home</w:t>
      </w:r>
      <w:r>
        <w:rPr>
          <w:szCs w:val="20"/>
        </w:rPr>
        <w:t xml:space="preserve"> or </w:t>
      </w:r>
      <w:r w:rsidR="00413952">
        <w:rPr>
          <w:szCs w:val="20"/>
        </w:rPr>
        <w:t xml:space="preserve">a </w:t>
      </w:r>
      <w:r>
        <w:rPr>
          <w:szCs w:val="20"/>
        </w:rPr>
        <w:t>residential Multi-Purpose</w:t>
      </w:r>
      <w:r w:rsidR="00413952">
        <w:rPr>
          <w:szCs w:val="20"/>
        </w:rPr>
        <w:t xml:space="preserve"> Service</w:t>
      </w:r>
      <w:r>
        <w:rPr>
          <w:szCs w:val="20"/>
        </w:rPr>
        <w:t>. The primary function of the programme is therap</w:t>
      </w:r>
      <w:r w:rsidR="00413952">
        <w:rPr>
          <w:szCs w:val="20"/>
        </w:rPr>
        <w:t>eutic</w:t>
      </w:r>
      <w:r>
        <w:rPr>
          <w:szCs w:val="20"/>
        </w:rPr>
        <w:t>.</w:t>
      </w:r>
    </w:p>
    <w:p w14:paraId="573248DF" w14:textId="68BD979B" w:rsidR="00605BA0" w:rsidRPr="00BA1451" w:rsidRDefault="00605BA0" w:rsidP="00605BA0">
      <w:pPr>
        <w:pStyle w:val="Heading2"/>
      </w:pPr>
      <w:bookmarkStart w:id="32" w:name="_Toc395537158"/>
      <w:bookmarkStart w:id="33" w:name="_Toc422732516"/>
      <w:bookmarkStart w:id="34" w:name="_Toc422752856"/>
      <w:bookmarkStart w:id="35" w:name="_Toc197076856"/>
      <w:bookmarkStart w:id="36" w:name="_Toc245536158"/>
      <w:r w:rsidRPr="00BA1451">
        <w:t xml:space="preserve">Roles and responsibilities within the </w:t>
      </w:r>
      <w:r w:rsidR="0005402E">
        <w:t>T</w:t>
      </w:r>
      <w:r w:rsidRPr="00BA1451">
        <w:t xml:space="preserve">ransition </w:t>
      </w:r>
      <w:r w:rsidR="0005402E">
        <w:t>C</w:t>
      </w:r>
      <w:r w:rsidRPr="00BA1451">
        <w:t xml:space="preserve">are </w:t>
      </w:r>
      <w:r w:rsidR="0005402E">
        <w:t>P</w:t>
      </w:r>
      <w:r w:rsidRPr="00BA1451">
        <w:t>rogramme</w:t>
      </w:r>
      <w:bookmarkEnd w:id="32"/>
      <w:bookmarkEnd w:id="33"/>
      <w:bookmarkEnd w:id="34"/>
      <w:bookmarkEnd w:id="35"/>
    </w:p>
    <w:p w14:paraId="3F226702" w14:textId="7C9936FF" w:rsidR="00605BA0" w:rsidRPr="00322698" w:rsidRDefault="004B2453" w:rsidP="005633B5">
      <w:pPr>
        <w:spacing w:before="0" w:after="60"/>
        <w:rPr>
          <w:szCs w:val="20"/>
        </w:rPr>
      </w:pPr>
      <w:r>
        <w:rPr>
          <w:szCs w:val="20"/>
        </w:rPr>
        <w:t xml:space="preserve">Six </w:t>
      </w:r>
      <w:r w:rsidR="00605BA0" w:rsidRPr="00322698">
        <w:rPr>
          <w:szCs w:val="20"/>
        </w:rPr>
        <w:t xml:space="preserve">key entities </w:t>
      </w:r>
      <w:r>
        <w:rPr>
          <w:szCs w:val="20"/>
        </w:rPr>
        <w:t>h</w:t>
      </w:r>
      <w:r w:rsidR="00605BA0" w:rsidRPr="00322698">
        <w:rPr>
          <w:szCs w:val="20"/>
        </w:rPr>
        <w:t>ave roles and responsibilities within the programme:</w:t>
      </w:r>
    </w:p>
    <w:p w14:paraId="25D682F5" w14:textId="1CDFCA34" w:rsidR="00605BA0" w:rsidRPr="00187113" w:rsidRDefault="00514534" w:rsidP="00187113">
      <w:pPr>
        <w:pStyle w:val="ListParagraph"/>
      </w:pPr>
      <w:r w:rsidRPr="00E173A7">
        <w:t>T</w:t>
      </w:r>
      <w:r w:rsidR="004D45E7" w:rsidRPr="00E173A7">
        <w:t xml:space="preserve">he </w:t>
      </w:r>
      <w:r w:rsidR="00605BA0" w:rsidRPr="00187113">
        <w:t xml:space="preserve">Australian </w:t>
      </w:r>
      <w:proofErr w:type="gramStart"/>
      <w:r w:rsidR="00605BA0" w:rsidRPr="00187113">
        <w:t>Government;</w:t>
      </w:r>
      <w:proofErr w:type="gramEnd"/>
    </w:p>
    <w:p w14:paraId="316AB291" w14:textId="21F7EF4F" w:rsidR="00605BA0" w:rsidRPr="00187113" w:rsidRDefault="00514534" w:rsidP="00187113">
      <w:pPr>
        <w:pStyle w:val="ListParagraph"/>
      </w:pPr>
      <w:r w:rsidRPr="00187113">
        <w:t>S</w:t>
      </w:r>
      <w:r w:rsidR="007761A9" w:rsidRPr="00187113">
        <w:t xml:space="preserve">tate and </w:t>
      </w:r>
      <w:r w:rsidR="00261E28" w:rsidRPr="00187113">
        <w:t>t</w:t>
      </w:r>
      <w:r w:rsidR="007761A9" w:rsidRPr="00187113">
        <w:t xml:space="preserve">erritory </w:t>
      </w:r>
      <w:r w:rsidR="00261E28" w:rsidRPr="00187113">
        <w:t>g</w:t>
      </w:r>
      <w:r w:rsidR="007761A9" w:rsidRPr="00187113">
        <w:t xml:space="preserve">overnments who fulfil the function of </w:t>
      </w:r>
      <w:r w:rsidR="004D45E7" w:rsidRPr="00187113">
        <w:t>a</w:t>
      </w:r>
      <w:r w:rsidR="00605BA0" w:rsidRPr="00187113">
        <w:t xml:space="preserve">pproved </w:t>
      </w:r>
      <w:proofErr w:type="gramStart"/>
      <w:r w:rsidR="00605BA0" w:rsidRPr="00187113">
        <w:t>providers;</w:t>
      </w:r>
      <w:proofErr w:type="gramEnd"/>
    </w:p>
    <w:p w14:paraId="65513C0A" w14:textId="3FA4815E" w:rsidR="00605BA0" w:rsidRPr="00187113" w:rsidRDefault="00514534" w:rsidP="00187113">
      <w:pPr>
        <w:pStyle w:val="ListParagraph"/>
      </w:pPr>
      <w:r w:rsidRPr="00187113">
        <w:t>T</w:t>
      </w:r>
      <w:r w:rsidR="00413952" w:rsidRPr="00187113">
        <w:t>ransition care s</w:t>
      </w:r>
      <w:r w:rsidR="00605BA0" w:rsidRPr="00187113">
        <w:t>ervice providers – regional and/or local managers</w:t>
      </w:r>
      <w:r w:rsidR="003057B2" w:rsidRPr="00187113">
        <w:t xml:space="preserve">, including non-government organisations contracted by state and territory governments to deliver transition </w:t>
      </w:r>
      <w:proofErr w:type="gramStart"/>
      <w:r w:rsidR="003057B2" w:rsidRPr="00187113">
        <w:t>care</w:t>
      </w:r>
      <w:r w:rsidR="00605BA0" w:rsidRPr="00187113">
        <w:t>;</w:t>
      </w:r>
      <w:proofErr w:type="gramEnd"/>
    </w:p>
    <w:p w14:paraId="787943E4" w14:textId="5A3019D3" w:rsidR="00605BA0" w:rsidRPr="009014E2" w:rsidRDefault="00605BA0" w:rsidP="00187113">
      <w:pPr>
        <w:pStyle w:val="ListParagraph"/>
      </w:pPr>
      <w:r w:rsidRPr="00187113">
        <w:t>Assessment</w:t>
      </w:r>
      <w:r w:rsidR="00E76234">
        <w:t xml:space="preserve"> </w:t>
      </w:r>
      <w:proofErr w:type="gramStart"/>
      <w:r w:rsidR="003C6D4B">
        <w:t>o</w:t>
      </w:r>
      <w:r w:rsidR="00E76234">
        <w:t>rganisation</w:t>
      </w:r>
      <w:r w:rsidR="00764E63">
        <w:t>s</w:t>
      </w:r>
      <w:r w:rsidR="00E76234">
        <w:t>;</w:t>
      </w:r>
      <w:proofErr w:type="gramEnd"/>
      <w:r w:rsidRPr="00187113">
        <w:t xml:space="preserve"> </w:t>
      </w:r>
    </w:p>
    <w:p w14:paraId="5F2E701F" w14:textId="77777777" w:rsidR="00605BA0" w:rsidRPr="00187113" w:rsidRDefault="00605BA0" w:rsidP="00187113">
      <w:pPr>
        <w:pStyle w:val="ListParagraph"/>
      </w:pPr>
      <w:r w:rsidRPr="00187113">
        <w:t>Hospitals; and</w:t>
      </w:r>
    </w:p>
    <w:p w14:paraId="13903D7D" w14:textId="77777777" w:rsidR="00605BA0" w:rsidRPr="00E173A7" w:rsidRDefault="00605BA0" w:rsidP="00187113">
      <w:pPr>
        <w:pStyle w:val="ListParagraph"/>
      </w:pPr>
      <w:r w:rsidRPr="00187113">
        <w:t>Transition care recipients</w:t>
      </w:r>
      <w:r w:rsidRPr="00E173A7">
        <w:t>.</w:t>
      </w:r>
    </w:p>
    <w:p w14:paraId="1F93B14A" w14:textId="60CFAE4D" w:rsidR="00605BA0" w:rsidRPr="000D6AAE" w:rsidRDefault="00605BA0" w:rsidP="00413952">
      <w:pPr>
        <w:spacing w:before="0" w:after="200"/>
        <w:rPr>
          <w:szCs w:val="20"/>
        </w:rPr>
      </w:pPr>
      <w:r w:rsidRPr="00DA687A">
        <w:rPr>
          <w:szCs w:val="20"/>
        </w:rPr>
        <w:t xml:space="preserve">The roles of the Australian Government and state and territory governments are outlined below. For the other entities, see sections </w:t>
      </w:r>
      <w:r w:rsidRPr="00DA687A">
        <w:rPr>
          <w:i/>
          <w:szCs w:val="20"/>
        </w:rPr>
        <w:t>3.3 The role of hospitals</w:t>
      </w:r>
      <w:r w:rsidRPr="00DA687A">
        <w:rPr>
          <w:szCs w:val="20"/>
        </w:rPr>
        <w:t xml:space="preserve">, </w:t>
      </w:r>
      <w:r w:rsidRPr="00DA687A">
        <w:rPr>
          <w:i/>
          <w:szCs w:val="20"/>
        </w:rPr>
        <w:t xml:space="preserve">3.4.1 </w:t>
      </w:r>
      <w:r w:rsidR="00BE5E6F" w:rsidRPr="00DA687A">
        <w:rPr>
          <w:i/>
          <w:szCs w:val="20"/>
        </w:rPr>
        <w:t>Assessment: the role of t</w:t>
      </w:r>
      <w:r w:rsidRPr="00DA687A">
        <w:rPr>
          <w:i/>
          <w:szCs w:val="20"/>
        </w:rPr>
        <w:t>he Assess</w:t>
      </w:r>
      <w:r w:rsidR="000555FC">
        <w:rPr>
          <w:i/>
          <w:szCs w:val="20"/>
        </w:rPr>
        <w:t xml:space="preserve">ment </w:t>
      </w:r>
      <w:r w:rsidR="0017077D">
        <w:rPr>
          <w:i/>
          <w:szCs w:val="20"/>
        </w:rPr>
        <w:t>o</w:t>
      </w:r>
      <w:r w:rsidR="009369A0">
        <w:rPr>
          <w:i/>
          <w:szCs w:val="20"/>
        </w:rPr>
        <w:t>rganisation</w:t>
      </w:r>
      <w:r w:rsidRPr="00DA687A">
        <w:rPr>
          <w:szCs w:val="20"/>
        </w:rPr>
        <w:t xml:space="preserve">, </w:t>
      </w:r>
      <w:r w:rsidRPr="00DA687A">
        <w:rPr>
          <w:i/>
          <w:szCs w:val="20"/>
        </w:rPr>
        <w:t xml:space="preserve">3.5.2 </w:t>
      </w:r>
      <w:r w:rsidRPr="007B7DC2">
        <w:rPr>
          <w:i/>
          <w:szCs w:val="20"/>
        </w:rPr>
        <w:t>The service provider</w:t>
      </w:r>
      <w:r w:rsidRPr="00DA687A">
        <w:rPr>
          <w:szCs w:val="20"/>
        </w:rPr>
        <w:t xml:space="preserve">, and </w:t>
      </w:r>
      <w:r w:rsidR="003E6A6C" w:rsidRPr="00DA687A">
        <w:rPr>
          <w:i/>
          <w:szCs w:val="20"/>
        </w:rPr>
        <w:t>5</w:t>
      </w:r>
      <w:r w:rsidRPr="00DA687A">
        <w:rPr>
          <w:i/>
          <w:szCs w:val="20"/>
        </w:rPr>
        <w:t>.3 Care recipient responsibilities</w:t>
      </w:r>
      <w:r w:rsidRPr="00DA687A">
        <w:rPr>
          <w:szCs w:val="20"/>
        </w:rPr>
        <w:t xml:space="preserve"> of these guidelines.</w:t>
      </w:r>
    </w:p>
    <w:p w14:paraId="0005254D" w14:textId="47226A7E" w:rsidR="00605BA0" w:rsidRPr="00BA1451" w:rsidRDefault="00605BA0" w:rsidP="00605BA0">
      <w:pPr>
        <w:pStyle w:val="Heading3withoutnumbering"/>
      </w:pPr>
      <w:bookmarkStart w:id="37" w:name="_Toc395537159"/>
      <w:bookmarkStart w:id="38" w:name="_Toc422732517"/>
      <w:bookmarkStart w:id="39" w:name="_Toc422752857"/>
      <w:bookmarkStart w:id="40" w:name="_Toc197076857"/>
      <w:r w:rsidRPr="00BA1451">
        <w:t>Australian Government</w:t>
      </w:r>
      <w:bookmarkEnd w:id="37"/>
      <w:bookmarkEnd w:id="38"/>
      <w:bookmarkEnd w:id="39"/>
      <w:bookmarkEnd w:id="40"/>
    </w:p>
    <w:p w14:paraId="60749E0A" w14:textId="0FF90E0B" w:rsidR="00605BA0" w:rsidRPr="00322698" w:rsidRDefault="00605BA0" w:rsidP="005633B5">
      <w:pPr>
        <w:spacing w:before="0" w:after="60"/>
        <w:rPr>
          <w:szCs w:val="20"/>
        </w:rPr>
      </w:pPr>
      <w:r w:rsidRPr="00322698">
        <w:rPr>
          <w:szCs w:val="20"/>
        </w:rPr>
        <w:t>The Australian Government’s roles and responsibilities in relation to the programme are to:</w:t>
      </w:r>
    </w:p>
    <w:p w14:paraId="74DFBFC5" w14:textId="609C7205" w:rsidR="00605BA0" w:rsidRPr="00322698" w:rsidRDefault="00605BA0" w:rsidP="00187113">
      <w:pPr>
        <w:pStyle w:val="ListBullet"/>
      </w:pPr>
      <w:r w:rsidRPr="00322698">
        <w:t xml:space="preserve">develop and implement national policies to meet the objectives of the programme in partnership with the state and territory governments as the approved </w:t>
      </w:r>
      <w:proofErr w:type="gramStart"/>
      <w:r w:rsidRPr="00322698">
        <w:t>providers;</w:t>
      </w:r>
      <w:proofErr w:type="gramEnd"/>
    </w:p>
    <w:p w14:paraId="46CCE3F9" w14:textId="6CCF023B" w:rsidR="00605BA0" w:rsidRPr="00322698" w:rsidRDefault="00605BA0" w:rsidP="00187113">
      <w:pPr>
        <w:pStyle w:val="ListBullet"/>
      </w:pPr>
      <w:r w:rsidRPr="00322698">
        <w:t xml:space="preserve">administer the programme in partnership with the state and territory governments, including the development of operating </w:t>
      </w:r>
      <w:proofErr w:type="gramStart"/>
      <w:r w:rsidRPr="00322698">
        <w:t>guidelines;</w:t>
      </w:r>
      <w:proofErr w:type="gramEnd"/>
    </w:p>
    <w:p w14:paraId="3D52A797" w14:textId="5C957829" w:rsidR="00605BA0" w:rsidRPr="00322698" w:rsidRDefault="00605BA0" w:rsidP="00187113">
      <w:pPr>
        <w:pStyle w:val="ListBullet"/>
      </w:pPr>
      <w:r w:rsidRPr="00322698">
        <w:t xml:space="preserve">allocate transition care places </w:t>
      </w:r>
      <w:r w:rsidR="0074706B">
        <w:t xml:space="preserve">and account for the programme in a report to the Australian Parliament </w:t>
      </w:r>
      <w:r w:rsidRPr="00322698">
        <w:t>under the</w:t>
      </w:r>
      <w:r w:rsidR="00F8430F">
        <w:t xml:space="preserve"> </w:t>
      </w:r>
      <w:proofErr w:type="gramStart"/>
      <w:r w:rsidR="00F8430F">
        <w:t>Act</w:t>
      </w:r>
      <w:r w:rsidRPr="00322698">
        <w:t>;</w:t>
      </w:r>
      <w:proofErr w:type="gramEnd"/>
    </w:p>
    <w:p w14:paraId="26F4276B" w14:textId="77777777" w:rsidR="00605BA0" w:rsidRPr="00322698" w:rsidRDefault="00605BA0" w:rsidP="00187113">
      <w:pPr>
        <w:pStyle w:val="ListBullet"/>
      </w:pPr>
      <w:r w:rsidRPr="00322698">
        <w:t xml:space="preserve">provide a subsidy under the Act to each occupied transition care place for care and </w:t>
      </w:r>
      <w:proofErr w:type="gramStart"/>
      <w:r w:rsidRPr="00322698">
        <w:t>services;</w:t>
      </w:r>
      <w:proofErr w:type="gramEnd"/>
    </w:p>
    <w:p w14:paraId="7F990C5C" w14:textId="6D2F97EE" w:rsidR="00605BA0" w:rsidRPr="00322698" w:rsidRDefault="00605BA0" w:rsidP="00187113">
      <w:pPr>
        <w:pStyle w:val="ListBullet"/>
      </w:pPr>
      <w:r w:rsidRPr="00322698">
        <w:t xml:space="preserve">collaborate with state and territory governments in the evaluation of the programme and reporting of transition care </w:t>
      </w:r>
      <w:proofErr w:type="gramStart"/>
      <w:r w:rsidRPr="00322698">
        <w:t>data;</w:t>
      </w:r>
      <w:proofErr w:type="gramEnd"/>
    </w:p>
    <w:p w14:paraId="2D7C131E" w14:textId="77777777" w:rsidR="00605BA0" w:rsidRPr="00322698" w:rsidRDefault="00605BA0" w:rsidP="00187113">
      <w:pPr>
        <w:pStyle w:val="ListBullet"/>
      </w:pPr>
      <w:r w:rsidRPr="00322698">
        <w:t xml:space="preserve">manage complaints received by the </w:t>
      </w:r>
      <w:r w:rsidR="007C23B0">
        <w:t>Aged Care Quality and Safety Commission</w:t>
      </w:r>
      <w:r w:rsidR="006E059E">
        <w:t xml:space="preserve"> (the Commission)</w:t>
      </w:r>
      <w:r w:rsidRPr="00322698">
        <w:t>; and</w:t>
      </w:r>
    </w:p>
    <w:p w14:paraId="0BF63CBE" w14:textId="77777777" w:rsidR="00605BA0" w:rsidRPr="00322698" w:rsidRDefault="00605BA0" w:rsidP="00187113">
      <w:pPr>
        <w:pStyle w:val="ListBullet"/>
      </w:pPr>
      <w:r w:rsidRPr="00322698">
        <w:t>provide strategic direction.</w:t>
      </w:r>
    </w:p>
    <w:p w14:paraId="00850C82" w14:textId="77777777" w:rsidR="00605BA0" w:rsidRDefault="00605BA0" w:rsidP="00322698">
      <w:pPr>
        <w:spacing w:before="0" w:after="0"/>
        <w:rPr>
          <w:szCs w:val="20"/>
        </w:rPr>
      </w:pPr>
      <w:r w:rsidRPr="00322698">
        <w:rPr>
          <w:szCs w:val="20"/>
        </w:rPr>
        <w:t xml:space="preserve">The </w:t>
      </w:r>
      <w:r w:rsidR="004B2453">
        <w:rPr>
          <w:szCs w:val="20"/>
        </w:rPr>
        <w:t xml:space="preserve">Department </w:t>
      </w:r>
      <w:r w:rsidR="009D422E">
        <w:rPr>
          <w:szCs w:val="20"/>
        </w:rPr>
        <w:t xml:space="preserve">and the Commission </w:t>
      </w:r>
      <w:r w:rsidR="004B2453">
        <w:rPr>
          <w:szCs w:val="20"/>
        </w:rPr>
        <w:t xml:space="preserve">undertake the </w:t>
      </w:r>
      <w:r w:rsidRPr="00322698">
        <w:rPr>
          <w:szCs w:val="20"/>
        </w:rPr>
        <w:t xml:space="preserve">Australian Government’s role in the </w:t>
      </w:r>
      <w:r w:rsidRPr="00402C97">
        <w:rPr>
          <w:szCs w:val="20"/>
        </w:rPr>
        <w:t>programme</w:t>
      </w:r>
      <w:r w:rsidR="004B2453" w:rsidRPr="00402C97">
        <w:rPr>
          <w:szCs w:val="20"/>
        </w:rPr>
        <w:t>.</w:t>
      </w:r>
    </w:p>
    <w:p w14:paraId="77AB3AF0" w14:textId="77777777" w:rsidR="00AE408C" w:rsidRDefault="00AE408C" w:rsidP="00322698">
      <w:pPr>
        <w:spacing w:before="0" w:after="0"/>
        <w:rPr>
          <w:szCs w:val="20"/>
        </w:rPr>
      </w:pPr>
    </w:p>
    <w:p w14:paraId="0B3D95A5" w14:textId="39996C93" w:rsidR="00605BA0" w:rsidRPr="00BA1451" w:rsidRDefault="00605BA0" w:rsidP="00605BA0">
      <w:pPr>
        <w:pStyle w:val="Heading3withoutnumbering"/>
      </w:pPr>
      <w:bookmarkStart w:id="41" w:name="_Toc197076858"/>
      <w:bookmarkStart w:id="42" w:name="_Toc395537160"/>
      <w:bookmarkStart w:id="43" w:name="_Toc422732518"/>
      <w:bookmarkStart w:id="44" w:name="_Toc422752858"/>
      <w:bookmarkStart w:id="45" w:name="_Toc197076859"/>
      <w:bookmarkEnd w:id="41"/>
      <w:r w:rsidRPr="00BA1451">
        <w:t>State/territory governments (approved providers)</w:t>
      </w:r>
      <w:bookmarkEnd w:id="42"/>
      <w:bookmarkEnd w:id="43"/>
      <w:bookmarkEnd w:id="44"/>
      <w:bookmarkEnd w:id="45"/>
    </w:p>
    <w:p w14:paraId="54A29A2E" w14:textId="677B0DBB" w:rsidR="00605BA0" w:rsidRPr="00322698" w:rsidRDefault="00605BA0" w:rsidP="005633B5">
      <w:pPr>
        <w:spacing w:before="0" w:after="60"/>
        <w:rPr>
          <w:szCs w:val="20"/>
        </w:rPr>
      </w:pPr>
      <w:r w:rsidRPr="00322698">
        <w:rPr>
          <w:szCs w:val="20"/>
        </w:rPr>
        <w:t>State and territory government responsibilities in relation to the programme are broadly defined as follows:</w:t>
      </w:r>
    </w:p>
    <w:p w14:paraId="7D01C7BD" w14:textId="76CAAFEC" w:rsidR="00605BA0" w:rsidRPr="00322698" w:rsidRDefault="00605BA0" w:rsidP="00187113">
      <w:pPr>
        <w:pStyle w:val="ListBullet"/>
      </w:pPr>
      <w:r w:rsidRPr="00322698">
        <w:lastRenderedPageBreak/>
        <w:t xml:space="preserve">in partnership with the Australian Government, develop and implement </w:t>
      </w:r>
      <w:proofErr w:type="gramStart"/>
      <w:r w:rsidRPr="00322698">
        <w:t>policies;</w:t>
      </w:r>
      <w:proofErr w:type="gramEnd"/>
    </w:p>
    <w:p w14:paraId="48588AE8" w14:textId="58CBEDA3" w:rsidR="00605BA0" w:rsidRPr="00322698" w:rsidRDefault="00605BA0" w:rsidP="00187113">
      <w:pPr>
        <w:pStyle w:val="ListBullet"/>
      </w:pPr>
      <w:r w:rsidRPr="00322698">
        <w:t>manage the day-to-day operations of the programme, including through service providers in their state/</w:t>
      </w:r>
      <w:proofErr w:type="gramStart"/>
      <w:r w:rsidRPr="00322698">
        <w:t>territory;</w:t>
      </w:r>
      <w:proofErr w:type="gramEnd"/>
    </w:p>
    <w:p w14:paraId="07D5B9D4" w14:textId="1905CBCC" w:rsidR="00605BA0" w:rsidRPr="00FB050A" w:rsidRDefault="00605BA0" w:rsidP="00187113">
      <w:pPr>
        <w:pStyle w:val="ListBullet"/>
      </w:pPr>
      <w:r w:rsidRPr="00A8096E">
        <w:t>ensure quality care is provided in accordance with Schedule 4: The Transition Care Programme Quality Improvement Framework</w:t>
      </w:r>
      <w:r w:rsidR="003B6C96" w:rsidRPr="00C40005">
        <w:t xml:space="preserve">, </w:t>
      </w:r>
      <w:r w:rsidRPr="00A8096E">
        <w:t xml:space="preserve">provided at </w:t>
      </w:r>
      <w:r w:rsidRPr="00A8096E">
        <w:rPr>
          <w:u w:val="single"/>
        </w:rPr>
        <w:t>Attachment A</w:t>
      </w:r>
      <w:r w:rsidR="006A446E" w:rsidRPr="00A8096E">
        <w:t xml:space="preserve"> of these guidelines</w:t>
      </w:r>
      <w:r w:rsidR="004D45E7" w:rsidRPr="00A8096E">
        <w:t xml:space="preserve">, and the Aged Care Quality </w:t>
      </w:r>
      <w:proofErr w:type="gramStart"/>
      <w:r w:rsidR="004D45E7" w:rsidRPr="00A8096E">
        <w:t>Standards</w:t>
      </w:r>
      <w:r w:rsidRPr="00FB050A">
        <w:t>;</w:t>
      </w:r>
      <w:proofErr w:type="gramEnd"/>
    </w:p>
    <w:p w14:paraId="2D46C1CC" w14:textId="0E6808A2" w:rsidR="00605BA0" w:rsidRPr="00322698" w:rsidRDefault="00605BA0" w:rsidP="00187113">
      <w:pPr>
        <w:pStyle w:val="ListBullet"/>
      </w:pPr>
      <w:r w:rsidRPr="00322698">
        <w:t>manage complaints in their state/territory, and where necessary cooperate with the</w:t>
      </w:r>
      <w:r w:rsidR="007C23B0">
        <w:t xml:space="preserve"> Commission</w:t>
      </w:r>
      <w:r w:rsidRPr="00322698">
        <w:t xml:space="preserve"> to resolve complaints received by the </w:t>
      </w:r>
      <w:proofErr w:type="gramStart"/>
      <w:r w:rsidR="006A446E">
        <w:t>Commission</w:t>
      </w:r>
      <w:r w:rsidRPr="00322698">
        <w:t>;</w:t>
      </w:r>
      <w:proofErr w:type="gramEnd"/>
    </w:p>
    <w:p w14:paraId="0E858967" w14:textId="0DA73ABF" w:rsidR="00605BA0" w:rsidRPr="00322698" w:rsidRDefault="00605BA0" w:rsidP="00187113">
      <w:pPr>
        <w:pStyle w:val="ListBullet"/>
      </w:pPr>
      <w:r w:rsidRPr="00322698">
        <w:t xml:space="preserve">collaborate with the Australian Government in the national evaluation of the </w:t>
      </w:r>
      <w:proofErr w:type="gramStart"/>
      <w:r w:rsidRPr="00322698">
        <w:t>programme;</w:t>
      </w:r>
      <w:proofErr w:type="gramEnd"/>
    </w:p>
    <w:p w14:paraId="33F4E32D" w14:textId="258654BB" w:rsidR="00605BA0" w:rsidRPr="00322698" w:rsidRDefault="00605BA0" w:rsidP="00187113">
      <w:pPr>
        <w:pStyle w:val="ListBullet"/>
      </w:pPr>
      <w:r w:rsidRPr="00322698">
        <w:t xml:space="preserve">ensure transition care data </w:t>
      </w:r>
      <w:r w:rsidR="00F61186">
        <w:t>is</w:t>
      </w:r>
      <w:r w:rsidRPr="00322698">
        <w:t xml:space="preserve"> collected and reported to the Australian </w:t>
      </w:r>
      <w:proofErr w:type="gramStart"/>
      <w:r w:rsidRPr="00322698">
        <w:t>Government;</w:t>
      </w:r>
      <w:proofErr w:type="gramEnd"/>
    </w:p>
    <w:p w14:paraId="54BBF603" w14:textId="108C78D3" w:rsidR="00605BA0" w:rsidRPr="00322698" w:rsidRDefault="00605BA0" w:rsidP="00187113">
      <w:pPr>
        <w:pStyle w:val="ListBullet"/>
      </w:pPr>
      <w:r w:rsidRPr="00322698">
        <w:t xml:space="preserve">provide proportionate funding towards the operation of the </w:t>
      </w:r>
      <w:proofErr w:type="gramStart"/>
      <w:r w:rsidRPr="00322698">
        <w:t>programme;</w:t>
      </w:r>
      <w:proofErr w:type="gramEnd"/>
    </w:p>
    <w:p w14:paraId="49D9A190" w14:textId="2D6D6174" w:rsidR="00605BA0" w:rsidRPr="00322698" w:rsidRDefault="00605BA0" w:rsidP="00187113">
      <w:pPr>
        <w:pStyle w:val="ListBullet"/>
      </w:pPr>
      <w:r w:rsidRPr="00322698">
        <w:t xml:space="preserve">establish mechanisms to ensure the guidelines and the Australian Government’s conditions for managing the programme are met, including monitoring the performance and the </w:t>
      </w:r>
      <w:proofErr w:type="gramStart"/>
      <w:r w:rsidRPr="00322698">
        <w:t>quality of service</w:t>
      </w:r>
      <w:proofErr w:type="gramEnd"/>
      <w:r w:rsidRPr="00322698">
        <w:t xml:space="preserve"> delivery of the service providers; and</w:t>
      </w:r>
    </w:p>
    <w:p w14:paraId="3D17EE4D" w14:textId="5840589C" w:rsidR="00B92A20" w:rsidRDefault="00605BA0" w:rsidP="00187113">
      <w:pPr>
        <w:pStyle w:val="ListBullet"/>
      </w:pPr>
      <w:r w:rsidRPr="00322698">
        <w:t>ensure service providers comply with the provisions of the payment agreement and any recipient agreements in place.</w:t>
      </w:r>
      <w:bookmarkStart w:id="46" w:name="_Toc395537161"/>
      <w:bookmarkStart w:id="47" w:name="_Toc422732519"/>
      <w:bookmarkStart w:id="48" w:name="_Toc422752859"/>
    </w:p>
    <w:p w14:paraId="5A1DC368" w14:textId="1619287A" w:rsidR="00F7731A" w:rsidRDefault="00261E28" w:rsidP="00781B94">
      <w:r>
        <w:t xml:space="preserve">State </w:t>
      </w:r>
      <w:r w:rsidR="00413952">
        <w:t xml:space="preserve">and territory </w:t>
      </w:r>
      <w:r>
        <w:t>g</w:t>
      </w:r>
      <w:r w:rsidR="00F7731A">
        <w:t xml:space="preserve">overnments, as </w:t>
      </w:r>
      <w:r w:rsidR="00394A2B">
        <w:t xml:space="preserve">the </w:t>
      </w:r>
      <w:r w:rsidR="00F7731A">
        <w:t>approved providers of transition c</w:t>
      </w:r>
      <w:r w:rsidR="00413952">
        <w:t>are</w:t>
      </w:r>
      <w:r w:rsidR="00F7731A">
        <w:t>, are responsible for meeting all approved provider obligations and r</w:t>
      </w:r>
      <w:r>
        <w:t>esponsibilities under the Act. The u</w:t>
      </w:r>
      <w:r w:rsidR="00F7731A">
        <w:t>se of sub</w:t>
      </w:r>
      <w:r w:rsidR="00402C97">
        <w:noBreakHyphen/>
      </w:r>
      <w:r w:rsidR="00F7731A">
        <w:t>contractors does not negate these legal obligations.</w:t>
      </w:r>
    </w:p>
    <w:p w14:paraId="42DE58E7" w14:textId="3B55C36F" w:rsidR="00605BA0" w:rsidRPr="00BA1451" w:rsidRDefault="00605BA0" w:rsidP="00605BA0">
      <w:pPr>
        <w:pStyle w:val="Heading2"/>
      </w:pPr>
      <w:bookmarkStart w:id="49" w:name="_Toc197076860"/>
      <w:r w:rsidRPr="00BA1451">
        <w:t>Allocation of transition care places</w:t>
      </w:r>
      <w:bookmarkEnd w:id="36"/>
      <w:bookmarkEnd w:id="46"/>
      <w:bookmarkEnd w:id="47"/>
      <w:bookmarkEnd w:id="48"/>
      <w:bookmarkEnd w:id="49"/>
    </w:p>
    <w:p w14:paraId="670573E0" w14:textId="77777777" w:rsidR="00605BA0" w:rsidRDefault="00605BA0" w:rsidP="00413952">
      <w:pPr>
        <w:autoSpaceDE w:val="0"/>
        <w:autoSpaceDN w:val="0"/>
        <w:adjustRightInd w:val="0"/>
        <w:spacing w:before="0" w:after="200"/>
        <w:rPr>
          <w:szCs w:val="20"/>
        </w:rPr>
      </w:pPr>
      <w:r w:rsidRPr="00322698">
        <w:rPr>
          <w:szCs w:val="20"/>
        </w:rPr>
        <w:t>The Australian Government and state and territory governments have clearly de</w:t>
      </w:r>
      <w:r w:rsidR="004B2453">
        <w:rPr>
          <w:szCs w:val="20"/>
        </w:rPr>
        <w:t xml:space="preserve">fined </w:t>
      </w:r>
      <w:r w:rsidRPr="00322698">
        <w:rPr>
          <w:szCs w:val="20"/>
        </w:rPr>
        <w:t xml:space="preserve">roles </w:t>
      </w:r>
      <w:r w:rsidR="00204FAB">
        <w:rPr>
          <w:szCs w:val="20"/>
        </w:rPr>
        <w:t>in relation</w:t>
      </w:r>
      <w:r w:rsidR="00204FAB" w:rsidRPr="00322698">
        <w:rPr>
          <w:szCs w:val="20"/>
        </w:rPr>
        <w:t xml:space="preserve"> </w:t>
      </w:r>
      <w:r w:rsidRPr="00322698">
        <w:rPr>
          <w:szCs w:val="20"/>
        </w:rPr>
        <w:t>to the alloca</w:t>
      </w:r>
      <w:r w:rsidR="00A85D04">
        <w:rPr>
          <w:szCs w:val="20"/>
        </w:rPr>
        <w:t>tion of transition care places.</w:t>
      </w:r>
    </w:p>
    <w:p w14:paraId="573B5009" w14:textId="37943EBA" w:rsidR="00605BA0" w:rsidRPr="00322698" w:rsidRDefault="006A60D0" w:rsidP="00413952">
      <w:pPr>
        <w:tabs>
          <w:tab w:val="left" w:pos="5670"/>
        </w:tabs>
        <w:autoSpaceDE w:val="0"/>
        <w:autoSpaceDN w:val="0"/>
        <w:adjustRightInd w:val="0"/>
        <w:spacing w:before="0" w:after="200"/>
        <w:rPr>
          <w:szCs w:val="20"/>
        </w:rPr>
      </w:pPr>
      <w:r>
        <w:rPr>
          <w:szCs w:val="20"/>
        </w:rPr>
        <w:t>T</w:t>
      </w:r>
      <w:r w:rsidR="00605BA0" w:rsidRPr="00322698">
        <w:rPr>
          <w:szCs w:val="20"/>
        </w:rPr>
        <w:t xml:space="preserve">he Department </w:t>
      </w:r>
      <w:r>
        <w:rPr>
          <w:szCs w:val="20"/>
        </w:rPr>
        <w:t xml:space="preserve">allocates </w:t>
      </w:r>
      <w:r w:rsidR="00605BA0" w:rsidRPr="00322698">
        <w:rPr>
          <w:szCs w:val="20"/>
        </w:rPr>
        <w:t>new transition care places up to a defined limit, under section</w:t>
      </w:r>
      <w:r w:rsidR="00DF12F7">
        <w:rPr>
          <w:szCs w:val="20"/>
        </w:rPr>
        <w:t xml:space="preserve"> </w:t>
      </w:r>
      <w:r>
        <w:rPr>
          <w:szCs w:val="20"/>
        </w:rPr>
        <w:t>1</w:t>
      </w:r>
      <w:r w:rsidR="00605BA0" w:rsidRPr="00322698">
        <w:rPr>
          <w:szCs w:val="20"/>
        </w:rPr>
        <w:t>4-</w:t>
      </w:r>
      <w:r>
        <w:rPr>
          <w:szCs w:val="20"/>
        </w:rPr>
        <w:t>1 </w:t>
      </w:r>
      <w:r w:rsidR="00605BA0" w:rsidRPr="00322698">
        <w:rPr>
          <w:szCs w:val="20"/>
        </w:rPr>
        <w:t xml:space="preserve">of </w:t>
      </w:r>
      <w:r w:rsidR="003A676C" w:rsidRPr="00322698">
        <w:rPr>
          <w:szCs w:val="20"/>
        </w:rPr>
        <w:t>the</w:t>
      </w:r>
      <w:r w:rsidR="003A676C" w:rsidRPr="00322698">
        <w:rPr>
          <w:i/>
          <w:szCs w:val="20"/>
        </w:rPr>
        <w:t xml:space="preserve"> </w:t>
      </w:r>
      <w:r w:rsidR="00BB0515" w:rsidRPr="005633B5">
        <w:rPr>
          <w:szCs w:val="20"/>
        </w:rPr>
        <w:t>Act</w:t>
      </w:r>
      <w:r w:rsidR="00605BA0" w:rsidRPr="00322698">
        <w:rPr>
          <w:i/>
          <w:szCs w:val="20"/>
        </w:rPr>
        <w:t xml:space="preserve"> </w:t>
      </w:r>
      <w:r w:rsidR="00605BA0" w:rsidRPr="00322698">
        <w:rPr>
          <w:szCs w:val="20"/>
        </w:rPr>
        <w:t xml:space="preserve">to state and territory governments </w:t>
      </w:r>
      <w:r w:rsidR="008E1D9C">
        <w:rPr>
          <w:szCs w:val="20"/>
        </w:rPr>
        <w:t>who are</w:t>
      </w:r>
      <w:r w:rsidR="00605BA0" w:rsidRPr="00322698">
        <w:rPr>
          <w:szCs w:val="20"/>
        </w:rPr>
        <w:t xml:space="preserve"> the approved providers</w:t>
      </w:r>
      <w:r w:rsidR="008E1D9C">
        <w:rPr>
          <w:szCs w:val="20"/>
        </w:rPr>
        <w:t xml:space="preserve"> of the programme.</w:t>
      </w:r>
      <w:r w:rsidR="00605BA0" w:rsidRPr="00322698">
        <w:rPr>
          <w:szCs w:val="20"/>
        </w:rPr>
        <w:t xml:space="preserve"> The approved providers are responsible for planning the model of transition care based on local need.</w:t>
      </w:r>
      <w:r w:rsidR="00492018">
        <w:rPr>
          <w:szCs w:val="20"/>
        </w:rPr>
        <w:t xml:space="preserve"> Where appropriate, the Department </w:t>
      </w:r>
      <w:r w:rsidR="009F2595">
        <w:rPr>
          <w:szCs w:val="20"/>
        </w:rPr>
        <w:t>is to</w:t>
      </w:r>
      <w:r w:rsidR="00492018">
        <w:rPr>
          <w:szCs w:val="20"/>
        </w:rPr>
        <w:t xml:space="preserve"> be consulted as part of this process.</w:t>
      </w:r>
    </w:p>
    <w:p w14:paraId="197A462F" w14:textId="77777777" w:rsidR="00605BA0" w:rsidRPr="00322698" w:rsidRDefault="00605BA0" w:rsidP="005633B5">
      <w:pPr>
        <w:spacing w:before="0" w:after="60"/>
        <w:rPr>
          <w:szCs w:val="20"/>
        </w:rPr>
      </w:pPr>
      <w:r w:rsidRPr="00322698">
        <w:rPr>
          <w:szCs w:val="20"/>
        </w:rPr>
        <w:t>Under Part 3.3 of the Act, an approved provider is eligible for flexible care subsidy, provided:</w:t>
      </w:r>
    </w:p>
    <w:p w14:paraId="02E3358C" w14:textId="77777777" w:rsidR="00605BA0" w:rsidRPr="00322698" w:rsidRDefault="00605BA0" w:rsidP="00187113">
      <w:pPr>
        <w:pStyle w:val="ListBullet"/>
      </w:pPr>
      <w:r w:rsidRPr="00322698">
        <w:t xml:space="preserve">it holds an allocation of flexible care </w:t>
      </w:r>
      <w:proofErr w:type="gramStart"/>
      <w:r w:rsidRPr="00322698">
        <w:t>places;</w:t>
      </w:r>
      <w:proofErr w:type="gramEnd"/>
    </w:p>
    <w:p w14:paraId="6189DF60" w14:textId="77777777" w:rsidR="00605BA0" w:rsidRPr="00322698" w:rsidRDefault="00605BA0" w:rsidP="00187113">
      <w:pPr>
        <w:pStyle w:val="ListBullet"/>
      </w:pPr>
      <w:r w:rsidRPr="00322698">
        <w:t>the allocated places have taken effect (i.e. have become operational); and</w:t>
      </w:r>
    </w:p>
    <w:p w14:paraId="014B4378" w14:textId="77777777" w:rsidR="00605BA0" w:rsidRPr="00413952" w:rsidRDefault="00605BA0" w:rsidP="00187113">
      <w:pPr>
        <w:pStyle w:val="ListBullet"/>
      </w:pPr>
      <w:r w:rsidRPr="00413952">
        <w:t>the approved provider provides flexible care to a care recipient who has been approved as eligible under the Act</w:t>
      </w:r>
      <w:r w:rsidR="0039453A" w:rsidRPr="00413952">
        <w:t xml:space="preserve">, the </w:t>
      </w:r>
      <w:r w:rsidR="0039453A" w:rsidRPr="00413952">
        <w:rPr>
          <w:i/>
        </w:rPr>
        <w:t>Approval of Care Recipients Principles 2014</w:t>
      </w:r>
      <w:r w:rsidR="0039453A" w:rsidRPr="00413952">
        <w:t>,</w:t>
      </w:r>
      <w:r w:rsidRPr="00413952">
        <w:t xml:space="preserve"> and </w:t>
      </w:r>
      <w:r w:rsidRPr="00413952">
        <w:rPr>
          <w:i/>
        </w:rPr>
        <w:t>Subsidy Principles 2014</w:t>
      </w:r>
      <w:r w:rsidRPr="00413952">
        <w:t>.</w:t>
      </w:r>
      <w:bookmarkStart w:id="50" w:name="_Toc395537162"/>
    </w:p>
    <w:p w14:paraId="3F67F1B0" w14:textId="290C7C97" w:rsidR="00605BA0" w:rsidRPr="00BA1451" w:rsidRDefault="00605BA0" w:rsidP="00605BA0">
      <w:pPr>
        <w:pStyle w:val="Heading3withoutnumbering"/>
      </w:pPr>
      <w:bookmarkStart w:id="51" w:name="_Toc422732520"/>
      <w:bookmarkStart w:id="52" w:name="_Toc422752860"/>
      <w:bookmarkStart w:id="53" w:name="_Toc197076861"/>
      <w:r w:rsidRPr="00BA1451">
        <w:t>Service planning</w:t>
      </w:r>
      <w:bookmarkEnd w:id="50"/>
      <w:bookmarkEnd w:id="51"/>
      <w:bookmarkEnd w:id="52"/>
      <w:bookmarkEnd w:id="53"/>
    </w:p>
    <w:p w14:paraId="11AFD564" w14:textId="4D37282E" w:rsidR="00605BA0" w:rsidRPr="00FB050A" w:rsidRDefault="00605BA0" w:rsidP="00D81DB7">
      <w:r w:rsidRPr="00FB050A">
        <w:t>Prior to each new allocation of transition care places, each state and territory government as the approved provider</w:t>
      </w:r>
      <w:r w:rsidR="00E432D4" w:rsidRPr="006A07CF">
        <w:t xml:space="preserve"> will be required to</w:t>
      </w:r>
      <w:r w:rsidR="00A85D04" w:rsidRPr="00FB050A">
        <w:t xml:space="preserve"> </w:t>
      </w:r>
      <w:r w:rsidRPr="00FB050A">
        <w:t xml:space="preserve">submit a bilateral implementation plan to the Department </w:t>
      </w:r>
      <w:r w:rsidRPr="00FB050A">
        <w:rPr>
          <w:snapToGrid w:val="0"/>
        </w:rPr>
        <w:t xml:space="preserve">that details how and where transition care will be delivered in their jurisdiction. </w:t>
      </w:r>
      <w:r w:rsidRPr="00FB050A">
        <w:t>Bilateral implementation plans</w:t>
      </w:r>
      <w:r w:rsidR="00A85D04" w:rsidRPr="00FB050A">
        <w:t xml:space="preserve"> must</w:t>
      </w:r>
      <w:r w:rsidRPr="00FB050A">
        <w:t xml:space="preserve"> include, but are not limited to:</w:t>
      </w:r>
    </w:p>
    <w:p w14:paraId="219A2436" w14:textId="77777777" w:rsidR="00605BA0" w:rsidRPr="00F077AD" w:rsidRDefault="00605BA0" w:rsidP="00187113">
      <w:pPr>
        <w:pStyle w:val="ListBullet"/>
      </w:pPr>
      <w:r w:rsidRPr="00F077AD">
        <w:t xml:space="preserve">the number of places to be allocated in a particular </w:t>
      </w:r>
      <w:proofErr w:type="gramStart"/>
      <w:r w:rsidRPr="00F077AD">
        <w:t>period;</w:t>
      </w:r>
      <w:proofErr w:type="gramEnd"/>
    </w:p>
    <w:p w14:paraId="316BFF03" w14:textId="77777777" w:rsidR="00605BA0" w:rsidRPr="00F077AD" w:rsidRDefault="00605BA0" w:rsidP="00187113">
      <w:pPr>
        <w:pStyle w:val="ListBullet"/>
      </w:pPr>
      <w:r w:rsidRPr="00F077AD">
        <w:t xml:space="preserve">the number of care recipients expected to receive these services, including Aboriginal and Torres Strait Islander </w:t>
      </w:r>
      <w:proofErr w:type="gramStart"/>
      <w:r w:rsidRPr="00F077AD">
        <w:t>people;</w:t>
      </w:r>
      <w:proofErr w:type="gramEnd"/>
    </w:p>
    <w:p w14:paraId="1722F64D" w14:textId="77777777" w:rsidR="00605BA0" w:rsidRPr="00F077AD" w:rsidRDefault="00605BA0" w:rsidP="00187113">
      <w:pPr>
        <w:pStyle w:val="ListBullet"/>
      </w:pPr>
      <w:r w:rsidRPr="00F077AD">
        <w:t>the region in which these places are to be located; and</w:t>
      </w:r>
    </w:p>
    <w:p w14:paraId="334FA424" w14:textId="77777777" w:rsidR="00605BA0" w:rsidRPr="00F077AD" w:rsidRDefault="00605BA0" w:rsidP="00187113">
      <w:pPr>
        <w:pStyle w:val="ListBullet"/>
      </w:pPr>
      <w:r w:rsidRPr="00F077AD">
        <w:t>how transition care will fit with the services provided through the hospital system, particularly subacute care.</w:t>
      </w:r>
    </w:p>
    <w:p w14:paraId="1158CD73" w14:textId="2802D497" w:rsidR="00F7731A" w:rsidRPr="00F077AD" w:rsidRDefault="00A85D04" w:rsidP="00D81DB7">
      <w:pPr>
        <w:rPr>
          <w:snapToGrid w:val="0"/>
        </w:rPr>
      </w:pPr>
      <w:r w:rsidRPr="00F077AD">
        <w:rPr>
          <w:snapToGrid w:val="0"/>
        </w:rPr>
        <w:t>A</w:t>
      </w:r>
      <w:r w:rsidR="00F7731A" w:rsidRPr="00F077AD">
        <w:rPr>
          <w:snapToGrid w:val="0"/>
        </w:rPr>
        <w:t xml:space="preserve"> bilateral implementation plan </w:t>
      </w:r>
      <w:r w:rsidR="00B35484" w:rsidRPr="00F077AD">
        <w:rPr>
          <w:snapToGrid w:val="0"/>
        </w:rPr>
        <w:t>must</w:t>
      </w:r>
      <w:r w:rsidR="00F7731A" w:rsidRPr="00F077AD">
        <w:rPr>
          <w:snapToGrid w:val="0"/>
        </w:rPr>
        <w:t xml:space="preserve"> include a clause recognising that transition care </w:t>
      </w:r>
      <w:r w:rsidR="00953A1C" w:rsidRPr="00F077AD">
        <w:rPr>
          <w:snapToGrid w:val="0"/>
        </w:rPr>
        <w:t>delivered in a residential care setting should not reduce access to allocated residential care places in the area.</w:t>
      </w:r>
    </w:p>
    <w:p w14:paraId="16CE7C7D" w14:textId="74229A24" w:rsidR="00605BA0" w:rsidRPr="00322698" w:rsidRDefault="00B35484" w:rsidP="00D81DB7">
      <w:pPr>
        <w:rPr>
          <w:snapToGrid w:val="0"/>
        </w:rPr>
      </w:pPr>
      <w:r w:rsidRPr="00F077AD">
        <w:rPr>
          <w:snapToGrid w:val="0"/>
        </w:rPr>
        <w:t>T</w:t>
      </w:r>
      <w:r w:rsidR="00605BA0" w:rsidRPr="00F077AD">
        <w:rPr>
          <w:snapToGrid w:val="0"/>
        </w:rPr>
        <w:t xml:space="preserve">o cater for care recipients who require care in either a residential </w:t>
      </w:r>
      <w:r w:rsidR="00985297">
        <w:rPr>
          <w:snapToGrid w:val="0"/>
        </w:rPr>
        <w:t xml:space="preserve">care </w:t>
      </w:r>
      <w:r w:rsidR="00605BA0" w:rsidRPr="00F077AD">
        <w:rPr>
          <w:snapToGrid w:val="0"/>
        </w:rPr>
        <w:t>or home</w:t>
      </w:r>
      <w:r w:rsidR="007523B2">
        <w:rPr>
          <w:snapToGrid w:val="0"/>
        </w:rPr>
        <w:t>/community</w:t>
      </w:r>
      <w:r w:rsidR="00605BA0" w:rsidRPr="00F077AD">
        <w:rPr>
          <w:snapToGrid w:val="0"/>
        </w:rPr>
        <w:t xml:space="preserve"> care setting, each jurisdiction’s bilateral implementation plan </w:t>
      </w:r>
      <w:r w:rsidRPr="00F077AD">
        <w:rPr>
          <w:snapToGrid w:val="0"/>
        </w:rPr>
        <w:t>must</w:t>
      </w:r>
      <w:r w:rsidR="00605BA0" w:rsidRPr="00F077AD">
        <w:rPr>
          <w:snapToGrid w:val="0"/>
        </w:rPr>
        <w:t xml:space="preserve"> include the expected number of transition care places </w:t>
      </w:r>
      <w:r w:rsidR="00EE15C1">
        <w:rPr>
          <w:snapToGrid w:val="0"/>
        </w:rPr>
        <w:t>to</w:t>
      </w:r>
      <w:r w:rsidR="00605BA0" w:rsidRPr="00F077AD">
        <w:rPr>
          <w:snapToGrid w:val="0"/>
        </w:rPr>
        <w:t xml:space="preserve"> be delivered in a home</w:t>
      </w:r>
      <w:r w:rsidR="00E0123E">
        <w:rPr>
          <w:snapToGrid w:val="0"/>
        </w:rPr>
        <w:t>/community</w:t>
      </w:r>
      <w:r w:rsidR="00605BA0" w:rsidRPr="00F077AD">
        <w:rPr>
          <w:snapToGrid w:val="0"/>
        </w:rPr>
        <w:t xml:space="preserve"> care setting, in a residential </w:t>
      </w:r>
      <w:r w:rsidR="00E0123E">
        <w:rPr>
          <w:snapToGrid w:val="0"/>
        </w:rPr>
        <w:t xml:space="preserve">care </w:t>
      </w:r>
      <w:r w:rsidR="00605BA0" w:rsidRPr="00F077AD">
        <w:rPr>
          <w:snapToGrid w:val="0"/>
        </w:rPr>
        <w:t xml:space="preserve">setting, or flexibly in either setting (see also section </w:t>
      </w:r>
      <w:r w:rsidR="00605BA0" w:rsidRPr="00F077AD">
        <w:rPr>
          <w:i/>
          <w:snapToGrid w:val="0"/>
        </w:rPr>
        <w:t>2.3.2 Flexible care setting</w:t>
      </w:r>
      <w:r w:rsidR="00605BA0" w:rsidRPr="00F077AD">
        <w:rPr>
          <w:snapToGrid w:val="0"/>
        </w:rPr>
        <w:t>).</w:t>
      </w:r>
    </w:p>
    <w:p w14:paraId="21E7D749" w14:textId="77777777" w:rsidR="005313EF" w:rsidRDefault="005313EF">
      <w:pPr>
        <w:spacing w:before="0" w:after="200" w:line="276" w:lineRule="auto"/>
      </w:pPr>
      <w:r>
        <w:br w:type="page"/>
      </w:r>
    </w:p>
    <w:p w14:paraId="0A8A745F" w14:textId="787454D8" w:rsidR="00605BA0" w:rsidRPr="00322698" w:rsidRDefault="00605BA0" w:rsidP="00D81DB7">
      <w:r w:rsidRPr="00322698">
        <w:lastRenderedPageBreak/>
        <w:t xml:space="preserve">Transition care places are allocated to the approved providers in respect of individual ‘transition care </w:t>
      </w:r>
      <w:proofErr w:type="gramStart"/>
      <w:r w:rsidR="003A6D92" w:rsidRPr="00322698">
        <w:t>services</w:t>
      </w:r>
      <w:r w:rsidR="00856328">
        <w:t>’</w:t>
      </w:r>
      <w:proofErr w:type="gramEnd"/>
      <w:r w:rsidR="00A37C89">
        <w:t xml:space="preserve"> and</w:t>
      </w:r>
      <w:r w:rsidRPr="00322698">
        <w:t xml:space="preserve"> </w:t>
      </w:r>
      <w:r w:rsidR="00A5618B">
        <w:t>t</w:t>
      </w:r>
      <w:r w:rsidRPr="00322698">
        <w:t>ransition care services cannot exceed the number of transition care places allocated to them. For example, if a service has been allocated ten transition care places, it may only claim flexible care subsidy for up to ten care reci</w:t>
      </w:r>
      <w:r w:rsidR="00B714E6">
        <w:t>pients on any given day.</w:t>
      </w:r>
    </w:p>
    <w:p w14:paraId="7C9F1362" w14:textId="256CCD49" w:rsidR="00605BA0" w:rsidRDefault="00605BA0" w:rsidP="00D81DB7">
      <w:r w:rsidRPr="00322698">
        <w:t>Where demand for transition care in a particular area of a state or territory is temporarily greater than the number of places available in that area, a service from another area in the same state or territory may provide care into that area, through a brokerage arrangement.</w:t>
      </w:r>
    </w:p>
    <w:p w14:paraId="30AFA95E" w14:textId="4CF0C240" w:rsidR="00CD16C0" w:rsidRDefault="009D422E" w:rsidP="00D81DB7">
      <w:r>
        <w:t xml:space="preserve">If, however, </w:t>
      </w:r>
      <w:r w:rsidR="00605BA0" w:rsidRPr="00322698">
        <w:t xml:space="preserve">there are ongoing </w:t>
      </w:r>
      <w:r w:rsidR="00D37412">
        <w:t xml:space="preserve">discrepancies between supply </w:t>
      </w:r>
      <w:r w:rsidR="00605BA0" w:rsidRPr="00322698">
        <w:t xml:space="preserve">and demand for transition care places in various areas of a state or territory, an approved provider </w:t>
      </w:r>
      <w:r w:rsidR="00EE15C1">
        <w:t>can</w:t>
      </w:r>
      <w:r w:rsidR="00605BA0" w:rsidRPr="00322698">
        <w:t xml:space="preserve"> apply to the Department to move transition care places permanently from one service to another. This move requires a variation to the conditions of allocation</w:t>
      </w:r>
      <w:r w:rsidR="00CD16C0">
        <w:t xml:space="preserve"> </w:t>
      </w:r>
      <w:r w:rsidR="00605BA0" w:rsidRPr="00322698">
        <w:t xml:space="preserve">(see also </w:t>
      </w:r>
      <w:r w:rsidR="00781B94">
        <w:fldChar w:fldCharType="begin"/>
      </w:r>
      <w:r w:rsidR="00781B94">
        <w:instrText xml:space="preserve"> REF _Ref77243036 \w \h </w:instrText>
      </w:r>
      <w:r w:rsidR="00781B94">
        <w:fldChar w:fldCharType="separate"/>
      </w:r>
      <w:r w:rsidR="00365F01">
        <w:t>6.3.1</w:t>
      </w:r>
      <w:r w:rsidR="00781B94">
        <w:fldChar w:fldCharType="end"/>
      </w:r>
      <w:r w:rsidR="00EE15C1">
        <w:t xml:space="preserve"> </w:t>
      </w:r>
      <w:r w:rsidR="00605BA0" w:rsidRPr="00322698">
        <w:rPr>
          <w:i/>
        </w:rPr>
        <w:t>Conditions of allocation of flexible care places for transition care</w:t>
      </w:r>
      <w:r w:rsidR="00605BA0" w:rsidRPr="00322698">
        <w:t>).</w:t>
      </w:r>
    </w:p>
    <w:p w14:paraId="5D6ABFD8" w14:textId="2C29D99F" w:rsidR="00CD16C0" w:rsidRPr="00322698" w:rsidRDefault="00CD16C0" w:rsidP="00D81DB7">
      <w:r>
        <w:t>To apply for a variation to conditions of allocation for TCP places (as per section 17 of</w:t>
      </w:r>
      <w:r w:rsidR="00287855">
        <w:t xml:space="preserve"> the Act</w:t>
      </w:r>
      <w:r w:rsidRPr="002843DB">
        <w:rPr>
          <w:i/>
        </w:rPr>
        <w:t>),</w:t>
      </w:r>
      <w:r>
        <w:t xml:space="preserve"> an approved provider </w:t>
      </w:r>
      <w:r w:rsidR="00A37C89">
        <w:t>must</w:t>
      </w:r>
      <w:r>
        <w:t xml:space="preserve"> complete the application form </w:t>
      </w:r>
      <w:r w:rsidR="00727AD0">
        <w:t xml:space="preserve">available at </w:t>
      </w:r>
      <w:hyperlink r:id="rId19" w:history="1">
        <w:r w:rsidRPr="00CD16C0">
          <w:rPr>
            <w:rStyle w:val="Hyperlink"/>
            <w:sz w:val="20"/>
            <w:szCs w:val="20"/>
          </w:rPr>
          <w:t>www.health.gov.au/resources/publications/application-to-vary-conditions-of-allocation</w:t>
        </w:r>
      </w:hyperlink>
      <w:r>
        <w:t xml:space="preserve"> and submit</w:t>
      </w:r>
      <w:r w:rsidR="008C7AE8">
        <w:t xml:space="preserve"> it</w:t>
      </w:r>
      <w:r>
        <w:t xml:space="preserve"> via email to </w:t>
      </w:r>
      <w:r w:rsidR="008C7AE8">
        <w:t>the Department’s</w:t>
      </w:r>
      <w:r>
        <w:t xml:space="preserve"> respective </w:t>
      </w:r>
      <w:r w:rsidR="00EE15C1">
        <w:t xml:space="preserve">state or territory </w:t>
      </w:r>
      <w:r>
        <w:t>office.</w:t>
      </w:r>
    </w:p>
    <w:p w14:paraId="090C5629" w14:textId="5C8E61DC" w:rsidR="0057617E" w:rsidRDefault="00911EA7" w:rsidP="00D81DB7">
      <w:r w:rsidRPr="00FB050A">
        <w:t xml:space="preserve">Approved providers may assign day-to-day management responsibility to a local service outlet, </w:t>
      </w:r>
      <w:r w:rsidR="00273C96">
        <w:t xml:space="preserve">known as </w:t>
      </w:r>
      <w:r w:rsidRPr="00FB050A">
        <w:t xml:space="preserve">the service provider. </w:t>
      </w:r>
      <w:r w:rsidR="00D37412" w:rsidRPr="00FB050A">
        <w:t>S</w:t>
      </w:r>
      <w:r w:rsidR="00605BA0" w:rsidRPr="00FB050A">
        <w:t>ervice</w:t>
      </w:r>
      <w:r w:rsidR="00AD59C1" w:rsidRPr="00FB050A">
        <w:t xml:space="preserve"> provider</w:t>
      </w:r>
      <w:r w:rsidR="00605BA0" w:rsidRPr="00FB050A">
        <w:t>s manage the delivery of transition care on behalf of the approved provider</w:t>
      </w:r>
      <w:r w:rsidRPr="00FB050A">
        <w:t>.</w:t>
      </w:r>
      <w:r w:rsidR="00545093">
        <w:t xml:space="preserve"> Service providers may </w:t>
      </w:r>
      <w:r w:rsidR="004D0E73">
        <w:t>enter</w:t>
      </w:r>
      <w:r w:rsidR="0057617E">
        <w:t xml:space="preserve"> </w:t>
      </w:r>
      <w:r w:rsidR="00545093">
        <w:t>sub-contract</w:t>
      </w:r>
      <w:r w:rsidR="0057617E">
        <w:t xml:space="preserve">ing arrangements with other entities, to deliver required transition </w:t>
      </w:r>
      <w:r w:rsidR="00545093">
        <w:t xml:space="preserve">care and </w:t>
      </w:r>
      <w:r w:rsidR="0057617E">
        <w:t>services.</w:t>
      </w:r>
    </w:p>
    <w:p w14:paraId="090CB88C" w14:textId="072E5B5E" w:rsidR="00605BA0" w:rsidRPr="00322698" w:rsidRDefault="00F60084" w:rsidP="00D81DB7">
      <w:r w:rsidRPr="00FB050A">
        <w:t xml:space="preserve">Where service providers </w:t>
      </w:r>
      <w:r w:rsidR="00273C96">
        <w:t>are</w:t>
      </w:r>
      <w:r w:rsidRPr="00FB050A">
        <w:t xml:space="preserve"> assigned responsibility for</w:t>
      </w:r>
      <w:r w:rsidR="00120C54">
        <w:t xml:space="preserve"> the</w:t>
      </w:r>
      <w:r w:rsidRPr="00FB050A">
        <w:t xml:space="preserve"> deliver</w:t>
      </w:r>
      <w:r w:rsidR="00273C96">
        <w:t>y of</w:t>
      </w:r>
      <w:r w:rsidRPr="00FB050A">
        <w:t xml:space="preserve"> transition care,</w:t>
      </w:r>
      <w:r w:rsidR="00E9245E" w:rsidRPr="00FB050A">
        <w:t xml:space="preserve"> approved providers </w:t>
      </w:r>
      <w:r w:rsidR="002F692E" w:rsidRPr="00FB050A">
        <w:t xml:space="preserve">remain accountable for ensuring </w:t>
      </w:r>
      <w:r w:rsidR="00E9245E" w:rsidRPr="00FB050A">
        <w:t xml:space="preserve">all </w:t>
      </w:r>
      <w:r w:rsidR="002F692E" w:rsidRPr="00FB050A">
        <w:t>requirements</w:t>
      </w:r>
      <w:r w:rsidR="00E9245E" w:rsidRPr="00FB050A">
        <w:t xml:space="preserve"> in the Act and the Principles</w:t>
      </w:r>
      <w:r w:rsidR="002F692E" w:rsidRPr="00FB050A">
        <w:t xml:space="preserve"> are met</w:t>
      </w:r>
      <w:r w:rsidR="00E9245E" w:rsidRPr="00FB050A">
        <w:t xml:space="preserve"> (Further information on legislative requirements is in </w:t>
      </w:r>
      <w:hyperlink w:anchor="_RESPONSIBILITIES_OF_APPROVED" w:history="1">
        <w:r w:rsidR="00E9245E" w:rsidRPr="00781B94">
          <w:rPr>
            <w:rStyle w:val="Hyperlink"/>
            <w:sz w:val="20"/>
          </w:rPr>
          <w:t>Chapter</w:t>
        </w:r>
        <w:r w:rsidR="00E9245E" w:rsidRPr="00781B94">
          <w:rPr>
            <w:rStyle w:val="Hyperlink"/>
            <w:i/>
            <w:sz w:val="20"/>
          </w:rPr>
          <w:t xml:space="preserve"> 6 Responsibilities of Approved Providers of Transition Care</w:t>
        </w:r>
      </w:hyperlink>
      <w:r w:rsidR="00E9245E" w:rsidRPr="00FB050A">
        <w:t>)</w:t>
      </w:r>
      <w:r w:rsidR="002F692E" w:rsidRPr="00FB050A">
        <w:t>.</w:t>
      </w:r>
      <w:bookmarkStart w:id="54" w:name="_Toc395537163"/>
    </w:p>
    <w:p w14:paraId="481085BC" w14:textId="74298BEA" w:rsidR="00605BA0" w:rsidRPr="00BA1451" w:rsidRDefault="00605BA0" w:rsidP="00605BA0">
      <w:pPr>
        <w:pStyle w:val="Heading3withoutnumbering"/>
      </w:pPr>
      <w:bookmarkStart w:id="55" w:name="_Toc422732521"/>
      <w:bookmarkStart w:id="56" w:name="_Toc422752861"/>
      <w:bookmarkStart w:id="57" w:name="_Toc197076862"/>
      <w:r w:rsidRPr="00BA1451">
        <w:t>Flexible care setting</w:t>
      </w:r>
      <w:bookmarkEnd w:id="54"/>
      <w:bookmarkEnd w:id="55"/>
      <w:bookmarkEnd w:id="56"/>
      <w:bookmarkEnd w:id="57"/>
    </w:p>
    <w:p w14:paraId="3CE763F3" w14:textId="6172C783" w:rsidR="00605BA0" w:rsidRDefault="00605BA0" w:rsidP="00781B94">
      <w:r w:rsidRPr="00D0331A">
        <w:t xml:space="preserve">The flexible care places used for transition care are legislated by the </w:t>
      </w:r>
      <w:r w:rsidR="00BB0515" w:rsidRPr="00D0331A">
        <w:t>Act</w:t>
      </w:r>
      <w:r w:rsidRPr="00D0331A">
        <w:t xml:space="preserve">, and the </w:t>
      </w:r>
      <w:proofErr w:type="gramStart"/>
      <w:r w:rsidRPr="00D0331A">
        <w:t>Principles</w:t>
      </w:r>
      <w:proofErr w:type="gramEnd"/>
      <w:r w:rsidR="00193C70" w:rsidRPr="00D0331A">
        <w:t>.</w:t>
      </w:r>
      <w:r w:rsidRPr="00D0331A">
        <w:t xml:space="preserve"> Under section 49-3 of the </w:t>
      </w:r>
      <w:r w:rsidR="00BB0515" w:rsidRPr="00D0331A">
        <w:t>Act</w:t>
      </w:r>
      <w:r w:rsidRPr="00D0331A">
        <w:t>, flexible care is defined as</w:t>
      </w:r>
      <w:r w:rsidRPr="00322698">
        <w:t xml:space="preserve"> “</w:t>
      </w:r>
      <w:r w:rsidRPr="00322698">
        <w:rPr>
          <w:i/>
        </w:rPr>
        <w:t>care provided in a residential or community setting through an aged care service that addresses the needs of care recipients in alternative ways to the care provided through residential care services and home care services”</w:t>
      </w:r>
      <w:r w:rsidRPr="00322698">
        <w:t>.</w:t>
      </w:r>
    </w:p>
    <w:p w14:paraId="13F23546" w14:textId="1D0BB82E" w:rsidR="00911EA7" w:rsidRDefault="00911EA7" w:rsidP="00D81DB7">
      <w:r>
        <w:t xml:space="preserve">Section 50-2 of the Act permits the </w:t>
      </w:r>
      <w:r w:rsidRPr="0081617C">
        <w:rPr>
          <w:i/>
        </w:rPr>
        <w:t>Subsidy Principles 2014</w:t>
      </w:r>
      <w:r>
        <w:t xml:space="preserve"> to specify the types of care for which flexible care subsidies can be paid. For this purpose, section 103 of the </w:t>
      </w:r>
      <w:r w:rsidRPr="0081617C">
        <w:rPr>
          <w:i/>
        </w:rPr>
        <w:t>Subsidy Principles 2014</w:t>
      </w:r>
      <w:r>
        <w:t xml:space="preserve"> specifies that </w:t>
      </w:r>
      <w:r w:rsidRPr="00D0331A">
        <w:t>flexible care includes transition care.</w:t>
      </w:r>
    </w:p>
    <w:p w14:paraId="4DF289A8" w14:textId="31941834" w:rsidR="00605BA0" w:rsidRPr="00322698" w:rsidRDefault="00605BA0" w:rsidP="00781B94">
      <w:pPr>
        <w:rPr>
          <w:snapToGrid w:val="0"/>
        </w:rPr>
      </w:pPr>
      <w:r w:rsidRPr="00322698">
        <w:rPr>
          <w:snapToGrid w:val="0"/>
        </w:rPr>
        <w:t xml:space="preserve">Transition care places may be delivered flexibly in either a residential or a community setting. State and territory governments have the flexibility to determine the mix of care delivery settings in line with local service </w:t>
      </w:r>
      <w:r w:rsidR="00D96A12">
        <w:rPr>
          <w:snapToGrid w:val="0"/>
        </w:rPr>
        <w:t xml:space="preserve">capacity (including spare residential setting capacity) </w:t>
      </w:r>
      <w:r w:rsidRPr="00322698">
        <w:rPr>
          <w:snapToGrid w:val="0"/>
        </w:rPr>
        <w:t>and individual care recipient needs.</w:t>
      </w:r>
    </w:p>
    <w:p w14:paraId="6C97D9F4" w14:textId="12FDE659" w:rsidR="00605BA0" w:rsidRPr="00DB4842" w:rsidRDefault="00605BA0" w:rsidP="00D81DB7">
      <w:r w:rsidRPr="00322698">
        <w:rPr>
          <w:snapToGrid w:val="0"/>
        </w:rPr>
        <w:t>Recipients can move from one setting to another within the same transition care episode, e.g. from residential</w:t>
      </w:r>
      <w:r w:rsidR="008B3511">
        <w:rPr>
          <w:snapToGrid w:val="0"/>
        </w:rPr>
        <w:t>-</w:t>
      </w:r>
      <w:r w:rsidRPr="00322698">
        <w:rPr>
          <w:snapToGrid w:val="0"/>
        </w:rPr>
        <w:t>based to home</w:t>
      </w:r>
      <w:r w:rsidR="009434F4">
        <w:rPr>
          <w:snapToGrid w:val="0"/>
        </w:rPr>
        <w:t>/community</w:t>
      </w:r>
      <w:r w:rsidRPr="00322698">
        <w:rPr>
          <w:snapToGrid w:val="0"/>
        </w:rPr>
        <w:t xml:space="preserve"> </w:t>
      </w:r>
      <w:r w:rsidR="004D0E73" w:rsidRPr="00322698">
        <w:rPr>
          <w:snapToGrid w:val="0"/>
        </w:rPr>
        <w:t>care-based</w:t>
      </w:r>
      <w:r w:rsidRPr="00322698">
        <w:rPr>
          <w:snapToGrid w:val="0"/>
        </w:rPr>
        <w:t xml:space="preserve"> transition care. To enable such moves, </w:t>
      </w:r>
      <w:r w:rsidRPr="00322698">
        <w:t>a service may change the mix of places delivered in a residential or home care</w:t>
      </w:r>
      <w:r w:rsidR="00D37412">
        <w:t xml:space="preserve"> setting</w:t>
      </w:r>
      <w:r w:rsidRPr="00322698">
        <w:t xml:space="preserve"> </w:t>
      </w:r>
      <w:proofErr w:type="gramStart"/>
      <w:r w:rsidRPr="00322698">
        <w:t>on a da</w:t>
      </w:r>
      <w:r w:rsidR="00D37412">
        <w:t>ily basis</w:t>
      </w:r>
      <w:proofErr w:type="gramEnd"/>
      <w:r w:rsidR="00D37412">
        <w:t xml:space="preserve">, </w:t>
      </w:r>
      <w:r w:rsidR="00273C96">
        <w:t xml:space="preserve">or </w:t>
      </w:r>
      <w:r w:rsidR="00D37412">
        <w:t>as</w:t>
      </w:r>
      <w:r w:rsidRPr="00322698">
        <w:t xml:space="preserve"> required, within the limits of the number of places allocated. Such changes must adhere to any jurisdictional protocols set by the approved provider</w:t>
      </w:r>
      <w:r w:rsidR="005160E4">
        <w:t xml:space="preserve"> </w:t>
      </w:r>
      <w:r w:rsidRPr="00322698">
        <w:t xml:space="preserve">(see also section </w:t>
      </w:r>
      <w:r w:rsidRPr="00322698">
        <w:rPr>
          <w:i/>
        </w:rPr>
        <w:t>3.5.5 Movement between care settings and services</w:t>
      </w:r>
      <w:r w:rsidRPr="00322698">
        <w:t>).</w:t>
      </w:r>
    </w:p>
    <w:p w14:paraId="1891635F" w14:textId="738AEBDB" w:rsidR="00605BA0" w:rsidRPr="00402C97" w:rsidRDefault="00605BA0" w:rsidP="00605BA0">
      <w:pPr>
        <w:pStyle w:val="Heading3withoutnumbering"/>
        <w:rPr>
          <w:rFonts w:ascii="Times New Roman" w:hAnsi="Times New Roman"/>
          <w:snapToGrid w:val="0"/>
        </w:rPr>
      </w:pPr>
      <w:bookmarkStart w:id="58" w:name="_Toc395537164"/>
      <w:bookmarkStart w:id="59" w:name="_Toc422732522"/>
      <w:bookmarkStart w:id="60" w:name="_Toc422752862"/>
      <w:bookmarkStart w:id="61" w:name="_Toc197076863"/>
      <w:bookmarkStart w:id="62" w:name="_Toc245536159"/>
      <w:r w:rsidRPr="00BA1451">
        <w:rPr>
          <w:snapToGrid w:val="0"/>
        </w:rPr>
        <w:t xml:space="preserve">How to participate in </w:t>
      </w:r>
      <w:r w:rsidR="00800190">
        <w:rPr>
          <w:snapToGrid w:val="0"/>
        </w:rPr>
        <w:t xml:space="preserve">delivering </w:t>
      </w:r>
      <w:r w:rsidRPr="00BA1451">
        <w:rPr>
          <w:snapToGrid w:val="0"/>
        </w:rPr>
        <w:t xml:space="preserve">transition care </w:t>
      </w:r>
      <w:r w:rsidRPr="00402C97">
        <w:rPr>
          <w:snapToGrid w:val="0"/>
        </w:rPr>
        <w:t>service</w:t>
      </w:r>
      <w:r w:rsidR="00800190" w:rsidRPr="00402C97">
        <w:rPr>
          <w:snapToGrid w:val="0"/>
        </w:rPr>
        <w:t>s</w:t>
      </w:r>
      <w:bookmarkEnd w:id="58"/>
      <w:bookmarkEnd w:id="59"/>
      <w:bookmarkEnd w:id="60"/>
      <w:bookmarkEnd w:id="61"/>
    </w:p>
    <w:p w14:paraId="1C9E0590" w14:textId="3C845C79" w:rsidR="00605BA0" w:rsidRPr="00322698" w:rsidRDefault="00605BA0" w:rsidP="00781B94">
      <w:r w:rsidRPr="00322698">
        <w:t xml:space="preserve">Organisations seeking to participate in the provision of transition care </w:t>
      </w:r>
      <w:r w:rsidR="004D0E73">
        <w:t>must</w:t>
      </w:r>
      <w:r w:rsidR="004D0E73" w:rsidRPr="00322698">
        <w:t xml:space="preserve"> contact</w:t>
      </w:r>
      <w:r w:rsidRPr="00322698">
        <w:t xml:space="preserve"> the</w:t>
      </w:r>
      <w:r w:rsidR="00FB5473">
        <w:t xml:space="preserve"> relevant</w:t>
      </w:r>
      <w:r w:rsidRPr="00322698">
        <w:t xml:space="preserve"> state or ter</w:t>
      </w:r>
      <w:r w:rsidR="00FB5473">
        <w:t xml:space="preserve">ritory </w:t>
      </w:r>
      <w:r w:rsidR="00120C54">
        <w:t xml:space="preserve">government </w:t>
      </w:r>
      <w:r w:rsidR="007A7997">
        <w:t>d</w:t>
      </w:r>
      <w:r w:rsidR="00273C96">
        <w:t>epartment</w:t>
      </w:r>
      <w:r w:rsidR="0061293A">
        <w:t>.</w:t>
      </w:r>
    </w:p>
    <w:p w14:paraId="754814D0" w14:textId="282890DD" w:rsidR="00605BA0" w:rsidRPr="00BA1451" w:rsidRDefault="00E01409" w:rsidP="00605BA0">
      <w:pPr>
        <w:pStyle w:val="Heading2"/>
      </w:pPr>
      <w:bookmarkStart w:id="63" w:name="_Toc395537165"/>
      <w:bookmarkStart w:id="64" w:name="_Toc422732523"/>
      <w:bookmarkStart w:id="65" w:name="_Toc422752863"/>
      <w:bookmarkStart w:id="66" w:name="_Toc197076864"/>
      <w:r>
        <w:t>Funding and management of the Transition C</w:t>
      </w:r>
      <w:r w:rsidR="00605BA0" w:rsidRPr="00BA1451">
        <w:t xml:space="preserve">are </w:t>
      </w:r>
      <w:r w:rsidR="00D15D8E">
        <w:t>P</w:t>
      </w:r>
      <w:r w:rsidR="00605BA0" w:rsidRPr="00BA1451">
        <w:t>rogram</w:t>
      </w:r>
      <w:bookmarkEnd w:id="62"/>
      <w:r w:rsidR="00605BA0" w:rsidRPr="00BA1451">
        <w:t>me</w:t>
      </w:r>
      <w:bookmarkEnd w:id="63"/>
      <w:bookmarkEnd w:id="64"/>
      <w:bookmarkEnd w:id="65"/>
      <w:bookmarkEnd w:id="66"/>
    </w:p>
    <w:p w14:paraId="695375E8" w14:textId="77777777" w:rsidR="00605BA0" w:rsidRPr="00322698" w:rsidRDefault="00605BA0" w:rsidP="00D81DB7">
      <w:pPr>
        <w:rPr>
          <w:snapToGrid w:val="0"/>
        </w:rPr>
      </w:pPr>
      <w:r w:rsidRPr="00322698">
        <w:rPr>
          <w:snapToGrid w:val="0"/>
        </w:rPr>
        <w:t>The Australian Government and states and territories jointly fund the programme.</w:t>
      </w:r>
    </w:p>
    <w:p w14:paraId="41DF3958" w14:textId="5F63C105" w:rsidR="00CE2AD6" w:rsidRDefault="00605BA0" w:rsidP="00D81DB7">
      <w:pPr>
        <w:rPr>
          <w:bCs/>
          <w:i/>
          <w:iCs/>
          <w:snapToGrid w:val="0"/>
        </w:rPr>
      </w:pPr>
      <w:r w:rsidRPr="00322698">
        <w:t>Australian Government funding for transition care is provided in the form of</w:t>
      </w:r>
      <w:r w:rsidR="00E6310C">
        <w:t xml:space="preserve"> a</w:t>
      </w:r>
      <w:r w:rsidRPr="00322698">
        <w:t xml:space="preserve"> flexible care subsidy under the </w:t>
      </w:r>
      <w:r w:rsidR="00BB0515">
        <w:t>Act</w:t>
      </w:r>
      <w:r w:rsidRPr="00322698">
        <w:t xml:space="preserve">. </w:t>
      </w:r>
      <w:r w:rsidR="00CE2AD6" w:rsidRPr="00593AF8">
        <w:t>The amount of flexible care subsidy payable in respect of a</w:t>
      </w:r>
      <w:r w:rsidR="00FB5473">
        <w:t xml:space="preserve"> care recipient per</w:t>
      </w:r>
      <w:r w:rsidR="00CE2AD6" w:rsidRPr="00593AF8">
        <w:t xml:space="preserve"> day is determined by the </w:t>
      </w:r>
      <w:r w:rsidR="007C5EBF">
        <w:t>M</w:t>
      </w:r>
      <w:r w:rsidR="00CE2AD6" w:rsidRPr="00593AF8">
        <w:t>inister by</w:t>
      </w:r>
      <w:r w:rsidR="00CE2AD6">
        <w:t xml:space="preserve"> </w:t>
      </w:r>
      <w:r w:rsidR="00CE2AD6" w:rsidRPr="00593AF8">
        <w:t>legislative instrument, in accordance with</w:t>
      </w:r>
      <w:r w:rsidR="00CE2AD6">
        <w:rPr>
          <w:bCs/>
          <w:i/>
          <w:iCs/>
          <w:snapToGrid w:val="0"/>
        </w:rPr>
        <w:t xml:space="preserve"> </w:t>
      </w:r>
      <w:r w:rsidR="004A4438">
        <w:rPr>
          <w:bCs/>
          <w:iCs/>
          <w:snapToGrid w:val="0"/>
        </w:rPr>
        <w:t>paragraph</w:t>
      </w:r>
      <w:r w:rsidR="00CE2AD6" w:rsidRPr="008A2F6D">
        <w:rPr>
          <w:bCs/>
          <w:iCs/>
          <w:snapToGrid w:val="0"/>
        </w:rPr>
        <w:t xml:space="preserve"> 52</w:t>
      </w:r>
      <w:r w:rsidR="00CE2AD6" w:rsidRPr="008A2F6D">
        <w:rPr>
          <w:rFonts w:ascii="Cambria Math" w:hAnsi="Cambria Math" w:cs="Cambria Math"/>
          <w:bCs/>
          <w:iCs/>
          <w:snapToGrid w:val="0"/>
        </w:rPr>
        <w:t>‑</w:t>
      </w:r>
      <w:r w:rsidR="00CE2AD6" w:rsidRPr="008A2F6D">
        <w:rPr>
          <w:bCs/>
          <w:iCs/>
          <w:snapToGrid w:val="0"/>
        </w:rPr>
        <w:t>1(1)(a) of the</w:t>
      </w:r>
      <w:r w:rsidR="00CE2AD6">
        <w:rPr>
          <w:bCs/>
          <w:i/>
          <w:iCs/>
          <w:snapToGrid w:val="0"/>
        </w:rPr>
        <w:t xml:space="preserve"> </w:t>
      </w:r>
      <w:r w:rsidR="00BB0515">
        <w:rPr>
          <w:bCs/>
          <w:iCs/>
          <w:snapToGrid w:val="0"/>
        </w:rPr>
        <w:t>Act</w:t>
      </w:r>
      <w:r w:rsidR="00CE2AD6">
        <w:rPr>
          <w:bCs/>
          <w:i/>
          <w:iCs/>
          <w:snapToGrid w:val="0"/>
        </w:rPr>
        <w:t>.</w:t>
      </w:r>
    </w:p>
    <w:p w14:paraId="2BA7CCAC" w14:textId="2D53690E" w:rsidR="00605BA0" w:rsidRPr="00322698" w:rsidRDefault="00605BA0" w:rsidP="00F453A1">
      <w:pPr>
        <w:rPr>
          <w:snapToGrid w:val="0"/>
        </w:rPr>
      </w:pPr>
      <w:r w:rsidRPr="00322698">
        <w:t xml:space="preserve">From 1 August 2013, </w:t>
      </w:r>
      <w:r w:rsidRPr="00322698">
        <w:rPr>
          <w:snapToGrid w:val="0"/>
        </w:rPr>
        <w:t xml:space="preserve">approved providers also receive the dementia and veterans’ supplement equivalent amount, in addition to the basic subsidy amount. This additional funding is paid in recognition that service providers may provide care to veterans with an </w:t>
      </w:r>
      <w:r w:rsidRPr="00800190">
        <w:rPr>
          <w:snapToGrid w:val="0"/>
        </w:rPr>
        <w:t>accepted mental health condition and others with higher care needs associated with demen</w:t>
      </w:r>
      <w:r w:rsidRPr="00322698">
        <w:rPr>
          <w:snapToGrid w:val="0"/>
        </w:rPr>
        <w:t>tia.</w:t>
      </w:r>
    </w:p>
    <w:p w14:paraId="5F63A4F2" w14:textId="34E4FE26" w:rsidR="00605BA0" w:rsidRPr="00322698" w:rsidRDefault="00605BA0" w:rsidP="00F453A1">
      <w:r w:rsidRPr="00322698">
        <w:lastRenderedPageBreak/>
        <w:t>The state and territory funding contribution</w:t>
      </w:r>
      <w:r w:rsidR="00E6310C">
        <w:t>s</w:t>
      </w:r>
      <w:r w:rsidRPr="00322698">
        <w:t xml:space="preserve"> </w:t>
      </w:r>
      <w:r w:rsidR="004D0E73" w:rsidRPr="00322698">
        <w:t>are</w:t>
      </w:r>
      <w:r w:rsidRPr="00322698">
        <w:t xml:space="preserve"> </w:t>
      </w:r>
      <w:r w:rsidR="008B3511">
        <w:t xml:space="preserve">made </w:t>
      </w:r>
      <w:r w:rsidR="00273C96">
        <w:t>by</w:t>
      </w:r>
      <w:r w:rsidRPr="00322698">
        <w:t xml:space="preserve"> direct funding and in-kind contributions.</w:t>
      </w:r>
    </w:p>
    <w:p w14:paraId="0CBBB62D" w14:textId="0AC7C814" w:rsidR="00605BA0" w:rsidRPr="00322698" w:rsidRDefault="00605BA0" w:rsidP="00F453A1">
      <w:pPr>
        <w:rPr>
          <w:snapToGrid w:val="0"/>
        </w:rPr>
      </w:pPr>
      <w:r w:rsidRPr="00322698">
        <w:rPr>
          <w:snapToGrid w:val="0"/>
        </w:rPr>
        <w:t>Service providers may request fees from care recipients deemed able to contribute to the cost of their care (see also section</w:t>
      </w:r>
      <w:r w:rsidR="00EA382C">
        <w:rPr>
          <w:snapToGrid w:val="0"/>
        </w:rPr>
        <w:t>s</w:t>
      </w:r>
      <w:r w:rsidRPr="00322698">
        <w:rPr>
          <w:snapToGrid w:val="0"/>
        </w:rPr>
        <w:t xml:space="preserve"> </w:t>
      </w:r>
      <w:r w:rsidR="00B00C54" w:rsidRPr="008A2F6D">
        <w:rPr>
          <w:i/>
          <w:snapToGrid w:val="0"/>
        </w:rPr>
        <w:t>5</w:t>
      </w:r>
      <w:r w:rsidRPr="00322698">
        <w:rPr>
          <w:i/>
          <w:snapToGrid w:val="0"/>
        </w:rPr>
        <w:t xml:space="preserve">.6 Fees payable by care recipients </w:t>
      </w:r>
      <w:r w:rsidRPr="00322698">
        <w:rPr>
          <w:snapToGrid w:val="0"/>
        </w:rPr>
        <w:t xml:space="preserve">and </w:t>
      </w:r>
      <w:r w:rsidR="00B00C54">
        <w:rPr>
          <w:i/>
          <w:snapToGrid w:val="0"/>
        </w:rPr>
        <w:t>6</w:t>
      </w:r>
      <w:r w:rsidRPr="00322698">
        <w:rPr>
          <w:i/>
          <w:snapToGrid w:val="0"/>
        </w:rPr>
        <w:t xml:space="preserve">.2.5 </w:t>
      </w:r>
      <w:r w:rsidR="00261E28">
        <w:rPr>
          <w:i/>
          <w:snapToGrid w:val="0"/>
        </w:rPr>
        <w:t>Provider responsibilities</w:t>
      </w:r>
      <w:r w:rsidRPr="00322698">
        <w:rPr>
          <w:snapToGrid w:val="0"/>
        </w:rPr>
        <w:t>).</w:t>
      </w:r>
    </w:p>
    <w:p w14:paraId="1848A328" w14:textId="5A870FE5" w:rsidR="00CE2AD6" w:rsidRDefault="00605BA0" w:rsidP="00F453A1">
      <w:pPr>
        <w:rPr>
          <w:bCs/>
          <w:i/>
          <w:iCs/>
          <w:snapToGrid w:val="0"/>
        </w:rPr>
      </w:pPr>
      <w:r w:rsidRPr="00322698">
        <w:rPr>
          <w:snapToGrid w:val="0"/>
        </w:rPr>
        <w:t xml:space="preserve">The arrangements for the payment of Australian Government subsidy are detailed in Chapter 4 of the </w:t>
      </w:r>
      <w:r w:rsidRPr="00322698">
        <w:rPr>
          <w:bCs/>
          <w:i/>
          <w:iCs/>
          <w:snapToGrid w:val="0"/>
        </w:rPr>
        <w:t>Subsidy Principles 2014.</w:t>
      </w:r>
      <w:r w:rsidRPr="008A2F6D">
        <w:rPr>
          <w:bCs/>
          <w:iCs/>
          <w:snapToGrid w:val="0"/>
        </w:rPr>
        <w:t xml:space="preserve"> </w:t>
      </w:r>
      <w:r w:rsidRPr="00322698">
        <w:rPr>
          <w:bCs/>
          <w:iCs/>
          <w:snapToGrid w:val="0"/>
        </w:rPr>
        <w:t xml:space="preserve">To receive payment of flexible care subsidy for transition care, approved providers must enter into a payment agreement with the Australian Government as required under section 111 of the </w:t>
      </w:r>
      <w:r w:rsidRPr="00322698">
        <w:rPr>
          <w:bCs/>
          <w:i/>
          <w:iCs/>
          <w:snapToGrid w:val="0"/>
        </w:rPr>
        <w:t>Subsidy Principles 2014</w:t>
      </w:r>
      <w:r w:rsidR="00CE2AD6">
        <w:rPr>
          <w:bCs/>
          <w:i/>
          <w:iCs/>
          <w:snapToGrid w:val="0"/>
        </w:rPr>
        <w:t>.</w:t>
      </w:r>
    </w:p>
    <w:p w14:paraId="35A801F6" w14:textId="4FF6C37B" w:rsidR="00605BA0" w:rsidRPr="00322698" w:rsidRDefault="00605BA0" w:rsidP="00F453A1">
      <w:pPr>
        <w:rPr>
          <w:rFonts w:cs="Arial"/>
        </w:rPr>
      </w:pPr>
      <w:r w:rsidRPr="00322698">
        <w:rPr>
          <w:rFonts w:cs="Arial"/>
        </w:rPr>
        <w:t>Approved providers remain responsible for ensuring service providers comply with the provisions of the payment agreement.</w:t>
      </w:r>
    </w:p>
    <w:p w14:paraId="095FF856" w14:textId="7559D92E" w:rsidR="00605BA0" w:rsidRPr="00322698" w:rsidRDefault="00605BA0" w:rsidP="00F453A1">
      <w:pPr>
        <w:rPr>
          <w:rFonts w:cs="Arial"/>
        </w:rPr>
      </w:pPr>
      <w:r w:rsidRPr="00322698">
        <w:rPr>
          <w:rFonts w:cs="Arial"/>
        </w:rPr>
        <w:t>To meet their responsibilities, approved providers should enter into service agreements with service providers that mirror the relevant requirements of the payment agreement, including compliance with these guidelines.</w:t>
      </w:r>
    </w:p>
    <w:p w14:paraId="41C6B709" w14:textId="75182C6E" w:rsidR="00C73AE4" w:rsidRDefault="00605BA0" w:rsidP="00F453A1">
      <w:pPr>
        <w:rPr>
          <w:snapToGrid w:val="0"/>
        </w:rPr>
      </w:pPr>
      <w:r w:rsidRPr="00322698">
        <w:t xml:space="preserve">The payment agreement also requires the service provider </w:t>
      </w:r>
      <w:r w:rsidR="0076347F">
        <w:t>to</w:t>
      </w:r>
      <w:r w:rsidR="0076347F" w:rsidRPr="00322698">
        <w:t xml:space="preserve"> </w:t>
      </w:r>
      <w:r w:rsidR="003B2870" w:rsidRPr="00322698">
        <w:t>always offer and remain ready</w:t>
      </w:r>
      <w:r w:rsidRPr="00322698">
        <w:t xml:space="preserve"> to </w:t>
      </w:r>
      <w:r w:rsidR="0064270C" w:rsidRPr="00322698">
        <w:t>enter</w:t>
      </w:r>
      <w:r w:rsidR="0076347F">
        <w:t xml:space="preserve"> into</w:t>
      </w:r>
      <w:r w:rsidRPr="00322698">
        <w:t xml:space="preserve"> a recipient agreement with a care recipient. If a care recipient declines to enter into a recipient agreement, the provider must observe the requirements it would otherwise have under a recipient agreement. Section </w:t>
      </w:r>
      <w:r w:rsidR="00B00C54" w:rsidRPr="00DF12F7">
        <w:t>5</w:t>
      </w:r>
      <w:r w:rsidRPr="00DF12F7">
        <w:t>.2</w:t>
      </w:r>
      <w:r w:rsidRPr="00322698">
        <w:rPr>
          <w:i/>
        </w:rPr>
        <w:t xml:space="preserve"> </w:t>
      </w:r>
      <w:r w:rsidRPr="00322698">
        <w:t xml:space="preserve">of these guidelines details the requirements for </w:t>
      </w:r>
      <w:r w:rsidR="00B00C54">
        <w:t xml:space="preserve">recipient </w:t>
      </w:r>
      <w:r w:rsidRPr="00322698">
        <w:t xml:space="preserve">agreements. </w:t>
      </w:r>
      <w:r w:rsidRPr="00322698">
        <w:rPr>
          <w:snapToGrid w:val="0"/>
        </w:rPr>
        <w:t>The amount of care recipient fees charged</w:t>
      </w:r>
      <w:r w:rsidR="00FB5473">
        <w:rPr>
          <w:snapToGrid w:val="0"/>
        </w:rPr>
        <w:t>, if any,</w:t>
      </w:r>
      <w:r w:rsidRPr="00322698">
        <w:rPr>
          <w:snapToGrid w:val="0"/>
        </w:rPr>
        <w:t xml:space="preserve"> forms part of the agreement between the care recipient and the service provider (see also section </w:t>
      </w:r>
      <w:r w:rsidR="00B00C54" w:rsidRPr="008302F1">
        <w:rPr>
          <w:i/>
          <w:snapToGrid w:val="0"/>
        </w:rPr>
        <w:t>5</w:t>
      </w:r>
      <w:r w:rsidRPr="00322698">
        <w:rPr>
          <w:i/>
          <w:snapToGrid w:val="0"/>
        </w:rPr>
        <w:t>.6 Fees payable by care recipients</w:t>
      </w:r>
      <w:r w:rsidRPr="00322698">
        <w:rPr>
          <w:snapToGrid w:val="0"/>
        </w:rPr>
        <w:t>).</w:t>
      </w:r>
    </w:p>
    <w:p w14:paraId="7F68AC28" w14:textId="38AFE045" w:rsidR="00605BA0" w:rsidRPr="001032D4" w:rsidRDefault="00605BA0" w:rsidP="00605BA0">
      <w:pPr>
        <w:pStyle w:val="Heading2"/>
      </w:pPr>
      <w:bookmarkStart w:id="67" w:name="_Toc245536160"/>
      <w:bookmarkStart w:id="68" w:name="_Toc395537166"/>
      <w:bookmarkStart w:id="69" w:name="_Toc422732524"/>
      <w:bookmarkStart w:id="70" w:name="_Toc422752864"/>
      <w:bookmarkStart w:id="71" w:name="_Toc197076865"/>
      <w:r w:rsidRPr="001032D4">
        <w:t>Relevant Legislation</w:t>
      </w:r>
      <w:bookmarkEnd w:id="67"/>
      <w:bookmarkEnd w:id="68"/>
      <w:bookmarkEnd w:id="69"/>
      <w:bookmarkEnd w:id="70"/>
      <w:bookmarkEnd w:id="71"/>
    </w:p>
    <w:p w14:paraId="55BCD6C4" w14:textId="1E179C85" w:rsidR="006F1FBF" w:rsidRPr="006F1FBF" w:rsidRDefault="00605BA0" w:rsidP="00F453A1">
      <w:pPr>
        <w:rPr>
          <w:b/>
          <w:bCs/>
        </w:rPr>
      </w:pPr>
      <w:r w:rsidRPr="00473B81">
        <w:t xml:space="preserve">Transition care is legislated by the </w:t>
      </w:r>
      <w:r w:rsidR="00BB0515" w:rsidRPr="00473B81">
        <w:t>Act</w:t>
      </w:r>
      <w:r w:rsidRPr="00473B81">
        <w:t xml:space="preserve"> and</w:t>
      </w:r>
      <w:r w:rsidRPr="00473B81">
        <w:rPr>
          <w:bCs/>
          <w:i/>
          <w:iCs/>
        </w:rPr>
        <w:t xml:space="preserve"> </w:t>
      </w:r>
      <w:r w:rsidRPr="00473B81">
        <w:t>the Principles</w:t>
      </w:r>
      <w:r w:rsidR="006F1FBF" w:rsidRPr="00473B81">
        <w:rPr>
          <w:bCs/>
        </w:rPr>
        <w:t>, and the</w:t>
      </w:r>
      <w:r w:rsidR="003B6C96">
        <w:rPr>
          <w:bCs/>
        </w:rPr>
        <w:t xml:space="preserve"> </w:t>
      </w:r>
      <w:r w:rsidR="006F1FBF" w:rsidRPr="00473B81">
        <w:rPr>
          <w:bCs/>
        </w:rPr>
        <w:t>Quality and Safety Commission Act.</w:t>
      </w:r>
    </w:p>
    <w:p w14:paraId="6DA17D34" w14:textId="1D63FDF3" w:rsidR="00605BA0" w:rsidRPr="00322698" w:rsidRDefault="00605BA0" w:rsidP="00F453A1">
      <w:r w:rsidRPr="00322698">
        <w:rPr>
          <w:bCs/>
        </w:rPr>
        <w:t>Approved providers and service provider</w:t>
      </w:r>
      <w:r w:rsidRPr="00322698">
        <w:t>s are required to meet all the conditions specified by the legislation, the payment agreement and the recipient agreement, including accountability and quality of care.</w:t>
      </w:r>
    </w:p>
    <w:p w14:paraId="674D2BB3" w14:textId="2C4F9CBE" w:rsidR="00154D8B" w:rsidRDefault="00605BA0" w:rsidP="00F453A1">
      <w:r w:rsidRPr="00322698">
        <w:t xml:space="preserve">Under section 14-5 of the Act, allocations of aged care places can be made subject to conditions. It is a condition of each allocation of </w:t>
      </w:r>
      <w:r w:rsidR="00FC16D8">
        <w:t xml:space="preserve">a </w:t>
      </w:r>
      <w:r w:rsidRPr="00322698">
        <w:t>transition care place</w:t>
      </w:r>
      <w:r w:rsidR="003B6C96">
        <w:t>,</w:t>
      </w:r>
      <w:r w:rsidRPr="00322698">
        <w:t xml:space="preserve"> and a requirement under section 111 of the </w:t>
      </w:r>
      <w:r w:rsidRPr="00322698">
        <w:rPr>
          <w:i/>
        </w:rPr>
        <w:t>Subsidy Principles 2014</w:t>
      </w:r>
      <w:r w:rsidR="00473B81">
        <w:t>,</w:t>
      </w:r>
      <w:r w:rsidR="003B6C96">
        <w:t xml:space="preserve"> </w:t>
      </w:r>
      <w:r w:rsidR="002A6484">
        <w:t xml:space="preserve">that </w:t>
      </w:r>
      <w:r w:rsidRPr="00322698">
        <w:t>each approved provider enter into a payment agreement with the Australian Government.</w:t>
      </w:r>
    </w:p>
    <w:p w14:paraId="16925CF4" w14:textId="15AADEB3" w:rsidR="00605BA0" w:rsidRPr="00322698" w:rsidRDefault="00605BA0" w:rsidP="00F453A1">
      <w:r w:rsidRPr="00322698">
        <w:t xml:space="preserve">Throughout these guidelines, specific references are also made to other relevant sections of the </w:t>
      </w:r>
      <w:r w:rsidRPr="00322698">
        <w:rPr>
          <w:bCs/>
          <w:iCs/>
        </w:rPr>
        <w:t>Act</w:t>
      </w:r>
      <w:r w:rsidRPr="00322698">
        <w:rPr>
          <w:b/>
          <w:bCs/>
          <w:i/>
          <w:iCs/>
        </w:rPr>
        <w:t>,</w:t>
      </w:r>
      <w:r w:rsidRPr="00322698">
        <w:t xml:space="preserve"> the </w:t>
      </w:r>
      <w:r w:rsidRPr="00322698">
        <w:rPr>
          <w:bCs/>
          <w:iCs/>
        </w:rPr>
        <w:t>Principles</w:t>
      </w:r>
      <w:r w:rsidR="003B6C96">
        <w:rPr>
          <w:bCs/>
          <w:iCs/>
        </w:rPr>
        <w:t>, th</w:t>
      </w:r>
      <w:r w:rsidR="006F1FBF">
        <w:rPr>
          <w:bCs/>
          <w:iCs/>
        </w:rPr>
        <w:t>e Quality and Safety Commission Act</w:t>
      </w:r>
      <w:r w:rsidRPr="00322698">
        <w:rPr>
          <w:b/>
          <w:bCs/>
          <w:i/>
          <w:iCs/>
        </w:rPr>
        <w:t xml:space="preserve"> </w:t>
      </w:r>
      <w:r w:rsidRPr="00322698">
        <w:t>and the payment agreement</w:t>
      </w:r>
      <w:r w:rsidRPr="00322698">
        <w:rPr>
          <w:i/>
          <w:iCs/>
        </w:rPr>
        <w:t>.</w:t>
      </w:r>
      <w:r w:rsidRPr="008A2F6D">
        <w:rPr>
          <w:iCs/>
        </w:rPr>
        <w:t xml:space="preserve"> </w:t>
      </w:r>
      <w:r w:rsidRPr="00322698">
        <w:t xml:space="preserve">These references should be referred to when </w:t>
      </w:r>
      <w:r w:rsidR="00DF12F7">
        <w:t xml:space="preserve">more detailed </w:t>
      </w:r>
      <w:r w:rsidR="005B500B" w:rsidRPr="00322698">
        <w:t>clarification</w:t>
      </w:r>
      <w:r w:rsidR="00DF12F7">
        <w:t xml:space="preserve"> is required</w:t>
      </w:r>
      <w:r w:rsidRPr="00322698">
        <w:t>.</w:t>
      </w:r>
    </w:p>
    <w:p w14:paraId="0804B7D6" w14:textId="53327E84" w:rsidR="00605BA0" w:rsidRPr="00322698" w:rsidRDefault="00605BA0" w:rsidP="00F453A1">
      <w:r w:rsidRPr="00322698">
        <w:t xml:space="preserve">Copies of </w:t>
      </w:r>
      <w:r w:rsidR="006F1FBF">
        <w:t>both</w:t>
      </w:r>
      <w:r w:rsidRPr="00322698">
        <w:t xml:space="preserve"> Act</w:t>
      </w:r>
      <w:r w:rsidR="006F1FBF">
        <w:t>s</w:t>
      </w:r>
      <w:r w:rsidRPr="00322698">
        <w:t xml:space="preserve">, the </w:t>
      </w:r>
      <w:r w:rsidR="00AA02B8">
        <w:rPr>
          <w:bCs/>
          <w:iCs/>
        </w:rPr>
        <w:t>P</w:t>
      </w:r>
      <w:r w:rsidRPr="00322698">
        <w:rPr>
          <w:bCs/>
          <w:iCs/>
        </w:rPr>
        <w:t>rinciples</w:t>
      </w:r>
      <w:r w:rsidRPr="00322698">
        <w:rPr>
          <w:i/>
          <w:iCs/>
        </w:rPr>
        <w:t xml:space="preserve"> </w:t>
      </w:r>
      <w:r w:rsidRPr="00322698">
        <w:t>and any amendments to the legislation can be found on the</w:t>
      </w:r>
      <w:r w:rsidR="00BA07AE">
        <w:t xml:space="preserve"> </w:t>
      </w:r>
      <w:hyperlink r:id="rId20" w:history="1">
        <w:r w:rsidR="004C18F3" w:rsidRPr="004C18F3">
          <w:rPr>
            <w:rStyle w:val="Hyperlink"/>
            <w:sz w:val="20"/>
            <w:szCs w:val="20"/>
          </w:rPr>
          <w:t>Federal register of legislation website</w:t>
        </w:r>
      </w:hyperlink>
      <w:r w:rsidR="004C18F3">
        <w:t>.</w:t>
      </w:r>
    </w:p>
    <w:p w14:paraId="380D5340" w14:textId="7037C58E" w:rsidR="00605BA0" w:rsidRPr="00322698" w:rsidRDefault="00605BA0" w:rsidP="00F453A1">
      <w:r w:rsidRPr="00322698">
        <w:t>The table belo</w:t>
      </w:r>
      <w:r w:rsidR="00B714E6">
        <w:t>w sets out the parts of the Act</w:t>
      </w:r>
      <w:r w:rsidRPr="00322698">
        <w:t xml:space="preserve"> </w:t>
      </w:r>
      <w:r w:rsidR="0064270C" w:rsidRPr="00322698">
        <w:t>relevan</w:t>
      </w:r>
      <w:r w:rsidR="003B2870">
        <w:t>t</w:t>
      </w:r>
      <w:r w:rsidRPr="00322698">
        <w:t xml:space="preserve"> to the programme.</w:t>
      </w:r>
    </w:p>
    <w:tbl>
      <w:tblPr>
        <w:tblStyle w:val="DSSDatatablestyle"/>
        <w:tblW w:w="9639" w:type="dxa"/>
        <w:tblInd w:w="0" w:type="dxa"/>
        <w:tblLook w:val="04E0" w:firstRow="1" w:lastRow="1" w:firstColumn="1" w:lastColumn="0" w:noHBand="0" w:noVBand="1"/>
        <w:tblDescription w:val="This table is a list of the chapters and how eact part relates to the Act for each programme."/>
      </w:tblPr>
      <w:tblGrid>
        <w:gridCol w:w="3794"/>
        <w:gridCol w:w="5845"/>
      </w:tblGrid>
      <w:tr w:rsidR="00605BA0" w:rsidRPr="001032D4" w14:paraId="1C7AD046" w14:textId="77777777" w:rsidTr="00DF7B75">
        <w:trPr>
          <w:cnfStyle w:val="100000000000" w:firstRow="1" w:lastRow="0" w:firstColumn="0" w:lastColumn="0" w:oddVBand="0" w:evenVBand="0" w:oddHBand="0" w:evenHBand="0" w:firstRowFirstColumn="0" w:firstRowLastColumn="0" w:lastRowFirstColumn="0" w:lastRowLastColumn="0"/>
          <w:tblHeader/>
        </w:trPr>
        <w:tc>
          <w:tcPr>
            <w:tcW w:w="3794" w:type="dxa"/>
          </w:tcPr>
          <w:p w14:paraId="723F952A" w14:textId="77777777" w:rsidR="00605BA0" w:rsidRPr="001032D4" w:rsidRDefault="00605BA0" w:rsidP="00DF7B75">
            <w:pPr>
              <w:rPr>
                <w:sz w:val="22"/>
                <w:szCs w:val="22"/>
              </w:rPr>
            </w:pPr>
            <w:r w:rsidRPr="001032D4">
              <w:rPr>
                <w:sz w:val="22"/>
                <w:szCs w:val="22"/>
              </w:rPr>
              <w:t>Chapter</w:t>
            </w:r>
          </w:p>
        </w:tc>
        <w:tc>
          <w:tcPr>
            <w:tcW w:w="5845" w:type="dxa"/>
          </w:tcPr>
          <w:p w14:paraId="0C4A6113" w14:textId="77777777" w:rsidR="00605BA0" w:rsidRPr="001032D4" w:rsidRDefault="00605BA0" w:rsidP="00DF7B75">
            <w:pPr>
              <w:rPr>
                <w:sz w:val="22"/>
                <w:szCs w:val="22"/>
              </w:rPr>
            </w:pPr>
            <w:r w:rsidRPr="001032D4">
              <w:rPr>
                <w:sz w:val="22"/>
                <w:szCs w:val="22"/>
              </w:rPr>
              <w:t>Part</w:t>
            </w:r>
          </w:p>
        </w:tc>
      </w:tr>
      <w:tr w:rsidR="00605BA0" w:rsidRPr="001032D4" w14:paraId="6C99AB32" w14:textId="77777777" w:rsidTr="00DF7B75">
        <w:trPr>
          <w:trHeight w:val="454"/>
        </w:trPr>
        <w:tc>
          <w:tcPr>
            <w:tcW w:w="3794" w:type="dxa"/>
            <w:tcBorders>
              <w:bottom w:val="single" w:sz="4" w:space="0" w:color="auto"/>
            </w:tcBorders>
          </w:tcPr>
          <w:p w14:paraId="2E94D403" w14:textId="77777777" w:rsidR="00605BA0" w:rsidRPr="00322698" w:rsidRDefault="00605BA0" w:rsidP="00DF7B75">
            <w:pPr>
              <w:spacing w:before="0" w:after="60"/>
              <w:rPr>
                <w:szCs w:val="20"/>
              </w:rPr>
            </w:pPr>
            <w:r w:rsidRPr="00322698">
              <w:rPr>
                <w:szCs w:val="20"/>
              </w:rPr>
              <w:t>Chapter 2 – Preliminary matters relating to subsidies</w:t>
            </w:r>
          </w:p>
        </w:tc>
        <w:tc>
          <w:tcPr>
            <w:tcW w:w="5845" w:type="dxa"/>
            <w:tcBorders>
              <w:bottom w:val="single" w:sz="4" w:space="0" w:color="auto"/>
            </w:tcBorders>
          </w:tcPr>
          <w:p w14:paraId="1E9654FA" w14:textId="77777777" w:rsidR="00605BA0" w:rsidRPr="00322698" w:rsidRDefault="00605BA0" w:rsidP="00DF7B75">
            <w:pPr>
              <w:spacing w:before="0" w:after="60"/>
              <w:rPr>
                <w:szCs w:val="20"/>
              </w:rPr>
            </w:pPr>
            <w:r w:rsidRPr="00322698">
              <w:rPr>
                <w:szCs w:val="20"/>
              </w:rPr>
              <w:t>Part 2.1 – Approval of providers</w:t>
            </w:r>
          </w:p>
          <w:p w14:paraId="0846C527" w14:textId="77777777" w:rsidR="00605BA0" w:rsidRPr="00322698" w:rsidRDefault="00605BA0" w:rsidP="00DF7B75">
            <w:pPr>
              <w:spacing w:before="0" w:after="60"/>
              <w:rPr>
                <w:szCs w:val="20"/>
              </w:rPr>
            </w:pPr>
            <w:r w:rsidRPr="00322698">
              <w:rPr>
                <w:szCs w:val="20"/>
              </w:rPr>
              <w:t>Part 2.2 – Allocation of places</w:t>
            </w:r>
          </w:p>
          <w:p w14:paraId="1E0623D7" w14:textId="77777777" w:rsidR="00605BA0" w:rsidRPr="00322698" w:rsidRDefault="00605BA0" w:rsidP="00DF7B75">
            <w:pPr>
              <w:spacing w:before="0" w:after="60"/>
              <w:rPr>
                <w:szCs w:val="20"/>
              </w:rPr>
            </w:pPr>
            <w:r w:rsidRPr="00322698">
              <w:rPr>
                <w:szCs w:val="20"/>
              </w:rPr>
              <w:t>Part 2.3 – Approval of care recipients</w:t>
            </w:r>
          </w:p>
        </w:tc>
      </w:tr>
      <w:tr w:rsidR="00605BA0" w:rsidRPr="001032D4" w14:paraId="744BB7B2" w14:textId="77777777" w:rsidTr="00DF7B75">
        <w:trPr>
          <w:cnfStyle w:val="000000010000" w:firstRow="0" w:lastRow="0" w:firstColumn="0" w:lastColumn="0" w:oddVBand="0" w:evenVBand="0" w:oddHBand="0" w:evenHBand="1" w:firstRowFirstColumn="0" w:firstRowLastColumn="0" w:lastRowFirstColumn="0" w:lastRowLastColumn="0"/>
          <w:trHeight w:val="235"/>
        </w:trPr>
        <w:tc>
          <w:tcPr>
            <w:tcW w:w="3794" w:type="dxa"/>
            <w:tcBorders>
              <w:top w:val="single" w:sz="4" w:space="0" w:color="auto"/>
              <w:bottom w:val="single" w:sz="4" w:space="0" w:color="auto"/>
            </w:tcBorders>
          </w:tcPr>
          <w:p w14:paraId="5E4990ED" w14:textId="77777777" w:rsidR="00605BA0" w:rsidRPr="00322698" w:rsidRDefault="00605BA0" w:rsidP="00DF7B75">
            <w:pPr>
              <w:spacing w:before="0" w:after="60"/>
              <w:rPr>
                <w:szCs w:val="20"/>
              </w:rPr>
            </w:pPr>
            <w:r w:rsidRPr="00322698">
              <w:rPr>
                <w:szCs w:val="20"/>
              </w:rPr>
              <w:t>Chapter 3 – Subsidies</w:t>
            </w:r>
          </w:p>
        </w:tc>
        <w:tc>
          <w:tcPr>
            <w:tcW w:w="5845" w:type="dxa"/>
            <w:tcBorders>
              <w:top w:val="single" w:sz="4" w:space="0" w:color="auto"/>
              <w:bottom w:val="single" w:sz="4" w:space="0" w:color="auto"/>
            </w:tcBorders>
          </w:tcPr>
          <w:p w14:paraId="4749C65D" w14:textId="77777777" w:rsidR="00605BA0" w:rsidRPr="00322698" w:rsidRDefault="00605BA0" w:rsidP="00DF7B75">
            <w:pPr>
              <w:spacing w:before="0" w:after="60"/>
              <w:rPr>
                <w:szCs w:val="20"/>
              </w:rPr>
            </w:pPr>
            <w:r w:rsidRPr="00322698">
              <w:rPr>
                <w:szCs w:val="20"/>
              </w:rPr>
              <w:t>Part 3.3 – Flexible care subsidy</w:t>
            </w:r>
          </w:p>
        </w:tc>
      </w:tr>
      <w:tr w:rsidR="00605BA0" w:rsidRPr="001032D4" w14:paraId="743F8E64" w14:textId="77777777" w:rsidTr="00DF7B75">
        <w:trPr>
          <w:trHeight w:val="454"/>
        </w:trPr>
        <w:tc>
          <w:tcPr>
            <w:tcW w:w="3794" w:type="dxa"/>
            <w:tcBorders>
              <w:top w:val="single" w:sz="4" w:space="0" w:color="auto"/>
              <w:bottom w:val="single" w:sz="4" w:space="0" w:color="auto"/>
            </w:tcBorders>
          </w:tcPr>
          <w:p w14:paraId="17D326AC" w14:textId="77777777" w:rsidR="00605BA0" w:rsidRPr="00322698" w:rsidRDefault="00605BA0" w:rsidP="00DF7B75">
            <w:pPr>
              <w:spacing w:before="0" w:after="60"/>
              <w:rPr>
                <w:szCs w:val="20"/>
              </w:rPr>
            </w:pPr>
            <w:r w:rsidRPr="00322698">
              <w:rPr>
                <w:szCs w:val="20"/>
              </w:rPr>
              <w:t>Chapter 4 – Responsibilities of approved providers</w:t>
            </w:r>
          </w:p>
        </w:tc>
        <w:tc>
          <w:tcPr>
            <w:tcW w:w="5845" w:type="dxa"/>
            <w:tcBorders>
              <w:top w:val="single" w:sz="4" w:space="0" w:color="auto"/>
              <w:bottom w:val="single" w:sz="4" w:space="0" w:color="auto"/>
            </w:tcBorders>
          </w:tcPr>
          <w:p w14:paraId="1A7F4378" w14:textId="77777777" w:rsidR="00605BA0" w:rsidRPr="00322698" w:rsidRDefault="00605BA0" w:rsidP="00DF7B75">
            <w:pPr>
              <w:spacing w:before="0" w:after="60"/>
              <w:rPr>
                <w:szCs w:val="20"/>
              </w:rPr>
            </w:pPr>
            <w:r w:rsidRPr="00322698">
              <w:rPr>
                <w:szCs w:val="20"/>
              </w:rPr>
              <w:t>Part 4.1 – Quality of care</w:t>
            </w:r>
          </w:p>
          <w:p w14:paraId="1F4C01CD" w14:textId="77777777" w:rsidR="00605BA0" w:rsidRPr="00322698" w:rsidRDefault="00605BA0" w:rsidP="00DF7B75">
            <w:pPr>
              <w:spacing w:before="0" w:after="60"/>
              <w:rPr>
                <w:szCs w:val="20"/>
              </w:rPr>
            </w:pPr>
            <w:r w:rsidRPr="00322698">
              <w:rPr>
                <w:szCs w:val="20"/>
              </w:rPr>
              <w:t>Part 4.2 – User rights</w:t>
            </w:r>
          </w:p>
          <w:p w14:paraId="5CC1073D" w14:textId="35B51E1F" w:rsidR="00605BA0" w:rsidRPr="00322698" w:rsidRDefault="00605BA0" w:rsidP="00DF7B75">
            <w:pPr>
              <w:spacing w:before="0" w:after="60"/>
              <w:rPr>
                <w:szCs w:val="20"/>
              </w:rPr>
            </w:pPr>
            <w:r w:rsidRPr="00322698">
              <w:rPr>
                <w:szCs w:val="20"/>
              </w:rPr>
              <w:t>Part 4.3 – Accountability etc.</w:t>
            </w:r>
          </w:p>
        </w:tc>
      </w:tr>
      <w:tr w:rsidR="00605BA0" w:rsidRPr="001032D4" w14:paraId="2BA292AF" w14:textId="77777777" w:rsidTr="00DF7B75">
        <w:trPr>
          <w:cnfStyle w:val="010000000000" w:firstRow="0" w:lastRow="1" w:firstColumn="0" w:lastColumn="0" w:oddVBand="0" w:evenVBand="0" w:oddHBand="0" w:evenHBand="0" w:firstRowFirstColumn="0" w:firstRowLastColumn="0" w:lastRowFirstColumn="0" w:lastRowLastColumn="0"/>
          <w:trHeight w:val="454"/>
        </w:trPr>
        <w:tc>
          <w:tcPr>
            <w:tcW w:w="3794" w:type="dxa"/>
            <w:tcBorders>
              <w:top w:val="single" w:sz="4" w:space="0" w:color="auto"/>
            </w:tcBorders>
            <w:shd w:val="clear" w:color="auto" w:fill="F5F5F5"/>
          </w:tcPr>
          <w:p w14:paraId="45468D5C" w14:textId="77777777" w:rsidR="00605BA0" w:rsidRPr="00322698" w:rsidRDefault="00605BA0" w:rsidP="00DF7B75">
            <w:pPr>
              <w:spacing w:before="0" w:after="60"/>
              <w:rPr>
                <w:b w:val="0"/>
                <w:szCs w:val="20"/>
              </w:rPr>
            </w:pPr>
            <w:r w:rsidRPr="00322698">
              <w:rPr>
                <w:b w:val="0"/>
                <w:szCs w:val="20"/>
              </w:rPr>
              <w:t>Chapter 6 - Administration</w:t>
            </w:r>
          </w:p>
        </w:tc>
        <w:tc>
          <w:tcPr>
            <w:tcW w:w="5845" w:type="dxa"/>
            <w:tcBorders>
              <w:top w:val="single" w:sz="4" w:space="0" w:color="auto"/>
            </w:tcBorders>
            <w:shd w:val="clear" w:color="auto" w:fill="F5F5F5"/>
          </w:tcPr>
          <w:p w14:paraId="3EA9E627" w14:textId="77777777" w:rsidR="00605BA0" w:rsidRPr="00322698" w:rsidRDefault="00605BA0" w:rsidP="00DF7B75">
            <w:pPr>
              <w:spacing w:before="0" w:after="60"/>
              <w:rPr>
                <w:b w:val="0"/>
                <w:szCs w:val="20"/>
              </w:rPr>
            </w:pPr>
            <w:r w:rsidRPr="00322698">
              <w:rPr>
                <w:b w:val="0"/>
                <w:szCs w:val="20"/>
              </w:rPr>
              <w:t>Part 6.1 – Reconsideration and review of decisions</w:t>
            </w:r>
          </w:p>
          <w:p w14:paraId="16EF36F2" w14:textId="77777777" w:rsidR="00605BA0" w:rsidRPr="00322698" w:rsidRDefault="00605BA0" w:rsidP="00DF7B75">
            <w:pPr>
              <w:spacing w:before="0" w:after="60"/>
              <w:rPr>
                <w:b w:val="0"/>
                <w:szCs w:val="20"/>
              </w:rPr>
            </w:pPr>
            <w:r w:rsidRPr="00322698">
              <w:rPr>
                <w:b w:val="0"/>
                <w:szCs w:val="20"/>
              </w:rPr>
              <w:t>Part 6.2 – Protection of information</w:t>
            </w:r>
          </w:p>
          <w:p w14:paraId="721B8E0B" w14:textId="77777777" w:rsidR="00605BA0" w:rsidRPr="00322698" w:rsidRDefault="00605BA0" w:rsidP="00DF7B75">
            <w:pPr>
              <w:spacing w:before="0" w:after="60"/>
              <w:rPr>
                <w:b w:val="0"/>
                <w:szCs w:val="20"/>
              </w:rPr>
            </w:pPr>
            <w:r w:rsidRPr="00322698">
              <w:rPr>
                <w:b w:val="0"/>
                <w:szCs w:val="20"/>
              </w:rPr>
              <w:t>Part 6.3 – Record keeping</w:t>
            </w:r>
          </w:p>
          <w:p w14:paraId="26253BAD" w14:textId="77777777" w:rsidR="00605BA0" w:rsidRPr="00322698" w:rsidRDefault="00605BA0" w:rsidP="00DF7B75">
            <w:pPr>
              <w:spacing w:before="0" w:after="60"/>
              <w:rPr>
                <w:b w:val="0"/>
                <w:szCs w:val="20"/>
              </w:rPr>
            </w:pPr>
            <w:r w:rsidRPr="00322698">
              <w:rPr>
                <w:b w:val="0"/>
                <w:szCs w:val="20"/>
              </w:rPr>
              <w:t>Part 6.4 – Powers of officers</w:t>
            </w:r>
          </w:p>
          <w:p w14:paraId="7D6F231A" w14:textId="77777777" w:rsidR="00605BA0" w:rsidRPr="00322698" w:rsidRDefault="00605BA0" w:rsidP="00DF7B75">
            <w:pPr>
              <w:spacing w:before="0" w:after="60"/>
              <w:rPr>
                <w:b w:val="0"/>
                <w:szCs w:val="20"/>
              </w:rPr>
            </w:pPr>
            <w:r w:rsidRPr="00322698">
              <w:rPr>
                <w:b w:val="0"/>
                <w:szCs w:val="20"/>
              </w:rPr>
              <w:t>Part 6.5 – Recovery of overpayments</w:t>
            </w:r>
          </w:p>
        </w:tc>
      </w:tr>
    </w:tbl>
    <w:p w14:paraId="457523A8" w14:textId="4522F107" w:rsidR="00FB5473" w:rsidRPr="00322698" w:rsidRDefault="00FB5473" w:rsidP="00187113">
      <w:pPr>
        <w:keepNext/>
        <w:pageBreakBefore/>
      </w:pPr>
      <w:bookmarkStart w:id="72" w:name="_Toc395537167"/>
      <w:bookmarkStart w:id="73" w:name="_Toc422732525"/>
      <w:bookmarkStart w:id="74" w:name="_Toc422752865"/>
      <w:r>
        <w:lastRenderedPageBreak/>
        <w:t>These guidelines</w:t>
      </w:r>
      <w:r w:rsidRPr="00322698">
        <w:t xml:space="preserve"> should be considered in conjunction with:</w:t>
      </w:r>
    </w:p>
    <w:p w14:paraId="39E5B8A0" w14:textId="0EC364D1" w:rsidR="00FB5473" w:rsidRDefault="00FB5473" w:rsidP="00F453A1">
      <w:pPr>
        <w:pStyle w:val="ListParagraph"/>
      </w:pPr>
      <w:r w:rsidRPr="00322698">
        <w:t xml:space="preserve">the </w:t>
      </w:r>
      <w:r>
        <w:t>Act</w:t>
      </w:r>
      <w:r w:rsidRPr="00322698">
        <w:t xml:space="preserve"> and the </w:t>
      </w:r>
      <w:proofErr w:type="gramStart"/>
      <w:r w:rsidRPr="00B92A20">
        <w:t>Principles</w:t>
      </w:r>
      <w:r w:rsidRPr="00322698">
        <w:t>;</w:t>
      </w:r>
      <w:proofErr w:type="gramEnd"/>
    </w:p>
    <w:p w14:paraId="78FF592C" w14:textId="00BCA2BE" w:rsidR="006F1FBF" w:rsidRPr="003B6C96" w:rsidRDefault="006F1FBF" w:rsidP="00F453A1">
      <w:pPr>
        <w:pStyle w:val="ListParagraph"/>
      </w:pPr>
      <w:r w:rsidRPr="003B6C96">
        <w:t xml:space="preserve">the Quality and Safety Commission </w:t>
      </w:r>
      <w:proofErr w:type="gramStart"/>
      <w:r w:rsidRPr="003B6C96">
        <w:t>Act;</w:t>
      </w:r>
      <w:proofErr w:type="gramEnd"/>
    </w:p>
    <w:p w14:paraId="4BE87079" w14:textId="5FBC1329" w:rsidR="00281E54" w:rsidRDefault="00FB5473" w:rsidP="00F453A1">
      <w:pPr>
        <w:pStyle w:val="ListParagraph"/>
      </w:pPr>
      <w:r w:rsidRPr="00322698">
        <w:t xml:space="preserve">relevant state and territory </w:t>
      </w:r>
      <w:proofErr w:type="gramStart"/>
      <w:r w:rsidRPr="00322698">
        <w:t>legislation</w:t>
      </w:r>
      <w:r w:rsidR="003505A5">
        <w:t>;</w:t>
      </w:r>
      <w:proofErr w:type="gramEnd"/>
    </w:p>
    <w:p w14:paraId="45844F9E" w14:textId="4D37F851" w:rsidR="00FB5473" w:rsidRPr="00322698" w:rsidRDefault="00FB5473" w:rsidP="00F453A1">
      <w:pPr>
        <w:pStyle w:val="ListParagraph"/>
      </w:pPr>
      <w:r w:rsidRPr="00322698">
        <w:t xml:space="preserve">the payment </w:t>
      </w:r>
      <w:proofErr w:type="gramStart"/>
      <w:r w:rsidRPr="00322698">
        <w:t>agreement;</w:t>
      </w:r>
      <w:proofErr w:type="gramEnd"/>
    </w:p>
    <w:p w14:paraId="7FEF3AC2" w14:textId="77777777" w:rsidR="00FB5473" w:rsidRPr="00322698" w:rsidRDefault="00FB5473" w:rsidP="00F453A1">
      <w:pPr>
        <w:pStyle w:val="ListParagraph"/>
      </w:pPr>
      <w:r w:rsidRPr="00322698">
        <w:t>the service agreement; and</w:t>
      </w:r>
    </w:p>
    <w:p w14:paraId="17AE26EE" w14:textId="24861A95" w:rsidR="00FB5473" w:rsidRDefault="00FB5473" w:rsidP="00F453A1">
      <w:pPr>
        <w:pStyle w:val="ListParagraph"/>
      </w:pPr>
      <w:r w:rsidRPr="00322698">
        <w:t>the</w:t>
      </w:r>
      <w:r w:rsidR="00207444">
        <w:t xml:space="preserve"> </w:t>
      </w:r>
      <w:r w:rsidRPr="00322698">
        <w:t>recipient agreement.</w:t>
      </w:r>
    </w:p>
    <w:p w14:paraId="0F183515" w14:textId="11F5DFA3" w:rsidR="00804AB0" w:rsidRDefault="00BA07AE" w:rsidP="00CE2642">
      <w:pPr>
        <w:pStyle w:val="Heading2"/>
      </w:pPr>
      <w:bookmarkStart w:id="75" w:name="_Toc197076866"/>
      <w:r>
        <w:t xml:space="preserve">Additional </w:t>
      </w:r>
      <w:r w:rsidR="0008438D">
        <w:t>National Support</w:t>
      </w:r>
      <w:bookmarkEnd w:id="75"/>
    </w:p>
    <w:p w14:paraId="2EB91815" w14:textId="1A8C6283" w:rsidR="00FD54DC" w:rsidRPr="00FD54DC" w:rsidRDefault="00FD54DC" w:rsidP="008A2F6D">
      <w:pPr>
        <w:pStyle w:val="Heading3withoutnumbering"/>
        <w:rPr>
          <w:rFonts w:eastAsia="Arial"/>
          <w:color w:val="000000"/>
        </w:rPr>
      </w:pPr>
      <w:bookmarkStart w:id="76" w:name="_Toc197076867"/>
      <w:r w:rsidRPr="00FD54DC">
        <w:rPr>
          <w:rFonts w:eastAsia="Arial"/>
          <w:color w:val="000000"/>
        </w:rPr>
        <w:t>Translating and Interpreting Service (TIS National)</w:t>
      </w:r>
      <w:bookmarkEnd w:id="76"/>
    </w:p>
    <w:p w14:paraId="0DDDB2FA" w14:textId="4FEDB482" w:rsidR="00FD54DC" w:rsidRDefault="00FD54DC" w:rsidP="00F453A1">
      <w:r w:rsidRPr="008A2F6D">
        <w:t>TIS National is an interpreting service provided by the</w:t>
      </w:r>
      <w:r w:rsidR="00DE213A">
        <w:t xml:space="preserve"> Australian Government</w:t>
      </w:r>
      <w:r w:rsidRPr="008A2F6D">
        <w:t xml:space="preserve"> Department of Home Affairs for people who do not speak English and for agencies and businesses </w:t>
      </w:r>
      <w:r w:rsidR="00135BAF">
        <w:t>who</w:t>
      </w:r>
      <w:r w:rsidRPr="008A2F6D">
        <w:t xml:space="preserve"> need to communicate with non-English speaking clients.</w:t>
      </w:r>
    </w:p>
    <w:p w14:paraId="0D27D007" w14:textId="26114D5C" w:rsidR="00344099" w:rsidRDefault="00FD54DC" w:rsidP="00F453A1">
      <w:r w:rsidRPr="008A2F6D">
        <w:t>TIS National provides immediate phone interpreting, pre-booked phone interpreting and on-site interpreting</w:t>
      </w:r>
      <w:r w:rsidR="00344099">
        <w:t xml:space="preserve"> services </w:t>
      </w:r>
      <w:r w:rsidR="0064270C">
        <w:t>for</w:t>
      </w:r>
      <w:r w:rsidR="00344099">
        <w:t xml:space="preserve"> Australian Government funded</w:t>
      </w:r>
      <w:r w:rsidR="00773B53">
        <w:t xml:space="preserve"> aged care programs, including transition c</w:t>
      </w:r>
      <w:r w:rsidR="00344099">
        <w:t>are.</w:t>
      </w:r>
    </w:p>
    <w:p w14:paraId="4B6460A7" w14:textId="77777777" w:rsidR="00FD54DC" w:rsidRPr="008A2F6D" w:rsidRDefault="00344099" w:rsidP="00F453A1">
      <w:r>
        <w:t xml:space="preserve">TIS National </w:t>
      </w:r>
      <w:r w:rsidR="00DE213A">
        <w:t xml:space="preserve">has </w:t>
      </w:r>
      <w:r w:rsidR="00CE2642">
        <w:t>access</w:t>
      </w:r>
      <w:r w:rsidR="00DF12F7">
        <w:t xml:space="preserve"> to</w:t>
      </w:r>
      <w:r w:rsidR="00CE2642">
        <w:t>:</w:t>
      </w:r>
    </w:p>
    <w:p w14:paraId="64DCC4C7" w14:textId="77777777" w:rsidR="00FD54DC" w:rsidRPr="00F453A1" w:rsidRDefault="00FD54DC" w:rsidP="00187113">
      <w:pPr>
        <w:pStyle w:val="ListBullet"/>
      </w:pPr>
      <w:r w:rsidRPr="00F453A1">
        <w:t>more than 3</w:t>
      </w:r>
      <w:r w:rsidR="00212221" w:rsidRPr="00F453A1">
        <w:t>,</w:t>
      </w:r>
      <w:r w:rsidRPr="00F453A1">
        <w:t>000 contracted interpreters across Australia</w:t>
      </w:r>
      <w:r w:rsidR="0026313A" w:rsidRPr="00F453A1">
        <w:t>; and</w:t>
      </w:r>
    </w:p>
    <w:p w14:paraId="0475E588" w14:textId="500985E5" w:rsidR="009F7ADE" w:rsidRPr="00F453A1" w:rsidRDefault="00FD54DC" w:rsidP="00187113">
      <w:pPr>
        <w:pStyle w:val="ListBullet"/>
      </w:pPr>
      <w:r w:rsidRPr="00F453A1">
        <w:t>interpreters speaking more than 160 languages.</w:t>
      </w:r>
    </w:p>
    <w:p w14:paraId="59254416" w14:textId="3D431521" w:rsidR="008A0194" w:rsidRDefault="00FD54DC" w:rsidP="00F453A1">
      <w:r w:rsidRPr="008A2F6D">
        <w:t xml:space="preserve">TIS National’s immediate phone interpreting service is available 24 hours a day, every day of the year for any person or organisation in Australia who needs an interpreter. </w:t>
      </w:r>
      <w:r w:rsidR="008D7939" w:rsidRPr="00AE6696">
        <w:t>Approved providers of government-subsidised aged care</w:t>
      </w:r>
      <w:r w:rsidR="008D7939">
        <w:t xml:space="preserve">, including transition care, can use TIS National </w:t>
      </w:r>
      <w:r w:rsidR="008D7939" w:rsidRPr="00AE6696">
        <w:t>for free when discussing care needs, fees, care plans and budgets with clients.</w:t>
      </w:r>
    </w:p>
    <w:p w14:paraId="372EB0A9" w14:textId="445D191D" w:rsidR="0058327D" w:rsidRDefault="008A0194" w:rsidP="00F453A1">
      <w:pPr>
        <w:rPr>
          <w:rFonts w:cs="Arial"/>
          <w:spacing w:val="0"/>
          <w:szCs w:val="20"/>
        </w:rPr>
      </w:pPr>
      <w:r w:rsidRPr="008A0194">
        <w:rPr>
          <w:szCs w:val="20"/>
        </w:rPr>
        <w:t xml:space="preserve">For information on registering </w:t>
      </w:r>
      <w:r w:rsidR="00E6310C">
        <w:rPr>
          <w:szCs w:val="20"/>
        </w:rPr>
        <w:t xml:space="preserve">with </w:t>
      </w:r>
      <w:r w:rsidRPr="008A0194">
        <w:rPr>
          <w:szCs w:val="20"/>
        </w:rPr>
        <w:t>and accessing TIS National, please see the Department’s website at:</w:t>
      </w:r>
      <w:r w:rsidRPr="008A0194">
        <w:rPr>
          <w:rFonts w:ascii="Times New Roman" w:eastAsia="Calibri" w:hAnsi="Times New Roman"/>
          <w:spacing w:val="0"/>
          <w:lang w:eastAsia="en-US"/>
        </w:rPr>
        <w:t xml:space="preserve"> </w:t>
      </w:r>
      <w:hyperlink r:id="rId21" w:history="1">
        <w:r w:rsidR="0071119A" w:rsidRPr="00385058">
          <w:rPr>
            <w:rStyle w:val="Hyperlink"/>
            <w:rFonts w:eastAsia="Calibri" w:cs="Arial"/>
            <w:spacing w:val="0"/>
            <w:sz w:val="20"/>
            <w:szCs w:val="20"/>
            <w:lang w:eastAsia="en-US"/>
          </w:rPr>
          <w:t>www.health.gov.au/initiatives-and-programs/translating-and-interpreting-service-for-aged-care-service-providers</w:t>
        </w:r>
      </w:hyperlink>
      <w:r w:rsidRPr="008A0194">
        <w:rPr>
          <w:rFonts w:eastAsia="Calibri" w:cs="Arial"/>
          <w:spacing w:val="0"/>
          <w:szCs w:val="20"/>
          <w:lang w:eastAsia="en-US"/>
        </w:rPr>
        <w:t>.</w:t>
      </w:r>
      <w:r w:rsidRPr="008A0194">
        <w:rPr>
          <w:rFonts w:ascii="Times New Roman" w:eastAsia="Calibri" w:hAnsi="Times New Roman"/>
          <w:spacing w:val="0"/>
          <w:lang w:eastAsia="en-US"/>
        </w:rPr>
        <w:t xml:space="preserve"> </w:t>
      </w:r>
    </w:p>
    <w:p w14:paraId="153C0B41" w14:textId="00DA2775" w:rsidR="00FD54DC" w:rsidRPr="008A2F6D" w:rsidRDefault="00FD54DC" w:rsidP="008A2F6D">
      <w:pPr>
        <w:pStyle w:val="Heading3withoutnumbering"/>
        <w:rPr>
          <w:rFonts w:eastAsia="Arial"/>
          <w:color w:val="000000"/>
        </w:rPr>
      </w:pPr>
      <w:bookmarkStart w:id="77" w:name="_Toc197076868"/>
      <w:r w:rsidRPr="008A2F6D">
        <w:rPr>
          <w:rFonts w:eastAsia="Arial"/>
          <w:color w:val="000000"/>
        </w:rPr>
        <w:t>My Aged Care</w:t>
      </w:r>
      <w:bookmarkEnd w:id="77"/>
    </w:p>
    <w:p w14:paraId="3B887782" w14:textId="1CE9056D" w:rsidR="00D426C7" w:rsidRDefault="00D426C7" w:rsidP="00F453A1">
      <w:r>
        <w:t>My A</w:t>
      </w:r>
      <w:r w:rsidR="00BA07AE">
        <w:t>g</w:t>
      </w:r>
      <w:r w:rsidR="0068792C">
        <w:t xml:space="preserve">ed </w:t>
      </w:r>
      <w:r w:rsidR="00CF5AE0">
        <w:t>C</w:t>
      </w:r>
      <w:r w:rsidR="0068792C">
        <w:t xml:space="preserve">are is the </w:t>
      </w:r>
      <w:r w:rsidR="00CF5AE0">
        <w:t xml:space="preserve">entry </w:t>
      </w:r>
      <w:r w:rsidR="0068792C">
        <w:t>point to access Australian Government funded aged care services</w:t>
      </w:r>
      <w:r w:rsidR="00CF5AE0">
        <w:t xml:space="preserve"> and </w:t>
      </w:r>
      <w:r w:rsidR="00C36CF7">
        <w:t xml:space="preserve">provides </w:t>
      </w:r>
      <w:r w:rsidR="00CF5AE0">
        <w:t xml:space="preserve">information about </w:t>
      </w:r>
      <w:r w:rsidR="00C36CF7">
        <w:t xml:space="preserve">the </w:t>
      </w:r>
      <w:r w:rsidR="00CF5AE0">
        <w:t xml:space="preserve">types of aged care services available, eligibility for services, referrals to </w:t>
      </w:r>
      <w:r w:rsidR="00C36CF7">
        <w:t>service providers that meet a client’s</w:t>
      </w:r>
      <w:r w:rsidR="00CF5AE0">
        <w:t xml:space="preserve"> needs</w:t>
      </w:r>
      <w:r w:rsidR="00135BAF">
        <w:t>,</w:t>
      </w:r>
      <w:r w:rsidR="00CF5AE0">
        <w:t xml:space="preserve"> and the contribution </w:t>
      </w:r>
      <w:r w:rsidR="004473FE">
        <w:t xml:space="preserve">they </w:t>
      </w:r>
      <w:r w:rsidR="00CF5AE0">
        <w:t>can be asked to pay</w:t>
      </w:r>
      <w:r w:rsidR="0068792C">
        <w:t>.</w:t>
      </w:r>
      <w:r w:rsidR="0036473A">
        <w:t xml:space="preserve"> </w:t>
      </w:r>
      <w:r w:rsidR="001B68D5">
        <w:t>The</w:t>
      </w:r>
      <w:r w:rsidR="0068792C">
        <w:t xml:space="preserve"> </w:t>
      </w:r>
      <w:r w:rsidR="001B68D5">
        <w:t>My</w:t>
      </w:r>
      <w:r w:rsidR="00F17758">
        <w:t> </w:t>
      </w:r>
      <w:r w:rsidR="001B68D5">
        <w:t>A</w:t>
      </w:r>
      <w:r w:rsidR="0068792C">
        <w:t xml:space="preserve">ged </w:t>
      </w:r>
      <w:r w:rsidR="001B68D5">
        <w:t>C</w:t>
      </w:r>
      <w:r w:rsidR="0068792C">
        <w:t xml:space="preserve">are phone line and website can </w:t>
      </w:r>
      <w:r w:rsidR="00F952AE">
        <w:t xml:space="preserve">be used to </w:t>
      </w:r>
      <w:r w:rsidR="0068792C">
        <w:t xml:space="preserve">find information </w:t>
      </w:r>
      <w:r w:rsidR="00CE2642">
        <w:t>about the p</w:t>
      </w:r>
      <w:r w:rsidR="004473FE">
        <w:t>rogramme. T</w:t>
      </w:r>
      <w:r w:rsidR="002F3218">
        <w:t>he</w:t>
      </w:r>
      <w:r>
        <w:t xml:space="preserve"> My</w:t>
      </w:r>
      <w:r w:rsidR="00F17758">
        <w:t> </w:t>
      </w:r>
      <w:r>
        <w:t>Aged Care contact centre</w:t>
      </w:r>
      <w:r w:rsidR="004473FE">
        <w:t xml:space="preserve"> can be contacted on </w:t>
      </w:r>
      <w:r>
        <w:t>1800 200 422:</w:t>
      </w:r>
    </w:p>
    <w:p w14:paraId="7D5D8738" w14:textId="77777777" w:rsidR="00FD54DC" w:rsidRPr="004F66BA" w:rsidRDefault="00D426C7" w:rsidP="00187113">
      <w:pPr>
        <w:pStyle w:val="ListBullet"/>
      </w:pPr>
      <w:r w:rsidRPr="008A2F6D">
        <w:t>Monday to Friday 8am – 8pm</w:t>
      </w:r>
    </w:p>
    <w:p w14:paraId="08197D1D" w14:textId="77777777" w:rsidR="00D426C7" w:rsidRPr="004F66BA" w:rsidRDefault="00D426C7" w:rsidP="00187113">
      <w:pPr>
        <w:pStyle w:val="ListBullet"/>
      </w:pPr>
      <w:r>
        <w:t>Saturdays 10am – 2pm</w:t>
      </w:r>
    </w:p>
    <w:p w14:paraId="54E1681F" w14:textId="77777777" w:rsidR="00D426C7" w:rsidRPr="004F66BA" w:rsidRDefault="00D426C7" w:rsidP="00187113">
      <w:pPr>
        <w:pStyle w:val="ListBullet"/>
      </w:pPr>
      <w:r>
        <w:t>Sundays and national public holidays – Closed</w:t>
      </w:r>
    </w:p>
    <w:p w14:paraId="66645C01" w14:textId="45A2E85E" w:rsidR="00402CDD" w:rsidRDefault="009929EA" w:rsidP="00F453A1">
      <w:pPr>
        <w:rPr>
          <w:lang w:eastAsia="en-US"/>
        </w:rPr>
      </w:pPr>
      <w:r>
        <w:rPr>
          <w:lang w:eastAsia="en-US"/>
        </w:rPr>
        <w:t>A</w:t>
      </w:r>
      <w:r w:rsidR="00CF5AE0">
        <w:rPr>
          <w:lang w:eastAsia="en-US"/>
        </w:rPr>
        <w:t>dditional information</w:t>
      </w:r>
      <w:r>
        <w:rPr>
          <w:lang w:eastAsia="en-US"/>
        </w:rPr>
        <w:t xml:space="preserve"> can be found at the </w:t>
      </w:r>
      <w:hyperlink r:id="rId22" w:history="1">
        <w:r w:rsidR="00D426C7" w:rsidRPr="008A2F6D">
          <w:rPr>
            <w:rStyle w:val="Hyperlink"/>
            <w:rFonts w:eastAsiaTheme="majorEastAsia" w:cstheme="majorBidi"/>
            <w:sz w:val="20"/>
            <w:szCs w:val="26"/>
            <w:lang w:eastAsia="en-US"/>
          </w:rPr>
          <w:t>My Aged Care Website</w:t>
        </w:r>
      </w:hyperlink>
      <w:r w:rsidR="00D426C7">
        <w:rPr>
          <w:lang w:eastAsia="en-US"/>
        </w:rPr>
        <w:t>.</w:t>
      </w:r>
    </w:p>
    <w:p w14:paraId="332A7E09" w14:textId="78BA66B8" w:rsidR="00D426C7" w:rsidRPr="009E1964" w:rsidRDefault="008E66C3" w:rsidP="00D426C7">
      <w:pPr>
        <w:pStyle w:val="Heading3withoutnumbering"/>
        <w:rPr>
          <w:snapToGrid w:val="0"/>
        </w:rPr>
      </w:pPr>
      <w:bookmarkStart w:id="78" w:name="_Toc197076869"/>
      <w:r w:rsidRPr="003B6C96">
        <w:rPr>
          <w:snapToGrid w:val="0"/>
        </w:rPr>
        <w:t>Services Australia</w:t>
      </w:r>
      <w:bookmarkEnd w:id="78"/>
    </w:p>
    <w:p w14:paraId="3CF6202D" w14:textId="1FA9AF91" w:rsidR="009E1964" w:rsidRPr="00BE2DE6" w:rsidRDefault="009E1964" w:rsidP="00781B94">
      <w:pPr>
        <w:rPr>
          <w:lang w:eastAsia="en-US"/>
        </w:rPr>
      </w:pPr>
      <w:r w:rsidRPr="009E1964">
        <w:rPr>
          <w:rFonts w:ascii="Calibri" w:eastAsia="Calibri" w:hAnsi="Calibri" w:cs="Calibri"/>
          <w:color w:val="1F497D"/>
          <w:spacing w:val="0"/>
          <w:sz w:val="22"/>
          <w:szCs w:val="22"/>
          <w:lang w:eastAsia="en-US"/>
        </w:rPr>
        <w:t>S</w:t>
      </w:r>
      <w:r w:rsidRPr="00BE2DE6">
        <w:rPr>
          <w:lang w:eastAsia="en-US"/>
        </w:rPr>
        <w:t>ervices Australia is responsible for processing the payment of transition care subsidies.</w:t>
      </w:r>
    </w:p>
    <w:p w14:paraId="4C25C0AC" w14:textId="77777777" w:rsidR="009E1964" w:rsidRPr="00BE2DE6" w:rsidRDefault="009E1964" w:rsidP="00F453A1">
      <w:pPr>
        <w:rPr>
          <w:lang w:eastAsia="en-US"/>
        </w:rPr>
      </w:pPr>
      <w:r w:rsidRPr="00BE2DE6">
        <w:rPr>
          <w:lang w:eastAsia="en-US"/>
        </w:rPr>
        <w:t>Australian Government subsidy (Flexible Care) claims for care recipients receiving transition care are processed in accordance with sub-section 50-1(1) of the Act and the payment agreement between the Australian Government and the approved provider.</w:t>
      </w:r>
    </w:p>
    <w:p w14:paraId="1A035BD2" w14:textId="5C95C1C3" w:rsidR="009E1964" w:rsidRPr="00BE2DE6" w:rsidRDefault="00BA488D" w:rsidP="00F453A1">
      <w:pPr>
        <w:rPr>
          <w:lang w:eastAsia="en-US"/>
        </w:rPr>
      </w:pPr>
      <w:r>
        <w:rPr>
          <w:lang w:eastAsia="en-US"/>
        </w:rPr>
        <w:t>Subs</w:t>
      </w:r>
      <w:r w:rsidR="009E1964" w:rsidRPr="00BE2DE6">
        <w:rPr>
          <w:lang w:eastAsia="en-US"/>
        </w:rPr>
        <w:t xml:space="preserve">idy claims are lodged </w:t>
      </w:r>
      <w:r w:rsidR="004E036F">
        <w:rPr>
          <w:lang w:eastAsia="en-US"/>
        </w:rPr>
        <w:t xml:space="preserve">monthly </w:t>
      </w:r>
      <w:r w:rsidR="009E1964" w:rsidRPr="00BE2DE6">
        <w:rPr>
          <w:lang w:eastAsia="en-US"/>
        </w:rPr>
        <w:t>by TCP service providers via the Aged Care Provider Portal (ACPP), a secure online platform made available to providers of flexible care in late 2020.</w:t>
      </w:r>
    </w:p>
    <w:p w14:paraId="57BEFC77" w14:textId="6D32AFB2" w:rsidR="009E1964" w:rsidRPr="00BE2DE6" w:rsidRDefault="009E1964" w:rsidP="00F453A1">
      <w:pPr>
        <w:rPr>
          <w:lang w:eastAsia="en-US"/>
        </w:rPr>
      </w:pPr>
      <w:r w:rsidRPr="00BE2DE6">
        <w:rPr>
          <w:lang w:eastAsia="en-US"/>
        </w:rPr>
        <w:t>The ACPP has integrated features which makes the platform user friendly, including quick links. It allows users to easily manage claims utilising self-service tools, with the capacity to quickly filter details in claim and event screens and to securely search for care recipients and events.</w:t>
      </w:r>
    </w:p>
    <w:p w14:paraId="6CAA8DA6" w14:textId="4BC11AC7" w:rsidR="009E1964" w:rsidRPr="00BE2DE6" w:rsidRDefault="009E1964" w:rsidP="00F453A1">
      <w:pPr>
        <w:rPr>
          <w:lang w:eastAsia="en-US"/>
        </w:rPr>
      </w:pPr>
      <w:r w:rsidRPr="00BE2DE6">
        <w:rPr>
          <w:lang w:eastAsia="en-US"/>
        </w:rPr>
        <w:t>Users with ‘organisation’ administration access can use provider self-service features to manage which users have access to claim on behalf of a service (or services). Users can also use these features to update key service information online in real-time.</w:t>
      </w:r>
    </w:p>
    <w:p w14:paraId="0283EBAD" w14:textId="1720802C" w:rsidR="009E1964" w:rsidRPr="00BE2DE6" w:rsidRDefault="009E1964" w:rsidP="00F453A1">
      <w:pPr>
        <w:rPr>
          <w:rFonts w:eastAsia="Calibri"/>
          <w:color w:val="1F497D"/>
          <w:lang w:eastAsia="en-US"/>
        </w:rPr>
      </w:pPr>
      <w:r w:rsidRPr="00BE2DE6">
        <w:rPr>
          <w:rFonts w:eastAsia="Calibri"/>
          <w:lang w:eastAsia="en-US"/>
        </w:rPr>
        <w:t xml:space="preserve">Information regarding the ACPP, including access guidelines and user resources are available at the Services Australia website at: </w:t>
      </w:r>
      <w:hyperlink r:id="rId23" w:history="1">
        <w:r w:rsidR="0071119A" w:rsidRPr="00385058">
          <w:rPr>
            <w:rStyle w:val="Hyperlink"/>
            <w:rFonts w:eastAsiaTheme="majorEastAsia" w:cstheme="majorBidi"/>
            <w:sz w:val="20"/>
            <w:szCs w:val="26"/>
          </w:rPr>
          <w:t>www.servicesaustralia.gov.au/organisations/health-professionals/services/medicare/aged-care-provider-portal</w:t>
        </w:r>
      </w:hyperlink>
      <w:r w:rsidRPr="00BE2DE6">
        <w:rPr>
          <w:rFonts w:eastAsia="Calibri"/>
          <w:color w:val="1F497D"/>
          <w:lang w:eastAsia="en-US"/>
        </w:rPr>
        <w:t>.</w:t>
      </w:r>
    </w:p>
    <w:p w14:paraId="5B55CAA6" w14:textId="3F131ACF" w:rsidR="009E1964" w:rsidRPr="0071119A" w:rsidRDefault="009E1964" w:rsidP="00F453A1">
      <w:pPr>
        <w:rPr>
          <w:rFonts w:eastAsia="Calibri"/>
          <w:lang w:eastAsia="en-US"/>
        </w:rPr>
      </w:pPr>
      <w:r w:rsidRPr="00BE2DE6">
        <w:rPr>
          <w:rFonts w:eastAsia="Calibri"/>
          <w:lang w:eastAsia="en-US"/>
        </w:rPr>
        <w:lastRenderedPageBreak/>
        <w:t>For claiming and payment enquiries and assistance, approved providers are advised to contact</w:t>
      </w:r>
      <w:r w:rsidR="00663177">
        <w:rPr>
          <w:rFonts w:eastAsia="Calibri"/>
          <w:lang w:eastAsia="en-US"/>
        </w:rPr>
        <w:t xml:space="preserve"> the</w:t>
      </w:r>
      <w:r w:rsidRPr="00BE2DE6">
        <w:rPr>
          <w:rFonts w:eastAsia="Calibri"/>
          <w:lang w:eastAsia="en-US"/>
        </w:rPr>
        <w:t xml:space="preserve"> Services Australia online claiming helpdesk via email: </w:t>
      </w:r>
      <w:hyperlink r:id="rId24" w:history="1">
        <w:r w:rsidRPr="00BE2DE6">
          <w:rPr>
            <w:rStyle w:val="Hyperlink"/>
            <w:rFonts w:eastAsiaTheme="majorEastAsia" w:cstheme="majorBidi"/>
            <w:sz w:val="20"/>
            <w:szCs w:val="26"/>
          </w:rPr>
          <w:t>aged.care.liaison@servicesaustralia.gov.au</w:t>
        </w:r>
      </w:hyperlink>
      <w:r w:rsidRPr="00BE2DE6">
        <w:rPr>
          <w:rFonts w:eastAsia="Calibri"/>
          <w:color w:val="1F497D"/>
          <w:lang w:eastAsia="en-US"/>
        </w:rPr>
        <w:t xml:space="preserve"> </w:t>
      </w:r>
      <w:r w:rsidRPr="00BE2DE6">
        <w:rPr>
          <w:rFonts w:eastAsia="Calibri"/>
          <w:lang w:eastAsia="en-US"/>
        </w:rPr>
        <w:t xml:space="preserve">or phone: 1800 195 </w:t>
      </w:r>
      <w:r w:rsidRPr="0071119A">
        <w:rPr>
          <w:rFonts w:eastAsia="Calibri"/>
          <w:lang w:eastAsia="en-US"/>
        </w:rPr>
        <w:t>206.</w:t>
      </w:r>
    </w:p>
    <w:p w14:paraId="4F42BA11" w14:textId="64DF0063" w:rsidR="00605BA0" w:rsidRDefault="00605BA0" w:rsidP="00DF7B75">
      <w:pPr>
        <w:pStyle w:val="Heading1"/>
      </w:pPr>
      <w:bookmarkStart w:id="79" w:name="_Toc197076870"/>
      <w:r w:rsidRPr="00953CC7">
        <w:lastRenderedPageBreak/>
        <w:t>THE TRANSITION CARE PROGRAMME</w:t>
      </w:r>
      <w:bookmarkStart w:id="80" w:name="_Toc29371643"/>
      <w:bookmarkStart w:id="81" w:name="_Toc110834641"/>
      <w:bookmarkStart w:id="82" w:name="_Toc245536162"/>
      <w:bookmarkStart w:id="83" w:name="_Toc395537168"/>
      <w:bookmarkEnd w:id="72"/>
      <w:bookmarkEnd w:id="73"/>
      <w:bookmarkEnd w:id="74"/>
      <w:bookmarkEnd w:id="79"/>
    </w:p>
    <w:p w14:paraId="4DE8F65E" w14:textId="51FF6BBF" w:rsidR="00605BA0" w:rsidRPr="00837504" w:rsidRDefault="00605BA0" w:rsidP="00605BA0">
      <w:pPr>
        <w:pStyle w:val="Heading2"/>
      </w:pPr>
      <w:bookmarkStart w:id="84" w:name="_Toc422732526"/>
      <w:bookmarkStart w:id="85" w:name="_Toc422752866"/>
      <w:bookmarkStart w:id="86" w:name="_Toc197076871"/>
      <w:r w:rsidRPr="00837504">
        <w:t>What is transition care?</w:t>
      </w:r>
      <w:bookmarkEnd w:id="80"/>
      <w:bookmarkEnd w:id="81"/>
      <w:bookmarkEnd w:id="82"/>
      <w:bookmarkEnd w:id="83"/>
      <w:bookmarkEnd w:id="84"/>
      <w:bookmarkEnd w:id="85"/>
      <w:bookmarkEnd w:id="86"/>
    </w:p>
    <w:p w14:paraId="7D4045F7" w14:textId="2C6F63FC" w:rsidR="00605BA0" w:rsidRPr="00322698" w:rsidRDefault="00605BA0" w:rsidP="00F453A1">
      <w:r w:rsidRPr="00322698">
        <w:t>On 23 April 2004</w:t>
      </w:r>
      <w:r w:rsidR="00291BB7">
        <w:t>,</w:t>
      </w:r>
      <w:r w:rsidRPr="00322698">
        <w:t xml:space="preserve"> </w:t>
      </w:r>
      <w:r w:rsidR="00AF720D">
        <w:t>H</w:t>
      </w:r>
      <w:r w:rsidR="00A65B34" w:rsidRPr="00322698">
        <w:t>ealth</w:t>
      </w:r>
      <w:r w:rsidRPr="00322698">
        <w:t xml:space="preserve"> Ministers endorsed the definition of transition care (its role, functions and target group) developed by the Care of Older Australians Working Group. An extract of the definition is contained below.</w:t>
      </w:r>
    </w:p>
    <w:p w14:paraId="25C9226C" w14:textId="0D002597" w:rsidR="00605BA0" w:rsidRPr="00E330E4" w:rsidRDefault="00605BA0" w:rsidP="00E330E4">
      <w:pPr>
        <w:pStyle w:val="Heading3withoutnumbering"/>
        <w:numPr>
          <w:ilvl w:val="0"/>
          <w:numId w:val="0"/>
        </w:numPr>
        <w:ind w:left="720" w:hanging="720"/>
      </w:pPr>
      <w:bookmarkStart w:id="87" w:name="_Toc197076872"/>
      <w:r w:rsidRPr="00E330E4">
        <w:t>Aim/Objectives</w:t>
      </w:r>
      <w:bookmarkEnd w:id="87"/>
    </w:p>
    <w:p w14:paraId="303A4F4B" w14:textId="520EA2BC" w:rsidR="00605BA0" w:rsidRPr="00F453A1" w:rsidRDefault="00605BA0" w:rsidP="00F453A1">
      <w:pPr>
        <w:pStyle w:val="Quote"/>
      </w:pPr>
      <w:r w:rsidRPr="00F453A1">
        <w:t>Transition care provides short-term support and active management for older people at the interface of the acute/subacute and residential aged care sectors</w:t>
      </w:r>
      <w:r w:rsidRPr="004E036F">
        <w:rPr>
          <w:rStyle w:val="FootnoteReference"/>
        </w:rPr>
        <w:footnoteReference w:id="5"/>
      </w:r>
      <w:r w:rsidRPr="00F453A1">
        <w:t>. It is goal-oriented, time-limited and targets older people at the conclusion of a hospital episode who require more time and support in a non</w:t>
      </w:r>
      <w:r w:rsidR="00B75ADB" w:rsidRPr="00F453A1">
        <w:noBreakHyphen/>
      </w:r>
      <w:r w:rsidRPr="00F453A1">
        <w:t>hospital</w:t>
      </w:r>
      <w:r w:rsidR="003629D6" w:rsidRPr="00F453A1">
        <w:t> </w:t>
      </w:r>
      <w:r w:rsidRPr="00F453A1">
        <w:t>environment to complete their restorative process, optimise their functional capacity</w:t>
      </w:r>
      <w:r w:rsidR="00E23A9B" w:rsidRPr="00F453A1">
        <w:t>,</w:t>
      </w:r>
      <w:r w:rsidRPr="00F453A1">
        <w:t xml:space="preserve"> and finalise and access their care arrangements.</w:t>
      </w:r>
    </w:p>
    <w:p w14:paraId="4800C3B7" w14:textId="5F4E4C4B" w:rsidR="00605BA0" w:rsidRPr="00F453A1" w:rsidRDefault="00605BA0" w:rsidP="00F453A1">
      <w:pPr>
        <w:pStyle w:val="Quote"/>
      </w:pPr>
      <w:r w:rsidRPr="00F453A1">
        <w:t>The potential for further recovery will vary according to the individual. Therefore, the services provided will vary from individual to individual, ranging from those that further improve physical, cognitive and psycho</w:t>
      </w:r>
      <w:r w:rsidR="00EE7015" w:rsidRPr="00F453A1">
        <w:t>-</w:t>
      </w:r>
      <w:r w:rsidRPr="00F453A1">
        <w:t>social functioning thereby improving the person’s capacity for independent living, to those that actively maintain the individual’s functioning while assisting them and their family and carers to make appropriate long-term care arrangements.</w:t>
      </w:r>
    </w:p>
    <w:p w14:paraId="60612AA8" w14:textId="77777777" w:rsidR="004F2B51" w:rsidRPr="00F453A1" w:rsidRDefault="00605BA0" w:rsidP="00F453A1">
      <w:pPr>
        <w:pStyle w:val="Quote"/>
      </w:pPr>
      <w:r w:rsidRPr="00F453A1">
        <w:t>An outcome of transition care is that inappropriate extended hospital lengths of stay and premature admission to residential aged care are minimised. However, it should be stressed that transition care’s primary function is therapeutic, rather than administrative.</w:t>
      </w:r>
    </w:p>
    <w:p w14:paraId="0AAE4D72" w14:textId="77777777" w:rsidR="004F2B51" w:rsidRDefault="00605BA0" w:rsidP="00E330E4">
      <w:pPr>
        <w:pStyle w:val="Heading3withoutnumbering"/>
        <w:numPr>
          <w:ilvl w:val="0"/>
          <w:numId w:val="0"/>
        </w:numPr>
        <w:ind w:left="720" w:hanging="720"/>
        <w:rPr>
          <w:i/>
          <w:iCs/>
        </w:rPr>
      </w:pPr>
      <w:bookmarkStart w:id="88" w:name="_Toc197076873"/>
      <w:r w:rsidRPr="00E330E4">
        <w:t>Mix of Services</w:t>
      </w:r>
      <w:r w:rsidRPr="00322698">
        <w:rPr>
          <w:rStyle w:val="FootnoteReference"/>
          <w:i/>
          <w:iCs/>
        </w:rPr>
        <w:footnoteReference w:id="6"/>
      </w:r>
      <w:bookmarkEnd w:id="88"/>
    </w:p>
    <w:p w14:paraId="5BDDBCCB" w14:textId="4C8B4303" w:rsidR="00605BA0" w:rsidRPr="00E330E4" w:rsidRDefault="00605BA0" w:rsidP="00F453A1">
      <w:r w:rsidRPr="00E330E4">
        <w:t>Depending on their assessed level of need, transition care offer</w:t>
      </w:r>
      <w:r w:rsidR="009C5E7B">
        <w:t>s</w:t>
      </w:r>
      <w:r w:rsidRPr="00E330E4">
        <w:t xml:space="preserve"> eligible older people several</w:t>
      </w:r>
      <w:r w:rsidR="0064270C" w:rsidRPr="00E330E4">
        <w:t>,</w:t>
      </w:r>
      <w:r w:rsidRPr="00E330E4">
        <w:t xml:space="preserve"> or </w:t>
      </w:r>
      <w:r w:rsidR="0064270C" w:rsidRPr="00E330E4">
        <w:t>all</w:t>
      </w:r>
      <w:r w:rsidRPr="00E330E4">
        <w:t xml:space="preserve"> the following:</w:t>
      </w:r>
    </w:p>
    <w:p w14:paraId="64A0A24B" w14:textId="59D1C2D2" w:rsidR="00605BA0" w:rsidRPr="00187113" w:rsidRDefault="00605BA0" w:rsidP="00E330E4">
      <w:pPr>
        <w:pStyle w:val="ListBullet"/>
      </w:pPr>
      <w:r w:rsidRPr="00187113">
        <w:t xml:space="preserve">nursing support or personal </w:t>
      </w:r>
      <w:proofErr w:type="gramStart"/>
      <w:r w:rsidRPr="00187113">
        <w:t>care;</w:t>
      </w:r>
      <w:proofErr w:type="gramEnd"/>
    </w:p>
    <w:p w14:paraId="017EFC54" w14:textId="77777777" w:rsidR="00605BA0" w:rsidRPr="00187113" w:rsidRDefault="00605BA0" w:rsidP="00E330E4">
      <w:pPr>
        <w:pStyle w:val="ListBullet"/>
      </w:pPr>
      <w:r w:rsidRPr="00187113">
        <w:t>low intensity therapy (such as physiotherapy, occupational therapy) and support (such as social work) to maintain physical, cognitive and psycho</w:t>
      </w:r>
      <w:r w:rsidR="00EE7015" w:rsidRPr="00187113">
        <w:t>-</w:t>
      </w:r>
      <w:r w:rsidRPr="00187113">
        <w:t xml:space="preserve">social functioning and to facilitate improved capacity in activities of daily </w:t>
      </w:r>
      <w:proofErr w:type="gramStart"/>
      <w:r w:rsidRPr="00187113">
        <w:t>living;</w:t>
      </w:r>
      <w:proofErr w:type="gramEnd"/>
    </w:p>
    <w:p w14:paraId="7FA2D743" w14:textId="77777777" w:rsidR="00605BA0" w:rsidRPr="00187113" w:rsidRDefault="00605BA0" w:rsidP="00E330E4">
      <w:pPr>
        <w:pStyle w:val="ListBullet"/>
      </w:pPr>
      <w:r w:rsidRPr="00187113">
        <w:t>medical support such as GP oversight; and,</w:t>
      </w:r>
    </w:p>
    <w:p w14:paraId="252920C0" w14:textId="1596B3F7" w:rsidR="00605BA0" w:rsidRPr="00187113" w:rsidRDefault="00605BA0" w:rsidP="00E330E4">
      <w:pPr>
        <w:pStyle w:val="ListBullet"/>
      </w:pPr>
      <w:r w:rsidRPr="00187113">
        <w:t>case management, including establishing community supports and services and where required, identification of residential care options.</w:t>
      </w:r>
    </w:p>
    <w:p w14:paraId="0A1DC102" w14:textId="0925F1CE" w:rsidR="00D646B0" w:rsidRPr="00B75ADB" w:rsidRDefault="00D646B0" w:rsidP="00F453A1">
      <w:r w:rsidRPr="00354A26">
        <w:t xml:space="preserve">To access transition care, a person must be an admitted patient of a public or private </w:t>
      </w:r>
      <w:r w:rsidR="00C43171" w:rsidRPr="00354A26">
        <w:t>hospital</w:t>
      </w:r>
      <w:r w:rsidR="00C43171">
        <w:t>,</w:t>
      </w:r>
      <w:r w:rsidR="00C43171" w:rsidRPr="00354A26">
        <w:t xml:space="preserve"> </w:t>
      </w:r>
      <w:r w:rsidR="00C43171">
        <w:t>receive</w:t>
      </w:r>
      <w:r w:rsidR="00BA003E">
        <w:t xml:space="preserve"> </w:t>
      </w:r>
      <w:r w:rsidR="00FC6DDC">
        <w:t xml:space="preserve">a comprehensive assessment </w:t>
      </w:r>
      <w:r w:rsidR="009304A4">
        <w:t>from</w:t>
      </w:r>
      <w:r w:rsidR="00FC6DDC">
        <w:t xml:space="preserve"> a clinica</w:t>
      </w:r>
      <w:r w:rsidR="00574709">
        <w:t xml:space="preserve">l aged care needs </w:t>
      </w:r>
      <w:r w:rsidR="00826E88">
        <w:t>assessor</w:t>
      </w:r>
      <w:r w:rsidR="00826E88" w:rsidRPr="00354A26">
        <w:t xml:space="preserve"> and</w:t>
      </w:r>
      <w:r w:rsidR="00460A0F">
        <w:t xml:space="preserve"> be </w:t>
      </w:r>
      <w:r w:rsidRPr="00354A26">
        <w:t>approved for transition care by a</w:t>
      </w:r>
      <w:r w:rsidR="00A11C38">
        <w:t xml:space="preserve">n </w:t>
      </w:r>
      <w:r w:rsidR="00122F40">
        <w:t>assessment delegate</w:t>
      </w:r>
      <w:r w:rsidRPr="00354A26">
        <w:t xml:space="preserve">. For the purposes of transition care, a person accessing hospital-in-the-home, is deemed to be admitted to a </w:t>
      </w:r>
      <w:r w:rsidRPr="00B75ADB">
        <w:t>hospital.</w:t>
      </w:r>
    </w:p>
    <w:p w14:paraId="35DA2B0F" w14:textId="36447AE5" w:rsidR="00605BA0" w:rsidRPr="00322698" w:rsidRDefault="00605BA0" w:rsidP="00F453A1">
      <w:r w:rsidRPr="001B2972">
        <w:t>A person must enter the programme upon discharge from hospital. Transition care can be delivered in either a facility</w:t>
      </w:r>
      <w:r w:rsidR="000F6DFF" w:rsidRPr="001B2972">
        <w:t>-</w:t>
      </w:r>
      <w:r w:rsidRPr="001B2972">
        <w:t xml:space="preserve">based residential </w:t>
      </w:r>
      <w:r w:rsidR="00C20581">
        <w:t xml:space="preserve">care </w:t>
      </w:r>
      <w:r w:rsidRPr="001B2972">
        <w:t xml:space="preserve">setting or in a </w:t>
      </w:r>
      <w:r w:rsidR="008659F9">
        <w:t>home/</w:t>
      </w:r>
      <w:r w:rsidRPr="001B2972">
        <w:t>community setting, e.g. the person’s own home. It is possible to receive transition care in a residential setting first and then in a home care setting, or vice versa.</w:t>
      </w:r>
    </w:p>
    <w:p w14:paraId="0DB2B8F7" w14:textId="5182D775" w:rsidR="00B36F7A" w:rsidRPr="00B75ADB" w:rsidRDefault="004D45E7" w:rsidP="00F453A1">
      <w:r>
        <w:t>T</w:t>
      </w:r>
      <w:r w:rsidR="00605BA0" w:rsidRPr="00322698">
        <w:t>ransition care clients can</w:t>
      </w:r>
      <w:r>
        <w:t xml:space="preserve"> continue to</w:t>
      </w:r>
      <w:r w:rsidR="00605BA0" w:rsidRPr="00322698">
        <w:t xml:space="preserve"> access the Pharmaceut</w:t>
      </w:r>
      <w:r w:rsidR="00CE2642">
        <w:t xml:space="preserve">ical Benefits Scheme (PBS) and </w:t>
      </w:r>
      <w:r w:rsidR="00605BA0" w:rsidRPr="00322698">
        <w:t>Medicare.</w:t>
      </w:r>
      <w:r>
        <w:t xml:space="preserve"> </w:t>
      </w:r>
      <w:r w:rsidR="001F0DFD">
        <w:t>S</w:t>
      </w:r>
      <w:r w:rsidR="00605BA0" w:rsidRPr="00322698">
        <w:t>ome people from overseas</w:t>
      </w:r>
      <w:r w:rsidR="001F0DFD">
        <w:t>, however,</w:t>
      </w:r>
      <w:r w:rsidR="00605BA0" w:rsidRPr="00322698">
        <w:t xml:space="preserve"> do not have access to the PBS and </w:t>
      </w:r>
      <w:r w:rsidR="00CE2642">
        <w:t>Medicare</w:t>
      </w:r>
      <w:r w:rsidR="00605BA0" w:rsidRPr="00322698">
        <w:t xml:space="preserve"> and therefore will need to meet their own medical costs while accessing the programme (see also section </w:t>
      </w:r>
      <w:r w:rsidR="00605BA0" w:rsidRPr="00322698">
        <w:rPr>
          <w:i/>
        </w:rPr>
        <w:t>3.2.</w:t>
      </w:r>
      <w:r w:rsidR="00402CDD">
        <w:rPr>
          <w:i/>
        </w:rPr>
        <w:t>5</w:t>
      </w:r>
      <w:r w:rsidR="00605BA0" w:rsidRPr="00322698">
        <w:rPr>
          <w:i/>
        </w:rPr>
        <w:t xml:space="preserve"> </w:t>
      </w:r>
      <w:proofErr w:type="gramStart"/>
      <w:r w:rsidR="009B621B">
        <w:rPr>
          <w:i/>
        </w:rPr>
        <w:t>Non-Australian</w:t>
      </w:r>
      <w:proofErr w:type="gramEnd"/>
      <w:r w:rsidR="009B621B">
        <w:rPr>
          <w:i/>
        </w:rPr>
        <w:t xml:space="preserve"> residents and o</w:t>
      </w:r>
      <w:r w:rsidR="00605BA0" w:rsidRPr="00322698">
        <w:rPr>
          <w:i/>
        </w:rPr>
        <w:t>lder</w:t>
      </w:r>
      <w:r w:rsidR="00727AD0">
        <w:rPr>
          <w:i/>
        </w:rPr>
        <w:t xml:space="preserve"> </w:t>
      </w:r>
      <w:r w:rsidR="00605BA0" w:rsidRPr="00322698">
        <w:rPr>
          <w:i/>
        </w:rPr>
        <w:t xml:space="preserve">people from </w:t>
      </w:r>
      <w:r w:rsidR="00605BA0" w:rsidRPr="00B75ADB">
        <w:rPr>
          <w:i/>
        </w:rPr>
        <w:t>overseas</w:t>
      </w:r>
      <w:r w:rsidR="00605BA0" w:rsidRPr="00B75ADB">
        <w:t>).</w:t>
      </w:r>
    </w:p>
    <w:p w14:paraId="1C6E9F65" w14:textId="336BF1F1" w:rsidR="00605BA0" w:rsidRPr="009D1F42" w:rsidRDefault="00605BA0" w:rsidP="00605BA0">
      <w:pPr>
        <w:pStyle w:val="Heading3withoutnumbering"/>
      </w:pPr>
      <w:bookmarkStart w:id="89" w:name="_Ref29286343"/>
      <w:bookmarkStart w:id="90" w:name="_Toc29371644"/>
      <w:bookmarkStart w:id="91" w:name="_Toc110834642"/>
      <w:bookmarkStart w:id="92" w:name="_Toc245536163"/>
      <w:bookmarkStart w:id="93" w:name="_Toc395537169"/>
      <w:bookmarkStart w:id="94" w:name="_Toc422732527"/>
      <w:bookmarkStart w:id="95" w:name="_Toc422752867"/>
      <w:bookmarkStart w:id="96" w:name="_Toc521122306"/>
      <w:bookmarkStart w:id="97" w:name="_Toc197076874"/>
      <w:r w:rsidRPr="009D1F42">
        <w:t xml:space="preserve">Services provided through </w:t>
      </w:r>
      <w:bookmarkEnd w:id="89"/>
      <w:bookmarkEnd w:id="90"/>
      <w:r w:rsidRPr="009D1F42">
        <w:t>transition care</w:t>
      </w:r>
      <w:bookmarkEnd w:id="91"/>
      <w:bookmarkEnd w:id="92"/>
      <w:bookmarkEnd w:id="93"/>
      <w:bookmarkEnd w:id="94"/>
      <w:bookmarkEnd w:id="95"/>
      <w:bookmarkEnd w:id="96"/>
      <w:bookmarkEnd w:id="97"/>
    </w:p>
    <w:p w14:paraId="5AE599FD" w14:textId="1569D5AF" w:rsidR="000604E0" w:rsidRDefault="00605BA0" w:rsidP="00F453A1">
      <w:pPr>
        <w:rPr>
          <w:bCs/>
        </w:rPr>
      </w:pPr>
      <w:r w:rsidRPr="00322698">
        <w:t xml:space="preserve">Transition care provides older people with a package of services that includes low intensity therapy such as physiotherapy and occupational therapy, as well as social work and nursing support or personal care. Transition care must be provided in accordance with </w:t>
      </w:r>
      <w:r w:rsidRPr="00322698">
        <w:rPr>
          <w:bCs/>
          <w:i/>
        </w:rPr>
        <w:t>Schedule 1: Specified care and services for transition care services</w:t>
      </w:r>
      <w:r w:rsidRPr="00322698">
        <w:rPr>
          <w:bCs/>
        </w:rPr>
        <w:t xml:space="preserve"> </w:t>
      </w:r>
      <w:r w:rsidR="003629D6">
        <w:rPr>
          <w:bCs/>
        </w:rPr>
        <w:t>(</w:t>
      </w:r>
      <w:r w:rsidRPr="00322698">
        <w:rPr>
          <w:bCs/>
        </w:rPr>
        <w:t xml:space="preserve">see </w:t>
      </w:r>
      <w:r w:rsidRPr="00CE2642">
        <w:rPr>
          <w:bCs/>
          <w:u w:val="single"/>
        </w:rPr>
        <w:t>Attachment B</w:t>
      </w:r>
      <w:r w:rsidR="00C64D89">
        <w:rPr>
          <w:bCs/>
        </w:rPr>
        <w:t xml:space="preserve"> and</w:t>
      </w:r>
      <w:r w:rsidR="003629D6" w:rsidRPr="00E10CFE">
        <w:rPr>
          <w:bCs/>
          <w:i/>
        </w:rPr>
        <w:t xml:space="preserve"> Chapter 4: Transition Care Programme Restorative Care Requirements)</w:t>
      </w:r>
      <w:r w:rsidR="003629D6">
        <w:rPr>
          <w:bCs/>
        </w:rPr>
        <w:t>.</w:t>
      </w:r>
    </w:p>
    <w:p w14:paraId="355176DF" w14:textId="563AC5E3" w:rsidR="00605BA0" w:rsidRPr="00322698" w:rsidRDefault="007107E9" w:rsidP="009A69DA">
      <w:pPr>
        <w:spacing w:before="0" w:after="200" w:line="276" w:lineRule="auto"/>
        <w:rPr>
          <w:rFonts w:ascii="Times New (W1)" w:hAnsi="Times New (W1)" w:cs="Times New (W1)"/>
        </w:rPr>
      </w:pPr>
      <w:r>
        <w:lastRenderedPageBreak/>
        <w:t xml:space="preserve">The care and services to be provided are detailed in </w:t>
      </w:r>
      <w:r w:rsidR="00605BA0" w:rsidRPr="00322698">
        <w:t>Schedule 1</w:t>
      </w:r>
      <w:r>
        <w:t xml:space="preserve">, which </w:t>
      </w:r>
      <w:r w:rsidR="00605BA0" w:rsidRPr="00322698">
        <w:t>is divided into three parts</w:t>
      </w:r>
      <w:r>
        <w:t>:</w:t>
      </w:r>
    </w:p>
    <w:p w14:paraId="114A1B70" w14:textId="77777777" w:rsidR="00605BA0" w:rsidRPr="00322698" w:rsidRDefault="00605BA0" w:rsidP="00762250">
      <w:pPr>
        <w:numPr>
          <w:ilvl w:val="0"/>
          <w:numId w:val="9"/>
        </w:numPr>
        <w:tabs>
          <w:tab w:val="clear" w:pos="927"/>
          <w:tab w:val="num" w:pos="426"/>
        </w:tabs>
        <w:spacing w:before="0" w:after="0"/>
        <w:ind w:hanging="927"/>
        <w:rPr>
          <w:rFonts w:cs="Arial"/>
          <w:szCs w:val="20"/>
        </w:rPr>
      </w:pPr>
      <w:r w:rsidRPr="00322698">
        <w:rPr>
          <w:rFonts w:cs="Arial"/>
          <w:szCs w:val="20"/>
        </w:rPr>
        <w:t xml:space="preserve">all </w:t>
      </w:r>
      <w:r w:rsidR="007F6DA3">
        <w:rPr>
          <w:rFonts w:cs="Arial"/>
          <w:szCs w:val="20"/>
        </w:rPr>
        <w:t xml:space="preserve">care </w:t>
      </w:r>
      <w:proofErr w:type="gramStart"/>
      <w:r w:rsidR="007F6DA3">
        <w:rPr>
          <w:rFonts w:cs="Arial"/>
          <w:szCs w:val="20"/>
        </w:rPr>
        <w:t>recipients</w:t>
      </w:r>
      <w:r w:rsidR="00402CDD">
        <w:rPr>
          <w:rFonts w:cs="Arial"/>
          <w:szCs w:val="20"/>
        </w:rPr>
        <w:t>;</w:t>
      </w:r>
      <w:proofErr w:type="gramEnd"/>
    </w:p>
    <w:p w14:paraId="630B43AB" w14:textId="77777777" w:rsidR="00605BA0" w:rsidRPr="00322698" w:rsidRDefault="00605BA0" w:rsidP="00762250">
      <w:pPr>
        <w:numPr>
          <w:ilvl w:val="0"/>
          <w:numId w:val="9"/>
        </w:numPr>
        <w:tabs>
          <w:tab w:val="clear" w:pos="927"/>
          <w:tab w:val="num" w:pos="426"/>
        </w:tabs>
        <w:spacing w:before="0" w:after="0"/>
        <w:ind w:hanging="927"/>
        <w:rPr>
          <w:rFonts w:cs="Arial"/>
          <w:szCs w:val="20"/>
        </w:rPr>
      </w:pPr>
      <w:r w:rsidRPr="00322698">
        <w:rPr>
          <w:rFonts w:cs="Arial"/>
          <w:szCs w:val="20"/>
        </w:rPr>
        <w:t>c</w:t>
      </w:r>
      <w:r w:rsidR="007F6DA3">
        <w:rPr>
          <w:rFonts w:cs="Arial"/>
          <w:szCs w:val="20"/>
        </w:rPr>
        <w:t>are recipients</w:t>
      </w:r>
      <w:r w:rsidRPr="00322698">
        <w:rPr>
          <w:rFonts w:cs="Arial"/>
          <w:szCs w:val="20"/>
        </w:rPr>
        <w:t xml:space="preserve"> who receive care in a residential setting; and</w:t>
      </w:r>
    </w:p>
    <w:p w14:paraId="422FE8DD" w14:textId="77777777" w:rsidR="00605BA0" w:rsidRPr="00322698" w:rsidRDefault="00605BA0" w:rsidP="00762250">
      <w:pPr>
        <w:numPr>
          <w:ilvl w:val="0"/>
          <w:numId w:val="9"/>
        </w:numPr>
        <w:tabs>
          <w:tab w:val="clear" w:pos="927"/>
          <w:tab w:val="num" w:pos="426"/>
        </w:tabs>
        <w:spacing w:before="0" w:after="200"/>
        <w:ind w:left="924" w:hanging="924"/>
        <w:rPr>
          <w:rFonts w:cs="Arial"/>
          <w:szCs w:val="20"/>
        </w:rPr>
      </w:pPr>
      <w:r w:rsidRPr="00322698">
        <w:rPr>
          <w:rFonts w:cs="Arial"/>
          <w:szCs w:val="20"/>
        </w:rPr>
        <w:t>c</w:t>
      </w:r>
      <w:r w:rsidR="007F6DA3">
        <w:rPr>
          <w:rFonts w:cs="Arial"/>
          <w:szCs w:val="20"/>
        </w:rPr>
        <w:t>are recipients</w:t>
      </w:r>
      <w:r w:rsidRPr="00322698">
        <w:rPr>
          <w:rFonts w:cs="Arial"/>
          <w:szCs w:val="20"/>
        </w:rPr>
        <w:t xml:space="preserve"> who receive care in a community setting.</w:t>
      </w:r>
    </w:p>
    <w:p w14:paraId="430535C9" w14:textId="79256AA3" w:rsidR="00605BA0" w:rsidRPr="00322698" w:rsidRDefault="00605BA0" w:rsidP="00F453A1">
      <w:r w:rsidRPr="00322698">
        <w:t xml:space="preserve">Schedule 1 </w:t>
      </w:r>
      <w:r w:rsidR="007F70C5">
        <w:t>sets out</w:t>
      </w:r>
      <w:r w:rsidR="007F70C5" w:rsidRPr="00322698">
        <w:t xml:space="preserve"> </w:t>
      </w:r>
      <w:r w:rsidRPr="00322698">
        <w:t xml:space="preserve">the basic level of care a service provider must be able to provide, if </w:t>
      </w:r>
      <w:r w:rsidR="00291BB7">
        <w:t>needed</w:t>
      </w:r>
      <w:r w:rsidRPr="00322698">
        <w:t xml:space="preserve"> by a c</w:t>
      </w:r>
      <w:r w:rsidR="007F6DA3">
        <w:t>are recipient</w:t>
      </w:r>
      <w:r w:rsidRPr="00322698">
        <w:t>.</w:t>
      </w:r>
    </w:p>
    <w:p w14:paraId="39ED2F25" w14:textId="2B78EEF8" w:rsidR="00605BA0" w:rsidRPr="00322698" w:rsidRDefault="009B621B" w:rsidP="00F453A1">
      <w:r>
        <w:t>S</w:t>
      </w:r>
      <w:r w:rsidR="00605BA0" w:rsidRPr="00322698">
        <w:t xml:space="preserve">ervices provided as part of the programme are designed to meet a </w:t>
      </w:r>
      <w:r w:rsidR="007F6DA3">
        <w:t>care recipient</w:t>
      </w:r>
      <w:r w:rsidR="007F6DA3" w:rsidRPr="00322698">
        <w:t xml:space="preserve">’s </w:t>
      </w:r>
      <w:r w:rsidR="00605BA0" w:rsidRPr="00322698">
        <w:t xml:space="preserve">daily care needs and provide additional therapeutic care to enable the </w:t>
      </w:r>
      <w:r w:rsidR="007F6DA3">
        <w:t>care recipient</w:t>
      </w:r>
      <w:r w:rsidR="007F6DA3" w:rsidRPr="00322698">
        <w:t xml:space="preserve"> </w:t>
      </w:r>
      <w:r w:rsidR="00605BA0" w:rsidRPr="00322698">
        <w:t>to maintain or improve their physical, cognitive and psycho</w:t>
      </w:r>
      <w:r w:rsidR="00EE7015">
        <w:t>-</w:t>
      </w:r>
      <w:r w:rsidR="00605BA0" w:rsidRPr="00322698">
        <w:t xml:space="preserve">social functioning, thereby improving their capacity for independent living. </w:t>
      </w:r>
    </w:p>
    <w:p w14:paraId="5B367116" w14:textId="59746E65" w:rsidR="00605BA0" w:rsidRDefault="00605BA0" w:rsidP="00F453A1">
      <w:r w:rsidRPr="00322698">
        <w:t xml:space="preserve">Therapeutic care will vary from person to person, ranging from services that improve a </w:t>
      </w:r>
      <w:r w:rsidR="007F6DA3">
        <w:t>care recipient</w:t>
      </w:r>
      <w:r w:rsidR="007F6DA3" w:rsidRPr="00322698">
        <w:t xml:space="preserve">’s </w:t>
      </w:r>
      <w:r w:rsidRPr="00322698">
        <w:t>capacity for independent living</w:t>
      </w:r>
      <w:r w:rsidR="009B621B">
        <w:t>,</w:t>
      </w:r>
      <w:r w:rsidRPr="00322698">
        <w:t xml:space="preserve"> to services that enable a </w:t>
      </w:r>
      <w:r w:rsidR="007F6DA3">
        <w:t>care recipient</w:t>
      </w:r>
      <w:r w:rsidR="007F6DA3" w:rsidRPr="00322698">
        <w:t xml:space="preserve"> </w:t>
      </w:r>
      <w:r w:rsidRPr="00322698">
        <w:t>to enter</w:t>
      </w:r>
      <w:r w:rsidR="000F6DFF">
        <w:t xml:space="preserve"> or remain in </w:t>
      </w:r>
      <w:r w:rsidRPr="00322698">
        <w:t>residential aged care at an optimum level of physical and cognitive functioning.</w:t>
      </w:r>
    </w:p>
    <w:p w14:paraId="529D403E" w14:textId="62BBEB69" w:rsidR="00B714E6" w:rsidRDefault="00C64BE2" w:rsidP="00F453A1">
      <w:r>
        <w:t>Some</w:t>
      </w:r>
      <w:r w:rsidRPr="00C64BE2">
        <w:t xml:space="preserve"> people entering transition care are likely </w:t>
      </w:r>
      <w:r w:rsidR="0022021D">
        <w:t xml:space="preserve">to </w:t>
      </w:r>
      <w:r w:rsidRPr="00C64BE2">
        <w:t>have dementia or be experiencing a level of cognitive confusion. Therefore, where needed</w:t>
      </w:r>
      <w:r w:rsidR="00880DAB">
        <w:t>,</w:t>
      </w:r>
      <w:r w:rsidRPr="00C64BE2">
        <w:t xml:space="preserve"> therapeutic care </w:t>
      </w:r>
      <w:r w:rsidR="004C4627">
        <w:t>would</w:t>
      </w:r>
      <w:r w:rsidRPr="00C64BE2">
        <w:t xml:space="preserve"> include appropriate cognitive therapy to assist with restoration or stabilisation of cognitive skills.</w:t>
      </w:r>
    </w:p>
    <w:p w14:paraId="75B66FE6" w14:textId="7068C76D" w:rsidR="00605BA0" w:rsidRPr="00322698" w:rsidRDefault="00605BA0" w:rsidP="00F453A1">
      <w:r w:rsidRPr="00322698">
        <w:t>In providing</w:t>
      </w:r>
      <w:r w:rsidR="002B621B">
        <w:t xml:space="preserve"> the</w:t>
      </w:r>
      <w:r w:rsidRPr="00322698">
        <w:t xml:space="preserve"> transition care specified care and services, the service provider must have systems in place to identify and ensure compliance with all relevant legislation, regulatory requirements, professional standards, quality </w:t>
      </w:r>
      <w:r w:rsidR="002B621B">
        <w:t>standards</w:t>
      </w:r>
      <w:r w:rsidRPr="00322698">
        <w:t xml:space="preserve"> and guidelines relevant to transition care</w:t>
      </w:r>
      <w:r w:rsidR="002B621B">
        <w:t xml:space="preserve"> service</w:t>
      </w:r>
      <w:r w:rsidRPr="00322698">
        <w:t xml:space="preserve"> provision.</w:t>
      </w:r>
    </w:p>
    <w:p w14:paraId="72EFC18A" w14:textId="16436C66" w:rsidR="00605BA0" w:rsidRPr="000D6155" w:rsidRDefault="00605BA0" w:rsidP="00605BA0">
      <w:pPr>
        <w:pStyle w:val="Heading2"/>
      </w:pPr>
      <w:bookmarkStart w:id="98" w:name="_Toc245536164"/>
      <w:bookmarkStart w:id="99" w:name="_Toc395537170"/>
      <w:bookmarkStart w:id="100" w:name="_Toc422732528"/>
      <w:bookmarkStart w:id="101" w:name="_Toc422752868"/>
      <w:bookmarkStart w:id="102" w:name="_Toc197076875"/>
      <w:r w:rsidRPr="000D6155">
        <w:t>Eligible care recipients</w:t>
      </w:r>
      <w:bookmarkEnd w:id="98"/>
      <w:bookmarkEnd w:id="99"/>
      <w:bookmarkEnd w:id="100"/>
      <w:bookmarkEnd w:id="101"/>
      <w:bookmarkEnd w:id="102"/>
    </w:p>
    <w:p w14:paraId="72E0B60D" w14:textId="7EB784EC" w:rsidR="00605BA0" w:rsidRPr="00471400" w:rsidRDefault="00605BA0" w:rsidP="00471400">
      <w:pPr>
        <w:rPr>
          <w:szCs w:val="20"/>
        </w:rPr>
      </w:pPr>
      <w:r w:rsidRPr="00471400">
        <w:rPr>
          <w:szCs w:val="20"/>
        </w:rPr>
        <w:t xml:space="preserve">Division 22 of the </w:t>
      </w:r>
      <w:r w:rsidR="00BB0515" w:rsidRPr="00471400">
        <w:rPr>
          <w:szCs w:val="20"/>
        </w:rPr>
        <w:t>Act</w:t>
      </w:r>
      <w:r w:rsidRPr="00471400">
        <w:rPr>
          <w:szCs w:val="20"/>
        </w:rPr>
        <w:t xml:space="preserve"> sets out how a person becomes approved as a care recipient. Section 8 of the </w:t>
      </w:r>
      <w:r w:rsidRPr="00770E8B">
        <w:rPr>
          <w:i/>
          <w:iCs/>
          <w:szCs w:val="20"/>
        </w:rPr>
        <w:t xml:space="preserve">Approval of Care Recipients Principles 2014 </w:t>
      </w:r>
      <w:r w:rsidRPr="00471400">
        <w:rPr>
          <w:szCs w:val="20"/>
        </w:rPr>
        <w:t>states the requirements a person must meet to be eligible for transition care.</w:t>
      </w:r>
    </w:p>
    <w:p w14:paraId="0B821866" w14:textId="51BD8EA3" w:rsidR="00605BA0" w:rsidRPr="005B043A" w:rsidRDefault="005664C7" w:rsidP="000F25B7">
      <w:r w:rsidRPr="005B043A">
        <w:t xml:space="preserve">To </w:t>
      </w:r>
      <w:r w:rsidR="00041454" w:rsidRPr="005B043A">
        <w:t>be</w:t>
      </w:r>
      <w:r w:rsidRPr="005B043A">
        <w:t xml:space="preserve"> eligible for transition care, the person must be an admitted patient of a public or private hospital</w:t>
      </w:r>
      <w:r w:rsidR="0086289C">
        <w:t xml:space="preserve">, </w:t>
      </w:r>
      <w:r w:rsidR="00AA31AB">
        <w:t>receive a comprehensive assessment from a clinical aged care needs assessor</w:t>
      </w:r>
      <w:r w:rsidR="00AA31AB" w:rsidRPr="00354A26">
        <w:t xml:space="preserve"> and</w:t>
      </w:r>
      <w:r w:rsidR="00AA31AB">
        <w:t xml:space="preserve"> be </w:t>
      </w:r>
      <w:r w:rsidR="00AA31AB" w:rsidRPr="00354A26">
        <w:t>approved for transition care by a</w:t>
      </w:r>
      <w:r w:rsidR="00AA31AB">
        <w:t>n assessment delegate</w:t>
      </w:r>
      <w:r w:rsidRPr="005B043A">
        <w:t>. For the purposes of transition care, an admitted patient includes people receiving hospital-in-the-home.</w:t>
      </w:r>
      <w:r w:rsidR="00001A61" w:rsidRPr="005B043A">
        <w:t xml:space="preserve"> </w:t>
      </w:r>
      <w:r w:rsidR="00605BA0" w:rsidRPr="00CD0C26">
        <w:rPr>
          <w:shd w:val="clear" w:color="auto" w:fill="FFFFFF" w:themeFill="background1"/>
        </w:rPr>
        <w:t xml:space="preserve">The </w:t>
      </w:r>
      <w:r w:rsidR="001A4A09">
        <w:t xml:space="preserve">clinical aged care needs </w:t>
      </w:r>
      <w:r w:rsidR="00826E88">
        <w:t>assessor</w:t>
      </w:r>
      <w:r w:rsidR="00826E88" w:rsidRPr="00CD0C26" w:rsidDel="001A4A09">
        <w:rPr>
          <w:shd w:val="clear" w:color="auto" w:fill="FFFFFF" w:themeFill="background1"/>
        </w:rPr>
        <w:t xml:space="preserve"> </w:t>
      </w:r>
      <w:r w:rsidR="00826E88" w:rsidRPr="005B043A">
        <w:t>may</w:t>
      </w:r>
      <w:r w:rsidR="00605BA0" w:rsidRPr="005B043A">
        <w:t xml:space="preserve"> need to assess the person in consultation with the hospital geriatric rehabilitation service or members of the multidisciplinary team treating the person (which may include the treating physician, a registered nurse, occupational therapist, physiotherapist, social worker or </w:t>
      </w:r>
      <w:r w:rsidR="00B974BE" w:rsidRPr="005B043A">
        <w:t xml:space="preserve">a health professional from another </w:t>
      </w:r>
      <w:r w:rsidR="00605BA0" w:rsidRPr="005B043A">
        <w:t>allied health discipline), as well as carers, representative</w:t>
      </w:r>
      <w:r w:rsidR="00B974BE" w:rsidRPr="005B043A">
        <w:t>s</w:t>
      </w:r>
      <w:r w:rsidR="00605BA0" w:rsidRPr="005B043A">
        <w:t xml:space="preserve"> or family members as appropriate.</w:t>
      </w:r>
    </w:p>
    <w:p w14:paraId="77FDFA17" w14:textId="543CBD83" w:rsidR="00E432D4" w:rsidRPr="00F82C68" w:rsidRDefault="00605BA0" w:rsidP="000F25B7">
      <w:r w:rsidRPr="005B043A">
        <w:t xml:space="preserve">In assessing a person’s eligibility for transition care, the </w:t>
      </w:r>
      <w:r w:rsidR="001A4A09">
        <w:t xml:space="preserve">clinical aged care needs </w:t>
      </w:r>
      <w:r w:rsidR="00987796">
        <w:t>assessor</w:t>
      </w:r>
      <w:r w:rsidR="00987796" w:rsidRPr="00CD0C26" w:rsidDel="001A4A09">
        <w:t xml:space="preserve"> </w:t>
      </w:r>
      <w:r w:rsidR="00987796" w:rsidRPr="005B043A">
        <w:t>must</w:t>
      </w:r>
      <w:r w:rsidRPr="005B043A">
        <w:t xml:space="preserve"> use the eligibility criteria listed at section </w:t>
      </w:r>
      <w:r w:rsidRPr="005B043A">
        <w:rPr>
          <w:i/>
        </w:rPr>
        <w:t>3.4.3</w:t>
      </w:r>
      <w:r w:rsidRPr="005B043A">
        <w:t xml:space="preserve"> </w:t>
      </w:r>
      <w:r w:rsidRPr="005B043A">
        <w:rPr>
          <w:i/>
        </w:rPr>
        <w:t>Assessment process for transition care</w:t>
      </w:r>
      <w:r w:rsidRPr="005B043A">
        <w:t>.</w:t>
      </w:r>
      <w:r w:rsidR="0096425C" w:rsidRPr="005B043A">
        <w:t xml:space="preserve"> </w:t>
      </w:r>
      <w:r w:rsidRPr="005B043A">
        <w:t xml:space="preserve">The </w:t>
      </w:r>
      <w:r w:rsidR="003559F5">
        <w:t>assessment delegate</w:t>
      </w:r>
      <w:r w:rsidR="000E0C40">
        <w:t xml:space="preserve"> </w:t>
      </w:r>
      <w:r w:rsidRPr="005B043A">
        <w:t>will only</w:t>
      </w:r>
      <w:r w:rsidRPr="00F82C68">
        <w:t xml:space="preserve"> approve a person for transition care if the person meets the eligibility criteria</w:t>
      </w:r>
      <w:r w:rsidR="00064BEB">
        <w:t>,</w:t>
      </w:r>
      <w:r w:rsidRPr="00F82C68">
        <w:t xml:space="preserve"> and</w:t>
      </w:r>
      <w:r w:rsidR="00E432D4" w:rsidRPr="005E49FE">
        <w:t>:</w:t>
      </w:r>
    </w:p>
    <w:p w14:paraId="30AEA8E6" w14:textId="4FA3F63E" w:rsidR="00E432D4" w:rsidRPr="005C2A73" w:rsidRDefault="00E432D4" w:rsidP="00E330E4">
      <w:pPr>
        <w:pStyle w:val="ListBullet"/>
      </w:pPr>
      <w:r w:rsidRPr="005C2A73">
        <w:t xml:space="preserve">If transition care is to be delivered in a residential care setting, the person </w:t>
      </w:r>
      <w:r w:rsidR="006E4BCE">
        <w:t>must</w:t>
      </w:r>
      <w:r w:rsidRPr="005C2A73">
        <w:t xml:space="preserve"> enter care immediately (within 24 hours) on discharge from </w:t>
      </w:r>
      <w:proofErr w:type="gramStart"/>
      <w:r w:rsidRPr="005C2A73">
        <w:t>hospital</w:t>
      </w:r>
      <w:r w:rsidR="00BF2A64">
        <w:t>;</w:t>
      </w:r>
      <w:proofErr w:type="gramEnd"/>
    </w:p>
    <w:p w14:paraId="36C2DC81" w14:textId="6EEE805A" w:rsidR="008B20C9" w:rsidRPr="008B20C9" w:rsidRDefault="00207444" w:rsidP="00E330E4">
      <w:pPr>
        <w:pStyle w:val="ListBullet"/>
        <w:rPr>
          <w:rFonts w:ascii="Times New Roman" w:hAnsi="Times New Roman"/>
          <w:b/>
          <w:bCs/>
          <w:spacing w:val="0"/>
          <w:szCs w:val="20"/>
          <w:lang w:val="en-GB"/>
        </w:rPr>
      </w:pPr>
      <w:r w:rsidRPr="005C2A73">
        <w:rPr>
          <w:rFonts w:cs="Arial"/>
          <w:szCs w:val="20"/>
        </w:rPr>
        <w:t>If transition care is to be delivered in a home</w:t>
      </w:r>
      <w:r w:rsidR="001D4026" w:rsidRPr="00CD0C26">
        <w:rPr>
          <w:rFonts w:cs="Arial"/>
          <w:szCs w:val="20"/>
        </w:rPr>
        <w:t>/community</w:t>
      </w:r>
      <w:r w:rsidRPr="005C2A73">
        <w:rPr>
          <w:rFonts w:cs="Arial"/>
          <w:szCs w:val="20"/>
        </w:rPr>
        <w:t xml:space="preserve"> setting, the person </w:t>
      </w:r>
      <w:r w:rsidR="0071043D">
        <w:rPr>
          <w:rFonts w:cs="Arial"/>
          <w:szCs w:val="20"/>
        </w:rPr>
        <w:t>must</w:t>
      </w:r>
      <w:r w:rsidRPr="005C2A73">
        <w:rPr>
          <w:rFonts w:cs="Arial"/>
          <w:szCs w:val="20"/>
        </w:rPr>
        <w:t xml:space="preserve"> enter care within 48</w:t>
      </w:r>
      <w:r w:rsidR="00B75ADB" w:rsidRPr="005C2A73">
        <w:rPr>
          <w:rFonts w:cs="Arial"/>
          <w:szCs w:val="20"/>
        </w:rPr>
        <w:t> </w:t>
      </w:r>
      <w:r w:rsidR="00BE5D06" w:rsidRPr="005C2A73">
        <w:rPr>
          <w:rFonts w:cs="Arial"/>
          <w:szCs w:val="20"/>
        </w:rPr>
        <w:t>hours of</w:t>
      </w:r>
      <w:r w:rsidRPr="005C2A73">
        <w:rPr>
          <w:rFonts w:cs="Arial"/>
          <w:szCs w:val="20"/>
        </w:rPr>
        <w:t xml:space="preserve"> </w:t>
      </w:r>
      <w:r w:rsidR="008F402C">
        <w:rPr>
          <w:rFonts w:cs="Arial"/>
          <w:szCs w:val="20"/>
        </w:rPr>
        <w:t xml:space="preserve">their </w:t>
      </w:r>
      <w:r w:rsidR="000847A1">
        <w:rPr>
          <w:rFonts w:cs="Arial"/>
          <w:szCs w:val="20"/>
        </w:rPr>
        <w:t xml:space="preserve">date of </w:t>
      </w:r>
      <w:r w:rsidRPr="005C2A73">
        <w:rPr>
          <w:rFonts w:cs="Arial"/>
          <w:szCs w:val="20"/>
        </w:rPr>
        <w:t>discharge from hospital. Health services remain responsible for ensuring safe discharge practices are followed and as such, be confident the discharging patient will be adequately supported for the period prior to entry into home</w:t>
      </w:r>
      <w:r w:rsidR="00415A90" w:rsidRPr="00CD0C26">
        <w:rPr>
          <w:rFonts w:cs="Arial"/>
          <w:szCs w:val="20"/>
        </w:rPr>
        <w:t>/community</w:t>
      </w:r>
      <w:r w:rsidRPr="005C2A73">
        <w:rPr>
          <w:rFonts w:cs="Arial"/>
          <w:szCs w:val="20"/>
        </w:rPr>
        <w:t>-based TCP</w:t>
      </w:r>
      <w:r w:rsidR="0058119B">
        <w:rPr>
          <w:rFonts w:cs="Arial"/>
          <w:szCs w:val="20"/>
        </w:rPr>
        <w:t>; or</w:t>
      </w:r>
    </w:p>
    <w:p w14:paraId="6C44042E" w14:textId="0A458A1F" w:rsidR="00207444" w:rsidRPr="005C2A73" w:rsidRDefault="00207444" w:rsidP="00AE6BD2">
      <w:pPr>
        <w:pStyle w:val="ListBullet"/>
        <w:numPr>
          <w:ilvl w:val="0"/>
          <w:numId w:val="0"/>
        </w:numPr>
        <w:rPr>
          <w:rFonts w:ascii="Times New Roman" w:hAnsi="Times New Roman"/>
          <w:b/>
          <w:bCs/>
          <w:spacing w:val="0"/>
          <w:szCs w:val="20"/>
          <w:lang w:val="en-GB"/>
        </w:rPr>
      </w:pPr>
    </w:p>
    <w:p w14:paraId="2033FC79" w14:textId="123CE0CB" w:rsidR="002E4931" w:rsidRPr="0082296A" w:rsidRDefault="00F82C68" w:rsidP="000F25B7">
      <w:r>
        <w:t xml:space="preserve">Further to specifications included in the below categories, eligibility to access transition care will also be impacted if a person is accessing other forms of aged care assistance. See section </w:t>
      </w:r>
      <w:r w:rsidRPr="0082296A">
        <w:rPr>
          <w:i/>
        </w:rPr>
        <w:t>3.5.4 Existing recipients of residential or home care</w:t>
      </w:r>
      <w:r>
        <w:t>.</w:t>
      </w:r>
    </w:p>
    <w:p w14:paraId="188DB736" w14:textId="1CC769D6" w:rsidR="00605BA0" w:rsidRPr="000D6155" w:rsidRDefault="00605BA0">
      <w:pPr>
        <w:pStyle w:val="Heading3withoutnumbering"/>
      </w:pPr>
      <w:bookmarkStart w:id="103" w:name="_Toc395537171"/>
      <w:bookmarkStart w:id="104" w:name="_Toc422732529"/>
      <w:bookmarkStart w:id="105" w:name="_Toc422752869"/>
      <w:bookmarkStart w:id="106" w:name="_Toc197076876"/>
      <w:r w:rsidRPr="000D6155">
        <w:t>Aboriginal and Torres Strait Islander people</w:t>
      </w:r>
      <w:bookmarkEnd w:id="103"/>
      <w:bookmarkEnd w:id="104"/>
      <w:bookmarkEnd w:id="105"/>
      <w:bookmarkEnd w:id="106"/>
    </w:p>
    <w:p w14:paraId="0FBA49C5" w14:textId="39AA1BAD" w:rsidR="00605BA0" w:rsidRDefault="00605BA0" w:rsidP="000F25B7">
      <w:r w:rsidRPr="00322698">
        <w:t xml:space="preserve">The expansion of the programme from 2,000 to 4,000 places </w:t>
      </w:r>
      <w:r w:rsidR="004715CB">
        <w:t>in</w:t>
      </w:r>
      <w:r w:rsidRPr="00322698">
        <w:t xml:space="preserve"> 2011-12 included a commitment to improve access </w:t>
      </w:r>
      <w:r w:rsidR="006A66B0">
        <w:t>for</w:t>
      </w:r>
      <w:r w:rsidRPr="00322698">
        <w:t xml:space="preserve"> Aboriginal and Torres Strait Islander people. </w:t>
      </w:r>
      <w:r w:rsidR="004715CB">
        <w:t>A</w:t>
      </w:r>
      <w:r w:rsidRPr="00322698">
        <w:t xml:space="preserve">pproved providers must manage the delivery of transition care to ensure Aboriginal and Torres Strait Islander people </w:t>
      </w:r>
      <w:r w:rsidR="004715CB">
        <w:t>have equ</w:t>
      </w:r>
      <w:r w:rsidR="001F5AB9">
        <w:t xml:space="preserve">itable </w:t>
      </w:r>
      <w:r w:rsidR="004715CB">
        <w:t>access to</w:t>
      </w:r>
      <w:r w:rsidRPr="00322698">
        <w:t xml:space="preserve"> the programme.</w:t>
      </w:r>
    </w:p>
    <w:p w14:paraId="78ACB20D" w14:textId="278F3D58" w:rsidR="00605BA0" w:rsidRPr="00CE192A" w:rsidRDefault="00605BA0" w:rsidP="000F25B7">
      <w:r w:rsidRPr="00322698">
        <w:t>An expected outcome of the programme in each state and territory is that the proportion of Aboriginal and Torres Strait Islander people assessed as eligible for transition care who subsequently receive transition care is no less than the proportion of non-Indigenous people assessed as eligible for transition care who subsequently receive transition care.</w:t>
      </w:r>
    </w:p>
    <w:p w14:paraId="1437925D" w14:textId="1EE3C5CE" w:rsidR="00605BA0" w:rsidRPr="000D6155" w:rsidRDefault="00605BA0">
      <w:pPr>
        <w:pStyle w:val="Heading3withoutnumbering"/>
      </w:pPr>
      <w:bookmarkStart w:id="107" w:name="_Toc395537172"/>
      <w:bookmarkStart w:id="108" w:name="_Toc422732530"/>
      <w:bookmarkStart w:id="109" w:name="_Toc422752870"/>
      <w:bookmarkStart w:id="110" w:name="_Toc197076877"/>
      <w:r w:rsidRPr="000D6155">
        <w:lastRenderedPageBreak/>
        <w:t>Older people with dementia</w:t>
      </w:r>
      <w:bookmarkEnd w:id="107"/>
      <w:bookmarkEnd w:id="108"/>
      <w:bookmarkEnd w:id="109"/>
      <w:bookmarkEnd w:id="110"/>
    </w:p>
    <w:p w14:paraId="32F6B428" w14:textId="28D086F4" w:rsidR="00BC53E9" w:rsidRPr="00BC53E9" w:rsidRDefault="00127529" w:rsidP="000F25B7">
      <w:r w:rsidRPr="007C280D">
        <w:t>Each person’s experience with dementia is unique and some older people with dementia may benefit from tailored care when transitioning from a hospital stay to their usual place of residence</w:t>
      </w:r>
      <w:r w:rsidR="002B621B">
        <w:t xml:space="preserve"> or another care setting</w:t>
      </w:r>
      <w:r w:rsidRPr="007C280D">
        <w:t xml:space="preserve">. </w:t>
      </w:r>
      <w:r w:rsidR="00584A96" w:rsidRPr="007C280D">
        <w:t>P</w:t>
      </w:r>
      <w:r w:rsidR="00605BA0" w:rsidRPr="007C280D">
        <w:t xml:space="preserve">eople </w:t>
      </w:r>
      <w:r w:rsidR="00605BA0" w:rsidRPr="00322698">
        <w:t xml:space="preserve">with dementia who are assessed by the </w:t>
      </w:r>
      <w:r w:rsidR="00B71E76">
        <w:t xml:space="preserve">clinically </w:t>
      </w:r>
      <w:r w:rsidR="001E39D7">
        <w:t>qualified aged care assessor</w:t>
      </w:r>
      <w:r w:rsidR="00605BA0" w:rsidRPr="00322698">
        <w:t xml:space="preserve"> as able to benefit from the therapies and support provided by the programme are eligible to participate. For older people with dementia who are unable to express their care goals, the development of care goals should involve the person’s family, carer and/or representative </w:t>
      </w:r>
      <w:r w:rsidR="003629D6">
        <w:t>(</w:t>
      </w:r>
      <w:r w:rsidR="00536362">
        <w:t>s</w:t>
      </w:r>
      <w:r w:rsidR="00605BA0" w:rsidRPr="00322698">
        <w:t xml:space="preserve">ee also section </w:t>
      </w:r>
      <w:r w:rsidR="00605BA0" w:rsidRPr="00DF12F7">
        <w:rPr>
          <w:i/>
        </w:rPr>
        <w:t>2.4</w:t>
      </w:r>
      <w:r w:rsidR="00605BA0" w:rsidRPr="00322698">
        <w:rPr>
          <w:i/>
        </w:rPr>
        <w:t xml:space="preserve"> Funding and management of the </w:t>
      </w:r>
      <w:r w:rsidR="00DD6DA8">
        <w:rPr>
          <w:i/>
        </w:rPr>
        <w:t>Transition Care P</w:t>
      </w:r>
      <w:r w:rsidR="00605BA0" w:rsidRPr="00322698">
        <w:rPr>
          <w:i/>
        </w:rPr>
        <w:t>rogramme</w:t>
      </w:r>
      <w:r w:rsidR="003629D6" w:rsidRPr="00E10CFE">
        <w:t>)</w:t>
      </w:r>
      <w:r w:rsidR="00605BA0" w:rsidRPr="00322698">
        <w:rPr>
          <w:i/>
        </w:rPr>
        <w:t>.</w:t>
      </w:r>
    </w:p>
    <w:p w14:paraId="3D6A291D" w14:textId="19BEA51C" w:rsidR="00BC53E9" w:rsidRPr="00B71E76" w:rsidRDefault="00BC53E9" w:rsidP="009E5D9A">
      <w:pPr>
        <w:pStyle w:val="Heading3withoutnumbering"/>
        <w:ind w:left="567" w:hanging="567"/>
        <w:rPr>
          <w:b w:val="0"/>
        </w:rPr>
      </w:pPr>
      <w:bookmarkStart w:id="111" w:name="_Toc197076878"/>
      <w:r w:rsidRPr="00B71E76">
        <w:t xml:space="preserve">National Disability Insurance Scheme (NDIS) </w:t>
      </w:r>
      <w:r w:rsidR="00CF17B1" w:rsidRPr="00B71E76">
        <w:t>Client Eligibility</w:t>
      </w:r>
      <w:bookmarkEnd w:id="111"/>
    </w:p>
    <w:p w14:paraId="395185B2" w14:textId="2A712BA0" w:rsidR="00E74DBC" w:rsidRDefault="003A6D92" w:rsidP="000F25B7">
      <w:r>
        <w:t>For</w:t>
      </w:r>
      <w:r w:rsidR="00E74DBC">
        <w:t xml:space="preserve"> a younger person to access the TCP, there must be no other care facilities or care services more appropriate to meet the person’s needs. As a last resort, a younger person (including NDIS participants) may be able to access TCP services, where other services are inappropriate or unavailable.</w:t>
      </w:r>
    </w:p>
    <w:p w14:paraId="6B1B5683" w14:textId="5FE75ABD" w:rsidR="00E74DBC" w:rsidRDefault="00E74DBC" w:rsidP="000F25B7">
      <w:r>
        <w:t xml:space="preserve">In this situation, the individual should have evidence that clearly demonstrates that all other options have been tested, including NDIS eligibility where appropriate, or, for existing NDIS participants, </w:t>
      </w:r>
      <w:r w:rsidR="00BE6E55">
        <w:t xml:space="preserve">they should </w:t>
      </w:r>
      <w:r>
        <w:t>contact the National Disability Insurance Agency (NDIA) to explore whether their existing NDIS plan could be used to fund supports or whether it requires review.</w:t>
      </w:r>
    </w:p>
    <w:p w14:paraId="42F0F1C2" w14:textId="00D9283A" w:rsidR="00E74DBC" w:rsidRDefault="00E74DBC" w:rsidP="000F25B7">
      <w:r>
        <w:t>To be eligible for TCP, an individual will need to</w:t>
      </w:r>
      <w:r w:rsidR="00860E92">
        <w:t xml:space="preserve"> be approved by a</w:t>
      </w:r>
      <w:r w:rsidR="00F725FC">
        <w:t>n</w:t>
      </w:r>
      <w:r w:rsidR="00B71E76">
        <w:t xml:space="preserve"> </w:t>
      </w:r>
      <w:r w:rsidR="00863C9F">
        <w:t>assessment delegate</w:t>
      </w:r>
      <w:r w:rsidR="00860E92">
        <w:t xml:space="preserve"> and meet the specific eligibility requirements for transition care. </w:t>
      </w:r>
    </w:p>
    <w:p w14:paraId="200DAD1C" w14:textId="278ED06C" w:rsidR="00E407F6" w:rsidRPr="00CE192A" w:rsidRDefault="00BC53E9" w:rsidP="000F25B7">
      <w:r w:rsidRPr="00BC53E9">
        <w:t>Where people are receiving services under both programs at the same time, it is expected that providers will coordinate care to ensure that there</w:t>
      </w:r>
      <w:r w:rsidR="00A77576">
        <w:t xml:space="preserve"> is no duplication of services.</w:t>
      </w:r>
    </w:p>
    <w:p w14:paraId="2E00C891" w14:textId="20BCB76F" w:rsidR="00605BA0" w:rsidRPr="000D6155" w:rsidRDefault="00605BA0" w:rsidP="00605BA0">
      <w:pPr>
        <w:pStyle w:val="Heading3withoutnumbering"/>
      </w:pPr>
      <w:bookmarkStart w:id="112" w:name="_Toc395537174"/>
      <w:bookmarkStart w:id="113" w:name="_Toc422732532"/>
      <w:bookmarkStart w:id="114" w:name="_Toc422752872"/>
      <w:bookmarkStart w:id="115" w:name="_Toc197076879"/>
      <w:r w:rsidRPr="000D6155">
        <w:t>Older people who usually reside interstate</w:t>
      </w:r>
      <w:bookmarkEnd w:id="112"/>
      <w:bookmarkEnd w:id="113"/>
      <w:bookmarkEnd w:id="114"/>
      <w:bookmarkEnd w:id="115"/>
    </w:p>
    <w:p w14:paraId="6F1B1D58" w14:textId="472B9FEB" w:rsidR="00605BA0" w:rsidRPr="00322698" w:rsidRDefault="00605BA0" w:rsidP="000F25B7">
      <w:r w:rsidRPr="00322698">
        <w:t xml:space="preserve">The eligibility provisions for transition care under the </w:t>
      </w:r>
      <w:r w:rsidRPr="00E10CFE">
        <w:t>A</w:t>
      </w:r>
      <w:r w:rsidR="00DB58EE" w:rsidRPr="00E10CFE">
        <w:t>ct</w:t>
      </w:r>
      <w:r w:rsidR="00DB58EE">
        <w:rPr>
          <w:i/>
        </w:rPr>
        <w:t xml:space="preserve"> </w:t>
      </w:r>
      <w:r w:rsidRPr="00322698">
        <w:t xml:space="preserve">do not restrict provision of care based on where care recipients live, or where they are assessed. Older people who are not residents of a particular state, territory or region can access transition care services in that state, </w:t>
      </w:r>
      <w:r w:rsidR="007A488E" w:rsidRPr="00322698">
        <w:t>territory,</w:t>
      </w:r>
      <w:r w:rsidRPr="00322698">
        <w:t xml:space="preserve"> or region in particular circumstances. For example, a care recipient transferred to a tertiary hospital away from </w:t>
      </w:r>
      <w:r w:rsidRPr="00431DE0">
        <w:t xml:space="preserve">their usual place of residence to access specialist care can be discharged to a transition care service in another location, based on their follow-up arrangements with their family, carer and/or representative. It is important transition care commences immediately on discharge from hospital </w:t>
      </w:r>
      <w:r w:rsidR="00E432D4" w:rsidRPr="00431DE0">
        <w:t>if the person is entering transition care in a residential care setting, or within 48</w:t>
      </w:r>
      <w:r w:rsidR="007A488E">
        <w:t> </w:t>
      </w:r>
      <w:r w:rsidR="00E432D4" w:rsidRPr="00431DE0">
        <w:t>hours if the person is to receive transition care in their own home</w:t>
      </w:r>
      <w:r w:rsidR="00E432D4" w:rsidRPr="00536362">
        <w:t xml:space="preserve"> </w:t>
      </w:r>
      <w:r w:rsidRPr="00431DE0">
        <w:t xml:space="preserve">(see also section </w:t>
      </w:r>
      <w:r w:rsidRPr="00431DE0">
        <w:rPr>
          <w:i/>
        </w:rPr>
        <w:t>3.5.5 Movement between care settings and services</w:t>
      </w:r>
      <w:r w:rsidRPr="00431DE0">
        <w:t>).</w:t>
      </w:r>
    </w:p>
    <w:p w14:paraId="7E419B6C" w14:textId="433A22CB" w:rsidR="00605BA0" w:rsidRPr="000D6155" w:rsidRDefault="00E432D4" w:rsidP="00605BA0">
      <w:pPr>
        <w:pStyle w:val="Heading3withoutnumbering"/>
      </w:pPr>
      <w:bookmarkStart w:id="116" w:name="_Toc395537175"/>
      <w:bookmarkStart w:id="117" w:name="_Toc422732533"/>
      <w:bookmarkStart w:id="118" w:name="_Toc422752873"/>
      <w:bookmarkStart w:id="119" w:name="_Toc197076880"/>
      <w:r>
        <w:t>Non-Australian residents and ol</w:t>
      </w:r>
      <w:r w:rsidR="00605BA0" w:rsidRPr="000D6155">
        <w:t>der people from overseas</w:t>
      </w:r>
      <w:bookmarkEnd w:id="116"/>
      <w:bookmarkEnd w:id="117"/>
      <w:bookmarkEnd w:id="118"/>
      <w:bookmarkEnd w:id="119"/>
    </w:p>
    <w:p w14:paraId="35F47226" w14:textId="25E8FCBC" w:rsidR="00605BA0" w:rsidRDefault="00E432D4" w:rsidP="000F25B7">
      <w:r>
        <w:t>Non-Australian residents and o</w:t>
      </w:r>
      <w:r w:rsidR="00605BA0" w:rsidRPr="00322698">
        <w:t xml:space="preserve">lder people from overseas can access the programme if they are assessed and approved as eligible using the same criteria as other </w:t>
      </w:r>
      <w:r w:rsidR="004D45E7">
        <w:t>clients</w:t>
      </w:r>
      <w:r w:rsidR="00FD2F0F">
        <w:t xml:space="preserve"> by a</w:t>
      </w:r>
      <w:r w:rsidR="00ED5172">
        <w:t xml:space="preserve"> clini</w:t>
      </w:r>
      <w:r w:rsidR="00E71CEB">
        <w:t xml:space="preserve">cal </w:t>
      </w:r>
      <w:r w:rsidR="00FD2F0F">
        <w:t>aged care assessor</w:t>
      </w:r>
      <w:r w:rsidR="00605BA0" w:rsidRPr="00322698">
        <w:t>. I</w:t>
      </w:r>
      <w:r w:rsidR="00F36B46">
        <w:t>mportantly,</w:t>
      </w:r>
      <w:r w:rsidR="00605BA0" w:rsidRPr="00322698">
        <w:t xml:space="preserve"> people who are not permanent residents of Australia may not be eligible for </w:t>
      </w:r>
      <w:r w:rsidR="002B621B">
        <w:t xml:space="preserve">the PBS and </w:t>
      </w:r>
      <w:r w:rsidR="007A488E" w:rsidRPr="00322698">
        <w:t>Medicar</w:t>
      </w:r>
      <w:r w:rsidR="007A488E">
        <w:t>e and</w:t>
      </w:r>
      <w:r w:rsidR="00605BA0" w:rsidRPr="00322698">
        <w:t xml:space="preserve"> would thus be responsible for meeting their own medical and pharmaceutical expenses while in transition care.</w:t>
      </w:r>
      <w:r w:rsidR="002832FD">
        <w:t xml:space="preserve"> There are several countries, </w:t>
      </w:r>
      <w:r w:rsidR="007107E9">
        <w:t>h</w:t>
      </w:r>
      <w:r w:rsidR="002832FD">
        <w:t>ow</w:t>
      </w:r>
      <w:r w:rsidR="007107E9">
        <w:t>ever</w:t>
      </w:r>
      <w:r w:rsidR="00605BA0" w:rsidRPr="00322698">
        <w:t>, with which Australia has reciprocal health agreements, and people from these countries may be eligible for Medicare</w:t>
      </w:r>
      <w:r w:rsidR="00601748">
        <w:t xml:space="preserve"> and PBS medicines</w:t>
      </w:r>
      <w:r w:rsidR="00605BA0" w:rsidRPr="00322698">
        <w:t xml:space="preserve">. Further information is available on the </w:t>
      </w:r>
      <w:hyperlink r:id="rId25" w:history="1">
        <w:r w:rsidR="00605BA0" w:rsidRPr="00497E92">
          <w:rPr>
            <w:rStyle w:val="Hyperlink"/>
            <w:sz w:val="20"/>
            <w:szCs w:val="20"/>
          </w:rPr>
          <w:t>Services</w:t>
        </w:r>
        <w:r w:rsidR="00E3045C">
          <w:rPr>
            <w:rStyle w:val="Hyperlink"/>
            <w:sz w:val="20"/>
            <w:szCs w:val="20"/>
          </w:rPr>
          <w:t xml:space="preserve"> Australia</w:t>
        </w:r>
        <w:r w:rsidR="00605BA0" w:rsidRPr="00497E92">
          <w:rPr>
            <w:rStyle w:val="Hyperlink"/>
            <w:sz w:val="20"/>
            <w:szCs w:val="20"/>
          </w:rPr>
          <w:t xml:space="preserve"> website</w:t>
        </w:r>
      </w:hyperlink>
      <w:r w:rsidR="00605BA0" w:rsidRPr="00497E92">
        <w:t>.</w:t>
      </w:r>
    </w:p>
    <w:p w14:paraId="7DCBF5A4" w14:textId="54D38BDE" w:rsidR="00896884" w:rsidRDefault="00896884" w:rsidP="000F25B7">
      <w:r>
        <w:t xml:space="preserve">Where a </w:t>
      </w:r>
      <w:r w:rsidR="007F6DA3">
        <w:t>person</w:t>
      </w:r>
      <w:r>
        <w:t xml:space="preserve"> from overseas enters the </w:t>
      </w:r>
      <w:r w:rsidR="003A6D92">
        <w:t>programme and</w:t>
      </w:r>
      <w:r>
        <w:t xml:space="preserve"> decides to meet their own expenses </w:t>
      </w:r>
      <w:proofErr w:type="gramStart"/>
      <w:r>
        <w:t>as a result of</w:t>
      </w:r>
      <w:proofErr w:type="gramEnd"/>
      <w:r>
        <w:t xml:space="preserve"> being ineligible for</w:t>
      </w:r>
      <w:r w:rsidR="00CF1696">
        <w:t xml:space="preserve"> the PBS or</w:t>
      </w:r>
      <w:r>
        <w:t xml:space="preserve"> Medicare, a service may still claim the flexible care subsidy in respect to the provision o</w:t>
      </w:r>
      <w:r w:rsidR="007F6DA3">
        <w:t xml:space="preserve">f transition care </w:t>
      </w:r>
      <w:r w:rsidR="00886E88">
        <w:t>for</w:t>
      </w:r>
      <w:r w:rsidR="007F6DA3">
        <w:t xml:space="preserve"> that care recipient</w:t>
      </w:r>
      <w:r>
        <w:t xml:space="preserve">. Services </w:t>
      </w:r>
      <w:r w:rsidR="00886E88">
        <w:t>must</w:t>
      </w:r>
      <w:r>
        <w:t xml:space="preserve"> inform such </w:t>
      </w:r>
      <w:r w:rsidR="007F6DA3">
        <w:t>care recipient</w:t>
      </w:r>
      <w:r>
        <w:t>s of their responsibility to meet these costs before they enter the programme.</w:t>
      </w:r>
    </w:p>
    <w:p w14:paraId="149B8C9E" w14:textId="3179D210" w:rsidR="00F554D4" w:rsidRDefault="00605BA0" w:rsidP="00322698">
      <w:pPr>
        <w:autoSpaceDE w:val="0"/>
        <w:autoSpaceDN w:val="0"/>
        <w:adjustRightInd w:val="0"/>
        <w:spacing w:before="0" w:after="0"/>
        <w:rPr>
          <w:szCs w:val="20"/>
        </w:rPr>
      </w:pPr>
      <w:r w:rsidRPr="00322698">
        <w:rPr>
          <w:szCs w:val="20"/>
        </w:rPr>
        <w:t xml:space="preserve">These guidelines, including section </w:t>
      </w:r>
      <w:r w:rsidR="00452726">
        <w:rPr>
          <w:i/>
          <w:szCs w:val="20"/>
        </w:rPr>
        <w:t>5</w:t>
      </w:r>
      <w:r w:rsidRPr="00322698">
        <w:rPr>
          <w:i/>
          <w:szCs w:val="20"/>
        </w:rPr>
        <w:t>.6 Fees payable by care recipients,</w:t>
      </w:r>
      <w:r w:rsidRPr="00322698">
        <w:rPr>
          <w:szCs w:val="20"/>
        </w:rPr>
        <w:t xml:space="preserve"> apply </w:t>
      </w:r>
      <w:r w:rsidR="00E432D4">
        <w:rPr>
          <w:szCs w:val="20"/>
        </w:rPr>
        <w:t>in respect of all people seeking to access TCP.</w:t>
      </w:r>
    </w:p>
    <w:p w14:paraId="7A24013B" w14:textId="77777777" w:rsidR="005313EF" w:rsidRDefault="005313EF">
      <w:pPr>
        <w:spacing w:before="0" w:after="200" w:line="276" w:lineRule="auto"/>
        <w:rPr>
          <w:rFonts w:ascii="Georgia" w:eastAsiaTheme="majorEastAsia" w:hAnsi="Georgia" w:cstheme="majorBidi"/>
          <w:bCs/>
          <w:color w:val="005A70"/>
          <w:sz w:val="32"/>
          <w:szCs w:val="26"/>
        </w:rPr>
      </w:pPr>
      <w:bookmarkStart w:id="120" w:name="_Toc395537176"/>
      <w:bookmarkStart w:id="121" w:name="_Toc422732534"/>
      <w:bookmarkStart w:id="122" w:name="_Toc422752874"/>
      <w:r>
        <w:br w:type="page"/>
      </w:r>
    </w:p>
    <w:p w14:paraId="2E6E3C93" w14:textId="0585D409" w:rsidR="00605BA0" w:rsidRPr="000D6155" w:rsidRDefault="00605BA0" w:rsidP="00605BA0">
      <w:pPr>
        <w:pStyle w:val="Heading2"/>
      </w:pPr>
      <w:bookmarkStart w:id="123" w:name="_Toc197076881"/>
      <w:r w:rsidRPr="000D6155">
        <w:lastRenderedPageBreak/>
        <w:t>The role of hospitals</w:t>
      </w:r>
      <w:bookmarkEnd w:id="120"/>
      <w:bookmarkEnd w:id="121"/>
      <w:bookmarkEnd w:id="122"/>
      <w:bookmarkEnd w:id="123"/>
    </w:p>
    <w:p w14:paraId="5616AF90" w14:textId="297C8B9A" w:rsidR="00605BA0" w:rsidRPr="00322698" w:rsidRDefault="00605BA0" w:rsidP="000F25B7">
      <w:bookmarkStart w:id="124" w:name="_Toc245536165"/>
      <w:r w:rsidRPr="00322698">
        <w:t>The role of hospitals in relation to the programme is to:</w:t>
      </w:r>
    </w:p>
    <w:p w14:paraId="3F5A1130" w14:textId="6FD840CA" w:rsidR="00605BA0" w:rsidRPr="00CF1696" w:rsidRDefault="00605BA0" w:rsidP="00E330E4">
      <w:pPr>
        <w:pStyle w:val="ListBullet"/>
      </w:pPr>
      <w:r w:rsidRPr="00CF1696">
        <w:t>provide acute and/or subacute care, including rehabilitation and geriatric evaluation</w:t>
      </w:r>
      <w:r w:rsidR="00C64BE2" w:rsidRPr="00CF1696">
        <w:t xml:space="preserve"> (including dementia assessment)</w:t>
      </w:r>
      <w:r w:rsidRPr="00CF1696">
        <w:t xml:space="preserve"> and management prior to referring a </w:t>
      </w:r>
      <w:r w:rsidR="00CF1696" w:rsidRPr="00CF1696">
        <w:t>patient</w:t>
      </w:r>
      <w:r w:rsidR="00DF12F7">
        <w:t xml:space="preserve"> for </w:t>
      </w:r>
      <w:r w:rsidR="00ED6A92">
        <w:t>an aged care</w:t>
      </w:r>
      <w:r w:rsidR="003354A5">
        <w:t xml:space="preserve"> </w:t>
      </w:r>
      <w:proofErr w:type="gramStart"/>
      <w:r w:rsidR="00BE5D06">
        <w:t>needs</w:t>
      </w:r>
      <w:proofErr w:type="gramEnd"/>
      <w:r w:rsidR="00BE5D06">
        <w:t xml:space="preserve"> </w:t>
      </w:r>
      <w:proofErr w:type="gramStart"/>
      <w:r w:rsidR="00BE5D06" w:rsidRPr="00CF1696">
        <w:t>assessment</w:t>
      </w:r>
      <w:r w:rsidRPr="00CF1696">
        <w:t>;</w:t>
      </w:r>
      <w:proofErr w:type="gramEnd"/>
    </w:p>
    <w:p w14:paraId="7D522B29" w14:textId="543706AE" w:rsidR="00605BA0" w:rsidRPr="00322698" w:rsidRDefault="00605BA0" w:rsidP="00E330E4">
      <w:pPr>
        <w:pStyle w:val="ListBullet"/>
      </w:pPr>
      <w:r w:rsidRPr="00322698">
        <w:t xml:space="preserve">ensure the </w:t>
      </w:r>
      <w:r w:rsidR="00CF1696">
        <w:t>patient</w:t>
      </w:r>
      <w:r w:rsidRPr="00322698">
        <w:t xml:space="preserve"> is medically stable</w:t>
      </w:r>
      <w:r w:rsidR="00DF12F7">
        <w:t xml:space="preserve"> </w:t>
      </w:r>
      <w:r w:rsidRPr="00322698">
        <w:t xml:space="preserve">and ready for discharge before </w:t>
      </w:r>
      <w:r w:rsidR="00886E88">
        <w:t>being</w:t>
      </w:r>
      <w:r w:rsidRPr="00322698">
        <w:t xml:space="preserve"> referred for </w:t>
      </w:r>
      <w:r w:rsidR="0059228A">
        <w:t xml:space="preserve">an </w:t>
      </w:r>
      <w:proofErr w:type="gramStart"/>
      <w:r w:rsidRPr="00322698">
        <w:t>assessment;</w:t>
      </w:r>
      <w:proofErr w:type="gramEnd"/>
    </w:p>
    <w:p w14:paraId="544EC419" w14:textId="791C46B8" w:rsidR="00605BA0" w:rsidRPr="00322698" w:rsidRDefault="00605BA0" w:rsidP="00E330E4">
      <w:pPr>
        <w:pStyle w:val="ListBullet"/>
      </w:pPr>
      <w:r w:rsidRPr="00322698">
        <w:t xml:space="preserve">ensure the geriatric and rehabilitation service or members of the multidisciplinary team treating the </w:t>
      </w:r>
      <w:r w:rsidR="00CF1696">
        <w:t>patient</w:t>
      </w:r>
      <w:r w:rsidRPr="00322698">
        <w:t xml:space="preserve"> work closely with the </w:t>
      </w:r>
      <w:r w:rsidR="00A8222B">
        <w:t>clinical aged care needs assessor</w:t>
      </w:r>
      <w:r w:rsidR="00A8222B" w:rsidDel="00A8222B">
        <w:t xml:space="preserve"> </w:t>
      </w:r>
      <w:r w:rsidRPr="00322698">
        <w:t>during the assessment process; and</w:t>
      </w:r>
    </w:p>
    <w:p w14:paraId="6CC5C4D4" w14:textId="5189F158" w:rsidR="00402CDD" w:rsidRPr="00445B05" w:rsidRDefault="00605BA0" w:rsidP="00E330E4">
      <w:pPr>
        <w:pStyle w:val="ListBullet"/>
      </w:pPr>
      <w:r w:rsidRPr="00445B05">
        <w:t>work with the service provid</w:t>
      </w:r>
      <w:r w:rsidR="00DF12F7" w:rsidRPr="00445B05">
        <w:t xml:space="preserve">er, the </w:t>
      </w:r>
      <w:r w:rsidR="00A8222B">
        <w:t>clinical aged care needs assessor</w:t>
      </w:r>
      <w:r w:rsidR="00DF12F7" w:rsidRPr="00445B05">
        <w:t>, the patient</w:t>
      </w:r>
      <w:r w:rsidRPr="00445B05">
        <w:t xml:space="preserve"> and their family or carer to develop a care plan as part of the care recipient’s hospital discharge planning process.</w:t>
      </w:r>
    </w:p>
    <w:p w14:paraId="7A1CD95F" w14:textId="572AC444" w:rsidR="00605BA0" w:rsidRPr="000D6155" w:rsidRDefault="00605BA0" w:rsidP="00605BA0">
      <w:pPr>
        <w:pStyle w:val="Heading3withoutnumbering"/>
      </w:pPr>
      <w:bookmarkStart w:id="125" w:name="_Toc395537177"/>
      <w:bookmarkStart w:id="126" w:name="_Toc422732535"/>
      <w:bookmarkStart w:id="127" w:name="_Toc422752875"/>
      <w:bookmarkStart w:id="128" w:name="_Toc197076882"/>
      <w:r w:rsidRPr="000D6155">
        <w:t>Referral process</w:t>
      </w:r>
      <w:bookmarkEnd w:id="124"/>
      <w:bookmarkEnd w:id="125"/>
      <w:bookmarkEnd w:id="126"/>
      <w:bookmarkEnd w:id="127"/>
      <w:bookmarkEnd w:id="128"/>
    </w:p>
    <w:p w14:paraId="3FCC0221" w14:textId="0E11D6C0" w:rsidR="00605BA0" w:rsidRPr="00DA4E41" w:rsidRDefault="00605BA0" w:rsidP="006727E2">
      <w:r w:rsidRPr="00DA4E41">
        <w:t>A</w:t>
      </w:r>
      <w:r w:rsidR="002A5F9A">
        <w:t xml:space="preserve">ssessment </w:t>
      </w:r>
      <w:r w:rsidR="00EB1610">
        <w:t>o</w:t>
      </w:r>
      <w:r w:rsidR="002A5F9A">
        <w:t>rganisations</w:t>
      </w:r>
      <w:r w:rsidRPr="00DA4E41">
        <w:t xml:space="preserve"> accept referrals from </w:t>
      </w:r>
      <w:r w:rsidR="0064270C">
        <w:t>several</w:t>
      </w:r>
      <w:r w:rsidR="00CF1696">
        <w:t xml:space="preserve"> sources. A patient </w:t>
      </w:r>
      <w:r w:rsidRPr="00DA4E41">
        <w:t>in hospital may self-refer</w:t>
      </w:r>
      <w:r w:rsidR="00206F84">
        <w:t>,</w:t>
      </w:r>
      <w:r w:rsidRPr="00DA4E41">
        <w:t xml:space="preserve"> for assessment by the </w:t>
      </w:r>
      <w:r w:rsidR="00A8222B">
        <w:t>clinical aged care needs assessor</w:t>
      </w:r>
      <w:r w:rsidR="00A8222B" w:rsidRPr="00DA4E41" w:rsidDel="00A8222B">
        <w:t xml:space="preserve"> </w:t>
      </w:r>
      <w:r w:rsidR="0064270C" w:rsidRPr="00DA4E41">
        <w:t>or</w:t>
      </w:r>
      <w:r w:rsidRPr="00DA4E41">
        <w:t xml:space="preserve"> may be referred by any member of the multidisciplinary team caring for the </w:t>
      </w:r>
      <w:r w:rsidR="00DF12F7">
        <w:t xml:space="preserve">patient </w:t>
      </w:r>
      <w:r w:rsidRPr="00DA4E41">
        <w:t>in hospital, or by their carer or family member.</w:t>
      </w:r>
      <w:r w:rsidR="002B05D7">
        <w:t xml:space="preserve"> </w:t>
      </w:r>
      <w:r w:rsidR="002B563A">
        <w:t xml:space="preserve">The </w:t>
      </w:r>
      <w:r w:rsidR="00A8222B">
        <w:t>clinical aged care needs assessor</w:t>
      </w:r>
      <w:r w:rsidR="002B563A">
        <w:t>, h</w:t>
      </w:r>
      <w:r w:rsidRPr="00DA4E41">
        <w:t xml:space="preserve">owever, must not assess them until they are medically stable and ready for discharge, </w:t>
      </w:r>
      <w:r w:rsidR="003629D6">
        <w:t>(</w:t>
      </w:r>
      <w:r w:rsidRPr="00DA4E41">
        <w:t xml:space="preserve">see </w:t>
      </w:r>
      <w:r w:rsidR="00DF12F7">
        <w:rPr>
          <w:i/>
        </w:rPr>
        <w:t xml:space="preserve">section </w:t>
      </w:r>
      <w:r w:rsidRPr="00DA4E41">
        <w:rPr>
          <w:i/>
        </w:rPr>
        <w:t>3.4.3 Assessment process for transition care</w:t>
      </w:r>
      <w:r w:rsidR="003629D6" w:rsidRPr="00E10CFE">
        <w:t>)</w:t>
      </w:r>
      <w:r w:rsidRPr="00DA4E41">
        <w:t xml:space="preserve">. Hospital staff and the </w:t>
      </w:r>
      <w:r w:rsidR="00A8222B">
        <w:t>clinical aged care needs assessor</w:t>
      </w:r>
      <w:r w:rsidRPr="00DA4E41">
        <w:t xml:space="preserve"> should be informed about the local availability of the programme and the potential benefits and ser</w:t>
      </w:r>
      <w:r w:rsidR="002D2457">
        <w:t>vices offered by the programme.</w:t>
      </w:r>
    </w:p>
    <w:p w14:paraId="107A8621" w14:textId="5D57432B" w:rsidR="004F6EF7" w:rsidRDefault="00605BA0" w:rsidP="006727E2">
      <w:r w:rsidRPr="00DA4E41">
        <w:t xml:space="preserve">To avoid disappointment, all potential care recipients in hospital and carers or family members should be informed </w:t>
      </w:r>
      <w:r w:rsidR="00206F84">
        <w:t>if</w:t>
      </w:r>
      <w:r w:rsidRPr="00DA4E41">
        <w:t xml:space="preserve"> transition care is available in the area where the care recipient wishes to access care, i.e. in their own home or in the local area of a carer or family member.</w:t>
      </w:r>
    </w:p>
    <w:p w14:paraId="4778672C" w14:textId="77B8BA95" w:rsidR="00605BA0" w:rsidRPr="00DA4E41" w:rsidRDefault="00605BA0" w:rsidP="006727E2">
      <w:r w:rsidRPr="00DA4E41">
        <w:t xml:space="preserve">Potential care recipients </w:t>
      </w:r>
      <w:r w:rsidR="00206F84">
        <w:t>must</w:t>
      </w:r>
      <w:r w:rsidRPr="00DA4E41">
        <w:t xml:space="preserve"> also be made aware that access to a transition care place depends on:</w:t>
      </w:r>
    </w:p>
    <w:p w14:paraId="711ACBE3" w14:textId="35534044" w:rsidR="00605BA0" w:rsidRPr="006727E2" w:rsidRDefault="00605BA0" w:rsidP="00E330E4">
      <w:pPr>
        <w:pStyle w:val="ListBullet"/>
      </w:pPr>
      <w:r w:rsidRPr="006727E2">
        <w:t>the</w:t>
      </w:r>
      <w:r w:rsidR="00BE6E55">
        <w:t>m</w:t>
      </w:r>
      <w:r w:rsidRPr="006727E2">
        <w:t xml:space="preserve"> being assessed and approved as eligible for transition </w:t>
      </w:r>
      <w:proofErr w:type="gramStart"/>
      <w:r w:rsidRPr="006727E2">
        <w:t>care;</w:t>
      </w:r>
      <w:proofErr w:type="gramEnd"/>
    </w:p>
    <w:p w14:paraId="2C0CB98E" w14:textId="77777777" w:rsidR="00605BA0" w:rsidRPr="006727E2" w:rsidRDefault="00605BA0" w:rsidP="00E330E4">
      <w:pPr>
        <w:pStyle w:val="ListBullet"/>
      </w:pPr>
      <w:r w:rsidRPr="006727E2">
        <w:t>availability of a vacant transition care place; and</w:t>
      </w:r>
    </w:p>
    <w:p w14:paraId="7F373A40" w14:textId="77777777" w:rsidR="00605BA0" w:rsidRPr="006727E2" w:rsidRDefault="00605BA0" w:rsidP="00E330E4">
      <w:pPr>
        <w:pStyle w:val="ListBullet"/>
      </w:pPr>
      <w:r w:rsidRPr="006727E2">
        <w:t>whether a service provider can meet their care needs and accepts the person as a care recipient.</w:t>
      </w:r>
    </w:p>
    <w:p w14:paraId="04C295E6" w14:textId="450ECE33" w:rsidR="00605BA0" w:rsidRPr="000D6155" w:rsidRDefault="00ED4E5D" w:rsidP="00605BA0">
      <w:pPr>
        <w:pStyle w:val="Heading2"/>
      </w:pPr>
      <w:bookmarkStart w:id="129" w:name="_Assessment_and_approval"/>
      <w:bookmarkStart w:id="130" w:name="_Ref29286424"/>
      <w:bookmarkStart w:id="131" w:name="_Toc29371654"/>
      <w:bookmarkStart w:id="132" w:name="_Toc81623294"/>
      <w:bookmarkStart w:id="133" w:name="_Toc110834644"/>
      <w:bookmarkStart w:id="134" w:name="_Toc245536166"/>
      <w:bookmarkStart w:id="135" w:name="_Toc395537178"/>
      <w:bookmarkStart w:id="136" w:name="_Toc422732536"/>
      <w:bookmarkStart w:id="137" w:name="_Toc422752876"/>
      <w:bookmarkStart w:id="138" w:name="_Toc197076883"/>
      <w:bookmarkEnd w:id="129"/>
      <w:r>
        <w:t>Assessment</w:t>
      </w:r>
      <w:r w:rsidR="00605BA0" w:rsidRPr="000D6155">
        <w:t xml:space="preserve"> and approval of care recipients for transition care</w:t>
      </w:r>
      <w:bookmarkEnd w:id="130"/>
      <w:bookmarkEnd w:id="131"/>
      <w:bookmarkEnd w:id="132"/>
      <w:bookmarkEnd w:id="133"/>
      <w:bookmarkEnd w:id="134"/>
      <w:bookmarkEnd w:id="135"/>
      <w:bookmarkEnd w:id="136"/>
      <w:bookmarkEnd w:id="137"/>
      <w:bookmarkEnd w:id="138"/>
    </w:p>
    <w:p w14:paraId="37FD5AB8" w14:textId="3D6D2C1F" w:rsidR="00605BA0" w:rsidRPr="00CF1696" w:rsidRDefault="00291BB7" w:rsidP="006727E2">
      <w:r>
        <w:t xml:space="preserve">Divisions 19 to </w:t>
      </w:r>
      <w:r w:rsidR="00605BA0" w:rsidRPr="00CF1696">
        <w:t xml:space="preserve">23 of the </w:t>
      </w:r>
      <w:r w:rsidR="00BB0515" w:rsidRPr="00CF1696">
        <w:t>Act</w:t>
      </w:r>
      <w:r w:rsidR="00605BA0" w:rsidRPr="00CF1696">
        <w:t xml:space="preserve"> provide information on the approval of care recipients</w:t>
      </w:r>
      <w:r w:rsidR="00E0649C">
        <w:t xml:space="preserve">, as do </w:t>
      </w:r>
      <w:r w:rsidR="00605BA0" w:rsidRPr="00CF1696">
        <w:t xml:space="preserve">the </w:t>
      </w:r>
      <w:r w:rsidR="00605BA0" w:rsidRPr="005A5A5F">
        <w:rPr>
          <w:i/>
          <w:iCs/>
        </w:rPr>
        <w:t>Approval of Care Recipients Principles 2014</w:t>
      </w:r>
      <w:r w:rsidR="00605BA0" w:rsidRPr="00CF1696">
        <w:t>.</w:t>
      </w:r>
    </w:p>
    <w:p w14:paraId="0D8E073C" w14:textId="0BA04F0B" w:rsidR="00605BA0" w:rsidRPr="00FA693A" w:rsidRDefault="00605BA0" w:rsidP="006727E2">
      <w:r w:rsidRPr="00DA4E41">
        <w:t>To access transition care, older people must first be assessed</w:t>
      </w:r>
      <w:r w:rsidR="005214EF">
        <w:t xml:space="preserve"> by </w:t>
      </w:r>
      <w:r w:rsidR="009C5378">
        <w:t>a</w:t>
      </w:r>
      <w:r w:rsidR="00931A3A">
        <w:t xml:space="preserve"> clinical aged care needs assessor</w:t>
      </w:r>
      <w:r w:rsidRPr="00DA4E41">
        <w:t xml:space="preserve"> </w:t>
      </w:r>
      <w:r w:rsidRPr="00FA693A">
        <w:t xml:space="preserve">and approved by an </w:t>
      </w:r>
      <w:r w:rsidR="00931A3A" w:rsidRPr="00FA693A">
        <w:t>assessment delegate</w:t>
      </w:r>
      <w:r w:rsidRPr="00FA693A">
        <w:t xml:space="preserve"> requiring the type and level of assistance transition care delivers, as set out in section 8 of the </w:t>
      </w:r>
      <w:r w:rsidRPr="00FA693A">
        <w:rPr>
          <w:bCs/>
          <w:i/>
        </w:rPr>
        <w:t>Approval of Care Recipients Principles 2014</w:t>
      </w:r>
      <w:r w:rsidRPr="00FA693A">
        <w:rPr>
          <w:bCs/>
          <w:iCs/>
        </w:rPr>
        <w:t>.</w:t>
      </w:r>
    </w:p>
    <w:p w14:paraId="1CB839BA" w14:textId="7169638E" w:rsidR="00605BA0" w:rsidRPr="00FA693A" w:rsidRDefault="00565D82" w:rsidP="00B42C61">
      <w:pPr>
        <w:pStyle w:val="Heading3withoutnumbering"/>
      </w:pPr>
      <w:bookmarkStart w:id="139" w:name="_Toc521122290"/>
      <w:bookmarkStart w:id="140" w:name="_Toc29371655"/>
      <w:bookmarkStart w:id="141" w:name="_Toc81623295"/>
      <w:bookmarkStart w:id="142" w:name="_Toc110834645"/>
      <w:bookmarkStart w:id="143" w:name="_Toc245536167"/>
      <w:bookmarkStart w:id="144" w:name="_Toc395537179"/>
      <w:bookmarkStart w:id="145" w:name="_Toc422732537"/>
      <w:bookmarkStart w:id="146" w:name="_Toc422752877"/>
      <w:bookmarkStart w:id="147" w:name="_Toc197076884"/>
      <w:r w:rsidRPr="00FA693A">
        <w:t xml:space="preserve">Assessment: </w:t>
      </w:r>
      <w:r w:rsidR="00210A14" w:rsidRPr="00FA693A">
        <w:t>role of the</w:t>
      </w:r>
      <w:r w:rsidR="00DF1CB3" w:rsidRPr="009A69DA">
        <w:t xml:space="preserve"> clinical aged care needs</w:t>
      </w:r>
      <w:r w:rsidR="00210A14" w:rsidRPr="00FA693A">
        <w:t xml:space="preserve"> </w:t>
      </w:r>
      <w:r w:rsidR="00605BA0" w:rsidRPr="00FA693A">
        <w:t>Aged Care Assess</w:t>
      </w:r>
      <w:r w:rsidR="002F2F7A" w:rsidRPr="00FA693A">
        <w:t>or</w:t>
      </w:r>
      <w:bookmarkEnd w:id="139"/>
      <w:bookmarkEnd w:id="140"/>
      <w:bookmarkEnd w:id="141"/>
      <w:bookmarkEnd w:id="142"/>
      <w:bookmarkEnd w:id="143"/>
      <w:bookmarkEnd w:id="144"/>
      <w:bookmarkEnd w:id="145"/>
      <w:bookmarkEnd w:id="146"/>
      <w:bookmarkEnd w:id="147"/>
    </w:p>
    <w:p w14:paraId="628B5F7F" w14:textId="20051863" w:rsidR="00B66693" w:rsidRPr="00B66693" w:rsidRDefault="00B66693" w:rsidP="006727E2">
      <w:pPr>
        <w:rPr>
          <w:rFonts w:eastAsia="Calibri"/>
        </w:rPr>
      </w:pPr>
      <w:r w:rsidRPr="00B66693">
        <w:rPr>
          <w:rFonts w:eastAsia="Calibri"/>
        </w:rPr>
        <w:t xml:space="preserve">The role of </w:t>
      </w:r>
      <w:r w:rsidR="009C5378" w:rsidRPr="00B66693">
        <w:rPr>
          <w:rFonts w:eastAsia="Calibri"/>
        </w:rPr>
        <w:t>a</w:t>
      </w:r>
      <w:r w:rsidRPr="00B66693">
        <w:rPr>
          <w:rFonts w:eastAsia="Calibri"/>
        </w:rPr>
        <w:t xml:space="preserve"> </w:t>
      </w:r>
      <w:r w:rsidR="007104C6">
        <w:t>clinical aged care needs assessor</w:t>
      </w:r>
      <w:r w:rsidR="007104C6" w:rsidDel="007104C6">
        <w:rPr>
          <w:rFonts w:eastAsia="Calibri"/>
        </w:rPr>
        <w:t xml:space="preserve"> </w:t>
      </w:r>
      <w:r w:rsidRPr="00B66693">
        <w:rPr>
          <w:rFonts w:eastAsia="Calibri"/>
        </w:rPr>
        <w:t>is to conduct a holistic</w:t>
      </w:r>
      <w:r w:rsidR="00291BB7">
        <w:rPr>
          <w:rFonts w:eastAsia="Calibri"/>
        </w:rPr>
        <w:t>,</w:t>
      </w:r>
      <w:r w:rsidRPr="00B66693">
        <w:rPr>
          <w:rFonts w:eastAsia="Calibri"/>
        </w:rPr>
        <w:t xml:space="preserve"> comprehensive assessment of older people incorporating physical, medical, psychological, cultural, social, environmental and wellness dimensions.</w:t>
      </w:r>
      <w:r w:rsidR="001277C3">
        <w:rPr>
          <w:rFonts w:eastAsia="Calibri"/>
        </w:rPr>
        <w:t xml:space="preserve"> </w:t>
      </w:r>
      <w:r w:rsidRPr="00B66693">
        <w:rPr>
          <w:rFonts w:eastAsia="Calibri"/>
        </w:rPr>
        <w:t xml:space="preserve">The assessment is facilitated by the mandatory </w:t>
      </w:r>
      <w:r w:rsidR="006043C8">
        <w:rPr>
          <w:rFonts w:eastAsia="Calibri"/>
        </w:rPr>
        <w:t>Integrated</w:t>
      </w:r>
      <w:r w:rsidR="001800EF">
        <w:rPr>
          <w:rFonts w:eastAsia="Calibri"/>
        </w:rPr>
        <w:t xml:space="preserve"> Assessment Tool</w:t>
      </w:r>
      <w:r w:rsidRPr="00B66693">
        <w:rPr>
          <w:rFonts w:eastAsia="Calibri"/>
        </w:rPr>
        <w:t xml:space="preserve"> (</w:t>
      </w:r>
      <w:r w:rsidR="001800EF">
        <w:rPr>
          <w:rFonts w:eastAsia="Calibri"/>
        </w:rPr>
        <w:t>IAT</w:t>
      </w:r>
      <w:r>
        <w:rPr>
          <w:rFonts w:eastAsia="Calibri"/>
        </w:rPr>
        <w:t>),</w:t>
      </w:r>
      <w:r w:rsidRPr="00B66693">
        <w:rPr>
          <w:rFonts w:eastAsia="Calibri"/>
        </w:rPr>
        <w:t xml:space="preserve"> </w:t>
      </w:r>
      <w:r>
        <w:rPr>
          <w:rFonts w:eastAsia="Calibri"/>
        </w:rPr>
        <w:t xml:space="preserve">which </w:t>
      </w:r>
      <w:r w:rsidR="00664D89">
        <w:rPr>
          <w:rFonts w:eastAsia="Calibri"/>
        </w:rPr>
        <w:t>is</w:t>
      </w:r>
      <w:r w:rsidRPr="00B66693">
        <w:rPr>
          <w:rFonts w:eastAsia="Calibri"/>
        </w:rPr>
        <w:t xml:space="preserve"> designed to collect consistent information across these dimensions. This information is </w:t>
      </w:r>
      <w:r w:rsidR="00664D89">
        <w:rPr>
          <w:rFonts w:eastAsia="Calibri"/>
        </w:rPr>
        <w:t xml:space="preserve">then </w:t>
      </w:r>
      <w:r w:rsidRPr="00B66693">
        <w:rPr>
          <w:rFonts w:eastAsia="Calibri"/>
        </w:rPr>
        <w:t>used to develop a Support Plan focussing on the client’s most important areas of concern and recommendations that address the client’s current needs.</w:t>
      </w:r>
    </w:p>
    <w:p w14:paraId="17DB7D8E" w14:textId="5A1D1F59" w:rsidR="00B66693" w:rsidRPr="00B66693" w:rsidRDefault="00B66693" w:rsidP="006727E2">
      <w:pPr>
        <w:rPr>
          <w:rFonts w:eastAsia="Calibri"/>
        </w:rPr>
      </w:pPr>
      <w:r w:rsidRPr="00B66693">
        <w:rPr>
          <w:rFonts w:eastAsia="Calibri"/>
        </w:rPr>
        <w:t xml:space="preserve">Based on the client’s eligibility </w:t>
      </w:r>
      <w:r w:rsidR="00DB5FF7">
        <w:rPr>
          <w:rFonts w:eastAsia="Calibri"/>
        </w:rPr>
        <w:t xml:space="preserve">in accordance with </w:t>
      </w:r>
      <w:r w:rsidRPr="00B66693">
        <w:rPr>
          <w:rFonts w:eastAsia="Calibri"/>
        </w:rPr>
        <w:t xml:space="preserve">the Act, </w:t>
      </w:r>
      <w:r w:rsidR="00C52E58">
        <w:t>clinical aged care needs assessor’s</w:t>
      </w:r>
      <w:r w:rsidR="00C52E58" w:rsidDel="00C52E58">
        <w:rPr>
          <w:rFonts w:eastAsia="Calibri"/>
        </w:rPr>
        <w:t xml:space="preserve"> </w:t>
      </w:r>
      <w:r w:rsidRPr="00B66693">
        <w:rPr>
          <w:rFonts w:eastAsia="Calibri"/>
        </w:rPr>
        <w:t xml:space="preserve">support the client’s access </w:t>
      </w:r>
      <w:r w:rsidR="00DB5FF7">
        <w:rPr>
          <w:rFonts w:eastAsia="Calibri"/>
        </w:rPr>
        <w:t xml:space="preserve">to </w:t>
      </w:r>
      <w:r w:rsidRPr="00B66693">
        <w:rPr>
          <w:rFonts w:eastAsia="Calibri"/>
        </w:rPr>
        <w:t xml:space="preserve">the most appropriate aged care services, including </w:t>
      </w:r>
      <w:r w:rsidR="00BF1A5C">
        <w:rPr>
          <w:rFonts w:eastAsia="Calibri"/>
        </w:rPr>
        <w:t>the reco</w:t>
      </w:r>
      <w:r w:rsidR="009A72B7">
        <w:rPr>
          <w:rFonts w:eastAsia="Calibri"/>
        </w:rPr>
        <w:t>mmendation</w:t>
      </w:r>
      <w:r w:rsidRPr="00B66693">
        <w:rPr>
          <w:rFonts w:eastAsia="Calibri"/>
        </w:rPr>
        <w:t xml:space="preserve"> for residential</w:t>
      </w:r>
      <w:r w:rsidR="00DB5FF7">
        <w:rPr>
          <w:rFonts w:eastAsia="Calibri"/>
        </w:rPr>
        <w:t xml:space="preserve"> care</w:t>
      </w:r>
      <w:r w:rsidRPr="00B66693">
        <w:rPr>
          <w:rFonts w:eastAsia="Calibri"/>
        </w:rPr>
        <w:t>, home care or flexible care services, such as transition care.</w:t>
      </w:r>
    </w:p>
    <w:p w14:paraId="5A6C7212" w14:textId="3AC19646" w:rsidR="00B66693" w:rsidRPr="00B66693" w:rsidRDefault="00B66693" w:rsidP="006727E2">
      <w:pPr>
        <w:rPr>
          <w:rFonts w:eastAsia="Calibri"/>
          <w:spacing w:val="0"/>
          <w:lang w:eastAsia="en-US"/>
        </w:rPr>
      </w:pPr>
      <w:r w:rsidRPr="00B66693">
        <w:rPr>
          <w:rFonts w:eastAsia="Calibri"/>
          <w:spacing w:val="0"/>
          <w:lang w:eastAsia="en-US"/>
        </w:rPr>
        <w:t xml:space="preserve">When assessing a client for transition care, the assessment must be conducted </w:t>
      </w:r>
      <w:r w:rsidR="00E566EA">
        <w:rPr>
          <w:rFonts w:eastAsia="Calibri"/>
          <w:spacing w:val="0"/>
          <w:lang w:eastAsia="en-US"/>
        </w:rPr>
        <w:t xml:space="preserve">while the client is an admitted patient of </w:t>
      </w:r>
      <w:r w:rsidR="00664D89">
        <w:rPr>
          <w:rFonts w:eastAsia="Calibri"/>
          <w:spacing w:val="0"/>
          <w:lang w:eastAsia="en-US"/>
        </w:rPr>
        <w:t>a</w:t>
      </w:r>
      <w:r w:rsidRPr="00B66693">
        <w:rPr>
          <w:rFonts w:eastAsia="Calibri"/>
          <w:spacing w:val="0"/>
          <w:lang w:eastAsia="en-US"/>
        </w:rPr>
        <w:t xml:space="preserve"> hospital</w:t>
      </w:r>
      <w:r w:rsidR="00664D89">
        <w:rPr>
          <w:rFonts w:eastAsia="Calibri"/>
          <w:spacing w:val="0"/>
          <w:lang w:eastAsia="en-US"/>
        </w:rPr>
        <w:t>,</w:t>
      </w:r>
      <w:r w:rsidRPr="00B66693">
        <w:rPr>
          <w:rFonts w:eastAsia="Calibri"/>
          <w:spacing w:val="0"/>
          <w:lang w:eastAsia="en-US"/>
        </w:rPr>
        <w:t xml:space="preserve"> medically stable and ready for discharge. The </w:t>
      </w:r>
      <w:r w:rsidR="009A72B7">
        <w:t>clinical aged care needs assessor</w:t>
      </w:r>
      <w:r w:rsidR="009A72B7" w:rsidDel="009A72B7">
        <w:rPr>
          <w:rFonts w:eastAsia="Calibri"/>
          <w:spacing w:val="0"/>
          <w:lang w:eastAsia="en-US"/>
        </w:rPr>
        <w:t xml:space="preserve"> </w:t>
      </w:r>
      <w:r w:rsidR="00291BB7">
        <w:rPr>
          <w:rFonts w:eastAsia="Calibri"/>
          <w:spacing w:val="0"/>
          <w:lang w:eastAsia="en-US"/>
        </w:rPr>
        <w:t>must</w:t>
      </w:r>
      <w:r w:rsidRPr="00B66693">
        <w:rPr>
          <w:rFonts w:eastAsia="Calibri"/>
          <w:spacing w:val="0"/>
          <w:lang w:eastAsia="en-US"/>
        </w:rPr>
        <w:t xml:space="preserve"> consult with the hospital geriatric rehabilitation service or equivalent, or members of the treating multidisciplinary team including a registered nurse, physician, occupational therapist, physiotherapist, speech therapist or social worker.</w:t>
      </w:r>
    </w:p>
    <w:p w14:paraId="6B14168B" w14:textId="77777777" w:rsidR="005313EF" w:rsidRDefault="005313EF">
      <w:pPr>
        <w:spacing w:before="0" w:after="200" w:line="276" w:lineRule="auto"/>
        <w:rPr>
          <w:rFonts w:eastAsia="Calibri"/>
          <w:spacing w:val="0"/>
          <w:lang w:eastAsia="en-US"/>
        </w:rPr>
      </w:pPr>
      <w:r>
        <w:rPr>
          <w:rFonts w:eastAsia="Calibri"/>
          <w:spacing w:val="0"/>
          <w:lang w:eastAsia="en-US"/>
        </w:rPr>
        <w:br w:type="page"/>
      </w:r>
    </w:p>
    <w:p w14:paraId="0D61134E" w14:textId="7E855B10" w:rsidR="00B66693" w:rsidRPr="00B66693" w:rsidRDefault="00B66693" w:rsidP="006727E2">
      <w:pPr>
        <w:rPr>
          <w:rFonts w:eastAsia="Calibri"/>
          <w:spacing w:val="0"/>
          <w:lang w:eastAsia="en-US"/>
        </w:rPr>
      </w:pPr>
      <w:r w:rsidRPr="005B2816">
        <w:rPr>
          <w:rFonts w:eastAsia="Calibri"/>
          <w:spacing w:val="0"/>
          <w:lang w:eastAsia="en-US"/>
        </w:rPr>
        <w:lastRenderedPageBreak/>
        <w:t>Under section 11-3 of the Act</w:t>
      </w:r>
      <w:r w:rsidR="00291BB7" w:rsidRPr="005B2816">
        <w:rPr>
          <w:rFonts w:eastAsia="Calibri"/>
          <w:spacing w:val="0"/>
          <w:lang w:eastAsia="en-US"/>
        </w:rPr>
        <w:t>,</w:t>
      </w:r>
      <w:r w:rsidRPr="005B2816">
        <w:rPr>
          <w:rFonts w:eastAsia="Calibri"/>
          <w:spacing w:val="0"/>
          <w:lang w:eastAsia="en-US"/>
        </w:rPr>
        <w:t xml:space="preserve"> the </w:t>
      </w:r>
      <w:r w:rsidR="009A72B7">
        <w:t>clinical aged care needs assessor</w:t>
      </w:r>
      <w:r w:rsidR="009A72B7" w:rsidRPr="005B2816" w:rsidDel="009A72B7">
        <w:rPr>
          <w:rFonts w:eastAsia="Calibri"/>
          <w:spacing w:val="0"/>
          <w:lang w:eastAsia="en-US"/>
        </w:rPr>
        <w:t xml:space="preserve"> </w:t>
      </w:r>
      <w:r w:rsidR="009C5378" w:rsidRPr="005B2816">
        <w:rPr>
          <w:rFonts w:eastAsia="Calibri"/>
          <w:spacing w:val="0"/>
          <w:lang w:eastAsia="en-US"/>
        </w:rPr>
        <w:t>ensures</w:t>
      </w:r>
      <w:r w:rsidRPr="005B2816">
        <w:rPr>
          <w:rFonts w:eastAsia="Calibri"/>
          <w:spacing w:val="0"/>
          <w:lang w:eastAsia="en-US"/>
        </w:rPr>
        <w:t xml:space="preserve"> older people from special needs groups</w:t>
      </w:r>
      <w:r w:rsidRPr="00B66693">
        <w:rPr>
          <w:rFonts w:eastAsia="Calibri"/>
          <w:spacing w:val="0"/>
          <w:lang w:eastAsia="en-US"/>
        </w:rPr>
        <w:t xml:space="preserve"> have equitable access to assessment services, including:</w:t>
      </w:r>
    </w:p>
    <w:p w14:paraId="602E46FD" w14:textId="3F1FA8F9" w:rsidR="00B66693" w:rsidRPr="006727E2" w:rsidRDefault="00B66693" w:rsidP="00E330E4">
      <w:pPr>
        <w:pStyle w:val="ListBullet"/>
        <w:rPr>
          <w:rFonts w:eastAsia="Calibri"/>
        </w:rPr>
      </w:pPr>
      <w:r w:rsidRPr="00B66693">
        <w:rPr>
          <w:rFonts w:eastAsia="Calibri"/>
          <w:lang w:eastAsia="en-US"/>
        </w:rPr>
        <w:t xml:space="preserve">people from </w:t>
      </w:r>
      <w:r w:rsidRPr="006727E2">
        <w:rPr>
          <w:rFonts w:eastAsia="Calibri"/>
        </w:rPr>
        <w:t xml:space="preserve">Aboriginal and Torres Strait Islander </w:t>
      </w:r>
      <w:proofErr w:type="gramStart"/>
      <w:r w:rsidRPr="006727E2">
        <w:rPr>
          <w:rFonts w:eastAsia="Calibri"/>
        </w:rPr>
        <w:t>communities;</w:t>
      </w:r>
      <w:proofErr w:type="gramEnd"/>
    </w:p>
    <w:p w14:paraId="6A6645D4" w14:textId="3CA23020" w:rsidR="00B66693" w:rsidRPr="006727E2" w:rsidRDefault="00B66693" w:rsidP="00E330E4">
      <w:pPr>
        <w:pStyle w:val="ListBullet"/>
        <w:rPr>
          <w:rFonts w:eastAsia="Calibri"/>
        </w:rPr>
      </w:pPr>
      <w:r w:rsidRPr="006727E2">
        <w:rPr>
          <w:rFonts w:eastAsia="Calibri"/>
        </w:rPr>
        <w:t xml:space="preserve">people from culturally and linguistically diverse </w:t>
      </w:r>
      <w:proofErr w:type="gramStart"/>
      <w:r w:rsidRPr="006727E2">
        <w:rPr>
          <w:rFonts w:eastAsia="Calibri"/>
        </w:rPr>
        <w:t>backgrounds;</w:t>
      </w:r>
      <w:proofErr w:type="gramEnd"/>
    </w:p>
    <w:p w14:paraId="7091C1C3" w14:textId="351D0308" w:rsidR="00B66693" w:rsidRPr="006727E2" w:rsidRDefault="00B66693" w:rsidP="00E330E4">
      <w:pPr>
        <w:pStyle w:val="ListBullet"/>
        <w:rPr>
          <w:rFonts w:eastAsia="Calibri"/>
        </w:rPr>
      </w:pPr>
      <w:r w:rsidRPr="006727E2">
        <w:rPr>
          <w:rFonts w:eastAsia="Calibri"/>
        </w:rPr>
        <w:t xml:space="preserve">people who live in rural or remote </w:t>
      </w:r>
      <w:proofErr w:type="gramStart"/>
      <w:r w:rsidRPr="006727E2">
        <w:rPr>
          <w:rFonts w:eastAsia="Calibri"/>
        </w:rPr>
        <w:t>areas;</w:t>
      </w:r>
      <w:proofErr w:type="gramEnd"/>
    </w:p>
    <w:p w14:paraId="22C33753" w14:textId="350A27B8" w:rsidR="00B66693" w:rsidRPr="006727E2" w:rsidRDefault="00B66693" w:rsidP="00E330E4">
      <w:pPr>
        <w:pStyle w:val="ListBullet"/>
        <w:rPr>
          <w:rFonts w:eastAsia="Calibri"/>
        </w:rPr>
      </w:pPr>
      <w:r w:rsidRPr="006727E2">
        <w:rPr>
          <w:rFonts w:eastAsia="Calibri"/>
        </w:rPr>
        <w:t xml:space="preserve">people who are financially or socially </w:t>
      </w:r>
      <w:proofErr w:type="gramStart"/>
      <w:r w:rsidRPr="006727E2">
        <w:rPr>
          <w:rFonts w:eastAsia="Calibri"/>
        </w:rPr>
        <w:t>disadvantaged;</w:t>
      </w:r>
      <w:proofErr w:type="gramEnd"/>
    </w:p>
    <w:p w14:paraId="362E2AC4" w14:textId="61A28134" w:rsidR="00B66693" w:rsidRPr="006727E2" w:rsidRDefault="00B66693" w:rsidP="00E330E4">
      <w:pPr>
        <w:pStyle w:val="ListBullet"/>
        <w:rPr>
          <w:rFonts w:eastAsia="Calibri"/>
        </w:rPr>
      </w:pPr>
      <w:proofErr w:type="gramStart"/>
      <w:r w:rsidRPr="006727E2">
        <w:rPr>
          <w:rFonts w:eastAsia="Calibri"/>
        </w:rPr>
        <w:t>veterans;</w:t>
      </w:r>
      <w:proofErr w:type="gramEnd"/>
    </w:p>
    <w:p w14:paraId="242B8336" w14:textId="77777777" w:rsidR="00B66693" w:rsidRPr="00B66693" w:rsidRDefault="00B66693" w:rsidP="00E330E4">
      <w:pPr>
        <w:pStyle w:val="ListBullet"/>
        <w:rPr>
          <w:rFonts w:eastAsia="Calibri"/>
          <w:lang w:eastAsia="en-US"/>
        </w:rPr>
      </w:pPr>
      <w:r w:rsidRPr="006727E2">
        <w:rPr>
          <w:rFonts w:eastAsia="Calibri"/>
        </w:rPr>
        <w:t>people who are homeless or at risk</w:t>
      </w:r>
      <w:r w:rsidRPr="00B66693">
        <w:rPr>
          <w:rFonts w:eastAsia="Calibri"/>
          <w:lang w:eastAsia="en-US"/>
        </w:rPr>
        <w:t xml:space="preserve"> of becoming </w:t>
      </w:r>
      <w:proofErr w:type="gramStart"/>
      <w:r w:rsidRPr="00B66693">
        <w:rPr>
          <w:rFonts w:eastAsia="Calibri"/>
          <w:lang w:eastAsia="en-US"/>
        </w:rPr>
        <w:t>homeless;</w:t>
      </w:r>
      <w:proofErr w:type="gramEnd"/>
    </w:p>
    <w:p w14:paraId="34557893" w14:textId="77777777" w:rsidR="00B66693" w:rsidRPr="00B66693" w:rsidRDefault="00B66693" w:rsidP="00E330E4">
      <w:pPr>
        <w:pStyle w:val="ListBullet"/>
        <w:rPr>
          <w:rFonts w:eastAsia="Calibri"/>
          <w:lang w:eastAsia="en-US"/>
        </w:rPr>
      </w:pPr>
      <w:r w:rsidRPr="00B66693">
        <w:rPr>
          <w:rFonts w:eastAsia="Calibri"/>
          <w:lang w:eastAsia="en-US"/>
        </w:rPr>
        <w:t>care-leavers</w:t>
      </w:r>
      <w:r w:rsidR="00E3433D">
        <w:rPr>
          <w:rStyle w:val="FootnoteReference"/>
          <w:rFonts w:eastAsia="Calibri" w:cs="Arial"/>
          <w:spacing w:val="0"/>
          <w:szCs w:val="20"/>
          <w:lang w:eastAsia="en-US"/>
        </w:rPr>
        <w:footnoteReference w:id="7"/>
      </w:r>
      <w:r w:rsidRPr="00B66693">
        <w:rPr>
          <w:rFonts w:eastAsia="Calibri"/>
          <w:lang w:eastAsia="en-US"/>
        </w:rPr>
        <w:t>;</w:t>
      </w:r>
    </w:p>
    <w:p w14:paraId="4DFF5D98" w14:textId="32438D0C" w:rsidR="00B66693" w:rsidRPr="00B66693" w:rsidRDefault="00B66693" w:rsidP="00E330E4">
      <w:pPr>
        <w:pStyle w:val="ListBullet"/>
        <w:rPr>
          <w:rFonts w:eastAsia="Calibri"/>
          <w:lang w:eastAsia="en-US"/>
        </w:rPr>
      </w:pPr>
      <w:r w:rsidRPr="00B66693">
        <w:rPr>
          <w:rFonts w:eastAsia="Calibri"/>
          <w:lang w:eastAsia="en-US"/>
        </w:rPr>
        <w:t xml:space="preserve">parents separated from their children by forced adoption or </w:t>
      </w:r>
      <w:proofErr w:type="gramStart"/>
      <w:r w:rsidRPr="00B66693">
        <w:rPr>
          <w:rFonts w:eastAsia="Calibri"/>
          <w:lang w:eastAsia="en-US"/>
        </w:rPr>
        <w:t>removal;</w:t>
      </w:r>
      <w:proofErr w:type="gramEnd"/>
    </w:p>
    <w:p w14:paraId="58B660EA" w14:textId="77777777" w:rsidR="00B66693" w:rsidRPr="00B66693" w:rsidRDefault="00B66693" w:rsidP="00E330E4">
      <w:pPr>
        <w:pStyle w:val="ListBullet"/>
        <w:rPr>
          <w:rFonts w:eastAsia="Calibri"/>
          <w:lang w:eastAsia="en-US"/>
        </w:rPr>
      </w:pPr>
      <w:r w:rsidRPr="00B66693">
        <w:rPr>
          <w:rFonts w:eastAsia="Calibri"/>
          <w:lang w:eastAsia="en-US"/>
        </w:rPr>
        <w:t xml:space="preserve">lesbian, </w:t>
      </w:r>
      <w:r w:rsidRPr="00E330E4">
        <w:rPr>
          <w:rFonts w:eastAsia="Calibri"/>
        </w:rPr>
        <w:t>gay</w:t>
      </w:r>
      <w:r w:rsidRPr="00B66693">
        <w:rPr>
          <w:rFonts w:eastAsia="Calibri"/>
          <w:lang w:eastAsia="en-US"/>
        </w:rPr>
        <w:t>, bisexual, transgender and intersex people; and</w:t>
      </w:r>
    </w:p>
    <w:p w14:paraId="67B0E2E6" w14:textId="77777777" w:rsidR="00B66693" w:rsidRPr="00B66693" w:rsidRDefault="00B66693" w:rsidP="00E330E4">
      <w:pPr>
        <w:pStyle w:val="ListBullet"/>
        <w:rPr>
          <w:rFonts w:eastAsia="Calibri"/>
          <w:lang w:eastAsia="en-US"/>
        </w:rPr>
      </w:pPr>
      <w:r w:rsidRPr="00B66693">
        <w:rPr>
          <w:rFonts w:eastAsia="Calibri"/>
          <w:lang w:eastAsia="en-US"/>
        </w:rPr>
        <w:t xml:space="preserve">people of a kind (if any) specified in the </w:t>
      </w:r>
      <w:r w:rsidRPr="00B66693">
        <w:rPr>
          <w:rFonts w:eastAsia="Calibri"/>
          <w:i/>
          <w:iCs/>
          <w:lang w:eastAsia="en-US"/>
        </w:rPr>
        <w:t>Allocation Principles 2014</w:t>
      </w:r>
      <w:r w:rsidRPr="00B66693">
        <w:rPr>
          <w:rFonts w:eastAsia="Calibri"/>
          <w:lang w:eastAsia="en-US"/>
        </w:rPr>
        <w:t>.</w:t>
      </w:r>
    </w:p>
    <w:p w14:paraId="7AA64AEC" w14:textId="0CB8394A" w:rsidR="001277C3" w:rsidRDefault="00B66693" w:rsidP="000F25B7">
      <w:pPr>
        <w:rPr>
          <w:rFonts w:eastAsia="Calibri"/>
          <w:lang w:eastAsia="en-US"/>
        </w:rPr>
      </w:pPr>
      <w:r w:rsidRPr="00B66693">
        <w:rPr>
          <w:rFonts w:eastAsia="Calibri"/>
          <w:lang w:eastAsia="en-US"/>
        </w:rPr>
        <w:t xml:space="preserve">Additionally, </w:t>
      </w:r>
      <w:r w:rsidR="009A72B7">
        <w:t>clinical aged care needs assessor</w:t>
      </w:r>
      <w:r w:rsidRPr="00B66693">
        <w:rPr>
          <w:rFonts w:eastAsia="Calibri"/>
          <w:lang w:eastAsia="en-US"/>
        </w:rPr>
        <w:t xml:space="preserve"> </w:t>
      </w:r>
      <w:r w:rsidR="00664D89">
        <w:rPr>
          <w:rFonts w:eastAsia="Calibri"/>
          <w:lang w:eastAsia="en-US"/>
        </w:rPr>
        <w:t>must</w:t>
      </w:r>
      <w:r w:rsidRPr="00B66693">
        <w:rPr>
          <w:rFonts w:eastAsia="Calibri"/>
          <w:lang w:eastAsia="en-US"/>
        </w:rPr>
        <w:t xml:space="preserve"> </w:t>
      </w:r>
      <w:r w:rsidR="0064270C" w:rsidRPr="00B66693">
        <w:rPr>
          <w:rFonts w:eastAsia="Calibri"/>
          <w:lang w:eastAsia="en-US"/>
        </w:rPr>
        <w:t>consider</w:t>
      </w:r>
      <w:r w:rsidRPr="00B66693">
        <w:rPr>
          <w:rFonts w:eastAsia="Calibri"/>
          <w:lang w:eastAsia="en-US"/>
        </w:rPr>
        <w:t xml:space="preserve"> the </w:t>
      </w:r>
      <w:r w:rsidR="006C31FA">
        <w:rPr>
          <w:rFonts w:eastAsia="Calibri"/>
          <w:lang w:eastAsia="en-US"/>
        </w:rPr>
        <w:t>needs of clients with dementia.</w:t>
      </w:r>
    </w:p>
    <w:p w14:paraId="5895464E" w14:textId="44E6EBB1" w:rsidR="00B66693" w:rsidRPr="00B66693" w:rsidRDefault="00B66693" w:rsidP="000F25B7">
      <w:pPr>
        <w:rPr>
          <w:rFonts w:eastAsia="Calibri"/>
          <w:lang w:eastAsia="en-US"/>
        </w:rPr>
      </w:pPr>
      <w:r w:rsidRPr="00B66693">
        <w:rPr>
          <w:rFonts w:eastAsia="Calibri"/>
          <w:lang w:eastAsia="en-US"/>
        </w:rPr>
        <w:t xml:space="preserve">After conducting a comprehensive assessment, </w:t>
      </w:r>
      <w:r w:rsidR="0040065F" w:rsidRPr="00B66693">
        <w:rPr>
          <w:rFonts w:eastAsia="Calibri"/>
          <w:lang w:eastAsia="en-US"/>
        </w:rPr>
        <w:t>a</w:t>
      </w:r>
      <w:r w:rsidR="00355A1B">
        <w:rPr>
          <w:rFonts w:eastAsia="Calibri"/>
          <w:lang w:eastAsia="en-US"/>
        </w:rPr>
        <w:t xml:space="preserve"> </w:t>
      </w:r>
      <w:r w:rsidR="00FF4B7B">
        <w:t>clinical aged care needs assessor</w:t>
      </w:r>
      <w:r w:rsidR="00FF4B7B" w:rsidDel="00FF4B7B">
        <w:rPr>
          <w:rFonts w:eastAsia="Calibri"/>
          <w:lang w:eastAsia="en-US"/>
        </w:rPr>
        <w:t xml:space="preserve"> </w:t>
      </w:r>
      <w:r w:rsidRPr="00B66693">
        <w:rPr>
          <w:rFonts w:eastAsia="Calibri"/>
          <w:lang w:eastAsia="en-US"/>
        </w:rPr>
        <w:t xml:space="preserve">will send their assessment findings and recommendations to the </w:t>
      </w:r>
      <w:r w:rsidR="00950C6A">
        <w:rPr>
          <w:rFonts w:eastAsia="Calibri"/>
          <w:lang w:eastAsia="en-US"/>
        </w:rPr>
        <w:t>assessment</w:t>
      </w:r>
      <w:r w:rsidR="00911623">
        <w:rPr>
          <w:rFonts w:eastAsia="Calibri"/>
          <w:lang w:eastAsia="en-US"/>
        </w:rPr>
        <w:t xml:space="preserve"> </w:t>
      </w:r>
      <w:r w:rsidR="00CA0969">
        <w:rPr>
          <w:rFonts w:eastAsia="Calibri"/>
          <w:lang w:eastAsia="en-US"/>
        </w:rPr>
        <w:t>d</w:t>
      </w:r>
      <w:r w:rsidRPr="00B66693">
        <w:rPr>
          <w:rFonts w:eastAsia="Calibri"/>
          <w:lang w:eastAsia="en-US"/>
        </w:rPr>
        <w:t>elegate</w:t>
      </w:r>
      <w:r w:rsidR="0069333C">
        <w:rPr>
          <w:rFonts w:eastAsia="Calibri"/>
          <w:lang w:eastAsia="en-US"/>
        </w:rPr>
        <w:t xml:space="preserve"> who will t</w:t>
      </w:r>
      <w:r w:rsidR="00F5226E">
        <w:rPr>
          <w:rFonts w:eastAsia="Calibri"/>
          <w:lang w:eastAsia="en-US"/>
        </w:rPr>
        <w:t>h</w:t>
      </w:r>
      <w:r w:rsidR="0069333C">
        <w:rPr>
          <w:rFonts w:eastAsia="Calibri"/>
          <w:lang w:eastAsia="en-US"/>
        </w:rPr>
        <w:t>en make a formal decision</w:t>
      </w:r>
      <w:r w:rsidRPr="00B66693">
        <w:rPr>
          <w:rFonts w:eastAsia="Calibri"/>
          <w:lang w:eastAsia="en-US"/>
        </w:rPr>
        <w:t xml:space="preserve">. </w:t>
      </w:r>
      <w:r w:rsidRPr="007D5627">
        <w:rPr>
          <w:rFonts w:eastAsia="Calibri"/>
          <w:lang w:eastAsia="en-US"/>
        </w:rPr>
        <w:t xml:space="preserve">Where a care type under the Act is identified as the most appropriate type of support to meet the client’s needs, and the client meets the eligibility criteria, the </w:t>
      </w:r>
      <w:r w:rsidR="00CA0969">
        <w:t>clinical aged care needs assessor</w:t>
      </w:r>
      <w:r w:rsidR="00CA0969" w:rsidRPr="00390397" w:rsidDel="00CA0969">
        <w:rPr>
          <w:rFonts w:eastAsia="Calibri"/>
          <w:lang w:eastAsia="en-US"/>
        </w:rPr>
        <w:t xml:space="preserve"> </w:t>
      </w:r>
      <w:r w:rsidRPr="007D5627">
        <w:rPr>
          <w:rFonts w:eastAsia="Calibri"/>
          <w:lang w:eastAsia="en-US"/>
        </w:rPr>
        <w:t xml:space="preserve">will recommend this to the </w:t>
      </w:r>
      <w:r w:rsidR="00CA0969">
        <w:rPr>
          <w:rFonts w:eastAsia="Calibri"/>
          <w:lang w:eastAsia="en-US"/>
        </w:rPr>
        <w:t>a</w:t>
      </w:r>
      <w:r w:rsidR="000E4868" w:rsidRPr="00390397">
        <w:rPr>
          <w:rFonts w:eastAsia="Calibri"/>
          <w:lang w:eastAsia="en-US"/>
        </w:rPr>
        <w:t xml:space="preserve">ssessment </w:t>
      </w:r>
      <w:r w:rsidR="00CA0969">
        <w:rPr>
          <w:rFonts w:eastAsia="Calibri"/>
          <w:lang w:eastAsia="en-US"/>
        </w:rPr>
        <w:t>d</w:t>
      </w:r>
      <w:r w:rsidR="00DF58E9">
        <w:rPr>
          <w:rFonts w:eastAsia="Calibri"/>
          <w:lang w:eastAsia="en-US"/>
        </w:rPr>
        <w:t>elegate</w:t>
      </w:r>
      <w:r w:rsidRPr="007D5627">
        <w:rPr>
          <w:rFonts w:eastAsia="Calibri"/>
          <w:lang w:eastAsia="en-US"/>
        </w:rPr>
        <w:t>.</w:t>
      </w:r>
    </w:p>
    <w:p w14:paraId="71B700DD" w14:textId="456FF11B" w:rsidR="00B66693" w:rsidRPr="00B66693" w:rsidRDefault="00B66693" w:rsidP="000F25B7">
      <w:pPr>
        <w:rPr>
          <w:rFonts w:eastAsia="Calibri"/>
          <w:lang w:eastAsia="en-US"/>
        </w:rPr>
      </w:pPr>
      <w:r w:rsidRPr="00B66693">
        <w:rPr>
          <w:rFonts w:eastAsia="Calibri"/>
          <w:lang w:eastAsia="en-US"/>
        </w:rPr>
        <w:t xml:space="preserve">The </w:t>
      </w:r>
      <w:r w:rsidR="00CA0969">
        <w:rPr>
          <w:rFonts w:eastAsia="Calibri"/>
          <w:lang w:eastAsia="en-US"/>
        </w:rPr>
        <w:t>a</w:t>
      </w:r>
      <w:r w:rsidR="000E4868">
        <w:rPr>
          <w:rFonts w:eastAsia="Calibri"/>
          <w:lang w:eastAsia="en-US"/>
        </w:rPr>
        <w:t xml:space="preserve">ssessment </w:t>
      </w:r>
      <w:r w:rsidR="00CA0969">
        <w:rPr>
          <w:rFonts w:eastAsia="Calibri"/>
          <w:lang w:eastAsia="en-US"/>
        </w:rPr>
        <w:t>d</w:t>
      </w:r>
      <w:r w:rsidRPr="00B66693">
        <w:rPr>
          <w:rFonts w:eastAsia="Calibri"/>
          <w:lang w:eastAsia="en-US"/>
        </w:rPr>
        <w:t xml:space="preserve">elegate will notify the client of the decision to approve or not approve them as a </w:t>
      </w:r>
      <w:r w:rsidR="00DB5FF7">
        <w:rPr>
          <w:rFonts w:eastAsia="Calibri"/>
          <w:lang w:eastAsia="en-US"/>
        </w:rPr>
        <w:t>care recipient</w:t>
      </w:r>
      <w:r w:rsidRPr="00B66693">
        <w:rPr>
          <w:rFonts w:eastAsia="Calibri"/>
          <w:lang w:eastAsia="en-US"/>
        </w:rPr>
        <w:t xml:space="preserve"> and if eligible, the </w:t>
      </w:r>
      <w:r w:rsidR="00CA0969">
        <w:t>clinical aged care needs assessor</w:t>
      </w:r>
      <w:r w:rsidRPr="00B66693">
        <w:rPr>
          <w:rFonts w:eastAsia="Calibri"/>
          <w:lang w:eastAsia="en-US"/>
        </w:rPr>
        <w:t xml:space="preserve"> will provide the client with information about aged care services and make the necessary referrals to an appropriate service provider through the My Aged Care system or by issuing a referral code to the client. The referral code enables potential s</w:t>
      </w:r>
      <w:r w:rsidR="00CD4746">
        <w:rPr>
          <w:rFonts w:eastAsia="Calibri"/>
          <w:lang w:eastAsia="en-US"/>
        </w:rPr>
        <w:t>ervice providers to view the My Aged Care client </w:t>
      </w:r>
      <w:r w:rsidRPr="00B66693">
        <w:rPr>
          <w:rFonts w:eastAsia="Calibri"/>
          <w:lang w:eastAsia="en-US"/>
        </w:rPr>
        <w:t>record, accept the referral, and start organising services.</w:t>
      </w:r>
    </w:p>
    <w:p w14:paraId="14A91905" w14:textId="34C045C8" w:rsidR="009760E2" w:rsidRDefault="00106463" w:rsidP="000F25B7">
      <w:pPr>
        <w:rPr>
          <w:rFonts w:eastAsia="Calibri"/>
          <w:lang w:eastAsia="en-US"/>
        </w:rPr>
      </w:pPr>
      <w:r>
        <w:t>C</w:t>
      </w:r>
      <w:r w:rsidR="00CA0969">
        <w:t>linical aged care needs assessor</w:t>
      </w:r>
      <w:r>
        <w:t>s</w:t>
      </w:r>
      <w:r w:rsidR="00CA0969" w:rsidRPr="00B66693" w:rsidDel="00CA0969">
        <w:rPr>
          <w:rFonts w:eastAsia="Calibri"/>
          <w:lang w:eastAsia="en-US"/>
        </w:rPr>
        <w:t xml:space="preserve"> </w:t>
      </w:r>
      <w:r w:rsidR="00B66693" w:rsidRPr="00B66693">
        <w:rPr>
          <w:rFonts w:eastAsia="Calibri"/>
          <w:lang w:eastAsia="en-US"/>
        </w:rPr>
        <w:t xml:space="preserve">and service providers should build and maintain effective working relationships to ensure </w:t>
      </w:r>
      <w:r w:rsidR="00FE4923">
        <w:rPr>
          <w:rFonts w:eastAsia="Calibri"/>
          <w:lang w:eastAsia="en-US"/>
        </w:rPr>
        <w:t>assessors</w:t>
      </w:r>
      <w:r w:rsidR="00B66693" w:rsidRPr="00B66693">
        <w:rPr>
          <w:rFonts w:eastAsia="Calibri"/>
          <w:lang w:eastAsia="en-US"/>
        </w:rPr>
        <w:t xml:space="preserve"> are aware of the transition care services that providers offer and can make appropriate timely referrals to the most suitable provider.</w:t>
      </w:r>
    </w:p>
    <w:p w14:paraId="36319CAC" w14:textId="6A744359" w:rsidR="00B66693" w:rsidRPr="00567415" w:rsidRDefault="00B66693" w:rsidP="000F25B7">
      <w:pPr>
        <w:rPr>
          <w:rFonts w:ascii="Times New Roman" w:hAnsi="Times New Roman"/>
          <w:b/>
          <w:bCs/>
          <w:spacing w:val="0"/>
          <w:szCs w:val="20"/>
          <w:lang w:val="en-GB"/>
        </w:rPr>
      </w:pPr>
      <w:r w:rsidRPr="00B66693">
        <w:rPr>
          <w:rFonts w:eastAsia="Calibri"/>
          <w:lang w:eastAsia="en-US"/>
        </w:rPr>
        <w:t xml:space="preserve">Once a service provider is found </w:t>
      </w:r>
      <w:r w:rsidR="00664D89">
        <w:rPr>
          <w:rFonts w:eastAsia="Calibri"/>
          <w:lang w:eastAsia="en-US"/>
        </w:rPr>
        <w:t>who</w:t>
      </w:r>
      <w:r w:rsidRPr="00B66693">
        <w:rPr>
          <w:rFonts w:eastAsia="Calibri"/>
          <w:lang w:eastAsia="en-US"/>
        </w:rPr>
        <w:t xml:space="preserve"> can offer the services required, they accept the client’s referral in My</w:t>
      </w:r>
      <w:r w:rsidR="00233CB2">
        <w:rPr>
          <w:rFonts w:eastAsia="Calibri"/>
          <w:lang w:eastAsia="en-US"/>
        </w:rPr>
        <w:t> </w:t>
      </w:r>
      <w:r w:rsidRPr="00B66693">
        <w:rPr>
          <w:rFonts w:eastAsia="Calibri"/>
          <w:lang w:eastAsia="en-US"/>
        </w:rPr>
        <w:t>Aged Care and enter the relevant service information. My Aged Care</w:t>
      </w:r>
      <w:r w:rsidR="00DB5FF7">
        <w:rPr>
          <w:rFonts w:eastAsia="Calibri"/>
          <w:lang w:eastAsia="en-US"/>
        </w:rPr>
        <w:t xml:space="preserve"> then</w:t>
      </w:r>
      <w:r w:rsidRPr="00B66693">
        <w:rPr>
          <w:rFonts w:eastAsia="Calibri"/>
          <w:lang w:eastAsia="en-US"/>
        </w:rPr>
        <w:t xml:space="preserve"> transmits client approval information to the</w:t>
      </w:r>
      <w:r w:rsidR="00DB5FF7">
        <w:rPr>
          <w:rFonts w:eastAsia="Calibri"/>
          <w:lang w:eastAsia="en-US"/>
        </w:rPr>
        <w:t xml:space="preserve"> Australian Government</w:t>
      </w:r>
      <w:r w:rsidRPr="00B66693">
        <w:rPr>
          <w:rFonts w:eastAsia="Calibri"/>
          <w:lang w:eastAsia="en-US"/>
        </w:rPr>
        <w:t xml:space="preserve"> </w:t>
      </w:r>
      <w:r w:rsidR="00507E20">
        <w:rPr>
          <w:rFonts w:eastAsia="Calibri"/>
          <w:lang w:eastAsia="en-US"/>
        </w:rPr>
        <w:t xml:space="preserve">Services Australia </w:t>
      </w:r>
      <w:r w:rsidRPr="00B66693">
        <w:rPr>
          <w:rFonts w:eastAsia="Calibri"/>
          <w:lang w:eastAsia="en-US"/>
        </w:rPr>
        <w:t xml:space="preserve">payment </w:t>
      </w:r>
      <w:r w:rsidR="001E12A1" w:rsidRPr="00B66693">
        <w:rPr>
          <w:rFonts w:eastAsia="Calibri"/>
          <w:lang w:eastAsia="en-US"/>
        </w:rPr>
        <w:t xml:space="preserve">system that allows the service provider </w:t>
      </w:r>
      <w:r w:rsidR="001E12A1" w:rsidRPr="00F82C68">
        <w:rPr>
          <w:rFonts w:eastAsia="Calibri"/>
          <w:lang w:eastAsia="en-US"/>
        </w:rPr>
        <w:t xml:space="preserve">to claim for </w:t>
      </w:r>
      <w:r w:rsidR="009760E2" w:rsidRPr="00F82C68">
        <w:rPr>
          <w:rFonts w:eastAsia="Calibri"/>
          <w:lang w:eastAsia="en-US"/>
        </w:rPr>
        <w:t>Australian Government</w:t>
      </w:r>
      <w:r w:rsidRPr="00F82C68">
        <w:rPr>
          <w:rFonts w:eastAsia="Calibri"/>
          <w:lang w:eastAsia="en-US"/>
        </w:rPr>
        <w:t xml:space="preserve"> subsidy against a valid approval for the period of care </w:t>
      </w:r>
      <w:r w:rsidRPr="00383C99">
        <w:rPr>
          <w:rFonts w:eastAsia="Calibri"/>
          <w:lang w:eastAsia="en-US"/>
        </w:rPr>
        <w:t>delivered.</w:t>
      </w:r>
      <w:r w:rsidR="001277C3" w:rsidRPr="00383C99">
        <w:rPr>
          <w:rFonts w:eastAsia="Calibri"/>
          <w:lang w:eastAsia="en-US"/>
        </w:rPr>
        <w:t xml:space="preserve"> </w:t>
      </w:r>
      <w:r w:rsidRPr="00383C99">
        <w:rPr>
          <w:rFonts w:eastAsia="Calibri"/>
          <w:lang w:eastAsia="en-US"/>
        </w:rPr>
        <w:t>Please note the transition care approval is valid</w:t>
      </w:r>
      <w:r w:rsidR="00C2576C" w:rsidRPr="00383C99">
        <w:rPr>
          <w:rFonts w:eastAsia="Calibri"/>
          <w:lang w:eastAsia="en-US"/>
        </w:rPr>
        <w:t xml:space="preserve"> on the date the </w:t>
      </w:r>
      <w:r w:rsidR="00106463">
        <w:rPr>
          <w:rFonts w:eastAsia="Calibri"/>
          <w:lang w:eastAsia="en-US"/>
        </w:rPr>
        <w:t>a</w:t>
      </w:r>
      <w:r w:rsidR="00472ED2" w:rsidRPr="00383C99">
        <w:rPr>
          <w:rFonts w:eastAsia="Calibri"/>
          <w:lang w:eastAsia="en-US"/>
        </w:rPr>
        <w:t xml:space="preserve">ssessment </w:t>
      </w:r>
      <w:r w:rsidR="00106463">
        <w:rPr>
          <w:rFonts w:eastAsia="Calibri"/>
          <w:lang w:eastAsia="en-US"/>
        </w:rPr>
        <w:t>d</w:t>
      </w:r>
      <w:r w:rsidR="00C2576C" w:rsidRPr="00383C99">
        <w:rPr>
          <w:rFonts w:eastAsia="Calibri"/>
          <w:lang w:eastAsia="en-US"/>
        </w:rPr>
        <w:t>elegate signs</w:t>
      </w:r>
      <w:r w:rsidR="00C2576C" w:rsidRPr="00233CB2">
        <w:rPr>
          <w:rFonts w:eastAsia="Calibri"/>
          <w:lang w:eastAsia="en-US"/>
        </w:rPr>
        <w:t xml:space="preserve"> the approval, and then for four weeks (28 calendar days) after the date of signing. The </w:t>
      </w:r>
      <w:r w:rsidR="00850065">
        <w:rPr>
          <w:rFonts w:eastAsia="Calibri"/>
          <w:lang w:eastAsia="en-US"/>
        </w:rPr>
        <w:t>client</w:t>
      </w:r>
      <w:r w:rsidR="00C2576C" w:rsidRPr="00233CB2">
        <w:rPr>
          <w:rFonts w:eastAsia="Calibri"/>
          <w:lang w:eastAsia="en-US"/>
        </w:rPr>
        <w:t xml:space="preserve"> must enter the programme within this </w:t>
      </w:r>
      <w:r w:rsidR="003A6D92" w:rsidRPr="00233CB2">
        <w:rPr>
          <w:rFonts w:eastAsia="Calibri"/>
          <w:lang w:eastAsia="en-US"/>
        </w:rPr>
        <w:t>four-week</w:t>
      </w:r>
      <w:r w:rsidR="00C2576C" w:rsidRPr="00233CB2">
        <w:rPr>
          <w:rFonts w:eastAsia="Calibri"/>
          <w:lang w:eastAsia="en-US"/>
        </w:rPr>
        <w:t xml:space="preserve"> approval ‘entry period’, and </w:t>
      </w:r>
      <w:r w:rsidR="00E432D4" w:rsidRPr="00233CB2">
        <w:rPr>
          <w:rFonts w:eastAsia="Calibri"/>
          <w:lang w:eastAsia="en-US"/>
        </w:rPr>
        <w:t xml:space="preserve">within the specified </w:t>
      </w:r>
      <w:r w:rsidR="00C2576C" w:rsidRPr="00233CB2">
        <w:rPr>
          <w:rFonts w:eastAsia="Calibri"/>
          <w:lang w:eastAsia="en-US"/>
        </w:rPr>
        <w:t>episode commencement timeframe</w:t>
      </w:r>
      <w:r w:rsidR="00E432D4" w:rsidRPr="00233CB2">
        <w:rPr>
          <w:rFonts w:eastAsia="Calibri"/>
          <w:lang w:eastAsia="en-US"/>
        </w:rPr>
        <w:t xml:space="preserve"> i.e. immediately upon discharge from hospital if the </w:t>
      </w:r>
      <w:r w:rsidR="00552FE5">
        <w:rPr>
          <w:rFonts w:eastAsia="Calibri"/>
          <w:lang w:eastAsia="en-US"/>
        </w:rPr>
        <w:t>client</w:t>
      </w:r>
      <w:r w:rsidR="00E432D4" w:rsidRPr="00233CB2">
        <w:rPr>
          <w:rFonts w:eastAsia="Calibri"/>
          <w:lang w:eastAsia="en-US"/>
        </w:rPr>
        <w:t xml:space="preserve"> is entering </w:t>
      </w:r>
      <w:r w:rsidR="00E432D4" w:rsidRPr="00092BA8">
        <w:rPr>
          <w:rFonts w:eastAsia="Calibri"/>
          <w:lang w:eastAsia="en-US"/>
        </w:rPr>
        <w:t xml:space="preserve">transition care in a residential care </w:t>
      </w:r>
      <w:r w:rsidR="00950C6A" w:rsidRPr="00092BA8">
        <w:rPr>
          <w:rFonts w:eastAsia="Calibri"/>
          <w:lang w:eastAsia="en-US"/>
        </w:rPr>
        <w:t>setting, within</w:t>
      </w:r>
      <w:r w:rsidR="00E432D4" w:rsidRPr="00092BA8">
        <w:rPr>
          <w:rFonts w:eastAsia="Calibri"/>
          <w:lang w:eastAsia="en-US"/>
        </w:rPr>
        <w:t xml:space="preserve"> 48 hours if the person is to receive transition care in </w:t>
      </w:r>
      <w:r w:rsidR="0067066C">
        <w:rPr>
          <w:rFonts w:eastAsia="Calibri"/>
          <w:lang w:eastAsia="en-US"/>
        </w:rPr>
        <w:t>a</w:t>
      </w:r>
      <w:r w:rsidR="00E432D4" w:rsidRPr="00092BA8">
        <w:rPr>
          <w:rFonts w:eastAsia="Calibri"/>
          <w:lang w:eastAsia="en-US"/>
        </w:rPr>
        <w:t xml:space="preserve"> home</w:t>
      </w:r>
      <w:r w:rsidR="00A30095" w:rsidRPr="00390397">
        <w:rPr>
          <w:rFonts w:eastAsia="Calibri"/>
          <w:lang w:eastAsia="en-US"/>
        </w:rPr>
        <w:t>/community setting</w:t>
      </w:r>
      <w:r w:rsidR="008514A1">
        <w:rPr>
          <w:rFonts w:eastAsia="Calibri"/>
          <w:lang w:eastAsia="en-US"/>
        </w:rPr>
        <w:t>.</w:t>
      </w:r>
      <w:r w:rsidR="006B5842">
        <w:rPr>
          <w:rFonts w:cs="Arial"/>
          <w:szCs w:val="20"/>
        </w:rPr>
        <w:t xml:space="preserve"> </w:t>
      </w:r>
      <w:r w:rsidR="00664D89" w:rsidRPr="00092BA8">
        <w:rPr>
          <w:rFonts w:eastAsia="Calibri"/>
          <w:lang w:eastAsia="en-US"/>
        </w:rPr>
        <w:t>H</w:t>
      </w:r>
      <w:r w:rsidR="00C2309D" w:rsidRPr="00092BA8">
        <w:rPr>
          <w:rFonts w:eastAsia="Calibri"/>
          <w:lang w:eastAsia="en-US"/>
        </w:rPr>
        <w:t xml:space="preserve">ealth services remain responsible for ensuring safe discharge practices are followed </w:t>
      </w:r>
      <w:r w:rsidR="00552FE5" w:rsidRPr="00390397">
        <w:rPr>
          <w:rFonts w:eastAsia="Calibri"/>
          <w:lang w:eastAsia="en-US"/>
        </w:rPr>
        <w:t>and</w:t>
      </w:r>
      <w:r w:rsidR="00C2309D" w:rsidRPr="00092BA8">
        <w:rPr>
          <w:rFonts w:eastAsia="Calibri"/>
          <w:lang w:eastAsia="en-US"/>
        </w:rPr>
        <w:t xml:space="preserve"> </w:t>
      </w:r>
      <w:r w:rsidR="00CE681C">
        <w:rPr>
          <w:rFonts w:eastAsia="Calibri"/>
          <w:lang w:eastAsia="en-US"/>
        </w:rPr>
        <w:t xml:space="preserve">as such </w:t>
      </w:r>
      <w:r w:rsidR="00C2309D" w:rsidRPr="00092BA8">
        <w:rPr>
          <w:rFonts w:eastAsia="Calibri"/>
          <w:lang w:eastAsia="en-US"/>
        </w:rPr>
        <w:t>be confident that the discharging patient will be adequately supported for the period prior to entry into home</w:t>
      </w:r>
      <w:r w:rsidR="00092BA8" w:rsidRPr="00390397">
        <w:rPr>
          <w:rFonts w:eastAsia="Calibri"/>
          <w:lang w:eastAsia="en-US"/>
        </w:rPr>
        <w:t>/community</w:t>
      </w:r>
      <w:r w:rsidR="00C2309D" w:rsidRPr="00092BA8">
        <w:rPr>
          <w:rFonts w:eastAsia="Calibri"/>
          <w:lang w:eastAsia="en-US"/>
        </w:rPr>
        <w:t xml:space="preserve">-based TCP </w:t>
      </w:r>
      <w:r w:rsidR="00E13C6F" w:rsidRPr="00092BA8">
        <w:rPr>
          <w:rFonts w:eastAsia="Calibri"/>
          <w:lang w:eastAsia="en-US"/>
        </w:rPr>
        <w:t>(see</w:t>
      </w:r>
      <w:r w:rsidR="00E432D4" w:rsidRPr="00092BA8">
        <w:rPr>
          <w:rFonts w:eastAsia="Calibri"/>
          <w:lang w:eastAsia="en-US"/>
        </w:rPr>
        <w:t xml:space="preserve"> also section</w:t>
      </w:r>
      <w:r w:rsidR="00E432D4" w:rsidRPr="00092BA8">
        <w:rPr>
          <w:rFonts w:eastAsia="Calibri"/>
          <w:i/>
          <w:lang w:eastAsia="en-US"/>
        </w:rPr>
        <w:t xml:space="preserve"> 3.4.4 Approval for Transition Care</w:t>
      </w:r>
      <w:r w:rsidR="00E13C6F" w:rsidRPr="00092BA8">
        <w:rPr>
          <w:rFonts w:eastAsia="Calibri"/>
          <w:lang w:eastAsia="en-US"/>
        </w:rPr>
        <w:t>)</w:t>
      </w:r>
      <w:r w:rsidR="00E432D4" w:rsidRPr="00092BA8">
        <w:rPr>
          <w:rFonts w:eastAsia="Calibri"/>
          <w:lang w:eastAsia="en-US"/>
        </w:rPr>
        <w:t>.</w:t>
      </w:r>
    </w:p>
    <w:p w14:paraId="285453BE" w14:textId="5B85F2A2" w:rsidR="00B66693" w:rsidRPr="00B66693" w:rsidRDefault="00B66693" w:rsidP="000F25B7">
      <w:pPr>
        <w:rPr>
          <w:rFonts w:eastAsia="Calibri"/>
          <w:lang w:eastAsia="en-US"/>
        </w:rPr>
      </w:pPr>
      <w:r w:rsidRPr="00B66693">
        <w:rPr>
          <w:rFonts w:eastAsia="Calibri"/>
          <w:lang w:eastAsia="en-US"/>
        </w:rPr>
        <w:t xml:space="preserve">The </w:t>
      </w:r>
      <w:r w:rsidR="008514A1">
        <w:t>clinical aged care needs assessor</w:t>
      </w:r>
      <w:r w:rsidR="008514A1">
        <w:rPr>
          <w:rFonts w:eastAsia="Calibri"/>
          <w:lang w:eastAsia="en-US"/>
        </w:rPr>
        <w:t xml:space="preserve"> </w:t>
      </w:r>
      <w:r w:rsidRPr="00B66693">
        <w:rPr>
          <w:rFonts w:eastAsia="Calibri"/>
          <w:lang w:eastAsia="en-US"/>
        </w:rPr>
        <w:t>is also required to assess a client’s need for a transition care extension and other care options as requested by the service provider through the My Aged Care provider portal</w:t>
      </w:r>
      <w:r w:rsidR="00E432D4">
        <w:rPr>
          <w:rFonts w:eastAsia="Calibri"/>
          <w:lang w:eastAsia="en-US"/>
        </w:rPr>
        <w:t>.</w:t>
      </w:r>
      <w:r w:rsidR="00E13C6F">
        <w:rPr>
          <w:rFonts w:eastAsia="Calibri"/>
          <w:lang w:eastAsia="en-US"/>
        </w:rPr>
        <w:t xml:space="preserve"> </w:t>
      </w:r>
      <w:r w:rsidRPr="00B66693">
        <w:rPr>
          <w:rFonts w:eastAsia="Calibri"/>
          <w:lang w:eastAsia="en-US"/>
        </w:rPr>
        <w:t xml:space="preserve">The </w:t>
      </w:r>
      <w:r w:rsidR="000E04CF">
        <w:rPr>
          <w:rFonts w:eastAsia="Calibri"/>
          <w:lang w:eastAsia="en-US"/>
        </w:rPr>
        <w:t xml:space="preserve">assessor </w:t>
      </w:r>
      <w:r w:rsidRPr="00B66693">
        <w:rPr>
          <w:rFonts w:eastAsia="Calibri"/>
          <w:lang w:eastAsia="en-US"/>
        </w:rPr>
        <w:t>will use the information provided by the service provider, and other sources such as the client and relevant health professionals as appropriate to assess eligibility for the extension</w:t>
      </w:r>
      <w:r w:rsidR="00E432D4" w:rsidRPr="00E432D4">
        <w:rPr>
          <w:rFonts w:eastAsia="Calibri"/>
          <w:lang w:eastAsia="en-US"/>
        </w:rPr>
        <w:t xml:space="preserve"> (see also </w:t>
      </w:r>
      <w:r w:rsidR="00E432D4" w:rsidRPr="00F573C6">
        <w:rPr>
          <w:rFonts w:eastAsia="Calibri"/>
          <w:lang w:eastAsia="en-US"/>
        </w:rPr>
        <w:t xml:space="preserve">section </w:t>
      </w:r>
      <w:r w:rsidR="00E432D4" w:rsidRPr="00F573C6">
        <w:rPr>
          <w:rFonts w:eastAsia="Calibri"/>
          <w:i/>
          <w:lang w:eastAsia="en-US"/>
        </w:rPr>
        <w:t>3.5.</w:t>
      </w:r>
      <w:r w:rsidR="008321C0" w:rsidRPr="00F573C6">
        <w:rPr>
          <w:rFonts w:eastAsia="Calibri"/>
          <w:i/>
          <w:lang w:eastAsia="en-US"/>
        </w:rPr>
        <w:t>8</w:t>
      </w:r>
      <w:r w:rsidR="00E432D4" w:rsidRPr="00F573C6">
        <w:rPr>
          <w:rFonts w:eastAsia="Calibri"/>
          <w:i/>
          <w:lang w:eastAsia="en-US"/>
        </w:rPr>
        <w:t xml:space="preserve"> Extensions </w:t>
      </w:r>
      <w:r w:rsidR="00E432D4" w:rsidRPr="00F573C6">
        <w:rPr>
          <w:rFonts w:eastAsia="Calibri"/>
          <w:lang w:eastAsia="en-US"/>
        </w:rPr>
        <w:t>and</w:t>
      </w:r>
      <w:r w:rsidR="00E432D4" w:rsidRPr="00F573C6">
        <w:rPr>
          <w:rFonts w:eastAsia="Calibri"/>
          <w:i/>
          <w:lang w:eastAsia="en-US"/>
        </w:rPr>
        <w:t xml:space="preserve"> </w:t>
      </w:r>
      <w:r w:rsidR="00E432D4" w:rsidRPr="00F573C6">
        <w:rPr>
          <w:rFonts w:eastAsia="Calibri"/>
          <w:lang w:eastAsia="en-US"/>
        </w:rPr>
        <w:t>section</w:t>
      </w:r>
      <w:r w:rsidR="00E432D4" w:rsidRPr="00F573C6">
        <w:rPr>
          <w:rFonts w:eastAsia="Calibri"/>
          <w:i/>
          <w:lang w:eastAsia="en-US"/>
        </w:rPr>
        <w:t xml:space="preserve"> 3.5.</w:t>
      </w:r>
      <w:r w:rsidR="008321C0" w:rsidRPr="00F573C6">
        <w:rPr>
          <w:rFonts w:eastAsia="Calibri"/>
          <w:i/>
          <w:lang w:eastAsia="en-US"/>
        </w:rPr>
        <w:t>9</w:t>
      </w:r>
      <w:r w:rsidR="00E432D4" w:rsidRPr="00F573C6">
        <w:rPr>
          <w:rFonts w:eastAsia="Calibri"/>
          <w:i/>
          <w:lang w:eastAsia="en-US"/>
        </w:rPr>
        <w:t xml:space="preserve"> Review of the </w:t>
      </w:r>
      <w:r w:rsidR="00DF6A5A">
        <w:t>clinical aged care needs assessor</w:t>
      </w:r>
      <w:r w:rsidR="00DF6A5A" w:rsidRPr="00F573C6" w:rsidDel="00DF6A5A">
        <w:rPr>
          <w:rFonts w:eastAsia="Calibri"/>
          <w:i/>
          <w:lang w:eastAsia="en-US"/>
        </w:rPr>
        <w:t xml:space="preserve"> </w:t>
      </w:r>
      <w:r w:rsidR="00E432D4" w:rsidRPr="00F573C6">
        <w:rPr>
          <w:rFonts w:eastAsia="Calibri"/>
          <w:i/>
          <w:lang w:eastAsia="en-US"/>
        </w:rPr>
        <w:t>extension decisions</w:t>
      </w:r>
      <w:r w:rsidR="00E432D4" w:rsidRPr="00F573C6">
        <w:rPr>
          <w:rFonts w:eastAsia="Calibri"/>
          <w:lang w:eastAsia="en-US"/>
        </w:rPr>
        <w:t>).</w:t>
      </w:r>
    </w:p>
    <w:p w14:paraId="461D7105" w14:textId="741E6210" w:rsidR="00605BA0" w:rsidRPr="00DB5FF7" w:rsidRDefault="00B66693" w:rsidP="000F25B7">
      <w:pPr>
        <w:rPr>
          <w:rFonts w:eastAsia="Calibri" w:cs="Arial"/>
          <w:spacing w:val="0"/>
          <w:szCs w:val="20"/>
          <w:lang w:eastAsia="en-US"/>
        </w:rPr>
      </w:pPr>
      <w:r w:rsidRPr="000A2014">
        <w:rPr>
          <w:rFonts w:eastAsia="Calibri" w:cs="Arial"/>
          <w:spacing w:val="0"/>
          <w:szCs w:val="20"/>
          <w:lang w:eastAsia="en-US"/>
        </w:rPr>
        <w:t>Further information</w:t>
      </w:r>
      <w:r w:rsidR="00DB5FF7" w:rsidRPr="000A2014">
        <w:rPr>
          <w:rFonts w:eastAsia="Calibri" w:cs="Arial"/>
          <w:spacing w:val="0"/>
          <w:szCs w:val="20"/>
          <w:lang w:eastAsia="en-US"/>
        </w:rPr>
        <w:t xml:space="preserve"> is available at</w:t>
      </w:r>
      <w:r w:rsidRPr="000A2014">
        <w:rPr>
          <w:rFonts w:eastAsia="Calibri" w:cs="Arial"/>
          <w:spacing w:val="0"/>
          <w:szCs w:val="20"/>
          <w:lang w:eastAsia="en-US"/>
        </w:rPr>
        <w:t xml:space="preserve">: </w:t>
      </w:r>
      <w:hyperlink r:id="rId26" w:history="1">
        <w:r w:rsidRPr="000A2014">
          <w:rPr>
            <w:rFonts w:eastAsia="Calibri" w:cs="Arial"/>
            <w:color w:val="0563C1"/>
            <w:spacing w:val="0"/>
            <w:szCs w:val="20"/>
            <w:u w:val="single"/>
            <w:lang w:eastAsia="en-US"/>
          </w:rPr>
          <w:t>My Aged Care Assessment Manual</w:t>
        </w:r>
      </w:hyperlink>
      <w:r w:rsidR="00DB5FF7" w:rsidRPr="000A2014">
        <w:t>.</w:t>
      </w:r>
    </w:p>
    <w:p w14:paraId="7285B437" w14:textId="4D12C21A" w:rsidR="00605BA0" w:rsidRPr="007A488E" w:rsidRDefault="00605BA0" w:rsidP="000F25B7">
      <w:r w:rsidRPr="00DA4E41">
        <w:t xml:space="preserve">During the transition care episode, the </w:t>
      </w:r>
      <w:r w:rsidR="00DF6A5A">
        <w:t>clinical aged care needs assessor</w:t>
      </w:r>
      <w:r w:rsidR="00DF6A5A" w:rsidDel="00DF6A5A">
        <w:t xml:space="preserve"> </w:t>
      </w:r>
      <w:r w:rsidRPr="00DA4E41">
        <w:t xml:space="preserve">should assist the service provider, if necessary, in reviewing a care recipient’s needs, re-assessing appropriate care options or referring to a more appropriate service </w:t>
      </w:r>
      <w:r w:rsidR="00CF1696">
        <w:t xml:space="preserve">if needed </w:t>
      </w:r>
      <w:r w:rsidRPr="00DA4E41">
        <w:t xml:space="preserve">(see also section </w:t>
      </w:r>
      <w:r w:rsidRPr="00DA4E41">
        <w:rPr>
          <w:i/>
        </w:rPr>
        <w:t xml:space="preserve">3.5.2 The service </w:t>
      </w:r>
      <w:r w:rsidRPr="007A488E">
        <w:rPr>
          <w:i/>
        </w:rPr>
        <w:t>provider</w:t>
      </w:r>
      <w:r w:rsidRPr="007A488E">
        <w:t>).</w:t>
      </w:r>
    </w:p>
    <w:p w14:paraId="0E5F954C" w14:textId="0AD410A8" w:rsidR="00605BA0" w:rsidRPr="00AD62F9" w:rsidRDefault="00605BA0" w:rsidP="00B42C61">
      <w:pPr>
        <w:pStyle w:val="Heading3withoutnumbering"/>
        <w:rPr>
          <w:rFonts w:eastAsia="Times New Roman" w:cs="Times New Roman"/>
        </w:rPr>
      </w:pPr>
      <w:bookmarkStart w:id="148" w:name="_Toc245536168"/>
      <w:bookmarkStart w:id="149" w:name="_Toc395537180"/>
      <w:bookmarkStart w:id="150" w:name="_Toc422732538"/>
      <w:bookmarkStart w:id="151" w:name="_Toc422752878"/>
      <w:bookmarkStart w:id="152" w:name="_Toc197076885"/>
      <w:r w:rsidRPr="00E10CFE">
        <w:rPr>
          <w:rFonts w:eastAsia="Times New Roman" w:cs="Times New Roman"/>
        </w:rPr>
        <w:t xml:space="preserve">Who should participate in an </w:t>
      </w:r>
      <w:r w:rsidR="0047734D">
        <w:rPr>
          <w:rFonts w:eastAsia="Times New Roman" w:cs="Times New Roman"/>
        </w:rPr>
        <w:t xml:space="preserve">aged care </w:t>
      </w:r>
      <w:r w:rsidR="00362AF3">
        <w:rPr>
          <w:rFonts w:eastAsia="Times New Roman" w:cs="Times New Roman"/>
        </w:rPr>
        <w:t xml:space="preserve">needs </w:t>
      </w:r>
      <w:r w:rsidRPr="00E10CFE">
        <w:rPr>
          <w:rFonts w:eastAsia="Times New Roman" w:cs="Times New Roman"/>
        </w:rPr>
        <w:t>assessment?</w:t>
      </w:r>
      <w:bookmarkEnd w:id="148"/>
      <w:bookmarkEnd w:id="149"/>
      <w:bookmarkEnd w:id="150"/>
      <w:bookmarkEnd w:id="151"/>
      <w:bookmarkEnd w:id="152"/>
    </w:p>
    <w:p w14:paraId="03EF4D12" w14:textId="4C57CBF2" w:rsidR="00605BA0" w:rsidRPr="00E10CFE" w:rsidRDefault="00605BA0" w:rsidP="000F25B7">
      <w:r w:rsidRPr="00E10CFE">
        <w:t xml:space="preserve">As with all </w:t>
      </w:r>
      <w:r w:rsidR="003F661F">
        <w:t xml:space="preserve">aged care </w:t>
      </w:r>
      <w:r w:rsidR="00392FBC">
        <w:t xml:space="preserve">needs </w:t>
      </w:r>
      <w:r w:rsidRPr="00E10CFE">
        <w:t xml:space="preserve">assessments, where appropriate, and with the care recipient’s permission, the assessment </w:t>
      </w:r>
      <w:r w:rsidR="00291BB7">
        <w:t>must</w:t>
      </w:r>
      <w:r w:rsidRPr="00E10CFE">
        <w:t xml:space="preserve"> involve:</w:t>
      </w:r>
    </w:p>
    <w:p w14:paraId="0E6C5175" w14:textId="3A32B7B7" w:rsidR="00605BA0" w:rsidRPr="00E10CFE" w:rsidRDefault="00605BA0" w:rsidP="00E330E4">
      <w:pPr>
        <w:pStyle w:val="ListBullet"/>
      </w:pPr>
      <w:r w:rsidRPr="00E10CFE">
        <w:t xml:space="preserve">the care recipient and their carer, family or </w:t>
      </w:r>
      <w:proofErr w:type="gramStart"/>
      <w:r w:rsidRPr="00E10CFE">
        <w:t>representative;</w:t>
      </w:r>
      <w:proofErr w:type="gramEnd"/>
    </w:p>
    <w:p w14:paraId="6C7DA588" w14:textId="77777777" w:rsidR="00605BA0" w:rsidRPr="00E10CFE" w:rsidRDefault="00605BA0" w:rsidP="00E330E4">
      <w:pPr>
        <w:pStyle w:val="ListBullet"/>
      </w:pPr>
      <w:r w:rsidRPr="00E10CFE">
        <w:lastRenderedPageBreak/>
        <w:t>an interpreter or an Aboriginal or Torres Strait Islander health worker or liaison officer as required, in accordance with the individual’s preferences; and</w:t>
      </w:r>
    </w:p>
    <w:p w14:paraId="2B443CCE" w14:textId="77777777" w:rsidR="00121D02" w:rsidRPr="00E10CFE" w:rsidRDefault="00605BA0" w:rsidP="00E330E4">
      <w:pPr>
        <w:pStyle w:val="ListBullet"/>
      </w:pPr>
      <w:r w:rsidRPr="00E10CFE">
        <w:t>other health and rehabilitation professionals, as appropriate.</w:t>
      </w:r>
    </w:p>
    <w:p w14:paraId="73DD81FA" w14:textId="765666A3" w:rsidR="00605BA0" w:rsidRPr="00E10CFE" w:rsidRDefault="00605BA0" w:rsidP="00E10CFE">
      <w:pPr>
        <w:pStyle w:val="Heading3withoutnumbering"/>
        <w:rPr>
          <w:rFonts w:eastAsia="Times New Roman" w:cs="Times New Roman"/>
        </w:rPr>
      </w:pPr>
      <w:bookmarkStart w:id="153" w:name="_Toc521122291"/>
      <w:bookmarkStart w:id="154" w:name="_Toc29371656"/>
      <w:bookmarkStart w:id="155" w:name="_Toc81623296"/>
      <w:bookmarkStart w:id="156" w:name="_Toc110834646"/>
      <w:bookmarkStart w:id="157" w:name="_Toc245536169"/>
      <w:bookmarkStart w:id="158" w:name="_Toc395537181"/>
      <w:bookmarkStart w:id="159" w:name="_Toc422732539"/>
      <w:bookmarkStart w:id="160" w:name="_Toc422752879"/>
      <w:bookmarkStart w:id="161" w:name="_Toc197076886"/>
      <w:r w:rsidRPr="00E10CFE">
        <w:rPr>
          <w:rFonts w:eastAsia="Times New Roman" w:cs="Times New Roman"/>
        </w:rPr>
        <w:t>Assessment process for transition care</w:t>
      </w:r>
      <w:bookmarkEnd w:id="153"/>
      <w:bookmarkEnd w:id="154"/>
      <w:bookmarkEnd w:id="155"/>
      <w:bookmarkEnd w:id="156"/>
      <w:bookmarkEnd w:id="157"/>
      <w:bookmarkEnd w:id="158"/>
      <w:bookmarkEnd w:id="159"/>
      <w:bookmarkEnd w:id="160"/>
      <w:bookmarkEnd w:id="161"/>
    </w:p>
    <w:p w14:paraId="13D0372E" w14:textId="09488B85" w:rsidR="00605BA0" w:rsidRPr="00DA4E41" w:rsidRDefault="00605BA0" w:rsidP="000F25B7">
      <w:r w:rsidRPr="00DA4E41">
        <w:t xml:space="preserve">When considering a person’s suitability for transition care, the </w:t>
      </w:r>
      <w:r w:rsidR="00925677">
        <w:t>clinical aged care needs assessor</w:t>
      </w:r>
      <w:r w:rsidRPr="00DA4E41">
        <w:t xml:space="preserve"> must consider the eligibility criteria and several additional factors. The </w:t>
      </w:r>
      <w:r w:rsidR="0031156E">
        <w:t xml:space="preserve">assessor </w:t>
      </w:r>
      <w:r w:rsidRPr="00DA4E41">
        <w:t xml:space="preserve">must </w:t>
      </w:r>
      <w:r w:rsidR="008321C0">
        <w:t>determine</w:t>
      </w:r>
      <w:r w:rsidRPr="00DA4E41">
        <w:t xml:space="preserve"> that the person:</w:t>
      </w:r>
    </w:p>
    <w:p w14:paraId="35E18DCB" w14:textId="271BF859" w:rsidR="00605BA0" w:rsidRPr="00DA4E41" w:rsidRDefault="00605BA0" w:rsidP="00E330E4">
      <w:pPr>
        <w:pStyle w:val="ListBullet"/>
      </w:pPr>
      <w:r w:rsidRPr="00DA4E41">
        <w:t xml:space="preserve">is a public or private hospital </w:t>
      </w:r>
      <w:r w:rsidR="00DF250C">
        <w:t xml:space="preserve">admitted </w:t>
      </w:r>
      <w:r w:rsidRPr="00DA4E41">
        <w:t>patient, or is receiving acute or subacute care under a hospital</w:t>
      </w:r>
      <w:r w:rsidR="007A488E">
        <w:noBreakHyphen/>
      </w:r>
      <w:r w:rsidRPr="00DA4E41">
        <w:t>in</w:t>
      </w:r>
      <w:r w:rsidR="007A488E">
        <w:noBreakHyphen/>
      </w:r>
      <w:r w:rsidRPr="00DA4E41">
        <w:t>the</w:t>
      </w:r>
      <w:r w:rsidR="007A488E">
        <w:noBreakHyphen/>
      </w:r>
      <w:r w:rsidRPr="00DA4E41">
        <w:t xml:space="preserve">home or equivalent programme where the patient is classified as an </w:t>
      </w:r>
      <w:r w:rsidR="00DF250C">
        <w:t xml:space="preserve">admitted </w:t>
      </w:r>
      <w:proofErr w:type="gramStart"/>
      <w:r w:rsidRPr="00DA4E41">
        <w:t>patient;</w:t>
      </w:r>
      <w:proofErr w:type="gramEnd"/>
    </w:p>
    <w:p w14:paraId="2909736C" w14:textId="7F24E5E3" w:rsidR="00605BA0" w:rsidRPr="00DA4E41" w:rsidRDefault="00605BA0" w:rsidP="00E330E4">
      <w:pPr>
        <w:pStyle w:val="ListBullet"/>
      </w:pPr>
      <w:r w:rsidRPr="00DA4E41">
        <w:t xml:space="preserve">has completed </w:t>
      </w:r>
      <w:r w:rsidR="008321C0">
        <w:t>their</w:t>
      </w:r>
      <w:r w:rsidRPr="00DA4E41">
        <w:t xml:space="preserve"> episode of acute and/or subacute care, is medically stable and ready for discharge at the time of </w:t>
      </w:r>
      <w:proofErr w:type="gramStart"/>
      <w:r w:rsidRPr="00DA4E41">
        <w:t>assessment;</w:t>
      </w:r>
      <w:proofErr w:type="gramEnd"/>
    </w:p>
    <w:p w14:paraId="6A9DC56E" w14:textId="61B6285B" w:rsidR="00605BA0" w:rsidRPr="00DA4E41" w:rsidRDefault="00605BA0" w:rsidP="00E330E4">
      <w:pPr>
        <w:pStyle w:val="ListBullet"/>
      </w:pPr>
      <w:r w:rsidRPr="00DA4E41">
        <w:t xml:space="preserve">wishes to enter transition </w:t>
      </w:r>
      <w:proofErr w:type="gramStart"/>
      <w:r w:rsidRPr="00DA4E41">
        <w:t>care;</w:t>
      </w:r>
      <w:proofErr w:type="gramEnd"/>
    </w:p>
    <w:p w14:paraId="41AC0CF0" w14:textId="77777777" w:rsidR="00605BA0" w:rsidRPr="00271BAA" w:rsidRDefault="00605BA0" w:rsidP="00E330E4">
      <w:pPr>
        <w:pStyle w:val="ListBullet"/>
      </w:pPr>
      <w:r w:rsidRPr="00271BAA">
        <w:t xml:space="preserve">would otherwise be eligible for residential </w:t>
      </w:r>
      <w:proofErr w:type="gramStart"/>
      <w:r w:rsidRPr="00271BAA">
        <w:t>care;</w:t>
      </w:r>
      <w:proofErr w:type="gramEnd"/>
    </w:p>
    <w:p w14:paraId="00793652" w14:textId="77777777" w:rsidR="00605BA0" w:rsidRPr="00DA4E41" w:rsidRDefault="00605BA0" w:rsidP="00E330E4">
      <w:pPr>
        <w:pStyle w:val="ListBullet"/>
      </w:pPr>
      <w:r w:rsidRPr="00DA4E41">
        <w:t xml:space="preserve">would have the capacity to benefit from a package of </w:t>
      </w:r>
      <w:r w:rsidR="00CF1696">
        <w:t>services that includes, at a minimum</w:t>
      </w:r>
      <w:r w:rsidRPr="00DA4E41">
        <w:t>, low intensity</w:t>
      </w:r>
      <w:r w:rsidR="00CF1696">
        <w:t xml:space="preserve"> restorative</w:t>
      </w:r>
      <w:r w:rsidRPr="00DA4E41">
        <w:t xml:space="preserve"> therapy and nursing support </w:t>
      </w:r>
      <w:r w:rsidR="00CF1696">
        <w:t>and/</w:t>
      </w:r>
      <w:r w:rsidRPr="00DA4E41">
        <w:t>or personal care; and</w:t>
      </w:r>
    </w:p>
    <w:p w14:paraId="4525A72E" w14:textId="77777777" w:rsidR="00605BA0" w:rsidRPr="00DA4E41" w:rsidRDefault="00605BA0" w:rsidP="00E330E4">
      <w:pPr>
        <w:pStyle w:val="ListBullet"/>
      </w:pPr>
      <w:r w:rsidRPr="00DA4E41">
        <w:t>would have the capacity to benefit from goal-oriented, time-limited and therapy-focussed care necessary to:</w:t>
      </w:r>
    </w:p>
    <w:p w14:paraId="508B5CD0" w14:textId="77777777" w:rsidR="00605BA0" w:rsidRPr="00E330E4" w:rsidRDefault="00605BA0" w:rsidP="00E330E4">
      <w:pPr>
        <w:pStyle w:val="ListBullet2"/>
      </w:pPr>
      <w:r w:rsidRPr="00DA4E41">
        <w:t xml:space="preserve">complete </w:t>
      </w:r>
      <w:r w:rsidRPr="00E330E4">
        <w:t xml:space="preserve">their restorative </w:t>
      </w:r>
      <w:proofErr w:type="gramStart"/>
      <w:r w:rsidRPr="00E330E4">
        <w:t>process;</w:t>
      </w:r>
      <w:proofErr w:type="gramEnd"/>
    </w:p>
    <w:p w14:paraId="0D747959" w14:textId="77777777" w:rsidR="00605BA0" w:rsidRPr="00E330E4" w:rsidRDefault="00605BA0" w:rsidP="00E330E4">
      <w:pPr>
        <w:pStyle w:val="ListBullet2"/>
      </w:pPr>
      <w:r w:rsidRPr="00E330E4">
        <w:t>optimise their physical and cognitive functional capacity; and</w:t>
      </w:r>
    </w:p>
    <w:p w14:paraId="48600062" w14:textId="77777777" w:rsidR="00CD4746" w:rsidRDefault="00605BA0" w:rsidP="00E330E4">
      <w:pPr>
        <w:pStyle w:val="ListBullet2"/>
      </w:pPr>
      <w:r w:rsidRPr="00E330E4">
        <w:t>assist in making</w:t>
      </w:r>
      <w:r w:rsidRPr="00DA4E41">
        <w:t xml:space="preserve"> long-term arrangements for their care.</w:t>
      </w:r>
    </w:p>
    <w:p w14:paraId="25FB7A28" w14:textId="5A72E7C7" w:rsidR="00605BA0" w:rsidRPr="00DA4E41" w:rsidRDefault="00605BA0" w:rsidP="00E330E4">
      <w:r w:rsidRPr="00DA4E41">
        <w:t xml:space="preserve">In addition, the </w:t>
      </w:r>
      <w:r w:rsidR="00925677">
        <w:t>clinical aged care needs assessor</w:t>
      </w:r>
      <w:r w:rsidR="00925677" w:rsidDel="00925677">
        <w:t xml:space="preserve"> </w:t>
      </w:r>
      <w:r w:rsidRPr="00E330E4">
        <w:t>must</w:t>
      </w:r>
      <w:r w:rsidRPr="00DA4E41">
        <w:t xml:space="preserve"> consider the following factors:</w:t>
      </w:r>
    </w:p>
    <w:p w14:paraId="3B8A201B" w14:textId="02919E6B" w:rsidR="00605BA0" w:rsidRPr="00DA4E41" w:rsidRDefault="005718E2" w:rsidP="00E330E4">
      <w:pPr>
        <w:pStyle w:val="ListBullet"/>
      </w:pPr>
      <w:r>
        <w:t>t</w:t>
      </w:r>
      <w:r w:rsidR="00605BA0" w:rsidRPr="00DA4E41">
        <w:t>he intent of transition care is to benefit older people through time-limited, low-intensity therapy and support immed</w:t>
      </w:r>
      <w:r>
        <w:t xml:space="preserve">iately after a hospital </w:t>
      </w:r>
      <w:proofErr w:type="gramStart"/>
      <w:r>
        <w:t>episode;</w:t>
      </w:r>
      <w:proofErr w:type="gramEnd"/>
    </w:p>
    <w:p w14:paraId="3CFE81E7" w14:textId="5EA2B7E8" w:rsidR="00605BA0" w:rsidRPr="00DA4E41" w:rsidRDefault="005718E2" w:rsidP="00E330E4">
      <w:pPr>
        <w:pStyle w:val="ListBullet"/>
      </w:pPr>
      <w:r>
        <w:t>t</w:t>
      </w:r>
      <w:r w:rsidR="00605BA0" w:rsidRPr="00DA4E41">
        <w:t xml:space="preserve">ransition care is designed to improve </w:t>
      </w:r>
      <w:r w:rsidR="008321C0">
        <w:t xml:space="preserve">an </w:t>
      </w:r>
      <w:r w:rsidR="00605BA0" w:rsidRPr="00DA4E41">
        <w:t xml:space="preserve">older </w:t>
      </w:r>
      <w:r w:rsidR="008321C0">
        <w:t>person’s</w:t>
      </w:r>
      <w:r w:rsidR="00605BA0" w:rsidRPr="00DA4E41">
        <w:t xml:space="preserve"> capacity for independent living and to maintain their functioning, while assisting them and their family and carers to make appropriate long-term care arrangements</w:t>
      </w:r>
      <w:r w:rsidR="00C57179">
        <w:t xml:space="preserve"> if </w:t>
      </w:r>
      <w:proofErr w:type="gramStart"/>
      <w:r w:rsidR="00C57179">
        <w:t>needed</w:t>
      </w:r>
      <w:r>
        <w:t>;</w:t>
      </w:r>
      <w:proofErr w:type="gramEnd"/>
    </w:p>
    <w:p w14:paraId="0ACA4972" w14:textId="77777777" w:rsidR="00605BA0" w:rsidRPr="00DA4E41" w:rsidRDefault="005718E2" w:rsidP="00E330E4">
      <w:pPr>
        <w:pStyle w:val="ListBullet"/>
      </w:pPr>
      <w:r>
        <w:t>t</w:t>
      </w:r>
      <w:r w:rsidR="00605BA0" w:rsidRPr="00DA4E41">
        <w:t>he therapeutic care provided by the programme will vary from individual to individual, ranging from services that improve a care recipient’s capacity for independent living, to services that enable a person to enter residential aged care at an optimum level of phy</w:t>
      </w:r>
      <w:r>
        <w:t xml:space="preserve">sical and cognitive </w:t>
      </w:r>
      <w:proofErr w:type="gramStart"/>
      <w:r>
        <w:t>functioning;</w:t>
      </w:r>
      <w:proofErr w:type="gramEnd"/>
    </w:p>
    <w:p w14:paraId="0D705BAE" w14:textId="0C7AC99E" w:rsidR="00605BA0" w:rsidRDefault="00605BA0" w:rsidP="00E330E4">
      <w:pPr>
        <w:pStyle w:val="ListBullet"/>
      </w:pPr>
      <w:r w:rsidRPr="00DA4E41">
        <w:t xml:space="preserve">in consultation with the hospital geriatric rehabilitation services or equivalent, and other members of the multidisciplinary team caring for the patient, ensure the full range of clinical and/or rehabilitation support provided by the hospital has been completed before </w:t>
      </w:r>
      <w:r w:rsidR="005718E2">
        <w:t xml:space="preserve">a person enters transition </w:t>
      </w:r>
      <w:proofErr w:type="gramStart"/>
      <w:r w:rsidR="005718E2">
        <w:t>care;</w:t>
      </w:r>
      <w:proofErr w:type="gramEnd"/>
    </w:p>
    <w:p w14:paraId="2A79DDB5" w14:textId="77777777" w:rsidR="00C64BE2" w:rsidRDefault="005718E2" w:rsidP="00E330E4">
      <w:pPr>
        <w:pStyle w:val="ListBullet"/>
      </w:pPr>
      <w:r>
        <w:t>t</w:t>
      </w:r>
      <w:r w:rsidR="00C64BE2">
        <w:t xml:space="preserve">he cognitive abilities of a person with dementia may fluctuate from day to day, so the extent of a </w:t>
      </w:r>
      <w:r w:rsidR="00C64BE2" w:rsidRPr="00F82C68">
        <w:t>person’s dementia may not be immediately ob</w:t>
      </w:r>
      <w:r w:rsidRPr="00F82C68">
        <w:t xml:space="preserve">vious at the initial </w:t>
      </w:r>
      <w:proofErr w:type="gramStart"/>
      <w:r w:rsidRPr="00F82C68">
        <w:t>assessment;</w:t>
      </w:r>
      <w:proofErr w:type="gramEnd"/>
    </w:p>
    <w:p w14:paraId="72336B6B" w14:textId="77777777" w:rsidR="005904D4" w:rsidRDefault="005718E2" w:rsidP="00E330E4">
      <w:pPr>
        <w:pStyle w:val="ListBullet"/>
      </w:pPr>
      <w:r w:rsidRPr="00F82C68">
        <w:t>e</w:t>
      </w:r>
      <w:r w:rsidR="00605BA0" w:rsidRPr="00F82C68">
        <w:t xml:space="preserve">ntry to transition care must </w:t>
      </w:r>
      <w:r w:rsidR="00E432D4" w:rsidRPr="00CF44C7">
        <w:t>be</w:t>
      </w:r>
      <w:r w:rsidR="005904D4">
        <w:t>:</w:t>
      </w:r>
    </w:p>
    <w:p w14:paraId="426E5269" w14:textId="77E6F434" w:rsidR="00822687" w:rsidRDefault="00E432D4" w:rsidP="005904D4">
      <w:pPr>
        <w:pStyle w:val="ListBullet"/>
        <w:numPr>
          <w:ilvl w:val="1"/>
          <w:numId w:val="22"/>
        </w:numPr>
      </w:pPr>
      <w:r w:rsidRPr="00CF44C7">
        <w:t xml:space="preserve"> immediately upon discharge from hospital</w:t>
      </w:r>
      <w:r w:rsidR="00C2576C" w:rsidRPr="00CF44C7">
        <w:t xml:space="preserve"> (within 24 hours)</w:t>
      </w:r>
      <w:r w:rsidRPr="00CF44C7">
        <w:t xml:space="preserve"> if the person is entering transition care in a residential</w:t>
      </w:r>
      <w:r w:rsidR="005664C7">
        <w:t xml:space="preserve"> </w:t>
      </w:r>
      <w:r w:rsidRPr="00CF44C7">
        <w:t xml:space="preserve">care setting, or </w:t>
      </w:r>
    </w:p>
    <w:p w14:paraId="377C609C" w14:textId="15C993EA" w:rsidR="00F84118" w:rsidRDefault="00E432D4" w:rsidP="004E7957">
      <w:pPr>
        <w:pStyle w:val="ListBullet"/>
        <w:numPr>
          <w:ilvl w:val="1"/>
          <w:numId w:val="22"/>
        </w:numPr>
      </w:pPr>
      <w:r w:rsidRPr="00CF44C7">
        <w:t xml:space="preserve">within 48 hours if the person is to receive transition care in </w:t>
      </w:r>
      <w:r w:rsidR="0042225F">
        <w:t>a</w:t>
      </w:r>
      <w:r w:rsidRPr="00CF44C7">
        <w:t xml:space="preserve"> home</w:t>
      </w:r>
      <w:r w:rsidR="00E47B13">
        <w:t>/community setting</w:t>
      </w:r>
      <w:r w:rsidR="00727A54">
        <w:t>.</w:t>
      </w:r>
    </w:p>
    <w:p w14:paraId="203B24C6" w14:textId="2E84ECE4" w:rsidR="00605BA0" w:rsidRPr="00F82C68" w:rsidRDefault="005F0D46" w:rsidP="00E330E4">
      <w:pPr>
        <w:pStyle w:val="ListBullet"/>
      </w:pPr>
      <w:r>
        <w:rPr>
          <w:rFonts w:cs="Arial"/>
        </w:rPr>
        <w:t>h</w:t>
      </w:r>
      <w:r w:rsidR="00C2309D" w:rsidRPr="00CF44C7">
        <w:rPr>
          <w:rFonts w:cs="Arial"/>
        </w:rPr>
        <w:t>ealth services remain responsible for ensuring safe discharge practices are followed and as such, be confident that the discharging patient will be adequately supported for the period prior to entry into home</w:t>
      </w:r>
      <w:r w:rsidR="00E47B13">
        <w:rPr>
          <w:rFonts w:cs="Arial"/>
        </w:rPr>
        <w:t>/community</w:t>
      </w:r>
      <w:r w:rsidR="004D2046">
        <w:rPr>
          <w:rFonts w:cs="Arial"/>
        </w:rPr>
        <w:t>-</w:t>
      </w:r>
      <w:r w:rsidR="00C2309D" w:rsidRPr="00CF44C7">
        <w:rPr>
          <w:rFonts w:cs="Arial"/>
        </w:rPr>
        <w:t>based TCP</w:t>
      </w:r>
      <w:r w:rsidR="00C2309D" w:rsidRPr="00CF44C7">
        <w:rPr>
          <w:rFonts w:ascii="Times New Roman" w:hAnsi="Times New Roman"/>
        </w:rPr>
        <w:t>.</w:t>
      </w:r>
    </w:p>
    <w:p w14:paraId="17FE865D" w14:textId="6AA10D8F" w:rsidR="00605BA0" w:rsidRPr="00DA4E41" w:rsidRDefault="005718E2" w:rsidP="00E330E4">
      <w:pPr>
        <w:pStyle w:val="ListBullet"/>
      </w:pPr>
      <w:r>
        <w:t>c</w:t>
      </w:r>
      <w:r w:rsidR="00605BA0" w:rsidRPr="00DA4E41">
        <w:t xml:space="preserve">lose co-operation and liaison between the hospital discharge planner, the </w:t>
      </w:r>
      <w:r w:rsidR="004E7957">
        <w:t>clinical aged care needs assessor</w:t>
      </w:r>
      <w:r w:rsidR="00605BA0" w:rsidRPr="00DA4E41">
        <w:t xml:space="preserve"> and the service provider is required to ensure a transition care place is available in a timely manner, to ben</w:t>
      </w:r>
      <w:r>
        <w:t xml:space="preserve">efit the care </w:t>
      </w:r>
      <w:proofErr w:type="gramStart"/>
      <w:r>
        <w:t>recipient;</w:t>
      </w:r>
      <w:proofErr w:type="gramEnd"/>
    </w:p>
    <w:p w14:paraId="1A756DBC" w14:textId="2BD939A1" w:rsidR="00605BA0" w:rsidRPr="00271BAA" w:rsidRDefault="005718E2" w:rsidP="00E330E4">
      <w:pPr>
        <w:pStyle w:val="ListBullet"/>
      </w:pPr>
      <w:r>
        <w:t>a</w:t>
      </w:r>
      <w:r w:rsidR="00605BA0" w:rsidRPr="00DA4E41">
        <w:t xml:space="preserve">s part of the comprehensive assessment, the care </w:t>
      </w:r>
      <w:r w:rsidR="007A488E" w:rsidRPr="00DA4E41">
        <w:t>recipient,</w:t>
      </w:r>
      <w:r w:rsidR="00605BA0" w:rsidRPr="00DA4E41">
        <w:t xml:space="preserve"> and their carer and/or family as appropriate, should be fully informed of the range of other available aged care services that may be appropriate for them. The </w:t>
      </w:r>
      <w:r w:rsidR="004E7957">
        <w:t>clinical aged care needs assessor</w:t>
      </w:r>
      <w:r w:rsidR="004E7957" w:rsidDel="004E7957">
        <w:t xml:space="preserve"> </w:t>
      </w:r>
      <w:r w:rsidR="00605BA0" w:rsidRPr="00DA4E41">
        <w:t xml:space="preserve">should assess the person’s eligibility for those options </w:t>
      </w:r>
      <w:r w:rsidR="00605BA0" w:rsidRPr="00271BAA">
        <w:t>and approve</w:t>
      </w:r>
      <w:r w:rsidRPr="00271BAA">
        <w:t xml:space="preserve"> them if clinically appropriate; and</w:t>
      </w:r>
    </w:p>
    <w:p w14:paraId="25FF97DF" w14:textId="478496E7" w:rsidR="00605BA0" w:rsidRPr="00271BAA" w:rsidRDefault="005718E2" w:rsidP="00E330E4">
      <w:pPr>
        <w:pStyle w:val="ListBullet"/>
      </w:pPr>
      <w:r w:rsidRPr="00271BAA">
        <w:t>i</w:t>
      </w:r>
      <w:r w:rsidR="00605BA0" w:rsidRPr="00271BAA">
        <w:t>f the person is only approved as eligible for transition care at the time of the initial assessment, it is likely they will need a re-assessment before the completion of their transition care episode, to establish their long-term care requirements. Where this is necessary, any changes to the person’s care needs and ensure that the long</w:t>
      </w:r>
      <w:r w:rsidR="007A488E">
        <w:noBreakHyphen/>
      </w:r>
      <w:r w:rsidR="00605BA0" w:rsidRPr="00271BAA">
        <w:t>term care recommendations reflect the revised level of need and the person’s preferences.</w:t>
      </w:r>
    </w:p>
    <w:p w14:paraId="057436F7" w14:textId="6FE1E4CD" w:rsidR="00605BA0" w:rsidRPr="00B1456B" w:rsidRDefault="00605BA0" w:rsidP="00796D23">
      <w:pPr>
        <w:pStyle w:val="Heading3withoutnumbering"/>
      </w:pPr>
      <w:bookmarkStart w:id="162" w:name="_Toc245536170"/>
      <w:bookmarkStart w:id="163" w:name="_Toc395537182"/>
      <w:bookmarkStart w:id="164" w:name="_Toc422732540"/>
      <w:bookmarkStart w:id="165" w:name="_Toc422752880"/>
      <w:bookmarkStart w:id="166" w:name="_Toc197076887"/>
      <w:r w:rsidRPr="00B1456B">
        <w:t>Approval for transition care</w:t>
      </w:r>
      <w:bookmarkEnd w:id="162"/>
      <w:bookmarkEnd w:id="163"/>
      <w:bookmarkEnd w:id="164"/>
      <w:bookmarkEnd w:id="165"/>
      <w:bookmarkEnd w:id="166"/>
    </w:p>
    <w:p w14:paraId="566D4B9D" w14:textId="2DEFD981" w:rsidR="005C4618" w:rsidRPr="005718E2" w:rsidRDefault="00605BA0" w:rsidP="000F25B7">
      <w:r w:rsidRPr="005718E2">
        <w:t>A person must</w:t>
      </w:r>
      <w:r w:rsidR="007527DA">
        <w:t xml:space="preserve"> be approved under Divisions 19 to </w:t>
      </w:r>
      <w:r w:rsidRPr="005718E2">
        <w:t xml:space="preserve">22 of the </w:t>
      </w:r>
      <w:r w:rsidR="00BB0515" w:rsidRPr="005718E2">
        <w:t>Act</w:t>
      </w:r>
      <w:r w:rsidRPr="005718E2">
        <w:t xml:space="preserve"> before an approved provider can be paid flexible care subsidy for the provision of transition care.</w:t>
      </w:r>
    </w:p>
    <w:p w14:paraId="0EF79633" w14:textId="4891BDCB" w:rsidR="00274E4F" w:rsidRPr="005718E2" w:rsidRDefault="00605BA0" w:rsidP="000F25B7">
      <w:r w:rsidRPr="005718E2">
        <w:lastRenderedPageBreak/>
        <w:t xml:space="preserve">Division 23 of the </w:t>
      </w:r>
      <w:r w:rsidR="00BB0515" w:rsidRPr="005718E2">
        <w:t>Act</w:t>
      </w:r>
      <w:r w:rsidRPr="005718E2">
        <w:t xml:space="preserve"> deals with how an approval can cease to have effect. Division 85 of the </w:t>
      </w:r>
      <w:r w:rsidR="00BB0515" w:rsidRPr="005718E2">
        <w:t>Act</w:t>
      </w:r>
      <w:r w:rsidRPr="005718E2">
        <w:t xml:space="preserve"> deals with reconsideration and review of decisions.</w:t>
      </w:r>
    </w:p>
    <w:p w14:paraId="61EAA27B" w14:textId="0394F4E7" w:rsidR="00605BA0" w:rsidRPr="00DA4E41" w:rsidRDefault="00605BA0" w:rsidP="000F25B7">
      <w:r w:rsidRPr="00F74DB6">
        <w:t xml:space="preserve">An </w:t>
      </w:r>
      <w:r w:rsidR="00516B8D" w:rsidRPr="00F74DB6">
        <w:t xml:space="preserve">aged care </w:t>
      </w:r>
      <w:r w:rsidR="00C819E4">
        <w:t xml:space="preserve">needs </w:t>
      </w:r>
      <w:r w:rsidR="00516B8D" w:rsidRPr="00F74DB6">
        <w:t xml:space="preserve">assessment </w:t>
      </w:r>
      <w:r w:rsidRPr="00F74DB6">
        <w:t xml:space="preserve">approval to enter transition care is valid on the date the </w:t>
      </w:r>
      <w:r w:rsidR="00FD7339">
        <w:t>a</w:t>
      </w:r>
      <w:r w:rsidR="00516B8D" w:rsidRPr="00F74DB6">
        <w:t>ssessment</w:t>
      </w:r>
      <w:r w:rsidRPr="00F74DB6">
        <w:t xml:space="preserve"> </w:t>
      </w:r>
      <w:r w:rsidR="00FD7339">
        <w:t>d</w:t>
      </w:r>
      <w:r w:rsidRPr="00F74DB6">
        <w:t>elegate</w:t>
      </w:r>
      <w:r w:rsidRPr="00DA4E41">
        <w:t xml:space="preserve"> signs the approval, and then for four weeks (28 calendar days) after the date of signing.</w:t>
      </w:r>
      <w:r w:rsidR="00772C76">
        <w:t xml:space="preserve"> </w:t>
      </w:r>
      <w:r w:rsidRPr="00DA4E41">
        <w:t xml:space="preserve">The </w:t>
      </w:r>
      <w:r w:rsidR="00D41A8A">
        <w:t>client</w:t>
      </w:r>
      <w:r w:rsidRPr="00DA4E41">
        <w:t xml:space="preserve"> must enter the programme within this four week ‘entry period’.</w:t>
      </w:r>
      <w:r w:rsidR="00772C76">
        <w:t xml:space="preserve"> </w:t>
      </w:r>
      <w:r w:rsidRPr="00DA4E41">
        <w:t xml:space="preserve">If the </w:t>
      </w:r>
      <w:r w:rsidR="00C06B80">
        <w:t>client</w:t>
      </w:r>
      <w:r w:rsidRPr="00DA4E41">
        <w:t xml:space="preserve"> does not enter the programme within the </w:t>
      </w:r>
      <w:r w:rsidR="0064270C" w:rsidRPr="00DA4E41">
        <w:t>four-week</w:t>
      </w:r>
      <w:r w:rsidRPr="00DA4E41">
        <w:t xml:space="preserve"> period, their approval will lapse and they will need a</w:t>
      </w:r>
      <w:r w:rsidR="006E66E4">
        <w:t xml:space="preserve"> re-assessment for transition care, if appropriate.</w:t>
      </w:r>
    </w:p>
    <w:p w14:paraId="016833AF" w14:textId="3F1D2D28" w:rsidR="00402CDD" w:rsidRDefault="00605BA0" w:rsidP="000F25B7">
      <w:pPr>
        <w:rPr>
          <w:szCs w:val="20"/>
        </w:rPr>
      </w:pPr>
      <w:r w:rsidRPr="00DA4E41">
        <w:rPr>
          <w:szCs w:val="20"/>
        </w:rPr>
        <w:t xml:space="preserve">As transition care places may become vacant at short notice, </w:t>
      </w:r>
      <w:r w:rsidR="00E33AB8">
        <w:rPr>
          <w:szCs w:val="20"/>
        </w:rPr>
        <w:t>assessment</w:t>
      </w:r>
      <w:r w:rsidR="00BA0F89">
        <w:rPr>
          <w:szCs w:val="20"/>
        </w:rPr>
        <w:t xml:space="preserve"> delegates </w:t>
      </w:r>
      <w:r w:rsidRPr="00DA4E41">
        <w:rPr>
          <w:szCs w:val="20"/>
        </w:rPr>
        <w:t>should approve eligible clients for transition care even if there is not an immediate vacancy at the time of referral.</w:t>
      </w:r>
    </w:p>
    <w:p w14:paraId="159382BD" w14:textId="488A4B3F" w:rsidR="00605BA0" w:rsidRPr="00DA4E41" w:rsidRDefault="00605BA0" w:rsidP="000F25B7">
      <w:pPr>
        <w:rPr>
          <w:szCs w:val="20"/>
        </w:rPr>
      </w:pPr>
      <w:r w:rsidRPr="00DA4E41">
        <w:rPr>
          <w:szCs w:val="20"/>
        </w:rPr>
        <w:t xml:space="preserve">As with all </w:t>
      </w:r>
      <w:r w:rsidR="004C5604">
        <w:rPr>
          <w:szCs w:val="20"/>
        </w:rPr>
        <w:t xml:space="preserve">aged care </w:t>
      </w:r>
      <w:r w:rsidR="00ED4020">
        <w:rPr>
          <w:szCs w:val="20"/>
        </w:rPr>
        <w:t xml:space="preserve">needs </w:t>
      </w:r>
      <w:r w:rsidR="004C5604">
        <w:rPr>
          <w:szCs w:val="20"/>
        </w:rPr>
        <w:t xml:space="preserve">assessment </w:t>
      </w:r>
      <w:r w:rsidRPr="00DA4E41">
        <w:rPr>
          <w:szCs w:val="20"/>
        </w:rPr>
        <w:t xml:space="preserve">approvals, clients </w:t>
      </w:r>
      <w:r w:rsidR="00F6454E">
        <w:rPr>
          <w:szCs w:val="20"/>
        </w:rPr>
        <w:t>are</w:t>
      </w:r>
      <w:r w:rsidR="00714F19">
        <w:rPr>
          <w:szCs w:val="20"/>
        </w:rPr>
        <w:t xml:space="preserve"> to</w:t>
      </w:r>
      <w:r w:rsidRPr="00DA4E41">
        <w:rPr>
          <w:szCs w:val="20"/>
        </w:rPr>
        <w:t xml:space="preserve"> be reminded that approval as a care recipient does not guarantee a place, particularly if a vacancy does not present itself during the person’s stay in hospital.</w:t>
      </w:r>
    </w:p>
    <w:p w14:paraId="570B4F0C" w14:textId="7C75969C" w:rsidR="00086923" w:rsidRPr="009D6EDB" w:rsidRDefault="00605BA0" w:rsidP="000F25B7">
      <w:pPr>
        <w:rPr>
          <w:szCs w:val="20"/>
        </w:rPr>
      </w:pPr>
      <w:r w:rsidRPr="00DA4E41">
        <w:rPr>
          <w:szCs w:val="20"/>
        </w:rPr>
        <w:t xml:space="preserve">The result of an </w:t>
      </w:r>
      <w:r w:rsidR="004C5604">
        <w:rPr>
          <w:szCs w:val="20"/>
        </w:rPr>
        <w:t xml:space="preserve">aged care </w:t>
      </w:r>
      <w:r w:rsidR="004725F1">
        <w:rPr>
          <w:szCs w:val="20"/>
        </w:rPr>
        <w:t xml:space="preserve">needs </w:t>
      </w:r>
      <w:r w:rsidRPr="00DA4E41">
        <w:rPr>
          <w:szCs w:val="20"/>
        </w:rPr>
        <w:t xml:space="preserve">assessment, and the decision to approve or not approve a person to receive transition care, must be provided to the person who has applied for the care (or their representative) in writing and provide the reasons for the decision. A decision to reject a person’s application for transition care is a ‘reviewable decision’ under section 85-1 of the </w:t>
      </w:r>
      <w:r w:rsidR="00BB0515">
        <w:rPr>
          <w:szCs w:val="20"/>
        </w:rPr>
        <w:t>Act</w:t>
      </w:r>
      <w:r w:rsidRPr="00DA4E41">
        <w:rPr>
          <w:szCs w:val="20"/>
        </w:rPr>
        <w:t xml:space="preserve">. The </w:t>
      </w:r>
      <w:hyperlink r:id="rId27" w:history="1">
        <w:r w:rsidR="00F6454E">
          <w:rPr>
            <w:rStyle w:val="Hyperlink"/>
            <w:sz w:val="20"/>
            <w:szCs w:val="20"/>
          </w:rPr>
          <w:t>My Aged Care Assessment Manual</w:t>
        </w:r>
      </w:hyperlink>
      <w:r w:rsidR="00EF129D">
        <w:rPr>
          <w:szCs w:val="20"/>
        </w:rPr>
        <w:t xml:space="preserve"> </w:t>
      </w:r>
      <w:r w:rsidRPr="00DA4E41">
        <w:rPr>
          <w:szCs w:val="20"/>
        </w:rPr>
        <w:t xml:space="preserve">on reviewable decisions </w:t>
      </w:r>
      <w:r w:rsidR="002D2457">
        <w:rPr>
          <w:szCs w:val="20"/>
        </w:rPr>
        <w:t>contains further information</w:t>
      </w:r>
      <w:r w:rsidRPr="00DA4E41">
        <w:rPr>
          <w:szCs w:val="20"/>
        </w:rPr>
        <w:t>.</w:t>
      </w:r>
    </w:p>
    <w:p w14:paraId="67E46226" w14:textId="7A7DDD9E" w:rsidR="00605BA0" w:rsidRPr="002F71E7" w:rsidRDefault="00605BA0" w:rsidP="00B42C61">
      <w:pPr>
        <w:pStyle w:val="Heading3withoutnumbering"/>
      </w:pPr>
      <w:bookmarkStart w:id="167" w:name="_Toc395537183"/>
      <w:bookmarkStart w:id="168" w:name="_Toc422732541"/>
      <w:bookmarkStart w:id="169" w:name="_Toc422752881"/>
      <w:bookmarkStart w:id="170" w:name="_Toc197076888"/>
      <w:r w:rsidRPr="002F71E7">
        <w:t>Assessment and approval in a short stay unit of an emergency department</w:t>
      </w:r>
      <w:bookmarkEnd w:id="167"/>
      <w:bookmarkEnd w:id="168"/>
      <w:bookmarkEnd w:id="169"/>
      <w:bookmarkEnd w:id="170"/>
    </w:p>
    <w:p w14:paraId="3F964BC8" w14:textId="77777777" w:rsidR="00605BA0" w:rsidRPr="00DA4E41" w:rsidRDefault="00605BA0" w:rsidP="000F25B7">
      <w:r w:rsidRPr="00DA4E41">
        <w:t>Where appropriate, older people may access the programme from a short stay unit or equivalent in an emergency department, provided:</w:t>
      </w:r>
    </w:p>
    <w:p w14:paraId="03E61ACA" w14:textId="3DB67E92" w:rsidR="00605BA0" w:rsidRPr="00DA4E41" w:rsidRDefault="00605BA0" w:rsidP="00E330E4">
      <w:pPr>
        <w:pStyle w:val="ListBullet"/>
      </w:pPr>
      <w:r w:rsidRPr="00DA4E41">
        <w:t xml:space="preserve">they have been admitted to </w:t>
      </w:r>
      <w:proofErr w:type="gramStart"/>
      <w:r w:rsidRPr="00DA4E41">
        <w:t>hospital;</w:t>
      </w:r>
      <w:proofErr w:type="gramEnd"/>
    </w:p>
    <w:p w14:paraId="2D9E76C6" w14:textId="27EFB508" w:rsidR="00605BA0" w:rsidRPr="00DA4E41" w:rsidRDefault="00605BA0" w:rsidP="00E330E4">
      <w:pPr>
        <w:pStyle w:val="ListBullet"/>
      </w:pPr>
      <w:r w:rsidRPr="00DA4E41">
        <w:t>they are medically stable</w:t>
      </w:r>
      <w:r w:rsidR="00DD7C0F">
        <w:t>,</w:t>
      </w:r>
      <w:r w:rsidRPr="00DA4E41">
        <w:t xml:space="preserve"> have </w:t>
      </w:r>
      <w:r w:rsidR="00A852D2">
        <w:t>had an</w:t>
      </w:r>
      <w:r w:rsidRPr="00DA4E41">
        <w:t xml:space="preserve"> </w:t>
      </w:r>
      <w:r w:rsidR="007D0D27">
        <w:t xml:space="preserve">aged </w:t>
      </w:r>
      <w:r w:rsidR="00E33AB8">
        <w:t>care assess</w:t>
      </w:r>
      <w:r w:rsidR="00DD7C0F">
        <w:t>ment</w:t>
      </w:r>
      <w:r w:rsidR="003A4D02">
        <w:t>,</w:t>
      </w:r>
      <w:r w:rsidRPr="00DA4E41">
        <w:t xml:space="preserve"> and </w:t>
      </w:r>
      <w:r w:rsidR="003A4D02">
        <w:t xml:space="preserve">have </w:t>
      </w:r>
      <w:r w:rsidR="00A852D2">
        <w:t xml:space="preserve">been </w:t>
      </w:r>
      <w:r w:rsidRPr="00DA4E41">
        <w:t xml:space="preserve">approved as meeting all other eligibility criteria for transition care under section 8 of the </w:t>
      </w:r>
      <w:r w:rsidRPr="00DB5FF7">
        <w:rPr>
          <w:i/>
        </w:rPr>
        <w:t>Approval of Care Recipients</w:t>
      </w:r>
      <w:r w:rsidR="00AB53D2" w:rsidRPr="00DB5FF7">
        <w:rPr>
          <w:i/>
        </w:rPr>
        <w:t xml:space="preserve"> </w:t>
      </w:r>
      <w:r w:rsidRPr="00DB5FF7">
        <w:rPr>
          <w:i/>
        </w:rPr>
        <w:t>Principles 2014</w:t>
      </w:r>
      <w:r w:rsidRPr="00DA4E41">
        <w:t>; and</w:t>
      </w:r>
    </w:p>
    <w:p w14:paraId="333F5708" w14:textId="76A80598" w:rsidR="00B9631F" w:rsidRPr="00CD4746" w:rsidRDefault="00605BA0" w:rsidP="00E330E4">
      <w:pPr>
        <w:pStyle w:val="ListBullet"/>
      </w:pPr>
      <w:r w:rsidRPr="00CD4746">
        <w:t>it is not more appropriate for the patient to receive subacute care such as rehabilitation or geriatric evaluation and management</w:t>
      </w:r>
      <w:bookmarkStart w:id="171" w:name="_Ref7609909"/>
      <w:r w:rsidRPr="00C3057F">
        <w:rPr>
          <w:vertAlign w:val="superscript"/>
        </w:rPr>
        <w:footnoteReference w:id="8"/>
      </w:r>
      <w:bookmarkEnd w:id="171"/>
      <w:r w:rsidRPr="00CD4746">
        <w:t>.</w:t>
      </w:r>
    </w:p>
    <w:p w14:paraId="1FFAA43A" w14:textId="2E4B8481" w:rsidR="00605BA0" w:rsidRPr="009D6EDB" w:rsidRDefault="00605BA0" w:rsidP="000F25B7">
      <w:r w:rsidRPr="00DA4E41">
        <w:t xml:space="preserve">The care provided while the care recipient is an in-patient of the short stay unit should involve discussion between the treating multidisciplinary team, geriatrician, and transition care service staff, as well as a comprehensive assessment by </w:t>
      </w:r>
      <w:r w:rsidR="002941DE" w:rsidRPr="00DA4E41">
        <w:t>a</w:t>
      </w:r>
      <w:r w:rsidRPr="00DA4E41">
        <w:t xml:space="preserve"> </w:t>
      </w:r>
      <w:r w:rsidR="008006C2">
        <w:t>clinical aged care needs assessor</w:t>
      </w:r>
      <w:r w:rsidR="00756693">
        <w:t xml:space="preserve"> </w:t>
      </w:r>
      <w:r w:rsidRPr="00DA4E41">
        <w:t>to ensure the person is medically stable and not identified prematurely for the programme.</w:t>
      </w:r>
      <w:bookmarkStart w:id="172" w:name="_Toc395537184"/>
    </w:p>
    <w:p w14:paraId="6D7B0222" w14:textId="1CE47A26" w:rsidR="00605BA0" w:rsidRPr="002F71E7" w:rsidRDefault="00605BA0" w:rsidP="00B42C61">
      <w:pPr>
        <w:pStyle w:val="Heading3withoutnumbering"/>
      </w:pPr>
      <w:bookmarkStart w:id="173" w:name="_Toc197076889"/>
      <w:r w:rsidRPr="002F71E7">
        <w:t>Hospital and assessment information for care plan development</w:t>
      </w:r>
      <w:bookmarkEnd w:id="172"/>
      <w:bookmarkEnd w:id="173"/>
    </w:p>
    <w:p w14:paraId="230DD3FB" w14:textId="7B69943F" w:rsidR="00D44267" w:rsidRDefault="00605BA0" w:rsidP="000F25B7">
      <w:r w:rsidRPr="00DA4E41">
        <w:t xml:space="preserve">For those approved as eligible for transition care, the hospital geriatric rehabilitation service and the </w:t>
      </w:r>
      <w:r w:rsidR="00DC4437">
        <w:t xml:space="preserve">aged care </w:t>
      </w:r>
      <w:r w:rsidRPr="00DA4E41">
        <w:t xml:space="preserve">assessment are key information sources for the development of a care plan to guide the physical and cognitive therapy services delivered through transition care. It is important that the </w:t>
      </w:r>
      <w:r w:rsidR="009C48CD">
        <w:t xml:space="preserve">aged care assessor </w:t>
      </w:r>
      <w:r w:rsidR="00EF129D" w:rsidRPr="00DA4E41">
        <w:t>attach</w:t>
      </w:r>
      <w:r w:rsidR="009C48CD">
        <w:t>es</w:t>
      </w:r>
      <w:r w:rsidRPr="00DA4E41">
        <w:t xml:space="preserve"> a copy of all relevant assessment documentation to the copy of the </w:t>
      </w:r>
      <w:r w:rsidR="005F727F" w:rsidRPr="00390397">
        <w:t>Integrated Assessment Tool</w:t>
      </w:r>
      <w:r w:rsidR="002B6225">
        <w:t xml:space="preserve"> (IAT)</w:t>
      </w:r>
      <w:r w:rsidR="005F727F" w:rsidRPr="00E8018C">
        <w:t xml:space="preserve"> </w:t>
      </w:r>
      <w:r w:rsidRPr="00E8018C">
        <w:t>given to the service provider.</w:t>
      </w:r>
    </w:p>
    <w:p w14:paraId="648A00F3" w14:textId="4BAAD94B" w:rsidR="00605BA0" w:rsidRPr="006F45AE" w:rsidRDefault="00605BA0" w:rsidP="00B42C61">
      <w:pPr>
        <w:pStyle w:val="Heading2"/>
      </w:pPr>
      <w:bookmarkStart w:id="174" w:name="_Entry_to_transition"/>
      <w:bookmarkStart w:id="175" w:name="_Toc245536171"/>
      <w:bookmarkStart w:id="176" w:name="_Toc395537185"/>
      <w:bookmarkStart w:id="177" w:name="_Toc422732542"/>
      <w:bookmarkStart w:id="178" w:name="_Toc422752882"/>
      <w:bookmarkStart w:id="179" w:name="_Toc197076890"/>
      <w:bookmarkEnd w:id="174"/>
      <w:r w:rsidRPr="006F45AE">
        <w:t>Entry to transition care</w:t>
      </w:r>
      <w:bookmarkEnd w:id="175"/>
      <w:bookmarkEnd w:id="176"/>
      <w:bookmarkEnd w:id="177"/>
      <w:bookmarkEnd w:id="178"/>
      <w:bookmarkEnd w:id="179"/>
    </w:p>
    <w:p w14:paraId="2A0F7D78" w14:textId="19B7E768" w:rsidR="00CF130B" w:rsidRPr="000A5C84" w:rsidRDefault="00605BA0" w:rsidP="000F25B7">
      <w:r w:rsidRPr="00431DE0">
        <w:t xml:space="preserve">A care recipient </w:t>
      </w:r>
      <w:r w:rsidR="00271BAA" w:rsidRPr="000A5C84">
        <w:t>must</w:t>
      </w:r>
      <w:r w:rsidRPr="00431DE0">
        <w:t xml:space="preserve"> enter transition care</w:t>
      </w:r>
      <w:r w:rsidR="00CF130B" w:rsidRPr="000A5C84">
        <w:t>:</w:t>
      </w:r>
    </w:p>
    <w:p w14:paraId="14E63B7E" w14:textId="77777777" w:rsidR="00171AC6" w:rsidRPr="00171AC6" w:rsidRDefault="00271BAA" w:rsidP="00AB1F16">
      <w:pPr>
        <w:pStyle w:val="ListBullet"/>
      </w:pPr>
      <w:r w:rsidRPr="000A5C84">
        <w:rPr>
          <w:rFonts w:eastAsia="Calibri"/>
          <w:lang w:eastAsia="en-US"/>
        </w:rPr>
        <w:t xml:space="preserve">immediately </w:t>
      </w:r>
      <w:r w:rsidRPr="000F25B7">
        <w:rPr>
          <w:rFonts w:eastAsia="Calibri"/>
        </w:rPr>
        <w:t>upon discharge from hospital if the person is entering transition care in a</w:t>
      </w:r>
      <w:r w:rsidR="005664C7" w:rsidRPr="000F25B7">
        <w:rPr>
          <w:rFonts w:eastAsia="Calibri"/>
        </w:rPr>
        <w:t xml:space="preserve"> </w:t>
      </w:r>
      <w:r w:rsidRPr="000F25B7">
        <w:rPr>
          <w:rFonts w:eastAsia="Calibri"/>
        </w:rPr>
        <w:t xml:space="preserve">residential </w:t>
      </w:r>
      <w:r w:rsidR="005664C7" w:rsidRPr="000F25B7">
        <w:rPr>
          <w:rFonts w:eastAsia="Calibri"/>
        </w:rPr>
        <w:t xml:space="preserve">care </w:t>
      </w:r>
      <w:r w:rsidRPr="000F25B7">
        <w:rPr>
          <w:rFonts w:eastAsia="Calibri"/>
        </w:rPr>
        <w:t>setting</w:t>
      </w:r>
      <w:r w:rsidR="00CF130B" w:rsidRPr="000F25B7">
        <w:rPr>
          <w:rFonts w:eastAsia="Calibri"/>
        </w:rPr>
        <w:t>;</w:t>
      </w:r>
      <w:r w:rsidR="00064BEB" w:rsidRPr="000F25B7">
        <w:rPr>
          <w:rFonts w:eastAsia="Calibri"/>
        </w:rPr>
        <w:t xml:space="preserve"> or</w:t>
      </w:r>
    </w:p>
    <w:p w14:paraId="067B13C4" w14:textId="1A4736F2" w:rsidR="00171AC6" w:rsidRDefault="00271BAA" w:rsidP="00927558">
      <w:pPr>
        <w:pStyle w:val="ListBullet"/>
      </w:pPr>
      <w:r w:rsidRPr="00091C5F">
        <w:rPr>
          <w:rFonts w:eastAsia="Calibri"/>
        </w:rPr>
        <w:t>within 48 hours</w:t>
      </w:r>
      <w:r w:rsidR="00620D24" w:rsidRPr="00091C5F">
        <w:rPr>
          <w:rFonts w:eastAsia="Calibri"/>
        </w:rPr>
        <w:t xml:space="preserve"> of discharge,</w:t>
      </w:r>
      <w:r w:rsidRPr="00091C5F">
        <w:rPr>
          <w:rFonts w:eastAsia="Calibri"/>
        </w:rPr>
        <w:t xml:space="preserve"> if the person is to receive transition care in </w:t>
      </w:r>
      <w:r w:rsidR="007320C9" w:rsidRPr="00091C5F">
        <w:rPr>
          <w:rFonts w:eastAsia="Calibri"/>
        </w:rPr>
        <w:t>a</w:t>
      </w:r>
      <w:r w:rsidRPr="00091C5F">
        <w:rPr>
          <w:rFonts w:eastAsia="Calibri"/>
        </w:rPr>
        <w:t xml:space="preserve"> home</w:t>
      </w:r>
      <w:r w:rsidR="002149C7" w:rsidRPr="00091C5F">
        <w:rPr>
          <w:rFonts w:eastAsia="Calibri"/>
        </w:rPr>
        <w:t>/community setting</w:t>
      </w:r>
      <w:r w:rsidR="003E7854" w:rsidRPr="00091C5F">
        <w:rPr>
          <w:rFonts w:eastAsia="Calibri"/>
        </w:rPr>
        <w:t>.</w:t>
      </w:r>
      <w:r w:rsidR="00CF130B" w:rsidRPr="000F25B7">
        <w:t xml:space="preserve"> </w:t>
      </w:r>
    </w:p>
    <w:p w14:paraId="64501E8E" w14:textId="3913A13B" w:rsidR="0092437C" w:rsidRPr="00171AC6" w:rsidRDefault="00572371" w:rsidP="00AB1F16">
      <w:pPr>
        <w:pStyle w:val="ListBullet"/>
      </w:pPr>
      <w:r>
        <w:t>h</w:t>
      </w:r>
      <w:r w:rsidR="00C2309D" w:rsidRPr="000F25B7">
        <w:t xml:space="preserve">ealth services remain responsible for ensuring safe discharge practices are followed and </w:t>
      </w:r>
      <w:r w:rsidR="000923B1">
        <w:t xml:space="preserve">as such, </w:t>
      </w:r>
      <w:r w:rsidR="00C2309D" w:rsidRPr="000F25B7">
        <w:t>be confident the discharging patient will be adequately supported for the period prior to entry into home</w:t>
      </w:r>
      <w:r w:rsidR="00F153C3">
        <w:t>/community</w:t>
      </w:r>
      <w:r w:rsidR="00C2309D" w:rsidRPr="000F25B7">
        <w:t>-based</w:t>
      </w:r>
      <w:r w:rsidR="00C2309D" w:rsidRPr="000A5C84">
        <w:t xml:space="preserve"> TCP</w:t>
      </w:r>
      <w:r w:rsidR="00C2309D" w:rsidRPr="00171AC6">
        <w:rPr>
          <w:rFonts w:ascii="Times New Roman" w:hAnsi="Times New Roman"/>
        </w:rPr>
        <w:t>.</w:t>
      </w:r>
    </w:p>
    <w:p w14:paraId="1D535008" w14:textId="2A829D5B" w:rsidR="00605BA0" w:rsidRPr="00776EC0" w:rsidRDefault="00CF130B" w:rsidP="000F25B7">
      <w:r w:rsidRPr="000A5C84">
        <w:t xml:space="preserve">These commencement timeframes are </w:t>
      </w:r>
      <w:r w:rsidRPr="00776EC0">
        <w:t xml:space="preserve">to ensure recipients </w:t>
      </w:r>
      <w:r w:rsidR="0064270C" w:rsidRPr="00776EC0">
        <w:t>can</w:t>
      </w:r>
      <w:r w:rsidR="00605BA0" w:rsidRPr="00431DE0">
        <w:t xml:space="preserve"> derive maximum benefit from a time</w:t>
      </w:r>
      <w:r w:rsidR="0063659D">
        <w:noBreakHyphen/>
      </w:r>
      <w:r w:rsidR="00605BA0" w:rsidRPr="00431DE0">
        <w:t>limited episode of low intensity therapeutic interventions.</w:t>
      </w:r>
    </w:p>
    <w:p w14:paraId="20321002" w14:textId="59EBECC9" w:rsidR="00605BA0" w:rsidRPr="00431DE0" w:rsidRDefault="00605BA0" w:rsidP="000F25B7">
      <w:r w:rsidRPr="00157C78">
        <w:t xml:space="preserve">An </w:t>
      </w:r>
      <w:r w:rsidR="00E65EB2" w:rsidRPr="00BA7565">
        <w:t>assessment organisation</w:t>
      </w:r>
      <w:r w:rsidR="008669FB">
        <w:t>’</w:t>
      </w:r>
      <w:r w:rsidR="00EB4713">
        <w:t>s</w:t>
      </w:r>
      <w:r w:rsidRPr="00157C78">
        <w:t xml:space="preserve"> approval to enter transition care is valid on the date the </w:t>
      </w:r>
      <w:r w:rsidR="003C34EC">
        <w:t>a</w:t>
      </w:r>
      <w:r w:rsidR="00B67C51" w:rsidRPr="00390397">
        <w:t xml:space="preserve">ssessment </w:t>
      </w:r>
      <w:r w:rsidRPr="00157C78">
        <w:t xml:space="preserve">delegate signs the approval, and then for four weeks (28 calendar days) after the date of signing (see also section </w:t>
      </w:r>
      <w:r w:rsidR="0063659D" w:rsidRPr="00157C78">
        <w:rPr>
          <w:i/>
        </w:rPr>
        <w:t>3.4.4 Approval for transition care</w:t>
      </w:r>
      <w:r w:rsidRPr="00157C78">
        <w:t>).</w:t>
      </w:r>
    </w:p>
    <w:p w14:paraId="3B9CF30B" w14:textId="527E8F3D" w:rsidR="00605BA0" w:rsidRPr="00431DE0" w:rsidRDefault="00605BA0" w:rsidP="000F25B7">
      <w:r w:rsidRPr="00431DE0">
        <w:t>Older people receiving care under a hospital-in-the-home or equivalent programme</w:t>
      </w:r>
      <w:r w:rsidR="0088501F">
        <w:t>s</w:t>
      </w:r>
      <w:r w:rsidRPr="00431DE0">
        <w:t xml:space="preserve"> cannot commence their transition care episode while still classified as </w:t>
      </w:r>
      <w:r w:rsidR="00DC797F">
        <w:t xml:space="preserve">an </w:t>
      </w:r>
      <w:r w:rsidR="008F7273" w:rsidRPr="00431DE0">
        <w:t>admitted patient</w:t>
      </w:r>
      <w:r w:rsidRPr="00431DE0">
        <w:t xml:space="preserve"> of </w:t>
      </w:r>
      <w:r w:rsidR="00394CC3">
        <w:t>a</w:t>
      </w:r>
      <w:r w:rsidRPr="00431DE0">
        <w:t xml:space="preserve"> hospital.</w:t>
      </w:r>
    </w:p>
    <w:p w14:paraId="0F24D06E" w14:textId="02C5C0E3" w:rsidR="00605BA0" w:rsidRDefault="00605BA0" w:rsidP="00CD4746">
      <w:pPr>
        <w:spacing w:before="0" w:after="200"/>
        <w:rPr>
          <w:szCs w:val="20"/>
        </w:rPr>
      </w:pPr>
      <w:r w:rsidRPr="00431DE0">
        <w:rPr>
          <w:szCs w:val="20"/>
        </w:rPr>
        <w:lastRenderedPageBreak/>
        <w:t xml:space="preserve">Older people who are discharged from hospital and have returned to their usual place of residence </w:t>
      </w:r>
      <w:r w:rsidR="00271BAA" w:rsidRPr="00776EC0">
        <w:rPr>
          <w:szCs w:val="20"/>
        </w:rPr>
        <w:t xml:space="preserve">without </w:t>
      </w:r>
      <w:r w:rsidRPr="00431DE0">
        <w:rPr>
          <w:szCs w:val="20"/>
        </w:rPr>
        <w:t xml:space="preserve">commencing the programme </w:t>
      </w:r>
      <w:r w:rsidR="00271BAA" w:rsidRPr="00776EC0">
        <w:rPr>
          <w:szCs w:val="20"/>
        </w:rPr>
        <w:t xml:space="preserve">within the required timeframe, </w:t>
      </w:r>
      <w:r w:rsidRPr="00431DE0">
        <w:rPr>
          <w:szCs w:val="20"/>
        </w:rPr>
        <w:t>are no longer eligible to enter the programme.</w:t>
      </w:r>
    </w:p>
    <w:p w14:paraId="0B5F9AE8" w14:textId="46B9BEA1" w:rsidR="00605BA0" w:rsidRPr="00C2309D" w:rsidRDefault="00605BA0" w:rsidP="00B42C61">
      <w:pPr>
        <w:pStyle w:val="Heading3withoutnumbering"/>
      </w:pPr>
      <w:bookmarkStart w:id="180" w:name="_Toc110834647"/>
      <w:bookmarkStart w:id="181" w:name="_Toc245536173"/>
      <w:bookmarkStart w:id="182" w:name="_Toc395537186"/>
      <w:bookmarkStart w:id="183" w:name="_Toc422732543"/>
      <w:bookmarkStart w:id="184" w:name="_Toc422752883"/>
      <w:bookmarkStart w:id="185" w:name="_Toc197076891"/>
      <w:r w:rsidRPr="00C2309D">
        <w:t>Duration of care</w:t>
      </w:r>
      <w:bookmarkEnd w:id="180"/>
      <w:bookmarkEnd w:id="181"/>
      <w:bookmarkEnd w:id="182"/>
      <w:bookmarkEnd w:id="183"/>
      <w:bookmarkEnd w:id="184"/>
      <w:bookmarkEnd w:id="185"/>
    </w:p>
    <w:p w14:paraId="6DC667BB" w14:textId="5C49EC21" w:rsidR="00605BA0" w:rsidRPr="00DA4E41" w:rsidRDefault="00605BA0" w:rsidP="000F25B7">
      <w:r w:rsidRPr="00DA4E41">
        <w:t>Flexible care subsidy will be paid for all recipients up to a maximum of 12 weeks. Where an extension has been granted, up to a further six weeks flexible care subsidy will be paid (see also section</w:t>
      </w:r>
      <w:r w:rsidR="006E4EBE">
        <w:t> </w:t>
      </w:r>
      <w:r w:rsidR="00DC797F" w:rsidRPr="006D100B">
        <w:rPr>
          <w:i/>
        </w:rPr>
        <w:t>3.5.</w:t>
      </w:r>
      <w:r w:rsidR="00DC797F">
        <w:rPr>
          <w:i/>
          <w:iCs/>
        </w:rPr>
        <w:t>8</w:t>
      </w:r>
      <w:r w:rsidR="00DC797F" w:rsidRPr="006D100B">
        <w:rPr>
          <w:i/>
        </w:rPr>
        <w:t> Extensions</w:t>
      </w:r>
      <w:r w:rsidRPr="00DA4E41">
        <w:t>).</w:t>
      </w:r>
    </w:p>
    <w:p w14:paraId="6F866CA3" w14:textId="1AF48715" w:rsidR="00605BA0" w:rsidRPr="00431DE0" w:rsidRDefault="00605BA0" w:rsidP="000F25B7">
      <w:r w:rsidRPr="00DA4E41">
        <w:t>To ensure that limited resources benefit as many older people as possible, there should not be an assumption that the programme is a ‘twelve-week programme’ for every care recipient.</w:t>
      </w:r>
      <w:r w:rsidR="0096425C">
        <w:t xml:space="preserve"> </w:t>
      </w:r>
      <w:r w:rsidRPr="00DA4E41">
        <w:t>Care is provided based on each care recipient’s care needs.</w:t>
      </w:r>
      <w:r w:rsidR="00EF129D">
        <w:t xml:space="preserve"> </w:t>
      </w:r>
      <w:r w:rsidRPr="00DA4E41">
        <w:t xml:space="preserve">While some care recipients may require the maximum 12 weeks of care and an extension of up to six weeks, </w:t>
      </w:r>
      <w:r w:rsidR="009044DD">
        <w:t xml:space="preserve">not all </w:t>
      </w:r>
      <w:r w:rsidRPr="00DA4E41">
        <w:t xml:space="preserve">care recipients </w:t>
      </w:r>
      <w:r w:rsidR="009044DD">
        <w:t xml:space="preserve">will </w:t>
      </w:r>
      <w:r w:rsidRPr="00DA4E41">
        <w:t xml:space="preserve">require the </w:t>
      </w:r>
      <w:r w:rsidRPr="00431DE0">
        <w:t>maximum period of care.</w:t>
      </w:r>
    </w:p>
    <w:p w14:paraId="1302A539" w14:textId="3796C735" w:rsidR="00605BA0" w:rsidRPr="00BC5EB3" w:rsidRDefault="00605BA0" w:rsidP="000F25B7">
      <w:r w:rsidRPr="00431DE0">
        <w:t xml:space="preserve">Additionally, </w:t>
      </w:r>
      <w:r w:rsidR="001E5CA6" w:rsidRPr="00776EC0">
        <w:t>where a recipient transfers between one TCP setting/provider to another during an episode, the</w:t>
      </w:r>
      <w:r w:rsidR="00DC797F">
        <w:t>y</w:t>
      </w:r>
      <w:r w:rsidR="001E5CA6" w:rsidRPr="00776EC0">
        <w:t xml:space="preserve"> may choose </w:t>
      </w:r>
      <w:r w:rsidR="001E5CA6" w:rsidRPr="00431DE0">
        <w:t xml:space="preserve">to utilise some or </w:t>
      </w:r>
      <w:proofErr w:type="gramStart"/>
      <w:r w:rsidR="001E5CA6" w:rsidRPr="00431DE0">
        <w:t>all of</w:t>
      </w:r>
      <w:proofErr w:type="gramEnd"/>
      <w:r w:rsidR="001E5CA6" w:rsidRPr="00431DE0">
        <w:t xml:space="preserve"> their episode</w:t>
      </w:r>
      <w:r w:rsidR="00271BAA" w:rsidRPr="00431DE0">
        <w:t xml:space="preserve"> ‘brea</w:t>
      </w:r>
      <w:r w:rsidR="001E5CA6" w:rsidRPr="00431DE0">
        <w:t>k days’</w:t>
      </w:r>
      <w:r w:rsidR="007A488E">
        <w:t>.</w:t>
      </w:r>
      <w:r w:rsidR="001E5CA6" w:rsidRPr="00431DE0">
        <w:t xml:space="preserve"> </w:t>
      </w:r>
      <w:r w:rsidR="00312B2A">
        <w:t>T</w:t>
      </w:r>
      <w:r w:rsidR="001E5CA6" w:rsidRPr="00431DE0">
        <w:t xml:space="preserve">here </w:t>
      </w:r>
      <w:r w:rsidR="001E5CA6" w:rsidRPr="000F25B7">
        <w:t>must</w:t>
      </w:r>
      <w:r w:rsidR="00312B2A">
        <w:t>, however,</w:t>
      </w:r>
      <w:r w:rsidR="001E5CA6" w:rsidRPr="000F25B7">
        <w:t xml:space="preserve"> be no gap</w:t>
      </w:r>
      <w:r w:rsidR="001E5CA6" w:rsidRPr="00431DE0">
        <w:t xml:space="preserve"> in their ability to access </w:t>
      </w:r>
      <w:r w:rsidR="00271BAA" w:rsidRPr="00431DE0">
        <w:t>care, i.e. ther</w:t>
      </w:r>
      <w:r w:rsidR="001E5CA6" w:rsidRPr="00431DE0">
        <w:t>e is no day during which the recipient is</w:t>
      </w:r>
      <w:r w:rsidR="00271BAA" w:rsidRPr="00431DE0">
        <w:t xml:space="preserve"> not able to be provided transiti</w:t>
      </w:r>
      <w:r w:rsidR="001E5CA6" w:rsidRPr="00431DE0">
        <w:t>on care services by either their current or new</w:t>
      </w:r>
      <w:r w:rsidR="00271BAA" w:rsidRPr="00431DE0">
        <w:t xml:space="preserve"> service provider.</w:t>
      </w:r>
    </w:p>
    <w:p w14:paraId="678946DC" w14:textId="71577633" w:rsidR="00605BA0" w:rsidRPr="002F71E7" w:rsidRDefault="00605BA0" w:rsidP="00B42C61">
      <w:pPr>
        <w:pStyle w:val="Heading3withoutnumbering"/>
      </w:pPr>
      <w:bookmarkStart w:id="186" w:name="_Toc521122298"/>
      <w:bookmarkStart w:id="187" w:name="_Toc29371663"/>
      <w:bookmarkStart w:id="188" w:name="_Toc81623301"/>
      <w:bookmarkStart w:id="189" w:name="_Toc110834653"/>
      <w:bookmarkStart w:id="190" w:name="_Toc245536177"/>
      <w:bookmarkStart w:id="191" w:name="_Toc395537187"/>
      <w:bookmarkStart w:id="192" w:name="_Toc422732544"/>
      <w:bookmarkStart w:id="193" w:name="_Toc422752884"/>
      <w:bookmarkStart w:id="194" w:name="_Toc197076892"/>
      <w:bookmarkStart w:id="195" w:name="_Toc110834648"/>
      <w:bookmarkStart w:id="196" w:name="_Toc245536174"/>
      <w:r w:rsidRPr="002F71E7">
        <w:t>The service provider</w:t>
      </w:r>
      <w:bookmarkEnd w:id="186"/>
      <w:bookmarkEnd w:id="187"/>
      <w:bookmarkEnd w:id="188"/>
      <w:bookmarkEnd w:id="189"/>
      <w:bookmarkEnd w:id="190"/>
      <w:bookmarkEnd w:id="191"/>
      <w:bookmarkEnd w:id="192"/>
      <w:bookmarkEnd w:id="193"/>
      <w:bookmarkEnd w:id="194"/>
      <w:r w:rsidRPr="002F71E7">
        <w:t xml:space="preserve"> </w:t>
      </w:r>
    </w:p>
    <w:p w14:paraId="187046E2" w14:textId="4DEBC27F" w:rsidR="00605BA0" w:rsidRPr="00DA4E41" w:rsidRDefault="00605BA0" w:rsidP="000F25B7">
      <w:r w:rsidRPr="00DA4E41">
        <w:t>Service providers manage the day-to-day operations of a transition care service</w:t>
      </w:r>
      <w:r w:rsidRPr="00DA4E41">
        <w:rPr>
          <w:rStyle w:val="FootnoteReference"/>
          <w:szCs w:val="20"/>
        </w:rPr>
        <w:footnoteReference w:id="9"/>
      </w:r>
      <w:r w:rsidRPr="00DA4E41">
        <w:t>. This includes:</w:t>
      </w:r>
    </w:p>
    <w:p w14:paraId="265C013A" w14:textId="77777777" w:rsidR="00605BA0" w:rsidRPr="00DA4E41" w:rsidRDefault="00605BA0" w:rsidP="00E330E4">
      <w:pPr>
        <w:pStyle w:val="ListBullet"/>
      </w:pPr>
      <w:r w:rsidRPr="00C32121">
        <w:rPr>
          <w:rFonts w:eastAsia="Calibri"/>
        </w:rPr>
        <w:t>assisting</w:t>
      </w:r>
      <w:r w:rsidRPr="00DA4E41">
        <w:t xml:space="preserve"> in the admission of clients to transition care, their return to hospital if required and their transfer to their preferred long-term care </w:t>
      </w:r>
      <w:proofErr w:type="gramStart"/>
      <w:r w:rsidRPr="00DA4E41">
        <w:t>option;</w:t>
      </w:r>
      <w:proofErr w:type="gramEnd"/>
    </w:p>
    <w:p w14:paraId="32A7DF98" w14:textId="70316DA3" w:rsidR="00605BA0" w:rsidRPr="00DA4E41" w:rsidRDefault="00605BA0" w:rsidP="00E330E4">
      <w:pPr>
        <w:pStyle w:val="ListBullet"/>
      </w:pPr>
      <w:r w:rsidRPr="00C32121">
        <w:rPr>
          <w:rFonts w:eastAsia="Calibri"/>
        </w:rPr>
        <w:t>liaising</w:t>
      </w:r>
      <w:r w:rsidRPr="00DA4E41">
        <w:t xml:space="preserve"> with the local </w:t>
      </w:r>
      <w:r w:rsidR="00C318B0">
        <w:t xml:space="preserve">assessment organisation </w:t>
      </w:r>
      <w:r w:rsidRPr="00DA4E41">
        <w:t xml:space="preserve">and/or transition care coordinator and advising of the capacity of the service to accept new care recipients, and any transition care vacancies in the </w:t>
      </w:r>
      <w:proofErr w:type="gramStart"/>
      <w:r w:rsidRPr="00DA4E41">
        <w:t>region;</w:t>
      </w:r>
      <w:proofErr w:type="gramEnd"/>
    </w:p>
    <w:p w14:paraId="6D3995AB" w14:textId="16B5E75C" w:rsidR="00605BA0" w:rsidRPr="00DA4E41" w:rsidRDefault="00605BA0" w:rsidP="00E330E4">
      <w:pPr>
        <w:pStyle w:val="ListBullet"/>
      </w:pPr>
      <w:r w:rsidRPr="00DA4E41">
        <w:t xml:space="preserve">offering </w:t>
      </w:r>
      <w:r w:rsidRPr="00C32121">
        <w:rPr>
          <w:rFonts w:eastAsia="Calibri"/>
        </w:rPr>
        <w:t>and</w:t>
      </w:r>
      <w:r w:rsidRPr="00DA4E41">
        <w:t xml:space="preserve"> remaining ready at </w:t>
      </w:r>
      <w:r w:rsidR="00404EC1">
        <w:t>any</w:t>
      </w:r>
      <w:r w:rsidRPr="00DA4E41">
        <w:t xml:space="preserve"> time to enter into a recipient agreement with eligible clients (see also section </w:t>
      </w:r>
      <w:r w:rsidR="003629D6" w:rsidRPr="006E4EBE">
        <w:rPr>
          <w:i/>
        </w:rPr>
        <w:t>5</w:t>
      </w:r>
      <w:r w:rsidRPr="006E4EBE">
        <w:rPr>
          <w:i/>
        </w:rPr>
        <w:t>.2 Recipient agreement</w:t>
      </w:r>
      <w:proofErr w:type="gramStart"/>
      <w:r w:rsidRPr="00DA4E41">
        <w:t>);</w:t>
      </w:r>
      <w:proofErr w:type="gramEnd"/>
    </w:p>
    <w:p w14:paraId="552FBDF3" w14:textId="77777777" w:rsidR="00605BA0" w:rsidRPr="00DA4E41" w:rsidRDefault="00605BA0" w:rsidP="00E330E4">
      <w:pPr>
        <w:pStyle w:val="ListBullet"/>
      </w:pPr>
      <w:r w:rsidRPr="00DA4E41">
        <w:t xml:space="preserve">having appropriate processes in place to receive, record and resolve complaints and handle them fairly, </w:t>
      </w:r>
      <w:r w:rsidRPr="00C32121">
        <w:rPr>
          <w:rFonts w:eastAsia="Calibri"/>
        </w:rPr>
        <w:t>promptly</w:t>
      </w:r>
      <w:r w:rsidRPr="00DA4E41">
        <w:t xml:space="preserve">, confidentially and without retribution (see also section </w:t>
      </w:r>
      <w:r w:rsidR="00BA797B" w:rsidRPr="006E4EBE">
        <w:rPr>
          <w:i/>
        </w:rPr>
        <w:t>7</w:t>
      </w:r>
      <w:r w:rsidRPr="006E4EBE">
        <w:rPr>
          <w:i/>
        </w:rPr>
        <w:t>.</w:t>
      </w:r>
      <w:r w:rsidR="008769FB" w:rsidRPr="006E4EBE">
        <w:rPr>
          <w:i/>
        </w:rPr>
        <w:t>2</w:t>
      </w:r>
      <w:r w:rsidRPr="006E4EBE">
        <w:rPr>
          <w:i/>
        </w:rPr>
        <w:t>.</w:t>
      </w:r>
      <w:r w:rsidR="008769FB" w:rsidRPr="006E4EBE">
        <w:rPr>
          <w:i/>
        </w:rPr>
        <w:t>1</w:t>
      </w:r>
      <w:r w:rsidR="00E619D9" w:rsidRPr="006E4EBE">
        <w:rPr>
          <w:i/>
        </w:rPr>
        <w:t> </w:t>
      </w:r>
      <w:r w:rsidR="008769FB" w:rsidRPr="006E4EBE">
        <w:rPr>
          <w:i/>
        </w:rPr>
        <w:t>Internal c</w:t>
      </w:r>
      <w:r w:rsidRPr="006E4EBE">
        <w:rPr>
          <w:i/>
        </w:rPr>
        <w:t>omplaints</w:t>
      </w:r>
      <w:r w:rsidR="008769FB" w:rsidRPr="006E4EBE">
        <w:rPr>
          <w:i/>
        </w:rPr>
        <w:t xml:space="preserve"> processes</w:t>
      </w:r>
      <w:r w:rsidRPr="00DA4E41">
        <w:t>); and</w:t>
      </w:r>
    </w:p>
    <w:p w14:paraId="239704CC" w14:textId="1DE66822" w:rsidR="00CB3140" w:rsidRPr="00CD4746" w:rsidRDefault="00605BA0" w:rsidP="00E330E4">
      <w:pPr>
        <w:pStyle w:val="ListBullet"/>
      </w:pPr>
      <w:r w:rsidRPr="00CD4746">
        <w:t xml:space="preserve">reporting (activity, financial and quality) as per programme and contract requirements to the approved </w:t>
      </w:r>
      <w:r w:rsidRPr="00C32121">
        <w:rPr>
          <w:rFonts w:eastAsia="Calibri"/>
        </w:rPr>
        <w:t>provider</w:t>
      </w:r>
      <w:r w:rsidRPr="00CD4746">
        <w:t>.</w:t>
      </w:r>
    </w:p>
    <w:p w14:paraId="739FC0B3" w14:textId="6C69E3C7" w:rsidR="00C2291A" w:rsidRDefault="00605BA0" w:rsidP="000F25B7">
      <w:r w:rsidRPr="00DA4E41">
        <w:t xml:space="preserve">Service providers are responsible for providing services appropriate to the needs of their care recipients for the period the care recipients are under their care. Transition care must be provided in accordance with </w:t>
      </w:r>
      <w:r w:rsidRPr="00DA4E41">
        <w:rPr>
          <w:i/>
        </w:rPr>
        <w:t>Schedule 1: Specified care and services for transition care services</w:t>
      </w:r>
      <w:r w:rsidRPr="00DA4E41">
        <w:t xml:space="preserve"> of the payment agreement also provided at </w:t>
      </w:r>
      <w:r w:rsidR="00FE24C2" w:rsidRPr="00E13192">
        <w:rPr>
          <w:i/>
          <w:iCs/>
        </w:rPr>
        <w:t>Attachment B</w:t>
      </w:r>
      <w:r w:rsidRPr="00EF129D">
        <w:t>,</w:t>
      </w:r>
      <w:r w:rsidRPr="00DA4E41">
        <w:t xml:space="preserve"> and </w:t>
      </w:r>
      <w:r w:rsidR="00FE24C2" w:rsidRPr="001A2709">
        <w:rPr>
          <w:i/>
        </w:rPr>
        <w:t>Chapter 7: Quality Assurance and Complaints in transition care</w:t>
      </w:r>
      <w:r w:rsidRPr="00DA4E41">
        <w:t>.</w:t>
      </w:r>
    </w:p>
    <w:p w14:paraId="52B094E1" w14:textId="3554380A" w:rsidR="00605BA0" w:rsidRPr="00DA4E41" w:rsidRDefault="00605BA0" w:rsidP="000F25B7">
      <w:r w:rsidRPr="00DA4E41">
        <w:t>The service provider, following consultation with the referring hospital, will make the final decision as to whether the person’s care needs can be met by their service and whether they have any places available.</w:t>
      </w:r>
    </w:p>
    <w:p w14:paraId="5B4C4D55" w14:textId="2A9FE021" w:rsidR="00CB3140" w:rsidRPr="00DA4E41" w:rsidRDefault="00605BA0" w:rsidP="000F25B7">
      <w:r w:rsidRPr="00DA4E41">
        <w:t xml:space="preserve">The </w:t>
      </w:r>
      <w:r w:rsidR="007A488E">
        <w:t>12-week</w:t>
      </w:r>
      <w:r w:rsidR="00E90AA2">
        <w:t xml:space="preserve"> duration of</w:t>
      </w:r>
      <w:r w:rsidR="004E7EA4">
        <w:t xml:space="preserve"> the</w:t>
      </w:r>
      <w:r w:rsidR="00E90AA2">
        <w:t xml:space="preserve"> </w:t>
      </w:r>
      <w:r w:rsidRPr="00DA4E41">
        <w:t xml:space="preserve">programme </w:t>
      </w:r>
      <w:r w:rsidR="00E90AA2">
        <w:t>equates to 84</w:t>
      </w:r>
      <w:r w:rsidRPr="00DA4E41">
        <w:t xml:space="preserve"> calendar day</w:t>
      </w:r>
      <w:r w:rsidR="00E90AA2">
        <w:t>s</w:t>
      </w:r>
      <w:r w:rsidRPr="00DA4E41">
        <w:t>. As it is a time-limited programme, services should be provided according to the care plan on a 7-day a week basis, including weekends and any public holidays falling within the transition care period.</w:t>
      </w:r>
    </w:p>
    <w:p w14:paraId="193FAEAA" w14:textId="77777777" w:rsidR="00605BA0" w:rsidRPr="00DC5CFE" w:rsidRDefault="00605BA0" w:rsidP="00FB42E2">
      <w:pPr>
        <w:pStyle w:val="heading4withoutnumbers"/>
        <w:rPr>
          <w:b/>
          <w:bCs/>
          <w:iCs/>
        </w:rPr>
      </w:pPr>
      <w:r w:rsidRPr="00954E94">
        <w:rPr>
          <w:b/>
          <w:bCs/>
          <w:iCs/>
        </w:rPr>
        <w:t>Care planning</w:t>
      </w:r>
    </w:p>
    <w:p w14:paraId="3B1C821B" w14:textId="3347FDCD" w:rsidR="00605BA0" w:rsidRPr="00DA4E41" w:rsidRDefault="00605BA0" w:rsidP="00CD4746">
      <w:pPr>
        <w:spacing w:before="0" w:after="200"/>
        <w:rPr>
          <w:i/>
          <w:szCs w:val="20"/>
        </w:rPr>
      </w:pPr>
      <w:r w:rsidRPr="00DA4E41">
        <w:rPr>
          <w:szCs w:val="20"/>
        </w:rPr>
        <w:t xml:space="preserve">The service provider </w:t>
      </w:r>
      <w:r w:rsidR="007527DA">
        <w:rPr>
          <w:szCs w:val="20"/>
        </w:rPr>
        <w:t>must</w:t>
      </w:r>
      <w:r w:rsidR="003F75B4">
        <w:rPr>
          <w:szCs w:val="20"/>
        </w:rPr>
        <w:t xml:space="preserve"> </w:t>
      </w:r>
      <w:r w:rsidRPr="00DA4E41">
        <w:rPr>
          <w:szCs w:val="20"/>
        </w:rPr>
        <w:t>develop a care plan which incorporate</w:t>
      </w:r>
      <w:r w:rsidR="003F75B4">
        <w:rPr>
          <w:szCs w:val="20"/>
        </w:rPr>
        <w:t>s</w:t>
      </w:r>
      <w:r w:rsidRPr="00DA4E41">
        <w:rPr>
          <w:szCs w:val="20"/>
        </w:rPr>
        <w:t xml:space="preserve"> a therapeutic plan for physical and cognitive needs developed through the care recipient’s hospital discharge planning, the </w:t>
      </w:r>
      <w:r w:rsidR="00172429">
        <w:rPr>
          <w:szCs w:val="20"/>
        </w:rPr>
        <w:t xml:space="preserve">aged care </w:t>
      </w:r>
      <w:r w:rsidRPr="00DA4E41">
        <w:rPr>
          <w:szCs w:val="20"/>
        </w:rPr>
        <w:t xml:space="preserve">assessment process and in consultation with the care recipient, </w:t>
      </w:r>
      <w:r w:rsidR="001F2A9A">
        <w:rPr>
          <w:szCs w:val="20"/>
        </w:rPr>
        <w:t xml:space="preserve">and their </w:t>
      </w:r>
      <w:r w:rsidRPr="00DA4E41">
        <w:rPr>
          <w:szCs w:val="20"/>
        </w:rPr>
        <w:t>carer or family where appropriate. For older people with dementia who are unable to express their care goals, the development of a care plan may need to involve the person’s family and/or carer.</w:t>
      </w:r>
    </w:p>
    <w:p w14:paraId="4FB81130" w14:textId="77777777" w:rsidR="00605BA0" w:rsidRPr="00DC5CFE" w:rsidRDefault="00605BA0" w:rsidP="00FB42E2">
      <w:pPr>
        <w:pStyle w:val="heading4withoutnumbers"/>
        <w:rPr>
          <w:b/>
          <w:bCs/>
        </w:rPr>
      </w:pPr>
      <w:r w:rsidRPr="00DC5CFE">
        <w:rPr>
          <w:b/>
          <w:bCs/>
        </w:rPr>
        <w:t>Case management</w:t>
      </w:r>
    </w:p>
    <w:p w14:paraId="63782DEF" w14:textId="5142A7E1" w:rsidR="00605BA0" w:rsidRPr="00DA4E41" w:rsidRDefault="00605BA0" w:rsidP="00CD4746">
      <w:pPr>
        <w:spacing w:before="0" w:after="200"/>
        <w:rPr>
          <w:szCs w:val="20"/>
        </w:rPr>
      </w:pPr>
      <w:r w:rsidRPr="00DA4E41">
        <w:rPr>
          <w:szCs w:val="20"/>
        </w:rPr>
        <w:t xml:space="preserve">The service provider has a responsibility to assist in the admission of a client to the programme, in their return to hospital </w:t>
      </w:r>
      <w:r w:rsidR="00FE24C2">
        <w:rPr>
          <w:szCs w:val="20"/>
        </w:rPr>
        <w:t>if</w:t>
      </w:r>
      <w:r w:rsidRPr="00DA4E41">
        <w:rPr>
          <w:szCs w:val="20"/>
        </w:rPr>
        <w:t xml:space="preserve"> required, and in their subsequent transfer to their preferred long</w:t>
      </w:r>
      <w:r w:rsidR="00B22BBA">
        <w:rPr>
          <w:szCs w:val="20"/>
        </w:rPr>
        <w:noBreakHyphen/>
      </w:r>
      <w:r w:rsidRPr="00DA4E41">
        <w:rPr>
          <w:szCs w:val="20"/>
        </w:rPr>
        <w:t xml:space="preserve">term care option at the end of their transition care episode. The service provider plays a significant role in the </w:t>
      </w:r>
      <w:r w:rsidRPr="00DA4E41">
        <w:rPr>
          <w:szCs w:val="20"/>
        </w:rPr>
        <w:lastRenderedPageBreak/>
        <w:t>care recipient’s case management, including establishing community support and services and, where required, identification of residential care options.</w:t>
      </w:r>
    </w:p>
    <w:p w14:paraId="14871F51" w14:textId="6BE0776A" w:rsidR="00605BA0" w:rsidRPr="00221C54" w:rsidRDefault="00605BA0" w:rsidP="00FB42E2">
      <w:pPr>
        <w:pStyle w:val="heading4withoutnumbers"/>
        <w:rPr>
          <w:b/>
          <w:bCs/>
        </w:rPr>
      </w:pPr>
      <w:r w:rsidRPr="00221C54">
        <w:rPr>
          <w:b/>
          <w:bCs/>
        </w:rPr>
        <w:t>Cooperation with A</w:t>
      </w:r>
      <w:r w:rsidR="00AA589A">
        <w:rPr>
          <w:b/>
          <w:bCs/>
        </w:rPr>
        <w:t>ssessment organisation</w:t>
      </w:r>
      <w:r w:rsidRPr="00221C54">
        <w:rPr>
          <w:b/>
          <w:bCs/>
        </w:rPr>
        <w:t>s</w:t>
      </w:r>
    </w:p>
    <w:p w14:paraId="1EC912B6" w14:textId="6E81EC85" w:rsidR="00605BA0" w:rsidRPr="00DA4E41" w:rsidRDefault="00605BA0" w:rsidP="00E10CFE">
      <w:pPr>
        <w:spacing w:before="0" w:after="60"/>
        <w:rPr>
          <w:szCs w:val="20"/>
        </w:rPr>
      </w:pPr>
      <w:r w:rsidRPr="00DA4E41">
        <w:rPr>
          <w:szCs w:val="20"/>
        </w:rPr>
        <w:t xml:space="preserve">To facilitate the best outcome for </w:t>
      </w:r>
      <w:r w:rsidR="00FE24C2">
        <w:rPr>
          <w:szCs w:val="20"/>
        </w:rPr>
        <w:t>the</w:t>
      </w:r>
      <w:r w:rsidRPr="00DA4E41">
        <w:rPr>
          <w:szCs w:val="20"/>
        </w:rPr>
        <w:t xml:space="preserve"> care recipient during and after the assessment process, service providers should have an effective working relationship with their local </w:t>
      </w:r>
      <w:r w:rsidR="00FC46D7">
        <w:rPr>
          <w:szCs w:val="20"/>
        </w:rPr>
        <w:t>a</w:t>
      </w:r>
      <w:r w:rsidR="00476AA3">
        <w:rPr>
          <w:szCs w:val="20"/>
        </w:rPr>
        <w:t>ssessment organisation</w:t>
      </w:r>
      <w:r w:rsidR="004E7685">
        <w:rPr>
          <w:szCs w:val="20"/>
        </w:rPr>
        <w:t xml:space="preserve">. </w:t>
      </w:r>
      <w:r w:rsidR="0064270C">
        <w:rPr>
          <w:szCs w:val="20"/>
        </w:rPr>
        <w:t>Specifically,</w:t>
      </w:r>
      <w:r w:rsidR="004E7685">
        <w:rPr>
          <w:szCs w:val="20"/>
        </w:rPr>
        <w:t xml:space="preserve"> service providers:</w:t>
      </w:r>
    </w:p>
    <w:p w14:paraId="22DF9102" w14:textId="095B995D" w:rsidR="00605BA0" w:rsidRPr="00DA4E41" w:rsidRDefault="00605BA0" w:rsidP="00E330E4">
      <w:pPr>
        <w:pStyle w:val="ListBullet"/>
      </w:pPr>
      <w:r w:rsidRPr="00DA4E41">
        <w:t xml:space="preserve">should liaise with the </w:t>
      </w:r>
      <w:r w:rsidR="00FC46D7">
        <w:t>a</w:t>
      </w:r>
      <w:r w:rsidR="004308CF">
        <w:t>ssessment organisation,</w:t>
      </w:r>
      <w:r w:rsidRPr="00DA4E41">
        <w:t xml:space="preserve"> and keep them informed about the capacity of their service to accept new care recipients, and any transition care vacancies in the </w:t>
      </w:r>
      <w:proofErr w:type="gramStart"/>
      <w:r w:rsidRPr="00DA4E41">
        <w:t>region</w:t>
      </w:r>
      <w:r w:rsidR="004E7685">
        <w:t>;</w:t>
      </w:r>
      <w:proofErr w:type="gramEnd"/>
    </w:p>
    <w:p w14:paraId="75CAB8BD" w14:textId="11D59A7E" w:rsidR="00605BA0" w:rsidRPr="00DA4E41" w:rsidRDefault="00605BA0" w:rsidP="00E330E4">
      <w:pPr>
        <w:pStyle w:val="ListBullet"/>
      </w:pPr>
      <w:r w:rsidRPr="00DA4E41">
        <w:t xml:space="preserve">may involve the </w:t>
      </w:r>
      <w:r w:rsidR="00ED7640">
        <w:t>clinical aged care needs assessor</w:t>
      </w:r>
      <w:r w:rsidR="00E33AB8">
        <w:t xml:space="preserve"> </w:t>
      </w:r>
      <w:r w:rsidRPr="00DA4E41">
        <w:t>in reviewing the care recipient’s needs,</w:t>
      </w:r>
      <w:r w:rsidR="00B22BBA">
        <w:t xml:space="preserve"> </w:t>
      </w:r>
      <w:r w:rsidRPr="00DA4E41">
        <w:t>re</w:t>
      </w:r>
      <w:r w:rsidR="00B22BBA">
        <w:noBreakHyphen/>
      </w:r>
      <w:r w:rsidRPr="00DA4E41">
        <w:t>assessing appropriate care options and/or referring the care recipient to a more appropriate service</w:t>
      </w:r>
      <w:r w:rsidR="004E7685">
        <w:t>; and</w:t>
      </w:r>
    </w:p>
    <w:p w14:paraId="7D1E21A5" w14:textId="2227058F" w:rsidR="00997684" w:rsidRPr="009D4895" w:rsidRDefault="00605BA0" w:rsidP="00E330E4">
      <w:pPr>
        <w:pStyle w:val="ListBullet"/>
      </w:pPr>
      <w:r w:rsidRPr="009D4895">
        <w:t xml:space="preserve">may also identify care recipients who potentially require an extension to their transition care episode and submit a transition care extension application form to </w:t>
      </w:r>
      <w:r w:rsidR="002941DE" w:rsidRPr="009D4895">
        <w:t>a</w:t>
      </w:r>
      <w:r w:rsidRPr="009D4895">
        <w:t xml:space="preserve"> </w:t>
      </w:r>
      <w:r w:rsidR="003219AE">
        <w:t>clinical aged care needs assessor</w:t>
      </w:r>
      <w:r w:rsidR="003219AE" w:rsidRPr="009D4895" w:rsidDel="003219AE">
        <w:t xml:space="preserve"> </w:t>
      </w:r>
      <w:r w:rsidRPr="009D4895">
        <w:t>for review (see also section</w:t>
      </w:r>
      <w:r w:rsidR="003B3FB8" w:rsidRPr="009D4895">
        <w:t>s</w:t>
      </w:r>
      <w:r w:rsidRPr="009D4895">
        <w:t xml:space="preserve"> </w:t>
      </w:r>
      <w:r w:rsidR="00FE24C2" w:rsidRPr="009D4895">
        <w:rPr>
          <w:i/>
          <w:iCs/>
        </w:rPr>
        <w:t>3.5.8 Extensions</w:t>
      </w:r>
      <w:r w:rsidR="00ED59DE" w:rsidRPr="009D4895">
        <w:t xml:space="preserve"> and </w:t>
      </w:r>
      <w:r w:rsidR="00FE24C2" w:rsidRPr="009D4895">
        <w:rPr>
          <w:i/>
          <w:iCs/>
        </w:rPr>
        <w:t xml:space="preserve">3.5.9 Review of </w:t>
      </w:r>
      <w:r w:rsidR="0044079D" w:rsidRPr="009D4895">
        <w:rPr>
          <w:i/>
          <w:iCs/>
        </w:rPr>
        <w:t xml:space="preserve">an </w:t>
      </w:r>
      <w:r w:rsidR="00041A1A">
        <w:rPr>
          <w:i/>
          <w:iCs/>
        </w:rPr>
        <w:t>a</w:t>
      </w:r>
      <w:r w:rsidR="0044079D" w:rsidRPr="009D4895">
        <w:rPr>
          <w:i/>
          <w:iCs/>
        </w:rPr>
        <w:t>ssessment</w:t>
      </w:r>
      <w:r w:rsidR="0005058B" w:rsidRPr="009D4895">
        <w:rPr>
          <w:i/>
          <w:iCs/>
        </w:rPr>
        <w:t xml:space="preserve"> </w:t>
      </w:r>
      <w:r w:rsidR="00FE24C2" w:rsidRPr="009D4895">
        <w:rPr>
          <w:i/>
          <w:iCs/>
        </w:rPr>
        <w:t>extension decisions</w:t>
      </w:r>
      <w:r w:rsidRPr="009D4895">
        <w:t>).</w:t>
      </w:r>
    </w:p>
    <w:p w14:paraId="07FDA1DE" w14:textId="1EB27259" w:rsidR="00997684" w:rsidRPr="00997684" w:rsidRDefault="00997684" w:rsidP="00CD4746">
      <w:pPr>
        <w:spacing w:before="0" w:after="200"/>
        <w:rPr>
          <w:szCs w:val="20"/>
        </w:rPr>
      </w:pPr>
      <w:r w:rsidRPr="007C280D">
        <w:rPr>
          <w:szCs w:val="20"/>
        </w:rPr>
        <w:t>A</w:t>
      </w:r>
      <w:r w:rsidR="007C7A8A">
        <w:rPr>
          <w:szCs w:val="20"/>
        </w:rPr>
        <w:t>ssessment organisations</w:t>
      </w:r>
      <w:r w:rsidRPr="007C280D">
        <w:rPr>
          <w:szCs w:val="20"/>
        </w:rPr>
        <w:t xml:space="preserve"> can work with Dementia </w:t>
      </w:r>
      <w:r w:rsidR="006D2E91">
        <w:rPr>
          <w:szCs w:val="20"/>
        </w:rPr>
        <w:t>Support Australia</w:t>
      </w:r>
      <w:r w:rsidRPr="007C280D">
        <w:rPr>
          <w:szCs w:val="20"/>
        </w:rPr>
        <w:t xml:space="preserve"> to ease the transition of clients </w:t>
      </w:r>
      <w:r w:rsidR="00094E6D">
        <w:rPr>
          <w:szCs w:val="20"/>
        </w:rPr>
        <w:t xml:space="preserve">with dementia </w:t>
      </w:r>
      <w:r w:rsidRPr="007C280D">
        <w:rPr>
          <w:szCs w:val="20"/>
        </w:rPr>
        <w:t>to home or residential aged care.</w:t>
      </w:r>
    </w:p>
    <w:p w14:paraId="28377CEB" w14:textId="68E207FD" w:rsidR="00605BA0" w:rsidRPr="009F2AD3" w:rsidRDefault="00605BA0" w:rsidP="00B42C61">
      <w:pPr>
        <w:pStyle w:val="Heading3withoutnumbering"/>
      </w:pPr>
      <w:bookmarkStart w:id="197" w:name="_Toc395537188"/>
      <w:bookmarkStart w:id="198" w:name="_Toc422732545"/>
      <w:bookmarkStart w:id="199" w:name="_Toc422752885"/>
      <w:bookmarkStart w:id="200" w:name="_Toc197076893"/>
      <w:r w:rsidRPr="009F2AD3">
        <w:t>Residential based transition care</w:t>
      </w:r>
      <w:bookmarkEnd w:id="197"/>
      <w:bookmarkEnd w:id="198"/>
      <w:bookmarkEnd w:id="199"/>
      <w:bookmarkEnd w:id="200"/>
    </w:p>
    <w:p w14:paraId="73C010D8" w14:textId="5BD4C146" w:rsidR="00605BA0" w:rsidRPr="00DA4E41" w:rsidRDefault="00605BA0" w:rsidP="00FB42E2">
      <w:r w:rsidRPr="00DA4E41">
        <w:t>Providers of residential based transition care are expected to provide services that reflect the intent of the programme to optimise the care recipient’s health and independence.</w:t>
      </w:r>
      <w:r w:rsidR="006E7387">
        <w:t xml:space="preserve"> </w:t>
      </w:r>
      <w:r w:rsidRPr="00DA4E41">
        <w:t>Residential based transition care services should be provided in a more home-like, less institutional environment, including:</w:t>
      </w:r>
    </w:p>
    <w:p w14:paraId="2A5327A1" w14:textId="20494186" w:rsidR="00605BA0" w:rsidRPr="00DA4E41" w:rsidRDefault="00605BA0" w:rsidP="00E330E4">
      <w:pPr>
        <w:pStyle w:val="ListBullet"/>
      </w:pPr>
      <w:r w:rsidRPr="00DA4E41">
        <w:t xml:space="preserve">communal living space/living room environment which is </w:t>
      </w:r>
      <w:r w:rsidR="0064270C" w:rsidRPr="00DA4E41">
        <w:t>separate</w:t>
      </w:r>
      <w:r w:rsidRPr="00DA4E41">
        <w:t xml:space="preserve"> from sleeping areas and the location of acute/subacute care provision, i.e. a space that encourages family, carers and visitors to spend time with care </w:t>
      </w:r>
      <w:proofErr w:type="gramStart"/>
      <w:r w:rsidRPr="00DA4E41">
        <w:t>recipients;</w:t>
      </w:r>
      <w:proofErr w:type="gramEnd"/>
    </w:p>
    <w:p w14:paraId="53241A63" w14:textId="5F4E0A42" w:rsidR="00605BA0" w:rsidRPr="00DA4E41" w:rsidRDefault="00605BA0" w:rsidP="00E330E4">
      <w:pPr>
        <w:pStyle w:val="ListBullet"/>
      </w:pPr>
      <w:r w:rsidRPr="00DA4E41">
        <w:t xml:space="preserve">a dining area and care recipients </w:t>
      </w:r>
      <w:r w:rsidR="00460502">
        <w:t>to be</w:t>
      </w:r>
      <w:r w:rsidRPr="00DA4E41">
        <w:t xml:space="preserve"> encouraged not to eat in </w:t>
      </w:r>
      <w:proofErr w:type="gramStart"/>
      <w:r w:rsidRPr="00DA4E41">
        <w:t>bed;</w:t>
      </w:r>
      <w:proofErr w:type="gramEnd"/>
    </w:p>
    <w:p w14:paraId="2B152C12" w14:textId="4FEC8162" w:rsidR="00605BA0" w:rsidRPr="00DA4E41" w:rsidRDefault="00605BA0" w:rsidP="00E330E4">
      <w:pPr>
        <w:pStyle w:val="ListBullet"/>
      </w:pPr>
      <w:r w:rsidRPr="00DA4E41">
        <w:t xml:space="preserve">care recipients </w:t>
      </w:r>
      <w:r w:rsidR="00460502">
        <w:t>to be</w:t>
      </w:r>
      <w:r w:rsidRPr="00DA4E41">
        <w:t xml:space="preserve"> encouraged and supported to dress every </w:t>
      </w:r>
      <w:proofErr w:type="gramStart"/>
      <w:r w:rsidRPr="00DA4E41">
        <w:t>day;</w:t>
      </w:r>
      <w:proofErr w:type="gramEnd"/>
    </w:p>
    <w:p w14:paraId="66487BCA" w14:textId="77777777" w:rsidR="00605BA0" w:rsidRPr="00DA4E41" w:rsidRDefault="00605BA0" w:rsidP="00E330E4">
      <w:pPr>
        <w:pStyle w:val="ListBullet"/>
      </w:pPr>
      <w:r w:rsidRPr="00DA4E41">
        <w:t xml:space="preserve">facilities for care recipients to prepare snacks for themselves and their </w:t>
      </w:r>
      <w:proofErr w:type="gramStart"/>
      <w:r w:rsidRPr="00DA4E41">
        <w:t>visitors;</w:t>
      </w:r>
      <w:proofErr w:type="gramEnd"/>
    </w:p>
    <w:p w14:paraId="05C1D8A4" w14:textId="77777777" w:rsidR="00605BA0" w:rsidRPr="00DA4E41" w:rsidRDefault="00605BA0" w:rsidP="00E330E4">
      <w:pPr>
        <w:pStyle w:val="ListBullet"/>
      </w:pPr>
      <w:r w:rsidRPr="00DA4E41">
        <w:t xml:space="preserve">privacy, particularly for personal care and bathing </w:t>
      </w:r>
      <w:proofErr w:type="gramStart"/>
      <w:r w:rsidRPr="00DA4E41">
        <w:t>arrangements;</w:t>
      </w:r>
      <w:proofErr w:type="gramEnd"/>
    </w:p>
    <w:p w14:paraId="78A0C066" w14:textId="77777777" w:rsidR="00605BA0" w:rsidRPr="00DA4E41" w:rsidRDefault="00605BA0" w:rsidP="00E330E4">
      <w:pPr>
        <w:pStyle w:val="ListBullet"/>
      </w:pPr>
      <w:r w:rsidRPr="00DA4E41">
        <w:t xml:space="preserve">space for care recipients to </w:t>
      </w:r>
      <w:r w:rsidR="0047534F">
        <w:t>move about</w:t>
      </w:r>
      <w:r w:rsidRPr="00DA4E41">
        <w:t xml:space="preserve">, especially </w:t>
      </w:r>
      <w:proofErr w:type="gramStart"/>
      <w:r w:rsidRPr="00DA4E41">
        <w:t>outdoors;</w:t>
      </w:r>
      <w:proofErr w:type="gramEnd"/>
    </w:p>
    <w:p w14:paraId="4A020B6E" w14:textId="5B39F4B8" w:rsidR="00605BA0" w:rsidRPr="00DA4E41" w:rsidRDefault="00605BA0" w:rsidP="00E330E4">
      <w:pPr>
        <w:pStyle w:val="ListBullet"/>
      </w:pPr>
      <w:r w:rsidRPr="00DA4E41">
        <w:t>physical arrangements which support the involvement of carers in the therapeutic activities; and</w:t>
      </w:r>
    </w:p>
    <w:p w14:paraId="4B7D56E6" w14:textId="596E0FC8" w:rsidR="00605BA0" w:rsidRPr="00CD4746" w:rsidRDefault="00605BA0" w:rsidP="00E330E4">
      <w:pPr>
        <w:pStyle w:val="ListBullet"/>
        <w:rPr>
          <w:rFonts w:cs="Arial"/>
          <w:snapToGrid w:val="0"/>
        </w:rPr>
      </w:pPr>
      <w:r w:rsidRPr="00CD4746">
        <w:t>a model of care and staff knowledge that supports the intent of the programme to promote the care recipient’s</w:t>
      </w:r>
      <w:r w:rsidR="001778FA" w:rsidRPr="00CD4746">
        <w:t xml:space="preserve"> independence and health (including cognitive functioning).</w:t>
      </w:r>
    </w:p>
    <w:p w14:paraId="227B8A87" w14:textId="3F2C6CA9" w:rsidR="006E7387" w:rsidRDefault="00605BA0" w:rsidP="00FB42E2">
      <w:pPr>
        <w:rPr>
          <w:snapToGrid w:val="0"/>
        </w:rPr>
      </w:pPr>
      <w:r w:rsidRPr="00DA4E41">
        <w:rPr>
          <w:snapToGrid w:val="0"/>
        </w:rPr>
        <w:t xml:space="preserve">Transition care services may also be provided in rural and remote hospitals when appropriate. The requirements for the more home-like environment may be relaxed on a </w:t>
      </w:r>
      <w:r w:rsidR="003A6D92" w:rsidRPr="00DA4E41">
        <w:rPr>
          <w:snapToGrid w:val="0"/>
        </w:rPr>
        <w:t>case-by-case</w:t>
      </w:r>
      <w:r w:rsidRPr="00DA4E41">
        <w:rPr>
          <w:snapToGrid w:val="0"/>
        </w:rPr>
        <w:t xml:space="preserve"> basis in these locations, if relevant (see also</w:t>
      </w:r>
      <w:r w:rsidR="005E22CB">
        <w:rPr>
          <w:snapToGrid w:val="0"/>
        </w:rPr>
        <w:t xml:space="preserve"> the</w:t>
      </w:r>
      <w:r w:rsidRPr="00DA4E41">
        <w:rPr>
          <w:snapToGrid w:val="0"/>
        </w:rPr>
        <w:t xml:space="preserve"> </w:t>
      </w:r>
      <w:r w:rsidR="00865AF1" w:rsidRPr="00E10CFE">
        <w:rPr>
          <w:snapToGrid w:val="0"/>
        </w:rPr>
        <w:t>Aged Care Quality Standards</w:t>
      </w:r>
      <w:r w:rsidR="00ED59DE" w:rsidRPr="00E10CFE">
        <w:rPr>
          <w:snapToGrid w:val="0"/>
        </w:rPr>
        <w:t xml:space="preserve"> </w:t>
      </w:r>
      <w:r w:rsidR="00074656" w:rsidRPr="00E10CFE">
        <w:rPr>
          <w:snapToGrid w:val="0"/>
        </w:rPr>
        <w:t xml:space="preserve">and </w:t>
      </w:r>
      <w:r w:rsidR="00D024FE" w:rsidRPr="00E10CFE">
        <w:rPr>
          <w:snapToGrid w:val="0"/>
        </w:rPr>
        <w:t>the</w:t>
      </w:r>
      <w:r w:rsidR="00D024FE" w:rsidRPr="00E10CFE">
        <w:rPr>
          <w:i/>
          <w:snapToGrid w:val="0"/>
        </w:rPr>
        <w:t xml:space="preserve"> </w:t>
      </w:r>
      <w:r w:rsidR="00FA576D" w:rsidRPr="00E10CFE">
        <w:rPr>
          <w:snapToGrid w:val="0"/>
        </w:rPr>
        <w:t>r</w:t>
      </w:r>
      <w:r w:rsidR="00074656" w:rsidRPr="00E10CFE">
        <w:rPr>
          <w:snapToGrid w:val="0"/>
        </w:rPr>
        <w:t>equirement</w:t>
      </w:r>
      <w:r w:rsidR="00D024FE" w:rsidRPr="00E10CFE">
        <w:rPr>
          <w:snapToGrid w:val="0"/>
        </w:rPr>
        <w:t xml:space="preserve">s set out </w:t>
      </w:r>
      <w:r w:rsidR="005E22CB">
        <w:rPr>
          <w:snapToGrid w:val="0"/>
        </w:rPr>
        <w:t>in</w:t>
      </w:r>
      <w:r w:rsidR="00D024FE" w:rsidRPr="00E10CFE">
        <w:rPr>
          <w:i/>
          <w:snapToGrid w:val="0"/>
        </w:rPr>
        <w:t xml:space="preserve"> </w:t>
      </w:r>
      <w:r w:rsidR="00460502" w:rsidRPr="0009585D">
        <w:rPr>
          <w:i/>
          <w:iCs/>
        </w:rPr>
        <w:t>Chapter 4: Transition care programme restorative care requirements</w:t>
      </w:r>
      <w:r w:rsidR="00460502" w:rsidRPr="0009585D">
        <w:t>).</w:t>
      </w:r>
    </w:p>
    <w:p w14:paraId="787E0FC4" w14:textId="2DBF87B7" w:rsidR="00605BA0" w:rsidRPr="00CD4746" w:rsidRDefault="006E7387" w:rsidP="00FB42E2">
      <w:pPr>
        <w:rPr>
          <w:snapToGrid w:val="0"/>
        </w:rPr>
      </w:pPr>
      <w:r>
        <w:rPr>
          <w:snapToGrid w:val="0"/>
        </w:rPr>
        <w:t>It is not the intention that the programme will reduce access to the number of allocated residential care places. Rather, transition care places are to be considered as additional to other aged care places.</w:t>
      </w:r>
    </w:p>
    <w:p w14:paraId="172FD149" w14:textId="5AB053A0" w:rsidR="00605BA0" w:rsidRPr="0005402E" w:rsidRDefault="00605BA0" w:rsidP="00B42C61">
      <w:pPr>
        <w:pStyle w:val="Heading3withoutnumbering"/>
      </w:pPr>
      <w:bookmarkStart w:id="201" w:name="_Toc395537189"/>
      <w:bookmarkStart w:id="202" w:name="_Toc422732546"/>
      <w:bookmarkStart w:id="203" w:name="_Toc422752886"/>
      <w:bookmarkStart w:id="204" w:name="_Toc197076894"/>
      <w:r w:rsidRPr="0005402E">
        <w:t>Existing recipients of residential or home care</w:t>
      </w:r>
      <w:bookmarkEnd w:id="201"/>
      <w:bookmarkEnd w:id="202"/>
      <w:bookmarkEnd w:id="203"/>
      <w:bookmarkEnd w:id="204"/>
    </w:p>
    <w:p w14:paraId="33E247C1" w14:textId="77777777" w:rsidR="00082EB4" w:rsidRDefault="00D44267" w:rsidP="00FB42E2">
      <w:r w:rsidRPr="00A8096E">
        <w:t>E</w:t>
      </w:r>
      <w:r w:rsidR="00605BA0" w:rsidRPr="00A8096E">
        <w:t>xisting recipients of Australian Government funded residential or home care services</w:t>
      </w:r>
      <w:r w:rsidR="00A64F8B" w:rsidRPr="00A8096E">
        <w:t xml:space="preserve">, </w:t>
      </w:r>
      <w:r w:rsidR="001C252C" w:rsidRPr="00A8096E">
        <w:t>including recipients of Home Car</w:t>
      </w:r>
      <w:r w:rsidR="00A64F8B" w:rsidRPr="00A8096E">
        <w:t>e Packages (HCP) or</w:t>
      </w:r>
      <w:r w:rsidR="003F75B4" w:rsidRPr="00A8096E">
        <w:t xml:space="preserve"> the</w:t>
      </w:r>
      <w:r w:rsidR="00A64F8B" w:rsidRPr="00A8096E">
        <w:t xml:space="preserve"> Commonwealth </w:t>
      </w:r>
      <w:r w:rsidR="003B334E" w:rsidRPr="00A8096E">
        <w:t>H</w:t>
      </w:r>
      <w:r w:rsidR="00A64F8B" w:rsidRPr="00A8096E">
        <w:t xml:space="preserve">ome </w:t>
      </w:r>
      <w:r w:rsidR="003B334E" w:rsidRPr="00A8096E">
        <w:t>S</w:t>
      </w:r>
      <w:r w:rsidR="00A64F8B" w:rsidRPr="00A8096E">
        <w:t xml:space="preserve">upport </w:t>
      </w:r>
      <w:r w:rsidR="003B334E" w:rsidRPr="00A8096E">
        <w:t xml:space="preserve">Program </w:t>
      </w:r>
      <w:r w:rsidR="00A64F8B" w:rsidRPr="00A8096E">
        <w:t>(CHSP</w:t>
      </w:r>
      <w:r w:rsidR="003B334E" w:rsidRPr="00A8096E">
        <w:t>)</w:t>
      </w:r>
      <w:r w:rsidR="00046585">
        <w:t>,</w:t>
      </w:r>
      <w:r w:rsidR="00A64F8B" w:rsidRPr="00A8096E">
        <w:t xml:space="preserve"> </w:t>
      </w:r>
      <w:r w:rsidR="001C252C" w:rsidRPr="00A8096E">
        <w:t>may be</w:t>
      </w:r>
      <w:r w:rsidR="00605BA0" w:rsidRPr="00A8096E">
        <w:t xml:space="preserve"> able to access transition care</w:t>
      </w:r>
      <w:r w:rsidRPr="00A8096E">
        <w:t xml:space="preserve"> following an episode of hospital care</w:t>
      </w:r>
      <w:r w:rsidR="00605BA0" w:rsidRPr="00A8096E">
        <w:t xml:space="preserve"> if they are assessed as eligible.</w:t>
      </w:r>
    </w:p>
    <w:p w14:paraId="755568B1" w14:textId="77777777" w:rsidR="00570D17" w:rsidRDefault="00082EB4" w:rsidP="00FB42E2">
      <w:r>
        <w:t>The Australian Government has created a category of leave (where required) from residential care and home care pa</w:t>
      </w:r>
      <w:r w:rsidR="00570D17">
        <w:t>ckage services to enable this to occur. The relevant Australian Government subsidy continues to be paid to the original aged care provider during periods of leave for transition care.</w:t>
      </w:r>
    </w:p>
    <w:p w14:paraId="186CDE9C" w14:textId="7A89A871" w:rsidR="00E33CFF" w:rsidRDefault="00570D17" w:rsidP="00FB42E2">
      <w:r>
        <w:t>It is the responsibility of the care recipient to notify their residential or home care package service provider of their intention to take leave and enter transition care</w:t>
      </w:r>
      <w:r w:rsidR="00E66480">
        <w:t xml:space="preserve">. It is </w:t>
      </w:r>
      <w:proofErr w:type="gramStart"/>
      <w:r w:rsidR="00E66480">
        <w:t>expected,</w:t>
      </w:r>
      <w:proofErr w:type="gramEnd"/>
      <w:r w:rsidR="00E66480">
        <w:t xml:space="preserve"> however, the care recipient’s</w:t>
      </w:r>
      <w:r w:rsidR="006024B5">
        <w:t xml:space="preserve"> residential or</w:t>
      </w:r>
      <w:r w:rsidR="00E66480">
        <w:t xml:space="preserve"> home care provider discuss the provision of care with the relevant transition care provider to coordinate care provision and ensure the care recipient’s care needs are met.</w:t>
      </w:r>
    </w:p>
    <w:p w14:paraId="0B5C3D04" w14:textId="77777777" w:rsidR="00E66480" w:rsidRPr="002303CD" w:rsidRDefault="00E66480" w:rsidP="00187113">
      <w:pPr>
        <w:pStyle w:val="heading4withoutnumbers"/>
        <w:rPr>
          <w:b/>
          <w:bCs/>
        </w:rPr>
      </w:pPr>
      <w:r w:rsidRPr="007C5DBA">
        <w:rPr>
          <w:b/>
          <w:bCs/>
        </w:rPr>
        <w:t>Existing HCP recipients</w:t>
      </w:r>
    </w:p>
    <w:p w14:paraId="626BC9E0" w14:textId="4E0CF75F" w:rsidR="00FC54EA" w:rsidRDefault="00B729CB" w:rsidP="00FB42E2">
      <w:r>
        <w:t xml:space="preserve">People receiving HCP services </w:t>
      </w:r>
      <w:r w:rsidR="003A6D92">
        <w:t>can</w:t>
      </w:r>
      <w:r>
        <w:t xml:space="preserve"> access transition care </w:t>
      </w:r>
      <w:r w:rsidR="006024B5">
        <w:t xml:space="preserve">after a hospital stay if they are assessed and approved as eligible by </w:t>
      </w:r>
      <w:r w:rsidR="00A96E34">
        <w:t>a</w:t>
      </w:r>
      <w:r w:rsidR="006024B5">
        <w:t xml:space="preserve"> </w:t>
      </w:r>
      <w:r w:rsidR="00123705">
        <w:t>clinical aged care needs assessor</w:t>
      </w:r>
      <w:r w:rsidR="0002469B">
        <w:t xml:space="preserve"> and </w:t>
      </w:r>
      <w:r w:rsidR="0007236F">
        <w:t>assessment delegate</w:t>
      </w:r>
      <w:r w:rsidR="00123705" w:rsidDel="00123705">
        <w:t xml:space="preserve"> </w:t>
      </w:r>
      <w:r w:rsidR="006024B5">
        <w:t>and take appropriate leave from their package.</w:t>
      </w:r>
    </w:p>
    <w:p w14:paraId="3E5D3BDE" w14:textId="0868D8CC" w:rsidR="00624E68" w:rsidRPr="00C80CAB" w:rsidRDefault="00624E68" w:rsidP="00624E68">
      <w:r>
        <w:lastRenderedPageBreak/>
        <w:t xml:space="preserve">When </w:t>
      </w:r>
      <w:proofErr w:type="gramStart"/>
      <w:r w:rsidR="0064270C">
        <w:t>a</w:t>
      </w:r>
      <w:proofErr w:type="gramEnd"/>
      <w:r>
        <w:t xml:space="preserve"> HCP recipient</w:t>
      </w:r>
      <w:r w:rsidRPr="00C80CAB">
        <w:t xml:space="preserve"> take</w:t>
      </w:r>
      <w:r>
        <w:t>s leave</w:t>
      </w:r>
      <w:r w:rsidRPr="00C80CAB">
        <w:t xml:space="preserve"> </w:t>
      </w:r>
      <w:r w:rsidR="0064270C" w:rsidRPr="00C80CAB">
        <w:t>to</w:t>
      </w:r>
      <w:r w:rsidRPr="00C80CAB">
        <w:t xml:space="preserve"> receive transition care, the home care subsidy is payable at the full basic subsidy rate for up to 28 consecutive days in a financial year for each episode of transition care. After 28 days of leave, the subsidy is payable at 25 per cent of the basic daily subsidy rate.</w:t>
      </w:r>
    </w:p>
    <w:p w14:paraId="19CE7F7B" w14:textId="5963A2CF" w:rsidR="00624E68" w:rsidRDefault="00624E68" w:rsidP="00624E68">
      <w:r>
        <w:t xml:space="preserve">Further information regarding HCP leave arrangements is available on the Department’s website at the following link: </w:t>
      </w:r>
      <w:hyperlink r:id="rId28" w:history="1">
        <w:r w:rsidR="002E0EA8" w:rsidRPr="006024B5">
          <w:rPr>
            <w:rStyle w:val="Hyperlink"/>
            <w:sz w:val="20"/>
            <w:szCs w:val="20"/>
          </w:rPr>
          <w:t>www.health.gov.au/initiatives-and-programs/home-care-packages-program/managing-home-care-packages/temporary-leave-from-home-care-packages</w:t>
        </w:r>
      </w:hyperlink>
      <w:r w:rsidR="006024B5">
        <w:rPr>
          <w:rStyle w:val="Hyperlink"/>
          <w:sz w:val="20"/>
          <w:szCs w:val="20"/>
        </w:rPr>
        <w:t>.</w:t>
      </w:r>
    </w:p>
    <w:p w14:paraId="0B4A9378" w14:textId="265163FE" w:rsidR="00624E68" w:rsidRDefault="00624E68" w:rsidP="00624E68">
      <w:r>
        <w:t xml:space="preserve">When an existing HCP recipient is accepted into the TCP, the care recipient must be provided with the full package of transition care services to be provided in either a community or residential setting, in accordance with </w:t>
      </w:r>
      <w:r w:rsidRPr="00EF1CCF">
        <w:rPr>
          <w:i/>
          <w:iCs/>
        </w:rPr>
        <w:t xml:space="preserve">Schedule 1: Specified care and services for transition care services </w:t>
      </w:r>
      <w:r>
        <w:t xml:space="preserve">of the payment agreement and provided at </w:t>
      </w:r>
      <w:r w:rsidR="00460502" w:rsidRPr="00EF1CCF">
        <w:rPr>
          <w:i/>
          <w:iCs/>
          <w:szCs w:val="20"/>
        </w:rPr>
        <w:t>Attachment B</w:t>
      </w:r>
      <w:r>
        <w:t xml:space="preserve">. </w:t>
      </w:r>
    </w:p>
    <w:p w14:paraId="1FD833B1" w14:textId="77777777" w:rsidR="00D519A6" w:rsidRPr="005530DF" w:rsidRDefault="00D519A6" w:rsidP="00FB42E2">
      <w:pPr>
        <w:pStyle w:val="heading4withoutnumbers"/>
        <w:rPr>
          <w:b/>
          <w:bCs/>
        </w:rPr>
      </w:pPr>
      <w:r w:rsidRPr="005530DF">
        <w:rPr>
          <w:b/>
          <w:bCs/>
        </w:rPr>
        <w:t>Existing CHSP recipients</w:t>
      </w:r>
    </w:p>
    <w:p w14:paraId="4443D216" w14:textId="1B75BD86" w:rsidR="00A64F8B" w:rsidRDefault="00D519A6" w:rsidP="00FB42E2">
      <w:r>
        <w:t>People are entitled to receive CHSP and transition care services at the same time, provided they are assessed as being eligible for each program. There are instances where the CHSP may</w:t>
      </w:r>
      <w:r w:rsidRPr="00FF4BEF">
        <w:t xml:space="preserve"> provide the same or similar services</w:t>
      </w:r>
      <w:r>
        <w:t xml:space="preserve"> to transition care</w:t>
      </w:r>
      <w:r w:rsidRPr="00FF4BEF">
        <w:t>, such as home m</w:t>
      </w:r>
      <w:r>
        <w:t xml:space="preserve">aintenance </w:t>
      </w:r>
      <w:r w:rsidRPr="00FF4BEF">
        <w:t>or assistance with meals</w:t>
      </w:r>
      <w:r>
        <w:t xml:space="preserve">. </w:t>
      </w:r>
      <w:r w:rsidRPr="00FF4BEF">
        <w:t xml:space="preserve">When planning care, transition care </w:t>
      </w:r>
      <w:r>
        <w:t xml:space="preserve">service </w:t>
      </w:r>
      <w:r w:rsidRPr="00FF4BEF">
        <w:t xml:space="preserve">providers are expected to liaise with their care recipient’s existing </w:t>
      </w:r>
      <w:r w:rsidR="003B334E">
        <w:t>CHSP provider to ensure there is no duplication of services</w:t>
      </w:r>
      <w:r>
        <w:t xml:space="preserve"> (</w:t>
      </w:r>
      <w:r w:rsidR="0096395C">
        <w:t>s</w:t>
      </w:r>
      <w:r w:rsidRPr="00322698">
        <w:t xml:space="preserve">ee also </w:t>
      </w:r>
      <w:r>
        <w:t xml:space="preserve">section </w:t>
      </w:r>
      <w:r>
        <w:rPr>
          <w:i/>
        </w:rPr>
        <w:t>3.5.</w:t>
      </w:r>
      <w:r w:rsidR="00460502">
        <w:rPr>
          <w:i/>
        </w:rPr>
        <w:t>10</w:t>
      </w:r>
      <w:r>
        <w:rPr>
          <w:i/>
        </w:rPr>
        <w:t xml:space="preserve"> Accessing long-term care after transition care</w:t>
      </w:r>
      <w:r w:rsidRPr="00E10CFE">
        <w:t>)</w:t>
      </w:r>
      <w:r w:rsidRPr="00322698">
        <w:t>.</w:t>
      </w:r>
    </w:p>
    <w:p w14:paraId="22425F42" w14:textId="77777777" w:rsidR="00B22BBA" w:rsidRPr="005530DF" w:rsidRDefault="00A63724" w:rsidP="00FB42E2">
      <w:pPr>
        <w:pStyle w:val="heading4withoutnumbers"/>
        <w:rPr>
          <w:b/>
          <w:bCs/>
        </w:rPr>
      </w:pPr>
      <w:r w:rsidRPr="005530DF">
        <w:rPr>
          <w:b/>
          <w:bCs/>
        </w:rPr>
        <w:t>E</w:t>
      </w:r>
      <w:r w:rsidR="00F30E55" w:rsidRPr="005530DF">
        <w:rPr>
          <w:b/>
          <w:bCs/>
        </w:rPr>
        <w:t>xisting residential care recipients</w:t>
      </w:r>
      <w:r w:rsidR="00D858DF" w:rsidRPr="005530DF">
        <w:rPr>
          <w:b/>
          <w:bCs/>
        </w:rPr>
        <w:t xml:space="preserve"> </w:t>
      </w:r>
    </w:p>
    <w:p w14:paraId="2D5C60DD" w14:textId="729F51AD" w:rsidR="00F30E55" w:rsidRPr="00A8096E" w:rsidRDefault="004423AB" w:rsidP="00FB42E2">
      <w:r w:rsidRPr="00A8096E">
        <w:t xml:space="preserve">Where </w:t>
      </w:r>
      <w:r w:rsidR="002522DD" w:rsidRPr="00A8096E">
        <w:t>residents of aged care homes</w:t>
      </w:r>
      <w:r w:rsidRPr="00A8096E">
        <w:t xml:space="preserve"> take more than</w:t>
      </w:r>
      <w:r w:rsidR="006A4184" w:rsidRPr="00A8096E">
        <w:t xml:space="preserve"> 28 consecutive days of either hospital leave or leave for transition care (which must be preceded by hospital leave), the subsidy to the aged care home drops by 50</w:t>
      </w:r>
      <w:r w:rsidR="00B22BBA">
        <w:t> </w:t>
      </w:r>
      <w:r w:rsidR="003B334E" w:rsidRPr="00A8096E">
        <w:t>per</w:t>
      </w:r>
      <w:r w:rsidR="00B22BBA">
        <w:t> </w:t>
      </w:r>
      <w:r w:rsidR="003B334E" w:rsidRPr="00A8096E">
        <w:t xml:space="preserve">cent </w:t>
      </w:r>
      <w:r w:rsidR="006A4184" w:rsidRPr="00A8096E">
        <w:t>for residents who have a classification under the Aged Care Funding Instrument (ACFI) and are being paid the ACFI subsidy. The reduction in subsidy of 50</w:t>
      </w:r>
      <w:r w:rsidR="00B22BBA">
        <w:t> </w:t>
      </w:r>
      <w:r w:rsidR="00B114BB" w:rsidRPr="00A8096E">
        <w:t>per</w:t>
      </w:r>
      <w:r w:rsidR="00B22BBA">
        <w:t> </w:t>
      </w:r>
      <w:r w:rsidR="00B114BB" w:rsidRPr="00A8096E">
        <w:t xml:space="preserve">cent </w:t>
      </w:r>
      <w:r w:rsidR="006A4184" w:rsidRPr="00A8096E">
        <w:t>also applies to residents who have an ACFI classification but are still being paid a grand</w:t>
      </w:r>
      <w:r w:rsidR="00D6073B">
        <w:noBreakHyphen/>
      </w:r>
      <w:r w:rsidR="006A4184" w:rsidRPr="00A8096E">
        <w:t>parented subsidy rate under the old Resident Classification Scale (RCS).</w:t>
      </w:r>
    </w:p>
    <w:p w14:paraId="4BFCD653" w14:textId="0EF484A4" w:rsidR="00F30E55" w:rsidRDefault="006A4184" w:rsidP="00CD4746">
      <w:pPr>
        <w:spacing w:before="0" w:after="200"/>
        <w:rPr>
          <w:szCs w:val="20"/>
        </w:rPr>
      </w:pPr>
      <w:r w:rsidRPr="00A8096E">
        <w:rPr>
          <w:szCs w:val="20"/>
        </w:rPr>
        <w:t xml:space="preserve">When an existing recipient of residential care is accepted into the programme, the care recipient must be provided with the full package of transition care services to be provided in a residential setting, in accordance with </w:t>
      </w:r>
      <w:r w:rsidRPr="00A8096E">
        <w:rPr>
          <w:i/>
          <w:szCs w:val="20"/>
        </w:rPr>
        <w:t>Schedule</w:t>
      </w:r>
      <w:r w:rsidR="00D6073B">
        <w:rPr>
          <w:i/>
          <w:szCs w:val="20"/>
        </w:rPr>
        <w:t> </w:t>
      </w:r>
      <w:r w:rsidRPr="00A8096E">
        <w:rPr>
          <w:i/>
          <w:szCs w:val="20"/>
        </w:rPr>
        <w:t>1: Specified care and services for transition care services</w:t>
      </w:r>
      <w:r w:rsidRPr="00A8096E">
        <w:rPr>
          <w:szCs w:val="20"/>
        </w:rPr>
        <w:t xml:space="preserve"> of the payment agreement, provided at </w:t>
      </w:r>
      <w:r w:rsidR="00460502" w:rsidRPr="007F69F5">
        <w:rPr>
          <w:i/>
          <w:iCs/>
        </w:rPr>
        <w:t>Attachment B</w:t>
      </w:r>
      <w:r w:rsidRPr="00A8096E">
        <w:rPr>
          <w:szCs w:val="20"/>
        </w:rPr>
        <w:t>.</w:t>
      </w:r>
    </w:p>
    <w:p w14:paraId="59A16FF7" w14:textId="614B981C" w:rsidR="00605BA0" w:rsidRPr="002F71E7" w:rsidRDefault="00605BA0" w:rsidP="00B42C61">
      <w:pPr>
        <w:pStyle w:val="Heading3withoutnumbering"/>
      </w:pPr>
      <w:bookmarkStart w:id="205" w:name="_Toc245536172"/>
      <w:bookmarkStart w:id="206" w:name="_Toc395537190"/>
      <w:bookmarkStart w:id="207" w:name="_Toc422732547"/>
      <w:bookmarkStart w:id="208" w:name="_Toc422752887"/>
      <w:bookmarkStart w:id="209" w:name="_Toc197076895"/>
      <w:r w:rsidRPr="002F71E7">
        <w:t>Movement between care settings and services</w:t>
      </w:r>
      <w:bookmarkEnd w:id="205"/>
      <w:bookmarkEnd w:id="206"/>
      <w:bookmarkEnd w:id="207"/>
      <w:bookmarkEnd w:id="208"/>
      <w:bookmarkEnd w:id="209"/>
    </w:p>
    <w:p w14:paraId="215144E1" w14:textId="00079B0B" w:rsidR="00605BA0" w:rsidRPr="004A3236" w:rsidRDefault="00605BA0" w:rsidP="006D21EE">
      <w:pPr>
        <w:spacing w:before="0" w:after="200"/>
        <w:rPr>
          <w:szCs w:val="20"/>
        </w:rPr>
      </w:pPr>
      <w:r w:rsidRPr="004A3236">
        <w:rPr>
          <w:szCs w:val="20"/>
        </w:rPr>
        <w:t xml:space="preserve">To facilitate client-centred transition care delivery, it is possible for care recipients to move from one setting to another within the same transition care episode, i.e. from a residential setting to a </w:t>
      </w:r>
      <w:r w:rsidR="007527DA" w:rsidRPr="004A3236">
        <w:rPr>
          <w:szCs w:val="20"/>
        </w:rPr>
        <w:t>community</w:t>
      </w:r>
      <w:r w:rsidRPr="004A3236">
        <w:rPr>
          <w:szCs w:val="20"/>
        </w:rPr>
        <w:t xml:space="preserve"> care setting or vice versa. Care recipients do not require a</w:t>
      </w:r>
      <w:r w:rsidR="00CE7A2D">
        <w:rPr>
          <w:szCs w:val="20"/>
        </w:rPr>
        <w:t xml:space="preserve">n aged </w:t>
      </w:r>
      <w:r w:rsidR="00564F37">
        <w:rPr>
          <w:szCs w:val="20"/>
        </w:rPr>
        <w:t>care re</w:t>
      </w:r>
      <w:r w:rsidR="00D6073B">
        <w:rPr>
          <w:szCs w:val="20"/>
        </w:rPr>
        <w:noBreakHyphen/>
      </w:r>
      <w:r w:rsidRPr="004A3236">
        <w:rPr>
          <w:szCs w:val="20"/>
        </w:rPr>
        <w:t>assessment to enable this move.</w:t>
      </w:r>
    </w:p>
    <w:p w14:paraId="45CC1FAA" w14:textId="004D7069" w:rsidR="00605BA0" w:rsidRPr="004A3236" w:rsidRDefault="00605BA0" w:rsidP="006D21EE">
      <w:pPr>
        <w:spacing w:before="0" w:after="200"/>
        <w:rPr>
          <w:szCs w:val="20"/>
        </w:rPr>
      </w:pPr>
      <w:r w:rsidRPr="004A3236">
        <w:rPr>
          <w:szCs w:val="20"/>
        </w:rPr>
        <w:t>Where available and appropriate, the step</w:t>
      </w:r>
      <w:r w:rsidR="00D6073B">
        <w:rPr>
          <w:szCs w:val="20"/>
        </w:rPr>
        <w:noBreakHyphen/>
      </w:r>
      <w:r w:rsidRPr="004A3236">
        <w:rPr>
          <w:szCs w:val="20"/>
        </w:rPr>
        <w:t xml:space="preserve">down from residential to home </w:t>
      </w:r>
      <w:r w:rsidR="0064270C" w:rsidRPr="004A3236">
        <w:rPr>
          <w:szCs w:val="20"/>
        </w:rPr>
        <w:t>care-based</w:t>
      </w:r>
      <w:r w:rsidRPr="004A3236">
        <w:rPr>
          <w:szCs w:val="20"/>
        </w:rPr>
        <w:t xml:space="preserve"> care within a transition care episode should be encouraged </w:t>
      </w:r>
      <w:proofErr w:type="gramStart"/>
      <w:r w:rsidR="002C6B8E" w:rsidRPr="004A3236">
        <w:rPr>
          <w:szCs w:val="20"/>
        </w:rPr>
        <w:t xml:space="preserve">in order </w:t>
      </w:r>
      <w:r w:rsidRPr="004A3236">
        <w:rPr>
          <w:szCs w:val="20"/>
        </w:rPr>
        <w:t>to</w:t>
      </w:r>
      <w:proofErr w:type="gramEnd"/>
      <w:r w:rsidRPr="004A3236">
        <w:rPr>
          <w:szCs w:val="20"/>
        </w:rPr>
        <w:t xml:space="preserve"> maximise the care recipient’s opportunities to return to independent living in the community.</w:t>
      </w:r>
    </w:p>
    <w:p w14:paraId="2E8F38F7" w14:textId="76A996E4" w:rsidR="004A3236" w:rsidRPr="00431DE0" w:rsidRDefault="00605BA0" w:rsidP="006727E2">
      <w:r w:rsidRPr="00431DE0">
        <w:t xml:space="preserve">Care recipients are also able to transfer from one </w:t>
      </w:r>
      <w:r w:rsidR="004A3236" w:rsidRPr="00431DE0">
        <w:t>setting/</w:t>
      </w:r>
      <w:r w:rsidRPr="00431DE0">
        <w:t>service provider to another (within their state or territory, or interstate)</w:t>
      </w:r>
      <w:r w:rsidR="004A3236" w:rsidRPr="00431DE0">
        <w:t xml:space="preserve"> during an episode, </w:t>
      </w:r>
      <w:r w:rsidRPr="00431DE0">
        <w:t xml:space="preserve">provided there is no </w:t>
      </w:r>
      <w:r w:rsidR="004A3236" w:rsidRPr="00431DE0">
        <w:t>gap</w:t>
      </w:r>
      <w:r w:rsidRPr="00431DE0">
        <w:t xml:space="preserve"> in</w:t>
      </w:r>
      <w:r w:rsidR="004A3236" w:rsidRPr="00431DE0">
        <w:t xml:space="preserve"> their ability to access</w:t>
      </w:r>
      <w:r w:rsidRPr="00431DE0">
        <w:t xml:space="preserve"> care, i.e.</w:t>
      </w:r>
      <w:r w:rsidR="00D6073B">
        <w:t> </w:t>
      </w:r>
      <w:r w:rsidRPr="00431DE0">
        <w:t xml:space="preserve">there is no day during which the care recipient </w:t>
      </w:r>
      <w:r w:rsidR="004A3236" w:rsidRPr="00431DE0">
        <w:t xml:space="preserve">is </w:t>
      </w:r>
      <w:r w:rsidRPr="00431DE0">
        <w:t>not</w:t>
      </w:r>
      <w:r w:rsidR="004A3236" w:rsidRPr="00431DE0">
        <w:t xml:space="preserve"> able to be provided</w:t>
      </w:r>
      <w:r w:rsidRPr="00431DE0">
        <w:t xml:space="preserve"> transition care services </w:t>
      </w:r>
      <w:r w:rsidR="004A3236" w:rsidRPr="00431DE0">
        <w:t xml:space="preserve">by either their current or new service </w:t>
      </w:r>
      <w:r w:rsidRPr="00431DE0">
        <w:t>provider.</w:t>
      </w:r>
    </w:p>
    <w:p w14:paraId="42E791E0" w14:textId="18286D11" w:rsidR="00605BA0" w:rsidRPr="00431DE0" w:rsidRDefault="002C6B8E" w:rsidP="006727E2">
      <w:r w:rsidRPr="00431DE0">
        <w:t>A care recipient agreement will need to be developed with the new service provider.</w:t>
      </w:r>
    </w:p>
    <w:p w14:paraId="48D42567" w14:textId="086A37F4" w:rsidR="00605BA0" w:rsidRPr="00431DE0" w:rsidRDefault="00C103D9" w:rsidP="00B42C61">
      <w:pPr>
        <w:pStyle w:val="Heading3withoutnumbering"/>
      </w:pPr>
      <w:bookmarkStart w:id="210" w:name="_Toc110834649"/>
      <w:bookmarkStart w:id="211" w:name="_Toc245536175"/>
      <w:bookmarkStart w:id="212" w:name="_Toc395537191"/>
      <w:bookmarkStart w:id="213" w:name="_Toc422732548"/>
      <w:bookmarkStart w:id="214" w:name="_Toc422752888"/>
      <w:bookmarkStart w:id="215" w:name="_Toc197076896"/>
      <w:r w:rsidRPr="00945CD4">
        <w:t>Interrupting a TCP episode – available b</w:t>
      </w:r>
      <w:r w:rsidR="00A40153" w:rsidRPr="00945CD4">
        <w:t xml:space="preserve">reak </w:t>
      </w:r>
      <w:r w:rsidRPr="00945CD4">
        <w:t>d</w:t>
      </w:r>
      <w:r w:rsidR="00A40153" w:rsidRPr="00945CD4">
        <w:t>ays</w:t>
      </w:r>
      <w:bookmarkEnd w:id="210"/>
      <w:bookmarkEnd w:id="211"/>
      <w:bookmarkEnd w:id="212"/>
      <w:bookmarkEnd w:id="213"/>
      <w:bookmarkEnd w:id="214"/>
      <w:bookmarkEnd w:id="215"/>
    </w:p>
    <w:p w14:paraId="587A72D4" w14:textId="315E0B10" w:rsidR="00A40153" w:rsidRPr="00A77B1F" w:rsidRDefault="00A40153" w:rsidP="006D21EE">
      <w:pPr>
        <w:pStyle w:val="FootnoteText"/>
        <w:spacing w:after="200"/>
        <w:rPr>
          <w:rFonts w:ascii="Arial" w:hAnsi="Arial"/>
        </w:rPr>
      </w:pPr>
      <w:r w:rsidRPr="00945CD4">
        <w:rPr>
          <w:rFonts w:ascii="Arial" w:hAnsi="Arial"/>
        </w:rPr>
        <w:t xml:space="preserve">A recipient </w:t>
      </w:r>
      <w:r w:rsidR="0064270C" w:rsidRPr="00945CD4">
        <w:rPr>
          <w:rFonts w:ascii="Arial" w:hAnsi="Arial"/>
        </w:rPr>
        <w:t>can</w:t>
      </w:r>
      <w:r w:rsidR="00736127" w:rsidRPr="00945CD4">
        <w:rPr>
          <w:rFonts w:ascii="Arial" w:hAnsi="Arial"/>
        </w:rPr>
        <w:t xml:space="preserve"> take </w:t>
      </w:r>
      <w:r w:rsidRPr="00945CD4">
        <w:rPr>
          <w:rFonts w:ascii="Arial" w:hAnsi="Arial"/>
        </w:rPr>
        <w:t xml:space="preserve">a break </w:t>
      </w:r>
      <w:r w:rsidR="00736127" w:rsidRPr="00945CD4">
        <w:rPr>
          <w:rFonts w:ascii="Arial" w:hAnsi="Arial"/>
        </w:rPr>
        <w:t xml:space="preserve">from receiving care </w:t>
      </w:r>
      <w:r w:rsidRPr="00431DE0">
        <w:rPr>
          <w:rFonts w:ascii="Arial" w:hAnsi="Arial" w:cs="Arial"/>
        </w:rPr>
        <w:t>for up to seven days in total</w:t>
      </w:r>
      <w:r w:rsidR="00736127" w:rsidRPr="00431DE0">
        <w:rPr>
          <w:rFonts w:ascii="Arial" w:hAnsi="Arial" w:cs="Arial"/>
        </w:rPr>
        <w:t>, during their transition care episode, for</w:t>
      </w:r>
      <w:r w:rsidR="00736127" w:rsidRPr="00945CD4">
        <w:rPr>
          <w:rFonts w:ascii="Arial" w:hAnsi="Arial"/>
        </w:rPr>
        <w:t xml:space="preserve"> </w:t>
      </w:r>
      <w:r w:rsidR="00864809">
        <w:rPr>
          <w:rFonts w:ascii="Arial" w:hAnsi="Arial"/>
        </w:rPr>
        <w:t>hospital</w:t>
      </w:r>
      <w:r w:rsidR="00390B3F">
        <w:rPr>
          <w:rFonts w:ascii="Arial" w:hAnsi="Arial"/>
        </w:rPr>
        <w:t xml:space="preserve"> admission</w:t>
      </w:r>
      <w:r w:rsidR="00864809">
        <w:rPr>
          <w:rFonts w:ascii="Arial" w:hAnsi="Arial"/>
        </w:rPr>
        <w:t xml:space="preserve"> or social purposes</w:t>
      </w:r>
      <w:r w:rsidR="00736127" w:rsidRPr="00945CD4">
        <w:rPr>
          <w:rFonts w:ascii="Arial" w:hAnsi="Arial"/>
        </w:rPr>
        <w:t>.</w:t>
      </w:r>
    </w:p>
    <w:p w14:paraId="154C0B90" w14:textId="21E35967" w:rsidR="00274E4F" w:rsidRPr="00945CD4" w:rsidRDefault="00736127" w:rsidP="00D6073B">
      <w:pPr>
        <w:pStyle w:val="FootnoteText"/>
        <w:spacing w:after="200"/>
        <w:rPr>
          <w:rFonts w:eastAsia="MS Gothic"/>
          <w:bCs/>
          <w:lang w:val="en-US"/>
        </w:rPr>
      </w:pPr>
      <w:r w:rsidRPr="009E5760">
        <w:rPr>
          <w:rFonts w:asciiTheme="minorHAnsi" w:eastAsia="MS Gothic" w:hAnsiTheme="minorHAnsi" w:cstheme="minorHAnsi"/>
          <w:bCs/>
          <w:lang w:val="en-US"/>
        </w:rPr>
        <w:t xml:space="preserve">A recipient can take break days </w:t>
      </w:r>
      <w:r w:rsidR="00E44674" w:rsidRPr="009E5760">
        <w:rPr>
          <w:rFonts w:asciiTheme="minorHAnsi" w:eastAsia="MS Gothic" w:hAnsiTheme="minorHAnsi" w:cstheme="minorHAnsi"/>
          <w:bCs/>
          <w:lang w:val="en-US"/>
        </w:rPr>
        <w:t xml:space="preserve">at </w:t>
      </w:r>
      <w:r w:rsidRPr="009E5760">
        <w:rPr>
          <w:rFonts w:asciiTheme="minorHAnsi" w:eastAsia="MS Gothic" w:hAnsiTheme="minorHAnsi" w:cstheme="minorHAnsi"/>
          <w:bCs/>
          <w:lang w:val="en-US"/>
        </w:rPr>
        <w:t xml:space="preserve">any time </w:t>
      </w:r>
      <w:r w:rsidRPr="009E5760">
        <w:rPr>
          <w:rFonts w:asciiTheme="minorHAnsi" w:eastAsia="MS Gothic" w:hAnsiTheme="minorHAnsi" w:cstheme="minorHAnsi"/>
          <w:bCs/>
          <w:u w:val="single"/>
          <w:lang w:val="en-US"/>
        </w:rPr>
        <w:t>after</w:t>
      </w:r>
      <w:r w:rsidRPr="009E5760">
        <w:rPr>
          <w:rFonts w:asciiTheme="minorHAnsi" w:eastAsia="MS Gothic" w:hAnsiTheme="minorHAnsi" w:cstheme="minorHAnsi"/>
          <w:bCs/>
          <w:lang w:val="en-US"/>
        </w:rPr>
        <w:t xml:space="preserve"> they have commenced their episode. That is, a person must have entered the </w:t>
      </w:r>
      <w:proofErr w:type="spellStart"/>
      <w:r w:rsidRPr="009E5760">
        <w:rPr>
          <w:rFonts w:asciiTheme="minorHAnsi" w:eastAsia="MS Gothic" w:hAnsiTheme="minorHAnsi" w:cstheme="minorHAnsi"/>
          <w:bCs/>
          <w:lang w:val="en-US"/>
        </w:rPr>
        <w:t>programme</w:t>
      </w:r>
      <w:proofErr w:type="spellEnd"/>
      <w:r w:rsidRPr="009E5760">
        <w:rPr>
          <w:rFonts w:asciiTheme="minorHAnsi" w:eastAsia="MS Gothic" w:hAnsiTheme="minorHAnsi" w:cstheme="minorHAnsi"/>
          <w:bCs/>
          <w:lang w:val="en-US"/>
        </w:rPr>
        <w:t xml:space="preserve"> as per the commencement requirements for at least one day, prior to taking a break.</w:t>
      </w:r>
    </w:p>
    <w:p w14:paraId="4F9933BE" w14:textId="72C3CE61" w:rsidR="00736127" w:rsidRPr="00945CD4" w:rsidRDefault="00736127" w:rsidP="009E5760">
      <w:pPr>
        <w:spacing w:before="0" w:after="200"/>
        <w:rPr>
          <w:rFonts w:eastAsia="MS Gothic"/>
          <w:bCs/>
          <w:spacing w:val="0"/>
          <w:szCs w:val="20"/>
          <w:lang w:eastAsia="en-US"/>
        </w:rPr>
      </w:pPr>
      <w:r w:rsidRPr="00945CD4">
        <w:rPr>
          <w:rFonts w:eastAsia="MS Gothic"/>
          <w:bCs/>
          <w:spacing w:val="0"/>
          <w:szCs w:val="20"/>
          <w:lang w:eastAsia="en-US"/>
        </w:rPr>
        <w:t>Break days can be taken together in blocks, or individually, throughout a recipient’s episode.</w:t>
      </w:r>
    </w:p>
    <w:p w14:paraId="07B976F9" w14:textId="74D32887" w:rsidR="00736127" w:rsidRPr="00945CD4" w:rsidRDefault="00736127" w:rsidP="009E5760">
      <w:pPr>
        <w:spacing w:before="0" w:after="200"/>
        <w:rPr>
          <w:spacing w:val="0"/>
          <w:szCs w:val="20"/>
          <w:lang w:eastAsia="en-US"/>
        </w:rPr>
      </w:pPr>
      <w:r w:rsidRPr="00945CD4">
        <w:rPr>
          <w:spacing w:val="0"/>
          <w:szCs w:val="20"/>
          <w:lang w:eastAsia="en-US"/>
        </w:rPr>
        <w:t>Any break days taken will still be counted as available care days and will not extend the maximum duration of a recipient’s transition care episode (i.e. up to 12</w:t>
      </w:r>
      <w:r w:rsidR="00D6073B">
        <w:rPr>
          <w:spacing w:val="0"/>
          <w:szCs w:val="20"/>
          <w:lang w:eastAsia="en-US"/>
        </w:rPr>
        <w:t> </w:t>
      </w:r>
      <w:r w:rsidRPr="00945CD4">
        <w:rPr>
          <w:spacing w:val="0"/>
          <w:szCs w:val="20"/>
          <w:lang w:eastAsia="en-US"/>
        </w:rPr>
        <w:t>weeks, with a possible extension of up to another six</w:t>
      </w:r>
      <w:r w:rsidR="00D6073B">
        <w:rPr>
          <w:spacing w:val="0"/>
          <w:szCs w:val="20"/>
          <w:lang w:eastAsia="en-US"/>
        </w:rPr>
        <w:t> </w:t>
      </w:r>
      <w:r w:rsidRPr="00945CD4">
        <w:rPr>
          <w:spacing w:val="0"/>
          <w:szCs w:val="20"/>
          <w:lang w:eastAsia="en-US"/>
        </w:rPr>
        <w:t>weeks, where approved).</w:t>
      </w:r>
    </w:p>
    <w:p w14:paraId="7AAD157D" w14:textId="11E2DC65" w:rsidR="00B90BE1" w:rsidRPr="00431DE0" w:rsidRDefault="005327FB" w:rsidP="006D21EE">
      <w:pPr>
        <w:pStyle w:val="FootnoteText"/>
        <w:spacing w:after="200"/>
        <w:rPr>
          <w:rFonts w:ascii="Arial" w:hAnsi="Arial" w:cs="Arial"/>
        </w:rPr>
      </w:pPr>
      <w:r>
        <w:rPr>
          <w:rFonts w:ascii="Arial" w:hAnsi="Arial" w:cs="Arial"/>
        </w:rPr>
        <w:lastRenderedPageBreak/>
        <w:t>A</w:t>
      </w:r>
      <w:r w:rsidR="00274E4F">
        <w:rPr>
          <w:rFonts w:ascii="Arial" w:hAnsi="Arial" w:cs="Arial"/>
        </w:rPr>
        <w:t xml:space="preserve"> </w:t>
      </w:r>
      <w:r w:rsidR="00431DE0" w:rsidRPr="00945CD4">
        <w:rPr>
          <w:rFonts w:ascii="Arial" w:hAnsi="Arial" w:cs="Arial"/>
        </w:rPr>
        <w:t>s</w:t>
      </w:r>
      <w:r w:rsidR="00605BA0" w:rsidRPr="00431DE0">
        <w:rPr>
          <w:rFonts w:ascii="Arial" w:hAnsi="Arial" w:cs="Arial"/>
        </w:rPr>
        <w:t>ervice</w:t>
      </w:r>
      <w:r w:rsidR="00736127" w:rsidRPr="00431DE0">
        <w:rPr>
          <w:rFonts w:ascii="Arial" w:hAnsi="Arial" w:cs="Arial"/>
        </w:rPr>
        <w:t xml:space="preserve"> </w:t>
      </w:r>
      <w:r w:rsidR="00605BA0" w:rsidRPr="00431DE0">
        <w:rPr>
          <w:rFonts w:ascii="Arial" w:hAnsi="Arial" w:cs="Arial"/>
        </w:rPr>
        <w:t>provider</w:t>
      </w:r>
      <w:r w:rsidR="00736127" w:rsidRPr="00431DE0">
        <w:rPr>
          <w:rFonts w:ascii="Arial" w:hAnsi="Arial" w:cs="Arial"/>
        </w:rPr>
        <w:t xml:space="preserve"> will continue to be paid subsidy for any break days taken by a recipient throughout the duration of their episode. Calculation of a recipient</w:t>
      </w:r>
      <w:r w:rsidR="00820C83" w:rsidRPr="00945CD4">
        <w:rPr>
          <w:rFonts w:ascii="Arial" w:hAnsi="Arial" w:cs="Arial"/>
        </w:rPr>
        <w:t>’</w:t>
      </w:r>
      <w:r w:rsidR="00736127" w:rsidRPr="00431DE0">
        <w:rPr>
          <w:rFonts w:ascii="Arial" w:hAnsi="Arial" w:cs="Arial"/>
        </w:rPr>
        <w:t>s contribution fee is to include any days taken as break days.</w:t>
      </w:r>
    </w:p>
    <w:p w14:paraId="71518357" w14:textId="55913B94" w:rsidR="00B90BE1" w:rsidRPr="00945CD4" w:rsidRDefault="00B90BE1" w:rsidP="006D21EE">
      <w:pPr>
        <w:pStyle w:val="FootnoteText"/>
        <w:spacing w:after="200"/>
        <w:rPr>
          <w:rFonts w:ascii="Arial" w:eastAsia="MS Gothic" w:hAnsi="Arial"/>
          <w:bCs/>
          <w:lang w:val="en-US"/>
        </w:rPr>
      </w:pPr>
      <w:r w:rsidRPr="00945CD4">
        <w:rPr>
          <w:rFonts w:ascii="Arial" w:eastAsia="MS Gothic" w:hAnsi="Arial"/>
          <w:bCs/>
          <w:lang w:val="en-US"/>
        </w:rPr>
        <w:t xml:space="preserve">Break days only interrupt the delivery of care and services during a recipient’s transition care episode. The </w:t>
      </w:r>
      <w:r w:rsidR="00F2634F" w:rsidRPr="00945CD4">
        <w:rPr>
          <w:rFonts w:ascii="Arial" w:eastAsia="MS Gothic" w:hAnsi="Arial"/>
          <w:bCs/>
          <w:lang w:val="en-US"/>
        </w:rPr>
        <w:t>episode itself is not suspended and then recommenced.</w:t>
      </w:r>
      <w:r w:rsidR="00F2634F" w:rsidRPr="00945CD4" w:rsidDel="00F2634F">
        <w:rPr>
          <w:rFonts w:ascii="Arial" w:eastAsia="MS Gothic" w:hAnsi="Arial"/>
          <w:bCs/>
          <w:lang w:val="en-US"/>
        </w:rPr>
        <w:t xml:space="preserve"> </w:t>
      </w:r>
      <w:r w:rsidRPr="00945CD4">
        <w:rPr>
          <w:rFonts w:ascii="Arial" w:eastAsia="MS Gothic" w:hAnsi="Arial"/>
          <w:bCs/>
          <w:lang w:val="en-US"/>
        </w:rPr>
        <w:t xml:space="preserve">As such, providers are not required to report break days via the Aged Care Provider portal for the </w:t>
      </w:r>
      <w:proofErr w:type="gramStart"/>
      <w:r w:rsidRPr="00945CD4">
        <w:rPr>
          <w:rFonts w:ascii="Arial" w:eastAsia="MS Gothic" w:hAnsi="Arial"/>
          <w:bCs/>
          <w:lang w:val="en-US"/>
        </w:rPr>
        <w:t>purposes</w:t>
      </w:r>
      <w:proofErr w:type="gramEnd"/>
      <w:r w:rsidRPr="00945CD4">
        <w:rPr>
          <w:rFonts w:ascii="Arial" w:eastAsia="MS Gothic" w:hAnsi="Arial"/>
          <w:bCs/>
          <w:lang w:val="en-US"/>
        </w:rPr>
        <w:t xml:space="preserve"> of subsidy payment.</w:t>
      </w:r>
    </w:p>
    <w:p w14:paraId="75DBBDE8" w14:textId="10EEB03C" w:rsidR="00B90BE1" w:rsidRPr="00431DE0" w:rsidRDefault="00B90BE1" w:rsidP="006D21EE">
      <w:pPr>
        <w:pStyle w:val="FootnoteText"/>
        <w:spacing w:after="200"/>
        <w:rPr>
          <w:rFonts w:ascii="Arial" w:hAnsi="Arial"/>
          <w:color w:val="282828"/>
          <w:lang w:eastAsia="en-AU"/>
        </w:rPr>
      </w:pPr>
      <w:r w:rsidRPr="00F3530E">
        <w:rPr>
          <w:rFonts w:ascii="Arial" w:eastAsia="MS Gothic" w:hAnsi="Arial"/>
          <w:bCs/>
        </w:rPr>
        <w:t>Where a recipient is absent from care for more than a cumulative total of seven days, their transition care episode must end.</w:t>
      </w:r>
      <w:r w:rsidR="00E44674" w:rsidRPr="00F3530E">
        <w:rPr>
          <w:rFonts w:ascii="Arial" w:eastAsia="MS Gothic" w:hAnsi="Arial"/>
          <w:bCs/>
        </w:rPr>
        <w:t xml:space="preserve"> </w:t>
      </w:r>
      <w:r w:rsidRPr="00F3530E">
        <w:rPr>
          <w:rFonts w:ascii="Arial" w:hAnsi="Arial"/>
          <w:color w:val="282828"/>
          <w:lang w:eastAsia="en-AU"/>
        </w:rPr>
        <w:t xml:space="preserve">To recommence care, the person will require a valid, current </w:t>
      </w:r>
      <w:r w:rsidR="00F30D1B" w:rsidRPr="00390397">
        <w:rPr>
          <w:rFonts w:ascii="Arial" w:hAnsi="Arial"/>
          <w:color w:val="282828"/>
          <w:lang w:eastAsia="en-AU"/>
        </w:rPr>
        <w:t>aged care need</w:t>
      </w:r>
      <w:r w:rsidR="00F3530E" w:rsidRPr="00390397">
        <w:rPr>
          <w:rFonts w:ascii="Arial" w:hAnsi="Arial"/>
          <w:color w:val="282828"/>
          <w:lang w:eastAsia="en-AU"/>
        </w:rPr>
        <w:t>s</w:t>
      </w:r>
      <w:r w:rsidR="00F30D1B" w:rsidRPr="00390397">
        <w:rPr>
          <w:rFonts w:ascii="Arial" w:hAnsi="Arial"/>
          <w:color w:val="282828"/>
          <w:lang w:eastAsia="en-AU"/>
        </w:rPr>
        <w:t xml:space="preserve"> </w:t>
      </w:r>
      <w:r w:rsidR="002408FA" w:rsidRPr="00390397">
        <w:rPr>
          <w:rFonts w:ascii="Arial" w:hAnsi="Arial"/>
          <w:color w:val="282828"/>
          <w:lang w:eastAsia="en-AU"/>
        </w:rPr>
        <w:t>assessment</w:t>
      </w:r>
      <w:r w:rsidRPr="00F3530E">
        <w:rPr>
          <w:rFonts w:ascii="Arial" w:hAnsi="Arial"/>
          <w:color w:val="282828"/>
          <w:lang w:eastAsia="en-AU"/>
        </w:rPr>
        <w:t xml:space="preserve"> </w:t>
      </w:r>
      <w:r w:rsidR="00F3530E" w:rsidRPr="00F3530E">
        <w:rPr>
          <w:rFonts w:ascii="Arial" w:hAnsi="Arial"/>
          <w:color w:val="282828"/>
          <w:lang w:eastAsia="en-AU"/>
        </w:rPr>
        <w:t>approval and</w:t>
      </w:r>
      <w:r w:rsidRPr="00F3530E">
        <w:rPr>
          <w:rFonts w:ascii="Arial" w:hAnsi="Arial"/>
          <w:color w:val="282828"/>
          <w:lang w:eastAsia="en-AU"/>
        </w:rPr>
        <w:t xml:space="preserve"> must enter a new transition care episode after another hospital stay</w:t>
      </w:r>
      <w:r w:rsidR="00E44674" w:rsidRPr="00F3530E">
        <w:rPr>
          <w:rFonts w:ascii="Arial" w:hAnsi="Arial"/>
          <w:color w:val="282828"/>
          <w:lang w:eastAsia="en-AU"/>
        </w:rPr>
        <w:t xml:space="preserve">, </w:t>
      </w:r>
      <w:r w:rsidR="00731413" w:rsidRPr="00F3530E">
        <w:rPr>
          <w:rFonts w:ascii="Arial" w:hAnsi="Arial"/>
          <w:color w:val="282828"/>
          <w:lang w:eastAsia="en-AU"/>
        </w:rPr>
        <w:t>in line with the relevant ‘delivery setting’ episode commencement timeframe.</w:t>
      </w:r>
    </w:p>
    <w:p w14:paraId="7878F024" w14:textId="62C7F2C6" w:rsidR="00F2634F" w:rsidRDefault="00F2634F" w:rsidP="006D21EE">
      <w:pPr>
        <w:pStyle w:val="FootnoteText"/>
        <w:spacing w:after="200"/>
        <w:rPr>
          <w:rFonts w:ascii="Arial" w:hAnsi="Arial"/>
          <w:bCs/>
          <w:color w:val="282828"/>
          <w:lang w:val="en-US" w:eastAsia="en-AU"/>
        </w:rPr>
      </w:pPr>
      <w:r w:rsidRPr="00431DE0">
        <w:rPr>
          <w:rFonts w:ascii="Arial" w:hAnsi="Arial"/>
          <w:bCs/>
          <w:color w:val="282828"/>
          <w:lang w:val="en-US" w:eastAsia="en-AU"/>
        </w:rPr>
        <w:t xml:space="preserve">Dual recipients taking a break from their transition care remain on ‘leave’ from their ongoing </w:t>
      </w:r>
      <w:r w:rsidR="00C103D9" w:rsidRPr="00431DE0">
        <w:rPr>
          <w:rFonts w:ascii="Arial" w:hAnsi="Arial"/>
          <w:bCs/>
          <w:color w:val="282828"/>
          <w:lang w:val="en-US" w:eastAsia="en-AU"/>
        </w:rPr>
        <w:t xml:space="preserve">HCP </w:t>
      </w:r>
      <w:r w:rsidRPr="00431DE0">
        <w:rPr>
          <w:rFonts w:ascii="Arial" w:hAnsi="Arial"/>
          <w:bCs/>
          <w:color w:val="282828"/>
          <w:lang w:val="en-US" w:eastAsia="en-AU"/>
        </w:rPr>
        <w:t>or residential care facility.</w:t>
      </w:r>
    </w:p>
    <w:p w14:paraId="2BB97072" w14:textId="44B12103" w:rsidR="00864809" w:rsidRPr="00341B04" w:rsidRDefault="00864809" w:rsidP="006D21EE">
      <w:pPr>
        <w:pStyle w:val="FootnoteText"/>
        <w:spacing w:after="200"/>
        <w:rPr>
          <w:rFonts w:ascii="Arial" w:hAnsi="Arial"/>
          <w:color w:val="282828"/>
          <w:lang w:eastAsia="en-AU"/>
        </w:rPr>
      </w:pPr>
      <w:r>
        <w:rPr>
          <w:rFonts w:ascii="Arial" w:hAnsi="Arial"/>
          <w:bCs/>
          <w:color w:val="282828"/>
          <w:lang w:val="en-US" w:eastAsia="en-AU"/>
        </w:rPr>
        <w:t>A transition care recipient cannot use their break days for the purpose of accessing</w:t>
      </w:r>
      <w:r w:rsidR="003309AA">
        <w:rPr>
          <w:rFonts w:ascii="Arial" w:hAnsi="Arial"/>
          <w:bCs/>
          <w:color w:val="282828"/>
          <w:lang w:val="en-US" w:eastAsia="en-AU"/>
        </w:rPr>
        <w:t xml:space="preserve"> </w:t>
      </w:r>
      <w:r>
        <w:rPr>
          <w:rFonts w:ascii="Arial" w:hAnsi="Arial"/>
          <w:bCs/>
          <w:color w:val="282828"/>
          <w:lang w:val="en-US" w:eastAsia="en-AU"/>
        </w:rPr>
        <w:t>residential respite.</w:t>
      </w:r>
    </w:p>
    <w:p w14:paraId="6EF85E3B" w14:textId="63ECB1AE" w:rsidR="00B90BE1" w:rsidRPr="003C0FE4" w:rsidRDefault="00B90BE1" w:rsidP="00E330E4">
      <w:pPr>
        <w:pStyle w:val="heading4withoutnumbers"/>
        <w:rPr>
          <w:rFonts w:eastAsia="MS Gothic"/>
          <w:b/>
          <w:bCs/>
          <w:lang w:val="en-US" w:eastAsia="en-US"/>
        </w:rPr>
      </w:pPr>
      <w:r w:rsidRPr="003C0FE4">
        <w:rPr>
          <w:rFonts w:eastAsia="MS Gothic"/>
          <w:b/>
          <w:bCs/>
          <w:lang w:val="en-US"/>
        </w:rPr>
        <w:t xml:space="preserve">Tracking and management of </w:t>
      </w:r>
      <w:r w:rsidRPr="003C0FE4">
        <w:rPr>
          <w:rFonts w:eastAsia="MS Gothic"/>
          <w:b/>
          <w:bCs/>
          <w:lang w:val="en-US" w:eastAsia="en-US"/>
        </w:rPr>
        <w:t>recipient break day balances</w:t>
      </w:r>
    </w:p>
    <w:p w14:paraId="4943F445" w14:textId="5D3322F3" w:rsidR="00B90BE1" w:rsidRPr="00BA73EA" w:rsidRDefault="00B90BE1" w:rsidP="00981E8B">
      <w:pPr>
        <w:spacing w:before="0" w:after="200"/>
        <w:rPr>
          <w:rFonts w:eastAsia="MS Gothic"/>
          <w:bCs/>
          <w:spacing w:val="0"/>
          <w:szCs w:val="20"/>
          <w:lang w:val="en-US" w:eastAsia="en-US"/>
        </w:rPr>
      </w:pPr>
      <w:r w:rsidRPr="00BA73EA">
        <w:rPr>
          <w:rFonts w:eastAsia="MS Gothic"/>
          <w:bCs/>
          <w:spacing w:val="0"/>
          <w:szCs w:val="20"/>
          <w:lang w:val="en-US" w:eastAsia="en-US"/>
        </w:rPr>
        <w:t xml:space="preserve">Responsibility for managing recipient break day balances sits with TCP providers. Providers are to ensure their services have appropriate processes and systems in place to track and manage recipient break </w:t>
      </w:r>
      <w:r w:rsidR="00D6073B" w:rsidRPr="00BA73EA">
        <w:rPr>
          <w:rFonts w:eastAsia="MS Gothic"/>
          <w:bCs/>
          <w:spacing w:val="0"/>
          <w:szCs w:val="20"/>
          <w:lang w:val="en-US" w:eastAsia="en-US"/>
        </w:rPr>
        <w:t>balances and</w:t>
      </w:r>
      <w:r w:rsidRPr="00BA73EA">
        <w:rPr>
          <w:rFonts w:eastAsia="MS Gothic"/>
          <w:bCs/>
          <w:spacing w:val="0"/>
          <w:szCs w:val="20"/>
          <w:lang w:val="en-US" w:eastAsia="en-US"/>
        </w:rPr>
        <w:t xml:space="preserve"> collate break day data.</w:t>
      </w:r>
    </w:p>
    <w:p w14:paraId="6BB11592" w14:textId="4D24FCC0" w:rsidR="00E56084" w:rsidRPr="00EB6486" w:rsidRDefault="00E56084" w:rsidP="00E56084">
      <w:pPr>
        <w:pStyle w:val="Heading3withoutnumbering"/>
      </w:pPr>
      <w:bookmarkStart w:id="216" w:name="_Toc197076897"/>
      <w:r w:rsidRPr="00EB6486">
        <w:t>Readmission to hospital from transition care</w:t>
      </w:r>
      <w:bookmarkEnd w:id="216"/>
    </w:p>
    <w:p w14:paraId="53862D25" w14:textId="24D299A0" w:rsidR="00A40153" w:rsidRPr="00BA73EA" w:rsidRDefault="00C103D9" w:rsidP="00A40153">
      <w:pPr>
        <w:pStyle w:val="FootnoteText"/>
        <w:spacing w:after="200"/>
        <w:rPr>
          <w:rFonts w:ascii="Arial" w:hAnsi="Arial" w:cs="Arial"/>
        </w:rPr>
      </w:pPr>
      <w:r w:rsidRPr="00431DE0">
        <w:rPr>
          <w:rFonts w:ascii="Arial" w:hAnsi="Arial" w:cs="Arial"/>
        </w:rPr>
        <w:t>A recipient’s</w:t>
      </w:r>
      <w:r w:rsidR="00A40153" w:rsidRPr="00BA73EA">
        <w:rPr>
          <w:rFonts w:ascii="Arial" w:hAnsi="Arial" w:cs="Arial"/>
        </w:rPr>
        <w:t xml:space="preserve"> episode</w:t>
      </w:r>
      <w:r w:rsidRPr="00431DE0">
        <w:rPr>
          <w:rFonts w:ascii="Arial" w:hAnsi="Arial" w:cs="Arial"/>
        </w:rPr>
        <w:t xml:space="preserve"> will</w:t>
      </w:r>
      <w:r w:rsidR="00A40153" w:rsidRPr="00BA73EA">
        <w:rPr>
          <w:rFonts w:ascii="Arial" w:hAnsi="Arial" w:cs="Arial"/>
        </w:rPr>
        <w:t xml:space="preserve"> ceas</w:t>
      </w:r>
      <w:r w:rsidRPr="00431DE0">
        <w:rPr>
          <w:rFonts w:ascii="Arial" w:hAnsi="Arial" w:cs="Arial"/>
        </w:rPr>
        <w:t>e if the recipient is absent from care for more than a total of seven break days during their transition care episode, including if they need to re</w:t>
      </w:r>
      <w:r w:rsidR="00D6073B">
        <w:rPr>
          <w:rFonts w:ascii="Arial" w:hAnsi="Arial" w:cs="Arial"/>
        </w:rPr>
        <w:noBreakHyphen/>
      </w:r>
      <w:r w:rsidRPr="00431DE0">
        <w:rPr>
          <w:rFonts w:ascii="Arial" w:hAnsi="Arial" w:cs="Arial"/>
        </w:rPr>
        <w:t>enter hospital (see</w:t>
      </w:r>
      <w:r w:rsidR="00290521" w:rsidRPr="00431DE0">
        <w:rPr>
          <w:rFonts w:ascii="Arial" w:hAnsi="Arial" w:cs="Arial"/>
        </w:rPr>
        <w:t xml:space="preserve"> also,</w:t>
      </w:r>
      <w:r w:rsidRPr="00431DE0">
        <w:rPr>
          <w:rFonts w:ascii="Arial" w:hAnsi="Arial" w:cs="Arial"/>
        </w:rPr>
        <w:t xml:space="preserve"> section</w:t>
      </w:r>
      <w:r w:rsidR="00D6073B">
        <w:rPr>
          <w:rFonts w:ascii="Arial" w:hAnsi="Arial" w:cs="Arial"/>
        </w:rPr>
        <w:t> </w:t>
      </w:r>
      <w:r w:rsidRPr="00BA73EA">
        <w:rPr>
          <w:rFonts w:ascii="Arial" w:hAnsi="Arial" w:cs="Arial"/>
          <w:i/>
        </w:rPr>
        <w:t>3.5.6</w:t>
      </w:r>
      <w:r w:rsidR="00D6073B">
        <w:rPr>
          <w:rFonts w:ascii="Arial" w:hAnsi="Arial" w:cs="Arial"/>
          <w:i/>
        </w:rPr>
        <w:t> </w:t>
      </w:r>
      <w:r w:rsidRPr="00BA73EA">
        <w:rPr>
          <w:rFonts w:ascii="Arial" w:hAnsi="Arial" w:cs="Arial"/>
          <w:i/>
        </w:rPr>
        <w:t>Interrupting a TCP episode – available break days</w:t>
      </w:r>
      <w:r w:rsidRPr="00431DE0">
        <w:rPr>
          <w:rFonts w:ascii="Arial" w:hAnsi="Arial" w:cs="Arial"/>
        </w:rPr>
        <w:t>).</w:t>
      </w:r>
    </w:p>
    <w:p w14:paraId="053E24B9" w14:textId="0114C3E3" w:rsidR="00A40153" w:rsidRPr="00BA73EA" w:rsidRDefault="00A40153" w:rsidP="00A40153">
      <w:pPr>
        <w:pStyle w:val="FootnoteText"/>
        <w:spacing w:after="200"/>
        <w:rPr>
          <w:rFonts w:ascii="Arial" w:hAnsi="Arial" w:cs="Arial"/>
        </w:rPr>
      </w:pPr>
      <w:r w:rsidRPr="00BA73EA">
        <w:rPr>
          <w:rFonts w:ascii="Arial" w:hAnsi="Arial" w:cs="Arial"/>
        </w:rPr>
        <w:t xml:space="preserve">To recommence care, a person will require a valid </w:t>
      </w:r>
      <w:r w:rsidR="00B561CA">
        <w:rPr>
          <w:rFonts w:ascii="Arial" w:hAnsi="Arial" w:cs="Arial"/>
        </w:rPr>
        <w:t xml:space="preserve">aged care needs assessment </w:t>
      </w:r>
      <w:r w:rsidRPr="00BA73EA">
        <w:rPr>
          <w:rFonts w:ascii="Arial" w:hAnsi="Arial" w:cs="Arial"/>
        </w:rPr>
        <w:t>approval and must enter their new transition care episode after another hospital stay</w:t>
      </w:r>
      <w:r w:rsidR="00290521" w:rsidRPr="00431DE0">
        <w:rPr>
          <w:rFonts w:ascii="Arial" w:hAnsi="Arial" w:cs="Arial"/>
        </w:rPr>
        <w:t>, in line with</w:t>
      </w:r>
      <w:r w:rsidR="00731413" w:rsidRPr="00BA73EA">
        <w:rPr>
          <w:rFonts w:ascii="Arial" w:hAnsi="Arial" w:cs="Arial"/>
        </w:rPr>
        <w:t xml:space="preserve"> the</w:t>
      </w:r>
      <w:r w:rsidR="00290521" w:rsidRPr="00431DE0">
        <w:rPr>
          <w:rFonts w:ascii="Arial" w:hAnsi="Arial" w:cs="Arial"/>
        </w:rPr>
        <w:t xml:space="preserve"> </w:t>
      </w:r>
      <w:r w:rsidR="00731413" w:rsidRPr="00BA73EA">
        <w:rPr>
          <w:rFonts w:ascii="Arial" w:hAnsi="Arial" w:cs="Arial"/>
        </w:rPr>
        <w:t xml:space="preserve">relevant ‘delivery </w:t>
      </w:r>
      <w:r w:rsidR="00290521" w:rsidRPr="00BA73EA">
        <w:rPr>
          <w:rFonts w:ascii="Arial" w:hAnsi="Arial" w:cs="Arial"/>
        </w:rPr>
        <w:t>setting</w:t>
      </w:r>
      <w:r w:rsidR="00731413" w:rsidRPr="00BA73EA">
        <w:rPr>
          <w:rFonts w:ascii="Arial" w:hAnsi="Arial" w:cs="Arial"/>
        </w:rPr>
        <w:t>’</w:t>
      </w:r>
      <w:r w:rsidR="00290521" w:rsidRPr="00BA73EA">
        <w:rPr>
          <w:rFonts w:ascii="Arial" w:hAnsi="Arial" w:cs="Arial"/>
        </w:rPr>
        <w:t xml:space="preserve"> </w:t>
      </w:r>
      <w:r w:rsidR="00290521" w:rsidRPr="00431DE0">
        <w:rPr>
          <w:rFonts w:ascii="Arial" w:hAnsi="Arial" w:cs="Arial"/>
        </w:rPr>
        <w:t xml:space="preserve">episode commencement </w:t>
      </w:r>
      <w:r w:rsidR="00731413" w:rsidRPr="00BA73EA">
        <w:rPr>
          <w:rFonts w:ascii="Arial" w:hAnsi="Arial" w:cs="Arial"/>
        </w:rPr>
        <w:t>timeframe</w:t>
      </w:r>
      <w:r w:rsidR="00290521" w:rsidRPr="00431DE0">
        <w:rPr>
          <w:rFonts w:ascii="Arial" w:hAnsi="Arial" w:cs="Arial"/>
        </w:rPr>
        <w:t>.</w:t>
      </w:r>
    </w:p>
    <w:p w14:paraId="3C137093" w14:textId="455A55E9" w:rsidR="00A40153" w:rsidRPr="00BA73EA" w:rsidRDefault="00A40153" w:rsidP="00A40153">
      <w:pPr>
        <w:pStyle w:val="FootnoteText"/>
        <w:spacing w:after="200"/>
        <w:rPr>
          <w:rFonts w:ascii="Arial" w:hAnsi="Arial" w:cs="Arial"/>
        </w:rPr>
      </w:pPr>
      <w:r w:rsidRPr="00BA73EA">
        <w:rPr>
          <w:rFonts w:ascii="Arial" w:hAnsi="Arial" w:cs="Arial"/>
        </w:rPr>
        <w:t xml:space="preserve">A person who is hospitalised and </w:t>
      </w:r>
      <w:r w:rsidR="00820C83" w:rsidRPr="00BA73EA">
        <w:rPr>
          <w:rFonts w:ascii="Arial" w:hAnsi="Arial" w:cs="Arial"/>
        </w:rPr>
        <w:t>whose</w:t>
      </w:r>
      <w:r w:rsidRPr="00BA73EA">
        <w:rPr>
          <w:rFonts w:ascii="Arial" w:hAnsi="Arial" w:cs="Arial"/>
        </w:rPr>
        <w:t xml:space="preserve"> episode </w:t>
      </w:r>
      <w:r w:rsidR="00820C83" w:rsidRPr="00BA73EA">
        <w:rPr>
          <w:rFonts w:ascii="Arial" w:hAnsi="Arial" w:cs="Arial"/>
        </w:rPr>
        <w:t xml:space="preserve">has </w:t>
      </w:r>
      <w:r w:rsidRPr="00BA73EA">
        <w:rPr>
          <w:rFonts w:ascii="Arial" w:hAnsi="Arial" w:cs="Arial"/>
        </w:rPr>
        <w:t>cease</w:t>
      </w:r>
      <w:r w:rsidR="00820C83" w:rsidRPr="00BA73EA">
        <w:rPr>
          <w:rFonts w:ascii="Arial" w:hAnsi="Arial" w:cs="Arial"/>
        </w:rPr>
        <w:t>d</w:t>
      </w:r>
      <w:r w:rsidRPr="00BA73EA">
        <w:rPr>
          <w:rFonts w:ascii="Arial" w:hAnsi="Arial" w:cs="Arial"/>
        </w:rPr>
        <w:t xml:space="preserve">, is able to enter a new transition care episode without the need for an additional transition care approval, if the person is subsequently able to be </w:t>
      </w:r>
      <w:r w:rsidRPr="00D34D3C">
        <w:rPr>
          <w:rFonts w:ascii="Arial" w:hAnsi="Arial" w:cs="Arial"/>
        </w:rPr>
        <w:t>discharged from hospital within the</w:t>
      </w:r>
      <w:r w:rsidR="00290521" w:rsidRPr="00D34D3C">
        <w:rPr>
          <w:rFonts w:ascii="Arial" w:hAnsi="Arial" w:cs="Arial"/>
        </w:rPr>
        <w:t xml:space="preserve">ir initial </w:t>
      </w:r>
      <w:r w:rsidR="00561EAA" w:rsidRPr="00D34D3C">
        <w:rPr>
          <w:rFonts w:ascii="Arial" w:hAnsi="Arial" w:cs="Arial"/>
        </w:rPr>
        <w:t>aged care assess</w:t>
      </w:r>
      <w:r w:rsidR="008E3A3D" w:rsidRPr="00D34D3C">
        <w:rPr>
          <w:rFonts w:ascii="Arial" w:hAnsi="Arial" w:cs="Arial"/>
        </w:rPr>
        <w:t xml:space="preserve">ment </w:t>
      </w:r>
      <w:r w:rsidR="00290521" w:rsidRPr="00D34D3C">
        <w:rPr>
          <w:rFonts w:ascii="Arial" w:hAnsi="Arial" w:cs="Arial"/>
        </w:rPr>
        <w:t>transition care approval’s 28</w:t>
      </w:r>
      <w:r w:rsidR="00A75CCC" w:rsidRPr="00D34D3C">
        <w:rPr>
          <w:rFonts w:ascii="Arial" w:hAnsi="Arial" w:cs="Arial"/>
        </w:rPr>
        <w:t> </w:t>
      </w:r>
      <w:r w:rsidR="00290521" w:rsidRPr="00D34D3C">
        <w:rPr>
          <w:rFonts w:ascii="Arial" w:hAnsi="Arial" w:cs="Arial"/>
        </w:rPr>
        <w:t>day/</w:t>
      </w:r>
      <w:r w:rsidR="009E100E" w:rsidRPr="00D34D3C">
        <w:rPr>
          <w:rFonts w:ascii="Arial" w:hAnsi="Arial" w:cs="Arial"/>
        </w:rPr>
        <w:t>four-week</w:t>
      </w:r>
      <w:r w:rsidR="00290521" w:rsidRPr="00D34D3C">
        <w:rPr>
          <w:rFonts w:ascii="Arial" w:hAnsi="Arial" w:cs="Arial"/>
        </w:rPr>
        <w:t xml:space="preserve"> </w:t>
      </w:r>
      <w:r w:rsidRPr="00D34D3C">
        <w:rPr>
          <w:rFonts w:ascii="Arial" w:hAnsi="Arial" w:cs="Arial"/>
        </w:rPr>
        <w:t>entry period</w:t>
      </w:r>
      <w:r w:rsidR="00290521" w:rsidRPr="00D34D3C">
        <w:rPr>
          <w:rFonts w:ascii="Arial" w:hAnsi="Arial" w:cs="Arial"/>
        </w:rPr>
        <w:t>, if clinically appropriate.</w:t>
      </w:r>
    </w:p>
    <w:p w14:paraId="442E458B" w14:textId="794627D9" w:rsidR="00605BA0" w:rsidRPr="0030273E" w:rsidRDefault="00605BA0" w:rsidP="00CC6AD2">
      <w:pPr>
        <w:spacing w:before="0" w:after="200"/>
        <w:rPr>
          <w:szCs w:val="20"/>
        </w:rPr>
      </w:pPr>
      <w:r w:rsidRPr="00431DE0">
        <w:rPr>
          <w:rFonts w:cs="Arial"/>
          <w:szCs w:val="20"/>
        </w:rPr>
        <w:t xml:space="preserve">An </w:t>
      </w:r>
      <w:r w:rsidR="0008224D">
        <w:rPr>
          <w:rFonts w:cs="Arial"/>
          <w:szCs w:val="20"/>
        </w:rPr>
        <w:t>assessment organisation</w:t>
      </w:r>
      <w:r w:rsidRPr="00431DE0">
        <w:rPr>
          <w:rFonts w:cs="Arial"/>
          <w:szCs w:val="20"/>
        </w:rPr>
        <w:t xml:space="preserve"> re-assessment is only required if the care recipient wishes to re-enter the programme after the </w:t>
      </w:r>
      <w:r w:rsidR="009E100E" w:rsidRPr="00431DE0">
        <w:rPr>
          <w:rFonts w:cs="Arial"/>
          <w:szCs w:val="20"/>
        </w:rPr>
        <w:t>four</w:t>
      </w:r>
      <w:r w:rsidR="009E100E">
        <w:rPr>
          <w:rFonts w:cs="Arial"/>
          <w:szCs w:val="20"/>
        </w:rPr>
        <w:t>-week</w:t>
      </w:r>
      <w:r w:rsidRPr="00431DE0">
        <w:rPr>
          <w:rFonts w:cs="Arial"/>
          <w:szCs w:val="20"/>
        </w:rPr>
        <w:t xml:space="preserve"> entry period has expired, </w:t>
      </w:r>
      <w:r w:rsidR="00891322" w:rsidRPr="00431DE0">
        <w:rPr>
          <w:rFonts w:cs="Arial"/>
          <w:szCs w:val="20"/>
        </w:rPr>
        <w:t xml:space="preserve">or where the </w:t>
      </w:r>
      <w:r w:rsidR="0008224D">
        <w:rPr>
          <w:rFonts w:cs="Arial"/>
          <w:szCs w:val="20"/>
        </w:rPr>
        <w:t xml:space="preserve">aged care </w:t>
      </w:r>
      <w:r w:rsidR="001C19B7">
        <w:rPr>
          <w:rFonts w:cs="Arial"/>
          <w:szCs w:val="20"/>
        </w:rPr>
        <w:t xml:space="preserve">assessment </w:t>
      </w:r>
      <w:r w:rsidR="00891322" w:rsidRPr="00431DE0">
        <w:rPr>
          <w:rFonts w:cs="Arial"/>
          <w:szCs w:val="20"/>
        </w:rPr>
        <w:t xml:space="preserve">is still valid but </w:t>
      </w:r>
      <w:r w:rsidRPr="00431DE0">
        <w:rPr>
          <w:rFonts w:cs="Arial"/>
          <w:szCs w:val="20"/>
        </w:rPr>
        <w:t xml:space="preserve">the re-admission to hospital may have changed the person’s </w:t>
      </w:r>
      <w:r w:rsidR="002C6B8E" w:rsidRPr="00431DE0">
        <w:rPr>
          <w:rFonts w:cs="Arial"/>
          <w:szCs w:val="20"/>
        </w:rPr>
        <w:t>care needs</w:t>
      </w:r>
      <w:r w:rsidRPr="00431DE0">
        <w:rPr>
          <w:rFonts w:cs="Arial"/>
          <w:szCs w:val="20"/>
        </w:rPr>
        <w:t xml:space="preserve"> since the last approval for transition care services.</w:t>
      </w:r>
    </w:p>
    <w:p w14:paraId="3E2EC375" w14:textId="13779C6F" w:rsidR="00605BA0" w:rsidRPr="00D34D3C" w:rsidRDefault="00605BA0" w:rsidP="00B42C61">
      <w:pPr>
        <w:pStyle w:val="Heading3withoutnumbering"/>
      </w:pPr>
      <w:bookmarkStart w:id="217" w:name="_Toc395537192"/>
      <w:bookmarkStart w:id="218" w:name="_Toc422732549"/>
      <w:bookmarkStart w:id="219" w:name="_Toc422752889"/>
      <w:bookmarkStart w:id="220" w:name="_Toc197076898"/>
      <w:r w:rsidRPr="00D34D3C">
        <w:t>Extensions</w:t>
      </w:r>
      <w:bookmarkEnd w:id="195"/>
      <w:bookmarkEnd w:id="196"/>
      <w:bookmarkEnd w:id="217"/>
      <w:bookmarkEnd w:id="218"/>
      <w:bookmarkEnd w:id="219"/>
      <w:bookmarkEnd w:id="220"/>
    </w:p>
    <w:p w14:paraId="230D30CE" w14:textId="3200CE1F" w:rsidR="00605BA0" w:rsidRPr="00DA4E41" w:rsidRDefault="00605BA0" w:rsidP="00CC6AD2">
      <w:pPr>
        <w:spacing w:before="0" w:after="200"/>
        <w:rPr>
          <w:spacing w:val="-4"/>
          <w:szCs w:val="20"/>
        </w:rPr>
      </w:pPr>
      <w:r w:rsidRPr="00DA4E41">
        <w:rPr>
          <w:szCs w:val="20"/>
        </w:rPr>
        <w:t xml:space="preserve">In exceptional circumstances, a care recipient may require an extension to a transition care episode where their care will need to exceed the </w:t>
      </w:r>
      <w:r w:rsidR="0064270C" w:rsidRPr="00DA4E41">
        <w:rPr>
          <w:szCs w:val="20"/>
        </w:rPr>
        <w:t>12</w:t>
      </w:r>
      <w:r w:rsidR="0064270C">
        <w:rPr>
          <w:szCs w:val="20"/>
        </w:rPr>
        <w:t>-week</w:t>
      </w:r>
      <w:r w:rsidRPr="00DA4E41">
        <w:rPr>
          <w:szCs w:val="20"/>
        </w:rPr>
        <w:t xml:space="preserve"> maximum. To apply for an extension, t</w:t>
      </w:r>
      <w:r w:rsidRPr="00DA4E41">
        <w:rPr>
          <w:spacing w:val="-2"/>
          <w:szCs w:val="20"/>
        </w:rPr>
        <w:t xml:space="preserve">he </w:t>
      </w:r>
      <w:r w:rsidRPr="00DA4E41">
        <w:rPr>
          <w:spacing w:val="-1"/>
          <w:szCs w:val="20"/>
        </w:rPr>
        <w:t xml:space="preserve">service provider must </w:t>
      </w:r>
      <w:r w:rsidR="00A562BA">
        <w:rPr>
          <w:spacing w:val="-1"/>
          <w:szCs w:val="20"/>
        </w:rPr>
        <w:t>lodge</w:t>
      </w:r>
      <w:r w:rsidRPr="00DA4E41">
        <w:rPr>
          <w:spacing w:val="-1"/>
          <w:szCs w:val="20"/>
        </w:rPr>
        <w:t xml:space="preserve"> a </w:t>
      </w:r>
      <w:r w:rsidRPr="00DA4E41">
        <w:rPr>
          <w:i/>
          <w:spacing w:val="-1"/>
          <w:szCs w:val="20"/>
        </w:rPr>
        <w:t xml:space="preserve">Transition Care Extension </w:t>
      </w:r>
      <w:r w:rsidR="00E01B52">
        <w:rPr>
          <w:i/>
          <w:spacing w:val="-1"/>
          <w:szCs w:val="20"/>
        </w:rPr>
        <w:t>Request</w:t>
      </w:r>
      <w:r w:rsidRPr="00DA4E41">
        <w:rPr>
          <w:spacing w:val="-1"/>
          <w:szCs w:val="20"/>
        </w:rPr>
        <w:t xml:space="preserve"> </w:t>
      </w:r>
      <w:r w:rsidR="00390B3F">
        <w:rPr>
          <w:spacing w:val="-1"/>
          <w:szCs w:val="20"/>
        </w:rPr>
        <w:t xml:space="preserve">through the </w:t>
      </w:r>
      <w:hyperlink r:id="rId29" w:history="1">
        <w:r w:rsidR="00390B3F">
          <w:rPr>
            <w:rStyle w:val="Hyperlink"/>
            <w:spacing w:val="-1"/>
            <w:sz w:val="20"/>
            <w:szCs w:val="20"/>
          </w:rPr>
          <w:t>My Aged Care Portal</w:t>
        </w:r>
      </w:hyperlink>
      <w:r w:rsidR="00390B3F">
        <w:rPr>
          <w:spacing w:val="-1"/>
          <w:szCs w:val="20"/>
        </w:rPr>
        <w:t xml:space="preserve"> </w:t>
      </w:r>
      <w:r w:rsidRPr="00DA4E41">
        <w:rPr>
          <w:spacing w:val="-2"/>
          <w:szCs w:val="20"/>
        </w:rPr>
        <w:t>with the care recipient (or representative)</w:t>
      </w:r>
      <w:r w:rsidR="00390B3F">
        <w:rPr>
          <w:spacing w:val="-2"/>
          <w:szCs w:val="20"/>
        </w:rPr>
        <w:t>,</w:t>
      </w:r>
      <w:r w:rsidRPr="00DA4E41">
        <w:rPr>
          <w:spacing w:val="-2"/>
          <w:szCs w:val="20"/>
        </w:rPr>
        <w:t xml:space="preserve"> </w:t>
      </w:r>
      <w:r w:rsidRPr="00DA4E41">
        <w:rPr>
          <w:spacing w:val="-1"/>
          <w:szCs w:val="20"/>
        </w:rPr>
        <w:t xml:space="preserve">within the initial </w:t>
      </w:r>
      <w:r w:rsidR="0064270C" w:rsidRPr="00DA4E41">
        <w:rPr>
          <w:spacing w:val="-2"/>
          <w:szCs w:val="20"/>
        </w:rPr>
        <w:t>12</w:t>
      </w:r>
      <w:r w:rsidR="0064270C">
        <w:rPr>
          <w:spacing w:val="-2"/>
          <w:szCs w:val="20"/>
        </w:rPr>
        <w:t>-week</w:t>
      </w:r>
      <w:r w:rsidRPr="00DA4E41">
        <w:rPr>
          <w:spacing w:val="-2"/>
          <w:szCs w:val="20"/>
        </w:rPr>
        <w:t xml:space="preserve"> episode of transition care. Once the service provider has completed the </w:t>
      </w:r>
      <w:r w:rsidR="00481C4B">
        <w:rPr>
          <w:spacing w:val="-2"/>
          <w:szCs w:val="20"/>
        </w:rPr>
        <w:t>r</w:t>
      </w:r>
      <w:r w:rsidR="00FD0624">
        <w:rPr>
          <w:spacing w:val="-2"/>
          <w:szCs w:val="20"/>
        </w:rPr>
        <w:t>equest</w:t>
      </w:r>
      <w:r w:rsidR="00481C4B">
        <w:rPr>
          <w:spacing w:val="-2"/>
          <w:szCs w:val="20"/>
        </w:rPr>
        <w:t xml:space="preserve"> </w:t>
      </w:r>
      <w:r w:rsidRPr="00DA4E41">
        <w:rPr>
          <w:spacing w:val="-4"/>
          <w:szCs w:val="20"/>
        </w:rPr>
        <w:t>it</w:t>
      </w:r>
      <w:r w:rsidR="00952A60">
        <w:rPr>
          <w:spacing w:val="-4"/>
          <w:szCs w:val="20"/>
        </w:rPr>
        <w:t xml:space="preserve"> will be forwarded</w:t>
      </w:r>
      <w:r w:rsidRPr="00DA4E41">
        <w:rPr>
          <w:spacing w:val="-4"/>
          <w:szCs w:val="20"/>
        </w:rPr>
        <w:t xml:space="preserve"> to </w:t>
      </w:r>
      <w:r w:rsidR="00390B3F">
        <w:rPr>
          <w:spacing w:val="-4"/>
          <w:szCs w:val="20"/>
        </w:rPr>
        <w:t>the</w:t>
      </w:r>
      <w:r w:rsidRPr="00DA4E41">
        <w:rPr>
          <w:spacing w:val="-4"/>
          <w:szCs w:val="20"/>
        </w:rPr>
        <w:t xml:space="preserve"> </w:t>
      </w:r>
      <w:r w:rsidR="000755E6">
        <w:rPr>
          <w:spacing w:val="-4"/>
          <w:szCs w:val="20"/>
        </w:rPr>
        <w:t>a</w:t>
      </w:r>
      <w:r w:rsidR="00D34D3C">
        <w:rPr>
          <w:spacing w:val="-4"/>
          <w:szCs w:val="20"/>
        </w:rPr>
        <w:t xml:space="preserve">ssessment </w:t>
      </w:r>
      <w:r w:rsidR="000755E6">
        <w:rPr>
          <w:spacing w:val="-4"/>
          <w:szCs w:val="20"/>
        </w:rPr>
        <w:t>o</w:t>
      </w:r>
      <w:r w:rsidR="00D34D3C">
        <w:rPr>
          <w:spacing w:val="-4"/>
          <w:szCs w:val="20"/>
        </w:rPr>
        <w:t>rganisation</w:t>
      </w:r>
      <w:r w:rsidRPr="00DA4E41">
        <w:rPr>
          <w:spacing w:val="-4"/>
          <w:szCs w:val="20"/>
        </w:rPr>
        <w:t xml:space="preserve"> for review</w:t>
      </w:r>
      <w:r w:rsidR="0057436F">
        <w:rPr>
          <w:spacing w:val="-4"/>
          <w:szCs w:val="20"/>
        </w:rPr>
        <w:t xml:space="preserve">. </w:t>
      </w:r>
      <w:r w:rsidR="009D575F">
        <w:rPr>
          <w:spacing w:val="-4"/>
          <w:szCs w:val="20"/>
        </w:rPr>
        <w:t xml:space="preserve">The clinical aged care needs assessor </w:t>
      </w:r>
      <w:r w:rsidR="00595C1D">
        <w:rPr>
          <w:spacing w:val="-4"/>
          <w:szCs w:val="20"/>
        </w:rPr>
        <w:t>needs to be satisfied t</w:t>
      </w:r>
      <w:r w:rsidR="00B95E58">
        <w:rPr>
          <w:spacing w:val="-4"/>
          <w:szCs w:val="20"/>
        </w:rPr>
        <w:t>hat the client has further therapeutic ae needs and wishes to continue transition care</w:t>
      </w:r>
      <w:r w:rsidR="008C0014">
        <w:rPr>
          <w:spacing w:val="-4"/>
          <w:szCs w:val="20"/>
        </w:rPr>
        <w:t>.</w:t>
      </w:r>
      <w:r w:rsidR="009C7C12">
        <w:rPr>
          <w:spacing w:val="-4"/>
          <w:szCs w:val="20"/>
        </w:rPr>
        <w:t xml:space="preserve"> The assessment delegate will determine whether to grant the extension and specifies the number of days of extension</w:t>
      </w:r>
      <w:r w:rsidR="00BF4F32">
        <w:rPr>
          <w:spacing w:val="-4"/>
          <w:szCs w:val="20"/>
        </w:rPr>
        <w:t>.</w:t>
      </w:r>
    </w:p>
    <w:p w14:paraId="4C160562" w14:textId="0D7949E6" w:rsidR="00605BA0" w:rsidRPr="00DA4E41" w:rsidRDefault="00AE02F1" w:rsidP="00CC6AD2">
      <w:pPr>
        <w:spacing w:before="0" w:after="200"/>
        <w:rPr>
          <w:szCs w:val="20"/>
        </w:rPr>
      </w:pPr>
      <w:r>
        <w:rPr>
          <w:szCs w:val="20"/>
        </w:rPr>
        <w:t>An a</w:t>
      </w:r>
      <w:r w:rsidR="000755E6">
        <w:rPr>
          <w:szCs w:val="20"/>
        </w:rPr>
        <w:t>ssess</w:t>
      </w:r>
      <w:r w:rsidR="0063679B">
        <w:rPr>
          <w:szCs w:val="20"/>
        </w:rPr>
        <w:t xml:space="preserve">ment </w:t>
      </w:r>
      <w:r w:rsidR="00C90C69">
        <w:rPr>
          <w:szCs w:val="20"/>
        </w:rPr>
        <w:t>delegate</w:t>
      </w:r>
      <w:r w:rsidR="0063679B">
        <w:rPr>
          <w:szCs w:val="20"/>
        </w:rPr>
        <w:t xml:space="preserve"> </w:t>
      </w:r>
      <w:r w:rsidR="00605BA0" w:rsidRPr="00DA4E41">
        <w:rPr>
          <w:szCs w:val="20"/>
        </w:rPr>
        <w:t>should only grant extensions if care recipients have further therapeutic care needs and wish to receive further transition care to achieve a better outcome.</w:t>
      </w:r>
      <w:r w:rsidR="008016AE">
        <w:rPr>
          <w:szCs w:val="20"/>
        </w:rPr>
        <w:t xml:space="preserve"> </w:t>
      </w:r>
      <w:r w:rsidR="00605BA0" w:rsidRPr="00DA4E41">
        <w:rPr>
          <w:szCs w:val="20"/>
        </w:rPr>
        <w:t>In such cases, an assessment for an extension to transition care, which specifies the duration of the extension, may be undertaken. A</w:t>
      </w:r>
      <w:r w:rsidR="000540C2">
        <w:rPr>
          <w:szCs w:val="20"/>
        </w:rPr>
        <w:t> </w:t>
      </w:r>
      <w:r w:rsidR="00605BA0" w:rsidRPr="00DA4E41">
        <w:rPr>
          <w:szCs w:val="20"/>
        </w:rPr>
        <w:t>transition care episode can only be extended by up to 42 days (6 weeks).</w:t>
      </w:r>
      <w:r w:rsidR="008016AE">
        <w:rPr>
          <w:szCs w:val="20"/>
        </w:rPr>
        <w:t xml:space="preserve"> </w:t>
      </w:r>
      <w:r w:rsidR="00605BA0" w:rsidRPr="00DA4E41">
        <w:rPr>
          <w:szCs w:val="20"/>
        </w:rPr>
        <w:t xml:space="preserve">It is possible to have more than one extension </w:t>
      </w:r>
      <w:r w:rsidR="0064270C" w:rsidRPr="00DA4E41">
        <w:rPr>
          <w:szCs w:val="20"/>
        </w:rPr>
        <w:t>if</w:t>
      </w:r>
      <w:r w:rsidR="00605BA0" w:rsidRPr="00DA4E41">
        <w:rPr>
          <w:szCs w:val="20"/>
        </w:rPr>
        <w:t xml:space="preserve"> the total number of days does not exceed 42</w:t>
      </w:r>
      <w:r w:rsidR="00A75CCC">
        <w:rPr>
          <w:szCs w:val="20"/>
        </w:rPr>
        <w:t> </w:t>
      </w:r>
      <w:r w:rsidR="00605BA0" w:rsidRPr="00DA4E41">
        <w:rPr>
          <w:szCs w:val="20"/>
        </w:rPr>
        <w:t>days (6</w:t>
      </w:r>
      <w:r w:rsidR="00A75CCC">
        <w:rPr>
          <w:szCs w:val="20"/>
        </w:rPr>
        <w:t> </w:t>
      </w:r>
      <w:r w:rsidR="00605BA0" w:rsidRPr="00DA4E41">
        <w:rPr>
          <w:szCs w:val="20"/>
        </w:rPr>
        <w:t>weeks).</w:t>
      </w:r>
      <w:r w:rsidR="008016AE">
        <w:rPr>
          <w:szCs w:val="20"/>
        </w:rPr>
        <w:t xml:space="preserve"> </w:t>
      </w:r>
      <w:r w:rsidR="00605BA0" w:rsidRPr="00DA4E41">
        <w:rPr>
          <w:szCs w:val="20"/>
        </w:rPr>
        <w:t>For</w:t>
      </w:r>
      <w:r w:rsidR="000540C2">
        <w:rPr>
          <w:szCs w:val="20"/>
        </w:rPr>
        <w:t> </w:t>
      </w:r>
      <w:r w:rsidR="00605BA0" w:rsidRPr="00DA4E41">
        <w:rPr>
          <w:szCs w:val="20"/>
        </w:rPr>
        <w:t xml:space="preserve">example, if an </w:t>
      </w:r>
      <w:r w:rsidR="00C90C69">
        <w:rPr>
          <w:szCs w:val="20"/>
        </w:rPr>
        <w:t>asses</w:t>
      </w:r>
      <w:r w:rsidR="004C334F">
        <w:rPr>
          <w:szCs w:val="20"/>
        </w:rPr>
        <w:t>s</w:t>
      </w:r>
      <w:r w:rsidR="00C90C69">
        <w:rPr>
          <w:szCs w:val="20"/>
        </w:rPr>
        <w:t>ment delegate</w:t>
      </w:r>
      <w:r w:rsidR="004C334F">
        <w:rPr>
          <w:szCs w:val="20"/>
        </w:rPr>
        <w:t xml:space="preserve"> </w:t>
      </w:r>
      <w:r w:rsidR="00605BA0" w:rsidRPr="00DA4E41">
        <w:rPr>
          <w:szCs w:val="20"/>
        </w:rPr>
        <w:t>has only granted an extension of 20 days, it is possible to grant another extension of up to 22 days.</w:t>
      </w:r>
    </w:p>
    <w:p w14:paraId="03D96370" w14:textId="0E113000" w:rsidR="00605BA0" w:rsidRDefault="00605BA0" w:rsidP="00CC6AD2">
      <w:pPr>
        <w:spacing w:before="0" w:after="200"/>
        <w:rPr>
          <w:szCs w:val="20"/>
        </w:rPr>
      </w:pPr>
      <w:r w:rsidRPr="00DA4E41">
        <w:rPr>
          <w:szCs w:val="20"/>
        </w:rPr>
        <w:t>Based on the information provided by the service provider, and other sources such as the care recipient an</w:t>
      </w:r>
      <w:r w:rsidR="002C6B8E">
        <w:rPr>
          <w:szCs w:val="20"/>
        </w:rPr>
        <w:t>d relevant health professionals</w:t>
      </w:r>
      <w:r w:rsidRPr="00DA4E41">
        <w:rPr>
          <w:szCs w:val="20"/>
        </w:rPr>
        <w:t xml:space="preserve">, the </w:t>
      </w:r>
      <w:r w:rsidR="009303C1">
        <w:rPr>
          <w:szCs w:val="20"/>
        </w:rPr>
        <w:t xml:space="preserve">assessment delegate </w:t>
      </w:r>
      <w:r w:rsidRPr="00DA4E41">
        <w:rPr>
          <w:szCs w:val="20"/>
        </w:rPr>
        <w:t xml:space="preserve">will </w:t>
      </w:r>
      <w:r w:rsidR="009303C1">
        <w:rPr>
          <w:szCs w:val="20"/>
        </w:rPr>
        <w:t>decide</w:t>
      </w:r>
      <w:r w:rsidRPr="00DA4E41">
        <w:rPr>
          <w:szCs w:val="20"/>
        </w:rPr>
        <w:t xml:space="preserve"> </w:t>
      </w:r>
      <w:r w:rsidR="0064270C" w:rsidRPr="00DA4E41">
        <w:rPr>
          <w:szCs w:val="20"/>
        </w:rPr>
        <w:t>whether</w:t>
      </w:r>
      <w:r w:rsidRPr="00DA4E41">
        <w:rPr>
          <w:szCs w:val="20"/>
        </w:rPr>
        <w:t xml:space="preserve"> the transition care episode </w:t>
      </w:r>
      <w:r w:rsidR="00390B3F">
        <w:rPr>
          <w:szCs w:val="20"/>
        </w:rPr>
        <w:t>is to</w:t>
      </w:r>
      <w:r w:rsidRPr="00DA4E41">
        <w:rPr>
          <w:szCs w:val="20"/>
        </w:rPr>
        <w:t xml:space="preserve"> be extended.</w:t>
      </w:r>
    </w:p>
    <w:p w14:paraId="45C86334" w14:textId="4DE59F25" w:rsidR="00605BA0" w:rsidRPr="00DA4E41" w:rsidRDefault="00605BA0" w:rsidP="00490DFB">
      <w:pPr>
        <w:spacing w:before="0" w:after="60"/>
        <w:rPr>
          <w:szCs w:val="20"/>
        </w:rPr>
      </w:pPr>
      <w:r w:rsidRPr="00DA4E41">
        <w:rPr>
          <w:szCs w:val="20"/>
        </w:rPr>
        <w:lastRenderedPageBreak/>
        <w:t xml:space="preserve">It is not necessary for a </w:t>
      </w:r>
      <w:r w:rsidR="005D67C1">
        <w:t>clinical aged care needs assessor</w:t>
      </w:r>
      <w:r w:rsidR="005D67C1" w:rsidDel="005D67C1">
        <w:rPr>
          <w:szCs w:val="20"/>
        </w:rPr>
        <w:t xml:space="preserve"> </w:t>
      </w:r>
      <w:r w:rsidRPr="00DA4E41">
        <w:rPr>
          <w:szCs w:val="20"/>
        </w:rPr>
        <w:t>to comprehensively re</w:t>
      </w:r>
      <w:r w:rsidR="00E2428F">
        <w:rPr>
          <w:szCs w:val="20"/>
        </w:rPr>
        <w:noBreakHyphen/>
      </w:r>
      <w:r w:rsidRPr="00DA4E41">
        <w:rPr>
          <w:szCs w:val="20"/>
        </w:rPr>
        <w:t xml:space="preserve">assess a </w:t>
      </w:r>
      <w:r w:rsidR="003B3FB8">
        <w:rPr>
          <w:szCs w:val="20"/>
        </w:rPr>
        <w:t xml:space="preserve">care </w:t>
      </w:r>
      <w:r w:rsidRPr="00DA4E41">
        <w:rPr>
          <w:szCs w:val="20"/>
        </w:rPr>
        <w:t>recipient if the service provider has identified that the person requires an extension and provides the following information:</w:t>
      </w:r>
    </w:p>
    <w:p w14:paraId="33929F7A" w14:textId="2D86ADF1" w:rsidR="00605BA0" w:rsidRPr="00DA4E41" w:rsidRDefault="00605BA0" w:rsidP="00E330E4">
      <w:pPr>
        <w:pStyle w:val="ListBullet"/>
      </w:pPr>
      <w:r w:rsidRPr="00DA4E41">
        <w:t>reasons why goals were not achieved in</w:t>
      </w:r>
      <w:r w:rsidR="00731413">
        <w:t xml:space="preserve"> </w:t>
      </w:r>
      <w:r w:rsidRPr="00DA4E41">
        <w:t>12</w:t>
      </w:r>
      <w:r w:rsidR="00E2428F">
        <w:t> </w:t>
      </w:r>
      <w:proofErr w:type="gramStart"/>
      <w:r w:rsidRPr="00DA4E41">
        <w:t>weeks;</w:t>
      </w:r>
      <w:proofErr w:type="gramEnd"/>
    </w:p>
    <w:p w14:paraId="1AFCE024" w14:textId="51CE0AB6" w:rsidR="00605BA0" w:rsidRPr="00DA4E41" w:rsidRDefault="00605BA0" w:rsidP="00E330E4">
      <w:pPr>
        <w:pStyle w:val="ListBullet"/>
      </w:pPr>
      <w:r w:rsidRPr="00DA4E41">
        <w:t>physical, cognitive and psycho</w:t>
      </w:r>
      <w:r w:rsidR="00E2428F">
        <w:noBreakHyphen/>
      </w:r>
      <w:r w:rsidRPr="00DA4E41">
        <w:t xml:space="preserve">social goals the care recipient would be working on during the </w:t>
      </w:r>
      <w:proofErr w:type="gramStart"/>
      <w:r w:rsidRPr="00DA4E41">
        <w:t>extension;</w:t>
      </w:r>
      <w:proofErr w:type="gramEnd"/>
    </w:p>
    <w:p w14:paraId="722F903A" w14:textId="4538705C" w:rsidR="00605BA0" w:rsidRPr="00DA4E41" w:rsidRDefault="00605BA0" w:rsidP="00E330E4">
      <w:pPr>
        <w:pStyle w:val="ListBullet"/>
      </w:pPr>
      <w:r w:rsidRPr="00DA4E41">
        <w:t xml:space="preserve">team action required to achieve care recipient goals and </w:t>
      </w:r>
      <w:proofErr w:type="gramStart"/>
      <w:r w:rsidRPr="00DA4E41">
        <w:t>discharge;</w:t>
      </w:r>
      <w:proofErr w:type="gramEnd"/>
    </w:p>
    <w:p w14:paraId="25BD0865" w14:textId="77777777" w:rsidR="00605BA0" w:rsidRPr="00DA4E41" w:rsidRDefault="00605BA0" w:rsidP="00E330E4">
      <w:pPr>
        <w:pStyle w:val="ListBullet"/>
      </w:pPr>
      <w:r w:rsidRPr="00DA4E41">
        <w:t xml:space="preserve">action required by external services to achieve care recipient goals and </w:t>
      </w:r>
      <w:proofErr w:type="gramStart"/>
      <w:r w:rsidRPr="00DA4E41">
        <w:t>discharge;</w:t>
      </w:r>
      <w:proofErr w:type="gramEnd"/>
    </w:p>
    <w:p w14:paraId="5FF7BFF7" w14:textId="77777777" w:rsidR="00605BA0" w:rsidRPr="00DA4E41" w:rsidRDefault="00605BA0" w:rsidP="00E330E4">
      <w:pPr>
        <w:pStyle w:val="ListBullet"/>
      </w:pPr>
      <w:r w:rsidRPr="00DA4E41">
        <w:t>relevant information from other sources such as the care recipient (or representative) or health professionals; and</w:t>
      </w:r>
    </w:p>
    <w:p w14:paraId="3E8C4631" w14:textId="77777777" w:rsidR="00605BA0" w:rsidRPr="006D21EE" w:rsidRDefault="00605BA0" w:rsidP="00E330E4">
      <w:pPr>
        <w:pStyle w:val="ListBullet"/>
      </w:pPr>
      <w:r w:rsidRPr="006D21EE">
        <w:t>the proposed number of days of extension.</w:t>
      </w:r>
    </w:p>
    <w:p w14:paraId="266D8903" w14:textId="28A6C9D8" w:rsidR="00605BA0" w:rsidRPr="00DA4E41" w:rsidRDefault="003904E3" w:rsidP="006D21EE">
      <w:pPr>
        <w:spacing w:before="0" w:after="200"/>
        <w:rPr>
          <w:szCs w:val="20"/>
        </w:rPr>
      </w:pPr>
      <w:r>
        <w:rPr>
          <w:szCs w:val="20"/>
        </w:rPr>
        <w:t>T</w:t>
      </w:r>
      <w:r w:rsidR="00605BA0" w:rsidRPr="00DA4E41">
        <w:rPr>
          <w:szCs w:val="20"/>
        </w:rPr>
        <w:t xml:space="preserve">he </w:t>
      </w:r>
      <w:r w:rsidR="005D67C1">
        <w:t>clinical aged care needs assessor</w:t>
      </w:r>
      <w:r w:rsidR="005D67C1" w:rsidDel="005D67C1">
        <w:rPr>
          <w:szCs w:val="20"/>
        </w:rPr>
        <w:t xml:space="preserve"> </w:t>
      </w:r>
      <w:r w:rsidR="00605BA0" w:rsidRPr="00DA4E41">
        <w:rPr>
          <w:szCs w:val="20"/>
        </w:rPr>
        <w:t>may</w:t>
      </w:r>
      <w:r>
        <w:rPr>
          <w:szCs w:val="20"/>
        </w:rPr>
        <w:t xml:space="preserve"> </w:t>
      </w:r>
      <w:r w:rsidR="00605BA0" w:rsidRPr="00DA4E41">
        <w:rPr>
          <w:szCs w:val="20"/>
        </w:rPr>
        <w:t>undertake a comprehensive re</w:t>
      </w:r>
      <w:r w:rsidR="00E2428F">
        <w:rPr>
          <w:szCs w:val="20"/>
        </w:rPr>
        <w:noBreakHyphen/>
      </w:r>
      <w:r w:rsidR="00605BA0" w:rsidRPr="00DA4E41">
        <w:rPr>
          <w:szCs w:val="20"/>
        </w:rPr>
        <w:t>assessment of the care recipient if they are not satisfied with the information provided by the service provider. The extension form does not need to be signed by the same</w:t>
      </w:r>
      <w:r w:rsidR="00182094">
        <w:rPr>
          <w:szCs w:val="20"/>
        </w:rPr>
        <w:t xml:space="preserve"> </w:t>
      </w:r>
      <w:r w:rsidR="00C15905">
        <w:t>clinical aged care needs assessor</w:t>
      </w:r>
      <w:r w:rsidR="00AD33BB">
        <w:rPr>
          <w:szCs w:val="20"/>
        </w:rPr>
        <w:t xml:space="preserve"> </w:t>
      </w:r>
      <w:r w:rsidR="00605BA0" w:rsidRPr="00DA4E41">
        <w:rPr>
          <w:szCs w:val="20"/>
        </w:rPr>
        <w:t>who undertook the initial assessment for eligibility for transition care.</w:t>
      </w:r>
    </w:p>
    <w:p w14:paraId="532E0F4E" w14:textId="34293D24" w:rsidR="00605BA0" w:rsidRPr="00DA4E41" w:rsidRDefault="00605BA0" w:rsidP="006D21EE">
      <w:pPr>
        <w:spacing w:before="0" w:after="200"/>
        <w:rPr>
          <w:szCs w:val="20"/>
          <w:highlight w:val="yellow"/>
        </w:rPr>
      </w:pPr>
      <w:r w:rsidRPr="00DA4E41">
        <w:rPr>
          <w:szCs w:val="20"/>
        </w:rPr>
        <w:t xml:space="preserve">The service provider </w:t>
      </w:r>
      <w:r w:rsidR="00390B3F">
        <w:rPr>
          <w:szCs w:val="20"/>
        </w:rPr>
        <w:t>must</w:t>
      </w:r>
      <w:r w:rsidRPr="00DA4E41">
        <w:rPr>
          <w:szCs w:val="20"/>
        </w:rPr>
        <w:t xml:space="preserve"> allow sufficient time for the </w:t>
      </w:r>
      <w:r w:rsidR="000D2614">
        <w:t>clinical aged care needs assessor</w:t>
      </w:r>
      <w:r w:rsidR="000D2614" w:rsidDel="000D2614">
        <w:rPr>
          <w:szCs w:val="20"/>
        </w:rPr>
        <w:t xml:space="preserve"> </w:t>
      </w:r>
      <w:r w:rsidRPr="00DA4E41">
        <w:rPr>
          <w:szCs w:val="20"/>
        </w:rPr>
        <w:t>to review the status of the care recipient if it is likely a more comprehensive re-assessment is required.</w:t>
      </w:r>
    </w:p>
    <w:p w14:paraId="290E0DA9" w14:textId="2D1B5EDA" w:rsidR="002C6B8E" w:rsidRPr="00E10CFE" w:rsidRDefault="002C6B8E" w:rsidP="002C6B8E">
      <w:pPr>
        <w:pStyle w:val="Heading3withoutnumbering"/>
      </w:pPr>
      <w:bookmarkStart w:id="221" w:name="_Toc197076899"/>
      <w:r w:rsidRPr="00E10CFE">
        <w:t xml:space="preserve">Review of </w:t>
      </w:r>
      <w:r w:rsidR="00300258">
        <w:t xml:space="preserve">the </w:t>
      </w:r>
      <w:r w:rsidR="00C03C1B">
        <w:t xml:space="preserve">assessment </w:t>
      </w:r>
      <w:r w:rsidRPr="00E10CFE">
        <w:t>extension decisions</w:t>
      </w:r>
      <w:bookmarkEnd w:id="221"/>
    </w:p>
    <w:p w14:paraId="1B2EDC92" w14:textId="2803B8BD" w:rsidR="0006413E" w:rsidRDefault="002C6B8E" w:rsidP="006D21EE">
      <w:pPr>
        <w:autoSpaceDE w:val="0"/>
        <w:autoSpaceDN w:val="0"/>
        <w:adjustRightInd w:val="0"/>
        <w:spacing w:before="0" w:after="200"/>
        <w:rPr>
          <w:szCs w:val="20"/>
          <w:lang w:val="en-US"/>
        </w:rPr>
      </w:pPr>
      <w:r>
        <w:rPr>
          <w:szCs w:val="20"/>
        </w:rPr>
        <w:t xml:space="preserve">A </w:t>
      </w:r>
      <w:r w:rsidR="00605BA0" w:rsidRPr="00DA4E41">
        <w:rPr>
          <w:szCs w:val="20"/>
        </w:rPr>
        <w:t>decision to extend or not extend a care recipient’s episode of transition care is not a ‘reviewable</w:t>
      </w:r>
      <w:r w:rsidR="009A0B23">
        <w:rPr>
          <w:szCs w:val="20"/>
        </w:rPr>
        <w:t xml:space="preserve"> </w:t>
      </w:r>
      <w:r w:rsidR="00605BA0" w:rsidRPr="00DA4E41">
        <w:rPr>
          <w:szCs w:val="20"/>
        </w:rPr>
        <w:t>decision’ under the Act</w:t>
      </w:r>
      <w:r>
        <w:rPr>
          <w:szCs w:val="20"/>
        </w:rPr>
        <w:t xml:space="preserve">. </w:t>
      </w:r>
      <w:r w:rsidR="00653C77">
        <w:rPr>
          <w:szCs w:val="20"/>
        </w:rPr>
        <w:t>T</w:t>
      </w:r>
      <w:r>
        <w:rPr>
          <w:szCs w:val="20"/>
        </w:rPr>
        <w:t xml:space="preserve">he </w:t>
      </w:r>
      <w:r w:rsidR="00605BA0" w:rsidRPr="00DA4E41">
        <w:rPr>
          <w:szCs w:val="20"/>
        </w:rPr>
        <w:t xml:space="preserve">Department </w:t>
      </w:r>
      <w:r w:rsidR="00653C77">
        <w:rPr>
          <w:szCs w:val="20"/>
        </w:rPr>
        <w:t xml:space="preserve">does, however, </w:t>
      </w:r>
      <w:r w:rsidR="00605BA0" w:rsidRPr="00DA4E41">
        <w:rPr>
          <w:szCs w:val="20"/>
        </w:rPr>
        <w:t xml:space="preserve">offer a right of review to any person whose request for an extension is denied. In the first instance, the decision should be discussed with the </w:t>
      </w:r>
      <w:r w:rsidR="00D31584">
        <w:t>clinical aged care needs assessor</w:t>
      </w:r>
      <w:r w:rsidR="009A5C67">
        <w:rPr>
          <w:szCs w:val="20"/>
        </w:rPr>
        <w:t>.</w:t>
      </w:r>
      <w:r w:rsidR="00BC69B2">
        <w:rPr>
          <w:szCs w:val="20"/>
        </w:rPr>
        <w:t xml:space="preserve"> If after discussing a decision not to extend an episode of transition care with the </w:t>
      </w:r>
      <w:r w:rsidR="00D31584">
        <w:t>clinical aged care needs assessor</w:t>
      </w:r>
      <w:r>
        <w:rPr>
          <w:szCs w:val="20"/>
        </w:rPr>
        <w:t xml:space="preserve">, </w:t>
      </w:r>
      <w:r w:rsidR="003F75B4">
        <w:rPr>
          <w:szCs w:val="20"/>
        </w:rPr>
        <w:t>any</w:t>
      </w:r>
      <w:r w:rsidR="00ED4E5D">
        <w:rPr>
          <w:szCs w:val="20"/>
        </w:rPr>
        <w:t xml:space="preserve"> </w:t>
      </w:r>
      <w:r w:rsidR="0006413E">
        <w:rPr>
          <w:szCs w:val="20"/>
          <w:lang w:val="en-US"/>
        </w:rPr>
        <w:t>care recipient seeking to request a review should write to:</w:t>
      </w:r>
    </w:p>
    <w:p w14:paraId="6FD08E26" w14:textId="77777777" w:rsidR="0006413E" w:rsidRPr="00E10CFE" w:rsidRDefault="0006413E" w:rsidP="00E10CFE">
      <w:pPr>
        <w:autoSpaceDE w:val="0"/>
        <w:autoSpaceDN w:val="0"/>
        <w:spacing w:before="0" w:after="0"/>
        <w:rPr>
          <w:rFonts w:asciiTheme="minorHAnsi" w:hAnsiTheme="minorHAnsi" w:cstheme="minorHAnsi"/>
          <w:spacing w:val="0"/>
          <w:szCs w:val="20"/>
        </w:rPr>
      </w:pPr>
      <w:r w:rsidRPr="00E10CFE">
        <w:rPr>
          <w:rFonts w:asciiTheme="minorHAnsi" w:hAnsiTheme="minorHAnsi" w:cstheme="minorHAnsi"/>
          <w:szCs w:val="20"/>
        </w:rPr>
        <w:t>The Secretary</w:t>
      </w:r>
    </w:p>
    <w:p w14:paraId="2EEA4217" w14:textId="6E0ACC15" w:rsidR="0006413E" w:rsidRPr="00E10CFE" w:rsidRDefault="0006413E" w:rsidP="00E10CFE">
      <w:pPr>
        <w:autoSpaceDE w:val="0"/>
        <w:autoSpaceDN w:val="0"/>
        <w:spacing w:before="0" w:after="0"/>
        <w:rPr>
          <w:rFonts w:asciiTheme="minorHAnsi" w:hAnsiTheme="minorHAnsi" w:cstheme="minorHAnsi"/>
          <w:szCs w:val="20"/>
        </w:rPr>
      </w:pPr>
      <w:r w:rsidRPr="00E10CFE">
        <w:rPr>
          <w:rFonts w:asciiTheme="minorHAnsi" w:hAnsiTheme="minorHAnsi" w:cstheme="minorHAnsi"/>
          <w:szCs w:val="20"/>
        </w:rPr>
        <w:t>Department of Health</w:t>
      </w:r>
      <w:r w:rsidR="00806FFF">
        <w:rPr>
          <w:rFonts w:asciiTheme="minorHAnsi" w:hAnsiTheme="minorHAnsi" w:cstheme="minorHAnsi"/>
          <w:szCs w:val="20"/>
        </w:rPr>
        <w:t>, Disability and Ageing</w:t>
      </w:r>
    </w:p>
    <w:p w14:paraId="6BF6309D" w14:textId="77777777" w:rsidR="0006413E" w:rsidRPr="00E10CFE" w:rsidRDefault="0006413E" w:rsidP="00E10CFE">
      <w:pPr>
        <w:autoSpaceDE w:val="0"/>
        <w:autoSpaceDN w:val="0"/>
        <w:spacing w:before="0" w:after="0"/>
        <w:rPr>
          <w:rFonts w:asciiTheme="minorHAnsi" w:hAnsiTheme="minorHAnsi" w:cstheme="minorHAnsi"/>
          <w:szCs w:val="20"/>
        </w:rPr>
      </w:pPr>
      <w:r w:rsidRPr="00E10CFE">
        <w:rPr>
          <w:rFonts w:asciiTheme="minorHAnsi" w:hAnsiTheme="minorHAnsi" w:cstheme="minorHAnsi"/>
          <w:szCs w:val="20"/>
        </w:rPr>
        <w:t>Attn: Aged Care Assessment Program</w:t>
      </w:r>
    </w:p>
    <w:p w14:paraId="5EB3E315" w14:textId="77777777" w:rsidR="0006413E" w:rsidRPr="00E10CFE" w:rsidRDefault="0006413E" w:rsidP="00E10CFE">
      <w:pPr>
        <w:autoSpaceDE w:val="0"/>
        <w:autoSpaceDN w:val="0"/>
        <w:spacing w:before="0" w:after="0"/>
        <w:rPr>
          <w:rFonts w:asciiTheme="minorHAnsi" w:hAnsiTheme="minorHAnsi" w:cstheme="minorHAnsi"/>
          <w:szCs w:val="20"/>
        </w:rPr>
      </w:pPr>
      <w:r w:rsidRPr="00E10CFE">
        <w:rPr>
          <w:rFonts w:asciiTheme="minorHAnsi" w:hAnsiTheme="minorHAnsi" w:cstheme="minorHAnsi"/>
          <w:szCs w:val="20"/>
        </w:rPr>
        <w:t>GPO Box 9848</w:t>
      </w:r>
    </w:p>
    <w:p w14:paraId="361B73C5" w14:textId="5C3C5063" w:rsidR="00605BA0" w:rsidRPr="006D21EE" w:rsidRDefault="009E100E" w:rsidP="006D21EE">
      <w:pPr>
        <w:autoSpaceDE w:val="0"/>
        <w:autoSpaceDN w:val="0"/>
        <w:spacing w:before="0" w:after="200"/>
        <w:rPr>
          <w:szCs w:val="20"/>
          <w:lang w:val="en-US"/>
        </w:rPr>
      </w:pPr>
      <w:r w:rsidRPr="00E10CFE">
        <w:rPr>
          <w:rFonts w:asciiTheme="minorHAnsi" w:hAnsiTheme="minorHAnsi" w:cstheme="minorHAnsi"/>
          <w:szCs w:val="20"/>
        </w:rPr>
        <w:t>A</w:t>
      </w:r>
      <w:r>
        <w:rPr>
          <w:rFonts w:asciiTheme="minorHAnsi" w:hAnsiTheme="minorHAnsi" w:cstheme="minorHAnsi"/>
          <w:szCs w:val="20"/>
        </w:rPr>
        <w:t xml:space="preserve">DELAIDE </w:t>
      </w:r>
      <w:r w:rsidRPr="00E10CFE">
        <w:rPr>
          <w:rFonts w:asciiTheme="minorHAnsi" w:hAnsiTheme="minorHAnsi" w:cstheme="minorHAnsi"/>
          <w:szCs w:val="20"/>
        </w:rPr>
        <w:t>SA</w:t>
      </w:r>
      <w:r w:rsidR="0006413E" w:rsidRPr="00E10CFE">
        <w:rPr>
          <w:rFonts w:asciiTheme="minorHAnsi" w:hAnsiTheme="minorHAnsi" w:cstheme="minorHAnsi"/>
          <w:szCs w:val="20"/>
        </w:rPr>
        <w:t xml:space="preserve"> </w:t>
      </w:r>
      <w:r w:rsidR="00672CED">
        <w:rPr>
          <w:rFonts w:asciiTheme="minorHAnsi" w:hAnsiTheme="minorHAnsi" w:cstheme="minorHAnsi"/>
          <w:szCs w:val="20"/>
        </w:rPr>
        <w:t xml:space="preserve"> </w:t>
      </w:r>
      <w:r w:rsidR="0006413E" w:rsidRPr="00E10CFE">
        <w:rPr>
          <w:rFonts w:asciiTheme="minorHAnsi" w:hAnsiTheme="minorHAnsi" w:cstheme="minorHAnsi"/>
          <w:szCs w:val="20"/>
        </w:rPr>
        <w:t>5001</w:t>
      </w:r>
    </w:p>
    <w:p w14:paraId="56352FEC" w14:textId="56835FC1" w:rsidR="00605BA0" w:rsidRPr="00DF628C" w:rsidRDefault="00605BA0" w:rsidP="00B42C61">
      <w:pPr>
        <w:pStyle w:val="Heading3withoutnumbering"/>
      </w:pPr>
      <w:bookmarkStart w:id="222" w:name="_Toc245536178"/>
      <w:bookmarkStart w:id="223" w:name="_Toc395537193"/>
      <w:bookmarkStart w:id="224" w:name="_Toc422732550"/>
      <w:bookmarkStart w:id="225" w:name="_Toc422752890"/>
      <w:bookmarkStart w:id="226" w:name="_Toc197076900"/>
      <w:r w:rsidRPr="00DF628C">
        <w:t xml:space="preserve">Accessing long-term care </w:t>
      </w:r>
      <w:r w:rsidR="00517F32">
        <w:t>during/</w:t>
      </w:r>
      <w:r w:rsidRPr="00DF628C">
        <w:t>after transition care</w:t>
      </w:r>
      <w:bookmarkEnd w:id="222"/>
      <w:bookmarkEnd w:id="223"/>
      <w:bookmarkEnd w:id="224"/>
      <w:bookmarkEnd w:id="225"/>
      <w:bookmarkEnd w:id="226"/>
    </w:p>
    <w:p w14:paraId="517C4507" w14:textId="2519CB5F" w:rsidR="00605BA0" w:rsidRPr="00DA4E41" w:rsidRDefault="00605BA0" w:rsidP="006D21EE">
      <w:pPr>
        <w:spacing w:before="0" w:after="200"/>
        <w:rPr>
          <w:i/>
          <w:szCs w:val="20"/>
        </w:rPr>
      </w:pPr>
      <w:r w:rsidRPr="00A8096E">
        <w:rPr>
          <w:szCs w:val="20"/>
        </w:rPr>
        <w:t xml:space="preserve">A person cannot commence both transition care and </w:t>
      </w:r>
      <w:r w:rsidR="006C663E" w:rsidRPr="00A8096E">
        <w:rPr>
          <w:szCs w:val="20"/>
        </w:rPr>
        <w:t>most other</w:t>
      </w:r>
      <w:r w:rsidRPr="00A8096E">
        <w:rPr>
          <w:szCs w:val="20"/>
        </w:rPr>
        <w:t xml:space="preserve"> form</w:t>
      </w:r>
      <w:r w:rsidR="006C663E" w:rsidRPr="00A8096E">
        <w:rPr>
          <w:szCs w:val="20"/>
        </w:rPr>
        <w:t>s</w:t>
      </w:r>
      <w:r w:rsidRPr="00A8096E">
        <w:rPr>
          <w:szCs w:val="20"/>
        </w:rPr>
        <w:t xml:space="preserve"> of Australian Government </w:t>
      </w:r>
      <w:r w:rsidRPr="00D07C04">
        <w:rPr>
          <w:szCs w:val="20"/>
        </w:rPr>
        <w:t xml:space="preserve">funded aged care, such as residential care, respite </w:t>
      </w:r>
      <w:r w:rsidRPr="00390397">
        <w:rPr>
          <w:szCs w:val="20"/>
        </w:rPr>
        <w:t xml:space="preserve">or </w:t>
      </w:r>
      <w:proofErr w:type="gramStart"/>
      <w:r w:rsidRPr="00390397">
        <w:rPr>
          <w:szCs w:val="20"/>
        </w:rPr>
        <w:t>a</w:t>
      </w:r>
      <w:proofErr w:type="gramEnd"/>
      <w:r w:rsidRPr="00390397">
        <w:rPr>
          <w:szCs w:val="20"/>
        </w:rPr>
        <w:t xml:space="preserve"> </w:t>
      </w:r>
      <w:r w:rsidR="006B0DE8" w:rsidRPr="00390397">
        <w:rPr>
          <w:szCs w:val="20"/>
        </w:rPr>
        <w:t>HCP</w:t>
      </w:r>
      <w:r w:rsidRPr="00390397">
        <w:rPr>
          <w:szCs w:val="20"/>
        </w:rPr>
        <w:t>, on the same day</w:t>
      </w:r>
      <w:r w:rsidRPr="00D07C04">
        <w:rPr>
          <w:szCs w:val="20"/>
        </w:rPr>
        <w:t>.</w:t>
      </w:r>
      <w:r w:rsidR="00BE1895" w:rsidRPr="00D07C04">
        <w:rPr>
          <w:szCs w:val="20"/>
        </w:rPr>
        <w:t xml:space="preserve"> This includes</w:t>
      </w:r>
      <w:r w:rsidR="00BE1895">
        <w:rPr>
          <w:szCs w:val="20"/>
        </w:rPr>
        <w:t xml:space="preserve"> situations where a recipient is taking a break from their transition care.</w:t>
      </w:r>
    </w:p>
    <w:p w14:paraId="277104A5" w14:textId="77777777" w:rsidR="00605BA0" w:rsidRPr="003C0FE4" w:rsidRDefault="00605BA0" w:rsidP="00187113">
      <w:pPr>
        <w:pStyle w:val="heading4withoutnumbers"/>
        <w:rPr>
          <w:b/>
          <w:bCs/>
        </w:rPr>
      </w:pPr>
      <w:r w:rsidRPr="003C0FE4">
        <w:rPr>
          <w:b/>
          <w:bCs/>
        </w:rPr>
        <w:t>Pre-entry leave for residential aged care</w:t>
      </w:r>
    </w:p>
    <w:p w14:paraId="35CC0562" w14:textId="401EBC94" w:rsidR="00605BA0" w:rsidRPr="00DA4E41" w:rsidRDefault="00605BA0" w:rsidP="006D21EE">
      <w:pPr>
        <w:spacing w:before="0" w:after="200"/>
        <w:rPr>
          <w:szCs w:val="20"/>
        </w:rPr>
      </w:pPr>
      <w:r w:rsidRPr="00DA4E41">
        <w:rPr>
          <w:szCs w:val="20"/>
        </w:rPr>
        <w:t>In accordance with s</w:t>
      </w:r>
      <w:r w:rsidR="00563084">
        <w:rPr>
          <w:szCs w:val="20"/>
        </w:rPr>
        <w:t>ub-s</w:t>
      </w:r>
      <w:r w:rsidRPr="00DA4E41">
        <w:rPr>
          <w:szCs w:val="20"/>
        </w:rPr>
        <w:t xml:space="preserve">ection 42-3(3) of the Act, </w:t>
      </w:r>
      <w:r w:rsidR="00472A5A">
        <w:rPr>
          <w:szCs w:val="20"/>
        </w:rPr>
        <w:t>a person entering</w:t>
      </w:r>
      <w:r w:rsidRPr="00DA4E41">
        <w:rPr>
          <w:szCs w:val="20"/>
        </w:rPr>
        <w:t xml:space="preserve"> residential aged care</w:t>
      </w:r>
      <w:r w:rsidR="00D519A6">
        <w:rPr>
          <w:szCs w:val="20"/>
        </w:rPr>
        <w:t xml:space="preserve"> </w:t>
      </w:r>
      <w:r w:rsidRPr="00DA4E41">
        <w:rPr>
          <w:szCs w:val="20"/>
        </w:rPr>
        <w:t xml:space="preserve">may </w:t>
      </w:r>
      <w:r w:rsidR="00472A5A">
        <w:rPr>
          <w:szCs w:val="20"/>
        </w:rPr>
        <w:t>take</w:t>
      </w:r>
      <w:r w:rsidR="00472A5A" w:rsidRPr="00DA4E41">
        <w:rPr>
          <w:szCs w:val="20"/>
        </w:rPr>
        <w:t xml:space="preserve"> </w:t>
      </w:r>
      <w:r w:rsidRPr="00DA4E41">
        <w:rPr>
          <w:szCs w:val="20"/>
        </w:rPr>
        <w:t>up to seven</w:t>
      </w:r>
      <w:r w:rsidR="00E2428F">
        <w:rPr>
          <w:szCs w:val="20"/>
        </w:rPr>
        <w:t> </w:t>
      </w:r>
      <w:r w:rsidRPr="00DA4E41">
        <w:rPr>
          <w:szCs w:val="20"/>
        </w:rPr>
        <w:t>days ‘pre-entry leave’</w:t>
      </w:r>
      <w:r w:rsidR="00472A5A">
        <w:rPr>
          <w:szCs w:val="20"/>
        </w:rPr>
        <w:t xml:space="preserve"> to secure their place in their new aged care home</w:t>
      </w:r>
      <w:r w:rsidRPr="00DA4E41">
        <w:rPr>
          <w:szCs w:val="20"/>
        </w:rPr>
        <w:t xml:space="preserve">. </w:t>
      </w:r>
      <w:r w:rsidR="00472A5A">
        <w:rPr>
          <w:szCs w:val="20"/>
        </w:rPr>
        <w:t>O</w:t>
      </w:r>
      <w:r w:rsidRPr="00DA4E41">
        <w:rPr>
          <w:szCs w:val="20"/>
        </w:rPr>
        <w:t xml:space="preserve">lder people receiving transition care who are about to be discharged from </w:t>
      </w:r>
      <w:r w:rsidR="00472A5A">
        <w:rPr>
          <w:szCs w:val="20"/>
        </w:rPr>
        <w:t>the programme</w:t>
      </w:r>
      <w:r w:rsidRPr="00DA4E41">
        <w:rPr>
          <w:szCs w:val="20"/>
        </w:rPr>
        <w:t xml:space="preserve"> and enter residential aged care</w:t>
      </w:r>
      <w:r w:rsidR="00472A5A">
        <w:rPr>
          <w:szCs w:val="20"/>
        </w:rPr>
        <w:t xml:space="preserve"> may take pre-entry leave. The only </w:t>
      </w:r>
      <w:r w:rsidR="00330D7F">
        <w:rPr>
          <w:szCs w:val="20"/>
        </w:rPr>
        <w:t>fee that can be charged during pre-entry leave from residential care is the basic daily fee. No</w:t>
      </w:r>
      <w:r w:rsidR="00472A5A">
        <w:rPr>
          <w:szCs w:val="20"/>
        </w:rPr>
        <w:t xml:space="preserve"> subsidy is payable to the aged care provider</w:t>
      </w:r>
      <w:r w:rsidRPr="00DA4E41">
        <w:rPr>
          <w:szCs w:val="20"/>
        </w:rPr>
        <w:t xml:space="preserve"> </w:t>
      </w:r>
      <w:r w:rsidR="00330D7F">
        <w:rPr>
          <w:szCs w:val="20"/>
        </w:rPr>
        <w:t xml:space="preserve">for pre-entry leave </w:t>
      </w:r>
      <w:r w:rsidRPr="00DA4E41">
        <w:rPr>
          <w:szCs w:val="20"/>
        </w:rPr>
        <w:t xml:space="preserve">(see also </w:t>
      </w:r>
      <w:r w:rsidRPr="00653C77">
        <w:rPr>
          <w:i/>
          <w:iCs/>
          <w:szCs w:val="20"/>
        </w:rPr>
        <w:t>section</w:t>
      </w:r>
      <w:r w:rsidRPr="00DA4E41">
        <w:rPr>
          <w:szCs w:val="20"/>
        </w:rPr>
        <w:t xml:space="preserve"> </w:t>
      </w:r>
      <w:r w:rsidR="004F10E5">
        <w:rPr>
          <w:i/>
          <w:szCs w:val="20"/>
        </w:rPr>
        <w:t>5.</w:t>
      </w:r>
      <w:r w:rsidRPr="00DA4E41">
        <w:rPr>
          <w:i/>
          <w:szCs w:val="20"/>
        </w:rPr>
        <w:t>6.</w:t>
      </w:r>
      <w:r w:rsidR="003B3FB8">
        <w:rPr>
          <w:i/>
          <w:szCs w:val="20"/>
        </w:rPr>
        <w:t>1</w:t>
      </w:r>
      <w:r w:rsidRPr="00DA4E41">
        <w:rPr>
          <w:i/>
          <w:szCs w:val="20"/>
        </w:rPr>
        <w:t xml:space="preserve"> Determining care fees</w:t>
      </w:r>
      <w:r w:rsidRPr="00DA4E41">
        <w:rPr>
          <w:szCs w:val="20"/>
        </w:rPr>
        <w:t>).</w:t>
      </w:r>
    </w:p>
    <w:p w14:paraId="6EF75977" w14:textId="77777777" w:rsidR="00605BA0" w:rsidRDefault="00605BA0" w:rsidP="006D21EE">
      <w:pPr>
        <w:spacing w:before="0" w:after="200"/>
        <w:rPr>
          <w:szCs w:val="20"/>
        </w:rPr>
      </w:pPr>
      <w:r w:rsidRPr="00DA4E41">
        <w:rPr>
          <w:szCs w:val="20"/>
        </w:rPr>
        <w:t>Residential aged care services cannot claim pre-entry leave for an existing residential aged care recipient who is on leave from residential care and is receiving transition care.</w:t>
      </w:r>
    </w:p>
    <w:p w14:paraId="22301468" w14:textId="77777777" w:rsidR="00605BA0" w:rsidRPr="003C0FE4" w:rsidRDefault="00605BA0" w:rsidP="006727E2">
      <w:pPr>
        <w:pStyle w:val="heading4withoutnumbers"/>
        <w:rPr>
          <w:b/>
          <w:bCs/>
        </w:rPr>
      </w:pPr>
      <w:r w:rsidRPr="003C0FE4">
        <w:rPr>
          <w:b/>
          <w:bCs/>
        </w:rPr>
        <w:t>Accessing home care</w:t>
      </w:r>
    </w:p>
    <w:p w14:paraId="14BAA9ED" w14:textId="4D0284B9" w:rsidR="001D2859" w:rsidRPr="00A8096E" w:rsidRDefault="001D2859">
      <w:pPr>
        <w:spacing w:before="0" w:after="200"/>
        <w:rPr>
          <w:szCs w:val="20"/>
        </w:rPr>
      </w:pPr>
      <w:r w:rsidRPr="00A8096E">
        <w:rPr>
          <w:szCs w:val="20"/>
        </w:rPr>
        <w:t>A person cannot commence a new HCP whilst currently accessing transition care. Transition care recipients can only commence</w:t>
      </w:r>
      <w:r w:rsidR="00CE702B">
        <w:rPr>
          <w:szCs w:val="20"/>
        </w:rPr>
        <w:t xml:space="preserve"> home care packages</w:t>
      </w:r>
      <w:r w:rsidRPr="00A8096E">
        <w:rPr>
          <w:szCs w:val="20"/>
        </w:rPr>
        <w:t xml:space="preserve"> after they have completed their transition care episode, i.e. no Australian Government subsidy is paid to HCP providers until the care recipient has completed their transition care episode.</w:t>
      </w:r>
    </w:p>
    <w:p w14:paraId="298B9C18" w14:textId="09B7BD0B" w:rsidR="00605BA0" w:rsidRPr="00A8096E" w:rsidRDefault="001D2859">
      <w:pPr>
        <w:spacing w:before="0" w:after="200"/>
        <w:rPr>
          <w:szCs w:val="20"/>
        </w:rPr>
      </w:pPr>
      <w:r w:rsidRPr="00A8096E">
        <w:rPr>
          <w:szCs w:val="20"/>
        </w:rPr>
        <w:t>A</w:t>
      </w:r>
      <w:r w:rsidR="00A9555B" w:rsidRPr="00A8096E">
        <w:rPr>
          <w:szCs w:val="20"/>
        </w:rPr>
        <w:t xml:space="preserve"> person </w:t>
      </w:r>
      <w:r w:rsidRPr="00A8096E">
        <w:rPr>
          <w:szCs w:val="20"/>
        </w:rPr>
        <w:t xml:space="preserve">already </w:t>
      </w:r>
      <w:r w:rsidR="00A9555B" w:rsidRPr="00A8096E">
        <w:rPr>
          <w:szCs w:val="20"/>
        </w:rPr>
        <w:t xml:space="preserve">receiving </w:t>
      </w:r>
      <w:proofErr w:type="gramStart"/>
      <w:r w:rsidR="00A9555B" w:rsidRPr="00A8096E">
        <w:rPr>
          <w:szCs w:val="20"/>
        </w:rPr>
        <w:t>a</w:t>
      </w:r>
      <w:proofErr w:type="gramEnd"/>
      <w:r w:rsidR="00A9555B" w:rsidRPr="00A8096E">
        <w:rPr>
          <w:szCs w:val="20"/>
        </w:rPr>
        <w:t xml:space="preserve"> HCP</w:t>
      </w:r>
      <w:r w:rsidRPr="00A8096E">
        <w:rPr>
          <w:szCs w:val="20"/>
        </w:rPr>
        <w:t xml:space="preserve"> </w:t>
      </w:r>
      <w:r w:rsidR="0064270C" w:rsidRPr="00A8096E">
        <w:rPr>
          <w:szCs w:val="20"/>
        </w:rPr>
        <w:t>can</w:t>
      </w:r>
      <w:r w:rsidR="00A9555B" w:rsidRPr="00A8096E">
        <w:rPr>
          <w:szCs w:val="20"/>
        </w:rPr>
        <w:t xml:space="preserve"> temporarily suspend</w:t>
      </w:r>
      <w:r w:rsidR="00DE6E2A" w:rsidRPr="00A8096E">
        <w:rPr>
          <w:szCs w:val="20"/>
        </w:rPr>
        <w:t xml:space="preserve"> </w:t>
      </w:r>
      <w:r w:rsidR="00A9555B" w:rsidRPr="00A8096E">
        <w:rPr>
          <w:szCs w:val="20"/>
        </w:rPr>
        <w:t>the provision of their home care</w:t>
      </w:r>
      <w:r w:rsidRPr="00A8096E">
        <w:rPr>
          <w:szCs w:val="20"/>
        </w:rPr>
        <w:t xml:space="preserve"> whilst accessing transition care, and resume home care services on conclusion of their TCP episode.</w:t>
      </w:r>
    </w:p>
    <w:p w14:paraId="73163C13" w14:textId="2EBFD09D" w:rsidR="00DE6E2A" w:rsidRPr="00A8096E" w:rsidRDefault="00605BA0" w:rsidP="00DB63BC">
      <w:pPr>
        <w:spacing w:before="0" w:after="200"/>
        <w:rPr>
          <w:szCs w:val="20"/>
        </w:rPr>
      </w:pPr>
      <w:r w:rsidRPr="00A8096E">
        <w:rPr>
          <w:szCs w:val="20"/>
        </w:rPr>
        <w:t xml:space="preserve">For care recipients who have not yet met their physical and cognitive therapeutic goals but wish to end their transition care episode early </w:t>
      </w:r>
      <w:proofErr w:type="gramStart"/>
      <w:r w:rsidRPr="00A8096E">
        <w:rPr>
          <w:szCs w:val="20"/>
        </w:rPr>
        <w:t>in order to</w:t>
      </w:r>
      <w:proofErr w:type="gramEnd"/>
      <w:r w:rsidRPr="00A8096E">
        <w:rPr>
          <w:szCs w:val="20"/>
        </w:rPr>
        <w:t xml:space="preserve"> accept a </w:t>
      </w:r>
      <w:r w:rsidR="00846B56">
        <w:rPr>
          <w:szCs w:val="20"/>
        </w:rPr>
        <w:t>HCP</w:t>
      </w:r>
      <w:r w:rsidRPr="00A8096E">
        <w:rPr>
          <w:szCs w:val="20"/>
        </w:rPr>
        <w:t>, their discharge plan should include strategies to help the care recipient and their carer or family to meet these goals after discharge from the programme.</w:t>
      </w:r>
    </w:p>
    <w:p w14:paraId="6E926266" w14:textId="4266F7E4" w:rsidR="00DE6E2A" w:rsidRPr="00A8096E" w:rsidRDefault="00DE6E2A" w:rsidP="001B4B19">
      <w:r w:rsidRPr="00A8096E">
        <w:lastRenderedPageBreak/>
        <w:t xml:space="preserve">When a person receives </w:t>
      </w:r>
      <w:proofErr w:type="gramStart"/>
      <w:r w:rsidRPr="00A8096E">
        <w:t>notification</w:t>
      </w:r>
      <w:proofErr w:type="gramEnd"/>
      <w:r w:rsidRPr="00A8096E">
        <w:t xml:space="preserve"> they have been assigned </w:t>
      </w:r>
      <w:proofErr w:type="gramStart"/>
      <w:r w:rsidRPr="00A8096E">
        <w:t>a</w:t>
      </w:r>
      <w:proofErr w:type="gramEnd"/>
      <w:r w:rsidRPr="00A8096E">
        <w:t xml:space="preserve"> HCP, they have 56</w:t>
      </w:r>
      <w:r w:rsidR="00E2428F">
        <w:t> </w:t>
      </w:r>
      <w:r w:rsidRPr="00A8096E">
        <w:t>calendar days from the date their package is assigned to find an approved HCP provider</w:t>
      </w:r>
      <w:r w:rsidR="00E2428F">
        <w:t>,</w:t>
      </w:r>
      <w:r w:rsidRPr="00A8096E">
        <w:t xml:space="preserve"> and then with the provider discuss their initial assessment, care planning and establish their Home Care Agreement in preparat</w:t>
      </w:r>
      <w:r w:rsidR="00EF3C2C" w:rsidRPr="00A8096E">
        <w:t>ion for the start of their HCP. The date a person accepts their offer</w:t>
      </w:r>
      <w:r w:rsidR="00E2428F">
        <w:t xml:space="preserve"> to </w:t>
      </w:r>
      <w:r w:rsidR="00EF3C2C" w:rsidRPr="00A8096E">
        <w:t>enter</w:t>
      </w:r>
      <w:r w:rsidR="006C663E" w:rsidRPr="00A8096E">
        <w:t xml:space="preserve"> </w:t>
      </w:r>
      <w:proofErr w:type="gramStart"/>
      <w:r w:rsidR="006C663E" w:rsidRPr="00A8096E">
        <w:t>a</w:t>
      </w:r>
      <w:proofErr w:type="gramEnd"/>
      <w:r w:rsidR="006C663E" w:rsidRPr="00A8096E">
        <w:t xml:space="preserve"> </w:t>
      </w:r>
      <w:r w:rsidR="00EF3C2C" w:rsidRPr="00A8096E">
        <w:t>HCP agreement</w:t>
      </w:r>
      <w:r w:rsidR="006C663E" w:rsidRPr="00A8096E">
        <w:t xml:space="preserve"> is considered as the ‘commencement’ date of their HCP</w:t>
      </w:r>
      <w:r w:rsidR="00EF3C2C" w:rsidRPr="00A8096E">
        <w:t>.</w:t>
      </w:r>
    </w:p>
    <w:p w14:paraId="2779785D" w14:textId="67FFBE08" w:rsidR="00DE6E2A" w:rsidRPr="00A8096E" w:rsidRDefault="00DE6E2A" w:rsidP="001B4B19">
      <w:r w:rsidRPr="00A8096E">
        <w:t xml:space="preserve">If the person requires more time </w:t>
      </w:r>
      <w:r w:rsidR="00EF3C2C" w:rsidRPr="00A8096E">
        <w:t xml:space="preserve">to </w:t>
      </w:r>
      <w:r w:rsidR="006C663E" w:rsidRPr="00A8096E">
        <w:t>‘</w:t>
      </w:r>
      <w:r w:rsidRPr="00A8096E">
        <w:t>enter</w:t>
      </w:r>
      <w:r w:rsidR="006C663E" w:rsidRPr="00A8096E">
        <w:t>’</w:t>
      </w:r>
      <w:r w:rsidRPr="00A8096E">
        <w:t xml:space="preserve"> their Home Care Agreement, they can contact My</w:t>
      </w:r>
      <w:r w:rsidR="00984B9E">
        <w:t> </w:t>
      </w:r>
      <w:r w:rsidRPr="00A8096E">
        <w:t>Aged</w:t>
      </w:r>
      <w:r w:rsidR="00984B9E">
        <w:t> </w:t>
      </w:r>
      <w:r w:rsidRPr="00A8096E">
        <w:t xml:space="preserve">Care </w:t>
      </w:r>
      <w:r w:rsidR="00466335">
        <w:t>on 1800 200 422</w:t>
      </w:r>
      <w:r w:rsidRPr="00A8096E">
        <w:t xml:space="preserve"> and request a </w:t>
      </w:r>
      <w:r w:rsidR="0064270C" w:rsidRPr="00A8096E">
        <w:t>28</w:t>
      </w:r>
      <w:r w:rsidR="0064270C">
        <w:t>-day</w:t>
      </w:r>
      <w:r w:rsidRPr="00A8096E">
        <w:t xml:space="preserve"> extension.</w:t>
      </w:r>
    </w:p>
    <w:p w14:paraId="471C3AD6" w14:textId="3E96CCA1" w:rsidR="00DE6E2A" w:rsidRPr="00A8096E" w:rsidRDefault="00466335" w:rsidP="001B4B19">
      <w:r>
        <w:t>W</w:t>
      </w:r>
      <w:r w:rsidR="00DE6E2A" w:rsidRPr="00A8096E">
        <w:t xml:space="preserve">here a current TCP recipient has been assigned </w:t>
      </w:r>
      <w:proofErr w:type="gramStart"/>
      <w:r w:rsidR="00DE6E2A" w:rsidRPr="00A8096E">
        <w:t>a</w:t>
      </w:r>
      <w:proofErr w:type="gramEnd"/>
      <w:r w:rsidR="00DE6E2A" w:rsidRPr="00A8096E">
        <w:t xml:space="preserve"> HCP, this would mean the person has a total of 56</w:t>
      </w:r>
      <w:r w:rsidR="00984B9E">
        <w:t> </w:t>
      </w:r>
      <w:r w:rsidR="00DE6E2A" w:rsidRPr="00A8096E">
        <w:t>calendar days (or 84</w:t>
      </w:r>
      <w:r w:rsidR="00984B9E">
        <w:t> </w:t>
      </w:r>
      <w:r w:rsidR="00DE6E2A" w:rsidRPr="00A8096E">
        <w:t xml:space="preserve">with an extension) </w:t>
      </w:r>
      <w:r w:rsidR="00EF3C2C" w:rsidRPr="00A8096E">
        <w:t xml:space="preserve">from their HCP assignment notification date, </w:t>
      </w:r>
      <w:r w:rsidR="00DE6E2A" w:rsidRPr="00A8096E">
        <w:t>to finish/cease th</w:t>
      </w:r>
      <w:r w:rsidR="00EF3C2C" w:rsidRPr="00A8096E">
        <w:t>eir TCP episode and enter into their</w:t>
      </w:r>
      <w:r w:rsidR="00DE6E2A" w:rsidRPr="00A8096E">
        <w:t xml:space="preserve"> Home Care Agreement.</w:t>
      </w:r>
    </w:p>
    <w:p w14:paraId="45366D72" w14:textId="467FB037" w:rsidR="00C33B23" w:rsidRPr="00A8096E" w:rsidRDefault="00DE6E2A" w:rsidP="001B4B19">
      <w:r w:rsidRPr="00A8096E">
        <w:t>To ensure a TCP recipient has an uninterrupted continuation of care and services when moving from transition care to a HCP, their TCP provider and prospective HCP provider need to coordinate around the timi</w:t>
      </w:r>
      <w:r w:rsidR="00886812" w:rsidRPr="00A8096E">
        <w:t xml:space="preserve">ng of the TCP episode end date and </w:t>
      </w:r>
      <w:r w:rsidRPr="00A8096E">
        <w:t>the HCP ‘commencement’ date, in line with HCP acceptance timeframes.</w:t>
      </w:r>
    </w:p>
    <w:p w14:paraId="7464160B" w14:textId="77777777" w:rsidR="003D7B9A" w:rsidRPr="003C0FE4" w:rsidRDefault="003D7B9A" w:rsidP="001B4B19">
      <w:pPr>
        <w:pStyle w:val="heading4withoutnumbers"/>
        <w:rPr>
          <w:b/>
          <w:bCs/>
        </w:rPr>
      </w:pPr>
      <w:r w:rsidRPr="003C0FE4">
        <w:rPr>
          <w:b/>
          <w:bCs/>
        </w:rPr>
        <w:t>Accessing a Commonwealth Home Support Package (CHSP)</w:t>
      </w:r>
    </w:p>
    <w:p w14:paraId="03C26E52" w14:textId="3A351F8B" w:rsidR="006C663E" w:rsidRPr="00A8096E" w:rsidRDefault="003D7B9A" w:rsidP="001B4B19">
      <w:r w:rsidRPr="00A8096E">
        <w:t xml:space="preserve">As noted above in </w:t>
      </w:r>
      <w:r w:rsidRPr="002A2A19">
        <w:rPr>
          <w:i/>
          <w:iCs/>
        </w:rPr>
        <w:t>section 3.</w:t>
      </w:r>
      <w:r w:rsidR="00BB5BE3" w:rsidRPr="002A2A19">
        <w:rPr>
          <w:i/>
          <w:iCs/>
        </w:rPr>
        <w:t>5</w:t>
      </w:r>
      <w:r w:rsidRPr="002A2A19">
        <w:rPr>
          <w:i/>
          <w:iCs/>
        </w:rPr>
        <w:t>.4</w:t>
      </w:r>
      <w:r w:rsidRPr="00A8096E">
        <w:t>, a person may</w:t>
      </w:r>
      <w:r w:rsidR="006C663E" w:rsidRPr="00A8096E">
        <w:t xml:space="preserve"> commence/</w:t>
      </w:r>
      <w:r w:rsidRPr="00A8096E">
        <w:t xml:space="preserve">receive CHSP and transition care services at the same time, provided they are eligible, although </w:t>
      </w:r>
      <w:r w:rsidR="00466335">
        <w:t>they must</w:t>
      </w:r>
      <w:r w:rsidR="003B5E1C" w:rsidRPr="00A8096E">
        <w:t xml:space="preserve"> not receive </w:t>
      </w:r>
      <w:r w:rsidRPr="00A8096E">
        <w:t>duplicate services.</w:t>
      </w:r>
    </w:p>
    <w:p w14:paraId="3EAE961D" w14:textId="1FCF08E7" w:rsidR="008827E6" w:rsidRPr="00984B9E" w:rsidRDefault="003D7B9A" w:rsidP="001B4B19">
      <w:pPr>
        <w:rPr>
          <w:rFonts w:asciiTheme="minorHAnsi" w:eastAsiaTheme="majorEastAsia" w:hAnsiTheme="minorHAnsi" w:cstheme="minorHAnsi"/>
          <w:bCs/>
        </w:rPr>
      </w:pPr>
      <w:r w:rsidRPr="00A8096E">
        <w:t>Additionally, a person who meets the eligibility requirements may receive CHSP services</w:t>
      </w:r>
      <w:r>
        <w:t xml:space="preserve"> after </w:t>
      </w:r>
      <w:r w:rsidR="00F35945">
        <w:t>7</w:t>
      </w:r>
      <w:r>
        <w:t>receiving transition care.</w:t>
      </w:r>
      <w:bookmarkStart w:id="227" w:name="_Toc249169621"/>
      <w:bookmarkStart w:id="228" w:name="_Toc395537194"/>
      <w:bookmarkStart w:id="229" w:name="_Toc422732551"/>
      <w:bookmarkStart w:id="230" w:name="_Toc422752891"/>
    </w:p>
    <w:p w14:paraId="4AC1A296" w14:textId="45BA04A1" w:rsidR="003D7742" w:rsidRDefault="005713AE" w:rsidP="001B4B19">
      <w:pPr>
        <w:pStyle w:val="Heading1"/>
        <w:spacing w:before="120"/>
        <w:ind w:left="0" w:firstLine="0"/>
      </w:pPr>
      <w:bookmarkStart w:id="231" w:name="_TRANSITION_CARE_PROGRAMME"/>
      <w:bookmarkStart w:id="232" w:name="_Toc197076901"/>
      <w:bookmarkEnd w:id="231"/>
      <w:r>
        <w:lastRenderedPageBreak/>
        <w:t>TRANSITION CARE PROGRAMME RESTO</w:t>
      </w:r>
      <w:r w:rsidR="00C71823">
        <w:t>R</w:t>
      </w:r>
      <w:r>
        <w:t>ATIVE CARE REQUIREMENTS</w:t>
      </w:r>
      <w:bookmarkEnd w:id="232"/>
    </w:p>
    <w:p w14:paraId="01873C59" w14:textId="2307F648" w:rsidR="006D7E78" w:rsidRPr="00C6193D" w:rsidRDefault="006D7E78" w:rsidP="006D7E78">
      <w:pPr>
        <w:spacing w:before="0" w:after="0"/>
        <w:rPr>
          <w:rFonts w:eastAsia="Calibri" w:cs="Arial"/>
          <w:spacing w:val="0"/>
          <w:szCs w:val="20"/>
          <w:lang w:eastAsia="en-US"/>
        </w:rPr>
      </w:pPr>
      <w:r w:rsidRPr="00832F25">
        <w:rPr>
          <w:rFonts w:eastAsia="Calibri" w:cs="Arial"/>
          <w:spacing w:val="0"/>
          <w:szCs w:val="20"/>
          <w:lang w:eastAsia="en-US"/>
        </w:rPr>
        <w:t>Th</w:t>
      </w:r>
      <w:r w:rsidR="00184FFC" w:rsidRPr="00A95679">
        <w:rPr>
          <w:rFonts w:eastAsia="Calibri" w:cs="Arial"/>
          <w:spacing w:val="0"/>
          <w:szCs w:val="20"/>
          <w:lang w:eastAsia="en-US"/>
        </w:rPr>
        <w:t xml:space="preserve">is chapter </w:t>
      </w:r>
      <w:r w:rsidRPr="008827E6">
        <w:rPr>
          <w:rFonts w:eastAsia="Calibri" w:cs="Arial"/>
          <w:spacing w:val="0"/>
          <w:szCs w:val="20"/>
          <w:lang w:eastAsia="en-US"/>
        </w:rPr>
        <w:t>outline</w:t>
      </w:r>
      <w:r w:rsidR="00184FFC" w:rsidRPr="008827E6">
        <w:rPr>
          <w:rFonts w:eastAsia="Calibri" w:cs="Arial"/>
          <w:spacing w:val="0"/>
          <w:szCs w:val="20"/>
          <w:lang w:eastAsia="en-US"/>
        </w:rPr>
        <w:t>s</w:t>
      </w:r>
      <w:r w:rsidRPr="008827E6">
        <w:rPr>
          <w:rFonts w:eastAsia="Calibri" w:cs="Arial"/>
          <w:spacing w:val="0"/>
          <w:szCs w:val="20"/>
          <w:lang w:eastAsia="en-US"/>
        </w:rPr>
        <w:t xml:space="preserve"> </w:t>
      </w:r>
      <w:r w:rsidRPr="009E59BE">
        <w:rPr>
          <w:rFonts w:eastAsia="Calibri" w:cs="Arial"/>
          <w:spacing w:val="0"/>
          <w:szCs w:val="20"/>
          <w:lang w:eastAsia="en-US"/>
        </w:rPr>
        <w:t xml:space="preserve">the restorative care requirements that service providers must comply with when delivering transition care to recipients. </w:t>
      </w:r>
      <w:r w:rsidR="00C6193D">
        <w:rPr>
          <w:rFonts w:eastAsia="Calibri" w:cs="Arial"/>
          <w:spacing w:val="0"/>
          <w:szCs w:val="20"/>
          <w:lang w:eastAsia="en-US"/>
        </w:rPr>
        <w:t xml:space="preserve">A summary of these requirements is at </w:t>
      </w:r>
      <w:r w:rsidR="002C6CBA" w:rsidRPr="00371D5C">
        <w:rPr>
          <w:rFonts w:eastAsia="Calibri"/>
          <w:i/>
          <w:iCs/>
        </w:rPr>
        <w:t>Attachment C</w:t>
      </w:r>
      <w:r w:rsidR="00C6193D">
        <w:rPr>
          <w:rFonts w:eastAsia="Calibri" w:cs="Arial"/>
          <w:spacing w:val="0"/>
          <w:szCs w:val="20"/>
          <w:lang w:eastAsia="en-US"/>
        </w:rPr>
        <w:t>.</w:t>
      </w:r>
    </w:p>
    <w:p w14:paraId="3C22CC5E" w14:textId="0E5C5A40" w:rsidR="003D7742" w:rsidRPr="00E10CFE" w:rsidRDefault="00D171FD" w:rsidP="00E10CFE">
      <w:pPr>
        <w:pStyle w:val="Heading2"/>
      </w:pPr>
      <w:bookmarkStart w:id="233" w:name="_Toc197076902"/>
      <w:r>
        <w:t>Optimising I</w:t>
      </w:r>
      <w:r w:rsidRPr="00E10CFE">
        <w:t>ndependenc</w:t>
      </w:r>
      <w:r>
        <w:t>e and W</w:t>
      </w:r>
      <w:r w:rsidRPr="00E10CFE">
        <w:t>ellbeing</w:t>
      </w:r>
      <w:r w:rsidR="00580C34">
        <w:t xml:space="preserve"> </w:t>
      </w:r>
      <w:r>
        <w:t>–</w:t>
      </w:r>
      <w:r w:rsidR="00A93F2A">
        <w:t xml:space="preserve"> </w:t>
      </w:r>
      <w:r>
        <w:t>R</w:t>
      </w:r>
      <w:r w:rsidRPr="009E59BE">
        <w:t>equirement 1</w:t>
      </w:r>
      <w:bookmarkEnd w:id="233"/>
    </w:p>
    <w:p w14:paraId="0ED12CA5" w14:textId="78C509FA" w:rsidR="003D7742" w:rsidRPr="00D632C2" w:rsidRDefault="003D7742" w:rsidP="001B4B19">
      <w:r w:rsidRPr="004F7B18">
        <w:t>The transition care service optimises the independence and wellbeing of its care recipient</w:t>
      </w:r>
      <w:r w:rsidR="00D64A4C">
        <w:t>s</w:t>
      </w:r>
      <w:r w:rsidRPr="004F7B18">
        <w:t>.</w:t>
      </w:r>
    </w:p>
    <w:p w14:paraId="09AA7350" w14:textId="748189EF" w:rsidR="003D7742" w:rsidRPr="002653FF" w:rsidRDefault="003D7742" w:rsidP="00D7211F">
      <w:pPr>
        <w:pStyle w:val="Heading3withoutnumbering"/>
      </w:pPr>
      <w:bookmarkStart w:id="234" w:name="_Toc197076903"/>
      <w:r w:rsidRPr="00E10CFE">
        <w:t>Assessment processes:</w:t>
      </w:r>
      <w:bookmarkEnd w:id="234"/>
    </w:p>
    <w:p w14:paraId="6B166E78" w14:textId="364BE42F" w:rsidR="003D7742" w:rsidRPr="00070A87" w:rsidRDefault="003D7742" w:rsidP="00E330E4">
      <w:pPr>
        <w:pStyle w:val="ListBullet"/>
      </w:pPr>
      <w:r w:rsidRPr="00E10CFE">
        <w:t>allow care recipient</w:t>
      </w:r>
      <w:r w:rsidR="003B5E1C">
        <w:t>s</w:t>
      </w:r>
      <w:r w:rsidRPr="00E10CFE">
        <w:t xml:space="preserve"> or their representative, assisted by carers and families as appropriate</w:t>
      </w:r>
      <w:r w:rsidR="00B03331">
        <w:t>,</w:t>
      </w:r>
      <w:r w:rsidRPr="00E10CFE">
        <w:t xml:space="preserve"> to make informed choices between transition care service options </w:t>
      </w:r>
      <w:r w:rsidR="0064270C" w:rsidRPr="00E10CFE">
        <w:t>to</w:t>
      </w:r>
      <w:r w:rsidRPr="00E10CFE">
        <w:t xml:space="preserve"> define and set their goals to optimise their independence and </w:t>
      </w:r>
      <w:proofErr w:type="gramStart"/>
      <w:r w:rsidRPr="00E10CFE">
        <w:t>wellbeing;</w:t>
      </w:r>
      <w:proofErr w:type="gramEnd"/>
    </w:p>
    <w:p w14:paraId="5698EA74" w14:textId="77777777" w:rsidR="003D7742" w:rsidRPr="00070A87" w:rsidRDefault="003D7742" w:rsidP="00E330E4">
      <w:pPr>
        <w:pStyle w:val="ListBullet"/>
      </w:pPr>
      <w:r w:rsidRPr="00134F37">
        <w:t>include an assessment of care recipients’ physical and cognitive independence, as well as their psycho-social needs; and</w:t>
      </w:r>
    </w:p>
    <w:p w14:paraId="43673D88" w14:textId="77777777" w:rsidR="003D7742" w:rsidRPr="006D21EE" w:rsidRDefault="003D7742" w:rsidP="00E330E4">
      <w:pPr>
        <w:pStyle w:val="ListBullet"/>
      </w:pPr>
      <w:r w:rsidRPr="006D21EE">
        <w:t>consider special needs groups, including people from Aboriginal and Torres Strait Islander communities, people from culturally and linguistically diverse backgrounds, and people who have a physical or cognitive impairment.</w:t>
      </w:r>
    </w:p>
    <w:p w14:paraId="6AB058A1" w14:textId="24E66BA1" w:rsidR="003D7742" w:rsidRPr="002653FF" w:rsidRDefault="00D7211F" w:rsidP="00D7211F">
      <w:pPr>
        <w:pStyle w:val="Heading3withoutnumbering"/>
        <w:ind w:left="709" w:hanging="709"/>
      </w:pPr>
      <w:r>
        <w:tab/>
      </w:r>
      <w:bookmarkStart w:id="235" w:name="_Toc197076904"/>
      <w:r w:rsidR="003D7742" w:rsidRPr="002653FF">
        <w:t xml:space="preserve">Care planning is focussed on </w:t>
      </w:r>
      <w:r w:rsidR="003D7742" w:rsidRPr="00134F37">
        <w:t xml:space="preserve">optimising </w:t>
      </w:r>
      <w:r w:rsidR="003D7742" w:rsidRPr="002653FF">
        <w:t>independen</w:t>
      </w:r>
      <w:r>
        <w:t>ce and wellbeing and includes a</w:t>
      </w:r>
      <w:r w:rsidR="003B5E1C">
        <w:tab/>
      </w:r>
      <w:r w:rsidR="003D7742" w:rsidRPr="002653FF">
        <w:t>goal-oriented care plan for the care recipient that:</w:t>
      </w:r>
      <w:bookmarkEnd w:id="235"/>
    </w:p>
    <w:p w14:paraId="0A450A9C" w14:textId="0AC9DC31" w:rsidR="003D7742" w:rsidRPr="00134F37" w:rsidRDefault="003D7742" w:rsidP="00E330E4">
      <w:pPr>
        <w:pStyle w:val="ListBullet"/>
      </w:pPr>
      <w:r w:rsidRPr="00134F37">
        <w:t xml:space="preserve">responds to the identified needs of the care recipient and targets those goals which optimise independence while taking into consideration the cognitive and psycho-social needs of the care </w:t>
      </w:r>
      <w:proofErr w:type="gramStart"/>
      <w:r w:rsidRPr="00134F37">
        <w:t>recipient;</w:t>
      </w:r>
      <w:proofErr w:type="gramEnd"/>
    </w:p>
    <w:p w14:paraId="15B4A84A" w14:textId="77777777" w:rsidR="003D7742" w:rsidRPr="00134F37" w:rsidRDefault="003D7742" w:rsidP="00E330E4">
      <w:pPr>
        <w:pStyle w:val="ListBullet"/>
      </w:pPr>
      <w:r w:rsidRPr="00134F37">
        <w:t>provides the care recipient with required physical and cognitive therapies and treatments designed to teach the care recipient to achieve their own goals; and</w:t>
      </w:r>
    </w:p>
    <w:p w14:paraId="4EA8D967" w14:textId="037FF962" w:rsidR="00D014B6" w:rsidRPr="006D21EE" w:rsidRDefault="003D7742" w:rsidP="00E330E4">
      <w:pPr>
        <w:pStyle w:val="ListBullet"/>
      </w:pPr>
      <w:r w:rsidRPr="006D21EE">
        <w:t>improves the care recipient’s functioning by promoting independence and monitors improvement in consultation with the care recipient and/or their representative, carers and families, clinicians, and therapists.</w:t>
      </w:r>
    </w:p>
    <w:p w14:paraId="3EA918F0" w14:textId="5F8ED42E" w:rsidR="003D7742" w:rsidRPr="006D21EE" w:rsidRDefault="003D7742" w:rsidP="00D632C2">
      <w:pPr>
        <w:rPr>
          <w:lang w:val="en-US"/>
        </w:rPr>
      </w:pPr>
      <w:r w:rsidRPr="00827427">
        <w:t xml:space="preserve">Note: For further detail on care planning, see </w:t>
      </w:r>
      <w:r w:rsidR="002C6CBA" w:rsidRPr="000F287F">
        <w:rPr>
          <w:i/>
          <w:iCs/>
        </w:rPr>
        <w:t>section</w:t>
      </w:r>
      <w:r w:rsidR="00943A3A" w:rsidRPr="000F287F">
        <w:rPr>
          <w:i/>
          <w:iCs/>
        </w:rPr>
        <w:t> </w:t>
      </w:r>
      <w:r w:rsidR="00D014B6" w:rsidRPr="000F287F">
        <w:rPr>
          <w:i/>
          <w:iCs/>
        </w:rPr>
        <w:t>4.2.</w:t>
      </w:r>
      <w:r w:rsidRPr="000F287F">
        <w:rPr>
          <w:i/>
          <w:iCs/>
        </w:rPr>
        <w:t>2</w:t>
      </w:r>
      <w:r w:rsidRPr="00827427">
        <w:t>.</w:t>
      </w:r>
    </w:p>
    <w:p w14:paraId="782E84D4" w14:textId="056ECFAB" w:rsidR="003D7742" w:rsidRPr="002653FF" w:rsidRDefault="003D7742" w:rsidP="00827427">
      <w:pPr>
        <w:pStyle w:val="Heading3withoutnumbering"/>
      </w:pPr>
      <w:bookmarkStart w:id="236" w:name="_Toc197076905"/>
      <w:r w:rsidRPr="002653FF">
        <w:t>The transition care service demonstrates its service:</w:t>
      </w:r>
      <w:bookmarkEnd w:id="236"/>
      <w:r w:rsidRPr="002653FF">
        <w:t xml:space="preserve"> </w:t>
      </w:r>
    </w:p>
    <w:p w14:paraId="2BAAAA75" w14:textId="5361527A" w:rsidR="003D7742" w:rsidRPr="00070A87" w:rsidRDefault="003D7742" w:rsidP="00E330E4">
      <w:pPr>
        <w:pStyle w:val="ListBullet"/>
        <w:rPr>
          <w:lang w:val="en-US"/>
        </w:rPr>
      </w:pPr>
      <w:r w:rsidRPr="00070A87">
        <w:rPr>
          <w:lang w:val="en-US"/>
        </w:rPr>
        <w:t xml:space="preserve">provides a coherent and integrated case management process that enables care </w:t>
      </w:r>
      <w:r w:rsidRPr="00827427">
        <w:t>recipients</w:t>
      </w:r>
      <w:r w:rsidRPr="00070A87">
        <w:rPr>
          <w:lang w:val="en-US"/>
        </w:rPr>
        <w:t xml:space="preserve"> to meet their goals and takes into consideration the psycho-social situation of the care </w:t>
      </w:r>
      <w:proofErr w:type="gramStart"/>
      <w:r w:rsidRPr="00070A87">
        <w:rPr>
          <w:lang w:val="en-US"/>
        </w:rPr>
        <w:t>recipient;</w:t>
      </w:r>
      <w:proofErr w:type="gramEnd"/>
    </w:p>
    <w:p w14:paraId="4D5A24A4" w14:textId="07217644" w:rsidR="003D7742" w:rsidRPr="00827427" w:rsidRDefault="003D7742" w:rsidP="00E330E4">
      <w:pPr>
        <w:pStyle w:val="ListBullet"/>
      </w:pPr>
      <w:r w:rsidRPr="00827427">
        <w:t>actively promotes self-management and self-sufficiency by providing interventions t</w:t>
      </w:r>
      <w:r w:rsidR="002C6CBA">
        <w:t>o</w:t>
      </w:r>
      <w:r w:rsidRPr="00827427">
        <w:t xml:space="preserve"> support the care recipient to make the most of their own capacity and achieve their full </w:t>
      </w:r>
      <w:proofErr w:type="gramStart"/>
      <w:r w:rsidRPr="00827427">
        <w:t>potential;</w:t>
      </w:r>
      <w:proofErr w:type="gramEnd"/>
    </w:p>
    <w:p w14:paraId="163C9520" w14:textId="77777777" w:rsidR="003D7742" w:rsidRPr="00827427" w:rsidRDefault="003D7742" w:rsidP="00E330E4">
      <w:pPr>
        <w:pStyle w:val="ListBullet"/>
      </w:pPr>
      <w:r w:rsidRPr="00827427">
        <w:t xml:space="preserve">encourages care recipients to seek support from carers and families, community groups and others to foster their independence when </w:t>
      </w:r>
      <w:proofErr w:type="gramStart"/>
      <w:r w:rsidRPr="00827427">
        <w:t>required;</w:t>
      </w:r>
      <w:proofErr w:type="gramEnd"/>
    </w:p>
    <w:p w14:paraId="2D31B588" w14:textId="6D5B0085" w:rsidR="003D7742" w:rsidRPr="00827427" w:rsidRDefault="003D7742" w:rsidP="00E330E4">
      <w:pPr>
        <w:pStyle w:val="ListBullet"/>
      </w:pPr>
      <w:r w:rsidRPr="00827427">
        <w:t xml:space="preserve">assists care recipients to achieve an optimum level of independence and wellbeing so that care needs are minimised over the longer </w:t>
      </w:r>
      <w:proofErr w:type="gramStart"/>
      <w:r w:rsidRPr="00827427">
        <w:t>term;</w:t>
      </w:r>
      <w:proofErr w:type="gramEnd"/>
    </w:p>
    <w:p w14:paraId="670DF221" w14:textId="791275E7" w:rsidR="003D7742" w:rsidRPr="00827427" w:rsidRDefault="003D7742" w:rsidP="00E330E4">
      <w:pPr>
        <w:pStyle w:val="ListBullet"/>
      </w:pPr>
      <w:r w:rsidRPr="00827427">
        <w:t xml:space="preserve">provides facility-based residential </w:t>
      </w:r>
      <w:r w:rsidR="00094E8F">
        <w:t>transition c</w:t>
      </w:r>
      <w:r w:rsidRPr="00827427">
        <w:t>are services in a more home-like, less institutional environment. This may include:</w:t>
      </w:r>
    </w:p>
    <w:p w14:paraId="1D0EC005" w14:textId="509C190D" w:rsidR="003D7742" w:rsidRPr="00070A87" w:rsidRDefault="00094E8F" w:rsidP="00E330E4">
      <w:pPr>
        <w:pStyle w:val="ListBullet2"/>
      </w:pPr>
      <w:r>
        <w:t xml:space="preserve">a </w:t>
      </w:r>
      <w:r w:rsidR="003D7742" w:rsidRPr="00070A87">
        <w:t xml:space="preserve">communal living space/living room environment which is </w:t>
      </w:r>
      <w:r w:rsidR="0064270C" w:rsidRPr="00070A87">
        <w:t>separate</w:t>
      </w:r>
      <w:r w:rsidR="003D7742" w:rsidRPr="00070A87">
        <w:t xml:space="preserve"> from sleeping areas and the location of acute/subacute care provision, i.e. a space that encourages carers, families and visitors to spend time with care </w:t>
      </w:r>
      <w:proofErr w:type="gramStart"/>
      <w:r w:rsidR="003D7742" w:rsidRPr="00070A87">
        <w:t>recipients;</w:t>
      </w:r>
      <w:proofErr w:type="gramEnd"/>
    </w:p>
    <w:p w14:paraId="59E94619" w14:textId="6F644B25" w:rsidR="003D7742" w:rsidRPr="00070A87" w:rsidRDefault="003D7742" w:rsidP="00E330E4">
      <w:pPr>
        <w:pStyle w:val="ListBullet2"/>
      </w:pPr>
      <w:r w:rsidRPr="00070A87">
        <w:t>a dining area</w:t>
      </w:r>
      <w:r w:rsidR="002C6CBA">
        <w:t>,</w:t>
      </w:r>
      <w:r w:rsidRPr="00070A87">
        <w:t xml:space="preserve"> and care recipients encouraged not to eat in </w:t>
      </w:r>
      <w:proofErr w:type="gramStart"/>
      <w:r w:rsidRPr="00070A87">
        <w:t>bed;</w:t>
      </w:r>
      <w:proofErr w:type="gramEnd"/>
    </w:p>
    <w:p w14:paraId="65331575" w14:textId="77777777" w:rsidR="003D7742" w:rsidRPr="00070A87" w:rsidRDefault="003D7742" w:rsidP="00E330E4">
      <w:pPr>
        <w:pStyle w:val="ListBullet2"/>
      </w:pPr>
      <w:r w:rsidRPr="00070A87">
        <w:t xml:space="preserve">care recipients being encouraged and supported to dress every </w:t>
      </w:r>
      <w:proofErr w:type="gramStart"/>
      <w:r w:rsidRPr="00070A87">
        <w:t>day;</w:t>
      </w:r>
      <w:proofErr w:type="gramEnd"/>
    </w:p>
    <w:p w14:paraId="73CB0450" w14:textId="77777777" w:rsidR="003D7742" w:rsidRPr="00070A87" w:rsidRDefault="003D7742" w:rsidP="00E330E4">
      <w:pPr>
        <w:pStyle w:val="ListBullet2"/>
      </w:pPr>
      <w:r w:rsidRPr="00070A87">
        <w:t xml:space="preserve">facilities for care recipients to prepare snacks for themselves and their </w:t>
      </w:r>
      <w:proofErr w:type="gramStart"/>
      <w:r w:rsidRPr="00070A87">
        <w:t>visitors;</w:t>
      </w:r>
      <w:proofErr w:type="gramEnd"/>
    </w:p>
    <w:p w14:paraId="4E7176F5" w14:textId="77777777" w:rsidR="003D7742" w:rsidRPr="00070A87" w:rsidRDefault="003D7742" w:rsidP="00E330E4">
      <w:pPr>
        <w:pStyle w:val="ListBullet2"/>
      </w:pPr>
      <w:r w:rsidRPr="00070A87">
        <w:t xml:space="preserve">privacy, particularly for personal care and bathing </w:t>
      </w:r>
      <w:proofErr w:type="gramStart"/>
      <w:r w:rsidRPr="00070A87">
        <w:t>arrangements;</w:t>
      </w:r>
      <w:proofErr w:type="gramEnd"/>
    </w:p>
    <w:p w14:paraId="71ED859E" w14:textId="77777777" w:rsidR="003D7742" w:rsidRPr="00070A87" w:rsidRDefault="003D7742" w:rsidP="00E330E4">
      <w:pPr>
        <w:pStyle w:val="ListBullet2"/>
      </w:pPr>
      <w:r w:rsidRPr="00070A87">
        <w:t xml:space="preserve">space for care recipients to </w:t>
      </w:r>
      <w:r w:rsidR="00B03331">
        <w:t>move about</w:t>
      </w:r>
      <w:r w:rsidRPr="00070A87">
        <w:t xml:space="preserve">, especially </w:t>
      </w:r>
      <w:proofErr w:type="gramStart"/>
      <w:r w:rsidRPr="00070A87">
        <w:t>outdoors;</w:t>
      </w:r>
      <w:proofErr w:type="gramEnd"/>
    </w:p>
    <w:p w14:paraId="402BFED3" w14:textId="54422989" w:rsidR="003D7742" w:rsidRPr="00070A87" w:rsidRDefault="003D7742" w:rsidP="00E330E4">
      <w:pPr>
        <w:pStyle w:val="ListBullet2"/>
      </w:pPr>
      <w:r w:rsidRPr="00070A87">
        <w:t>physical arrangements which support the involvement of carers and family in the therapeutic activities; and</w:t>
      </w:r>
    </w:p>
    <w:p w14:paraId="72DBCB60" w14:textId="77777777" w:rsidR="003D7742" w:rsidRPr="00070A87" w:rsidRDefault="003D7742" w:rsidP="00E330E4">
      <w:pPr>
        <w:pStyle w:val="ListBullet2"/>
      </w:pPr>
      <w:r w:rsidRPr="00070A87">
        <w:t>a model of care and staff knowledge that supports the intent of</w:t>
      </w:r>
      <w:r w:rsidR="009962A6">
        <w:t xml:space="preserve"> the T</w:t>
      </w:r>
      <w:r w:rsidRPr="00070A87">
        <w:t xml:space="preserve">ransition </w:t>
      </w:r>
      <w:r w:rsidR="009962A6">
        <w:t>Care P</w:t>
      </w:r>
      <w:r w:rsidRPr="00070A87">
        <w:t>rogramme to promote the care recipient’s health and independence.</w:t>
      </w:r>
    </w:p>
    <w:p w14:paraId="75162333" w14:textId="39560BA1" w:rsidR="003D7742" w:rsidRPr="00943A3A" w:rsidRDefault="003D7742" w:rsidP="00D632C2">
      <w:r w:rsidRPr="00070A87">
        <w:t xml:space="preserve">Note: Transition care services may also be provided in rural and remote hospitals where appropriate. The requirements for a more home-like environment may be relaxed on a </w:t>
      </w:r>
      <w:r w:rsidR="003A6D92" w:rsidRPr="00070A87">
        <w:t>case-by-case</w:t>
      </w:r>
      <w:r w:rsidRPr="00070A87">
        <w:t xml:space="preserve"> basis in these locations, if </w:t>
      </w:r>
      <w:r w:rsidRPr="00943A3A">
        <w:t>relevant.</w:t>
      </w:r>
    </w:p>
    <w:p w14:paraId="6D514925" w14:textId="1FA6F8E3" w:rsidR="003D7742" w:rsidRPr="005574D9" w:rsidRDefault="00D171FD" w:rsidP="00943A3A">
      <w:pPr>
        <w:pStyle w:val="Heading2"/>
      </w:pPr>
      <w:bookmarkStart w:id="237" w:name="_Toc197076906"/>
      <w:r>
        <w:lastRenderedPageBreak/>
        <w:t>Multidisciplinary Approach and T</w:t>
      </w:r>
      <w:r w:rsidRPr="00827427">
        <w:t>herapy</w:t>
      </w:r>
      <w:r w:rsidR="003D7742" w:rsidRPr="005574D9">
        <w:t xml:space="preserve"> </w:t>
      </w:r>
      <w:r>
        <w:t>Focused C</w:t>
      </w:r>
      <w:r w:rsidRPr="00827427">
        <w:t>are</w:t>
      </w:r>
      <w:r w:rsidR="00015329" w:rsidRPr="00015329">
        <w:t xml:space="preserve"> </w:t>
      </w:r>
      <w:r w:rsidR="00015329" w:rsidRPr="009E59BE">
        <w:t>–</w:t>
      </w:r>
      <w:r w:rsidR="00015329">
        <w:t xml:space="preserve"> </w:t>
      </w:r>
      <w:r>
        <w:t>R</w:t>
      </w:r>
      <w:r w:rsidRPr="009E59BE">
        <w:t>equirement 2</w:t>
      </w:r>
      <w:bookmarkEnd w:id="237"/>
    </w:p>
    <w:p w14:paraId="7EBFECC1" w14:textId="4426F31F" w:rsidR="003D7742" w:rsidRPr="00070A87" w:rsidRDefault="003D7742" w:rsidP="00D632C2">
      <w:r w:rsidRPr="00070A87">
        <w:t>The transition care service provides care recipients with high quality, evidence-based therapeutic services focussed on maintaining or improving function in line with established goals.</w:t>
      </w:r>
    </w:p>
    <w:p w14:paraId="23EAB5BB" w14:textId="11506690" w:rsidR="003D7742" w:rsidRPr="002653FF" w:rsidRDefault="003D7742" w:rsidP="00827427">
      <w:pPr>
        <w:pStyle w:val="Heading3withoutnumbering"/>
        <w:rPr>
          <w:lang w:val="en-US"/>
        </w:rPr>
      </w:pPr>
      <w:bookmarkStart w:id="238" w:name="_Toc197076907"/>
      <w:r w:rsidRPr="002653FF">
        <w:t>Assessment processes:</w:t>
      </w:r>
      <w:bookmarkEnd w:id="238"/>
    </w:p>
    <w:p w14:paraId="7E4A8618" w14:textId="77777777" w:rsidR="003D7742" w:rsidRPr="00070A87" w:rsidRDefault="003D7742" w:rsidP="00E330E4">
      <w:pPr>
        <w:pStyle w:val="ListBullet"/>
        <w:rPr>
          <w:lang w:val="en-US"/>
        </w:rPr>
      </w:pPr>
      <w:r w:rsidRPr="00070A87">
        <w:rPr>
          <w:lang w:val="en-US"/>
        </w:rPr>
        <w:t xml:space="preserve">assessment of the care recipient’s transition care needs by the multidisciplinary team (MDT) at the beginning of the transition care </w:t>
      </w:r>
      <w:proofErr w:type="gramStart"/>
      <w:r w:rsidRPr="00070A87">
        <w:rPr>
          <w:lang w:val="en-US"/>
        </w:rPr>
        <w:t>episode;</w:t>
      </w:r>
      <w:proofErr w:type="gramEnd"/>
    </w:p>
    <w:p w14:paraId="0C074BA5" w14:textId="77777777" w:rsidR="003D7742" w:rsidRDefault="003D7742" w:rsidP="00E330E4">
      <w:pPr>
        <w:pStyle w:val="ListBullet"/>
        <w:rPr>
          <w:lang w:val="en-US"/>
        </w:rPr>
      </w:pPr>
      <w:r w:rsidRPr="00070A87">
        <w:rPr>
          <w:lang w:val="en-US"/>
        </w:rPr>
        <w:t>the use of validated assessment tools deemed appropriate by clinicians/therapists</w:t>
      </w:r>
      <w:proofErr w:type="gramStart"/>
      <w:r w:rsidRPr="00070A87">
        <w:rPr>
          <w:lang w:val="en-US"/>
        </w:rPr>
        <w:t>*;</w:t>
      </w:r>
      <w:proofErr w:type="gramEnd"/>
    </w:p>
    <w:p w14:paraId="0EEDB569" w14:textId="77777777" w:rsidR="003D7742" w:rsidRPr="00070A87" w:rsidRDefault="003D7742" w:rsidP="00E330E4">
      <w:pPr>
        <w:pStyle w:val="ListBullet"/>
        <w:rPr>
          <w:lang w:val="en-US"/>
        </w:rPr>
      </w:pPr>
      <w:r>
        <w:rPr>
          <w:lang w:val="en-US"/>
        </w:rPr>
        <w:t xml:space="preserve">a dementia </w:t>
      </w:r>
      <w:proofErr w:type="gramStart"/>
      <w:r>
        <w:rPr>
          <w:lang w:val="en-US"/>
        </w:rPr>
        <w:t>assessment;</w:t>
      </w:r>
      <w:proofErr w:type="gramEnd"/>
    </w:p>
    <w:p w14:paraId="50554706" w14:textId="661304DC" w:rsidR="003D7742" w:rsidRPr="00070A87" w:rsidRDefault="003D7742" w:rsidP="00E330E4">
      <w:pPr>
        <w:pStyle w:val="ListBullet"/>
        <w:rPr>
          <w:lang w:val="en-US"/>
        </w:rPr>
      </w:pPr>
      <w:r w:rsidRPr="00070A87">
        <w:rPr>
          <w:lang w:val="en-US"/>
        </w:rPr>
        <w:t xml:space="preserve">measurement of a baseline level of functioning using validated assessment tools, </w:t>
      </w:r>
      <w:r w:rsidR="00AD2271" w:rsidRPr="00070A87">
        <w:rPr>
          <w:lang w:val="en-US"/>
        </w:rPr>
        <w:t>and re</w:t>
      </w:r>
      <w:r w:rsidR="00AD2271">
        <w:rPr>
          <w:lang w:val="en-US"/>
        </w:rPr>
        <w:t>assessment</w:t>
      </w:r>
      <w:r w:rsidRPr="00070A87">
        <w:rPr>
          <w:lang w:val="en-US"/>
        </w:rPr>
        <w:t xml:space="preserve"> of functional performance at pre-determined intervals; and</w:t>
      </w:r>
    </w:p>
    <w:p w14:paraId="72928EC3" w14:textId="77777777" w:rsidR="003D7742" w:rsidRPr="006D21EE" w:rsidRDefault="003D7742" w:rsidP="00E330E4">
      <w:pPr>
        <w:pStyle w:val="ListBullet"/>
        <w:rPr>
          <w:lang w:val="en-US"/>
        </w:rPr>
      </w:pPr>
      <w:r w:rsidRPr="001B4B19">
        <w:t>evidence</w:t>
      </w:r>
      <w:r w:rsidRPr="006D21EE">
        <w:rPr>
          <w:lang w:val="en-US"/>
        </w:rPr>
        <w:t xml:space="preserve"> of discharge planning throughout the transition care episode.</w:t>
      </w:r>
    </w:p>
    <w:p w14:paraId="7B7BCA05" w14:textId="334BE509" w:rsidR="003D7742" w:rsidRPr="00070A87" w:rsidRDefault="003D7742" w:rsidP="00D632C2">
      <w:pPr>
        <w:rPr>
          <w:lang w:val="en-US"/>
        </w:rPr>
      </w:pPr>
      <w:r w:rsidRPr="00827427">
        <w:t>*</w:t>
      </w:r>
      <w:r w:rsidRPr="00070A87">
        <w:t>Note</w:t>
      </w:r>
      <w:r w:rsidRPr="00827427">
        <w:t>: The use of the Modified Barthel Index for assessments by the transition care service</w:t>
      </w:r>
      <w:r w:rsidR="001F2675">
        <w:t xml:space="preserve"> at entry to and exit from the T</w:t>
      </w:r>
      <w:r w:rsidRPr="00827427">
        <w:t xml:space="preserve">ransition </w:t>
      </w:r>
      <w:r w:rsidR="001F2675">
        <w:t>Care P</w:t>
      </w:r>
      <w:r w:rsidRPr="00827427">
        <w:t>rogramme is mandatory for Australian Government subsidy payments.</w:t>
      </w:r>
    </w:p>
    <w:p w14:paraId="57021355" w14:textId="33CFFE56" w:rsidR="003D7742" w:rsidRPr="00827427" w:rsidRDefault="003D7742" w:rsidP="00827427">
      <w:pPr>
        <w:pStyle w:val="Heading3withoutnumbering"/>
      </w:pPr>
      <w:bookmarkStart w:id="239" w:name="_Toc197076908"/>
      <w:r w:rsidRPr="002653FF">
        <w:t>Care planning processes demonstrate that:</w:t>
      </w:r>
      <w:bookmarkEnd w:id="239"/>
    </w:p>
    <w:p w14:paraId="05AC84EA" w14:textId="02AE4FF5" w:rsidR="003D7742" w:rsidRPr="00070A87" w:rsidRDefault="003D7742" w:rsidP="00E330E4">
      <w:pPr>
        <w:pStyle w:val="ListBullet"/>
        <w:rPr>
          <w:lang w:val="en-US"/>
        </w:rPr>
      </w:pPr>
      <w:r w:rsidRPr="00070A87">
        <w:rPr>
          <w:lang w:val="en-US"/>
        </w:rPr>
        <w:t xml:space="preserve">a goal-oriented physical and cognitive therapy </w:t>
      </w:r>
      <w:proofErr w:type="spellStart"/>
      <w:r w:rsidRPr="00070A87">
        <w:rPr>
          <w:lang w:val="en-US"/>
        </w:rPr>
        <w:t>programme</w:t>
      </w:r>
      <w:proofErr w:type="spellEnd"/>
      <w:r w:rsidRPr="00070A87">
        <w:rPr>
          <w:lang w:val="en-US"/>
        </w:rPr>
        <w:t xml:space="preserve"> is developed by the provider in consultation with </w:t>
      </w:r>
      <w:proofErr w:type="gramStart"/>
      <w:r w:rsidRPr="00070A87">
        <w:rPr>
          <w:lang w:val="en-US"/>
        </w:rPr>
        <w:t>the care</w:t>
      </w:r>
      <w:proofErr w:type="gramEnd"/>
      <w:r w:rsidRPr="00070A87">
        <w:rPr>
          <w:lang w:val="en-US"/>
        </w:rPr>
        <w:t xml:space="preserve"> recipient or representative, </w:t>
      </w:r>
      <w:r w:rsidR="00986118" w:rsidRPr="00070A87">
        <w:rPr>
          <w:lang w:val="en-US"/>
        </w:rPr>
        <w:t>carer,</w:t>
      </w:r>
      <w:r w:rsidRPr="00070A87">
        <w:rPr>
          <w:lang w:val="en-US"/>
        </w:rPr>
        <w:t xml:space="preserve"> and family prior to the commencement of therapy or treatment, with input from the MDT of the transferring hospital and the </w:t>
      </w:r>
      <w:r w:rsidR="00AA145F">
        <w:t xml:space="preserve">clinical aged care needs </w:t>
      </w:r>
      <w:proofErr w:type="gramStart"/>
      <w:r w:rsidR="00AA145F">
        <w:t>assessor</w:t>
      </w:r>
      <w:r w:rsidRPr="00070A87">
        <w:rPr>
          <w:lang w:val="en-US"/>
        </w:rPr>
        <w:t>;</w:t>
      </w:r>
      <w:proofErr w:type="gramEnd"/>
    </w:p>
    <w:p w14:paraId="4673C11A" w14:textId="77777777" w:rsidR="003D7742" w:rsidRPr="00070A87" w:rsidRDefault="003D7742" w:rsidP="00E330E4">
      <w:pPr>
        <w:pStyle w:val="ListBullet"/>
        <w:rPr>
          <w:lang w:val="en-US"/>
        </w:rPr>
      </w:pPr>
      <w:proofErr w:type="gramStart"/>
      <w:r w:rsidRPr="00070A87">
        <w:rPr>
          <w:lang w:val="en-US"/>
        </w:rPr>
        <w:t>the</w:t>
      </w:r>
      <w:proofErr w:type="gramEnd"/>
      <w:r w:rsidRPr="00070A87">
        <w:rPr>
          <w:lang w:val="en-US"/>
        </w:rPr>
        <w:t xml:space="preserve"> therapy </w:t>
      </w:r>
      <w:proofErr w:type="spellStart"/>
      <w:r w:rsidRPr="00070A87">
        <w:rPr>
          <w:lang w:val="en-US"/>
        </w:rPr>
        <w:t>programme</w:t>
      </w:r>
      <w:proofErr w:type="spellEnd"/>
      <w:r w:rsidRPr="00070A87">
        <w:rPr>
          <w:lang w:val="en-US"/>
        </w:rPr>
        <w:t xml:space="preserve"> duration is estimated and informs planning for the care recipient’s </w:t>
      </w:r>
      <w:proofErr w:type="gramStart"/>
      <w:r w:rsidRPr="00070A87">
        <w:rPr>
          <w:lang w:val="en-US"/>
        </w:rPr>
        <w:t>discharge;</w:t>
      </w:r>
      <w:proofErr w:type="gramEnd"/>
    </w:p>
    <w:p w14:paraId="61C3CFD8" w14:textId="77777777" w:rsidR="003D7742" w:rsidRPr="00070A87" w:rsidRDefault="003D7742" w:rsidP="00E330E4">
      <w:pPr>
        <w:pStyle w:val="ListBullet"/>
        <w:rPr>
          <w:lang w:val="en-US"/>
        </w:rPr>
      </w:pPr>
      <w:r w:rsidRPr="00070A87">
        <w:rPr>
          <w:lang w:val="en-US"/>
        </w:rPr>
        <w:t xml:space="preserve">hospital discharge information is incorporated into the initial care planning </w:t>
      </w:r>
      <w:proofErr w:type="gramStart"/>
      <w:r w:rsidRPr="00070A87">
        <w:rPr>
          <w:lang w:val="en-US"/>
        </w:rPr>
        <w:t>process;</w:t>
      </w:r>
      <w:proofErr w:type="gramEnd"/>
    </w:p>
    <w:p w14:paraId="300983A9" w14:textId="77777777" w:rsidR="003D7742" w:rsidRPr="00070A87" w:rsidRDefault="003D7742" w:rsidP="00E330E4">
      <w:pPr>
        <w:pStyle w:val="ListBullet"/>
        <w:rPr>
          <w:lang w:val="en-US"/>
        </w:rPr>
      </w:pPr>
      <w:r w:rsidRPr="00070A87">
        <w:rPr>
          <w:lang w:val="en-US"/>
        </w:rPr>
        <w:t xml:space="preserve">care provision is responsive to the identified needs and goals of the care </w:t>
      </w:r>
      <w:proofErr w:type="gramStart"/>
      <w:r w:rsidRPr="00070A87">
        <w:rPr>
          <w:lang w:val="en-US"/>
        </w:rPr>
        <w:t>recipient;</w:t>
      </w:r>
      <w:proofErr w:type="gramEnd"/>
    </w:p>
    <w:p w14:paraId="780CBD56" w14:textId="743E09EC" w:rsidR="003D7742" w:rsidRPr="00070A87" w:rsidRDefault="003D7742" w:rsidP="00E330E4">
      <w:pPr>
        <w:pStyle w:val="ListBullet"/>
        <w:rPr>
          <w:lang w:val="en-US"/>
        </w:rPr>
      </w:pPr>
      <w:r w:rsidRPr="00070A87">
        <w:rPr>
          <w:lang w:val="en-US"/>
        </w:rPr>
        <w:t xml:space="preserve">physical and cognitive therapy goals agreed with the care </w:t>
      </w:r>
      <w:r w:rsidR="00377F45" w:rsidRPr="00070A87">
        <w:rPr>
          <w:lang w:val="en-US"/>
        </w:rPr>
        <w:t>recipient,</w:t>
      </w:r>
      <w:r w:rsidRPr="00070A87">
        <w:rPr>
          <w:lang w:val="en-US"/>
        </w:rPr>
        <w:t xml:space="preserve"> or their representative/carer are documented and </w:t>
      </w:r>
      <w:proofErr w:type="spellStart"/>
      <w:proofErr w:type="gramStart"/>
      <w:r w:rsidRPr="00070A87">
        <w:rPr>
          <w:lang w:val="en-US"/>
        </w:rPr>
        <w:t>prioritised</w:t>
      </w:r>
      <w:proofErr w:type="spellEnd"/>
      <w:r w:rsidRPr="00070A87">
        <w:rPr>
          <w:lang w:val="en-US"/>
        </w:rPr>
        <w:t>;</w:t>
      </w:r>
      <w:proofErr w:type="gramEnd"/>
    </w:p>
    <w:p w14:paraId="1BC88F5F" w14:textId="019E666F" w:rsidR="003D7742" w:rsidRPr="00070A87" w:rsidRDefault="003D7742" w:rsidP="00E330E4">
      <w:pPr>
        <w:pStyle w:val="ListBullet"/>
        <w:rPr>
          <w:lang w:val="en-US"/>
        </w:rPr>
      </w:pPr>
      <w:proofErr w:type="gramStart"/>
      <w:r w:rsidRPr="00070A87">
        <w:rPr>
          <w:lang w:val="en-US"/>
        </w:rPr>
        <w:t>the</w:t>
      </w:r>
      <w:proofErr w:type="gramEnd"/>
      <w:r w:rsidRPr="00070A87">
        <w:rPr>
          <w:lang w:val="en-US"/>
        </w:rPr>
        <w:t xml:space="preserve"> care recipient receives timely and appropriate access to therapy, care and equipment during the transition care episode. This is demonstrated by:</w:t>
      </w:r>
    </w:p>
    <w:p w14:paraId="7830DE30" w14:textId="77777777" w:rsidR="003D7742" w:rsidRPr="00070A87" w:rsidRDefault="003D7742" w:rsidP="00E330E4">
      <w:pPr>
        <w:pStyle w:val="ListBullet2"/>
      </w:pPr>
      <w:r w:rsidRPr="00070A87">
        <w:t xml:space="preserve">ensuring aids, appliances, equipment and services required for a care recipient’s therapy are provided in a timely </w:t>
      </w:r>
      <w:proofErr w:type="gramStart"/>
      <w:r w:rsidRPr="00070A87">
        <w:t>manner;</w:t>
      </w:r>
      <w:proofErr w:type="gramEnd"/>
    </w:p>
    <w:p w14:paraId="05C8DDDD" w14:textId="77777777" w:rsidR="003D7742" w:rsidRPr="00070A87" w:rsidRDefault="003D7742" w:rsidP="00E330E4">
      <w:pPr>
        <w:pStyle w:val="ListBullet2"/>
      </w:pPr>
      <w:r w:rsidRPr="00070A87">
        <w:t xml:space="preserve">providing a broad range of services tailored to meet the care recipient’s therapeutic goals to improve or maintain </w:t>
      </w:r>
      <w:proofErr w:type="gramStart"/>
      <w:r w:rsidRPr="00070A87">
        <w:t>function;</w:t>
      </w:r>
      <w:proofErr w:type="gramEnd"/>
    </w:p>
    <w:p w14:paraId="05F415AB" w14:textId="77777777" w:rsidR="003D7742" w:rsidRPr="00070A87" w:rsidRDefault="003D7742" w:rsidP="00E330E4">
      <w:pPr>
        <w:pStyle w:val="ListBullet2"/>
      </w:pPr>
      <w:r w:rsidRPr="00070A87">
        <w:t>providing the care recipient with low intensity therapy from appropriately qualified staff to achieve their individual documented goals; and</w:t>
      </w:r>
    </w:p>
    <w:p w14:paraId="7FF0054D" w14:textId="77777777" w:rsidR="003D7742" w:rsidRPr="00070A87" w:rsidRDefault="003D7742" w:rsidP="00E330E4">
      <w:pPr>
        <w:pStyle w:val="ListBullet2"/>
      </w:pPr>
      <w:r w:rsidRPr="00070A87">
        <w:t>actively encouraging care recipient, and/or their representative, carer and family participation in all aspects of transition care service provision.</w:t>
      </w:r>
    </w:p>
    <w:p w14:paraId="3608666A" w14:textId="34CC73D6" w:rsidR="003D7742" w:rsidRPr="00070A87" w:rsidRDefault="003D7742" w:rsidP="00E330E4">
      <w:pPr>
        <w:pStyle w:val="ListBullet"/>
        <w:rPr>
          <w:lang w:val="en-US"/>
        </w:rPr>
      </w:pPr>
      <w:r w:rsidRPr="00070A87">
        <w:rPr>
          <w:lang w:val="en-US"/>
        </w:rPr>
        <w:t xml:space="preserve">the care recipient’s progress against therapy goals is regularly evaluated throughout their transition care episode and on exit, with changes in physical and </w:t>
      </w:r>
      <w:r w:rsidRPr="00780143">
        <w:rPr>
          <w:lang w:val="en-US"/>
        </w:rPr>
        <w:t>cognitive</w:t>
      </w:r>
      <w:r w:rsidRPr="00070A87">
        <w:rPr>
          <w:lang w:val="en-US"/>
        </w:rPr>
        <w:t xml:space="preserve"> function measured and recorded to demonstrate achievement of the care recipient’s </w:t>
      </w:r>
      <w:proofErr w:type="gramStart"/>
      <w:r w:rsidRPr="00070A87">
        <w:rPr>
          <w:lang w:val="en-US"/>
        </w:rPr>
        <w:t>goals;</w:t>
      </w:r>
      <w:proofErr w:type="gramEnd"/>
    </w:p>
    <w:p w14:paraId="7B4DCBB1" w14:textId="77777777" w:rsidR="003D7742" w:rsidRPr="00070A87" w:rsidRDefault="003D7742" w:rsidP="00E330E4">
      <w:pPr>
        <w:pStyle w:val="ListBullet"/>
        <w:rPr>
          <w:lang w:val="en-US"/>
        </w:rPr>
      </w:pPr>
      <w:proofErr w:type="gramStart"/>
      <w:r w:rsidRPr="00070A87">
        <w:rPr>
          <w:lang w:val="en-US"/>
        </w:rPr>
        <w:t>the</w:t>
      </w:r>
      <w:proofErr w:type="gramEnd"/>
      <w:r w:rsidRPr="00070A87">
        <w:rPr>
          <w:lang w:val="en-US"/>
        </w:rPr>
        <w:t xml:space="preserve"> care recipient’s changing needs are reflected as they move between care settings; and</w:t>
      </w:r>
    </w:p>
    <w:p w14:paraId="728C47AC" w14:textId="77777777" w:rsidR="00DA4091" w:rsidRPr="006D21EE" w:rsidRDefault="003D7742" w:rsidP="00E330E4">
      <w:pPr>
        <w:pStyle w:val="ListBullet"/>
        <w:rPr>
          <w:lang w:val="en-US"/>
        </w:rPr>
      </w:pPr>
      <w:proofErr w:type="gramStart"/>
      <w:r w:rsidRPr="006D21EE">
        <w:rPr>
          <w:lang w:val="en-US"/>
        </w:rPr>
        <w:t>care</w:t>
      </w:r>
      <w:proofErr w:type="gramEnd"/>
      <w:r w:rsidRPr="006D21EE">
        <w:rPr>
          <w:lang w:val="en-US"/>
        </w:rPr>
        <w:t xml:space="preserve"> recipient goals are delivered in accordance with the care plan, using an integrated case management approach.</w:t>
      </w:r>
    </w:p>
    <w:p w14:paraId="78C6637D" w14:textId="77777777" w:rsidR="005313EF" w:rsidRDefault="005313EF">
      <w:pPr>
        <w:spacing w:before="0" w:after="200" w:line="276" w:lineRule="auto"/>
        <w:rPr>
          <w:rFonts w:eastAsiaTheme="majorEastAsia" w:cs="Arial"/>
          <w:b/>
          <w:spacing w:val="0"/>
          <w:szCs w:val="20"/>
          <w:lang w:eastAsia="en-US"/>
        </w:rPr>
      </w:pPr>
      <w:r>
        <w:br w:type="page"/>
      </w:r>
    </w:p>
    <w:p w14:paraId="0AA693CA" w14:textId="0228F833" w:rsidR="003D7742" w:rsidRPr="002653FF" w:rsidRDefault="003D7742" w:rsidP="00827427">
      <w:pPr>
        <w:pStyle w:val="Heading3withoutnumbering"/>
      </w:pPr>
      <w:bookmarkStart w:id="240" w:name="_Toc197076909"/>
      <w:r w:rsidRPr="002653FF">
        <w:lastRenderedPageBreak/>
        <w:t>The MDT approach to the planning and review of care recipient care demonstrates that:</w:t>
      </w:r>
      <w:bookmarkEnd w:id="240"/>
    </w:p>
    <w:p w14:paraId="33805B10" w14:textId="18A6979D" w:rsidR="003D7742" w:rsidRPr="00070A87" w:rsidRDefault="003D7742" w:rsidP="00E330E4">
      <w:pPr>
        <w:pStyle w:val="ListBullet"/>
        <w:rPr>
          <w:lang w:val="en-US"/>
        </w:rPr>
      </w:pPr>
      <w:r w:rsidRPr="00070A87">
        <w:rPr>
          <w:lang w:val="en-US"/>
        </w:rPr>
        <w:t>documented procedures and protocols are available to support the multidisciplinary team in the care and review of care recipients</w:t>
      </w:r>
      <w:r w:rsidR="00DA0938">
        <w:rPr>
          <w:lang w:val="en-US"/>
        </w:rPr>
        <w:t>,</w:t>
      </w:r>
      <w:r w:rsidRPr="00070A87">
        <w:rPr>
          <w:lang w:val="en-US"/>
        </w:rPr>
        <w:t xml:space="preserve"> includ</w:t>
      </w:r>
      <w:r w:rsidR="00BF07F0">
        <w:rPr>
          <w:lang w:val="en-US"/>
        </w:rPr>
        <w:t>ing</w:t>
      </w:r>
      <w:r w:rsidRPr="00070A87">
        <w:rPr>
          <w:lang w:val="en-US"/>
        </w:rPr>
        <w:t xml:space="preserve"> processes for communicating care recipient information to relevant health </w:t>
      </w:r>
      <w:proofErr w:type="gramStart"/>
      <w:r w:rsidRPr="00070A87">
        <w:rPr>
          <w:lang w:val="en-US"/>
        </w:rPr>
        <w:t>professionals;</w:t>
      </w:r>
      <w:proofErr w:type="gramEnd"/>
    </w:p>
    <w:p w14:paraId="5E3254DE" w14:textId="3925CB35" w:rsidR="003D7742" w:rsidRPr="00070A87" w:rsidRDefault="003D7742" w:rsidP="00E330E4">
      <w:pPr>
        <w:pStyle w:val="ListBullet"/>
        <w:rPr>
          <w:lang w:val="en-US"/>
        </w:rPr>
      </w:pPr>
      <w:r w:rsidRPr="00070A87">
        <w:rPr>
          <w:lang w:val="en-US"/>
        </w:rPr>
        <w:t>care planning is carried out by members of the MDT with relevant clinical experience in goal</w:t>
      </w:r>
      <w:r w:rsidR="00943A3A">
        <w:rPr>
          <w:lang w:val="en-US"/>
        </w:rPr>
        <w:noBreakHyphen/>
      </w:r>
      <w:r w:rsidRPr="00070A87">
        <w:rPr>
          <w:lang w:val="en-US"/>
        </w:rPr>
        <w:t xml:space="preserve">oriented, low intensity </w:t>
      </w:r>
      <w:proofErr w:type="gramStart"/>
      <w:r w:rsidRPr="00070A87">
        <w:rPr>
          <w:lang w:val="en-US"/>
        </w:rPr>
        <w:t>therapy;</w:t>
      </w:r>
      <w:proofErr w:type="gramEnd"/>
    </w:p>
    <w:p w14:paraId="4BEEC39B" w14:textId="79F17AF4" w:rsidR="003D7742" w:rsidRPr="00070A87" w:rsidRDefault="003D7742" w:rsidP="00E330E4">
      <w:pPr>
        <w:pStyle w:val="ListBullet"/>
        <w:rPr>
          <w:lang w:val="en-US"/>
        </w:rPr>
      </w:pPr>
      <w:r w:rsidRPr="00070A87">
        <w:rPr>
          <w:lang w:val="en-US"/>
        </w:rPr>
        <w:t xml:space="preserve">care plan reviews/case conferencing include those members of the MDT involved in the care recipient’s treatment and occur at predetermined </w:t>
      </w:r>
      <w:proofErr w:type="gramStart"/>
      <w:r w:rsidRPr="00070A87">
        <w:rPr>
          <w:lang w:val="en-US"/>
        </w:rPr>
        <w:t>intervals;</w:t>
      </w:r>
      <w:proofErr w:type="gramEnd"/>
    </w:p>
    <w:p w14:paraId="21D2EDEC" w14:textId="77777777" w:rsidR="003D7742" w:rsidRPr="00070A87" w:rsidRDefault="003D7742" w:rsidP="00E330E4">
      <w:pPr>
        <w:pStyle w:val="ListBullet"/>
        <w:rPr>
          <w:lang w:val="en-US"/>
        </w:rPr>
      </w:pPr>
      <w:r w:rsidRPr="00070A87">
        <w:rPr>
          <w:lang w:val="en-US"/>
        </w:rPr>
        <w:t>care is informed by discussions with and between the r</w:t>
      </w:r>
      <w:r w:rsidR="001F2675">
        <w:rPr>
          <w:lang w:val="en-US"/>
        </w:rPr>
        <w:t>elevant g</w:t>
      </w:r>
      <w:r w:rsidRPr="00070A87">
        <w:rPr>
          <w:lang w:val="en-US"/>
        </w:rPr>
        <w:t xml:space="preserve">eriatrician and the care recipient’s GP, where possible, and/or other appropriate medical </w:t>
      </w:r>
      <w:proofErr w:type="gramStart"/>
      <w:r w:rsidRPr="00070A87">
        <w:rPr>
          <w:lang w:val="en-US"/>
        </w:rPr>
        <w:t>input;</w:t>
      </w:r>
      <w:proofErr w:type="gramEnd"/>
    </w:p>
    <w:p w14:paraId="33FE3DB1" w14:textId="77777777" w:rsidR="003D7742" w:rsidRPr="00070A87" w:rsidRDefault="003D7742" w:rsidP="00E330E4">
      <w:pPr>
        <w:pStyle w:val="ListBullet"/>
        <w:rPr>
          <w:lang w:val="en-US"/>
        </w:rPr>
      </w:pPr>
      <w:r w:rsidRPr="00070A87">
        <w:rPr>
          <w:lang w:val="en-US"/>
        </w:rPr>
        <w:t xml:space="preserve">MDTs have integrated care recipient </w:t>
      </w:r>
      <w:proofErr w:type="gramStart"/>
      <w:r w:rsidRPr="00070A87">
        <w:rPr>
          <w:lang w:val="en-US"/>
        </w:rPr>
        <w:t>records;</w:t>
      </w:r>
      <w:proofErr w:type="gramEnd"/>
    </w:p>
    <w:p w14:paraId="3B9189AA" w14:textId="77777777" w:rsidR="003D7742" w:rsidRPr="00070A87" w:rsidRDefault="003D7742" w:rsidP="00E330E4">
      <w:pPr>
        <w:pStyle w:val="ListBullet"/>
        <w:rPr>
          <w:lang w:val="en-US"/>
        </w:rPr>
      </w:pPr>
      <w:proofErr w:type="gramStart"/>
      <w:r w:rsidRPr="00070A87">
        <w:rPr>
          <w:lang w:val="en-US"/>
        </w:rPr>
        <w:t>the</w:t>
      </w:r>
      <w:proofErr w:type="gramEnd"/>
      <w:r w:rsidRPr="00070A87">
        <w:rPr>
          <w:lang w:val="en-US"/>
        </w:rPr>
        <w:t xml:space="preserve"> MDT comprises an appropriate mix and level of staff, enabling the provision of effective care recipient services; and</w:t>
      </w:r>
    </w:p>
    <w:p w14:paraId="595B1AD8" w14:textId="4A1322EC" w:rsidR="003D7742" w:rsidRPr="00070A87" w:rsidRDefault="003D7742" w:rsidP="00E330E4">
      <w:pPr>
        <w:pStyle w:val="ListBullet"/>
        <w:rPr>
          <w:lang w:val="en-US"/>
        </w:rPr>
      </w:pPr>
      <w:r w:rsidRPr="00070A87">
        <w:rPr>
          <w:lang w:val="en-US"/>
        </w:rPr>
        <w:t>a coordinator/case manager is in place to oversight and promote effective MDT and inter</w:t>
      </w:r>
      <w:r w:rsidR="00BF07F0">
        <w:rPr>
          <w:lang w:val="en-US"/>
        </w:rPr>
        <w:noBreakHyphen/>
      </w:r>
      <w:r w:rsidRPr="00070A87">
        <w:rPr>
          <w:lang w:val="en-US"/>
        </w:rPr>
        <w:t>agency working.</w:t>
      </w:r>
    </w:p>
    <w:p w14:paraId="1721B360" w14:textId="0FBF74C6" w:rsidR="003D7742" w:rsidRPr="00827427" w:rsidRDefault="00D171FD" w:rsidP="00827427">
      <w:pPr>
        <w:pStyle w:val="Heading2"/>
      </w:pPr>
      <w:bookmarkStart w:id="241" w:name="_Toc197076910"/>
      <w:r>
        <w:t>Seamless C</w:t>
      </w:r>
      <w:r w:rsidRPr="00827427">
        <w:t>are</w:t>
      </w:r>
      <w:r w:rsidR="00015329">
        <w:t xml:space="preserve"> </w:t>
      </w:r>
      <w:r>
        <w:t>– R</w:t>
      </w:r>
      <w:r w:rsidRPr="009E59BE">
        <w:t>equirement 3</w:t>
      </w:r>
      <w:bookmarkEnd w:id="241"/>
    </w:p>
    <w:p w14:paraId="02EB3ABA" w14:textId="4CAB3228" w:rsidR="003D7742" w:rsidRPr="00BF07F0" w:rsidRDefault="003D7742" w:rsidP="006D21EE">
      <w:pPr>
        <w:spacing w:before="0" w:after="200"/>
        <w:rPr>
          <w:bCs/>
          <w:szCs w:val="20"/>
        </w:rPr>
      </w:pPr>
      <w:r w:rsidRPr="00DA0938">
        <w:rPr>
          <w:bCs/>
          <w:szCs w:val="20"/>
        </w:rPr>
        <w:t>The transition care service uses a collaborative service delivery model t</w:t>
      </w:r>
      <w:r w:rsidR="00BF07F0">
        <w:rPr>
          <w:bCs/>
          <w:szCs w:val="20"/>
        </w:rPr>
        <w:t>o</w:t>
      </w:r>
      <w:r w:rsidRPr="001A4282">
        <w:rPr>
          <w:bCs/>
          <w:szCs w:val="20"/>
        </w:rPr>
        <w:t xml:space="preserve"> deliver seamless care.</w:t>
      </w:r>
    </w:p>
    <w:p w14:paraId="1538A4AD" w14:textId="24B84247" w:rsidR="003D7742" w:rsidRPr="002653FF" w:rsidRDefault="003D7742" w:rsidP="00827427">
      <w:pPr>
        <w:pStyle w:val="Heading3withoutnumbering"/>
      </w:pPr>
      <w:bookmarkStart w:id="242" w:name="_Toc197076911"/>
      <w:r w:rsidRPr="002653FF">
        <w:t>Assessment processes:</w:t>
      </w:r>
      <w:bookmarkEnd w:id="242"/>
    </w:p>
    <w:p w14:paraId="39122FAE" w14:textId="77777777" w:rsidR="003D7742" w:rsidRPr="00070A87" w:rsidRDefault="003D7742" w:rsidP="001B4B19">
      <w:pPr>
        <w:pStyle w:val="ListParagraph"/>
        <w:rPr>
          <w:lang w:val="en-US"/>
        </w:rPr>
      </w:pPr>
      <w:r w:rsidRPr="00070A87">
        <w:rPr>
          <w:lang w:val="en-US"/>
        </w:rPr>
        <w:t xml:space="preserve">follow agreed protocols for the effective transfer of care recipient information between primary, community, acute and aged care </w:t>
      </w:r>
      <w:proofErr w:type="gramStart"/>
      <w:r w:rsidRPr="00070A87">
        <w:rPr>
          <w:lang w:val="en-US"/>
        </w:rPr>
        <w:t>services;</w:t>
      </w:r>
      <w:proofErr w:type="gramEnd"/>
    </w:p>
    <w:p w14:paraId="09BC04D9" w14:textId="345B0850" w:rsidR="003D7742" w:rsidRPr="00070A87" w:rsidRDefault="003D7742" w:rsidP="001B4B19">
      <w:pPr>
        <w:pStyle w:val="ListParagraph"/>
        <w:rPr>
          <w:lang w:val="en-US"/>
        </w:rPr>
      </w:pPr>
      <w:r w:rsidRPr="00070A87">
        <w:rPr>
          <w:lang w:val="en-US"/>
        </w:rPr>
        <w:t xml:space="preserve">recognise and incorporate hospital assessment, care planning and discharge arrangements, including </w:t>
      </w:r>
      <w:r w:rsidR="009B6786">
        <w:rPr>
          <w:lang w:val="en-US"/>
        </w:rPr>
        <w:t>an aged care</w:t>
      </w:r>
      <w:r w:rsidR="006D79FD">
        <w:rPr>
          <w:lang w:val="en-US"/>
        </w:rPr>
        <w:t xml:space="preserve"> needs</w:t>
      </w:r>
      <w:r w:rsidR="009B6786">
        <w:rPr>
          <w:lang w:val="en-US"/>
        </w:rPr>
        <w:t xml:space="preserve"> </w:t>
      </w:r>
      <w:r w:rsidRPr="00070A87">
        <w:rPr>
          <w:lang w:val="en-US"/>
        </w:rPr>
        <w:t xml:space="preserve">assessment and approval </w:t>
      </w:r>
      <w:proofErr w:type="gramStart"/>
      <w:r w:rsidRPr="00070A87">
        <w:rPr>
          <w:lang w:val="en-US"/>
        </w:rPr>
        <w:t>recommendations;</w:t>
      </w:r>
      <w:proofErr w:type="gramEnd"/>
    </w:p>
    <w:p w14:paraId="0D12BC1F" w14:textId="77777777" w:rsidR="003D7742" w:rsidRPr="00070A87" w:rsidRDefault="003D7742" w:rsidP="001B4B19">
      <w:pPr>
        <w:pStyle w:val="ListParagraph"/>
        <w:rPr>
          <w:lang w:val="en-US"/>
        </w:rPr>
      </w:pPr>
      <w:r w:rsidRPr="00070A87">
        <w:rPr>
          <w:lang w:val="en-US"/>
        </w:rPr>
        <w:t>enable staff of the receiving transition care service to meet and assess the care recipient’s care needs and the transition care service’s ability to meet these care needs prior to the care recipient’s admission into the service, where possible; and</w:t>
      </w:r>
    </w:p>
    <w:p w14:paraId="22C7A916" w14:textId="77777777" w:rsidR="0026543F" w:rsidRPr="006D21EE" w:rsidRDefault="003D7742" w:rsidP="001B4B19">
      <w:pPr>
        <w:pStyle w:val="ListParagraph"/>
        <w:rPr>
          <w:lang w:val="en-US"/>
        </w:rPr>
      </w:pPr>
      <w:r w:rsidRPr="006D21EE">
        <w:rPr>
          <w:lang w:val="en-US"/>
        </w:rPr>
        <w:t>provide for a verbal as well as a written handover of care recipient information and status whenever the care recipient moves between or within services, where practical.</w:t>
      </w:r>
    </w:p>
    <w:p w14:paraId="60AE70D4" w14:textId="7D8EB513" w:rsidR="003D7742" w:rsidRPr="002653FF" w:rsidRDefault="003D7742" w:rsidP="00DA4091">
      <w:pPr>
        <w:pStyle w:val="Heading3withoutnumbering"/>
      </w:pPr>
      <w:bookmarkStart w:id="243" w:name="_Toc197076912"/>
      <w:r w:rsidRPr="002653FF">
        <w:t xml:space="preserve">The </w:t>
      </w:r>
      <w:r w:rsidRPr="00827427">
        <w:t xml:space="preserve">transition care service works within an </w:t>
      </w:r>
      <w:r w:rsidRPr="002653FF">
        <w:t>integrated system of care with other</w:t>
      </w:r>
      <w:r w:rsidR="00DA4091">
        <w:t xml:space="preserve"> </w:t>
      </w:r>
      <w:r w:rsidRPr="002653FF">
        <w:t>organisations by:</w:t>
      </w:r>
      <w:bookmarkEnd w:id="243"/>
    </w:p>
    <w:p w14:paraId="1F2B6BEE" w14:textId="6E58A2FC" w:rsidR="003D7742" w:rsidRPr="00070A87" w:rsidRDefault="003D7742" w:rsidP="001B4B19">
      <w:pPr>
        <w:pStyle w:val="ListParagraph"/>
        <w:rPr>
          <w:lang w:val="en-US"/>
        </w:rPr>
      </w:pPr>
      <w:r w:rsidRPr="00070A87">
        <w:rPr>
          <w:lang w:val="en-US"/>
        </w:rPr>
        <w:t xml:space="preserve">establishing relationships and communication strategies that govern </w:t>
      </w:r>
      <w:r w:rsidR="003F75B4">
        <w:rPr>
          <w:lang w:val="en-US"/>
        </w:rPr>
        <w:t>collaboration between acute/sub</w:t>
      </w:r>
      <w:r w:rsidRPr="00070A87">
        <w:rPr>
          <w:lang w:val="en-US"/>
        </w:rPr>
        <w:t xml:space="preserve">acute, </w:t>
      </w:r>
      <w:r w:rsidR="00986118" w:rsidRPr="00070A87">
        <w:rPr>
          <w:lang w:val="en-US"/>
        </w:rPr>
        <w:t>aged,</w:t>
      </w:r>
      <w:r w:rsidRPr="00070A87">
        <w:rPr>
          <w:lang w:val="en-US"/>
        </w:rPr>
        <w:t xml:space="preserve"> and primary care services, promoting a clear understanding of each other’s roles, </w:t>
      </w:r>
      <w:r w:rsidR="00986118" w:rsidRPr="00070A87">
        <w:rPr>
          <w:lang w:val="en-US"/>
        </w:rPr>
        <w:t>responsibilities,</w:t>
      </w:r>
      <w:r w:rsidRPr="00070A87">
        <w:rPr>
          <w:lang w:val="en-US"/>
        </w:rPr>
        <w:t xml:space="preserve"> and admission </w:t>
      </w:r>
      <w:proofErr w:type="gramStart"/>
      <w:r w:rsidRPr="00070A87">
        <w:rPr>
          <w:lang w:val="en-US"/>
        </w:rPr>
        <w:t>criteria;</w:t>
      </w:r>
      <w:proofErr w:type="gramEnd"/>
    </w:p>
    <w:p w14:paraId="5FD8470D" w14:textId="09BBEDB1" w:rsidR="003D7742" w:rsidRPr="00070A87" w:rsidRDefault="003D7742" w:rsidP="001B4B19">
      <w:pPr>
        <w:pStyle w:val="ListParagraph"/>
        <w:rPr>
          <w:lang w:val="en-US"/>
        </w:rPr>
      </w:pPr>
      <w:r w:rsidRPr="00070A87">
        <w:rPr>
          <w:lang w:val="en-US"/>
        </w:rPr>
        <w:t xml:space="preserve">establishing systems for the secure, timely and effective transfer of transition </w:t>
      </w:r>
      <w:r w:rsidR="001A4282" w:rsidRPr="00070A87">
        <w:rPr>
          <w:lang w:val="en-US"/>
        </w:rPr>
        <w:t>care</w:t>
      </w:r>
      <w:r w:rsidR="001A4282">
        <w:rPr>
          <w:lang w:val="en-US"/>
        </w:rPr>
        <w:t xml:space="preserve"> and</w:t>
      </w:r>
      <w:r w:rsidRPr="00070A87">
        <w:rPr>
          <w:lang w:val="en-US"/>
        </w:rPr>
        <w:t xml:space="preserve"> care recipient information between service </w:t>
      </w:r>
      <w:proofErr w:type="gramStart"/>
      <w:r w:rsidRPr="00070A87">
        <w:rPr>
          <w:lang w:val="en-US"/>
        </w:rPr>
        <w:t>providers;</w:t>
      </w:r>
      <w:proofErr w:type="gramEnd"/>
    </w:p>
    <w:p w14:paraId="072AA367" w14:textId="77777777" w:rsidR="003D7742" w:rsidRPr="00070A87" w:rsidRDefault="003D7742" w:rsidP="001B4B19">
      <w:pPr>
        <w:pStyle w:val="ListParagraph"/>
        <w:rPr>
          <w:lang w:val="en-US"/>
        </w:rPr>
      </w:pPr>
      <w:r w:rsidRPr="00070A87">
        <w:rPr>
          <w:lang w:val="en-US"/>
        </w:rPr>
        <w:t xml:space="preserve">strengthening partnerships with GPs and other transition care support </w:t>
      </w:r>
      <w:proofErr w:type="gramStart"/>
      <w:r w:rsidRPr="00070A87">
        <w:rPr>
          <w:lang w:val="en-US"/>
        </w:rPr>
        <w:t>services;</w:t>
      </w:r>
      <w:proofErr w:type="gramEnd"/>
    </w:p>
    <w:p w14:paraId="09CB6C8E" w14:textId="77777777" w:rsidR="003D7742" w:rsidRPr="00070A87" w:rsidRDefault="003D7742" w:rsidP="001B4B19">
      <w:pPr>
        <w:pStyle w:val="ListParagraph"/>
        <w:rPr>
          <w:lang w:val="en-US"/>
        </w:rPr>
      </w:pPr>
      <w:r w:rsidRPr="00070A87">
        <w:rPr>
          <w:lang w:val="en-US"/>
        </w:rPr>
        <w:t xml:space="preserve">facilitating effective interagency case </w:t>
      </w:r>
      <w:proofErr w:type="gramStart"/>
      <w:r w:rsidRPr="00070A87">
        <w:rPr>
          <w:lang w:val="en-US"/>
        </w:rPr>
        <w:t>conferences;</w:t>
      </w:r>
      <w:proofErr w:type="gramEnd"/>
    </w:p>
    <w:p w14:paraId="5C1037A9" w14:textId="099A4764" w:rsidR="003D7742" w:rsidRPr="00070A87" w:rsidRDefault="003D7742" w:rsidP="001B4B19">
      <w:pPr>
        <w:pStyle w:val="ListParagraph"/>
        <w:rPr>
          <w:lang w:val="en-US"/>
        </w:rPr>
      </w:pPr>
      <w:r w:rsidRPr="00070A87">
        <w:rPr>
          <w:lang w:val="en-US"/>
        </w:rPr>
        <w:t xml:space="preserve">facilitating the care recipient’s entry to and exit from transition care so the care recipient experiences a seamless </w:t>
      </w:r>
      <w:proofErr w:type="gramStart"/>
      <w:r w:rsidRPr="00070A87">
        <w:rPr>
          <w:lang w:val="en-US"/>
        </w:rPr>
        <w:t>move;</w:t>
      </w:r>
      <w:proofErr w:type="gramEnd"/>
    </w:p>
    <w:p w14:paraId="75343172" w14:textId="77777777" w:rsidR="003D7742" w:rsidRPr="00070A87" w:rsidRDefault="003D7742" w:rsidP="001B4B19">
      <w:pPr>
        <w:pStyle w:val="ListParagraph"/>
        <w:rPr>
          <w:lang w:val="en-US"/>
        </w:rPr>
      </w:pPr>
      <w:r w:rsidRPr="00070A87">
        <w:rPr>
          <w:lang w:val="en-US"/>
        </w:rPr>
        <w:t xml:space="preserve">effectively coordinating the care recipient’s needs and goals between </w:t>
      </w:r>
      <w:proofErr w:type="gramStart"/>
      <w:r w:rsidRPr="00070A87">
        <w:rPr>
          <w:lang w:val="en-US"/>
        </w:rPr>
        <w:t>services;</w:t>
      </w:r>
      <w:proofErr w:type="gramEnd"/>
    </w:p>
    <w:p w14:paraId="6E59E78F" w14:textId="77777777" w:rsidR="003D7742" w:rsidRPr="00070A87" w:rsidRDefault="003D7742" w:rsidP="001B4B19">
      <w:pPr>
        <w:pStyle w:val="ListParagraph"/>
        <w:rPr>
          <w:lang w:val="en-US"/>
        </w:rPr>
      </w:pPr>
      <w:r w:rsidRPr="00070A87">
        <w:rPr>
          <w:lang w:val="en-US"/>
        </w:rPr>
        <w:t xml:space="preserve">keeping the care recipient and/or their representative well informed prior to moving to a new </w:t>
      </w:r>
      <w:proofErr w:type="gramStart"/>
      <w:r w:rsidRPr="00070A87">
        <w:rPr>
          <w:lang w:val="en-US"/>
        </w:rPr>
        <w:t>service;</w:t>
      </w:r>
      <w:proofErr w:type="gramEnd"/>
    </w:p>
    <w:p w14:paraId="0A15509D" w14:textId="77777777" w:rsidR="003D7742" w:rsidRPr="00070A87" w:rsidRDefault="003D7742" w:rsidP="001B4B19">
      <w:pPr>
        <w:pStyle w:val="ListParagraph"/>
        <w:rPr>
          <w:lang w:val="en-US"/>
        </w:rPr>
      </w:pPr>
      <w:r w:rsidRPr="00070A87">
        <w:rPr>
          <w:lang w:val="en-US"/>
        </w:rPr>
        <w:t>facilitating education, training, networking and support across sectors and service boundaries in the broader health and aged care community where appropriate; and</w:t>
      </w:r>
    </w:p>
    <w:p w14:paraId="6EC24DA8" w14:textId="4358651C" w:rsidR="003D7742" w:rsidRPr="006D21EE" w:rsidRDefault="003D7742" w:rsidP="001B4B19">
      <w:pPr>
        <w:pStyle w:val="ListParagraph"/>
        <w:rPr>
          <w:lang w:val="en-US"/>
        </w:rPr>
      </w:pPr>
      <w:r w:rsidRPr="006D21EE">
        <w:rPr>
          <w:lang w:val="en-US"/>
        </w:rPr>
        <w:t xml:space="preserve">facilitating access to ongoing care and service provision post discharge from the </w:t>
      </w:r>
      <w:proofErr w:type="spellStart"/>
      <w:r w:rsidR="00ED4E5D" w:rsidRPr="006D21EE">
        <w:rPr>
          <w:lang w:val="en-US"/>
        </w:rPr>
        <w:t>p</w:t>
      </w:r>
      <w:r w:rsidRPr="006D21EE">
        <w:rPr>
          <w:lang w:val="en-US"/>
        </w:rPr>
        <w:t>rogramme</w:t>
      </w:r>
      <w:proofErr w:type="spellEnd"/>
      <w:r w:rsidRPr="006D21EE">
        <w:rPr>
          <w:lang w:val="en-US"/>
        </w:rPr>
        <w:t>, as required.</w:t>
      </w:r>
    </w:p>
    <w:p w14:paraId="50233DEC" w14:textId="77777777" w:rsidR="005313EF" w:rsidRDefault="005313EF">
      <w:pPr>
        <w:spacing w:before="0" w:after="200" w:line="276" w:lineRule="auto"/>
        <w:rPr>
          <w:rFonts w:eastAsiaTheme="majorEastAsia" w:cs="Arial"/>
          <w:b/>
          <w:spacing w:val="0"/>
          <w:szCs w:val="20"/>
          <w:lang w:eastAsia="en-US"/>
        </w:rPr>
      </w:pPr>
      <w:r>
        <w:br w:type="page"/>
      </w:r>
    </w:p>
    <w:p w14:paraId="2F2A0FD5" w14:textId="6DE39DA2" w:rsidR="003D7742" w:rsidRPr="002653FF" w:rsidRDefault="0026543F" w:rsidP="00DA4091">
      <w:pPr>
        <w:pStyle w:val="Heading3withoutnumbering"/>
        <w:rPr>
          <w:lang w:val="en-US"/>
        </w:rPr>
      </w:pPr>
      <w:bookmarkStart w:id="244" w:name="_Toc197076913"/>
      <w:r>
        <w:lastRenderedPageBreak/>
        <w:t>T</w:t>
      </w:r>
      <w:r w:rsidR="003D7742" w:rsidRPr="002653FF">
        <w:t xml:space="preserve">he </w:t>
      </w:r>
      <w:r w:rsidR="003D7742" w:rsidRPr="002653FF">
        <w:rPr>
          <w:lang w:val="en-US"/>
        </w:rPr>
        <w:t>transition care service develops systems for the safe discharge of care recipients that</w:t>
      </w:r>
      <w:r>
        <w:rPr>
          <w:lang w:val="en-US"/>
        </w:rPr>
        <w:t xml:space="preserve"> </w:t>
      </w:r>
      <w:r w:rsidR="003D7742" w:rsidRPr="002653FF">
        <w:rPr>
          <w:lang w:val="en-US"/>
        </w:rPr>
        <w:t>help prevent re-admission, including:</w:t>
      </w:r>
      <w:bookmarkEnd w:id="244"/>
    </w:p>
    <w:p w14:paraId="7BAE2422" w14:textId="77777777" w:rsidR="003D7742" w:rsidRPr="00070A87" w:rsidRDefault="003D7742" w:rsidP="001B4B19">
      <w:pPr>
        <w:pStyle w:val="ListParagraph"/>
        <w:rPr>
          <w:lang w:val="en-US"/>
        </w:rPr>
      </w:pPr>
      <w:r w:rsidRPr="00070A87">
        <w:rPr>
          <w:lang w:val="en-US"/>
        </w:rPr>
        <w:t xml:space="preserve">providing transition care service discharge plan information to any subsequent care </w:t>
      </w:r>
      <w:proofErr w:type="spellStart"/>
      <w:r w:rsidRPr="00070A87">
        <w:rPr>
          <w:lang w:val="en-US"/>
        </w:rPr>
        <w:t>organisation</w:t>
      </w:r>
      <w:proofErr w:type="spellEnd"/>
      <w:r w:rsidRPr="00070A87">
        <w:rPr>
          <w:lang w:val="en-US"/>
        </w:rPr>
        <w:t>; and</w:t>
      </w:r>
    </w:p>
    <w:p w14:paraId="62AD30AC" w14:textId="77777777" w:rsidR="003D7742" w:rsidRPr="00070A87" w:rsidRDefault="003D7742" w:rsidP="001B4B19">
      <w:pPr>
        <w:pStyle w:val="ListParagraph"/>
        <w:rPr>
          <w:lang w:val="en-US"/>
        </w:rPr>
      </w:pPr>
      <w:r w:rsidRPr="00070A87">
        <w:rPr>
          <w:lang w:val="en-US"/>
        </w:rPr>
        <w:t>providing appropriate discharge documentation to the care recipient, specifying:</w:t>
      </w:r>
    </w:p>
    <w:p w14:paraId="29312E4C" w14:textId="77777777" w:rsidR="003D7742" w:rsidRPr="00070A87" w:rsidRDefault="003D7742" w:rsidP="00762250">
      <w:pPr>
        <w:numPr>
          <w:ilvl w:val="0"/>
          <w:numId w:val="6"/>
        </w:numPr>
        <w:tabs>
          <w:tab w:val="clear" w:pos="2160"/>
          <w:tab w:val="num" w:pos="851"/>
        </w:tabs>
        <w:spacing w:before="0" w:after="0"/>
        <w:ind w:left="1276" w:hanging="425"/>
        <w:rPr>
          <w:szCs w:val="20"/>
        </w:rPr>
      </w:pPr>
      <w:r w:rsidRPr="00070A87">
        <w:rPr>
          <w:szCs w:val="20"/>
        </w:rPr>
        <w:t xml:space="preserve">length of stay in transition </w:t>
      </w:r>
      <w:proofErr w:type="gramStart"/>
      <w:r w:rsidRPr="00070A87">
        <w:rPr>
          <w:szCs w:val="20"/>
        </w:rPr>
        <w:t>care;</w:t>
      </w:r>
      <w:proofErr w:type="gramEnd"/>
    </w:p>
    <w:p w14:paraId="5EC9DE18" w14:textId="77777777" w:rsidR="003D7742" w:rsidRPr="00070A87" w:rsidRDefault="003D7742" w:rsidP="00762250">
      <w:pPr>
        <w:numPr>
          <w:ilvl w:val="0"/>
          <w:numId w:val="6"/>
        </w:numPr>
        <w:tabs>
          <w:tab w:val="clear" w:pos="2160"/>
          <w:tab w:val="num" w:pos="851"/>
        </w:tabs>
        <w:spacing w:before="0" w:after="0"/>
        <w:ind w:left="1276" w:hanging="425"/>
        <w:rPr>
          <w:szCs w:val="20"/>
        </w:rPr>
      </w:pPr>
      <w:r w:rsidRPr="00070A87">
        <w:rPr>
          <w:szCs w:val="20"/>
        </w:rPr>
        <w:t xml:space="preserve">destination post transition </w:t>
      </w:r>
      <w:proofErr w:type="gramStart"/>
      <w:r w:rsidRPr="00070A87">
        <w:rPr>
          <w:szCs w:val="20"/>
        </w:rPr>
        <w:t>care;</w:t>
      </w:r>
      <w:proofErr w:type="gramEnd"/>
    </w:p>
    <w:p w14:paraId="015A1950" w14:textId="7AC696BC"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goals which care recipient agrees ha</w:t>
      </w:r>
      <w:r w:rsidR="00BF07F0">
        <w:rPr>
          <w:szCs w:val="20"/>
        </w:rPr>
        <w:t>s or has not</w:t>
      </w:r>
      <w:r w:rsidRPr="00070A87">
        <w:rPr>
          <w:szCs w:val="20"/>
        </w:rPr>
        <w:t xml:space="preserve"> been achieved (with reasons for non</w:t>
      </w:r>
      <w:r w:rsidR="00943A3A">
        <w:rPr>
          <w:szCs w:val="20"/>
        </w:rPr>
        <w:noBreakHyphen/>
      </w:r>
      <w:r w:rsidRPr="00070A87">
        <w:rPr>
          <w:szCs w:val="20"/>
        </w:rPr>
        <w:t>achievement</w:t>
      </w:r>
      <w:proofErr w:type="gramStart"/>
      <w:r w:rsidRPr="00070A87">
        <w:rPr>
          <w:szCs w:val="20"/>
        </w:rPr>
        <w:t>);</w:t>
      </w:r>
      <w:proofErr w:type="gramEnd"/>
    </w:p>
    <w:p w14:paraId="7889B653" w14:textId="77777777"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 xml:space="preserve">care recipient physical and cognitive functional levels on discharge from transition care, assessed using the same validated instrument used on </w:t>
      </w:r>
      <w:proofErr w:type="gramStart"/>
      <w:r w:rsidRPr="00070A87">
        <w:rPr>
          <w:szCs w:val="20"/>
        </w:rPr>
        <w:t>admission;</w:t>
      </w:r>
      <w:proofErr w:type="gramEnd"/>
    </w:p>
    <w:p w14:paraId="56248B0F" w14:textId="77777777"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 xml:space="preserve">care recipient and/or representative, carer and family education and support to improve functioning following </w:t>
      </w:r>
      <w:proofErr w:type="gramStart"/>
      <w:r w:rsidRPr="00070A87">
        <w:rPr>
          <w:szCs w:val="20"/>
        </w:rPr>
        <w:t>discharge;</w:t>
      </w:r>
      <w:proofErr w:type="gramEnd"/>
    </w:p>
    <w:p w14:paraId="52F79C09" w14:textId="77777777"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 xml:space="preserve">where appropriate all services and equipment to be provided to the care recipient on discharge from transition care, with key supplier contact </w:t>
      </w:r>
      <w:proofErr w:type="gramStart"/>
      <w:r w:rsidRPr="00070A87">
        <w:rPr>
          <w:szCs w:val="20"/>
        </w:rPr>
        <w:t>details;</w:t>
      </w:r>
      <w:proofErr w:type="gramEnd"/>
    </w:p>
    <w:p w14:paraId="0029DA18" w14:textId="77777777" w:rsidR="003D7742" w:rsidRPr="00070A87" w:rsidRDefault="003D7742" w:rsidP="00762250">
      <w:pPr>
        <w:numPr>
          <w:ilvl w:val="0"/>
          <w:numId w:val="6"/>
        </w:numPr>
        <w:tabs>
          <w:tab w:val="clear" w:pos="2160"/>
          <w:tab w:val="num" w:pos="851"/>
        </w:tabs>
        <w:spacing w:before="0" w:after="0"/>
        <w:ind w:left="1276" w:hanging="425"/>
        <w:rPr>
          <w:szCs w:val="20"/>
        </w:rPr>
      </w:pPr>
      <w:r w:rsidRPr="00070A87">
        <w:rPr>
          <w:szCs w:val="20"/>
        </w:rPr>
        <w:t>an up-to-date list of prescribed discharge medications; and</w:t>
      </w:r>
    </w:p>
    <w:p w14:paraId="60A06F82" w14:textId="2119D940"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other follow-up arrangements/referrals such as information for the care recipient’s GP, which are the responsibility of the care recipient and/or their representative.</w:t>
      </w:r>
    </w:p>
    <w:p w14:paraId="646787F2" w14:textId="7F0D68F2" w:rsidR="00B0103A" w:rsidRPr="00164E37" w:rsidRDefault="00605BA0" w:rsidP="00055F45">
      <w:pPr>
        <w:pStyle w:val="Heading1"/>
        <w:spacing w:before="120"/>
        <w:rPr>
          <w:bCs w:val="0"/>
        </w:rPr>
      </w:pPr>
      <w:bookmarkStart w:id="245" w:name="_Toc197076914"/>
      <w:r w:rsidRPr="00366082">
        <w:lastRenderedPageBreak/>
        <w:t>CARE RECIPIENTS</w:t>
      </w:r>
      <w:bookmarkEnd w:id="227"/>
      <w:bookmarkEnd w:id="228"/>
      <w:bookmarkEnd w:id="229"/>
      <w:bookmarkEnd w:id="230"/>
      <w:bookmarkEnd w:id="245"/>
    </w:p>
    <w:p w14:paraId="72D74200" w14:textId="41007294" w:rsidR="004F44C3" w:rsidRDefault="004F44C3" w:rsidP="00055F45">
      <w:pPr>
        <w:pStyle w:val="Heading2"/>
      </w:pPr>
      <w:bookmarkStart w:id="246" w:name="_Toc197076915"/>
      <w:r w:rsidRPr="00E249E2">
        <w:t>Charter of Aged Care Rights</w:t>
      </w:r>
      <w:bookmarkEnd w:id="246"/>
    </w:p>
    <w:p w14:paraId="470BFA34" w14:textId="3508FFEC" w:rsidR="00132D7E" w:rsidRPr="00E249E2" w:rsidRDefault="00132D7E" w:rsidP="00187113">
      <w:pPr>
        <w:pStyle w:val="ListBullet"/>
        <w:numPr>
          <w:ilvl w:val="0"/>
          <w:numId w:val="0"/>
        </w:numPr>
        <w:rPr>
          <w:rStyle w:val="Hyperlink"/>
          <w:rFonts w:eastAsiaTheme="majorEastAsia"/>
          <w:color w:val="auto"/>
          <w:sz w:val="20"/>
          <w:szCs w:val="20"/>
          <w:u w:val="none"/>
        </w:rPr>
      </w:pPr>
      <w:r w:rsidRPr="00E249E2">
        <w:rPr>
          <w:rStyle w:val="Hyperlink"/>
          <w:rFonts w:eastAsiaTheme="majorEastAsia"/>
          <w:color w:val="auto"/>
          <w:sz w:val="20"/>
          <w:szCs w:val="20"/>
          <w:u w:val="none"/>
        </w:rPr>
        <w:t xml:space="preserve">Service providers must comply with the </w:t>
      </w:r>
      <w:hyperlink r:id="rId30" w:history="1">
        <w:r w:rsidR="002F162A">
          <w:rPr>
            <w:color w:val="0000FF"/>
            <w:u w:val="single"/>
          </w:rPr>
          <w:t>Charter of Aged Care Rights</w:t>
        </w:r>
      </w:hyperlink>
      <w:r w:rsidRPr="00E249E2">
        <w:rPr>
          <w:rStyle w:val="Hyperlink"/>
          <w:rFonts w:eastAsiaTheme="majorEastAsia"/>
          <w:color w:val="auto"/>
          <w:sz w:val="20"/>
          <w:szCs w:val="20"/>
          <w:u w:val="none"/>
        </w:rPr>
        <w:t xml:space="preserve"> within the </w:t>
      </w:r>
      <w:r w:rsidR="00BB5BE3">
        <w:rPr>
          <w:rStyle w:val="Hyperlink"/>
          <w:rFonts w:eastAsiaTheme="majorEastAsia"/>
          <w:i/>
          <w:color w:val="auto"/>
          <w:sz w:val="20"/>
          <w:szCs w:val="20"/>
          <w:u w:val="none"/>
        </w:rPr>
        <w:t>User Rights Principles 2014</w:t>
      </w:r>
      <w:r w:rsidRPr="00E249E2">
        <w:rPr>
          <w:rStyle w:val="Hyperlink"/>
          <w:rFonts w:eastAsiaTheme="majorEastAsia"/>
          <w:color w:val="auto"/>
          <w:sz w:val="20"/>
          <w:szCs w:val="20"/>
          <w:u w:val="none"/>
        </w:rPr>
        <w:t>. Providers must give care recipient</w:t>
      </w:r>
      <w:r w:rsidR="00BB5BE3">
        <w:rPr>
          <w:rStyle w:val="Hyperlink"/>
          <w:rFonts w:eastAsiaTheme="majorEastAsia"/>
          <w:color w:val="auto"/>
          <w:sz w:val="20"/>
          <w:szCs w:val="20"/>
          <w:u w:val="none"/>
        </w:rPr>
        <w:t>s</w:t>
      </w:r>
      <w:r w:rsidRPr="00E249E2">
        <w:rPr>
          <w:rStyle w:val="Hyperlink"/>
          <w:rFonts w:eastAsiaTheme="majorEastAsia"/>
          <w:color w:val="auto"/>
          <w:sz w:val="20"/>
          <w:szCs w:val="20"/>
          <w:u w:val="none"/>
        </w:rPr>
        <w:t xml:space="preserve"> information about their rights and responsibilities in relation to the service.</w:t>
      </w:r>
    </w:p>
    <w:p w14:paraId="318A6EA3" w14:textId="7D9F4600" w:rsidR="00CF7B21" w:rsidRPr="00233784" w:rsidRDefault="00CF7B21" w:rsidP="00E249E2">
      <w:pPr>
        <w:pStyle w:val="Heading3withoutnumbering"/>
        <w:rPr>
          <w:rStyle w:val="Hyperlink"/>
          <w:color w:val="auto"/>
          <w:sz w:val="20"/>
          <w:u w:val="none"/>
        </w:rPr>
      </w:pPr>
      <w:bookmarkStart w:id="247" w:name="_Toc197076916"/>
      <w:r>
        <w:rPr>
          <w:rStyle w:val="Hyperlink"/>
          <w:color w:val="auto"/>
          <w:sz w:val="20"/>
          <w:u w:val="none"/>
        </w:rPr>
        <w:t>Provider responsibilities in relation to the Charter</w:t>
      </w:r>
      <w:bookmarkEnd w:id="247"/>
    </w:p>
    <w:p w14:paraId="26C34393" w14:textId="1EEC1441" w:rsidR="00CF7B21" w:rsidRPr="00E249E2" w:rsidRDefault="00CF7B21" w:rsidP="00200EF7">
      <w:pPr>
        <w:rPr>
          <w:rStyle w:val="Hyperlink"/>
          <w:rFonts w:eastAsiaTheme="majorEastAsia" w:cs="Arial"/>
          <w:b/>
          <w:color w:val="auto"/>
          <w:spacing w:val="0"/>
          <w:sz w:val="20"/>
          <w:szCs w:val="20"/>
          <w:u w:val="none"/>
          <w:lang w:eastAsia="en-US"/>
        </w:rPr>
      </w:pPr>
      <w:r w:rsidRPr="00E249E2">
        <w:rPr>
          <w:rStyle w:val="Hyperlink"/>
          <w:rFonts w:eastAsiaTheme="majorEastAsia"/>
          <w:color w:val="auto"/>
          <w:sz w:val="20"/>
          <w:szCs w:val="20"/>
          <w:u w:val="none"/>
        </w:rPr>
        <w:t xml:space="preserve">For all transition </w:t>
      </w:r>
      <w:r w:rsidRPr="00CF7B21">
        <w:rPr>
          <w:rFonts w:asciiTheme="minorHAnsi" w:hAnsiTheme="minorHAnsi" w:cstheme="minorHAnsi"/>
          <w:szCs w:val="20"/>
        </w:rPr>
        <w:t>care recipients</w:t>
      </w:r>
      <w:r w:rsidRPr="00E249E2">
        <w:rPr>
          <w:rStyle w:val="Hyperlink"/>
          <w:rFonts w:eastAsiaTheme="majorEastAsia"/>
          <w:color w:val="auto"/>
          <w:sz w:val="20"/>
          <w:szCs w:val="20"/>
          <w:u w:val="none"/>
        </w:rPr>
        <w:t>, transition care service providers have a responsibility to:</w:t>
      </w:r>
    </w:p>
    <w:p w14:paraId="2C042882" w14:textId="77777777" w:rsidR="00CF7B21" w:rsidRPr="001B4B19" w:rsidRDefault="00CF7B21" w:rsidP="00E330E4">
      <w:pPr>
        <w:pStyle w:val="ListBullet"/>
      </w:pPr>
      <w:r w:rsidRPr="00E249E2">
        <w:t xml:space="preserve">give </w:t>
      </w:r>
      <w:r w:rsidRPr="001B4B19">
        <w:t xml:space="preserve">the care recipient a copy of the Charter signed by a staff member of the </w:t>
      </w:r>
      <w:proofErr w:type="gramStart"/>
      <w:r w:rsidRPr="001B4B19">
        <w:t>provider;</w:t>
      </w:r>
      <w:proofErr w:type="gramEnd"/>
    </w:p>
    <w:p w14:paraId="3692CF5B" w14:textId="61D1CBA4" w:rsidR="00CF7B21" w:rsidRPr="001B4B19" w:rsidRDefault="00CF7B21" w:rsidP="00E330E4">
      <w:pPr>
        <w:pStyle w:val="ListBullet"/>
      </w:pPr>
      <w:r w:rsidRPr="001B4B19">
        <w:t xml:space="preserve">give the care recipient information about their rights under the </w:t>
      </w:r>
      <w:proofErr w:type="gramStart"/>
      <w:r w:rsidRPr="001B4B19">
        <w:t>Charter;</w:t>
      </w:r>
      <w:proofErr w:type="gramEnd"/>
    </w:p>
    <w:p w14:paraId="39299E84" w14:textId="77777777" w:rsidR="00CF7B21" w:rsidRPr="001B4B19" w:rsidRDefault="00CF7B21" w:rsidP="00E330E4">
      <w:pPr>
        <w:pStyle w:val="ListBullet"/>
      </w:pPr>
      <w:r w:rsidRPr="001B4B19">
        <w:t xml:space="preserve">assist the care recipient to understand their rights under the </w:t>
      </w:r>
      <w:proofErr w:type="gramStart"/>
      <w:r w:rsidRPr="001B4B19">
        <w:t>Charter;</w:t>
      </w:r>
      <w:proofErr w:type="gramEnd"/>
    </w:p>
    <w:p w14:paraId="0CB2FA3C" w14:textId="77777777" w:rsidR="00CF7B21" w:rsidRPr="001B4B19" w:rsidRDefault="00CF7B21" w:rsidP="00E330E4">
      <w:pPr>
        <w:pStyle w:val="ListBullet"/>
      </w:pPr>
      <w:r w:rsidRPr="001B4B19">
        <w:t xml:space="preserve">ensure the care recipient, or their authorised person, are given a reasonable opportunity to sign a copy of the </w:t>
      </w:r>
      <w:proofErr w:type="gramStart"/>
      <w:r w:rsidRPr="001B4B19">
        <w:t>Charter;</w:t>
      </w:r>
      <w:proofErr w:type="gramEnd"/>
    </w:p>
    <w:p w14:paraId="49367FD3" w14:textId="77777777" w:rsidR="00CF7B21" w:rsidRPr="002800FA" w:rsidRDefault="00CF7B21" w:rsidP="00E330E4">
      <w:pPr>
        <w:pStyle w:val="ListBullet"/>
      </w:pPr>
      <w:r w:rsidRPr="001B4B19">
        <w:t>keep</w:t>
      </w:r>
      <w:r w:rsidRPr="002800FA">
        <w:t xml:space="preserve"> a record of the Charter given to the</w:t>
      </w:r>
      <w:r w:rsidRPr="00CF7B21">
        <w:rPr>
          <w:rFonts w:asciiTheme="minorHAnsi" w:hAnsiTheme="minorHAnsi" w:cstheme="minorHAnsi"/>
        </w:rPr>
        <w:t xml:space="preserve"> care recipient</w:t>
      </w:r>
      <w:r w:rsidRPr="002800FA">
        <w:t>, including:</w:t>
      </w:r>
    </w:p>
    <w:p w14:paraId="4AD2AC0D" w14:textId="77777777" w:rsidR="00CF7B21" w:rsidRPr="001B4B19" w:rsidRDefault="00CF7B21" w:rsidP="00E330E4">
      <w:pPr>
        <w:pStyle w:val="ListBullet2"/>
      </w:pPr>
      <w:r w:rsidRPr="001B4B19">
        <w:t>the signature of a st</w:t>
      </w:r>
      <w:r w:rsidR="00DB72A9" w:rsidRPr="001B4B19">
        <w:t xml:space="preserve">aff member of the </w:t>
      </w:r>
      <w:proofErr w:type="gramStart"/>
      <w:r w:rsidR="00DB72A9" w:rsidRPr="001B4B19">
        <w:t>provider;</w:t>
      </w:r>
      <w:proofErr w:type="gramEnd"/>
    </w:p>
    <w:p w14:paraId="0F1F45DE" w14:textId="77777777" w:rsidR="00CF7B21" w:rsidRPr="001B4B19" w:rsidRDefault="00CF7B21" w:rsidP="00E330E4">
      <w:pPr>
        <w:pStyle w:val="ListBullet2"/>
      </w:pPr>
      <w:r w:rsidRPr="001B4B19">
        <w:t>the date on which the provider gave the care recipient</w:t>
      </w:r>
      <w:r w:rsidR="00DB72A9" w:rsidRPr="001B4B19">
        <w:t xml:space="preserve"> a copy of the </w:t>
      </w:r>
      <w:proofErr w:type="gramStart"/>
      <w:r w:rsidR="00DB72A9" w:rsidRPr="001B4B19">
        <w:t>Charter;</w:t>
      </w:r>
      <w:proofErr w:type="gramEnd"/>
    </w:p>
    <w:p w14:paraId="3DC812A4" w14:textId="77777777" w:rsidR="00CF7B21" w:rsidRPr="001B4B19" w:rsidRDefault="00CF7B21" w:rsidP="00E330E4">
      <w:pPr>
        <w:pStyle w:val="ListBullet2"/>
      </w:pPr>
      <w:r w:rsidRPr="001B4B19">
        <w:t>the date on which the provider gave the care recipient (or their authorised person) the oppo</w:t>
      </w:r>
      <w:r w:rsidR="00DB72A9" w:rsidRPr="001B4B19">
        <w:t xml:space="preserve">rtunity to sign the </w:t>
      </w:r>
      <w:proofErr w:type="gramStart"/>
      <w:r w:rsidR="00DB72A9" w:rsidRPr="001B4B19">
        <w:t>Charter;</w:t>
      </w:r>
      <w:proofErr w:type="gramEnd"/>
    </w:p>
    <w:p w14:paraId="3F7FF1DF" w14:textId="487E3E1A" w:rsidR="00CF7B21" w:rsidRPr="001B4B19" w:rsidRDefault="00CF7B21" w:rsidP="00E330E4">
      <w:pPr>
        <w:pStyle w:val="ListBullet2"/>
      </w:pPr>
      <w:r w:rsidRPr="001B4B19">
        <w:t>the care recipient (or authorised person)’s signature (if they choose to sign); and</w:t>
      </w:r>
    </w:p>
    <w:p w14:paraId="2A6EDF1D" w14:textId="2E213806" w:rsidR="00CF7B21" w:rsidRPr="002800FA" w:rsidRDefault="00CF7B21" w:rsidP="00E330E4">
      <w:pPr>
        <w:pStyle w:val="ListBullet2"/>
        <w:rPr>
          <w:lang w:val="en-US"/>
        </w:rPr>
      </w:pPr>
      <w:r w:rsidRPr="001B4B19">
        <w:t>the</w:t>
      </w:r>
      <w:r w:rsidRPr="002800FA">
        <w:rPr>
          <w:lang w:val="en-US"/>
        </w:rPr>
        <w:t xml:space="preserve"> full name of the </w:t>
      </w:r>
      <w:r w:rsidRPr="002800FA">
        <w:rPr>
          <w:rFonts w:asciiTheme="minorHAnsi" w:hAnsiTheme="minorHAnsi" w:cstheme="minorHAnsi"/>
        </w:rPr>
        <w:t>care recipients</w:t>
      </w:r>
      <w:r w:rsidRPr="002800FA">
        <w:rPr>
          <w:lang w:val="en-US"/>
        </w:rPr>
        <w:t xml:space="preserve"> (and </w:t>
      </w:r>
      <w:proofErr w:type="spellStart"/>
      <w:r w:rsidRPr="002800FA">
        <w:rPr>
          <w:lang w:val="en-US"/>
        </w:rPr>
        <w:t>authorised</w:t>
      </w:r>
      <w:proofErr w:type="spellEnd"/>
      <w:r w:rsidRPr="002800FA">
        <w:rPr>
          <w:lang w:val="en-US"/>
        </w:rPr>
        <w:t xml:space="preserve"> person, if applicable).</w:t>
      </w:r>
    </w:p>
    <w:p w14:paraId="7A7232F9" w14:textId="744FFB98" w:rsidR="00CF7B21" w:rsidRPr="00CF7B21" w:rsidRDefault="00CF7B21" w:rsidP="001E340F">
      <w:r w:rsidRPr="00CF7B21">
        <w:t>The purpose of seeking the care recipient’s signature is to allow them to acknowledge they have received the Charter and been assisted to understand it</w:t>
      </w:r>
      <w:r w:rsidR="00DD6BA9">
        <w:t>,</w:t>
      </w:r>
      <w:r w:rsidRPr="00CF7B21">
        <w:t xml:space="preserve"> and what their rights are.</w:t>
      </w:r>
    </w:p>
    <w:p w14:paraId="0A1A79B0" w14:textId="2F91B2BE" w:rsidR="00CF7B21" w:rsidRPr="00CF7B21" w:rsidRDefault="00CF7B21" w:rsidP="001E340F">
      <w:r w:rsidRPr="00CF7B21">
        <w:t>Care recipients are not required to sign the Charter and can commence and/or continue to receive care and services, if they choose not to sign the Charter.</w:t>
      </w:r>
    </w:p>
    <w:p w14:paraId="51E1E86A" w14:textId="449526EC" w:rsidR="00233784" w:rsidRPr="00E249E2" w:rsidRDefault="00DB72A9" w:rsidP="00187113">
      <w:pPr>
        <w:pStyle w:val="ListBullet"/>
        <w:numPr>
          <w:ilvl w:val="0"/>
          <w:numId w:val="0"/>
        </w:numPr>
        <w:rPr>
          <w:rStyle w:val="Hyperlink"/>
          <w:rFonts w:eastAsiaTheme="majorEastAsia"/>
          <w:b/>
          <w:color w:val="auto"/>
          <w:sz w:val="20"/>
          <w:szCs w:val="20"/>
          <w:u w:val="none"/>
        </w:rPr>
      </w:pPr>
      <w:r w:rsidRPr="00E249E2">
        <w:rPr>
          <w:rStyle w:val="Hyperlink"/>
          <w:rFonts w:eastAsiaTheme="majorEastAsia"/>
          <w:b/>
          <w:color w:val="auto"/>
          <w:sz w:val="20"/>
          <w:szCs w:val="20"/>
          <w:u w:val="none"/>
        </w:rPr>
        <w:t>5.1.</w:t>
      </w:r>
      <w:r w:rsidR="00EA64FF">
        <w:rPr>
          <w:rStyle w:val="Hyperlink"/>
          <w:rFonts w:eastAsiaTheme="majorEastAsia"/>
          <w:b/>
          <w:color w:val="auto"/>
          <w:sz w:val="20"/>
          <w:szCs w:val="20"/>
          <w:u w:val="none"/>
        </w:rPr>
        <w:t>2</w:t>
      </w:r>
      <w:r w:rsidRPr="00E249E2">
        <w:rPr>
          <w:rStyle w:val="Hyperlink"/>
          <w:rFonts w:eastAsiaTheme="majorEastAsia"/>
          <w:b/>
          <w:color w:val="auto"/>
          <w:sz w:val="20"/>
          <w:szCs w:val="20"/>
          <w:u w:val="none"/>
        </w:rPr>
        <w:tab/>
        <w:t>Resources</w:t>
      </w:r>
    </w:p>
    <w:p w14:paraId="629E168D" w14:textId="0B0834FA" w:rsidR="00DB72A9" w:rsidRPr="00DD6BA9" w:rsidRDefault="00DB72A9" w:rsidP="001E340F">
      <w:pPr>
        <w:rPr>
          <w:rFonts w:asciiTheme="minorHAnsi" w:hAnsiTheme="minorHAnsi" w:cstheme="minorHAnsi"/>
          <w:szCs w:val="20"/>
        </w:rPr>
      </w:pPr>
      <w:r w:rsidRPr="001F2675">
        <w:rPr>
          <w:rFonts w:cs="Arial"/>
          <w:color w:val="222222"/>
          <w:szCs w:val="22"/>
          <w:lang w:val="en"/>
        </w:rPr>
        <w:t>To assist provi</w:t>
      </w:r>
      <w:r w:rsidR="00BB5BE3" w:rsidRPr="001F2675">
        <w:rPr>
          <w:rFonts w:cs="Arial"/>
          <w:color w:val="222222"/>
          <w:szCs w:val="22"/>
          <w:lang w:val="en"/>
        </w:rPr>
        <w:t xml:space="preserve">ders </w:t>
      </w:r>
      <w:r w:rsidR="00BB5BE3" w:rsidRPr="00DD6BA9">
        <w:rPr>
          <w:rFonts w:cs="Arial"/>
          <w:color w:val="222222"/>
          <w:szCs w:val="20"/>
          <w:lang w:val="en"/>
        </w:rPr>
        <w:t xml:space="preserve">with these </w:t>
      </w:r>
      <w:r w:rsidR="00F43E59" w:rsidRPr="00DD6BA9">
        <w:rPr>
          <w:rFonts w:cs="Arial"/>
          <w:color w:val="222222"/>
          <w:szCs w:val="20"/>
          <w:lang w:val="en"/>
        </w:rPr>
        <w:t>requirement</w:t>
      </w:r>
      <w:r w:rsidR="00BB5BE3" w:rsidRPr="00DD6BA9">
        <w:rPr>
          <w:rFonts w:cs="Arial"/>
          <w:color w:val="222222"/>
          <w:szCs w:val="20"/>
          <w:lang w:val="en"/>
        </w:rPr>
        <w:t>s</w:t>
      </w:r>
      <w:r w:rsidR="00F43E59" w:rsidRPr="00DD6BA9">
        <w:rPr>
          <w:rFonts w:cs="Arial"/>
          <w:color w:val="222222"/>
          <w:szCs w:val="20"/>
          <w:lang w:val="en"/>
        </w:rPr>
        <w:t xml:space="preserve"> the D</w:t>
      </w:r>
      <w:r w:rsidRPr="00DD6BA9">
        <w:rPr>
          <w:rFonts w:cs="Arial"/>
          <w:color w:val="222222"/>
          <w:szCs w:val="20"/>
          <w:lang w:val="en"/>
        </w:rPr>
        <w:t>epartment has developed a</w:t>
      </w:r>
      <w:r w:rsidR="001A4282">
        <w:rPr>
          <w:rFonts w:cs="Arial"/>
          <w:color w:val="222222"/>
          <w:szCs w:val="20"/>
          <w:lang w:val="en"/>
        </w:rPr>
        <w:t xml:space="preserve"> </w:t>
      </w:r>
      <w:hyperlink r:id="rId31" w:history="1">
        <w:r w:rsidR="001A4282">
          <w:rPr>
            <w:color w:val="0000FF"/>
            <w:u w:val="single"/>
          </w:rPr>
          <w:t>Charter of Aged Care Rights Template for Signing</w:t>
        </w:r>
      </w:hyperlink>
      <w:r w:rsidR="00BB5BE3" w:rsidRPr="00DD6BA9">
        <w:rPr>
          <w:rFonts w:asciiTheme="minorHAnsi" w:hAnsiTheme="minorHAnsi" w:cstheme="minorHAnsi"/>
          <w:szCs w:val="20"/>
        </w:rPr>
        <w:t>,</w:t>
      </w:r>
      <w:r w:rsidR="001A4282">
        <w:rPr>
          <w:rFonts w:asciiTheme="minorHAnsi" w:hAnsiTheme="minorHAnsi" w:cstheme="minorHAnsi"/>
          <w:szCs w:val="20"/>
        </w:rPr>
        <w:t xml:space="preserve"> </w:t>
      </w:r>
      <w:r w:rsidRPr="00DD6BA9">
        <w:rPr>
          <w:rFonts w:asciiTheme="minorHAnsi" w:hAnsiTheme="minorHAnsi" w:cstheme="minorHAnsi"/>
          <w:szCs w:val="20"/>
        </w:rPr>
        <w:t xml:space="preserve">which is available in English and </w:t>
      </w:r>
      <w:r w:rsidR="00EA64FF" w:rsidRPr="00DD6BA9">
        <w:rPr>
          <w:rFonts w:asciiTheme="minorHAnsi" w:hAnsiTheme="minorHAnsi" w:cstheme="minorHAnsi"/>
          <w:szCs w:val="20"/>
        </w:rPr>
        <w:t xml:space="preserve">a number of </w:t>
      </w:r>
      <w:r w:rsidR="00BB5BE3" w:rsidRPr="00DD6BA9">
        <w:rPr>
          <w:rFonts w:asciiTheme="minorHAnsi" w:hAnsiTheme="minorHAnsi" w:cstheme="minorHAnsi"/>
          <w:szCs w:val="20"/>
        </w:rPr>
        <w:t>other</w:t>
      </w:r>
      <w:r w:rsidRPr="00CE3933">
        <w:rPr>
          <w:rFonts w:asciiTheme="minorHAnsi" w:hAnsiTheme="minorHAnsi" w:cstheme="minorHAnsi"/>
          <w:szCs w:val="20"/>
        </w:rPr>
        <w:t xml:space="preserve"> languages to down</w:t>
      </w:r>
      <w:r w:rsidR="00F43E59" w:rsidRPr="00DB65A8">
        <w:rPr>
          <w:rFonts w:asciiTheme="minorHAnsi" w:hAnsiTheme="minorHAnsi" w:cstheme="minorHAnsi"/>
          <w:szCs w:val="20"/>
        </w:rPr>
        <w:t xml:space="preserve">load </w:t>
      </w:r>
      <w:r w:rsidR="00DD6BA9">
        <w:rPr>
          <w:rFonts w:asciiTheme="minorHAnsi" w:hAnsiTheme="minorHAnsi" w:cstheme="minorHAnsi"/>
          <w:szCs w:val="20"/>
        </w:rPr>
        <w:t>from</w:t>
      </w:r>
      <w:r w:rsidR="00F43E59" w:rsidRPr="00DD6BA9">
        <w:rPr>
          <w:rFonts w:asciiTheme="minorHAnsi" w:hAnsiTheme="minorHAnsi" w:cstheme="minorHAnsi"/>
          <w:szCs w:val="20"/>
        </w:rPr>
        <w:t xml:space="preserve"> the Department’s</w:t>
      </w:r>
      <w:r w:rsidRPr="00DD6BA9">
        <w:rPr>
          <w:rFonts w:asciiTheme="minorHAnsi" w:hAnsiTheme="minorHAnsi" w:cstheme="minorHAnsi"/>
          <w:szCs w:val="20"/>
        </w:rPr>
        <w:t xml:space="preserve"> website. Other resources to support the sector are availa</w:t>
      </w:r>
      <w:r w:rsidR="00F43E59" w:rsidRPr="00DD6BA9">
        <w:rPr>
          <w:rFonts w:asciiTheme="minorHAnsi" w:hAnsiTheme="minorHAnsi" w:cstheme="minorHAnsi"/>
          <w:szCs w:val="20"/>
        </w:rPr>
        <w:t>ble on the Department</w:t>
      </w:r>
      <w:r w:rsidRPr="00DD6BA9">
        <w:rPr>
          <w:rFonts w:asciiTheme="minorHAnsi" w:hAnsiTheme="minorHAnsi" w:cstheme="minorHAnsi"/>
          <w:szCs w:val="20"/>
        </w:rPr>
        <w:t xml:space="preserve">’s website and the </w:t>
      </w:r>
      <w:hyperlink r:id="rId32" w:history="1">
        <w:r w:rsidR="002F162A" w:rsidRPr="00DD6BA9">
          <w:rPr>
            <w:color w:val="0000FF"/>
            <w:szCs w:val="20"/>
            <w:u w:val="single"/>
          </w:rPr>
          <w:t>Older Persons Advocacy Network website</w:t>
        </w:r>
      </w:hyperlink>
      <w:r w:rsidRPr="00DD6BA9">
        <w:rPr>
          <w:rFonts w:asciiTheme="minorHAnsi" w:hAnsiTheme="minorHAnsi" w:cstheme="minorHAnsi"/>
          <w:szCs w:val="20"/>
        </w:rPr>
        <w:t>.</w:t>
      </w:r>
    </w:p>
    <w:p w14:paraId="65D41C93" w14:textId="04C2B0C0" w:rsidR="005C1151" w:rsidRPr="00DD6BA9" w:rsidRDefault="005C1151" w:rsidP="001E340F">
      <w:pPr>
        <w:rPr>
          <w:rFonts w:eastAsia="Calibri"/>
          <w:szCs w:val="20"/>
          <w:lang w:eastAsia="en-US"/>
        </w:rPr>
      </w:pPr>
      <w:r w:rsidRPr="00DD6BA9">
        <w:rPr>
          <w:rFonts w:eastAsia="Calibri"/>
          <w:szCs w:val="20"/>
          <w:lang w:eastAsia="en-US"/>
        </w:rPr>
        <w:t xml:space="preserve">For further details, please also refer to the </w:t>
      </w:r>
      <w:hyperlink r:id="rId33" w:history="1">
        <w:r w:rsidR="002F162A" w:rsidRPr="00DD6BA9">
          <w:rPr>
            <w:color w:val="0000FF"/>
            <w:szCs w:val="20"/>
            <w:u w:val="single"/>
          </w:rPr>
          <w:t>User Rights Principles</w:t>
        </w:r>
      </w:hyperlink>
      <w:r w:rsidRPr="00DD6BA9">
        <w:rPr>
          <w:rFonts w:eastAsia="Calibri"/>
          <w:szCs w:val="20"/>
          <w:lang w:eastAsia="en-US"/>
        </w:rPr>
        <w:t>.</w:t>
      </w:r>
    </w:p>
    <w:p w14:paraId="708A9974" w14:textId="77777777" w:rsidR="00647A59" w:rsidRDefault="00647A59">
      <w:pPr>
        <w:spacing w:before="0" w:after="200" w:line="276" w:lineRule="auto"/>
        <w:rPr>
          <w:rFonts w:ascii="Georgia" w:eastAsiaTheme="majorEastAsia" w:hAnsi="Georgia" w:cstheme="majorBidi"/>
          <w:bCs/>
          <w:color w:val="005A70"/>
          <w:sz w:val="32"/>
          <w:szCs w:val="26"/>
        </w:rPr>
      </w:pPr>
      <w:bookmarkStart w:id="248" w:name="_Toc110834656"/>
      <w:bookmarkStart w:id="249" w:name="_Toc249169623"/>
      <w:bookmarkStart w:id="250" w:name="_Toc395537196"/>
      <w:bookmarkStart w:id="251" w:name="_Toc422732553"/>
      <w:bookmarkStart w:id="252" w:name="_Toc422752893"/>
      <w:r>
        <w:br w:type="page"/>
      </w:r>
    </w:p>
    <w:p w14:paraId="15592F30" w14:textId="1FD60500" w:rsidR="00605BA0" w:rsidRPr="00366082" w:rsidRDefault="00605BA0" w:rsidP="00B42C61">
      <w:pPr>
        <w:pStyle w:val="Heading2"/>
      </w:pPr>
      <w:bookmarkStart w:id="253" w:name="_Toc197076917"/>
      <w:r w:rsidRPr="007D552F">
        <w:lastRenderedPageBreak/>
        <w:t>Recipient agreement</w:t>
      </w:r>
      <w:bookmarkStart w:id="254" w:name="_Ref29287327"/>
      <w:bookmarkStart w:id="255" w:name="_Toc29371675"/>
      <w:bookmarkEnd w:id="248"/>
      <w:bookmarkEnd w:id="249"/>
      <w:bookmarkEnd w:id="250"/>
      <w:bookmarkEnd w:id="251"/>
      <w:bookmarkEnd w:id="252"/>
      <w:bookmarkEnd w:id="253"/>
      <w:r w:rsidRPr="007D552F">
        <w:t xml:space="preserve"> </w:t>
      </w:r>
      <w:bookmarkEnd w:id="254"/>
      <w:bookmarkEnd w:id="255"/>
    </w:p>
    <w:p w14:paraId="1973FA9D" w14:textId="5441FD5D" w:rsidR="00605BA0" w:rsidRPr="00DB6BB0" w:rsidRDefault="00605BA0" w:rsidP="001E340F">
      <w:r w:rsidRPr="00DA4091">
        <w:t xml:space="preserve">The </w:t>
      </w:r>
      <w:r w:rsidR="006B0C59">
        <w:t xml:space="preserve">payment agreement </w:t>
      </w:r>
      <w:r w:rsidR="0064270C">
        <w:t>requires a service provider to offer and remain ready</w:t>
      </w:r>
      <w:r w:rsidRPr="00DA4091">
        <w:t xml:space="preserve"> to enter into a formal agreement with the care recipient or their representative.</w:t>
      </w:r>
    </w:p>
    <w:p w14:paraId="11621907" w14:textId="77777777" w:rsidR="00605BA0" w:rsidRPr="00DB6BB0" w:rsidRDefault="00605BA0" w:rsidP="001E340F">
      <w:r w:rsidRPr="00DB6BB0">
        <w:t xml:space="preserve">The recipient agreement must: </w:t>
      </w:r>
    </w:p>
    <w:p w14:paraId="7B66D9A9" w14:textId="54E50800" w:rsidR="00605BA0" w:rsidRPr="00DB6BB0" w:rsidRDefault="00605BA0" w:rsidP="00E330E4">
      <w:pPr>
        <w:pStyle w:val="ListBullet"/>
      </w:pPr>
      <w:r w:rsidRPr="00DB6BB0">
        <w:t xml:space="preserve">be expressed in plain language the care recipient or their representative can </w:t>
      </w:r>
      <w:proofErr w:type="gramStart"/>
      <w:r w:rsidRPr="00DB6BB0">
        <w:t>understand;</w:t>
      </w:r>
      <w:proofErr w:type="gramEnd"/>
    </w:p>
    <w:p w14:paraId="33B92A79" w14:textId="5C4A771D" w:rsidR="00605BA0" w:rsidRPr="00DB6BB0" w:rsidRDefault="00605BA0" w:rsidP="00E330E4">
      <w:pPr>
        <w:pStyle w:val="ListBullet"/>
      </w:pPr>
      <w:r w:rsidRPr="00DB6BB0">
        <w:t>state the range of services, particularly physical and</w:t>
      </w:r>
      <w:r w:rsidR="00997684">
        <w:t>/or</w:t>
      </w:r>
      <w:r w:rsidRPr="00DB6BB0">
        <w:t xml:space="preserve"> cognitive therapies, the care recipient has been assessed as requiring as per their care plan</w:t>
      </w:r>
      <w:r w:rsidR="00DD6BA9">
        <w:t>,</w:t>
      </w:r>
      <w:r w:rsidRPr="00DB6BB0">
        <w:t xml:space="preserve"> and how and when they will be </w:t>
      </w:r>
      <w:proofErr w:type="gramStart"/>
      <w:r w:rsidRPr="00DB6BB0">
        <w:t>provided;</w:t>
      </w:r>
      <w:proofErr w:type="gramEnd"/>
    </w:p>
    <w:p w14:paraId="619F2405" w14:textId="77777777" w:rsidR="00605BA0" w:rsidRPr="00DB6BB0" w:rsidRDefault="00605BA0" w:rsidP="00E330E4">
      <w:pPr>
        <w:pStyle w:val="ListBullet"/>
      </w:pPr>
      <w:r w:rsidRPr="00DB6BB0">
        <w:t xml:space="preserve">include a clear statement of the charges payable by the care recipient and how amounts of each charge are to be worked </w:t>
      </w:r>
      <w:proofErr w:type="gramStart"/>
      <w:r w:rsidRPr="00DB6BB0">
        <w:t>out;</w:t>
      </w:r>
      <w:proofErr w:type="gramEnd"/>
    </w:p>
    <w:p w14:paraId="3135B945" w14:textId="77777777" w:rsidR="00605BA0" w:rsidRPr="00DB6BB0" w:rsidRDefault="00605BA0" w:rsidP="00E330E4">
      <w:pPr>
        <w:pStyle w:val="ListBullet"/>
      </w:pPr>
      <w:r w:rsidRPr="00DB6BB0">
        <w:t xml:space="preserve">state a date for the start of the transition care </w:t>
      </w:r>
      <w:proofErr w:type="gramStart"/>
      <w:r w:rsidRPr="00DB6BB0">
        <w:t>services;</w:t>
      </w:r>
      <w:proofErr w:type="gramEnd"/>
    </w:p>
    <w:p w14:paraId="751163A8" w14:textId="7E978080" w:rsidR="00605BA0" w:rsidRPr="00DB6BB0" w:rsidRDefault="00605BA0" w:rsidP="00E330E4">
      <w:pPr>
        <w:pStyle w:val="ListBullet"/>
      </w:pPr>
      <w:r w:rsidRPr="00DB6BB0">
        <w:t xml:space="preserve">provide conditions under which either party may terminate the care </w:t>
      </w:r>
      <w:proofErr w:type="gramStart"/>
      <w:r w:rsidRPr="00DB6BB0">
        <w:t>service;</w:t>
      </w:r>
      <w:proofErr w:type="gramEnd"/>
    </w:p>
    <w:p w14:paraId="37290AD5" w14:textId="77777777" w:rsidR="00605BA0" w:rsidRPr="00DB6BB0" w:rsidRDefault="00605BA0" w:rsidP="00E330E4">
      <w:pPr>
        <w:pStyle w:val="ListBullet"/>
      </w:pPr>
      <w:r w:rsidRPr="00DB6BB0">
        <w:t xml:space="preserve">provide an exit strategy planned for the care recipient once transition care is completed, including expected date of discharge, where the care recipient is expected to be discharged to, support services to be arranged, carer briefing, and care recipient consent for the discharge </w:t>
      </w:r>
      <w:proofErr w:type="gramStart"/>
      <w:r w:rsidRPr="00DB6BB0">
        <w:t>strategy;</w:t>
      </w:r>
      <w:proofErr w:type="gramEnd"/>
    </w:p>
    <w:p w14:paraId="3C916F50" w14:textId="1BBD9771" w:rsidR="00605BA0" w:rsidRPr="00DB6BB0" w:rsidRDefault="00605BA0" w:rsidP="00E330E4">
      <w:pPr>
        <w:pStyle w:val="ListBullet"/>
      </w:pPr>
      <w:r w:rsidRPr="00DB6BB0">
        <w:t xml:space="preserve">provide that any variation to the recipient agreement must be made following adequate consultation and mutual consent of the care recipient and the service provider. The provider must give the care recipient reasonable notice in writing about the variation to the agreement. Any variations to the agreement must be clearly documented in the care recipient </w:t>
      </w:r>
      <w:proofErr w:type="gramStart"/>
      <w:r w:rsidRPr="00DB6BB0">
        <w:t>notes;</w:t>
      </w:r>
      <w:proofErr w:type="gramEnd"/>
    </w:p>
    <w:p w14:paraId="3268130D" w14:textId="77777777" w:rsidR="00605BA0" w:rsidRPr="00DB6BB0" w:rsidRDefault="00605BA0" w:rsidP="00E330E4">
      <w:pPr>
        <w:pStyle w:val="ListBullet"/>
      </w:pPr>
      <w:r w:rsidRPr="00DB6BB0">
        <w:t xml:space="preserve">not be varied in a way that is inconsistent with the </w:t>
      </w:r>
      <w:r w:rsidRPr="002F4EB5">
        <w:rPr>
          <w:i/>
        </w:rPr>
        <w:t>New Tax System (Goods and Services Tax) Act 1999</w:t>
      </w:r>
      <w:r w:rsidR="002F4EB5">
        <w:t xml:space="preserve"> and</w:t>
      </w:r>
      <w:r w:rsidRPr="00DB6BB0">
        <w:t xml:space="preserve"> the </w:t>
      </w:r>
      <w:proofErr w:type="gramStart"/>
      <w:r w:rsidR="00BB0515">
        <w:t>Act</w:t>
      </w:r>
      <w:r w:rsidRPr="00827427">
        <w:t>;</w:t>
      </w:r>
      <w:proofErr w:type="gramEnd"/>
    </w:p>
    <w:p w14:paraId="5DAF9C08" w14:textId="2FC870F9" w:rsidR="00605BA0" w:rsidRPr="00DB6BB0" w:rsidRDefault="00605BA0" w:rsidP="00E330E4">
      <w:pPr>
        <w:pStyle w:val="ListBullet"/>
      </w:pPr>
      <w:r w:rsidRPr="00DB6BB0">
        <w:t>provide financial information to the care recipient or their representative, including the costs of services</w:t>
      </w:r>
      <w:r w:rsidR="00A900B5">
        <w:t xml:space="preserve">, any fees payable, </w:t>
      </w:r>
      <w:r w:rsidRPr="00DB6BB0">
        <w:t xml:space="preserve">and consideration of the care recipient’s financial </w:t>
      </w:r>
      <w:proofErr w:type="gramStart"/>
      <w:r w:rsidRPr="00DB6BB0">
        <w:t>circumstances;</w:t>
      </w:r>
      <w:proofErr w:type="gramEnd"/>
    </w:p>
    <w:p w14:paraId="3501D598" w14:textId="7AC627FF" w:rsidR="00605BA0" w:rsidRPr="00DB6BB0" w:rsidRDefault="00605BA0" w:rsidP="00E330E4">
      <w:pPr>
        <w:pStyle w:val="ListBullet"/>
      </w:pPr>
      <w:r w:rsidRPr="00DB6BB0">
        <w:t>state the care recipient’s rights in relation to decisions about the service th</w:t>
      </w:r>
      <w:r w:rsidR="00DD6BA9">
        <w:t>ey</w:t>
      </w:r>
      <w:r w:rsidRPr="00DB6BB0">
        <w:t xml:space="preserve"> </w:t>
      </w:r>
      <w:r w:rsidR="009D1F8F">
        <w:t xml:space="preserve">are to </w:t>
      </w:r>
      <w:proofErr w:type="gramStart"/>
      <w:r w:rsidRPr="00DB6BB0">
        <w:t>receive;</w:t>
      </w:r>
      <w:proofErr w:type="gramEnd"/>
    </w:p>
    <w:p w14:paraId="226BF745" w14:textId="1EF96836" w:rsidR="00605BA0" w:rsidRPr="00DB6BB0" w:rsidRDefault="00605BA0" w:rsidP="00E330E4">
      <w:pPr>
        <w:pStyle w:val="ListBullet"/>
      </w:pPr>
      <w:r w:rsidRPr="00DB6BB0">
        <w:t xml:space="preserve">include a guarantee that all reasonable steps will be taken to protect the confidentiality, </w:t>
      </w:r>
      <w:r w:rsidR="00DD6BA9">
        <w:t>as</w:t>
      </w:r>
      <w:r w:rsidRPr="00DB6BB0">
        <w:t xml:space="preserve"> far as legally permissible, of information provided by the care recipient or their representative, and details of use to be </w:t>
      </w:r>
      <w:proofErr w:type="gramStart"/>
      <w:r w:rsidRPr="00DB6BB0">
        <w:t>made;</w:t>
      </w:r>
      <w:proofErr w:type="gramEnd"/>
    </w:p>
    <w:p w14:paraId="22F9DDBF" w14:textId="77777777" w:rsidR="00605BA0" w:rsidRPr="00DB6BB0" w:rsidRDefault="00605BA0" w:rsidP="00E330E4">
      <w:pPr>
        <w:pStyle w:val="ListBullet"/>
      </w:pPr>
      <w:r w:rsidRPr="00DB6BB0">
        <w:t>state the limits of the transition care services to be provided; and</w:t>
      </w:r>
    </w:p>
    <w:p w14:paraId="66BCAD65" w14:textId="611F9BC8" w:rsidR="00B36F7A" w:rsidRPr="00A779EB" w:rsidRDefault="00605BA0" w:rsidP="00E330E4">
      <w:pPr>
        <w:pStyle w:val="ListBullet"/>
      </w:pPr>
      <w:r w:rsidRPr="00A779EB">
        <w:t xml:space="preserve">state that the care recipient (or their representative) is entitled to make, without fear of reprisal, any complaint about the provision of transition care and state the mechanisms for making a complaint. This refers to both internal and external complaints mechanisms (see </w:t>
      </w:r>
      <w:r w:rsidRPr="009D1F8F">
        <w:rPr>
          <w:i/>
          <w:iCs/>
        </w:rPr>
        <w:t>section</w:t>
      </w:r>
      <w:r w:rsidR="00943A3A" w:rsidRPr="009D1F8F">
        <w:rPr>
          <w:i/>
          <w:iCs/>
        </w:rPr>
        <w:t> </w:t>
      </w:r>
      <w:r w:rsidR="00DD6BA9" w:rsidRPr="009D1F8F">
        <w:rPr>
          <w:i/>
        </w:rPr>
        <w:t>7.2 Complaints</w:t>
      </w:r>
      <w:r w:rsidRPr="00A779EB">
        <w:t>).</w:t>
      </w:r>
    </w:p>
    <w:p w14:paraId="6F54E0B1" w14:textId="26E1B9F6" w:rsidR="00605BA0" w:rsidRPr="00DB6BB0" w:rsidRDefault="00605BA0" w:rsidP="001E340F">
      <w:r w:rsidRPr="00DB6BB0">
        <w:t>If a care recipient does not want to formally acknowledge a recipient agreement, the service provider is still required to observe its responsibilities to negotiate and deliver the level and type of care each care recipient needs. It is important in these circumstances that the service provider documents in writing the reasons for not having a signed agreement with the care recipient and the basis on which agreed care is delivered.</w:t>
      </w:r>
    </w:p>
    <w:p w14:paraId="263CE0CF" w14:textId="2248318C" w:rsidR="00605BA0" w:rsidRPr="00DB6BB0" w:rsidRDefault="00605BA0" w:rsidP="001E340F">
      <w:r w:rsidRPr="00DB6BB0">
        <w:t>The recipient agreement may be subject to modifications over the transition care episode. It is expected that a formal review of the information included in the recipient agreement would be conducted as needed and as requested by the care recipient (or their representative).</w:t>
      </w:r>
    </w:p>
    <w:p w14:paraId="08893E71" w14:textId="291998B4" w:rsidR="00605BA0" w:rsidRPr="00DB6BB0" w:rsidRDefault="00605BA0" w:rsidP="001E340F">
      <w:r w:rsidRPr="00DB6BB0">
        <w:t>As indicated in</w:t>
      </w:r>
      <w:r w:rsidR="002F4EB5">
        <w:t xml:space="preserve"> </w:t>
      </w:r>
      <w:r w:rsidR="002F4EB5" w:rsidRPr="00A9071E">
        <w:rPr>
          <w:i/>
          <w:iCs/>
        </w:rPr>
        <w:t>section</w:t>
      </w:r>
      <w:r w:rsidRPr="00A9071E">
        <w:rPr>
          <w:i/>
          <w:iCs/>
        </w:rPr>
        <w:t xml:space="preserve"> 3.5.5</w:t>
      </w:r>
      <w:r w:rsidRPr="00DB6BB0">
        <w:t xml:space="preserve"> </w:t>
      </w:r>
      <w:r w:rsidRPr="00A9071E">
        <w:rPr>
          <w:i/>
          <w:iCs/>
        </w:rPr>
        <w:t>– movement between care settings and services</w:t>
      </w:r>
      <w:r w:rsidRPr="00DB6BB0">
        <w:t xml:space="preserve">, where a care recipient transfers between service providers within their own state or territory, there is no need to enter into a new recipient agreement. </w:t>
      </w:r>
      <w:r w:rsidR="001B17CB">
        <w:t>I</w:t>
      </w:r>
      <w:r w:rsidRPr="00DB6BB0">
        <w:t>f a care recipient moves to a new service provider in a different state or territory</w:t>
      </w:r>
      <w:r w:rsidR="001B17CB">
        <w:t>,</w:t>
      </w:r>
      <w:r w:rsidR="001B17CB" w:rsidRPr="001B17CB">
        <w:t xml:space="preserve"> </w:t>
      </w:r>
      <w:r w:rsidR="001B17CB">
        <w:t>h</w:t>
      </w:r>
      <w:r w:rsidR="001B17CB" w:rsidRPr="00DB6BB0">
        <w:t>owever,</w:t>
      </w:r>
      <w:r w:rsidRPr="00DB6BB0">
        <w:t xml:space="preserve"> a new recipient agreement must be offered.</w:t>
      </w:r>
    </w:p>
    <w:p w14:paraId="142D3558" w14:textId="44C164E7" w:rsidR="00605BA0" w:rsidRPr="00366082" w:rsidRDefault="00605BA0" w:rsidP="00827427">
      <w:pPr>
        <w:pStyle w:val="Heading2"/>
        <w:spacing w:before="120"/>
      </w:pPr>
      <w:bookmarkStart w:id="256" w:name="_Toc26699237"/>
      <w:bookmarkStart w:id="257" w:name="_Toc29371678"/>
      <w:bookmarkStart w:id="258" w:name="_Toc110834657"/>
      <w:bookmarkStart w:id="259" w:name="_Toc249169624"/>
      <w:bookmarkStart w:id="260" w:name="_Toc395537197"/>
      <w:bookmarkStart w:id="261" w:name="_Toc422732554"/>
      <w:bookmarkStart w:id="262" w:name="_Toc422752894"/>
      <w:bookmarkStart w:id="263" w:name="_Toc197076918"/>
      <w:r w:rsidRPr="007D552F">
        <w:t>Care recipient responsibilities</w:t>
      </w:r>
      <w:bookmarkEnd w:id="256"/>
      <w:bookmarkEnd w:id="257"/>
      <w:bookmarkEnd w:id="258"/>
      <w:bookmarkEnd w:id="259"/>
      <w:bookmarkEnd w:id="260"/>
      <w:bookmarkEnd w:id="261"/>
      <w:bookmarkEnd w:id="262"/>
      <w:bookmarkEnd w:id="263"/>
    </w:p>
    <w:p w14:paraId="25641E9A" w14:textId="77777777" w:rsidR="00605BA0" w:rsidRPr="00DB6BB0" w:rsidRDefault="00605BA0" w:rsidP="001E340F">
      <w:r w:rsidRPr="00E802F9">
        <w:t>The payment agreement between the Australian Government and each state and territory government provides for the care recipient’s responsibilities to be included in the recipient agreement between the service provider and the care recipient.</w:t>
      </w:r>
    </w:p>
    <w:p w14:paraId="0CF6C52D" w14:textId="77777777" w:rsidR="00605BA0" w:rsidRPr="00DB6BB0" w:rsidRDefault="00605BA0" w:rsidP="001E340F">
      <w:r w:rsidRPr="00DB6BB0">
        <w:t>As well as having rights that must be respected,</w:t>
      </w:r>
      <w:r w:rsidR="006B0C59">
        <w:t xml:space="preserve"> care</w:t>
      </w:r>
      <w:r w:rsidRPr="00DB6BB0">
        <w:t xml:space="preserve"> recipients, or their representatives where appropriate, have responsibilities to the service provider, care staff, other care recipients and themselves.</w:t>
      </w:r>
    </w:p>
    <w:p w14:paraId="71F710E8" w14:textId="1607BE0A" w:rsidR="00605BA0" w:rsidRPr="00DB6BB0" w:rsidRDefault="00605BA0" w:rsidP="001E340F">
      <w:r w:rsidRPr="00DB6BB0">
        <w:t xml:space="preserve">While the </w:t>
      </w:r>
      <w:r w:rsidR="00BB0515">
        <w:t>Act</w:t>
      </w:r>
      <w:r w:rsidRPr="00DB6BB0">
        <w:t xml:space="preserve"> and the </w:t>
      </w:r>
      <w:r w:rsidRPr="00DB6BB0">
        <w:rPr>
          <w:bCs/>
          <w:iCs/>
        </w:rPr>
        <w:t>Principles</w:t>
      </w:r>
      <w:r w:rsidR="00FC29F4">
        <w:rPr>
          <w:bCs/>
          <w:iCs/>
        </w:rPr>
        <w:t xml:space="preserve"> </w:t>
      </w:r>
      <w:r w:rsidRPr="00DB6BB0">
        <w:t xml:space="preserve">do not define the responsibilities of care recipients, the Department expects that responsibilities will be agreed between both parties and not be inconsistent with any requirements of the Act and the </w:t>
      </w:r>
      <w:r w:rsidRPr="00DB6BB0">
        <w:rPr>
          <w:bCs/>
          <w:iCs/>
        </w:rPr>
        <w:t>Principles</w:t>
      </w:r>
      <w:r w:rsidRPr="00DB6BB0">
        <w:rPr>
          <w:i/>
          <w:iCs/>
        </w:rPr>
        <w:t xml:space="preserve">. </w:t>
      </w:r>
      <w:r w:rsidRPr="00DB6BB0">
        <w:t xml:space="preserve">These responsibilities </w:t>
      </w:r>
      <w:r w:rsidR="00DC33D8">
        <w:t>are to</w:t>
      </w:r>
      <w:r w:rsidRPr="00DB6BB0">
        <w:t xml:space="preserve"> be clearly articulated in the recipient agreement.</w:t>
      </w:r>
    </w:p>
    <w:p w14:paraId="2E509203" w14:textId="77777777" w:rsidR="00605BA0" w:rsidRPr="00DB6BB0" w:rsidRDefault="00605BA0" w:rsidP="001E340F">
      <w:r w:rsidRPr="00DB6BB0">
        <w:t>In the spirit of the recipient and the service provider having reciprocal responsibilities, the care recipient’s responsibilities include the following:</w:t>
      </w:r>
    </w:p>
    <w:p w14:paraId="63FE4F22" w14:textId="77777777" w:rsidR="00605BA0" w:rsidRPr="00DB6BB0" w:rsidRDefault="00605BA0" w:rsidP="00E330E4">
      <w:pPr>
        <w:pStyle w:val="ListBullet"/>
      </w:pPr>
      <w:r w:rsidRPr="00DB6BB0">
        <w:lastRenderedPageBreak/>
        <w:t xml:space="preserve">respecting the rights of staff and the provider to work in a safe and healthy environment free from </w:t>
      </w:r>
      <w:proofErr w:type="gramStart"/>
      <w:r w:rsidRPr="00DB6BB0">
        <w:t>harassment;</w:t>
      </w:r>
      <w:proofErr w:type="gramEnd"/>
    </w:p>
    <w:p w14:paraId="2E2EC796" w14:textId="77777777" w:rsidR="00605BA0" w:rsidRPr="00DB6BB0" w:rsidRDefault="00605BA0" w:rsidP="00E330E4">
      <w:pPr>
        <w:pStyle w:val="ListBullet"/>
      </w:pPr>
      <w:r w:rsidRPr="00DB6BB0">
        <w:t>respecting the rights and needs of other care recipients (for transition care delivered in a residential setting</w:t>
      </w:r>
      <w:proofErr w:type="gramStart"/>
      <w:r w:rsidRPr="00DB6BB0">
        <w:t>);</w:t>
      </w:r>
      <w:proofErr w:type="gramEnd"/>
    </w:p>
    <w:p w14:paraId="53AB7F1C" w14:textId="77777777" w:rsidR="00605BA0" w:rsidRPr="00DB6BB0" w:rsidRDefault="00605BA0" w:rsidP="00E330E4">
      <w:pPr>
        <w:pStyle w:val="ListBullet"/>
      </w:pPr>
      <w:r w:rsidRPr="00DB6BB0">
        <w:t xml:space="preserve">caring for their own health and well-being, as far as </w:t>
      </w:r>
      <w:r w:rsidR="00E802F9">
        <w:t>t</w:t>
      </w:r>
      <w:r w:rsidRPr="00DB6BB0">
        <w:t>he</w:t>
      </w:r>
      <w:r w:rsidR="00E802F9">
        <w:t>y are</w:t>
      </w:r>
      <w:r w:rsidRPr="00DB6BB0">
        <w:t xml:space="preserve"> </w:t>
      </w:r>
      <w:proofErr w:type="gramStart"/>
      <w:r w:rsidRPr="00DB6BB0">
        <w:t>capable;</w:t>
      </w:r>
      <w:proofErr w:type="gramEnd"/>
    </w:p>
    <w:p w14:paraId="75384928" w14:textId="77777777" w:rsidR="00605BA0" w:rsidRPr="00DB6BB0" w:rsidRDefault="00605BA0" w:rsidP="00E330E4">
      <w:pPr>
        <w:pStyle w:val="ListBullet"/>
      </w:pPr>
      <w:r w:rsidRPr="00DB6BB0">
        <w:t xml:space="preserve">working to achieve the goals articulated in their agreed individual care </w:t>
      </w:r>
      <w:proofErr w:type="gramStart"/>
      <w:r w:rsidRPr="00DB6BB0">
        <w:t>plan;</w:t>
      </w:r>
      <w:proofErr w:type="gramEnd"/>
    </w:p>
    <w:p w14:paraId="0B5B8AA1" w14:textId="6FFB2889" w:rsidR="00605BA0" w:rsidRPr="00DB6BB0" w:rsidRDefault="00605BA0" w:rsidP="00E330E4">
      <w:pPr>
        <w:pStyle w:val="ListBullet"/>
      </w:pPr>
      <w:r w:rsidRPr="00DB6BB0">
        <w:t xml:space="preserve">informing the provider about any required changes to the care plan or </w:t>
      </w:r>
      <w:proofErr w:type="gramStart"/>
      <w:r w:rsidRPr="00DB6BB0">
        <w:t>agreement;</w:t>
      </w:r>
      <w:proofErr w:type="gramEnd"/>
    </w:p>
    <w:p w14:paraId="51E20925" w14:textId="77777777" w:rsidR="00605BA0" w:rsidRPr="00DB6BB0" w:rsidRDefault="00605BA0" w:rsidP="00E330E4">
      <w:pPr>
        <w:pStyle w:val="ListBullet"/>
      </w:pPr>
      <w:r w:rsidRPr="00DB6BB0">
        <w:t xml:space="preserve">providing information to the provider about their wants and </w:t>
      </w:r>
      <w:proofErr w:type="gramStart"/>
      <w:r w:rsidRPr="00DB6BB0">
        <w:t>needs;</w:t>
      </w:r>
      <w:proofErr w:type="gramEnd"/>
    </w:p>
    <w:p w14:paraId="6785B54B" w14:textId="114F051C" w:rsidR="00605BA0" w:rsidRPr="00DB6BB0" w:rsidRDefault="00605BA0" w:rsidP="00E330E4">
      <w:pPr>
        <w:pStyle w:val="ListBullet"/>
      </w:pPr>
      <w:r w:rsidRPr="00DB6BB0">
        <w:t xml:space="preserve">notifying the provider of any special </w:t>
      </w:r>
      <w:proofErr w:type="gramStart"/>
      <w:r w:rsidRPr="00DB6BB0">
        <w:t>requirements;</w:t>
      </w:r>
      <w:proofErr w:type="gramEnd"/>
    </w:p>
    <w:p w14:paraId="0F88EAD2" w14:textId="1F83C809" w:rsidR="00605BA0" w:rsidRPr="00DB6BB0" w:rsidRDefault="00605BA0" w:rsidP="00E330E4">
      <w:pPr>
        <w:pStyle w:val="ListBullet"/>
      </w:pPr>
      <w:r w:rsidRPr="00DB6BB0">
        <w:t>providing constructive feedback to the provider about the service’s performance; and</w:t>
      </w:r>
    </w:p>
    <w:p w14:paraId="12A53556" w14:textId="55D22AC9" w:rsidR="00605BA0" w:rsidRDefault="00605BA0" w:rsidP="00E330E4">
      <w:pPr>
        <w:pStyle w:val="ListBullet"/>
      </w:pPr>
      <w:r w:rsidRPr="00DB6BB0">
        <w:t>contributing to the cost of care where appropriate.</w:t>
      </w:r>
    </w:p>
    <w:p w14:paraId="66FBDCD0" w14:textId="6CCC3E14" w:rsidR="00605BA0" w:rsidRPr="00366082" w:rsidRDefault="00605BA0" w:rsidP="00B42C61">
      <w:pPr>
        <w:pStyle w:val="Heading2"/>
        <w:rPr>
          <w:snapToGrid w:val="0"/>
        </w:rPr>
      </w:pPr>
      <w:bookmarkStart w:id="264" w:name="_Toc26699238"/>
      <w:bookmarkStart w:id="265" w:name="_Toc29371679"/>
      <w:bookmarkStart w:id="266" w:name="_Toc110834658"/>
      <w:bookmarkStart w:id="267" w:name="_Toc245536180"/>
      <w:bookmarkStart w:id="268" w:name="_Toc249169625"/>
      <w:bookmarkStart w:id="269" w:name="_Toc395537198"/>
      <w:bookmarkStart w:id="270" w:name="_Toc422732555"/>
      <w:bookmarkStart w:id="271" w:name="_Toc422752895"/>
      <w:bookmarkStart w:id="272" w:name="_Toc197076919"/>
      <w:r w:rsidRPr="007D552F">
        <w:rPr>
          <w:snapToGrid w:val="0"/>
        </w:rPr>
        <w:t>Advocacy</w:t>
      </w:r>
      <w:bookmarkEnd w:id="264"/>
      <w:bookmarkEnd w:id="265"/>
      <w:bookmarkEnd w:id="266"/>
      <w:bookmarkEnd w:id="267"/>
      <w:bookmarkEnd w:id="268"/>
      <w:bookmarkEnd w:id="269"/>
      <w:bookmarkEnd w:id="270"/>
      <w:bookmarkEnd w:id="271"/>
      <w:bookmarkEnd w:id="272"/>
    </w:p>
    <w:p w14:paraId="6752F6B8" w14:textId="77777777" w:rsidR="00605BA0" w:rsidRPr="00DB6BB0" w:rsidRDefault="00605BA0" w:rsidP="001E340F">
      <w:pPr>
        <w:rPr>
          <w:snapToGrid w:val="0"/>
        </w:rPr>
      </w:pPr>
      <w:r w:rsidRPr="00E802F9">
        <w:rPr>
          <w:snapToGrid w:val="0"/>
        </w:rPr>
        <w:t xml:space="preserve">Part 3 of </w:t>
      </w:r>
      <w:r w:rsidRPr="00E802F9">
        <w:rPr>
          <w:i/>
          <w:snapToGrid w:val="0"/>
        </w:rPr>
        <w:t>Schedule 1: Specified Care and Service</w:t>
      </w:r>
      <w:r w:rsidR="009E5CC4">
        <w:rPr>
          <w:i/>
          <w:snapToGrid w:val="0"/>
        </w:rPr>
        <w:t>s</w:t>
      </w:r>
      <w:r w:rsidRPr="00E802F9">
        <w:rPr>
          <w:i/>
          <w:snapToGrid w:val="0"/>
        </w:rPr>
        <w:t xml:space="preserve"> for transition care services</w:t>
      </w:r>
      <w:r w:rsidRPr="00E802F9">
        <w:rPr>
          <w:snapToGrid w:val="0"/>
        </w:rPr>
        <w:t xml:space="preserve"> attached at the payment agreement and provided at </w:t>
      </w:r>
      <w:r w:rsidRPr="009D08B1">
        <w:rPr>
          <w:i/>
          <w:iCs/>
          <w:snapToGrid w:val="0"/>
          <w:u w:val="single"/>
        </w:rPr>
        <w:t>Attachment B</w:t>
      </w:r>
      <w:r w:rsidRPr="00E802F9">
        <w:rPr>
          <w:snapToGrid w:val="0"/>
        </w:rPr>
        <w:t xml:space="preserve"> provides for the care recipient to have access to an advocate.</w:t>
      </w:r>
    </w:p>
    <w:p w14:paraId="74CFE4E8" w14:textId="2EE86E85" w:rsidR="00605BA0" w:rsidRPr="00DB6BB0" w:rsidRDefault="00605BA0" w:rsidP="001E340F">
      <w:pPr>
        <w:rPr>
          <w:snapToGrid w:val="0"/>
        </w:rPr>
      </w:pPr>
      <w:r w:rsidRPr="00DB6BB0">
        <w:rPr>
          <w:snapToGrid w:val="0"/>
        </w:rPr>
        <w:t>Service providers should present information to care recipients on the role of advocates.</w:t>
      </w:r>
    </w:p>
    <w:p w14:paraId="668D7FFB" w14:textId="6808C622" w:rsidR="00605BA0" w:rsidRPr="00DB6BB0" w:rsidRDefault="00605BA0" w:rsidP="001E340F">
      <w:pPr>
        <w:rPr>
          <w:snapToGrid w:val="0"/>
        </w:rPr>
      </w:pPr>
      <w:r w:rsidRPr="00DB6BB0">
        <w:rPr>
          <w:snapToGrid w:val="0"/>
        </w:rPr>
        <w:t>A care recipient has the right to call on an advocate of their choice to represent them as required in the management of their care, including establishing or reviewing their recipient agreement, negotiating the fees they may be asked to pay and in presenting any complaints they may have.</w:t>
      </w:r>
    </w:p>
    <w:p w14:paraId="5D73A902" w14:textId="77777777" w:rsidR="00A779EB" w:rsidRDefault="00605BA0" w:rsidP="001E340F">
      <w:pPr>
        <w:rPr>
          <w:snapToGrid w:val="0"/>
        </w:rPr>
      </w:pPr>
      <w:r w:rsidRPr="00DB6BB0">
        <w:rPr>
          <w:snapToGrid w:val="0"/>
        </w:rPr>
        <w:t xml:space="preserve">Service providers are also required, under </w:t>
      </w:r>
      <w:r w:rsidRPr="005D407B">
        <w:rPr>
          <w:i/>
          <w:iCs/>
          <w:snapToGrid w:val="0"/>
        </w:rPr>
        <w:t>Schedule 1</w:t>
      </w:r>
      <w:r w:rsidRPr="00DB6BB0">
        <w:rPr>
          <w:snapToGrid w:val="0"/>
        </w:rPr>
        <w:t>, to accept the care recipient’s choice of an advocate.</w:t>
      </w:r>
      <w:bookmarkStart w:id="273" w:name="_Toc26699239"/>
      <w:bookmarkStart w:id="274" w:name="_Toc29371680"/>
      <w:bookmarkStart w:id="275" w:name="_Toc110834659"/>
      <w:bookmarkStart w:id="276" w:name="_Toc245536181"/>
      <w:bookmarkStart w:id="277" w:name="_Toc249169626"/>
      <w:bookmarkStart w:id="278" w:name="_Toc395537199"/>
      <w:bookmarkStart w:id="279" w:name="_Toc422732556"/>
      <w:bookmarkStart w:id="280" w:name="_Toc422752896"/>
    </w:p>
    <w:p w14:paraId="39278FFD" w14:textId="2AC3F67B" w:rsidR="00F53662" w:rsidRPr="008C642E" w:rsidRDefault="00F53662" w:rsidP="001E340F">
      <w:pPr>
        <w:rPr>
          <w:snapToGrid w:val="0"/>
        </w:rPr>
      </w:pPr>
      <w:r w:rsidRPr="008C642E">
        <w:rPr>
          <w:snapToGrid w:val="0"/>
        </w:rPr>
        <w:t xml:space="preserve">If </w:t>
      </w:r>
      <w:r w:rsidR="006E7138" w:rsidRPr="008C642E">
        <w:rPr>
          <w:snapToGrid w:val="0"/>
        </w:rPr>
        <w:t>care recipients require assistance</w:t>
      </w:r>
      <w:r w:rsidRPr="008C642E">
        <w:rPr>
          <w:snapToGrid w:val="0"/>
        </w:rPr>
        <w:t>, the National Aged Care Advocacy Program (NACAP) provides free, independent and confidential advocacy support, education and information. NACAP is provided Australia</w:t>
      </w:r>
      <w:r w:rsidR="00135C13">
        <w:rPr>
          <w:snapToGrid w:val="0"/>
        </w:rPr>
        <w:noBreakHyphen/>
      </w:r>
      <w:r w:rsidRPr="008C642E">
        <w:rPr>
          <w:snapToGrid w:val="0"/>
        </w:rPr>
        <w:t>wide by the Older Persons Advocacy Network (OPAN).</w:t>
      </w:r>
      <w:r w:rsidR="00746900">
        <w:rPr>
          <w:snapToGrid w:val="0"/>
        </w:rPr>
        <w:t xml:space="preserve"> </w:t>
      </w:r>
      <w:r w:rsidRPr="008C642E">
        <w:rPr>
          <w:snapToGrid w:val="0"/>
        </w:rPr>
        <w:t xml:space="preserve">OPAN can be contacted between </w:t>
      </w:r>
      <w:r w:rsidR="00045D0D">
        <w:rPr>
          <w:snapToGrid w:val="0"/>
        </w:rPr>
        <w:t>8</w:t>
      </w:r>
      <w:r w:rsidR="008D7939">
        <w:rPr>
          <w:snapToGrid w:val="0"/>
        </w:rPr>
        <w:t>am</w:t>
      </w:r>
      <w:r w:rsidRPr="008C642E">
        <w:rPr>
          <w:snapToGrid w:val="0"/>
        </w:rPr>
        <w:t xml:space="preserve"> to </w:t>
      </w:r>
      <w:r w:rsidR="00045D0D">
        <w:rPr>
          <w:snapToGrid w:val="0"/>
        </w:rPr>
        <w:t>8</w:t>
      </w:r>
      <w:r w:rsidRPr="008C642E">
        <w:rPr>
          <w:snapToGrid w:val="0"/>
        </w:rPr>
        <w:t xml:space="preserve">pm </w:t>
      </w:r>
      <w:r w:rsidR="00045D0D">
        <w:rPr>
          <w:snapToGrid w:val="0"/>
        </w:rPr>
        <w:t xml:space="preserve">from Monday to Friday and between 10am to 4pm on Saturday </w:t>
      </w:r>
      <w:r w:rsidR="009C4DA4" w:rsidRPr="008C642E">
        <w:rPr>
          <w:snapToGrid w:val="0"/>
        </w:rPr>
        <w:t>on</w:t>
      </w:r>
      <w:r w:rsidRPr="008C642E">
        <w:rPr>
          <w:snapToGrid w:val="0"/>
        </w:rPr>
        <w:t xml:space="preserve"> 1800</w:t>
      </w:r>
      <w:r w:rsidR="00045D0D">
        <w:rPr>
          <w:snapToGrid w:val="0"/>
        </w:rPr>
        <w:t> 700 600</w:t>
      </w:r>
      <w:r w:rsidRPr="008C642E">
        <w:rPr>
          <w:snapToGrid w:val="0"/>
        </w:rPr>
        <w:t xml:space="preserve"> (</w:t>
      </w:r>
      <w:r w:rsidR="00AE202E" w:rsidRPr="008C642E">
        <w:rPr>
          <w:snapToGrid w:val="0"/>
        </w:rPr>
        <w:t>free call</w:t>
      </w:r>
      <w:r w:rsidRPr="008C642E">
        <w:rPr>
          <w:snapToGrid w:val="0"/>
        </w:rPr>
        <w:t>) or</w:t>
      </w:r>
      <w:r w:rsidR="009C4DA4" w:rsidRPr="008C642E">
        <w:rPr>
          <w:snapToGrid w:val="0"/>
        </w:rPr>
        <w:t xml:space="preserve"> at</w:t>
      </w:r>
      <w:r w:rsidR="00045D0D">
        <w:rPr>
          <w:snapToGrid w:val="0"/>
        </w:rPr>
        <w:t xml:space="preserve"> </w:t>
      </w:r>
      <w:hyperlink r:id="rId34" w:history="1">
        <w:r w:rsidR="00045D0D">
          <w:rPr>
            <w:rStyle w:val="Hyperlink"/>
            <w:snapToGrid w:val="0"/>
            <w:sz w:val="20"/>
          </w:rPr>
          <w:t>www.opan.org.au</w:t>
        </w:r>
      </w:hyperlink>
      <w:r w:rsidRPr="00627E0A">
        <w:rPr>
          <w:rStyle w:val="Hyperlink"/>
          <w:rFonts w:asciiTheme="minorHAnsi" w:hAnsiTheme="minorHAnsi" w:cstheme="minorHAnsi"/>
          <w:sz w:val="20"/>
          <w:szCs w:val="22"/>
        </w:rPr>
        <w:t>.</w:t>
      </w:r>
      <w:r w:rsidRPr="008C642E">
        <w:rPr>
          <w:snapToGrid w:val="0"/>
        </w:rPr>
        <w:t xml:space="preserve"> An advocate can help</w:t>
      </w:r>
      <w:r w:rsidR="00363F76" w:rsidRPr="008C642E">
        <w:rPr>
          <w:snapToGrid w:val="0"/>
        </w:rPr>
        <w:t xml:space="preserve"> care recipients</w:t>
      </w:r>
      <w:r w:rsidRPr="008C642E">
        <w:rPr>
          <w:snapToGrid w:val="0"/>
        </w:rPr>
        <w:t xml:space="preserve"> to make informed decisions and support</w:t>
      </w:r>
      <w:r w:rsidR="00363F76" w:rsidRPr="008C642E">
        <w:rPr>
          <w:snapToGrid w:val="0"/>
        </w:rPr>
        <w:t xml:space="preserve"> them in</w:t>
      </w:r>
      <w:r w:rsidRPr="008C642E">
        <w:rPr>
          <w:snapToGrid w:val="0"/>
        </w:rPr>
        <w:t xml:space="preserve"> rais</w:t>
      </w:r>
      <w:r w:rsidR="00363F76" w:rsidRPr="008C642E">
        <w:rPr>
          <w:snapToGrid w:val="0"/>
        </w:rPr>
        <w:t>ing</w:t>
      </w:r>
      <w:r w:rsidRPr="008C642E">
        <w:rPr>
          <w:snapToGrid w:val="0"/>
        </w:rPr>
        <w:t xml:space="preserve"> concerns and work</w:t>
      </w:r>
      <w:r w:rsidR="00B64430" w:rsidRPr="008C642E">
        <w:rPr>
          <w:snapToGrid w:val="0"/>
        </w:rPr>
        <w:t>ing</w:t>
      </w:r>
      <w:r w:rsidRPr="008C642E">
        <w:rPr>
          <w:snapToGrid w:val="0"/>
        </w:rPr>
        <w:t xml:space="preserve"> towards a resolution.</w:t>
      </w:r>
    </w:p>
    <w:p w14:paraId="3DCBA3B8" w14:textId="4D7E521B" w:rsidR="00605BA0" w:rsidRPr="00366082" w:rsidRDefault="00605BA0" w:rsidP="00827427">
      <w:pPr>
        <w:pStyle w:val="Heading2"/>
        <w:spacing w:before="120"/>
        <w:rPr>
          <w:snapToGrid w:val="0"/>
        </w:rPr>
      </w:pPr>
      <w:bookmarkStart w:id="281" w:name="_Toc29371683"/>
      <w:bookmarkStart w:id="282" w:name="_Toc110834663"/>
      <w:bookmarkStart w:id="283" w:name="_Toc245536185"/>
      <w:bookmarkStart w:id="284" w:name="_Toc26699242"/>
      <w:bookmarkStart w:id="285" w:name="_Toc197076920"/>
      <w:bookmarkEnd w:id="273"/>
      <w:bookmarkEnd w:id="274"/>
      <w:bookmarkEnd w:id="275"/>
      <w:bookmarkEnd w:id="276"/>
      <w:bookmarkEnd w:id="277"/>
      <w:r w:rsidRPr="007D552F">
        <w:rPr>
          <w:snapToGrid w:val="0"/>
        </w:rPr>
        <w:t>Privacy/confidentiality</w:t>
      </w:r>
      <w:bookmarkEnd w:id="278"/>
      <w:bookmarkEnd w:id="279"/>
      <w:bookmarkEnd w:id="280"/>
      <w:bookmarkEnd w:id="281"/>
      <w:bookmarkEnd w:id="282"/>
      <w:bookmarkEnd w:id="283"/>
      <w:bookmarkEnd w:id="284"/>
      <w:bookmarkEnd w:id="285"/>
    </w:p>
    <w:p w14:paraId="48549645" w14:textId="691C421F" w:rsidR="00970C3B" w:rsidRPr="00DB6BB0" w:rsidRDefault="00605BA0" w:rsidP="001E340F">
      <w:r w:rsidRPr="00E802F9">
        <w:t xml:space="preserve">Part 6.2 and sections 62-1 to 62-2 of the </w:t>
      </w:r>
      <w:r w:rsidR="00BB0515" w:rsidRPr="00E802F9">
        <w:t>Act</w:t>
      </w:r>
      <w:r w:rsidRPr="00E802F9">
        <w:t xml:space="preserve"> describe the responsibilities relating to the protection of personal information. Section 62-1 imposes obligations on the approved provider relating to the use, disclosure of and keeping of personal information relating to care recipients.</w:t>
      </w:r>
    </w:p>
    <w:p w14:paraId="7015B965" w14:textId="26A79BD8" w:rsidR="00605BA0" w:rsidRPr="00DB6BB0" w:rsidRDefault="00605BA0" w:rsidP="001E340F">
      <w:r w:rsidRPr="00DB6BB0">
        <w:t>The Australian Government</w:t>
      </w:r>
      <w:r w:rsidR="00135C13">
        <w:t xml:space="preserve"> and</w:t>
      </w:r>
      <w:r w:rsidRPr="00DB6BB0">
        <w:t xml:space="preserve"> state and territory governments as the approved providers and service providers (engaged by the approved providers), can only use personal information concerning a care recipient:</w:t>
      </w:r>
    </w:p>
    <w:p w14:paraId="0C7639DA" w14:textId="77777777" w:rsidR="00605BA0" w:rsidRPr="00DB6BB0" w:rsidRDefault="00605BA0" w:rsidP="00E330E4">
      <w:pPr>
        <w:pStyle w:val="ListBullet"/>
      </w:pPr>
      <w:r w:rsidRPr="00DB6BB0">
        <w:t>for a purpose connected with the provision of aged care to the care recipient; or</w:t>
      </w:r>
    </w:p>
    <w:p w14:paraId="2E9611E0" w14:textId="77777777" w:rsidR="00843072" w:rsidRPr="00A779EB" w:rsidRDefault="00605BA0" w:rsidP="00E330E4">
      <w:pPr>
        <w:pStyle w:val="ListBullet"/>
      </w:pPr>
      <w:r w:rsidRPr="00A779EB">
        <w:t>for a purpose for which the personal information was given by the care recipient to the approved provider (section 62-1(a)), represented by the service provider.</w:t>
      </w:r>
    </w:p>
    <w:p w14:paraId="4E388242" w14:textId="0693166F" w:rsidR="00605BA0" w:rsidRPr="00DB6BB0" w:rsidRDefault="00605BA0" w:rsidP="001E340F">
      <w:r w:rsidRPr="00DB6BB0">
        <w:t>It is the responsibility of each state or territory government as the approved provider to ensure that its service providers protect the privacy of the care recipient and comply with all applicable laws relating to the use of personal information.</w:t>
      </w:r>
    </w:p>
    <w:p w14:paraId="68EA0D8B" w14:textId="77777777" w:rsidR="00605BA0" w:rsidRPr="00DB6BB0" w:rsidRDefault="00605BA0" w:rsidP="001E340F">
      <w:r w:rsidRPr="00DB6BB0">
        <w:t>Service providers must implement security safeguards to protect personal information relating to care recipients against loss or misuse (</w:t>
      </w:r>
      <w:r w:rsidRPr="00DB6BB0">
        <w:rPr>
          <w:bCs/>
          <w:iCs/>
        </w:rPr>
        <w:t>section 62-1(c)</w:t>
      </w:r>
      <w:r w:rsidRPr="00DB6BB0">
        <w:t xml:space="preserve"> of the </w:t>
      </w:r>
      <w:r w:rsidR="00BB0515">
        <w:t>Act</w:t>
      </w:r>
      <w:r w:rsidR="003B3FB8">
        <w:t>)</w:t>
      </w:r>
      <w:r w:rsidRPr="00DB6BB0">
        <w:t>.</w:t>
      </w:r>
    </w:p>
    <w:p w14:paraId="76167917" w14:textId="77777777" w:rsidR="00605BA0" w:rsidRDefault="00605BA0" w:rsidP="001E340F">
      <w:r w:rsidRPr="00DB6BB0">
        <w:t xml:space="preserve">Service providers should also determine how they meet the </w:t>
      </w:r>
      <w:r w:rsidRPr="00DB6BB0">
        <w:rPr>
          <w:i/>
        </w:rPr>
        <w:t>Australian Privacy Principles</w:t>
      </w:r>
      <w:r w:rsidRPr="00DB6BB0">
        <w:t xml:space="preserve"> in the </w:t>
      </w:r>
      <w:r w:rsidRPr="00DB6BB0">
        <w:rPr>
          <w:bCs/>
          <w:i/>
          <w:iCs/>
        </w:rPr>
        <w:t>Privacy</w:t>
      </w:r>
      <w:r w:rsidR="00C42A71">
        <w:rPr>
          <w:bCs/>
          <w:i/>
          <w:iCs/>
        </w:rPr>
        <w:t> </w:t>
      </w:r>
      <w:r w:rsidRPr="00DB6BB0">
        <w:rPr>
          <w:bCs/>
          <w:i/>
          <w:iCs/>
        </w:rPr>
        <w:t>Act</w:t>
      </w:r>
      <w:r w:rsidR="00C42A71">
        <w:rPr>
          <w:bCs/>
          <w:i/>
          <w:iCs/>
        </w:rPr>
        <w:t> </w:t>
      </w:r>
      <w:r w:rsidRPr="00DB6BB0">
        <w:rPr>
          <w:bCs/>
          <w:i/>
          <w:iCs/>
        </w:rPr>
        <w:t>1988</w:t>
      </w:r>
      <w:r w:rsidRPr="00DB6BB0">
        <w:rPr>
          <w:i/>
          <w:iCs/>
        </w:rPr>
        <w:t xml:space="preserve"> </w:t>
      </w:r>
      <w:r w:rsidRPr="00DB6BB0">
        <w:t>and/or similar obligations contained in state or territory privacy laws.</w:t>
      </w:r>
    </w:p>
    <w:p w14:paraId="57306143" w14:textId="6BEB9FD9" w:rsidR="00605BA0" w:rsidRPr="00366082" w:rsidRDefault="00605BA0" w:rsidP="00B42C61">
      <w:pPr>
        <w:pStyle w:val="Heading2"/>
        <w:rPr>
          <w:snapToGrid w:val="0"/>
        </w:rPr>
      </w:pPr>
      <w:bookmarkStart w:id="286" w:name="_Ref29283303"/>
      <w:bookmarkStart w:id="287" w:name="_Toc29371690"/>
      <w:bookmarkStart w:id="288" w:name="_Toc110834664"/>
      <w:bookmarkStart w:id="289" w:name="_Toc245536186"/>
      <w:bookmarkStart w:id="290" w:name="_Toc395537200"/>
      <w:bookmarkStart w:id="291" w:name="_Toc422732557"/>
      <w:bookmarkStart w:id="292" w:name="_Toc422752897"/>
      <w:bookmarkStart w:id="293" w:name="_Toc197076921"/>
      <w:r w:rsidRPr="007D552F">
        <w:rPr>
          <w:snapToGrid w:val="0"/>
        </w:rPr>
        <w:t>Fees payable by care recipients</w:t>
      </w:r>
      <w:bookmarkEnd w:id="286"/>
      <w:bookmarkEnd w:id="287"/>
      <w:bookmarkEnd w:id="288"/>
      <w:bookmarkEnd w:id="289"/>
      <w:bookmarkEnd w:id="290"/>
      <w:bookmarkEnd w:id="291"/>
      <w:bookmarkEnd w:id="292"/>
      <w:bookmarkEnd w:id="293"/>
    </w:p>
    <w:p w14:paraId="7610358E" w14:textId="77777777" w:rsidR="00A779EB" w:rsidRPr="00E802F9" w:rsidRDefault="00605BA0" w:rsidP="001E340F">
      <w:r w:rsidRPr="00E802F9">
        <w:t>The payment agreement sets out the maximum amount that can be charged for care recipient fees.</w:t>
      </w:r>
    </w:p>
    <w:p w14:paraId="66E39034" w14:textId="796AF190" w:rsidR="00CF4493" w:rsidRDefault="00CF4493" w:rsidP="001E340F">
      <w:r w:rsidRPr="00DB6BB0">
        <w:t xml:space="preserve">Service providers may ask care recipients to pay a care fee as a contribution to the cost of their care. Any fees </w:t>
      </w:r>
      <w:r w:rsidR="00DC33D8">
        <w:t>must</w:t>
      </w:r>
      <w:r w:rsidRPr="00DB6BB0">
        <w:t xml:space="preserve"> be fully explained to the care recipient and the amount charged form part of the agreement between the care recipient and service provider. Any fees must be agreed </w:t>
      </w:r>
      <w:r w:rsidR="00302FDA">
        <w:t>by</w:t>
      </w:r>
      <w:r w:rsidRPr="00DB6BB0">
        <w:t xml:space="preserve"> the care recipient prior to service</w:t>
      </w:r>
      <w:r w:rsidR="00A900B5">
        <w:t>s</w:t>
      </w:r>
      <w:r w:rsidRPr="00DB6BB0">
        <w:t xml:space="preserve"> being </w:t>
      </w:r>
      <w:r w:rsidR="00A900B5">
        <w:t>provided</w:t>
      </w:r>
      <w:r w:rsidRPr="00DB6BB0">
        <w:t>.</w:t>
      </w:r>
    </w:p>
    <w:p w14:paraId="43201267" w14:textId="44681DE8" w:rsidR="00605BA0" w:rsidRPr="00DB6BB0" w:rsidRDefault="00605BA0" w:rsidP="001E340F">
      <w:r w:rsidRPr="00DB6BB0">
        <w:t xml:space="preserve">The maximum amount that can be charged is outlined in </w:t>
      </w:r>
      <w:r w:rsidRPr="00827427">
        <w:rPr>
          <w:i/>
        </w:rPr>
        <w:t xml:space="preserve">section </w:t>
      </w:r>
      <w:r w:rsidR="0026543F" w:rsidRPr="00827427">
        <w:rPr>
          <w:i/>
        </w:rPr>
        <w:t>5</w:t>
      </w:r>
      <w:r w:rsidRPr="003D40B2">
        <w:rPr>
          <w:i/>
        </w:rPr>
        <w:t>.6.</w:t>
      </w:r>
      <w:r w:rsidR="00156012">
        <w:rPr>
          <w:i/>
        </w:rPr>
        <w:t>2</w:t>
      </w:r>
      <w:r w:rsidRPr="00DB6BB0">
        <w:rPr>
          <w:i/>
        </w:rPr>
        <w:t xml:space="preserve"> Maximum fees</w:t>
      </w:r>
      <w:r w:rsidRPr="00DB6BB0">
        <w:t xml:space="preserve"> and reflected in the payment agreement.</w:t>
      </w:r>
    </w:p>
    <w:p w14:paraId="406EC865" w14:textId="586302D1" w:rsidR="00C42A71" w:rsidRDefault="00605BA0" w:rsidP="001E340F">
      <w:r w:rsidRPr="00DB6BB0">
        <w:lastRenderedPageBreak/>
        <w:t xml:space="preserve">A care recipient’s access to transition care should not be affected by their ability to pay </w:t>
      </w:r>
      <w:r w:rsidR="003A6D92" w:rsidRPr="00DB6BB0">
        <w:t>fees but</w:t>
      </w:r>
      <w:r w:rsidRPr="00DB6BB0">
        <w:t xml:space="preserve"> should be decided </w:t>
      </w:r>
      <w:r w:rsidR="005C5811" w:rsidRPr="00DB6BB0">
        <w:t>based on</w:t>
      </w:r>
      <w:r w:rsidR="009C4DA4">
        <w:t xml:space="preserve"> their</w:t>
      </w:r>
      <w:r w:rsidRPr="00DB6BB0">
        <w:t xml:space="preserve"> need for care and the capacity of the service provider to meet that need.</w:t>
      </w:r>
    </w:p>
    <w:p w14:paraId="4B10DD10" w14:textId="6E99606B" w:rsidR="00F64F62" w:rsidRDefault="00C42A71" w:rsidP="001E340F">
      <w:r>
        <w:t>Decision</w:t>
      </w:r>
      <w:r w:rsidR="00843072">
        <w:t>s</w:t>
      </w:r>
      <w:r>
        <w:t xml:space="preserve"> on </w:t>
      </w:r>
      <w:r w:rsidR="0064270C">
        <w:t>whether</w:t>
      </w:r>
      <w:r>
        <w:t xml:space="preserve"> to charge fees are entirely at the </w:t>
      </w:r>
      <w:r w:rsidR="00A22297">
        <w:t>discretion of the</w:t>
      </w:r>
      <w:r w:rsidR="004E094D">
        <w:t xml:space="preserve"> approved provider and the</w:t>
      </w:r>
      <w:r w:rsidR="00A22297">
        <w:t xml:space="preserve"> service provider.</w:t>
      </w:r>
      <w:r w:rsidR="00AF4E89">
        <w:t xml:space="preserve"> </w:t>
      </w:r>
      <w:r w:rsidR="00A22297">
        <w:t>The Australian Government recommends that fees be waived for financially disadvantaged care recipients.</w:t>
      </w:r>
    </w:p>
    <w:p w14:paraId="750A8F66" w14:textId="53A4FB83" w:rsidR="00605BA0" w:rsidRPr="00A779EB" w:rsidRDefault="00F64F62" w:rsidP="001E340F">
      <w:pPr>
        <w:rPr>
          <w:szCs w:val="20"/>
        </w:rPr>
      </w:pPr>
      <w:r w:rsidRPr="00C065C8">
        <w:rPr>
          <w:rFonts w:asciiTheme="minorHAnsi" w:hAnsiTheme="minorHAnsi" w:cstheme="minorHAnsi"/>
          <w:szCs w:val="20"/>
        </w:rPr>
        <w:t xml:space="preserve">Information on the cost of transition care for recipients is outlined on the </w:t>
      </w:r>
      <w:hyperlink r:id="rId35" w:history="1">
        <w:r w:rsidRPr="00C065C8">
          <w:rPr>
            <w:rFonts w:asciiTheme="minorHAnsi" w:eastAsia="Calibri" w:hAnsiTheme="minorHAnsi" w:cstheme="minorHAnsi"/>
            <w:color w:val="0563C1"/>
            <w:szCs w:val="20"/>
            <w:u w:val="single"/>
          </w:rPr>
          <w:t>My Aged Care website</w:t>
        </w:r>
      </w:hyperlink>
      <w:r w:rsidRPr="00860A31">
        <w:rPr>
          <w:rFonts w:ascii="Calibri" w:eastAsia="Calibri" w:hAnsi="Calibri" w:cs="Calibri"/>
          <w:color w:val="1F497D"/>
          <w:sz w:val="22"/>
          <w:szCs w:val="22"/>
        </w:rPr>
        <w:t>.</w:t>
      </w:r>
    </w:p>
    <w:p w14:paraId="312C2B8D" w14:textId="566C3ED4" w:rsidR="00605BA0" w:rsidRPr="007D552F" w:rsidRDefault="00605BA0" w:rsidP="00187113">
      <w:pPr>
        <w:pStyle w:val="Heading3withoutnumbering"/>
      </w:pPr>
      <w:bookmarkStart w:id="294" w:name="_Toc521122318"/>
      <w:bookmarkStart w:id="295" w:name="_Toc29371692"/>
      <w:bookmarkStart w:id="296" w:name="_Toc110834666"/>
      <w:bookmarkStart w:id="297" w:name="_Toc245536188"/>
      <w:bookmarkStart w:id="298" w:name="_Toc395537202"/>
      <w:bookmarkStart w:id="299" w:name="_Toc422732559"/>
      <w:bookmarkStart w:id="300" w:name="_Toc422752899"/>
      <w:bookmarkStart w:id="301" w:name="_Toc197076922"/>
      <w:r w:rsidRPr="007D552F">
        <w:t>Determining care fees</w:t>
      </w:r>
      <w:bookmarkEnd w:id="294"/>
      <w:bookmarkEnd w:id="295"/>
      <w:bookmarkEnd w:id="296"/>
      <w:bookmarkEnd w:id="297"/>
      <w:bookmarkEnd w:id="298"/>
      <w:bookmarkEnd w:id="299"/>
      <w:bookmarkEnd w:id="300"/>
      <w:bookmarkEnd w:id="301"/>
    </w:p>
    <w:p w14:paraId="068F7E7E" w14:textId="696FEEC1" w:rsidR="00605BA0" w:rsidRPr="00DB6BB0" w:rsidRDefault="00605BA0" w:rsidP="001E340F">
      <w:r w:rsidRPr="00DB6BB0">
        <w:t>The process of setting care fees should be as simple and unobtrusive as possible, respecting the care recipient’s right to privacy and confidentiality.</w:t>
      </w:r>
    </w:p>
    <w:p w14:paraId="49F45913" w14:textId="069920DF" w:rsidR="00605BA0" w:rsidRPr="00DB6BB0" w:rsidRDefault="00605BA0" w:rsidP="001E340F">
      <w:r w:rsidRPr="00DB6BB0">
        <w:t xml:space="preserve">To ascertain a care recipient’s ability to </w:t>
      </w:r>
      <w:r w:rsidR="003A6D92" w:rsidRPr="00DB6BB0">
        <w:t>contribute</w:t>
      </w:r>
      <w:r w:rsidRPr="00DB6BB0">
        <w:t xml:space="preserve"> to the cost of their transition care, the service provider may only request information that is reasonable to request under the circumstances (i.e. the care recipient is an in-patient of the hospital before entering transition care).</w:t>
      </w:r>
    </w:p>
    <w:p w14:paraId="3E0A1BAC" w14:textId="2300AACB" w:rsidR="00605BA0" w:rsidRPr="00DB6BB0" w:rsidRDefault="00605BA0" w:rsidP="001E340F">
      <w:r w:rsidRPr="00DB6BB0">
        <w:t xml:space="preserve">In determining a care recipient’s capacity to pay fees, the service provider should </w:t>
      </w:r>
      <w:r w:rsidR="0064270C" w:rsidRPr="00DB6BB0">
        <w:t>consider</w:t>
      </w:r>
      <w:r w:rsidRPr="00DB6BB0">
        <w:t xml:space="preserve"> any exceptional and unavoidable expenses</w:t>
      </w:r>
      <w:r w:rsidR="00E802F9">
        <w:t xml:space="preserve"> incurred by the care recipient.</w:t>
      </w:r>
      <w:bookmarkStart w:id="302" w:name="_Toc521122319"/>
    </w:p>
    <w:p w14:paraId="24D4734C" w14:textId="4EAAA4B1" w:rsidR="00605BA0" w:rsidRPr="00DB6BB0" w:rsidRDefault="00605BA0" w:rsidP="001E340F">
      <w:r w:rsidRPr="00DB6BB0">
        <w:t xml:space="preserve">A care recipient receiving transition care who is about to be discharged to residential aged care, can be charged applicable aged care fees for the period of pre-entry leave by the residential aged care service provider (see section 58-1(c) of the </w:t>
      </w:r>
      <w:r w:rsidR="00723838">
        <w:t>Act</w:t>
      </w:r>
      <w:r w:rsidR="009979F7" w:rsidRPr="00610063">
        <w:t>)</w:t>
      </w:r>
      <w:r w:rsidR="00C00753">
        <w:t>, although no subsidy is payable to the provider</w:t>
      </w:r>
      <w:r w:rsidRPr="00DB6BB0">
        <w:t>. This is likely to mean the care recipient’s capacity to pay care fees in transition care is diminished.</w:t>
      </w:r>
    </w:p>
    <w:p w14:paraId="0557EDF9" w14:textId="77777777" w:rsidR="00605BA0" w:rsidRPr="00DB6BB0" w:rsidRDefault="00605BA0" w:rsidP="001E340F">
      <w:r w:rsidRPr="00DB6BB0">
        <w:t xml:space="preserve">Similarly, residents </w:t>
      </w:r>
      <w:r w:rsidR="00E802F9">
        <w:t xml:space="preserve">who were </w:t>
      </w:r>
      <w:r w:rsidRPr="00DB6BB0">
        <w:t>in residential aged care before entering hospital may continue to be charged fees by their orig</w:t>
      </w:r>
      <w:r w:rsidR="009E5CC4">
        <w:t>inal service whilst receiving</w:t>
      </w:r>
      <w:r w:rsidRPr="00DB6BB0">
        <w:t xml:space="preserve"> transition care services, which may impact on their capacity to pay fees for transition care.</w:t>
      </w:r>
    </w:p>
    <w:p w14:paraId="19512840" w14:textId="77777777" w:rsidR="00605BA0" w:rsidRPr="00DB6BB0" w:rsidRDefault="00605BA0" w:rsidP="001E340F">
      <w:pPr>
        <w:rPr>
          <w:rFonts w:ascii="Helv" w:hAnsi="Helv" w:cs="Helv"/>
        </w:rPr>
      </w:pPr>
      <w:r w:rsidRPr="00DB6BB0">
        <w:t>Home care recipients who began their care before 1 July 2014 cannot be charged care fees by the home care provider while they take leave for transition care (</w:t>
      </w:r>
      <w:r w:rsidR="00446272">
        <w:t xml:space="preserve">see </w:t>
      </w:r>
      <w:r w:rsidR="00EB6FA7">
        <w:t>sub-</w:t>
      </w:r>
      <w:r w:rsidRPr="00DB6BB0">
        <w:t xml:space="preserve">section 130(5) of the </w:t>
      </w:r>
      <w:r w:rsidRPr="00DB6BB0">
        <w:rPr>
          <w:i/>
        </w:rPr>
        <w:t>Aged Care (Transitional Provisions) Principles 2014</w:t>
      </w:r>
      <w:r w:rsidRPr="00DB6BB0">
        <w:t>).</w:t>
      </w:r>
    </w:p>
    <w:p w14:paraId="5981DAF7" w14:textId="77777777" w:rsidR="00A22297" w:rsidRDefault="00605BA0" w:rsidP="001E340F">
      <w:r w:rsidRPr="00DB6BB0">
        <w:t>Home care recipients who began their care on and after 1 July 2014 cannot be charged a basic daily fee while they take leave for transition care (</w:t>
      </w:r>
      <w:r w:rsidR="00446272">
        <w:t xml:space="preserve">see </w:t>
      </w:r>
      <w:r w:rsidRPr="00DB6BB0">
        <w:t xml:space="preserve">section 68 of the </w:t>
      </w:r>
      <w:r w:rsidRPr="00DB6BB0">
        <w:rPr>
          <w:i/>
        </w:rPr>
        <w:t>Aged Care (Subsidy, Fees and Payments) Determination 2014</w:t>
      </w:r>
      <w:r w:rsidRPr="00DB6BB0">
        <w:t>).</w:t>
      </w:r>
    </w:p>
    <w:p w14:paraId="65BA2D04" w14:textId="34F17569" w:rsidR="00605BA0" w:rsidRPr="007D552F" w:rsidRDefault="00605BA0" w:rsidP="00B42C61">
      <w:pPr>
        <w:pStyle w:val="Heading3withoutnumbering"/>
      </w:pPr>
      <w:bookmarkStart w:id="303" w:name="_Ref29290469"/>
      <w:bookmarkStart w:id="304" w:name="_Toc29371693"/>
      <w:bookmarkStart w:id="305" w:name="_Toc110834667"/>
      <w:bookmarkStart w:id="306" w:name="_Toc245536189"/>
      <w:bookmarkStart w:id="307" w:name="_Toc395537203"/>
      <w:bookmarkStart w:id="308" w:name="_Toc422732560"/>
      <w:bookmarkStart w:id="309" w:name="_Toc422752900"/>
      <w:bookmarkStart w:id="310" w:name="_Toc197076923"/>
      <w:r w:rsidRPr="007D552F">
        <w:t>Maximum fees</w:t>
      </w:r>
      <w:bookmarkEnd w:id="302"/>
      <w:bookmarkEnd w:id="303"/>
      <w:bookmarkEnd w:id="304"/>
      <w:bookmarkEnd w:id="305"/>
      <w:bookmarkEnd w:id="306"/>
      <w:bookmarkEnd w:id="307"/>
      <w:bookmarkEnd w:id="308"/>
      <w:bookmarkEnd w:id="309"/>
      <w:bookmarkEnd w:id="310"/>
      <w:r w:rsidRPr="007D552F">
        <w:t xml:space="preserve"> </w:t>
      </w:r>
    </w:p>
    <w:p w14:paraId="325DD2E3" w14:textId="6FF4BEA5" w:rsidR="00A779EB" w:rsidRDefault="00605BA0" w:rsidP="001E340F">
      <w:r w:rsidRPr="00DB6BB0">
        <w:t xml:space="preserve">The care fee for transition care is calculated </w:t>
      </w:r>
      <w:r w:rsidR="0064270C" w:rsidRPr="00DB6BB0">
        <w:t>daily</w:t>
      </w:r>
      <w:r w:rsidRPr="00DB6BB0">
        <w:t xml:space="preserve"> for every day the care recipient receives transition care. The maximum value of the care fee is 85</w:t>
      </w:r>
      <w:r w:rsidR="00151177">
        <w:t xml:space="preserve"> per cent </w:t>
      </w:r>
      <w:r w:rsidRPr="00DB6BB0">
        <w:t xml:space="preserve">of the basic daily rate of single pension for care delivered in a residential setting. A care recipient who is an existing recipient of residential care </w:t>
      </w:r>
      <w:r w:rsidR="00135C13" w:rsidRPr="00DB6BB0">
        <w:t>services and</w:t>
      </w:r>
      <w:r w:rsidRPr="00DB6BB0">
        <w:t xml:space="preserve"> is already paying 85</w:t>
      </w:r>
      <w:r w:rsidR="00151177">
        <w:t xml:space="preserve"> per cent</w:t>
      </w:r>
      <w:r w:rsidRPr="00DB6BB0">
        <w:t xml:space="preserve"> of the basic daily rate of single pension in care fees, cannot be asked to pay the same amount to their service provider.</w:t>
      </w:r>
    </w:p>
    <w:p w14:paraId="54701F89" w14:textId="1B42C0BF" w:rsidR="00A779EB" w:rsidRPr="00DB6BB0" w:rsidRDefault="00A779EB" w:rsidP="001E340F">
      <w:r w:rsidRPr="00DB6BB0">
        <w:t xml:space="preserve">For home </w:t>
      </w:r>
      <w:r w:rsidR="0064270C" w:rsidRPr="00DB6BB0">
        <w:t>care-based</w:t>
      </w:r>
      <w:r w:rsidRPr="00DB6BB0">
        <w:t xml:space="preserve"> transition care, the maximum care fee is 17.5</w:t>
      </w:r>
      <w:r>
        <w:t xml:space="preserve"> per cent </w:t>
      </w:r>
      <w:r w:rsidRPr="00DB6BB0">
        <w:t>of the basic daily rate of the single pension.</w:t>
      </w:r>
    </w:p>
    <w:p w14:paraId="6C76B923" w14:textId="77777777" w:rsidR="00605BA0" w:rsidRPr="00DB6BB0" w:rsidRDefault="00605BA0" w:rsidP="001E340F">
      <w:r w:rsidRPr="00DB6BB0">
        <w:t xml:space="preserve">The amount paid </w:t>
      </w:r>
      <w:r w:rsidR="004E094D">
        <w:t>must</w:t>
      </w:r>
      <w:r w:rsidR="004E094D" w:rsidRPr="00DB6BB0">
        <w:t xml:space="preserve"> </w:t>
      </w:r>
      <w:r w:rsidRPr="00DB6BB0">
        <w:t xml:space="preserve">be discussed and agreed upon between the care recipient and service provider before transition care is provided </w:t>
      </w:r>
      <w:r w:rsidR="000F4DC8" w:rsidRPr="003D40B2">
        <w:t>(</w:t>
      </w:r>
      <w:r w:rsidR="009E5CC4">
        <w:t>s</w:t>
      </w:r>
      <w:r w:rsidR="00151177">
        <w:t>ee</w:t>
      </w:r>
      <w:r w:rsidR="004E094D">
        <w:t xml:space="preserve"> section</w:t>
      </w:r>
      <w:r w:rsidRPr="00EA6F96">
        <w:rPr>
          <w:i/>
        </w:rPr>
        <w:t xml:space="preserve"> 3.5.4 Existing recipients of residential</w:t>
      </w:r>
      <w:r w:rsidR="002310F3">
        <w:rPr>
          <w:i/>
        </w:rPr>
        <w:t xml:space="preserve"> or home care</w:t>
      </w:r>
      <w:r w:rsidR="000F4DC8" w:rsidRPr="00EA6F96">
        <w:t>)</w:t>
      </w:r>
      <w:r w:rsidRPr="00EA6F96">
        <w:rPr>
          <w:i/>
        </w:rPr>
        <w:t>.</w:t>
      </w:r>
    </w:p>
    <w:p w14:paraId="21A962E9" w14:textId="6714DA2A" w:rsidR="00605BA0" w:rsidRPr="00DB6BB0" w:rsidRDefault="00605BA0" w:rsidP="001E340F">
      <w:r w:rsidRPr="00DB6BB0">
        <w:t>The above rules on maximum fees apply to both single and married care recipients.</w:t>
      </w:r>
    </w:p>
    <w:p w14:paraId="1D5D32CA" w14:textId="130412C3" w:rsidR="008276D1" w:rsidRPr="008276D1" w:rsidRDefault="008276D1" w:rsidP="001E340F">
      <w:r w:rsidRPr="00A8096E">
        <w:t xml:space="preserve">Each March and September when new pension rates are announced, the Department notifies the approved providers of any variations in the rate of the maximum care fees for transition care. The approved providers should then notify all service providers of the new rate. These rates are published on the Department’s website at: </w:t>
      </w:r>
      <w:hyperlink r:id="rId36" w:history="1">
        <w:r w:rsidRPr="00A8096E">
          <w:rPr>
            <w:rStyle w:val="Hyperlink"/>
            <w:sz w:val="20"/>
            <w:szCs w:val="20"/>
          </w:rPr>
          <w:t>Schedule of Fees and Charges for Residential and Home Care</w:t>
        </w:r>
      </w:hyperlink>
      <w:r w:rsidRPr="00627E0A">
        <w:t>.</w:t>
      </w:r>
    </w:p>
    <w:p w14:paraId="1B721F1D" w14:textId="43C8C5A9" w:rsidR="008276D1" w:rsidRPr="008276D1" w:rsidRDefault="008276D1" w:rsidP="001E340F">
      <w:r w:rsidRPr="008276D1">
        <w:t xml:space="preserve">In addition, the basic subsidy amounts for residential, home care and flexible aged care are indexed on 1 July each year; these are published in the </w:t>
      </w:r>
      <w:hyperlink r:id="rId37" w:history="1">
        <w:r w:rsidR="00821071" w:rsidRPr="009E2EC9">
          <w:rPr>
            <w:rStyle w:val="Hyperlink"/>
            <w:rFonts w:eastAsiaTheme="majorEastAsia"/>
            <w:i/>
            <w:iCs/>
            <w:sz w:val="20"/>
            <w:szCs w:val="20"/>
          </w:rPr>
          <w:t>Aged Care (Subsidy, Fees and Payments) Determination 2014</w:t>
        </w:r>
      </w:hyperlink>
      <w:r w:rsidRPr="008276D1">
        <w:rPr>
          <w:i/>
          <w:iCs/>
        </w:rPr>
        <w:t xml:space="preserve">, </w:t>
      </w:r>
      <w:r w:rsidRPr="008276D1">
        <w:t>after approval by the</w:t>
      </w:r>
      <w:r w:rsidRPr="008276D1">
        <w:rPr>
          <w:i/>
          <w:iCs/>
        </w:rPr>
        <w:t xml:space="preserve"> </w:t>
      </w:r>
      <w:r w:rsidRPr="008276D1">
        <w:t>Minister.</w:t>
      </w:r>
    </w:p>
    <w:p w14:paraId="0311F951" w14:textId="1007C129" w:rsidR="00605BA0" w:rsidRPr="007D552F" w:rsidRDefault="00605BA0" w:rsidP="00B42C61">
      <w:pPr>
        <w:pStyle w:val="Heading3withoutnumbering"/>
      </w:pPr>
      <w:bookmarkStart w:id="311" w:name="_Toc521122321"/>
      <w:bookmarkStart w:id="312" w:name="_Toc29371694"/>
      <w:bookmarkStart w:id="313" w:name="_Toc110834668"/>
      <w:bookmarkStart w:id="314" w:name="_Toc245536190"/>
      <w:bookmarkStart w:id="315" w:name="_Toc395537204"/>
      <w:bookmarkStart w:id="316" w:name="_Toc422732561"/>
      <w:bookmarkStart w:id="317" w:name="_Toc422752901"/>
      <w:bookmarkStart w:id="318" w:name="_Toc197076924"/>
      <w:r w:rsidRPr="007D552F">
        <w:t>Payment of fees in advance</w:t>
      </w:r>
      <w:bookmarkEnd w:id="311"/>
      <w:bookmarkEnd w:id="312"/>
      <w:bookmarkEnd w:id="313"/>
      <w:bookmarkEnd w:id="314"/>
      <w:bookmarkEnd w:id="315"/>
      <w:bookmarkEnd w:id="316"/>
      <w:bookmarkEnd w:id="317"/>
      <w:bookmarkEnd w:id="318"/>
    </w:p>
    <w:p w14:paraId="63964588" w14:textId="1FFA6443" w:rsidR="00DA2736" w:rsidRDefault="00605BA0" w:rsidP="001E340F">
      <w:r w:rsidRPr="00DB6BB0">
        <w:t>Service providers may ask for fees up to one week in advance. If a care recipient leaves the programme, any payment in advance beyond the date of cessation must be refunded to the care</w:t>
      </w:r>
      <w:bookmarkStart w:id="319" w:name="_Toc29371699"/>
      <w:bookmarkStart w:id="320" w:name="_Toc110834669"/>
      <w:bookmarkStart w:id="321" w:name="_Toc245536191"/>
      <w:bookmarkStart w:id="322" w:name="_Toc395537205"/>
      <w:r w:rsidRPr="00DB6BB0">
        <w:t xml:space="preserve"> recipient</w:t>
      </w:r>
      <w:bookmarkStart w:id="323" w:name="_Toc422732562"/>
      <w:bookmarkStart w:id="324" w:name="_Toc422752902"/>
      <w:r w:rsidR="007C280D">
        <w:t xml:space="preserve"> as soon as possible.</w:t>
      </w:r>
    </w:p>
    <w:p w14:paraId="16F65996" w14:textId="31E06124" w:rsidR="00DA2736" w:rsidRPr="00DB6BB0" w:rsidRDefault="00DA2736" w:rsidP="00DA2736">
      <w:pPr>
        <w:pStyle w:val="Heading3withoutnumbering"/>
        <w:rPr>
          <w:rFonts w:ascii="Helv" w:hAnsi="Helv" w:cs="Helv"/>
        </w:rPr>
      </w:pPr>
      <w:bookmarkStart w:id="325" w:name="_Toc197076925"/>
      <w:r>
        <w:t>Waiving Fees (Financial Hardship)</w:t>
      </w:r>
      <w:bookmarkEnd w:id="325"/>
    </w:p>
    <w:p w14:paraId="03D79E8C" w14:textId="1CD09C5C" w:rsidR="00CB3140" w:rsidRPr="00DF7B75" w:rsidRDefault="00DA2736" w:rsidP="001E340F">
      <w:r>
        <w:t xml:space="preserve">Service providers </w:t>
      </w:r>
      <w:r w:rsidR="0064270C">
        <w:t>can</w:t>
      </w:r>
      <w:r>
        <w:t xml:space="preserve"> waive care recipient fees in circumstances where a care recipient is experiencing financial disadvantage. Care recipients should discuss their financial circumstances with the service provider before services are provided </w:t>
      </w:r>
      <w:r w:rsidR="0033134F">
        <w:t>(</w:t>
      </w:r>
      <w:r w:rsidR="00EC27E7">
        <w:t>s</w:t>
      </w:r>
      <w:r w:rsidRPr="00EA6F96">
        <w:t>ee</w:t>
      </w:r>
      <w:r w:rsidR="00CD199D">
        <w:t xml:space="preserve"> section</w:t>
      </w:r>
      <w:r w:rsidRPr="00E84CBB">
        <w:rPr>
          <w:i/>
        </w:rPr>
        <w:t xml:space="preserve"> </w:t>
      </w:r>
      <w:r w:rsidR="00A36963">
        <w:rPr>
          <w:i/>
        </w:rPr>
        <w:t>5</w:t>
      </w:r>
      <w:r w:rsidRPr="00E84CBB">
        <w:rPr>
          <w:i/>
        </w:rPr>
        <w:t xml:space="preserve">.6.1 </w:t>
      </w:r>
      <w:r>
        <w:rPr>
          <w:i/>
        </w:rPr>
        <w:t>Determining care fees</w:t>
      </w:r>
      <w:r w:rsidR="0033134F" w:rsidRPr="00EA6F96">
        <w:t>)</w:t>
      </w:r>
      <w:r>
        <w:rPr>
          <w:i/>
        </w:rPr>
        <w:t>.</w:t>
      </w:r>
    </w:p>
    <w:p w14:paraId="01EA062E" w14:textId="39C4F85C" w:rsidR="00605BA0" w:rsidRPr="00953CC7" w:rsidRDefault="00605BA0" w:rsidP="001B4B19">
      <w:pPr>
        <w:pStyle w:val="Heading1"/>
        <w:ind w:left="0" w:firstLine="0"/>
      </w:pPr>
      <w:bookmarkStart w:id="326" w:name="_RESPONSIBILITIES_OF_APPROVED"/>
      <w:bookmarkStart w:id="327" w:name="_Toc197076926"/>
      <w:bookmarkEnd w:id="326"/>
      <w:r w:rsidRPr="00953CC7">
        <w:lastRenderedPageBreak/>
        <w:t>RESPONSIBILITIES OF APPROVED PROVIDERS</w:t>
      </w:r>
      <w:bookmarkEnd w:id="319"/>
      <w:r w:rsidRPr="00953CC7">
        <w:t xml:space="preserve"> OF TRANSITION CARE</w:t>
      </w:r>
      <w:bookmarkEnd w:id="320"/>
      <w:bookmarkEnd w:id="321"/>
      <w:bookmarkEnd w:id="322"/>
      <w:bookmarkEnd w:id="323"/>
      <w:bookmarkEnd w:id="324"/>
      <w:bookmarkEnd w:id="327"/>
    </w:p>
    <w:p w14:paraId="09FBB15C" w14:textId="3574DF11" w:rsidR="00605BA0" w:rsidRPr="009E5CC4" w:rsidRDefault="00605BA0" w:rsidP="001B4B19">
      <w:pPr>
        <w:rPr>
          <w:i/>
        </w:rPr>
      </w:pPr>
      <w:bookmarkStart w:id="328" w:name="_Toc422732563"/>
      <w:bookmarkStart w:id="329" w:name="_Toc422732727"/>
      <w:bookmarkStart w:id="330" w:name="_Toc29371706"/>
      <w:bookmarkStart w:id="331" w:name="_Toc110834670"/>
      <w:bookmarkStart w:id="332" w:name="_Toc245536192"/>
      <w:bookmarkStart w:id="333" w:name="_Toc395537206"/>
      <w:r w:rsidRPr="009E5CC4">
        <w:t xml:space="preserve">Section 56-3 of the </w:t>
      </w:r>
      <w:r w:rsidR="00723838" w:rsidRPr="009E5CC4">
        <w:t>Act</w:t>
      </w:r>
      <w:r w:rsidRPr="009E5CC4">
        <w:t xml:space="preserve"> sets out the responsibilities of the state and territory governments as the approved provider</w:t>
      </w:r>
      <w:r w:rsidR="00AB3803" w:rsidRPr="009E5CC4">
        <w:t>s</w:t>
      </w:r>
      <w:r w:rsidR="00DB65A8">
        <w:t>,</w:t>
      </w:r>
      <w:r w:rsidRPr="009E5CC4">
        <w:t xml:space="preserve"> and for service providers</w:t>
      </w:r>
      <w:r w:rsidR="00821071">
        <w:t xml:space="preserve"> </w:t>
      </w:r>
      <w:r w:rsidR="003A6D92">
        <w:t>regarding</w:t>
      </w:r>
      <w:r w:rsidR="00821071">
        <w:t xml:space="preserve"> User Rights</w:t>
      </w:r>
      <w:r w:rsidRPr="009E5CC4">
        <w:t>.</w:t>
      </w:r>
      <w:bookmarkEnd w:id="328"/>
      <w:bookmarkEnd w:id="329"/>
    </w:p>
    <w:p w14:paraId="17CFD511" w14:textId="2A3E528C" w:rsidR="00605BA0" w:rsidRPr="004D12CC" w:rsidRDefault="00605BA0" w:rsidP="00B42C61">
      <w:pPr>
        <w:pStyle w:val="Heading2"/>
      </w:pPr>
      <w:bookmarkStart w:id="334" w:name="_Toc422732564"/>
      <w:bookmarkStart w:id="335" w:name="_Toc422752903"/>
      <w:bookmarkStart w:id="336" w:name="_Toc197076927"/>
      <w:r w:rsidRPr="004D12CC">
        <w:t xml:space="preserve">Compliance with the </w:t>
      </w:r>
      <w:bookmarkEnd w:id="330"/>
      <w:bookmarkEnd w:id="331"/>
      <w:bookmarkEnd w:id="332"/>
      <w:r w:rsidRPr="004D12CC">
        <w:t>legislation</w:t>
      </w:r>
      <w:bookmarkEnd w:id="333"/>
      <w:bookmarkEnd w:id="334"/>
      <w:bookmarkEnd w:id="335"/>
      <w:bookmarkEnd w:id="336"/>
    </w:p>
    <w:p w14:paraId="1B2DB1F4" w14:textId="7D508F32" w:rsidR="00605BA0" w:rsidRPr="00DB6BB0" w:rsidRDefault="00605BA0" w:rsidP="001E340F">
      <w:r w:rsidRPr="00DB6BB0">
        <w:t xml:space="preserve">Approved providers are approved under the </w:t>
      </w:r>
      <w:r w:rsidR="00095725" w:rsidRPr="00A8096E">
        <w:t xml:space="preserve">Quality and Safety </w:t>
      </w:r>
      <w:r w:rsidR="00601748">
        <w:t xml:space="preserve">Commission </w:t>
      </w:r>
      <w:r w:rsidR="00723838">
        <w:t>Act</w:t>
      </w:r>
      <w:r w:rsidRPr="00DB6BB0">
        <w:rPr>
          <w:i/>
        </w:rPr>
        <w:t xml:space="preserve"> </w:t>
      </w:r>
      <w:r w:rsidRPr="00DB6BB0">
        <w:t xml:space="preserve">and therefore must comply with </w:t>
      </w:r>
      <w:r w:rsidR="00511D5C">
        <w:t>the requirements set out</w:t>
      </w:r>
      <w:r w:rsidRPr="00DB6BB0">
        <w:t xml:space="preserve"> in the Act </w:t>
      </w:r>
      <w:r w:rsidR="00193C70">
        <w:t xml:space="preserve">and </w:t>
      </w:r>
      <w:r w:rsidRPr="00DB6BB0">
        <w:t>the Principles</w:t>
      </w:r>
      <w:r w:rsidR="00193C70">
        <w:t>.</w:t>
      </w:r>
      <w:r w:rsidRPr="00DB6BB0">
        <w:t xml:space="preserve"> These conditions relate to all activities performed in the context of providing flexible care under </w:t>
      </w:r>
      <w:r w:rsidR="002310F3">
        <w:t xml:space="preserve">the </w:t>
      </w:r>
      <w:r w:rsidRPr="00DB6BB0">
        <w:t>Act</w:t>
      </w:r>
      <w:r w:rsidR="002310F3">
        <w:t xml:space="preserve"> and Principles</w:t>
      </w:r>
      <w:r w:rsidRPr="00DB6BB0">
        <w:t>. This chapter identifies the key responsibilities of service providers under the Act and Principles.</w:t>
      </w:r>
      <w:r w:rsidR="00D11ADE">
        <w:t xml:space="preserve"> </w:t>
      </w:r>
    </w:p>
    <w:p w14:paraId="43109E7E" w14:textId="119EEDDD" w:rsidR="00605BA0" w:rsidRPr="00583078" w:rsidRDefault="00605BA0" w:rsidP="001E340F">
      <w:r w:rsidRPr="00DB6BB0">
        <w:t>While these guidelines provide additional advice on responsibilities of the approved providers and a measure of policy interpretation, it is strongly recommended that approved providers and service providers become familiar with the Act</w:t>
      </w:r>
      <w:r w:rsidRPr="00DB6BB0">
        <w:rPr>
          <w:i/>
        </w:rPr>
        <w:t xml:space="preserve"> </w:t>
      </w:r>
      <w:r w:rsidRPr="00DB6BB0">
        <w:t>and the Principles</w:t>
      </w:r>
      <w:r w:rsidRPr="00DB6BB0" w:rsidDel="00573B17">
        <w:t xml:space="preserve"> </w:t>
      </w:r>
      <w:r w:rsidRPr="00DB6BB0">
        <w:t>to be fully aware of their responsibilities in all aspects of flexible care in the form of transition care.</w:t>
      </w:r>
    </w:p>
    <w:p w14:paraId="6F9D167C" w14:textId="723B9B67" w:rsidR="00605BA0" w:rsidRPr="007D552F" w:rsidRDefault="00605BA0" w:rsidP="00B42C61">
      <w:pPr>
        <w:pStyle w:val="Heading3withoutnumbering"/>
      </w:pPr>
      <w:bookmarkStart w:id="337" w:name="_Toc110834671"/>
      <w:bookmarkStart w:id="338" w:name="_Toc245536193"/>
      <w:bookmarkStart w:id="339" w:name="_Toc395537207"/>
      <w:bookmarkStart w:id="340" w:name="_Toc422732565"/>
      <w:bookmarkStart w:id="341" w:name="_Toc422752904"/>
      <w:bookmarkStart w:id="342" w:name="_Toc197076928"/>
      <w:r w:rsidRPr="007D552F">
        <w:t>Failure to comply</w:t>
      </w:r>
      <w:bookmarkEnd w:id="337"/>
      <w:bookmarkEnd w:id="338"/>
      <w:bookmarkEnd w:id="339"/>
      <w:bookmarkEnd w:id="340"/>
      <w:bookmarkEnd w:id="341"/>
      <w:bookmarkEnd w:id="342"/>
    </w:p>
    <w:p w14:paraId="787478F2" w14:textId="000C3849" w:rsidR="00605BA0" w:rsidRPr="00A8096E" w:rsidRDefault="00A70732" w:rsidP="001E340F">
      <w:r w:rsidRPr="00015BD3">
        <w:t>Part</w:t>
      </w:r>
      <w:r w:rsidRPr="00A8096E">
        <w:t xml:space="preserve"> 7B and Parts 8, 8A and 8B of the Quality and Safety Commission Act </w:t>
      </w:r>
      <w:r w:rsidR="00605BA0" w:rsidRPr="00A8096E">
        <w:t>outline the consequences of non</w:t>
      </w:r>
      <w:r w:rsidR="00135C13">
        <w:noBreakHyphen/>
      </w:r>
      <w:r w:rsidR="00605BA0" w:rsidRPr="00A8096E">
        <w:t>compliance of approved providers.</w:t>
      </w:r>
    </w:p>
    <w:p w14:paraId="74B50C90" w14:textId="2122A42A" w:rsidR="00B0741C" w:rsidRPr="00A8096E" w:rsidRDefault="004108D6" w:rsidP="001E340F">
      <w:r w:rsidRPr="00A8096E">
        <w:t xml:space="preserve">Failure to meet responsibilities under the Act can lead to the imposition of sanctions on an approved provider under Part 7B of the </w:t>
      </w:r>
      <w:bookmarkStart w:id="343" w:name="_Hlk120287913"/>
      <w:r w:rsidRPr="00A8096E">
        <w:t xml:space="preserve">Quality and Safety </w:t>
      </w:r>
      <w:bookmarkEnd w:id="343"/>
      <w:r w:rsidRPr="00A8096E">
        <w:t>Commission Act</w:t>
      </w:r>
      <w:r w:rsidR="00B0741C" w:rsidRPr="00A8096E">
        <w:t xml:space="preserve">. </w:t>
      </w:r>
      <w:r w:rsidR="00605BA0" w:rsidRPr="00A8096E">
        <w:t>Most instances of non-compliance can be resolved without the approved provider incurring any further sanctions.</w:t>
      </w:r>
    </w:p>
    <w:p w14:paraId="64473A93" w14:textId="4E8A557F" w:rsidR="00605BA0" w:rsidRDefault="0064270C" w:rsidP="001E340F">
      <w:r w:rsidRPr="00A8096E">
        <w:t>If,</w:t>
      </w:r>
      <w:r w:rsidR="00A22297" w:rsidRPr="00A8096E">
        <w:t xml:space="preserve"> however, </w:t>
      </w:r>
      <w:r w:rsidR="00605BA0" w:rsidRPr="00A8096E">
        <w:t>the approved provider does not remedy the non</w:t>
      </w:r>
      <w:r w:rsidR="00605BA0" w:rsidRPr="00A8096E">
        <w:noBreakHyphen/>
        <w:t>compliance</w:t>
      </w:r>
      <w:r w:rsidR="00DB65A8">
        <w:t>,</w:t>
      </w:r>
      <w:r w:rsidR="00605BA0" w:rsidRPr="00A8096E">
        <w:t xml:space="preserve"> one or more sanctions may be imposed</w:t>
      </w:r>
      <w:r w:rsidR="005D4A6D" w:rsidRPr="00A8096E">
        <w:t xml:space="preserve">. </w:t>
      </w:r>
      <w:r w:rsidR="00605BA0" w:rsidRPr="00A8096E">
        <w:t>A decision to impose sanctions is a ‘reviewable decision’ under</w:t>
      </w:r>
      <w:r w:rsidR="005D4A6D" w:rsidRPr="00A8096E">
        <w:rPr>
          <w:bCs/>
          <w:iCs/>
        </w:rPr>
        <w:t xml:space="preserve"> Part 8B, Division 2</w:t>
      </w:r>
      <w:r w:rsidR="00605BA0" w:rsidRPr="00A8096E">
        <w:t xml:space="preserve"> of the </w:t>
      </w:r>
      <w:r w:rsidR="005D4A6D" w:rsidRPr="00A8096E">
        <w:t>Quality and Safety Commission Act</w:t>
      </w:r>
      <w:r w:rsidR="005D4A6D" w:rsidRPr="00A8096E" w:rsidDel="005D4A6D">
        <w:rPr>
          <w:bCs/>
          <w:iCs/>
        </w:rPr>
        <w:t xml:space="preserve"> </w:t>
      </w:r>
      <w:r w:rsidR="00605BA0" w:rsidRPr="00A8096E">
        <w:t xml:space="preserve">and is subject to appeal to the Administrative </w:t>
      </w:r>
      <w:r w:rsidR="00781F7A">
        <w:t>Review</w:t>
      </w:r>
      <w:r w:rsidR="00781F7A" w:rsidRPr="00A8096E">
        <w:t xml:space="preserve"> </w:t>
      </w:r>
      <w:r w:rsidR="00605BA0" w:rsidRPr="00A8096E">
        <w:t>Tribunal.</w:t>
      </w:r>
    </w:p>
    <w:p w14:paraId="1B9F048D" w14:textId="0EC3D3BC" w:rsidR="00605BA0" w:rsidRPr="009D0FF5" w:rsidRDefault="00605BA0" w:rsidP="00B42C61">
      <w:pPr>
        <w:pStyle w:val="Heading3withoutnumbering"/>
      </w:pPr>
      <w:bookmarkStart w:id="344" w:name="_Toc110834672"/>
      <w:bookmarkStart w:id="345" w:name="_Toc245536194"/>
      <w:bookmarkStart w:id="346" w:name="_Toc395537208"/>
      <w:bookmarkStart w:id="347" w:name="_Toc422732566"/>
      <w:bookmarkStart w:id="348" w:name="_Toc422752905"/>
      <w:bookmarkStart w:id="349" w:name="_Toc197076929"/>
      <w:r w:rsidRPr="009D0FF5">
        <w:t xml:space="preserve">Serious and immediate health and safety risk </w:t>
      </w:r>
      <w:r w:rsidR="00FD6640" w:rsidRPr="005E4C5C">
        <w:t xml:space="preserve">management and </w:t>
      </w:r>
      <w:r w:rsidRPr="009D0FF5">
        <w:t>reporting</w:t>
      </w:r>
      <w:bookmarkEnd w:id="344"/>
      <w:bookmarkEnd w:id="345"/>
      <w:bookmarkEnd w:id="346"/>
      <w:bookmarkEnd w:id="347"/>
      <w:bookmarkEnd w:id="348"/>
      <w:bookmarkEnd w:id="349"/>
    </w:p>
    <w:p w14:paraId="596E8666" w14:textId="4D943DA9" w:rsidR="00264770" w:rsidRPr="001924EC" w:rsidRDefault="00264770" w:rsidP="00264770">
      <w:pPr>
        <w:rPr>
          <w:rFonts w:asciiTheme="minorHAnsi" w:hAnsiTheme="minorHAnsi" w:cstheme="minorHAnsi"/>
          <w:szCs w:val="20"/>
        </w:rPr>
      </w:pPr>
      <w:r w:rsidRPr="001924EC">
        <w:rPr>
          <w:rFonts w:asciiTheme="minorHAnsi" w:hAnsiTheme="minorHAnsi" w:cstheme="minorHAnsi"/>
          <w:szCs w:val="20"/>
        </w:rPr>
        <w:t>The Serious Incident Response Scheme (SIRS) commenced on 1 April 2021 for residential care and flexible care delivered in a residential setting. From 1 December 2022, the SIRS also appl</w:t>
      </w:r>
      <w:r w:rsidR="006314C4">
        <w:rPr>
          <w:rFonts w:asciiTheme="minorHAnsi" w:hAnsiTheme="minorHAnsi" w:cstheme="minorHAnsi"/>
          <w:szCs w:val="20"/>
        </w:rPr>
        <w:t>ies</w:t>
      </w:r>
      <w:r w:rsidRPr="001924EC">
        <w:rPr>
          <w:rFonts w:asciiTheme="minorHAnsi" w:hAnsiTheme="minorHAnsi" w:cstheme="minorHAnsi"/>
          <w:szCs w:val="20"/>
        </w:rPr>
        <w:t xml:space="preserve"> to home care and flexible care delivered in home and community settings.</w:t>
      </w:r>
      <w:r w:rsidR="006314C4">
        <w:rPr>
          <w:rFonts w:asciiTheme="minorHAnsi" w:hAnsiTheme="minorHAnsi" w:cstheme="minorHAnsi"/>
          <w:szCs w:val="20"/>
        </w:rPr>
        <w:t xml:space="preserve"> </w:t>
      </w:r>
      <w:r w:rsidRPr="001924EC">
        <w:rPr>
          <w:rFonts w:asciiTheme="minorHAnsi" w:hAnsiTheme="minorHAnsi" w:cstheme="minorHAnsi"/>
          <w:szCs w:val="20"/>
        </w:rPr>
        <w:t>SIRS aims to reduce abuse and neglect in aged care.</w:t>
      </w:r>
    </w:p>
    <w:p w14:paraId="6B4E3CB1" w14:textId="3A2B63CB" w:rsidR="00264770" w:rsidRPr="008579D2" w:rsidRDefault="00264770" w:rsidP="00440542">
      <w:pPr>
        <w:rPr>
          <w:rFonts w:asciiTheme="minorHAnsi" w:hAnsiTheme="minorHAnsi" w:cstheme="minorHAnsi"/>
          <w:szCs w:val="20"/>
        </w:rPr>
      </w:pPr>
      <w:r w:rsidRPr="001924EC">
        <w:rPr>
          <w:rFonts w:asciiTheme="minorHAnsi" w:hAnsiTheme="minorHAnsi" w:cstheme="minorHAnsi"/>
          <w:szCs w:val="20"/>
        </w:rPr>
        <w:t>TCP approved providers must comply with the incident management and reporting requirements under the</w:t>
      </w:r>
      <w:r w:rsidR="00FC28A3">
        <w:rPr>
          <w:rFonts w:asciiTheme="minorHAnsi" w:hAnsiTheme="minorHAnsi" w:cstheme="minorHAnsi"/>
          <w:szCs w:val="20"/>
        </w:rPr>
        <w:t xml:space="preserve"> Act</w:t>
      </w:r>
      <w:r w:rsidRPr="001924EC">
        <w:rPr>
          <w:rFonts w:asciiTheme="minorHAnsi" w:hAnsiTheme="minorHAnsi" w:cstheme="minorHAnsi"/>
          <w:szCs w:val="20"/>
        </w:rPr>
        <w:t xml:space="preserve"> (Part 4.1, Division 54) and the </w:t>
      </w:r>
      <w:proofErr w:type="gramStart"/>
      <w:r w:rsidRPr="00AC4A78">
        <w:rPr>
          <w:rFonts w:asciiTheme="minorHAnsi" w:hAnsiTheme="minorHAnsi" w:cstheme="minorHAnsi"/>
          <w:i/>
          <w:iCs/>
          <w:szCs w:val="20"/>
        </w:rPr>
        <w:t>Quality of Care</w:t>
      </w:r>
      <w:proofErr w:type="gramEnd"/>
      <w:r w:rsidRPr="00AC4A78">
        <w:rPr>
          <w:rFonts w:asciiTheme="minorHAnsi" w:hAnsiTheme="minorHAnsi" w:cstheme="minorHAnsi"/>
          <w:i/>
          <w:iCs/>
          <w:szCs w:val="20"/>
        </w:rPr>
        <w:t xml:space="preserve"> Principles 2014</w:t>
      </w:r>
      <w:r w:rsidRPr="001924EC">
        <w:rPr>
          <w:rFonts w:asciiTheme="minorHAnsi" w:hAnsiTheme="minorHAnsi" w:cstheme="minorHAnsi"/>
          <w:szCs w:val="20"/>
        </w:rPr>
        <w:t xml:space="preserve"> (Part 4B). The information below provides a </w:t>
      </w:r>
      <w:proofErr w:type="gramStart"/>
      <w:r w:rsidRPr="001924EC">
        <w:rPr>
          <w:rFonts w:asciiTheme="minorHAnsi" w:hAnsiTheme="minorHAnsi" w:cstheme="minorHAnsi"/>
          <w:szCs w:val="20"/>
        </w:rPr>
        <w:t>high level</w:t>
      </w:r>
      <w:proofErr w:type="gramEnd"/>
      <w:r w:rsidRPr="001924EC">
        <w:rPr>
          <w:rFonts w:asciiTheme="minorHAnsi" w:hAnsiTheme="minorHAnsi" w:cstheme="minorHAnsi"/>
          <w:szCs w:val="20"/>
        </w:rPr>
        <w:t xml:space="preserve"> summary of the SIRS requirements. Approved providers should refer to the legislation for information on detailed requirements and check the Commission’s website at </w:t>
      </w:r>
      <w:hyperlink r:id="rId38" w:anchor="what%20is%20the%20serious%20incident%20response%20scheme%20sirs" w:history="1">
        <w:r w:rsidRPr="008579D2">
          <w:rPr>
            <w:rStyle w:val="Hyperlink"/>
            <w:rFonts w:asciiTheme="minorHAnsi" w:eastAsiaTheme="majorEastAsia" w:hAnsiTheme="minorHAnsi" w:cstheme="minorHAnsi"/>
            <w:sz w:val="20"/>
            <w:szCs w:val="20"/>
          </w:rPr>
          <w:t>aged care quality.gov.au/sirs</w:t>
        </w:r>
      </w:hyperlink>
      <w:r w:rsidRPr="008579D2">
        <w:rPr>
          <w:rFonts w:asciiTheme="minorHAnsi" w:hAnsiTheme="minorHAnsi" w:cstheme="minorHAnsi"/>
          <w:szCs w:val="20"/>
        </w:rPr>
        <w:t xml:space="preserve"> for further SIRS information, including provider resources. Alternatively, the Commission can be contacted by emailing </w:t>
      </w:r>
      <w:hyperlink r:id="rId39" w:history="1">
        <w:r w:rsidRPr="008579D2">
          <w:rPr>
            <w:rStyle w:val="Hyperlink"/>
            <w:rFonts w:asciiTheme="minorHAnsi" w:eastAsiaTheme="majorEastAsia" w:hAnsiTheme="minorHAnsi" w:cstheme="minorHAnsi"/>
            <w:sz w:val="20"/>
            <w:szCs w:val="20"/>
          </w:rPr>
          <w:t>sirs@agedcarequality.gov.au</w:t>
        </w:r>
      </w:hyperlink>
      <w:r w:rsidRPr="008579D2">
        <w:rPr>
          <w:rFonts w:asciiTheme="minorHAnsi" w:hAnsiTheme="minorHAnsi" w:cstheme="minorHAnsi"/>
          <w:szCs w:val="20"/>
        </w:rPr>
        <w:t xml:space="preserve"> or calling on 1800 081 549.</w:t>
      </w:r>
    </w:p>
    <w:p w14:paraId="337B31FD" w14:textId="77777777" w:rsidR="00264770" w:rsidRPr="00377879" w:rsidRDefault="00264770" w:rsidP="00264770">
      <w:pPr>
        <w:pStyle w:val="heading4withoutnumbers"/>
        <w:rPr>
          <w:rFonts w:asciiTheme="minorHAnsi" w:hAnsiTheme="minorHAnsi" w:cstheme="minorHAnsi"/>
          <w:b/>
          <w:bCs/>
        </w:rPr>
      </w:pPr>
      <w:r w:rsidRPr="00377879">
        <w:rPr>
          <w:rFonts w:asciiTheme="minorHAnsi" w:hAnsiTheme="minorHAnsi" w:cstheme="minorHAnsi"/>
          <w:b/>
          <w:bCs/>
        </w:rPr>
        <w:t>Incident management system</w:t>
      </w:r>
    </w:p>
    <w:p w14:paraId="4DB15C6E" w14:textId="77777777" w:rsidR="009265EF" w:rsidRDefault="00264770" w:rsidP="00264770">
      <w:pPr>
        <w:spacing w:after="200"/>
        <w:rPr>
          <w:rFonts w:asciiTheme="minorHAnsi" w:hAnsiTheme="minorHAnsi" w:cstheme="minorHAnsi"/>
          <w:szCs w:val="20"/>
        </w:rPr>
      </w:pPr>
      <w:r w:rsidRPr="008579D2">
        <w:rPr>
          <w:rFonts w:asciiTheme="minorHAnsi" w:hAnsiTheme="minorHAnsi" w:cstheme="minorHAnsi"/>
          <w:szCs w:val="20"/>
        </w:rPr>
        <w:t xml:space="preserve">The SIRS requires every approved provider to have in place an effective incident management system – a set of protocols, processes, and standard operating procedures that staff are trained in and expected to use when reporting and responding to incidents. Responsibility to establish an incident management system and notify the Aged Care Quality and Safety Commission (the Commission) of a reportable incident, sits with the approved provider. The approved provider is also responsible for determining how information about an </w:t>
      </w:r>
      <w:proofErr w:type="gramStart"/>
      <w:r w:rsidRPr="008579D2">
        <w:rPr>
          <w:rFonts w:asciiTheme="minorHAnsi" w:hAnsiTheme="minorHAnsi" w:cstheme="minorHAnsi"/>
          <w:szCs w:val="20"/>
        </w:rPr>
        <w:t>incident moves</w:t>
      </w:r>
      <w:proofErr w:type="gramEnd"/>
      <w:r w:rsidRPr="008579D2">
        <w:rPr>
          <w:rFonts w:asciiTheme="minorHAnsi" w:hAnsiTheme="minorHAnsi" w:cstheme="minorHAnsi"/>
          <w:szCs w:val="20"/>
        </w:rPr>
        <w:t xml:space="preserve"> from the TCP service to the approved provider and/or the Commission. </w:t>
      </w:r>
    </w:p>
    <w:p w14:paraId="6F9BD3A6" w14:textId="54081F38" w:rsidR="00264770" w:rsidRPr="008579D2" w:rsidRDefault="00264770" w:rsidP="00264770">
      <w:pPr>
        <w:spacing w:after="200"/>
        <w:rPr>
          <w:rFonts w:asciiTheme="minorHAnsi" w:hAnsiTheme="minorHAnsi" w:cstheme="minorHAnsi"/>
          <w:szCs w:val="20"/>
        </w:rPr>
      </w:pPr>
      <w:r w:rsidRPr="008579D2">
        <w:rPr>
          <w:rFonts w:asciiTheme="minorHAnsi" w:hAnsiTheme="minorHAnsi" w:cstheme="minorHAnsi"/>
          <w:szCs w:val="20"/>
        </w:rPr>
        <w:t>TCP service provider</w:t>
      </w:r>
      <w:r w:rsidR="009265EF">
        <w:rPr>
          <w:rFonts w:asciiTheme="minorHAnsi" w:hAnsiTheme="minorHAnsi" w:cstheme="minorHAnsi"/>
          <w:szCs w:val="20"/>
        </w:rPr>
        <w:t>s</w:t>
      </w:r>
      <w:r w:rsidRPr="008579D2">
        <w:rPr>
          <w:rFonts w:asciiTheme="minorHAnsi" w:hAnsiTheme="minorHAnsi" w:cstheme="minorHAnsi"/>
          <w:szCs w:val="20"/>
        </w:rPr>
        <w:t xml:space="preserve"> may report the information directly to the approved provider, or staff at the TCP service provider may have their My Aged Care accounts aligned with multiple aged care providers and services, allowing them to submit notifications directly to the Commission.</w:t>
      </w:r>
    </w:p>
    <w:p w14:paraId="48137D04" w14:textId="33A2166D" w:rsidR="00264770" w:rsidRPr="00377879" w:rsidRDefault="008B21AA" w:rsidP="00264770">
      <w:pPr>
        <w:pStyle w:val="heading4withoutnumbers"/>
        <w:rPr>
          <w:rFonts w:asciiTheme="minorHAnsi" w:hAnsiTheme="minorHAnsi" w:cstheme="minorHAnsi"/>
          <w:b/>
          <w:bCs/>
        </w:rPr>
      </w:pPr>
      <w:r>
        <w:rPr>
          <w:rFonts w:asciiTheme="minorHAnsi" w:hAnsiTheme="minorHAnsi" w:cstheme="minorHAnsi"/>
          <w:b/>
          <w:bCs/>
        </w:rPr>
        <w:br w:type="column"/>
      </w:r>
      <w:r w:rsidR="00264770" w:rsidRPr="00377879">
        <w:rPr>
          <w:rFonts w:asciiTheme="minorHAnsi" w:hAnsiTheme="minorHAnsi" w:cstheme="minorHAnsi"/>
          <w:b/>
          <w:bCs/>
        </w:rPr>
        <w:lastRenderedPageBreak/>
        <w:t>Managing and responding to incidents</w:t>
      </w:r>
    </w:p>
    <w:p w14:paraId="2EAFEA15" w14:textId="77777777" w:rsidR="00264770" w:rsidRPr="008579D2" w:rsidRDefault="00264770" w:rsidP="00264770">
      <w:pPr>
        <w:pStyle w:val="BodyText"/>
        <w:spacing w:before="119"/>
        <w:rPr>
          <w:rFonts w:asciiTheme="minorHAnsi" w:hAnsiTheme="minorHAnsi" w:cstheme="minorHAnsi"/>
        </w:rPr>
      </w:pPr>
      <w:r w:rsidRPr="008579D2">
        <w:rPr>
          <w:rFonts w:asciiTheme="minorHAnsi" w:hAnsiTheme="minorHAnsi" w:cstheme="minorHAnsi"/>
        </w:rPr>
        <w:t>Under</w:t>
      </w:r>
      <w:r w:rsidRPr="008579D2">
        <w:rPr>
          <w:rFonts w:asciiTheme="minorHAnsi" w:hAnsiTheme="minorHAnsi" w:cstheme="minorHAnsi"/>
          <w:spacing w:val="-2"/>
        </w:rPr>
        <w:t xml:space="preserve"> </w:t>
      </w:r>
      <w:r w:rsidRPr="008579D2">
        <w:rPr>
          <w:rFonts w:asciiTheme="minorHAnsi" w:hAnsiTheme="minorHAnsi" w:cstheme="minorHAnsi"/>
        </w:rPr>
        <w:t>the</w:t>
      </w:r>
      <w:r w:rsidRPr="008579D2">
        <w:rPr>
          <w:rFonts w:asciiTheme="minorHAnsi" w:hAnsiTheme="minorHAnsi" w:cstheme="minorHAnsi"/>
          <w:spacing w:val="-2"/>
        </w:rPr>
        <w:t xml:space="preserve"> </w:t>
      </w:r>
      <w:r w:rsidRPr="008579D2">
        <w:rPr>
          <w:rFonts w:asciiTheme="minorHAnsi" w:hAnsiTheme="minorHAnsi" w:cstheme="minorHAnsi"/>
        </w:rPr>
        <w:t>SIRS approved</w:t>
      </w:r>
      <w:r w:rsidRPr="008579D2">
        <w:rPr>
          <w:rFonts w:asciiTheme="minorHAnsi" w:hAnsiTheme="minorHAnsi" w:cstheme="minorHAnsi"/>
          <w:spacing w:val="-4"/>
        </w:rPr>
        <w:t xml:space="preserve"> </w:t>
      </w:r>
      <w:r w:rsidRPr="008579D2">
        <w:rPr>
          <w:rFonts w:asciiTheme="minorHAnsi" w:hAnsiTheme="minorHAnsi" w:cstheme="minorHAnsi"/>
        </w:rPr>
        <w:t>providers</w:t>
      </w:r>
      <w:r w:rsidRPr="008579D2">
        <w:rPr>
          <w:rFonts w:asciiTheme="minorHAnsi" w:hAnsiTheme="minorHAnsi" w:cstheme="minorHAnsi"/>
          <w:spacing w:val="-2"/>
        </w:rPr>
        <w:t xml:space="preserve"> </w:t>
      </w:r>
      <w:r w:rsidRPr="008579D2">
        <w:rPr>
          <w:rFonts w:asciiTheme="minorHAnsi" w:hAnsiTheme="minorHAnsi" w:cstheme="minorHAnsi"/>
        </w:rPr>
        <w:t>need</w:t>
      </w:r>
      <w:r w:rsidRPr="008579D2">
        <w:rPr>
          <w:rFonts w:asciiTheme="minorHAnsi" w:hAnsiTheme="minorHAnsi" w:cstheme="minorHAnsi"/>
          <w:spacing w:val="-2"/>
        </w:rPr>
        <w:t xml:space="preserve"> </w:t>
      </w:r>
      <w:r w:rsidRPr="008579D2">
        <w:rPr>
          <w:rFonts w:asciiTheme="minorHAnsi" w:hAnsiTheme="minorHAnsi" w:cstheme="minorHAnsi"/>
        </w:rPr>
        <w:t>to</w:t>
      </w:r>
      <w:r w:rsidRPr="008579D2">
        <w:rPr>
          <w:rFonts w:asciiTheme="minorHAnsi" w:hAnsiTheme="minorHAnsi" w:cstheme="minorHAnsi"/>
          <w:spacing w:val="-3"/>
        </w:rPr>
        <w:t xml:space="preserve"> </w:t>
      </w:r>
      <w:r w:rsidRPr="008579D2">
        <w:rPr>
          <w:rFonts w:asciiTheme="minorHAnsi" w:hAnsiTheme="minorHAnsi" w:cstheme="minorHAnsi"/>
        </w:rPr>
        <w:t>manage</w:t>
      </w:r>
      <w:r w:rsidRPr="008579D2">
        <w:rPr>
          <w:rFonts w:asciiTheme="minorHAnsi" w:hAnsiTheme="minorHAnsi" w:cstheme="minorHAnsi"/>
          <w:spacing w:val="-1"/>
        </w:rPr>
        <w:t xml:space="preserve"> </w:t>
      </w:r>
      <w:r w:rsidRPr="008579D2">
        <w:rPr>
          <w:rFonts w:asciiTheme="minorHAnsi" w:hAnsiTheme="minorHAnsi" w:cstheme="minorHAnsi"/>
        </w:rPr>
        <w:t>incidents</w:t>
      </w:r>
      <w:r w:rsidRPr="008579D2">
        <w:rPr>
          <w:rFonts w:asciiTheme="minorHAnsi" w:hAnsiTheme="minorHAnsi" w:cstheme="minorHAnsi"/>
          <w:spacing w:val="-2"/>
        </w:rPr>
        <w:t xml:space="preserve"> </w:t>
      </w:r>
      <w:r w:rsidRPr="008579D2">
        <w:rPr>
          <w:rFonts w:asciiTheme="minorHAnsi" w:hAnsiTheme="minorHAnsi" w:cstheme="minorHAnsi"/>
        </w:rPr>
        <w:t>and</w:t>
      </w:r>
      <w:r w:rsidRPr="008579D2">
        <w:rPr>
          <w:rFonts w:asciiTheme="minorHAnsi" w:hAnsiTheme="minorHAnsi" w:cstheme="minorHAnsi"/>
          <w:spacing w:val="-3"/>
        </w:rPr>
        <w:t xml:space="preserve"> </w:t>
      </w:r>
      <w:r w:rsidRPr="008579D2">
        <w:rPr>
          <w:rFonts w:asciiTheme="minorHAnsi" w:hAnsiTheme="minorHAnsi" w:cstheme="minorHAnsi"/>
        </w:rPr>
        <w:t>take</w:t>
      </w:r>
      <w:r w:rsidRPr="008579D2">
        <w:rPr>
          <w:rFonts w:asciiTheme="minorHAnsi" w:hAnsiTheme="minorHAnsi" w:cstheme="minorHAnsi"/>
          <w:spacing w:val="-2"/>
        </w:rPr>
        <w:t xml:space="preserve"> </w:t>
      </w:r>
      <w:r w:rsidRPr="008579D2">
        <w:rPr>
          <w:rFonts w:asciiTheme="minorHAnsi" w:hAnsiTheme="minorHAnsi" w:cstheme="minorHAnsi"/>
        </w:rPr>
        <w:t>reasonable</w:t>
      </w:r>
      <w:r w:rsidRPr="008579D2">
        <w:rPr>
          <w:rFonts w:asciiTheme="minorHAnsi" w:hAnsiTheme="minorHAnsi" w:cstheme="minorHAnsi"/>
          <w:spacing w:val="-4"/>
        </w:rPr>
        <w:t xml:space="preserve"> </w:t>
      </w:r>
      <w:r w:rsidRPr="008579D2">
        <w:rPr>
          <w:rFonts w:asciiTheme="minorHAnsi" w:hAnsiTheme="minorHAnsi" w:cstheme="minorHAnsi"/>
        </w:rPr>
        <w:t>steps</w:t>
      </w:r>
      <w:r w:rsidRPr="008579D2">
        <w:rPr>
          <w:rFonts w:asciiTheme="minorHAnsi" w:hAnsiTheme="minorHAnsi" w:cstheme="minorHAnsi"/>
          <w:spacing w:val="-2"/>
        </w:rPr>
        <w:t xml:space="preserve"> </w:t>
      </w:r>
      <w:r w:rsidRPr="008579D2">
        <w:rPr>
          <w:rFonts w:asciiTheme="minorHAnsi" w:hAnsiTheme="minorHAnsi" w:cstheme="minorHAnsi"/>
        </w:rPr>
        <w:t>to</w:t>
      </w:r>
      <w:r w:rsidRPr="008579D2">
        <w:rPr>
          <w:rFonts w:asciiTheme="minorHAnsi" w:hAnsiTheme="minorHAnsi" w:cstheme="minorHAnsi"/>
          <w:spacing w:val="-1"/>
        </w:rPr>
        <w:t xml:space="preserve"> </w:t>
      </w:r>
      <w:r w:rsidRPr="008579D2">
        <w:rPr>
          <w:rFonts w:asciiTheme="minorHAnsi" w:hAnsiTheme="minorHAnsi" w:cstheme="minorHAnsi"/>
        </w:rPr>
        <w:t>prevent incidents with a focus on the safety, health and wellbeing of care recipients.</w:t>
      </w:r>
    </w:p>
    <w:p w14:paraId="2DB3E320" w14:textId="77777777" w:rsidR="00264770" w:rsidRPr="008579D2" w:rsidRDefault="00264770" w:rsidP="00264770">
      <w:pPr>
        <w:pStyle w:val="BodyText"/>
        <w:spacing w:before="119"/>
        <w:rPr>
          <w:rFonts w:asciiTheme="minorHAnsi" w:hAnsiTheme="minorHAnsi" w:cstheme="minorHAnsi"/>
        </w:rPr>
      </w:pPr>
      <w:r w:rsidRPr="008579D2">
        <w:rPr>
          <w:rFonts w:asciiTheme="minorHAnsi" w:hAnsiTheme="minorHAnsi" w:cstheme="minorHAnsi"/>
        </w:rPr>
        <w:t xml:space="preserve">Consistent with the incident management system arrangements, these responsibilities relate to a range of incidents that occur, or are alleged or suspected to occur, in connection with the delivery of aged care, that either have caused, or could reasonably have been expected to have caused, harm to a care recipient or another person. </w:t>
      </w:r>
    </w:p>
    <w:p w14:paraId="691CFEA4" w14:textId="77777777" w:rsidR="00264770" w:rsidRPr="008579D2" w:rsidRDefault="00264770" w:rsidP="00264770">
      <w:pPr>
        <w:pStyle w:val="BodyText"/>
        <w:spacing w:before="119"/>
        <w:rPr>
          <w:rFonts w:asciiTheme="minorHAnsi" w:hAnsiTheme="minorHAnsi" w:cstheme="minorHAnsi"/>
        </w:rPr>
      </w:pPr>
      <w:r w:rsidRPr="008579D2">
        <w:rPr>
          <w:rFonts w:asciiTheme="minorHAnsi" w:hAnsiTheme="minorHAnsi" w:cstheme="minorHAnsi"/>
        </w:rPr>
        <w:t>As part of these responsibilities, approved</w:t>
      </w:r>
      <w:r w:rsidRPr="008579D2">
        <w:rPr>
          <w:rFonts w:asciiTheme="minorHAnsi" w:hAnsiTheme="minorHAnsi" w:cstheme="minorHAnsi"/>
          <w:spacing w:val="-4"/>
        </w:rPr>
        <w:t xml:space="preserve"> </w:t>
      </w:r>
      <w:r w:rsidRPr="008579D2">
        <w:rPr>
          <w:rFonts w:asciiTheme="minorHAnsi" w:hAnsiTheme="minorHAnsi" w:cstheme="minorHAnsi"/>
        </w:rPr>
        <w:t>providers</w:t>
      </w:r>
      <w:r w:rsidRPr="008579D2">
        <w:rPr>
          <w:rFonts w:asciiTheme="minorHAnsi" w:hAnsiTheme="minorHAnsi" w:cstheme="minorHAnsi"/>
          <w:spacing w:val="-4"/>
        </w:rPr>
        <w:t xml:space="preserve"> </w:t>
      </w:r>
      <w:r w:rsidRPr="008579D2">
        <w:rPr>
          <w:rFonts w:asciiTheme="minorHAnsi" w:hAnsiTheme="minorHAnsi" w:cstheme="minorHAnsi"/>
        </w:rPr>
        <w:t>must</w:t>
      </w:r>
      <w:r w:rsidRPr="008579D2">
        <w:rPr>
          <w:rFonts w:asciiTheme="minorHAnsi" w:hAnsiTheme="minorHAnsi" w:cstheme="minorHAnsi"/>
          <w:spacing w:val="-2"/>
        </w:rPr>
        <w:t xml:space="preserve"> respond to incidents by assessing and </w:t>
      </w:r>
      <w:r w:rsidRPr="008579D2">
        <w:rPr>
          <w:rFonts w:asciiTheme="minorHAnsi" w:hAnsiTheme="minorHAnsi" w:cstheme="minorHAnsi"/>
        </w:rPr>
        <w:t>providing</w:t>
      </w:r>
      <w:r w:rsidRPr="008579D2">
        <w:rPr>
          <w:rFonts w:asciiTheme="minorHAnsi" w:hAnsiTheme="minorHAnsi" w:cstheme="minorHAnsi"/>
          <w:spacing w:val="-1"/>
        </w:rPr>
        <w:t xml:space="preserve"> </w:t>
      </w:r>
      <w:r w:rsidRPr="008579D2">
        <w:rPr>
          <w:rFonts w:asciiTheme="minorHAnsi" w:hAnsiTheme="minorHAnsi" w:cstheme="minorHAnsi"/>
        </w:rPr>
        <w:t>support</w:t>
      </w:r>
      <w:r w:rsidRPr="008579D2">
        <w:rPr>
          <w:rFonts w:asciiTheme="minorHAnsi" w:hAnsiTheme="minorHAnsi" w:cstheme="minorHAnsi"/>
          <w:spacing w:val="-2"/>
        </w:rPr>
        <w:t xml:space="preserve"> </w:t>
      </w:r>
      <w:r w:rsidRPr="008579D2">
        <w:rPr>
          <w:rFonts w:asciiTheme="minorHAnsi" w:hAnsiTheme="minorHAnsi" w:cstheme="minorHAnsi"/>
        </w:rPr>
        <w:t>and</w:t>
      </w:r>
      <w:r w:rsidRPr="008579D2">
        <w:rPr>
          <w:rFonts w:asciiTheme="minorHAnsi" w:hAnsiTheme="minorHAnsi" w:cstheme="minorHAnsi"/>
          <w:spacing w:val="-3"/>
        </w:rPr>
        <w:t xml:space="preserve"> </w:t>
      </w:r>
      <w:r w:rsidRPr="008579D2">
        <w:rPr>
          <w:rFonts w:asciiTheme="minorHAnsi" w:hAnsiTheme="minorHAnsi" w:cstheme="minorHAnsi"/>
        </w:rPr>
        <w:t>assistance</w:t>
      </w:r>
      <w:r w:rsidRPr="008579D2">
        <w:rPr>
          <w:rFonts w:asciiTheme="minorHAnsi" w:hAnsiTheme="minorHAnsi" w:cstheme="minorHAnsi"/>
          <w:spacing w:val="-1"/>
        </w:rPr>
        <w:t xml:space="preserve"> </w:t>
      </w:r>
      <w:r w:rsidRPr="008579D2">
        <w:rPr>
          <w:rFonts w:asciiTheme="minorHAnsi" w:hAnsiTheme="minorHAnsi" w:cstheme="minorHAnsi"/>
        </w:rPr>
        <w:t>to</w:t>
      </w:r>
      <w:r w:rsidRPr="008579D2">
        <w:rPr>
          <w:rFonts w:asciiTheme="minorHAnsi" w:hAnsiTheme="minorHAnsi" w:cstheme="minorHAnsi"/>
          <w:spacing w:val="-1"/>
        </w:rPr>
        <w:t xml:space="preserve"> </w:t>
      </w:r>
      <w:r w:rsidRPr="008579D2">
        <w:rPr>
          <w:rFonts w:asciiTheme="minorHAnsi" w:hAnsiTheme="minorHAnsi" w:cstheme="minorHAnsi"/>
        </w:rPr>
        <w:t>persons</w:t>
      </w:r>
      <w:r w:rsidRPr="008579D2">
        <w:rPr>
          <w:rFonts w:asciiTheme="minorHAnsi" w:hAnsiTheme="minorHAnsi" w:cstheme="minorHAnsi"/>
          <w:spacing w:val="-2"/>
        </w:rPr>
        <w:t xml:space="preserve"> </w:t>
      </w:r>
      <w:r w:rsidRPr="008579D2">
        <w:rPr>
          <w:rFonts w:asciiTheme="minorHAnsi" w:hAnsiTheme="minorHAnsi" w:cstheme="minorHAnsi"/>
        </w:rPr>
        <w:t>affected</w:t>
      </w:r>
      <w:r w:rsidRPr="008579D2">
        <w:rPr>
          <w:rFonts w:asciiTheme="minorHAnsi" w:hAnsiTheme="minorHAnsi" w:cstheme="minorHAnsi"/>
          <w:spacing w:val="-2"/>
        </w:rPr>
        <w:t xml:space="preserve"> </w:t>
      </w:r>
      <w:r w:rsidRPr="008579D2">
        <w:rPr>
          <w:rFonts w:asciiTheme="minorHAnsi" w:hAnsiTheme="minorHAnsi" w:cstheme="minorHAnsi"/>
        </w:rPr>
        <w:t>by</w:t>
      </w:r>
      <w:r w:rsidRPr="008579D2">
        <w:rPr>
          <w:rFonts w:asciiTheme="minorHAnsi" w:hAnsiTheme="minorHAnsi" w:cstheme="minorHAnsi"/>
          <w:spacing w:val="-2"/>
        </w:rPr>
        <w:t xml:space="preserve"> </w:t>
      </w:r>
      <w:r w:rsidRPr="008579D2">
        <w:rPr>
          <w:rFonts w:asciiTheme="minorHAnsi" w:hAnsiTheme="minorHAnsi" w:cstheme="minorHAnsi"/>
        </w:rPr>
        <w:t>incidents</w:t>
      </w:r>
      <w:r w:rsidRPr="008579D2">
        <w:rPr>
          <w:rFonts w:asciiTheme="minorHAnsi" w:hAnsiTheme="minorHAnsi" w:cstheme="minorHAnsi"/>
          <w:spacing w:val="-2"/>
        </w:rPr>
        <w:t xml:space="preserve"> to ensure their health, safety and wellbeing. Approved providers should use an open disclosure process and make sure to </w:t>
      </w:r>
      <w:r w:rsidRPr="008579D2">
        <w:rPr>
          <w:rFonts w:asciiTheme="minorHAnsi" w:hAnsiTheme="minorHAnsi" w:cstheme="minorHAnsi"/>
        </w:rPr>
        <w:t>involve persons affected by incidents in the management and resolution of the incident.</w:t>
      </w:r>
    </w:p>
    <w:p w14:paraId="1861C660" w14:textId="77777777" w:rsidR="00264770" w:rsidRPr="008579D2" w:rsidRDefault="00264770" w:rsidP="00264770">
      <w:pPr>
        <w:pStyle w:val="BodyText"/>
        <w:spacing w:before="119" w:after="200"/>
        <w:ind w:right="176"/>
        <w:jc w:val="both"/>
        <w:rPr>
          <w:rFonts w:asciiTheme="minorHAnsi" w:hAnsiTheme="minorHAnsi" w:cstheme="minorHAnsi"/>
        </w:rPr>
      </w:pPr>
      <w:r w:rsidRPr="008579D2">
        <w:rPr>
          <w:rFonts w:asciiTheme="minorHAnsi" w:hAnsiTheme="minorHAnsi" w:cstheme="minorHAnsi"/>
        </w:rPr>
        <w:t>For</w:t>
      </w:r>
      <w:r w:rsidRPr="008579D2">
        <w:rPr>
          <w:rFonts w:asciiTheme="minorHAnsi" w:hAnsiTheme="minorHAnsi" w:cstheme="minorHAnsi"/>
          <w:spacing w:val="-4"/>
        </w:rPr>
        <w:t xml:space="preserve"> </w:t>
      </w:r>
      <w:r w:rsidRPr="008579D2">
        <w:rPr>
          <w:rFonts w:asciiTheme="minorHAnsi" w:hAnsiTheme="minorHAnsi" w:cstheme="minorHAnsi"/>
        </w:rPr>
        <w:t>more</w:t>
      </w:r>
      <w:r w:rsidRPr="008579D2">
        <w:rPr>
          <w:rFonts w:asciiTheme="minorHAnsi" w:hAnsiTheme="minorHAnsi" w:cstheme="minorHAnsi"/>
          <w:spacing w:val="-1"/>
        </w:rPr>
        <w:t xml:space="preserve"> </w:t>
      </w:r>
      <w:r w:rsidRPr="008579D2">
        <w:rPr>
          <w:rFonts w:asciiTheme="minorHAnsi" w:hAnsiTheme="minorHAnsi" w:cstheme="minorHAnsi"/>
        </w:rPr>
        <w:t>information</w:t>
      </w:r>
      <w:r w:rsidRPr="008579D2">
        <w:rPr>
          <w:rFonts w:asciiTheme="minorHAnsi" w:hAnsiTheme="minorHAnsi" w:cstheme="minorHAnsi"/>
          <w:spacing w:val="-3"/>
        </w:rPr>
        <w:t xml:space="preserve"> </w:t>
      </w:r>
      <w:r w:rsidRPr="008579D2">
        <w:rPr>
          <w:rFonts w:asciiTheme="minorHAnsi" w:hAnsiTheme="minorHAnsi" w:cstheme="minorHAnsi"/>
        </w:rPr>
        <w:t>refer</w:t>
      </w:r>
      <w:r w:rsidRPr="008579D2">
        <w:rPr>
          <w:rFonts w:asciiTheme="minorHAnsi" w:hAnsiTheme="minorHAnsi" w:cstheme="minorHAnsi"/>
          <w:spacing w:val="-5"/>
        </w:rPr>
        <w:t xml:space="preserve"> </w:t>
      </w:r>
      <w:r w:rsidRPr="008579D2">
        <w:rPr>
          <w:rFonts w:asciiTheme="minorHAnsi" w:hAnsiTheme="minorHAnsi" w:cstheme="minorHAnsi"/>
        </w:rPr>
        <w:t>to</w:t>
      </w:r>
      <w:r w:rsidRPr="008579D2">
        <w:rPr>
          <w:rFonts w:asciiTheme="minorHAnsi" w:hAnsiTheme="minorHAnsi" w:cstheme="minorHAnsi"/>
          <w:spacing w:val="-3"/>
        </w:rPr>
        <w:t xml:space="preserve"> </w:t>
      </w:r>
      <w:r w:rsidRPr="008579D2">
        <w:rPr>
          <w:rFonts w:asciiTheme="minorHAnsi" w:hAnsiTheme="minorHAnsi" w:cstheme="minorHAnsi"/>
        </w:rPr>
        <w:t>the</w:t>
      </w:r>
      <w:r w:rsidRPr="008579D2">
        <w:rPr>
          <w:rFonts w:asciiTheme="minorHAnsi" w:hAnsiTheme="minorHAnsi" w:cstheme="minorHAnsi"/>
          <w:spacing w:val="-2"/>
        </w:rPr>
        <w:t xml:space="preserve"> </w:t>
      </w:r>
      <w:r w:rsidRPr="008579D2">
        <w:rPr>
          <w:rFonts w:asciiTheme="minorHAnsi" w:hAnsiTheme="minorHAnsi" w:cstheme="minorHAnsi"/>
        </w:rPr>
        <w:t>SIRS guidance</w:t>
      </w:r>
      <w:r w:rsidRPr="008579D2">
        <w:rPr>
          <w:rFonts w:asciiTheme="minorHAnsi" w:hAnsiTheme="minorHAnsi" w:cstheme="minorHAnsi"/>
          <w:spacing w:val="-1"/>
        </w:rPr>
        <w:t xml:space="preserve"> </w:t>
      </w:r>
      <w:r w:rsidRPr="008579D2">
        <w:rPr>
          <w:rFonts w:asciiTheme="minorHAnsi" w:hAnsiTheme="minorHAnsi" w:cstheme="minorHAnsi"/>
        </w:rPr>
        <w:t>for</w:t>
      </w:r>
      <w:r w:rsidRPr="008579D2">
        <w:rPr>
          <w:rFonts w:asciiTheme="minorHAnsi" w:hAnsiTheme="minorHAnsi" w:cstheme="minorHAnsi"/>
          <w:spacing w:val="-2"/>
        </w:rPr>
        <w:t xml:space="preserve"> </w:t>
      </w:r>
      <w:r w:rsidRPr="008579D2">
        <w:rPr>
          <w:rFonts w:asciiTheme="minorHAnsi" w:hAnsiTheme="minorHAnsi" w:cstheme="minorHAnsi"/>
        </w:rPr>
        <w:t>providers</w:t>
      </w:r>
      <w:r w:rsidRPr="008579D2">
        <w:rPr>
          <w:rFonts w:asciiTheme="minorHAnsi" w:hAnsiTheme="minorHAnsi" w:cstheme="minorHAnsi"/>
          <w:spacing w:val="-4"/>
        </w:rPr>
        <w:t xml:space="preserve"> </w:t>
      </w:r>
      <w:r w:rsidRPr="008579D2">
        <w:rPr>
          <w:rFonts w:asciiTheme="minorHAnsi" w:hAnsiTheme="minorHAnsi" w:cstheme="minorHAnsi"/>
        </w:rPr>
        <w:t>on the</w:t>
      </w:r>
      <w:r w:rsidRPr="008579D2">
        <w:rPr>
          <w:rFonts w:asciiTheme="minorHAnsi" w:hAnsiTheme="minorHAnsi" w:cstheme="minorHAnsi"/>
          <w:spacing w:val="-2"/>
        </w:rPr>
        <w:t xml:space="preserve"> </w:t>
      </w:r>
      <w:hyperlink r:id="rId40">
        <w:r w:rsidRPr="008579D2">
          <w:rPr>
            <w:rStyle w:val="Hyperlink"/>
            <w:rFonts w:asciiTheme="minorHAnsi" w:eastAsiaTheme="minorHAnsi" w:hAnsiTheme="minorHAnsi" w:cstheme="minorHAnsi"/>
            <w:sz w:val="20"/>
            <w:lang w:val="en"/>
          </w:rPr>
          <w:t>Aged</w:t>
        </w:r>
      </w:hyperlink>
      <w:r w:rsidRPr="008579D2">
        <w:rPr>
          <w:rStyle w:val="Hyperlink"/>
          <w:rFonts w:asciiTheme="minorHAnsi" w:eastAsiaTheme="minorHAnsi" w:hAnsiTheme="minorHAnsi" w:cstheme="minorHAnsi"/>
          <w:sz w:val="20"/>
          <w:lang w:val="en"/>
        </w:rPr>
        <w:t xml:space="preserve"> </w:t>
      </w:r>
      <w:hyperlink r:id="rId41">
        <w:r w:rsidRPr="008579D2">
          <w:rPr>
            <w:rStyle w:val="Hyperlink"/>
            <w:rFonts w:asciiTheme="minorHAnsi" w:eastAsiaTheme="minorHAnsi" w:hAnsiTheme="minorHAnsi" w:cstheme="minorHAnsi"/>
            <w:sz w:val="20"/>
            <w:lang w:val="en"/>
          </w:rPr>
          <w:t>Care Quality and Safety Commission</w:t>
        </w:r>
      </w:hyperlink>
      <w:r w:rsidRPr="008579D2">
        <w:rPr>
          <w:rStyle w:val="Hyperlink"/>
          <w:rFonts w:asciiTheme="minorHAnsi" w:eastAsiaTheme="minorHAnsi" w:hAnsiTheme="minorHAnsi" w:cstheme="minorHAnsi"/>
          <w:sz w:val="20"/>
          <w:lang w:val="en"/>
        </w:rPr>
        <w:t xml:space="preserve"> website</w:t>
      </w:r>
      <w:r w:rsidRPr="008579D2">
        <w:rPr>
          <w:rFonts w:asciiTheme="minorHAnsi" w:hAnsiTheme="minorHAnsi" w:cstheme="minorHAnsi"/>
        </w:rPr>
        <w:t>.</w:t>
      </w:r>
    </w:p>
    <w:p w14:paraId="7A0420D2" w14:textId="77777777" w:rsidR="00264770" w:rsidRPr="00377879" w:rsidRDefault="00264770" w:rsidP="00264770">
      <w:pPr>
        <w:pStyle w:val="heading4withoutnumbers"/>
        <w:rPr>
          <w:rFonts w:asciiTheme="minorHAnsi" w:hAnsiTheme="minorHAnsi" w:cstheme="minorHAnsi"/>
          <w:b/>
          <w:bCs/>
        </w:rPr>
      </w:pPr>
      <w:r w:rsidRPr="00377879">
        <w:rPr>
          <w:rFonts w:asciiTheme="minorHAnsi" w:hAnsiTheme="minorHAnsi" w:cstheme="minorHAnsi"/>
          <w:b/>
          <w:bCs/>
        </w:rPr>
        <w:t>Reportable incidents</w:t>
      </w:r>
    </w:p>
    <w:p w14:paraId="0B6C113A" w14:textId="2F443A44" w:rsidR="00264770" w:rsidRPr="008579D2" w:rsidRDefault="00264770" w:rsidP="00264770">
      <w:pPr>
        <w:rPr>
          <w:rFonts w:asciiTheme="minorHAnsi" w:hAnsiTheme="minorHAnsi" w:cstheme="minorHAnsi"/>
          <w:szCs w:val="20"/>
        </w:rPr>
      </w:pPr>
      <w:r w:rsidRPr="008579D2">
        <w:rPr>
          <w:rFonts w:asciiTheme="minorHAnsi" w:hAnsiTheme="minorHAnsi" w:cstheme="minorHAnsi"/>
          <w:szCs w:val="20"/>
        </w:rPr>
        <w:t>SIRS reporting is facilitated through the My Aged Care Provider Portal. Specific guidance and resources for</w:t>
      </w:r>
      <w:r w:rsidRPr="008579D2">
        <w:rPr>
          <w:rFonts w:asciiTheme="minorHAnsi" w:hAnsiTheme="minorHAnsi" w:cstheme="minorHAnsi"/>
          <w:szCs w:val="20"/>
          <w:lang w:val="en"/>
        </w:rPr>
        <w:t xml:space="preserve"> providers on reporting incidents through the My Aged Care Provider Portal, can be found by visiting the resources page on the </w:t>
      </w:r>
      <w:hyperlink r:id="rId42" w:history="1">
        <w:r w:rsidRPr="008579D2">
          <w:rPr>
            <w:rStyle w:val="Hyperlink"/>
            <w:rFonts w:asciiTheme="minorHAnsi" w:eastAsiaTheme="majorEastAsia" w:hAnsiTheme="minorHAnsi" w:cstheme="minorHAnsi"/>
            <w:sz w:val="20"/>
            <w:szCs w:val="20"/>
            <w:lang w:val="en"/>
          </w:rPr>
          <w:t>Department of Health</w:t>
        </w:r>
        <w:r w:rsidR="00806FFF">
          <w:rPr>
            <w:rStyle w:val="Hyperlink"/>
            <w:rFonts w:asciiTheme="minorHAnsi" w:eastAsiaTheme="majorEastAsia" w:hAnsiTheme="minorHAnsi" w:cstheme="minorHAnsi"/>
            <w:sz w:val="20"/>
            <w:szCs w:val="20"/>
            <w:lang w:val="en"/>
          </w:rPr>
          <w:t>, Disability and Ageing</w:t>
        </w:r>
        <w:r w:rsidRPr="008579D2">
          <w:rPr>
            <w:rStyle w:val="Hyperlink"/>
            <w:rFonts w:asciiTheme="minorHAnsi" w:eastAsiaTheme="majorEastAsia" w:hAnsiTheme="minorHAnsi" w:cstheme="minorHAnsi"/>
            <w:sz w:val="20"/>
            <w:szCs w:val="20"/>
            <w:lang w:val="en"/>
          </w:rPr>
          <w:t xml:space="preserve"> website.</w:t>
        </w:r>
      </w:hyperlink>
      <w:r w:rsidRPr="008579D2">
        <w:rPr>
          <w:rFonts w:asciiTheme="minorHAnsi" w:hAnsiTheme="minorHAnsi" w:cstheme="minorHAnsi"/>
          <w:szCs w:val="20"/>
        </w:rPr>
        <w:t xml:space="preserve"> </w:t>
      </w:r>
    </w:p>
    <w:p w14:paraId="0F226E27" w14:textId="6D056CF2" w:rsidR="00264770" w:rsidRPr="008579D2" w:rsidRDefault="00264770" w:rsidP="00264770">
      <w:pPr>
        <w:rPr>
          <w:rFonts w:asciiTheme="minorHAnsi" w:hAnsiTheme="minorHAnsi" w:cstheme="minorHAnsi"/>
          <w:szCs w:val="20"/>
        </w:rPr>
      </w:pPr>
      <w:r w:rsidRPr="008579D2">
        <w:rPr>
          <w:rFonts w:asciiTheme="minorHAnsi" w:hAnsiTheme="minorHAnsi" w:cstheme="minorHAnsi"/>
          <w:szCs w:val="20"/>
        </w:rPr>
        <w:t>Under SIRS, certain types of incidents must be reported to the Commission. This includes incidents that occur or are alleged or suspected to have occurred and includes incidents involving a care recipient with cognitive or mental impairment (such as dementia). There are 8 types of reportable incidents involving care recipients that must be reported to the Commission, and the police if the incident is of a criminal nature.</w:t>
      </w:r>
    </w:p>
    <w:p w14:paraId="36E8962D" w14:textId="703A52BB" w:rsidR="00264770" w:rsidRPr="008579D2" w:rsidRDefault="00264770" w:rsidP="00264770">
      <w:pPr>
        <w:pStyle w:val="BodyText"/>
        <w:spacing w:before="119"/>
        <w:ind w:right="181"/>
        <w:rPr>
          <w:rFonts w:asciiTheme="minorHAnsi" w:hAnsiTheme="minorHAnsi" w:cstheme="minorHAnsi"/>
        </w:rPr>
      </w:pPr>
      <w:r w:rsidRPr="008579D2">
        <w:rPr>
          <w:rFonts w:asciiTheme="minorHAnsi" w:hAnsiTheme="minorHAnsi" w:cstheme="minorHAnsi"/>
        </w:rPr>
        <w:t>Th</w:t>
      </w:r>
      <w:r w:rsidR="00885464">
        <w:rPr>
          <w:rFonts w:asciiTheme="minorHAnsi" w:hAnsiTheme="minorHAnsi" w:cstheme="minorHAnsi"/>
        </w:rPr>
        <w:t>e</w:t>
      </w:r>
      <w:r w:rsidRPr="008579D2">
        <w:rPr>
          <w:rFonts w:asciiTheme="minorHAnsi" w:hAnsiTheme="minorHAnsi" w:cstheme="minorHAnsi"/>
        </w:rPr>
        <w:t xml:space="preserve"> table </w:t>
      </w:r>
      <w:r w:rsidR="00885464">
        <w:rPr>
          <w:rFonts w:asciiTheme="minorHAnsi" w:hAnsiTheme="minorHAnsi" w:cstheme="minorHAnsi"/>
        </w:rPr>
        <w:t>below</w:t>
      </w:r>
      <w:r w:rsidRPr="008579D2">
        <w:rPr>
          <w:rFonts w:asciiTheme="minorHAnsi" w:hAnsiTheme="minorHAnsi" w:cstheme="minorHAnsi"/>
        </w:rPr>
        <w:t xml:space="preserve"> set</w:t>
      </w:r>
      <w:r w:rsidR="00885464">
        <w:rPr>
          <w:rFonts w:asciiTheme="minorHAnsi" w:hAnsiTheme="minorHAnsi" w:cstheme="minorHAnsi"/>
        </w:rPr>
        <w:t>s</w:t>
      </w:r>
      <w:r w:rsidRPr="008579D2">
        <w:rPr>
          <w:rFonts w:asciiTheme="minorHAnsi" w:hAnsiTheme="minorHAnsi" w:cstheme="minorHAnsi"/>
        </w:rPr>
        <w:t xml:space="preserve"> out the differences in the definitions of what </w:t>
      </w:r>
      <w:proofErr w:type="gramStart"/>
      <w:r w:rsidRPr="008579D2">
        <w:rPr>
          <w:rFonts w:asciiTheme="minorHAnsi" w:hAnsiTheme="minorHAnsi" w:cstheme="minorHAnsi"/>
        </w:rPr>
        <w:t>is considered to be</w:t>
      </w:r>
      <w:proofErr w:type="gramEnd"/>
      <w:r w:rsidRPr="008579D2">
        <w:rPr>
          <w:rFonts w:asciiTheme="minorHAnsi" w:hAnsiTheme="minorHAnsi" w:cstheme="minorHAnsi"/>
        </w:rPr>
        <w:t xml:space="preserve"> a reportable incident for residential settings and home and community settings.</w:t>
      </w:r>
    </w:p>
    <w:p w14:paraId="13D6052E" w14:textId="77777777" w:rsidR="00264770" w:rsidRPr="008579D2" w:rsidRDefault="00264770" w:rsidP="00264770">
      <w:pPr>
        <w:pStyle w:val="BodyText"/>
        <w:spacing w:before="119"/>
        <w:ind w:right="181"/>
        <w:rPr>
          <w:rFonts w:asciiTheme="minorHAnsi" w:hAnsiTheme="minorHAnsi" w:cstheme="minorHAnsi"/>
        </w:rPr>
      </w:pPr>
    </w:p>
    <w:tbl>
      <w:tblPr>
        <w:tblStyle w:val="TableGrid"/>
        <w:tblW w:w="0" w:type="auto"/>
        <w:tblInd w:w="118" w:type="dxa"/>
        <w:tblLook w:val="04A0" w:firstRow="1" w:lastRow="0" w:firstColumn="1" w:lastColumn="0" w:noHBand="0" w:noVBand="1"/>
      </w:tblPr>
      <w:tblGrid>
        <w:gridCol w:w="4684"/>
        <w:gridCol w:w="4683"/>
      </w:tblGrid>
      <w:tr w:rsidR="00264770" w:rsidRPr="008579D2" w14:paraId="17960C83" w14:textId="77777777" w:rsidTr="00A40FBE">
        <w:trPr>
          <w:cnfStyle w:val="100000000000" w:firstRow="1" w:lastRow="0" w:firstColumn="0" w:lastColumn="0" w:oddVBand="0" w:evenVBand="0" w:oddHBand="0" w:evenHBand="0" w:firstRowFirstColumn="0" w:firstRowLastColumn="0" w:lastRowFirstColumn="0" w:lastRowLastColumn="0"/>
        </w:trPr>
        <w:tc>
          <w:tcPr>
            <w:tcW w:w="4704" w:type="dxa"/>
          </w:tcPr>
          <w:p w14:paraId="14917E78" w14:textId="77777777" w:rsidR="00264770" w:rsidRPr="008579D2" w:rsidRDefault="00264770" w:rsidP="00A40FBE">
            <w:pPr>
              <w:pStyle w:val="BodyText"/>
              <w:spacing w:before="119"/>
              <w:ind w:right="181"/>
              <w:jc w:val="center"/>
              <w:rPr>
                <w:rFonts w:asciiTheme="minorHAnsi" w:hAnsiTheme="minorHAnsi" w:cstheme="minorHAnsi"/>
                <w:b w:val="0"/>
                <w:bCs/>
              </w:rPr>
            </w:pPr>
            <w:bookmarkStart w:id="350" w:name="_Hlk118722517"/>
            <w:r w:rsidRPr="008579D2">
              <w:rPr>
                <w:rFonts w:asciiTheme="minorHAnsi" w:hAnsiTheme="minorHAnsi" w:cstheme="minorHAnsi"/>
                <w:bCs/>
              </w:rPr>
              <w:t>Residential setting</w:t>
            </w:r>
          </w:p>
        </w:tc>
        <w:tc>
          <w:tcPr>
            <w:tcW w:w="4704" w:type="dxa"/>
          </w:tcPr>
          <w:p w14:paraId="2CAD8362" w14:textId="77777777" w:rsidR="00264770" w:rsidRPr="008579D2" w:rsidRDefault="00264770" w:rsidP="00A40FBE">
            <w:pPr>
              <w:pStyle w:val="BodyText"/>
              <w:spacing w:before="119"/>
              <w:ind w:right="181"/>
              <w:jc w:val="center"/>
              <w:rPr>
                <w:rFonts w:asciiTheme="minorHAnsi" w:hAnsiTheme="minorHAnsi" w:cstheme="minorHAnsi"/>
                <w:b w:val="0"/>
                <w:bCs/>
              </w:rPr>
            </w:pPr>
            <w:r w:rsidRPr="008579D2">
              <w:rPr>
                <w:rFonts w:asciiTheme="minorHAnsi" w:hAnsiTheme="minorHAnsi" w:cstheme="minorHAnsi"/>
                <w:bCs/>
              </w:rPr>
              <w:t>Home or community setting</w:t>
            </w:r>
          </w:p>
        </w:tc>
      </w:tr>
      <w:tr w:rsidR="00264770" w:rsidRPr="008579D2" w14:paraId="314BCFF3" w14:textId="77777777" w:rsidTr="00A40FBE">
        <w:trPr>
          <w:trHeight w:val="830"/>
        </w:trPr>
        <w:tc>
          <w:tcPr>
            <w:tcW w:w="4704" w:type="dxa"/>
          </w:tcPr>
          <w:p w14:paraId="726AC31F" w14:textId="77777777" w:rsidR="00264770" w:rsidRPr="008579D2" w:rsidRDefault="00264770" w:rsidP="00A40FBE">
            <w:pPr>
              <w:tabs>
                <w:tab w:val="left" w:pos="589"/>
                <w:tab w:val="left" w:pos="590"/>
              </w:tabs>
              <w:ind w:right="902"/>
              <w:rPr>
                <w:rFonts w:asciiTheme="minorHAnsi" w:hAnsiTheme="minorHAnsi" w:cstheme="minorHAnsi"/>
                <w:szCs w:val="20"/>
              </w:rPr>
            </w:pPr>
            <w:r w:rsidRPr="008579D2">
              <w:rPr>
                <w:rFonts w:asciiTheme="minorHAnsi" w:hAnsiTheme="minorHAnsi" w:cstheme="minorHAnsi"/>
                <w:b/>
                <w:szCs w:val="20"/>
              </w:rPr>
              <w:t>Unreasonable</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use</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of</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force</w:t>
            </w:r>
            <w:r w:rsidRPr="008579D2">
              <w:rPr>
                <w:rFonts w:asciiTheme="minorHAnsi" w:hAnsiTheme="minorHAnsi" w:cstheme="minorHAnsi"/>
                <w:b/>
                <w:spacing w:val="-4"/>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for</w:t>
            </w:r>
            <w:r w:rsidRPr="008579D2">
              <w:rPr>
                <w:rFonts w:asciiTheme="minorHAnsi" w:hAnsiTheme="minorHAnsi" w:cstheme="minorHAnsi"/>
                <w:spacing w:val="-5"/>
                <w:szCs w:val="20"/>
              </w:rPr>
              <w:t xml:space="preserve"> </w:t>
            </w:r>
            <w:r w:rsidRPr="008579D2">
              <w:rPr>
                <w:rFonts w:asciiTheme="minorHAnsi" w:hAnsiTheme="minorHAnsi" w:cstheme="minorHAnsi"/>
                <w:szCs w:val="20"/>
              </w:rPr>
              <w:t>example,</w:t>
            </w:r>
            <w:r w:rsidRPr="008579D2">
              <w:rPr>
                <w:rFonts w:asciiTheme="minorHAnsi" w:hAnsiTheme="minorHAnsi" w:cstheme="minorHAnsi"/>
                <w:spacing w:val="-5"/>
                <w:szCs w:val="20"/>
              </w:rPr>
              <w:t xml:space="preserve"> </w:t>
            </w:r>
            <w:r w:rsidRPr="008579D2">
              <w:rPr>
                <w:rFonts w:asciiTheme="minorHAnsi" w:hAnsiTheme="minorHAnsi" w:cstheme="minorHAnsi"/>
                <w:szCs w:val="20"/>
              </w:rPr>
              <w:t>hitting,</w:t>
            </w:r>
            <w:r w:rsidRPr="008579D2">
              <w:rPr>
                <w:rFonts w:asciiTheme="minorHAnsi" w:hAnsiTheme="minorHAnsi" w:cstheme="minorHAnsi"/>
                <w:spacing w:val="-2"/>
                <w:szCs w:val="20"/>
              </w:rPr>
              <w:t xml:space="preserve"> </w:t>
            </w:r>
            <w:r w:rsidRPr="008579D2">
              <w:rPr>
                <w:rFonts w:asciiTheme="minorHAnsi" w:hAnsiTheme="minorHAnsi" w:cstheme="minorHAnsi"/>
                <w:szCs w:val="20"/>
              </w:rPr>
              <w:t>pushing,</w:t>
            </w:r>
            <w:r w:rsidRPr="008579D2">
              <w:rPr>
                <w:rFonts w:asciiTheme="minorHAnsi" w:hAnsiTheme="minorHAnsi" w:cstheme="minorHAnsi"/>
                <w:spacing w:val="-2"/>
                <w:szCs w:val="20"/>
              </w:rPr>
              <w:t xml:space="preserve"> </w:t>
            </w:r>
            <w:r w:rsidRPr="008579D2">
              <w:rPr>
                <w:rFonts w:asciiTheme="minorHAnsi" w:hAnsiTheme="minorHAnsi" w:cstheme="minorHAnsi"/>
                <w:szCs w:val="20"/>
              </w:rPr>
              <w:t>shoving,</w:t>
            </w:r>
            <w:r w:rsidRPr="008579D2">
              <w:rPr>
                <w:rFonts w:asciiTheme="minorHAnsi" w:hAnsiTheme="minorHAnsi" w:cstheme="minorHAnsi"/>
                <w:spacing w:val="-4"/>
                <w:szCs w:val="20"/>
              </w:rPr>
              <w:t xml:space="preserve"> </w:t>
            </w:r>
            <w:r w:rsidRPr="008579D2">
              <w:rPr>
                <w:rFonts w:asciiTheme="minorHAnsi" w:hAnsiTheme="minorHAnsi" w:cstheme="minorHAnsi"/>
                <w:szCs w:val="20"/>
              </w:rPr>
              <w:t>or</w:t>
            </w:r>
            <w:r w:rsidRPr="008579D2">
              <w:rPr>
                <w:rFonts w:asciiTheme="minorHAnsi" w:hAnsiTheme="minorHAnsi" w:cstheme="minorHAnsi"/>
                <w:spacing w:val="-2"/>
                <w:szCs w:val="20"/>
              </w:rPr>
              <w:t xml:space="preserve"> </w:t>
            </w:r>
            <w:r w:rsidRPr="008579D2">
              <w:rPr>
                <w:rFonts w:asciiTheme="minorHAnsi" w:hAnsiTheme="minorHAnsi" w:cstheme="minorHAnsi"/>
                <w:szCs w:val="20"/>
              </w:rPr>
              <w:t>rough</w:t>
            </w:r>
            <w:r w:rsidRPr="008579D2">
              <w:rPr>
                <w:rFonts w:asciiTheme="minorHAnsi" w:hAnsiTheme="minorHAnsi" w:cstheme="minorHAnsi"/>
                <w:spacing w:val="-3"/>
                <w:szCs w:val="20"/>
              </w:rPr>
              <w:t xml:space="preserve"> </w:t>
            </w:r>
            <w:r w:rsidRPr="008579D2">
              <w:rPr>
                <w:rFonts w:asciiTheme="minorHAnsi" w:hAnsiTheme="minorHAnsi" w:cstheme="minorHAnsi"/>
                <w:szCs w:val="20"/>
              </w:rPr>
              <w:t>handling</w:t>
            </w:r>
            <w:r w:rsidRPr="008579D2">
              <w:rPr>
                <w:rFonts w:asciiTheme="minorHAnsi" w:hAnsiTheme="minorHAnsi" w:cstheme="minorHAnsi"/>
                <w:spacing w:val="-3"/>
                <w:szCs w:val="20"/>
              </w:rPr>
              <w:t xml:space="preserve"> </w:t>
            </w:r>
            <w:r w:rsidRPr="008579D2">
              <w:rPr>
                <w:rFonts w:asciiTheme="minorHAnsi" w:hAnsiTheme="minorHAnsi" w:cstheme="minorHAnsi"/>
                <w:szCs w:val="20"/>
              </w:rPr>
              <w:t>a care recipient</w:t>
            </w:r>
          </w:p>
        </w:tc>
        <w:tc>
          <w:tcPr>
            <w:tcW w:w="4704" w:type="dxa"/>
          </w:tcPr>
          <w:p w14:paraId="04CC6BAF" w14:textId="77777777" w:rsidR="00264770" w:rsidRPr="008579D2" w:rsidRDefault="00264770" w:rsidP="00A40FBE">
            <w:pPr>
              <w:pStyle w:val="BodyText"/>
              <w:ind w:right="181"/>
              <w:rPr>
                <w:rFonts w:asciiTheme="minorHAnsi" w:hAnsiTheme="minorHAnsi" w:cstheme="minorHAnsi"/>
                <w:i/>
                <w:iCs/>
              </w:rPr>
            </w:pPr>
            <w:r w:rsidRPr="008579D2">
              <w:rPr>
                <w:rFonts w:asciiTheme="minorHAnsi" w:hAnsiTheme="minorHAnsi" w:cstheme="minorHAnsi"/>
                <w:i/>
                <w:iCs/>
              </w:rPr>
              <w:t>Same as the residential setting</w:t>
            </w:r>
          </w:p>
        </w:tc>
      </w:tr>
      <w:tr w:rsidR="00264770" w:rsidRPr="008579D2" w14:paraId="7A49AA65" w14:textId="77777777" w:rsidTr="00A40FBE">
        <w:trPr>
          <w:trHeight w:val="1409"/>
        </w:trPr>
        <w:tc>
          <w:tcPr>
            <w:tcW w:w="4704" w:type="dxa"/>
          </w:tcPr>
          <w:p w14:paraId="447559AB" w14:textId="77777777" w:rsidR="00264770" w:rsidRPr="008579D2" w:rsidRDefault="00264770" w:rsidP="00A40FBE">
            <w:pPr>
              <w:tabs>
                <w:tab w:val="left" w:pos="589"/>
                <w:tab w:val="left" w:pos="590"/>
              </w:tabs>
              <w:spacing w:before="1"/>
              <w:ind w:right="542"/>
              <w:rPr>
                <w:rFonts w:asciiTheme="minorHAnsi" w:hAnsiTheme="minorHAnsi" w:cstheme="minorHAnsi"/>
                <w:szCs w:val="20"/>
              </w:rPr>
            </w:pPr>
            <w:r w:rsidRPr="008579D2">
              <w:rPr>
                <w:rFonts w:asciiTheme="minorHAnsi" w:hAnsiTheme="minorHAnsi" w:cstheme="minorHAnsi"/>
                <w:b/>
                <w:szCs w:val="20"/>
              </w:rPr>
              <w:t>Unlawful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sexual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contact</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or</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inappropriate</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sexual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 xml:space="preserve">conduct </w:t>
            </w:r>
            <w:r w:rsidRPr="008579D2">
              <w:rPr>
                <w:rFonts w:asciiTheme="minorHAnsi" w:hAnsiTheme="minorHAnsi" w:cstheme="minorHAnsi"/>
                <w:szCs w:val="20"/>
              </w:rPr>
              <w:t>–</w:t>
            </w:r>
            <w:r w:rsidRPr="008579D2">
              <w:rPr>
                <w:rFonts w:asciiTheme="minorHAnsi" w:hAnsiTheme="minorHAnsi" w:cstheme="minorHAnsi"/>
                <w:spacing w:val="-4"/>
                <w:szCs w:val="20"/>
              </w:rPr>
              <w:t xml:space="preserve"> </w:t>
            </w:r>
            <w:r w:rsidRPr="008579D2">
              <w:rPr>
                <w:rFonts w:asciiTheme="minorHAnsi" w:hAnsiTheme="minorHAnsi" w:cstheme="minorHAnsi"/>
                <w:szCs w:val="20"/>
              </w:rPr>
              <w:t>such</w:t>
            </w:r>
            <w:r w:rsidRPr="008579D2">
              <w:rPr>
                <w:rFonts w:asciiTheme="minorHAnsi" w:hAnsiTheme="minorHAnsi" w:cstheme="minorHAnsi"/>
                <w:spacing w:val="-3"/>
                <w:szCs w:val="20"/>
              </w:rPr>
              <w:t xml:space="preserve"> </w:t>
            </w:r>
            <w:r w:rsidRPr="008579D2">
              <w:rPr>
                <w:rFonts w:asciiTheme="minorHAnsi" w:hAnsiTheme="minorHAnsi" w:cstheme="minorHAnsi"/>
                <w:szCs w:val="20"/>
              </w:rPr>
              <w:t>as</w:t>
            </w:r>
            <w:r w:rsidRPr="008579D2">
              <w:rPr>
                <w:rFonts w:asciiTheme="minorHAnsi" w:hAnsiTheme="minorHAnsi" w:cstheme="minorHAnsi"/>
                <w:spacing w:val="-4"/>
                <w:szCs w:val="20"/>
              </w:rPr>
              <w:t xml:space="preserve"> </w:t>
            </w:r>
            <w:r w:rsidRPr="008579D2">
              <w:rPr>
                <w:rFonts w:asciiTheme="minorHAnsi" w:hAnsiTheme="minorHAnsi" w:cstheme="minorHAnsi"/>
                <w:szCs w:val="20"/>
              </w:rPr>
              <w:t>sexual</w:t>
            </w:r>
            <w:r w:rsidRPr="008579D2">
              <w:rPr>
                <w:rFonts w:asciiTheme="minorHAnsi" w:hAnsiTheme="minorHAnsi" w:cstheme="minorHAnsi"/>
                <w:spacing w:val="-5"/>
                <w:szCs w:val="20"/>
              </w:rPr>
              <w:t xml:space="preserve"> </w:t>
            </w:r>
            <w:r w:rsidRPr="008579D2">
              <w:rPr>
                <w:rFonts w:asciiTheme="minorHAnsi" w:hAnsiTheme="minorHAnsi" w:cstheme="minorHAnsi"/>
                <w:szCs w:val="20"/>
              </w:rPr>
              <w:t>threats</w:t>
            </w:r>
            <w:r w:rsidRPr="008579D2">
              <w:rPr>
                <w:rFonts w:asciiTheme="minorHAnsi" w:hAnsiTheme="minorHAnsi" w:cstheme="minorHAnsi"/>
                <w:spacing w:val="-5"/>
                <w:szCs w:val="20"/>
              </w:rPr>
              <w:t xml:space="preserve"> </w:t>
            </w:r>
            <w:r w:rsidRPr="008579D2">
              <w:rPr>
                <w:rFonts w:asciiTheme="minorHAnsi" w:hAnsiTheme="minorHAnsi" w:cstheme="minorHAnsi"/>
                <w:szCs w:val="20"/>
              </w:rPr>
              <w:t>against</w:t>
            </w:r>
            <w:r w:rsidRPr="008579D2">
              <w:rPr>
                <w:rFonts w:asciiTheme="minorHAnsi" w:hAnsiTheme="minorHAnsi" w:cstheme="minorHAnsi"/>
                <w:spacing w:val="-1"/>
                <w:szCs w:val="20"/>
              </w:rPr>
              <w:t xml:space="preserve"> </w:t>
            </w:r>
            <w:r w:rsidRPr="008579D2">
              <w:rPr>
                <w:rFonts w:asciiTheme="minorHAnsi" w:hAnsiTheme="minorHAnsi" w:cstheme="minorHAnsi"/>
                <w:szCs w:val="20"/>
              </w:rPr>
              <w:t>a care recipient, stalking, or sexual activities without the care recipient’s consent</w:t>
            </w:r>
          </w:p>
        </w:tc>
        <w:tc>
          <w:tcPr>
            <w:tcW w:w="4704" w:type="dxa"/>
          </w:tcPr>
          <w:p w14:paraId="64FDDE65"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i/>
                <w:iCs/>
              </w:rPr>
              <w:t>Same as the residential setting</w:t>
            </w:r>
          </w:p>
        </w:tc>
      </w:tr>
      <w:tr w:rsidR="00264770" w:rsidRPr="008579D2" w14:paraId="70FF6D7D" w14:textId="77777777" w:rsidTr="00A40FBE">
        <w:tc>
          <w:tcPr>
            <w:tcW w:w="4704" w:type="dxa"/>
          </w:tcPr>
          <w:p w14:paraId="771ADF7F" w14:textId="77777777" w:rsidR="00264770" w:rsidRPr="008579D2" w:rsidRDefault="00264770" w:rsidP="00A40FBE">
            <w:pPr>
              <w:tabs>
                <w:tab w:val="left" w:pos="589"/>
                <w:tab w:val="left" w:pos="590"/>
              </w:tabs>
              <w:spacing w:before="2"/>
              <w:ind w:right="957"/>
              <w:rPr>
                <w:rFonts w:asciiTheme="minorHAnsi" w:hAnsiTheme="minorHAnsi" w:cstheme="minorHAnsi"/>
                <w:szCs w:val="20"/>
              </w:rPr>
            </w:pPr>
            <w:r w:rsidRPr="008579D2">
              <w:rPr>
                <w:rFonts w:asciiTheme="minorHAnsi" w:hAnsiTheme="minorHAnsi" w:cstheme="minorHAnsi"/>
                <w:b/>
                <w:szCs w:val="20"/>
              </w:rPr>
              <w:t>Psychological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or</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emotional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 xml:space="preserve">abuse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such</w:t>
            </w:r>
            <w:r w:rsidRPr="008579D2">
              <w:rPr>
                <w:rFonts w:asciiTheme="minorHAnsi" w:hAnsiTheme="minorHAnsi" w:cstheme="minorHAnsi"/>
                <w:spacing w:val="-3"/>
                <w:szCs w:val="20"/>
              </w:rPr>
              <w:t xml:space="preserve"> </w:t>
            </w:r>
            <w:r w:rsidRPr="008579D2">
              <w:rPr>
                <w:rFonts w:asciiTheme="minorHAnsi" w:hAnsiTheme="minorHAnsi" w:cstheme="minorHAnsi"/>
                <w:szCs w:val="20"/>
              </w:rPr>
              <w:t>as</w:t>
            </w:r>
            <w:r w:rsidRPr="008579D2">
              <w:rPr>
                <w:rFonts w:asciiTheme="minorHAnsi" w:hAnsiTheme="minorHAnsi" w:cstheme="minorHAnsi"/>
                <w:spacing w:val="-4"/>
                <w:szCs w:val="20"/>
              </w:rPr>
              <w:t xml:space="preserve"> </w:t>
            </w:r>
            <w:r w:rsidRPr="008579D2">
              <w:rPr>
                <w:rFonts w:asciiTheme="minorHAnsi" w:hAnsiTheme="minorHAnsi" w:cstheme="minorHAnsi"/>
                <w:szCs w:val="20"/>
              </w:rPr>
              <w:t>name</w:t>
            </w:r>
            <w:r w:rsidRPr="008579D2">
              <w:rPr>
                <w:rFonts w:asciiTheme="minorHAnsi" w:hAnsiTheme="minorHAnsi" w:cstheme="minorHAnsi"/>
                <w:spacing w:val="-4"/>
                <w:szCs w:val="20"/>
              </w:rPr>
              <w:t xml:space="preserve"> </w:t>
            </w:r>
            <w:r w:rsidRPr="008579D2">
              <w:rPr>
                <w:rFonts w:asciiTheme="minorHAnsi" w:hAnsiTheme="minorHAnsi" w:cstheme="minorHAnsi"/>
                <w:szCs w:val="20"/>
              </w:rPr>
              <w:t>calling,</w:t>
            </w:r>
            <w:r w:rsidRPr="008579D2">
              <w:rPr>
                <w:rFonts w:asciiTheme="minorHAnsi" w:hAnsiTheme="minorHAnsi" w:cstheme="minorHAnsi"/>
                <w:spacing w:val="-2"/>
                <w:szCs w:val="20"/>
              </w:rPr>
              <w:t xml:space="preserve"> bullying, intimidation, or threats</w:t>
            </w:r>
            <w:r w:rsidRPr="008579D2">
              <w:rPr>
                <w:rFonts w:asciiTheme="minorHAnsi" w:hAnsiTheme="minorHAnsi" w:cstheme="minorHAnsi"/>
                <w:szCs w:val="20"/>
              </w:rPr>
              <w:t xml:space="preserve"> to withhold care or services</w:t>
            </w:r>
          </w:p>
        </w:tc>
        <w:tc>
          <w:tcPr>
            <w:tcW w:w="4704" w:type="dxa"/>
          </w:tcPr>
          <w:p w14:paraId="5CFD0040"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i/>
                <w:iCs/>
              </w:rPr>
              <w:t>Same as the residential setting</w:t>
            </w:r>
          </w:p>
        </w:tc>
      </w:tr>
      <w:tr w:rsidR="00264770" w:rsidRPr="008579D2" w14:paraId="47301F0F" w14:textId="77777777" w:rsidTr="00A40FBE">
        <w:tc>
          <w:tcPr>
            <w:tcW w:w="4704" w:type="dxa"/>
          </w:tcPr>
          <w:p w14:paraId="1218573D" w14:textId="77777777" w:rsidR="00264770" w:rsidRPr="008579D2" w:rsidRDefault="00264770" w:rsidP="00A40FBE">
            <w:pPr>
              <w:tabs>
                <w:tab w:val="left" w:pos="590"/>
              </w:tabs>
              <w:ind w:right="556"/>
              <w:rPr>
                <w:rFonts w:asciiTheme="minorHAnsi" w:hAnsiTheme="minorHAnsi" w:cstheme="minorHAnsi"/>
                <w:szCs w:val="20"/>
              </w:rPr>
            </w:pPr>
            <w:r w:rsidRPr="008579D2">
              <w:rPr>
                <w:rFonts w:asciiTheme="minorHAnsi" w:hAnsiTheme="minorHAnsi" w:cstheme="minorHAnsi"/>
                <w:b/>
                <w:szCs w:val="20"/>
              </w:rPr>
              <w:t>Stealing</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or</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financial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coercion</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by</w:t>
            </w:r>
            <w:r w:rsidRPr="008579D2">
              <w:rPr>
                <w:rFonts w:asciiTheme="minorHAnsi" w:hAnsiTheme="minorHAnsi" w:cstheme="minorHAnsi"/>
                <w:b/>
                <w:spacing w:val="-1"/>
                <w:szCs w:val="20"/>
              </w:rPr>
              <w:t xml:space="preserve"> </w:t>
            </w:r>
            <w:r w:rsidRPr="008579D2">
              <w:rPr>
                <w:rFonts w:asciiTheme="minorHAnsi" w:hAnsiTheme="minorHAnsi" w:cstheme="minorHAnsi"/>
                <w:b/>
                <w:szCs w:val="20"/>
              </w:rPr>
              <w:t>a</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staff</w:t>
            </w:r>
            <w:r w:rsidRPr="008579D2">
              <w:rPr>
                <w:rFonts w:asciiTheme="minorHAnsi" w:hAnsiTheme="minorHAnsi" w:cstheme="minorHAnsi"/>
                <w:b/>
                <w:spacing w:val="-5"/>
                <w:szCs w:val="20"/>
              </w:rPr>
              <w:t xml:space="preserve"> </w:t>
            </w:r>
            <w:r w:rsidRPr="008579D2">
              <w:rPr>
                <w:rFonts w:asciiTheme="minorHAnsi" w:hAnsiTheme="minorHAnsi" w:cstheme="minorHAnsi"/>
                <w:b/>
                <w:szCs w:val="20"/>
              </w:rPr>
              <w:t xml:space="preserve">member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for</w:t>
            </w:r>
            <w:r w:rsidRPr="008579D2">
              <w:rPr>
                <w:rFonts w:asciiTheme="minorHAnsi" w:hAnsiTheme="minorHAnsi" w:cstheme="minorHAnsi"/>
                <w:spacing w:val="-5"/>
                <w:szCs w:val="20"/>
              </w:rPr>
              <w:t xml:space="preserve"> </w:t>
            </w:r>
            <w:r w:rsidRPr="008579D2">
              <w:rPr>
                <w:rFonts w:asciiTheme="minorHAnsi" w:hAnsiTheme="minorHAnsi" w:cstheme="minorHAnsi"/>
                <w:szCs w:val="20"/>
              </w:rPr>
              <w:t>example,</w:t>
            </w:r>
            <w:r w:rsidRPr="008579D2">
              <w:rPr>
                <w:rFonts w:asciiTheme="minorHAnsi" w:hAnsiTheme="minorHAnsi" w:cstheme="minorHAnsi"/>
                <w:spacing w:val="-2"/>
                <w:szCs w:val="20"/>
              </w:rPr>
              <w:t xml:space="preserve"> </w:t>
            </w:r>
            <w:r w:rsidRPr="008579D2">
              <w:rPr>
                <w:rFonts w:asciiTheme="minorHAnsi" w:hAnsiTheme="minorHAnsi" w:cstheme="minorHAnsi"/>
                <w:szCs w:val="20"/>
              </w:rPr>
              <w:t>if</w:t>
            </w:r>
            <w:r w:rsidRPr="008579D2">
              <w:rPr>
                <w:rFonts w:asciiTheme="minorHAnsi" w:hAnsiTheme="minorHAnsi" w:cstheme="minorHAnsi"/>
                <w:spacing w:val="-5"/>
                <w:szCs w:val="20"/>
              </w:rPr>
              <w:t xml:space="preserve"> </w:t>
            </w:r>
            <w:r w:rsidRPr="008579D2">
              <w:rPr>
                <w:rFonts w:asciiTheme="minorHAnsi" w:hAnsiTheme="minorHAnsi" w:cstheme="minorHAnsi"/>
                <w:szCs w:val="20"/>
              </w:rPr>
              <w:t>a</w:t>
            </w:r>
            <w:r w:rsidRPr="008579D2">
              <w:rPr>
                <w:rFonts w:asciiTheme="minorHAnsi" w:hAnsiTheme="minorHAnsi" w:cstheme="minorHAnsi"/>
                <w:spacing w:val="-2"/>
                <w:szCs w:val="20"/>
              </w:rPr>
              <w:t xml:space="preserve"> </w:t>
            </w:r>
            <w:r w:rsidRPr="008579D2">
              <w:rPr>
                <w:rFonts w:asciiTheme="minorHAnsi" w:hAnsiTheme="minorHAnsi" w:cstheme="minorHAnsi"/>
                <w:szCs w:val="20"/>
              </w:rPr>
              <w:t>staff</w:t>
            </w:r>
            <w:r w:rsidRPr="008579D2">
              <w:rPr>
                <w:rFonts w:asciiTheme="minorHAnsi" w:hAnsiTheme="minorHAnsi" w:cstheme="minorHAnsi"/>
                <w:spacing w:val="-5"/>
                <w:szCs w:val="20"/>
              </w:rPr>
              <w:t xml:space="preserve"> </w:t>
            </w:r>
            <w:r w:rsidRPr="008579D2">
              <w:rPr>
                <w:rFonts w:asciiTheme="minorHAnsi" w:hAnsiTheme="minorHAnsi" w:cstheme="minorHAnsi"/>
                <w:szCs w:val="20"/>
              </w:rPr>
              <w:t>member</w:t>
            </w:r>
            <w:r w:rsidRPr="008579D2">
              <w:rPr>
                <w:rFonts w:asciiTheme="minorHAnsi" w:hAnsiTheme="minorHAnsi" w:cstheme="minorHAnsi"/>
                <w:spacing w:val="-4"/>
                <w:szCs w:val="20"/>
              </w:rPr>
              <w:t xml:space="preserve"> </w:t>
            </w:r>
            <w:r w:rsidRPr="008579D2">
              <w:rPr>
                <w:rFonts w:asciiTheme="minorHAnsi" w:hAnsiTheme="minorHAnsi" w:cstheme="minorHAnsi"/>
                <w:szCs w:val="20"/>
              </w:rPr>
              <w:t>coerces</w:t>
            </w:r>
            <w:r w:rsidRPr="008579D2">
              <w:rPr>
                <w:rFonts w:asciiTheme="minorHAnsi" w:hAnsiTheme="minorHAnsi" w:cstheme="minorHAnsi"/>
                <w:spacing w:val="-5"/>
                <w:szCs w:val="20"/>
              </w:rPr>
              <w:t xml:space="preserve"> </w:t>
            </w:r>
            <w:r w:rsidRPr="008579D2">
              <w:rPr>
                <w:rFonts w:asciiTheme="minorHAnsi" w:hAnsiTheme="minorHAnsi" w:cstheme="minorHAnsi"/>
                <w:szCs w:val="20"/>
              </w:rPr>
              <w:t>a care recipient to change their will to their advantage, or steals valuables from the care recipient</w:t>
            </w:r>
          </w:p>
        </w:tc>
        <w:tc>
          <w:tcPr>
            <w:tcW w:w="4704" w:type="dxa"/>
          </w:tcPr>
          <w:p w14:paraId="4AD77855"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i/>
                <w:iCs/>
              </w:rPr>
              <w:t>Same as the residential setting</w:t>
            </w:r>
          </w:p>
        </w:tc>
      </w:tr>
      <w:tr w:rsidR="00264770" w:rsidRPr="008579D2" w14:paraId="1B829D93" w14:textId="77777777" w:rsidTr="00A40FBE">
        <w:tc>
          <w:tcPr>
            <w:tcW w:w="4704" w:type="dxa"/>
          </w:tcPr>
          <w:p w14:paraId="1C24558C" w14:textId="77777777" w:rsidR="00264770" w:rsidRPr="008579D2" w:rsidRDefault="00264770" w:rsidP="00A40FBE">
            <w:pPr>
              <w:tabs>
                <w:tab w:val="left" w:pos="589"/>
                <w:tab w:val="left" w:pos="590"/>
              </w:tabs>
              <w:spacing w:before="3" w:line="237" w:lineRule="auto"/>
              <w:ind w:right="907"/>
              <w:rPr>
                <w:rFonts w:asciiTheme="minorHAnsi" w:hAnsiTheme="minorHAnsi" w:cstheme="minorHAnsi"/>
                <w:szCs w:val="20"/>
              </w:rPr>
            </w:pPr>
            <w:r w:rsidRPr="008579D2">
              <w:rPr>
                <w:rFonts w:asciiTheme="minorHAnsi" w:hAnsiTheme="minorHAnsi" w:cstheme="minorHAnsi"/>
                <w:b/>
                <w:szCs w:val="20"/>
              </w:rPr>
              <w:t>Neglect</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of</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a</w:t>
            </w:r>
            <w:r w:rsidRPr="008579D2">
              <w:rPr>
                <w:rFonts w:asciiTheme="minorHAnsi" w:hAnsiTheme="minorHAnsi" w:cstheme="minorHAnsi"/>
                <w:b/>
                <w:spacing w:val="-5"/>
                <w:szCs w:val="20"/>
              </w:rPr>
              <w:t xml:space="preserve"> </w:t>
            </w:r>
            <w:r w:rsidRPr="008579D2">
              <w:rPr>
                <w:rFonts w:asciiTheme="minorHAnsi" w:hAnsiTheme="minorHAnsi" w:cstheme="minorHAnsi"/>
                <w:b/>
                <w:bCs/>
                <w:szCs w:val="20"/>
              </w:rPr>
              <w:t>care recipient</w:t>
            </w:r>
            <w:r w:rsidRPr="008579D2">
              <w:rPr>
                <w:rFonts w:asciiTheme="minorHAnsi" w:hAnsiTheme="minorHAnsi" w:cstheme="minorHAnsi"/>
                <w:b/>
                <w:spacing w:val="-1"/>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for</w:t>
            </w:r>
            <w:r w:rsidRPr="008579D2">
              <w:rPr>
                <w:rFonts w:asciiTheme="minorHAnsi" w:hAnsiTheme="minorHAnsi" w:cstheme="minorHAnsi"/>
                <w:spacing w:val="-2"/>
                <w:szCs w:val="20"/>
              </w:rPr>
              <w:t xml:space="preserve"> </w:t>
            </w:r>
            <w:r w:rsidRPr="008579D2">
              <w:rPr>
                <w:rFonts w:asciiTheme="minorHAnsi" w:hAnsiTheme="minorHAnsi" w:cstheme="minorHAnsi"/>
                <w:szCs w:val="20"/>
              </w:rPr>
              <w:t>example,</w:t>
            </w:r>
            <w:r w:rsidRPr="008579D2">
              <w:rPr>
                <w:rFonts w:asciiTheme="minorHAnsi" w:hAnsiTheme="minorHAnsi" w:cstheme="minorHAnsi"/>
                <w:spacing w:val="-4"/>
                <w:szCs w:val="20"/>
              </w:rPr>
              <w:t xml:space="preserve"> </w:t>
            </w:r>
            <w:r w:rsidRPr="008579D2">
              <w:rPr>
                <w:rFonts w:asciiTheme="minorHAnsi" w:hAnsiTheme="minorHAnsi" w:cstheme="minorHAnsi"/>
                <w:szCs w:val="20"/>
              </w:rPr>
              <w:t>withholding</w:t>
            </w:r>
            <w:r w:rsidRPr="008579D2">
              <w:rPr>
                <w:rFonts w:asciiTheme="minorHAnsi" w:hAnsiTheme="minorHAnsi" w:cstheme="minorHAnsi"/>
                <w:spacing w:val="-3"/>
                <w:szCs w:val="20"/>
              </w:rPr>
              <w:t xml:space="preserve"> </w:t>
            </w:r>
            <w:r w:rsidRPr="008579D2">
              <w:rPr>
                <w:rFonts w:asciiTheme="minorHAnsi" w:hAnsiTheme="minorHAnsi" w:cstheme="minorHAnsi"/>
                <w:szCs w:val="20"/>
              </w:rPr>
              <w:t>personal</w:t>
            </w:r>
            <w:r w:rsidRPr="008579D2">
              <w:rPr>
                <w:rFonts w:asciiTheme="minorHAnsi" w:hAnsiTheme="minorHAnsi" w:cstheme="minorHAnsi"/>
                <w:spacing w:val="-2"/>
                <w:szCs w:val="20"/>
              </w:rPr>
              <w:t xml:space="preserve"> </w:t>
            </w:r>
            <w:r w:rsidRPr="008579D2">
              <w:rPr>
                <w:rFonts w:asciiTheme="minorHAnsi" w:hAnsiTheme="minorHAnsi" w:cstheme="minorHAnsi"/>
                <w:szCs w:val="20"/>
              </w:rPr>
              <w:t>care,</w:t>
            </w:r>
            <w:r w:rsidRPr="008579D2">
              <w:rPr>
                <w:rFonts w:asciiTheme="minorHAnsi" w:hAnsiTheme="minorHAnsi" w:cstheme="minorHAnsi"/>
                <w:spacing w:val="-1"/>
                <w:szCs w:val="20"/>
              </w:rPr>
              <w:t xml:space="preserve"> </w:t>
            </w:r>
            <w:r w:rsidRPr="008579D2">
              <w:rPr>
                <w:rFonts w:asciiTheme="minorHAnsi" w:hAnsiTheme="minorHAnsi" w:cstheme="minorHAnsi"/>
                <w:szCs w:val="20"/>
              </w:rPr>
              <w:t>untreated</w:t>
            </w:r>
            <w:r w:rsidRPr="008579D2">
              <w:rPr>
                <w:rFonts w:asciiTheme="minorHAnsi" w:hAnsiTheme="minorHAnsi" w:cstheme="minorHAnsi"/>
                <w:spacing w:val="-4"/>
                <w:szCs w:val="20"/>
              </w:rPr>
              <w:t xml:space="preserve"> </w:t>
            </w:r>
            <w:r w:rsidRPr="008579D2">
              <w:rPr>
                <w:rFonts w:asciiTheme="minorHAnsi" w:hAnsiTheme="minorHAnsi" w:cstheme="minorHAnsi"/>
                <w:szCs w:val="20"/>
              </w:rPr>
              <w:t>wounds,</w:t>
            </w:r>
            <w:r w:rsidRPr="008579D2">
              <w:rPr>
                <w:rFonts w:asciiTheme="minorHAnsi" w:hAnsiTheme="minorHAnsi" w:cstheme="minorHAnsi"/>
                <w:spacing w:val="-2"/>
                <w:szCs w:val="20"/>
              </w:rPr>
              <w:t xml:space="preserve"> </w:t>
            </w:r>
            <w:r w:rsidRPr="008579D2">
              <w:rPr>
                <w:rFonts w:asciiTheme="minorHAnsi" w:hAnsiTheme="minorHAnsi" w:cstheme="minorHAnsi"/>
                <w:szCs w:val="20"/>
              </w:rPr>
              <w:t>or insufficient assistance during meals</w:t>
            </w:r>
          </w:p>
        </w:tc>
        <w:tc>
          <w:tcPr>
            <w:tcW w:w="4704" w:type="dxa"/>
          </w:tcPr>
          <w:p w14:paraId="38F2A032" w14:textId="77777777" w:rsidR="00264770" w:rsidRPr="008579D2" w:rsidRDefault="00264770" w:rsidP="00A40FBE">
            <w:pPr>
              <w:tabs>
                <w:tab w:val="left" w:pos="589"/>
                <w:tab w:val="left" w:pos="590"/>
              </w:tabs>
              <w:spacing w:before="3" w:line="237" w:lineRule="auto"/>
              <w:ind w:right="907"/>
              <w:rPr>
                <w:rFonts w:asciiTheme="minorHAnsi" w:hAnsiTheme="minorHAnsi" w:cstheme="minorHAnsi"/>
                <w:i/>
                <w:iCs/>
                <w:szCs w:val="20"/>
              </w:rPr>
            </w:pPr>
            <w:r w:rsidRPr="008579D2">
              <w:rPr>
                <w:rFonts w:asciiTheme="minorHAnsi" w:hAnsiTheme="minorHAnsi" w:cstheme="minorHAnsi"/>
                <w:i/>
                <w:iCs/>
                <w:szCs w:val="20"/>
              </w:rPr>
              <w:t>Same as the residential setting other than in the circumstances outlined below</w:t>
            </w:r>
          </w:p>
          <w:p w14:paraId="2B26A6CC" w14:textId="1ACC26BD" w:rsidR="00264770" w:rsidRPr="008579D2" w:rsidRDefault="00BA71D2" w:rsidP="00A40FBE">
            <w:pPr>
              <w:tabs>
                <w:tab w:val="left" w:pos="589"/>
                <w:tab w:val="left" w:pos="590"/>
              </w:tabs>
              <w:spacing w:before="3" w:line="237" w:lineRule="auto"/>
              <w:ind w:right="907"/>
              <w:rPr>
                <w:rFonts w:asciiTheme="minorHAnsi" w:hAnsiTheme="minorHAnsi" w:cstheme="minorHAnsi"/>
                <w:szCs w:val="20"/>
              </w:rPr>
            </w:pPr>
            <w:r>
              <w:rPr>
                <w:rFonts w:asciiTheme="minorHAnsi" w:hAnsiTheme="minorHAnsi" w:cstheme="minorHAnsi"/>
                <w:szCs w:val="20"/>
              </w:rPr>
              <w:t>I</w:t>
            </w:r>
            <w:r w:rsidR="00264770" w:rsidRPr="008579D2">
              <w:rPr>
                <w:rFonts w:asciiTheme="minorHAnsi" w:hAnsiTheme="minorHAnsi" w:cstheme="minorHAnsi"/>
                <w:szCs w:val="20"/>
              </w:rPr>
              <w:t>t is not a reportable incident</w:t>
            </w:r>
            <w:r>
              <w:rPr>
                <w:rFonts w:asciiTheme="minorHAnsi" w:hAnsiTheme="minorHAnsi" w:cstheme="minorHAnsi"/>
                <w:szCs w:val="20"/>
              </w:rPr>
              <w:t>, however,</w:t>
            </w:r>
            <w:r w:rsidR="00264770" w:rsidRPr="008579D2">
              <w:rPr>
                <w:rFonts w:asciiTheme="minorHAnsi" w:hAnsiTheme="minorHAnsi" w:cstheme="minorHAnsi"/>
                <w:szCs w:val="20"/>
              </w:rPr>
              <w:t xml:space="preserve"> if it results from a choice by the care recipient about the care or services offered by the service provider (e.g. if a care recipient with diabetes refuses to eat a diabetic diet </w:t>
            </w:r>
            <w:r w:rsidR="00264770" w:rsidRPr="008579D2">
              <w:rPr>
                <w:rFonts w:asciiTheme="minorHAnsi" w:hAnsiTheme="minorHAnsi" w:cstheme="minorHAnsi"/>
                <w:szCs w:val="20"/>
              </w:rPr>
              <w:lastRenderedPageBreak/>
              <w:t xml:space="preserve">and as a result develops a wound with poor healing prognosis). </w:t>
            </w:r>
          </w:p>
          <w:p w14:paraId="2F2437EF" w14:textId="77777777" w:rsidR="00264770" w:rsidRPr="008579D2" w:rsidRDefault="00264770" w:rsidP="00A40FBE">
            <w:pPr>
              <w:tabs>
                <w:tab w:val="left" w:pos="589"/>
                <w:tab w:val="left" w:pos="590"/>
              </w:tabs>
              <w:spacing w:before="3" w:line="237" w:lineRule="auto"/>
              <w:ind w:right="907"/>
              <w:rPr>
                <w:rFonts w:asciiTheme="minorHAnsi" w:hAnsiTheme="minorHAnsi" w:cstheme="minorHAnsi"/>
                <w:szCs w:val="20"/>
              </w:rPr>
            </w:pPr>
            <w:r w:rsidRPr="008579D2">
              <w:rPr>
                <w:rFonts w:asciiTheme="minorHAnsi" w:hAnsiTheme="minorHAnsi" w:cstheme="minorHAnsi"/>
                <w:szCs w:val="20"/>
              </w:rPr>
              <w:t>Details of the care recipient’s choice or refusal, as well as details of any discussions or actual or attempted interventions, should be recorded in the care recipient’s care plan.</w:t>
            </w:r>
          </w:p>
        </w:tc>
      </w:tr>
      <w:tr w:rsidR="00264770" w:rsidRPr="008579D2" w14:paraId="1013721A" w14:textId="77777777" w:rsidTr="00A40FBE">
        <w:tc>
          <w:tcPr>
            <w:tcW w:w="4704" w:type="dxa"/>
          </w:tcPr>
          <w:p w14:paraId="7CE3CA65" w14:textId="77777777" w:rsidR="00264770" w:rsidRPr="008579D2" w:rsidRDefault="00264770" w:rsidP="00A40FBE">
            <w:pPr>
              <w:tabs>
                <w:tab w:val="left" w:pos="590"/>
              </w:tabs>
              <w:ind w:right="663"/>
              <w:rPr>
                <w:rFonts w:asciiTheme="minorHAnsi" w:hAnsiTheme="minorHAnsi" w:cstheme="minorHAnsi"/>
                <w:szCs w:val="20"/>
              </w:rPr>
            </w:pPr>
            <w:r w:rsidRPr="008579D2">
              <w:rPr>
                <w:rFonts w:asciiTheme="minorHAnsi" w:hAnsiTheme="minorHAnsi" w:cstheme="minorHAnsi"/>
                <w:b/>
                <w:szCs w:val="20"/>
              </w:rPr>
              <w:lastRenderedPageBreak/>
              <w:t>Unexplained</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absence</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from</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care</w:t>
            </w:r>
            <w:r w:rsidRPr="008579D2">
              <w:rPr>
                <w:rFonts w:asciiTheme="minorHAnsi" w:hAnsiTheme="minorHAnsi" w:cstheme="minorHAnsi"/>
                <w:b/>
                <w:spacing w:val="-3"/>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where</w:t>
            </w:r>
            <w:r w:rsidRPr="008579D2">
              <w:rPr>
                <w:rFonts w:asciiTheme="minorHAnsi" w:hAnsiTheme="minorHAnsi" w:cstheme="minorHAnsi"/>
                <w:spacing w:val="-1"/>
                <w:szCs w:val="20"/>
              </w:rPr>
              <w:t xml:space="preserve"> </w:t>
            </w:r>
            <w:r w:rsidRPr="008579D2">
              <w:rPr>
                <w:rFonts w:asciiTheme="minorHAnsi" w:hAnsiTheme="minorHAnsi" w:cstheme="minorHAnsi"/>
                <w:szCs w:val="20"/>
              </w:rPr>
              <w:t>the</w:t>
            </w:r>
            <w:r w:rsidRPr="008579D2">
              <w:rPr>
                <w:rFonts w:asciiTheme="minorHAnsi" w:hAnsiTheme="minorHAnsi" w:cstheme="minorHAnsi"/>
                <w:spacing w:val="-1"/>
                <w:szCs w:val="20"/>
              </w:rPr>
              <w:t xml:space="preserve"> </w:t>
            </w:r>
            <w:r w:rsidRPr="008579D2">
              <w:rPr>
                <w:rFonts w:asciiTheme="minorHAnsi" w:hAnsiTheme="minorHAnsi" w:cstheme="minorHAnsi"/>
                <w:szCs w:val="20"/>
              </w:rPr>
              <w:t>care recipient</w:t>
            </w:r>
            <w:r w:rsidRPr="008579D2">
              <w:rPr>
                <w:rFonts w:asciiTheme="minorHAnsi" w:hAnsiTheme="minorHAnsi" w:cstheme="minorHAnsi"/>
                <w:spacing w:val="-2"/>
                <w:szCs w:val="20"/>
              </w:rPr>
              <w:t xml:space="preserve"> </w:t>
            </w:r>
            <w:r w:rsidRPr="008579D2">
              <w:rPr>
                <w:rFonts w:asciiTheme="minorHAnsi" w:hAnsiTheme="minorHAnsi" w:cstheme="minorHAnsi"/>
                <w:szCs w:val="20"/>
              </w:rPr>
              <w:t>is</w:t>
            </w:r>
            <w:r w:rsidRPr="008579D2">
              <w:rPr>
                <w:rFonts w:asciiTheme="minorHAnsi" w:hAnsiTheme="minorHAnsi" w:cstheme="minorHAnsi"/>
                <w:spacing w:val="-2"/>
                <w:szCs w:val="20"/>
              </w:rPr>
              <w:t xml:space="preserve"> </w:t>
            </w:r>
            <w:r w:rsidRPr="008579D2">
              <w:rPr>
                <w:rFonts w:asciiTheme="minorHAnsi" w:hAnsiTheme="minorHAnsi" w:cstheme="minorHAnsi"/>
                <w:szCs w:val="20"/>
              </w:rPr>
              <w:t>absent</w:t>
            </w:r>
            <w:r w:rsidRPr="008579D2">
              <w:rPr>
                <w:rFonts w:asciiTheme="minorHAnsi" w:hAnsiTheme="minorHAnsi" w:cstheme="minorHAnsi"/>
                <w:spacing w:val="-5"/>
                <w:szCs w:val="20"/>
              </w:rPr>
              <w:t xml:space="preserve"> </w:t>
            </w:r>
            <w:r w:rsidRPr="008579D2">
              <w:rPr>
                <w:rFonts w:asciiTheme="minorHAnsi" w:hAnsiTheme="minorHAnsi" w:cstheme="minorHAnsi"/>
                <w:szCs w:val="20"/>
              </w:rPr>
              <w:t>from</w:t>
            </w:r>
            <w:r w:rsidRPr="008579D2">
              <w:rPr>
                <w:rFonts w:asciiTheme="minorHAnsi" w:hAnsiTheme="minorHAnsi" w:cstheme="minorHAnsi"/>
                <w:spacing w:val="-3"/>
                <w:szCs w:val="20"/>
              </w:rPr>
              <w:t xml:space="preserve"> </w:t>
            </w:r>
            <w:r w:rsidRPr="008579D2">
              <w:rPr>
                <w:rFonts w:asciiTheme="minorHAnsi" w:hAnsiTheme="minorHAnsi" w:cstheme="minorHAnsi"/>
                <w:szCs w:val="20"/>
              </w:rPr>
              <w:t>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service</w:t>
            </w:r>
            <w:r w:rsidRPr="008579D2">
              <w:rPr>
                <w:rFonts w:asciiTheme="minorHAnsi" w:hAnsiTheme="minorHAnsi" w:cstheme="minorHAnsi"/>
                <w:spacing w:val="-4"/>
                <w:szCs w:val="20"/>
              </w:rPr>
              <w:t xml:space="preserve"> </w:t>
            </w:r>
            <w:r w:rsidRPr="008579D2">
              <w:rPr>
                <w:rFonts w:asciiTheme="minorHAnsi" w:hAnsiTheme="minorHAnsi" w:cstheme="minorHAnsi"/>
                <w:szCs w:val="20"/>
              </w:rPr>
              <w:t>without explanation and there are reasonable grounds to report the absence to the police</w:t>
            </w:r>
          </w:p>
        </w:tc>
        <w:tc>
          <w:tcPr>
            <w:tcW w:w="4704" w:type="dxa"/>
          </w:tcPr>
          <w:p w14:paraId="49D87529"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b/>
              </w:rPr>
              <w:t>Unexplained</w:t>
            </w:r>
            <w:r w:rsidRPr="008579D2">
              <w:rPr>
                <w:rFonts w:asciiTheme="minorHAnsi" w:hAnsiTheme="minorHAnsi" w:cstheme="minorHAnsi"/>
                <w:b/>
                <w:spacing w:val="-3"/>
              </w:rPr>
              <w:t xml:space="preserve"> </w:t>
            </w:r>
            <w:r w:rsidRPr="008579D2">
              <w:rPr>
                <w:rFonts w:asciiTheme="minorHAnsi" w:hAnsiTheme="minorHAnsi" w:cstheme="minorHAnsi"/>
                <w:b/>
              </w:rPr>
              <w:t>absence</w:t>
            </w:r>
            <w:r w:rsidRPr="008579D2">
              <w:rPr>
                <w:rFonts w:asciiTheme="minorHAnsi" w:hAnsiTheme="minorHAnsi" w:cstheme="minorHAnsi"/>
                <w:b/>
                <w:spacing w:val="-3"/>
              </w:rPr>
              <w:t xml:space="preserve"> </w:t>
            </w:r>
            <w:r w:rsidRPr="008579D2">
              <w:rPr>
                <w:rFonts w:asciiTheme="minorHAnsi" w:hAnsiTheme="minorHAnsi" w:cstheme="minorHAnsi"/>
                <w:b/>
              </w:rPr>
              <w:t>from</w:t>
            </w:r>
            <w:r w:rsidRPr="008579D2">
              <w:rPr>
                <w:rFonts w:asciiTheme="minorHAnsi" w:hAnsiTheme="minorHAnsi" w:cstheme="minorHAnsi"/>
                <w:b/>
                <w:spacing w:val="-4"/>
              </w:rPr>
              <w:t xml:space="preserve"> </w:t>
            </w:r>
            <w:r w:rsidRPr="008579D2">
              <w:rPr>
                <w:rFonts w:asciiTheme="minorHAnsi" w:hAnsiTheme="minorHAnsi" w:cstheme="minorHAnsi"/>
                <w:b/>
              </w:rPr>
              <w:t>care</w:t>
            </w:r>
            <w:r w:rsidRPr="008579D2">
              <w:rPr>
                <w:rFonts w:asciiTheme="minorHAnsi" w:hAnsiTheme="minorHAnsi" w:cstheme="minorHAnsi"/>
                <w:b/>
                <w:spacing w:val="-3"/>
              </w:rPr>
              <w:t xml:space="preserve"> </w:t>
            </w:r>
            <w:r w:rsidRPr="008579D2">
              <w:rPr>
                <w:rFonts w:asciiTheme="minorHAnsi" w:hAnsiTheme="minorHAnsi" w:cstheme="minorHAnsi"/>
              </w:rPr>
              <w:t>–</w:t>
            </w:r>
            <w:r w:rsidRPr="008579D2">
              <w:rPr>
                <w:rFonts w:asciiTheme="minorHAnsi" w:hAnsiTheme="minorHAnsi" w:cstheme="minorHAnsi"/>
                <w:spacing w:val="-1"/>
              </w:rPr>
              <w:t xml:space="preserve"> </w:t>
            </w:r>
            <w:r w:rsidRPr="008579D2">
              <w:rPr>
                <w:rFonts w:asciiTheme="minorHAnsi" w:hAnsiTheme="minorHAnsi" w:cstheme="minorHAnsi"/>
              </w:rPr>
              <w:t>where</w:t>
            </w:r>
            <w:r w:rsidRPr="008579D2">
              <w:rPr>
                <w:rFonts w:asciiTheme="minorHAnsi" w:hAnsiTheme="minorHAnsi" w:cstheme="minorHAnsi"/>
                <w:spacing w:val="-1"/>
              </w:rPr>
              <w:t xml:space="preserve"> </w:t>
            </w:r>
            <w:r w:rsidRPr="008579D2">
              <w:rPr>
                <w:rFonts w:asciiTheme="minorHAnsi" w:hAnsiTheme="minorHAnsi" w:cstheme="minorHAnsi"/>
              </w:rPr>
              <w:t>the</w:t>
            </w:r>
            <w:r w:rsidRPr="008579D2">
              <w:rPr>
                <w:rFonts w:asciiTheme="minorHAnsi" w:hAnsiTheme="minorHAnsi" w:cstheme="minorHAnsi"/>
                <w:spacing w:val="-1"/>
              </w:rPr>
              <w:t xml:space="preserve"> </w:t>
            </w:r>
            <w:r w:rsidRPr="008579D2">
              <w:rPr>
                <w:rFonts w:asciiTheme="minorHAnsi" w:hAnsiTheme="minorHAnsi" w:cstheme="minorHAnsi"/>
              </w:rPr>
              <w:t>care recipient</w:t>
            </w:r>
            <w:r w:rsidRPr="008579D2">
              <w:rPr>
                <w:rFonts w:asciiTheme="minorHAnsi" w:hAnsiTheme="minorHAnsi" w:cstheme="minorHAnsi"/>
                <w:spacing w:val="-2"/>
              </w:rPr>
              <w:t xml:space="preserve"> goes missing </w:t>
            </w:r>
            <w:proofErr w:type="gramStart"/>
            <w:r w:rsidRPr="008579D2">
              <w:rPr>
                <w:rFonts w:asciiTheme="minorHAnsi" w:hAnsiTheme="minorHAnsi" w:cstheme="minorHAnsi"/>
                <w:spacing w:val="-2"/>
              </w:rPr>
              <w:t>in the course of</w:t>
            </w:r>
            <w:proofErr w:type="gramEnd"/>
            <w:r w:rsidRPr="008579D2">
              <w:rPr>
                <w:rFonts w:asciiTheme="minorHAnsi" w:hAnsiTheme="minorHAnsi" w:cstheme="minorHAnsi"/>
                <w:spacing w:val="-2"/>
              </w:rPr>
              <w:t xml:space="preserve"> providing home care or flexible care provided in a community setting to the </w:t>
            </w:r>
            <w:r w:rsidRPr="008579D2">
              <w:rPr>
                <w:rFonts w:asciiTheme="minorHAnsi" w:hAnsiTheme="minorHAnsi" w:cstheme="minorHAnsi"/>
              </w:rPr>
              <w:t>care recipient</w:t>
            </w:r>
            <w:r w:rsidRPr="008579D2">
              <w:rPr>
                <w:rFonts w:asciiTheme="minorHAnsi" w:hAnsiTheme="minorHAnsi" w:cstheme="minorHAnsi"/>
                <w:spacing w:val="-2"/>
              </w:rPr>
              <w:t xml:space="preserve"> and there are reaso</w:t>
            </w:r>
            <w:r w:rsidRPr="008579D2">
              <w:rPr>
                <w:rFonts w:asciiTheme="minorHAnsi" w:hAnsiTheme="minorHAnsi" w:cstheme="minorHAnsi"/>
              </w:rPr>
              <w:t>nable grounds to report the absence to the police</w:t>
            </w:r>
          </w:p>
        </w:tc>
      </w:tr>
      <w:tr w:rsidR="00264770" w:rsidRPr="008579D2" w14:paraId="220C955F" w14:textId="77777777" w:rsidTr="00A40FBE">
        <w:tc>
          <w:tcPr>
            <w:tcW w:w="4704" w:type="dxa"/>
          </w:tcPr>
          <w:p w14:paraId="550CF881" w14:textId="77777777" w:rsidR="00264770" w:rsidRPr="008579D2" w:rsidRDefault="00264770" w:rsidP="00A40FBE">
            <w:pPr>
              <w:tabs>
                <w:tab w:val="left" w:pos="590"/>
              </w:tabs>
              <w:spacing w:before="1"/>
              <w:ind w:right="520"/>
              <w:rPr>
                <w:rFonts w:asciiTheme="minorHAnsi" w:hAnsiTheme="minorHAnsi" w:cstheme="minorHAnsi"/>
                <w:szCs w:val="20"/>
              </w:rPr>
            </w:pPr>
            <w:r w:rsidRPr="008579D2">
              <w:rPr>
                <w:rFonts w:asciiTheme="minorHAnsi" w:hAnsiTheme="minorHAnsi" w:cstheme="minorHAnsi"/>
                <w:b/>
                <w:szCs w:val="20"/>
              </w:rPr>
              <w:t>Unexpected</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death</w:t>
            </w:r>
            <w:r w:rsidRPr="008579D2">
              <w:rPr>
                <w:rFonts w:asciiTheme="minorHAnsi" w:hAnsiTheme="minorHAnsi" w:cstheme="minorHAnsi"/>
                <w:b/>
                <w:spacing w:val="-2"/>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including </w:t>
            </w:r>
            <w:r w:rsidRPr="008579D2">
              <w:rPr>
                <w:rFonts w:asciiTheme="minorHAnsi" w:hAnsiTheme="minorHAnsi" w:cstheme="minorHAnsi"/>
                <w:szCs w:val="20"/>
              </w:rPr>
              <w:t>where</w:t>
            </w:r>
            <w:r w:rsidRPr="008579D2">
              <w:rPr>
                <w:rFonts w:asciiTheme="minorHAnsi" w:hAnsiTheme="minorHAnsi" w:cstheme="minorHAnsi"/>
                <w:spacing w:val="-1"/>
                <w:szCs w:val="20"/>
              </w:rPr>
              <w:t xml:space="preserve"> </w:t>
            </w:r>
            <w:r w:rsidRPr="008579D2">
              <w:rPr>
                <w:rFonts w:asciiTheme="minorHAnsi" w:hAnsiTheme="minorHAnsi" w:cstheme="minorHAnsi"/>
                <w:szCs w:val="20"/>
              </w:rPr>
              <w:t>reasonable</w:t>
            </w:r>
            <w:r w:rsidRPr="008579D2">
              <w:rPr>
                <w:rFonts w:asciiTheme="minorHAnsi" w:hAnsiTheme="minorHAnsi" w:cstheme="minorHAnsi"/>
                <w:spacing w:val="-4"/>
                <w:szCs w:val="20"/>
              </w:rPr>
              <w:t xml:space="preserve"> </w:t>
            </w:r>
            <w:r w:rsidRPr="008579D2">
              <w:rPr>
                <w:rFonts w:asciiTheme="minorHAnsi" w:hAnsiTheme="minorHAnsi" w:cstheme="minorHAnsi"/>
                <w:szCs w:val="20"/>
              </w:rPr>
              <w:t>steps</w:t>
            </w:r>
            <w:r w:rsidRPr="008579D2">
              <w:rPr>
                <w:rFonts w:asciiTheme="minorHAnsi" w:hAnsiTheme="minorHAnsi" w:cstheme="minorHAnsi"/>
                <w:spacing w:val="-4"/>
                <w:szCs w:val="20"/>
              </w:rPr>
              <w:t xml:space="preserve"> </w:t>
            </w:r>
            <w:r w:rsidRPr="008579D2">
              <w:rPr>
                <w:rFonts w:asciiTheme="minorHAnsi" w:hAnsiTheme="minorHAnsi" w:cstheme="minorHAnsi"/>
                <w:szCs w:val="20"/>
              </w:rPr>
              <w:t>were</w:t>
            </w:r>
            <w:r w:rsidRPr="008579D2">
              <w:rPr>
                <w:rFonts w:asciiTheme="minorHAnsi" w:hAnsiTheme="minorHAnsi" w:cstheme="minorHAnsi"/>
                <w:spacing w:val="-1"/>
                <w:szCs w:val="20"/>
              </w:rPr>
              <w:t xml:space="preserve"> </w:t>
            </w:r>
            <w:r w:rsidRPr="008579D2">
              <w:rPr>
                <w:rFonts w:asciiTheme="minorHAnsi" w:hAnsiTheme="minorHAnsi" w:cstheme="minorHAnsi"/>
                <w:szCs w:val="20"/>
              </w:rPr>
              <w:t>not</w:t>
            </w:r>
            <w:r w:rsidRPr="008579D2">
              <w:rPr>
                <w:rFonts w:asciiTheme="minorHAnsi" w:hAnsiTheme="minorHAnsi" w:cstheme="minorHAnsi"/>
                <w:spacing w:val="-2"/>
                <w:szCs w:val="20"/>
              </w:rPr>
              <w:t xml:space="preserve"> </w:t>
            </w:r>
            <w:r w:rsidRPr="008579D2">
              <w:rPr>
                <w:rFonts w:asciiTheme="minorHAnsi" w:hAnsiTheme="minorHAnsi" w:cstheme="minorHAnsi"/>
                <w:szCs w:val="20"/>
              </w:rPr>
              <w:t>taken</w:t>
            </w:r>
            <w:r w:rsidRPr="008579D2">
              <w:rPr>
                <w:rFonts w:asciiTheme="minorHAnsi" w:hAnsiTheme="minorHAnsi" w:cstheme="minorHAnsi"/>
                <w:spacing w:val="-2"/>
                <w:szCs w:val="20"/>
              </w:rPr>
              <w:t xml:space="preserve"> </w:t>
            </w:r>
            <w:r w:rsidRPr="008579D2">
              <w:rPr>
                <w:rFonts w:asciiTheme="minorHAnsi" w:hAnsiTheme="minorHAnsi" w:cstheme="minorHAnsi"/>
                <w:szCs w:val="20"/>
              </w:rPr>
              <w:t>by</w:t>
            </w:r>
            <w:r w:rsidRPr="008579D2">
              <w:rPr>
                <w:rFonts w:asciiTheme="minorHAnsi" w:hAnsiTheme="minorHAnsi" w:cstheme="minorHAnsi"/>
                <w:spacing w:val="-4"/>
                <w:szCs w:val="20"/>
              </w:rPr>
              <w:t xml:space="preserve"> </w:t>
            </w:r>
            <w:r w:rsidRPr="008579D2">
              <w:rPr>
                <w:rFonts w:asciiTheme="minorHAnsi" w:hAnsiTheme="minorHAnsi" w:cstheme="minorHAnsi"/>
                <w:szCs w:val="20"/>
              </w:rPr>
              <w:t>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provider</w:t>
            </w:r>
            <w:r w:rsidRPr="008579D2">
              <w:rPr>
                <w:rFonts w:asciiTheme="minorHAnsi" w:hAnsiTheme="minorHAnsi" w:cstheme="minorHAnsi"/>
                <w:spacing w:val="-2"/>
                <w:szCs w:val="20"/>
              </w:rPr>
              <w:t xml:space="preserve"> </w:t>
            </w:r>
            <w:r w:rsidRPr="008579D2">
              <w:rPr>
                <w:rFonts w:asciiTheme="minorHAnsi" w:hAnsiTheme="minorHAnsi" w:cstheme="minorHAnsi"/>
                <w:szCs w:val="20"/>
              </w:rPr>
              <w:t>to</w:t>
            </w:r>
            <w:r w:rsidRPr="008579D2">
              <w:rPr>
                <w:rFonts w:asciiTheme="minorHAnsi" w:hAnsiTheme="minorHAnsi" w:cstheme="minorHAnsi"/>
                <w:spacing w:val="-1"/>
                <w:szCs w:val="20"/>
              </w:rPr>
              <w:t xml:space="preserve"> </w:t>
            </w:r>
            <w:r w:rsidRPr="008579D2">
              <w:rPr>
                <w:rFonts w:asciiTheme="minorHAnsi" w:hAnsiTheme="minorHAnsi" w:cstheme="minorHAnsi"/>
                <w:szCs w:val="20"/>
              </w:rPr>
              <w:t>prevent</w:t>
            </w:r>
            <w:r w:rsidRPr="008579D2">
              <w:rPr>
                <w:rFonts w:asciiTheme="minorHAnsi" w:hAnsiTheme="minorHAnsi" w:cstheme="minorHAnsi"/>
                <w:spacing w:val="-2"/>
                <w:szCs w:val="20"/>
              </w:rPr>
              <w:t xml:space="preserve"> </w:t>
            </w:r>
            <w:r w:rsidRPr="008579D2">
              <w:rPr>
                <w:rFonts w:asciiTheme="minorHAnsi" w:hAnsiTheme="minorHAnsi" w:cstheme="minorHAnsi"/>
                <w:szCs w:val="20"/>
              </w:rPr>
              <w:t>the death of a care recipient, or 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death is</w:t>
            </w:r>
            <w:r w:rsidRPr="008579D2">
              <w:rPr>
                <w:rFonts w:asciiTheme="minorHAnsi" w:hAnsiTheme="minorHAnsi" w:cstheme="minorHAnsi"/>
                <w:spacing w:val="-3"/>
                <w:szCs w:val="20"/>
              </w:rPr>
              <w:t xml:space="preserve"> </w:t>
            </w:r>
            <w:r w:rsidRPr="008579D2">
              <w:rPr>
                <w:rFonts w:asciiTheme="minorHAnsi" w:hAnsiTheme="minorHAnsi" w:cstheme="minorHAnsi"/>
                <w:szCs w:val="20"/>
              </w:rPr>
              <w:t>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result of</w:t>
            </w:r>
            <w:r w:rsidRPr="008579D2">
              <w:rPr>
                <w:rFonts w:asciiTheme="minorHAnsi" w:hAnsiTheme="minorHAnsi" w:cstheme="minorHAnsi"/>
                <w:spacing w:val="-2"/>
                <w:szCs w:val="20"/>
              </w:rPr>
              <w:t xml:space="preserve"> </w:t>
            </w:r>
            <w:r w:rsidRPr="008579D2">
              <w:rPr>
                <w:rFonts w:asciiTheme="minorHAnsi" w:hAnsiTheme="minorHAnsi" w:cstheme="minorHAnsi"/>
                <w:szCs w:val="20"/>
              </w:rPr>
              <w:t>care</w:t>
            </w:r>
            <w:r w:rsidRPr="008579D2">
              <w:rPr>
                <w:rFonts w:asciiTheme="minorHAnsi" w:hAnsiTheme="minorHAnsi" w:cstheme="minorHAnsi"/>
                <w:spacing w:val="-2"/>
                <w:szCs w:val="20"/>
              </w:rPr>
              <w:t xml:space="preserve"> </w:t>
            </w:r>
            <w:r w:rsidRPr="008579D2">
              <w:rPr>
                <w:rFonts w:asciiTheme="minorHAnsi" w:hAnsiTheme="minorHAnsi" w:cstheme="minorHAnsi"/>
                <w:szCs w:val="20"/>
              </w:rPr>
              <w:t>or services provided by the</w:t>
            </w:r>
            <w:r w:rsidRPr="008579D2">
              <w:rPr>
                <w:rFonts w:asciiTheme="minorHAnsi" w:hAnsiTheme="minorHAnsi" w:cstheme="minorHAnsi"/>
                <w:spacing w:val="-3"/>
                <w:szCs w:val="20"/>
              </w:rPr>
              <w:t xml:space="preserve"> </w:t>
            </w:r>
            <w:r w:rsidRPr="008579D2">
              <w:rPr>
                <w:rFonts w:asciiTheme="minorHAnsi" w:hAnsiTheme="minorHAnsi" w:cstheme="minorHAnsi"/>
                <w:szCs w:val="20"/>
              </w:rPr>
              <w:t>provider</w:t>
            </w:r>
            <w:r w:rsidRPr="008579D2">
              <w:rPr>
                <w:rFonts w:asciiTheme="minorHAnsi" w:hAnsiTheme="minorHAnsi" w:cstheme="minorHAnsi"/>
                <w:spacing w:val="-2"/>
                <w:szCs w:val="20"/>
              </w:rPr>
              <w:t xml:space="preserve"> </w:t>
            </w:r>
            <w:r w:rsidRPr="008579D2">
              <w:rPr>
                <w:rFonts w:asciiTheme="minorHAnsi" w:hAnsiTheme="minorHAnsi" w:cstheme="minorHAnsi"/>
                <w:szCs w:val="20"/>
              </w:rPr>
              <w:t>or a</w:t>
            </w:r>
            <w:r w:rsidRPr="008579D2">
              <w:rPr>
                <w:rFonts w:asciiTheme="minorHAnsi" w:hAnsiTheme="minorHAnsi" w:cstheme="minorHAnsi"/>
                <w:spacing w:val="-3"/>
                <w:szCs w:val="20"/>
              </w:rPr>
              <w:t xml:space="preserve"> </w:t>
            </w:r>
            <w:r w:rsidRPr="008579D2">
              <w:rPr>
                <w:rFonts w:asciiTheme="minorHAnsi" w:hAnsiTheme="minorHAnsi" w:cstheme="minorHAnsi"/>
                <w:szCs w:val="20"/>
              </w:rPr>
              <w:t>failure by the provider to provide care and services</w:t>
            </w:r>
          </w:p>
        </w:tc>
        <w:tc>
          <w:tcPr>
            <w:tcW w:w="4704" w:type="dxa"/>
          </w:tcPr>
          <w:p w14:paraId="6DA65B61" w14:textId="77777777" w:rsidR="00264770" w:rsidRPr="008579D2" w:rsidRDefault="00264770" w:rsidP="00A40FBE">
            <w:pPr>
              <w:tabs>
                <w:tab w:val="left" w:pos="590"/>
              </w:tabs>
              <w:ind w:right="663"/>
              <w:rPr>
                <w:rFonts w:asciiTheme="minorHAnsi" w:hAnsiTheme="minorHAnsi" w:cstheme="minorHAnsi"/>
                <w:szCs w:val="20"/>
              </w:rPr>
            </w:pPr>
            <w:r w:rsidRPr="008579D2">
              <w:rPr>
                <w:rFonts w:asciiTheme="minorHAnsi" w:hAnsiTheme="minorHAnsi" w:cstheme="minorHAnsi"/>
                <w:b/>
                <w:szCs w:val="20"/>
              </w:rPr>
              <w:t xml:space="preserve">Unexpected death </w:t>
            </w:r>
            <w:r w:rsidRPr="008579D2">
              <w:rPr>
                <w:rFonts w:asciiTheme="minorHAnsi" w:hAnsiTheme="minorHAnsi" w:cstheme="minorHAnsi"/>
                <w:bCs/>
                <w:szCs w:val="20"/>
              </w:rPr>
              <w:t xml:space="preserve">– including where the death of a </w:t>
            </w:r>
            <w:r w:rsidRPr="008579D2">
              <w:rPr>
                <w:rFonts w:asciiTheme="minorHAnsi" w:hAnsiTheme="minorHAnsi" w:cstheme="minorHAnsi"/>
                <w:szCs w:val="20"/>
              </w:rPr>
              <w:t>care recipient</w:t>
            </w:r>
            <w:r w:rsidRPr="008579D2">
              <w:rPr>
                <w:rFonts w:asciiTheme="minorHAnsi" w:hAnsiTheme="minorHAnsi" w:cstheme="minorHAnsi"/>
                <w:bCs/>
                <w:szCs w:val="20"/>
              </w:rPr>
              <w:t xml:space="preserve"> is the result of care or services provided by the provider, or a failure by the provider to provide care and services</w:t>
            </w:r>
          </w:p>
        </w:tc>
      </w:tr>
      <w:tr w:rsidR="00264770" w:rsidRPr="008579D2" w14:paraId="45E8E7F5" w14:textId="77777777" w:rsidTr="00A40FBE">
        <w:trPr>
          <w:trHeight w:val="3268"/>
        </w:trPr>
        <w:tc>
          <w:tcPr>
            <w:tcW w:w="4704" w:type="dxa"/>
          </w:tcPr>
          <w:p w14:paraId="57CB1E2C" w14:textId="77777777" w:rsidR="00264770" w:rsidRPr="00B56BE0" w:rsidRDefault="00264770" w:rsidP="00A40FBE">
            <w:pPr>
              <w:tabs>
                <w:tab w:val="left" w:pos="590"/>
              </w:tabs>
              <w:ind w:right="878"/>
              <w:rPr>
                <w:rFonts w:asciiTheme="minorHAnsi" w:hAnsiTheme="minorHAnsi" w:cstheme="minorHAnsi"/>
                <w:szCs w:val="20"/>
              </w:rPr>
            </w:pPr>
            <w:r w:rsidRPr="008579D2">
              <w:rPr>
                <w:rFonts w:asciiTheme="minorHAnsi" w:hAnsiTheme="minorHAnsi" w:cstheme="minorHAnsi"/>
                <w:b/>
                <w:szCs w:val="20"/>
              </w:rPr>
              <w:t>Inappropriate</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use</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of</w:t>
            </w:r>
            <w:r w:rsidRPr="008579D2">
              <w:rPr>
                <w:rFonts w:asciiTheme="minorHAnsi" w:hAnsiTheme="minorHAnsi" w:cstheme="minorHAnsi"/>
                <w:b/>
                <w:spacing w:val="-2"/>
                <w:szCs w:val="20"/>
              </w:rPr>
              <w:t xml:space="preserve"> </w:t>
            </w:r>
            <w:hyperlink r:id="rId43">
              <w:r w:rsidRPr="00B56BE0">
                <w:rPr>
                  <w:rFonts w:asciiTheme="minorHAnsi" w:hAnsiTheme="minorHAnsi" w:cstheme="minorHAnsi"/>
                  <w:b/>
                  <w:color w:val="0000FF"/>
                  <w:szCs w:val="20"/>
                  <w:u w:val="single" w:color="0000FF"/>
                </w:rPr>
                <w:t>restrictive</w:t>
              </w:r>
              <w:r w:rsidRPr="00B56BE0">
                <w:rPr>
                  <w:rFonts w:asciiTheme="minorHAnsi" w:hAnsiTheme="minorHAnsi" w:cstheme="minorHAnsi"/>
                  <w:b/>
                  <w:color w:val="0000FF"/>
                  <w:spacing w:val="-3"/>
                  <w:szCs w:val="20"/>
                  <w:u w:val="single" w:color="0000FF"/>
                </w:rPr>
                <w:t xml:space="preserve"> </w:t>
              </w:r>
              <w:r w:rsidRPr="00B56BE0">
                <w:rPr>
                  <w:rFonts w:asciiTheme="minorHAnsi" w:hAnsiTheme="minorHAnsi" w:cstheme="minorHAnsi"/>
                  <w:b/>
                  <w:color w:val="0000FF"/>
                  <w:szCs w:val="20"/>
                  <w:u w:val="single" w:color="0000FF"/>
                </w:rPr>
                <w:t>practices</w:t>
              </w:r>
            </w:hyperlink>
            <w:r w:rsidRPr="00B56BE0">
              <w:rPr>
                <w:rFonts w:asciiTheme="minorHAnsi" w:hAnsiTheme="minorHAnsi" w:cstheme="minorHAnsi"/>
                <w:b/>
                <w:color w:val="0000FF"/>
                <w:spacing w:val="-2"/>
                <w:szCs w:val="20"/>
              </w:rPr>
              <w:t xml:space="preserve"> </w:t>
            </w:r>
            <w:r w:rsidRPr="00B56BE0">
              <w:rPr>
                <w:rFonts w:asciiTheme="minorHAnsi" w:hAnsiTheme="minorHAnsi" w:cstheme="minorHAnsi"/>
                <w:szCs w:val="20"/>
              </w:rPr>
              <w:t>–</w:t>
            </w:r>
            <w:r w:rsidRPr="00B56BE0">
              <w:rPr>
                <w:rFonts w:asciiTheme="minorHAnsi" w:hAnsiTheme="minorHAnsi" w:cstheme="minorHAnsi"/>
                <w:spacing w:val="-4"/>
                <w:szCs w:val="20"/>
              </w:rPr>
              <w:t xml:space="preserve"> </w:t>
            </w:r>
            <w:r w:rsidRPr="00B56BE0">
              <w:rPr>
                <w:rFonts w:asciiTheme="minorHAnsi" w:hAnsiTheme="minorHAnsi" w:cstheme="minorHAnsi"/>
                <w:szCs w:val="20"/>
              </w:rPr>
              <w:t>where</w:t>
            </w:r>
            <w:r w:rsidRPr="00B56BE0">
              <w:rPr>
                <w:rFonts w:asciiTheme="minorHAnsi" w:hAnsiTheme="minorHAnsi" w:cstheme="minorHAnsi"/>
                <w:spacing w:val="-4"/>
                <w:szCs w:val="20"/>
              </w:rPr>
              <w:t xml:space="preserve"> a restrictive practice</w:t>
            </w:r>
            <w:r w:rsidRPr="00B56BE0">
              <w:rPr>
                <w:rFonts w:asciiTheme="minorHAnsi" w:hAnsiTheme="minorHAnsi" w:cstheme="minorHAnsi"/>
                <w:spacing w:val="-1"/>
                <w:szCs w:val="20"/>
              </w:rPr>
              <w:t xml:space="preserve"> </w:t>
            </w:r>
            <w:r w:rsidRPr="00B56BE0">
              <w:rPr>
                <w:rFonts w:asciiTheme="minorHAnsi" w:hAnsiTheme="minorHAnsi" w:cstheme="minorHAnsi"/>
                <w:szCs w:val="20"/>
              </w:rPr>
              <w:t>is</w:t>
            </w:r>
            <w:r w:rsidRPr="00B56BE0">
              <w:rPr>
                <w:rFonts w:asciiTheme="minorHAnsi" w:hAnsiTheme="minorHAnsi" w:cstheme="minorHAnsi"/>
                <w:spacing w:val="-5"/>
                <w:szCs w:val="20"/>
              </w:rPr>
              <w:t xml:space="preserve"> </w:t>
            </w:r>
            <w:r w:rsidRPr="00B56BE0">
              <w:rPr>
                <w:rFonts w:asciiTheme="minorHAnsi" w:hAnsiTheme="minorHAnsi" w:cstheme="minorHAnsi"/>
                <w:szCs w:val="20"/>
              </w:rPr>
              <w:t>used</w:t>
            </w:r>
            <w:r w:rsidRPr="00B56BE0">
              <w:rPr>
                <w:rFonts w:asciiTheme="minorHAnsi" w:hAnsiTheme="minorHAnsi" w:cstheme="minorHAnsi"/>
                <w:spacing w:val="-2"/>
                <w:szCs w:val="20"/>
              </w:rPr>
              <w:t xml:space="preserve"> </w:t>
            </w:r>
            <w:r w:rsidRPr="00B56BE0">
              <w:rPr>
                <w:rFonts w:asciiTheme="minorHAnsi" w:hAnsiTheme="minorHAnsi" w:cstheme="minorHAnsi"/>
                <w:szCs w:val="20"/>
              </w:rPr>
              <w:t>in</w:t>
            </w:r>
            <w:r w:rsidRPr="00B56BE0">
              <w:rPr>
                <w:rFonts w:asciiTheme="minorHAnsi" w:hAnsiTheme="minorHAnsi" w:cstheme="minorHAnsi"/>
                <w:spacing w:val="-3"/>
                <w:szCs w:val="20"/>
              </w:rPr>
              <w:t xml:space="preserve"> </w:t>
            </w:r>
            <w:r w:rsidRPr="00B56BE0">
              <w:rPr>
                <w:rFonts w:asciiTheme="minorHAnsi" w:hAnsiTheme="minorHAnsi" w:cstheme="minorHAnsi"/>
                <w:szCs w:val="20"/>
              </w:rPr>
              <w:t>relation</w:t>
            </w:r>
            <w:r w:rsidRPr="00B56BE0">
              <w:rPr>
                <w:rFonts w:asciiTheme="minorHAnsi" w:hAnsiTheme="minorHAnsi" w:cstheme="minorHAnsi"/>
                <w:spacing w:val="-5"/>
                <w:szCs w:val="20"/>
              </w:rPr>
              <w:t xml:space="preserve"> </w:t>
            </w:r>
            <w:r w:rsidRPr="00B56BE0">
              <w:rPr>
                <w:rFonts w:asciiTheme="minorHAnsi" w:hAnsiTheme="minorHAnsi" w:cstheme="minorHAnsi"/>
                <w:szCs w:val="20"/>
              </w:rPr>
              <w:t>to</w:t>
            </w:r>
            <w:r w:rsidRPr="00B56BE0">
              <w:rPr>
                <w:rFonts w:asciiTheme="minorHAnsi" w:hAnsiTheme="minorHAnsi" w:cstheme="minorHAnsi"/>
                <w:spacing w:val="-3"/>
                <w:szCs w:val="20"/>
              </w:rPr>
              <w:t xml:space="preserve"> </w:t>
            </w:r>
            <w:r w:rsidRPr="00B56BE0">
              <w:rPr>
                <w:rFonts w:asciiTheme="minorHAnsi" w:hAnsiTheme="minorHAnsi" w:cstheme="minorHAnsi"/>
                <w:szCs w:val="20"/>
              </w:rPr>
              <w:t>a</w:t>
            </w:r>
            <w:r w:rsidRPr="00B56BE0">
              <w:rPr>
                <w:rFonts w:asciiTheme="minorHAnsi" w:hAnsiTheme="minorHAnsi" w:cstheme="minorHAnsi"/>
                <w:spacing w:val="-2"/>
                <w:szCs w:val="20"/>
              </w:rPr>
              <w:t xml:space="preserve"> </w:t>
            </w:r>
            <w:r w:rsidRPr="00B56BE0">
              <w:rPr>
                <w:rFonts w:asciiTheme="minorHAnsi" w:hAnsiTheme="minorHAnsi" w:cstheme="minorHAnsi"/>
                <w:szCs w:val="20"/>
              </w:rPr>
              <w:t>care recipient and is not in accordance with specific requirements such as the requirement to:</w:t>
            </w:r>
          </w:p>
          <w:p w14:paraId="265174D3" w14:textId="24E2B0FB" w:rsidR="00264770" w:rsidRPr="00B56BE0" w:rsidRDefault="00264770" w:rsidP="00264770">
            <w:pPr>
              <w:pStyle w:val="ListParagraph"/>
              <w:widowControl w:val="0"/>
              <w:numPr>
                <w:ilvl w:val="2"/>
                <w:numId w:val="38"/>
              </w:numPr>
              <w:tabs>
                <w:tab w:val="left" w:pos="310"/>
              </w:tabs>
              <w:autoSpaceDE w:val="0"/>
              <w:autoSpaceDN w:val="0"/>
              <w:spacing w:before="0" w:after="0" w:line="272" w:lineRule="exact"/>
              <w:ind w:left="310" w:hanging="310"/>
              <w:contextualSpacing w:val="0"/>
              <w:jc w:val="both"/>
              <w:rPr>
                <w:rFonts w:asciiTheme="minorHAnsi" w:hAnsiTheme="minorHAnsi" w:cstheme="minorHAnsi"/>
                <w:szCs w:val="20"/>
              </w:rPr>
            </w:pPr>
            <w:r w:rsidRPr="00B56BE0">
              <w:rPr>
                <w:rFonts w:asciiTheme="minorHAnsi" w:hAnsiTheme="minorHAnsi" w:cstheme="minorHAnsi"/>
                <w:szCs w:val="20"/>
              </w:rPr>
              <w:t>use the restrictive practice only as a last resort to prevent harm to the care recipient or other persons</w:t>
            </w:r>
            <w:r w:rsidR="00BA71D2">
              <w:rPr>
                <w:rFonts w:asciiTheme="minorHAnsi" w:hAnsiTheme="minorHAnsi" w:cstheme="minorHAnsi"/>
                <w:szCs w:val="20"/>
              </w:rPr>
              <w:t>; and</w:t>
            </w:r>
          </w:p>
          <w:p w14:paraId="1DFB7947" w14:textId="1F407137" w:rsidR="00264770" w:rsidRPr="00B56BE0" w:rsidRDefault="00264770" w:rsidP="00264770">
            <w:pPr>
              <w:pStyle w:val="ListParagraph"/>
              <w:widowControl w:val="0"/>
              <w:numPr>
                <w:ilvl w:val="2"/>
                <w:numId w:val="38"/>
              </w:numPr>
              <w:tabs>
                <w:tab w:val="left" w:pos="310"/>
              </w:tabs>
              <w:autoSpaceDE w:val="0"/>
              <w:autoSpaceDN w:val="0"/>
              <w:spacing w:before="0" w:after="0" w:line="272" w:lineRule="exact"/>
              <w:ind w:left="310" w:hanging="310"/>
              <w:contextualSpacing w:val="0"/>
              <w:jc w:val="both"/>
              <w:rPr>
                <w:rFonts w:asciiTheme="minorHAnsi" w:hAnsiTheme="minorHAnsi" w:cstheme="minorHAnsi"/>
                <w:szCs w:val="20"/>
              </w:rPr>
            </w:pPr>
            <w:r w:rsidRPr="00B56BE0">
              <w:rPr>
                <w:rFonts w:asciiTheme="minorHAnsi" w:hAnsiTheme="minorHAnsi" w:cstheme="minorHAnsi"/>
                <w:szCs w:val="20"/>
              </w:rPr>
              <w:t>only use the</w:t>
            </w:r>
            <w:r w:rsidRPr="00B56BE0">
              <w:rPr>
                <w:rFonts w:asciiTheme="minorHAnsi" w:hAnsiTheme="minorHAnsi" w:cstheme="minorHAnsi"/>
                <w:spacing w:val="-5"/>
                <w:szCs w:val="20"/>
              </w:rPr>
              <w:t xml:space="preserve"> </w:t>
            </w:r>
            <w:r w:rsidRPr="00B56BE0">
              <w:rPr>
                <w:rFonts w:asciiTheme="minorHAnsi" w:hAnsiTheme="minorHAnsi" w:cstheme="minorHAnsi"/>
                <w:szCs w:val="20"/>
              </w:rPr>
              <w:t>restrictive</w:t>
            </w:r>
            <w:r w:rsidRPr="00B56BE0">
              <w:rPr>
                <w:rFonts w:asciiTheme="minorHAnsi" w:hAnsiTheme="minorHAnsi" w:cstheme="minorHAnsi"/>
                <w:spacing w:val="-2"/>
                <w:szCs w:val="20"/>
              </w:rPr>
              <w:t xml:space="preserve"> </w:t>
            </w:r>
            <w:r w:rsidRPr="00B56BE0">
              <w:rPr>
                <w:rFonts w:asciiTheme="minorHAnsi" w:hAnsiTheme="minorHAnsi" w:cstheme="minorHAnsi"/>
                <w:szCs w:val="20"/>
              </w:rPr>
              <w:t>practice</w:t>
            </w:r>
            <w:r w:rsidRPr="00B56BE0">
              <w:rPr>
                <w:rFonts w:asciiTheme="minorHAnsi" w:hAnsiTheme="minorHAnsi" w:cstheme="minorHAnsi"/>
                <w:spacing w:val="-4"/>
                <w:szCs w:val="20"/>
              </w:rPr>
              <w:t xml:space="preserve"> </w:t>
            </w:r>
            <w:r w:rsidRPr="00B56BE0">
              <w:rPr>
                <w:rFonts w:asciiTheme="minorHAnsi" w:hAnsiTheme="minorHAnsi" w:cstheme="minorHAnsi"/>
                <w:szCs w:val="20"/>
              </w:rPr>
              <w:t>with the</w:t>
            </w:r>
            <w:r w:rsidRPr="00B56BE0">
              <w:rPr>
                <w:rFonts w:asciiTheme="minorHAnsi" w:hAnsiTheme="minorHAnsi" w:cstheme="minorHAnsi"/>
                <w:spacing w:val="-4"/>
                <w:szCs w:val="20"/>
              </w:rPr>
              <w:t xml:space="preserve"> </w:t>
            </w:r>
            <w:r w:rsidRPr="00B56BE0">
              <w:rPr>
                <w:rFonts w:asciiTheme="minorHAnsi" w:hAnsiTheme="minorHAnsi" w:cstheme="minorHAnsi"/>
                <w:szCs w:val="20"/>
              </w:rPr>
              <w:t>prior</w:t>
            </w:r>
            <w:r w:rsidRPr="00B56BE0">
              <w:rPr>
                <w:rFonts w:asciiTheme="minorHAnsi" w:hAnsiTheme="minorHAnsi" w:cstheme="minorHAnsi"/>
                <w:spacing w:val="-5"/>
                <w:szCs w:val="20"/>
              </w:rPr>
              <w:t xml:space="preserve"> </w:t>
            </w:r>
            <w:r w:rsidRPr="00B56BE0">
              <w:rPr>
                <w:rFonts w:asciiTheme="minorHAnsi" w:hAnsiTheme="minorHAnsi" w:cstheme="minorHAnsi"/>
                <w:szCs w:val="20"/>
              </w:rPr>
              <w:t>consent from the care recipient or their representative unless it is in an emergency</w:t>
            </w:r>
            <w:r w:rsidR="00BA71D2">
              <w:rPr>
                <w:rFonts w:asciiTheme="minorHAnsi" w:hAnsiTheme="minorHAnsi" w:cstheme="minorHAnsi"/>
                <w:szCs w:val="20"/>
              </w:rPr>
              <w:t>.</w:t>
            </w:r>
          </w:p>
        </w:tc>
        <w:tc>
          <w:tcPr>
            <w:tcW w:w="4704" w:type="dxa"/>
          </w:tcPr>
          <w:p w14:paraId="53685C3A" w14:textId="77777777" w:rsidR="00264770" w:rsidRPr="00B56BE0" w:rsidRDefault="00264770" w:rsidP="00A40FBE">
            <w:pPr>
              <w:tabs>
                <w:tab w:val="left" w:pos="590"/>
              </w:tabs>
              <w:ind w:right="878"/>
              <w:rPr>
                <w:rFonts w:asciiTheme="minorHAnsi" w:hAnsiTheme="minorHAnsi" w:cstheme="minorHAnsi"/>
                <w:spacing w:val="-4"/>
                <w:szCs w:val="20"/>
              </w:rPr>
            </w:pPr>
            <w:r w:rsidRPr="00B56BE0">
              <w:rPr>
                <w:rFonts w:asciiTheme="minorHAnsi" w:hAnsiTheme="minorHAnsi" w:cstheme="minorHAnsi"/>
                <w:b/>
                <w:szCs w:val="20"/>
              </w:rPr>
              <w:t>Inappropriate</w:t>
            </w:r>
            <w:r w:rsidRPr="00B56BE0">
              <w:rPr>
                <w:rFonts w:asciiTheme="minorHAnsi" w:hAnsiTheme="minorHAnsi" w:cstheme="minorHAnsi"/>
                <w:b/>
                <w:spacing w:val="-2"/>
                <w:szCs w:val="20"/>
              </w:rPr>
              <w:t xml:space="preserve"> </w:t>
            </w:r>
            <w:r w:rsidRPr="00B56BE0">
              <w:rPr>
                <w:rFonts w:asciiTheme="minorHAnsi" w:hAnsiTheme="minorHAnsi" w:cstheme="minorHAnsi"/>
                <w:b/>
                <w:szCs w:val="20"/>
              </w:rPr>
              <w:t>use</w:t>
            </w:r>
            <w:r w:rsidRPr="00B56BE0">
              <w:rPr>
                <w:rFonts w:asciiTheme="minorHAnsi" w:hAnsiTheme="minorHAnsi" w:cstheme="minorHAnsi"/>
                <w:b/>
                <w:spacing w:val="-3"/>
                <w:szCs w:val="20"/>
              </w:rPr>
              <w:t xml:space="preserve"> </w:t>
            </w:r>
            <w:r w:rsidRPr="00B56BE0">
              <w:rPr>
                <w:rFonts w:asciiTheme="minorHAnsi" w:hAnsiTheme="minorHAnsi" w:cstheme="minorHAnsi"/>
                <w:b/>
                <w:szCs w:val="20"/>
              </w:rPr>
              <w:t>of</w:t>
            </w:r>
            <w:r w:rsidRPr="00B56BE0">
              <w:rPr>
                <w:rFonts w:asciiTheme="minorHAnsi" w:hAnsiTheme="minorHAnsi" w:cstheme="minorHAnsi"/>
                <w:b/>
                <w:spacing w:val="-2"/>
                <w:szCs w:val="20"/>
              </w:rPr>
              <w:t xml:space="preserve"> </w:t>
            </w:r>
            <w:hyperlink r:id="rId44">
              <w:r w:rsidRPr="00B56BE0">
                <w:rPr>
                  <w:rFonts w:asciiTheme="minorHAnsi" w:hAnsiTheme="minorHAnsi" w:cstheme="minorHAnsi"/>
                  <w:b/>
                  <w:color w:val="0000FF"/>
                  <w:szCs w:val="20"/>
                  <w:u w:val="single" w:color="0000FF"/>
                </w:rPr>
                <w:t>restrictive</w:t>
              </w:r>
              <w:r w:rsidRPr="00B56BE0">
                <w:rPr>
                  <w:rFonts w:asciiTheme="minorHAnsi" w:hAnsiTheme="minorHAnsi" w:cstheme="minorHAnsi"/>
                  <w:b/>
                  <w:color w:val="0000FF"/>
                  <w:spacing w:val="-3"/>
                  <w:szCs w:val="20"/>
                  <w:u w:val="single" w:color="0000FF"/>
                </w:rPr>
                <w:t xml:space="preserve"> </w:t>
              </w:r>
              <w:r w:rsidRPr="00B56BE0">
                <w:rPr>
                  <w:rFonts w:asciiTheme="minorHAnsi" w:hAnsiTheme="minorHAnsi" w:cstheme="minorHAnsi"/>
                  <w:b/>
                  <w:color w:val="0000FF"/>
                  <w:szCs w:val="20"/>
                  <w:u w:val="single" w:color="0000FF"/>
                </w:rPr>
                <w:t>practices</w:t>
              </w:r>
            </w:hyperlink>
            <w:r w:rsidRPr="00B56BE0">
              <w:rPr>
                <w:rFonts w:asciiTheme="minorHAnsi" w:hAnsiTheme="minorHAnsi" w:cstheme="minorHAnsi"/>
                <w:b/>
                <w:color w:val="0000FF"/>
                <w:spacing w:val="-2"/>
                <w:szCs w:val="20"/>
              </w:rPr>
              <w:t xml:space="preserve"> </w:t>
            </w:r>
            <w:r w:rsidRPr="00B56BE0">
              <w:rPr>
                <w:rFonts w:asciiTheme="minorHAnsi" w:hAnsiTheme="minorHAnsi" w:cstheme="minorHAnsi"/>
                <w:szCs w:val="20"/>
              </w:rPr>
              <w:t>–</w:t>
            </w:r>
            <w:r w:rsidRPr="00B56BE0">
              <w:rPr>
                <w:rFonts w:asciiTheme="minorHAnsi" w:hAnsiTheme="minorHAnsi" w:cstheme="minorHAnsi"/>
                <w:spacing w:val="-4"/>
                <w:szCs w:val="20"/>
              </w:rPr>
              <w:t xml:space="preserve"> </w:t>
            </w:r>
            <w:r w:rsidRPr="00B56BE0">
              <w:rPr>
                <w:rFonts w:asciiTheme="minorHAnsi" w:hAnsiTheme="minorHAnsi" w:cstheme="minorHAnsi"/>
                <w:szCs w:val="20"/>
              </w:rPr>
              <w:t>where</w:t>
            </w:r>
            <w:r w:rsidRPr="00B56BE0">
              <w:rPr>
                <w:rFonts w:asciiTheme="minorHAnsi" w:hAnsiTheme="minorHAnsi" w:cstheme="minorHAnsi"/>
                <w:spacing w:val="-4"/>
                <w:szCs w:val="20"/>
              </w:rPr>
              <w:t xml:space="preserve"> a restrictive practice is used and it is does not meet all of the following requirements:</w:t>
            </w:r>
          </w:p>
          <w:p w14:paraId="65A70931" w14:textId="4D3D28F9" w:rsidR="00264770" w:rsidRPr="00B56BE0" w:rsidRDefault="00264770" w:rsidP="00264770">
            <w:pPr>
              <w:pStyle w:val="ListParagraph"/>
              <w:numPr>
                <w:ilvl w:val="0"/>
                <w:numId w:val="39"/>
              </w:numPr>
              <w:spacing w:before="0"/>
              <w:ind w:left="232" w:hanging="232"/>
              <w:rPr>
                <w:rFonts w:asciiTheme="minorHAnsi" w:hAnsiTheme="minorHAnsi" w:cstheme="minorHAnsi"/>
                <w:szCs w:val="20"/>
              </w:rPr>
            </w:pPr>
            <w:r w:rsidRPr="00B56BE0">
              <w:rPr>
                <w:rFonts w:asciiTheme="minorHAnsi" w:hAnsiTheme="minorHAnsi" w:cstheme="minorHAnsi"/>
                <w:szCs w:val="20"/>
              </w:rPr>
              <w:t xml:space="preserve">before the restrictive practice is used, the care recipient’s care plan </w:t>
            </w:r>
            <w:r w:rsidR="002117E3">
              <w:rPr>
                <w:rFonts w:asciiTheme="minorHAnsi" w:hAnsiTheme="minorHAnsi" w:cstheme="minorHAnsi"/>
                <w:szCs w:val="20"/>
              </w:rPr>
              <w:t>should</w:t>
            </w:r>
            <w:r w:rsidRPr="00B56BE0">
              <w:rPr>
                <w:rFonts w:asciiTheme="minorHAnsi" w:hAnsiTheme="minorHAnsi" w:cstheme="minorHAnsi"/>
                <w:szCs w:val="20"/>
              </w:rPr>
              <w:t xml:space="preserve"> detail the circumstances in which the restrictive practice may be used and the behaviours it is seeking to </w:t>
            </w:r>
            <w:proofErr w:type="gramStart"/>
            <w:r w:rsidRPr="00B56BE0">
              <w:rPr>
                <w:rFonts w:asciiTheme="minorHAnsi" w:hAnsiTheme="minorHAnsi" w:cstheme="minorHAnsi"/>
                <w:szCs w:val="20"/>
              </w:rPr>
              <w:t>address</w:t>
            </w:r>
            <w:r w:rsidR="00997BE6">
              <w:rPr>
                <w:rFonts w:asciiTheme="minorHAnsi" w:hAnsiTheme="minorHAnsi" w:cstheme="minorHAnsi"/>
                <w:szCs w:val="20"/>
              </w:rPr>
              <w:t>;</w:t>
            </w:r>
            <w:proofErr w:type="gramEnd"/>
          </w:p>
          <w:p w14:paraId="54187AC3" w14:textId="1F22C678" w:rsidR="00264770" w:rsidRPr="00B56BE0" w:rsidRDefault="00264770" w:rsidP="00264770">
            <w:pPr>
              <w:pStyle w:val="ListParagraph"/>
              <w:numPr>
                <w:ilvl w:val="0"/>
                <w:numId w:val="39"/>
              </w:numPr>
              <w:ind w:left="232" w:hanging="232"/>
              <w:rPr>
                <w:rFonts w:asciiTheme="minorHAnsi" w:hAnsiTheme="minorHAnsi" w:cstheme="minorHAnsi"/>
                <w:szCs w:val="20"/>
              </w:rPr>
            </w:pPr>
            <w:r w:rsidRPr="00B56BE0">
              <w:rPr>
                <w:rFonts w:asciiTheme="minorHAnsi" w:hAnsiTheme="minorHAnsi" w:cstheme="minorHAnsi"/>
                <w:szCs w:val="20"/>
              </w:rPr>
              <w:t xml:space="preserve">the care plan </w:t>
            </w:r>
            <w:r w:rsidR="002117E3">
              <w:rPr>
                <w:rFonts w:asciiTheme="minorHAnsi" w:hAnsiTheme="minorHAnsi" w:cstheme="minorHAnsi"/>
                <w:szCs w:val="20"/>
              </w:rPr>
              <w:t>should</w:t>
            </w:r>
            <w:r w:rsidRPr="00B56BE0">
              <w:rPr>
                <w:rFonts w:asciiTheme="minorHAnsi" w:hAnsiTheme="minorHAnsi" w:cstheme="minorHAnsi"/>
                <w:szCs w:val="20"/>
              </w:rPr>
              <w:t xml:space="preserve"> outline how the restrictive practice is to be used, including its duration, frequency and intended </w:t>
            </w:r>
            <w:proofErr w:type="gramStart"/>
            <w:r w:rsidRPr="00B56BE0">
              <w:rPr>
                <w:rFonts w:asciiTheme="minorHAnsi" w:hAnsiTheme="minorHAnsi" w:cstheme="minorHAnsi"/>
                <w:szCs w:val="20"/>
              </w:rPr>
              <w:t>outcome</w:t>
            </w:r>
            <w:r w:rsidR="00997BE6">
              <w:rPr>
                <w:rFonts w:asciiTheme="minorHAnsi" w:hAnsiTheme="minorHAnsi" w:cstheme="minorHAnsi"/>
                <w:szCs w:val="20"/>
              </w:rPr>
              <w:t>;</w:t>
            </w:r>
            <w:proofErr w:type="gramEnd"/>
          </w:p>
          <w:p w14:paraId="4A2A5C23" w14:textId="04CF3419" w:rsidR="00264770" w:rsidRPr="00B56BE0" w:rsidRDefault="00264770" w:rsidP="00264770">
            <w:pPr>
              <w:pStyle w:val="ListParagraph"/>
              <w:numPr>
                <w:ilvl w:val="0"/>
                <w:numId w:val="39"/>
              </w:numPr>
              <w:ind w:left="232" w:hanging="232"/>
              <w:rPr>
                <w:rFonts w:asciiTheme="minorHAnsi" w:hAnsiTheme="minorHAnsi" w:cstheme="minorHAnsi"/>
                <w:szCs w:val="20"/>
              </w:rPr>
            </w:pPr>
            <w:r w:rsidRPr="00B56BE0">
              <w:rPr>
                <w:rFonts w:asciiTheme="minorHAnsi" w:hAnsiTheme="minorHAnsi" w:cstheme="minorHAnsi"/>
                <w:szCs w:val="20"/>
              </w:rPr>
              <w:t xml:space="preserve">the restrictive practice </w:t>
            </w:r>
            <w:r w:rsidR="002117E3">
              <w:rPr>
                <w:rFonts w:asciiTheme="minorHAnsi" w:hAnsiTheme="minorHAnsi" w:cstheme="minorHAnsi"/>
                <w:szCs w:val="20"/>
              </w:rPr>
              <w:t>should</w:t>
            </w:r>
            <w:r w:rsidRPr="00B56BE0">
              <w:rPr>
                <w:rFonts w:asciiTheme="minorHAnsi" w:hAnsiTheme="minorHAnsi" w:cstheme="minorHAnsi"/>
                <w:szCs w:val="20"/>
              </w:rPr>
              <w:t xml:space="preserve"> </w:t>
            </w:r>
            <w:proofErr w:type="gramStart"/>
            <w:r w:rsidRPr="00B56BE0">
              <w:rPr>
                <w:rFonts w:asciiTheme="minorHAnsi" w:hAnsiTheme="minorHAnsi" w:cstheme="minorHAnsi"/>
                <w:szCs w:val="20"/>
              </w:rPr>
              <w:t>actually be</w:t>
            </w:r>
            <w:proofErr w:type="gramEnd"/>
            <w:r w:rsidRPr="00B56BE0">
              <w:rPr>
                <w:rFonts w:asciiTheme="minorHAnsi" w:hAnsiTheme="minorHAnsi" w:cstheme="minorHAnsi"/>
                <w:szCs w:val="20"/>
              </w:rPr>
              <w:t xml:space="preserve"> used in the circumstances and manner set out in the care plan and in accordance with any other provisions of the plan that relate to the use of the restrictive practice</w:t>
            </w:r>
            <w:r w:rsidR="00997BE6">
              <w:rPr>
                <w:rFonts w:asciiTheme="minorHAnsi" w:hAnsiTheme="minorHAnsi" w:cstheme="minorHAnsi"/>
                <w:szCs w:val="20"/>
              </w:rPr>
              <w:t>;</w:t>
            </w:r>
            <w:r w:rsidRPr="00B56BE0">
              <w:rPr>
                <w:rFonts w:asciiTheme="minorHAnsi" w:hAnsiTheme="minorHAnsi" w:cstheme="minorHAnsi"/>
                <w:szCs w:val="20"/>
              </w:rPr>
              <w:t xml:space="preserve"> and</w:t>
            </w:r>
          </w:p>
          <w:p w14:paraId="561D87A0" w14:textId="13D5566F" w:rsidR="00264770" w:rsidRPr="00B56BE0" w:rsidRDefault="00264770" w:rsidP="00264770">
            <w:pPr>
              <w:pStyle w:val="ListParagraph"/>
              <w:numPr>
                <w:ilvl w:val="0"/>
                <w:numId w:val="39"/>
              </w:numPr>
              <w:ind w:left="232" w:hanging="232"/>
              <w:rPr>
                <w:rFonts w:asciiTheme="minorHAnsi" w:hAnsiTheme="minorHAnsi" w:cstheme="minorHAnsi"/>
                <w:szCs w:val="20"/>
              </w:rPr>
            </w:pPr>
            <w:r w:rsidRPr="00B56BE0">
              <w:rPr>
                <w:rFonts w:asciiTheme="minorHAnsi" w:hAnsiTheme="minorHAnsi" w:cstheme="minorHAnsi"/>
                <w:szCs w:val="20"/>
              </w:rPr>
              <w:t xml:space="preserve">the service provider </w:t>
            </w:r>
            <w:r w:rsidR="002117E3">
              <w:rPr>
                <w:rFonts w:asciiTheme="minorHAnsi" w:hAnsiTheme="minorHAnsi" w:cstheme="minorHAnsi"/>
                <w:szCs w:val="20"/>
              </w:rPr>
              <w:t>should</w:t>
            </w:r>
            <w:r w:rsidRPr="00B56BE0">
              <w:rPr>
                <w:rFonts w:asciiTheme="minorHAnsi" w:hAnsiTheme="minorHAnsi" w:cstheme="minorHAnsi"/>
                <w:szCs w:val="20"/>
              </w:rPr>
              <w:t xml:space="preserve"> ensure details about the actual use of the restrictive practice are documented and is consistent with the care plan as soon as practicable after its use</w:t>
            </w:r>
            <w:r w:rsidR="00997BE6">
              <w:rPr>
                <w:rFonts w:asciiTheme="minorHAnsi" w:hAnsiTheme="minorHAnsi" w:cstheme="minorHAnsi"/>
                <w:szCs w:val="20"/>
              </w:rPr>
              <w:t>.</w:t>
            </w:r>
          </w:p>
        </w:tc>
      </w:tr>
      <w:bookmarkEnd w:id="350"/>
    </w:tbl>
    <w:p w14:paraId="13176BE3" w14:textId="77777777" w:rsidR="00264770" w:rsidRPr="009C10F6" w:rsidRDefault="00264770" w:rsidP="00264770">
      <w:pPr>
        <w:rPr>
          <w:rFonts w:asciiTheme="minorHAnsi" w:hAnsiTheme="minorHAnsi" w:cstheme="minorHAnsi"/>
          <w:szCs w:val="20"/>
        </w:rPr>
      </w:pPr>
    </w:p>
    <w:p w14:paraId="04929AB1" w14:textId="77777777" w:rsidR="00264770" w:rsidRPr="00DF1B98" w:rsidRDefault="00264770" w:rsidP="00264770">
      <w:pPr>
        <w:spacing w:after="200"/>
        <w:rPr>
          <w:rFonts w:asciiTheme="minorHAnsi" w:hAnsiTheme="minorHAnsi" w:cstheme="minorHAnsi"/>
          <w:szCs w:val="20"/>
        </w:rPr>
      </w:pPr>
      <w:r w:rsidRPr="00B56BE0">
        <w:rPr>
          <w:rFonts w:asciiTheme="minorHAnsi" w:hAnsiTheme="minorHAnsi" w:cstheme="minorHAnsi"/>
          <w:szCs w:val="20"/>
        </w:rPr>
        <w:t xml:space="preserve">For more detail on what is a reportable incident and examples for </w:t>
      </w:r>
      <w:r w:rsidRPr="00DF1B98">
        <w:rPr>
          <w:rFonts w:asciiTheme="minorHAnsi" w:hAnsiTheme="minorHAnsi" w:cstheme="minorHAnsi"/>
          <w:szCs w:val="20"/>
        </w:rPr>
        <w:t xml:space="preserve">each setting, please review guidance on the </w:t>
      </w:r>
      <w:hyperlink r:id="rId45" w:history="1">
        <w:r w:rsidRPr="00DF1B98">
          <w:rPr>
            <w:rStyle w:val="Hyperlink"/>
            <w:rFonts w:asciiTheme="minorHAnsi" w:eastAsiaTheme="majorEastAsia" w:hAnsiTheme="minorHAnsi" w:cstheme="minorHAnsi"/>
            <w:sz w:val="20"/>
            <w:szCs w:val="20"/>
          </w:rPr>
          <w:t>Commission’s website</w:t>
        </w:r>
      </w:hyperlink>
      <w:r w:rsidRPr="00B56BE0">
        <w:rPr>
          <w:rFonts w:asciiTheme="minorHAnsi" w:hAnsiTheme="minorHAnsi" w:cstheme="minorHAnsi"/>
          <w:szCs w:val="20"/>
        </w:rPr>
        <w:t>.</w:t>
      </w:r>
    </w:p>
    <w:p w14:paraId="074526C3" w14:textId="77777777" w:rsidR="00264770" w:rsidRPr="00030AB8" w:rsidRDefault="00264770" w:rsidP="00264770">
      <w:pPr>
        <w:pStyle w:val="heading4withoutnumbers"/>
        <w:rPr>
          <w:rFonts w:asciiTheme="minorHAnsi" w:hAnsiTheme="minorHAnsi" w:cstheme="minorHAnsi"/>
          <w:b/>
          <w:bCs/>
        </w:rPr>
      </w:pPr>
      <w:r w:rsidRPr="00030AB8">
        <w:rPr>
          <w:rFonts w:asciiTheme="minorHAnsi" w:hAnsiTheme="minorHAnsi" w:cstheme="minorHAnsi"/>
          <w:b/>
          <w:bCs/>
        </w:rPr>
        <w:t>Reporting Timeframes</w:t>
      </w:r>
    </w:p>
    <w:p w14:paraId="02ECABA2" w14:textId="77777777" w:rsidR="00264770" w:rsidRPr="00DF1B98" w:rsidRDefault="00264770" w:rsidP="00264770">
      <w:pPr>
        <w:rPr>
          <w:rFonts w:asciiTheme="minorHAnsi" w:hAnsiTheme="minorHAnsi" w:cstheme="minorHAnsi"/>
          <w:szCs w:val="20"/>
        </w:rPr>
      </w:pPr>
      <w:r w:rsidRPr="00DF1B98">
        <w:rPr>
          <w:rFonts w:asciiTheme="minorHAnsi" w:hAnsiTheme="minorHAnsi" w:cstheme="minorHAnsi"/>
          <w:szCs w:val="20"/>
        </w:rPr>
        <w:t xml:space="preserve">All </w:t>
      </w:r>
      <w:r w:rsidRPr="00DF1B98">
        <w:rPr>
          <w:rFonts w:asciiTheme="minorHAnsi" w:hAnsiTheme="minorHAnsi" w:cstheme="minorHAnsi"/>
          <w:b/>
          <w:szCs w:val="20"/>
        </w:rPr>
        <w:t>‘</w:t>
      </w:r>
      <w:r w:rsidRPr="00DF1B98">
        <w:rPr>
          <w:rFonts w:asciiTheme="minorHAnsi" w:hAnsiTheme="minorHAnsi" w:cstheme="minorHAnsi"/>
          <w:b/>
          <w:bCs/>
          <w:szCs w:val="20"/>
        </w:rPr>
        <w:t>Priority 1</w:t>
      </w:r>
      <w:r w:rsidRPr="00DF1B98">
        <w:rPr>
          <w:rFonts w:asciiTheme="minorHAnsi" w:hAnsiTheme="minorHAnsi" w:cstheme="minorHAnsi"/>
          <w:szCs w:val="20"/>
        </w:rPr>
        <w:t xml:space="preserve">’ reportable incidents must be reported to the Commission, and the police where the incident is of a criminal nature, within </w:t>
      </w:r>
      <w:r w:rsidRPr="00DF1B98">
        <w:rPr>
          <w:rFonts w:asciiTheme="minorHAnsi" w:hAnsiTheme="minorHAnsi" w:cstheme="minorHAnsi"/>
          <w:b/>
          <w:bCs/>
          <w:szCs w:val="20"/>
        </w:rPr>
        <w:t xml:space="preserve">24 hours </w:t>
      </w:r>
      <w:r w:rsidRPr="00DF1B98">
        <w:rPr>
          <w:rFonts w:asciiTheme="minorHAnsi" w:hAnsiTheme="minorHAnsi" w:cstheme="minorHAnsi"/>
          <w:szCs w:val="20"/>
        </w:rPr>
        <w:t>of becoming aware of the incident. There are certain types of reportable incidents that must always be reported as a Priority 1 reportable incident:</w:t>
      </w:r>
    </w:p>
    <w:p w14:paraId="4C812072"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 xml:space="preserve">an incident that has caused, or could reasonably have been expected to have caused, a care recipient physical or psychological injury, illness or discomfort that requires medical or psychological treatment to </w:t>
      </w:r>
      <w:proofErr w:type="gramStart"/>
      <w:r w:rsidRPr="00DF1B98">
        <w:rPr>
          <w:rFonts w:asciiTheme="minorHAnsi" w:hAnsiTheme="minorHAnsi" w:cstheme="minorHAnsi"/>
          <w:szCs w:val="20"/>
        </w:rPr>
        <w:t>resolve;</w:t>
      </w:r>
      <w:proofErr w:type="gramEnd"/>
    </w:p>
    <w:p w14:paraId="10C690E8"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 xml:space="preserve">any incident where there are reasonable grounds to report that incident to the </w:t>
      </w:r>
      <w:proofErr w:type="gramStart"/>
      <w:r w:rsidRPr="00DF1B98">
        <w:rPr>
          <w:rFonts w:asciiTheme="minorHAnsi" w:hAnsiTheme="minorHAnsi" w:cstheme="minorHAnsi"/>
          <w:szCs w:val="20"/>
        </w:rPr>
        <w:t>police;</w:t>
      </w:r>
      <w:proofErr w:type="gramEnd"/>
      <w:r w:rsidRPr="00DF1B98">
        <w:rPr>
          <w:rFonts w:asciiTheme="minorHAnsi" w:hAnsiTheme="minorHAnsi" w:cstheme="minorHAnsi"/>
          <w:szCs w:val="20"/>
        </w:rPr>
        <w:t xml:space="preserve"> </w:t>
      </w:r>
    </w:p>
    <w:p w14:paraId="2CB1D672"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 xml:space="preserve">when there is the unexpected death of a care </w:t>
      </w:r>
      <w:proofErr w:type="gramStart"/>
      <w:r w:rsidRPr="00DF1B98">
        <w:rPr>
          <w:rFonts w:asciiTheme="minorHAnsi" w:hAnsiTheme="minorHAnsi" w:cstheme="minorHAnsi"/>
          <w:szCs w:val="20"/>
        </w:rPr>
        <w:t>recipient;</w:t>
      </w:r>
      <w:proofErr w:type="gramEnd"/>
    </w:p>
    <w:p w14:paraId="3D7C95CD"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a care recipient’s unexplained absence from the service; or</w:t>
      </w:r>
    </w:p>
    <w:p w14:paraId="6F8BB0C3"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the unlawful sexual contact or inappropriate sexual conduct in relation to a care recipient.</w:t>
      </w:r>
    </w:p>
    <w:p w14:paraId="413C5667" w14:textId="210C16B8" w:rsidR="00264770" w:rsidRPr="00DF1B98" w:rsidRDefault="00264770" w:rsidP="00264770">
      <w:pPr>
        <w:rPr>
          <w:rFonts w:asciiTheme="minorHAnsi" w:hAnsiTheme="minorHAnsi" w:cstheme="minorHAnsi"/>
          <w:color w:val="000000"/>
          <w:szCs w:val="20"/>
        </w:rPr>
      </w:pPr>
      <w:r w:rsidRPr="00DF1B98">
        <w:rPr>
          <w:rFonts w:asciiTheme="minorHAnsi" w:hAnsiTheme="minorHAnsi" w:cstheme="minorHAnsi"/>
          <w:szCs w:val="20"/>
        </w:rPr>
        <w:lastRenderedPageBreak/>
        <w:t xml:space="preserve">All </w:t>
      </w:r>
      <w:r w:rsidRPr="00DF1B98">
        <w:rPr>
          <w:rFonts w:asciiTheme="minorHAnsi" w:hAnsiTheme="minorHAnsi" w:cstheme="minorHAnsi"/>
          <w:b/>
          <w:bCs/>
          <w:szCs w:val="20"/>
        </w:rPr>
        <w:t xml:space="preserve">‘Priority 2’ </w:t>
      </w:r>
      <w:r w:rsidRPr="00DF1B98">
        <w:rPr>
          <w:rFonts w:asciiTheme="minorHAnsi" w:hAnsiTheme="minorHAnsi" w:cstheme="minorHAnsi"/>
          <w:szCs w:val="20"/>
        </w:rPr>
        <w:t xml:space="preserve">incidents must be reported to the Commission within 30 days of becoming aware of the incident. Priority 2 incidents include all other reportable incidents that do not meet the criteria for a ‘Priority 1’ incident. </w:t>
      </w:r>
      <w:r w:rsidRPr="00DF1B98">
        <w:rPr>
          <w:rFonts w:asciiTheme="minorHAnsi" w:hAnsiTheme="minorHAnsi" w:cstheme="minorHAnsi"/>
          <w:color w:val="000000"/>
          <w:szCs w:val="20"/>
        </w:rPr>
        <w:t xml:space="preserve">The </w:t>
      </w:r>
      <w:hyperlink r:id="rId46" w:history="1">
        <w:r w:rsidRPr="00DF1B98">
          <w:rPr>
            <w:rStyle w:val="Hyperlink"/>
            <w:rFonts w:asciiTheme="minorHAnsi" w:eastAsiaTheme="majorEastAsia" w:hAnsiTheme="minorHAnsi" w:cstheme="minorHAnsi"/>
            <w:sz w:val="20"/>
            <w:szCs w:val="20"/>
          </w:rPr>
          <w:t>SIRS decision support tool</w:t>
        </w:r>
      </w:hyperlink>
      <w:r w:rsidRPr="00DF1B98">
        <w:rPr>
          <w:rFonts w:asciiTheme="minorHAnsi" w:hAnsiTheme="minorHAnsi" w:cstheme="minorHAnsi"/>
          <w:color w:val="000000"/>
          <w:szCs w:val="20"/>
        </w:rPr>
        <w:t xml:space="preserve"> helps providers to quickly and easily determine the difference between ‘priority 1’ and ‘priority 2’ reportable incidents.</w:t>
      </w:r>
    </w:p>
    <w:p w14:paraId="42CB9545" w14:textId="77777777" w:rsidR="00264770" w:rsidRPr="00DF1B98" w:rsidRDefault="00264770" w:rsidP="00264770">
      <w:pPr>
        <w:spacing w:after="200"/>
        <w:rPr>
          <w:rFonts w:asciiTheme="minorHAnsi" w:hAnsiTheme="minorHAnsi" w:cstheme="minorHAnsi"/>
          <w:szCs w:val="20"/>
        </w:rPr>
      </w:pPr>
      <w:r w:rsidRPr="00DF1B98">
        <w:rPr>
          <w:rFonts w:asciiTheme="minorHAnsi" w:hAnsiTheme="minorHAnsi" w:cstheme="minorHAnsi"/>
          <w:szCs w:val="20"/>
        </w:rPr>
        <w:t xml:space="preserve">While the 24-hour timeframe to report Priority 1 incidents to the Commission and the police commences from the point in time the approved provider is aware of the incident, staff members of approved providers (any individual who is employed, hired, retained or contracted by the approved provider or a TCP service provider, whether directly or through an employment or recruiting agency) who are aware of a reportable incident, must notify the approved provider as soon as possible. For example, if a person working for a third-party organisation is caring for a person in bed-based TCP and there is an unexpected death (SIRS incident category) of that person on a Friday night, that person must notify the approved provider’s key personnel as soon as possible. If the approved provider becomes aware on Friday night, they will still need to comply with timeframes and report the incident to police and the Commission within 24 hours (by Saturday night). </w:t>
      </w:r>
    </w:p>
    <w:p w14:paraId="172A4878" w14:textId="77777777" w:rsidR="00264770" w:rsidRPr="00EB6000" w:rsidRDefault="00264770" w:rsidP="00264770">
      <w:pPr>
        <w:pStyle w:val="heading4withoutnumbers"/>
        <w:rPr>
          <w:rFonts w:asciiTheme="minorHAnsi" w:hAnsiTheme="minorHAnsi" w:cstheme="minorHAnsi"/>
          <w:b/>
          <w:bCs/>
        </w:rPr>
      </w:pPr>
      <w:r w:rsidRPr="00EB6000">
        <w:rPr>
          <w:rFonts w:asciiTheme="minorHAnsi" w:hAnsiTheme="minorHAnsi" w:cstheme="minorHAnsi"/>
          <w:b/>
          <w:bCs/>
        </w:rPr>
        <w:t>Protection against disclosure</w:t>
      </w:r>
    </w:p>
    <w:p w14:paraId="4C2AD33F" w14:textId="43F267FD" w:rsidR="00264770" w:rsidRDefault="00264770" w:rsidP="00264770">
      <w:r>
        <w:t>Approved providers will also have to provide certain protections to persons who make disclosures about reportable incidents in accordance with the</w:t>
      </w:r>
      <w:r w:rsidR="00D162FC">
        <w:t xml:space="preserve"> Act</w:t>
      </w:r>
      <w:r>
        <w:t xml:space="preserve"> (Part 4.1, Division 54).</w:t>
      </w:r>
    </w:p>
    <w:p w14:paraId="1BD386A6" w14:textId="30A5378E" w:rsidR="003B69FC" w:rsidRPr="009D0FF5" w:rsidRDefault="0000405C" w:rsidP="000E7B08">
      <w:pPr>
        <w:pStyle w:val="Heading3withoutnumbering"/>
        <w:tabs>
          <w:tab w:val="right" w:pos="9495"/>
        </w:tabs>
      </w:pPr>
      <w:bookmarkStart w:id="351" w:name="_Toc197076930"/>
      <w:r w:rsidRPr="00A47AC2">
        <w:t>Minimising the use of restraints</w:t>
      </w:r>
      <w:bookmarkEnd w:id="351"/>
    </w:p>
    <w:p w14:paraId="74101C15" w14:textId="77777777" w:rsidR="00CA0C00" w:rsidRDefault="00A47AC2" w:rsidP="001E340F">
      <w:r w:rsidRPr="006C4BFF">
        <w:t>Legislative requirements regarding the use of physical and chemical restraints are contained in the </w:t>
      </w:r>
      <w:hyperlink r:id="rId47" w:history="1">
        <w:r w:rsidRPr="001E340F">
          <w:rPr>
            <w:i/>
          </w:rPr>
          <w:t>Quality of Care Principles 2014</w:t>
        </w:r>
      </w:hyperlink>
      <w:r w:rsidRPr="006C4BFF">
        <w:rPr>
          <w:i/>
        </w:rPr>
        <w:t> (Principles).</w:t>
      </w:r>
    </w:p>
    <w:p w14:paraId="5AF04CCB" w14:textId="59FA3CE7" w:rsidR="00583078" w:rsidRPr="00F46660" w:rsidRDefault="00CA0C00" w:rsidP="001B4B19">
      <w:pPr>
        <w:rPr>
          <w:szCs w:val="20"/>
        </w:rPr>
      </w:pPr>
      <w:r>
        <w:rPr>
          <w:szCs w:val="20"/>
        </w:rPr>
        <w:t xml:space="preserve">Whilst these </w:t>
      </w:r>
      <w:r w:rsidRPr="001E340F">
        <w:t>requirements currently do not apply to TCP providers (regardless of care setting) it is considered good practice that TCP providers meet the restraint requirements and continue to apply the guidance contained in</w:t>
      </w:r>
      <w:r w:rsidRPr="00CA0C00">
        <w:rPr>
          <w:szCs w:val="20"/>
        </w:rPr>
        <w:t xml:space="preserve"> the </w:t>
      </w:r>
      <w:r w:rsidRPr="00187113">
        <w:rPr>
          <w:iCs/>
          <w:szCs w:val="20"/>
        </w:rPr>
        <w:t>Decision-Making Tool: Supporting a Restraint Free Environment in Community Aged Care</w:t>
      </w:r>
      <w:r>
        <w:rPr>
          <w:szCs w:val="20"/>
        </w:rPr>
        <w:t xml:space="preserve">, available on the Commission’s website at </w:t>
      </w:r>
      <w:hyperlink r:id="rId48" w:history="1">
        <w:r w:rsidR="007A67B8" w:rsidRPr="00D80481">
          <w:rPr>
            <w:rStyle w:val="Hyperlink"/>
            <w:sz w:val="20"/>
            <w:szCs w:val="20"/>
          </w:rPr>
          <w:t>www.agedcarequality.gov.au/providers/assessment-processes/minimising-restraints</w:t>
        </w:r>
      </w:hyperlink>
      <w:r w:rsidR="006145ED">
        <w:rPr>
          <w:szCs w:val="20"/>
        </w:rPr>
        <w:t>.</w:t>
      </w:r>
    </w:p>
    <w:p w14:paraId="4FBF0061" w14:textId="3191D088" w:rsidR="00605BA0" w:rsidRPr="004D12CC" w:rsidRDefault="00605BA0" w:rsidP="00B42C61">
      <w:pPr>
        <w:pStyle w:val="Heading2"/>
      </w:pPr>
      <w:bookmarkStart w:id="352" w:name="_Toc110834673"/>
      <w:bookmarkStart w:id="353" w:name="_Toc245536195"/>
      <w:bookmarkStart w:id="354" w:name="_Toc395537209"/>
      <w:bookmarkStart w:id="355" w:name="_Toc197076931"/>
      <w:r w:rsidRPr="004D12CC">
        <w:t>Specific legislative requirements</w:t>
      </w:r>
      <w:bookmarkEnd w:id="352"/>
      <w:bookmarkEnd w:id="353"/>
      <w:bookmarkEnd w:id="354"/>
      <w:bookmarkEnd w:id="355"/>
    </w:p>
    <w:p w14:paraId="6D7E7402" w14:textId="1B49E31A" w:rsidR="00605BA0" w:rsidRPr="00EA6F96" w:rsidRDefault="00605BA0" w:rsidP="001E340F">
      <w:r w:rsidRPr="00EA6F96">
        <w:t xml:space="preserve">In addition to the general responsibilities, approved providers under the Act have </w:t>
      </w:r>
      <w:r w:rsidR="0064270C" w:rsidRPr="00EA6F96">
        <w:t>several</w:t>
      </w:r>
      <w:r w:rsidRPr="00EA6F96">
        <w:t xml:space="preserve"> specific areas of responsibility they and their service providers are required to meet.</w:t>
      </w:r>
    </w:p>
    <w:p w14:paraId="27356AB6" w14:textId="00AC05CD" w:rsidR="00605BA0" w:rsidRPr="00366082" w:rsidRDefault="00605BA0" w:rsidP="004D2004">
      <w:pPr>
        <w:pStyle w:val="Heading3withoutnumbering"/>
        <w:tabs>
          <w:tab w:val="right" w:pos="9495"/>
        </w:tabs>
      </w:pPr>
      <w:bookmarkStart w:id="356" w:name="_Toc110834674"/>
      <w:bookmarkStart w:id="357" w:name="_Toc245536196"/>
      <w:bookmarkStart w:id="358" w:name="_Toc395537210"/>
      <w:bookmarkStart w:id="359" w:name="_Toc422732567"/>
      <w:bookmarkStart w:id="360" w:name="_Toc422752906"/>
      <w:bookmarkStart w:id="361" w:name="_Toc197076932"/>
      <w:r w:rsidRPr="00366082">
        <w:t>Accountability</w:t>
      </w:r>
      <w:bookmarkEnd w:id="356"/>
      <w:bookmarkEnd w:id="357"/>
      <w:bookmarkEnd w:id="358"/>
      <w:bookmarkEnd w:id="359"/>
      <w:bookmarkEnd w:id="360"/>
      <w:bookmarkEnd w:id="361"/>
    </w:p>
    <w:p w14:paraId="474B96DE" w14:textId="3BD46DD2" w:rsidR="00605BA0" w:rsidRPr="00583078" w:rsidRDefault="00605BA0" w:rsidP="001B4B19">
      <w:r w:rsidRPr="00D97114">
        <w:t xml:space="preserve">Division 63 of the of the </w:t>
      </w:r>
      <w:r w:rsidR="00723838" w:rsidRPr="00D97114">
        <w:t>Act</w:t>
      </w:r>
      <w:r w:rsidRPr="00D97114">
        <w:t xml:space="preserve"> deals with the accountability requirements for approved provider</w:t>
      </w:r>
      <w:r w:rsidR="009E5CC4">
        <w:t>s</w:t>
      </w:r>
      <w:r w:rsidRPr="00D97114">
        <w:t xml:space="preserve"> and service providers.</w:t>
      </w:r>
      <w:r w:rsidR="00583078">
        <w:t xml:space="preserve"> </w:t>
      </w:r>
      <w:r w:rsidRPr="00493731">
        <w:t xml:space="preserve">The requirements set out in Division 63 of the Act include </w:t>
      </w:r>
      <w:r w:rsidR="00236ED3">
        <w:t xml:space="preserve">the </w:t>
      </w:r>
      <w:r w:rsidRPr="00493731">
        <w:t xml:space="preserve">responsibilities </w:t>
      </w:r>
      <w:r w:rsidR="00236ED3">
        <w:t>of</w:t>
      </w:r>
      <w:r w:rsidRPr="00493731">
        <w:t xml:space="preserve"> maintaining and retaining records relating to the service and complying with any conditions of allocation to which the places included in the service are subject. The requirements set out in Division 63 also include other responsibilities that are specified in the </w:t>
      </w:r>
      <w:r w:rsidRPr="00493731">
        <w:rPr>
          <w:i/>
        </w:rPr>
        <w:t>Accountability Principles 2014</w:t>
      </w:r>
      <w:r w:rsidRPr="00493731">
        <w:t>, such as the requirement for all staff and volunteers to have a current police certificate (section 48</w:t>
      </w:r>
      <w:r w:rsidR="0079412D">
        <w:t xml:space="preserve"> of the</w:t>
      </w:r>
      <w:r w:rsidRPr="00493731">
        <w:t xml:space="preserve"> </w:t>
      </w:r>
      <w:r w:rsidRPr="00493731">
        <w:rPr>
          <w:i/>
        </w:rPr>
        <w:t>Accountability Principles 2014</w:t>
      </w:r>
      <w:r w:rsidRPr="00493731">
        <w:t>).</w:t>
      </w:r>
    </w:p>
    <w:p w14:paraId="39E798D1" w14:textId="1B2D6A5F" w:rsidR="00605BA0" w:rsidRPr="00366082" w:rsidRDefault="00605BA0" w:rsidP="00B42C61">
      <w:pPr>
        <w:pStyle w:val="Heading3withoutnumbering"/>
      </w:pPr>
      <w:bookmarkStart w:id="362" w:name="_Toc110834675"/>
      <w:bookmarkStart w:id="363" w:name="_Toc245536197"/>
      <w:bookmarkStart w:id="364" w:name="_Toc395537211"/>
      <w:bookmarkStart w:id="365" w:name="_Toc422732568"/>
      <w:bookmarkStart w:id="366" w:name="_Toc422752907"/>
      <w:bookmarkStart w:id="367" w:name="_Toc197076933"/>
      <w:r w:rsidRPr="00366082">
        <w:t>Flexible care subsidy</w:t>
      </w:r>
      <w:bookmarkEnd w:id="362"/>
      <w:bookmarkEnd w:id="363"/>
      <w:bookmarkEnd w:id="364"/>
      <w:bookmarkEnd w:id="365"/>
      <w:bookmarkEnd w:id="366"/>
      <w:bookmarkEnd w:id="367"/>
    </w:p>
    <w:p w14:paraId="04DE5F6C" w14:textId="5F85D818" w:rsidR="00605BA0" w:rsidRPr="00583078" w:rsidRDefault="00605BA0" w:rsidP="001E340F">
      <w:r w:rsidRPr="001E340F">
        <w:t xml:space="preserve">Divisions 49 to 52 of the </w:t>
      </w:r>
      <w:r w:rsidR="00723838" w:rsidRPr="001E340F">
        <w:t>Act</w:t>
      </w:r>
      <w:r w:rsidR="009E5CC4" w:rsidRPr="001E340F">
        <w:t xml:space="preserve"> state the requirements which must</w:t>
      </w:r>
      <w:r w:rsidRPr="001E340F">
        <w:t xml:space="preserve"> be satisfied to claim subsidy, the basis on which it will be paid and how the rates </w:t>
      </w:r>
      <w:r w:rsidR="00BD7752">
        <w:t>are</w:t>
      </w:r>
      <w:r w:rsidRPr="001E340F">
        <w:t xml:space="preserve"> set.</w:t>
      </w:r>
      <w:r w:rsidR="00583078" w:rsidRPr="001E340F">
        <w:t xml:space="preserve"> </w:t>
      </w:r>
      <w:r w:rsidRPr="001E340F">
        <w:t xml:space="preserve">The conditions under which </w:t>
      </w:r>
      <w:r w:rsidR="00BD7752">
        <w:t xml:space="preserve">the </w:t>
      </w:r>
      <w:r w:rsidRPr="001E340F">
        <w:t>subsidy may be claimed are establish</w:t>
      </w:r>
      <w:r w:rsidRPr="00493731">
        <w:t xml:space="preserve">ed under section 50-1 of the Act. The </w:t>
      </w:r>
      <w:r w:rsidRPr="00493731">
        <w:rPr>
          <w:i/>
        </w:rPr>
        <w:t xml:space="preserve">Subsidy Principles 2014 </w:t>
      </w:r>
      <w:r w:rsidRPr="00493731">
        <w:t>set out the arrangements for payment of flexible care subsidy to approved providers.</w:t>
      </w:r>
    </w:p>
    <w:p w14:paraId="156FEF67" w14:textId="77777777" w:rsidR="00647A59" w:rsidRDefault="00647A59">
      <w:pPr>
        <w:spacing w:before="0" w:after="200" w:line="276" w:lineRule="auto"/>
        <w:rPr>
          <w:rFonts w:eastAsiaTheme="majorEastAsia" w:cs="Arial"/>
          <w:b/>
          <w:spacing w:val="0"/>
          <w:szCs w:val="20"/>
          <w:lang w:eastAsia="en-US"/>
        </w:rPr>
      </w:pPr>
      <w:bookmarkStart w:id="368" w:name="_Toc110834676"/>
      <w:bookmarkStart w:id="369" w:name="_Toc245536198"/>
      <w:bookmarkStart w:id="370" w:name="_Toc395537212"/>
      <w:bookmarkStart w:id="371" w:name="_Toc422732569"/>
      <w:bookmarkStart w:id="372" w:name="_Toc422752908"/>
      <w:r>
        <w:br w:type="page"/>
      </w:r>
    </w:p>
    <w:p w14:paraId="61FF6F60" w14:textId="446C9A80" w:rsidR="00605BA0" w:rsidRDefault="00605BA0" w:rsidP="006A7311">
      <w:pPr>
        <w:pStyle w:val="Heading3withoutnumbering"/>
      </w:pPr>
      <w:bookmarkStart w:id="373" w:name="_Toc197076934"/>
      <w:r w:rsidRPr="00366082">
        <w:lastRenderedPageBreak/>
        <w:t>Record Keeping</w:t>
      </w:r>
      <w:bookmarkEnd w:id="368"/>
      <w:bookmarkEnd w:id="369"/>
      <w:bookmarkEnd w:id="370"/>
      <w:bookmarkEnd w:id="371"/>
      <w:bookmarkEnd w:id="372"/>
      <w:bookmarkEnd w:id="373"/>
    </w:p>
    <w:p w14:paraId="1F60981C" w14:textId="636E13A5" w:rsidR="00605BA0" w:rsidRPr="003E6C21" w:rsidRDefault="00605BA0" w:rsidP="001E340F">
      <w:r w:rsidRPr="00D97114">
        <w:t xml:space="preserve">Divisions 88 to 89 of the </w:t>
      </w:r>
      <w:r w:rsidR="00723838" w:rsidRPr="00D97114">
        <w:t>Act</w:t>
      </w:r>
      <w:r w:rsidRPr="00D97114">
        <w:t xml:space="preserve"> cover the records approved providers and service providers are required to keep in relation to the administration of the service and </w:t>
      </w:r>
      <w:r w:rsidR="009E5CC4">
        <w:t>care recipients. They</w:t>
      </w:r>
      <w:r w:rsidRPr="00D97114">
        <w:t xml:space="preserve"> also cover false and</w:t>
      </w:r>
      <w:r w:rsidR="00BD7752">
        <w:t>/or</w:t>
      </w:r>
      <w:r w:rsidRPr="00D97114">
        <w:t xml:space="preserve"> misleading records and the penalties that may apply.</w:t>
      </w:r>
      <w:r w:rsidR="00583078">
        <w:t xml:space="preserve"> </w:t>
      </w:r>
      <w:r w:rsidRPr="00493731">
        <w:t xml:space="preserve">The </w:t>
      </w:r>
      <w:proofErr w:type="gramStart"/>
      <w:r w:rsidRPr="00493731">
        <w:rPr>
          <w:i/>
        </w:rPr>
        <w:t>Records</w:t>
      </w:r>
      <w:proofErr w:type="gramEnd"/>
      <w:r w:rsidRPr="00493731">
        <w:rPr>
          <w:i/>
        </w:rPr>
        <w:t xml:space="preserve"> Principles 2014 </w:t>
      </w:r>
      <w:r w:rsidRPr="00493731">
        <w:t xml:space="preserve">focus on records relating to care recipients. Approved providers should also ensure service providers maintain the health records of individual care recipients in accordance with the local state </w:t>
      </w:r>
      <w:r w:rsidRPr="003E6C21">
        <w:t>or territory legislation and policy guidelines, as appropriate.</w:t>
      </w:r>
    </w:p>
    <w:p w14:paraId="57B822AB" w14:textId="372BC35B" w:rsidR="00605BA0" w:rsidRPr="003E6C21" w:rsidRDefault="00605BA0" w:rsidP="00CC6AD2">
      <w:pPr>
        <w:pStyle w:val="Heading3withoutnumbering"/>
      </w:pPr>
      <w:bookmarkStart w:id="374" w:name="_Toc110834677"/>
      <w:bookmarkStart w:id="375" w:name="_Toc245536199"/>
      <w:bookmarkStart w:id="376" w:name="_Toc395537213"/>
      <w:bookmarkStart w:id="377" w:name="_Toc422732570"/>
      <w:bookmarkStart w:id="378" w:name="_Toc422752909"/>
      <w:bookmarkStart w:id="379" w:name="_Toc197076935"/>
      <w:r w:rsidRPr="003E6C21">
        <w:t>Quality of care</w:t>
      </w:r>
      <w:bookmarkEnd w:id="374"/>
      <w:bookmarkEnd w:id="375"/>
      <w:bookmarkEnd w:id="376"/>
      <w:bookmarkEnd w:id="377"/>
      <w:bookmarkEnd w:id="378"/>
      <w:bookmarkEnd w:id="379"/>
    </w:p>
    <w:p w14:paraId="4E16D250" w14:textId="0FED1739" w:rsidR="003B3FB8" w:rsidRPr="003E6C21" w:rsidRDefault="00605BA0" w:rsidP="001E340F">
      <w:r w:rsidRPr="003E6C21">
        <w:t>Section 54-1</w:t>
      </w:r>
      <w:r w:rsidR="005230E1" w:rsidRPr="004D2004">
        <w:t>(1)</w:t>
      </w:r>
      <w:r w:rsidRPr="003E6C21">
        <w:t xml:space="preserve"> of the </w:t>
      </w:r>
      <w:r w:rsidR="00723838" w:rsidRPr="003E6C21">
        <w:t>Act</w:t>
      </w:r>
      <w:r w:rsidRPr="003E6C21">
        <w:t xml:space="preserve"> outlines the responsibilities of the approved providers (and their service providers) in relation to the quality of the care provided</w:t>
      </w:r>
      <w:r w:rsidR="00207444" w:rsidRPr="004D2004">
        <w:t xml:space="preserve">. </w:t>
      </w:r>
      <w:r w:rsidRPr="003E6C21">
        <w:t xml:space="preserve">Approved providers are required to ensure service providers </w:t>
      </w:r>
      <w:r w:rsidR="007B1295" w:rsidRPr="003E6C21">
        <w:t xml:space="preserve">have a workforce that is sufficient, and </w:t>
      </w:r>
      <w:r w:rsidR="00BD0DB8" w:rsidRPr="004D2004">
        <w:t xml:space="preserve">appropriately </w:t>
      </w:r>
      <w:r w:rsidR="007B1295" w:rsidRPr="003E6C21">
        <w:t>skilled to provide safe, respectful</w:t>
      </w:r>
      <w:r w:rsidR="007F0045">
        <w:t>,</w:t>
      </w:r>
      <w:r w:rsidR="007B1295" w:rsidRPr="003E6C21">
        <w:t xml:space="preserve"> quality care and services</w:t>
      </w:r>
      <w:r w:rsidRPr="003E6C21">
        <w:t>.</w:t>
      </w:r>
      <w:r w:rsidR="00207444" w:rsidRPr="004D2004">
        <w:t xml:space="preserve"> Approved providers must also comply with the Aged Care Quality Standards set out in Schedule 2 of the </w:t>
      </w:r>
      <w:proofErr w:type="gramStart"/>
      <w:r w:rsidR="00207444" w:rsidRPr="004D2004">
        <w:rPr>
          <w:i/>
        </w:rPr>
        <w:t>Quality of Care</w:t>
      </w:r>
      <w:proofErr w:type="gramEnd"/>
      <w:r w:rsidR="00207444" w:rsidRPr="004D2004">
        <w:rPr>
          <w:i/>
        </w:rPr>
        <w:t xml:space="preserve"> Principles</w:t>
      </w:r>
      <w:r w:rsidR="00207444" w:rsidRPr="004D2004">
        <w:t xml:space="preserve"> </w:t>
      </w:r>
      <w:r w:rsidR="00207444" w:rsidRPr="004D2004">
        <w:rPr>
          <w:i/>
        </w:rPr>
        <w:t>2014</w:t>
      </w:r>
      <w:r w:rsidR="00207444" w:rsidRPr="004D2004">
        <w:t xml:space="preserve">. </w:t>
      </w:r>
      <w:r w:rsidR="003E6C21" w:rsidRPr="004D2004">
        <w:t xml:space="preserve">Further, the </w:t>
      </w:r>
      <w:r w:rsidR="009B4F7B" w:rsidRPr="004D2004">
        <w:t xml:space="preserve">TCP </w:t>
      </w:r>
      <w:r w:rsidR="003E6C21" w:rsidRPr="004D2004">
        <w:t>P</w:t>
      </w:r>
      <w:r w:rsidRPr="003E6C21">
        <w:t xml:space="preserve">ayment </w:t>
      </w:r>
      <w:r w:rsidR="003E6C21" w:rsidRPr="004D2004">
        <w:t>A</w:t>
      </w:r>
      <w:r w:rsidRPr="003E6C21">
        <w:t xml:space="preserve">greement </w:t>
      </w:r>
      <w:r w:rsidR="003E6C21" w:rsidRPr="004D2004">
        <w:t>states that</w:t>
      </w:r>
      <w:r w:rsidRPr="003E6C21">
        <w:t xml:space="preserve"> approved providers</w:t>
      </w:r>
      <w:r w:rsidR="003E6C21" w:rsidRPr="004D2004">
        <w:t xml:space="preserve"> must ensure transition care is provided in accordance with the </w:t>
      </w:r>
      <w:r w:rsidRPr="003E6C21">
        <w:rPr>
          <w:i/>
        </w:rPr>
        <w:t xml:space="preserve">Transition Care Programme Quality Improvement Framework </w:t>
      </w:r>
      <w:r w:rsidR="00E70D7F" w:rsidRPr="003E6C21">
        <w:t>(</w:t>
      </w:r>
      <w:r w:rsidR="00E70D7F" w:rsidRPr="003E6C21">
        <w:rPr>
          <w:u w:val="single"/>
        </w:rPr>
        <w:t>Attachment A</w:t>
      </w:r>
      <w:r w:rsidR="00E70D7F" w:rsidRPr="003E6C21">
        <w:t>)</w:t>
      </w:r>
      <w:r w:rsidR="008D7C29" w:rsidRPr="004D2004">
        <w:t>.</w:t>
      </w:r>
    </w:p>
    <w:p w14:paraId="5C8F18E2" w14:textId="1D411668" w:rsidR="00605BA0" w:rsidRPr="00366082" w:rsidRDefault="00610063" w:rsidP="00B42C61">
      <w:pPr>
        <w:pStyle w:val="Heading3withoutnumbering"/>
      </w:pPr>
      <w:bookmarkStart w:id="380" w:name="_Toc110834678"/>
      <w:bookmarkStart w:id="381" w:name="_Toc245536200"/>
      <w:bookmarkStart w:id="382" w:name="_Toc395537214"/>
      <w:bookmarkStart w:id="383" w:name="_Toc197076936"/>
      <w:r>
        <w:t>Provider responsibilities</w:t>
      </w:r>
      <w:bookmarkEnd w:id="380"/>
      <w:bookmarkEnd w:id="381"/>
      <w:bookmarkEnd w:id="382"/>
      <w:bookmarkEnd w:id="383"/>
    </w:p>
    <w:p w14:paraId="78BA7D6D" w14:textId="360C92F6" w:rsidR="00605BA0" w:rsidRDefault="00605BA0" w:rsidP="001E340F">
      <w:r w:rsidRPr="00D97114">
        <w:t xml:space="preserve">Section 56-3 of the </w:t>
      </w:r>
      <w:r w:rsidR="00723838" w:rsidRPr="00D97114">
        <w:t>Act</w:t>
      </w:r>
      <w:r w:rsidRPr="00D97114">
        <w:t xml:space="preserve"> describes the responsibilities of the approved providers in relation to flexible care recipients</w:t>
      </w:r>
      <w:r w:rsidR="00BD7752">
        <w:t xml:space="preserve"> and</w:t>
      </w:r>
      <w:r w:rsidR="003B3FB8">
        <w:t xml:space="preserve"> </w:t>
      </w:r>
      <w:r w:rsidR="003B3FB8" w:rsidRPr="008302F1">
        <w:t>address</w:t>
      </w:r>
      <w:r w:rsidR="003D76F9">
        <w:t>es</w:t>
      </w:r>
      <w:r w:rsidR="003B3FB8" w:rsidRPr="008302F1">
        <w:t xml:space="preserve"> matters</w:t>
      </w:r>
      <w:r w:rsidR="00484F20" w:rsidRPr="008302F1">
        <w:t xml:space="preserve"> such as charging of fees, resolution of complaints, requirements for recipient agreements, and protection of personal information</w:t>
      </w:r>
      <w:r w:rsidRPr="008302F1">
        <w:t>.</w:t>
      </w:r>
    </w:p>
    <w:p w14:paraId="75672EC0" w14:textId="55AD5F4F" w:rsidR="00EE4D24" w:rsidRDefault="00EE4D24" w:rsidP="004D2004">
      <w:pPr>
        <w:pStyle w:val="Heading3withoutnumbering"/>
      </w:pPr>
      <w:bookmarkStart w:id="384" w:name="_Toc197076937"/>
      <w:r>
        <w:t>Notification of material change</w:t>
      </w:r>
      <w:r w:rsidR="000C75A1">
        <w:t>: key</w:t>
      </w:r>
      <w:r>
        <w:t xml:space="preserve"> personnel</w:t>
      </w:r>
      <w:bookmarkEnd w:id="384"/>
    </w:p>
    <w:p w14:paraId="78884AF1" w14:textId="2CBAF1CC" w:rsidR="000C75A1" w:rsidRDefault="000C75A1" w:rsidP="001E340F">
      <w:r>
        <w:t xml:space="preserve">Section 9-1 of the Act requires approved providers </w:t>
      </w:r>
      <w:r w:rsidRPr="000C75A1">
        <w:t>to notify the Aged Care Quality and Safety Commissioner of changes that materially affect their suitability to provide aged care within 28</w:t>
      </w:r>
      <w:r w:rsidR="003D76F9">
        <w:t> </w:t>
      </w:r>
      <w:r w:rsidRPr="000C75A1">
        <w:t>days after the change occurs.</w:t>
      </w:r>
    </w:p>
    <w:p w14:paraId="1FB00A18" w14:textId="77777777" w:rsidR="000C75A1" w:rsidRPr="000C75A1" w:rsidRDefault="000C75A1" w:rsidP="001E340F">
      <w:r w:rsidRPr="000C75A1">
        <w:t>A material change is one that is substantial or considerable in nature. For example, the approved provider:</w:t>
      </w:r>
    </w:p>
    <w:p w14:paraId="3F800F03" w14:textId="62BF63A5" w:rsidR="000C75A1" w:rsidRPr="000C75A1" w:rsidRDefault="000C75A1" w:rsidP="001E340F">
      <w:pPr>
        <w:pStyle w:val="ListParagraph"/>
      </w:pPr>
      <w:r w:rsidRPr="000C75A1">
        <w:t xml:space="preserve">is no longer an </w:t>
      </w:r>
      <w:r w:rsidR="00804A6C" w:rsidRPr="000C75A1">
        <w:t xml:space="preserve">incorporated </w:t>
      </w:r>
      <w:proofErr w:type="gramStart"/>
      <w:r w:rsidR="00804A6C" w:rsidRPr="000C75A1">
        <w:t>organisation</w:t>
      </w:r>
      <w:r w:rsidR="00804A6C">
        <w:t>;</w:t>
      </w:r>
      <w:proofErr w:type="gramEnd"/>
    </w:p>
    <w:p w14:paraId="2ECCCD31" w14:textId="61B502D3" w:rsidR="000C75A1" w:rsidRPr="000C75A1" w:rsidRDefault="000C75A1" w:rsidP="001E340F">
      <w:pPr>
        <w:pStyle w:val="ListParagraph"/>
      </w:pPr>
      <w:r w:rsidRPr="000C75A1">
        <w:t xml:space="preserve">is unable to meet any of the Aged Care Quality </w:t>
      </w:r>
      <w:proofErr w:type="gramStart"/>
      <w:r w:rsidRPr="000C75A1">
        <w:t>Standards</w:t>
      </w:r>
      <w:r w:rsidR="004D2004">
        <w:t>;</w:t>
      </w:r>
      <w:proofErr w:type="gramEnd"/>
    </w:p>
    <w:p w14:paraId="01E8A83F" w14:textId="55A14579" w:rsidR="000C75A1" w:rsidRPr="000C75A1" w:rsidRDefault="000C75A1" w:rsidP="00E330E4">
      <w:pPr>
        <w:pStyle w:val="ListBullet"/>
      </w:pPr>
      <w:r w:rsidRPr="000C75A1">
        <w:t xml:space="preserve">is unable to manage its financial responsibilities including subsidies and care recipient’s fees and </w:t>
      </w:r>
      <w:proofErr w:type="gramStart"/>
      <w:r w:rsidRPr="000C75A1">
        <w:t>payments</w:t>
      </w:r>
      <w:r w:rsidR="004D2004">
        <w:t>;</w:t>
      </w:r>
      <w:proofErr w:type="gramEnd"/>
    </w:p>
    <w:p w14:paraId="558B2B63" w14:textId="587B2F0D" w:rsidR="000C75A1" w:rsidRPr="000C75A1" w:rsidRDefault="000C75A1" w:rsidP="00E330E4">
      <w:pPr>
        <w:pStyle w:val="ListBullet"/>
      </w:pPr>
      <w:r w:rsidRPr="000C75A1">
        <w:t xml:space="preserve">makes a change which may affect the rights of aged care </w:t>
      </w:r>
      <w:proofErr w:type="gramStart"/>
      <w:r w:rsidRPr="000C75A1">
        <w:t>recipients</w:t>
      </w:r>
      <w:r w:rsidR="004D2004">
        <w:t>;</w:t>
      </w:r>
      <w:proofErr w:type="gramEnd"/>
    </w:p>
    <w:p w14:paraId="570C5F24" w14:textId="5F495E2B" w:rsidR="000C75A1" w:rsidRPr="000C75A1" w:rsidRDefault="000C75A1" w:rsidP="00E330E4">
      <w:pPr>
        <w:pStyle w:val="ListBullet"/>
      </w:pPr>
      <w:r w:rsidRPr="000C75A1">
        <w:t>makes substantial changes to its organisational or governance structure such as</w:t>
      </w:r>
      <w:r w:rsidR="007A67B8">
        <w:t>:</w:t>
      </w:r>
    </w:p>
    <w:p w14:paraId="10AAC152" w14:textId="4772EE6F" w:rsidR="000C75A1" w:rsidRPr="001B4B19" w:rsidRDefault="005C5811" w:rsidP="00E330E4">
      <w:pPr>
        <w:pStyle w:val="ListBullet2"/>
      </w:pPr>
      <w:r w:rsidRPr="001B4B19">
        <w:t>entering</w:t>
      </w:r>
      <w:r w:rsidR="000C75A1" w:rsidRPr="001B4B19">
        <w:t xml:space="preserve"> a sub-contract arrangement for delivery of clinical </w:t>
      </w:r>
      <w:proofErr w:type="gramStart"/>
      <w:r w:rsidR="000C75A1" w:rsidRPr="001B4B19">
        <w:t>care</w:t>
      </w:r>
      <w:r w:rsidR="00804A6C" w:rsidRPr="001B4B19">
        <w:t>;</w:t>
      </w:r>
      <w:proofErr w:type="gramEnd"/>
    </w:p>
    <w:p w14:paraId="01C72715" w14:textId="699681B5" w:rsidR="000C75A1" w:rsidRPr="001B4B19" w:rsidRDefault="000C75A1" w:rsidP="00E330E4">
      <w:pPr>
        <w:pStyle w:val="ListBullet2"/>
      </w:pPr>
      <w:r w:rsidRPr="001B4B19">
        <w:t>use of a management company to manage the day-to-day operations of the organisation</w:t>
      </w:r>
      <w:r w:rsidR="00804A6C" w:rsidRPr="001B4B19">
        <w:t>;</w:t>
      </w:r>
      <w:r w:rsidR="004D2004" w:rsidRPr="001B4B19">
        <w:t xml:space="preserve"> or</w:t>
      </w:r>
    </w:p>
    <w:p w14:paraId="5032FE42" w14:textId="256B579A" w:rsidR="000C75A1" w:rsidRPr="001B4B19" w:rsidRDefault="000C75A1" w:rsidP="00E330E4">
      <w:pPr>
        <w:pStyle w:val="ListBullet2"/>
      </w:pPr>
      <w:r w:rsidRPr="001B4B19">
        <w:t>change to key personnel</w:t>
      </w:r>
      <w:r w:rsidR="007A67B8" w:rsidRPr="001B4B19">
        <w:t>.</w:t>
      </w:r>
    </w:p>
    <w:p w14:paraId="4F789AD9" w14:textId="77777777" w:rsidR="00647A59" w:rsidRDefault="00647A59">
      <w:pPr>
        <w:spacing w:before="0" w:after="200" w:line="276" w:lineRule="auto"/>
      </w:pPr>
      <w:r>
        <w:br w:type="page"/>
      </w:r>
    </w:p>
    <w:p w14:paraId="4AD18DE0" w14:textId="69DC9CCF" w:rsidR="000C75A1" w:rsidRDefault="009321AC" w:rsidP="001E340F">
      <w:r>
        <w:lastRenderedPageBreak/>
        <w:t xml:space="preserve">See the process steps </w:t>
      </w:r>
      <w:r w:rsidR="003D76F9">
        <w:t xml:space="preserve">below </w:t>
      </w:r>
      <w:r>
        <w:t>for updating approved provider material/key personnel details:</w:t>
      </w:r>
    </w:p>
    <w:tbl>
      <w:tblPr>
        <w:tblStyle w:val="TableGridLight"/>
        <w:tblW w:w="0" w:type="auto"/>
        <w:tblLook w:val="04A0" w:firstRow="1" w:lastRow="0" w:firstColumn="1" w:lastColumn="0" w:noHBand="0" w:noVBand="1"/>
        <w:tblDescription w:val="This table list the process steps for updating approved provider material / key personnel details."/>
      </w:tblPr>
      <w:tblGrid>
        <w:gridCol w:w="1096"/>
        <w:gridCol w:w="8389"/>
      </w:tblGrid>
      <w:tr w:rsidR="009321AC" w:rsidRPr="009321AC" w14:paraId="48543CA0" w14:textId="77777777" w:rsidTr="003D76F9">
        <w:trPr>
          <w:trHeight w:val="1072"/>
          <w:tblHeader/>
        </w:trPr>
        <w:tc>
          <w:tcPr>
            <w:cnfStyle w:val="001000000000" w:firstRow="0" w:lastRow="0" w:firstColumn="1" w:lastColumn="0" w:oddVBand="0" w:evenVBand="0" w:oddHBand="0" w:evenHBand="0" w:firstRowFirstColumn="0" w:firstRowLastColumn="0" w:lastRowFirstColumn="0" w:lastRowLastColumn="0"/>
            <w:tcW w:w="1707" w:type="dxa"/>
            <w:hideMark/>
          </w:tcPr>
          <w:p w14:paraId="5CB3FBDF" w14:textId="77777777" w:rsidR="009321AC" w:rsidRPr="005E09CD" w:rsidRDefault="009321AC" w:rsidP="005E09CD">
            <w:r w:rsidRPr="005E09CD">
              <w:t>Step 1</w:t>
            </w:r>
          </w:p>
        </w:tc>
        <w:tc>
          <w:tcPr>
            <w:tcW w:w="10883" w:type="dxa"/>
            <w:hideMark/>
          </w:tcPr>
          <w:p w14:paraId="7FD2780B" w14:textId="1B4225F2" w:rsidR="009321AC" w:rsidRPr="009321AC" w:rsidRDefault="009321AC" w:rsidP="003D76F9">
            <w:pPr>
              <w:pStyle w:val="TableofFigures"/>
              <w:spacing w:after="0"/>
              <w:cnfStyle w:val="000000000000" w:firstRow="0" w:lastRow="0" w:firstColumn="0" w:lastColumn="0" w:oddVBand="0" w:evenVBand="0" w:oddHBand="0" w:evenHBand="0" w:firstRowFirstColumn="0" w:firstRowLastColumn="0" w:lastRowFirstColumn="0" w:lastRowLastColumn="0"/>
            </w:pPr>
            <w:r w:rsidRPr="009321AC">
              <w:t xml:space="preserve">Register the new personnel on PRODA (Provider Digital Access system). PRODA is </w:t>
            </w:r>
            <w:r w:rsidRPr="009321AC">
              <w:rPr>
                <w:lang w:val="en"/>
              </w:rPr>
              <w:t xml:space="preserve">the online identity verification and authentication system, needed to access the Aged Care Provider Portal </w:t>
            </w:r>
            <w:hyperlink r:id="rId49" w:history="1">
              <w:r w:rsidR="007A67B8" w:rsidRPr="00AC1B25">
                <w:rPr>
                  <w:rStyle w:val="Hyperlink"/>
                  <w:sz w:val="20"/>
                </w:rPr>
                <w:t>www.servicesaustralia.gov.au/organisations/business/services/proda-provider-digital-access</w:t>
              </w:r>
            </w:hyperlink>
          </w:p>
        </w:tc>
      </w:tr>
      <w:tr w:rsidR="009321AC" w:rsidRPr="009321AC" w14:paraId="1B2E4DCC" w14:textId="77777777" w:rsidTr="005E09CD">
        <w:trPr>
          <w:trHeight w:val="240"/>
        </w:trPr>
        <w:tc>
          <w:tcPr>
            <w:cnfStyle w:val="001000000000" w:firstRow="0" w:lastRow="0" w:firstColumn="1" w:lastColumn="0" w:oddVBand="0" w:evenVBand="0" w:oddHBand="0" w:evenHBand="0" w:firstRowFirstColumn="0" w:firstRowLastColumn="0" w:lastRowFirstColumn="0" w:lastRowLastColumn="0"/>
            <w:tcW w:w="1707" w:type="dxa"/>
            <w:hideMark/>
          </w:tcPr>
          <w:p w14:paraId="62A69F10" w14:textId="77777777" w:rsidR="009321AC" w:rsidRPr="005E09CD" w:rsidRDefault="009321AC" w:rsidP="005E09CD">
            <w:r w:rsidRPr="005E09CD">
              <w:t>Step 2</w:t>
            </w:r>
          </w:p>
        </w:tc>
        <w:tc>
          <w:tcPr>
            <w:tcW w:w="10883" w:type="dxa"/>
          </w:tcPr>
          <w:p w14:paraId="2D3119F5" w14:textId="53B6889C" w:rsidR="009321AC" w:rsidRPr="00471400" w:rsidRDefault="009321AC" w:rsidP="003D76F9">
            <w:pPr>
              <w:spacing w:before="0"/>
              <w:cnfStyle w:val="000000000000" w:firstRow="0" w:lastRow="0" w:firstColumn="0" w:lastColumn="0" w:oddVBand="0" w:evenVBand="0" w:oddHBand="0" w:evenHBand="0" w:firstRowFirstColumn="0" w:firstRowLastColumn="0" w:lastRowFirstColumn="0" w:lastRowLastColumn="0"/>
              <w:rPr>
                <w:szCs w:val="20"/>
              </w:rPr>
            </w:pPr>
            <w:r w:rsidRPr="00471400">
              <w:rPr>
                <w:szCs w:val="20"/>
              </w:rPr>
              <w:t>Submit a Notification of a Material Change form to the Aged Care Quality and Safety Commission (as part of its notification processing, the Commission will update NAPS)</w:t>
            </w:r>
          </w:p>
          <w:p w14:paraId="4FBD8A1E" w14:textId="6D542D00" w:rsidR="009321AC" w:rsidRPr="00471400" w:rsidRDefault="009321AC" w:rsidP="00471400">
            <w:pPr>
              <w:pStyle w:val="TableofFigures"/>
              <w:cnfStyle w:val="000000000000" w:firstRow="0" w:lastRow="0" w:firstColumn="0" w:lastColumn="0" w:oddVBand="0" w:evenVBand="0" w:oddHBand="0" w:evenHBand="0" w:firstRowFirstColumn="0" w:firstRowLastColumn="0" w:lastRowFirstColumn="0" w:lastRowLastColumn="0"/>
            </w:pPr>
            <w:r w:rsidRPr="00471400">
              <w:t xml:space="preserve">Process and requirement information: </w:t>
            </w:r>
            <w:hyperlink r:id="rId50" w:history="1">
              <w:r w:rsidR="003D76F9" w:rsidRPr="00432303">
                <w:rPr>
                  <w:rStyle w:val="Hyperlink"/>
                  <w:rFonts w:asciiTheme="minorHAnsi" w:hAnsiTheme="minorHAnsi"/>
                  <w:sz w:val="20"/>
                </w:rPr>
                <w:t>https://www.agedcarequality.gov.au/providers/notifying-material-changes-approved-providers</w:t>
              </w:r>
            </w:hyperlink>
            <w:r w:rsidR="003D76F9">
              <w:t>.</w:t>
            </w:r>
          </w:p>
          <w:p w14:paraId="078F2FED" w14:textId="7F0B3BEC" w:rsidR="009321AC" w:rsidRPr="00471400" w:rsidRDefault="009321AC" w:rsidP="00471400">
            <w:pPr>
              <w:cnfStyle w:val="000000000000" w:firstRow="0" w:lastRow="0" w:firstColumn="0" w:lastColumn="0" w:oddVBand="0" w:evenVBand="0" w:oddHBand="0" w:evenHBand="0" w:firstRowFirstColumn="0" w:firstRowLastColumn="0" w:lastRowFirstColumn="0" w:lastRowLastColumn="0"/>
              <w:rPr>
                <w:szCs w:val="20"/>
              </w:rPr>
            </w:pPr>
            <w:r w:rsidRPr="00471400">
              <w:rPr>
                <w:szCs w:val="20"/>
              </w:rPr>
              <w:t xml:space="preserve">Form: </w:t>
            </w:r>
            <w:hyperlink r:id="rId51" w:history="1">
              <w:r w:rsidRPr="00471400">
                <w:rPr>
                  <w:rStyle w:val="Hyperlink"/>
                  <w:sz w:val="20"/>
                  <w:szCs w:val="20"/>
                </w:rPr>
                <w:t>here</w:t>
              </w:r>
            </w:hyperlink>
          </w:p>
        </w:tc>
      </w:tr>
      <w:tr w:rsidR="009321AC" w:rsidRPr="009321AC" w14:paraId="72048293" w14:textId="77777777" w:rsidTr="003D76F9">
        <w:trPr>
          <w:trHeight w:val="787"/>
        </w:trPr>
        <w:tc>
          <w:tcPr>
            <w:cnfStyle w:val="001000000000" w:firstRow="0" w:lastRow="0" w:firstColumn="1" w:lastColumn="0" w:oddVBand="0" w:evenVBand="0" w:oddHBand="0" w:evenHBand="0" w:firstRowFirstColumn="0" w:firstRowLastColumn="0" w:lastRowFirstColumn="0" w:lastRowLastColumn="0"/>
            <w:tcW w:w="1707" w:type="dxa"/>
            <w:hideMark/>
          </w:tcPr>
          <w:p w14:paraId="5A6B5583" w14:textId="77777777" w:rsidR="009321AC" w:rsidRPr="005E09CD" w:rsidRDefault="009321AC" w:rsidP="005E09CD">
            <w:r w:rsidRPr="005E09CD">
              <w:t>Step 3</w:t>
            </w:r>
          </w:p>
        </w:tc>
        <w:tc>
          <w:tcPr>
            <w:tcW w:w="10883" w:type="dxa"/>
          </w:tcPr>
          <w:p w14:paraId="71520130" w14:textId="49F31E24" w:rsidR="009321AC" w:rsidRPr="009321AC" w:rsidRDefault="009321AC" w:rsidP="001B4B19">
            <w:pPr>
              <w:pStyle w:val="TableofFigures"/>
              <w:cnfStyle w:val="000000000000" w:firstRow="0" w:lastRow="0" w:firstColumn="0" w:lastColumn="0" w:oddVBand="0" w:evenVBand="0" w:oddHBand="0" w:evenHBand="0" w:firstRowFirstColumn="0" w:firstRowLastColumn="0" w:lastRowFirstColumn="0" w:lastRowLastColumn="0"/>
            </w:pPr>
            <w:r w:rsidRPr="009321AC">
              <w:t xml:space="preserve">Submit a </w:t>
            </w:r>
            <w:r w:rsidRPr="009321AC">
              <w:rPr>
                <w:i/>
              </w:rPr>
              <w:t>Register, amend or remove users for Aged Care Provider Portal</w:t>
            </w:r>
            <w:r w:rsidRPr="009321AC">
              <w:t xml:space="preserve"> form (AC004) to Services Australia to enable updates to the ACPP (and the payments system). Information and form link: </w:t>
            </w:r>
            <w:hyperlink r:id="rId52" w:history="1">
              <w:r w:rsidRPr="00AC1B25">
                <w:rPr>
                  <w:rStyle w:val="Hyperlink"/>
                  <w:sz w:val="20"/>
                </w:rPr>
                <w:t>here</w:t>
              </w:r>
            </w:hyperlink>
          </w:p>
        </w:tc>
      </w:tr>
      <w:tr w:rsidR="009321AC" w:rsidRPr="009321AC" w14:paraId="5BA856A0" w14:textId="77777777" w:rsidTr="003D76F9">
        <w:trPr>
          <w:trHeight w:val="838"/>
        </w:trPr>
        <w:tc>
          <w:tcPr>
            <w:cnfStyle w:val="001000000000" w:firstRow="0" w:lastRow="0" w:firstColumn="1" w:lastColumn="0" w:oddVBand="0" w:evenVBand="0" w:oddHBand="0" w:evenHBand="0" w:firstRowFirstColumn="0" w:firstRowLastColumn="0" w:lastRowFirstColumn="0" w:lastRowLastColumn="0"/>
            <w:tcW w:w="1707" w:type="dxa"/>
            <w:hideMark/>
          </w:tcPr>
          <w:p w14:paraId="32123039" w14:textId="77777777" w:rsidR="009321AC" w:rsidRPr="005E09CD" w:rsidRDefault="009321AC" w:rsidP="005E09CD">
            <w:r w:rsidRPr="005E09CD">
              <w:t>Step 4</w:t>
            </w:r>
          </w:p>
        </w:tc>
        <w:tc>
          <w:tcPr>
            <w:tcW w:w="10883" w:type="dxa"/>
          </w:tcPr>
          <w:p w14:paraId="2A7167D0" w14:textId="51A9ED8E" w:rsidR="009321AC" w:rsidRPr="006C57AF" w:rsidRDefault="009321AC" w:rsidP="001B4B19">
            <w:pPr>
              <w:pStyle w:val="TableofFigures"/>
              <w:cnfStyle w:val="000000000000" w:firstRow="0" w:lastRow="0" w:firstColumn="0" w:lastColumn="0" w:oddVBand="0" w:evenVBand="0" w:oddHBand="0" w:evenHBand="0" w:firstRowFirstColumn="0" w:firstRowLastColumn="0" w:lastRowFirstColumn="0" w:lastRowLastColumn="0"/>
            </w:pPr>
            <w:r w:rsidRPr="009321AC">
              <w:t>If required, update the My Aged Care provider portal with new user details and deactivate previous users – see section 1.5 and 2.5 of</w:t>
            </w:r>
            <w:r>
              <w:t xml:space="preserve"> the</w:t>
            </w:r>
            <w:r w:rsidR="00B06E49">
              <w:t xml:space="preserve"> </w:t>
            </w:r>
            <w:hyperlink r:id="rId53" w:history="1">
              <w:r w:rsidRPr="00AC1B25">
                <w:rPr>
                  <w:rStyle w:val="Hyperlink"/>
                  <w:sz w:val="20"/>
                </w:rPr>
                <w:t>My Aged Care Provider Portal User Guide Part 1: Administrator Functions</w:t>
              </w:r>
            </w:hyperlink>
          </w:p>
        </w:tc>
      </w:tr>
      <w:tr w:rsidR="009321AC" w:rsidRPr="009321AC" w14:paraId="3A501CDB" w14:textId="77777777" w:rsidTr="003D76F9">
        <w:trPr>
          <w:trHeight w:val="553"/>
        </w:trPr>
        <w:tc>
          <w:tcPr>
            <w:cnfStyle w:val="001000000000" w:firstRow="0" w:lastRow="0" w:firstColumn="1" w:lastColumn="0" w:oddVBand="0" w:evenVBand="0" w:oddHBand="0" w:evenHBand="0" w:firstRowFirstColumn="0" w:firstRowLastColumn="0" w:lastRowFirstColumn="0" w:lastRowLastColumn="0"/>
            <w:tcW w:w="1707" w:type="dxa"/>
            <w:hideMark/>
          </w:tcPr>
          <w:p w14:paraId="64101D93" w14:textId="0240002A" w:rsidR="009321AC" w:rsidRPr="005E09CD" w:rsidRDefault="009321AC" w:rsidP="005E09CD">
            <w:r w:rsidRPr="005E09CD">
              <w:t>Step 5</w:t>
            </w:r>
          </w:p>
        </w:tc>
        <w:tc>
          <w:tcPr>
            <w:tcW w:w="10883" w:type="dxa"/>
          </w:tcPr>
          <w:p w14:paraId="42A11FDC" w14:textId="026CE623" w:rsidR="009321AC" w:rsidRPr="009321AC" w:rsidRDefault="009321AC" w:rsidP="001B4B19">
            <w:pPr>
              <w:pStyle w:val="TableofFigures"/>
              <w:cnfStyle w:val="000000000000" w:firstRow="0" w:lastRow="0" w:firstColumn="0" w:lastColumn="0" w:oddVBand="0" w:evenVBand="0" w:oddHBand="0" w:evenHBand="0" w:firstRowFirstColumn="0" w:firstRowLastColumn="0" w:lastRowFirstColumn="0" w:lastRowLastColumn="0"/>
            </w:pPr>
            <w:r w:rsidRPr="009321AC">
              <w:t xml:space="preserve">Send </w:t>
            </w:r>
            <w:r w:rsidR="003D76F9">
              <w:t xml:space="preserve">a </w:t>
            </w:r>
            <w:r w:rsidRPr="009321AC">
              <w:t xml:space="preserve">notification email with new material/key personnel details to </w:t>
            </w:r>
            <w:hyperlink r:id="rId54" w:history="1">
              <w:r w:rsidRPr="00AC1B25">
                <w:rPr>
                  <w:rStyle w:val="Hyperlink"/>
                  <w:sz w:val="20"/>
                </w:rPr>
                <w:t>TCP@health.gov.au</w:t>
              </w:r>
            </w:hyperlink>
            <w:r>
              <w:t xml:space="preserve"> (the Department will ensure the relevant state or territory office is notified).</w:t>
            </w:r>
          </w:p>
        </w:tc>
      </w:tr>
    </w:tbl>
    <w:p w14:paraId="09054928" w14:textId="701C9F98" w:rsidR="00FB050A" w:rsidRDefault="00FB050A" w:rsidP="000E125E">
      <w:pPr>
        <w:pStyle w:val="Heading3withoutnumbering"/>
        <w:spacing w:before="200"/>
      </w:pPr>
      <w:bookmarkStart w:id="385" w:name="_Toc197076938"/>
      <w:r>
        <w:t>Notification of deceased TCP recipient</w:t>
      </w:r>
      <w:bookmarkEnd w:id="385"/>
    </w:p>
    <w:p w14:paraId="4BD5A980" w14:textId="34F754C4" w:rsidR="00FB050A" w:rsidRDefault="00FB050A" w:rsidP="001E340F">
      <w:r w:rsidRPr="00CF16CD">
        <w:t>Where a current TCP recipient passes away</w:t>
      </w:r>
      <w:r w:rsidR="00BE6E55">
        <w:t>,</w:t>
      </w:r>
      <w:r w:rsidRPr="006C57AF">
        <w:t xml:space="preserve"> the respons</w:t>
      </w:r>
      <w:r w:rsidRPr="00CF16CD">
        <w:t>ible TCP service provider is to</w:t>
      </w:r>
      <w:r w:rsidRPr="006C57AF">
        <w:t xml:space="preserve"> update the client’s reco</w:t>
      </w:r>
      <w:r w:rsidRPr="00CF16CD">
        <w:t xml:space="preserve">rd in the My Aged Care system. </w:t>
      </w:r>
      <w:r w:rsidR="00D80648" w:rsidRPr="006C57AF">
        <w:t>Several</w:t>
      </w:r>
      <w:r w:rsidRPr="006C57AF">
        <w:t xml:space="preserve"> processes are triggered to inactivate a client record when the client</w:t>
      </w:r>
      <w:r w:rsidR="00393C26">
        <w:t>’s</w:t>
      </w:r>
      <w:r w:rsidRPr="006C57AF">
        <w:t xml:space="preserve"> status is marked as </w:t>
      </w:r>
      <w:r w:rsidR="00A647C4" w:rsidRPr="006C57AF">
        <w:t>deceased and</w:t>
      </w:r>
      <w:r w:rsidRPr="006C57AF">
        <w:t xml:space="preserve"> will prevent the client or their representative from receiving further correspondence from My Aged Care (which can understandably be upsetting when the client has passed away).</w:t>
      </w:r>
    </w:p>
    <w:p w14:paraId="182580C0" w14:textId="4ED8FC8E" w:rsidR="00FB050A" w:rsidRDefault="00FB050A" w:rsidP="001E340F">
      <w:r w:rsidRPr="006C57AF">
        <w:t xml:space="preserve">This is in addition to the standard service provider requirements in respect to ensuring accurate claims reporting, including selection of </w:t>
      </w:r>
      <w:r w:rsidRPr="00CF16CD">
        <w:t>the ‘deceased’ discharge code.</w:t>
      </w:r>
    </w:p>
    <w:p w14:paraId="6CDAD244" w14:textId="0F7BB913" w:rsidR="00FB050A" w:rsidRPr="005E2B34" w:rsidRDefault="00FB050A" w:rsidP="001E340F">
      <w:r w:rsidRPr="006C57AF">
        <w:t xml:space="preserve">In the unfortunate instance that a TCP service provider is first to discover a care recipient is deceased when delivering care and services, it is expected that the service provider </w:t>
      </w:r>
      <w:r w:rsidR="00A647C4" w:rsidRPr="006C57AF">
        <w:t>follows</w:t>
      </w:r>
      <w:r w:rsidRPr="006C57AF">
        <w:t xml:space="preserve"> the approved provider’s guidance protocols in relation to notifying emergency services and the appropriate key contact person for the recipient, and any other reporting and notification processes the approved provider has in place.</w:t>
      </w:r>
      <w:r w:rsidR="005E2B34">
        <w:t xml:space="preserve"> For approved providers delivering transition care in a residential setting, a</w:t>
      </w:r>
      <w:r w:rsidR="005E2B34" w:rsidRPr="005E2B34">
        <w:t xml:space="preserve">ll unexpected deaths are considered Priority 1 reportable incidents </w:t>
      </w:r>
      <w:r w:rsidR="005E2B34">
        <w:t xml:space="preserve">under the SIRS </w:t>
      </w:r>
      <w:r w:rsidR="005E2B34" w:rsidRPr="005E2B34">
        <w:t>and must be reported to the Commission within 24 hours</w:t>
      </w:r>
      <w:r w:rsidR="005E2B34">
        <w:t xml:space="preserve"> (for more information on SIRS, see </w:t>
      </w:r>
      <w:r w:rsidR="005E2B34" w:rsidRPr="006C57AF">
        <w:rPr>
          <w:i/>
        </w:rPr>
        <w:t>6.1.2 Serious and immediate health and safety risk management and reporting</w:t>
      </w:r>
      <w:r w:rsidR="005E2B34">
        <w:t>).</w:t>
      </w:r>
    </w:p>
    <w:p w14:paraId="256AAAF2" w14:textId="4756312B" w:rsidR="00605BA0" w:rsidRPr="00366082" w:rsidRDefault="00605BA0" w:rsidP="00B42C61">
      <w:pPr>
        <w:pStyle w:val="Heading2"/>
      </w:pPr>
      <w:bookmarkStart w:id="386" w:name="_Ref29346789"/>
      <w:bookmarkStart w:id="387" w:name="_Ref29347327"/>
      <w:bookmarkStart w:id="388" w:name="_Ref29347943"/>
      <w:bookmarkStart w:id="389" w:name="_Toc29371700"/>
      <w:bookmarkStart w:id="390" w:name="_Toc110834679"/>
      <w:bookmarkStart w:id="391" w:name="_Toc245536201"/>
      <w:bookmarkStart w:id="392" w:name="_Toc395537215"/>
      <w:bookmarkStart w:id="393" w:name="_Toc422732571"/>
      <w:bookmarkStart w:id="394" w:name="_Toc422752910"/>
      <w:bookmarkStart w:id="395" w:name="_Toc197076939"/>
      <w:r w:rsidRPr="00366082">
        <w:t>Transition care payment agreement</w:t>
      </w:r>
      <w:bookmarkEnd w:id="386"/>
      <w:bookmarkEnd w:id="387"/>
      <w:bookmarkEnd w:id="388"/>
      <w:bookmarkEnd w:id="389"/>
      <w:bookmarkEnd w:id="390"/>
      <w:bookmarkEnd w:id="391"/>
      <w:bookmarkEnd w:id="392"/>
      <w:bookmarkEnd w:id="393"/>
      <w:bookmarkEnd w:id="394"/>
      <w:bookmarkEnd w:id="395"/>
    </w:p>
    <w:p w14:paraId="082CD292" w14:textId="1F31F34A" w:rsidR="00605BA0" w:rsidRPr="00493731" w:rsidRDefault="00926A3C" w:rsidP="001E340F">
      <w:r>
        <w:t>Paragraph</w:t>
      </w:r>
      <w:r w:rsidR="00C04635" w:rsidRPr="00D97114">
        <w:t xml:space="preserve"> 111(</w:t>
      </w:r>
      <w:r w:rsidR="00605BA0" w:rsidRPr="00D97114">
        <w:t>3</w:t>
      </w:r>
      <w:r w:rsidR="00C04635" w:rsidRPr="00D97114">
        <w:t>)</w:t>
      </w:r>
      <w:r w:rsidR="00605BA0" w:rsidRPr="00D97114">
        <w:t xml:space="preserve">(a) of the </w:t>
      </w:r>
      <w:r w:rsidR="00605BA0" w:rsidRPr="00D97114">
        <w:rPr>
          <w:i/>
        </w:rPr>
        <w:t>Subsidy Principles 2014</w:t>
      </w:r>
      <w:r w:rsidR="00605BA0" w:rsidRPr="00D97114">
        <w:t xml:space="preserve"> sets out the requirements </w:t>
      </w:r>
      <w:r w:rsidR="009E5CC4">
        <w:t xml:space="preserve">for a payment agreement to be in place </w:t>
      </w:r>
      <w:r w:rsidR="0064270C">
        <w:t>for</w:t>
      </w:r>
      <w:r w:rsidR="009E5CC4">
        <w:t xml:space="preserve"> an approved provider t</w:t>
      </w:r>
      <w:r w:rsidR="009F3C7B">
        <w:t>o be eligible for flexible care</w:t>
      </w:r>
      <w:r w:rsidR="0066554D">
        <w:t xml:space="preserve"> subsidy</w:t>
      </w:r>
      <w:r w:rsidR="00605BA0" w:rsidRPr="00D97114">
        <w:t>.</w:t>
      </w:r>
      <w:r w:rsidR="00583078">
        <w:t xml:space="preserve"> </w:t>
      </w:r>
      <w:r w:rsidR="007A67B8" w:rsidRPr="00493731">
        <w:t>For</w:t>
      </w:r>
      <w:r w:rsidR="00605BA0" w:rsidRPr="00493731">
        <w:t xml:space="preserve"> payment of flexible care subsidy to be made, approved providers are required to enter into a payment agreement with the</w:t>
      </w:r>
      <w:r w:rsidR="0066554D">
        <w:t xml:space="preserve"> Secretary of the</w:t>
      </w:r>
      <w:r w:rsidR="00605BA0" w:rsidRPr="00493731">
        <w:t xml:space="preserve"> </w:t>
      </w:r>
      <w:r w:rsidR="0066554D">
        <w:t>Department</w:t>
      </w:r>
      <w:r w:rsidR="00605BA0" w:rsidRPr="00493731">
        <w:t>. Adherence to the payment agreement forms one of the conditions of allocation of flexible car</w:t>
      </w:r>
      <w:bookmarkStart w:id="396" w:name="_Toc521122381"/>
      <w:bookmarkStart w:id="397" w:name="_Ref29345431"/>
      <w:bookmarkStart w:id="398" w:name="_Ref29348194"/>
      <w:bookmarkStart w:id="399" w:name="_Toc29371701"/>
      <w:bookmarkStart w:id="400" w:name="_Toc110834680"/>
      <w:bookmarkStart w:id="401" w:name="_Toc245536202"/>
      <w:r w:rsidR="00605BA0" w:rsidRPr="00493731">
        <w:t>e places for transition care.</w:t>
      </w:r>
      <w:r w:rsidR="00484F20">
        <w:t xml:space="preserve"> The payment agreement sets out the requirements and specifications of the recipient agreement.</w:t>
      </w:r>
    </w:p>
    <w:p w14:paraId="3A96D78C" w14:textId="07DACBC4" w:rsidR="00605BA0" w:rsidRPr="00493731" w:rsidRDefault="00605BA0" w:rsidP="00493731">
      <w:pPr>
        <w:pStyle w:val="Heading3withoutnumbering"/>
      </w:pPr>
      <w:bookmarkStart w:id="402" w:name="_Toc395537216"/>
      <w:bookmarkStart w:id="403" w:name="_Toc422732572"/>
      <w:bookmarkStart w:id="404" w:name="_Toc422752911"/>
      <w:bookmarkStart w:id="405" w:name="_Ref77243036"/>
      <w:bookmarkStart w:id="406" w:name="_Toc197076940"/>
      <w:r w:rsidRPr="00493731">
        <w:t>Conditions of allocation</w:t>
      </w:r>
      <w:bookmarkEnd w:id="396"/>
      <w:bookmarkEnd w:id="397"/>
      <w:bookmarkEnd w:id="398"/>
      <w:bookmarkEnd w:id="399"/>
      <w:r w:rsidRPr="00493731">
        <w:t xml:space="preserve"> of flexible care places for transition care</w:t>
      </w:r>
      <w:bookmarkEnd w:id="400"/>
      <w:bookmarkEnd w:id="401"/>
      <w:bookmarkEnd w:id="402"/>
      <w:bookmarkEnd w:id="403"/>
      <w:bookmarkEnd w:id="404"/>
      <w:bookmarkEnd w:id="405"/>
      <w:bookmarkEnd w:id="406"/>
    </w:p>
    <w:p w14:paraId="47D7EBA7" w14:textId="294AE636" w:rsidR="00605BA0" w:rsidRPr="00936422" w:rsidRDefault="00605BA0" w:rsidP="001E340F">
      <w:pPr>
        <w:rPr>
          <w:sz w:val="22"/>
          <w:szCs w:val="22"/>
        </w:rPr>
      </w:pPr>
      <w:r w:rsidRPr="00D97114">
        <w:t xml:space="preserve">An allocation of flexible care places for transition care may be subject to conditions in respect to the allocation of places generally or allocations of places of a specific kind. Sections 14-5 and 14-6 of the </w:t>
      </w:r>
      <w:r w:rsidR="00723838" w:rsidRPr="00D97114">
        <w:t>Act</w:t>
      </w:r>
      <w:r w:rsidRPr="00D97114">
        <w:t xml:space="preserve"> set out </w:t>
      </w:r>
      <w:r w:rsidR="00184FBD" w:rsidRPr="00D97114">
        <w:t>the requirements in relation to</w:t>
      </w:r>
      <w:r w:rsidRPr="00D97114">
        <w:t xml:space="preserve"> conditions of allocations.</w:t>
      </w:r>
      <w:r w:rsidR="00936422">
        <w:t xml:space="preserve"> </w:t>
      </w:r>
      <w:r w:rsidRPr="00493731">
        <w:t xml:space="preserve">The </w:t>
      </w:r>
      <w:r w:rsidR="006C4FA4">
        <w:t>Department</w:t>
      </w:r>
      <w:r w:rsidRPr="00493731">
        <w:t xml:space="preserve"> allocates transition care places to approved providers of transition care</w:t>
      </w:r>
      <w:r w:rsidR="008B2F3A">
        <w:t>, in respect of specific transition care services,</w:t>
      </w:r>
      <w:r w:rsidRPr="00493731">
        <w:t xml:space="preserve"> under the Act. These conditions can be specific in terms of determining the area in which the places are to apply or the target group for </w:t>
      </w:r>
      <w:r w:rsidR="0064270C" w:rsidRPr="00493731">
        <w:t>places</w:t>
      </w:r>
      <w:r w:rsidRPr="00493731">
        <w:t>. They also cover general conditions such as meeting the requirements of the Act</w:t>
      </w:r>
      <w:r w:rsidR="00D27C20">
        <w:t xml:space="preserve"> and the Principles</w:t>
      </w:r>
      <w:r w:rsidRPr="00493731">
        <w:t>, such as entering into a payment agreement with the Australian Government, reporting and provision of information to the Department and specific matters including those outlined below.</w:t>
      </w:r>
    </w:p>
    <w:p w14:paraId="41783EAF" w14:textId="08831133" w:rsidR="00605BA0" w:rsidRPr="00366082" w:rsidRDefault="00605BA0" w:rsidP="00B42C61">
      <w:pPr>
        <w:pStyle w:val="Heading3withoutnumbering"/>
      </w:pPr>
      <w:bookmarkStart w:id="407" w:name="_Toc521122382"/>
      <w:bookmarkStart w:id="408" w:name="_Toc29371702"/>
      <w:bookmarkStart w:id="409" w:name="_Toc110834681"/>
      <w:bookmarkStart w:id="410" w:name="_Toc245536203"/>
      <w:bookmarkStart w:id="411" w:name="_Toc395537217"/>
      <w:bookmarkStart w:id="412" w:name="_Toc422732573"/>
      <w:bookmarkStart w:id="413" w:name="_Toc422752912"/>
      <w:bookmarkStart w:id="414" w:name="_Toc197076941"/>
      <w:r w:rsidRPr="00366082">
        <w:lastRenderedPageBreak/>
        <w:t>Provision of information to the Department</w:t>
      </w:r>
      <w:bookmarkEnd w:id="407"/>
      <w:bookmarkEnd w:id="408"/>
      <w:bookmarkEnd w:id="409"/>
      <w:bookmarkEnd w:id="410"/>
      <w:bookmarkEnd w:id="411"/>
      <w:bookmarkEnd w:id="412"/>
      <w:bookmarkEnd w:id="413"/>
      <w:bookmarkEnd w:id="414"/>
    </w:p>
    <w:p w14:paraId="3D099152" w14:textId="526ACEBF" w:rsidR="00605BA0" w:rsidRPr="00936422" w:rsidRDefault="00605BA0" w:rsidP="001E340F">
      <w:r w:rsidRPr="00493731">
        <w:t>Approved providers must participate in any monitoring and evaluation programmes undertaken by the Department. As such, approved providers must provide the Department with any relevant information when requested, including items specified in the payment agreement.</w:t>
      </w:r>
    </w:p>
    <w:p w14:paraId="3318D726" w14:textId="02D45F25" w:rsidR="00605BA0" w:rsidRPr="00366082" w:rsidRDefault="00605BA0" w:rsidP="00B42C61">
      <w:pPr>
        <w:pStyle w:val="Heading3withoutnumbering"/>
      </w:pPr>
      <w:bookmarkStart w:id="415" w:name="_Toc521122385"/>
      <w:bookmarkStart w:id="416" w:name="_Toc29371703"/>
      <w:bookmarkStart w:id="417" w:name="_Toc110834682"/>
      <w:bookmarkStart w:id="418" w:name="_Toc245536204"/>
      <w:bookmarkStart w:id="419" w:name="_Toc395537218"/>
      <w:bookmarkStart w:id="420" w:name="_Toc422732574"/>
      <w:bookmarkStart w:id="421" w:name="_Toc422752913"/>
      <w:bookmarkStart w:id="422" w:name="_Toc197076942"/>
      <w:r w:rsidRPr="00366082">
        <w:t>Insurance</w:t>
      </w:r>
      <w:bookmarkEnd w:id="415"/>
      <w:bookmarkEnd w:id="416"/>
      <w:bookmarkEnd w:id="417"/>
      <w:bookmarkEnd w:id="418"/>
      <w:bookmarkEnd w:id="419"/>
      <w:bookmarkEnd w:id="420"/>
      <w:bookmarkEnd w:id="421"/>
      <w:bookmarkEnd w:id="422"/>
    </w:p>
    <w:p w14:paraId="5B0296E8" w14:textId="50A0B526" w:rsidR="00605BA0" w:rsidRPr="00936422" w:rsidRDefault="00605BA0" w:rsidP="001E340F">
      <w:r w:rsidRPr="00493731">
        <w:t>As set out in the payment agreement, approved providers must ensure that their service providers maintain appropriate insurance while providing transition care. Service providers should be aware of any relevant state or territory legislation regarding insurance requirements and standards that may affect the delivery of transition care services.</w:t>
      </w:r>
    </w:p>
    <w:p w14:paraId="0D6434C6" w14:textId="4B53A137" w:rsidR="00605BA0" w:rsidRPr="00366082" w:rsidRDefault="00605BA0" w:rsidP="00B42C61">
      <w:pPr>
        <w:pStyle w:val="Heading3withoutnumbering"/>
      </w:pPr>
      <w:bookmarkStart w:id="423" w:name="_Toc521122386"/>
      <w:bookmarkStart w:id="424" w:name="_Toc29371705"/>
      <w:bookmarkStart w:id="425" w:name="_Toc110834683"/>
      <w:bookmarkStart w:id="426" w:name="_Toc245536205"/>
      <w:bookmarkStart w:id="427" w:name="_Toc395537219"/>
      <w:bookmarkStart w:id="428" w:name="_Toc422732575"/>
      <w:bookmarkStart w:id="429" w:name="_Toc422752914"/>
      <w:bookmarkStart w:id="430" w:name="_Toc197076943"/>
      <w:r w:rsidRPr="00366082">
        <w:t>Compliance with the law</w:t>
      </w:r>
      <w:bookmarkEnd w:id="423"/>
      <w:r w:rsidRPr="00366082">
        <w:t>s of the Australian Government, states and territories</w:t>
      </w:r>
      <w:bookmarkEnd w:id="424"/>
      <w:bookmarkEnd w:id="425"/>
      <w:bookmarkEnd w:id="426"/>
      <w:bookmarkEnd w:id="427"/>
      <w:bookmarkEnd w:id="428"/>
      <w:bookmarkEnd w:id="429"/>
      <w:bookmarkEnd w:id="430"/>
    </w:p>
    <w:p w14:paraId="25EC26AA" w14:textId="77777777" w:rsidR="00E16C06" w:rsidRDefault="00605BA0" w:rsidP="001E340F">
      <w:r w:rsidRPr="00493731">
        <w:t>Approved providers and their service providers must comply with the provisions of any relevant statutes, regulations, by-laws and requirements of any Australian Government, state, territory or local authority.</w:t>
      </w:r>
    </w:p>
    <w:p w14:paraId="4B2C83ED" w14:textId="4358C31A" w:rsidR="00E16C06" w:rsidRPr="00366082" w:rsidRDefault="00E16C06" w:rsidP="00E16C06">
      <w:pPr>
        <w:pStyle w:val="Heading3withoutnumbering"/>
      </w:pPr>
      <w:bookmarkStart w:id="431" w:name="_Toc197076944"/>
      <w:r>
        <w:t>Publishing of TCP material</w:t>
      </w:r>
      <w:bookmarkEnd w:id="431"/>
    </w:p>
    <w:p w14:paraId="392701ED" w14:textId="5013ABDC" w:rsidR="00E16C06" w:rsidRPr="00E16C06" w:rsidRDefault="00E16C06" w:rsidP="001E340F">
      <w:r>
        <w:t>Requirements in relation to t</w:t>
      </w:r>
      <w:r w:rsidRPr="00E16C06">
        <w:t xml:space="preserve">he </w:t>
      </w:r>
      <w:r>
        <w:t xml:space="preserve">publication of information relating to an approved provider’s provision of transition care, and the use of a Commonwealth logo, including those used by the Department, are </w:t>
      </w:r>
      <w:r w:rsidRPr="00E16C06">
        <w:t>outlined in cl</w:t>
      </w:r>
      <w:r>
        <w:t>ause 16 of the payment a</w:t>
      </w:r>
      <w:r w:rsidRPr="00E16C06">
        <w:t>greement</w:t>
      </w:r>
      <w:r w:rsidR="00352721">
        <w:t xml:space="preserve">. </w:t>
      </w:r>
      <w:r>
        <w:t>These</w:t>
      </w:r>
      <w:r w:rsidRPr="00E16C06">
        <w:t xml:space="preserve"> extend to both TCP service providers, and any contracted </w:t>
      </w:r>
      <w:r w:rsidR="0064270C" w:rsidRPr="00E16C06">
        <w:t>third-party</w:t>
      </w:r>
      <w:r w:rsidRPr="00E16C06">
        <w:t xml:space="preserve"> suppliers, given t</w:t>
      </w:r>
      <w:r>
        <w:t>hey are managing</w:t>
      </w:r>
      <w:r w:rsidR="00393C26">
        <w:t xml:space="preserve"> the</w:t>
      </w:r>
      <w:r>
        <w:t xml:space="preserve"> delivery of the programme </w:t>
      </w:r>
      <w:r w:rsidRPr="00E16C06">
        <w:t>on behalf of the approved provider.</w:t>
      </w:r>
    </w:p>
    <w:p w14:paraId="10D09A3F" w14:textId="2ED55218" w:rsidR="00605BA0" w:rsidRPr="00366082" w:rsidRDefault="00605BA0" w:rsidP="001B4B19">
      <w:pPr>
        <w:pStyle w:val="Heading1"/>
        <w:ind w:left="0" w:firstLine="0"/>
      </w:pPr>
      <w:bookmarkStart w:id="432" w:name="_QUALITY_ASSURANCE_AND"/>
      <w:bookmarkStart w:id="433" w:name="_Toc395537220"/>
      <w:bookmarkStart w:id="434" w:name="_Toc422732576"/>
      <w:bookmarkStart w:id="435" w:name="_Toc422752915"/>
      <w:bookmarkStart w:id="436" w:name="_Toc197076945"/>
      <w:bookmarkEnd w:id="432"/>
      <w:r w:rsidRPr="00953CC7">
        <w:lastRenderedPageBreak/>
        <w:t xml:space="preserve">QUALITY ASSURANCE </w:t>
      </w:r>
      <w:r w:rsidR="00C82E90">
        <w:t xml:space="preserve">AND COMPLAINTS </w:t>
      </w:r>
      <w:r w:rsidRPr="00953CC7">
        <w:t>IN TRANSITION CARE</w:t>
      </w:r>
      <w:bookmarkEnd w:id="433"/>
      <w:bookmarkEnd w:id="434"/>
      <w:bookmarkEnd w:id="435"/>
      <w:bookmarkEnd w:id="436"/>
    </w:p>
    <w:p w14:paraId="2DBA12EB" w14:textId="7860C04F" w:rsidR="00642596" w:rsidRDefault="00642596" w:rsidP="00642596">
      <w:pPr>
        <w:pStyle w:val="Heading2"/>
      </w:pPr>
      <w:bookmarkStart w:id="437" w:name="_Toc197076946"/>
      <w:bookmarkStart w:id="438" w:name="_Hlk77072567"/>
      <w:bookmarkStart w:id="439" w:name="_Toc395537221"/>
      <w:bookmarkStart w:id="440" w:name="_Toc422732577"/>
      <w:bookmarkStart w:id="441" w:name="_Toc422752916"/>
      <w:r>
        <w:t>Aged Care Quality Standards</w:t>
      </w:r>
      <w:bookmarkEnd w:id="437"/>
    </w:p>
    <w:bookmarkEnd w:id="438"/>
    <w:p w14:paraId="56748568" w14:textId="6832011D" w:rsidR="00114CBE" w:rsidRPr="00BC5ED6" w:rsidRDefault="00B22433" w:rsidP="001E340F">
      <w:pPr>
        <w:rPr>
          <w:rFonts w:eastAsia="Calibri"/>
        </w:rPr>
      </w:pPr>
      <w:r w:rsidRPr="00BC5ED6">
        <w:rPr>
          <w:rFonts w:eastAsia="Calibri"/>
        </w:rPr>
        <w:t xml:space="preserve">The Aged Care Quality Standards apply to all aged care services including residential care, home care, </w:t>
      </w:r>
      <w:r w:rsidR="0084748B" w:rsidRPr="00BC5ED6">
        <w:rPr>
          <w:rFonts w:eastAsia="Calibri"/>
        </w:rPr>
        <w:t xml:space="preserve">short-term restorative care, transition </w:t>
      </w:r>
      <w:r w:rsidRPr="00BC5ED6">
        <w:rPr>
          <w:rFonts w:eastAsia="Calibri"/>
        </w:rPr>
        <w:t>care</w:t>
      </w:r>
      <w:r w:rsidR="0008766C" w:rsidRPr="00BC5ED6">
        <w:rPr>
          <w:rFonts w:eastAsia="Calibri"/>
        </w:rPr>
        <w:t>, the National Aboriginal and Torres Strait Islander</w:t>
      </w:r>
      <w:r w:rsidR="00936422" w:rsidRPr="00BC5ED6">
        <w:rPr>
          <w:rFonts w:eastAsia="Calibri"/>
        </w:rPr>
        <w:t xml:space="preserve"> Flexible</w:t>
      </w:r>
      <w:r w:rsidR="0008766C" w:rsidRPr="00BC5ED6">
        <w:rPr>
          <w:rFonts w:eastAsia="Calibri"/>
        </w:rPr>
        <w:t xml:space="preserve"> Aged Care Program</w:t>
      </w:r>
      <w:r w:rsidR="003E10ED" w:rsidRPr="00BC5ED6">
        <w:rPr>
          <w:rFonts w:eastAsia="Calibri"/>
        </w:rPr>
        <w:t>, Multi-Purpose Services</w:t>
      </w:r>
      <w:r w:rsidRPr="00BC5ED6">
        <w:rPr>
          <w:rFonts w:eastAsia="Calibri"/>
        </w:rPr>
        <w:t xml:space="preserve"> and the </w:t>
      </w:r>
      <w:r w:rsidR="00AB3803" w:rsidRPr="00BC5ED6">
        <w:rPr>
          <w:rFonts w:eastAsia="Calibri"/>
        </w:rPr>
        <w:t>CHSP</w:t>
      </w:r>
      <w:r w:rsidRPr="00BC5ED6">
        <w:rPr>
          <w:rFonts w:eastAsia="Calibri"/>
        </w:rPr>
        <w:t xml:space="preserve">. There </w:t>
      </w:r>
      <w:r w:rsidR="00885DB0" w:rsidRPr="00BC5ED6">
        <w:rPr>
          <w:rFonts w:eastAsia="Calibri"/>
        </w:rPr>
        <w:t>is</w:t>
      </w:r>
      <w:r w:rsidRPr="00BC5ED6">
        <w:rPr>
          <w:rFonts w:eastAsia="Calibri"/>
        </w:rPr>
        <w:t xml:space="preserve"> flexibility in the way the new Standards are applied to different services.</w:t>
      </w:r>
      <w:r w:rsidR="00BC24CC" w:rsidRPr="00BC5ED6">
        <w:rPr>
          <w:rFonts w:eastAsia="Calibri"/>
        </w:rPr>
        <w:t xml:space="preserve"> For example, Standard 5 (Organisation’s service environment) would not apply to a transition care service that</w:t>
      </w:r>
      <w:r w:rsidR="000F525F" w:rsidRPr="00BC5ED6">
        <w:rPr>
          <w:rFonts w:eastAsia="Calibri"/>
        </w:rPr>
        <w:t xml:space="preserve"> only offers services to care recipients</w:t>
      </w:r>
      <w:r w:rsidR="00BC24CC" w:rsidRPr="00BC5ED6">
        <w:rPr>
          <w:rFonts w:eastAsia="Calibri"/>
        </w:rPr>
        <w:t xml:space="preserve"> in a community setting.</w:t>
      </w:r>
      <w:r w:rsidR="00914696">
        <w:rPr>
          <w:rFonts w:eastAsia="Calibri"/>
        </w:rPr>
        <w:t xml:space="preserve"> Further guidance is available on the Commission’s website at </w:t>
      </w:r>
      <w:hyperlink r:id="rId55" w:history="1">
        <w:r w:rsidR="005C5811" w:rsidRPr="00670BBF">
          <w:rPr>
            <w:rStyle w:val="Hyperlink"/>
            <w:rFonts w:eastAsia="Calibri"/>
            <w:sz w:val="20"/>
          </w:rPr>
          <w:t>https://www.agedcarequality.gov.au/sites/default/files/media/Guidance_%26_Resource_V14.pdf</w:t>
        </w:r>
      </w:hyperlink>
      <w:r w:rsidR="005C5811">
        <w:rPr>
          <w:rFonts w:eastAsia="Calibri"/>
        </w:rPr>
        <w:t>.</w:t>
      </w:r>
    </w:p>
    <w:p w14:paraId="4F2EBDEC" w14:textId="580C2B2D" w:rsidR="00957540" w:rsidRPr="00E249E2" w:rsidRDefault="00B22433" w:rsidP="001E340F">
      <w:pPr>
        <w:rPr>
          <w:rFonts w:eastAsia="Calibri"/>
        </w:rPr>
      </w:pPr>
      <w:r w:rsidRPr="00E249E2">
        <w:rPr>
          <w:rFonts w:eastAsia="Calibri"/>
        </w:rPr>
        <w:t>The Aged Care Quality Standards focus on quality outcomes for consumers rather than provider processes. This make</w:t>
      </w:r>
      <w:r w:rsidR="00393C26">
        <w:rPr>
          <w:rFonts w:eastAsia="Calibri"/>
        </w:rPr>
        <w:t>s</w:t>
      </w:r>
      <w:r w:rsidRPr="00E249E2">
        <w:rPr>
          <w:rFonts w:eastAsia="Calibri"/>
        </w:rPr>
        <w:t xml:space="preserve"> it easier for consumers, their families, carers and representatives to understand what they can expect from a service. It also make</w:t>
      </w:r>
      <w:r w:rsidR="00393C26">
        <w:rPr>
          <w:rFonts w:eastAsia="Calibri"/>
        </w:rPr>
        <w:t>s</w:t>
      </w:r>
      <w:r w:rsidRPr="00E249E2">
        <w:rPr>
          <w:rFonts w:eastAsia="Calibri"/>
        </w:rPr>
        <w:t xml:space="preserve"> regulation simpler for providers working across multiple aged care services, and encourage innovation, excellence and continuous improvement.</w:t>
      </w:r>
    </w:p>
    <w:p w14:paraId="557948A6" w14:textId="274E0C94" w:rsidR="0008766C" w:rsidRDefault="00642596" w:rsidP="001E340F">
      <w:pPr>
        <w:rPr>
          <w:rFonts w:eastAsia="Calibri"/>
          <w:lang w:eastAsia="en-US"/>
        </w:rPr>
      </w:pPr>
      <w:r w:rsidRPr="00BC5ED6">
        <w:rPr>
          <w:rFonts w:eastAsia="Calibri"/>
          <w:lang w:eastAsia="en-US"/>
        </w:rPr>
        <w:t xml:space="preserve">The </w:t>
      </w:r>
      <w:r w:rsidR="0034175B" w:rsidRPr="00BC5ED6">
        <w:rPr>
          <w:rFonts w:eastAsia="Calibri"/>
          <w:lang w:eastAsia="en-US"/>
        </w:rPr>
        <w:t>A</w:t>
      </w:r>
      <w:r w:rsidR="007A5EF9" w:rsidRPr="00BC5ED6">
        <w:rPr>
          <w:rFonts w:eastAsia="Calibri"/>
          <w:lang w:eastAsia="en-US"/>
        </w:rPr>
        <w:t xml:space="preserve">ged </w:t>
      </w:r>
      <w:r w:rsidR="0034175B" w:rsidRPr="00BC5ED6">
        <w:rPr>
          <w:rFonts w:eastAsia="Calibri"/>
          <w:lang w:eastAsia="en-US"/>
        </w:rPr>
        <w:t>C</w:t>
      </w:r>
      <w:r w:rsidR="007A5EF9" w:rsidRPr="00BC5ED6">
        <w:rPr>
          <w:rFonts w:eastAsia="Calibri"/>
          <w:lang w:eastAsia="en-US"/>
        </w:rPr>
        <w:t xml:space="preserve">are </w:t>
      </w:r>
      <w:r w:rsidR="0034175B" w:rsidRPr="00BC5ED6">
        <w:rPr>
          <w:rFonts w:eastAsia="Calibri"/>
          <w:lang w:eastAsia="en-US"/>
        </w:rPr>
        <w:t>Q</w:t>
      </w:r>
      <w:r w:rsidR="007A5EF9" w:rsidRPr="00BC5ED6">
        <w:rPr>
          <w:rFonts w:eastAsia="Calibri"/>
          <w:lang w:eastAsia="en-US"/>
        </w:rPr>
        <w:t xml:space="preserve">uality </w:t>
      </w:r>
      <w:r w:rsidR="0034175B" w:rsidRPr="00BC5ED6">
        <w:rPr>
          <w:rFonts w:eastAsia="Calibri"/>
          <w:lang w:eastAsia="en-US"/>
        </w:rPr>
        <w:t>S</w:t>
      </w:r>
      <w:r w:rsidRPr="00BC5ED6">
        <w:rPr>
          <w:rFonts w:eastAsia="Calibri"/>
          <w:lang w:eastAsia="en-US"/>
        </w:rPr>
        <w:t>tandards</w:t>
      </w:r>
      <w:r w:rsidR="00262DEC">
        <w:rPr>
          <w:rFonts w:eastAsia="Calibri"/>
          <w:lang w:eastAsia="en-US"/>
        </w:rPr>
        <w:t>, including information for consumers and specific guidance and resources to assist P</w:t>
      </w:r>
      <w:r w:rsidR="0008766C" w:rsidRPr="00E249E2">
        <w:rPr>
          <w:rFonts w:eastAsia="Calibri"/>
          <w:lang w:eastAsia="en-US"/>
        </w:rPr>
        <w:t>roviders</w:t>
      </w:r>
      <w:r w:rsidR="00262DEC">
        <w:rPr>
          <w:rFonts w:eastAsia="Calibri"/>
          <w:lang w:eastAsia="en-US"/>
        </w:rPr>
        <w:t xml:space="preserve"> and aged care services with implementing and maintaining compliance with the Standards, are </w:t>
      </w:r>
      <w:r w:rsidR="0008766C" w:rsidRPr="00E249E2">
        <w:rPr>
          <w:rFonts w:eastAsia="Calibri"/>
          <w:lang w:eastAsia="en-US"/>
        </w:rPr>
        <w:t xml:space="preserve">available </w:t>
      </w:r>
      <w:r w:rsidR="00262DEC">
        <w:rPr>
          <w:rFonts w:eastAsia="Calibri"/>
          <w:lang w:eastAsia="en-US"/>
        </w:rPr>
        <w:t xml:space="preserve">on the Commission’s website at </w:t>
      </w:r>
      <w:hyperlink r:id="rId56" w:history="1">
        <w:r w:rsidR="00804A6C" w:rsidRPr="00D312C3">
          <w:rPr>
            <w:rStyle w:val="Hyperlink"/>
            <w:rFonts w:eastAsia="Calibri" w:cs="Arial"/>
            <w:spacing w:val="0"/>
            <w:sz w:val="20"/>
            <w:szCs w:val="20"/>
            <w:lang w:eastAsia="en-US"/>
          </w:rPr>
          <w:t>www.agedcarequality.gov.au/providers/standards</w:t>
        </w:r>
      </w:hyperlink>
      <w:r w:rsidR="00262DEC">
        <w:rPr>
          <w:rFonts w:eastAsia="Calibri"/>
          <w:lang w:eastAsia="en-US"/>
        </w:rPr>
        <w:t>.</w:t>
      </w:r>
    </w:p>
    <w:p w14:paraId="19C89F2C" w14:textId="5A794E31" w:rsidR="009A3151" w:rsidRDefault="009A3151" w:rsidP="009A3151">
      <w:pPr>
        <w:pStyle w:val="Heading2"/>
        <w:rPr>
          <w:rFonts w:eastAsia="Calibri"/>
          <w:lang w:eastAsia="en-US"/>
        </w:rPr>
      </w:pPr>
      <w:bookmarkStart w:id="442" w:name="_Toc197076947"/>
      <w:r>
        <w:rPr>
          <w:rFonts w:eastAsia="Calibri"/>
          <w:lang w:eastAsia="en-US"/>
        </w:rPr>
        <w:t>Quality Monitoring and Reviews</w:t>
      </w:r>
      <w:bookmarkEnd w:id="442"/>
    </w:p>
    <w:p w14:paraId="6E7E861A" w14:textId="07A78092" w:rsidR="00AE4B9D" w:rsidRPr="00DD3B1D" w:rsidRDefault="007F1809" w:rsidP="00AE4B9D">
      <w:pPr>
        <w:spacing w:before="0" w:after="80"/>
        <w:rPr>
          <w:rStyle w:val="eop"/>
          <w:rFonts w:asciiTheme="minorHAnsi" w:hAnsiTheme="minorHAnsi" w:cstheme="minorHAnsi"/>
          <w:szCs w:val="20"/>
        </w:rPr>
      </w:pPr>
      <w:r w:rsidRPr="00DD3B1D">
        <w:rPr>
          <w:rFonts w:asciiTheme="minorHAnsi" w:eastAsia="Calibri" w:hAnsiTheme="minorHAnsi" w:cstheme="minorHAnsi"/>
          <w:szCs w:val="20"/>
          <w:lang w:eastAsia="en-US"/>
        </w:rPr>
        <w:t xml:space="preserve">From 1 December 2022 </w:t>
      </w:r>
      <w:r w:rsidR="00AE4B9D" w:rsidRPr="00DD3B1D">
        <w:rPr>
          <w:rStyle w:val="normaltextrun"/>
          <w:rFonts w:asciiTheme="minorHAnsi" w:eastAsiaTheme="majorEastAsia" w:hAnsiTheme="minorHAnsi" w:cstheme="minorHAnsi"/>
          <w:szCs w:val="20"/>
        </w:rPr>
        <w:t xml:space="preserve">the Commission </w:t>
      </w:r>
      <w:r w:rsidR="00B62870">
        <w:rPr>
          <w:rStyle w:val="normaltextrun"/>
          <w:rFonts w:asciiTheme="minorHAnsi" w:eastAsiaTheme="majorEastAsia" w:hAnsiTheme="minorHAnsi" w:cstheme="minorHAnsi"/>
          <w:szCs w:val="20"/>
        </w:rPr>
        <w:t xml:space="preserve">has had </w:t>
      </w:r>
      <w:r w:rsidR="00AE4B9D" w:rsidRPr="00DD3B1D">
        <w:rPr>
          <w:rStyle w:val="normaltextrun"/>
          <w:rFonts w:asciiTheme="minorHAnsi" w:eastAsiaTheme="majorEastAsia" w:hAnsiTheme="minorHAnsi" w:cstheme="minorHAnsi"/>
          <w:szCs w:val="20"/>
        </w:rPr>
        <w:t>legal authority to: </w:t>
      </w:r>
      <w:r w:rsidR="00AE4B9D" w:rsidRPr="00DD3B1D">
        <w:rPr>
          <w:rStyle w:val="eop"/>
          <w:rFonts w:asciiTheme="minorHAnsi" w:hAnsiTheme="minorHAnsi" w:cstheme="minorHAnsi"/>
          <w:szCs w:val="20"/>
        </w:rPr>
        <w:t> </w:t>
      </w:r>
    </w:p>
    <w:p w14:paraId="5C632B3D" w14:textId="08AF9E3B" w:rsidR="00AE4B9D" w:rsidRPr="00DD3B1D" w:rsidRDefault="00AE4B9D" w:rsidP="00AE4B9D">
      <w:pPr>
        <w:pStyle w:val="ListParagraph"/>
        <w:numPr>
          <w:ilvl w:val="0"/>
          <w:numId w:val="42"/>
        </w:numPr>
        <w:spacing w:before="0" w:after="80"/>
        <w:rPr>
          <w:rStyle w:val="eop"/>
          <w:rFonts w:asciiTheme="minorHAnsi" w:hAnsiTheme="minorHAnsi" w:cstheme="minorHAnsi"/>
          <w:szCs w:val="20"/>
        </w:rPr>
      </w:pPr>
      <w:r w:rsidRPr="00DD3B1D">
        <w:rPr>
          <w:rStyle w:val="normaltextrun"/>
          <w:rFonts w:asciiTheme="minorHAnsi" w:eastAsiaTheme="majorEastAsia" w:hAnsiTheme="minorHAnsi" w:cstheme="minorHAnsi"/>
          <w:szCs w:val="20"/>
        </w:rPr>
        <w:t>conduct quality reviews of flexible care services through which transition care is provided in home care settings</w:t>
      </w:r>
      <w:r w:rsidR="00873591" w:rsidRPr="00DD3B1D">
        <w:rPr>
          <w:rStyle w:val="normaltextrun"/>
          <w:rFonts w:asciiTheme="minorHAnsi" w:eastAsiaTheme="majorEastAsia" w:hAnsiTheme="minorHAnsi" w:cstheme="minorHAnsi"/>
          <w:szCs w:val="20"/>
        </w:rPr>
        <w:t>;</w:t>
      </w:r>
      <w:r w:rsidRPr="00DD3B1D">
        <w:rPr>
          <w:rStyle w:val="normaltextrun"/>
          <w:rFonts w:asciiTheme="minorHAnsi" w:eastAsiaTheme="majorEastAsia" w:hAnsiTheme="minorHAnsi" w:cstheme="minorHAnsi"/>
          <w:szCs w:val="20"/>
        </w:rPr>
        <w:t xml:space="preserve"> and  </w:t>
      </w:r>
      <w:r w:rsidRPr="00DD3B1D">
        <w:rPr>
          <w:rStyle w:val="eop"/>
          <w:rFonts w:asciiTheme="minorHAnsi" w:hAnsiTheme="minorHAnsi" w:cstheme="minorHAnsi"/>
          <w:szCs w:val="20"/>
        </w:rPr>
        <w:t> </w:t>
      </w:r>
    </w:p>
    <w:p w14:paraId="4143944A" w14:textId="67AEDA62" w:rsidR="00AE4B9D" w:rsidRPr="00DD3B1D" w:rsidRDefault="00AE4B9D" w:rsidP="00AE4B9D">
      <w:pPr>
        <w:pStyle w:val="ListParagraph"/>
        <w:numPr>
          <w:ilvl w:val="0"/>
          <w:numId w:val="42"/>
        </w:numPr>
        <w:spacing w:before="0" w:after="80"/>
        <w:rPr>
          <w:rFonts w:asciiTheme="minorHAnsi" w:hAnsiTheme="minorHAnsi" w:cstheme="minorHAnsi"/>
          <w:szCs w:val="20"/>
        </w:rPr>
      </w:pPr>
      <w:r w:rsidRPr="00DD3B1D">
        <w:rPr>
          <w:rStyle w:val="normaltextrun"/>
          <w:rFonts w:asciiTheme="minorHAnsi" w:eastAsiaTheme="majorEastAsia" w:hAnsiTheme="minorHAnsi" w:cstheme="minorHAnsi"/>
          <w:szCs w:val="20"/>
        </w:rPr>
        <w:t>monitor the quality of transition care and services provided in residential care settings and home care settings. </w:t>
      </w:r>
      <w:r w:rsidRPr="00DD3B1D">
        <w:rPr>
          <w:rStyle w:val="eop"/>
          <w:rFonts w:asciiTheme="minorHAnsi" w:hAnsiTheme="minorHAnsi" w:cstheme="minorHAnsi"/>
          <w:szCs w:val="20"/>
        </w:rPr>
        <w:t> </w:t>
      </w:r>
    </w:p>
    <w:p w14:paraId="57BBC8F6" w14:textId="1A9A3A41" w:rsidR="00414EE7" w:rsidRDefault="00414EE7" w:rsidP="00E67963">
      <w:pPr>
        <w:rPr>
          <w:rFonts w:eastAsia="Calibri"/>
          <w:lang w:eastAsia="en-US"/>
        </w:rPr>
      </w:pPr>
      <w:r w:rsidRPr="00414EE7">
        <w:rPr>
          <w:rFonts w:eastAsia="Calibri"/>
          <w:lang w:eastAsia="en-US"/>
        </w:rPr>
        <w:t xml:space="preserve">The </w:t>
      </w:r>
      <w:r>
        <w:rPr>
          <w:rFonts w:eastAsia="Calibri"/>
          <w:lang w:eastAsia="en-US"/>
        </w:rPr>
        <w:t>change</w:t>
      </w:r>
      <w:r w:rsidRPr="00414EE7">
        <w:rPr>
          <w:rFonts w:eastAsia="Calibri"/>
          <w:lang w:eastAsia="en-US"/>
        </w:rPr>
        <w:t xml:space="preserve"> provide</w:t>
      </w:r>
      <w:r>
        <w:rPr>
          <w:rFonts w:eastAsia="Calibri"/>
          <w:lang w:eastAsia="en-US"/>
        </w:rPr>
        <w:t>s</w:t>
      </w:r>
      <w:r w:rsidRPr="00414EE7">
        <w:rPr>
          <w:rFonts w:eastAsia="Calibri"/>
          <w:lang w:eastAsia="en-US"/>
        </w:rPr>
        <w:t xml:space="preserve"> the Commission with the power to monitor and review, but not accredit, TCP services.</w:t>
      </w:r>
    </w:p>
    <w:p w14:paraId="0E1518B0" w14:textId="7FE6E3BD" w:rsidR="00E67963" w:rsidRPr="00E67963" w:rsidRDefault="00E67963" w:rsidP="00E67963">
      <w:pPr>
        <w:rPr>
          <w:rFonts w:eastAsia="Calibri"/>
          <w:lang w:eastAsia="en-US"/>
        </w:rPr>
      </w:pPr>
      <w:r>
        <w:rPr>
          <w:rFonts w:eastAsia="Calibri"/>
          <w:lang w:eastAsia="en-US"/>
        </w:rPr>
        <w:t xml:space="preserve">This change </w:t>
      </w:r>
      <w:r w:rsidRPr="00E67963">
        <w:rPr>
          <w:rFonts w:eastAsia="Calibri"/>
          <w:lang w:eastAsia="en-US"/>
        </w:rPr>
        <w:t>do</w:t>
      </w:r>
      <w:r>
        <w:rPr>
          <w:rFonts w:eastAsia="Calibri"/>
          <w:lang w:eastAsia="en-US"/>
        </w:rPr>
        <w:t>es</w:t>
      </w:r>
      <w:r w:rsidRPr="00E67963">
        <w:rPr>
          <w:rFonts w:eastAsia="Calibri"/>
          <w:lang w:eastAsia="en-US"/>
        </w:rPr>
        <w:t xml:space="preserve"> not apply to:</w:t>
      </w:r>
    </w:p>
    <w:p w14:paraId="051ECE53" w14:textId="673758E6" w:rsidR="00E67963" w:rsidRDefault="00E67963" w:rsidP="00E67963">
      <w:pPr>
        <w:pStyle w:val="ListParagraph"/>
        <w:numPr>
          <w:ilvl w:val="0"/>
          <w:numId w:val="42"/>
        </w:numPr>
        <w:spacing w:before="0" w:after="80"/>
        <w:rPr>
          <w:rFonts w:eastAsia="Calibri"/>
          <w:lang w:eastAsia="en-US"/>
        </w:rPr>
      </w:pPr>
      <w:r w:rsidRPr="00E67963">
        <w:rPr>
          <w:rFonts w:eastAsia="Calibri"/>
          <w:lang w:eastAsia="en-US"/>
        </w:rPr>
        <w:t>transition care provided in hospitals or in other non-hospital facilities or community services managed and staffed by state/territory governments</w:t>
      </w:r>
      <w:r>
        <w:rPr>
          <w:rFonts w:eastAsia="Calibri"/>
          <w:lang w:eastAsia="en-US"/>
        </w:rPr>
        <w:t>;</w:t>
      </w:r>
      <w:r w:rsidRPr="00E67963">
        <w:rPr>
          <w:rFonts w:eastAsia="Calibri"/>
          <w:lang w:eastAsia="en-US"/>
        </w:rPr>
        <w:t xml:space="preserve"> or </w:t>
      </w:r>
    </w:p>
    <w:p w14:paraId="4D154271" w14:textId="770E92B3" w:rsidR="00E67963" w:rsidRPr="00E67963" w:rsidRDefault="00E67963" w:rsidP="00E67963">
      <w:pPr>
        <w:pStyle w:val="ListParagraph"/>
        <w:numPr>
          <w:ilvl w:val="0"/>
          <w:numId w:val="42"/>
        </w:numPr>
        <w:spacing w:before="0" w:after="80"/>
        <w:rPr>
          <w:rFonts w:eastAsia="Calibri"/>
          <w:lang w:eastAsia="en-US"/>
        </w:rPr>
      </w:pPr>
      <w:r w:rsidRPr="00E67963">
        <w:rPr>
          <w:rFonts w:eastAsia="Calibri"/>
          <w:lang w:eastAsia="en-US"/>
        </w:rPr>
        <w:t>transition care delivered in home care settings by state/territory government run services/employees.</w:t>
      </w:r>
    </w:p>
    <w:p w14:paraId="4A2E8351" w14:textId="3ED383EA" w:rsidR="009A3151" w:rsidRDefault="00E67963" w:rsidP="00E67963">
      <w:pPr>
        <w:rPr>
          <w:rFonts w:eastAsia="Calibri"/>
          <w:lang w:eastAsia="en-US"/>
        </w:rPr>
      </w:pPr>
      <w:r w:rsidRPr="00E67963">
        <w:rPr>
          <w:rFonts w:eastAsia="Calibri"/>
          <w:lang w:eastAsia="en-US"/>
        </w:rPr>
        <w:t>As the approved providers of transition care, state and territory governments provide some transition care services themselves, while subcontracting other transition care services out to approved providers of home care, accredited residential aged care facilities and other providers. Th</w:t>
      </w:r>
      <w:r>
        <w:rPr>
          <w:rFonts w:eastAsia="Calibri"/>
          <w:lang w:eastAsia="en-US"/>
        </w:rPr>
        <w:t>is change</w:t>
      </w:r>
      <w:r w:rsidRPr="00E67963">
        <w:rPr>
          <w:rFonts w:eastAsia="Calibri"/>
          <w:lang w:eastAsia="en-US"/>
        </w:rPr>
        <w:t xml:space="preserve"> allow</w:t>
      </w:r>
      <w:r>
        <w:rPr>
          <w:rFonts w:eastAsia="Calibri"/>
          <w:lang w:eastAsia="en-US"/>
        </w:rPr>
        <w:t>s</w:t>
      </w:r>
      <w:r w:rsidRPr="00E67963">
        <w:rPr>
          <w:rFonts w:eastAsia="Calibri"/>
          <w:lang w:eastAsia="en-US"/>
        </w:rPr>
        <w:t xml:space="preserve"> the Commission to monitor the quality of transition care services provided by subcontracted services.</w:t>
      </w:r>
    </w:p>
    <w:p w14:paraId="42F9C8BA" w14:textId="28AB47B8" w:rsidR="00423472" w:rsidRPr="00463BC2" w:rsidRDefault="00423472" w:rsidP="00423472">
      <w:pPr>
        <w:rPr>
          <w:rFonts w:eastAsia="Calibri"/>
          <w:b/>
          <w:bCs/>
          <w:color w:val="005A70" w:themeColor="accent1"/>
          <w:lang w:eastAsia="en-US"/>
        </w:rPr>
      </w:pPr>
      <w:r w:rsidRPr="00463BC2">
        <w:rPr>
          <w:rFonts w:eastAsia="Calibri"/>
          <w:b/>
          <w:bCs/>
          <w:color w:val="005A70" w:themeColor="accent1"/>
          <w:lang w:eastAsia="en-US"/>
        </w:rPr>
        <w:t>How does the Commission regulate aged care services?</w:t>
      </w:r>
    </w:p>
    <w:p w14:paraId="03966BFA" w14:textId="52D2911C" w:rsidR="00423472" w:rsidRPr="00423472" w:rsidRDefault="00423472" w:rsidP="00423472">
      <w:pPr>
        <w:rPr>
          <w:rFonts w:eastAsia="Calibri"/>
          <w:lang w:eastAsia="en-US"/>
        </w:rPr>
      </w:pPr>
      <w:r w:rsidRPr="00423472">
        <w:rPr>
          <w:rFonts w:eastAsia="Calibri"/>
          <w:lang w:eastAsia="en-US"/>
        </w:rPr>
        <w:t>Regulating aged care requires clarity about the risks being addressed. The Commission applies a responsive, risk-based and proportionate approach to regulation. This means the focus of its activities is on the areas of greatest risk to the safety, health and well-being of aged care consumers, and where care and services fall short of legislated standards.</w:t>
      </w:r>
    </w:p>
    <w:p w14:paraId="3CB91895" w14:textId="2378B8FD" w:rsidR="00423472" w:rsidRPr="00423472" w:rsidRDefault="00423472" w:rsidP="00423472">
      <w:pPr>
        <w:rPr>
          <w:rFonts w:eastAsia="Calibri"/>
          <w:lang w:eastAsia="en-US"/>
        </w:rPr>
      </w:pPr>
      <w:r w:rsidRPr="00423472">
        <w:rPr>
          <w:rFonts w:eastAsia="Calibri"/>
          <w:lang w:eastAsia="en-US"/>
        </w:rPr>
        <w:t>The Commission will modify its program and direct its resources in response to the nature of risks to the safety, health, well-being and quality of life of aged care consumers and the circumstances and behaviour of the provider of the service or services that are regulated.</w:t>
      </w:r>
    </w:p>
    <w:p w14:paraId="23F0DFE7" w14:textId="436711E0" w:rsidR="00423472" w:rsidRPr="00423472" w:rsidRDefault="00423472" w:rsidP="00423472">
      <w:pPr>
        <w:rPr>
          <w:rFonts w:eastAsia="Calibri"/>
          <w:lang w:eastAsia="en-US"/>
        </w:rPr>
      </w:pPr>
      <w:r w:rsidRPr="00423472">
        <w:rPr>
          <w:rFonts w:eastAsia="Calibri"/>
          <w:lang w:eastAsia="en-US"/>
        </w:rPr>
        <w:t>The Commission looks for evidence of what works in aged care practice and draw the sector’s attention to this as appropriate. It uses education, information and targeted communications to support its regulatory objectives, including publishing outcomes of regulatory activities to support greater transparency and accountability.</w:t>
      </w:r>
    </w:p>
    <w:p w14:paraId="6ACA573D" w14:textId="11C60239" w:rsidR="00423472" w:rsidRPr="00423472" w:rsidRDefault="00423472" w:rsidP="00423472">
      <w:pPr>
        <w:rPr>
          <w:rFonts w:eastAsia="Calibri"/>
          <w:lang w:eastAsia="en-US"/>
        </w:rPr>
      </w:pPr>
      <w:r w:rsidRPr="00423472">
        <w:rPr>
          <w:rFonts w:eastAsia="Calibri"/>
          <w:lang w:eastAsia="en-US"/>
        </w:rPr>
        <w:t>The Commission identifies sector-wide risks through research, sector trend analysis and strategic conversations with consumers and providers.</w:t>
      </w:r>
    </w:p>
    <w:p w14:paraId="6F81B372" w14:textId="3DAE5531" w:rsidR="00423472" w:rsidRPr="00423472" w:rsidRDefault="00423472" w:rsidP="00423472">
      <w:pPr>
        <w:rPr>
          <w:rFonts w:eastAsia="Calibri"/>
          <w:lang w:eastAsia="en-US"/>
        </w:rPr>
      </w:pPr>
      <w:r w:rsidRPr="00423472">
        <w:rPr>
          <w:rFonts w:eastAsia="Calibri"/>
          <w:lang w:eastAsia="en-US"/>
        </w:rPr>
        <w:lastRenderedPageBreak/>
        <w:t>Detail of specific regulatory functions and activities are published on the Commission’s website.</w:t>
      </w:r>
    </w:p>
    <w:p w14:paraId="46A2B15A" w14:textId="75B2EFE2" w:rsidR="00423472" w:rsidRPr="00463BC2" w:rsidRDefault="00423472" w:rsidP="00423472">
      <w:pPr>
        <w:rPr>
          <w:rFonts w:eastAsia="Calibri"/>
          <w:b/>
          <w:bCs/>
          <w:color w:val="005A70" w:themeColor="accent1"/>
          <w:lang w:eastAsia="en-US"/>
        </w:rPr>
      </w:pPr>
      <w:r w:rsidRPr="00463BC2">
        <w:rPr>
          <w:rFonts w:eastAsia="Calibri"/>
          <w:b/>
          <w:bCs/>
          <w:color w:val="005A70" w:themeColor="accent1"/>
          <w:lang w:eastAsia="en-US"/>
        </w:rPr>
        <w:t>Quality review process for home care services</w:t>
      </w:r>
    </w:p>
    <w:p w14:paraId="6A7AB00C" w14:textId="7F2709C6" w:rsidR="00423472" w:rsidRPr="00423472" w:rsidRDefault="00423472" w:rsidP="00423472">
      <w:pPr>
        <w:rPr>
          <w:rFonts w:eastAsia="Calibri"/>
          <w:lang w:eastAsia="en-US"/>
        </w:rPr>
      </w:pPr>
      <w:r w:rsidRPr="00423472">
        <w:rPr>
          <w:rFonts w:eastAsia="Calibri"/>
          <w:lang w:eastAsia="en-US"/>
        </w:rPr>
        <w:t xml:space="preserve">The Commission conducts quality reviews and assessment contacts to assess whether providers are delivering home services in accordance with the Quality Standards, at least once every </w:t>
      </w:r>
      <w:r w:rsidR="00B608E3">
        <w:rPr>
          <w:rFonts w:eastAsia="Calibri"/>
          <w:lang w:eastAsia="en-US"/>
        </w:rPr>
        <w:t>three</w:t>
      </w:r>
      <w:r w:rsidRPr="00423472">
        <w:rPr>
          <w:rFonts w:eastAsia="Calibri"/>
          <w:lang w:eastAsia="en-US"/>
        </w:rPr>
        <w:t xml:space="preserve"> years. This includes an announced or unannounced on-site quality audit.</w:t>
      </w:r>
    </w:p>
    <w:p w14:paraId="7FC09AD7" w14:textId="275EA2EE" w:rsidR="00423472" w:rsidRPr="00423472" w:rsidRDefault="00423472" w:rsidP="00423472">
      <w:pPr>
        <w:rPr>
          <w:rFonts w:eastAsia="Calibri"/>
          <w:lang w:eastAsia="en-US"/>
        </w:rPr>
      </w:pPr>
      <w:r w:rsidRPr="00423472">
        <w:rPr>
          <w:rFonts w:eastAsia="Calibri"/>
          <w:lang w:eastAsia="en-US"/>
        </w:rPr>
        <w:t>During the quality audit an Assessment Team reviews consumer records and other relevant documents such as policies, procedures and registers. Consumers, representatives, staff and management are interviewed about their systems, processes and practices, and activities and interactions with consumers are observed.</w:t>
      </w:r>
    </w:p>
    <w:p w14:paraId="46CC6F2B" w14:textId="17F79AD5" w:rsidR="00423472" w:rsidRPr="00423472" w:rsidRDefault="00423472" w:rsidP="00423472">
      <w:pPr>
        <w:rPr>
          <w:rFonts w:eastAsia="Calibri"/>
          <w:lang w:eastAsia="en-US"/>
        </w:rPr>
      </w:pPr>
      <w:r w:rsidRPr="00423472">
        <w:rPr>
          <w:rFonts w:eastAsia="Calibri"/>
          <w:lang w:eastAsia="en-US"/>
        </w:rPr>
        <w:t>A quality audit report is then drafted, which documents the provider’s performance against the Quality Standards. The provider is then invited to respond to the information in the site audit report, before a performance report is prepared.</w:t>
      </w:r>
      <w:r w:rsidR="002A1358">
        <w:rPr>
          <w:rFonts w:eastAsia="Calibri"/>
          <w:lang w:eastAsia="en-US"/>
        </w:rPr>
        <w:t xml:space="preserve"> </w:t>
      </w:r>
      <w:r w:rsidRPr="00423472">
        <w:rPr>
          <w:rFonts w:eastAsia="Calibri"/>
          <w:lang w:eastAsia="en-US"/>
        </w:rPr>
        <w:t>A delegated officer will prepare a performance report, considering the quality audit report, any response made by the provider and any other relevant matters.</w:t>
      </w:r>
      <w:r w:rsidR="002A1358">
        <w:rPr>
          <w:rFonts w:eastAsia="Calibri"/>
          <w:lang w:eastAsia="en-US"/>
        </w:rPr>
        <w:t xml:space="preserve"> </w:t>
      </w:r>
      <w:r w:rsidRPr="00423472">
        <w:rPr>
          <w:rFonts w:eastAsia="Calibri"/>
          <w:lang w:eastAsia="en-US"/>
        </w:rPr>
        <w:t>The performance report for the quality review is published on the Commission’s website.</w:t>
      </w:r>
    </w:p>
    <w:p w14:paraId="2BD19C37" w14:textId="22585ED5" w:rsidR="00423472" w:rsidRPr="00423472" w:rsidRDefault="00423472" w:rsidP="00423472">
      <w:pPr>
        <w:rPr>
          <w:rFonts w:eastAsia="Calibri"/>
          <w:lang w:eastAsia="en-US"/>
        </w:rPr>
      </w:pPr>
      <w:r w:rsidRPr="00423472">
        <w:rPr>
          <w:rFonts w:eastAsia="Calibri"/>
          <w:lang w:eastAsia="en-US"/>
        </w:rPr>
        <w:t>Where non-compliance with the Quality Standards is identified, the Commission's response will be risk based and proportionate to ensure the service returns to compliance and addresses any risks to the safety, health and well-being of consumers.</w:t>
      </w:r>
    </w:p>
    <w:p w14:paraId="1B30ACCE" w14:textId="1000987F" w:rsidR="00423472" w:rsidRPr="00463BC2" w:rsidRDefault="00423472" w:rsidP="00423472">
      <w:pPr>
        <w:rPr>
          <w:rFonts w:eastAsia="Calibri"/>
          <w:b/>
          <w:bCs/>
          <w:color w:val="005A70" w:themeColor="accent1"/>
          <w:lang w:eastAsia="en-US"/>
        </w:rPr>
      </w:pPr>
      <w:r w:rsidRPr="00463BC2">
        <w:rPr>
          <w:rFonts w:eastAsia="Calibri"/>
          <w:b/>
          <w:bCs/>
          <w:color w:val="005A70" w:themeColor="accent1"/>
          <w:lang w:eastAsia="en-US"/>
        </w:rPr>
        <w:t xml:space="preserve">Managing non-compliance through continuous improvement </w:t>
      </w:r>
    </w:p>
    <w:p w14:paraId="35621DD3" w14:textId="73E071B9" w:rsidR="00423472" w:rsidRPr="00423472" w:rsidRDefault="00423472" w:rsidP="00423472">
      <w:pPr>
        <w:rPr>
          <w:rFonts w:eastAsia="Calibri"/>
          <w:lang w:eastAsia="en-US"/>
        </w:rPr>
      </w:pPr>
      <w:r w:rsidRPr="00423472">
        <w:rPr>
          <w:rFonts w:eastAsia="Calibri"/>
          <w:lang w:eastAsia="en-US"/>
        </w:rPr>
        <w:t xml:space="preserve">The Quality Standards require service providers to have effective organisation wide governance systems, including for continuous improvement (Standard 8(c)(ii)). The governing body is expected to drive and monitor improvements to make sure the organisation is committed to quality care and services and the best interests of consumers. </w:t>
      </w:r>
    </w:p>
    <w:p w14:paraId="101EE9F8" w14:textId="011206C2" w:rsidR="00423472" w:rsidRPr="00423472" w:rsidRDefault="00423472" w:rsidP="00423472">
      <w:pPr>
        <w:rPr>
          <w:rFonts w:eastAsia="Calibri"/>
          <w:lang w:eastAsia="en-US"/>
        </w:rPr>
      </w:pPr>
      <w:r w:rsidRPr="00423472">
        <w:rPr>
          <w:rFonts w:eastAsia="Calibri"/>
          <w:lang w:eastAsia="en-US"/>
        </w:rPr>
        <w:t xml:space="preserve">Evidence of continuous quality improvement also supports compliance with </w:t>
      </w:r>
      <w:proofErr w:type="gramStart"/>
      <w:r w:rsidRPr="00423472">
        <w:rPr>
          <w:rFonts w:eastAsia="Calibri"/>
          <w:lang w:eastAsia="en-US"/>
        </w:rPr>
        <w:t>a number of</w:t>
      </w:r>
      <w:proofErr w:type="gramEnd"/>
      <w:r w:rsidRPr="00423472">
        <w:rPr>
          <w:rFonts w:eastAsia="Calibri"/>
          <w:lang w:eastAsia="en-US"/>
        </w:rPr>
        <w:t xml:space="preserve"> other standards, such as those relating to risk management (3(b)), recognising and responding to change of consumer’s health and functioning (3(d)), services and supports for daily living (4(a)) and feedback and complaints (Standard 6).</w:t>
      </w:r>
    </w:p>
    <w:p w14:paraId="0D02790F" w14:textId="4D4D3C83" w:rsidR="00423472" w:rsidRPr="00423472" w:rsidRDefault="00423472" w:rsidP="00423472">
      <w:pPr>
        <w:rPr>
          <w:rFonts w:eastAsia="Calibri"/>
          <w:lang w:eastAsia="en-US"/>
        </w:rPr>
      </w:pPr>
      <w:r w:rsidRPr="00423472">
        <w:rPr>
          <w:rFonts w:eastAsia="Calibri"/>
          <w:lang w:eastAsia="en-US"/>
        </w:rPr>
        <w:t>Risk-based monitoring and management of non-compliance is determined by the Commission based on the nature of non-compliance; the level of risk to consumers; what is known about the provider; and the information in the providers revised plan for continuous improvement or Undertaking to Remedy.</w:t>
      </w:r>
    </w:p>
    <w:p w14:paraId="32EADD23" w14:textId="4E7BC889" w:rsidR="00423472" w:rsidRPr="00423472" w:rsidRDefault="00423472" w:rsidP="00423472">
      <w:pPr>
        <w:rPr>
          <w:rFonts w:eastAsia="Calibri"/>
          <w:lang w:eastAsia="en-US"/>
        </w:rPr>
      </w:pPr>
      <w:r w:rsidRPr="00423472">
        <w:rPr>
          <w:rFonts w:eastAsia="Calibri"/>
          <w:lang w:eastAsia="en-US"/>
        </w:rPr>
        <w:t>Where a risk is assessed as low or medium, the Commission may issue to the provider a Direction to revise the plan for continuous improvement for the service. The revised plan must be given to the Commission. If the Commission is not satisfied that necessary improvements are being made to meet the Quality Standards as outlined in the plan for continuous improvement, then the Commission may escalate regulatory action.</w:t>
      </w:r>
    </w:p>
    <w:p w14:paraId="77325364" w14:textId="25D2C837" w:rsidR="00423472" w:rsidRPr="00423472" w:rsidRDefault="00423472" w:rsidP="00423472">
      <w:pPr>
        <w:rPr>
          <w:rFonts w:eastAsia="Calibri"/>
          <w:lang w:eastAsia="en-US"/>
        </w:rPr>
      </w:pPr>
      <w:r w:rsidRPr="00423472">
        <w:rPr>
          <w:rFonts w:eastAsia="Calibri"/>
          <w:lang w:eastAsia="en-US"/>
        </w:rPr>
        <w:t>Whether a provider has demonstrated commitment to continuous improvement is also considered when risk is assessed as high or severe, and the Commission is considering variation.</w:t>
      </w:r>
    </w:p>
    <w:p w14:paraId="55570C61" w14:textId="7007F0C3" w:rsidR="00423472" w:rsidRPr="00E249E2" w:rsidRDefault="00423472" w:rsidP="00E67963">
      <w:pPr>
        <w:rPr>
          <w:rFonts w:eastAsia="Calibri"/>
          <w:lang w:eastAsia="en-US"/>
        </w:rPr>
      </w:pPr>
      <w:r w:rsidRPr="00423472">
        <w:rPr>
          <w:rFonts w:eastAsia="Calibri"/>
          <w:lang w:eastAsia="en-US"/>
        </w:rPr>
        <w:t>Further information available on Commission website</w:t>
      </w:r>
      <w:r w:rsidR="006B15F5">
        <w:rPr>
          <w:rFonts w:eastAsia="Calibri"/>
          <w:lang w:eastAsia="en-US"/>
        </w:rPr>
        <w:t xml:space="preserve"> </w:t>
      </w:r>
      <w:r w:rsidR="008348A5" w:rsidRPr="008348A5">
        <w:rPr>
          <w:rFonts w:eastAsia="Calibri"/>
          <w:szCs w:val="20"/>
          <w:lang w:eastAsia="en-US"/>
        </w:rPr>
        <w:t xml:space="preserve">at </w:t>
      </w:r>
      <w:hyperlink r:id="rId57" w:history="1">
        <w:r w:rsidR="008348A5" w:rsidRPr="008348A5">
          <w:rPr>
            <w:rStyle w:val="Hyperlink"/>
            <w:sz w:val="20"/>
            <w:szCs w:val="20"/>
          </w:rPr>
          <w:t>https://www.agedcarequality.gov.au/</w:t>
        </w:r>
      </w:hyperlink>
      <w:r w:rsidR="008348A5">
        <w:rPr>
          <w:rStyle w:val="Hyperlink"/>
          <w:sz w:val="20"/>
          <w:szCs w:val="20"/>
        </w:rPr>
        <w:t>.</w:t>
      </w:r>
    </w:p>
    <w:p w14:paraId="28E4EF68" w14:textId="5B5C6E21" w:rsidR="00605BA0" w:rsidRPr="009D1F42" w:rsidRDefault="00605BA0" w:rsidP="00B42C61">
      <w:pPr>
        <w:pStyle w:val="Heading2"/>
      </w:pPr>
      <w:bookmarkStart w:id="443" w:name="_Complaints"/>
      <w:bookmarkStart w:id="444" w:name="_Toc197076948"/>
      <w:bookmarkEnd w:id="443"/>
      <w:r w:rsidRPr="009D1F42">
        <w:t>Complaints</w:t>
      </w:r>
      <w:bookmarkEnd w:id="439"/>
      <w:bookmarkEnd w:id="440"/>
      <w:bookmarkEnd w:id="441"/>
      <w:bookmarkEnd w:id="444"/>
    </w:p>
    <w:p w14:paraId="71C14038" w14:textId="72AAFD9D" w:rsidR="00605BA0" w:rsidRPr="00936422" w:rsidRDefault="00605BA0" w:rsidP="001E340F">
      <w:r w:rsidRPr="00493731">
        <w:t>The payment agreement requires service providers to state the mechanisms available for making a complaint. This includes informing care recipients (or their representatives) in the recipient agreement of internal and external mechanisms for addressing complaints made by, or on behalf of, the care recipient.</w:t>
      </w:r>
    </w:p>
    <w:p w14:paraId="1DC9A393" w14:textId="7D279EB2" w:rsidR="00605BA0" w:rsidRPr="00366082" w:rsidRDefault="00605BA0" w:rsidP="00B42C61">
      <w:pPr>
        <w:pStyle w:val="Heading3withoutnumbering"/>
      </w:pPr>
      <w:bookmarkStart w:id="445" w:name="_Toc197076949"/>
      <w:bookmarkStart w:id="446" w:name="_Hlk77072794"/>
      <w:r w:rsidRPr="00366082">
        <w:t>Internal complaints processes</w:t>
      </w:r>
      <w:bookmarkEnd w:id="445"/>
    </w:p>
    <w:bookmarkEnd w:id="446"/>
    <w:p w14:paraId="5B95025C" w14:textId="65E13742" w:rsidR="00605BA0" w:rsidRPr="00493731" w:rsidRDefault="00605BA0" w:rsidP="001B4B19">
      <w:r w:rsidRPr="00493731">
        <w:t xml:space="preserve">If care recipients have concerns, they </w:t>
      </w:r>
      <w:r w:rsidR="00A97BBA">
        <w:t>are to</w:t>
      </w:r>
      <w:r w:rsidRPr="00493731">
        <w:t xml:space="preserve"> be encouraged to approach the service provider in the first instance. In most </w:t>
      </w:r>
      <w:r w:rsidR="00680721" w:rsidRPr="00493731">
        <w:t>cases,</w:t>
      </w:r>
      <w:r w:rsidRPr="00493731">
        <w:t xml:space="preserve"> the service provider is best placed to resolve complaints and alleviate concerns of care recipients. Service providers must handle any complaints fairly, promptly, confidentially and without retribution.</w:t>
      </w:r>
    </w:p>
    <w:p w14:paraId="7E8879F4" w14:textId="0C11DDFC" w:rsidR="00605BA0" w:rsidRPr="00493731" w:rsidRDefault="00605BA0" w:rsidP="001B4B19">
      <w:r w:rsidRPr="00493731">
        <w:t>Complaints should be used positively to monitor and improve the quality of services provided. Actively encouraging care recipients to provide feedback, both positive and negative, and duly considering this feedback will improve services and provide continuous improvement.</w:t>
      </w:r>
    </w:p>
    <w:p w14:paraId="54BB937B" w14:textId="77777777" w:rsidR="00AF4E89" w:rsidRDefault="00605BA0" w:rsidP="001B4B19">
      <w:r w:rsidRPr="00493731">
        <w:t>Service providers must also provide information in the recipient agreement about external complaint mechanisms and relevant contact information, such as telephone numbers of state</w:t>
      </w:r>
      <w:r w:rsidR="00C71C4E">
        <w:t>/</w:t>
      </w:r>
      <w:r w:rsidRPr="00493731">
        <w:t xml:space="preserve">territory </w:t>
      </w:r>
      <w:r w:rsidR="00C71C4E">
        <w:t>or Australian Government</w:t>
      </w:r>
      <w:r w:rsidR="00C71C4E" w:rsidRPr="00493731">
        <w:t xml:space="preserve"> </w:t>
      </w:r>
      <w:r w:rsidRPr="00493731">
        <w:t>complaints bodies.</w:t>
      </w:r>
    </w:p>
    <w:p w14:paraId="3B15A9AE" w14:textId="60D9607B" w:rsidR="00605BA0" w:rsidRPr="00955D57" w:rsidRDefault="00605BA0" w:rsidP="009F3C7B">
      <w:pPr>
        <w:pStyle w:val="Heading3withoutnumbering"/>
      </w:pPr>
      <w:bookmarkStart w:id="447" w:name="_Toc197076950"/>
      <w:r w:rsidRPr="00955D57">
        <w:lastRenderedPageBreak/>
        <w:t>External complaints processes</w:t>
      </w:r>
      <w:bookmarkEnd w:id="447"/>
    </w:p>
    <w:p w14:paraId="491B4370" w14:textId="0EA69CC8" w:rsidR="00286CF8" w:rsidRPr="00EB2F2F" w:rsidRDefault="00605BA0" w:rsidP="001E340F">
      <w:pPr>
        <w:rPr>
          <w:snapToGrid w:val="0"/>
        </w:rPr>
      </w:pPr>
      <w:r w:rsidRPr="00955D57">
        <w:rPr>
          <w:snapToGrid w:val="0"/>
        </w:rPr>
        <w:t>If care recipients (or their representatives) cannot resolve their dispute with the</w:t>
      </w:r>
      <w:r w:rsidR="00EB2F2F" w:rsidRPr="00955D57">
        <w:rPr>
          <w:snapToGrid w:val="0"/>
        </w:rPr>
        <w:t xml:space="preserve"> transition care</w:t>
      </w:r>
      <w:r w:rsidRPr="00955D57">
        <w:rPr>
          <w:snapToGrid w:val="0"/>
        </w:rPr>
        <w:t xml:space="preserve"> service provider, </w:t>
      </w:r>
      <w:r w:rsidR="00EB2F2F" w:rsidRPr="00955D57">
        <w:rPr>
          <w:snapToGrid w:val="0"/>
        </w:rPr>
        <w:t xml:space="preserve">they may choose to direct their complaints to </w:t>
      </w:r>
      <w:r w:rsidR="00630421" w:rsidRPr="00955D57">
        <w:rPr>
          <w:snapToGrid w:val="0"/>
        </w:rPr>
        <w:t xml:space="preserve">either </w:t>
      </w:r>
      <w:r w:rsidR="00EB2F2F" w:rsidRPr="00955D57">
        <w:rPr>
          <w:snapToGrid w:val="0"/>
        </w:rPr>
        <w:t xml:space="preserve">the Commission (see </w:t>
      </w:r>
      <w:r w:rsidR="00EB2F2F" w:rsidRPr="00A97BBA">
        <w:rPr>
          <w:i/>
          <w:iCs/>
          <w:snapToGrid w:val="0"/>
        </w:rPr>
        <w:t>section</w:t>
      </w:r>
      <w:r w:rsidR="00804A6C" w:rsidRPr="00A97BBA">
        <w:rPr>
          <w:i/>
          <w:iCs/>
          <w:snapToGrid w:val="0"/>
        </w:rPr>
        <w:t> </w:t>
      </w:r>
      <w:r w:rsidR="00A97BBA" w:rsidRPr="00A97BBA">
        <w:rPr>
          <w:i/>
          <w:iCs/>
          <w:snapToGrid w:val="0"/>
        </w:rPr>
        <w:t>7.2.3 Australian Government Aged Care Quality and Safety Commission</w:t>
      </w:r>
      <w:r w:rsidR="00EB2F2F" w:rsidRPr="00955D57">
        <w:rPr>
          <w:snapToGrid w:val="0"/>
        </w:rPr>
        <w:t>), or alternatively, the relevant state/territory ‘Health Complaints Agency’ outlined in the table below.</w:t>
      </w:r>
    </w:p>
    <w:tbl>
      <w:tblPr>
        <w:tblStyle w:val="DSSDatatablestyle1"/>
        <w:tblW w:w="9923" w:type="dxa"/>
        <w:tblInd w:w="0" w:type="dxa"/>
        <w:tblLook w:val="04E0" w:firstRow="1" w:lastRow="1" w:firstColumn="1" w:lastColumn="0" w:noHBand="0" w:noVBand="1"/>
        <w:tblDescription w:val="This table is a list of jurisidicition and health complaints agency"/>
      </w:tblPr>
      <w:tblGrid>
        <w:gridCol w:w="6806"/>
        <w:gridCol w:w="3117"/>
      </w:tblGrid>
      <w:tr w:rsidR="00605BA0" w:rsidRPr="0013244C" w14:paraId="5565E650" w14:textId="77777777" w:rsidTr="00187113">
        <w:trPr>
          <w:cnfStyle w:val="100000000000" w:firstRow="1" w:lastRow="0" w:firstColumn="0" w:lastColumn="0" w:oddVBand="0" w:evenVBand="0" w:oddHBand="0" w:evenHBand="0" w:firstRowFirstColumn="0" w:firstRowLastColumn="0" w:lastRowFirstColumn="0" w:lastRowLastColumn="0"/>
          <w:tblHeader/>
        </w:trPr>
        <w:tc>
          <w:tcPr>
            <w:tcW w:w="3369" w:type="dxa"/>
          </w:tcPr>
          <w:p w14:paraId="35F7079D" w14:textId="77777777" w:rsidR="00605BA0" w:rsidRPr="0013244C" w:rsidRDefault="00605BA0" w:rsidP="00187113">
            <w:pPr>
              <w:rPr>
                <w:sz w:val="22"/>
                <w:szCs w:val="22"/>
              </w:rPr>
            </w:pPr>
            <w:r w:rsidRPr="0013244C">
              <w:rPr>
                <w:sz w:val="22"/>
                <w:szCs w:val="22"/>
              </w:rPr>
              <w:t>Jurisdiction</w:t>
            </w:r>
          </w:p>
        </w:tc>
        <w:tc>
          <w:tcPr>
            <w:tcW w:w="0" w:type="dxa"/>
          </w:tcPr>
          <w:p w14:paraId="60EBE966" w14:textId="77777777" w:rsidR="00605BA0" w:rsidRPr="0013244C" w:rsidRDefault="00605BA0" w:rsidP="00187113">
            <w:pPr>
              <w:rPr>
                <w:sz w:val="22"/>
                <w:szCs w:val="22"/>
              </w:rPr>
            </w:pPr>
            <w:r w:rsidRPr="0013244C">
              <w:rPr>
                <w:sz w:val="22"/>
                <w:szCs w:val="22"/>
              </w:rPr>
              <w:t>Health Complaints Agency</w:t>
            </w:r>
          </w:p>
        </w:tc>
      </w:tr>
      <w:tr w:rsidR="00605BA0" w:rsidRPr="0013244C" w14:paraId="3E1B3D65" w14:textId="77777777" w:rsidTr="00187113">
        <w:trPr>
          <w:trHeight w:val="454"/>
        </w:trPr>
        <w:tc>
          <w:tcPr>
            <w:tcW w:w="3369" w:type="dxa"/>
          </w:tcPr>
          <w:p w14:paraId="4141795B" w14:textId="77777777" w:rsidR="00605BA0" w:rsidRPr="00493731" w:rsidRDefault="00605BA0" w:rsidP="00187113">
            <w:pPr>
              <w:spacing w:before="0" w:after="60"/>
              <w:rPr>
                <w:szCs w:val="20"/>
              </w:rPr>
            </w:pPr>
            <w:r w:rsidRPr="00493731">
              <w:rPr>
                <w:szCs w:val="20"/>
              </w:rPr>
              <w:t>New South Wales</w:t>
            </w:r>
          </w:p>
        </w:tc>
        <w:tc>
          <w:tcPr>
            <w:tcW w:w="0" w:type="dxa"/>
          </w:tcPr>
          <w:p w14:paraId="07D9804A" w14:textId="77777777" w:rsidR="00605BA0" w:rsidRPr="00493731" w:rsidRDefault="00605BA0" w:rsidP="00187113">
            <w:pPr>
              <w:spacing w:before="0" w:after="60"/>
              <w:rPr>
                <w:szCs w:val="20"/>
              </w:rPr>
            </w:pPr>
            <w:r w:rsidRPr="00493731">
              <w:rPr>
                <w:szCs w:val="20"/>
              </w:rPr>
              <w:t>Health Care Complaints Commission</w:t>
            </w:r>
          </w:p>
        </w:tc>
      </w:tr>
      <w:tr w:rsidR="00605BA0" w:rsidRPr="0013244C" w14:paraId="3E0F5C52" w14:textId="77777777" w:rsidTr="00187113">
        <w:trPr>
          <w:cnfStyle w:val="000000010000" w:firstRow="0" w:lastRow="0" w:firstColumn="0" w:lastColumn="0" w:oddVBand="0" w:evenVBand="0" w:oddHBand="0" w:evenHBand="1" w:firstRowFirstColumn="0" w:firstRowLastColumn="0" w:lastRowFirstColumn="0" w:lastRowLastColumn="0"/>
          <w:trHeight w:val="454"/>
        </w:trPr>
        <w:tc>
          <w:tcPr>
            <w:tcW w:w="3369" w:type="dxa"/>
          </w:tcPr>
          <w:p w14:paraId="360F3378" w14:textId="77777777" w:rsidR="00605BA0" w:rsidRPr="00493731" w:rsidRDefault="00605BA0" w:rsidP="00187113">
            <w:pPr>
              <w:spacing w:before="0" w:after="60"/>
              <w:rPr>
                <w:szCs w:val="20"/>
              </w:rPr>
            </w:pPr>
            <w:r w:rsidRPr="00493731">
              <w:rPr>
                <w:szCs w:val="20"/>
              </w:rPr>
              <w:t>Victoria</w:t>
            </w:r>
          </w:p>
        </w:tc>
        <w:tc>
          <w:tcPr>
            <w:tcW w:w="0" w:type="dxa"/>
          </w:tcPr>
          <w:p w14:paraId="00364C07" w14:textId="77777777" w:rsidR="00605BA0" w:rsidRPr="00493731" w:rsidRDefault="00605BA0" w:rsidP="00187113">
            <w:pPr>
              <w:spacing w:before="0" w:after="60"/>
              <w:rPr>
                <w:szCs w:val="20"/>
              </w:rPr>
            </w:pPr>
            <w:r w:rsidRPr="00493731">
              <w:rPr>
                <w:szCs w:val="20"/>
              </w:rPr>
              <w:t xml:space="preserve">Health </w:t>
            </w:r>
            <w:r w:rsidR="00983BDE">
              <w:rPr>
                <w:szCs w:val="20"/>
              </w:rPr>
              <w:t>Complaints</w:t>
            </w:r>
            <w:r w:rsidRPr="00493731">
              <w:rPr>
                <w:szCs w:val="20"/>
              </w:rPr>
              <w:t xml:space="preserve"> Commissioner</w:t>
            </w:r>
          </w:p>
        </w:tc>
      </w:tr>
      <w:tr w:rsidR="00605BA0" w:rsidRPr="0013244C" w14:paraId="2FD617C1" w14:textId="77777777" w:rsidTr="00187113">
        <w:trPr>
          <w:trHeight w:val="454"/>
        </w:trPr>
        <w:tc>
          <w:tcPr>
            <w:tcW w:w="3369" w:type="dxa"/>
          </w:tcPr>
          <w:p w14:paraId="6E557CF8" w14:textId="77777777" w:rsidR="00605BA0" w:rsidRPr="00493731" w:rsidRDefault="00605BA0" w:rsidP="00187113">
            <w:pPr>
              <w:spacing w:before="0" w:after="60"/>
              <w:rPr>
                <w:szCs w:val="20"/>
              </w:rPr>
            </w:pPr>
            <w:r w:rsidRPr="00493731">
              <w:rPr>
                <w:szCs w:val="20"/>
              </w:rPr>
              <w:t>Queensland</w:t>
            </w:r>
          </w:p>
        </w:tc>
        <w:tc>
          <w:tcPr>
            <w:tcW w:w="0" w:type="dxa"/>
          </w:tcPr>
          <w:p w14:paraId="60A833BF" w14:textId="77777777" w:rsidR="00605BA0" w:rsidRPr="00493731" w:rsidRDefault="00605BA0" w:rsidP="00187113">
            <w:pPr>
              <w:spacing w:before="0" w:after="60"/>
              <w:rPr>
                <w:szCs w:val="20"/>
              </w:rPr>
            </w:pPr>
            <w:r w:rsidRPr="00493731">
              <w:rPr>
                <w:szCs w:val="20"/>
              </w:rPr>
              <w:t>The Office of the Health Ombudsman</w:t>
            </w:r>
          </w:p>
        </w:tc>
      </w:tr>
      <w:tr w:rsidR="00605BA0" w:rsidRPr="0013244C" w14:paraId="68F0EC66" w14:textId="77777777" w:rsidTr="00187113">
        <w:trPr>
          <w:cnfStyle w:val="000000010000" w:firstRow="0" w:lastRow="0" w:firstColumn="0" w:lastColumn="0" w:oddVBand="0" w:evenVBand="0" w:oddHBand="0" w:evenHBand="1" w:firstRowFirstColumn="0" w:firstRowLastColumn="0" w:lastRowFirstColumn="0" w:lastRowLastColumn="0"/>
          <w:trHeight w:val="454"/>
        </w:trPr>
        <w:tc>
          <w:tcPr>
            <w:tcW w:w="3369" w:type="dxa"/>
          </w:tcPr>
          <w:p w14:paraId="435A1A22" w14:textId="77777777" w:rsidR="00605BA0" w:rsidRPr="00493731" w:rsidRDefault="00605BA0" w:rsidP="00187113">
            <w:pPr>
              <w:spacing w:before="0" w:after="60"/>
              <w:rPr>
                <w:szCs w:val="20"/>
              </w:rPr>
            </w:pPr>
            <w:r w:rsidRPr="00493731">
              <w:rPr>
                <w:szCs w:val="20"/>
              </w:rPr>
              <w:t>South Australia</w:t>
            </w:r>
          </w:p>
        </w:tc>
        <w:tc>
          <w:tcPr>
            <w:tcW w:w="0" w:type="dxa"/>
          </w:tcPr>
          <w:p w14:paraId="72A96E14" w14:textId="77777777" w:rsidR="00605BA0" w:rsidRPr="00493731" w:rsidRDefault="00605BA0" w:rsidP="00187113">
            <w:pPr>
              <w:spacing w:before="0" w:after="60"/>
              <w:rPr>
                <w:szCs w:val="20"/>
              </w:rPr>
            </w:pPr>
            <w:r w:rsidRPr="00493731">
              <w:rPr>
                <w:szCs w:val="20"/>
              </w:rPr>
              <w:t>Health and Community Services Complaints Commissioner</w:t>
            </w:r>
          </w:p>
        </w:tc>
      </w:tr>
      <w:tr w:rsidR="00605BA0" w:rsidRPr="0013244C" w14:paraId="620AB257" w14:textId="77777777" w:rsidTr="00187113">
        <w:trPr>
          <w:trHeight w:val="454"/>
        </w:trPr>
        <w:tc>
          <w:tcPr>
            <w:tcW w:w="3369" w:type="dxa"/>
          </w:tcPr>
          <w:p w14:paraId="7DA9FE0F" w14:textId="77777777" w:rsidR="00605BA0" w:rsidRPr="00493731" w:rsidRDefault="00605BA0" w:rsidP="00187113">
            <w:pPr>
              <w:spacing w:before="0" w:after="60"/>
              <w:rPr>
                <w:szCs w:val="20"/>
              </w:rPr>
            </w:pPr>
            <w:r w:rsidRPr="00493731">
              <w:rPr>
                <w:szCs w:val="20"/>
              </w:rPr>
              <w:t>Western Australia</w:t>
            </w:r>
          </w:p>
        </w:tc>
        <w:tc>
          <w:tcPr>
            <w:tcW w:w="0" w:type="dxa"/>
          </w:tcPr>
          <w:p w14:paraId="7D84930F" w14:textId="77777777" w:rsidR="00605BA0" w:rsidRPr="00493731" w:rsidRDefault="00605BA0" w:rsidP="00187113">
            <w:pPr>
              <w:spacing w:before="0" w:after="60"/>
              <w:rPr>
                <w:szCs w:val="20"/>
              </w:rPr>
            </w:pPr>
            <w:r w:rsidRPr="00493731">
              <w:rPr>
                <w:szCs w:val="20"/>
              </w:rPr>
              <w:t>Health and Disability Services Complaints Office</w:t>
            </w:r>
          </w:p>
        </w:tc>
      </w:tr>
      <w:tr w:rsidR="00605BA0" w:rsidRPr="0013244C" w14:paraId="33013E63" w14:textId="77777777" w:rsidTr="00187113">
        <w:trPr>
          <w:cnfStyle w:val="000000010000" w:firstRow="0" w:lastRow="0" w:firstColumn="0" w:lastColumn="0" w:oddVBand="0" w:evenVBand="0" w:oddHBand="0" w:evenHBand="1" w:firstRowFirstColumn="0" w:firstRowLastColumn="0" w:lastRowFirstColumn="0" w:lastRowLastColumn="0"/>
          <w:trHeight w:val="454"/>
        </w:trPr>
        <w:tc>
          <w:tcPr>
            <w:tcW w:w="3369" w:type="dxa"/>
          </w:tcPr>
          <w:p w14:paraId="4F68923D" w14:textId="77777777" w:rsidR="00605BA0" w:rsidRPr="00493731" w:rsidRDefault="00605BA0" w:rsidP="00187113">
            <w:pPr>
              <w:spacing w:before="0" w:after="60"/>
              <w:rPr>
                <w:szCs w:val="20"/>
              </w:rPr>
            </w:pPr>
            <w:r w:rsidRPr="00493731">
              <w:rPr>
                <w:szCs w:val="20"/>
              </w:rPr>
              <w:t>Tasmania</w:t>
            </w:r>
          </w:p>
        </w:tc>
        <w:tc>
          <w:tcPr>
            <w:tcW w:w="0" w:type="dxa"/>
          </w:tcPr>
          <w:p w14:paraId="79BF17CE" w14:textId="77777777" w:rsidR="00605BA0" w:rsidRPr="00493731" w:rsidRDefault="00605BA0" w:rsidP="00187113">
            <w:pPr>
              <w:spacing w:before="0" w:after="60"/>
              <w:rPr>
                <w:szCs w:val="20"/>
              </w:rPr>
            </w:pPr>
            <w:r w:rsidRPr="00493731">
              <w:rPr>
                <w:szCs w:val="20"/>
              </w:rPr>
              <w:t>Health Complaints Commissioner</w:t>
            </w:r>
            <w:r w:rsidR="00A57055">
              <w:rPr>
                <w:szCs w:val="20"/>
              </w:rPr>
              <w:t xml:space="preserve"> Tasmania</w:t>
            </w:r>
          </w:p>
        </w:tc>
      </w:tr>
      <w:tr w:rsidR="00605BA0" w:rsidRPr="0013244C" w14:paraId="4659C372" w14:textId="77777777" w:rsidTr="00187113">
        <w:trPr>
          <w:trHeight w:val="454"/>
        </w:trPr>
        <w:tc>
          <w:tcPr>
            <w:tcW w:w="3369" w:type="dxa"/>
          </w:tcPr>
          <w:p w14:paraId="51C31BE1" w14:textId="77777777" w:rsidR="00605BA0" w:rsidRPr="00493731" w:rsidRDefault="00605BA0" w:rsidP="00187113">
            <w:pPr>
              <w:spacing w:before="0" w:after="60"/>
              <w:rPr>
                <w:szCs w:val="20"/>
              </w:rPr>
            </w:pPr>
            <w:r w:rsidRPr="00493731">
              <w:rPr>
                <w:szCs w:val="20"/>
              </w:rPr>
              <w:t>Northern Territory</w:t>
            </w:r>
          </w:p>
        </w:tc>
        <w:tc>
          <w:tcPr>
            <w:tcW w:w="0" w:type="dxa"/>
          </w:tcPr>
          <w:p w14:paraId="45115E41" w14:textId="77777777" w:rsidR="00605BA0" w:rsidRPr="00493731" w:rsidRDefault="00605BA0" w:rsidP="00187113">
            <w:pPr>
              <w:spacing w:before="0" w:after="60"/>
              <w:rPr>
                <w:szCs w:val="20"/>
              </w:rPr>
            </w:pPr>
            <w:r w:rsidRPr="00493731">
              <w:rPr>
                <w:szCs w:val="20"/>
              </w:rPr>
              <w:t>Health and Community Services Complaints Commissioner</w:t>
            </w:r>
          </w:p>
        </w:tc>
      </w:tr>
      <w:tr w:rsidR="00605BA0" w:rsidRPr="0013244C" w14:paraId="70659F29" w14:textId="77777777" w:rsidTr="00187113">
        <w:trPr>
          <w:cnfStyle w:val="010000000000" w:firstRow="0" w:lastRow="1" w:firstColumn="0" w:lastColumn="0" w:oddVBand="0" w:evenVBand="0" w:oddHBand="0" w:evenHBand="0" w:firstRowFirstColumn="0" w:firstRowLastColumn="0" w:lastRowFirstColumn="0" w:lastRowLastColumn="0"/>
          <w:trHeight w:val="454"/>
        </w:trPr>
        <w:tc>
          <w:tcPr>
            <w:tcW w:w="3369" w:type="dxa"/>
            <w:shd w:val="clear" w:color="auto" w:fill="F5F5F5"/>
          </w:tcPr>
          <w:p w14:paraId="7CABD277" w14:textId="77777777" w:rsidR="00605BA0" w:rsidRPr="00493731" w:rsidRDefault="00605BA0" w:rsidP="00187113">
            <w:pPr>
              <w:spacing w:before="0" w:after="60"/>
              <w:rPr>
                <w:b w:val="0"/>
                <w:szCs w:val="20"/>
              </w:rPr>
            </w:pPr>
            <w:r w:rsidRPr="00493731">
              <w:rPr>
                <w:b w:val="0"/>
                <w:szCs w:val="20"/>
              </w:rPr>
              <w:t>Australian Capital Territory</w:t>
            </w:r>
          </w:p>
        </w:tc>
        <w:tc>
          <w:tcPr>
            <w:tcW w:w="0" w:type="dxa"/>
            <w:shd w:val="clear" w:color="auto" w:fill="F5F5F5"/>
          </w:tcPr>
          <w:p w14:paraId="66B60834" w14:textId="77777777" w:rsidR="00605BA0" w:rsidRPr="00493731" w:rsidRDefault="00E14BA3" w:rsidP="00187113">
            <w:pPr>
              <w:spacing w:before="0" w:after="60"/>
              <w:rPr>
                <w:b w:val="0"/>
                <w:szCs w:val="20"/>
              </w:rPr>
            </w:pPr>
            <w:r>
              <w:rPr>
                <w:b w:val="0"/>
                <w:szCs w:val="20"/>
              </w:rPr>
              <w:t xml:space="preserve">ACT Human Rights Commission </w:t>
            </w:r>
          </w:p>
        </w:tc>
      </w:tr>
    </w:tbl>
    <w:p w14:paraId="2CA4DBCD" w14:textId="41A8C9AF" w:rsidR="001D0D88" w:rsidRPr="00955D57" w:rsidRDefault="001D0D88" w:rsidP="000E125E">
      <w:pPr>
        <w:pStyle w:val="Heading3withoutnumbering"/>
        <w:spacing w:before="200"/>
      </w:pPr>
      <w:bookmarkStart w:id="448" w:name="_Toc197076951"/>
      <w:r w:rsidRPr="00955D57">
        <w:t>Australian Government Aged Care Quality and Safety Commission</w:t>
      </w:r>
      <w:r w:rsidR="005F240A" w:rsidRPr="00955D57">
        <w:t xml:space="preserve"> (the Commission)</w:t>
      </w:r>
      <w:bookmarkEnd w:id="448"/>
      <w:r w:rsidRPr="00955D57">
        <w:t xml:space="preserve"> </w:t>
      </w:r>
    </w:p>
    <w:p w14:paraId="4B912522" w14:textId="70C83A79" w:rsidR="002D586B" w:rsidRPr="00EA6F96" w:rsidRDefault="00C71C4E" w:rsidP="001E340F">
      <w:r w:rsidRPr="00955D57">
        <w:t>T</w:t>
      </w:r>
      <w:r w:rsidR="00C8378A" w:rsidRPr="00955D57">
        <w:t xml:space="preserve">he </w:t>
      </w:r>
      <w:r w:rsidR="00DA1336" w:rsidRPr="00955D57">
        <w:t>Aged Care Quality and Safety Commission</w:t>
      </w:r>
      <w:r w:rsidR="00936422" w:rsidRPr="00955D57">
        <w:t xml:space="preserve"> replaced the Australian Aged Care Quality Agency and the Aged Care Complaints Commissioner on 1 January 2019. The Commission’s</w:t>
      </w:r>
      <w:r w:rsidR="00DA1336" w:rsidRPr="00955D57">
        <w:t xml:space="preserve"> role is to protect and enhance the safety, health, </w:t>
      </w:r>
      <w:r w:rsidR="00804A6C" w:rsidRPr="00955D57">
        <w:t>well-being,</w:t>
      </w:r>
      <w:r w:rsidR="00DA1336" w:rsidRPr="00955D57">
        <w:t xml:space="preserve"> and quality of life of people receiving aged care.</w:t>
      </w:r>
      <w:r w:rsidR="00997841" w:rsidRPr="00955D57">
        <w:t xml:space="preserve"> The Commission</w:t>
      </w:r>
      <w:r w:rsidR="004B64A8" w:rsidRPr="00955D57">
        <w:t xml:space="preserve"> </w:t>
      </w:r>
      <w:r w:rsidR="00097713" w:rsidRPr="00955D57">
        <w:t>provides</w:t>
      </w:r>
      <w:r w:rsidR="00CF7430" w:rsidRPr="00955D57">
        <w:t xml:space="preserve"> a free service that handles concerns or complaints</w:t>
      </w:r>
      <w:r w:rsidR="00997841" w:rsidRPr="00955D57">
        <w:t xml:space="preserve"> about service </w:t>
      </w:r>
      <w:r w:rsidR="00804A6C" w:rsidRPr="00955D57">
        <w:t>providers and</w:t>
      </w:r>
      <w:r w:rsidR="00997841" w:rsidRPr="00955D57">
        <w:t xml:space="preserve"> </w:t>
      </w:r>
      <w:r w:rsidR="00CF7430" w:rsidRPr="00955D57">
        <w:t>can</w:t>
      </w:r>
      <w:r w:rsidR="00AB6889" w:rsidRPr="00955D57">
        <w:t xml:space="preserve"> also</w:t>
      </w:r>
      <w:r w:rsidR="00CF7430" w:rsidRPr="00955D57">
        <w:t xml:space="preserve"> provide support with information and options to resolve aged care concerns and complaints.</w:t>
      </w:r>
    </w:p>
    <w:p w14:paraId="1A4A6524" w14:textId="77777777" w:rsidR="00F6109C" w:rsidRDefault="001E3F3D" w:rsidP="001E340F">
      <w:r w:rsidRPr="00EA6F96">
        <w:t>The Commission can be contacted as follows:</w:t>
      </w:r>
    </w:p>
    <w:p w14:paraId="3316DD1C" w14:textId="77777777" w:rsidR="00F6109C" w:rsidRDefault="00C8378A" w:rsidP="00EC0AA4">
      <w:pPr>
        <w:spacing w:after="200"/>
      </w:pPr>
      <w:r w:rsidRPr="00EA6F96">
        <w:rPr>
          <w:b/>
        </w:rPr>
        <w:t>Free Call:</w:t>
      </w:r>
      <w:r w:rsidR="00C07A89" w:rsidRPr="00EA6F96">
        <w:tab/>
      </w:r>
      <w:r w:rsidR="00C07A89" w:rsidRPr="00936422">
        <w:t xml:space="preserve">1800 </w:t>
      </w:r>
      <w:r w:rsidR="001E3F3D" w:rsidRPr="00936422">
        <w:t>951 822</w:t>
      </w:r>
      <w:r w:rsidR="001E3F3D" w:rsidRPr="00EA6F96">
        <w:t xml:space="preserve"> </w:t>
      </w:r>
      <w:r w:rsidR="00C07A89" w:rsidRPr="00EA6F96">
        <w:tab/>
      </w:r>
      <w:r w:rsidR="004050C9">
        <w:t>9am – 5pm Monday to</w:t>
      </w:r>
      <w:r w:rsidRPr="00EA6F96">
        <w:t xml:space="preserve"> Friday</w:t>
      </w:r>
    </w:p>
    <w:p w14:paraId="0F2D5C82" w14:textId="42241898" w:rsidR="00F6109C" w:rsidRDefault="00C8378A" w:rsidP="00F6109C">
      <w:pPr>
        <w:spacing w:before="0" w:after="0"/>
      </w:pPr>
      <w:r w:rsidRPr="00EA6F96">
        <w:rPr>
          <w:b/>
        </w:rPr>
        <w:t>Mail:</w:t>
      </w:r>
      <w:r w:rsidRPr="00EA6F96">
        <w:tab/>
      </w:r>
      <w:r w:rsidRPr="00EA6F96">
        <w:tab/>
        <w:t xml:space="preserve">Aged Care </w:t>
      </w:r>
      <w:r w:rsidR="001E3F3D" w:rsidRPr="00EA6F96">
        <w:t>Quality and Safety Commission</w:t>
      </w:r>
    </w:p>
    <w:p w14:paraId="5A4298D4" w14:textId="77777777" w:rsidR="00C8378A" w:rsidRPr="00EA6F96" w:rsidRDefault="00F6109C" w:rsidP="00F6109C">
      <w:pPr>
        <w:spacing w:before="0" w:after="0"/>
      </w:pPr>
      <w:r>
        <w:tab/>
      </w:r>
      <w:r>
        <w:tab/>
      </w:r>
      <w:r w:rsidR="00C8378A" w:rsidRPr="00EA6F96">
        <w:t xml:space="preserve">GPO Box </w:t>
      </w:r>
      <w:r w:rsidR="001E3F3D" w:rsidRPr="00EA6F96">
        <w:t>9819</w:t>
      </w:r>
    </w:p>
    <w:p w14:paraId="47EDE04C" w14:textId="77777777" w:rsidR="00F6109C" w:rsidRDefault="00C8378A" w:rsidP="00804A6C">
      <w:pPr>
        <w:spacing w:before="0" w:after="200"/>
      </w:pPr>
      <w:r w:rsidRPr="00EA6F96">
        <w:tab/>
      </w:r>
      <w:r w:rsidRPr="00EA6F96">
        <w:tab/>
        <w:t xml:space="preserve">In the capital city </w:t>
      </w:r>
      <w:r w:rsidR="00E129C0">
        <w:t>and</w:t>
      </w:r>
      <w:r w:rsidRPr="00EA6F96">
        <w:t xml:space="preserve"> state/territory </w:t>
      </w:r>
      <w:r w:rsidR="00E129C0">
        <w:t xml:space="preserve">transition </w:t>
      </w:r>
      <w:r w:rsidRPr="0056035A">
        <w:t>care is being provided</w:t>
      </w:r>
    </w:p>
    <w:p w14:paraId="07BDFF6E" w14:textId="63B8407B" w:rsidR="00605BA0" w:rsidRPr="00FE4677" w:rsidRDefault="00C8378A" w:rsidP="001E340F">
      <w:pPr>
        <w:spacing w:before="0" w:after="0"/>
      </w:pPr>
      <w:r w:rsidRPr="0056035A">
        <w:rPr>
          <w:b/>
        </w:rPr>
        <w:t>Email:</w:t>
      </w:r>
      <w:r w:rsidR="00E57313" w:rsidRPr="0056035A">
        <w:tab/>
      </w:r>
      <w:r w:rsidR="0045298B">
        <w:tab/>
      </w:r>
      <w:hyperlink r:id="rId58" w:history="1">
        <w:r w:rsidR="00B06E49" w:rsidRPr="00D772F8">
          <w:rPr>
            <w:rStyle w:val="Hyperlink"/>
            <w:sz w:val="20"/>
          </w:rPr>
          <w:t>info@agedcarequality.gov.au</w:t>
        </w:r>
      </w:hyperlink>
    </w:p>
    <w:p w14:paraId="64839FF6" w14:textId="51D2B59A" w:rsidR="00605BA0" w:rsidRPr="00337A95" w:rsidRDefault="00605BA0" w:rsidP="00187113">
      <w:pPr>
        <w:pStyle w:val="Heading1"/>
        <w:numPr>
          <w:ilvl w:val="0"/>
          <w:numId w:val="0"/>
        </w:numPr>
      </w:pPr>
      <w:bookmarkStart w:id="449" w:name="_Attachment_A"/>
      <w:bookmarkStart w:id="450" w:name="_Toc395537222"/>
      <w:bookmarkStart w:id="451" w:name="_Toc422732578"/>
      <w:bookmarkStart w:id="452" w:name="_Toc422752917"/>
      <w:bookmarkStart w:id="453" w:name="OLE_LINK2"/>
      <w:bookmarkStart w:id="454" w:name="_Toc197076952"/>
      <w:bookmarkEnd w:id="449"/>
      <w:r w:rsidRPr="000A1FD4">
        <w:lastRenderedPageBreak/>
        <w:t>Attachment A</w:t>
      </w:r>
      <w:bookmarkStart w:id="455" w:name="_Toc394673039"/>
      <w:bookmarkEnd w:id="450"/>
      <w:bookmarkEnd w:id="451"/>
      <w:bookmarkEnd w:id="452"/>
      <w:bookmarkEnd w:id="453"/>
      <w:r w:rsidR="00187113">
        <w:t xml:space="preserve"> </w:t>
      </w:r>
      <w:r w:rsidRPr="00337A95">
        <w:t xml:space="preserve">SCHEDULE 4 </w:t>
      </w:r>
      <w:r>
        <w:t>–</w:t>
      </w:r>
      <w:r w:rsidRPr="00337A95">
        <w:t xml:space="preserve"> TRANSITION CARE PROGRAMME QUALITY IMPROVEMENT FRAMEWORK</w:t>
      </w:r>
      <w:bookmarkEnd w:id="454"/>
      <w:bookmarkEnd w:id="455"/>
    </w:p>
    <w:p w14:paraId="289C8718" w14:textId="71FF7062" w:rsidR="00605BA0" w:rsidRPr="00493731" w:rsidRDefault="00605BA0" w:rsidP="001E340F">
      <w:r w:rsidRPr="00493731">
        <w:t xml:space="preserve">The Transition Care Programme Quality Improvement Framework was developed in 2010-11 by the cross-jurisdictional Transition Care Working Group (TCWG) as a strategic approach to achieving the goals of the </w:t>
      </w:r>
      <w:r w:rsidR="00040B91">
        <w:t>p</w:t>
      </w:r>
      <w:r w:rsidRPr="00493731">
        <w:t>rogramme and improving the quality of care and service delivery for transition care recipients nationally. The TCWG oversaw the expansion of the transition care programme from 2,000 to 4,000 places from 2008 to 2012 and reported to the Australian Health Ministers’ Advisory Council until 30 June 2013.</w:t>
      </w:r>
    </w:p>
    <w:p w14:paraId="796B86FC" w14:textId="5DD98C0F" w:rsidR="000C7EBF" w:rsidRDefault="00605BA0" w:rsidP="001E340F">
      <w:r w:rsidRPr="00493731">
        <w:t xml:space="preserve">The Quality Improvement process provides the opportunity to change for the better. The underlying ethos of any quality improvement framework is one that fosters improvement and performance. The results are improved client outcomes, as well as efficiency and ease of compliance with </w:t>
      </w:r>
      <w:r w:rsidR="00040B91">
        <w:t xml:space="preserve">Australian Government </w:t>
      </w:r>
      <w:r w:rsidR="00D93513">
        <w:t>requirements, in particular the Aged Care Quality Standards which were introduced on 1</w:t>
      </w:r>
      <w:r w:rsidR="008D0415">
        <w:t> </w:t>
      </w:r>
      <w:r w:rsidR="00D93513">
        <w:t xml:space="preserve">July 2019, </w:t>
      </w:r>
      <w:r w:rsidRPr="00493731">
        <w:t>and state/territory legislation and requirements.</w:t>
      </w:r>
    </w:p>
    <w:p w14:paraId="0CC3C6AF" w14:textId="447BB3DD" w:rsidR="00605BA0" w:rsidRPr="00493731" w:rsidRDefault="00605BA0" w:rsidP="001E340F">
      <w:r w:rsidRPr="005E2B34">
        <w:t xml:space="preserve">The Framework </w:t>
      </w:r>
      <w:r w:rsidR="00D065BF" w:rsidRPr="00423DD3">
        <w:t xml:space="preserve">is relevant to </w:t>
      </w:r>
      <w:r w:rsidRPr="005E2B34">
        <w:t>transition care services of any size</w:t>
      </w:r>
      <w:r w:rsidR="0025671E" w:rsidRPr="005E2B34">
        <w:t>,</w:t>
      </w:r>
      <w:r w:rsidRPr="005E2B34">
        <w:t xml:space="preserve"> and to stakeholders at each level of the transition care programme, namely:</w:t>
      </w:r>
    </w:p>
    <w:p w14:paraId="4DA9E983" w14:textId="77777777" w:rsidR="00605BA0" w:rsidRPr="00493731" w:rsidRDefault="00605BA0" w:rsidP="001626CC">
      <w:pPr>
        <w:pStyle w:val="ListNumber"/>
      </w:pPr>
      <w:r w:rsidRPr="00493731">
        <w:t>Governments – Australian and state/territory (approved providers</w:t>
      </w:r>
      <w:proofErr w:type="gramStart"/>
      <w:r w:rsidRPr="00493731">
        <w:t>);</w:t>
      </w:r>
      <w:proofErr w:type="gramEnd"/>
    </w:p>
    <w:p w14:paraId="0A701A70" w14:textId="77777777" w:rsidR="00605BA0" w:rsidRPr="00493731" w:rsidRDefault="00605BA0" w:rsidP="001626CC">
      <w:pPr>
        <w:pStyle w:val="ListNumber"/>
      </w:pPr>
      <w:r w:rsidRPr="00493731">
        <w:t xml:space="preserve">Transition care service providers – regional and/or local </w:t>
      </w:r>
      <w:proofErr w:type="gramStart"/>
      <w:r w:rsidRPr="00493731">
        <w:t>managers;</w:t>
      </w:r>
      <w:proofErr w:type="gramEnd"/>
    </w:p>
    <w:p w14:paraId="09B2F7FC" w14:textId="77777777" w:rsidR="00605BA0" w:rsidRPr="00493731" w:rsidRDefault="00605BA0" w:rsidP="001626CC">
      <w:pPr>
        <w:pStyle w:val="ListNumber"/>
      </w:pPr>
      <w:r w:rsidRPr="00493731">
        <w:t>Hospitals; and</w:t>
      </w:r>
    </w:p>
    <w:p w14:paraId="4567BCFC" w14:textId="41E992BF" w:rsidR="00605BA0" w:rsidRPr="008D23D1" w:rsidRDefault="00605BA0" w:rsidP="001626CC">
      <w:pPr>
        <w:pStyle w:val="ListNumber"/>
      </w:pPr>
      <w:r w:rsidRPr="00493731">
        <w:t>Transition care recipients.</w:t>
      </w:r>
    </w:p>
    <w:p w14:paraId="3571B324" w14:textId="078AD2C6" w:rsidR="00E962DD" w:rsidRPr="00366082" w:rsidRDefault="008D23D1" w:rsidP="007F6041">
      <w:pPr>
        <w:pStyle w:val="Heading2withoutnumbering"/>
      </w:pPr>
      <w:bookmarkStart w:id="456" w:name="_Toc197076953"/>
      <w:r>
        <w:t>Framework Dimensions</w:t>
      </w:r>
      <w:bookmarkEnd w:id="456"/>
    </w:p>
    <w:p w14:paraId="37C9DA67" w14:textId="77777777" w:rsidR="00605BA0" w:rsidRPr="00493731" w:rsidRDefault="00605BA0" w:rsidP="001E340F">
      <w:r w:rsidRPr="00493731">
        <w:t>The Framework describes the dimensions of quality and the cross dimensional organisational elements that underpin effective safety and quality improvement.</w:t>
      </w:r>
    </w:p>
    <w:p w14:paraId="1D852879" w14:textId="77777777" w:rsidR="00605BA0" w:rsidRPr="00187113" w:rsidRDefault="00605BA0" w:rsidP="00605BA0">
      <w:r w:rsidRPr="00953CC7">
        <w:rPr>
          <w:noProof/>
          <w:color w:val="00B0B9" w:themeColor="accent2"/>
        </w:rPr>
        <w:drawing>
          <wp:inline distT="0" distB="0" distL="0" distR="0" wp14:anchorId="19C11F33" wp14:editId="3F87277B">
            <wp:extent cx="6022731" cy="3657600"/>
            <wp:effectExtent l="0" t="0" r="0" b="0"/>
            <wp:docPr id="645" name="Diagram 10" descr="This illustrates how the framework describes the dimensions of quality and the cross dimensional organisational elements that underpin effective safety and quality improvement."/>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471C49BE" w14:textId="77777777" w:rsidR="00647A59" w:rsidRDefault="00647A59">
      <w:pPr>
        <w:spacing w:before="0" w:after="200" w:line="276" w:lineRule="auto"/>
        <w:rPr>
          <w:rFonts w:ascii="Georgia" w:eastAsiaTheme="majorEastAsia" w:hAnsi="Georgia" w:cstheme="majorBidi"/>
          <w:bCs/>
          <w:color w:val="005A70"/>
          <w:sz w:val="32"/>
          <w:szCs w:val="26"/>
        </w:rPr>
      </w:pPr>
      <w:r>
        <w:br w:type="page"/>
      </w:r>
    </w:p>
    <w:p w14:paraId="614A6BB9" w14:textId="416126DA" w:rsidR="00605BA0" w:rsidRPr="00901977" w:rsidRDefault="00605BA0" w:rsidP="00D0331A">
      <w:pPr>
        <w:pStyle w:val="Heading2"/>
        <w:numPr>
          <w:ilvl w:val="0"/>
          <w:numId w:val="0"/>
        </w:numPr>
      </w:pPr>
      <w:bookmarkStart w:id="457" w:name="_Toc197076954"/>
      <w:r w:rsidRPr="00901977">
        <w:lastRenderedPageBreak/>
        <w:t>Essential Transition Care Quality Components</w:t>
      </w:r>
      <w:bookmarkEnd w:id="457"/>
      <w:r w:rsidRPr="00901977">
        <w:t xml:space="preserve"> </w:t>
      </w:r>
    </w:p>
    <w:p w14:paraId="3C3A0968" w14:textId="22CC157E" w:rsidR="008D23D1" w:rsidRPr="00366082" w:rsidRDefault="008D23D1" w:rsidP="00D0331A">
      <w:pPr>
        <w:pStyle w:val="Heading3withoutnumbering"/>
        <w:numPr>
          <w:ilvl w:val="0"/>
          <w:numId w:val="0"/>
        </w:numPr>
        <w:ind w:left="720" w:hanging="720"/>
      </w:pPr>
      <w:bookmarkStart w:id="458" w:name="_Toc197076955"/>
      <w:r>
        <w:t>1</w:t>
      </w:r>
      <w:r w:rsidR="00DF7B75">
        <w:t xml:space="preserve"> </w:t>
      </w:r>
      <w:r>
        <w:t>Organisational Elements</w:t>
      </w:r>
      <w:bookmarkEnd w:id="458"/>
    </w:p>
    <w:p w14:paraId="28642406" w14:textId="200D421D" w:rsidR="00605BA0" w:rsidRPr="00A855F7" w:rsidRDefault="00605BA0" w:rsidP="00EC0AA4">
      <w:pPr>
        <w:spacing w:before="0"/>
        <w:rPr>
          <w:szCs w:val="20"/>
        </w:rPr>
      </w:pPr>
      <w:r w:rsidRPr="00A855F7">
        <w:rPr>
          <w:szCs w:val="20"/>
        </w:rPr>
        <w:t>The Framework is based on four organisational elements</w:t>
      </w:r>
      <w:r w:rsidRPr="00A855F7">
        <w:rPr>
          <w:szCs w:val="20"/>
          <w:vertAlign w:val="superscript"/>
        </w:rPr>
        <w:footnoteReference w:id="10"/>
      </w:r>
      <w:r w:rsidRPr="00A855F7">
        <w:rPr>
          <w:szCs w:val="20"/>
        </w:rPr>
        <w:t xml:space="preserve"> critical to quality improvement:</w:t>
      </w:r>
    </w:p>
    <w:p w14:paraId="24C6C6FC" w14:textId="77777777" w:rsidR="00605BA0" w:rsidRPr="007E1C52" w:rsidRDefault="00605BA0" w:rsidP="007E1C52">
      <w:pPr>
        <w:pStyle w:val="List"/>
      </w:pPr>
      <w:r w:rsidRPr="007E1C52">
        <w:t>Governance and leadership</w:t>
      </w:r>
    </w:p>
    <w:p w14:paraId="78CC6BFD" w14:textId="77777777" w:rsidR="00605BA0" w:rsidRPr="007E1C52" w:rsidRDefault="00605BA0" w:rsidP="007E1C52">
      <w:pPr>
        <w:pStyle w:val="List"/>
      </w:pPr>
      <w:r w:rsidRPr="007E1C52">
        <w:t>Consumer involvement</w:t>
      </w:r>
    </w:p>
    <w:p w14:paraId="5557BCD3" w14:textId="77777777" w:rsidR="00605BA0" w:rsidRPr="007E1C52" w:rsidRDefault="00605BA0" w:rsidP="007E1C52">
      <w:pPr>
        <w:pStyle w:val="List"/>
      </w:pPr>
      <w:r w:rsidRPr="007E1C52">
        <w:t>Competence and education</w:t>
      </w:r>
    </w:p>
    <w:p w14:paraId="21F3C47E" w14:textId="705A4F51" w:rsidR="00605BA0" w:rsidRPr="007E1C52" w:rsidRDefault="00605BA0" w:rsidP="007E1C52">
      <w:pPr>
        <w:pStyle w:val="List"/>
      </w:pPr>
      <w:r w:rsidRPr="007E1C52">
        <w:t>Information management</w:t>
      </w:r>
    </w:p>
    <w:p w14:paraId="05CA340D" w14:textId="77A6DE10" w:rsidR="00071156" w:rsidRDefault="00605BA0" w:rsidP="007E1C52">
      <w:pPr>
        <w:rPr>
          <w:i/>
        </w:rPr>
      </w:pPr>
      <w:r w:rsidRPr="00A855F7">
        <w:t>In the context of transition care, the four organisational elements critical to quality improvement refer to:</w:t>
      </w:r>
    </w:p>
    <w:p w14:paraId="4D4C8210" w14:textId="7AC1F22C" w:rsidR="00605BA0" w:rsidRDefault="00605BA0" w:rsidP="007E1C52">
      <w:pPr>
        <w:pStyle w:val="List2"/>
      </w:pPr>
      <w:r w:rsidRPr="00B24531">
        <w:t>Governance and leadership</w:t>
      </w:r>
    </w:p>
    <w:p w14:paraId="7D1B7B52" w14:textId="77777777" w:rsidR="00645D70" w:rsidRPr="00645D70" w:rsidRDefault="00645D70" w:rsidP="00E330E4">
      <w:pPr>
        <w:pStyle w:val="ListBullet"/>
      </w:pPr>
      <w:r w:rsidRPr="00645D70">
        <w:t>Corporate governance exercised by Australian and state/territory governments and their respective structures and processes which ensure fulfilment of strategic, statutory and financial obligations.</w:t>
      </w:r>
    </w:p>
    <w:p w14:paraId="7D74863B" w14:textId="2256EFC7" w:rsidR="00645D70" w:rsidRPr="00645D70" w:rsidRDefault="00645D70" w:rsidP="00E330E4">
      <w:pPr>
        <w:pStyle w:val="ListBullet"/>
      </w:pPr>
      <w:r w:rsidRPr="00645D70">
        <w:t>Clinical governance refers to the accountability of approved providers and authorised service providers for monitoring, supporting, evaluating and continuously improving the safety and quality of care and service delivery.</w:t>
      </w:r>
    </w:p>
    <w:p w14:paraId="09BD988E" w14:textId="571FD55B" w:rsidR="00605BA0" w:rsidRDefault="00605BA0" w:rsidP="007E1C52">
      <w:pPr>
        <w:pStyle w:val="List2"/>
      </w:pPr>
      <w:r w:rsidRPr="0081320F">
        <w:t>Consumer involvement</w:t>
      </w:r>
    </w:p>
    <w:p w14:paraId="73A05288" w14:textId="77777777" w:rsidR="00645D70" w:rsidRPr="00A855F7" w:rsidRDefault="00645D70" w:rsidP="00E330E4">
      <w:pPr>
        <w:pStyle w:val="ListBullet"/>
      </w:pPr>
      <w:r w:rsidRPr="00A855F7">
        <w:t>Consumers need to be involved at two levels, either:</w:t>
      </w:r>
    </w:p>
    <w:p w14:paraId="688B23D0" w14:textId="330400F4" w:rsidR="00645D70" w:rsidRPr="00645D70" w:rsidRDefault="00645D70" w:rsidP="00E330E4">
      <w:pPr>
        <w:pStyle w:val="ListBullet2"/>
      </w:pPr>
      <w:r w:rsidRPr="00645D70">
        <w:t>as people who either directly or indirectly make use of transition care services, predominantly older people and their families and carers; or</w:t>
      </w:r>
    </w:p>
    <w:p w14:paraId="7B48DA5F" w14:textId="386156F1" w:rsidR="00645D70" w:rsidRPr="00645D70" w:rsidRDefault="00645D70" w:rsidP="00E330E4">
      <w:pPr>
        <w:pStyle w:val="ListBullet2"/>
      </w:pPr>
      <w:r w:rsidRPr="00645D70">
        <w:t xml:space="preserve">as representatives of the community or population served by the </w:t>
      </w:r>
      <w:r w:rsidR="0064270C" w:rsidRPr="00645D70">
        <w:t>service</w:t>
      </w:r>
      <w:r w:rsidRPr="00645D70">
        <w:t xml:space="preserve"> they are attending.</w:t>
      </w:r>
    </w:p>
    <w:p w14:paraId="69F27C84" w14:textId="5C8D7BAE" w:rsidR="00605BA0" w:rsidRDefault="00605BA0" w:rsidP="007E1C52">
      <w:pPr>
        <w:pStyle w:val="List2"/>
      </w:pPr>
      <w:r w:rsidRPr="0081320F">
        <w:t>Competence and education</w:t>
      </w:r>
    </w:p>
    <w:p w14:paraId="3ACE9BFA" w14:textId="1467C2C1" w:rsidR="00645D70" w:rsidRPr="00645D70" w:rsidRDefault="00645D70" w:rsidP="00E330E4">
      <w:pPr>
        <w:pStyle w:val="ListBullet"/>
      </w:pPr>
      <w:r w:rsidRPr="00645D70">
        <w:t>Competence needs to be assured at all levels of the Programme and requires the provision of education and training to ensure understanding of the quality framework to foster compliance. Regular review and follow-up action is also required to ensure maintenance of skills and knowledge appropriate to all levels of service provision.</w:t>
      </w:r>
    </w:p>
    <w:p w14:paraId="07B86C77" w14:textId="53FAD523" w:rsidR="00605BA0" w:rsidRDefault="00605BA0" w:rsidP="007E1C52">
      <w:pPr>
        <w:pStyle w:val="List2"/>
      </w:pPr>
      <w:r w:rsidRPr="0081320F">
        <w:t xml:space="preserve">Information management </w:t>
      </w:r>
    </w:p>
    <w:p w14:paraId="58CF8312" w14:textId="44FF69C5" w:rsidR="00645D70" w:rsidRPr="00645D70" w:rsidRDefault="00645D70" w:rsidP="00E330E4">
      <w:pPr>
        <w:pStyle w:val="ListBullet"/>
      </w:pPr>
      <w:r w:rsidRPr="00645D70">
        <w:t>There needs to be accurate, relevant and timely collection, analysis and reporting of data, supported by appropriate software and hardware and the capacity to convert the data into information which can be used to support and to enable continuous improvement in practice.</w:t>
      </w:r>
    </w:p>
    <w:p w14:paraId="6202C7CD" w14:textId="331E3E0D" w:rsidR="008D23D1" w:rsidRPr="00366082" w:rsidRDefault="008D23D1" w:rsidP="00D0331A">
      <w:pPr>
        <w:pStyle w:val="Heading3withoutnumbering"/>
        <w:numPr>
          <w:ilvl w:val="0"/>
          <w:numId w:val="0"/>
        </w:numPr>
        <w:spacing w:before="200"/>
        <w:ind w:left="720" w:hanging="720"/>
      </w:pPr>
      <w:bookmarkStart w:id="459" w:name="_Toc197076956"/>
      <w:r>
        <w:t>2</w:t>
      </w:r>
      <w:r w:rsidR="00DF7B75">
        <w:t xml:space="preserve"> </w:t>
      </w:r>
      <w:r>
        <w:t>Dimensions of Quality</w:t>
      </w:r>
      <w:bookmarkEnd w:id="459"/>
    </w:p>
    <w:p w14:paraId="7CDEA5D6" w14:textId="77777777" w:rsidR="00605BA0" w:rsidRPr="00A855F7" w:rsidRDefault="00605BA0" w:rsidP="00645D70">
      <w:r w:rsidRPr="00A855F7">
        <w:t>Each of these organisational elements intersects with six commonly recognised dimensions</w:t>
      </w:r>
      <w:r w:rsidRPr="00A855F7">
        <w:rPr>
          <w:vertAlign w:val="superscript"/>
        </w:rPr>
        <w:footnoteReference w:id="11"/>
      </w:r>
      <w:r w:rsidRPr="00A855F7">
        <w:t xml:space="preserve"> of quality:</w:t>
      </w:r>
    </w:p>
    <w:p w14:paraId="048D0DBD" w14:textId="77777777" w:rsidR="00605BA0" w:rsidRPr="00A855F7" w:rsidRDefault="00605BA0" w:rsidP="00762250">
      <w:pPr>
        <w:pStyle w:val="List"/>
        <w:numPr>
          <w:ilvl w:val="0"/>
          <w:numId w:val="24"/>
        </w:numPr>
        <w:tabs>
          <w:tab w:val="clear" w:pos="1494"/>
        </w:tabs>
        <w:ind w:left="426" w:hanging="142"/>
      </w:pPr>
      <w:r w:rsidRPr="007E1C52">
        <w:t>Safety</w:t>
      </w:r>
    </w:p>
    <w:p w14:paraId="3254BD0A" w14:textId="0FF57B98" w:rsidR="00605BA0" w:rsidRPr="00A855F7" w:rsidRDefault="00605BA0" w:rsidP="007E1C52">
      <w:pPr>
        <w:pStyle w:val="List"/>
      </w:pPr>
      <w:r w:rsidRPr="00A855F7">
        <w:t>Effectiveness</w:t>
      </w:r>
    </w:p>
    <w:p w14:paraId="77E4F701" w14:textId="77777777" w:rsidR="00605BA0" w:rsidRPr="00A855F7" w:rsidRDefault="00605BA0" w:rsidP="007E1C52">
      <w:pPr>
        <w:pStyle w:val="List"/>
      </w:pPr>
      <w:r w:rsidRPr="00A855F7">
        <w:t>Appropriateness</w:t>
      </w:r>
    </w:p>
    <w:p w14:paraId="25E4E16B" w14:textId="77777777" w:rsidR="00605BA0" w:rsidRPr="00A855F7" w:rsidRDefault="00605BA0" w:rsidP="007E1C52">
      <w:pPr>
        <w:pStyle w:val="List"/>
      </w:pPr>
      <w:r w:rsidRPr="00A855F7">
        <w:t>Stakeholder satisfaction</w:t>
      </w:r>
    </w:p>
    <w:p w14:paraId="58A889AE" w14:textId="77777777" w:rsidR="00605BA0" w:rsidRPr="00A855F7" w:rsidRDefault="00605BA0" w:rsidP="007E1C52">
      <w:pPr>
        <w:pStyle w:val="List"/>
      </w:pPr>
      <w:r w:rsidRPr="00A855F7">
        <w:t>Access to services</w:t>
      </w:r>
    </w:p>
    <w:p w14:paraId="54B6C0CF" w14:textId="77777777" w:rsidR="00605BA0" w:rsidRPr="00A855F7" w:rsidRDefault="00605BA0" w:rsidP="007E1C52">
      <w:pPr>
        <w:pStyle w:val="List"/>
      </w:pPr>
      <w:r w:rsidRPr="00A855F7">
        <w:t xml:space="preserve">Efficiency </w:t>
      </w:r>
    </w:p>
    <w:p w14:paraId="2F9C6E8B" w14:textId="5518C85D" w:rsidR="00605BA0" w:rsidRPr="00A855F7" w:rsidRDefault="00605BA0" w:rsidP="00A36A77">
      <w:r w:rsidRPr="00A855F7">
        <w:t>These dimensions form the basis for monitoring, managing and reporting on the quality of transition care services provided nationally. There is significant overlap and interdependence between them, therefore making it important for all dimensions to be included in a system designed to improve the quality of ca</w:t>
      </w:r>
      <w:r w:rsidR="00EC0AA4">
        <w:t>re and services being provided.</w:t>
      </w:r>
    </w:p>
    <w:p w14:paraId="1F4995CE" w14:textId="068D1FBF" w:rsidR="007123AF" w:rsidRDefault="00605BA0" w:rsidP="00A36A77">
      <w:r w:rsidRPr="00A855F7">
        <w:t>Components of the six dimensions of quality as they pertain specifically to the provision of transition care include, but are not limited to, the following activities</w:t>
      </w:r>
      <w:r w:rsidR="00451847">
        <w:t>.</w:t>
      </w:r>
    </w:p>
    <w:p w14:paraId="6504B901" w14:textId="4CDA403B" w:rsidR="00605BA0" w:rsidRDefault="00605BA0" w:rsidP="00762250">
      <w:pPr>
        <w:pStyle w:val="List2"/>
        <w:numPr>
          <w:ilvl w:val="0"/>
          <w:numId w:val="25"/>
        </w:numPr>
        <w:ind w:left="426" w:hanging="357"/>
      </w:pPr>
      <w:r w:rsidRPr="0056532F">
        <w:t>Safety</w:t>
      </w:r>
    </w:p>
    <w:p w14:paraId="5E96FA54" w14:textId="01C4959F" w:rsidR="00645D70" w:rsidRDefault="00645D70" w:rsidP="00583436">
      <w:pPr>
        <w:pStyle w:val="ListBullet"/>
        <w:ind w:hanging="357"/>
      </w:pPr>
      <w:r>
        <w:t>Management and reduction of risks</w:t>
      </w:r>
      <w:r w:rsidR="00451847">
        <w:t>:</w:t>
      </w:r>
    </w:p>
    <w:p w14:paraId="18AEE227" w14:textId="77777777" w:rsidR="00A36A77" w:rsidRPr="00640569" w:rsidRDefault="00645D70" w:rsidP="00583436">
      <w:pPr>
        <w:pStyle w:val="ListContinue"/>
        <w:spacing w:line="240" w:lineRule="auto"/>
        <w:ind w:hanging="357"/>
      </w:pPr>
      <w:r w:rsidRPr="00640569">
        <w:lastRenderedPageBreak/>
        <w:t>Transition care service providers must have up-to-date policies and procedures to manage and reduce risks, including falls, incidents of abuse of older people and other adverse events.</w:t>
      </w:r>
    </w:p>
    <w:p w14:paraId="7D4D951F" w14:textId="0B60B93C" w:rsidR="00645D70" w:rsidRPr="00640569" w:rsidRDefault="00645D70" w:rsidP="00583436">
      <w:pPr>
        <w:pStyle w:val="ListContinue"/>
        <w:spacing w:line="240" w:lineRule="auto"/>
        <w:ind w:hanging="357"/>
      </w:pPr>
      <w:r w:rsidRPr="00640569">
        <w:t xml:space="preserve">Transition care service providers delivering care in a residential setting must comply with all requirements mandated by the SIRS, which include incident management and compulsory reporting obligations (see </w:t>
      </w:r>
      <w:r w:rsidRPr="00583436">
        <w:rPr>
          <w:i/>
          <w:iCs/>
        </w:rPr>
        <w:t>6.1.2 of the guidelines Serious and immediate health and safety risk management and reporting</w:t>
      </w:r>
      <w:r w:rsidRPr="00640569">
        <w:t>).</w:t>
      </w:r>
    </w:p>
    <w:p w14:paraId="245EBBAD" w14:textId="69584695" w:rsidR="00645D70" w:rsidRDefault="00645D70" w:rsidP="00A97BBA">
      <w:pPr>
        <w:pStyle w:val="ListBullet"/>
      </w:pPr>
      <w:r>
        <w:t>Police checks</w:t>
      </w:r>
    </w:p>
    <w:p w14:paraId="6152A799" w14:textId="4B5ED818" w:rsidR="00645D70" w:rsidRPr="00640569" w:rsidRDefault="00645D70" w:rsidP="00762250">
      <w:pPr>
        <w:pStyle w:val="ListContinue"/>
        <w:numPr>
          <w:ilvl w:val="0"/>
          <w:numId w:val="28"/>
        </w:numPr>
        <w:spacing w:line="240" w:lineRule="auto"/>
        <w:ind w:left="1276"/>
      </w:pPr>
      <w:r w:rsidRPr="00640569">
        <w:t>All transition care staff and contractors who have or are reasonably likely to have access to care recipients of a transition care service must undergo a national criminal history record check every three years.</w:t>
      </w:r>
    </w:p>
    <w:p w14:paraId="3AF48AEC" w14:textId="2D53F088" w:rsidR="00645D70" w:rsidRDefault="00640569" w:rsidP="00BC7F67">
      <w:pPr>
        <w:pStyle w:val="ListContinue"/>
        <w:spacing w:line="240" w:lineRule="auto"/>
        <w:ind w:left="1276"/>
      </w:pPr>
      <w:r w:rsidRPr="00640569">
        <w:t>T</w:t>
      </w:r>
      <w:r w:rsidR="00645D70" w:rsidRPr="00640569">
        <w:t xml:space="preserve">his includes volunteers who have unsupervised access to care recipients (see also </w:t>
      </w:r>
      <w:r w:rsidR="00645D70" w:rsidRPr="00BC7F67">
        <w:rPr>
          <w:i/>
          <w:iCs/>
        </w:rPr>
        <w:t>part 6 of the Accountability Principles 2014</w:t>
      </w:r>
      <w:r w:rsidR="00645D70">
        <w:t xml:space="preserve"> and </w:t>
      </w:r>
      <w:r w:rsidR="00645D70" w:rsidRPr="00BC7F67">
        <w:rPr>
          <w:i/>
          <w:iCs/>
        </w:rPr>
        <w:t>section 63-1 of the Act</w:t>
      </w:r>
      <w:r w:rsidR="00645D70">
        <w:t>).</w:t>
      </w:r>
    </w:p>
    <w:p w14:paraId="5282609E" w14:textId="43552333" w:rsidR="00645D70" w:rsidRDefault="00645D70" w:rsidP="00451847">
      <w:pPr>
        <w:pStyle w:val="ListBullet"/>
      </w:pPr>
      <w:r>
        <w:t>Buildings used for the provision of residential based transition care must comply with the relevant state/territory building regulations.</w:t>
      </w:r>
    </w:p>
    <w:p w14:paraId="6EC161EA" w14:textId="2B59E7CF" w:rsidR="00645D70" w:rsidRDefault="00645D70" w:rsidP="00451847">
      <w:pPr>
        <w:pStyle w:val="ListBullet"/>
        <w:ind w:hanging="357"/>
      </w:pPr>
      <w:r>
        <w:t>Credentialing/professional registration/accreditation of service providers</w:t>
      </w:r>
      <w:r w:rsidR="00451847">
        <w:t>:</w:t>
      </w:r>
    </w:p>
    <w:p w14:paraId="0BD64A05" w14:textId="568A5287" w:rsidR="00645D70" w:rsidRDefault="00645D70" w:rsidP="00762250">
      <w:pPr>
        <w:pStyle w:val="ListContinue"/>
        <w:numPr>
          <w:ilvl w:val="0"/>
          <w:numId w:val="27"/>
        </w:numPr>
        <w:spacing w:line="240" w:lineRule="auto"/>
        <w:ind w:left="1276"/>
      </w:pPr>
      <w:r>
        <w:t>Allied health, medical and nursing staff who provide transition care services must have current national registration or be a member of the appropriate professional association, a Department of Veterans’ Affairs (DVA) approved provider or a Registered Medicare Provider.</w:t>
      </w:r>
    </w:p>
    <w:p w14:paraId="36E2469B" w14:textId="28E064B0" w:rsidR="00645D70" w:rsidRDefault="00645D70" w:rsidP="00A97BBA">
      <w:pPr>
        <w:pStyle w:val="ListBullet"/>
      </w:pPr>
      <w:r>
        <w:t>Environmental safety checks</w:t>
      </w:r>
      <w:r w:rsidR="00451847">
        <w:t>:</w:t>
      </w:r>
    </w:p>
    <w:p w14:paraId="3B29FE86" w14:textId="77BE6C10" w:rsidR="00A36A77" w:rsidRDefault="00645D70" w:rsidP="00762250">
      <w:pPr>
        <w:pStyle w:val="ListContinue"/>
        <w:numPr>
          <w:ilvl w:val="0"/>
          <w:numId w:val="29"/>
        </w:numPr>
        <w:spacing w:line="240" w:lineRule="auto"/>
        <w:ind w:left="1276" w:hanging="357"/>
      </w:pPr>
      <w:r>
        <w:t>Transition care service providers must meet appropriate environmental standards, including food handling and hotel services in residential based transition care services.</w:t>
      </w:r>
    </w:p>
    <w:p w14:paraId="6BDEF46B" w14:textId="5994C3D7" w:rsidR="00645D70" w:rsidRDefault="00645D70" w:rsidP="00762250">
      <w:pPr>
        <w:pStyle w:val="List2"/>
        <w:numPr>
          <w:ilvl w:val="0"/>
          <w:numId w:val="25"/>
        </w:numPr>
        <w:ind w:left="426"/>
      </w:pPr>
      <w:r>
        <w:t>Effectiveness</w:t>
      </w:r>
    </w:p>
    <w:p w14:paraId="69562B97" w14:textId="43838A54" w:rsidR="00645D70" w:rsidRPr="00640569" w:rsidRDefault="00645D70" w:rsidP="00E330E4">
      <w:pPr>
        <w:pStyle w:val="ListBullet"/>
      </w:pPr>
      <w:r w:rsidRPr="00640569">
        <w:t>Transition care service provision should include:</w:t>
      </w:r>
    </w:p>
    <w:p w14:paraId="29D33319" w14:textId="7855BF20" w:rsidR="00645D70" w:rsidRPr="00640569" w:rsidRDefault="00645D70" w:rsidP="00762250">
      <w:pPr>
        <w:pStyle w:val="ListBullet"/>
        <w:numPr>
          <w:ilvl w:val="1"/>
          <w:numId w:val="34"/>
        </w:numPr>
      </w:pPr>
      <w:r w:rsidRPr="00640569">
        <w:t xml:space="preserve">quality improvement reviews and studies, both quantitative and qualitative, including robust monitoring, reporting and response </w:t>
      </w:r>
      <w:proofErr w:type="gramStart"/>
      <w:r w:rsidRPr="00640569">
        <w:t>systems;</w:t>
      </w:r>
      <w:proofErr w:type="gramEnd"/>
    </w:p>
    <w:p w14:paraId="265C077F" w14:textId="5EA57223" w:rsidR="00645D70" w:rsidRPr="00640569" w:rsidRDefault="00645D70" w:rsidP="00762250">
      <w:pPr>
        <w:pStyle w:val="ListBullet"/>
        <w:numPr>
          <w:ilvl w:val="1"/>
          <w:numId w:val="34"/>
        </w:numPr>
      </w:pPr>
      <w:r w:rsidRPr="00640569">
        <w:t>consumer satisfaction surveys and other feedback mechanisms; and</w:t>
      </w:r>
    </w:p>
    <w:p w14:paraId="33985C91" w14:textId="27ADC136" w:rsidR="00645D70" w:rsidRDefault="00645D70" w:rsidP="00762250">
      <w:pPr>
        <w:pStyle w:val="ListBullet"/>
        <w:numPr>
          <w:ilvl w:val="1"/>
          <w:numId w:val="34"/>
        </w:numPr>
      </w:pPr>
      <w:r w:rsidRPr="00640569">
        <w:t>monitoring</w:t>
      </w:r>
      <w:r>
        <w:t xml:space="preserve"> of functional improvement using an endorsed or validated tool*.</w:t>
      </w:r>
    </w:p>
    <w:p w14:paraId="77F2A2AB" w14:textId="772400D0" w:rsidR="00645D70" w:rsidRPr="00645D70" w:rsidRDefault="00645D70" w:rsidP="00640569">
      <w:r>
        <w:t>*Note: The use of the Modified Barthel Index for assessments by the transition care service at entry to and exit from the transition care programme is mandatory for Australian Government subsidy payments.</w:t>
      </w:r>
    </w:p>
    <w:p w14:paraId="7A6894E2" w14:textId="5C380915" w:rsidR="00605BA0" w:rsidRDefault="00605BA0" w:rsidP="00A36A77">
      <w:pPr>
        <w:pStyle w:val="List2"/>
        <w:ind w:left="426"/>
      </w:pPr>
      <w:r w:rsidRPr="008707BD">
        <w:t>Appropriateness</w:t>
      </w:r>
    </w:p>
    <w:p w14:paraId="5ECF8471" w14:textId="285EA2EA" w:rsidR="00645D70" w:rsidRDefault="00645D70" w:rsidP="00E330E4">
      <w:pPr>
        <w:pStyle w:val="ListBullet"/>
      </w:pPr>
      <w:r>
        <w:t>Transition care service provision should include outcome monitoring in accordance with principles of transition care, including returning home to live in community (or previous care setting) and admission to residential care rates, and re-admission to hospital during a transition care episode.</w:t>
      </w:r>
    </w:p>
    <w:p w14:paraId="6CC150E7" w14:textId="0E698F5A" w:rsidR="00645D70" w:rsidRDefault="00645D70" w:rsidP="00E330E4">
      <w:pPr>
        <w:pStyle w:val="ListBullet"/>
      </w:pPr>
      <w:r>
        <w:t xml:space="preserve">Service settings should be suitable for meeting transition care outcomes, including provision of a more home-like, less institutional environment in residential services and space available for therapy (see </w:t>
      </w:r>
      <w:r w:rsidRPr="00451847">
        <w:rPr>
          <w:i/>
          <w:iCs/>
        </w:rPr>
        <w:t>Chapter 4 – Transition Care Programme Restorative Care Requirements</w:t>
      </w:r>
      <w:r w:rsidR="00C93A64" w:rsidRPr="00451847">
        <w:rPr>
          <w:i/>
          <w:iCs/>
        </w:rPr>
        <w:t>, Requirement 4.1, Outcome 4.1.3</w:t>
      </w:r>
      <w:r>
        <w:t>).</w:t>
      </w:r>
    </w:p>
    <w:p w14:paraId="361696DF" w14:textId="7C9D2069" w:rsidR="00640569" w:rsidRPr="00640569" w:rsidRDefault="00640569" w:rsidP="00640569">
      <w:pPr>
        <w:pStyle w:val="List2"/>
        <w:ind w:left="426"/>
      </w:pPr>
      <w:r>
        <w:t>Stakeholder Satisfaction</w:t>
      </w:r>
    </w:p>
    <w:p w14:paraId="19A095CA" w14:textId="6FE9A66D" w:rsidR="001174D0" w:rsidRDefault="001174D0" w:rsidP="00E330E4">
      <w:pPr>
        <w:pStyle w:val="ListBullet"/>
      </w:pPr>
      <w:r>
        <w:t>Transition care service provision must have internal and external processes for monitoring and managing complaints.</w:t>
      </w:r>
    </w:p>
    <w:p w14:paraId="3932F41A" w14:textId="6CFBF2C6" w:rsidR="001174D0" w:rsidRPr="001174D0" w:rsidRDefault="001174D0" w:rsidP="00E330E4">
      <w:pPr>
        <w:pStyle w:val="ListBullet"/>
      </w:pPr>
      <w:r>
        <w:t>Complaints processes should be informed by stakeholder consultation and feedback, including satisfaction surveys, focus groups and interviews with internal and external stakeholders at all levels.</w:t>
      </w:r>
      <w:r w:rsidRPr="001174D0">
        <w:rPr>
          <w:szCs w:val="20"/>
          <w:vertAlign w:val="superscript"/>
        </w:rPr>
        <w:t xml:space="preserve"> </w:t>
      </w:r>
      <w:r w:rsidRPr="00493731">
        <w:rPr>
          <w:szCs w:val="20"/>
          <w:vertAlign w:val="superscript"/>
        </w:rPr>
        <w:footnoteReference w:id="12"/>
      </w:r>
    </w:p>
    <w:p w14:paraId="6DA84972" w14:textId="72A24985" w:rsidR="00605BA0" w:rsidRDefault="00605BA0" w:rsidP="00A25C85">
      <w:pPr>
        <w:pStyle w:val="List2"/>
        <w:ind w:left="426"/>
      </w:pPr>
      <w:r w:rsidRPr="008707BD">
        <w:t>Access to services</w:t>
      </w:r>
    </w:p>
    <w:p w14:paraId="7AA013D0" w14:textId="68601B88" w:rsidR="001174D0" w:rsidRDefault="001174D0" w:rsidP="00E330E4">
      <w:pPr>
        <w:pStyle w:val="ListBullet"/>
      </w:pPr>
      <w:r>
        <w:t>Transition care service provision must comply with admission/eligibility criteria governing access to services, including utilisation of services by target groups, including Aboriginal and Torres Strait Islander people, and special needs populations.</w:t>
      </w:r>
    </w:p>
    <w:p w14:paraId="56EB66A1" w14:textId="5437ACFF" w:rsidR="001174D0" w:rsidRPr="001174D0" w:rsidRDefault="001174D0" w:rsidP="00E330E4">
      <w:pPr>
        <w:pStyle w:val="ListBullet"/>
      </w:pPr>
      <w:r>
        <w:t xml:space="preserve">This should include reviews of the utilisation of services encompassing target groups and </w:t>
      </w:r>
      <w:r w:rsidRPr="00A25C85">
        <w:t>special</w:t>
      </w:r>
      <w:r>
        <w:t xml:space="preserve"> needs populations to optimise access.</w:t>
      </w:r>
    </w:p>
    <w:p w14:paraId="0B0D554A" w14:textId="1C8BCA98" w:rsidR="00605BA0" w:rsidRDefault="00605BA0" w:rsidP="00A25C85">
      <w:pPr>
        <w:pStyle w:val="List2"/>
        <w:ind w:left="426"/>
      </w:pPr>
      <w:r w:rsidRPr="008707BD">
        <w:lastRenderedPageBreak/>
        <w:t>Efficiency</w:t>
      </w:r>
    </w:p>
    <w:p w14:paraId="34114C6F" w14:textId="301442C2" w:rsidR="001174D0" w:rsidRDefault="001174D0" w:rsidP="003E5C25">
      <w:pPr>
        <w:pStyle w:val="ListBullet"/>
        <w:ind w:hanging="357"/>
      </w:pPr>
      <w:r>
        <w:t>Transition care service provision should be guided by systemic reviews and updating of policies and procedures to ensure consistency at national, state and local levels. This should include:</w:t>
      </w:r>
    </w:p>
    <w:p w14:paraId="16AE17DE" w14:textId="198963B2" w:rsidR="001174D0" w:rsidRDefault="001174D0" w:rsidP="00762250">
      <w:pPr>
        <w:pStyle w:val="ListContinue"/>
        <w:numPr>
          <w:ilvl w:val="0"/>
          <w:numId w:val="30"/>
        </w:numPr>
        <w:spacing w:line="240" w:lineRule="auto"/>
        <w:ind w:hanging="357"/>
      </w:pPr>
      <w:r>
        <w:t>transparent data analysis and reporting on performance, including occupancy rates, lengths of stay and re-admission rates; and</w:t>
      </w:r>
    </w:p>
    <w:p w14:paraId="39E7DD25" w14:textId="2FD65573" w:rsidR="001174D0" w:rsidRPr="001174D0" w:rsidRDefault="001174D0" w:rsidP="003E5C25">
      <w:pPr>
        <w:pStyle w:val="ListContinue"/>
        <w:spacing w:line="240" w:lineRule="auto"/>
        <w:ind w:hanging="357"/>
      </w:pPr>
      <w:r>
        <w:t>regular benchmarking and comparing of organisational performance.</w:t>
      </w:r>
    </w:p>
    <w:p w14:paraId="417D23A8" w14:textId="3E9B240D" w:rsidR="008D23D1" w:rsidRPr="00366082" w:rsidRDefault="008D23D1" w:rsidP="00D0331A">
      <w:pPr>
        <w:pStyle w:val="Heading3withoutnumbering"/>
        <w:numPr>
          <w:ilvl w:val="0"/>
          <w:numId w:val="0"/>
        </w:numPr>
        <w:ind w:left="720" w:hanging="720"/>
      </w:pPr>
      <w:bookmarkStart w:id="460" w:name="_Toc197076957"/>
      <w:r>
        <w:t>3</w:t>
      </w:r>
      <w:r w:rsidR="00DF7B75">
        <w:t xml:space="preserve"> </w:t>
      </w:r>
      <w:r>
        <w:t>Operating Environment</w:t>
      </w:r>
      <w:bookmarkEnd w:id="460"/>
    </w:p>
    <w:p w14:paraId="0DEC8AD0" w14:textId="09512941" w:rsidR="00605BA0" w:rsidRPr="00493731" w:rsidRDefault="00605BA0" w:rsidP="001174D0">
      <w:r w:rsidRPr="00493731">
        <w:t xml:space="preserve">There are </w:t>
      </w:r>
      <w:r w:rsidR="0064270C" w:rsidRPr="00493731">
        <w:t>several</w:t>
      </w:r>
      <w:r w:rsidRPr="00493731">
        <w:t xml:space="preserve"> key external and internal safety and quality drivers impacting on the environment in which the Transition Care Programme Quality</w:t>
      </w:r>
      <w:r w:rsidR="00B85F00">
        <w:t xml:space="preserve"> Improvement Framework operates:</w:t>
      </w:r>
    </w:p>
    <w:p w14:paraId="331CB38A" w14:textId="4E570A2F" w:rsidR="00B06E49" w:rsidRPr="00B06E49" w:rsidRDefault="00605BA0" w:rsidP="00762250">
      <w:pPr>
        <w:pStyle w:val="List"/>
        <w:numPr>
          <w:ilvl w:val="0"/>
          <w:numId w:val="35"/>
        </w:numPr>
      </w:pPr>
      <w:r w:rsidRPr="00493731">
        <w:t>Compliance with legislative and regulatory requirements</w:t>
      </w:r>
      <w:r w:rsidR="009019D8">
        <w:t>.</w:t>
      </w:r>
    </w:p>
    <w:p w14:paraId="04DDA0DC" w14:textId="77777777" w:rsidR="00605BA0" w:rsidRPr="00493731" w:rsidRDefault="00454B89" w:rsidP="00762250">
      <w:pPr>
        <w:pStyle w:val="List"/>
        <w:numPr>
          <w:ilvl w:val="0"/>
          <w:numId w:val="35"/>
        </w:numPr>
      </w:pPr>
      <w:r w:rsidRPr="00753F76">
        <w:t>Compliance with quality standards</w:t>
      </w:r>
      <w:r w:rsidR="009019D8">
        <w:t>.</w:t>
      </w:r>
    </w:p>
    <w:p w14:paraId="4570C45B" w14:textId="77777777" w:rsidR="006F741E" w:rsidRDefault="00605BA0" w:rsidP="00762250">
      <w:pPr>
        <w:pStyle w:val="List"/>
        <w:numPr>
          <w:ilvl w:val="0"/>
          <w:numId w:val="35"/>
        </w:numPr>
      </w:pPr>
      <w:r w:rsidRPr="00493731">
        <w:t>An internal self-assessment and reporting system</w:t>
      </w:r>
      <w:r w:rsidR="009019D8">
        <w:t>.</w:t>
      </w:r>
    </w:p>
    <w:p w14:paraId="62CDAC3C" w14:textId="0FC482BD" w:rsidR="006F741E" w:rsidRPr="00B06E49" w:rsidRDefault="00605BA0" w:rsidP="00762250">
      <w:pPr>
        <w:pStyle w:val="List"/>
        <w:numPr>
          <w:ilvl w:val="0"/>
          <w:numId w:val="35"/>
        </w:numPr>
      </w:pPr>
      <w:r w:rsidRPr="006F741E">
        <w:t>Local quality improvement plans which address operational priorities and implications for safety and quality are reviewed and updated annually or in line with requirements of the approved provider and the</w:t>
      </w:r>
      <w:r w:rsidR="005F240A" w:rsidRPr="006F741E">
        <w:t xml:space="preserve"> relevant external</w:t>
      </w:r>
      <w:r w:rsidRPr="006F741E">
        <w:t xml:space="preserve"> accreditation agency</w:t>
      </w:r>
      <w:r w:rsidR="009019D8" w:rsidRPr="006F741E">
        <w:t>.</w:t>
      </w:r>
    </w:p>
    <w:p w14:paraId="07557189" w14:textId="4365CB20" w:rsidR="00D367FE" w:rsidRPr="00462CA0" w:rsidRDefault="00D367FE" w:rsidP="00762250">
      <w:pPr>
        <w:pStyle w:val="List2"/>
        <w:numPr>
          <w:ilvl w:val="0"/>
          <w:numId w:val="31"/>
        </w:numPr>
        <w:ind w:left="426"/>
      </w:pPr>
      <w:r w:rsidRPr="00462CA0">
        <w:t>Compliance with legislative and regulatory requirements</w:t>
      </w:r>
    </w:p>
    <w:p w14:paraId="73F15248" w14:textId="77777777" w:rsidR="00605BA0" w:rsidRPr="00AC3898" w:rsidRDefault="00B35950" w:rsidP="00E330E4">
      <w:pPr>
        <w:pStyle w:val="ListBullet"/>
      </w:pPr>
      <w:r w:rsidRPr="00A25C85">
        <w:t>Transition</w:t>
      </w:r>
      <w:r>
        <w:t xml:space="preserve"> care approved providers and services are required to comply </w:t>
      </w:r>
      <w:r w:rsidR="00605BA0" w:rsidRPr="00493731">
        <w:t>with</w:t>
      </w:r>
      <w:r>
        <w:t xml:space="preserve"> all</w:t>
      </w:r>
      <w:r w:rsidR="00605BA0" w:rsidRPr="00493731">
        <w:t xml:space="preserve"> </w:t>
      </w:r>
      <w:r w:rsidR="00172CE9">
        <w:t xml:space="preserve">Australian Government </w:t>
      </w:r>
      <w:r>
        <w:t xml:space="preserve">and/or state/territory </w:t>
      </w:r>
      <w:r w:rsidR="00605BA0" w:rsidRPr="00493731">
        <w:t>legislative and regulatory requirements.</w:t>
      </w:r>
    </w:p>
    <w:p w14:paraId="0BEE993B" w14:textId="18A52224" w:rsidR="00B35950" w:rsidRPr="00C12FE9" w:rsidRDefault="00B35950" w:rsidP="00A25C85">
      <w:pPr>
        <w:pStyle w:val="List2"/>
        <w:ind w:left="426"/>
      </w:pPr>
      <w:r w:rsidRPr="00C12FE9">
        <w:t>Compliance with quality standards</w:t>
      </w:r>
    </w:p>
    <w:p w14:paraId="5B7936B0" w14:textId="53DD5FF4" w:rsidR="00B35950" w:rsidRDefault="00F94701" w:rsidP="00E330E4">
      <w:pPr>
        <w:pStyle w:val="ListBullet"/>
      </w:pPr>
      <w:r w:rsidRPr="00955D57">
        <w:t>Transition care must comply with</w:t>
      </w:r>
      <w:r w:rsidR="00A07311">
        <w:t xml:space="preserve"> </w:t>
      </w:r>
      <w:r w:rsidRPr="00955D57">
        <w:t>the Aged Care Quality Standards</w:t>
      </w:r>
      <w:r w:rsidR="00A07311">
        <w:t xml:space="preserve">, regardless of whether they are </w:t>
      </w:r>
      <w:r w:rsidR="006E32A0">
        <w:t>monitored by</w:t>
      </w:r>
      <w:r w:rsidR="00A07311">
        <w:t xml:space="preserve"> the Aged Care Quality </w:t>
      </w:r>
      <w:r w:rsidR="006E32A0">
        <w:t>and Safety Commission</w:t>
      </w:r>
      <w:r w:rsidR="007F1809">
        <w:t>er</w:t>
      </w:r>
      <w:r w:rsidR="00A07311">
        <w:t xml:space="preserve"> or </w:t>
      </w:r>
      <w:r w:rsidR="006E32A0">
        <w:t xml:space="preserve">are accredited by </w:t>
      </w:r>
      <w:r w:rsidR="00A07311" w:rsidRPr="00955D57">
        <w:t xml:space="preserve">the </w:t>
      </w:r>
      <w:r w:rsidR="00A60DF2">
        <w:t>Australian Commission on</w:t>
      </w:r>
      <w:r w:rsidR="00A07311" w:rsidRPr="00955D57">
        <w:t xml:space="preserve"> Safety and Quality </w:t>
      </w:r>
      <w:r w:rsidR="00A60DF2">
        <w:t xml:space="preserve">in </w:t>
      </w:r>
      <w:r w:rsidR="004212B0">
        <w:t>He</w:t>
      </w:r>
      <w:r w:rsidR="00A07311" w:rsidRPr="00955D57">
        <w:t xml:space="preserve">alth </w:t>
      </w:r>
      <w:r w:rsidR="00A60DF2">
        <w:t>Care</w:t>
      </w:r>
      <w:r w:rsidR="00CA08D3">
        <w:t>.</w:t>
      </w:r>
    </w:p>
    <w:p w14:paraId="5433D800" w14:textId="590E97D3" w:rsidR="001D1CAF" w:rsidRPr="00C12FE9" w:rsidRDefault="00B35950" w:rsidP="00A25C85">
      <w:pPr>
        <w:pStyle w:val="List2"/>
        <w:ind w:left="426"/>
      </w:pPr>
      <w:r w:rsidRPr="00C12FE9">
        <w:t>Internal self-assessment and reporting system</w:t>
      </w:r>
    </w:p>
    <w:p w14:paraId="63F25E93" w14:textId="45106092" w:rsidR="00605BA0" w:rsidRPr="00AC3898" w:rsidRDefault="001D1CAF" w:rsidP="00E330E4">
      <w:pPr>
        <w:pStyle w:val="ListBullet"/>
      </w:pPr>
      <w:r w:rsidRPr="00493731">
        <w:t xml:space="preserve">Transition care </w:t>
      </w:r>
      <w:r w:rsidRPr="00A25C85">
        <w:t>service</w:t>
      </w:r>
      <w:r w:rsidRPr="00493731">
        <w:t xml:space="preserve"> provision must </w:t>
      </w:r>
      <w:r w:rsidR="00623C93">
        <w:t>include</w:t>
      </w:r>
      <w:r w:rsidRPr="00493731">
        <w:t xml:space="preserve"> an internal reporting and self</w:t>
      </w:r>
      <w:r w:rsidR="008D1382">
        <w:noBreakHyphen/>
      </w:r>
      <w:r w:rsidRPr="00493731">
        <w:t>assessment system.</w:t>
      </w:r>
    </w:p>
    <w:p w14:paraId="642320CA" w14:textId="0C87E002" w:rsidR="00C62DCE" w:rsidRPr="00C12FE9" w:rsidRDefault="00C62DCE" w:rsidP="00A25C85">
      <w:pPr>
        <w:pStyle w:val="List2"/>
        <w:ind w:left="426"/>
      </w:pPr>
      <w:r w:rsidRPr="00C12FE9">
        <w:t>Local quality improvement plans</w:t>
      </w:r>
    </w:p>
    <w:p w14:paraId="32ADDB19" w14:textId="74B813B5" w:rsidR="00605BA0" w:rsidRPr="00493731" w:rsidRDefault="00605BA0" w:rsidP="00131A8E">
      <w:pPr>
        <w:pStyle w:val="ListBullet"/>
        <w:ind w:hanging="357"/>
      </w:pPr>
      <w:r w:rsidRPr="00A25C85">
        <w:t>Transition</w:t>
      </w:r>
      <w:r w:rsidRPr="00493731">
        <w:t xml:space="preserve"> care service provision must have a culture that promotes continuous quality improvement. This should include, but not </w:t>
      </w:r>
      <w:r w:rsidR="00D12135">
        <w:t xml:space="preserve">be </w:t>
      </w:r>
      <w:r w:rsidRPr="00493731">
        <w:t xml:space="preserve">limited to, local quality improvement plans which address operational priorities and implications for safety and quality and are reviewed and updated annually or in line with requirements of the approved provider and the </w:t>
      </w:r>
      <w:r w:rsidR="005F240A">
        <w:t xml:space="preserve">relevant external </w:t>
      </w:r>
      <w:r w:rsidR="006510DC" w:rsidRPr="00955D57">
        <w:t>accreditation agency</w:t>
      </w:r>
      <w:r w:rsidR="004E54B1" w:rsidRPr="00955D57">
        <w:t>.</w:t>
      </w:r>
      <w:r w:rsidRPr="00493731">
        <w:t xml:space="preserve"> The local plans must:</w:t>
      </w:r>
    </w:p>
    <w:p w14:paraId="1A281EDE" w14:textId="77777777" w:rsidR="00A25C85" w:rsidRDefault="00605BA0" w:rsidP="00762250">
      <w:pPr>
        <w:pStyle w:val="ListContinue"/>
        <w:numPr>
          <w:ilvl w:val="0"/>
          <w:numId w:val="32"/>
        </w:numPr>
        <w:spacing w:line="240" w:lineRule="auto"/>
        <w:ind w:hanging="357"/>
        <w:rPr>
          <w:szCs w:val="20"/>
        </w:rPr>
      </w:pPr>
      <w:r w:rsidRPr="00A25C85">
        <w:t>reflect</w:t>
      </w:r>
      <w:r w:rsidRPr="00A25C85">
        <w:rPr>
          <w:szCs w:val="20"/>
        </w:rPr>
        <w:t xml:space="preserve"> an organisational or service level culture which fosters safety and quality </w:t>
      </w:r>
      <w:proofErr w:type="gramStart"/>
      <w:r w:rsidRPr="00A25C85">
        <w:rPr>
          <w:szCs w:val="20"/>
        </w:rPr>
        <w:t>improvement;</w:t>
      </w:r>
      <w:proofErr w:type="gramEnd"/>
    </w:p>
    <w:p w14:paraId="51E7E6DA" w14:textId="77777777" w:rsidR="00A25C85" w:rsidRDefault="00605BA0" w:rsidP="00762250">
      <w:pPr>
        <w:pStyle w:val="ListContinue"/>
        <w:numPr>
          <w:ilvl w:val="0"/>
          <w:numId w:val="32"/>
        </w:numPr>
        <w:spacing w:line="240" w:lineRule="auto"/>
        <w:ind w:hanging="357"/>
        <w:rPr>
          <w:szCs w:val="20"/>
        </w:rPr>
      </w:pPr>
      <w:r w:rsidRPr="00A25C85">
        <w:rPr>
          <w:szCs w:val="20"/>
        </w:rPr>
        <w:t>enable individual transition care services to draw on appropriate organisational structures, processes and resources (including technical support and information) to monitor, manage and improve service delivery; and</w:t>
      </w:r>
    </w:p>
    <w:p w14:paraId="23D60B25" w14:textId="33976419" w:rsidR="00605BA0" w:rsidRPr="00A25C85" w:rsidRDefault="00605BA0" w:rsidP="00762250">
      <w:pPr>
        <w:pStyle w:val="ListContinue"/>
        <w:numPr>
          <w:ilvl w:val="0"/>
          <w:numId w:val="32"/>
        </w:numPr>
        <w:spacing w:line="240" w:lineRule="auto"/>
        <w:ind w:hanging="357"/>
        <w:rPr>
          <w:szCs w:val="20"/>
        </w:rPr>
      </w:pPr>
      <w:r w:rsidRPr="00A25C85">
        <w:rPr>
          <w:szCs w:val="20"/>
        </w:rPr>
        <w:t>utilise a simple quality improvement methodology, comprising:</w:t>
      </w:r>
    </w:p>
    <w:p w14:paraId="6576507F" w14:textId="0D92494E" w:rsidR="00605BA0" w:rsidRPr="008302F1" w:rsidRDefault="00605BA0" w:rsidP="00762250">
      <w:pPr>
        <w:pStyle w:val="ListParagraph"/>
        <w:numPr>
          <w:ilvl w:val="0"/>
          <w:numId w:val="14"/>
        </w:numPr>
        <w:ind w:left="1276" w:hanging="357"/>
      </w:pPr>
      <w:r w:rsidRPr="008302F1">
        <w:t xml:space="preserve">a feedback loop </w:t>
      </w:r>
      <w:r w:rsidR="00C93A64">
        <w:t>that</w:t>
      </w:r>
      <w:r w:rsidRPr="008302F1">
        <w:t xml:space="preserve"> ensures data and information are collected, analysed and acted on, with the results review</w:t>
      </w:r>
      <w:r w:rsidR="00C93A64">
        <w:t>ed</w:t>
      </w:r>
      <w:r w:rsidRPr="008302F1">
        <w:t xml:space="preserve"> for effectiveness and all parties concerned kept informed of </w:t>
      </w:r>
      <w:proofErr w:type="gramStart"/>
      <w:r w:rsidRPr="008302F1">
        <w:t>progress;</w:t>
      </w:r>
      <w:proofErr w:type="gramEnd"/>
    </w:p>
    <w:p w14:paraId="06FB11F9" w14:textId="24180053" w:rsidR="00605BA0" w:rsidRPr="00493731" w:rsidRDefault="00605BA0" w:rsidP="00762250">
      <w:pPr>
        <w:pStyle w:val="ListParagraph"/>
        <w:numPr>
          <w:ilvl w:val="0"/>
          <w:numId w:val="14"/>
        </w:numPr>
        <w:ind w:left="1276" w:hanging="357"/>
      </w:pPr>
      <w:r w:rsidRPr="00493731">
        <w:t xml:space="preserve">improvements that could be adopted by individual organisations or </w:t>
      </w:r>
      <w:proofErr w:type="gramStart"/>
      <w:r w:rsidRPr="00493731">
        <w:t>services;</w:t>
      </w:r>
      <w:proofErr w:type="gramEnd"/>
    </w:p>
    <w:p w14:paraId="68ED3E45" w14:textId="47D12833" w:rsidR="00605BA0" w:rsidRPr="00493731" w:rsidRDefault="00605BA0" w:rsidP="00762250">
      <w:pPr>
        <w:pStyle w:val="ListParagraph"/>
        <w:numPr>
          <w:ilvl w:val="0"/>
          <w:numId w:val="14"/>
        </w:numPr>
        <w:ind w:left="1276" w:hanging="357"/>
      </w:pPr>
      <w:r w:rsidRPr="00493731">
        <w:t>improvement tools and techniques that could be utilised and chosen locally and which are consistent with the environment in which the transition care service operates; and</w:t>
      </w:r>
    </w:p>
    <w:p w14:paraId="707ABB79" w14:textId="3E000146" w:rsidR="00605BA0" w:rsidRPr="00493731" w:rsidRDefault="00605BA0" w:rsidP="00762250">
      <w:pPr>
        <w:pStyle w:val="ListParagraph"/>
        <w:numPr>
          <w:ilvl w:val="0"/>
          <w:numId w:val="14"/>
        </w:numPr>
        <w:ind w:left="1276" w:hanging="357"/>
      </w:pPr>
      <w:r w:rsidRPr="00493731">
        <w:t xml:space="preserve">the involvement of people who are directly impacted by change </w:t>
      </w:r>
      <w:r w:rsidR="004D0E73" w:rsidRPr="00493731">
        <w:t>because of</w:t>
      </w:r>
      <w:r w:rsidRPr="00493731">
        <w:t xml:space="preserve"> improvement activities. These people could be staff, consumers, the community, and other stakeholders.</w:t>
      </w:r>
    </w:p>
    <w:p w14:paraId="49950690" w14:textId="51BACA86" w:rsidR="008D23D1" w:rsidRPr="00366082" w:rsidRDefault="008D23D1" w:rsidP="00D0331A">
      <w:pPr>
        <w:pStyle w:val="Heading3withoutnumbering"/>
        <w:numPr>
          <w:ilvl w:val="0"/>
          <w:numId w:val="0"/>
        </w:numPr>
        <w:ind w:left="720" w:hanging="720"/>
      </w:pPr>
      <w:bookmarkStart w:id="461" w:name="_Toc197076958"/>
      <w:r>
        <w:t>4</w:t>
      </w:r>
      <w:r w:rsidR="00DF7B75">
        <w:t xml:space="preserve"> </w:t>
      </w:r>
      <w:r>
        <w:t>Review of the Framework</w:t>
      </w:r>
      <w:bookmarkEnd w:id="461"/>
    </w:p>
    <w:p w14:paraId="51E20A5F" w14:textId="4452FCEC" w:rsidR="00605BA0" w:rsidRPr="00070A87" w:rsidRDefault="00605BA0" w:rsidP="009F4B2D">
      <w:r w:rsidRPr="00070A87">
        <w:t xml:space="preserve">This Framework should be reviewed from time to time to ensure it remains current and consistent with new developments in health and aged care, and to facilitate changes identified through growing experience with the </w:t>
      </w:r>
      <w:r w:rsidR="00172CE9">
        <w:t>p</w:t>
      </w:r>
      <w:r w:rsidRPr="00070A87">
        <w:t>rogramme.</w:t>
      </w:r>
    </w:p>
    <w:p w14:paraId="1AA3EB49" w14:textId="3EBDC659" w:rsidR="00605BA0" w:rsidRPr="009F4B2D" w:rsidRDefault="00605BA0" w:rsidP="009F4B2D">
      <w:r w:rsidRPr="00070A87">
        <w:t xml:space="preserve">The review should be undertaken by a group which includes representatives from the </w:t>
      </w:r>
      <w:r w:rsidR="00EE68D1">
        <w:t>d</w:t>
      </w:r>
      <w:r w:rsidRPr="00070A87">
        <w:t>epartment with po</w:t>
      </w:r>
      <w:r w:rsidR="00756274">
        <w:t xml:space="preserve">rtfolio responsibility for the </w:t>
      </w:r>
      <w:r w:rsidRPr="00070A87">
        <w:t>programme and state/territory approved providers to ensure the perspectives of all jurisdictio</w:t>
      </w:r>
      <w:r w:rsidR="0011116C">
        <w:t xml:space="preserve">ns are </w:t>
      </w:r>
      <w:r w:rsidR="004D0E73">
        <w:t>considered</w:t>
      </w:r>
      <w:r w:rsidR="0011116C">
        <w:t>.</w:t>
      </w:r>
    </w:p>
    <w:p w14:paraId="39953DA7" w14:textId="3C13E73C" w:rsidR="00605BA0" w:rsidRPr="007760E6" w:rsidRDefault="00605BA0" w:rsidP="00187113">
      <w:pPr>
        <w:pStyle w:val="Heading1"/>
        <w:numPr>
          <w:ilvl w:val="0"/>
          <w:numId w:val="0"/>
        </w:numPr>
      </w:pPr>
      <w:bookmarkStart w:id="462" w:name="_Attachment_B"/>
      <w:bookmarkStart w:id="463" w:name="_Attachment_B_SCHEDULE"/>
      <w:bookmarkStart w:id="464" w:name="_Toc394673040"/>
      <w:bookmarkStart w:id="465" w:name="_Toc395537223"/>
      <w:bookmarkStart w:id="466" w:name="_Toc422732579"/>
      <w:bookmarkStart w:id="467" w:name="_Toc422752918"/>
      <w:bookmarkStart w:id="468" w:name="_Toc197076959"/>
      <w:bookmarkEnd w:id="462"/>
      <w:bookmarkEnd w:id="463"/>
      <w:r w:rsidRPr="007760E6">
        <w:lastRenderedPageBreak/>
        <w:t>Attachment B</w:t>
      </w:r>
      <w:bookmarkEnd w:id="464"/>
      <w:bookmarkEnd w:id="465"/>
      <w:bookmarkEnd w:id="466"/>
      <w:bookmarkEnd w:id="467"/>
      <w:r w:rsidR="00187113">
        <w:t xml:space="preserve"> </w:t>
      </w:r>
      <w:r w:rsidRPr="007760E6">
        <w:t xml:space="preserve">SCHEDULE 1 </w:t>
      </w:r>
      <w:r>
        <w:t>–</w:t>
      </w:r>
      <w:r w:rsidRPr="007760E6">
        <w:t xml:space="preserve"> SPECIFIED CARE AND SERVICES FOR TRANSITION CARE SERVICES</w:t>
      </w:r>
      <w:bookmarkEnd w:id="468"/>
    </w:p>
    <w:p w14:paraId="2D6B0E27" w14:textId="492101B0" w:rsidR="00605BA0" w:rsidRPr="00070A87" w:rsidRDefault="00605BA0" w:rsidP="009F4B2D">
      <w:r w:rsidRPr="00070A87">
        <w:t xml:space="preserve">The Transition Care Payment Agreement provides that the care and services listed in Schedule 1 are to be provided in a way that meets the </w:t>
      </w:r>
      <w:r w:rsidR="00E235C5">
        <w:t>Aged Care Quality Standards</w:t>
      </w:r>
      <w:r w:rsidR="006145ED">
        <w:t>.</w:t>
      </w:r>
    </w:p>
    <w:p w14:paraId="7F0AC9E0" w14:textId="065E8382" w:rsidR="00605BA0" w:rsidRPr="00070A87" w:rsidRDefault="00605BA0" w:rsidP="009F4B2D">
      <w:r w:rsidRPr="00070A87">
        <w:t>The following lists of care and services are not intended to be exhaustive or to limit the range of care and services provided. They indicate the basic level of care that transition care service providers must be able to provide, if required by a recipient of transition care, for receipt of flexible care subsidy for that recipient. The use of telehealth and telecare devices should be considered where medically indicated and appropriate to the care recipient’s goals. The availability and adoption of this equipment may be subject to adequate infrastructure to support the transmission of data and images.</w:t>
      </w:r>
    </w:p>
    <w:p w14:paraId="5BEFA32A" w14:textId="77777777" w:rsidR="00605BA0" w:rsidRPr="00E330E4" w:rsidRDefault="00605BA0" w:rsidP="008D1382">
      <w:pPr>
        <w:spacing w:before="0" w:after="200"/>
        <w:ind w:left="720" w:hanging="720"/>
        <w:rPr>
          <w:rStyle w:val="Strong"/>
        </w:rPr>
      </w:pPr>
      <w:r w:rsidRPr="00E330E4">
        <w:rPr>
          <w:rStyle w:val="Strong"/>
        </w:rPr>
        <w:t>Part 1</w:t>
      </w:r>
      <w:r w:rsidR="00BA7584" w:rsidRPr="00E330E4">
        <w:rPr>
          <w:rStyle w:val="Strong"/>
        </w:rPr>
        <w:tab/>
      </w:r>
      <w:r w:rsidRPr="00E330E4">
        <w:rPr>
          <w:rStyle w:val="Strong"/>
        </w:rPr>
        <w:t>Care and services that must be provided, when required, to transition care recipients in a residential setting</w:t>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lists the care and services that must be provided, when required, to transition care recipients in a residential setting."/>
      </w:tblPr>
      <w:tblGrid>
        <w:gridCol w:w="1101"/>
        <w:gridCol w:w="2268"/>
        <w:gridCol w:w="6300"/>
      </w:tblGrid>
      <w:tr w:rsidR="00605BA0" w:rsidRPr="00C82C51" w14:paraId="3C27B4FA" w14:textId="77777777" w:rsidTr="00721B9E">
        <w:trPr>
          <w:cnfStyle w:val="100000000000" w:firstRow="1" w:lastRow="0" w:firstColumn="0" w:lastColumn="0" w:oddVBand="0" w:evenVBand="0" w:oddHBand="0" w:evenHBand="0" w:firstRowFirstColumn="0" w:firstRowLastColumn="0" w:lastRowFirstColumn="0" w:lastRowLastColumn="0"/>
          <w:tblHeader/>
        </w:trPr>
        <w:tc>
          <w:tcPr>
            <w:tcW w:w="1101" w:type="dxa"/>
            <w:shd w:val="clear" w:color="auto" w:fill="500778"/>
          </w:tcPr>
          <w:p w14:paraId="01C16895"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Col.1</w:t>
            </w:r>
          </w:p>
        </w:tc>
        <w:tc>
          <w:tcPr>
            <w:tcW w:w="2268" w:type="dxa"/>
            <w:shd w:val="clear" w:color="auto" w:fill="500778"/>
          </w:tcPr>
          <w:p w14:paraId="73D5D871"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2</w:t>
            </w:r>
          </w:p>
          <w:p w14:paraId="6DDD6FB8"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Service</w:t>
            </w:r>
          </w:p>
        </w:tc>
        <w:tc>
          <w:tcPr>
            <w:tcW w:w="6300" w:type="dxa"/>
            <w:shd w:val="clear" w:color="auto" w:fill="500778"/>
          </w:tcPr>
          <w:p w14:paraId="6313E2BF"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3</w:t>
            </w:r>
          </w:p>
          <w:p w14:paraId="0CEEB1CD"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Content</w:t>
            </w:r>
          </w:p>
        </w:tc>
      </w:tr>
      <w:tr w:rsidR="00605BA0" w:rsidRPr="00C82C51" w14:paraId="38BF7B87" w14:textId="77777777" w:rsidTr="00721B9E">
        <w:tc>
          <w:tcPr>
            <w:tcW w:w="1101" w:type="dxa"/>
          </w:tcPr>
          <w:p w14:paraId="5A56BACD"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w:t>
            </w:r>
          </w:p>
        </w:tc>
        <w:tc>
          <w:tcPr>
            <w:tcW w:w="2268" w:type="dxa"/>
            <w:tcBorders>
              <w:bottom w:val="single" w:sz="4" w:space="0" w:color="auto"/>
            </w:tcBorders>
          </w:tcPr>
          <w:p w14:paraId="4C493E7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Maintenance of all buildings and grounds</w:t>
            </w:r>
          </w:p>
        </w:tc>
        <w:tc>
          <w:tcPr>
            <w:tcW w:w="6300" w:type="dxa"/>
            <w:tcBorders>
              <w:bottom w:val="single" w:sz="4" w:space="0" w:color="auto"/>
            </w:tcBorders>
          </w:tcPr>
          <w:p w14:paraId="30EE159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Adequately maintained buildings and grounds.</w:t>
            </w:r>
          </w:p>
        </w:tc>
      </w:tr>
      <w:tr w:rsidR="00605BA0" w:rsidRPr="00C82C51" w14:paraId="755289F6" w14:textId="77777777" w:rsidTr="00721B9E">
        <w:tc>
          <w:tcPr>
            <w:tcW w:w="1101" w:type="dxa"/>
            <w:shd w:val="clear" w:color="auto" w:fill="F5F5F5"/>
          </w:tcPr>
          <w:p w14:paraId="24F2C7EE"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1.2</w:t>
            </w:r>
          </w:p>
        </w:tc>
        <w:tc>
          <w:tcPr>
            <w:tcW w:w="2268" w:type="dxa"/>
            <w:tcBorders>
              <w:top w:val="single" w:sz="4" w:space="0" w:color="auto"/>
              <w:bottom w:val="single" w:sz="4" w:space="0" w:color="auto"/>
            </w:tcBorders>
            <w:shd w:val="clear" w:color="auto" w:fill="F5F5F5"/>
          </w:tcPr>
          <w:p w14:paraId="10ECBFCB"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Accommodation</w:t>
            </w:r>
          </w:p>
        </w:tc>
        <w:tc>
          <w:tcPr>
            <w:tcW w:w="6300" w:type="dxa"/>
            <w:tcBorders>
              <w:top w:val="single" w:sz="4" w:space="0" w:color="auto"/>
              <w:bottom w:val="single" w:sz="4" w:space="0" w:color="auto"/>
            </w:tcBorders>
            <w:shd w:val="clear" w:color="auto" w:fill="F5F5F5"/>
          </w:tcPr>
          <w:p w14:paraId="6586896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Utilities such as electricity and water.</w:t>
            </w:r>
          </w:p>
        </w:tc>
      </w:tr>
      <w:tr w:rsidR="00605BA0" w:rsidRPr="00C82C51" w14:paraId="32E4C08E" w14:textId="77777777" w:rsidTr="00721B9E">
        <w:tc>
          <w:tcPr>
            <w:tcW w:w="1101" w:type="dxa"/>
          </w:tcPr>
          <w:p w14:paraId="7A839621"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1.3</w:t>
            </w:r>
          </w:p>
        </w:tc>
        <w:tc>
          <w:tcPr>
            <w:tcW w:w="2268" w:type="dxa"/>
            <w:tcBorders>
              <w:top w:val="single" w:sz="4" w:space="0" w:color="auto"/>
              <w:bottom w:val="single" w:sz="4" w:space="0" w:color="auto"/>
            </w:tcBorders>
          </w:tcPr>
          <w:p w14:paraId="2523624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Furnishings</w:t>
            </w:r>
          </w:p>
        </w:tc>
        <w:tc>
          <w:tcPr>
            <w:tcW w:w="6300" w:type="dxa"/>
            <w:tcBorders>
              <w:top w:val="single" w:sz="4" w:space="0" w:color="auto"/>
              <w:bottom w:val="single" w:sz="4" w:space="0" w:color="auto"/>
            </w:tcBorders>
          </w:tcPr>
          <w:p w14:paraId="597D319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Bed-side lockers, chairs with arms, containers for personal laundry, dining, lounge and recreational furnishings, draw screens (for shared rooms), care recipient wardrobe space, towel rails, over-bed tables.</w:t>
            </w:r>
          </w:p>
        </w:tc>
      </w:tr>
      <w:tr w:rsidR="00605BA0" w:rsidRPr="00C82C51" w14:paraId="48387335" w14:textId="77777777" w:rsidTr="00721B9E">
        <w:tc>
          <w:tcPr>
            <w:tcW w:w="1101" w:type="dxa"/>
            <w:shd w:val="clear" w:color="auto" w:fill="F5F5F5"/>
          </w:tcPr>
          <w:p w14:paraId="0CBBD8BD"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1.4</w:t>
            </w:r>
          </w:p>
        </w:tc>
        <w:tc>
          <w:tcPr>
            <w:tcW w:w="2268" w:type="dxa"/>
            <w:tcBorders>
              <w:top w:val="single" w:sz="4" w:space="0" w:color="auto"/>
              <w:bottom w:val="single" w:sz="4" w:space="0" w:color="auto"/>
            </w:tcBorders>
            <w:shd w:val="clear" w:color="auto" w:fill="F5F5F5"/>
          </w:tcPr>
          <w:p w14:paraId="1D76734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Bedding materials</w:t>
            </w:r>
          </w:p>
        </w:tc>
        <w:tc>
          <w:tcPr>
            <w:tcW w:w="6300" w:type="dxa"/>
            <w:tcBorders>
              <w:top w:val="single" w:sz="4" w:space="0" w:color="auto"/>
              <w:bottom w:val="single" w:sz="4" w:space="0" w:color="auto"/>
            </w:tcBorders>
            <w:shd w:val="clear" w:color="auto" w:fill="F5F5F5"/>
          </w:tcPr>
          <w:p w14:paraId="64310923" w14:textId="77777777" w:rsidR="00605BA0" w:rsidRPr="00070A87" w:rsidRDefault="00605BA0" w:rsidP="00FD70FA">
            <w:pPr>
              <w:spacing w:before="0" w:after="60"/>
              <w:rPr>
                <w:rFonts w:asciiTheme="minorHAnsi" w:hAnsiTheme="minorHAnsi" w:cstheme="minorHAnsi"/>
                <w:bCs/>
                <w:szCs w:val="20"/>
              </w:rPr>
            </w:pPr>
            <w:r w:rsidRPr="00070A87">
              <w:rPr>
                <w:rFonts w:asciiTheme="minorHAnsi" w:hAnsiTheme="minorHAnsi" w:cstheme="minorHAnsi"/>
                <w:szCs w:val="20"/>
              </w:rPr>
              <w:t>Beds and mattresses, bed rails</w:t>
            </w:r>
            <w:r w:rsidR="00D303C0">
              <w:rPr>
                <w:rFonts w:asciiTheme="minorHAnsi" w:hAnsiTheme="minorHAnsi" w:cstheme="minorHAnsi"/>
                <w:szCs w:val="20"/>
              </w:rPr>
              <w:t xml:space="preserve"> (</w:t>
            </w:r>
            <w:r w:rsidR="00880592">
              <w:rPr>
                <w:rFonts w:asciiTheme="minorHAnsi" w:hAnsiTheme="minorHAnsi" w:cstheme="minorHAnsi"/>
                <w:szCs w:val="20"/>
              </w:rPr>
              <w:t>if</w:t>
            </w:r>
            <w:r w:rsidR="00FD70FA">
              <w:rPr>
                <w:rFonts w:asciiTheme="minorHAnsi" w:hAnsiTheme="minorHAnsi" w:cstheme="minorHAnsi"/>
                <w:szCs w:val="20"/>
              </w:rPr>
              <w:t xml:space="preserve"> appropriate</w:t>
            </w:r>
            <w:r w:rsidR="00D303C0">
              <w:rPr>
                <w:rFonts w:asciiTheme="minorHAnsi" w:hAnsiTheme="minorHAnsi" w:cstheme="minorHAnsi"/>
                <w:szCs w:val="20"/>
              </w:rPr>
              <w:t>)</w:t>
            </w:r>
            <w:r w:rsidRPr="00070A87">
              <w:rPr>
                <w:rFonts w:asciiTheme="minorHAnsi" w:hAnsiTheme="minorHAnsi" w:cstheme="minorHAnsi"/>
                <w:szCs w:val="20"/>
              </w:rPr>
              <w:t>, bed linen, blankets and absorbent or waterproof sheeting, incontinence sheets, ripple mattresses, sheepskins, tri-pillows, and water and air mattresses appropriate to each care recipient’s condition.</w:t>
            </w:r>
          </w:p>
        </w:tc>
      </w:tr>
      <w:tr w:rsidR="00605BA0" w:rsidRPr="00C82C51" w14:paraId="7E34616C" w14:textId="77777777" w:rsidTr="00721B9E">
        <w:tc>
          <w:tcPr>
            <w:tcW w:w="1101" w:type="dxa"/>
          </w:tcPr>
          <w:p w14:paraId="38A89CE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1.5</w:t>
            </w:r>
          </w:p>
        </w:tc>
        <w:tc>
          <w:tcPr>
            <w:tcW w:w="2268" w:type="dxa"/>
            <w:tcBorders>
              <w:top w:val="single" w:sz="4" w:space="0" w:color="auto"/>
              <w:bottom w:val="single" w:sz="4" w:space="0" w:color="auto"/>
            </w:tcBorders>
          </w:tcPr>
          <w:p w14:paraId="379761C5"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Cleaning services, goods and facilities</w:t>
            </w:r>
          </w:p>
        </w:tc>
        <w:tc>
          <w:tcPr>
            <w:tcW w:w="6300" w:type="dxa"/>
            <w:tcBorders>
              <w:top w:val="single" w:sz="4" w:space="0" w:color="auto"/>
              <w:bottom w:val="single" w:sz="4" w:space="0" w:color="auto"/>
            </w:tcBorders>
          </w:tcPr>
          <w:p w14:paraId="458E89F9" w14:textId="77777777" w:rsidR="00605BA0" w:rsidRPr="00070A87" w:rsidRDefault="00605BA0" w:rsidP="008D1382">
            <w:pPr>
              <w:spacing w:before="0"/>
              <w:rPr>
                <w:rFonts w:asciiTheme="minorHAnsi" w:hAnsiTheme="minorHAnsi" w:cstheme="minorHAnsi"/>
                <w:szCs w:val="20"/>
              </w:rPr>
            </w:pPr>
            <w:r w:rsidRPr="00070A87">
              <w:rPr>
                <w:rFonts w:asciiTheme="minorHAnsi" w:hAnsiTheme="minorHAnsi" w:cstheme="minorHAnsi"/>
                <w:szCs w:val="20"/>
              </w:rPr>
              <w:t>Cleanliness and tidiness of the entire service.</w:t>
            </w:r>
          </w:p>
          <w:p w14:paraId="084FF345" w14:textId="38AB1C7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Excludes: a care recipient’s personal area if the care recipient chooses and </w:t>
            </w:r>
            <w:proofErr w:type="gramStart"/>
            <w:r w:rsidRPr="00070A87">
              <w:rPr>
                <w:rFonts w:asciiTheme="minorHAnsi" w:hAnsiTheme="minorHAnsi" w:cstheme="minorHAnsi"/>
                <w:szCs w:val="20"/>
              </w:rPr>
              <w:t>is able to</w:t>
            </w:r>
            <w:proofErr w:type="gramEnd"/>
            <w:r w:rsidRPr="00070A87">
              <w:rPr>
                <w:rFonts w:asciiTheme="minorHAnsi" w:hAnsiTheme="minorHAnsi" w:cstheme="minorHAnsi"/>
                <w:szCs w:val="20"/>
              </w:rPr>
              <w:t xml:space="preserve"> maintain it himself or herself.</w:t>
            </w:r>
          </w:p>
        </w:tc>
      </w:tr>
      <w:tr w:rsidR="00605BA0" w:rsidRPr="00C82C51" w14:paraId="52754F00" w14:textId="77777777" w:rsidTr="00721B9E">
        <w:tc>
          <w:tcPr>
            <w:tcW w:w="1101" w:type="dxa"/>
            <w:shd w:val="clear" w:color="auto" w:fill="F5F5F5"/>
          </w:tcPr>
          <w:p w14:paraId="3A8A77C0"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1.6</w:t>
            </w:r>
          </w:p>
        </w:tc>
        <w:tc>
          <w:tcPr>
            <w:tcW w:w="2268" w:type="dxa"/>
            <w:tcBorders>
              <w:top w:val="single" w:sz="4" w:space="0" w:color="auto"/>
              <w:bottom w:val="single" w:sz="4" w:space="0" w:color="auto"/>
            </w:tcBorders>
            <w:shd w:val="clear" w:color="auto" w:fill="F5F5F5"/>
          </w:tcPr>
          <w:p w14:paraId="6D20E2FB"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General laundry</w:t>
            </w:r>
          </w:p>
        </w:tc>
        <w:tc>
          <w:tcPr>
            <w:tcW w:w="6300" w:type="dxa"/>
            <w:tcBorders>
              <w:top w:val="single" w:sz="4" w:space="0" w:color="auto"/>
              <w:bottom w:val="single" w:sz="4" w:space="0" w:color="auto"/>
            </w:tcBorders>
            <w:shd w:val="clear" w:color="auto" w:fill="F5F5F5"/>
          </w:tcPr>
          <w:p w14:paraId="21B0960C"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 xml:space="preserve">Heavy laundry facilities and services, and personal laundry services, including laundering of clothing that can be machine washed. </w:t>
            </w:r>
          </w:p>
          <w:p w14:paraId="0E78FC57" w14:textId="17703835"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Excludes: cleaning of clothing requiring dry cleaning or another special cleaning process, and personal laundry if a care recipient chooses and </w:t>
            </w:r>
            <w:proofErr w:type="gramStart"/>
            <w:r w:rsidRPr="00070A87">
              <w:rPr>
                <w:rFonts w:asciiTheme="minorHAnsi" w:hAnsiTheme="minorHAnsi" w:cstheme="minorHAnsi"/>
                <w:szCs w:val="20"/>
              </w:rPr>
              <w:t>is able to</w:t>
            </w:r>
            <w:proofErr w:type="gramEnd"/>
            <w:r w:rsidRPr="00070A87">
              <w:rPr>
                <w:rFonts w:asciiTheme="minorHAnsi" w:hAnsiTheme="minorHAnsi" w:cstheme="minorHAnsi"/>
                <w:szCs w:val="20"/>
              </w:rPr>
              <w:t xml:space="preserve"> do this himself or herself. </w:t>
            </w:r>
          </w:p>
        </w:tc>
      </w:tr>
      <w:tr w:rsidR="00605BA0" w:rsidRPr="00C82C51" w14:paraId="533EE1FE" w14:textId="77777777" w:rsidTr="00721B9E">
        <w:tc>
          <w:tcPr>
            <w:tcW w:w="1101" w:type="dxa"/>
          </w:tcPr>
          <w:p w14:paraId="79649215"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1.7</w:t>
            </w:r>
          </w:p>
        </w:tc>
        <w:tc>
          <w:tcPr>
            <w:tcW w:w="2268" w:type="dxa"/>
            <w:tcBorders>
              <w:top w:val="single" w:sz="4" w:space="0" w:color="auto"/>
              <w:bottom w:val="single" w:sz="4" w:space="0" w:color="auto"/>
            </w:tcBorders>
          </w:tcPr>
          <w:p w14:paraId="22451CB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Toiletry goods</w:t>
            </w:r>
          </w:p>
        </w:tc>
        <w:tc>
          <w:tcPr>
            <w:tcW w:w="6300" w:type="dxa"/>
            <w:tcBorders>
              <w:top w:val="single" w:sz="4" w:space="0" w:color="auto"/>
              <w:bottom w:val="single" w:sz="4" w:space="0" w:color="auto"/>
            </w:tcBorders>
          </w:tcPr>
          <w:p w14:paraId="506BD107" w14:textId="77777777" w:rsidR="00605BA0" w:rsidRPr="00070A87" w:rsidRDefault="00751A8A" w:rsidP="00070A87">
            <w:pPr>
              <w:spacing w:before="0" w:after="60"/>
              <w:rPr>
                <w:rFonts w:asciiTheme="minorHAnsi" w:hAnsiTheme="minorHAnsi" w:cstheme="minorHAnsi"/>
                <w:szCs w:val="20"/>
              </w:rPr>
            </w:pPr>
            <w:r>
              <w:rPr>
                <w:rFonts w:asciiTheme="minorHAnsi" w:hAnsiTheme="minorHAnsi" w:cstheme="minorHAnsi"/>
                <w:szCs w:val="20"/>
              </w:rPr>
              <w:t>Bath towels, face washers, soap</w:t>
            </w:r>
            <w:r w:rsidR="00605BA0" w:rsidRPr="00070A87">
              <w:rPr>
                <w:rFonts w:asciiTheme="minorHAnsi" w:hAnsiTheme="minorHAnsi" w:cstheme="minorHAnsi"/>
                <w:szCs w:val="20"/>
              </w:rPr>
              <w:t>,</w:t>
            </w:r>
            <w:r>
              <w:rPr>
                <w:rFonts w:asciiTheme="minorHAnsi" w:hAnsiTheme="minorHAnsi" w:cstheme="minorHAnsi"/>
                <w:szCs w:val="20"/>
              </w:rPr>
              <w:t xml:space="preserve"> </w:t>
            </w:r>
            <w:r w:rsidR="00605BA0" w:rsidRPr="00070A87">
              <w:rPr>
                <w:rFonts w:asciiTheme="minorHAnsi" w:hAnsiTheme="minorHAnsi" w:cstheme="minorHAnsi"/>
                <w:szCs w:val="20"/>
              </w:rPr>
              <w:t>toilet paper, sanitary pads, tissues, toothpaste, toothbrushes, denture cleaning preparations, mouthwashes, moisturiser, shampoo and conditioner, shaving cream, disposable razors and deodorant.</w:t>
            </w:r>
          </w:p>
        </w:tc>
      </w:tr>
      <w:tr w:rsidR="00605BA0" w:rsidRPr="00C82C51" w14:paraId="036DAAF0" w14:textId="77777777" w:rsidTr="00721B9E">
        <w:tc>
          <w:tcPr>
            <w:tcW w:w="1101" w:type="dxa"/>
            <w:shd w:val="clear" w:color="auto" w:fill="F5F5F5"/>
          </w:tcPr>
          <w:p w14:paraId="2E70AF0E"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1.8</w:t>
            </w:r>
          </w:p>
        </w:tc>
        <w:tc>
          <w:tcPr>
            <w:tcW w:w="2268" w:type="dxa"/>
            <w:tcBorders>
              <w:top w:val="single" w:sz="4" w:space="0" w:color="auto"/>
              <w:bottom w:val="single" w:sz="4" w:space="0" w:color="auto"/>
            </w:tcBorders>
            <w:shd w:val="clear" w:color="auto" w:fill="F5F5F5"/>
          </w:tcPr>
          <w:p w14:paraId="33F88780"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Meals and refreshments</w:t>
            </w:r>
          </w:p>
        </w:tc>
        <w:tc>
          <w:tcPr>
            <w:tcW w:w="6300" w:type="dxa"/>
            <w:tcBorders>
              <w:top w:val="single" w:sz="4" w:space="0" w:color="auto"/>
              <w:bottom w:val="single" w:sz="4" w:space="0" w:color="auto"/>
            </w:tcBorders>
            <w:shd w:val="clear" w:color="auto" w:fill="F5F5F5"/>
          </w:tcPr>
          <w:p w14:paraId="6073040D" w14:textId="30518AF8"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Preparing nutritious meals that are culturally appropriate and of adequate variety, quality and quantity for each care recipient, served each day at times generally acceptable to both care recipients and management, and generally consisting of 3 meals per day plus morning tea, afternoon tea and supper. Special dietary requirements, having regard to either medical need or religious or cultural observance.</w:t>
            </w:r>
          </w:p>
          <w:p w14:paraId="376F5CA9" w14:textId="6F727C4A" w:rsidR="00605BA0" w:rsidRDefault="00605BA0" w:rsidP="00D472F7">
            <w:pPr>
              <w:spacing w:before="0"/>
              <w:rPr>
                <w:rFonts w:asciiTheme="minorHAnsi" w:hAnsiTheme="minorHAnsi" w:cstheme="minorHAnsi"/>
                <w:szCs w:val="20"/>
              </w:rPr>
            </w:pPr>
            <w:r w:rsidRPr="00070A87">
              <w:rPr>
                <w:rFonts w:asciiTheme="minorHAnsi" w:hAnsiTheme="minorHAnsi" w:cstheme="minorHAnsi"/>
                <w:szCs w:val="20"/>
              </w:rPr>
              <w:t>Food should include fruit of adequate variety, quality and quantity, and non-alcoholic beverages, including fruit juice. Assisting care recipients in eating meals.</w:t>
            </w:r>
          </w:p>
          <w:p w14:paraId="4642957D" w14:textId="7962955C" w:rsidR="00605BA0" w:rsidRPr="00070A87" w:rsidRDefault="00605BA0" w:rsidP="004C106A">
            <w:pPr>
              <w:spacing w:before="0" w:after="60"/>
              <w:rPr>
                <w:rFonts w:asciiTheme="minorHAnsi" w:hAnsiTheme="minorHAnsi" w:cstheme="minorHAnsi"/>
                <w:szCs w:val="20"/>
              </w:rPr>
            </w:pPr>
            <w:r w:rsidRPr="00070A87">
              <w:rPr>
                <w:rFonts w:asciiTheme="minorHAnsi" w:hAnsiTheme="minorHAnsi" w:cstheme="minorHAnsi"/>
                <w:szCs w:val="20"/>
              </w:rPr>
              <w:t>For care recipients requiring enteral feeding in residential based transition care, the transition care service provider is responsible for providing the enteral feeding formula at no extra cost to the care recipient. See also 3.3 of this Schedule regarding the provision, care and maintenance of tubes for enteral feeding.</w:t>
            </w:r>
          </w:p>
        </w:tc>
      </w:tr>
      <w:tr w:rsidR="00605BA0" w:rsidRPr="00C82C51" w14:paraId="06F33763" w14:textId="77777777" w:rsidTr="00721B9E">
        <w:tc>
          <w:tcPr>
            <w:tcW w:w="1101" w:type="dxa"/>
          </w:tcPr>
          <w:p w14:paraId="21437A74"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1.9</w:t>
            </w:r>
          </w:p>
        </w:tc>
        <w:tc>
          <w:tcPr>
            <w:tcW w:w="2268" w:type="dxa"/>
            <w:tcBorders>
              <w:top w:val="single" w:sz="4" w:space="0" w:color="auto"/>
              <w:bottom w:val="single" w:sz="4" w:space="0" w:color="auto"/>
            </w:tcBorders>
          </w:tcPr>
          <w:p w14:paraId="34BD6FA2"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Emergency assistance</w:t>
            </w:r>
          </w:p>
          <w:p w14:paraId="62707C3B" w14:textId="77777777" w:rsidR="00605BA0" w:rsidRPr="00070A87" w:rsidRDefault="00605BA0" w:rsidP="00070A87">
            <w:pPr>
              <w:spacing w:before="0" w:after="60"/>
              <w:rPr>
                <w:rFonts w:asciiTheme="minorHAnsi" w:hAnsiTheme="minorHAnsi" w:cstheme="minorHAnsi"/>
                <w:szCs w:val="20"/>
              </w:rPr>
            </w:pPr>
          </w:p>
        </w:tc>
        <w:tc>
          <w:tcPr>
            <w:tcW w:w="6300" w:type="dxa"/>
            <w:tcBorders>
              <w:top w:val="single" w:sz="4" w:space="0" w:color="auto"/>
              <w:bottom w:val="single" w:sz="4" w:space="0" w:color="auto"/>
            </w:tcBorders>
          </w:tcPr>
          <w:p w14:paraId="105AD03C" w14:textId="3526F076"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lastRenderedPageBreak/>
              <w:t xml:space="preserve">At least one responsible person is continuously on call in the facility in which transition care is delivered to provide emergency </w:t>
            </w:r>
            <w:r w:rsidRPr="00070A87">
              <w:rPr>
                <w:rFonts w:asciiTheme="minorHAnsi" w:hAnsiTheme="minorHAnsi" w:cstheme="minorHAnsi"/>
                <w:szCs w:val="20"/>
              </w:rPr>
              <w:lastRenderedPageBreak/>
              <w:t>assistance. In a medical emergency, which requires immediate action, appropriate medical assistance must be sought, e.g. by dialling 000.</w:t>
            </w:r>
          </w:p>
        </w:tc>
      </w:tr>
      <w:tr w:rsidR="00605BA0" w:rsidRPr="00C82C51" w14:paraId="27896423" w14:textId="77777777" w:rsidTr="00721B9E">
        <w:tc>
          <w:tcPr>
            <w:tcW w:w="1101" w:type="dxa"/>
            <w:shd w:val="clear" w:color="auto" w:fill="F5F5F5"/>
          </w:tcPr>
          <w:p w14:paraId="3BA07D2C"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1.10</w:t>
            </w:r>
          </w:p>
        </w:tc>
        <w:tc>
          <w:tcPr>
            <w:tcW w:w="2268" w:type="dxa"/>
            <w:tcBorders>
              <w:top w:val="single" w:sz="4" w:space="0" w:color="auto"/>
              <w:bottom w:val="single" w:sz="4" w:space="0" w:color="auto"/>
            </w:tcBorders>
            <w:shd w:val="clear" w:color="auto" w:fill="F5F5F5"/>
          </w:tcPr>
          <w:p w14:paraId="6544D733" w14:textId="4AE7AFDE"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Treatments and procedures with respect to ongoing medical management</w:t>
            </w:r>
          </w:p>
        </w:tc>
        <w:tc>
          <w:tcPr>
            <w:tcW w:w="6300" w:type="dxa"/>
            <w:tcBorders>
              <w:top w:val="single" w:sz="4" w:space="0" w:color="auto"/>
              <w:bottom w:val="single" w:sz="4" w:space="0" w:color="auto"/>
            </w:tcBorders>
            <w:shd w:val="clear" w:color="auto" w:fill="F5F5F5"/>
          </w:tcPr>
          <w:p w14:paraId="1D00B624" w14:textId="4012FACB"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Treatments and procedures carried out according to the instructions of a health professional, such as a GP or a representative for assessing a care recipient’s personal care needs, or undertaken according to the care recipient’s wishes, including supervision and physical assistance with taking medications, and ordering and reordering medications, subject to requirements of state and territory law.</w:t>
            </w:r>
          </w:p>
          <w:p w14:paraId="3F584B29" w14:textId="6F042AF6"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It is expected that the provision of primary medical care to a transition care recipient would be undertaken by a GP and that the services provided by the GP in the residential setting would be covered by Medical Benefits Schedule (MBS) rebates, as is currently the case in residential aged care services.</w:t>
            </w:r>
          </w:p>
          <w:p w14:paraId="394833B2" w14:textId="094834B7" w:rsidR="00605BA0" w:rsidRPr="00070A87" w:rsidRDefault="00605BA0" w:rsidP="00200DBD">
            <w:pPr>
              <w:spacing w:before="0"/>
              <w:rPr>
                <w:rFonts w:asciiTheme="minorHAnsi" w:hAnsiTheme="minorHAnsi" w:cstheme="minorHAnsi"/>
                <w:szCs w:val="20"/>
                <w:lang w:val="en-US"/>
              </w:rPr>
            </w:pPr>
            <w:r w:rsidRPr="00070A87">
              <w:rPr>
                <w:rFonts w:asciiTheme="minorHAnsi" w:hAnsiTheme="minorHAnsi" w:cstheme="minorHAnsi"/>
                <w:szCs w:val="20"/>
              </w:rPr>
              <w:t>Where GPs are asked to provide different medical services or a higher volume of services than specified in the MBS requirements, then funding of these additional services should occur through the Transition Care Programme.</w:t>
            </w:r>
          </w:p>
          <w:p w14:paraId="21F3F84D" w14:textId="5F4ECF66" w:rsidR="00605BA0" w:rsidRPr="00070A87" w:rsidRDefault="00605BA0" w:rsidP="00070A87">
            <w:pPr>
              <w:spacing w:before="0" w:after="60"/>
              <w:rPr>
                <w:rFonts w:asciiTheme="minorHAnsi" w:hAnsiTheme="minorHAnsi" w:cstheme="minorHAnsi"/>
                <w:szCs w:val="20"/>
                <w:lang w:val="en-US"/>
              </w:rPr>
            </w:pPr>
            <w:proofErr w:type="gramStart"/>
            <w:r w:rsidRPr="00070A87">
              <w:rPr>
                <w:rFonts w:asciiTheme="minorHAnsi" w:hAnsiTheme="minorHAnsi" w:cstheme="minorHAnsi"/>
                <w:szCs w:val="20"/>
                <w:lang w:val="en-US"/>
              </w:rPr>
              <w:t>For the purpose of</w:t>
            </w:r>
            <w:proofErr w:type="gramEnd"/>
            <w:r w:rsidRPr="00070A87">
              <w:rPr>
                <w:rFonts w:asciiTheme="minorHAnsi" w:hAnsiTheme="minorHAnsi" w:cstheme="minorHAnsi"/>
                <w:szCs w:val="20"/>
                <w:lang w:val="en-US"/>
              </w:rPr>
              <w:t xml:space="preserve"> monitoring the care recipient’s health status, telehealth and telecare devices may be used where medically indicated and appropriate to the care recipient’s goals.</w:t>
            </w:r>
          </w:p>
        </w:tc>
      </w:tr>
      <w:tr w:rsidR="00605BA0" w:rsidRPr="00C82C51" w14:paraId="07B5BE23" w14:textId="77777777" w:rsidTr="00721B9E">
        <w:tc>
          <w:tcPr>
            <w:tcW w:w="1101" w:type="dxa"/>
          </w:tcPr>
          <w:p w14:paraId="5CD3551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1.11</w:t>
            </w:r>
          </w:p>
        </w:tc>
        <w:tc>
          <w:tcPr>
            <w:tcW w:w="2268" w:type="dxa"/>
            <w:tcBorders>
              <w:top w:val="single" w:sz="4" w:space="0" w:color="auto"/>
              <w:bottom w:val="single" w:sz="4" w:space="0" w:color="auto"/>
            </w:tcBorders>
          </w:tcPr>
          <w:p w14:paraId="3ED42697" w14:textId="1FFD6350"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in obtaining health practitioner services</w:t>
            </w:r>
          </w:p>
        </w:tc>
        <w:tc>
          <w:tcPr>
            <w:tcW w:w="6300" w:type="dxa"/>
            <w:tcBorders>
              <w:top w:val="single" w:sz="4" w:space="0" w:color="auto"/>
              <w:bottom w:val="single" w:sz="4" w:space="0" w:color="auto"/>
            </w:tcBorders>
          </w:tcPr>
          <w:p w14:paraId="6BD93AE8" w14:textId="1877C786"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Arrangements for aural, community health, dental and oral health, medical, psychiatric, optometry and other health professionals to visit care recipients whether the arrangements are made by care recipients, relatives or other persons representing the interests of care </w:t>
            </w:r>
            <w:r w:rsidR="007078DB" w:rsidRPr="00070A87">
              <w:rPr>
                <w:rFonts w:asciiTheme="minorHAnsi" w:hAnsiTheme="minorHAnsi" w:cstheme="minorHAnsi"/>
                <w:szCs w:val="20"/>
              </w:rPr>
              <w:t>recipients or</w:t>
            </w:r>
            <w:r w:rsidRPr="00070A87">
              <w:rPr>
                <w:rFonts w:asciiTheme="minorHAnsi" w:hAnsiTheme="minorHAnsi" w:cstheme="minorHAnsi"/>
                <w:szCs w:val="20"/>
              </w:rPr>
              <w:t xml:space="preserve"> are made </w:t>
            </w:r>
            <w:r w:rsidR="0024238C" w:rsidRPr="00070A87">
              <w:rPr>
                <w:rFonts w:asciiTheme="minorHAnsi" w:hAnsiTheme="minorHAnsi" w:cstheme="minorHAnsi"/>
                <w:szCs w:val="20"/>
              </w:rPr>
              <w:t>directly</w:t>
            </w:r>
            <w:r w:rsidRPr="00070A87">
              <w:rPr>
                <w:rFonts w:asciiTheme="minorHAnsi" w:hAnsiTheme="minorHAnsi" w:cstheme="minorHAnsi"/>
                <w:szCs w:val="20"/>
              </w:rPr>
              <w:t xml:space="preserve"> with the practitioner.</w:t>
            </w:r>
          </w:p>
        </w:tc>
      </w:tr>
      <w:tr w:rsidR="00605BA0" w:rsidRPr="00C82C51" w14:paraId="38BA4DF8" w14:textId="77777777" w:rsidTr="00721B9E">
        <w:tc>
          <w:tcPr>
            <w:tcW w:w="1101" w:type="dxa"/>
            <w:shd w:val="clear" w:color="auto" w:fill="F5F5F5"/>
          </w:tcPr>
          <w:p w14:paraId="624BEEE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1.12</w:t>
            </w:r>
          </w:p>
        </w:tc>
        <w:tc>
          <w:tcPr>
            <w:tcW w:w="2268" w:type="dxa"/>
            <w:tcBorders>
              <w:top w:val="single" w:sz="4" w:space="0" w:color="auto"/>
              <w:bottom w:val="single" w:sz="4" w:space="0" w:color="auto"/>
            </w:tcBorders>
            <w:shd w:val="clear" w:color="auto" w:fill="F5F5F5"/>
          </w:tcPr>
          <w:p w14:paraId="512A4DE7" w14:textId="56D7C16D"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care recipients to move themselves</w:t>
            </w:r>
          </w:p>
        </w:tc>
        <w:tc>
          <w:tcPr>
            <w:tcW w:w="6300" w:type="dxa"/>
            <w:tcBorders>
              <w:top w:val="single" w:sz="4" w:space="0" w:color="auto"/>
              <w:bottom w:val="single" w:sz="4" w:space="0" w:color="auto"/>
            </w:tcBorders>
            <w:shd w:val="clear" w:color="auto" w:fill="F5F5F5"/>
          </w:tcPr>
          <w:p w14:paraId="5EFB836A" w14:textId="71756904"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Crutches, quadruped walkers, walking frames, walking sticks, wheelchairs and off-the-shelf aids to assist with upper limb function, should be available as required for the duration of a care recipient’s stay.</w:t>
            </w:r>
          </w:p>
          <w:p w14:paraId="71ED53F2"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Excludes: motorised wheelchairs and custom-made aids.</w:t>
            </w:r>
          </w:p>
        </w:tc>
      </w:tr>
      <w:tr w:rsidR="00605BA0" w:rsidRPr="00C82C51" w14:paraId="28903222" w14:textId="77777777" w:rsidTr="00721B9E">
        <w:tc>
          <w:tcPr>
            <w:tcW w:w="1101" w:type="dxa"/>
          </w:tcPr>
          <w:p w14:paraId="5E4E0207"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1.13</w:t>
            </w:r>
          </w:p>
        </w:tc>
        <w:tc>
          <w:tcPr>
            <w:tcW w:w="2268" w:type="dxa"/>
            <w:tcBorders>
              <w:top w:val="single" w:sz="4" w:space="0" w:color="auto"/>
              <w:bottom w:val="single" w:sz="4" w:space="0" w:color="auto"/>
            </w:tcBorders>
          </w:tcPr>
          <w:p w14:paraId="71B0A5B3"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staff to move care recipients</w:t>
            </w:r>
          </w:p>
        </w:tc>
        <w:tc>
          <w:tcPr>
            <w:tcW w:w="6300" w:type="dxa"/>
            <w:tcBorders>
              <w:top w:val="single" w:sz="4" w:space="0" w:color="auto"/>
              <w:bottom w:val="single" w:sz="4" w:space="0" w:color="auto"/>
            </w:tcBorders>
          </w:tcPr>
          <w:p w14:paraId="20D1B818" w14:textId="404AA16F"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Medical devices for lifting care recipients, stretchers, trolleys should be provided as required for the duration of a care recipient’s stay.</w:t>
            </w:r>
          </w:p>
        </w:tc>
      </w:tr>
      <w:tr w:rsidR="00605BA0" w:rsidRPr="00C82C51" w14:paraId="5CAE7426" w14:textId="77777777" w:rsidTr="00721B9E">
        <w:tc>
          <w:tcPr>
            <w:tcW w:w="1101" w:type="dxa"/>
            <w:shd w:val="clear" w:color="auto" w:fill="F5F5F5"/>
          </w:tcPr>
          <w:p w14:paraId="3EE00BC8"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1.14</w:t>
            </w:r>
          </w:p>
        </w:tc>
        <w:tc>
          <w:tcPr>
            <w:tcW w:w="2268" w:type="dxa"/>
            <w:tcBorders>
              <w:top w:val="single" w:sz="4" w:space="0" w:color="auto"/>
              <w:bottom w:val="single" w:sz="4" w:space="0" w:color="auto"/>
            </w:tcBorders>
            <w:shd w:val="clear" w:color="auto" w:fill="F5F5F5"/>
          </w:tcPr>
          <w:p w14:paraId="3430D1CC"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with toileting and incontinence management</w:t>
            </w:r>
          </w:p>
        </w:tc>
        <w:tc>
          <w:tcPr>
            <w:tcW w:w="6300" w:type="dxa"/>
            <w:tcBorders>
              <w:top w:val="single" w:sz="4" w:space="0" w:color="auto"/>
              <w:bottom w:val="single" w:sz="4" w:space="0" w:color="auto"/>
            </w:tcBorders>
            <w:shd w:val="clear" w:color="auto" w:fill="F5F5F5"/>
          </w:tcPr>
          <w:p w14:paraId="4FED464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Includes the provision as required of absorbent aids, commode chairs, disposable bed pans and urinal covers, disposable pads, over toilet chairs, shower chairs, </w:t>
            </w:r>
            <w:proofErr w:type="spellStart"/>
            <w:r w:rsidRPr="00070A87">
              <w:rPr>
                <w:rFonts w:asciiTheme="minorHAnsi" w:hAnsiTheme="minorHAnsi" w:cstheme="minorHAnsi"/>
                <w:szCs w:val="20"/>
              </w:rPr>
              <w:t>urodomes</w:t>
            </w:r>
            <w:proofErr w:type="spellEnd"/>
            <w:r w:rsidRPr="00070A87">
              <w:rPr>
                <w:rFonts w:asciiTheme="minorHAnsi" w:hAnsiTheme="minorHAnsi" w:cstheme="minorHAnsi"/>
                <w:szCs w:val="20"/>
              </w:rPr>
              <w:t>, catheter and urinary drainage appliances, and disposable enemas.</w:t>
            </w:r>
          </w:p>
        </w:tc>
      </w:tr>
      <w:tr w:rsidR="00605BA0" w:rsidRPr="00C82C51" w14:paraId="091C447E" w14:textId="77777777" w:rsidTr="00721B9E">
        <w:tc>
          <w:tcPr>
            <w:tcW w:w="1101" w:type="dxa"/>
          </w:tcPr>
          <w:p w14:paraId="2BAACBE5"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1.15</w:t>
            </w:r>
          </w:p>
        </w:tc>
        <w:tc>
          <w:tcPr>
            <w:tcW w:w="2268" w:type="dxa"/>
            <w:tcBorders>
              <w:top w:val="single" w:sz="4" w:space="0" w:color="auto"/>
              <w:bottom w:val="single" w:sz="4" w:space="0" w:color="auto"/>
            </w:tcBorders>
          </w:tcPr>
          <w:p w14:paraId="525CCDDB"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Basic medical and pharmaceutical supplies and equipment</w:t>
            </w:r>
          </w:p>
        </w:tc>
        <w:tc>
          <w:tcPr>
            <w:tcW w:w="6300" w:type="dxa"/>
            <w:tcBorders>
              <w:top w:val="single" w:sz="4" w:space="0" w:color="auto"/>
              <w:bottom w:val="single" w:sz="4" w:space="0" w:color="auto"/>
            </w:tcBorders>
          </w:tcPr>
          <w:p w14:paraId="4D523734"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Includes analgesia, anti-nausea agents, bandages, creams, dressings, laxatives and aperients, ointments, saline, swabs, urinary alkalising agents, and anti-</w:t>
            </w:r>
            <w:proofErr w:type="spellStart"/>
            <w:r w:rsidRPr="00070A87">
              <w:rPr>
                <w:rFonts w:asciiTheme="minorHAnsi" w:hAnsiTheme="minorHAnsi" w:cstheme="minorHAnsi"/>
                <w:szCs w:val="20"/>
              </w:rPr>
              <w:t>diarrheals</w:t>
            </w:r>
            <w:proofErr w:type="spellEnd"/>
            <w:r w:rsidRPr="00070A87">
              <w:rPr>
                <w:rFonts w:asciiTheme="minorHAnsi" w:hAnsiTheme="minorHAnsi" w:cstheme="minorHAnsi"/>
                <w:szCs w:val="20"/>
              </w:rPr>
              <w:t>.</w:t>
            </w:r>
          </w:p>
          <w:p w14:paraId="661CAE44" w14:textId="0A1FF738" w:rsidR="00605BA0" w:rsidRPr="00070A87" w:rsidRDefault="00605BA0" w:rsidP="00C00151">
            <w:pPr>
              <w:spacing w:before="0" w:after="240"/>
              <w:rPr>
                <w:rFonts w:asciiTheme="minorHAnsi" w:hAnsiTheme="minorHAnsi" w:cstheme="minorHAnsi"/>
                <w:szCs w:val="20"/>
              </w:rPr>
            </w:pPr>
            <w:r w:rsidRPr="00070A87">
              <w:rPr>
                <w:rFonts w:asciiTheme="minorHAnsi" w:hAnsiTheme="minorHAnsi" w:cstheme="minorHAnsi"/>
                <w:szCs w:val="20"/>
              </w:rPr>
              <w:t>Non-prescription pharmaceutical goods should always be administered to a care recipient only as the result of a clinical decision and be recorded on the care recipient’s medical chart.</w:t>
            </w:r>
          </w:p>
          <w:p w14:paraId="75564183" w14:textId="075BD54C" w:rsidR="00605BA0" w:rsidRPr="00070A87" w:rsidRDefault="00605BA0" w:rsidP="00D930D1">
            <w:pPr>
              <w:spacing w:before="0" w:after="60"/>
              <w:rPr>
                <w:rFonts w:asciiTheme="minorHAnsi" w:hAnsiTheme="minorHAnsi" w:cstheme="minorHAnsi"/>
                <w:szCs w:val="20"/>
              </w:rPr>
            </w:pPr>
            <w:r w:rsidRPr="00070A87">
              <w:rPr>
                <w:rFonts w:asciiTheme="minorHAnsi" w:hAnsiTheme="minorHAnsi" w:cstheme="minorHAnsi"/>
                <w:szCs w:val="20"/>
              </w:rPr>
              <w:t>Excludes: any goods prescribed by a health practitioner for a particular care recipient and used only by the care recipient. In this case, the medication would be covered, as is normal, under the Pharmaceutical Benefits Scheme (PBS).</w:t>
            </w:r>
          </w:p>
        </w:tc>
      </w:tr>
      <w:tr w:rsidR="00605BA0" w:rsidRPr="00C82C51" w14:paraId="2F937FAD" w14:textId="77777777" w:rsidTr="00721B9E">
        <w:tc>
          <w:tcPr>
            <w:tcW w:w="1101" w:type="dxa"/>
            <w:tcBorders>
              <w:bottom w:val="single" w:sz="4" w:space="0" w:color="auto"/>
            </w:tcBorders>
            <w:shd w:val="clear" w:color="auto" w:fill="F5F5F5"/>
          </w:tcPr>
          <w:p w14:paraId="1C7C39AB"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1.16</w:t>
            </w:r>
          </w:p>
        </w:tc>
        <w:tc>
          <w:tcPr>
            <w:tcW w:w="2268" w:type="dxa"/>
            <w:tcBorders>
              <w:top w:val="single" w:sz="4" w:space="0" w:color="auto"/>
              <w:bottom w:val="single" w:sz="4" w:space="0" w:color="auto"/>
            </w:tcBorders>
            <w:shd w:val="clear" w:color="auto" w:fill="F5F5F5"/>
          </w:tcPr>
          <w:p w14:paraId="64BD08D2" w14:textId="77777777" w:rsidR="00605BA0" w:rsidRPr="002452AD" w:rsidRDefault="00605BA0" w:rsidP="00070A87">
            <w:pPr>
              <w:spacing w:before="0" w:after="60"/>
              <w:rPr>
                <w:rFonts w:asciiTheme="minorHAnsi" w:hAnsiTheme="minorHAnsi" w:cstheme="minorHAnsi"/>
                <w:szCs w:val="20"/>
              </w:rPr>
            </w:pPr>
            <w:r w:rsidRPr="002452AD">
              <w:rPr>
                <w:rFonts w:asciiTheme="minorHAnsi" w:hAnsiTheme="minorHAnsi" w:cstheme="minorHAnsi"/>
                <w:szCs w:val="20"/>
              </w:rPr>
              <w:t>Medications</w:t>
            </w:r>
          </w:p>
        </w:tc>
        <w:tc>
          <w:tcPr>
            <w:tcW w:w="6300" w:type="dxa"/>
            <w:tcBorders>
              <w:top w:val="single" w:sz="4" w:space="0" w:color="auto"/>
              <w:bottom w:val="single" w:sz="4" w:space="0" w:color="auto"/>
            </w:tcBorders>
            <w:shd w:val="clear" w:color="auto" w:fill="F5F5F5"/>
          </w:tcPr>
          <w:p w14:paraId="430846DE" w14:textId="77777777" w:rsidR="00605BA0" w:rsidRPr="002452AD" w:rsidRDefault="00605BA0" w:rsidP="00070A87">
            <w:pPr>
              <w:spacing w:before="0" w:after="60"/>
              <w:rPr>
                <w:rFonts w:asciiTheme="minorHAnsi" w:hAnsiTheme="minorHAnsi" w:cstheme="minorHAnsi"/>
                <w:szCs w:val="20"/>
              </w:rPr>
            </w:pPr>
            <w:r w:rsidRPr="002452AD">
              <w:rPr>
                <w:rFonts w:asciiTheme="minorHAnsi" w:hAnsiTheme="minorHAnsi" w:cstheme="minorHAnsi"/>
                <w:szCs w:val="20"/>
              </w:rPr>
              <w:t>Medications subject to requirements of state or territory law.</w:t>
            </w:r>
          </w:p>
        </w:tc>
      </w:tr>
    </w:tbl>
    <w:p w14:paraId="4895DF32" w14:textId="328432BE" w:rsidR="00BA7584" w:rsidRPr="00E330E4" w:rsidRDefault="00605BA0" w:rsidP="00E330E4">
      <w:pPr>
        <w:keepNext/>
        <w:spacing w:before="200" w:after="200"/>
        <w:ind w:left="720" w:hanging="720"/>
        <w:rPr>
          <w:rStyle w:val="Strong"/>
        </w:rPr>
      </w:pPr>
      <w:r w:rsidRPr="00E330E4">
        <w:rPr>
          <w:rStyle w:val="Strong"/>
        </w:rPr>
        <w:lastRenderedPageBreak/>
        <w:t>Part 2</w:t>
      </w:r>
      <w:r w:rsidR="00BA7584" w:rsidRPr="00E330E4">
        <w:rPr>
          <w:rStyle w:val="Strong"/>
        </w:rPr>
        <w:tab/>
      </w:r>
      <w:r w:rsidRPr="00E330E4">
        <w:rPr>
          <w:rStyle w:val="Strong"/>
        </w:rPr>
        <w:t>Care and services that must be provided, when required, to transition care recipients in a community setting</w:t>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This table lists the care and services that must be provided, when required, to transition care recipients in a community setting."/>
      </w:tblPr>
      <w:tblGrid>
        <w:gridCol w:w="1101"/>
        <w:gridCol w:w="2268"/>
        <w:gridCol w:w="6300"/>
      </w:tblGrid>
      <w:tr w:rsidR="00605BA0" w:rsidRPr="00C82C51" w14:paraId="696FA4AD" w14:textId="77777777" w:rsidTr="00134F37">
        <w:trPr>
          <w:cnfStyle w:val="100000000000" w:firstRow="1" w:lastRow="0" w:firstColumn="0" w:lastColumn="0" w:oddVBand="0" w:evenVBand="0" w:oddHBand="0" w:evenHBand="0" w:firstRowFirstColumn="0" w:firstRowLastColumn="0" w:lastRowFirstColumn="0" w:lastRowLastColumn="0"/>
          <w:tblHeader/>
        </w:trPr>
        <w:tc>
          <w:tcPr>
            <w:tcW w:w="1101" w:type="dxa"/>
            <w:shd w:val="clear" w:color="auto" w:fill="500778"/>
          </w:tcPr>
          <w:p w14:paraId="38A068B7"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Col.1</w:t>
            </w:r>
          </w:p>
        </w:tc>
        <w:tc>
          <w:tcPr>
            <w:tcW w:w="2268" w:type="dxa"/>
            <w:shd w:val="clear" w:color="auto" w:fill="500778"/>
          </w:tcPr>
          <w:p w14:paraId="7CDE0F5D"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2</w:t>
            </w:r>
          </w:p>
          <w:p w14:paraId="6E006FA6"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Service</w:t>
            </w:r>
          </w:p>
        </w:tc>
        <w:tc>
          <w:tcPr>
            <w:tcW w:w="6300" w:type="dxa"/>
            <w:shd w:val="clear" w:color="auto" w:fill="500778"/>
          </w:tcPr>
          <w:p w14:paraId="21C81FBA"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3</w:t>
            </w:r>
          </w:p>
          <w:p w14:paraId="1575F61E"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Content</w:t>
            </w:r>
          </w:p>
        </w:tc>
      </w:tr>
      <w:tr w:rsidR="00605BA0" w:rsidRPr="00C82C51" w14:paraId="57C3CA12" w14:textId="77777777" w:rsidTr="00134F37">
        <w:tc>
          <w:tcPr>
            <w:tcW w:w="1101" w:type="dxa"/>
          </w:tcPr>
          <w:p w14:paraId="7B0D817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2.1</w:t>
            </w:r>
          </w:p>
        </w:tc>
        <w:tc>
          <w:tcPr>
            <w:tcW w:w="2268" w:type="dxa"/>
            <w:tcBorders>
              <w:bottom w:val="single" w:sz="4" w:space="0" w:color="auto"/>
            </w:tcBorders>
          </w:tcPr>
          <w:p w14:paraId="502DE09E"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Bedding materials </w:t>
            </w:r>
          </w:p>
        </w:tc>
        <w:tc>
          <w:tcPr>
            <w:tcW w:w="6300" w:type="dxa"/>
            <w:tcBorders>
              <w:bottom w:val="single" w:sz="4" w:space="0" w:color="auto"/>
            </w:tcBorders>
          </w:tcPr>
          <w:p w14:paraId="0B0EF46E"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Provision of absorbent or waterproof sheeting, incontinence sheets.</w:t>
            </w:r>
          </w:p>
        </w:tc>
      </w:tr>
      <w:tr w:rsidR="00605BA0" w:rsidRPr="00C82C51" w14:paraId="7ABCD402" w14:textId="77777777" w:rsidTr="00134F37">
        <w:tc>
          <w:tcPr>
            <w:tcW w:w="1101" w:type="dxa"/>
            <w:shd w:val="clear" w:color="auto" w:fill="F5F5F5"/>
          </w:tcPr>
          <w:p w14:paraId="0D2BF187"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2.2</w:t>
            </w:r>
          </w:p>
        </w:tc>
        <w:tc>
          <w:tcPr>
            <w:tcW w:w="2268" w:type="dxa"/>
            <w:tcBorders>
              <w:top w:val="single" w:sz="4" w:space="0" w:color="auto"/>
              <w:bottom w:val="single" w:sz="4" w:space="0" w:color="auto"/>
            </w:tcBorders>
            <w:shd w:val="clear" w:color="auto" w:fill="F5F5F5"/>
          </w:tcPr>
          <w:p w14:paraId="69DD8B7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General laundry</w:t>
            </w:r>
          </w:p>
        </w:tc>
        <w:tc>
          <w:tcPr>
            <w:tcW w:w="6300" w:type="dxa"/>
            <w:tcBorders>
              <w:top w:val="single" w:sz="4" w:space="0" w:color="auto"/>
              <w:bottom w:val="single" w:sz="4" w:space="0" w:color="auto"/>
            </w:tcBorders>
            <w:shd w:val="clear" w:color="auto" w:fill="F5F5F5"/>
          </w:tcPr>
          <w:p w14:paraId="733CB370"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with laundry.</w:t>
            </w:r>
          </w:p>
        </w:tc>
      </w:tr>
      <w:tr w:rsidR="00605BA0" w:rsidRPr="00C82C51" w14:paraId="1DA23B92" w14:textId="77777777" w:rsidTr="00134F37">
        <w:tc>
          <w:tcPr>
            <w:tcW w:w="1101" w:type="dxa"/>
          </w:tcPr>
          <w:p w14:paraId="391E488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2.3</w:t>
            </w:r>
          </w:p>
        </w:tc>
        <w:tc>
          <w:tcPr>
            <w:tcW w:w="2268" w:type="dxa"/>
            <w:tcBorders>
              <w:top w:val="single" w:sz="4" w:space="0" w:color="auto"/>
              <w:bottom w:val="single" w:sz="4" w:space="0" w:color="auto"/>
            </w:tcBorders>
          </w:tcPr>
          <w:p w14:paraId="592859DB" w14:textId="7AE56E66"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Meals and refreshments</w:t>
            </w:r>
          </w:p>
        </w:tc>
        <w:tc>
          <w:tcPr>
            <w:tcW w:w="6300" w:type="dxa"/>
            <w:tcBorders>
              <w:top w:val="single" w:sz="4" w:space="0" w:color="auto"/>
              <w:bottom w:val="single" w:sz="4" w:space="0" w:color="auto"/>
            </w:tcBorders>
          </w:tcPr>
          <w:p w14:paraId="7C0C136D"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Arrange, where required, transport to help a person shop.</w:t>
            </w:r>
          </w:p>
          <w:p w14:paraId="765239E0" w14:textId="5E877269"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Assistance with nutrition, hydration and preparing and eating meals. The definition of preparing and eating meals assumes that the care recipient is responsible for providing and paying for the food, including enteral feeding formula, if required. See also 3.3</w:t>
            </w:r>
            <w:r w:rsidR="00C00151">
              <w:rPr>
                <w:rFonts w:asciiTheme="minorHAnsi" w:hAnsiTheme="minorHAnsi" w:cstheme="minorHAnsi"/>
                <w:szCs w:val="20"/>
              </w:rPr>
              <w:t> </w:t>
            </w:r>
            <w:r w:rsidRPr="00070A87">
              <w:rPr>
                <w:rFonts w:asciiTheme="minorHAnsi" w:hAnsiTheme="minorHAnsi" w:cstheme="minorHAnsi"/>
                <w:szCs w:val="20"/>
              </w:rPr>
              <w:t>of this Schedule regarding the provision, care and maintenance of tubes for enteral feeding.</w:t>
            </w:r>
          </w:p>
          <w:p w14:paraId="4B833B30" w14:textId="22D719ED"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However, where Meals on Wheels is required, it is important that the payment arrangements for Meals on Wheels services are clearly described in the care recipient agreement between the service provider and the care recipient.</w:t>
            </w:r>
          </w:p>
          <w:p w14:paraId="0482812D" w14:textId="32A406C3"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with special dietary requirements, having regard to either medical need or religious or cultural observance.</w:t>
            </w:r>
          </w:p>
        </w:tc>
      </w:tr>
      <w:tr w:rsidR="00605BA0" w:rsidRPr="00C82C51" w14:paraId="02B8AD29" w14:textId="77777777" w:rsidTr="00134F37">
        <w:tc>
          <w:tcPr>
            <w:tcW w:w="1101" w:type="dxa"/>
            <w:shd w:val="clear" w:color="auto" w:fill="F5F5F5"/>
          </w:tcPr>
          <w:p w14:paraId="73D4078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2.4</w:t>
            </w:r>
          </w:p>
        </w:tc>
        <w:tc>
          <w:tcPr>
            <w:tcW w:w="2268" w:type="dxa"/>
            <w:tcBorders>
              <w:top w:val="single" w:sz="4" w:space="0" w:color="auto"/>
              <w:bottom w:val="single" w:sz="4" w:space="0" w:color="auto"/>
            </w:tcBorders>
            <w:shd w:val="clear" w:color="auto" w:fill="F5F5F5"/>
          </w:tcPr>
          <w:p w14:paraId="443A199C" w14:textId="40AF203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Emergency assistance</w:t>
            </w:r>
          </w:p>
        </w:tc>
        <w:tc>
          <w:tcPr>
            <w:tcW w:w="6300" w:type="dxa"/>
            <w:tcBorders>
              <w:top w:val="single" w:sz="4" w:space="0" w:color="auto"/>
              <w:bottom w:val="single" w:sz="4" w:space="0" w:color="auto"/>
            </w:tcBorders>
            <w:shd w:val="clear" w:color="auto" w:fill="F5F5F5"/>
          </w:tcPr>
          <w:p w14:paraId="03F55822"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 xml:space="preserve">Having at least one responsible person or agency, approved by the organisation providing the community care, in </w:t>
            </w:r>
            <w:proofErr w:type="gramStart"/>
            <w:r w:rsidRPr="00070A87">
              <w:rPr>
                <w:rFonts w:asciiTheme="minorHAnsi" w:hAnsiTheme="minorHAnsi" w:cstheme="minorHAnsi"/>
                <w:szCs w:val="20"/>
              </w:rPr>
              <w:t>close proximity</w:t>
            </w:r>
            <w:proofErr w:type="gramEnd"/>
            <w:r w:rsidRPr="00070A87">
              <w:rPr>
                <w:rFonts w:asciiTheme="minorHAnsi" w:hAnsiTheme="minorHAnsi" w:cstheme="minorHAnsi"/>
                <w:szCs w:val="20"/>
              </w:rPr>
              <w:t xml:space="preserve"> and continuously on call to give emergency assistance when needed.</w:t>
            </w:r>
          </w:p>
          <w:p w14:paraId="7642B763"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For example, this could be through a personal alert system or a phone number to a mobile or land line which is staffed 24 hours per day.</w:t>
            </w:r>
          </w:p>
          <w:p w14:paraId="78824327"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In a medical emergency, which requires immediate action, appropriate medical assistance must be sought, e.g. by dialling 000.</w:t>
            </w:r>
          </w:p>
          <w:p w14:paraId="3857287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Each transition care service provider must develop a protocol for emergency situations and this protocol must be reflected in the service provider’s policies and procedures.</w:t>
            </w:r>
          </w:p>
        </w:tc>
      </w:tr>
      <w:tr w:rsidR="00605BA0" w:rsidRPr="00C82C51" w14:paraId="404A31CF" w14:textId="77777777" w:rsidTr="00134F37">
        <w:tc>
          <w:tcPr>
            <w:tcW w:w="1101" w:type="dxa"/>
          </w:tcPr>
          <w:p w14:paraId="01D7B36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2.5</w:t>
            </w:r>
          </w:p>
        </w:tc>
        <w:tc>
          <w:tcPr>
            <w:tcW w:w="2268" w:type="dxa"/>
            <w:tcBorders>
              <w:top w:val="single" w:sz="4" w:space="0" w:color="auto"/>
              <w:bottom w:val="single" w:sz="4" w:space="0" w:color="auto"/>
            </w:tcBorders>
          </w:tcPr>
          <w:p w14:paraId="4B09F7B2"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After hours assistance</w:t>
            </w:r>
          </w:p>
        </w:tc>
        <w:tc>
          <w:tcPr>
            <w:tcW w:w="6300" w:type="dxa"/>
            <w:tcBorders>
              <w:top w:val="single" w:sz="4" w:space="0" w:color="auto"/>
              <w:bottom w:val="single" w:sz="4" w:space="0" w:color="auto"/>
            </w:tcBorders>
          </w:tcPr>
          <w:p w14:paraId="58703582" w14:textId="4BDE972F"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As part of each care recipient’s care plan, the service provider must manage the risk of the care recipient requiring after hours assistance. The possible risk factors for each care recipient should be identified and management strategies implemented for these risk factors.</w:t>
            </w:r>
          </w:p>
          <w:p w14:paraId="69C04119" w14:textId="6EB6F711" w:rsidR="00CE4A09" w:rsidRDefault="00605BA0" w:rsidP="00200DBD">
            <w:pPr>
              <w:spacing w:before="0"/>
              <w:rPr>
                <w:rFonts w:asciiTheme="minorHAnsi" w:hAnsiTheme="minorHAnsi" w:cstheme="minorHAnsi"/>
                <w:szCs w:val="20"/>
              </w:rPr>
            </w:pPr>
            <w:r w:rsidRPr="00070A87">
              <w:rPr>
                <w:rFonts w:asciiTheme="minorHAnsi" w:hAnsiTheme="minorHAnsi" w:cstheme="minorHAnsi"/>
                <w:szCs w:val="20"/>
              </w:rPr>
              <w:t>Where the need for after</w:t>
            </w:r>
            <w:r w:rsidR="0001221F">
              <w:rPr>
                <w:rFonts w:asciiTheme="minorHAnsi" w:hAnsiTheme="minorHAnsi" w:cstheme="minorHAnsi"/>
                <w:szCs w:val="20"/>
              </w:rPr>
              <w:t>-</w:t>
            </w:r>
            <w:r w:rsidRPr="00070A87">
              <w:rPr>
                <w:rFonts w:asciiTheme="minorHAnsi" w:hAnsiTheme="minorHAnsi" w:cstheme="minorHAnsi"/>
                <w:szCs w:val="20"/>
              </w:rPr>
              <w:t>hours assistance has been identified, there should be 24</w:t>
            </w:r>
            <w:r w:rsidR="002B49A3">
              <w:rPr>
                <w:rFonts w:asciiTheme="minorHAnsi" w:hAnsiTheme="minorHAnsi" w:cstheme="minorHAnsi"/>
                <w:szCs w:val="20"/>
              </w:rPr>
              <w:t>-</w:t>
            </w:r>
            <w:r w:rsidRPr="00070A87">
              <w:rPr>
                <w:rFonts w:asciiTheme="minorHAnsi" w:hAnsiTheme="minorHAnsi" w:cstheme="minorHAnsi"/>
                <w:szCs w:val="20"/>
              </w:rPr>
              <w:t>hour on call access to at least one responsible person or agency in reasonable proximity who is familiar with the care plan and who has given consent to be included in the care plan as contact. The responsible person may be a relative, friend or neighbour who is located close to the care recipient and who wi</w:t>
            </w:r>
            <w:r w:rsidR="00890AF3">
              <w:rPr>
                <w:rFonts w:asciiTheme="minorHAnsi" w:hAnsiTheme="minorHAnsi" w:cstheme="minorHAnsi"/>
                <w:szCs w:val="20"/>
              </w:rPr>
              <w:t>ll organise after-</w:t>
            </w:r>
            <w:r w:rsidRPr="00070A87">
              <w:rPr>
                <w:rFonts w:asciiTheme="minorHAnsi" w:hAnsiTheme="minorHAnsi" w:cstheme="minorHAnsi"/>
                <w:szCs w:val="20"/>
              </w:rPr>
              <w:t xml:space="preserve">hours assistance or emergency assistance when required. </w:t>
            </w:r>
          </w:p>
          <w:p w14:paraId="63C1AA38" w14:textId="332C2632"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The service provider may also have their own staff on call (i.e.</w:t>
            </w:r>
            <w:r w:rsidR="00CE4A09">
              <w:rPr>
                <w:rFonts w:asciiTheme="minorHAnsi" w:hAnsiTheme="minorHAnsi" w:cstheme="minorHAnsi"/>
                <w:szCs w:val="20"/>
              </w:rPr>
              <w:t> </w:t>
            </w:r>
            <w:r w:rsidRPr="00070A87">
              <w:rPr>
                <w:rFonts w:asciiTheme="minorHAnsi" w:hAnsiTheme="minorHAnsi" w:cstheme="minorHAnsi"/>
                <w:szCs w:val="20"/>
              </w:rPr>
              <w:t xml:space="preserve">from a nearby aged care service) to go to the care recipient’s home after hours. </w:t>
            </w:r>
            <w:r w:rsidR="00FE729D">
              <w:rPr>
                <w:rFonts w:asciiTheme="minorHAnsi" w:hAnsiTheme="minorHAnsi" w:cstheme="minorHAnsi"/>
                <w:szCs w:val="20"/>
              </w:rPr>
              <w:t>If</w:t>
            </w:r>
            <w:r w:rsidRPr="00070A87">
              <w:rPr>
                <w:rFonts w:asciiTheme="minorHAnsi" w:hAnsiTheme="minorHAnsi" w:cstheme="minorHAnsi"/>
                <w:szCs w:val="20"/>
              </w:rPr>
              <w:t xml:space="preserve"> the care recipient </w:t>
            </w:r>
            <w:r w:rsidR="00FE729D">
              <w:rPr>
                <w:rFonts w:asciiTheme="minorHAnsi" w:hAnsiTheme="minorHAnsi" w:cstheme="minorHAnsi"/>
                <w:szCs w:val="20"/>
              </w:rPr>
              <w:t xml:space="preserve">does </w:t>
            </w:r>
            <w:r w:rsidRPr="00070A87">
              <w:rPr>
                <w:rFonts w:asciiTheme="minorHAnsi" w:hAnsiTheme="minorHAnsi" w:cstheme="minorHAnsi"/>
                <w:szCs w:val="20"/>
              </w:rPr>
              <w:t>not nominate a person as a contact, the transition care service provider must provide the after</w:t>
            </w:r>
            <w:r w:rsidR="00790B42">
              <w:rPr>
                <w:rFonts w:asciiTheme="minorHAnsi" w:hAnsiTheme="minorHAnsi" w:cstheme="minorHAnsi"/>
                <w:szCs w:val="20"/>
              </w:rPr>
              <w:t>-</w:t>
            </w:r>
            <w:r w:rsidRPr="00070A87">
              <w:rPr>
                <w:rFonts w:asciiTheme="minorHAnsi" w:hAnsiTheme="minorHAnsi" w:cstheme="minorHAnsi"/>
                <w:szCs w:val="20"/>
              </w:rPr>
              <w:t>hours assistance.</w:t>
            </w:r>
          </w:p>
          <w:p w14:paraId="17AC1910" w14:textId="7C3148CC" w:rsidR="00605BA0" w:rsidRPr="00070A87" w:rsidRDefault="00605BA0" w:rsidP="00C12FE9">
            <w:pPr>
              <w:spacing w:before="0" w:after="60"/>
              <w:rPr>
                <w:rFonts w:asciiTheme="minorHAnsi" w:hAnsiTheme="minorHAnsi" w:cstheme="minorHAnsi"/>
                <w:szCs w:val="20"/>
              </w:rPr>
            </w:pPr>
            <w:r w:rsidRPr="00070A87">
              <w:rPr>
                <w:rFonts w:asciiTheme="minorHAnsi" w:hAnsiTheme="minorHAnsi" w:cstheme="minorHAnsi"/>
                <w:szCs w:val="20"/>
              </w:rPr>
              <w:t>If the care recipient requires 24</w:t>
            </w:r>
            <w:r w:rsidR="00487566">
              <w:rPr>
                <w:rFonts w:asciiTheme="minorHAnsi" w:hAnsiTheme="minorHAnsi" w:cstheme="minorHAnsi"/>
                <w:szCs w:val="20"/>
              </w:rPr>
              <w:t>-</w:t>
            </w:r>
            <w:r w:rsidRPr="00070A87">
              <w:rPr>
                <w:rFonts w:asciiTheme="minorHAnsi" w:hAnsiTheme="minorHAnsi" w:cstheme="minorHAnsi"/>
                <w:szCs w:val="20"/>
              </w:rPr>
              <w:t xml:space="preserve">hour on call assistance and access to an emergency call system, this must be provided. If a care recipient requires access to an emergency call system on a long-term basis, the care recipient should be given the option of </w:t>
            </w:r>
            <w:r w:rsidRPr="00070A87">
              <w:rPr>
                <w:rFonts w:asciiTheme="minorHAnsi" w:hAnsiTheme="minorHAnsi" w:cstheme="minorHAnsi"/>
                <w:szCs w:val="20"/>
              </w:rPr>
              <w:lastRenderedPageBreak/>
              <w:t>having an emergency call system of their choice installed at their own cost.</w:t>
            </w:r>
          </w:p>
        </w:tc>
      </w:tr>
      <w:tr w:rsidR="00605BA0" w:rsidRPr="00C82C51" w14:paraId="6719701D" w14:textId="77777777" w:rsidTr="00134F37">
        <w:tc>
          <w:tcPr>
            <w:tcW w:w="1101" w:type="dxa"/>
            <w:shd w:val="clear" w:color="auto" w:fill="F5F5F5"/>
          </w:tcPr>
          <w:p w14:paraId="7965B879"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2.6</w:t>
            </w:r>
          </w:p>
        </w:tc>
        <w:tc>
          <w:tcPr>
            <w:tcW w:w="2268" w:type="dxa"/>
            <w:tcBorders>
              <w:top w:val="single" w:sz="4" w:space="0" w:color="auto"/>
              <w:bottom w:val="single" w:sz="4" w:space="0" w:color="auto"/>
            </w:tcBorders>
            <w:shd w:val="clear" w:color="auto" w:fill="F5F5F5"/>
          </w:tcPr>
          <w:p w14:paraId="45CAAC93" w14:textId="4874BCC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Home help</w:t>
            </w:r>
          </w:p>
        </w:tc>
        <w:tc>
          <w:tcPr>
            <w:tcW w:w="6300" w:type="dxa"/>
            <w:tcBorders>
              <w:top w:val="single" w:sz="4" w:space="0" w:color="auto"/>
              <w:bottom w:val="single" w:sz="4" w:space="0" w:color="auto"/>
            </w:tcBorders>
            <w:shd w:val="clear" w:color="auto" w:fill="F5F5F5"/>
          </w:tcPr>
          <w:p w14:paraId="0B4B6975" w14:textId="417B7184"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with home help including domestic assistance. This includes assistance with cleaning or the provision of cleaning services, goods and facilities, if required.</w:t>
            </w:r>
          </w:p>
        </w:tc>
      </w:tr>
      <w:tr w:rsidR="00605BA0" w:rsidRPr="00C82C51" w14:paraId="07B12DA6" w14:textId="77777777" w:rsidTr="000F7B25">
        <w:tc>
          <w:tcPr>
            <w:tcW w:w="1101" w:type="dxa"/>
          </w:tcPr>
          <w:p w14:paraId="55EEF4BB"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2.7</w:t>
            </w:r>
          </w:p>
        </w:tc>
        <w:tc>
          <w:tcPr>
            <w:tcW w:w="2268" w:type="dxa"/>
            <w:tcBorders>
              <w:top w:val="single" w:sz="4" w:space="0" w:color="auto"/>
              <w:bottom w:val="single" w:sz="4" w:space="0" w:color="auto"/>
            </w:tcBorders>
          </w:tcPr>
          <w:p w14:paraId="7A888175" w14:textId="37BEB084"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Home maintenance and functional safety</w:t>
            </w:r>
          </w:p>
        </w:tc>
        <w:tc>
          <w:tcPr>
            <w:tcW w:w="6300" w:type="dxa"/>
            <w:tcBorders>
              <w:top w:val="single" w:sz="4" w:space="0" w:color="auto"/>
              <w:bottom w:val="single" w:sz="4" w:space="0" w:color="auto"/>
            </w:tcBorders>
          </w:tcPr>
          <w:p w14:paraId="61DB6927"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Home maintenance reasonably required to maintain the home and garden in a condition of functional safety and provide an adequate level of security.</w:t>
            </w:r>
          </w:p>
          <w:p w14:paraId="395DDC8D"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Efforts to ensure functional safety must also include identifying and addressing any Occupational Health and Safety issues that might have an adverse effect on care staff working in the home.</w:t>
            </w:r>
          </w:p>
          <w:p w14:paraId="60E2EFD4" w14:textId="133B9402"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 xml:space="preserve">If a care recipient requires home modifications, such as the installation of grab rails, hand rails and ramps to enable the care recipient to continue living at home, service providers, in their role as case manager, should confirm eligibility of the care recipient for home modification services provided under </w:t>
            </w:r>
            <w:r w:rsidR="00820AAF">
              <w:rPr>
                <w:rFonts w:asciiTheme="minorHAnsi" w:hAnsiTheme="minorHAnsi" w:cstheme="minorHAnsi"/>
                <w:szCs w:val="20"/>
              </w:rPr>
              <w:t>the Commonwealth Home Suppo</w:t>
            </w:r>
            <w:r w:rsidR="004E1108">
              <w:rPr>
                <w:rFonts w:asciiTheme="minorHAnsi" w:hAnsiTheme="minorHAnsi" w:cstheme="minorHAnsi"/>
                <w:szCs w:val="20"/>
              </w:rPr>
              <w:t>rt Programme</w:t>
            </w:r>
            <w:r w:rsidRPr="00070A87">
              <w:rPr>
                <w:rFonts w:asciiTheme="minorHAnsi" w:hAnsiTheme="minorHAnsi" w:cstheme="minorHAnsi"/>
                <w:szCs w:val="20"/>
              </w:rPr>
              <w:t xml:space="preserve"> or Veterans’ Home Care Programmes and availability of the required home modifications through these Programmes. For care recipients who are not eligible for services under these Programmes, the care recipient or their representative is responsible for arranging the home modifications and meeting the cost involved.</w:t>
            </w:r>
          </w:p>
          <w:p w14:paraId="7D17735A" w14:textId="462E2D4E" w:rsidR="00605BA0" w:rsidRPr="00070A87" w:rsidRDefault="00605BA0" w:rsidP="00C12FE9">
            <w:pPr>
              <w:spacing w:before="0" w:after="60"/>
              <w:rPr>
                <w:rFonts w:asciiTheme="minorHAnsi" w:hAnsiTheme="minorHAnsi" w:cstheme="minorHAnsi"/>
                <w:szCs w:val="20"/>
              </w:rPr>
            </w:pPr>
            <w:r w:rsidRPr="00070A87">
              <w:rPr>
                <w:rFonts w:asciiTheme="minorHAnsi" w:hAnsiTheme="minorHAnsi" w:cstheme="minorHAnsi"/>
                <w:szCs w:val="20"/>
              </w:rPr>
              <w:t xml:space="preserve">As a follow-up, unless otherwise advised in the discharge plan (i.e., referral to have external follow up), the prescribing therapist should liaise with the care recipient after the transition care episode to ensure that the care recipient’s functional needs have been met once the home modifications are </w:t>
            </w:r>
            <w:r w:rsidR="00AE2228" w:rsidRPr="00070A87">
              <w:rPr>
                <w:rFonts w:asciiTheme="minorHAnsi" w:hAnsiTheme="minorHAnsi" w:cstheme="minorHAnsi"/>
                <w:szCs w:val="20"/>
              </w:rPr>
              <w:t>complete,</w:t>
            </w:r>
            <w:r w:rsidRPr="00070A87">
              <w:rPr>
                <w:rFonts w:asciiTheme="minorHAnsi" w:hAnsiTheme="minorHAnsi" w:cstheme="minorHAnsi"/>
                <w:szCs w:val="20"/>
              </w:rPr>
              <w:t xml:space="preserve"> or the necessary equipment has been supplied. The follow</w:t>
            </w:r>
            <w:r w:rsidRPr="00070A87">
              <w:rPr>
                <w:rFonts w:asciiTheme="minorHAnsi" w:hAnsiTheme="minorHAnsi" w:cstheme="minorHAnsi"/>
                <w:szCs w:val="20"/>
              </w:rPr>
              <w:noBreakHyphen/>
              <w:t>up by the relevant therapist could be a home visit or a phone assessment as appropriate, depending on what type of home modification has been undertaken and the needs of the care recipient.</w:t>
            </w:r>
          </w:p>
        </w:tc>
      </w:tr>
      <w:tr w:rsidR="00605BA0" w:rsidRPr="00C82C51" w14:paraId="35CB8B8A" w14:textId="77777777" w:rsidTr="000F7B25">
        <w:tc>
          <w:tcPr>
            <w:tcW w:w="1101" w:type="dxa"/>
            <w:shd w:val="clear" w:color="auto" w:fill="F5F5F5"/>
          </w:tcPr>
          <w:p w14:paraId="3330E6C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2.8</w:t>
            </w:r>
          </w:p>
        </w:tc>
        <w:tc>
          <w:tcPr>
            <w:tcW w:w="2268" w:type="dxa"/>
            <w:tcBorders>
              <w:top w:val="single" w:sz="4" w:space="0" w:color="auto"/>
              <w:bottom w:val="single" w:sz="4" w:space="0" w:color="auto"/>
            </w:tcBorders>
            <w:shd w:val="clear" w:color="auto" w:fill="F5F5F5"/>
          </w:tcPr>
          <w:p w14:paraId="414506A7" w14:textId="3AA808E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Treatments and procedures with respect to ongoing medical management</w:t>
            </w:r>
          </w:p>
        </w:tc>
        <w:tc>
          <w:tcPr>
            <w:tcW w:w="6300" w:type="dxa"/>
            <w:tcBorders>
              <w:top w:val="single" w:sz="4" w:space="0" w:color="auto"/>
              <w:bottom w:val="single" w:sz="4" w:space="0" w:color="auto"/>
            </w:tcBorders>
            <w:shd w:val="clear" w:color="auto" w:fill="F5F5F5"/>
          </w:tcPr>
          <w:p w14:paraId="101D0B5D" w14:textId="5B6ADDC9"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Control and administration of medication prescribed by a medical practitioner, subject to legal restrictions on providing the medication. Administration of treatment such as eye drops, pressure care, dressings and urine tests, subject to legal restrictions on providing treatment.</w:t>
            </w:r>
          </w:p>
          <w:p w14:paraId="4549A855" w14:textId="2DCB4DA0"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Telehealth and telecare devices may be used where medically indicated and available for monitoring the care recipient’s health status, especially for those who live in rural, remote and outer metropolitan areas.</w:t>
            </w:r>
          </w:p>
        </w:tc>
      </w:tr>
      <w:tr w:rsidR="00605BA0" w:rsidRPr="00C82C51" w14:paraId="4A958C74" w14:textId="77777777" w:rsidTr="000F7B25">
        <w:tc>
          <w:tcPr>
            <w:tcW w:w="1101" w:type="dxa"/>
          </w:tcPr>
          <w:p w14:paraId="5CB4EB9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2.9</w:t>
            </w:r>
          </w:p>
        </w:tc>
        <w:tc>
          <w:tcPr>
            <w:tcW w:w="2268" w:type="dxa"/>
            <w:tcBorders>
              <w:top w:val="single" w:sz="4" w:space="0" w:color="auto"/>
              <w:bottom w:val="single" w:sz="4" w:space="0" w:color="auto"/>
            </w:tcBorders>
          </w:tcPr>
          <w:p w14:paraId="23C01F56"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in obtaining health practitioner services</w:t>
            </w:r>
          </w:p>
        </w:tc>
        <w:tc>
          <w:tcPr>
            <w:tcW w:w="6300" w:type="dxa"/>
            <w:tcBorders>
              <w:top w:val="single" w:sz="4" w:space="0" w:color="auto"/>
              <w:bottom w:val="single" w:sz="4" w:space="0" w:color="auto"/>
            </w:tcBorders>
          </w:tcPr>
          <w:p w14:paraId="1C7EE14A" w14:textId="77777777" w:rsidR="00605BA0" w:rsidRPr="00070A87" w:rsidRDefault="00F313A7" w:rsidP="005816B5">
            <w:pPr>
              <w:spacing w:before="0" w:after="60"/>
              <w:rPr>
                <w:rFonts w:asciiTheme="minorHAnsi" w:hAnsiTheme="minorHAnsi" w:cstheme="minorHAnsi"/>
                <w:szCs w:val="20"/>
              </w:rPr>
            </w:pPr>
            <w:r>
              <w:rPr>
                <w:rFonts w:asciiTheme="minorHAnsi" w:hAnsiTheme="minorHAnsi" w:cstheme="minorHAnsi"/>
                <w:szCs w:val="20"/>
              </w:rPr>
              <w:t>T</w:t>
            </w:r>
            <w:r w:rsidR="00605BA0" w:rsidRPr="00070A87">
              <w:rPr>
                <w:rFonts w:asciiTheme="minorHAnsi" w:hAnsiTheme="minorHAnsi" w:cstheme="minorHAnsi"/>
                <w:szCs w:val="20"/>
              </w:rPr>
              <w:t>ransport to help a care recipient visit a medical practitioner or assistance in arranging a home visit by a medical practitioner.</w:t>
            </w:r>
          </w:p>
        </w:tc>
      </w:tr>
      <w:tr w:rsidR="00605BA0" w:rsidRPr="00C82C51" w14:paraId="77239AB8" w14:textId="77777777" w:rsidTr="000F7B25">
        <w:tc>
          <w:tcPr>
            <w:tcW w:w="1101" w:type="dxa"/>
            <w:shd w:val="clear" w:color="auto" w:fill="F5F5F5"/>
          </w:tcPr>
          <w:p w14:paraId="663A1D4C" w14:textId="77777777" w:rsidR="00605BA0" w:rsidRPr="00070A87" w:rsidRDefault="00605BA0" w:rsidP="00070A87">
            <w:pPr>
              <w:spacing w:before="0" w:after="60"/>
              <w:rPr>
                <w:rFonts w:asciiTheme="minorHAnsi" w:hAnsiTheme="minorHAnsi" w:cstheme="minorHAnsi"/>
                <w:bCs/>
                <w:szCs w:val="20"/>
              </w:rPr>
            </w:pPr>
            <w:bookmarkStart w:id="469" w:name="_Hlk140243141"/>
            <w:r w:rsidRPr="00070A87">
              <w:rPr>
                <w:rFonts w:asciiTheme="minorHAnsi" w:hAnsiTheme="minorHAnsi" w:cstheme="minorHAnsi"/>
                <w:bCs/>
                <w:szCs w:val="20"/>
              </w:rPr>
              <w:t>2.10</w:t>
            </w:r>
          </w:p>
        </w:tc>
        <w:tc>
          <w:tcPr>
            <w:tcW w:w="2268" w:type="dxa"/>
            <w:tcBorders>
              <w:top w:val="single" w:sz="4" w:space="0" w:color="auto"/>
              <w:bottom w:val="single" w:sz="4" w:space="0" w:color="auto"/>
            </w:tcBorders>
            <w:shd w:val="clear" w:color="auto" w:fill="F5F5F5"/>
          </w:tcPr>
          <w:p w14:paraId="5DF20E2F" w14:textId="6B6DB24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care recipients to move themselves</w:t>
            </w:r>
          </w:p>
        </w:tc>
        <w:tc>
          <w:tcPr>
            <w:tcW w:w="6300" w:type="dxa"/>
            <w:tcBorders>
              <w:top w:val="single" w:sz="4" w:space="0" w:color="auto"/>
              <w:bottom w:val="single" w:sz="4" w:space="0" w:color="auto"/>
            </w:tcBorders>
            <w:shd w:val="clear" w:color="auto" w:fill="F5F5F5"/>
          </w:tcPr>
          <w:p w14:paraId="2A1709E7" w14:textId="6A5D9F71" w:rsidR="00605BA0" w:rsidRPr="00390397" w:rsidRDefault="00605BA0" w:rsidP="00200DBD">
            <w:pPr>
              <w:spacing w:before="0"/>
              <w:rPr>
                <w:rFonts w:asciiTheme="minorHAnsi" w:hAnsiTheme="minorHAnsi" w:cstheme="minorHAnsi"/>
                <w:szCs w:val="20"/>
              </w:rPr>
            </w:pPr>
            <w:bookmarkStart w:id="470" w:name="_Hlk140241260"/>
            <w:r w:rsidRPr="00390397">
              <w:rPr>
                <w:rFonts w:asciiTheme="minorHAnsi" w:hAnsiTheme="minorHAnsi" w:cstheme="minorHAnsi"/>
                <w:szCs w:val="20"/>
              </w:rPr>
              <w:t>Service providers may need equipment to assist in the provision of transition care services and meet care recipients’ needs (e.g. a wheelchair for assistance with mobility or a personal alert system to provide on-call emergency assistance). Transition care service providers using Australian Government subsidies may purchase such equipment and, where appropriate, this equipment may be loaned temporarily to individual care recipients.</w:t>
            </w:r>
          </w:p>
          <w:bookmarkEnd w:id="470"/>
          <w:p w14:paraId="50E39AD0" w14:textId="591219CA" w:rsidR="00605BA0" w:rsidRPr="00390397" w:rsidRDefault="00605BA0" w:rsidP="00200DBD">
            <w:pPr>
              <w:spacing w:before="0"/>
              <w:rPr>
                <w:rFonts w:asciiTheme="minorHAnsi" w:hAnsiTheme="minorHAnsi" w:cstheme="minorHAnsi"/>
                <w:szCs w:val="20"/>
              </w:rPr>
            </w:pPr>
            <w:r w:rsidRPr="00390397">
              <w:rPr>
                <w:rFonts w:asciiTheme="minorHAnsi" w:hAnsiTheme="minorHAnsi" w:cstheme="minorHAnsi"/>
                <w:szCs w:val="20"/>
              </w:rPr>
              <w:t>When purchasing equipment for the service, ownership of the equipment vests with the service provider. Any equipment loaned to individual care recipients should be returned to the provider at the conclusion of the transition care episode, for use by other care recipients. It is important to note that the provider is purchasing the equipment for use in service provision.</w:t>
            </w:r>
          </w:p>
          <w:p w14:paraId="46B70ABC" w14:textId="4F3B83FD" w:rsidR="00605BA0" w:rsidRPr="00390397" w:rsidRDefault="00605BA0" w:rsidP="00C12FE9">
            <w:pPr>
              <w:spacing w:before="0" w:after="60"/>
              <w:rPr>
                <w:rFonts w:asciiTheme="minorHAnsi" w:hAnsiTheme="minorHAnsi" w:cstheme="minorHAnsi"/>
                <w:szCs w:val="20"/>
              </w:rPr>
            </w:pPr>
            <w:r w:rsidRPr="00390397">
              <w:rPr>
                <w:rFonts w:asciiTheme="minorHAnsi" w:hAnsiTheme="minorHAnsi" w:cstheme="minorHAnsi"/>
                <w:szCs w:val="20"/>
              </w:rPr>
              <w:lastRenderedPageBreak/>
              <w:t>If a care recipient requires aids and equipment on an ongoing basis, service providers should, in their role as case manager, seek equipment from such places as state/territory government equipment schemes or equipment loan services. For care recipients who are not eligible for services under these equipment schemes or equipment loan services and the required services are not available, the care recipient or their representative is responsible for the cost of the equipment.</w:t>
            </w:r>
          </w:p>
        </w:tc>
      </w:tr>
      <w:bookmarkEnd w:id="469"/>
      <w:tr w:rsidR="00605BA0" w:rsidRPr="00C82C51" w14:paraId="676DD96E" w14:textId="77777777" w:rsidTr="00134F37">
        <w:tc>
          <w:tcPr>
            <w:tcW w:w="1101" w:type="dxa"/>
            <w:tcBorders>
              <w:bottom w:val="single" w:sz="4" w:space="0" w:color="auto"/>
            </w:tcBorders>
          </w:tcPr>
          <w:p w14:paraId="2BF38F8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2.12</w:t>
            </w:r>
          </w:p>
        </w:tc>
        <w:tc>
          <w:tcPr>
            <w:tcW w:w="2268" w:type="dxa"/>
            <w:tcBorders>
              <w:top w:val="single" w:sz="4" w:space="0" w:color="auto"/>
              <w:bottom w:val="single" w:sz="4" w:space="0" w:color="auto"/>
            </w:tcBorders>
          </w:tcPr>
          <w:p w14:paraId="6FBAA7DB" w14:textId="53CDAF62"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Other</w:t>
            </w:r>
          </w:p>
        </w:tc>
        <w:tc>
          <w:tcPr>
            <w:tcW w:w="6300" w:type="dxa"/>
            <w:tcBorders>
              <w:top w:val="single" w:sz="4" w:space="0" w:color="auto"/>
              <w:bottom w:val="single" w:sz="4" w:space="0" w:color="auto"/>
            </w:tcBorders>
          </w:tcPr>
          <w:p w14:paraId="66C67B1C"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Other services required to maintain the person at home as agreed with the care recipient.</w:t>
            </w:r>
          </w:p>
        </w:tc>
      </w:tr>
    </w:tbl>
    <w:p w14:paraId="7C3B3F41" w14:textId="4E3F5D3D" w:rsidR="00605BA0" w:rsidRPr="00E330E4" w:rsidRDefault="00605BA0" w:rsidP="004B1D6A">
      <w:pPr>
        <w:spacing w:before="200" w:after="200"/>
        <w:ind w:left="720" w:hanging="720"/>
        <w:rPr>
          <w:rStyle w:val="Strong"/>
        </w:rPr>
      </w:pPr>
      <w:r w:rsidRPr="00E330E4">
        <w:rPr>
          <w:rStyle w:val="Strong"/>
        </w:rPr>
        <w:t xml:space="preserve">Part 3 </w:t>
      </w:r>
      <w:r w:rsidRPr="00E330E4">
        <w:rPr>
          <w:rStyle w:val="Strong"/>
        </w:rPr>
        <w:tab/>
        <w:t>Common care and services that must be provided, when required, to all transition care recipients</w:t>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lists the common care and services that must be provided, when required, to all transition care recipients."/>
      </w:tblPr>
      <w:tblGrid>
        <w:gridCol w:w="1101"/>
        <w:gridCol w:w="2268"/>
        <w:gridCol w:w="6300"/>
      </w:tblGrid>
      <w:tr w:rsidR="00605BA0" w:rsidRPr="00C82C51" w14:paraId="40A387CD" w14:textId="77777777" w:rsidTr="00605BA0">
        <w:trPr>
          <w:cnfStyle w:val="100000000000" w:firstRow="1" w:lastRow="0" w:firstColumn="0" w:lastColumn="0" w:oddVBand="0" w:evenVBand="0" w:oddHBand="0" w:evenHBand="0" w:firstRowFirstColumn="0" w:firstRowLastColumn="0" w:lastRowFirstColumn="0" w:lastRowLastColumn="0"/>
          <w:tblHeader/>
        </w:trPr>
        <w:tc>
          <w:tcPr>
            <w:tcW w:w="1101" w:type="dxa"/>
            <w:shd w:val="clear" w:color="auto" w:fill="500778"/>
          </w:tcPr>
          <w:p w14:paraId="07F688D8"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Col.1</w:t>
            </w:r>
          </w:p>
        </w:tc>
        <w:tc>
          <w:tcPr>
            <w:tcW w:w="2268" w:type="dxa"/>
            <w:shd w:val="clear" w:color="auto" w:fill="500778"/>
          </w:tcPr>
          <w:p w14:paraId="17EC6D0F"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2</w:t>
            </w:r>
          </w:p>
          <w:p w14:paraId="6420A0D4"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Service</w:t>
            </w:r>
          </w:p>
        </w:tc>
        <w:tc>
          <w:tcPr>
            <w:tcW w:w="6300" w:type="dxa"/>
            <w:shd w:val="clear" w:color="auto" w:fill="500778"/>
          </w:tcPr>
          <w:p w14:paraId="52C6D0B0"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3</w:t>
            </w:r>
          </w:p>
          <w:p w14:paraId="3040CA74"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Content</w:t>
            </w:r>
          </w:p>
        </w:tc>
      </w:tr>
      <w:tr w:rsidR="00605BA0" w:rsidRPr="00C82C51" w14:paraId="555F4064" w14:textId="77777777" w:rsidTr="000F7B25">
        <w:tc>
          <w:tcPr>
            <w:tcW w:w="1101" w:type="dxa"/>
          </w:tcPr>
          <w:p w14:paraId="5C9D9E2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3.1</w:t>
            </w:r>
          </w:p>
        </w:tc>
        <w:tc>
          <w:tcPr>
            <w:tcW w:w="2268" w:type="dxa"/>
            <w:tcBorders>
              <w:bottom w:val="single" w:sz="4" w:space="0" w:color="auto"/>
            </w:tcBorders>
          </w:tcPr>
          <w:p w14:paraId="25C87650"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Administration and care planning</w:t>
            </w:r>
          </w:p>
        </w:tc>
        <w:tc>
          <w:tcPr>
            <w:tcW w:w="6300" w:type="dxa"/>
            <w:tcBorders>
              <w:bottom w:val="single" w:sz="4" w:space="0" w:color="auto"/>
            </w:tcBorders>
          </w:tcPr>
          <w:p w14:paraId="166FAD7D" w14:textId="3FC22DF2"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General operation of the transition care service, including care recipient documentation and care planning and management. When an older person is in a transition care service, initial and ongoing assessment, planning and management of care will be undertaken by appropriately qualified and trained staff members or others (including external practitioners) with expertise in geriatric and/or therapeutic management, with the involvement of the care recipient (or the representative), and </w:t>
            </w:r>
            <w:r w:rsidR="00C51116">
              <w:rPr>
                <w:rFonts w:asciiTheme="minorHAnsi" w:hAnsiTheme="minorHAnsi" w:cstheme="minorHAnsi"/>
                <w:szCs w:val="20"/>
              </w:rPr>
              <w:t>their</w:t>
            </w:r>
            <w:r w:rsidRPr="00070A87">
              <w:rPr>
                <w:rFonts w:asciiTheme="minorHAnsi" w:hAnsiTheme="minorHAnsi" w:cstheme="minorHAnsi"/>
                <w:szCs w:val="20"/>
              </w:rPr>
              <w:t xml:space="preserve"> carer</w:t>
            </w:r>
            <w:r w:rsidR="00CE4A09">
              <w:rPr>
                <w:rFonts w:asciiTheme="minorHAnsi" w:hAnsiTheme="minorHAnsi" w:cstheme="minorHAnsi"/>
                <w:szCs w:val="20"/>
              </w:rPr>
              <w:t>,</w:t>
            </w:r>
            <w:r w:rsidRPr="00070A87">
              <w:rPr>
                <w:rFonts w:asciiTheme="minorHAnsi" w:hAnsiTheme="minorHAnsi" w:cstheme="minorHAnsi"/>
                <w:szCs w:val="20"/>
              </w:rPr>
              <w:t xml:space="preserve"> where appropriate.</w:t>
            </w:r>
          </w:p>
        </w:tc>
      </w:tr>
      <w:tr w:rsidR="00605BA0" w:rsidRPr="00C82C51" w14:paraId="1B66DC40" w14:textId="77777777" w:rsidTr="000F7B25">
        <w:tc>
          <w:tcPr>
            <w:tcW w:w="1101" w:type="dxa"/>
            <w:shd w:val="clear" w:color="auto" w:fill="F5F5F5"/>
          </w:tcPr>
          <w:p w14:paraId="42362E1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3.2</w:t>
            </w:r>
          </w:p>
        </w:tc>
        <w:tc>
          <w:tcPr>
            <w:tcW w:w="2268" w:type="dxa"/>
            <w:tcBorders>
              <w:top w:val="single" w:sz="4" w:space="0" w:color="auto"/>
              <w:bottom w:val="single" w:sz="4" w:space="0" w:color="auto"/>
            </w:tcBorders>
            <w:shd w:val="clear" w:color="auto" w:fill="F5F5F5"/>
          </w:tcPr>
          <w:p w14:paraId="3392380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Case management</w:t>
            </w:r>
          </w:p>
        </w:tc>
        <w:tc>
          <w:tcPr>
            <w:tcW w:w="6300" w:type="dxa"/>
            <w:tcBorders>
              <w:top w:val="single" w:sz="4" w:space="0" w:color="auto"/>
              <w:bottom w:val="single" w:sz="4" w:space="0" w:color="auto"/>
            </w:tcBorders>
            <w:shd w:val="clear" w:color="auto" w:fill="F5F5F5"/>
          </w:tcPr>
          <w:p w14:paraId="0B7CA6C3" w14:textId="394371AE"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The transition care service provider should ensure that appropriate case management is available to recipients of transition care, to coordinate and monitor all aspects of their care and their movement from hospital, through transition care and back into the community or to their normal care arrangements, and act as a central point of contact for everyone involved in the care of the recipient.</w:t>
            </w:r>
          </w:p>
          <w:p w14:paraId="4816331F"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This will include:</w:t>
            </w:r>
          </w:p>
          <w:p w14:paraId="16B41384" w14:textId="17697854"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ensuring a comprehensive care plan is available at the time of discharge from </w:t>
            </w:r>
            <w:proofErr w:type="gramStart"/>
            <w:r w:rsidRPr="00070A87">
              <w:rPr>
                <w:rFonts w:asciiTheme="minorHAnsi" w:hAnsiTheme="minorHAnsi" w:cstheme="minorHAnsi"/>
                <w:szCs w:val="20"/>
              </w:rPr>
              <w:t>hospital;</w:t>
            </w:r>
            <w:proofErr w:type="gramEnd"/>
          </w:p>
          <w:p w14:paraId="155D6DF9" w14:textId="4439F912"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ensuring all aspects of the care plan are carried out, monitoring progress against the care plan goals and adjusting the plan where </w:t>
            </w:r>
            <w:proofErr w:type="gramStart"/>
            <w:r w:rsidRPr="00070A87">
              <w:rPr>
                <w:rFonts w:asciiTheme="minorHAnsi" w:hAnsiTheme="minorHAnsi" w:cstheme="minorHAnsi"/>
                <w:szCs w:val="20"/>
              </w:rPr>
              <w:t>necessary;</w:t>
            </w:r>
            <w:proofErr w:type="gramEnd"/>
          </w:p>
          <w:p w14:paraId="3C5093B8"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identifying any changes to a recipient’s care needs that occur during transition care and arranging for appropriate adjustments to the services </w:t>
            </w:r>
            <w:proofErr w:type="gramStart"/>
            <w:r w:rsidRPr="00070A87">
              <w:rPr>
                <w:rFonts w:asciiTheme="minorHAnsi" w:hAnsiTheme="minorHAnsi" w:cstheme="minorHAnsi"/>
                <w:szCs w:val="20"/>
              </w:rPr>
              <w:t>provided;</w:t>
            </w:r>
            <w:proofErr w:type="gramEnd"/>
          </w:p>
          <w:p w14:paraId="7A3FBE66"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liaising with and organising all care requirements provided by external service providers (including GPs and specialists); and</w:t>
            </w:r>
          </w:p>
          <w:p w14:paraId="7A7856F9" w14:textId="13C211E2" w:rsidR="00605BA0" w:rsidRPr="00070A87" w:rsidRDefault="00605BA0" w:rsidP="00762250">
            <w:pPr>
              <w:numPr>
                <w:ilvl w:val="0"/>
                <w:numId w:val="8"/>
              </w:numPr>
              <w:tabs>
                <w:tab w:val="clear" w:pos="567"/>
                <w:tab w:val="num" w:pos="348"/>
              </w:tabs>
              <w:spacing w:before="0"/>
              <w:ind w:left="346" w:hanging="295"/>
              <w:rPr>
                <w:rFonts w:asciiTheme="minorHAnsi" w:hAnsiTheme="minorHAnsi" w:cstheme="minorHAnsi"/>
                <w:szCs w:val="20"/>
              </w:rPr>
            </w:pPr>
            <w:r w:rsidRPr="00070A87">
              <w:rPr>
                <w:rFonts w:asciiTheme="minorHAnsi" w:hAnsiTheme="minorHAnsi" w:cstheme="minorHAnsi"/>
                <w:szCs w:val="20"/>
              </w:rPr>
              <w:t>arranging for appropriate care, if required, following transition care or managing the return of the recipient to the community or their normal care arrangements.</w:t>
            </w:r>
          </w:p>
          <w:p w14:paraId="75AD7B7A" w14:textId="6258E9A0"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Throughout the time spent in transition care and with respect to any subsequent arrangements, the case management role includes ensuring the individual lifestyle choices of the care recipient are </w:t>
            </w:r>
            <w:r w:rsidR="00C51116" w:rsidRPr="00070A87">
              <w:rPr>
                <w:rFonts w:asciiTheme="minorHAnsi" w:hAnsiTheme="minorHAnsi" w:cstheme="minorHAnsi"/>
                <w:szCs w:val="20"/>
              </w:rPr>
              <w:t>considered</w:t>
            </w:r>
            <w:r w:rsidRPr="00070A87">
              <w:rPr>
                <w:rFonts w:asciiTheme="minorHAnsi" w:hAnsiTheme="minorHAnsi" w:cstheme="minorHAnsi"/>
                <w:szCs w:val="20"/>
              </w:rPr>
              <w:t xml:space="preserve"> and that everything possible is done to enable social contact between the care recipient and their family and friends.</w:t>
            </w:r>
          </w:p>
        </w:tc>
      </w:tr>
      <w:tr w:rsidR="00605BA0" w:rsidRPr="00C82C51" w14:paraId="62AF7685" w14:textId="77777777" w:rsidTr="00AE28EE">
        <w:tc>
          <w:tcPr>
            <w:tcW w:w="1101" w:type="dxa"/>
          </w:tcPr>
          <w:p w14:paraId="541C5080"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3.3</w:t>
            </w:r>
          </w:p>
        </w:tc>
        <w:tc>
          <w:tcPr>
            <w:tcW w:w="2268" w:type="dxa"/>
            <w:tcBorders>
              <w:top w:val="single" w:sz="4" w:space="0" w:color="auto"/>
              <w:bottom w:val="single" w:sz="4" w:space="0" w:color="auto"/>
            </w:tcBorders>
          </w:tcPr>
          <w:p w14:paraId="5D4922C1"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Specialised clinical services</w:t>
            </w:r>
          </w:p>
        </w:tc>
        <w:tc>
          <w:tcPr>
            <w:tcW w:w="6300" w:type="dxa"/>
            <w:tcBorders>
              <w:top w:val="single" w:sz="4" w:space="0" w:color="auto"/>
              <w:bottom w:val="single" w:sz="4" w:space="0" w:color="auto"/>
            </w:tcBorders>
          </w:tcPr>
          <w:p w14:paraId="59C7214D" w14:textId="1734D68F"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Clinical care provided as part of the transition care </w:t>
            </w:r>
            <w:r w:rsidR="00890AF3">
              <w:rPr>
                <w:rFonts w:asciiTheme="minorHAnsi" w:hAnsiTheme="minorHAnsi" w:cstheme="minorHAnsi"/>
                <w:szCs w:val="20"/>
              </w:rPr>
              <w:t>p</w:t>
            </w:r>
            <w:r w:rsidRPr="00070A87">
              <w:rPr>
                <w:rFonts w:asciiTheme="minorHAnsi" w:hAnsiTheme="minorHAnsi" w:cstheme="minorHAnsi"/>
                <w:szCs w:val="20"/>
              </w:rPr>
              <w:t xml:space="preserve">rogramme, where required, is to be carried out by a registered nurse, or under the direct or indirect supervision of a registered nurse or other professional appropriate to the service delivery and in </w:t>
            </w:r>
            <w:r w:rsidRPr="00070A87">
              <w:rPr>
                <w:rFonts w:asciiTheme="minorHAnsi" w:hAnsiTheme="minorHAnsi" w:cstheme="minorHAnsi"/>
                <w:szCs w:val="20"/>
              </w:rPr>
              <w:lastRenderedPageBreak/>
              <w:t>accordance with professional standards and guidelines. These services may include, but are not limited to, the following:</w:t>
            </w:r>
          </w:p>
          <w:p w14:paraId="475562FC"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assessment for pain and a plan implemented to keep the care recipient as free from pain as </w:t>
            </w:r>
            <w:proofErr w:type="gramStart"/>
            <w:r w:rsidRPr="00070A87">
              <w:rPr>
                <w:rFonts w:asciiTheme="minorHAnsi" w:hAnsiTheme="minorHAnsi" w:cstheme="minorHAnsi"/>
                <w:szCs w:val="20"/>
              </w:rPr>
              <w:t>possible;</w:t>
            </w:r>
            <w:proofErr w:type="gramEnd"/>
          </w:p>
          <w:p w14:paraId="31C3397C"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provision and care and maintenance of tubes, including enteral feeding, </w:t>
            </w:r>
            <w:proofErr w:type="spellStart"/>
            <w:r w:rsidRPr="00070A87">
              <w:rPr>
                <w:rFonts w:asciiTheme="minorHAnsi" w:hAnsiTheme="minorHAnsi" w:cstheme="minorHAnsi"/>
                <w:szCs w:val="20"/>
              </w:rPr>
              <w:t>naso</w:t>
            </w:r>
            <w:proofErr w:type="spellEnd"/>
            <w:r w:rsidRPr="00070A87">
              <w:rPr>
                <w:rFonts w:asciiTheme="minorHAnsi" w:hAnsiTheme="minorHAnsi" w:cstheme="minorHAnsi"/>
                <w:szCs w:val="20"/>
              </w:rPr>
              <w:t xml:space="preserve">-gastric and tracheostomy tubes </w:t>
            </w:r>
            <w:proofErr w:type="gramStart"/>
            <w:r w:rsidRPr="00070A87">
              <w:rPr>
                <w:rFonts w:asciiTheme="minorHAnsi" w:hAnsiTheme="minorHAnsi" w:cstheme="minorHAnsi"/>
                <w:szCs w:val="20"/>
              </w:rPr>
              <w:t>etc;</w:t>
            </w:r>
            <w:proofErr w:type="gramEnd"/>
          </w:p>
          <w:p w14:paraId="29811F04"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establishment, review and maintenance of urinary catheter care and/or stoma care </w:t>
            </w:r>
            <w:proofErr w:type="gramStart"/>
            <w:r w:rsidRPr="00070A87">
              <w:rPr>
                <w:rFonts w:asciiTheme="minorHAnsi" w:hAnsiTheme="minorHAnsi" w:cstheme="minorHAnsi"/>
                <w:szCs w:val="20"/>
              </w:rPr>
              <w:t>programme;</w:t>
            </w:r>
            <w:proofErr w:type="gramEnd"/>
          </w:p>
          <w:p w14:paraId="598FB58B"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complex wound </w:t>
            </w:r>
            <w:proofErr w:type="gramStart"/>
            <w:r w:rsidRPr="00070A87">
              <w:rPr>
                <w:rFonts w:asciiTheme="minorHAnsi" w:hAnsiTheme="minorHAnsi" w:cstheme="minorHAnsi"/>
                <w:szCs w:val="20"/>
              </w:rPr>
              <w:t>management;</w:t>
            </w:r>
            <w:proofErr w:type="gramEnd"/>
          </w:p>
          <w:p w14:paraId="79346E35"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enema administration or insertion of </w:t>
            </w:r>
            <w:proofErr w:type="gramStart"/>
            <w:r w:rsidRPr="00070A87">
              <w:rPr>
                <w:rFonts w:asciiTheme="minorHAnsi" w:hAnsiTheme="minorHAnsi" w:cstheme="minorHAnsi"/>
                <w:szCs w:val="20"/>
              </w:rPr>
              <w:t>suppositories;</w:t>
            </w:r>
            <w:proofErr w:type="gramEnd"/>
          </w:p>
          <w:p w14:paraId="6B74E9DA"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suctioning of airways and tracheostomy </w:t>
            </w:r>
            <w:proofErr w:type="gramStart"/>
            <w:r w:rsidRPr="00070A87">
              <w:rPr>
                <w:rFonts w:asciiTheme="minorHAnsi" w:hAnsiTheme="minorHAnsi" w:cstheme="minorHAnsi"/>
                <w:szCs w:val="20"/>
              </w:rPr>
              <w:t>care;</w:t>
            </w:r>
            <w:proofErr w:type="gramEnd"/>
          </w:p>
          <w:p w14:paraId="7F3C411C"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oxygen therapy requiring ongoing supervision because of a care recipient’s variable need, including the provision of oxygen and oxygen equipment at no additional cost to the care </w:t>
            </w:r>
            <w:proofErr w:type="gramStart"/>
            <w:r w:rsidRPr="00070A87">
              <w:rPr>
                <w:rFonts w:asciiTheme="minorHAnsi" w:hAnsiTheme="minorHAnsi" w:cstheme="minorHAnsi"/>
                <w:szCs w:val="20"/>
              </w:rPr>
              <w:t>recipient;</w:t>
            </w:r>
            <w:proofErr w:type="gramEnd"/>
          </w:p>
          <w:p w14:paraId="459AC52F" w14:textId="6117DC0D"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appropriate medication </w:t>
            </w:r>
            <w:proofErr w:type="gramStart"/>
            <w:r w:rsidRPr="00070A87">
              <w:rPr>
                <w:rFonts w:asciiTheme="minorHAnsi" w:hAnsiTheme="minorHAnsi" w:cstheme="minorHAnsi"/>
                <w:szCs w:val="20"/>
              </w:rPr>
              <w:t>management;</w:t>
            </w:r>
            <w:proofErr w:type="gramEnd"/>
          </w:p>
          <w:p w14:paraId="5D8B7935"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appropriate nursing </w:t>
            </w:r>
            <w:proofErr w:type="gramStart"/>
            <w:r w:rsidRPr="00070A87">
              <w:rPr>
                <w:rFonts w:asciiTheme="minorHAnsi" w:hAnsiTheme="minorHAnsi" w:cstheme="minorHAnsi"/>
                <w:szCs w:val="20"/>
              </w:rPr>
              <w:t>services;</w:t>
            </w:r>
            <w:proofErr w:type="gramEnd"/>
          </w:p>
          <w:p w14:paraId="4AB5DDFD" w14:textId="77777777" w:rsidR="00605BA0" w:rsidRPr="00780143"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780143">
              <w:rPr>
                <w:rFonts w:asciiTheme="minorHAnsi" w:hAnsiTheme="minorHAnsi" w:cstheme="minorHAnsi"/>
                <w:szCs w:val="20"/>
              </w:rPr>
              <w:t xml:space="preserve">appropriate dementia </w:t>
            </w:r>
            <w:proofErr w:type="gramStart"/>
            <w:r w:rsidRPr="00780143">
              <w:rPr>
                <w:rFonts w:asciiTheme="minorHAnsi" w:hAnsiTheme="minorHAnsi" w:cstheme="minorHAnsi"/>
                <w:szCs w:val="20"/>
              </w:rPr>
              <w:t>support;</w:t>
            </w:r>
            <w:proofErr w:type="gramEnd"/>
          </w:p>
          <w:p w14:paraId="3E1216CA" w14:textId="6B61D016"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taking appropriate action to prevent falls among care </w:t>
            </w:r>
            <w:proofErr w:type="gramStart"/>
            <w:r w:rsidRPr="00070A87">
              <w:rPr>
                <w:rFonts w:asciiTheme="minorHAnsi" w:hAnsiTheme="minorHAnsi" w:cstheme="minorHAnsi"/>
                <w:szCs w:val="20"/>
              </w:rPr>
              <w:t>recipients;</w:t>
            </w:r>
            <w:proofErr w:type="gramEnd"/>
          </w:p>
          <w:p w14:paraId="57012217"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on-call access to specialist nursing services, if required; and</w:t>
            </w:r>
          </w:p>
          <w:p w14:paraId="6185BCF9"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specialised swallowing management.</w:t>
            </w:r>
          </w:p>
        </w:tc>
      </w:tr>
      <w:tr w:rsidR="00605BA0" w:rsidRPr="00C82C51" w14:paraId="0F1FCA31" w14:textId="77777777" w:rsidTr="00AE28EE">
        <w:tc>
          <w:tcPr>
            <w:tcW w:w="1101" w:type="dxa"/>
            <w:shd w:val="clear" w:color="auto" w:fill="F5F5F5"/>
          </w:tcPr>
          <w:p w14:paraId="0062B2E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3.4</w:t>
            </w:r>
          </w:p>
        </w:tc>
        <w:tc>
          <w:tcPr>
            <w:tcW w:w="2268" w:type="dxa"/>
            <w:tcBorders>
              <w:top w:val="single" w:sz="4" w:space="0" w:color="auto"/>
              <w:bottom w:val="single" w:sz="4" w:space="0" w:color="auto"/>
            </w:tcBorders>
            <w:shd w:val="clear" w:color="auto" w:fill="F5F5F5"/>
          </w:tcPr>
          <w:p w14:paraId="6575C837"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Therapy services</w:t>
            </w:r>
          </w:p>
        </w:tc>
        <w:tc>
          <w:tcPr>
            <w:tcW w:w="6300" w:type="dxa"/>
            <w:tcBorders>
              <w:top w:val="single" w:sz="4" w:space="0" w:color="auto"/>
              <w:bottom w:val="single" w:sz="4" w:space="0" w:color="auto"/>
            </w:tcBorders>
            <w:shd w:val="clear" w:color="auto" w:fill="F5F5F5"/>
          </w:tcPr>
          <w:p w14:paraId="728EDBB1" w14:textId="2278D561"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The therapeutic care to be delivered through the transition care programme includes low intensity therapy such as physiotherapy, occupational therapy, podiatry, dietetics</w:t>
            </w:r>
            <w:r w:rsidRPr="00070A87">
              <w:rPr>
                <w:rFonts w:asciiTheme="minorHAnsi" w:hAnsiTheme="minorHAnsi" w:cstheme="minorHAnsi"/>
                <w:szCs w:val="20"/>
                <w:vertAlign w:val="superscript"/>
              </w:rPr>
              <w:footnoteReference w:id="13"/>
            </w:r>
            <w:r w:rsidRPr="00070A87">
              <w:rPr>
                <w:rFonts w:asciiTheme="minorHAnsi" w:hAnsiTheme="minorHAnsi" w:cstheme="minorHAnsi"/>
                <w:szCs w:val="20"/>
              </w:rPr>
              <w:t>, speech pathology, counselling and social work to maintain and improve physical and cognitive functioning and to facilitate improved capacity in activities of daily living. This care is to be provided by appropriately qualified and trained staff or consultants and in accordance with any levels of care specified under the recipient’s care plan, developed as specified in section 3.1.</w:t>
            </w:r>
          </w:p>
          <w:p w14:paraId="6D8F0B3C" w14:textId="6D2E2315" w:rsidR="00605BA0" w:rsidRPr="00070A87" w:rsidRDefault="00605BA0" w:rsidP="00CE4A09">
            <w:pPr>
              <w:rPr>
                <w:rFonts w:asciiTheme="minorHAnsi" w:hAnsiTheme="minorHAnsi" w:cstheme="minorHAnsi"/>
                <w:szCs w:val="20"/>
              </w:rPr>
            </w:pPr>
            <w:r w:rsidRPr="00070A87">
              <w:rPr>
                <w:rFonts w:asciiTheme="minorHAnsi" w:hAnsiTheme="minorHAnsi" w:cstheme="minorHAnsi"/>
                <w:szCs w:val="20"/>
              </w:rPr>
              <w:t>Recreational activities and diversional therapy are provided that are suited to the care recipient, including lifestyle</w:t>
            </w:r>
            <w:r w:rsidRPr="00523E65">
              <w:rPr>
                <w:rFonts w:asciiTheme="minorHAnsi" w:hAnsiTheme="minorHAnsi" w:cstheme="minorHAnsi"/>
                <w:szCs w:val="20"/>
              </w:rPr>
              <w:t xml:space="preserve">, cognitive </w:t>
            </w:r>
            <w:r w:rsidRPr="00070A87">
              <w:rPr>
                <w:rFonts w:asciiTheme="minorHAnsi" w:hAnsiTheme="minorHAnsi" w:cstheme="minorHAnsi"/>
                <w:szCs w:val="20"/>
              </w:rPr>
              <w:t>and general exercise programs.</w:t>
            </w:r>
            <w:r w:rsidR="00890AF3">
              <w:rPr>
                <w:rFonts w:asciiTheme="minorHAnsi" w:hAnsiTheme="minorHAnsi" w:cstheme="minorHAnsi"/>
                <w:szCs w:val="20"/>
              </w:rPr>
              <w:t xml:space="preserve"> </w:t>
            </w:r>
            <w:r w:rsidRPr="00070A87">
              <w:rPr>
                <w:rFonts w:asciiTheme="minorHAnsi" w:hAnsiTheme="minorHAnsi" w:cstheme="minorHAnsi"/>
                <w:szCs w:val="20"/>
              </w:rPr>
              <w:t>Participation in the activities is encouraged and access to recreational equipment facilitated.</w:t>
            </w:r>
          </w:p>
          <w:p w14:paraId="23AEF968" w14:textId="663B3381"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Psychological or counselling services may also be required to provide emotional support and to assist care recipients deal with their psychological and emotional states as they experience changes to their circumstances and confront alterations to their dependency levels, their normal accommodation etc. For example, this may be the case where, following a period in hospital followed by transition care, a care recipient requires a higher level of ongoing care than previously.</w:t>
            </w:r>
          </w:p>
          <w:p w14:paraId="0AA2C0F5"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Support for care recipients with cognitive impairment may be required, including individual therapy, activities and access to specific programmes designed to prevent or manage a particular condition or behaviour, enhance quality of life and provide ongoing support.</w:t>
            </w:r>
          </w:p>
          <w:p w14:paraId="20D136FF" w14:textId="6A989F50"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 key component of the transition care programme is the therapeutic services that care recipients can receive. These services are not a substitute for the subacute care delivered through the hospital sector.</w:t>
            </w:r>
            <w:r w:rsidR="00890AF3">
              <w:rPr>
                <w:rFonts w:asciiTheme="minorHAnsi" w:hAnsiTheme="minorHAnsi" w:cstheme="minorHAnsi"/>
                <w:szCs w:val="20"/>
              </w:rPr>
              <w:t xml:space="preserve"> </w:t>
            </w:r>
            <w:r w:rsidRPr="00070A87">
              <w:rPr>
                <w:rFonts w:asciiTheme="minorHAnsi" w:hAnsiTheme="minorHAnsi" w:cstheme="minorHAnsi"/>
                <w:szCs w:val="20"/>
              </w:rPr>
              <w:t xml:space="preserve">Hence eligibility for transition care </w:t>
            </w:r>
            <w:r w:rsidRPr="00070A87">
              <w:rPr>
                <w:rFonts w:asciiTheme="minorHAnsi" w:hAnsiTheme="minorHAnsi" w:cstheme="minorHAnsi"/>
                <w:szCs w:val="20"/>
              </w:rPr>
              <w:lastRenderedPageBreak/>
              <w:t xml:space="preserve">includes an </w:t>
            </w:r>
            <w:r w:rsidR="00AF2AFF">
              <w:rPr>
                <w:rFonts w:asciiTheme="minorHAnsi" w:hAnsiTheme="minorHAnsi" w:cstheme="minorHAnsi"/>
                <w:szCs w:val="20"/>
              </w:rPr>
              <w:t xml:space="preserve">aged care needs </w:t>
            </w:r>
            <w:r w:rsidRPr="00070A87">
              <w:rPr>
                <w:rFonts w:asciiTheme="minorHAnsi" w:hAnsiTheme="minorHAnsi" w:cstheme="minorHAnsi"/>
                <w:szCs w:val="20"/>
              </w:rPr>
              <w:t>assessment that concludes that, where appropriate, a care recipient has already received hospital based subacute rehabilitation care and/or geriatric evaluation and management where necessary (or will have received it prior to discharge).</w:t>
            </w:r>
          </w:p>
          <w:p w14:paraId="15378CC3"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The therapy services do not include acupuncture and as such, the cost of the provision of acupuncture is not covered by the transition care programme.</w:t>
            </w:r>
          </w:p>
        </w:tc>
      </w:tr>
      <w:tr w:rsidR="00605BA0" w:rsidRPr="00C82C51" w14:paraId="654E1891" w14:textId="77777777" w:rsidTr="00AE28EE">
        <w:tc>
          <w:tcPr>
            <w:tcW w:w="1101" w:type="dxa"/>
          </w:tcPr>
          <w:p w14:paraId="519C79DD"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3.5</w:t>
            </w:r>
          </w:p>
        </w:tc>
        <w:tc>
          <w:tcPr>
            <w:tcW w:w="2268" w:type="dxa"/>
            <w:tcBorders>
              <w:top w:val="single" w:sz="4" w:space="0" w:color="auto"/>
              <w:bottom w:val="single" w:sz="4" w:space="0" w:color="auto"/>
            </w:tcBorders>
          </w:tcPr>
          <w:p w14:paraId="7AFBF8BC"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Daily living activities assistance</w:t>
            </w:r>
          </w:p>
        </w:tc>
        <w:tc>
          <w:tcPr>
            <w:tcW w:w="6300" w:type="dxa"/>
            <w:tcBorders>
              <w:top w:val="single" w:sz="4" w:space="0" w:color="auto"/>
              <w:bottom w:val="single" w:sz="4" w:space="0" w:color="auto"/>
            </w:tcBorders>
          </w:tcPr>
          <w:p w14:paraId="2F824241" w14:textId="45A86DC9"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Personal assistance, including individual attention, individual supervision and physical assistance with:</w:t>
            </w:r>
          </w:p>
          <w:p w14:paraId="33347821" w14:textId="698894B4"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bathing, showering, personal hygiene and </w:t>
            </w:r>
            <w:proofErr w:type="gramStart"/>
            <w:r w:rsidRPr="00070A87">
              <w:rPr>
                <w:rFonts w:asciiTheme="minorHAnsi" w:hAnsiTheme="minorHAnsi" w:cstheme="minorHAnsi"/>
                <w:szCs w:val="20"/>
              </w:rPr>
              <w:t>grooming;</w:t>
            </w:r>
            <w:proofErr w:type="gramEnd"/>
          </w:p>
          <w:p w14:paraId="7EF14C85" w14:textId="37BDB1AE"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maintaining continence or managing incontinence, and using aids and appliances designed to assist continence </w:t>
            </w:r>
            <w:proofErr w:type="gramStart"/>
            <w:r w:rsidRPr="00070A87">
              <w:rPr>
                <w:rFonts w:asciiTheme="minorHAnsi" w:hAnsiTheme="minorHAnsi" w:cstheme="minorHAnsi"/>
                <w:szCs w:val="20"/>
              </w:rPr>
              <w:t>management;</w:t>
            </w:r>
            <w:proofErr w:type="gramEnd"/>
          </w:p>
          <w:p w14:paraId="0A1195E9" w14:textId="03563675"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eating and eating aids, and using eating utensils and eating aids (including actual feeding if necessary</w:t>
            </w:r>
            <w:proofErr w:type="gramStart"/>
            <w:r w:rsidRPr="00070A87">
              <w:rPr>
                <w:rFonts w:asciiTheme="minorHAnsi" w:hAnsiTheme="minorHAnsi" w:cstheme="minorHAnsi"/>
                <w:szCs w:val="20"/>
              </w:rPr>
              <w:t>);</w:t>
            </w:r>
            <w:proofErr w:type="gramEnd"/>
          </w:p>
          <w:p w14:paraId="5FB0CE67" w14:textId="1D73DC9B"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dressing, undressing and using dressing </w:t>
            </w:r>
            <w:proofErr w:type="gramStart"/>
            <w:r w:rsidRPr="00070A87">
              <w:rPr>
                <w:rFonts w:asciiTheme="minorHAnsi" w:hAnsiTheme="minorHAnsi" w:cstheme="minorHAnsi"/>
                <w:szCs w:val="20"/>
              </w:rPr>
              <w:t>aids;</w:t>
            </w:r>
            <w:proofErr w:type="gramEnd"/>
          </w:p>
          <w:p w14:paraId="1CEB3F8E"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moving, walking, wheelchair use and using devices and appliances designed to aid mobility, including the fitting of artificial limbs and other personal mobility aids; and</w:t>
            </w:r>
          </w:p>
          <w:p w14:paraId="07F1E0EA" w14:textId="00E2DF55"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communication, including to address difficulties arising from</w:t>
            </w:r>
            <w:r w:rsidR="00997684">
              <w:rPr>
                <w:rFonts w:asciiTheme="minorHAnsi" w:hAnsiTheme="minorHAnsi" w:cstheme="minorHAnsi"/>
                <w:szCs w:val="20"/>
              </w:rPr>
              <w:t xml:space="preserve"> dementia</w:t>
            </w:r>
            <w:r w:rsidRPr="00070A87">
              <w:rPr>
                <w:rFonts w:asciiTheme="minorHAnsi" w:hAnsiTheme="minorHAnsi" w:cstheme="minorHAnsi"/>
                <w:szCs w:val="20"/>
              </w:rPr>
              <w:t>, impaired hearing, sight or speech, or lack of common language (including the fitting of sensory communication aids).</w:t>
            </w:r>
          </w:p>
        </w:tc>
      </w:tr>
      <w:tr w:rsidR="00605BA0" w:rsidRPr="00C82C51" w14:paraId="5C4E6624" w14:textId="77777777" w:rsidTr="000F7B25">
        <w:tc>
          <w:tcPr>
            <w:tcW w:w="1101" w:type="dxa"/>
            <w:shd w:val="clear" w:color="auto" w:fill="F5F5F5"/>
          </w:tcPr>
          <w:p w14:paraId="00116F49"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3.6</w:t>
            </w:r>
          </w:p>
        </w:tc>
        <w:tc>
          <w:tcPr>
            <w:tcW w:w="2268" w:type="dxa"/>
            <w:tcBorders>
              <w:top w:val="single" w:sz="4" w:space="0" w:color="auto"/>
              <w:bottom w:val="single" w:sz="4" w:space="0" w:color="auto"/>
            </w:tcBorders>
            <w:shd w:val="clear" w:color="auto" w:fill="F5F5F5"/>
          </w:tcPr>
          <w:p w14:paraId="37E6F99E"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Social activities</w:t>
            </w:r>
          </w:p>
        </w:tc>
        <w:tc>
          <w:tcPr>
            <w:tcW w:w="6300" w:type="dxa"/>
            <w:tcBorders>
              <w:top w:val="single" w:sz="4" w:space="0" w:color="auto"/>
              <w:bottom w:val="single" w:sz="4" w:space="0" w:color="auto"/>
            </w:tcBorders>
            <w:shd w:val="clear" w:color="auto" w:fill="F5F5F5"/>
          </w:tcPr>
          <w:p w14:paraId="330301C9" w14:textId="00FF7837" w:rsidR="00014740" w:rsidRDefault="00605BA0" w:rsidP="00200DBD">
            <w:pPr>
              <w:spacing w:before="0"/>
              <w:rPr>
                <w:rFonts w:asciiTheme="minorHAnsi" w:hAnsiTheme="minorHAnsi" w:cstheme="minorHAnsi"/>
                <w:szCs w:val="20"/>
              </w:rPr>
            </w:pPr>
            <w:r w:rsidRPr="00070A87">
              <w:rPr>
                <w:rFonts w:asciiTheme="minorHAnsi" w:hAnsiTheme="minorHAnsi" w:cstheme="minorHAnsi"/>
                <w:szCs w:val="20"/>
              </w:rPr>
              <w:t>Arranging social programs and activities or providing/coordinating transport to socialisation activities/functions at a reasonable frequency. Encouraging transition care recipients to take part in social activities.</w:t>
            </w:r>
          </w:p>
          <w:p w14:paraId="156845E7"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Providing other services that help to prevent social isolation and promote and protect the dignity and well-being of recipients.</w:t>
            </w:r>
          </w:p>
        </w:tc>
      </w:tr>
      <w:tr w:rsidR="00605BA0" w:rsidRPr="00C82C51" w14:paraId="4873569B" w14:textId="77777777" w:rsidTr="000F7B25">
        <w:tc>
          <w:tcPr>
            <w:tcW w:w="1101" w:type="dxa"/>
          </w:tcPr>
          <w:p w14:paraId="46B147E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3.7</w:t>
            </w:r>
          </w:p>
        </w:tc>
        <w:tc>
          <w:tcPr>
            <w:tcW w:w="2268" w:type="dxa"/>
            <w:tcBorders>
              <w:top w:val="single" w:sz="4" w:space="0" w:color="auto"/>
              <w:bottom w:val="single" w:sz="4" w:space="0" w:color="auto"/>
            </w:tcBorders>
          </w:tcPr>
          <w:p w14:paraId="1A200DB6"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Religious and cultural activities</w:t>
            </w:r>
          </w:p>
        </w:tc>
        <w:tc>
          <w:tcPr>
            <w:tcW w:w="6300" w:type="dxa"/>
            <w:tcBorders>
              <w:top w:val="single" w:sz="4" w:space="0" w:color="auto"/>
              <w:bottom w:val="single" w:sz="4" w:space="0" w:color="auto"/>
            </w:tcBorders>
          </w:tcPr>
          <w:p w14:paraId="5ABAB9B6" w14:textId="7B790A7B"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Provide support to the care recipient in accessing religious and cultural activities.</w:t>
            </w:r>
          </w:p>
        </w:tc>
      </w:tr>
      <w:tr w:rsidR="00605BA0" w:rsidRPr="00C82C51" w14:paraId="509DBFD6" w14:textId="77777777" w:rsidTr="00FE3EC6">
        <w:tc>
          <w:tcPr>
            <w:tcW w:w="0" w:type="dxa"/>
            <w:shd w:val="clear" w:color="auto" w:fill="F5F5F5"/>
          </w:tcPr>
          <w:p w14:paraId="0BCE49D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3.8</w:t>
            </w:r>
          </w:p>
        </w:tc>
        <w:tc>
          <w:tcPr>
            <w:tcW w:w="0" w:type="dxa"/>
            <w:tcBorders>
              <w:top w:val="single" w:sz="4" w:space="0" w:color="auto"/>
              <w:bottom w:val="single" w:sz="4" w:space="0" w:color="auto"/>
            </w:tcBorders>
            <w:shd w:val="clear" w:color="auto" w:fill="F5F5F5"/>
          </w:tcPr>
          <w:p w14:paraId="03F33BD6"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Advocacy</w:t>
            </w:r>
          </w:p>
        </w:tc>
        <w:tc>
          <w:tcPr>
            <w:tcW w:w="0" w:type="dxa"/>
            <w:tcBorders>
              <w:top w:val="single" w:sz="4" w:space="0" w:color="auto"/>
              <w:bottom w:val="single" w:sz="4" w:space="0" w:color="auto"/>
            </w:tcBorders>
            <w:shd w:val="clear" w:color="auto" w:fill="F5F5F5"/>
          </w:tcPr>
          <w:p w14:paraId="254B30D9"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Advocacy services to help protect the care recipient’s interests.</w:t>
            </w:r>
          </w:p>
        </w:tc>
      </w:tr>
      <w:tr w:rsidR="00605BA0" w:rsidRPr="00C82C51" w14:paraId="1A6AAA10" w14:textId="77777777" w:rsidTr="00FE3EC6">
        <w:tc>
          <w:tcPr>
            <w:tcW w:w="0" w:type="dxa"/>
          </w:tcPr>
          <w:p w14:paraId="4ED547C3"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3.9</w:t>
            </w:r>
          </w:p>
        </w:tc>
        <w:tc>
          <w:tcPr>
            <w:tcW w:w="0" w:type="dxa"/>
            <w:tcBorders>
              <w:top w:val="single" w:sz="4" w:space="0" w:color="auto"/>
              <w:bottom w:val="single" w:sz="4" w:space="0" w:color="auto"/>
            </w:tcBorders>
          </w:tcPr>
          <w:p w14:paraId="672EE791"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Support</w:t>
            </w:r>
          </w:p>
        </w:tc>
        <w:tc>
          <w:tcPr>
            <w:tcW w:w="0" w:type="dxa"/>
            <w:tcBorders>
              <w:top w:val="single" w:sz="4" w:space="0" w:color="auto"/>
              <w:bottom w:val="single" w:sz="4" w:space="0" w:color="auto"/>
            </w:tcBorders>
          </w:tcPr>
          <w:p w14:paraId="0D769CD1"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Support services to maintain personal affairs.</w:t>
            </w:r>
          </w:p>
        </w:tc>
      </w:tr>
      <w:tr w:rsidR="00605BA0" w:rsidRPr="00C82C51" w14:paraId="1D9D22A1" w14:textId="77777777" w:rsidTr="00FE3EC6">
        <w:tc>
          <w:tcPr>
            <w:tcW w:w="0" w:type="dxa"/>
            <w:tcBorders>
              <w:bottom w:val="single" w:sz="4" w:space="0" w:color="auto"/>
            </w:tcBorders>
            <w:shd w:val="clear" w:color="auto" w:fill="F5F5F5"/>
          </w:tcPr>
          <w:p w14:paraId="090ADAC4" w14:textId="012F5F40"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3.10</w:t>
            </w:r>
          </w:p>
        </w:tc>
        <w:tc>
          <w:tcPr>
            <w:tcW w:w="0" w:type="dxa"/>
            <w:tcBorders>
              <w:top w:val="single" w:sz="4" w:space="0" w:color="auto"/>
              <w:bottom w:val="single" w:sz="4" w:space="0" w:color="auto"/>
            </w:tcBorders>
            <w:shd w:val="clear" w:color="auto" w:fill="F5F5F5"/>
          </w:tcPr>
          <w:p w14:paraId="00775877"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Waste disposal</w:t>
            </w:r>
          </w:p>
        </w:tc>
        <w:tc>
          <w:tcPr>
            <w:tcW w:w="0" w:type="dxa"/>
            <w:tcBorders>
              <w:top w:val="single" w:sz="4" w:space="0" w:color="auto"/>
              <w:bottom w:val="single" w:sz="4" w:space="0" w:color="auto"/>
            </w:tcBorders>
            <w:shd w:val="clear" w:color="auto" w:fill="F5F5F5"/>
          </w:tcPr>
          <w:p w14:paraId="7D8976BD"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Safe disposal of organic and inorganic waste material.</w:t>
            </w:r>
          </w:p>
        </w:tc>
      </w:tr>
    </w:tbl>
    <w:p w14:paraId="7828AEA6" w14:textId="77777777" w:rsidR="00C6193D" w:rsidRPr="000305CB" w:rsidRDefault="00C6193D" w:rsidP="000305CB">
      <w:bookmarkStart w:id="471" w:name="_Toc422752919"/>
    </w:p>
    <w:p w14:paraId="5AC1182E" w14:textId="766A4587" w:rsidR="00402B99" w:rsidRPr="00402B99" w:rsidRDefault="00402B99" w:rsidP="003A1B8D">
      <w:pPr>
        <w:sectPr w:rsidR="00402B99" w:rsidRPr="00402B99" w:rsidSect="00E330E4">
          <w:footerReference w:type="default" r:id="rId64"/>
          <w:footerReference w:type="first" r:id="rId65"/>
          <w:pgSz w:w="11906" w:h="16838"/>
          <w:pgMar w:top="1134" w:right="1418" w:bottom="851" w:left="993" w:header="284" w:footer="186" w:gutter="0"/>
          <w:pgNumType w:start="1"/>
          <w:cols w:space="708"/>
          <w:docGrid w:linePitch="360"/>
        </w:sectPr>
      </w:pPr>
    </w:p>
    <w:p w14:paraId="1945C058" w14:textId="4C0C42D7" w:rsidR="00454E16" w:rsidRPr="00187113" w:rsidRDefault="00C6193D" w:rsidP="00187113">
      <w:pPr>
        <w:pStyle w:val="Heading1"/>
        <w:numPr>
          <w:ilvl w:val="0"/>
          <w:numId w:val="0"/>
        </w:numPr>
      </w:pPr>
      <w:bookmarkStart w:id="472" w:name="_Attachment_C"/>
      <w:bookmarkStart w:id="473" w:name="_Toc197076960"/>
      <w:bookmarkEnd w:id="472"/>
      <w:r w:rsidRPr="000A1FD4">
        <w:lastRenderedPageBreak/>
        <w:t xml:space="preserve">Attachment </w:t>
      </w:r>
      <w:r w:rsidR="006346CF">
        <w:t>C</w:t>
      </w:r>
      <w:r w:rsidR="00187113">
        <w:t xml:space="preserve"> </w:t>
      </w:r>
      <w:r w:rsidR="009E369B">
        <w:rPr>
          <w:bCs w:val="0"/>
        </w:rPr>
        <w:t>SUMMARY OF TRANSITION CARE RESTORATIVE CARE REQUIREMENTS</w:t>
      </w:r>
      <w:bookmarkEnd w:id="473"/>
    </w:p>
    <w:tbl>
      <w:tblPr>
        <w:tblStyle w:val="TableGrid"/>
        <w:tblW w:w="0" w:type="auto"/>
        <w:tblLook w:val="04A0" w:firstRow="1" w:lastRow="0" w:firstColumn="1" w:lastColumn="0" w:noHBand="0" w:noVBand="1"/>
        <w:tblCaption w:val="Transition Care Programme Restorative Care Requirements"/>
        <w:tblDescription w:val="This table summarises the Transition Care Programme Restorative Care Requirements"/>
      </w:tblPr>
      <w:tblGrid>
        <w:gridCol w:w="2398"/>
        <w:gridCol w:w="4433"/>
        <w:gridCol w:w="4427"/>
        <w:gridCol w:w="4436"/>
      </w:tblGrid>
      <w:tr w:rsidR="009E369B" w:rsidRPr="007C3C02" w14:paraId="49733FEF" w14:textId="77777777" w:rsidTr="00403F5E">
        <w:trPr>
          <w:cnfStyle w:val="100000000000" w:firstRow="1" w:lastRow="0" w:firstColumn="0" w:lastColumn="0" w:oddVBand="0" w:evenVBand="0" w:oddHBand="0" w:evenHBand="0" w:firstRowFirstColumn="0" w:firstRowLastColumn="0" w:lastRowFirstColumn="0" w:lastRowLastColumn="0"/>
          <w:tblHeader/>
        </w:trPr>
        <w:tc>
          <w:tcPr>
            <w:tcW w:w="2398" w:type="dxa"/>
            <w:shd w:val="clear" w:color="auto" w:fill="7030A0"/>
          </w:tcPr>
          <w:p w14:paraId="23F0AC96" w14:textId="77777777" w:rsidR="009E369B" w:rsidRPr="007C3C02" w:rsidRDefault="009E369B" w:rsidP="007C3C02">
            <w:bookmarkStart w:id="474" w:name="_Toc20138597"/>
            <w:r w:rsidRPr="007C3C02">
              <w:t>Requirement</w:t>
            </w:r>
            <w:bookmarkEnd w:id="474"/>
          </w:p>
        </w:tc>
        <w:tc>
          <w:tcPr>
            <w:tcW w:w="4433" w:type="dxa"/>
            <w:shd w:val="clear" w:color="auto" w:fill="7030A0"/>
          </w:tcPr>
          <w:p w14:paraId="6319CE4E" w14:textId="77777777" w:rsidR="009E369B" w:rsidRPr="007C3C02" w:rsidRDefault="009E369B" w:rsidP="007C3C02">
            <w:bookmarkStart w:id="475" w:name="_Toc20138598"/>
            <w:r w:rsidRPr="007C3C02">
              <w:t>Assessment Process</w:t>
            </w:r>
            <w:bookmarkEnd w:id="475"/>
          </w:p>
        </w:tc>
        <w:tc>
          <w:tcPr>
            <w:tcW w:w="4427" w:type="dxa"/>
            <w:shd w:val="clear" w:color="auto" w:fill="7030A0"/>
          </w:tcPr>
          <w:p w14:paraId="700C820A" w14:textId="77777777" w:rsidR="009E369B" w:rsidRPr="007C3C02" w:rsidRDefault="009E369B" w:rsidP="007C3C02">
            <w:bookmarkStart w:id="476" w:name="_Toc20138599"/>
            <w:r w:rsidRPr="007C3C02">
              <w:t>Planning Process</w:t>
            </w:r>
            <w:bookmarkEnd w:id="476"/>
          </w:p>
        </w:tc>
        <w:tc>
          <w:tcPr>
            <w:tcW w:w="4436" w:type="dxa"/>
            <w:shd w:val="clear" w:color="auto" w:fill="7030A0"/>
          </w:tcPr>
          <w:p w14:paraId="2AE5B591" w14:textId="77777777" w:rsidR="009E369B" w:rsidRPr="007C3C02" w:rsidRDefault="009E369B" w:rsidP="007C3C02">
            <w:bookmarkStart w:id="477" w:name="_Toc20138600"/>
            <w:r w:rsidRPr="007C3C02">
              <w:t>Requirements which transition care services must demonstrate</w:t>
            </w:r>
            <w:bookmarkEnd w:id="477"/>
          </w:p>
        </w:tc>
      </w:tr>
      <w:tr w:rsidR="009E369B" w14:paraId="06841CE3" w14:textId="77777777" w:rsidTr="009B7A97">
        <w:tc>
          <w:tcPr>
            <w:tcW w:w="2398" w:type="dxa"/>
          </w:tcPr>
          <w:p w14:paraId="65689FDE" w14:textId="77777777" w:rsidR="009E369B" w:rsidRPr="00510A17" w:rsidRDefault="00562052" w:rsidP="00CE4A09">
            <w:pPr>
              <w:spacing w:before="0" w:after="200"/>
              <w:ind w:left="284" w:hanging="284"/>
              <w:rPr>
                <w:rFonts w:asciiTheme="minorHAnsi" w:eastAsiaTheme="majorEastAsia" w:hAnsiTheme="minorHAnsi" w:cstheme="minorHAnsi"/>
                <w:b/>
                <w:bCs/>
                <w:color w:val="000000" w:themeColor="text1"/>
                <w:sz w:val="22"/>
                <w:szCs w:val="22"/>
              </w:rPr>
            </w:pPr>
            <w:r w:rsidRPr="00510A17">
              <w:rPr>
                <w:rFonts w:asciiTheme="minorHAnsi" w:eastAsiaTheme="majorEastAsia" w:hAnsiTheme="minorHAnsi" w:cstheme="minorHAnsi"/>
                <w:b/>
                <w:bCs/>
                <w:color w:val="000000" w:themeColor="text1"/>
                <w:sz w:val="22"/>
                <w:szCs w:val="22"/>
              </w:rPr>
              <w:t>1. Optimising Independence and wellbeing</w:t>
            </w:r>
          </w:p>
          <w:p w14:paraId="5C72F131" w14:textId="79057EF4" w:rsidR="00061C36" w:rsidRPr="00E330E4" w:rsidRDefault="00061C36" w:rsidP="00E330E4">
            <w:pPr>
              <w:rPr>
                <w:rStyle w:val="Strong"/>
              </w:rPr>
            </w:pPr>
            <w:r w:rsidRPr="00E330E4">
              <w:rPr>
                <w:rStyle w:val="Strong"/>
              </w:rPr>
              <w:t>The transition care service optimises the independence and wellbeing of its</w:t>
            </w:r>
            <w:r w:rsidR="00BB3331" w:rsidRPr="00E330E4">
              <w:rPr>
                <w:rStyle w:val="Strong"/>
              </w:rPr>
              <w:t xml:space="preserve"> care recipient</w:t>
            </w:r>
            <w:r w:rsidR="00D64A4C" w:rsidRPr="00E330E4">
              <w:rPr>
                <w:rStyle w:val="Strong"/>
              </w:rPr>
              <w:t>s</w:t>
            </w:r>
          </w:p>
        </w:tc>
        <w:tc>
          <w:tcPr>
            <w:tcW w:w="4433" w:type="dxa"/>
          </w:tcPr>
          <w:p w14:paraId="409BCB27" w14:textId="77777777" w:rsidR="009E369B" w:rsidRPr="00510A17" w:rsidRDefault="009B7A97"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Assessment processes:</w:t>
            </w:r>
          </w:p>
          <w:p w14:paraId="33CD75A7" w14:textId="6327FD24" w:rsidR="009B7A97" w:rsidRPr="00510A17" w:rsidRDefault="009B7A9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allow care recipients or their representative, assisted by carers and families as appropriate, to make informed choices between transition care service options </w:t>
            </w:r>
            <w:r w:rsidR="004D0E73" w:rsidRPr="00510A17">
              <w:rPr>
                <w:rFonts w:asciiTheme="minorHAnsi" w:hAnsiTheme="minorHAnsi" w:cstheme="minorHAnsi"/>
                <w:sz w:val="18"/>
                <w:szCs w:val="18"/>
              </w:rPr>
              <w:t>to</w:t>
            </w:r>
            <w:r w:rsidRPr="00510A17">
              <w:rPr>
                <w:rFonts w:asciiTheme="minorHAnsi" w:hAnsiTheme="minorHAnsi" w:cstheme="minorHAnsi"/>
                <w:sz w:val="18"/>
                <w:szCs w:val="18"/>
              </w:rPr>
              <w:t xml:space="preserve"> define and set their goals to optimise their independence and </w:t>
            </w:r>
            <w:proofErr w:type="gramStart"/>
            <w:r w:rsidRPr="00510A17">
              <w:rPr>
                <w:rFonts w:asciiTheme="minorHAnsi" w:hAnsiTheme="minorHAnsi" w:cstheme="minorHAnsi"/>
                <w:sz w:val="18"/>
                <w:szCs w:val="18"/>
              </w:rPr>
              <w:t>wellbeing;</w:t>
            </w:r>
            <w:proofErr w:type="gramEnd"/>
          </w:p>
          <w:p w14:paraId="6C276361" w14:textId="77777777" w:rsidR="009B7A97" w:rsidRPr="00510A17" w:rsidRDefault="009B7A9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include an assessment of care recipients’ physical and cognitive independence, as well as their psycho-social needs; and</w:t>
            </w:r>
          </w:p>
          <w:p w14:paraId="3E1C66AA" w14:textId="77777777" w:rsidR="009B7A97" w:rsidRPr="00510A17" w:rsidRDefault="009B7A97"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consider special needs groups, including people from Aboriginal and Torres Strait Islander communities, people from culturally and linguistically diverse backgrounds, and people who have a physical or cognitive impairment.</w:t>
            </w:r>
          </w:p>
        </w:tc>
        <w:tc>
          <w:tcPr>
            <w:tcW w:w="4427" w:type="dxa"/>
          </w:tcPr>
          <w:p w14:paraId="629B6D49" w14:textId="26A1200C" w:rsidR="009E369B" w:rsidRPr="00510A17" w:rsidRDefault="00836387" w:rsidP="00836387">
            <w:pPr>
              <w:snapToGrid w:val="0"/>
              <w:spacing w:before="0" w:after="0"/>
              <w:rPr>
                <w:rFonts w:asciiTheme="minorHAnsi" w:hAnsiTheme="minorHAnsi" w:cstheme="minorHAnsi"/>
                <w:sz w:val="18"/>
                <w:szCs w:val="18"/>
              </w:rPr>
            </w:pPr>
            <w:r w:rsidRPr="00510A17">
              <w:rPr>
                <w:rFonts w:asciiTheme="minorHAnsi" w:hAnsiTheme="minorHAnsi" w:cstheme="minorHAnsi"/>
                <w:sz w:val="18"/>
                <w:szCs w:val="18"/>
              </w:rPr>
              <w:t>Care planning is focussed on optimising independence and wellbeing and includes a goal</w:t>
            </w:r>
            <w:r w:rsidR="00CE4A09">
              <w:rPr>
                <w:rFonts w:asciiTheme="minorHAnsi" w:hAnsiTheme="minorHAnsi" w:cstheme="minorHAnsi"/>
                <w:sz w:val="18"/>
                <w:szCs w:val="18"/>
              </w:rPr>
              <w:noBreakHyphen/>
            </w:r>
            <w:r w:rsidRPr="00510A17">
              <w:rPr>
                <w:rFonts w:asciiTheme="minorHAnsi" w:hAnsiTheme="minorHAnsi" w:cstheme="minorHAnsi"/>
                <w:sz w:val="18"/>
                <w:szCs w:val="18"/>
              </w:rPr>
              <w:t>oriented care plan for the care recipient that:</w:t>
            </w:r>
          </w:p>
          <w:p w14:paraId="7FBC6813" w14:textId="0E573CE9"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responds to the identified needs of the care recipient and targets those goals which optimise independence while taking into consideration the cognitive and psycho-social needs of the care </w:t>
            </w:r>
            <w:proofErr w:type="gramStart"/>
            <w:r w:rsidRPr="00510A17">
              <w:rPr>
                <w:rFonts w:asciiTheme="minorHAnsi" w:hAnsiTheme="minorHAnsi" w:cstheme="minorHAnsi"/>
                <w:sz w:val="18"/>
                <w:szCs w:val="18"/>
              </w:rPr>
              <w:t>recipient;</w:t>
            </w:r>
            <w:proofErr w:type="gramEnd"/>
          </w:p>
          <w:p w14:paraId="79F1A9F1"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provides the care recipient with required physical and cognitive therapies and treatments designed to teach the care recipient to achieve their own goals; and</w:t>
            </w:r>
          </w:p>
          <w:p w14:paraId="47118B4B" w14:textId="77777777" w:rsidR="00836387" w:rsidRPr="00510A17" w:rsidRDefault="00836387"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improves the care recipient’s functioning by promoting independence and monitors that improvement in consultation with the care recipient and/or their representative, carers and families, clinicians, and therapists.</w:t>
            </w:r>
          </w:p>
          <w:p w14:paraId="0719A91F" w14:textId="55482BED" w:rsidR="00F70447" w:rsidRPr="00510A17" w:rsidRDefault="00F70447" w:rsidP="00F70447">
            <w:pPr>
              <w:spacing w:before="0" w:after="200"/>
              <w:rPr>
                <w:rFonts w:asciiTheme="minorHAnsi" w:hAnsiTheme="minorHAnsi" w:cstheme="minorHAnsi"/>
                <w:szCs w:val="20"/>
                <w:lang w:val="en-US"/>
              </w:rPr>
            </w:pPr>
            <w:r w:rsidRPr="00510A17">
              <w:rPr>
                <w:rFonts w:asciiTheme="minorHAnsi" w:eastAsiaTheme="majorEastAsia" w:hAnsiTheme="minorHAnsi" w:cstheme="minorHAnsi"/>
                <w:bCs/>
                <w:i/>
                <w:color w:val="000000" w:themeColor="text1"/>
                <w:sz w:val="18"/>
                <w:szCs w:val="18"/>
              </w:rPr>
              <w:t xml:space="preserve">Note: For further detail on care planning, see </w:t>
            </w:r>
            <w:r w:rsidR="006F0B7B">
              <w:rPr>
                <w:rFonts w:asciiTheme="minorHAnsi" w:eastAsiaTheme="majorEastAsia" w:hAnsiTheme="minorHAnsi" w:cstheme="minorHAnsi"/>
                <w:bCs/>
                <w:i/>
                <w:color w:val="000000" w:themeColor="text1"/>
                <w:sz w:val="18"/>
                <w:szCs w:val="18"/>
              </w:rPr>
              <w:t>section</w:t>
            </w:r>
            <w:r w:rsidRPr="00510A17">
              <w:rPr>
                <w:rFonts w:asciiTheme="minorHAnsi" w:eastAsiaTheme="majorEastAsia" w:hAnsiTheme="minorHAnsi" w:cstheme="minorHAnsi"/>
                <w:bCs/>
                <w:i/>
                <w:color w:val="000000" w:themeColor="text1"/>
                <w:sz w:val="18"/>
                <w:szCs w:val="18"/>
              </w:rPr>
              <w:t xml:space="preserve"> 4.2.2.</w:t>
            </w:r>
          </w:p>
        </w:tc>
        <w:tc>
          <w:tcPr>
            <w:tcW w:w="4436" w:type="dxa"/>
          </w:tcPr>
          <w:p w14:paraId="7E79BAD0" w14:textId="7839C2EC" w:rsidR="009E369B" w:rsidRPr="00510A17" w:rsidRDefault="00836387" w:rsidP="00836387">
            <w:pPr>
              <w:snapToGrid w:val="0"/>
              <w:spacing w:before="0" w:after="0"/>
              <w:rPr>
                <w:rFonts w:asciiTheme="minorHAnsi" w:hAnsiTheme="minorHAnsi" w:cstheme="minorHAnsi"/>
                <w:sz w:val="18"/>
                <w:szCs w:val="18"/>
              </w:rPr>
            </w:pPr>
            <w:r w:rsidRPr="00510A17">
              <w:rPr>
                <w:rFonts w:asciiTheme="minorHAnsi" w:hAnsiTheme="minorHAnsi" w:cstheme="minorHAnsi"/>
                <w:sz w:val="18"/>
                <w:szCs w:val="18"/>
              </w:rPr>
              <w:t>The transition care service demonstrates that its service:</w:t>
            </w:r>
          </w:p>
          <w:p w14:paraId="1F00B261"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provides a coherent and integrated case management process that enables care recipients to meet their goals and takes into consideration the psycho-social situation of the care </w:t>
            </w:r>
            <w:proofErr w:type="gramStart"/>
            <w:r w:rsidRPr="00510A17">
              <w:rPr>
                <w:rFonts w:asciiTheme="minorHAnsi" w:hAnsiTheme="minorHAnsi" w:cstheme="minorHAnsi"/>
                <w:sz w:val="18"/>
                <w:szCs w:val="18"/>
              </w:rPr>
              <w:t>recipient;</w:t>
            </w:r>
            <w:proofErr w:type="gramEnd"/>
          </w:p>
          <w:p w14:paraId="78C7ED9B" w14:textId="73CB9973"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actively promotes self-management and self</w:t>
            </w:r>
            <w:r w:rsidR="00CE4A09">
              <w:rPr>
                <w:rFonts w:asciiTheme="minorHAnsi" w:hAnsiTheme="minorHAnsi" w:cstheme="minorHAnsi"/>
                <w:sz w:val="18"/>
                <w:szCs w:val="18"/>
              </w:rPr>
              <w:noBreakHyphen/>
            </w:r>
            <w:r w:rsidRPr="00510A17">
              <w:rPr>
                <w:rFonts w:asciiTheme="minorHAnsi" w:hAnsiTheme="minorHAnsi" w:cstheme="minorHAnsi"/>
                <w:sz w:val="18"/>
                <w:szCs w:val="18"/>
              </w:rPr>
              <w:t xml:space="preserve">sufficiency by providing interventions that support the care recipient to make the most of their own capacity and achieve their full </w:t>
            </w:r>
            <w:proofErr w:type="gramStart"/>
            <w:r w:rsidRPr="00510A17">
              <w:rPr>
                <w:rFonts w:asciiTheme="minorHAnsi" w:hAnsiTheme="minorHAnsi" w:cstheme="minorHAnsi"/>
                <w:sz w:val="18"/>
                <w:szCs w:val="18"/>
              </w:rPr>
              <w:t>potential;</w:t>
            </w:r>
            <w:proofErr w:type="gramEnd"/>
          </w:p>
          <w:p w14:paraId="28F34042"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encourages care recipients to seek support from carers and families, community groups and others to foster their independence when </w:t>
            </w:r>
            <w:proofErr w:type="gramStart"/>
            <w:r w:rsidRPr="00510A17">
              <w:rPr>
                <w:rFonts w:asciiTheme="minorHAnsi" w:hAnsiTheme="minorHAnsi" w:cstheme="minorHAnsi"/>
                <w:sz w:val="18"/>
                <w:szCs w:val="18"/>
              </w:rPr>
              <w:t>required;</w:t>
            </w:r>
            <w:proofErr w:type="gramEnd"/>
          </w:p>
          <w:p w14:paraId="16F4DBA7"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assists care recipients to achieve an optimum level of independence and wellbeing so that care needs are minimised over the longer </w:t>
            </w:r>
            <w:proofErr w:type="gramStart"/>
            <w:r w:rsidRPr="00510A17">
              <w:rPr>
                <w:rFonts w:asciiTheme="minorHAnsi" w:hAnsiTheme="minorHAnsi" w:cstheme="minorHAnsi"/>
                <w:sz w:val="18"/>
                <w:szCs w:val="18"/>
              </w:rPr>
              <w:t>term;</w:t>
            </w:r>
            <w:proofErr w:type="gramEnd"/>
          </w:p>
          <w:p w14:paraId="4A9B4792" w14:textId="64CAD194"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w:t>
            </w:r>
            <w:r w:rsidR="00094E8F" w:rsidRPr="00510A17">
              <w:rPr>
                <w:rFonts w:asciiTheme="minorHAnsi" w:hAnsiTheme="minorHAnsi" w:cstheme="minorHAnsi"/>
                <w:sz w:val="18"/>
                <w:szCs w:val="18"/>
              </w:rPr>
              <w:t>des facility-based residential transition c</w:t>
            </w:r>
            <w:r w:rsidRPr="00510A17">
              <w:rPr>
                <w:rFonts w:asciiTheme="minorHAnsi" w:hAnsiTheme="minorHAnsi" w:cstheme="minorHAnsi"/>
                <w:sz w:val="18"/>
                <w:szCs w:val="18"/>
              </w:rPr>
              <w:t>are services in a more home-like, less institutional environment. This may include:</w:t>
            </w:r>
          </w:p>
          <w:p w14:paraId="421584D4" w14:textId="78C7B628" w:rsidR="00836387" w:rsidRPr="00510A17" w:rsidRDefault="00094E8F"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a </w:t>
            </w:r>
            <w:r w:rsidR="00836387" w:rsidRPr="00510A17">
              <w:rPr>
                <w:rFonts w:asciiTheme="minorHAnsi" w:hAnsiTheme="minorHAnsi" w:cstheme="minorHAnsi"/>
                <w:sz w:val="18"/>
                <w:szCs w:val="18"/>
              </w:rPr>
              <w:t xml:space="preserve">communal living space/living room environment which is </w:t>
            </w:r>
            <w:r w:rsidR="004D0E73" w:rsidRPr="00510A17">
              <w:rPr>
                <w:rFonts w:asciiTheme="minorHAnsi" w:hAnsiTheme="minorHAnsi" w:cstheme="minorHAnsi"/>
                <w:sz w:val="18"/>
                <w:szCs w:val="18"/>
              </w:rPr>
              <w:t>separate</w:t>
            </w:r>
            <w:r w:rsidR="00836387" w:rsidRPr="00510A17">
              <w:rPr>
                <w:rFonts w:asciiTheme="minorHAnsi" w:hAnsiTheme="minorHAnsi" w:cstheme="minorHAnsi"/>
                <w:sz w:val="18"/>
                <w:szCs w:val="18"/>
              </w:rPr>
              <w:t xml:space="preserve"> from sleeping areas and the location of acute/subacute care provision, i.e. a space that encourages carers, families and visitors to spend time with care </w:t>
            </w:r>
            <w:proofErr w:type="gramStart"/>
            <w:r w:rsidR="00836387" w:rsidRPr="00510A17">
              <w:rPr>
                <w:rFonts w:asciiTheme="minorHAnsi" w:hAnsiTheme="minorHAnsi" w:cstheme="minorHAnsi"/>
                <w:sz w:val="18"/>
                <w:szCs w:val="18"/>
              </w:rPr>
              <w:t>recipients;</w:t>
            </w:r>
            <w:proofErr w:type="gramEnd"/>
          </w:p>
          <w:p w14:paraId="4E959C38"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a dining area and care recipients encouraged not to eat in </w:t>
            </w:r>
            <w:proofErr w:type="gramStart"/>
            <w:r w:rsidRPr="00510A17">
              <w:rPr>
                <w:rFonts w:asciiTheme="minorHAnsi" w:hAnsiTheme="minorHAnsi" w:cstheme="minorHAnsi"/>
                <w:sz w:val="18"/>
                <w:szCs w:val="18"/>
              </w:rPr>
              <w:t>bed;</w:t>
            </w:r>
            <w:proofErr w:type="gramEnd"/>
          </w:p>
          <w:p w14:paraId="5C96FD10"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care recipients being encouraged and supported to dress every </w:t>
            </w:r>
            <w:proofErr w:type="gramStart"/>
            <w:r w:rsidRPr="00510A17">
              <w:rPr>
                <w:rFonts w:asciiTheme="minorHAnsi" w:hAnsiTheme="minorHAnsi" w:cstheme="minorHAnsi"/>
                <w:sz w:val="18"/>
                <w:szCs w:val="18"/>
              </w:rPr>
              <w:t>day;</w:t>
            </w:r>
            <w:proofErr w:type="gramEnd"/>
          </w:p>
          <w:p w14:paraId="27773E28"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facilities for care recipients to prepare snacks for themselves and their </w:t>
            </w:r>
            <w:proofErr w:type="gramStart"/>
            <w:r w:rsidRPr="00510A17">
              <w:rPr>
                <w:rFonts w:asciiTheme="minorHAnsi" w:hAnsiTheme="minorHAnsi" w:cstheme="minorHAnsi"/>
                <w:sz w:val="18"/>
                <w:szCs w:val="18"/>
              </w:rPr>
              <w:t>visitors;</w:t>
            </w:r>
            <w:proofErr w:type="gramEnd"/>
          </w:p>
          <w:p w14:paraId="24985B3A"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privacy, particularly for personal care and bathing </w:t>
            </w:r>
            <w:proofErr w:type="gramStart"/>
            <w:r w:rsidRPr="00510A17">
              <w:rPr>
                <w:rFonts w:asciiTheme="minorHAnsi" w:hAnsiTheme="minorHAnsi" w:cstheme="minorHAnsi"/>
                <w:sz w:val="18"/>
                <w:szCs w:val="18"/>
              </w:rPr>
              <w:t>arrangements;</w:t>
            </w:r>
            <w:proofErr w:type="gramEnd"/>
          </w:p>
          <w:p w14:paraId="03F0799F"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space for care recipients to move about, especially </w:t>
            </w:r>
            <w:proofErr w:type="gramStart"/>
            <w:r w:rsidRPr="00510A17">
              <w:rPr>
                <w:rFonts w:asciiTheme="minorHAnsi" w:hAnsiTheme="minorHAnsi" w:cstheme="minorHAnsi"/>
                <w:sz w:val="18"/>
                <w:szCs w:val="18"/>
              </w:rPr>
              <w:t>outdoors;</w:t>
            </w:r>
            <w:proofErr w:type="gramEnd"/>
          </w:p>
          <w:p w14:paraId="3B76690E"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lastRenderedPageBreak/>
              <w:t xml:space="preserve">physical arrangements which support the involvement of carers and family in the therapeutic activities; and </w:t>
            </w:r>
          </w:p>
          <w:p w14:paraId="48A922F0" w14:textId="77777777" w:rsidR="00836387" w:rsidRPr="00510A17" w:rsidRDefault="00836387" w:rsidP="00762250">
            <w:pPr>
              <w:numPr>
                <w:ilvl w:val="0"/>
                <w:numId w:val="6"/>
              </w:numPr>
              <w:tabs>
                <w:tab w:val="clear" w:pos="2160"/>
              </w:tabs>
              <w:spacing w:before="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a model of care and staff knowledge that supports the intent of the </w:t>
            </w:r>
            <w:r w:rsidR="00337A7F">
              <w:rPr>
                <w:rFonts w:asciiTheme="minorHAnsi" w:hAnsiTheme="minorHAnsi" w:cstheme="minorHAnsi"/>
                <w:sz w:val="18"/>
                <w:szCs w:val="18"/>
              </w:rPr>
              <w:t>Transition Care P</w:t>
            </w:r>
            <w:r w:rsidRPr="00510A17">
              <w:rPr>
                <w:rFonts w:asciiTheme="minorHAnsi" w:hAnsiTheme="minorHAnsi" w:cstheme="minorHAnsi"/>
                <w:sz w:val="18"/>
                <w:szCs w:val="18"/>
              </w:rPr>
              <w:t>rogramme to promote the care recipient’s health and independence.</w:t>
            </w:r>
          </w:p>
          <w:p w14:paraId="1BAE3DC3" w14:textId="1898F1CF" w:rsidR="00F70447" w:rsidRPr="00510A17" w:rsidRDefault="00F70447" w:rsidP="00C12FE9">
            <w:pPr>
              <w:snapToGrid w:val="0"/>
              <w:spacing w:before="0"/>
              <w:rPr>
                <w:rFonts w:asciiTheme="minorHAnsi" w:hAnsiTheme="minorHAnsi" w:cstheme="minorHAnsi"/>
                <w:sz w:val="18"/>
                <w:szCs w:val="18"/>
              </w:rPr>
            </w:pPr>
            <w:r w:rsidRPr="00510A17">
              <w:rPr>
                <w:rFonts w:asciiTheme="minorHAnsi" w:eastAsiaTheme="majorEastAsia" w:hAnsiTheme="minorHAnsi" w:cstheme="minorHAnsi"/>
                <w:bCs/>
                <w:i/>
                <w:color w:val="000000" w:themeColor="text1"/>
                <w:sz w:val="18"/>
                <w:szCs w:val="18"/>
              </w:rPr>
              <w:t>Note: Transition care services may also be provided in rural and remote hospitals where appropriate. The requirements for a more home</w:t>
            </w:r>
            <w:r w:rsidR="00CE4A09">
              <w:rPr>
                <w:rFonts w:asciiTheme="minorHAnsi" w:eastAsiaTheme="majorEastAsia" w:hAnsiTheme="minorHAnsi" w:cstheme="minorHAnsi"/>
                <w:bCs/>
                <w:i/>
                <w:color w:val="000000" w:themeColor="text1"/>
                <w:sz w:val="18"/>
                <w:szCs w:val="18"/>
              </w:rPr>
              <w:noBreakHyphen/>
            </w:r>
            <w:r w:rsidRPr="00510A17">
              <w:rPr>
                <w:rFonts w:asciiTheme="minorHAnsi" w:eastAsiaTheme="majorEastAsia" w:hAnsiTheme="minorHAnsi" w:cstheme="minorHAnsi"/>
                <w:bCs/>
                <w:i/>
                <w:color w:val="000000" w:themeColor="text1"/>
                <w:sz w:val="18"/>
                <w:szCs w:val="18"/>
              </w:rPr>
              <w:t>like environment may be relaxed on a case</w:t>
            </w:r>
            <w:r w:rsidR="001317B6">
              <w:rPr>
                <w:rFonts w:asciiTheme="minorHAnsi" w:eastAsiaTheme="majorEastAsia" w:hAnsiTheme="minorHAnsi" w:cstheme="minorHAnsi"/>
                <w:bCs/>
                <w:i/>
                <w:color w:val="000000" w:themeColor="text1"/>
                <w:sz w:val="18"/>
                <w:szCs w:val="18"/>
              </w:rPr>
              <w:t>-</w:t>
            </w:r>
            <w:r w:rsidRPr="00510A17">
              <w:rPr>
                <w:rFonts w:asciiTheme="minorHAnsi" w:eastAsiaTheme="majorEastAsia" w:hAnsiTheme="minorHAnsi" w:cstheme="minorHAnsi"/>
                <w:bCs/>
                <w:i/>
                <w:color w:val="000000" w:themeColor="text1"/>
                <w:sz w:val="18"/>
                <w:szCs w:val="18"/>
              </w:rPr>
              <w:t>by</w:t>
            </w:r>
            <w:r w:rsidR="001317B6">
              <w:rPr>
                <w:rFonts w:asciiTheme="minorHAnsi" w:eastAsiaTheme="majorEastAsia" w:hAnsiTheme="minorHAnsi" w:cstheme="minorHAnsi"/>
                <w:bCs/>
                <w:i/>
                <w:color w:val="000000" w:themeColor="text1"/>
                <w:sz w:val="18"/>
                <w:szCs w:val="18"/>
              </w:rPr>
              <w:t>-</w:t>
            </w:r>
            <w:r w:rsidRPr="00510A17">
              <w:rPr>
                <w:rFonts w:asciiTheme="minorHAnsi" w:eastAsiaTheme="majorEastAsia" w:hAnsiTheme="minorHAnsi" w:cstheme="minorHAnsi"/>
                <w:bCs/>
                <w:i/>
                <w:color w:val="000000" w:themeColor="text1"/>
                <w:sz w:val="18"/>
                <w:szCs w:val="18"/>
              </w:rPr>
              <w:t>case basis in these locations, if relevant.</w:t>
            </w:r>
          </w:p>
        </w:tc>
      </w:tr>
      <w:tr w:rsidR="009E369B" w14:paraId="1C84CA5B" w14:textId="77777777" w:rsidTr="007E696D">
        <w:tc>
          <w:tcPr>
            <w:tcW w:w="2398" w:type="dxa"/>
            <w:shd w:val="clear" w:color="auto" w:fill="D9D9D9" w:themeFill="background1" w:themeFillShade="D9"/>
          </w:tcPr>
          <w:p w14:paraId="1554E90A" w14:textId="77777777" w:rsidR="009E369B" w:rsidRPr="00510A17" w:rsidRDefault="009B7A97" w:rsidP="00CE4A09">
            <w:pPr>
              <w:spacing w:before="0" w:after="200"/>
              <w:ind w:left="284" w:hanging="284"/>
              <w:rPr>
                <w:rFonts w:asciiTheme="minorHAnsi" w:eastAsiaTheme="majorEastAsia" w:hAnsiTheme="minorHAnsi" w:cstheme="minorHAnsi"/>
                <w:b/>
                <w:bCs/>
                <w:color w:val="000000" w:themeColor="text1"/>
                <w:sz w:val="22"/>
                <w:szCs w:val="22"/>
              </w:rPr>
            </w:pPr>
            <w:r w:rsidRPr="00510A17">
              <w:rPr>
                <w:rFonts w:asciiTheme="minorHAnsi" w:eastAsiaTheme="majorEastAsia" w:hAnsiTheme="minorHAnsi" w:cstheme="minorHAnsi"/>
                <w:b/>
                <w:bCs/>
                <w:color w:val="000000" w:themeColor="text1"/>
                <w:sz w:val="22"/>
                <w:szCs w:val="22"/>
              </w:rPr>
              <w:t>2.</w:t>
            </w:r>
            <w:r w:rsidRPr="00510A17">
              <w:rPr>
                <w:rFonts w:asciiTheme="minorHAnsi" w:eastAsiaTheme="majorEastAsia" w:hAnsiTheme="minorHAnsi" w:cstheme="minorHAnsi"/>
                <w:b/>
                <w:bCs/>
                <w:color w:val="000000" w:themeColor="text1"/>
                <w:sz w:val="22"/>
                <w:szCs w:val="22"/>
              </w:rPr>
              <w:tab/>
              <w:t>Multidisciplinary Approach and Therapy Focussed Care</w:t>
            </w:r>
          </w:p>
          <w:p w14:paraId="524792A9" w14:textId="77777777" w:rsidR="00061C36" w:rsidRPr="00E330E4" w:rsidRDefault="00061C36" w:rsidP="00E330E4">
            <w:pPr>
              <w:rPr>
                <w:rStyle w:val="Strong"/>
              </w:rPr>
            </w:pPr>
            <w:r w:rsidRPr="00E330E4">
              <w:rPr>
                <w:rStyle w:val="Strong"/>
              </w:rPr>
              <w:t>The transition care service provides its care recipients with high quality, evidence-based therapeutic services focussed on maintaining or improving function</w:t>
            </w:r>
            <w:r w:rsidR="00BB3331" w:rsidRPr="00E330E4">
              <w:rPr>
                <w:rStyle w:val="Strong"/>
              </w:rPr>
              <w:t xml:space="preserve"> in line with established goals</w:t>
            </w:r>
          </w:p>
        </w:tc>
        <w:tc>
          <w:tcPr>
            <w:tcW w:w="4433" w:type="dxa"/>
            <w:shd w:val="clear" w:color="auto" w:fill="D9D9D9" w:themeFill="background1" w:themeFillShade="D9"/>
          </w:tcPr>
          <w:p w14:paraId="1ED2452C" w14:textId="77777777" w:rsidR="009E369B" w:rsidRPr="00510A17" w:rsidRDefault="00061C36"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Assessment processes:</w:t>
            </w:r>
          </w:p>
          <w:p w14:paraId="03B4726B" w14:textId="77777777"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 xml:space="preserve">assessment of the care recipient’s transition care needs by the multidisciplinary team (MDT) at the beginning of the transition care </w:t>
            </w:r>
            <w:proofErr w:type="gramStart"/>
            <w:r w:rsidRPr="00510A17">
              <w:rPr>
                <w:rFonts w:asciiTheme="minorHAnsi" w:eastAsiaTheme="majorEastAsia" w:hAnsiTheme="minorHAnsi" w:cstheme="minorHAnsi"/>
                <w:bCs/>
                <w:color w:val="000000" w:themeColor="text1"/>
                <w:sz w:val="18"/>
                <w:szCs w:val="18"/>
              </w:rPr>
              <w:t>episode;</w:t>
            </w:r>
            <w:proofErr w:type="gramEnd"/>
          </w:p>
          <w:p w14:paraId="3C9626A6" w14:textId="77777777"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the use of validated assessment tools deemed appropriate by clinicians/therapists</w:t>
            </w:r>
            <w:proofErr w:type="gramStart"/>
            <w:r w:rsidRPr="00510A17">
              <w:rPr>
                <w:rFonts w:asciiTheme="minorHAnsi" w:eastAsiaTheme="majorEastAsia" w:hAnsiTheme="minorHAnsi" w:cstheme="minorHAnsi"/>
                <w:bCs/>
                <w:color w:val="000000" w:themeColor="text1"/>
                <w:sz w:val="18"/>
                <w:szCs w:val="18"/>
              </w:rPr>
              <w:t>*;</w:t>
            </w:r>
            <w:proofErr w:type="gramEnd"/>
          </w:p>
          <w:p w14:paraId="6755757C" w14:textId="77777777"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 xml:space="preserve">a dementia </w:t>
            </w:r>
            <w:proofErr w:type="gramStart"/>
            <w:r w:rsidRPr="00510A17">
              <w:rPr>
                <w:rFonts w:asciiTheme="minorHAnsi" w:eastAsiaTheme="majorEastAsia" w:hAnsiTheme="minorHAnsi" w:cstheme="minorHAnsi"/>
                <w:bCs/>
                <w:color w:val="000000" w:themeColor="text1"/>
                <w:sz w:val="18"/>
                <w:szCs w:val="18"/>
              </w:rPr>
              <w:t>assessment;</w:t>
            </w:r>
            <w:proofErr w:type="gramEnd"/>
          </w:p>
          <w:p w14:paraId="54890551" w14:textId="0EEBAE01"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measurement of a baseline level of functioning using validated assessment tools, and re</w:t>
            </w:r>
            <w:r w:rsidR="00CE4A09">
              <w:rPr>
                <w:rFonts w:asciiTheme="minorHAnsi" w:eastAsiaTheme="majorEastAsia" w:hAnsiTheme="minorHAnsi" w:cstheme="minorHAnsi"/>
                <w:bCs/>
                <w:color w:val="000000" w:themeColor="text1"/>
                <w:sz w:val="18"/>
                <w:szCs w:val="18"/>
              </w:rPr>
              <w:noBreakHyphen/>
            </w:r>
            <w:r w:rsidRPr="00510A17">
              <w:rPr>
                <w:rFonts w:asciiTheme="minorHAnsi" w:eastAsiaTheme="majorEastAsia" w:hAnsiTheme="minorHAnsi" w:cstheme="minorHAnsi"/>
                <w:bCs/>
                <w:color w:val="000000" w:themeColor="text1"/>
                <w:sz w:val="18"/>
                <w:szCs w:val="18"/>
              </w:rPr>
              <w:t>assessment of functional performance at pre</w:t>
            </w:r>
            <w:r w:rsidR="00CE4A09">
              <w:rPr>
                <w:rFonts w:asciiTheme="minorHAnsi" w:eastAsiaTheme="majorEastAsia" w:hAnsiTheme="minorHAnsi" w:cstheme="minorHAnsi"/>
                <w:bCs/>
                <w:color w:val="000000" w:themeColor="text1"/>
                <w:sz w:val="18"/>
                <w:szCs w:val="18"/>
              </w:rPr>
              <w:noBreakHyphen/>
            </w:r>
            <w:r w:rsidRPr="00510A17">
              <w:rPr>
                <w:rFonts w:asciiTheme="minorHAnsi" w:eastAsiaTheme="majorEastAsia" w:hAnsiTheme="minorHAnsi" w:cstheme="minorHAnsi"/>
                <w:bCs/>
                <w:color w:val="000000" w:themeColor="text1"/>
                <w:sz w:val="18"/>
                <w:szCs w:val="18"/>
              </w:rPr>
              <w:t>determined intervals; and</w:t>
            </w:r>
          </w:p>
          <w:p w14:paraId="279DC427" w14:textId="77777777" w:rsidR="00061C36" w:rsidRPr="00510A17" w:rsidRDefault="00061C36" w:rsidP="00762250">
            <w:pPr>
              <w:numPr>
                <w:ilvl w:val="0"/>
                <w:numId w:val="7"/>
              </w:numPr>
              <w:tabs>
                <w:tab w:val="clear" w:pos="717"/>
              </w:tabs>
              <w:snapToGrid w:val="0"/>
              <w:spacing w:before="0" w:after="20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evidence of discharge planning throughout the transition care episode.</w:t>
            </w:r>
          </w:p>
          <w:p w14:paraId="5A35178E" w14:textId="6AB7DE44" w:rsidR="00061C36" w:rsidRPr="00CE4A09" w:rsidRDefault="00F70447" w:rsidP="00CE4A09">
            <w:pPr>
              <w:snapToGrid w:val="0"/>
              <w:spacing w:before="0"/>
              <w:rPr>
                <w:rFonts w:asciiTheme="minorHAnsi" w:eastAsiaTheme="majorEastAsia" w:hAnsiTheme="minorHAnsi" w:cstheme="minorHAnsi"/>
                <w:bCs/>
                <w:i/>
                <w:color w:val="000000" w:themeColor="text1"/>
                <w:sz w:val="18"/>
                <w:szCs w:val="18"/>
              </w:rPr>
            </w:pPr>
            <w:r w:rsidRPr="00510A17">
              <w:rPr>
                <w:rFonts w:asciiTheme="minorHAnsi" w:eastAsiaTheme="majorEastAsia" w:hAnsiTheme="minorHAnsi" w:cstheme="minorHAnsi"/>
                <w:bCs/>
                <w:i/>
                <w:color w:val="000000" w:themeColor="text1"/>
                <w:sz w:val="18"/>
                <w:szCs w:val="18"/>
              </w:rPr>
              <w:t>*Note: The use of the Modified Barthel Index for assessments by the transition care service</w:t>
            </w:r>
            <w:r w:rsidR="00337A7F">
              <w:rPr>
                <w:rFonts w:asciiTheme="minorHAnsi" w:eastAsiaTheme="majorEastAsia" w:hAnsiTheme="minorHAnsi" w:cstheme="minorHAnsi"/>
                <w:bCs/>
                <w:i/>
                <w:color w:val="000000" w:themeColor="text1"/>
                <w:sz w:val="18"/>
                <w:szCs w:val="18"/>
              </w:rPr>
              <w:t xml:space="preserve"> at entry to and exit from the Transition C</w:t>
            </w:r>
            <w:r w:rsidRPr="00510A17">
              <w:rPr>
                <w:rFonts w:asciiTheme="minorHAnsi" w:eastAsiaTheme="majorEastAsia" w:hAnsiTheme="minorHAnsi" w:cstheme="minorHAnsi"/>
                <w:bCs/>
                <w:i/>
                <w:color w:val="000000" w:themeColor="text1"/>
                <w:sz w:val="18"/>
                <w:szCs w:val="18"/>
              </w:rPr>
              <w:t xml:space="preserve">are </w:t>
            </w:r>
            <w:r w:rsidR="00337A7F">
              <w:rPr>
                <w:rFonts w:asciiTheme="minorHAnsi" w:eastAsiaTheme="majorEastAsia" w:hAnsiTheme="minorHAnsi" w:cstheme="minorHAnsi"/>
                <w:bCs/>
                <w:i/>
                <w:color w:val="000000" w:themeColor="text1"/>
                <w:sz w:val="18"/>
                <w:szCs w:val="18"/>
              </w:rPr>
              <w:t>P</w:t>
            </w:r>
            <w:r w:rsidRPr="00510A17">
              <w:rPr>
                <w:rFonts w:asciiTheme="minorHAnsi" w:eastAsiaTheme="majorEastAsia" w:hAnsiTheme="minorHAnsi" w:cstheme="minorHAnsi"/>
                <w:bCs/>
                <w:i/>
                <w:color w:val="000000" w:themeColor="text1"/>
                <w:sz w:val="18"/>
                <w:szCs w:val="18"/>
              </w:rPr>
              <w:t>rogramme is mandatory for Australian Government subsidy payments.</w:t>
            </w:r>
          </w:p>
        </w:tc>
        <w:tc>
          <w:tcPr>
            <w:tcW w:w="4427" w:type="dxa"/>
            <w:shd w:val="clear" w:color="auto" w:fill="D9D9D9" w:themeFill="background1" w:themeFillShade="D9"/>
          </w:tcPr>
          <w:p w14:paraId="41D57D66" w14:textId="77777777" w:rsidR="009E369B" w:rsidRPr="00B20F3C" w:rsidRDefault="00061C36" w:rsidP="009E369B">
            <w:pPr>
              <w:spacing w:before="0" w:after="0"/>
              <w:rPr>
                <w:rFonts w:asciiTheme="minorHAnsi" w:eastAsiaTheme="majorEastAsia" w:hAnsiTheme="minorHAnsi" w:cstheme="minorHAnsi"/>
                <w:bCs/>
                <w:color w:val="000000" w:themeColor="text1"/>
                <w:sz w:val="18"/>
                <w:szCs w:val="18"/>
              </w:rPr>
            </w:pPr>
            <w:r w:rsidRPr="00B20F3C">
              <w:rPr>
                <w:rFonts w:asciiTheme="minorHAnsi" w:eastAsiaTheme="majorEastAsia" w:hAnsiTheme="minorHAnsi" w:cstheme="minorHAnsi"/>
                <w:bCs/>
                <w:color w:val="000000" w:themeColor="text1"/>
                <w:sz w:val="18"/>
                <w:szCs w:val="18"/>
              </w:rPr>
              <w:t>Care planning processes demonstrate that:</w:t>
            </w:r>
          </w:p>
          <w:p w14:paraId="36389197" w14:textId="1BF92501"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a goal-oriented physical and cognitive therapy programme is developed by the provider in consultation with the care recipient or representative, carer and family prior to the commencement of therapy or treatment, with input from the MDT of the transferring hospital and the </w:t>
            </w:r>
            <w:r w:rsidR="007B6F70" w:rsidRPr="00B20F3C">
              <w:rPr>
                <w:sz w:val="18"/>
                <w:szCs w:val="18"/>
              </w:rPr>
              <w:t xml:space="preserve">clinical aged care needs </w:t>
            </w:r>
            <w:proofErr w:type="gramStart"/>
            <w:r w:rsidR="007B6F70" w:rsidRPr="00B20F3C">
              <w:rPr>
                <w:sz w:val="18"/>
                <w:szCs w:val="18"/>
              </w:rPr>
              <w:t>assessor</w:t>
            </w:r>
            <w:r w:rsidRPr="00B20F3C">
              <w:rPr>
                <w:rFonts w:asciiTheme="minorHAnsi" w:hAnsiTheme="minorHAnsi" w:cstheme="minorHAnsi"/>
                <w:sz w:val="18"/>
                <w:szCs w:val="18"/>
              </w:rPr>
              <w:t>;</w:t>
            </w:r>
            <w:proofErr w:type="gramEnd"/>
          </w:p>
          <w:p w14:paraId="33361809" w14:textId="77777777"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the therapy programme duration is estimated and informs planning for the care recipient’s </w:t>
            </w:r>
            <w:proofErr w:type="gramStart"/>
            <w:r w:rsidRPr="00B20F3C">
              <w:rPr>
                <w:rFonts w:asciiTheme="minorHAnsi" w:hAnsiTheme="minorHAnsi" w:cstheme="minorHAnsi"/>
                <w:sz w:val="18"/>
                <w:szCs w:val="18"/>
              </w:rPr>
              <w:t>discharge;</w:t>
            </w:r>
            <w:proofErr w:type="gramEnd"/>
          </w:p>
          <w:p w14:paraId="3D44E45E" w14:textId="77777777"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hospital discharge information is incorporated into the initial care planning </w:t>
            </w:r>
            <w:proofErr w:type="gramStart"/>
            <w:r w:rsidRPr="00B20F3C">
              <w:rPr>
                <w:rFonts w:asciiTheme="minorHAnsi" w:hAnsiTheme="minorHAnsi" w:cstheme="minorHAnsi"/>
                <w:sz w:val="18"/>
                <w:szCs w:val="18"/>
              </w:rPr>
              <w:t>process;</w:t>
            </w:r>
            <w:proofErr w:type="gramEnd"/>
          </w:p>
          <w:p w14:paraId="16F9AE7C" w14:textId="77777777"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care provision is responsive to the identified needs and goals of the care </w:t>
            </w:r>
            <w:proofErr w:type="gramStart"/>
            <w:r w:rsidRPr="00B20F3C">
              <w:rPr>
                <w:rFonts w:asciiTheme="minorHAnsi" w:hAnsiTheme="minorHAnsi" w:cstheme="minorHAnsi"/>
                <w:sz w:val="18"/>
                <w:szCs w:val="18"/>
              </w:rPr>
              <w:t>recipient;</w:t>
            </w:r>
            <w:proofErr w:type="gramEnd"/>
          </w:p>
          <w:p w14:paraId="03A797B4" w14:textId="31418497"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physical and cognitive therapy goals agreed with the care </w:t>
            </w:r>
            <w:r w:rsidR="00F74722" w:rsidRPr="00B20F3C">
              <w:rPr>
                <w:rFonts w:asciiTheme="minorHAnsi" w:hAnsiTheme="minorHAnsi" w:cstheme="minorHAnsi"/>
                <w:sz w:val="18"/>
                <w:szCs w:val="18"/>
              </w:rPr>
              <w:t>recipient,</w:t>
            </w:r>
            <w:r w:rsidRPr="00B20F3C">
              <w:rPr>
                <w:rFonts w:asciiTheme="minorHAnsi" w:hAnsiTheme="minorHAnsi" w:cstheme="minorHAnsi"/>
                <w:sz w:val="18"/>
                <w:szCs w:val="18"/>
              </w:rPr>
              <w:t xml:space="preserve"> or their representative/carer are documented and </w:t>
            </w:r>
            <w:proofErr w:type="gramStart"/>
            <w:r w:rsidRPr="00B20F3C">
              <w:rPr>
                <w:rFonts w:asciiTheme="minorHAnsi" w:hAnsiTheme="minorHAnsi" w:cstheme="minorHAnsi"/>
                <w:sz w:val="18"/>
                <w:szCs w:val="18"/>
              </w:rPr>
              <w:t>prioritised;</w:t>
            </w:r>
            <w:proofErr w:type="gramEnd"/>
          </w:p>
          <w:p w14:paraId="4F7380E6" w14:textId="2AD6D02A"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the care recipient receives timely and appropriate access to therapy, care and equipment during the transition care episode. This is demonstrated by:</w:t>
            </w:r>
          </w:p>
          <w:p w14:paraId="1D24CD5A" w14:textId="77777777" w:rsidR="00061C36" w:rsidRPr="00B20F3C"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B20F3C">
              <w:rPr>
                <w:rFonts w:asciiTheme="minorHAnsi" w:hAnsiTheme="minorHAnsi" w:cstheme="minorHAnsi"/>
                <w:sz w:val="18"/>
                <w:szCs w:val="18"/>
              </w:rPr>
              <w:t xml:space="preserve">ensuring aids, appliances, equipment and services required for a care recipient’s therapy are provided in a timely </w:t>
            </w:r>
            <w:proofErr w:type="gramStart"/>
            <w:r w:rsidRPr="00B20F3C">
              <w:rPr>
                <w:rFonts w:asciiTheme="minorHAnsi" w:hAnsiTheme="minorHAnsi" w:cstheme="minorHAnsi"/>
                <w:sz w:val="18"/>
                <w:szCs w:val="18"/>
              </w:rPr>
              <w:t>manner;</w:t>
            </w:r>
            <w:proofErr w:type="gramEnd"/>
          </w:p>
          <w:p w14:paraId="27E6A859" w14:textId="77777777" w:rsidR="00061C36" w:rsidRPr="00B20F3C"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B20F3C">
              <w:rPr>
                <w:rFonts w:asciiTheme="minorHAnsi" w:hAnsiTheme="minorHAnsi" w:cstheme="minorHAnsi"/>
                <w:sz w:val="18"/>
                <w:szCs w:val="18"/>
              </w:rPr>
              <w:t xml:space="preserve">providing a broad range of services tailored to meet the care recipient’s therapeutic goals to improve or maintain </w:t>
            </w:r>
            <w:proofErr w:type="gramStart"/>
            <w:r w:rsidRPr="00B20F3C">
              <w:rPr>
                <w:rFonts w:asciiTheme="minorHAnsi" w:hAnsiTheme="minorHAnsi" w:cstheme="minorHAnsi"/>
                <w:sz w:val="18"/>
                <w:szCs w:val="18"/>
              </w:rPr>
              <w:t>function;</w:t>
            </w:r>
            <w:proofErr w:type="gramEnd"/>
          </w:p>
          <w:p w14:paraId="56D53014" w14:textId="77777777" w:rsidR="00061C36" w:rsidRPr="00B20F3C"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B20F3C">
              <w:rPr>
                <w:rFonts w:asciiTheme="minorHAnsi" w:hAnsiTheme="minorHAnsi" w:cstheme="minorHAnsi"/>
                <w:sz w:val="18"/>
                <w:szCs w:val="18"/>
              </w:rPr>
              <w:t xml:space="preserve">providing the care recipient with low intensity therapy from appropriately </w:t>
            </w:r>
            <w:r w:rsidRPr="00B20F3C">
              <w:rPr>
                <w:rFonts w:asciiTheme="minorHAnsi" w:hAnsiTheme="minorHAnsi" w:cstheme="minorHAnsi"/>
                <w:sz w:val="18"/>
                <w:szCs w:val="18"/>
              </w:rPr>
              <w:lastRenderedPageBreak/>
              <w:t>qualified staff to achieve their individual documented goals; and</w:t>
            </w:r>
          </w:p>
          <w:p w14:paraId="4BA24F9F" w14:textId="77777777" w:rsidR="00061C36" w:rsidRPr="00B20F3C"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B20F3C">
              <w:rPr>
                <w:rFonts w:asciiTheme="minorHAnsi" w:hAnsiTheme="minorHAnsi" w:cstheme="minorHAnsi"/>
                <w:sz w:val="18"/>
                <w:szCs w:val="18"/>
              </w:rPr>
              <w:t>actively encouraging care recipient, and/or their representative, carer and family participation in all aspects of transition care service provision.</w:t>
            </w:r>
          </w:p>
          <w:p w14:paraId="2CD5773B" w14:textId="61B6FD31"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the care recipient’s progress against therapy goals is regularly evaluated throughout their transition care episode and on exit, with changes in physical and cognitive function measured and recorded to demonstrate achievement of the care recipient’s </w:t>
            </w:r>
            <w:proofErr w:type="gramStart"/>
            <w:r w:rsidRPr="00B20F3C">
              <w:rPr>
                <w:rFonts w:asciiTheme="minorHAnsi" w:hAnsiTheme="minorHAnsi" w:cstheme="minorHAnsi"/>
                <w:sz w:val="18"/>
                <w:szCs w:val="18"/>
              </w:rPr>
              <w:t>goals;</w:t>
            </w:r>
            <w:proofErr w:type="gramEnd"/>
          </w:p>
          <w:p w14:paraId="144BDE90" w14:textId="77777777" w:rsidR="00061C36" w:rsidRPr="00B20F3C"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the care recipient’s changing needs are reflected as they move between care settings; and</w:t>
            </w:r>
          </w:p>
          <w:p w14:paraId="3DA602C5" w14:textId="77777777" w:rsidR="00061C36" w:rsidRPr="00B20F3C" w:rsidRDefault="00061C36"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B20F3C">
              <w:rPr>
                <w:rFonts w:asciiTheme="minorHAnsi" w:hAnsiTheme="minorHAnsi" w:cstheme="minorHAnsi"/>
                <w:sz w:val="18"/>
                <w:szCs w:val="18"/>
              </w:rPr>
              <w:t>care recipient goals are delivered in accordance with the care plan, using an integrated case management approach.</w:t>
            </w:r>
          </w:p>
        </w:tc>
        <w:tc>
          <w:tcPr>
            <w:tcW w:w="4436" w:type="dxa"/>
            <w:shd w:val="clear" w:color="auto" w:fill="D9D9D9" w:themeFill="background1" w:themeFillShade="D9"/>
          </w:tcPr>
          <w:p w14:paraId="24C50BD8" w14:textId="77777777" w:rsidR="009E369B" w:rsidRPr="00B20F3C" w:rsidRDefault="00BB3331" w:rsidP="009E369B">
            <w:pPr>
              <w:spacing w:before="0" w:after="0"/>
              <w:rPr>
                <w:rFonts w:asciiTheme="minorHAnsi" w:eastAsiaTheme="majorEastAsia" w:hAnsiTheme="minorHAnsi" w:cstheme="minorHAnsi"/>
                <w:bCs/>
                <w:color w:val="000000" w:themeColor="text1"/>
                <w:sz w:val="18"/>
                <w:szCs w:val="18"/>
              </w:rPr>
            </w:pPr>
            <w:r w:rsidRPr="00B20F3C">
              <w:rPr>
                <w:rFonts w:asciiTheme="minorHAnsi" w:eastAsiaTheme="majorEastAsia" w:hAnsiTheme="minorHAnsi" w:cstheme="minorHAnsi"/>
                <w:bCs/>
                <w:color w:val="000000" w:themeColor="text1"/>
                <w:sz w:val="18"/>
                <w:szCs w:val="18"/>
              </w:rPr>
              <w:lastRenderedPageBreak/>
              <w:t>The MDT approach to the planning and review of care recipient care demonstrates that:</w:t>
            </w:r>
          </w:p>
          <w:p w14:paraId="366433DD" w14:textId="0DFC9F99"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documented procedures and protocols are available to support the multidisciplinary team in the care and review of care recipients. This includes processes for communicating care recipient information to relevant health </w:t>
            </w:r>
            <w:proofErr w:type="gramStart"/>
            <w:r w:rsidRPr="00B20F3C">
              <w:rPr>
                <w:rFonts w:asciiTheme="minorHAnsi" w:hAnsiTheme="minorHAnsi" w:cstheme="minorHAnsi"/>
                <w:sz w:val="18"/>
                <w:szCs w:val="18"/>
              </w:rPr>
              <w:t>professionals;</w:t>
            </w:r>
            <w:proofErr w:type="gramEnd"/>
          </w:p>
          <w:p w14:paraId="3D266952" w14:textId="46A562E5"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care planning is carried out by members of the MDT with relevant clinical experience in goal</w:t>
            </w:r>
            <w:r w:rsidR="00CE4A09" w:rsidRPr="00B20F3C">
              <w:rPr>
                <w:rFonts w:asciiTheme="minorHAnsi" w:hAnsiTheme="minorHAnsi" w:cstheme="minorHAnsi"/>
                <w:sz w:val="18"/>
                <w:szCs w:val="18"/>
              </w:rPr>
              <w:noBreakHyphen/>
            </w:r>
            <w:r w:rsidRPr="00B20F3C">
              <w:rPr>
                <w:rFonts w:asciiTheme="minorHAnsi" w:hAnsiTheme="minorHAnsi" w:cstheme="minorHAnsi"/>
                <w:sz w:val="18"/>
                <w:szCs w:val="18"/>
              </w:rPr>
              <w:t xml:space="preserve">oriented, low intensity </w:t>
            </w:r>
            <w:proofErr w:type="gramStart"/>
            <w:r w:rsidRPr="00B20F3C">
              <w:rPr>
                <w:rFonts w:asciiTheme="minorHAnsi" w:hAnsiTheme="minorHAnsi" w:cstheme="minorHAnsi"/>
                <w:sz w:val="18"/>
                <w:szCs w:val="18"/>
              </w:rPr>
              <w:t>therapy;</w:t>
            </w:r>
            <w:proofErr w:type="gramEnd"/>
          </w:p>
          <w:p w14:paraId="05A345EF" w14:textId="51CFC435"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care plan reviews/case conferencing include those members of the MDT involved in the care recipient’s treatment and occur at predetermined </w:t>
            </w:r>
            <w:proofErr w:type="gramStart"/>
            <w:r w:rsidRPr="00B20F3C">
              <w:rPr>
                <w:rFonts w:asciiTheme="minorHAnsi" w:hAnsiTheme="minorHAnsi" w:cstheme="minorHAnsi"/>
                <w:sz w:val="18"/>
                <w:szCs w:val="18"/>
              </w:rPr>
              <w:t>intervals;</w:t>
            </w:r>
            <w:proofErr w:type="gramEnd"/>
          </w:p>
          <w:p w14:paraId="63BE9ED0" w14:textId="77777777"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care is informed by discussions with and between the relevant Geriatrician and the care recipient’s GP, where possible, and/or other appropriate medical </w:t>
            </w:r>
            <w:proofErr w:type="gramStart"/>
            <w:r w:rsidRPr="00B20F3C">
              <w:rPr>
                <w:rFonts w:asciiTheme="minorHAnsi" w:hAnsiTheme="minorHAnsi" w:cstheme="minorHAnsi"/>
                <w:sz w:val="18"/>
                <w:szCs w:val="18"/>
              </w:rPr>
              <w:t>input;</w:t>
            </w:r>
            <w:proofErr w:type="gramEnd"/>
          </w:p>
          <w:p w14:paraId="22DF8C39" w14:textId="77777777"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 xml:space="preserve">MDTs have integrated care recipient </w:t>
            </w:r>
            <w:proofErr w:type="gramStart"/>
            <w:r w:rsidRPr="00B20F3C">
              <w:rPr>
                <w:rFonts w:asciiTheme="minorHAnsi" w:hAnsiTheme="minorHAnsi" w:cstheme="minorHAnsi"/>
                <w:sz w:val="18"/>
                <w:szCs w:val="18"/>
              </w:rPr>
              <w:t>records;</w:t>
            </w:r>
            <w:proofErr w:type="gramEnd"/>
          </w:p>
          <w:p w14:paraId="75132771" w14:textId="77777777"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the MDT comprises an appropriate mix and level of staff, enabling the provision of effective care recipient services; and</w:t>
            </w:r>
          </w:p>
          <w:p w14:paraId="7ADD17DA" w14:textId="77777777" w:rsidR="00BB3331" w:rsidRPr="00B20F3C"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B20F3C">
              <w:rPr>
                <w:rFonts w:asciiTheme="minorHAnsi" w:hAnsiTheme="minorHAnsi" w:cstheme="minorHAnsi"/>
                <w:sz w:val="18"/>
                <w:szCs w:val="18"/>
              </w:rPr>
              <w:t>a coordinator/case manager is in place to oversight and promote effective MDT and inter-agency working.</w:t>
            </w:r>
          </w:p>
          <w:p w14:paraId="0EE90580" w14:textId="77777777" w:rsidR="00BB3331" w:rsidRPr="00B20F3C" w:rsidRDefault="00BB3331" w:rsidP="009E369B">
            <w:pPr>
              <w:spacing w:before="0" w:after="0"/>
              <w:rPr>
                <w:rFonts w:asciiTheme="minorHAnsi" w:eastAsiaTheme="majorEastAsia" w:hAnsiTheme="minorHAnsi" w:cstheme="minorHAnsi"/>
                <w:bCs/>
                <w:color w:val="000000" w:themeColor="text1"/>
                <w:sz w:val="18"/>
                <w:szCs w:val="18"/>
              </w:rPr>
            </w:pPr>
          </w:p>
        </w:tc>
      </w:tr>
      <w:tr w:rsidR="009E369B" w14:paraId="609482F4" w14:textId="77777777" w:rsidTr="009B7A97">
        <w:tc>
          <w:tcPr>
            <w:tcW w:w="2398" w:type="dxa"/>
          </w:tcPr>
          <w:p w14:paraId="2D53CA25" w14:textId="77777777" w:rsidR="009E369B" w:rsidRPr="00510A17" w:rsidRDefault="009B7A97" w:rsidP="00CE4A09">
            <w:pPr>
              <w:spacing w:before="0" w:after="200"/>
              <w:ind w:left="284" w:hanging="284"/>
              <w:rPr>
                <w:rFonts w:asciiTheme="minorHAnsi" w:eastAsiaTheme="majorEastAsia" w:hAnsiTheme="minorHAnsi" w:cstheme="minorHAnsi"/>
                <w:b/>
                <w:bCs/>
                <w:color w:val="000000" w:themeColor="text1"/>
                <w:sz w:val="22"/>
                <w:szCs w:val="22"/>
              </w:rPr>
            </w:pPr>
            <w:r w:rsidRPr="00510A17">
              <w:rPr>
                <w:rFonts w:asciiTheme="minorHAnsi" w:eastAsiaTheme="majorEastAsia" w:hAnsiTheme="minorHAnsi" w:cstheme="minorHAnsi"/>
                <w:b/>
                <w:bCs/>
                <w:color w:val="000000" w:themeColor="text1"/>
                <w:sz w:val="22"/>
                <w:szCs w:val="22"/>
              </w:rPr>
              <w:t>3.</w:t>
            </w:r>
            <w:r w:rsidRPr="00510A17">
              <w:rPr>
                <w:rFonts w:asciiTheme="minorHAnsi" w:eastAsiaTheme="majorEastAsia" w:hAnsiTheme="minorHAnsi" w:cstheme="minorHAnsi"/>
                <w:b/>
                <w:bCs/>
                <w:color w:val="000000" w:themeColor="text1"/>
                <w:sz w:val="22"/>
                <w:szCs w:val="22"/>
              </w:rPr>
              <w:tab/>
              <w:t>Seamless Care</w:t>
            </w:r>
          </w:p>
          <w:p w14:paraId="2CF37DEE" w14:textId="16B349F2" w:rsidR="00BB3331" w:rsidRPr="00E330E4" w:rsidRDefault="00BB3331" w:rsidP="00E330E4">
            <w:pPr>
              <w:rPr>
                <w:rStyle w:val="Strong"/>
              </w:rPr>
            </w:pPr>
            <w:r w:rsidRPr="00E330E4">
              <w:rPr>
                <w:rStyle w:val="Strong"/>
              </w:rPr>
              <w:t>The transition care service uses a collaborative service delivery model that delivers seamless care</w:t>
            </w:r>
          </w:p>
        </w:tc>
        <w:tc>
          <w:tcPr>
            <w:tcW w:w="4433" w:type="dxa"/>
          </w:tcPr>
          <w:p w14:paraId="1432E044" w14:textId="77777777" w:rsidR="009E369B" w:rsidRPr="00510A17" w:rsidRDefault="00BB3331"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Assessment processes:</w:t>
            </w:r>
          </w:p>
          <w:p w14:paraId="7ED24B25"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lang w:val="en-US"/>
              </w:rPr>
              <w:t>f</w:t>
            </w:r>
            <w:proofErr w:type="spellStart"/>
            <w:r w:rsidRPr="00510A17">
              <w:rPr>
                <w:rFonts w:asciiTheme="minorHAnsi" w:hAnsiTheme="minorHAnsi" w:cstheme="minorHAnsi"/>
                <w:sz w:val="18"/>
                <w:szCs w:val="18"/>
              </w:rPr>
              <w:t>ollow</w:t>
            </w:r>
            <w:proofErr w:type="spellEnd"/>
            <w:r w:rsidRPr="00510A17">
              <w:rPr>
                <w:rFonts w:asciiTheme="minorHAnsi" w:hAnsiTheme="minorHAnsi" w:cstheme="minorHAnsi"/>
                <w:sz w:val="18"/>
                <w:szCs w:val="18"/>
              </w:rPr>
              <w:t xml:space="preserve"> agreed protocols for the effective transfer of care recipient information between primary, community, acute and aged care </w:t>
            </w:r>
            <w:proofErr w:type="gramStart"/>
            <w:r w:rsidRPr="00510A17">
              <w:rPr>
                <w:rFonts w:asciiTheme="minorHAnsi" w:hAnsiTheme="minorHAnsi" w:cstheme="minorHAnsi"/>
                <w:sz w:val="18"/>
                <w:szCs w:val="18"/>
              </w:rPr>
              <w:t>services;</w:t>
            </w:r>
            <w:proofErr w:type="gramEnd"/>
          </w:p>
          <w:p w14:paraId="6499BE5B" w14:textId="400D5CAC"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recognise and incorporate hospital assessment, care planning and discharge arrangements, including </w:t>
            </w:r>
            <w:r w:rsidR="00A17842">
              <w:rPr>
                <w:rFonts w:asciiTheme="minorHAnsi" w:hAnsiTheme="minorHAnsi" w:cstheme="minorHAnsi"/>
                <w:sz w:val="18"/>
                <w:szCs w:val="18"/>
              </w:rPr>
              <w:t xml:space="preserve">an aged care needs </w:t>
            </w:r>
            <w:r w:rsidRPr="00510A17">
              <w:rPr>
                <w:rFonts w:asciiTheme="minorHAnsi" w:hAnsiTheme="minorHAnsi" w:cstheme="minorHAnsi"/>
                <w:sz w:val="18"/>
                <w:szCs w:val="18"/>
              </w:rPr>
              <w:t xml:space="preserve">assessment and approval </w:t>
            </w:r>
            <w:proofErr w:type="gramStart"/>
            <w:r w:rsidRPr="00510A17">
              <w:rPr>
                <w:rFonts w:asciiTheme="minorHAnsi" w:hAnsiTheme="minorHAnsi" w:cstheme="minorHAnsi"/>
                <w:sz w:val="18"/>
                <w:szCs w:val="18"/>
              </w:rPr>
              <w:t>recommendations;</w:t>
            </w:r>
            <w:proofErr w:type="gramEnd"/>
          </w:p>
          <w:p w14:paraId="792882E5"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enable staff of the receiving transition care service to meet and assess the care recipient’s care needs and the transition care service’s ability to meet these care needs prior to the care recipient’s admission into the service, where possible; and</w:t>
            </w:r>
          </w:p>
          <w:p w14:paraId="2232833B"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lang w:val="en-US"/>
              </w:rPr>
            </w:pPr>
            <w:r w:rsidRPr="00510A17">
              <w:rPr>
                <w:rFonts w:asciiTheme="minorHAnsi" w:hAnsiTheme="minorHAnsi" w:cstheme="minorHAnsi"/>
                <w:sz w:val="18"/>
                <w:szCs w:val="18"/>
              </w:rPr>
              <w:t>provide for a verbal as well as a written handover of care recipient information and status whenever the care recipient moves between or within services, where practical.</w:t>
            </w:r>
          </w:p>
        </w:tc>
        <w:tc>
          <w:tcPr>
            <w:tcW w:w="4427" w:type="dxa"/>
          </w:tcPr>
          <w:p w14:paraId="06E1219D" w14:textId="77777777" w:rsidR="009E369B" w:rsidRPr="00510A17" w:rsidRDefault="00BB3331"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The transition care service works within an integrated system of care with other organisations by:</w:t>
            </w:r>
          </w:p>
          <w:p w14:paraId="05D339D6" w14:textId="3F84B16F"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lang w:val="en-US"/>
              </w:rPr>
              <w:t xml:space="preserve">establishing relationships and </w:t>
            </w:r>
            <w:r w:rsidRPr="00510A17">
              <w:rPr>
                <w:rFonts w:asciiTheme="minorHAnsi" w:hAnsiTheme="minorHAnsi" w:cstheme="minorHAnsi"/>
                <w:sz w:val="18"/>
                <w:szCs w:val="18"/>
              </w:rPr>
              <w:t xml:space="preserve">communication strategies that govern collaboration between acute/subacute, </w:t>
            </w:r>
            <w:r w:rsidR="00823605" w:rsidRPr="00510A17">
              <w:rPr>
                <w:rFonts w:asciiTheme="minorHAnsi" w:hAnsiTheme="minorHAnsi" w:cstheme="minorHAnsi"/>
                <w:sz w:val="18"/>
                <w:szCs w:val="18"/>
              </w:rPr>
              <w:t>aged,</w:t>
            </w:r>
            <w:r w:rsidRPr="00510A17">
              <w:rPr>
                <w:rFonts w:asciiTheme="minorHAnsi" w:hAnsiTheme="minorHAnsi" w:cstheme="minorHAnsi"/>
                <w:sz w:val="18"/>
                <w:szCs w:val="18"/>
              </w:rPr>
              <w:t xml:space="preserve"> and primary care services, promoting a clear understanding of each other’s roles, </w:t>
            </w:r>
            <w:r w:rsidR="00823605" w:rsidRPr="00510A17">
              <w:rPr>
                <w:rFonts w:asciiTheme="minorHAnsi" w:hAnsiTheme="minorHAnsi" w:cstheme="minorHAnsi"/>
                <w:sz w:val="18"/>
                <w:szCs w:val="18"/>
              </w:rPr>
              <w:t>responsibilities,</w:t>
            </w:r>
            <w:r w:rsidRPr="00510A17">
              <w:rPr>
                <w:rFonts w:asciiTheme="minorHAnsi" w:hAnsiTheme="minorHAnsi" w:cstheme="minorHAnsi"/>
                <w:sz w:val="18"/>
                <w:szCs w:val="18"/>
              </w:rPr>
              <w:t xml:space="preserve"> and admission </w:t>
            </w:r>
            <w:proofErr w:type="gramStart"/>
            <w:r w:rsidRPr="00510A17">
              <w:rPr>
                <w:rFonts w:asciiTheme="minorHAnsi" w:hAnsiTheme="minorHAnsi" w:cstheme="minorHAnsi"/>
                <w:sz w:val="18"/>
                <w:szCs w:val="18"/>
              </w:rPr>
              <w:t>criteria;</w:t>
            </w:r>
            <w:proofErr w:type="gramEnd"/>
          </w:p>
          <w:p w14:paraId="135E8A41"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establishing systems for the secure, timely and effective transfer of transition care, care recipient information between service </w:t>
            </w:r>
            <w:proofErr w:type="gramStart"/>
            <w:r w:rsidRPr="00510A17">
              <w:rPr>
                <w:rFonts w:asciiTheme="minorHAnsi" w:hAnsiTheme="minorHAnsi" w:cstheme="minorHAnsi"/>
                <w:sz w:val="18"/>
                <w:szCs w:val="18"/>
              </w:rPr>
              <w:t>providers;</w:t>
            </w:r>
            <w:proofErr w:type="gramEnd"/>
          </w:p>
          <w:p w14:paraId="2CEAAC57"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strengthening partnerships with GPs and other transition care support </w:t>
            </w:r>
            <w:proofErr w:type="gramStart"/>
            <w:r w:rsidRPr="00510A17">
              <w:rPr>
                <w:rFonts w:asciiTheme="minorHAnsi" w:hAnsiTheme="minorHAnsi" w:cstheme="minorHAnsi"/>
                <w:sz w:val="18"/>
                <w:szCs w:val="18"/>
              </w:rPr>
              <w:t>services;</w:t>
            </w:r>
            <w:proofErr w:type="gramEnd"/>
          </w:p>
          <w:p w14:paraId="41E25F72"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facilitating effective interagency case </w:t>
            </w:r>
            <w:proofErr w:type="gramStart"/>
            <w:r w:rsidRPr="00510A17">
              <w:rPr>
                <w:rFonts w:asciiTheme="minorHAnsi" w:hAnsiTheme="minorHAnsi" w:cstheme="minorHAnsi"/>
                <w:sz w:val="18"/>
                <w:szCs w:val="18"/>
              </w:rPr>
              <w:t>conferences;</w:t>
            </w:r>
            <w:proofErr w:type="gramEnd"/>
          </w:p>
          <w:p w14:paraId="24746A17" w14:textId="29E2FFAC"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facilitating the care recipient’s entry to and exit from transition care so that the care recipient experiences a seamless </w:t>
            </w:r>
            <w:proofErr w:type="gramStart"/>
            <w:r w:rsidRPr="00510A17">
              <w:rPr>
                <w:rFonts w:asciiTheme="minorHAnsi" w:hAnsiTheme="minorHAnsi" w:cstheme="minorHAnsi"/>
                <w:sz w:val="18"/>
                <w:szCs w:val="18"/>
              </w:rPr>
              <w:t>move;</w:t>
            </w:r>
            <w:proofErr w:type="gramEnd"/>
          </w:p>
          <w:p w14:paraId="2116A762"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effectively coordinating the care recipient’s needs and goals between </w:t>
            </w:r>
            <w:proofErr w:type="gramStart"/>
            <w:r w:rsidRPr="00510A17">
              <w:rPr>
                <w:rFonts w:asciiTheme="minorHAnsi" w:hAnsiTheme="minorHAnsi" w:cstheme="minorHAnsi"/>
                <w:sz w:val="18"/>
                <w:szCs w:val="18"/>
              </w:rPr>
              <w:t>services;</w:t>
            </w:r>
            <w:proofErr w:type="gramEnd"/>
          </w:p>
          <w:p w14:paraId="7D2028D3"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keeping the care recipient and/or their representative well informed prior to moving to a new </w:t>
            </w:r>
            <w:proofErr w:type="gramStart"/>
            <w:r w:rsidRPr="00510A17">
              <w:rPr>
                <w:rFonts w:asciiTheme="minorHAnsi" w:hAnsiTheme="minorHAnsi" w:cstheme="minorHAnsi"/>
                <w:sz w:val="18"/>
                <w:szCs w:val="18"/>
              </w:rPr>
              <w:t>service;</w:t>
            </w:r>
            <w:proofErr w:type="gramEnd"/>
          </w:p>
          <w:p w14:paraId="55CB18C4"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lastRenderedPageBreak/>
              <w:t>facilitating education, training, networking and support across sectors and service boundaries in the broader health and aged care community where appropriate; and</w:t>
            </w:r>
          </w:p>
          <w:p w14:paraId="6B82099E" w14:textId="77777777" w:rsidR="00BB3331" w:rsidRPr="00510A17" w:rsidRDefault="00BB3331"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facilitating access to ongoing care and service provision post discharge from the programme, as required.</w:t>
            </w:r>
          </w:p>
        </w:tc>
        <w:tc>
          <w:tcPr>
            <w:tcW w:w="4436" w:type="dxa"/>
          </w:tcPr>
          <w:p w14:paraId="76B7DA3F" w14:textId="77777777" w:rsidR="009E369B" w:rsidRPr="00510A17" w:rsidRDefault="007E696D"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lastRenderedPageBreak/>
              <w:t>The transition care service develops systems for the safe discharge of care recipients that help prevent re-admission, including:</w:t>
            </w:r>
          </w:p>
          <w:p w14:paraId="063C99CD" w14:textId="77777777" w:rsidR="007E696D" w:rsidRPr="00510A17" w:rsidRDefault="007E696D"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providing transition care service discharge plan information to any subsequent care organisation; and</w:t>
            </w:r>
          </w:p>
          <w:p w14:paraId="5DE50B23" w14:textId="77777777" w:rsidR="007E696D" w:rsidRPr="00510A17" w:rsidRDefault="007E696D"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providing appropriate discharge documentation to the care recipient, specifying:</w:t>
            </w:r>
          </w:p>
          <w:p w14:paraId="36E92A5D"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length of stay in transition </w:t>
            </w:r>
            <w:proofErr w:type="gramStart"/>
            <w:r w:rsidRPr="00510A17">
              <w:rPr>
                <w:rFonts w:asciiTheme="minorHAnsi" w:hAnsiTheme="minorHAnsi" w:cstheme="minorHAnsi"/>
                <w:sz w:val="18"/>
                <w:szCs w:val="18"/>
              </w:rPr>
              <w:t>care;</w:t>
            </w:r>
            <w:proofErr w:type="gramEnd"/>
          </w:p>
          <w:p w14:paraId="2A0AF3CC"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destination post transition </w:t>
            </w:r>
            <w:proofErr w:type="gramStart"/>
            <w:r w:rsidRPr="00510A17">
              <w:rPr>
                <w:rFonts w:asciiTheme="minorHAnsi" w:hAnsiTheme="minorHAnsi" w:cstheme="minorHAnsi"/>
                <w:sz w:val="18"/>
                <w:szCs w:val="18"/>
              </w:rPr>
              <w:t>care;</w:t>
            </w:r>
            <w:proofErr w:type="gramEnd"/>
          </w:p>
          <w:p w14:paraId="0137B3ED"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goals which care recipient agrees have been achieved or not achieved (with reasons for non-achievement</w:t>
            </w:r>
            <w:proofErr w:type="gramStart"/>
            <w:r w:rsidRPr="00510A17">
              <w:rPr>
                <w:rFonts w:asciiTheme="minorHAnsi" w:hAnsiTheme="minorHAnsi" w:cstheme="minorHAnsi"/>
                <w:sz w:val="18"/>
                <w:szCs w:val="18"/>
              </w:rPr>
              <w:t>);</w:t>
            </w:r>
            <w:proofErr w:type="gramEnd"/>
          </w:p>
          <w:p w14:paraId="50FE4444"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care recipient physical and cognitive functional levels on discharge from transition care, assessed using the same validated instrument used on </w:t>
            </w:r>
            <w:proofErr w:type="gramStart"/>
            <w:r w:rsidRPr="00510A17">
              <w:rPr>
                <w:rFonts w:asciiTheme="minorHAnsi" w:hAnsiTheme="minorHAnsi" w:cstheme="minorHAnsi"/>
                <w:sz w:val="18"/>
                <w:szCs w:val="18"/>
              </w:rPr>
              <w:t>admission;</w:t>
            </w:r>
            <w:proofErr w:type="gramEnd"/>
          </w:p>
          <w:p w14:paraId="458DD53F"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care recipient and/or representative, carer and family education and support to improve functioning following </w:t>
            </w:r>
            <w:proofErr w:type="gramStart"/>
            <w:r w:rsidRPr="00510A17">
              <w:rPr>
                <w:rFonts w:asciiTheme="minorHAnsi" w:hAnsiTheme="minorHAnsi" w:cstheme="minorHAnsi"/>
                <w:sz w:val="18"/>
                <w:szCs w:val="18"/>
              </w:rPr>
              <w:t>discharge;</w:t>
            </w:r>
            <w:proofErr w:type="gramEnd"/>
          </w:p>
          <w:p w14:paraId="6D3AB072"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where appropriate all services and equipment to be provided to the care recipient on discharge from transition care, with key supplier contact </w:t>
            </w:r>
            <w:proofErr w:type="gramStart"/>
            <w:r w:rsidRPr="00510A17">
              <w:rPr>
                <w:rFonts w:asciiTheme="minorHAnsi" w:hAnsiTheme="minorHAnsi" w:cstheme="minorHAnsi"/>
                <w:sz w:val="18"/>
                <w:szCs w:val="18"/>
              </w:rPr>
              <w:t>details;</w:t>
            </w:r>
            <w:proofErr w:type="gramEnd"/>
          </w:p>
          <w:p w14:paraId="7F8FE817"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lastRenderedPageBreak/>
              <w:t>an up-to-date list of prescribed discharge medications; and</w:t>
            </w:r>
          </w:p>
          <w:p w14:paraId="4EC7C319" w14:textId="77777777" w:rsidR="007E696D" w:rsidRPr="00510A17" w:rsidRDefault="007E696D" w:rsidP="00762250">
            <w:pPr>
              <w:numPr>
                <w:ilvl w:val="0"/>
                <w:numId w:val="6"/>
              </w:numPr>
              <w:tabs>
                <w:tab w:val="clear" w:pos="2160"/>
              </w:tabs>
              <w:spacing w:before="0"/>
              <w:ind w:left="568" w:hanging="284"/>
              <w:rPr>
                <w:rFonts w:asciiTheme="minorHAnsi" w:hAnsiTheme="minorHAnsi" w:cstheme="minorHAnsi"/>
                <w:sz w:val="18"/>
                <w:szCs w:val="18"/>
              </w:rPr>
            </w:pPr>
            <w:r w:rsidRPr="00510A17">
              <w:rPr>
                <w:rFonts w:asciiTheme="minorHAnsi" w:hAnsiTheme="minorHAnsi" w:cstheme="minorHAnsi"/>
                <w:sz w:val="18"/>
                <w:szCs w:val="18"/>
              </w:rPr>
              <w:t>other follow-up arrangements/referrals such as information for the care recipient’s GP, which are the responsibility of the care recipient and/or their representative.</w:t>
            </w:r>
          </w:p>
        </w:tc>
      </w:tr>
    </w:tbl>
    <w:p w14:paraId="47F2B966" w14:textId="77777777" w:rsidR="00C6193D" w:rsidRPr="00DF7B75" w:rsidRDefault="00C6193D" w:rsidP="00DF7B75">
      <w:pPr>
        <w:rPr>
          <w:rFonts w:eastAsiaTheme="majorEastAsia"/>
        </w:rPr>
      </w:pPr>
    </w:p>
    <w:p w14:paraId="45BF5EB6" w14:textId="77777777" w:rsidR="00C6193D" w:rsidRDefault="00C6193D">
      <w:pPr>
        <w:spacing w:before="0" w:after="200" w:line="276" w:lineRule="auto"/>
        <w:rPr>
          <w:rFonts w:ascii="Georgia" w:eastAsiaTheme="majorEastAsia" w:hAnsi="Georgia" w:cstheme="majorBidi"/>
          <w:bCs/>
          <w:color w:val="24596E"/>
          <w:sz w:val="36"/>
          <w:szCs w:val="28"/>
        </w:rPr>
        <w:sectPr w:rsidR="00C6193D" w:rsidSect="00292208">
          <w:pgSz w:w="16838" w:h="11906" w:orient="landscape"/>
          <w:pgMar w:top="851" w:right="567" w:bottom="851" w:left="567" w:header="284" w:footer="340" w:gutter="0"/>
          <w:pgNumType w:start="53"/>
          <w:cols w:space="708"/>
          <w:docGrid w:linePitch="360"/>
        </w:sectPr>
      </w:pPr>
    </w:p>
    <w:p w14:paraId="59A15218" w14:textId="77125155" w:rsidR="00605BA0" w:rsidRPr="00D10506" w:rsidRDefault="00605BA0" w:rsidP="00D0331A">
      <w:pPr>
        <w:pStyle w:val="Heading1"/>
        <w:numPr>
          <w:ilvl w:val="0"/>
          <w:numId w:val="0"/>
        </w:numPr>
        <w:spacing w:before="120"/>
        <w:ind w:left="432" w:hanging="432"/>
      </w:pPr>
      <w:bookmarkStart w:id="478" w:name="_Toc395537225"/>
      <w:bookmarkStart w:id="479" w:name="_Toc422732581"/>
      <w:bookmarkStart w:id="480" w:name="_Toc422752921"/>
      <w:bookmarkStart w:id="481" w:name="_Toc197076961"/>
      <w:bookmarkEnd w:id="471"/>
      <w:r w:rsidRPr="00D10506">
        <w:lastRenderedPageBreak/>
        <w:t>GLOSSARY</w:t>
      </w:r>
      <w:bookmarkEnd w:id="478"/>
      <w:bookmarkEnd w:id="479"/>
      <w:bookmarkEnd w:id="480"/>
      <w:bookmarkEnd w:id="481"/>
    </w:p>
    <w:tbl>
      <w:tblPr>
        <w:tblStyle w:val="TableGrid"/>
        <w:tblW w:w="9811" w:type="dxa"/>
        <w:tblBorders>
          <w:insideH w:val="none" w:sz="0" w:space="0" w:color="auto"/>
          <w:insideV w:val="none" w:sz="0" w:space="0" w:color="auto"/>
        </w:tblBorders>
        <w:tblLayout w:type="fixed"/>
        <w:tblLook w:val="04A0" w:firstRow="1" w:lastRow="0" w:firstColumn="1" w:lastColumn="0" w:noHBand="0" w:noVBand="1"/>
        <w:tblDescription w:val="This table is the glossary terms and meanings."/>
      </w:tblPr>
      <w:tblGrid>
        <w:gridCol w:w="2547"/>
        <w:gridCol w:w="7264"/>
      </w:tblGrid>
      <w:tr w:rsidR="00605BA0" w:rsidRPr="00C82C51" w14:paraId="5034C23C" w14:textId="77777777" w:rsidTr="00721B9E">
        <w:trPr>
          <w:cnfStyle w:val="100000000000" w:firstRow="1" w:lastRow="0" w:firstColumn="0" w:lastColumn="0" w:oddVBand="0" w:evenVBand="0" w:oddHBand="0" w:evenHBand="0" w:firstRowFirstColumn="0" w:firstRowLastColumn="0" w:lastRowFirstColumn="0" w:lastRowLastColumn="0"/>
          <w:tblHeader/>
        </w:trPr>
        <w:tc>
          <w:tcPr>
            <w:tcW w:w="2547" w:type="dxa"/>
            <w:tcBorders>
              <w:bottom w:val="nil"/>
            </w:tcBorders>
            <w:shd w:val="clear" w:color="auto" w:fill="500778"/>
          </w:tcPr>
          <w:p w14:paraId="1CD744BA"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Term</w:t>
            </w:r>
          </w:p>
        </w:tc>
        <w:tc>
          <w:tcPr>
            <w:tcW w:w="7264" w:type="dxa"/>
            <w:tcBorders>
              <w:bottom w:val="nil"/>
            </w:tcBorders>
            <w:shd w:val="clear" w:color="auto" w:fill="500778"/>
          </w:tcPr>
          <w:p w14:paraId="09745D87"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Meaning</w:t>
            </w:r>
          </w:p>
        </w:tc>
      </w:tr>
      <w:tr w:rsidR="00007ABB" w:rsidRPr="00C82C51" w14:paraId="4774E6E7" w14:textId="77777777" w:rsidTr="005974C0">
        <w:tc>
          <w:tcPr>
            <w:tcW w:w="2547" w:type="dxa"/>
            <w:tcBorders>
              <w:top w:val="nil"/>
              <w:bottom w:val="single" w:sz="4" w:space="0" w:color="auto"/>
            </w:tcBorders>
            <w:shd w:val="clear" w:color="auto" w:fill="FFFFFF" w:themeFill="background1"/>
          </w:tcPr>
          <w:p w14:paraId="130C487F" w14:textId="29F962C6" w:rsidR="00DA4935" w:rsidRPr="00374CA9" w:rsidRDefault="00DA4935" w:rsidP="00DA4935">
            <w:pPr>
              <w:spacing w:before="0" w:after="60"/>
              <w:rPr>
                <w:rFonts w:asciiTheme="minorHAnsi" w:hAnsiTheme="minorHAnsi" w:cstheme="minorHAnsi"/>
                <w:bCs/>
                <w:szCs w:val="20"/>
              </w:rPr>
            </w:pPr>
            <w:r w:rsidRPr="00374CA9">
              <w:rPr>
                <w:rFonts w:cstheme="minorHAnsi"/>
                <w:szCs w:val="20"/>
              </w:rPr>
              <w:t>A</w:t>
            </w:r>
            <w:r w:rsidR="00EB2C1D" w:rsidRPr="00390397">
              <w:rPr>
                <w:rFonts w:cstheme="minorHAnsi"/>
                <w:szCs w:val="20"/>
              </w:rPr>
              <w:t>ssess</w:t>
            </w:r>
            <w:r w:rsidR="000C180B" w:rsidRPr="00390397">
              <w:rPr>
                <w:rFonts w:cstheme="minorHAnsi"/>
                <w:szCs w:val="20"/>
              </w:rPr>
              <w:t>ment organisation</w:t>
            </w:r>
          </w:p>
        </w:tc>
        <w:tc>
          <w:tcPr>
            <w:tcW w:w="7264" w:type="dxa"/>
            <w:tcBorders>
              <w:top w:val="nil"/>
              <w:bottom w:val="single" w:sz="4" w:space="0" w:color="auto"/>
            </w:tcBorders>
            <w:shd w:val="clear" w:color="auto" w:fill="FFFFFF" w:themeFill="background1"/>
          </w:tcPr>
          <w:p w14:paraId="5A6CA716" w14:textId="08CCD85F" w:rsidR="008C287A" w:rsidRDefault="007E594A" w:rsidP="0075230E">
            <w:pPr>
              <w:pStyle w:val="TableofFigures"/>
            </w:pPr>
            <w:r w:rsidRPr="00390397">
              <w:t xml:space="preserve">Assessment organisations </w:t>
            </w:r>
            <w:r w:rsidR="00876F27" w:rsidRPr="00374CA9">
              <w:t>are teams of health professionals</w:t>
            </w:r>
            <w:r w:rsidR="00834D1A" w:rsidRPr="00390397">
              <w:t xml:space="preserve"> (</w:t>
            </w:r>
            <w:r w:rsidR="00075002">
              <w:t>clinical aged care needs assessor</w:t>
            </w:r>
            <w:r w:rsidR="00834D1A" w:rsidRPr="00390397">
              <w:t>)</w:t>
            </w:r>
            <w:r w:rsidR="00876F27" w:rsidRPr="00374CA9">
              <w:t xml:space="preserve"> who conduct comprehensive face-to-face assessments of older people who have complex aged care needs. A</w:t>
            </w:r>
            <w:r w:rsidR="001374EE" w:rsidRPr="00390397">
              <w:t xml:space="preserve">ged care assessors </w:t>
            </w:r>
            <w:r w:rsidR="00876F27" w:rsidRPr="00374CA9">
              <w:t xml:space="preserve">can </w:t>
            </w:r>
            <w:r w:rsidR="00C42DE3">
              <w:t>recommend</w:t>
            </w:r>
            <w:r w:rsidR="00876F27" w:rsidRPr="00374CA9">
              <w:t xml:space="preserve"> older people to access </w:t>
            </w:r>
            <w:r w:rsidR="00C42DE3">
              <w:t>transition care</w:t>
            </w:r>
            <w:r w:rsidR="00876F27" w:rsidRPr="00374CA9">
              <w:t xml:space="preserve">. </w:t>
            </w:r>
          </w:p>
          <w:p w14:paraId="51DFF4B9" w14:textId="0DEB359B" w:rsidR="002C28A6" w:rsidRPr="002C28A6" w:rsidRDefault="00260EAC" w:rsidP="0075230E">
            <w:pPr>
              <w:pStyle w:val="TableofFigures"/>
            </w:pPr>
            <w:r w:rsidRPr="00374CA9">
              <w:t>A</w:t>
            </w:r>
            <w:r w:rsidR="00876F27" w:rsidRPr="00374CA9">
              <w:t xml:space="preserve"> </w:t>
            </w:r>
            <w:r w:rsidR="00C42DE3">
              <w:t>clinical aged care needs assessor</w:t>
            </w:r>
            <w:r w:rsidR="00876F27" w:rsidRPr="00374CA9">
              <w:t xml:space="preserve"> may include</w:t>
            </w:r>
            <w:r w:rsidR="00356E15">
              <w:t xml:space="preserve"> </w:t>
            </w:r>
            <w:r w:rsidR="002C28A6" w:rsidRPr="003D192B">
              <w:t>the treating physician, a registered nurse, occupational therapist, physiotherapist, social worker or a health professional from another allied health discipline), as well as carers, representatives or family members as appropriate</w:t>
            </w:r>
          </w:p>
          <w:p w14:paraId="302CF30C" w14:textId="2167FF85" w:rsidR="00876F27" w:rsidRPr="00374CA9" w:rsidRDefault="00BD7282" w:rsidP="00974FFC">
            <w:hyperlink r:id="rId66" w:history="1">
              <w:r>
                <w:rPr>
                  <w:color w:val="0000FF"/>
                  <w:u w:val="single"/>
                </w:rPr>
                <w:t xml:space="preserve">My Aged Care Assessment Manual 2024 </w:t>
              </w:r>
            </w:hyperlink>
          </w:p>
        </w:tc>
      </w:tr>
      <w:tr w:rsidR="00007ABB" w:rsidRPr="00C82C51" w14:paraId="287316CD" w14:textId="77777777" w:rsidTr="004A5202">
        <w:tc>
          <w:tcPr>
            <w:tcW w:w="2547" w:type="dxa"/>
            <w:tcBorders>
              <w:top w:val="single" w:sz="4" w:space="0" w:color="auto"/>
              <w:bottom w:val="single" w:sz="4" w:space="0" w:color="auto"/>
            </w:tcBorders>
            <w:shd w:val="clear" w:color="auto" w:fill="D9D9D9" w:themeFill="background1" w:themeFillShade="D9"/>
          </w:tcPr>
          <w:p w14:paraId="6ACB1A0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ACUTE CARE</w:t>
            </w:r>
          </w:p>
        </w:tc>
        <w:tc>
          <w:tcPr>
            <w:tcW w:w="7264" w:type="dxa"/>
            <w:tcBorders>
              <w:top w:val="single" w:sz="4" w:space="0" w:color="auto"/>
              <w:bottom w:val="single" w:sz="4" w:space="0" w:color="auto"/>
            </w:tcBorders>
            <w:shd w:val="clear" w:color="auto" w:fill="D9D9D9" w:themeFill="background1" w:themeFillShade="D9"/>
          </w:tcPr>
          <w:p w14:paraId="0CB3B21B" w14:textId="5A4528F6" w:rsidR="00605BA0" w:rsidRPr="00F746B2" w:rsidRDefault="00943CC2" w:rsidP="00781B94">
            <w:pPr>
              <w:pStyle w:val="TableofFigures"/>
            </w:pPr>
            <w:r>
              <w:t>Acute c</w:t>
            </w:r>
            <w:r w:rsidR="00605BA0" w:rsidRPr="00F746B2">
              <w:t>are in the context of transition care is care</w:t>
            </w:r>
            <w:r w:rsidR="00751A8A">
              <w:t xml:space="preserve"> provided to hospital in</w:t>
            </w:r>
            <w:r w:rsidR="00165930">
              <w:noBreakHyphen/>
            </w:r>
            <w:r w:rsidR="00751A8A">
              <w:t>patients</w:t>
            </w:r>
            <w:r w:rsidR="00605BA0" w:rsidRPr="00F746B2">
              <w:t xml:space="preserve"> </w:t>
            </w:r>
            <w:r w:rsidR="00876F27">
              <w:t>where</w:t>
            </w:r>
            <w:r w:rsidR="00605BA0" w:rsidRPr="00F746B2">
              <w:t xml:space="preserve"> the clinical intent or treatment goal is to:</w:t>
            </w:r>
          </w:p>
          <w:p w14:paraId="64C464A3" w14:textId="77777777" w:rsidR="00605BA0" w:rsidRPr="00F746B2" w:rsidRDefault="00605BA0" w:rsidP="0087009A">
            <w:pPr>
              <w:pStyle w:val="ListParagraph"/>
            </w:pPr>
            <w:r w:rsidRPr="00F746B2">
              <w:t xml:space="preserve">cure illness or provide definitive treatment of </w:t>
            </w:r>
            <w:proofErr w:type="gramStart"/>
            <w:r w:rsidRPr="00F746B2">
              <w:t>injury;</w:t>
            </w:r>
            <w:proofErr w:type="gramEnd"/>
          </w:p>
          <w:p w14:paraId="5D55AF35" w14:textId="77777777" w:rsidR="00605BA0" w:rsidRPr="00F746B2" w:rsidRDefault="00605BA0" w:rsidP="00187113">
            <w:pPr>
              <w:pStyle w:val="ListParagraph"/>
            </w:pPr>
            <w:r w:rsidRPr="00F746B2">
              <w:t xml:space="preserve">perform </w:t>
            </w:r>
            <w:proofErr w:type="gramStart"/>
            <w:r w:rsidRPr="00F746B2">
              <w:t>surgery;</w:t>
            </w:r>
            <w:proofErr w:type="gramEnd"/>
          </w:p>
          <w:p w14:paraId="3B2F76F8" w14:textId="77777777" w:rsidR="00605BA0" w:rsidRPr="00F746B2" w:rsidRDefault="00605BA0" w:rsidP="00187113">
            <w:pPr>
              <w:pStyle w:val="ListParagraph"/>
            </w:pPr>
            <w:r w:rsidRPr="00F746B2">
              <w:t>relieve symptoms of illness or injury (excluding palliative care</w:t>
            </w:r>
            <w:proofErr w:type="gramStart"/>
            <w:r w:rsidRPr="00F746B2">
              <w:t>);</w:t>
            </w:r>
            <w:proofErr w:type="gramEnd"/>
          </w:p>
          <w:p w14:paraId="26F3E575" w14:textId="77777777" w:rsidR="00605BA0" w:rsidRPr="00F746B2" w:rsidRDefault="00605BA0" w:rsidP="00187113">
            <w:pPr>
              <w:pStyle w:val="ListParagraph"/>
            </w:pPr>
            <w:r w:rsidRPr="00F746B2">
              <w:t xml:space="preserve">reduce severity of an illness or </w:t>
            </w:r>
            <w:proofErr w:type="gramStart"/>
            <w:r w:rsidRPr="00F746B2">
              <w:t>injury;</w:t>
            </w:r>
            <w:proofErr w:type="gramEnd"/>
          </w:p>
          <w:p w14:paraId="75B6796A" w14:textId="77777777" w:rsidR="00605BA0" w:rsidRPr="00F746B2" w:rsidRDefault="00605BA0" w:rsidP="00187113">
            <w:pPr>
              <w:pStyle w:val="ListParagraph"/>
            </w:pPr>
            <w:r w:rsidRPr="00F746B2">
              <w:t>protect against exacerbation and/or complicati</w:t>
            </w:r>
            <w:r w:rsidR="00F746B2" w:rsidRPr="00F746B2">
              <w:t xml:space="preserve">on of an illness and/or injury </w:t>
            </w:r>
            <w:r w:rsidRPr="00F746B2">
              <w:t>which could threaten life or normal function; or</w:t>
            </w:r>
          </w:p>
          <w:p w14:paraId="745CD562" w14:textId="507708C8" w:rsidR="00605BA0" w:rsidRPr="00751A8A" w:rsidRDefault="00605BA0" w:rsidP="00187113">
            <w:pPr>
              <w:pStyle w:val="ListParagraph"/>
            </w:pPr>
            <w:r w:rsidRPr="00F746B2">
              <w:t>perform diagnostic or therapeutic procedures.</w:t>
            </w:r>
          </w:p>
        </w:tc>
      </w:tr>
      <w:tr w:rsidR="00605BA0" w:rsidRPr="00C82C51" w14:paraId="58578699" w14:textId="77777777" w:rsidTr="005974C0">
        <w:tc>
          <w:tcPr>
            <w:tcW w:w="2547" w:type="dxa"/>
            <w:tcBorders>
              <w:top w:val="single" w:sz="4" w:space="0" w:color="auto"/>
              <w:bottom w:val="single" w:sz="4" w:space="0" w:color="auto"/>
            </w:tcBorders>
            <w:shd w:val="clear" w:color="auto" w:fill="FFFFFF" w:themeFill="background1"/>
          </w:tcPr>
          <w:p w14:paraId="623E763C"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ADVOCATE</w:t>
            </w:r>
          </w:p>
        </w:tc>
        <w:tc>
          <w:tcPr>
            <w:tcW w:w="7264" w:type="dxa"/>
            <w:tcBorders>
              <w:top w:val="single" w:sz="4" w:space="0" w:color="auto"/>
              <w:bottom w:val="single" w:sz="4" w:space="0" w:color="auto"/>
            </w:tcBorders>
            <w:shd w:val="clear" w:color="auto" w:fill="FFFFFF" w:themeFill="background1"/>
          </w:tcPr>
          <w:p w14:paraId="7D76F9BB" w14:textId="68D5E80F" w:rsidR="00605BA0" w:rsidRPr="00070A87" w:rsidRDefault="00605BA0" w:rsidP="00781B94">
            <w:pPr>
              <w:pStyle w:val="TableofFigures"/>
            </w:pPr>
            <w:r w:rsidRPr="00C81591">
              <w:t xml:space="preserve">A person who acts on behalf of another party. In the absence of a </w:t>
            </w:r>
            <w:proofErr w:type="spellStart"/>
            <w:r w:rsidRPr="00C81591">
              <w:t>carer</w:t>
            </w:r>
            <w:proofErr w:type="spellEnd"/>
            <w:r w:rsidRPr="00C81591">
              <w:t xml:space="preserve">, an </w:t>
            </w:r>
            <w:r w:rsidRPr="000F765C">
              <w:t xml:space="preserve">independent advocate </w:t>
            </w:r>
            <w:r w:rsidRPr="00C81591">
              <w:t>could be a general practitioner, legal representative, person appointed by the guardianship board or another person who can represent the interests of the care recipient adequately.</w:t>
            </w:r>
          </w:p>
        </w:tc>
      </w:tr>
      <w:tr w:rsidR="00605BA0" w:rsidRPr="00C82C51" w14:paraId="264BA2BB" w14:textId="77777777" w:rsidTr="004A5202">
        <w:tc>
          <w:tcPr>
            <w:tcW w:w="2547" w:type="dxa"/>
            <w:tcBorders>
              <w:top w:val="single" w:sz="4" w:space="0" w:color="auto"/>
              <w:bottom w:val="single" w:sz="4" w:space="0" w:color="auto"/>
            </w:tcBorders>
            <w:shd w:val="clear" w:color="auto" w:fill="D9D9D9" w:themeFill="background1" w:themeFillShade="D9"/>
          </w:tcPr>
          <w:p w14:paraId="30D38B9A" w14:textId="77777777" w:rsidR="00605BA0" w:rsidRPr="006C384A" w:rsidRDefault="00605BA0">
            <w:pPr>
              <w:spacing w:before="0" w:after="60"/>
              <w:rPr>
                <w:rFonts w:asciiTheme="minorHAnsi" w:hAnsiTheme="minorHAnsi" w:cstheme="minorHAnsi"/>
                <w:szCs w:val="20"/>
              </w:rPr>
            </w:pPr>
            <w:r w:rsidRPr="006C384A">
              <w:rPr>
                <w:rFonts w:asciiTheme="minorHAnsi" w:hAnsiTheme="minorHAnsi" w:cstheme="minorHAnsi"/>
                <w:szCs w:val="20"/>
              </w:rPr>
              <w:t>ADVOCACY SERVICE</w:t>
            </w:r>
            <w:r w:rsidR="00767624" w:rsidRPr="00721B9E">
              <w:rPr>
                <w:rFonts w:asciiTheme="minorHAnsi" w:hAnsiTheme="minorHAnsi" w:cstheme="minorHAnsi"/>
                <w:szCs w:val="20"/>
              </w:rPr>
              <w:t xml:space="preserve"> </w:t>
            </w:r>
          </w:p>
        </w:tc>
        <w:tc>
          <w:tcPr>
            <w:tcW w:w="7264" w:type="dxa"/>
            <w:tcBorders>
              <w:top w:val="single" w:sz="4" w:space="0" w:color="auto"/>
              <w:bottom w:val="single" w:sz="4" w:space="0" w:color="auto"/>
            </w:tcBorders>
            <w:shd w:val="clear" w:color="auto" w:fill="D9D9D9" w:themeFill="background1" w:themeFillShade="D9"/>
          </w:tcPr>
          <w:p w14:paraId="3E9F5BA0" w14:textId="6C304149" w:rsidR="00F04183" w:rsidRDefault="00605BA0" w:rsidP="00781B94">
            <w:pPr>
              <w:pStyle w:val="TableofFigures"/>
            </w:pPr>
            <w:r w:rsidRPr="006C384A">
              <w:t xml:space="preserve">An advocacy service is an independent, confidential service provided free of charge in each state and territory. </w:t>
            </w:r>
            <w:r w:rsidR="00943CC2">
              <w:t>If a person</w:t>
            </w:r>
            <w:r w:rsidRPr="006C384A">
              <w:t xml:space="preserve"> receive</w:t>
            </w:r>
            <w:r w:rsidR="00943CC2">
              <w:t>s</w:t>
            </w:r>
            <w:r w:rsidRPr="006C384A">
              <w:t xml:space="preserve"> Australian Government</w:t>
            </w:r>
            <w:r w:rsidR="00165930">
              <w:noBreakHyphen/>
            </w:r>
            <w:r w:rsidRPr="006C384A">
              <w:t>subsidised aged care services, a</w:t>
            </w:r>
            <w:r w:rsidR="00943CC2">
              <w:t>dvocacy services can help them</w:t>
            </w:r>
            <w:r w:rsidRPr="006C384A">
              <w:t xml:space="preserve"> exercise </w:t>
            </w:r>
            <w:r w:rsidR="00943CC2">
              <w:t>their</w:t>
            </w:r>
            <w:r w:rsidRPr="006C384A">
              <w:t xml:space="preserve"> rights by representing </w:t>
            </w:r>
            <w:r w:rsidR="00943CC2">
              <w:t>them</w:t>
            </w:r>
            <w:r w:rsidRPr="006C384A">
              <w:t>, and providing information, advice and suppor</w:t>
            </w:r>
            <w:r w:rsidR="00943CC2">
              <w:t>t to them, their carer,</w:t>
            </w:r>
            <w:r w:rsidRPr="006C384A">
              <w:t xml:space="preserve"> family or friends.</w:t>
            </w:r>
          </w:p>
          <w:p w14:paraId="028AEA50" w14:textId="77777777" w:rsidR="00605BA0" w:rsidRPr="006C384A" w:rsidRDefault="00DA3DED" w:rsidP="00781B94">
            <w:pPr>
              <w:pStyle w:val="TableofFigures"/>
            </w:pPr>
            <w:r>
              <w:t xml:space="preserve">See the </w:t>
            </w:r>
            <w:r w:rsidRPr="00DA3DED">
              <w:t>O</w:t>
            </w:r>
            <w:r>
              <w:t>lder</w:t>
            </w:r>
            <w:r w:rsidRPr="00DA3DED">
              <w:t xml:space="preserve"> P</w:t>
            </w:r>
            <w:r>
              <w:t>ersons</w:t>
            </w:r>
            <w:r w:rsidRPr="00DA3DED">
              <w:t xml:space="preserve"> A</w:t>
            </w:r>
            <w:r>
              <w:t>dvocacy</w:t>
            </w:r>
            <w:r w:rsidRPr="00DA3DED">
              <w:t xml:space="preserve"> N</w:t>
            </w:r>
            <w:r>
              <w:t>etwork</w:t>
            </w:r>
            <w:r w:rsidRPr="00DA3DED">
              <w:t xml:space="preserve"> </w:t>
            </w:r>
            <w:r>
              <w:t>(OPAN).</w:t>
            </w:r>
          </w:p>
        </w:tc>
      </w:tr>
      <w:tr w:rsidR="00605BA0" w:rsidRPr="00C82C51" w14:paraId="246DE5D0" w14:textId="77777777" w:rsidTr="005974C0">
        <w:tc>
          <w:tcPr>
            <w:tcW w:w="2547" w:type="dxa"/>
            <w:tcBorders>
              <w:top w:val="single" w:sz="4" w:space="0" w:color="auto"/>
              <w:bottom w:val="single" w:sz="4" w:space="0" w:color="auto"/>
            </w:tcBorders>
            <w:shd w:val="clear" w:color="auto" w:fill="FFFFFF" w:themeFill="background1"/>
          </w:tcPr>
          <w:p w14:paraId="3EAEA518" w14:textId="77777777" w:rsidR="00751A8A" w:rsidRPr="00751A8A" w:rsidRDefault="00605BA0" w:rsidP="00FF2EA1">
            <w:pPr>
              <w:spacing w:before="0" w:after="60"/>
              <w:rPr>
                <w:rFonts w:asciiTheme="minorHAnsi" w:hAnsiTheme="minorHAnsi" w:cstheme="minorHAnsi"/>
                <w:i/>
                <w:szCs w:val="20"/>
              </w:rPr>
            </w:pPr>
            <w:r w:rsidRPr="00070A87">
              <w:rPr>
                <w:rFonts w:asciiTheme="minorHAnsi" w:hAnsiTheme="minorHAnsi" w:cstheme="minorHAnsi"/>
                <w:i/>
                <w:szCs w:val="20"/>
              </w:rPr>
              <w:t>AGED CARE ACT 1997</w:t>
            </w:r>
            <w:r w:rsidR="00751A8A">
              <w:rPr>
                <w:rFonts w:asciiTheme="minorHAnsi" w:hAnsiTheme="minorHAnsi" w:cstheme="minorHAnsi"/>
                <w:i/>
                <w:szCs w:val="20"/>
              </w:rPr>
              <w:t xml:space="preserve"> (the </w:t>
            </w:r>
            <w:r w:rsidR="00751A8A" w:rsidRPr="00751A8A">
              <w:rPr>
                <w:rFonts w:asciiTheme="minorHAnsi" w:hAnsiTheme="minorHAnsi" w:cstheme="minorHAnsi"/>
                <w:szCs w:val="20"/>
              </w:rPr>
              <w:t>Act</w:t>
            </w:r>
            <w:r w:rsidR="00751A8A">
              <w:rPr>
                <w:rFonts w:asciiTheme="minorHAnsi" w:hAnsiTheme="minorHAnsi" w:cstheme="minorHAnsi"/>
                <w:i/>
                <w:szCs w:val="20"/>
              </w:rPr>
              <w:t>)</w:t>
            </w:r>
          </w:p>
        </w:tc>
        <w:tc>
          <w:tcPr>
            <w:tcW w:w="7264" w:type="dxa"/>
            <w:tcBorders>
              <w:top w:val="single" w:sz="4" w:space="0" w:color="auto"/>
              <w:bottom w:val="single" w:sz="4" w:space="0" w:color="auto"/>
            </w:tcBorders>
            <w:shd w:val="clear" w:color="auto" w:fill="FFFFFF" w:themeFill="background1"/>
          </w:tcPr>
          <w:p w14:paraId="4D006D4C" w14:textId="77777777" w:rsidR="00751A8A" w:rsidRPr="00781B94" w:rsidRDefault="00751A8A" w:rsidP="00781B94">
            <w:pPr>
              <w:pStyle w:val="TableofFigures"/>
            </w:pPr>
            <w:r>
              <w:t>The Act</w:t>
            </w:r>
            <w:r w:rsidR="00605BA0" w:rsidRPr="00070A87">
              <w:t xml:space="preserve"> is the Australian Government legislation that relates to Australian Government funded residential, home care and</w:t>
            </w:r>
            <w:r w:rsidR="00756274">
              <w:t xml:space="preserve"> flexible aged care services</w:t>
            </w:r>
            <w:r w:rsidR="00605BA0" w:rsidRPr="00781B94">
              <w:t>.</w:t>
            </w:r>
          </w:p>
        </w:tc>
      </w:tr>
      <w:tr w:rsidR="000014F7" w:rsidRPr="00C82C51" w14:paraId="24C17D6A" w14:textId="77777777" w:rsidTr="002970B8">
        <w:tc>
          <w:tcPr>
            <w:tcW w:w="2547" w:type="dxa"/>
            <w:tcBorders>
              <w:top w:val="single" w:sz="4" w:space="0" w:color="auto"/>
              <w:bottom w:val="single" w:sz="4" w:space="0" w:color="auto"/>
            </w:tcBorders>
            <w:shd w:val="clear" w:color="auto" w:fill="D9D9D9" w:themeFill="background1" w:themeFillShade="D9"/>
          </w:tcPr>
          <w:p w14:paraId="271610F0" w14:textId="2B50914B" w:rsidR="000014F7" w:rsidRPr="00070A87" w:rsidRDefault="000014F7" w:rsidP="00751A8A">
            <w:pPr>
              <w:spacing w:before="0"/>
              <w:rPr>
                <w:rFonts w:asciiTheme="minorHAnsi" w:hAnsiTheme="minorHAnsi" w:cstheme="minorHAnsi"/>
                <w:i/>
                <w:szCs w:val="20"/>
              </w:rPr>
            </w:pPr>
            <w:r w:rsidRPr="00070A87">
              <w:rPr>
                <w:rFonts w:asciiTheme="minorHAnsi" w:hAnsiTheme="minorHAnsi" w:cstheme="minorHAnsi"/>
                <w:i/>
                <w:szCs w:val="20"/>
              </w:rPr>
              <w:t>AGED CARE</w:t>
            </w:r>
            <w:r>
              <w:rPr>
                <w:rFonts w:asciiTheme="minorHAnsi" w:hAnsiTheme="minorHAnsi" w:cstheme="minorHAnsi"/>
                <w:i/>
                <w:szCs w:val="20"/>
              </w:rPr>
              <w:t xml:space="preserve"> (TRANSITIONAL PROVISIONS)</w:t>
            </w:r>
            <w:r w:rsidRPr="00070A87">
              <w:rPr>
                <w:rFonts w:asciiTheme="minorHAnsi" w:hAnsiTheme="minorHAnsi" w:cstheme="minorHAnsi"/>
                <w:i/>
                <w:szCs w:val="20"/>
              </w:rPr>
              <w:t xml:space="preserve"> ACT 1997</w:t>
            </w:r>
            <w:r>
              <w:rPr>
                <w:rFonts w:asciiTheme="minorHAnsi" w:hAnsiTheme="minorHAnsi" w:cstheme="minorHAnsi"/>
                <w:i/>
                <w:szCs w:val="20"/>
              </w:rPr>
              <w:t xml:space="preserve"> (the Transitional Provisions Act)</w:t>
            </w:r>
          </w:p>
        </w:tc>
        <w:tc>
          <w:tcPr>
            <w:tcW w:w="7264" w:type="dxa"/>
            <w:tcBorders>
              <w:top w:val="single" w:sz="4" w:space="0" w:color="auto"/>
              <w:bottom w:val="single" w:sz="4" w:space="0" w:color="auto"/>
            </w:tcBorders>
            <w:shd w:val="clear" w:color="auto" w:fill="D9D9D9" w:themeFill="background1" w:themeFillShade="D9"/>
          </w:tcPr>
          <w:p w14:paraId="14949FC1" w14:textId="6B397D6F" w:rsidR="000014F7" w:rsidRDefault="000014F7" w:rsidP="00781B94">
            <w:pPr>
              <w:pStyle w:val="TableofFigures"/>
            </w:pPr>
            <w:r>
              <w:t>The Transitional Provisions Act is the Australian Government legislation that applies to ‘continuing care recipients’, i.e. people who have entered aged care before 1 July 2014, and have not ceased to be provided with aged care for a continuous period of more than 28 days (other than leave</w:t>
            </w:r>
            <w:r w:rsidR="00DB6F1E">
              <w:t>) and</w:t>
            </w:r>
            <w:r>
              <w:t xml:space="preserve"> </w:t>
            </w:r>
            <w:r w:rsidR="000143C3">
              <w:t>have not</w:t>
            </w:r>
            <w:r>
              <w:t xml:space="preserve"> chosen to opt into the new arrangements. </w:t>
            </w:r>
            <w:r w:rsidRPr="000014F7">
              <w:t>Where these guidelines refer to ‘the Act’, the Transitional Provisions Act may apply in circumstances which involve the provision of aged care services to a continuing care recipient.</w:t>
            </w:r>
          </w:p>
        </w:tc>
      </w:tr>
      <w:tr w:rsidR="00466A26" w:rsidRPr="00C82C51" w14:paraId="16274925" w14:textId="77777777" w:rsidTr="00886DC4">
        <w:tc>
          <w:tcPr>
            <w:tcW w:w="2547" w:type="dxa"/>
            <w:tcBorders>
              <w:top w:val="single" w:sz="4" w:space="0" w:color="auto"/>
              <w:bottom w:val="single" w:sz="4" w:space="0" w:color="auto"/>
            </w:tcBorders>
            <w:shd w:val="clear" w:color="auto" w:fill="FFFFFF" w:themeFill="background1"/>
          </w:tcPr>
          <w:p w14:paraId="2DF51E3B" w14:textId="77777777" w:rsidR="00466A26" w:rsidRPr="00070A87" w:rsidRDefault="00466A26" w:rsidP="00D3710B">
            <w:pPr>
              <w:spacing w:before="0" w:after="60"/>
              <w:rPr>
                <w:rFonts w:asciiTheme="minorHAnsi" w:hAnsiTheme="minorHAnsi" w:cstheme="minorHAnsi"/>
                <w:bCs/>
                <w:szCs w:val="20"/>
              </w:rPr>
            </w:pPr>
            <w:r w:rsidRPr="00070A87">
              <w:rPr>
                <w:rStyle w:val="Strong"/>
                <w:rFonts w:asciiTheme="minorHAnsi" w:hAnsiTheme="minorHAnsi" w:cstheme="minorHAnsi"/>
                <w:b w:val="0"/>
                <w:bCs w:val="0"/>
                <w:smallCaps/>
                <w:szCs w:val="20"/>
              </w:rPr>
              <w:t>AGED CARE FUNDING INSTRUMENT (ACFI)</w:t>
            </w:r>
          </w:p>
        </w:tc>
        <w:tc>
          <w:tcPr>
            <w:tcW w:w="7264" w:type="dxa"/>
            <w:tcBorders>
              <w:top w:val="single" w:sz="4" w:space="0" w:color="auto"/>
              <w:bottom w:val="single" w:sz="4" w:space="0" w:color="auto"/>
            </w:tcBorders>
            <w:shd w:val="clear" w:color="auto" w:fill="FFFFFF" w:themeFill="background1"/>
          </w:tcPr>
          <w:p w14:paraId="2F95854B" w14:textId="30A2D63D" w:rsidR="00466A26" w:rsidRPr="00070A87" w:rsidRDefault="00466A26" w:rsidP="00781B94">
            <w:pPr>
              <w:pStyle w:val="TableofFigures"/>
            </w:pPr>
            <w:r w:rsidRPr="00781B94">
              <w:t>ACFI is the classification instrument underpinning the funding model to pay care subsidies to Australian Government funded residential aged care services. The ACFI is used to assess core care needs as a basis for allocating funding.</w:t>
            </w:r>
          </w:p>
        </w:tc>
      </w:tr>
      <w:tr w:rsidR="00886DC4" w:rsidRPr="00C82C51" w14:paraId="0E48104A" w14:textId="77777777" w:rsidTr="004A5202">
        <w:tc>
          <w:tcPr>
            <w:tcW w:w="2547" w:type="dxa"/>
            <w:tcBorders>
              <w:top w:val="single" w:sz="4" w:space="0" w:color="auto"/>
              <w:bottom w:val="single" w:sz="4" w:space="0" w:color="auto"/>
            </w:tcBorders>
            <w:shd w:val="clear" w:color="auto" w:fill="D9D9D9" w:themeFill="background1" w:themeFillShade="D9"/>
          </w:tcPr>
          <w:p w14:paraId="7C2DBB12"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AGED CARE</w:t>
            </w:r>
            <w:r>
              <w:rPr>
                <w:rFonts w:asciiTheme="minorHAnsi" w:hAnsiTheme="minorHAnsi" w:cstheme="minorHAnsi"/>
                <w:szCs w:val="20"/>
              </w:rPr>
              <w:t xml:space="preserve"> QUALITY AND SAFETY COMMISSION (the Commission)</w:t>
            </w:r>
          </w:p>
        </w:tc>
        <w:tc>
          <w:tcPr>
            <w:tcW w:w="7264" w:type="dxa"/>
            <w:tcBorders>
              <w:top w:val="single" w:sz="4" w:space="0" w:color="auto"/>
              <w:bottom w:val="single" w:sz="4" w:space="0" w:color="auto"/>
            </w:tcBorders>
            <w:shd w:val="clear" w:color="auto" w:fill="D9D9D9" w:themeFill="background1" w:themeFillShade="D9"/>
          </w:tcPr>
          <w:p w14:paraId="016EAF4F" w14:textId="0B831281" w:rsidR="00886DC4" w:rsidRPr="00070A87" w:rsidRDefault="00886DC4" w:rsidP="00781B94">
            <w:pPr>
              <w:pStyle w:val="TableofFigures"/>
              <w:rPr>
                <w:lang w:val="en-US"/>
              </w:rPr>
            </w:pPr>
            <w:r w:rsidRPr="00070A87">
              <w:rPr>
                <w:lang w:val="en-US"/>
              </w:rPr>
              <w:t xml:space="preserve">The </w:t>
            </w:r>
            <w:r>
              <w:rPr>
                <w:lang w:val="en-US"/>
              </w:rPr>
              <w:t xml:space="preserve">Commission is established under the </w:t>
            </w:r>
            <w:r>
              <w:rPr>
                <w:i/>
                <w:lang w:val="en-US"/>
              </w:rPr>
              <w:t>Aged Care Quality and Safety Commission Act 2018</w:t>
            </w:r>
            <w:r>
              <w:rPr>
                <w:lang w:val="en-US"/>
              </w:rPr>
              <w:t>. The Commission’s role is to protect and enhance the safety, health, well</w:t>
            </w:r>
            <w:r w:rsidR="00165930">
              <w:rPr>
                <w:lang w:val="en-US"/>
              </w:rPr>
              <w:noBreakHyphen/>
            </w:r>
            <w:r>
              <w:rPr>
                <w:lang w:val="en-US"/>
              </w:rPr>
              <w:t>being and quality of life of people receiving aged care. In fulfilling this role, the Commission provides</w:t>
            </w:r>
            <w:r w:rsidRPr="00070A87">
              <w:rPr>
                <w:lang w:val="en-US"/>
              </w:rPr>
              <w:t xml:space="preserve"> a </w:t>
            </w:r>
            <w:r>
              <w:rPr>
                <w:lang w:val="en-US"/>
              </w:rPr>
              <w:t xml:space="preserve">free service that handles concerns or complaints that have not been resolved by talking to the service provider. The Commission can provide support, with information and </w:t>
            </w:r>
            <w:r w:rsidRPr="00781B94">
              <w:t>options</w:t>
            </w:r>
            <w:r>
              <w:rPr>
                <w:lang w:val="en-US"/>
              </w:rPr>
              <w:t>, to resolve aged care concerns with service providers.</w:t>
            </w:r>
          </w:p>
        </w:tc>
      </w:tr>
      <w:tr w:rsidR="00886DC4" w:rsidRPr="00C82C51" w14:paraId="66EB4EDD" w14:textId="77777777" w:rsidTr="005974C0">
        <w:tc>
          <w:tcPr>
            <w:tcW w:w="2547" w:type="dxa"/>
            <w:tcBorders>
              <w:top w:val="single" w:sz="4" w:space="0" w:color="auto"/>
              <w:bottom w:val="single" w:sz="4" w:space="0" w:color="auto"/>
            </w:tcBorders>
            <w:shd w:val="clear" w:color="auto" w:fill="FFFFFF" w:themeFill="background1"/>
          </w:tcPr>
          <w:p w14:paraId="7DA5AF43"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AGED CARE SERVICE</w:t>
            </w:r>
          </w:p>
        </w:tc>
        <w:tc>
          <w:tcPr>
            <w:tcW w:w="7264" w:type="dxa"/>
            <w:tcBorders>
              <w:top w:val="single" w:sz="4" w:space="0" w:color="auto"/>
              <w:bottom w:val="single" w:sz="4" w:space="0" w:color="auto"/>
            </w:tcBorders>
            <w:shd w:val="clear" w:color="auto" w:fill="FFFFFF" w:themeFill="background1"/>
          </w:tcPr>
          <w:p w14:paraId="58419483" w14:textId="77777777" w:rsidR="00886DC4" w:rsidRPr="00070A87" w:rsidRDefault="00886DC4" w:rsidP="00781B94">
            <w:pPr>
              <w:pStyle w:val="TableofFigures"/>
              <w:rPr>
                <w:lang w:val="en-US"/>
              </w:rPr>
            </w:pPr>
            <w:r w:rsidRPr="00070A87">
              <w:t xml:space="preserve">An undertaking through which aged care is provided in the form of residential, home care or flexible care. </w:t>
            </w:r>
            <w:r w:rsidR="000014F7">
              <w:t>See</w:t>
            </w:r>
            <w:r w:rsidR="00C10C49">
              <w:t xml:space="preserve"> </w:t>
            </w:r>
            <w:r w:rsidRPr="00070A87">
              <w:t>Schedule 1</w:t>
            </w:r>
            <w:r>
              <w:t xml:space="preserve"> of the Act</w:t>
            </w:r>
            <w:r>
              <w:rPr>
                <w:i/>
              </w:rPr>
              <w:t>.</w:t>
            </w:r>
          </w:p>
        </w:tc>
      </w:tr>
    </w:tbl>
    <w:p w14:paraId="688386E3" w14:textId="77777777" w:rsidR="002452AD" w:rsidRDefault="002452AD">
      <w:r>
        <w:br w:type="page"/>
      </w:r>
    </w:p>
    <w:tbl>
      <w:tblPr>
        <w:tblStyle w:val="TableGrid"/>
        <w:tblW w:w="9811" w:type="dxa"/>
        <w:tblBorders>
          <w:insideH w:val="none" w:sz="0" w:space="0" w:color="auto"/>
          <w:insideV w:val="none" w:sz="0" w:space="0" w:color="auto"/>
        </w:tblBorders>
        <w:tblLayout w:type="fixed"/>
        <w:tblLook w:val="04A0" w:firstRow="1" w:lastRow="0" w:firstColumn="1" w:lastColumn="0" w:noHBand="0" w:noVBand="1"/>
        <w:tblDescription w:val="This table is the glossary terms and meanings."/>
      </w:tblPr>
      <w:tblGrid>
        <w:gridCol w:w="2547"/>
        <w:gridCol w:w="7264"/>
      </w:tblGrid>
      <w:tr w:rsidR="00886DC4" w:rsidRPr="00C82C51" w14:paraId="17188764" w14:textId="77777777" w:rsidTr="004A5202">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auto"/>
              <w:bottom w:val="single" w:sz="4" w:space="0" w:color="auto"/>
            </w:tcBorders>
            <w:shd w:val="clear" w:color="auto" w:fill="D9D9D9" w:themeFill="background1" w:themeFillShade="D9"/>
          </w:tcPr>
          <w:p w14:paraId="6C3D55FD" w14:textId="1976400A" w:rsidR="00886DC4" w:rsidRPr="002970B8" w:rsidRDefault="00886DC4" w:rsidP="00886DC4">
            <w:pPr>
              <w:spacing w:before="0" w:after="60"/>
              <w:rPr>
                <w:rStyle w:val="Strong"/>
                <w:rFonts w:asciiTheme="minorHAnsi" w:hAnsiTheme="minorHAnsi" w:cstheme="minorHAnsi"/>
                <w:b/>
                <w:bCs w:val="0"/>
                <w:smallCaps/>
                <w:color w:val="auto"/>
                <w:szCs w:val="20"/>
              </w:rPr>
            </w:pPr>
            <w:r w:rsidRPr="002970B8">
              <w:rPr>
                <w:rStyle w:val="Strong"/>
                <w:rFonts w:asciiTheme="minorHAnsi" w:hAnsiTheme="minorHAnsi" w:cstheme="minorHAnsi"/>
                <w:bCs w:val="0"/>
                <w:smallCaps/>
                <w:color w:val="auto"/>
                <w:szCs w:val="20"/>
              </w:rPr>
              <w:lastRenderedPageBreak/>
              <w:t>APPROVED PROVIDER</w:t>
            </w:r>
          </w:p>
        </w:tc>
        <w:tc>
          <w:tcPr>
            <w:tcW w:w="7264" w:type="dxa"/>
            <w:tcBorders>
              <w:top w:val="single" w:sz="4" w:space="0" w:color="auto"/>
              <w:bottom w:val="single" w:sz="4" w:space="0" w:color="auto"/>
            </w:tcBorders>
            <w:shd w:val="clear" w:color="auto" w:fill="D9D9D9" w:themeFill="background1" w:themeFillShade="D9"/>
          </w:tcPr>
          <w:p w14:paraId="0818C5B9" w14:textId="3E699F14" w:rsidR="00A93430" w:rsidRPr="002970B8" w:rsidRDefault="00886DC4" w:rsidP="00781B94">
            <w:pPr>
              <w:pStyle w:val="TableofFigures"/>
              <w:rPr>
                <w:b w:val="0"/>
                <w:bCs w:val="0"/>
                <w:color w:val="auto"/>
              </w:rPr>
            </w:pPr>
            <w:r w:rsidRPr="002970B8">
              <w:rPr>
                <w:b w:val="0"/>
                <w:bCs w:val="0"/>
                <w:color w:val="auto"/>
              </w:rPr>
              <w:t>Approved provider means a person or body in respect of which an approval under Part 2.1 of the Act is in force, and, to the extent provided for in section 8</w:t>
            </w:r>
            <w:r w:rsidRPr="002970B8">
              <w:rPr>
                <w:b w:val="0"/>
                <w:bCs w:val="0"/>
                <w:color w:val="auto"/>
              </w:rPr>
              <w:noBreakHyphen/>
              <w:t>6 of the Act, includes any state or territory, authority of a state or territory or local government authority</w:t>
            </w:r>
            <w:r w:rsidR="00C10C49" w:rsidRPr="002970B8">
              <w:rPr>
                <w:b w:val="0"/>
                <w:bCs w:val="0"/>
                <w:color w:val="auto"/>
              </w:rPr>
              <w:t>.</w:t>
            </w:r>
          </w:p>
          <w:p w14:paraId="3965F298" w14:textId="77777777" w:rsidR="00886DC4" w:rsidRPr="002970B8" w:rsidRDefault="00CB1B07" w:rsidP="00781B94">
            <w:pPr>
              <w:pStyle w:val="TableofFigures"/>
              <w:rPr>
                <w:color w:val="auto"/>
              </w:rPr>
            </w:pPr>
            <w:r w:rsidRPr="002970B8">
              <w:rPr>
                <w:b w:val="0"/>
                <w:bCs w:val="0"/>
                <w:color w:val="auto"/>
              </w:rPr>
              <w:t xml:space="preserve">See </w:t>
            </w:r>
            <w:r w:rsidR="000014F7" w:rsidRPr="002970B8">
              <w:rPr>
                <w:b w:val="0"/>
                <w:bCs w:val="0"/>
                <w:color w:val="auto"/>
              </w:rPr>
              <w:t>Schedule 1 of the Act</w:t>
            </w:r>
            <w:r w:rsidR="00886DC4" w:rsidRPr="002970B8">
              <w:rPr>
                <w:b w:val="0"/>
                <w:bCs w:val="0"/>
                <w:i/>
                <w:color w:val="auto"/>
              </w:rPr>
              <w:t>.</w:t>
            </w:r>
          </w:p>
        </w:tc>
      </w:tr>
      <w:tr w:rsidR="00886DC4" w:rsidRPr="00C82C51" w14:paraId="293DE4C5" w14:textId="77777777" w:rsidTr="005974C0">
        <w:tc>
          <w:tcPr>
            <w:tcW w:w="2547" w:type="dxa"/>
            <w:tcBorders>
              <w:top w:val="single" w:sz="4" w:space="0" w:color="auto"/>
              <w:bottom w:val="single" w:sz="4" w:space="0" w:color="auto"/>
            </w:tcBorders>
            <w:shd w:val="clear" w:color="auto" w:fill="FFFFFF" w:themeFill="background1"/>
          </w:tcPr>
          <w:p w14:paraId="230EB676" w14:textId="77777777" w:rsidR="00886DC4" w:rsidRPr="00070A87" w:rsidRDefault="00886DC4" w:rsidP="00886DC4">
            <w:pPr>
              <w:spacing w:before="0" w:after="60"/>
              <w:rPr>
                <w:rFonts w:asciiTheme="minorHAnsi" w:hAnsiTheme="minorHAnsi" w:cstheme="minorHAnsi"/>
                <w:szCs w:val="20"/>
              </w:rPr>
            </w:pPr>
            <w:r>
              <w:rPr>
                <w:rFonts w:asciiTheme="minorHAnsi" w:hAnsiTheme="minorHAnsi" w:cstheme="minorHAnsi"/>
                <w:szCs w:val="20"/>
              </w:rPr>
              <w:t>AUSTRALIAN COMMISSION ON SAFETY AND QUALITY IN HEALTH CARE (ACSQHC)</w:t>
            </w:r>
          </w:p>
        </w:tc>
        <w:tc>
          <w:tcPr>
            <w:tcW w:w="7264" w:type="dxa"/>
            <w:tcBorders>
              <w:top w:val="single" w:sz="4" w:space="0" w:color="auto"/>
              <w:bottom w:val="single" w:sz="4" w:space="0" w:color="auto"/>
            </w:tcBorders>
            <w:shd w:val="clear" w:color="auto" w:fill="FFFFFF" w:themeFill="background1"/>
          </w:tcPr>
          <w:p w14:paraId="067A8A03" w14:textId="77777777" w:rsidR="00886DC4" w:rsidRDefault="00886DC4" w:rsidP="00781B94">
            <w:pPr>
              <w:pStyle w:val="TableofFigures"/>
            </w:pPr>
            <w:r>
              <w:t>The ACSQHC leads and coordinates key improvements in safety and quality in health care across Australia in partnership with patients, clinicians, the Australian, state and territory governments, the private sector, and health care organisations.</w:t>
            </w:r>
          </w:p>
          <w:p w14:paraId="260D50F6" w14:textId="77777777" w:rsidR="00886DC4" w:rsidRDefault="00886DC4" w:rsidP="00F04183">
            <w:pPr>
              <w:spacing w:before="0" w:after="60"/>
              <w:rPr>
                <w:rFonts w:asciiTheme="minorHAnsi" w:hAnsiTheme="minorHAnsi" w:cstheme="minorHAnsi"/>
                <w:szCs w:val="20"/>
              </w:rPr>
            </w:pPr>
            <w:r>
              <w:rPr>
                <w:rFonts w:asciiTheme="minorHAnsi" w:hAnsiTheme="minorHAnsi" w:cstheme="minorHAnsi"/>
                <w:szCs w:val="20"/>
              </w:rPr>
              <w:t>The ACSQHC’s functions include:</w:t>
            </w:r>
          </w:p>
          <w:p w14:paraId="67E7A5DC" w14:textId="77777777" w:rsidR="00886DC4" w:rsidRDefault="00886DC4" w:rsidP="00187113">
            <w:pPr>
              <w:pStyle w:val="ListParagraph"/>
            </w:pPr>
            <w:r>
              <w:t xml:space="preserve">developing national safety and quality </w:t>
            </w:r>
            <w:proofErr w:type="gramStart"/>
            <w:r>
              <w:t>standards;</w:t>
            </w:r>
            <w:proofErr w:type="gramEnd"/>
          </w:p>
          <w:p w14:paraId="3CD2E77A" w14:textId="77777777" w:rsidR="00886DC4" w:rsidRDefault="00886DC4" w:rsidP="00187113">
            <w:pPr>
              <w:pStyle w:val="ListParagraph"/>
            </w:pPr>
            <w:r>
              <w:t xml:space="preserve">developing clinical care </w:t>
            </w:r>
            <w:proofErr w:type="gramStart"/>
            <w:r>
              <w:t>standards;</w:t>
            </w:r>
            <w:proofErr w:type="gramEnd"/>
          </w:p>
          <w:p w14:paraId="02070525" w14:textId="77777777" w:rsidR="00886DC4" w:rsidRDefault="00886DC4" w:rsidP="00187113">
            <w:pPr>
              <w:pStyle w:val="ListParagraph"/>
            </w:pPr>
            <w:r>
              <w:t>coordinating work in specific areas to improve outcomes for patients; and</w:t>
            </w:r>
          </w:p>
          <w:p w14:paraId="625D1D67" w14:textId="77777777" w:rsidR="00886DC4" w:rsidRPr="00070A87" w:rsidRDefault="00886DC4" w:rsidP="00187113">
            <w:pPr>
              <w:pStyle w:val="ListParagraph"/>
            </w:pPr>
            <w:r>
              <w:t>providing information, publications and resources about safety and quality.</w:t>
            </w:r>
          </w:p>
        </w:tc>
      </w:tr>
      <w:tr w:rsidR="00886DC4" w:rsidRPr="00C82C51" w14:paraId="3230A6E7" w14:textId="77777777" w:rsidTr="004A5202">
        <w:tc>
          <w:tcPr>
            <w:tcW w:w="2547" w:type="dxa"/>
            <w:tcBorders>
              <w:top w:val="single" w:sz="4" w:space="0" w:color="auto"/>
              <w:bottom w:val="single" w:sz="4" w:space="0" w:color="auto"/>
            </w:tcBorders>
            <w:shd w:val="clear" w:color="auto" w:fill="D9D9D9" w:themeFill="background1" w:themeFillShade="D9"/>
          </w:tcPr>
          <w:p w14:paraId="467E16B5" w14:textId="77777777" w:rsidR="00886DC4" w:rsidRPr="00886DC4"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 xml:space="preserve">AUSTRALIAN PRIVACY PRINCIPLES </w:t>
            </w:r>
            <w:r w:rsidR="000F00D5">
              <w:rPr>
                <w:rFonts w:asciiTheme="minorHAnsi" w:hAnsiTheme="minorHAnsi" w:cstheme="minorHAnsi"/>
                <w:szCs w:val="20"/>
              </w:rPr>
              <w:t>(APPs)</w:t>
            </w:r>
          </w:p>
        </w:tc>
        <w:tc>
          <w:tcPr>
            <w:tcW w:w="7264" w:type="dxa"/>
            <w:tcBorders>
              <w:top w:val="single" w:sz="4" w:space="0" w:color="auto"/>
              <w:bottom w:val="single" w:sz="4" w:space="0" w:color="auto"/>
            </w:tcBorders>
            <w:shd w:val="clear" w:color="auto" w:fill="D9D9D9" w:themeFill="background1" w:themeFillShade="D9"/>
          </w:tcPr>
          <w:p w14:paraId="6E39FFFB" w14:textId="1E568059" w:rsidR="00886DC4" w:rsidRPr="00070A87" w:rsidRDefault="00886DC4" w:rsidP="00997841">
            <w:pPr>
              <w:spacing w:before="0"/>
              <w:rPr>
                <w:rFonts w:asciiTheme="minorHAnsi" w:hAnsiTheme="minorHAnsi" w:cstheme="minorHAnsi"/>
                <w:szCs w:val="20"/>
              </w:rPr>
            </w:pPr>
            <w:r w:rsidRPr="00070A87">
              <w:rPr>
                <w:rFonts w:asciiTheme="minorHAnsi" w:hAnsiTheme="minorHAnsi" w:cstheme="minorHAnsi"/>
                <w:szCs w:val="20"/>
              </w:rPr>
              <w:t xml:space="preserve">The </w:t>
            </w:r>
            <w:r w:rsidR="000F00D5">
              <w:rPr>
                <w:rFonts w:asciiTheme="minorHAnsi" w:hAnsiTheme="minorHAnsi" w:cstheme="minorHAnsi"/>
                <w:szCs w:val="20"/>
              </w:rPr>
              <w:t>APPs</w:t>
            </w:r>
            <w:r w:rsidRPr="00070A87">
              <w:rPr>
                <w:rFonts w:asciiTheme="minorHAnsi" w:hAnsiTheme="minorHAnsi" w:cstheme="minorHAnsi"/>
                <w:szCs w:val="20"/>
              </w:rPr>
              <w:t xml:space="preserve"> took effect from 12 March 2014 </w:t>
            </w:r>
            <w:proofErr w:type="gramStart"/>
            <w:r w:rsidRPr="00070A87">
              <w:rPr>
                <w:rFonts w:asciiTheme="minorHAnsi" w:hAnsiTheme="minorHAnsi" w:cstheme="minorHAnsi"/>
                <w:szCs w:val="20"/>
              </w:rPr>
              <w:t>as a result of</w:t>
            </w:r>
            <w:proofErr w:type="gramEnd"/>
            <w:r w:rsidRPr="00070A87">
              <w:rPr>
                <w:rFonts w:asciiTheme="minorHAnsi" w:hAnsiTheme="minorHAnsi" w:cstheme="minorHAnsi"/>
                <w:szCs w:val="20"/>
              </w:rPr>
              <w:t xml:space="preserve"> changes to the </w:t>
            </w:r>
            <w:r w:rsidRPr="00756274">
              <w:rPr>
                <w:rFonts w:asciiTheme="minorHAnsi" w:hAnsiTheme="minorHAnsi" w:cstheme="minorHAnsi"/>
                <w:i/>
                <w:szCs w:val="20"/>
              </w:rPr>
              <w:t>Privacy Act 1988</w:t>
            </w:r>
            <w:r w:rsidRPr="00886DC4">
              <w:rPr>
                <w:rFonts w:asciiTheme="minorHAnsi" w:hAnsiTheme="minorHAnsi" w:cstheme="minorHAnsi"/>
                <w:szCs w:val="20"/>
              </w:rPr>
              <w:t xml:space="preserve"> </w:t>
            </w:r>
            <w:r w:rsidRPr="00721B9E">
              <w:rPr>
                <w:rFonts w:asciiTheme="minorHAnsi" w:hAnsiTheme="minorHAnsi" w:cstheme="minorHAnsi"/>
                <w:szCs w:val="20"/>
              </w:rPr>
              <w:t>(</w:t>
            </w:r>
            <w:proofErr w:type="spellStart"/>
            <w:r w:rsidRPr="00721B9E">
              <w:rPr>
                <w:rFonts w:asciiTheme="minorHAnsi" w:hAnsiTheme="minorHAnsi" w:cstheme="minorHAnsi"/>
                <w:szCs w:val="20"/>
              </w:rPr>
              <w:t>Cth</w:t>
            </w:r>
            <w:proofErr w:type="spellEnd"/>
            <w:r w:rsidRPr="00721B9E">
              <w:rPr>
                <w:rFonts w:asciiTheme="minorHAnsi" w:hAnsiTheme="minorHAnsi" w:cstheme="minorHAnsi"/>
                <w:szCs w:val="20"/>
              </w:rPr>
              <w:t>)</w:t>
            </w:r>
            <w:r w:rsidRPr="00886DC4">
              <w:rPr>
                <w:rFonts w:asciiTheme="minorHAnsi" w:hAnsiTheme="minorHAnsi" w:cstheme="minorHAnsi"/>
                <w:szCs w:val="20"/>
              </w:rPr>
              <w:t>.</w:t>
            </w:r>
          </w:p>
          <w:p w14:paraId="421E4568" w14:textId="6AF351D8" w:rsidR="00886DC4" w:rsidRPr="00070A87" w:rsidRDefault="00886DC4" w:rsidP="00781B94">
            <w:pPr>
              <w:pStyle w:val="TableofFigures"/>
            </w:pPr>
            <w:r w:rsidRPr="00070A87">
              <w:t>These new principles relate to the National Privacy Principles and the Information Privacy Principles (IPPs) (except for ACT agencies who continue to be covered by the IPPs). The APPs:</w:t>
            </w:r>
          </w:p>
          <w:p w14:paraId="1E597F20" w14:textId="77777777" w:rsidR="00886DC4" w:rsidRPr="00886DC4" w:rsidRDefault="00886DC4" w:rsidP="00187113">
            <w:pPr>
              <w:pStyle w:val="ListParagraph"/>
            </w:pPr>
            <w:r w:rsidRPr="00886DC4">
              <w:t>deal with all stages of the processing of personal information, setting out standards for the collection, use disclosure, quality and security of personal information; and</w:t>
            </w:r>
          </w:p>
          <w:p w14:paraId="6A6EA805" w14:textId="77777777" w:rsidR="00886DC4" w:rsidRPr="00886DC4" w:rsidRDefault="00886DC4" w:rsidP="00187113">
            <w:pPr>
              <w:pStyle w:val="ListParagraph"/>
            </w:pPr>
            <w:r w:rsidRPr="00886DC4">
              <w:t xml:space="preserve">provide obligations on agencies and organisations subject to the </w:t>
            </w:r>
            <w:r w:rsidRPr="00756274">
              <w:rPr>
                <w:i/>
              </w:rPr>
              <w:t>Privacy Act 1988</w:t>
            </w:r>
            <w:r w:rsidRPr="00886DC4">
              <w:t xml:space="preserve"> concerning access to, and correction of, an individuals’ own personal information.</w:t>
            </w:r>
          </w:p>
        </w:tc>
      </w:tr>
      <w:tr w:rsidR="00886DC4" w:rsidRPr="00C82C51" w14:paraId="53C19213" w14:textId="77777777" w:rsidTr="005974C0">
        <w:tc>
          <w:tcPr>
            <w:tcW w:w="2547" w:type="dxa"/>
            <w:tcBorders>
              <w:top w:val="single" w:sz="4" w:space="0" w:color="auto"/>
              <w:bottom w:val="single" w:sz="4" w:space="0" w:color="auto"/>
            </w:tcBorders>
            <w:shd w:val="clear" w:color="auto" w:fill="FFFFFF" w:themeFill="background1"/>
          </w:tcPr>
          <w:p w14:paraId="0F7FB2A7"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CARE PLAN</w:t>
            </w:r>
          </w:p>
        </w:tc>
        <w:tc>
          <w:tcPr>
            <w:tcW w:w="7264" w:type="dxa"/>
            <w:tcBorders>
              <w:top w:val="single" w:sz="4" w:space="0" w:color="auto"/>
              <w:bottom w:val="single" w:sz="4" w:space="0" w:color="auto"/>
            </w:tcBorders>
            <w:shd w:val="clear" w:color="auto" w:fill="FFFFFF" w:themeFill="background1"/>
          </w:tcPr>
          <w:p w14:paraId="30F57621" w14:textId="369DA2D6" w:rsidR="00886DC4" w:rsidRPr="00A93430" w:rsidRDefault="00886DC4" w:rsidP="00781B94">
            <w:pPr>
              <w:pStyle w:val="TableofFigures"/>
            </w:pPr>
            <w:r w:rsidRPr="00A93430">
              <w:t>A plan developed by the transition care service provider in consultation with the care recipient.</w:t>
            </w:r>
            <w:r w:rsidR="00A93430">
              <w:t xml:space="preserve"> </w:t>
            </w:r>
            <w:r w:rsidRPr="00A93430">
              <w:t>The care plan describes the goals of transition care agreed with the care recipient, the type of services to be provided, the frequency and hours of actual service provision, the location at which the service will be provided and the respective responsibilities of the service agency, its</w:t>
            </w:r>
            <w:r w:rsidR="00A93430">
              <w:t xml:space="preserve"> staff and the care recipient. </w:t>
            </w:r>
            <w:r w:rsidRPr="00A93430">
              <w:t xml:space="preserve">The care plan for transition care should be informed by the hospital geriatric rehabilitation service and the </w:t>
            </w:r>
            <w:r w:rsidR="00916A5D">
              <w:t>clinical aged care needs assesso</w:t>
            </w:r>
            <w:r w:rsidR="0047161E">
              <w:t>r</w:t>
            </w:r>
            <w:r w:rsidRPr="00A93430">
              <w:t>.</w:t>
            </w:r>
          </w:p>
        </w:tc>
      </w:tr>
      <w:tr w:rsidR="00886DC4" w:rsidRPr="00C82C51" w14:paraId="19DFDC77" w14:textId="77777777" w:rsidTr="004A5202">
        <w:tc>
          <w:tcPr>
            <w:tcW w:w="2547" w:type="dxa"/>
            <w:tcBorders>
              <w:top w:val="single" w:sz="4" w:space="0" w:color="auto"/>
              <w:bottom w:val="single" w:sz="4" w:space="0" w:color="auto"/>
            </w:tcBorders>
            <w:shd w:val="clear" w:color="auto" w:fill="D9D9D9" w:themeFill="background1" w:themeFillShade="D9"/>
          </w:tcPr>
          <w:p w14:paraId="440DC4AF" w14:textId="77777777" w:rsidR="00886DC4" w:rsidRPr="00070A87" w:rsidRDefault="00886DC4" w:rsidP="00A93430">
            <w:pPr>
              <w:spacing w:before="0" w:after="60"/>
              <w:rPr>
                <w:rFonts w:asciiTheme="minorHAnsi" w:hAnsiTheme="minorHAnsi" w:cstheme="minorHAnsi"/>
                <w:szCs w:val="20"/>
              </w:rPr>
            </w:pPr>
            <w:r w:rsidRPr="00070A87">
              <w:rPr>
                <w:rFonts w:asciiTheme="minorHAnsi" w:hAnsiTheme="minorHAnsi" w:cstheme="minorHAnsi"/>
                <w:szCs w:val="20"/>
              </w:rPr>
              <w:t>CARE</w:t>
            </w:r>
            <w:r w:rsidR="00521A3C">
              <w:rPr>
                <w:rFonts w:asciiTheme="minorHAnsi" w:hAnsiTheme="minorHAnsi" w:cstheme="minorHAnsi"/>
                <w:szCs w:val="20"/>
              </w:rPr>
              <w:t> </w:t>
            </w:r>
            <w:r w:rsidRPr="00070A87">
              <w:rPr>
                <w:rFonts w:asciiTheme="minorHAnsi" w:hAnsiTheme="minorHAnsi" w:cstheme="minorHAnsi"/>
                <w:szCs w:val="20"/>
              </w:rPr>
              <w:t>RECIPIENT</w:t>
            </w:r>
            <w:r>
              <w:rPr>
                <w:rFonts w:asciiTheme="minorHAnsi" w:hAnsiTheme="minorHAnsi" w:cstheme="minorHAnsi"/>
                <w:szCs w:val="20"/>
              </w:rPr>
              <w:t>/</w:t>
            </w:r>
            <w:r w:rsidR="00521A3C">
              <w:rPr>
                <w:rFonts w:asciiTheme="minorHAnsi" w:hAnsiTheme="minorHAnsi" w:cstheme="minorHAnsi"/>
                <w:szCs w:val="20"/>
              </w:rPr>
              <w:t xml:space="preserve"> </w:t>
            </w:r>
            <w:r>
              <w:rPr>
                <w:rFonts w:asciiTheme="minorHAnsi" w:hAnsiTheme="minorHAnsi" w:cstheme="minorHAnsi"/>
                <w:szCs w:val="20"/>
              </w:rPr>
              <w:t>CLIENT</w:t>
            </w:r>
          </w:p>
        </w:tc>
        <w:tc>
          <w:tcPr>
            <w:tcW w:w="7264" w:type="dxa"/>
            <w:tcBorders>
              <w:top w:val="single" w:sz="4" w:space="0" w:color="auto"/>
              <w:bottom w:val="single" w:sz="4" w:space="0" w:color="auto"/>
            </w:tcBorders>
            <w:shd w:val="clear" w:color="auto" w:fill="D9D9D9" w:themeFill="background1" w:themeFillShade="D9"/>
          </w:tcPr>
          <w:p w14:paraId="5F3F48FC" w14:textId="77777777" w:rsidR="00886DC4" w:rsidRPr="00070A87" w:rsidRDefault="00886DC4" w:rsidP="00781B94">
            <w:pPr>
              <w:pStyle w:val="TableofFigures"/>
            </w:pPr>
            <w:r w:rsidRPr="00070A87">
              <w:t>A person receiving transition care services.</w:t>
            </w:r>
          </w:p>
        </w:tc>
      </w:tr>
      <w:tr w:rsidR="00886DC4" w:rsidRPr="00C82C51" w14:paraId="762AECFC" w14:textId="77777777" w:rsidTr="005974C0">
        <w:tc>
          <w:tcPr>
            <w:tcW w:w="2547" w:type="dxa"/>
            <w:tcBorders>
              <w:top w:val="single" w:sz="4" w:space="0" w:color="auto"/>
              <w:bottom w:val="single" w:sz="4" w:space="0" w:color="auto"/>
            </w:tcBorders>
            <w:shd w:val="clear" w:color="auto" w:fill="FFFFFF" w:themeFill="background1"/>
          </w:tcPr>
          <w:p w14:paraId="3C1990CE"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CARER</w:t>
            </w:r>
          </w:p>
        </w:tc>
        <w:tc>
          <w:tcPr>
            <w:tcW w:w="7264" w:type="dxa"/>
            <w:tcBorders>
              <w:top w:val="single" w:sz="4" w:space="0" w:color="auto"/>
              <w:bottom w:val="single" w:sz="4" w:space="0" w:color="auto"/>
            </w:tcBorders>
            <w:shd w:val="clear" w:color="auto" w:fill="FFFFFF" w:themeFill="background1"/>
          </w:tcPr>
          <w:p w14:paraId="3BD504EE" w14:textId="0475C087" w:rsidR="00886DC4" w:rsidRPr="00AE3770" w:rsidRDefault="00886DC4" w:rsidP="00781B94">
            <w:pPr>
              <w:pStyle w:val="TableofFigures"/>
            </w:pPr>
            <w:r w:rsidRPr="00A93430">
              <w:t>Carers can include family members, next of kin, friends or neighbours who have been identified as providing regular and sustained care and assistance to the care recipient. Carers frequently live with the person for whom they are caring.</w:t>
            </w:r>
            <w:r w:rsidR="00A93430" w:rsidRPr="00A93430">
              <w:t xml:space="preserve"> </w:t>
            </w:r>
            <w:r w:rsidRPr="00A93430">
              <w:t xml:space="preserve">A carer may also be </w:t>
            </w:r>
            <w:r w:rsidR="00AE3770">
              <w:t>the care recipient’s advocate.</w:t>
            </w:r>
          </w:p>
        </w:tc>
      </w:tr>
      <w:tr w:rsidR="00886DC4" w:rsidRPr="00C82C51" w14:paraId="0876CE5C" w14:textId="77777777" w:rsidTr="004A5202">
        <w:tc>
          <w:tcPr>
            <w:tcW w:w="2547" w:type="dxa"/>
            <w:tcBorders>
              <w:top w:val="single" w:sz="4" w:space="0" w:color="auto"/>
              <w:bottom w:val="single" w:sz="4" w:space="0" w:color="auto"/>
            </w:tcBorders>
            <w:shd w:val="clear" w:color="auto" w:fill="D9D9D9" w:themeFill="background1" w:themeFillShade="D9"/>
          </w:tcPr>
          <w:p w14:paraId="67D2672C" w14:textId="77777777" w:rsidR="00886DC4" w:rsidRPr="00FF2EA1" w:rsidRDefault="00886DC4" w:rsidP="00886DC4">
            <w:pPr>
              <w:spacing w:before="0" w:after="60"/>
              <w:rPr>
                <w:rFonts w:cstheme="minorHAnsi"/>
                <w:smallCaps/>
                <w:szCs w:val="20"/>
              </w:rPr>
            </w:pPr>
            <w:r w:rsidRPr="00C46158">
              <w:rPr>
                <w:rFonts w:cstheme="minorHAnsi"/>
                <w:smallCaps/>
                <w:szCs w:val="20"/>
              </w:rPr>
              <w:t>COMMONWEALTH HOME SUPPORT PROGRAMME</w:t>
            </w:r>
            <w:r w:rsidR="006832A9">
              <w:rPr>
                <w:rFonts w:cstheme="minorHAnsi"/>
                <w:smallCaps/>
                <w:szCs w:val="20"/>
              </w:rPr>
              <w:t xml:space="preserve"> (CHSP)</w:t>
            </w:r>
          </w:p>
        </w:tc>
        <w:tc>
          <w:tcPr>
            <w:tcW w:w="7264" w:type="dxa"/>
            <w:tcBorders>
              <w:top w:val="single" w:sz="4" w:space="0" w:color="auto"/>
              <w:bottom w:val="single" w:sz="4" w:space="0" w:color="auto"/>
            </w:tcBorders>
            <w:shd w:val="clear" w:color="auto" w:fill="D9D9D9" w:themeFill="background1" w:themeFillShade="D9"/>
          </w:tcPr>
          <w:p w14:paraId="0DCCE4EB" w14:textId="5EF155B9" w:rsidR="00886DC4" w:rsidRPr="00070A87" w:rsidRDefault="006832A9" w:rsidP="00781B94">
            <w:pPr>
              <w:pStyle w:val="TableofFigures"/>
            </w:pPr>
            <w:r>
              <w:t xml:space="preserve">The </w:t>
            </w:r>
            <w:r w:rsidR="00886DC4" w:rsidRPr="00721B9E">
              <w:t>CHSP provides entry</w:t>
            </w:r>
            <w:r w:rsidR="00165930">
              <w:noBreakHyphen/>
            </w:r>
            <w:r w:rsidR="00886DC4" w:rsidRPr="00721B9E">
              <w:t>level home support for older people who need assistance to keep living independently at home and in their community. Carers of these clients will also benefit from services provided through the CHSP.</w:t>
            </w:r>
          </w:p>
        </w:tc>
      </w:tr>
      <w:tr w:rsidR="00886DC4" w:rsidRPr="00C82C51" w14:paraId="692857CF" w14:textId="77777777" w:rsidTr="005974C0">
        <w:tc>
          <w:tcPr>
            <w:tcW w:w="2547" w:type="dxa"/>
            <w:tcBorders>
              <w:top w:val="single" w:sz="4" w:space="0" w:color="auto"/>
              <w:bottom w:val="single" w:sz="4" w:space="0" w:color="auto"/>
            </w:tcBorders>
            <w:shd w:val="clear" w:color="auto" w:fill="FFFFFF" w:themeFill="background1"/>
          </w:tcPr>
          <w:p w14:paraId="50D761BC" w14:textId="77777777" w:rsidR="00886DC4" w:rsidRPr="00070A87" w:rsidRDefault="00886DC4" w:rsidP="00886DC4">
            <w:pPr>
              <w:spacing w:before="0" w:after="60"/>
              <w:rPr>
                <w:rFonts w:asciiTheme="minorHAnsi" w:hAnsiTheme="minorHAnsi" w:cstheme="minorHAnsi"/>
                <w:smallCaps/>
                <w:szCs w:val="20"/>
              </w:rPr>
            </w:pPr>
            <w:r w:rsidRPr="00055F45">
              <w:rPr>
                <w:rFonts w:asciiTheme="minorHAnsi" w:hAnsiTheme="minorHAnsi" w:cstheme="minorHAnsi"/>
                <w:szCs w:val="20"/>
              </w:rPr>
              <w:t>D</w:t>
            </w:r>
            <w:r>
              <w:rPr>
                <w:rFonts w:asciiTheme="minorHAnsi" w:hAnsiTheme="minorHAnsi" w:cstheme="minorHAnsi"/>
                <w:szCs w:val="20"/>
              </w:rPr>
              <w:t xml:space="preserve">EMENTIA </w:t>
            </w:r>
          </w:p>
        </w:tc>
        <w:tc>
          <w:tcPr>
            <w:tcW w:w="7264" w:type="dxa"/>
            <w:tcBorders>
              <w:top w:val="single" w:sz="4" w:space="0" w:color="auto"/>
              <w:bottom w:val="single" w:sz="4" w:space="0" w:color="auto"/>
            </w:tcBorders>
            <w:shd w:val="clear" w:color="auto" w:fill="FFFFFF" w:themeFill="background1"/>
          </w:tcPr>
          <w:p w14:paraId="71CD399E" w14:textId="2A414E1F" w:rsidR="00886DC4" w:rsidRPr="00055F45" w:rsidRDefault="00886DC4" w:rsidP="00781B94">
            <w:pPr>
              <w:pStyle w:val="TableofFigures"/>
            </w:pPr>
            <w:r w:rsidRPr="00055F45">
              <w:t>Dementia is an umbrella term describing a syndrome associated with more than 100 different diseases characterised by the impairment of brain functions, including language, memory, perception, personality and cognitive skills. Although the type and severity of symptoms and their pattern of development varies with the type of dementia, it is usually of gradual onset, progressive in nature and irreversible.</w:t>
            </w:r>
          </w:p>
        </w:tc>
      </w:tr>
      <w:tr w:rsidR="00886DC4" w:rsidRPr="00C82C51" w14:paraId="0146C54E" w14:textId="77777777" w:rsidTr="004A5202">
        <w:tc>
          <w:tcPr>
            <w:tcW w:w="2547" w:type="dxa"/>
            <w:tcBorders>
              <w:top w:val="single" w:sz="4" w:space="0" w:color="auto"/>
              <w:bottom w:val="single" w:sz="4" w:space="0" w:color="auto"/>
            </w:tcBorders>
            <w:shd w:val="clear" w:color="auto" w:fill="D9D9D9" w:themeFill="background1" w:themeFillShade="D9"/>
          </w:tcPr>
          <w:p w14:paraId="4BBD9251" w14:textId="77777777" w:rsidR="00886DC4" w:rsidRPr="00070A87" w:rsidRDefault="00886DC4" w:rsidP="00886DC4">
            <w:pPr>
              <w:spacing w:before="0" w:after="60"/>
              <w:rPr>
                <w:rFonts w:asciiTheme="minorHAnsi" w:hAnsiTheme="minorHAnsi" w:cstheme="minorHAnsi"/>
                <w:smallCaps/>
                <w:szCs w:val="20"/>
              </w:rPr>
            </w:pPr>
            <w:r w:rsidRPr="00070A87">
              <w:rPr>
                <w:rFonts w:asciiTheme="minorHAnsi" w:hAnsiTheme="minorHAnsi" w:cstheme="minorHAnsi"/>
                <w:smallCaps/>
                <w:szCs w:val="20"/>
              </w:rPr>
              <w:t>DEPARTMENT</w:t>
            </w:r>
          </w:p>
        </w:tc>
        <w:tc>
          <w:tcPr>
            <w:tcW w:w="7264" w:type="dxa"/>
            <w:tcBorders>
              <w:top w:val="single" w:sz="4" w:space="0" w:color="auto"/>
              <w:bottom w:val="single" w:sz="4" w:space="0" w:color="auto"/>
            </w:tcBorders>
            <w:shd w:val="clear" w:color="auto" w:fill="D9D9D9" w:themeFill="background1" w:themeFillShade="D9"/>
          </w:tcPr>
          <w:p w14:paraId="42A2F967" w14:textId="10949C63" w:rsidR="00886DC4" w:rsidRPr="00070A87" w:rsidRDefault="00886DC4" w:rsidP="00781B94">
            <w:pPr>
              <w:pStyle w:val="TableofFigures"/>
            </w:pPr>
            <w:r w:rsidRPr="00070A87">
              <w:t xml:space="preserve">The Australian Government Department of </w:t>
            </w:r>
            <w:r>
              <w:t>Health</w:t>
            </w:r>
            <w:r w:rsidR="00806FFF">
              <w:t>, Disability and Ageing</w:t>
            </w:r>
            <w:r>
              <w:t>.</w:t>
            </w:r>
          </w:p>
        </w:tc>
      </w:tr>
      <w:tr w:rsidR="00886DC4" w:rsidRPr="00C82C51" w14:paraId="2BAA8161" w14:textId="77777777" w:rsidTr="005974C0">
        <w:tc>
          <w:tcPr>
            <w:tcW w:w="2547" w:type="dxa"/>
            <w:tcBorders>
              <w:top w:val="single" w:sz="4" w:space="0" w:color="auto"/>
              <w:bottom w:val="single" w:sz="4" w:space="0" w:color="auto"/>
            </w:tcBorders>
            <w:shd w:val="clear" w:color="auto" w:fill="FFFFFF" w:themeFill="background1"/>
          </w:tcPr>
          <w:p w14:paraId="130BEF7F"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mallCaps/>
                <w:szCs w:val="20"/>
              </w:rPr>
              <w:t>FLEXIBLE CARE</w:t>
            </w:r>
          </w:p>
        </w:tc>
        <w:tc>
          <w:tcPr>
            <w:tcW w:w="7264" w:type="dxa"/>
            <w:tcBorders>
              <w:top w:val="single" w:sz="4" w:space="0" w:color="auto"/>
              <w:bottom w:val="single" w:sz="4" w:space="0" w:color="auto"/>
            </w:tcBorders>
            <w:shd w:val="clear" w:color="auto" w:fill="FFFFFF" w:themeFill="background1"/>
          </w:tcPr>
          <w:p w14:paraId="3F9E0173" w14:textId="48447812" w:rsidR="00886DC4" w:rsidRPr="00070A87" w:rsidRDefault="00886DC4" w:rsidP="002452AD">
            <w:pPr>
              <w:pStyle w:val="TableofFigures"/>
            </w:pPr>
            <w:r w:rsidRPr="00070A87">
              <w:t>Flexible care means care provided in a residential or community setting through an aged care service that addresses the needs of care recipients in alternative ways to the care provided through residential care services and home care services.</w:t>
            </w:r>
            <w:r w:rsidR="002452AD">
              <w:t xml:space="preserve"> </w:t>
            </w:r>
            <w:r w:rsidR="00FF2EA1">
              <w:t>See</w:t>
            </w:r>
            <w:r w:rsidR="00A93430">
              <w:t xml:space="preserve"> </w:t>
            </w:r>
            <w:r w:rsidR="00FF2EA1">
              <w:t>s</w:t>
            </w:r>
            <w:r w:rsidRPr="00070A87">
              <w:t xml:space="preserve">ection 49-3 of the </w:t>
            </w:r>
            <w:r>
              <w:t>Act.</w:t>
            </w:r>
          </w:p>
        </w:tc>
      </w:tr>
      <w:tr w:rsidR="00886DC4" w:rsidRPr="00C82C51" w14:paraId="4400A0A2" w14:textId="77777777" w:rsidTr="004A5202">
        <w:tc>
          <w:tcPr>
            <w:tcW w:w="2547" w:type="dxa"/>
            <w:tcBorders>
              <w:top w:val="single" w:sz="4" w:space="0" w:color="auto"/>
              <w:bottom w:val="nil"/>
            </w:tcBorders>
            <w:shd w:val="clear" w:color="auto" w:fill="D9D9D9" w:themeFill="background1" w:themeFillShade="D9"/>
          </w:tcPr>
          <w:p w14:paraId="47322F98" w14:textId="6ED84086"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lastRenderedPageBreak/>
              <w:t>FLEXIBLE CARE SUBSIDY</w:t>
            </w:r>
          </w:p>
        </w:tc>
        <w:tc>
          <w:tcPr>
            <w:tcW w:w="7264" w:type="dxa"/>
            <w:tcBorders>
              <w:top w:val="single" w:sz="4" w:space="0" w:color="auto"/>
              <w:bottom w:val="nil"/>
            </w:tcBorders>
            <w:shd w:val="clear" w:color="auto" w:fill="D9D9D9" w:themeFill="background1" w:themeFillShade="D9"/>
          </w:tcPr>
          <w:p w14:paraId="6B58AD63" w14:textId="49640B67" w:rsidR="00886DC4" w:rsidRPr="00070A87" w:rsidRDefault="00886DC4" w:rsidP="00781B94">
            <w:pPr>
              <w:pStyle w:val="TableofFigures"/>
              <w:rPr>
                <w:b/>
                <w:i/>
              </w:rPr>
            </w:pPr>
            <w:r w:rsidRPr="00070A87">
              <w:t xml:space="preserve">Flexible care subsidy is a payment by the Australian Government to approved providers for providing flexible care to care recipients. Further information on flexible care subsidy is included in </w:t>
            </w:r>
            <w:r w:rsidRPr="00070A87">
              <w:rPr>
                <w:bCs w:val="0"/>
                <w:iCs w:val="0"/>
              </w:rPr>
              <w:t>Part 3.3</w:t>
            </w:r>
            <w:r w:rsidRPr="00070A87">
              <w:t xml:space="preserve"> of the </w:t>
            </w:r>
            <w:r>
              <w:t>Act</w:t>
            </w:r>
            <w:r w:rsidRPr="00070A87">
              <w:rPr>
                <w:bCs w:val="0"/>
                <w:i/>
                <w:iCs w:val="0"/>
              </w:rPr>
              <w:t xml:space="preserve"> </w:t>
            </w:r>
            <w:r w:rsidRPr="00070A87">
              <w:t xml:space="preserve">and the </w:t>
            </w:r>
            <w:r w:rsidRPr="00070A87">
              <w:rPr>
                <w:bCs w:val="0"/>
                <w:i/>
                <w:iCs w:val="0"/>
              </w:rPr>
              <w:t xml:space="preserve">Subsidy Principles 2014 </w:t>
            </w:r>
            <w:r w:rsidRPr="00070A87">
              <w:t xml:space="preserve">of the Aged Care </w:t>
            </w:r>
            <w:r w:rsidRPr="00070A87">
              <w:rPr>
                <w:bCs w:val="0"/>
                <w:iCs w:val="0"/>
              </w:rPr>
              <w:t>Principles</w:t>
            </w:r>
            <w:r w:rsidRPr="00070A87">
              <w:t>.</w:t>
            </w:r>
          </w:p>
        </w:tc>
      </w:tr>
      <w:tr w:rsidR="00886DC4" w:rsidRPr="00C82C51" w14:paraId="05ECE1FF" w14:textId="77777777" w:rsidTr="005974C0">
        <w:tc>
          <w:tcPr>
            <w:tcW w:w="2547" w:type="dxa"/>
            <w:tcBorders>
              <w:top w:val="single" w:sz="4" w:space="0" w:color="auto"/>
              <w:bottom w:val="single" w:sz="4" w:space="0" w:color="auto"/>
            </w:tcBorders>
            <w:shd w:val="clear" w:color="auto" w:fill="FFFFFF" w:themeFill="background1"/>
          </w:tcPr>
          <w:p w14:paraId="671F2F74"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GP</w:t>
            </w:r>
          </w:p>
        </w:tc>
        <w:tc>
          <w:tcPr>
            <w:tcW w:w="7264" w:type="dxa"/>
            <w:tcBorders>
              <w:top w:val="single" w:sz="4" w:space="0" w:color="auto"/>
              <w:bottom w:val="single" w:sz="4" w:space="0" w:color="auto"/>
            </w:tcBorders>
            <w:shd w:val="clear" w:color="auto" w:fill="FFFFFF" w:themeFill="background1"/>
          </w:tcPr>
          <w:p w14:paraId="326C75B8" w14:textId="1E16590B" w:rsidR="00886DC4" w:rsidRPr="00070A87" w:rsidRDefault="00886DC4" w:rsidP="00781B94">
            <w:pPr>
              <w:pStyle w:val="TableofFigures"/>
            </w:pPr>
            <w:r w:rsidRPr="00070A87">
              <w:t>General Practitioner</w:t>
            </w:r>
            <w:r>
              <w:t>.</w:t>
            </w:r>
          </w:p>
        </w:tc>
      </w:tr>
      <w:tr w:rsidR="00886DC4" w:rsidRPr="00C82C51" w14:paraId="263AB877" w14:textId="77777777" w:rsidTr="004A5202">
        <w:tc>
          <w:tcPr>
            <w:tcW w:w="2547" w:type="dxa"/>
            <w:tcBorders>
              <w:top w:val="single" w:sz="4" w:space="0" w:color="auto"/>
              <w:bottom w:val="single" w:sz="4" w:space="0" w:color="auto"/>
            </w:tcBorders>
            <w:shd w:val="clear" w:color="auto" w:fill="D9D9D9" w:themeFill="background1" w:themeFillShade="D9"/>
          </w:tcPr>
          <w:p w14:paraId="6BA6B86B"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HOME CARE PACKAGE</w:t>
            </w:r>
            <w:r>
              <w:rPr>
                <w:rFonts w:asciiTheme="minorHAnsi" w:hAnsiTheme="minorHAnsi" w:cstheme="minorHAnsi"/>
                <w:szCs w:val="20"/>
              </w:rPr>
              <w:t xml:space="preserve"> (CONSUMER DIRECTED CARE)</w:t>
            </w:r>
          </w:p>
        </w:tc>
        <w:tc>
          <w:tcPr>
            <w:tcW w:w="7264" w:type="dxa"/>
            <w:tcBorders>
              <w:top w:val="single" w:sz="4" w:space="0" w:color="auto"/>
              <w:bottom w:val="single" w:sz="4" w:space="0" w:color="auto"/>
            </w:tcBorders>
            <w:shd w:val="clear" w:color="auto" w:fill="D9D9D9" w:themeFill="background1" w:themeFillShade="D9"/>
          </w:tcPr>
          <w:p w14:paraId="75FDD754" w14:textId="1986AA35" w:rsidR="00886DC4" w:rsidRPr="00EC44FA" w:rsidRDefault="00886DC4" w:rsidP="00781B94">
            <w:pPr>
              <w:pStyle w:val="TableofFigures"/>
            </w:pPr>
            <w:r w:rsidRPr="00EC44FA">
              <w:t xml:space="preserve">A Home Care Package is a coordinated package of services tailored to meet a person’s specific care needs. </w:t>
            </w:r>
            <w:r w:rsidR="004B0F97">
              <w:t>Consumer Directed Care</w:t>
            </w:r>
            <w:r w:rsidRPr="00055F45">
              <w:t xml:space="preserve"> </w:t>
            </w:r>
            <w:r w:rsidRPr="00EC44FA">
              <w:t>provides the consumer with added fle</w:t>
            </w:r>
            <w:r w:rsidRPr="00055F45">
              <w:t>xibility and choice in the delivery of care and services under your home care package.</w:t>
            </w:r>
            <w:r w:rsidR="00DD52D1">
              <w:t xml:space="preserve"> </w:t>
            </w:r>
            <w:r w:rsidRPr="00055F45">
              <w:t xml:space="preserve">It </w:t>
            </w:r>
            <w:r w:rsidRPr="00EC44FA">
              <w:t xml:space="preserve">allows greater control </w:t>
            </w:r>
            <w:r w:rsidRPr="00055F45">
              <w:t>in determining the types of car</w:t>
            </w:r>
            <w:r w:rsidR="00721112">
              <w:t xml:space="preserve">e and services you receive, </w:t>
            </w:r>
            <w:r w:rsidR="00721112" w:rsidRPr="00055F45">
              <w:t>who deliver</w:t>
            </w:r>
            <w:r w:rsidR="00721112">
              <w:t>s</w:t>
            </w:r>
            <w:r w:rsidR="00721112" w:rsidRPr="00055F45">
              <w:t xml:space="preserve"> them,</w:t>
            </w:r>
            <w:r w:rsidRPr="00055F45">
              <w:t xml:space="preserve"> and when.</w:t>
            </w:r>
          </w:p>
        </w:tc>
      </w:tr>
      <w:tr w:rsidR="00886DC4" w:rsidRPr="00C82C51" w14:paraId="3D90129C" w14:textId="77777777" w:rsidTr="005974C0">
        <w:tc>
          <w:tcPr>
            <w:tcW w:w="2547" w:type="dxa"/>
            <w:tcBorders>
              <w:top w:val="single" w:sz="4" w:space="0" w:color="auto"/>
              <w:bottom w:val="single" w:sz="4" w:space="0" w:color="auto"/>
            </w:tcBorders>
            <w:shd w:val="clear" w:color="auto" w:fill="FFFFFF" w:themeFill="background1"/>
          </w:tcPr>
          <w:p w14:paraId="35C365F4"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HOME-LIKE ENVIRONMENT</w:t>
            </w:r>
          </w:p>
        </w:tc>
        <w:tc>
          <w:tcPr>
            <w:tcW w:w="7264" w:type="dxa"/>
            <w:tcBorders>
              <w:top w:val="single" w:sz="4" w:space="0" w:color="auto"/>
              <w:bottom w:val="single" w:sz="4" w:space="0" w:color="auto"/>
            </w:tcBorders>
            <w:shd w:val="clear" w:color="auto" w:fill="FFFFFF" w:themeFill="background1"/>
          </w:tcPr>
          <w:p w14:paraId="242B0860" w14:textId="5AC7D2B5" w:rsidR="00886DC4" w:rsidRPr="00070A87" w:rsidRDefault="00886DC4" w:rsidP="00781B94">
            <w:pPr>
              <w:pStyle w:val="TableofFigures"/>
            </w:pPr>
            <w:r w:rsidRPr="00070A87">
              <w:t xml:space="preserve">Providers of residential based transition care services are expected to provide services </w:t>
            </w:r>
            <w:r w:rsidR="00375AC1">
              <w:t>that reflect the intent of the Transition C</w:t>
            </w:r>
            <w:r w:rsidRPr="00070A87">
              <w:t xml:space="preserve">are </w:t>
            </w:r>
            <w:r w:rsidR="00375AC1">
              <w:t>P</w:t>
            </w:r>
            <w:r w:rsidRPr="00070A87">
              <w:t xml:space="preserve">rogramme and meet the following criteria for a more home-like environment (see </w:t>
            </w:r>
            <w:r w:rsidR="00375AC1">
              <w:t xml:space="preserve">the </w:t>
            </w:r>
            <w:r w:rsidRPr="00070A87">
              <w:t xml:space="preserve">Transition Care Programme </w:t>
            </w:r>
            <w:r>
              <w:t>Restorative Care Requirements</w:t>
            </w:r>
            <w:r w:rsidRPr="00070A87">
              <w:t xml:space="preserve"> at </w:t>
            </w:r>
            <w:r w:rsidR="00A2752A" w:rsidRPr="00A2752A">
              <w:rPr>
                <w:i/>
                <w:iCs w:val="0"/>
              </w:rPr>
              <w:t>Attachment C</w:t>
            </w:r>
            <w:r w:rsidRPr="00070A87">
              <w:t>).</w:t>
            </w:r>
          </w:p>
          <w:p w14:paraId="21ED1056" w14:textId="77777777" w:rsidR="00886DC4" w:rsidRPr="00070A87" w:rsidRDefault="00886DC4" w:rsidP="00781B94">
            <w:pPr>
              <w:pStyle w:val="TableofFigures"/>
            </w:pPr>
            <w:r w:rsidRPr="00070A87">
              <w:t>Residential transition care services are provided in a more home-like, less institutional setting, with the setting including:</w:t>
            </w:r>
          </w:p>
          <w:p w14:paraId="1E987555" w14:textId="68C97F44" w:rsidR="00886DC4" w:rsidRPr="00070A87" w:rsidRDefault="00886DC4" w:rsidP="00762250">
            <w:pPr>
              <w:pStyle w:val="ListParagraph"/>
            </w:pPr>
            <w:r w:rsidRPr="00070A87">
              <w:t xml:space="preserve">communal living space/living room environment </w:t>
            </w:r>
            <w:proofErr w:type="gramStart"/>
            <w:r w:rsidRPr="00070A87">
              <w:t>completely separate</w:t>
            </w:r>
            <w:proofErr w:type="gramEnd"/>
            <w:r w:rsidRPr="00070A87">
              <w:t xml:space="preserve"> from sleeping areas and location of acute/subacute care provision, i.e. a space that encourages family/carers and visitors to spend time with care </w:t>
            </w:r>
            <w:proofErr w:type="gramStart"/>
            <w:r w:rsidRPr="00070A87">
              <w:t>recipients;</w:t>
            </w:r>
            <w:proofErr w:type="gramEnd"/>
          </w:p>
          <w:p w14:paraId="59D9F94C" w14:textId="77777777" w:rsidR="00886DC4" w:rsidRPr="00070A87" w:rsidRDefault="00886DC4" w:rsidP="00762250">
            <w:pPr>
              <w:pStyle w:val="ListParagraph"/>
            </w:pPr>
            <w:r w:rsidRPr="00070A87">
              <w:t xml:space="preserve">a dining area so care recipients are encouraged not to eat in </w:t>
            </w:r>
            <w:proofErr w:type="gramStart"/>
            <w:r w:rsidRPr="00070A87">
              <w:t>bed;</w:t>
            </w:r>
            <w:proofErr w:type="gramEnd"/>
          </w:p>
          <w:p w14:paraId="1A3DB406" w14:textId="4D63DD26" w:rsidR="00886DC4" w:rsidRPr="00070A87" w:rsidRDefault="00886DC4" w:rsidP="00762250">
            <w:pPr>
              <w:pStyle w:val="ListParagraph"/>
            </w:pPr>
            <w:r w:rsidRPr="00070A87">
              <w:t xml:space="preserve">care recipients being encouraged and supported to dress every </w:t>
            </w:r>
            <w:proofErr w:type="gramStart"/>
            <w:r w:rsidRPr="00070A87">
              <w:t>day;</w:t>
            </w:r>
            <w:proofErr w:type="gramEnd"/>
          </w:p>
          <w:p w14:paraId="4C3014BC" w14:textId="77777777" w:rsidR="00886DC4" w:rsidRPr="00070A87" w:rsidRDefault="00886DC4" w:rsidP="00762250">
            <w:pPr>
              <w:pStyle w:val="ListParagraph"/>
            </w:pPr>
            <w:r w:rsidRPr="00070A87">
              <w:t>facilities to prepare snacks etc</w:t>
            </w:r>
            <w:r w:rsidR="00746900">
              <w:t>.</w:t>
            </w:r>
            <w:r w:rsidRPr="00070A87">
              <w:t xml:space="preserve"> by the care recipient themselves or </w:t>
            </w:r>
            <w:proofErr w:type="gramStart"/>
            <w:r w:rsidRPr="00070A87">
              <w:t>visitors;</w:t>
            </w:r>
            <w:proofErr w:type="gramEnd"/>
          </w:p>
          <w:p w14:paraId="6B983FDE" w14:textId="77777777" w:rsidR="00886DC4" w:rsidRPr="00070A87" w:rsidRDefault="00886DC4" w:rsidP="00762250">
            <w:pPr>
              <w:pStyle w:val="ListParagraph"/>
            </w:pPr>
            <w:r w:rsidRPr="00070A87">
              <w:t xml:space="preserve">privacy particularly for personal care and bathing </w:t>
            </w:r>
            <w:proofErr w:type="gramStart"/>
            <w:r w:rsidRPr="00070A87">
              <w:t>arrangements;</w:t>
            </w:r>
            <w:proofErr w:type="gramEnd"/>
          </w:p>
          <w:p w14:paraId="4AD7241B" w14:textId="77777777" w:rsidR="00886DC4" w:rsidRPr="00070A87" w:rsidRDefault="00886DC4" w:rsidP="00762250">
            <w:pPr>
              <w:pStyle w:val="ListParagraph"/>
            </w:pPr>
            <w:r w:rsidRPr="00070A87">
              <w:t xml:space="preserve">space for care recipients to </w:t>
            </w:r>
            <w:r w:rsidR="00375AC1">
              <w:t>move about</w:t>
            </w:r>
            <w:r w:rsidRPr="00070A87">
              <w:t xml:space="preserve"> especially outdoors; (cont.)</w:t>
            </w:r>
          </w:p>
          <w:p w14:paraId="3A90EE69" w14:textId="77777777" w:rsidR="00886DC4" w:rsidRPr="00070A87" w:rsidRDefault="00886DC4" w:rsidP="00762250">
            <w:pPr>
              <w:pStyle w:val="ListParagraph"/>
            </w:pPr>
            <w:r w:rsidRPr="00070A87">
              <w:t>a model of care and staff knowledge that supports the intent of the transition care programme to promote the care recipient’s health and independence.</w:t>
            </w:r>
          </w:p>
          <w:p w14:paraId="6516FA60" w14:textId="265EC332" w:rsidR="00886DC4" w:rsidRPr="00070A87" w:rsidRDefault="00886DC4" w:rsidP="00781B94">
            <w:pPr>
              <w:pStyle w:val="TableofFigures"/>
            </w:pPr>
            <w:r w:rsidRPr="00070A87">
              <w:t xml:space="preserve">Transition care services may also be provided in rural and remote hospitals where appropriate. The requirements for the more home-like environment may be relaxed on a </w:t>
            </w:r>
            <w:r w:rsidR="00A2752A" w:rsidRPr="00070A87">
              <w:t>case-by-case</w:t>
            </w:r>
            <w:r w:rsidRPr="00070A87">
              <w:t xml:space="preserve"> basis in these locations, if relevant.</w:t>
            </w:r>
          </w:p>
        </w:tc>
      </w:tr>
      <w:tr w:rsidR="004851ED" w:rsidRPr="00C82C51" w14:paraId="1F9CC8D0" w14:textId="77777777" w:rsidTr="005974C0">
        <w:tc>
          <w:tcPr>
            <w:tcW w:w="2547" w:type="dxa"/>
            <w:tcBorders>
              <w:top w:val="single" w:sz="4" w:space="0" w:color="auto"/>
              <w:bottom w:val="single" w:sz="4" w:space="0" w:color="auto"/>
            </w:tcBorders>
            <w:shd w:val="clear" w:color="auto" w:fill="FFFFFF" w:themeFill="background1"/>
          </w:tcPr>
          <w:p w14:paraId="27E29D87" w14:textId="7562F658" w:rsidR="004851ED" w:rsidRPr="00070A87" w:rsidRDefault="00141D91" w:rsidP="00886DC4">
            <w:pPr>
              <w:spacing w:before="0" w:after="60"/>
              <w:rPr>
                <w:rFonts w:asciiTheme="minorHAnsi" w:hAnsiTheme="minorHAnsi" w:cstheme="minorHAnsi"/>
                <w:szCs w:val="20"/>
              </w:rPr>
            </w:pPr>
            <w:r>
              <w:rPr>
                <w:rFonts w:asciiTheme="minorHAnsi" w:hAnsiTheme="minorHAnsi" w:cstheme="minorHAnsi"/>
                <w:szCs w:val="20"/>
              </w:rPr>
              <w:t>INTEGRATED ASSESSMENT TOOL (IAT)</w:t>
            </w:r>
          </w:p>
        </w:tc>
        <w:tc>
          <w:tcPr>
            <w:tcW w:w="7264" w:type="dxa"/>
            <w:tcBorders>
              <w:top w:val="single" w:sz="4" w:space="0" w:color="auto"/>
              <w:bottom w:val="single" w:sz="4" w:space="0" w:color="auto"/>
            </w:tcBorders>
            <w:shd w:val="clear" w:color="auto" w:fill="FFFFFF" w:themeFill="background1"/>
          </w:tcPr>
          <w:p w14:paraId="077EFCCA" w14:textId="77777777" w:rsidR="00141D91" w:rsidRDefault="00141D91" w:rsidP="00141D91">
            <w:r w:rsidRPr="00720ED2">
              <w:t xml:space="preserve">The </w:t>
            </w:r>
            <w:r w:rsidRPr="00390397">
              <w:t>Integrated</w:t>
            </w:r>
            <w:r w:rsidRPr="00720ED2">
              <w:t xml:space="preserve"> Assessment </w:t>
            </w:r>
            <w:r w:rsidRPr="00390397">
              <w:t>Tool</w:t>
            </w:r>
            <w:r w:rsidRPr="00720ED2">
              <w:t xml:space="preserve"> </w:t>
            </w:r>
            <w:r>
              <w:t xml:space="preserve">(IAT) </w:t>
            </w:r>
            <w:r w:rsidRPr="00720ED2">
              <w:t xml:space="preserve">is the </w:t>
            </w:r>
            <w:r>
              <w:t xml:space="preserve">dynamic </w:t>
            </w:r>
            <w:r w:rsidRPr="00720ED2">
              <w:t>new assessment tool for older Australians who are seeking to access government subsidised aged care services.</w:t>
            </w:r>
            <w:r>
              <w:t xml:space="preserve"> The IAT has three components:</w:t>
            </w:r>
          </w:p>
          <w:p w14:paraId="2DB4793F" w14:textId="77777777" w:rsidR="00141D91" w:rsidRDefault="00141D91" w:rsidP="00141D91">
            <w:pPr>
              <w:pStyle w:val="ListParagraph"/>
              <w:numPr>
                <w:ilvl w:val="0"/>
                <w:numId w:val="47"/>
              </w:numPr>
              <w:spacing w:before="0" w:after="240"/>
            </w:pPr>
            <w:r>
              <w:t xml:space="preserve">Triage – a process to determine priority of assessment needs for senior </w:t>
            </w:r>
            <w:proofErr w:type="gramStart"/>
            <w:r>
              <w:t>Australians;</w:t>
            </w:r>
            <w:proofErr w:type="gramEnd"/>
          </w:p>
          <w:p w14:paraId="7F9C31A3" w14:textId="77777777" w:rsidR="00141D91" w:rsidRDefault="00141D91" w:rsidP="00141D91">
            <w:pPr>
              <w:pStyle w:val="ListParagraph"/>
              <w:numPr>
                <w:ilvl w:val="0"/>
                <w:numId w:val="47"/>
              </w:numPr>
              <w:spacing w:before="0" w:after="240"/>
            </w:pPr>
            <w:r>
              <w:t>Assessment – an assessment of aged care needs for senior Australians; and</w:t>
            </w:r>
          </w:p>
          <w:p w14:paraId="26292C8F" w14:textId="77777777" w:rsidR="00141D91" w:rsidRPr="004E454A" w:rsidRDefault="00141D91" w:rsidP="00141D91">
            <w:pPr>
              <w:pStyle w:val="ListParagraph"/>
              <w:numPr>
                <w:ilvl w:val="0"/>
                <w:numId w:val="47"/>
              </w:numPr>
              <w:spacing w:before="0" w:after="240"/>
            </w:pPr>
            <w:r>
              <w:t xml:space="preserve">Support plan – a summary of assessment findings, goals and recommendations. </w:t>
            </w:r>
          </w:p>
          <w:p w14:paraId="3BC21497" w14:textId="30403C43" w:rsidR="004851ED" w:rsidRPr="00070A87" w:rsidRDefault="00141D91" w:rsidP="00141D91">
            <w:pPr>
              <w:pStyle w:val="TableofFigures"/>
            </w:pPr>
            <w:r>
              <w:t xml:space="preserve">My aged Care Integrated Assessment Tool : </w:t>
            </w:r>
            <w:hyperlink r:id="rId67" w:history="1">
              <w:r w:rsidRPr="003B6F2C">
                <w:rPr>
                  <w:color w:val="0000FF"/>
                  <w:u w:val="single"/>
                </w:rPr>
                <w:t>My Aged Care – Integrated Assessment Tool (IAT) User Guide | Australian Government Department of Health</w:t>
              </w:r>
              <w:r w:rsidR="00806FFF">
                <w:rPr>
                  <w:color w:val="0000FF"/>
                  <w:u w:val="single"/>
                </w:rPr>
                <w:t>, Disability and Ageing</w:t>
              </w:r>
            </w:hyperlink>
            <w:r w:rsidR="00C40ACF">
              <w:t xml:space="preserve"> </w:t>
            </w:r>
          </w:p>
        </w:tc>
      </w:tr>
      <w:tr w:rsidR="00886DC4" w:rsidRPr="00C82C51" w14:paraId="34261005" w14:textId="77777777" w:rsidTr="004A5202">
        <w:tc>
          <w:tcPr>
            <w:tcW w:w="2547" w:type="dxa"/>
            <w:tcBorders>
              <w:top w:val="single" w:sz="4" w:space="0" w:color="auto"/>
              <w:bottom w:val="single" w:sz="4" w:space="0" w:color="auto"/>
            </w:tcBorders>
            <w:shd w:val="clear" w:color="auto" w:fill="D9D9D9" w:themeFill="background1" w:themeFillShade="D9"/>
          </w:tcPr>
          <w:p w14:paraId="5B26CD6D"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IN-PATIENT HOSPITAL EPISODE</w:t>
            </w:r>
          </w:p>
        </w:tc>
        <w:tc>
          <w:tcPr>
            <w:tcW w:w="7264" w:type="dxa"/>
            <w:tcBorders>
              <w:top w:val="single" w:sz="4" w:space="0" w:color="auto"/>
              <w:bottom w:val="single" w:sz="4" w:space="0" w:color="auto"/>
            </w:tcBorders>
            <w:shd w:val="clear" w:color="auto" w:fill="D9D9D9" w:themeFill="background1" w:themeFillShade="D9"/>
          </w:tcPr>
          <w:p w14:paraId="7AA3B7DE" w14:textId="77777777" w:rsidR="00886DC4" w:rsidRPr="00070A87" w:rsidRDefault="00886DC4" w:rsidP="00781B94">
            <w:pPr>
              <w:pStyle w:val="TableofFigures"/>
            </w:pPr>
            <w:r w:rsidRPr="00070A87">
              <w:t>In relation to a care recipient, means a continuous period during which the care recipient:</w:t>
            </w:r>
          </w:p>
          <w:p w14:paraId="75D1C7B7" w14:textId="77777777" w:rsidR="00886DC4" w:rsidRPr="00070A87" w:rsidRDefault="00886DC4" w:rsidP="00762250">
            <w:pPr>
              <w:pStyle w:val="ListParagraph"/>
              <w:numPr>
                <w:ilvl w:val="0"/>
                <w:numId w:val="15"/>
              </w:numPr>
            </w:pPr>
            <w:r w:rsidRPr="00070A87">
              <w:t>is an in-patient of a hospital; and</w:t>
            </w:r>
          </w:p>
          <w:p w14:paraId="0BE7B24B" w14:textId="12C7C799" w:rsidR="00886DC4" w:rsidRPr="00070A87" w:rsidRDefault="00886DC4" w:rsidP="00762250">
            <w:pPr>
              <w:pStyle w:val="ListParagraph"/>
              <w:numPr>
                <w:ilvl w:val="0"/>
                <w:numId w:val="15"/>
              </w:numPr>
            </w:pPr>
            <w:r w:rsidRPr="00070A87">
              <w:t>is provided with acute care or subacute care or both.</w:t>
            </w:r>
          </w:p>
          <w:p w14:paraId="52AF8FA2" w14:textId="01FE3F3E" w:rsidR="00886DC4" w:rsidRPr="00070A87" w:rsidRDefault="00DB2441" w:rsidP="00781B94">
            <w:pPr>
              <w:pStyle w:val="TableofFigures"/>
            </w:pPr>
            <w:bookmarkStart w:id="482" w:name="OLE_LINK1"/>
            <w:r>
              <w:t>See section 4</w:t>
            </w:r>
            <w:r w:rsidR="00886DC4" w:rsidRPr="00070A87">
              <w:t xml:space="preserve"> of the </w:t>
            </w:r>
            <w:bookmarkEnd w:id="482"/>
            <w:r w:rsidR="00886DC4" w:rsidRPr="00070A87">
              <w:t>Subsidy Principles 2014</w:t>
            </w:r>
            <w:r w:rsidR="00886DC4">
              <w:t>.</w:t>
            </w:r>
          </w:p>
        </w:tc>
      </w:tr>
      <w:tr w:rsidR="00886DC4" w:rsidRPr="00C82C51" w14:paraId="32047278" w14:textId="77777777" w:rsidTr="00721B9E">
        <w:tc>
          <w:tcPr>
            <w:tcW w:w="2547" w:type="dxa"/>
            <w:tcBorders>
              <w:top w:val="single" w:sz="4" w:space="0" w:color="auto"/>
              <w:bottom w:val="single" w:sz="4" w:space="0" w:color="auto"/>
            </w:tcBorders>
            <w:shd w:val="clear" w:color="auto" w:fill="FFFFFF" w:themeFill="background1"/>
          </w:tcPr>
          <w:p w14:paraId="33416550"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LOW INTENSITY THERAPY</w:t>
            </w:r>
          </w:p>
        </w:tc>
        <w:tc>
          <w:tcPr>
            <w:tcW w:w="7264" w:type="dxa"/>
            <w:tcBorders>
              <w:top w:val="single" w:sz="4" w:space="0" w:color="auto"/>
              <w:bottom w:val="single" w:sz="4" w:space="0" w:color="auto"/>
            </w:tcBorders>
            <w:shd w:val="clear" w:color="auto" w:fill="FFFFFF" w:themeFill="background1"/>
          </w:tcPr>
          <w:p w14:paraId="6ED86B34" w14:textId="6340B8F2"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 xml:space="preserve">In relation to a care recipient, means therapy that: </w:t>
            </w:r>
          </w:p>
          <w:p w14:paraId="7F958C1E" w14:textId="1540F8A6" w:rsidR="00886DC4" w:rsidRPr="00070A87" w:rsidRDefault="00886DC4" w:rsidP="00762250">
            <w:pPr>
              <w:pStyle w:val="ListParagraph"/>
              <w:numPr>
                <w:ilvl w:val="0"/>
                <w:numId w:val="16"/>
              </w:numPr>
            </w:pPr>
            <w:r w:rsidRPr="00070A87">
              <w:t>maintains the care recipient’s physical and cognitive functioning; and</w:t>
            </w:r>
          </w:p>
          <w:p w14:paraId="272D6033" w14:textId="3C7B7548" w:rsidR="00886DC4" w:rsidRPr="00070A87" w:rsidRDefault="00886DC4" w:rsidP="00762250">
            <w:pPr>
              <w:pStyle w:val="ListParagraph"/>
              <w:numPr>
                <w:ilvl w:val="0"/>
                <w:numId w:val="16"/>
              </w:numPr>
            </w:pPr>
            <w:r w:rsidRPr="00070A87">
              <w:lastRenderedPageBreak/>
              <w:t>facilitates an improvement in the care re</w:t>
            </w:r>
            <w:r w:rsidR="00023963">
              <w:t>cipient’s capacity in relation to</w:t>
            </w:r>
            <w:r w:rsidRPr="00070A87">
              <w:t xml:space="preserve"> activities of daily living.</w:t>
            </w:r>
          </w:p>
          <w:p w14:paraId="12D03D67" w14:textId="77777777" w:rsidR="00886DC4" w:rsidRPr="00070A87" w:rsidRDefault="00886DC4" w:rsidP="00781B94">
            <w:pPr>
              <w:pStyle w:val="TableofFigures"/>
              <w:rPr>
                <w:i/>
              </w:rPr>
            </w:pPr>
            <w:r w:rsidRPr="00070A87">
              <w:t>Examples</w:t>
            </w:r>
            <w:r w:rsidR="006832A9">
              <w:t xml:space="preserve"> include</w:t>
            </w:r>
            <w:r>
              <w:t>:</w:t>
            </w:r>
          </w:p>
          <w:p w14:paraId="59D046B9" w14:textId="674F3208" w:rsidR="00886DC4" w:rsidRPr="00070A87" w:rsidRDefault="00886DC4" w:rsidP="00762250">
            <w:pPr>
              <w:pStyle w:val="DefinitionList"/>
              <w:numPr>
                <w:ilvl w:val="0"/>
                <w:numId w:val="2"/>
              </w:numPr>
              <w:tabs>
                <w:tab w:val="clear" w:pos="754"/>
                <w:tab w:val="left" w:pos="0"/>
                <w:tab w:val="num" w:pos="459"/>
              </w:tabs>
              <w:spacing w:after="60"/>
              <w:ind w:left="748" w:hanging="714"/>
              <w:rPr>
                <w:rFonts w:asciiTheme="minorHAnsi" w:hAnsiTheme="minorHAnsi" w:cstheme="minorHAnsi"/>
                <w:szCs w:val="20"/>
              </w:rPr>
            </w:pPr>
            <w:r w:rsidRPr="00070A87">
              <w:rPr>
                <w:rFonts w:asciiTheme="minorHAnsi" w:hAnsiTheme="minorHAnsi" w:cstheme="minorHAnsi"/>
                <w:szCs w:val="20"/>
              </w:rPr>
              <w:t xml:space="preserve">Occupational </w:t>
            </w:r>
            <w:proofErr w:type="gramStart"/>
            <w:r w:rsidRPr="00070A87">
              <w:rPr>
                <w:rFonts w:asciiTheme="minorHAnsi" w:hAnsiTheme="minorHAnsi" w:cstheme="minorHAnsi"/>
                <w:szCs w:val="20"/>
              </w:rPr>
              <w:t>therapy</w:t>
            </w:r>
            <w:r w:rsidR="00023963">
              <w:rPr>
                <w:rFonts w:asciiTheme="minorHAnsi" w:hAnsiTheme="minorHAnsi" w:cstheme="minorHAnsi"/>
                <w:szCs w:val="20"/>
              </w:rPr>
              <w:t>;</w:t>
            </w:r>
            <w:proofErr w:type="gramEnd"/>
          </w:p>
          <w:p w14:paraId="26360ACA" w14:textId="643F45CE" w:rsidR="00886DC4" w:rsidRPr="00070A87" w:rsidRDefault="00023963" w:rsidP="00762250">
            <w:pPr>
              <w:pStyle w:val="DefinitionList"/>
              <w:numPr>
                <w:ilvl w:val="0"/>
                <w:numId w:val="2"/>
              </w:numPr>
              <w:tabs>
                <w:tab w:val="clear" w:pos="754"/>
                <w:tab w:val="left" w:pos="0"/>
                <w:tab w:val="num" w:pos="459"/>
              </w:tabs>
              <w:spacing w:after="60"/>
              <w:ind w:left="748" w:hanging="714"/>
              <w:rPr>
                <w:rFonts w:asciiTheme="minorHAnsi" w:hAnsiTheme="minorHAnsi" w:cstheme="minorHAnsi"/>
                <w:szCs w:val="20"/>
              </w:rPr>
            </w:pPr>
            <w:proofErr w:type="gramStart"/>
            <w:r>
              <w:rPr>
                <w:rFonts w:asciiTheme="minorHAnsi" w:hAnsiTheme="minorHAnsi" w:cstheme="minorHAnsi"/>
                <w:szCs w:val="20"/>
              </w:rPr>
              <w:t>Physiotherapy;</w:t>
            </w:r>
            <w:proofErr w:type="gramEnd"/>
          </w:p>
          <w:p w14:paraId="0248AA39" w14:textId="6A65D510" w:rsidR="00886DC4" w:rsidRPr="00070A87" w:rsidRDefault="00886DC4" w:rsidP="00762250">
            <w:pPr>
              <w:pStyle w:val="DefinitionList"/>
              <w:numPr>
                <w:ilvl w:val="0"/>
                <w:numId w:val="2"/>
              </w:numPr>
              <w:tabs>
                <w:tab w:val="clear" w:pos="754"/>
                <w:tab w:val="left" w:pos="0"/>
                <w:tab w:val="num" w:pos="459"/>
              </w:tabs>
              <w:spacing w:after="60"/>
              <w:ind w:left="748" w:hanging="714"/>
              <w:rPr>
                <w:rFonts w:asciiTheme="minorHAnsi" w:hAnsiTheme="minorHAnsi" w:cstheme="minorHAnsi"/>
                <w:szCs w:val="20"/>
              </w:rPr>
            </w:pPr>
            <w:r w:rsidRPr="00070A87">
              <w:rPr>
                <w:rFonts w:asciiTheme="minorHAnsi" w:hAnsiTheme="minorHAnsi" w:cstheme="minorHAnsi"/>
                <w:szCs w:val="20"/>
              </w:rPr>
              <w:t>Social work.</w:t>
            </w:r>
          </w:p>
          <w:p w14:paraId="38B70115" w14:textId="77777777" w:rsidR="00886DC4" w:rsidRPr="00070A87" w:rsidRDefault="00886DC4" w:rsidP="00781B94">
            <w:pPr>
              <w:pStyle w:val="TableofFigures"/>
            </w:pPr>
            <w:r w:rsidRPr="00070A87">
              <w:t>S</w:t>
            </w:r>
            <w:r w:rsidR="00023963">
              <w:t>ee section 4</w:t>
            </w:r>
            <w:r w:rsidRPr="00070A87">
              <w:t xml:space="preserve"> of the Subsidy Principles 2014</w:t>
            </w:r>
            <w:r w:rsidR="00023963">
              <w:t>.</w:t>
            </w:r>
          </w:p>
          <w:p w14:paraId="5FB15B32" w14:textId="7B6198B1" w:rsidR="00886DC4" w:rsidRPr="00070A87" w:rsidRDefault="00886DC4" w:rsidP="00781B94">
            <w:pPr>
              <w:pStyle w:val="TableofFigures"/>
            </w:pPr>
            <w:r w:rsidRPr="00070A87">
              <w:t xml:space="preserve">The therapy services that transition care service providers must be able to provide, if required by a care recipient, are detailed under item 3.4 Therapy services of </w:t>
            </w:r>
            <w:r w:rsidRPr="00070A87">
              <w:rPr>
                <w:i/>
              </w:rPr>
              <w:t>Schedule 1: Specified care and services for transition care services</w:t>
            </w:r>
            <w:r w:rsidRPr="00070A87">
              <w:t xml:space="preserve"> at </w:t>
            </w:r>
            <w:r w:rsidR="00A2752A" w:rsidRPr="00A2752A">
              <w:rPr>
                <w:i/>
                <w:iCs w:val="0"/>
              </w:rPr>
              <w:t>Attachment B</w:t>
            </w:r>
            <w:r w:rsidRPr="00070A87">
              <w:t>.</w:t>
            </w:r>
          </w:p>
        </w:tc>
      </w:tr>
      <w:tr w:rsidR="00886DC4" w:rsidRPr="00C82C51" w14:paraId="2B2AF5CB" w14:textId="77777777" w:rsidTr="004A5202">
        <w:tc>
          <w:tcPr>
            <w:tcW w:w="2547" w:type="dxa"/>
            <w:tcBorders>
              <w:top w:val="single" w:sz="4" w:space="0" w:color="auto"/>
              <w:bottom w:val="single" w:sz="4" w:space="0" w:color="auto"/>
            </w:tcBorders>
            <w:shd w:val="clear" w:color="auto" w:fill="D9D9D9" w:themeFill="background1" w:themeFillShade="D9"/>
          </w:tcPr>
          <w:p w14:paraId="6FA82F3F"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MINISTER</w:t>
            </w:r>
          </w:p>
        </w:tc>
        <w:tc>
          <w:tcPr>
            <w:tcW w:w="7264" w:type="dxa"/>
            <w:tcBorders>
              <w:top w:val="single" w:sz="4" w:space="0" w:color="auto"/>
              <w:bottom w:val="single" w:sz="4" w:space="0" w:color="auto"/>
            </w:tcBorders>
            <w:shd w:val="clear" w:color="auto" w:fill="D9D9D9" w:themeFill="background1" w:themeFillShade="D9"/>
          </w:tcPr>
          <w:p w14:paraId="222972EF" w14:textId="1C793BF9" w:rsidR="00886DC4" w:rsidRPr="00070A87" w:rsidRDefault="00886DC4" w:rsidP="00781B94">
            <w:pPr>
              <w:pStyle w:val="TableofFigures"/>
            </w:pPr>
            <w:r w:rsidRPr="00070A87">
              <w:t xml:space="preserve">The </w:t>
            </w:r>
            <w:r w:rsidR="001972E2">
              <w:t xml:space="preserve">Australian </w:t>
            </w:r>
            <w:r w:rsidRPr="00070A87">
              <w:t>Government Minister with portfolio responsibility for Age</w:t>
            </w:r>
            <w:r w:rsidR="00043046">
              <w:t>d Care</w:t>
            </w:r>
            <w:r w:rsidRPr="00070A87">
              <w:t>.</w:t>
            </w:r>
          </w:p>
        </w:tc>
      </w:tr>
      <w:tr w:rsidR="00886DC4" w:rsidRPr="00C82C51" w14:paraId="07765F62" w14:textId="77777777" w:rsidTr="00055F45">
        <w:tc>
          <w:tcPr>
            <w:tcW w:w="2547" w:type="dxa"/>
            <w:tcBorders>
              <w:top w:val="single" w:sz="4" w:space="0" w:color="auto"/>
              <w:bottom w:val="single" w:sz="4" w:space="0" w:color="auto"/>
            </w:tcBorders>
            <w:shd w:val="clear" w:color="auto" w:fill="FFFFFF" w:themeFill="background1"/>
          </w:tcPr>
          <w:p w14:paraId="2A2444B7" w14:textId="77777777" w:rsidR="00886DC4" w:rsidRDefault="00886DC4" w:rsidP="00886DC4">
            <w:pPr>
              <w:spacing w:before="0" w:after="60"/>
              <w:rPr>
                <w:rFonts w:asciiTheme="minorHAnsi" w:hAnsiTheme="minorHAnsi" w:cstheme="minorHAnsi"/>
                <w:szCs w:val="20"/>
              </w:rPr>
            </w:pPr>
            <w:r>
              <w:rPr>
                <w:rFonts w:asciiTheme="minorHAnsi" w:hAnsiTheme="minorHAnsi" w:cstheme="minorHAnsi"/>
                <w:szCs w:val="20"/>
              </w:rPr>
              <w:t>MULTIDISCIPLINARY TEAM (MDT)</w:t>
            </w:r>
          </w:p>
        </w:tc>
        <w:tc>
          <w:tcPr>
            <w:tcW w:w="7264" w:type="dxa"/>
            <w:tcBorders>
              <w:top w:val="single" w:sz="4" w:space="0" w:color="auto"/>
              <w:bottom w:val="single" w:sz="4" w:space="0" w:color="auto"/>
            </w:tcBorders>
            <w:shd w:val="clear" w:color="auto" w:fill="FFFFFF" w:themeFill="background1"/>
          </w:tcPr>
          <w:p w14:paraId="4C6CDD66" w14:textId="49F3CB61" w:rsidR="00886DC4" w:rsidRDefault="00886DC4" w:rsidP="00794067">
            <w:pPr>
              <w:pStyle w:val="DefinitionTerm"/>
              <w:spacing w:after="60"/>
              <w:rPr>
                <w:rFonts w:asciiTheme="minorHAnsi" w:hAnsiTheme="minorHAnsi" w:cstheme="minorHAnsi"/>
                <w:szCs w:val="20"/>
              </w:rPr>
            </w:pPr>
            <w:r w:rsidRPr="003B3FB8">
              <w:rPr>
                <w:rFonts w:asciiTheme="minorHAnsi" w:hAnsiTheme="minorHAnsi" w:cstheme="minorHAnsi"/>
                <w:szCs w:val="20"/>
              </w:rPr>
              <w:t>An M</w:t>
            </w:r>
            <w:r w:rsidR="00BE6E55">
              <w:rPr>
                <w:rFonts w:asciiTheme="minorHAnsi" w:hAnsiTheme="minorHAnsi" w:cstheme="minorHAnsi"/>
                <w:szCs w:val="20"/>
              </w:rPr>
              <w:t>DT</w:t>
            </w:r>
            <w:r w:rsidRPr="003B3FB8">
              <w:rPr>
                <w:rFonts w:asciiTheme="minorHAnsi" w:hAnsiTheme="minorHAnsi" w:cstheme="minorHAnsi"/>
                <w:szCs w:val="20"/>
              </w:rPr>
              <w:t xml:space="preserve"> is a care team </w:t>
            </w:r>
            <w:r>
              <w:rPr>
                <w:rFonts w:asciiTheme="minorHAnsi" w:hAnsiTheme="minorHAnsi" w:cstheme="minorHAnsi"/>
                <w:szCs w:val="20"/>
              </w:rPr>
              <w:t>made up of three or more health care disciplines</w:t>
            </w:r>
            <w:r w:rsidRPr="003B3FB8">
              <w:rPr>
                <w:rFonts w:asciiTheme="minorHAnsi" w:hAnsiTheme="minorHAnsi" w:cstheme="minorHAnsi"/>
                <w:szCs w:val="20"/>
              </w:rPr>
              <w:t xml:space="preserve">, </w:t>
            </w:r>
            <w:r w:rsidR="00214F15">
              <w:rPr>
                <w:rFonts w:asciiTheme="minorHAnsi" w:hAnsiTheme="minorHAnsi" w:cstheme="minorHAnsi"/>
                <w:szCs w:val="20"/>
              </w:rPr>
              <w:t>e.g.,</w:t>
            </w:r>
            <w:r w:rsidR="00794067">
              <w:rPr>
                <w:rFonts w:asciiTheme="minorHAnsi" w:hAnsiTheme="minorHAnsi" w:cstheme="minorHAnsi"/>
                <w:szCs w:val="20"/>
              </w:rPr>
              <w:t xml:space="preserve"> </w:t>
            </w:r>
            <w:r>
              <w:rPr>
                <w:rFonts w:asciiTheme="minorHAnsi" w:hAnsiTheme="minorHAnsi" w:cstheme="minorHAnsi"/>
                <w:szCs w:val="20"/>
              </w:rPr>
              <w:t xml:space="preserve">general practitioner, geriatric, </w:t>
            </w:r>
            <w:r w:rsidRPr="003B3FB8">
              <w:rPr>
                <w:rFonts w:asciiTheme="minorHAnsi" w:hAnsiTheme="minorHAnsi" w:cstheme="minorHAnsi"/>
                <w:szCs w:val="20"/>
              </w:rPr>
              <w:t>nursing, pharmacy, physiotherapy, dental, podiatry, nutrition, optometry, psychol</w:t>
            </w:r>
            <w:r w:rsidRPr="008302F1">
              <w:rPr>
                <w:rFonts w:asciiTheme="minorHAnsi" w:hAnsiTheme="minorHAnsi" w:cstheme="minorHAnsi"/>
                <w:szCs w:val="20"/>
              </w:rPr>
              <w:t xml:space="preserve">ogy, occupational therapy, social </w:t>
            </w:r>
            <w:r>
              <w:rPr>
                <w:rFonts w:asciiTheme="minorHAnsi" w:hAnsiTheme="minorHAnsi" w:cstheme="minorHAnsi"/>
                <w:szCs w:val="20"/>
              </w:rPr>
              <w:t>work, and speech pathology.</w:t>
            </w:r>
          </w:p>
        </w:tc>
      </w:tr>
      <w:tr w:rsidR="00886DC4" w:rsidRPr="00C82C51" w14:paraId="02BEED37" w14:textId="77777777" w:rsidTr="004A5202">
        <w:tc>
          <w:tcPr>
            <w:tcW w:w="2547" w:type="dxa"/>
            <w:tcBorders>
              <w:top w:val="single" w:sz="4" w:space="0" w:color="auto"/>
              <w:bottom w:val="single" w:sz="4" w:space="0" w:color="auto"/>
            </w:tcBorders>
            <w:shd w:val="clear" w:color="auto" w:fill="D9D9D9" w:themeFill="background1" w:themeFillShade="D9"/>
          </w:tcPr>
          <w:p w14:paraId="6335F775" w14:textId="77777777" w:rsidR="00886DC4" w:rsidRDefault="00886DC4" w:rsidP="000F4156">
            <w:pPr>
              <w:spacing w:before="0" w:after="60"/>
              <w:rPr>
                <w:rFonts w:asciiTheme="minorHAnsi" w:hAnsiTheme="minorHAnsi" w:cstheme="minorHAnsi"/>
                <w:szCs w:val="20"/>
              </w:rPr>
            </w:pPr>
            <w:r>
              <w:rPr>
                <w:rFonts w:asciiTheme="minorHAnsi" w:hAnsiTheme="minorHAnsi" w:cstheme="minorHAnsi"/>
                <w:szCs w:val="20"/>
              </w:rPr>
              <w:t>NATIONAL SAFETY AND QUALITY HEALTH SERVICE STANDARDS (</w:t>
            </w:r>
            <w:r w:rsidR="000F4156">
              <w:rPr>
                <w:rFonts w:asciiTheme="minorHAnsi" w:hAnsiTheme="minorHAnsi" w:cstheme="minorHAnsi"/>
                <w:szCs w:val="20"/>
              </w:rPr>
              <w:t>Second Edition</w:t>
            </w:r>
            <w:r>
              <w:rPr>
                <w:rFonts w:asciiTheme="minorHAnsi" w:hAnsiTheme="minorHAnsi" w:cstheme="minorHAnsi"/>
                <w:szCs w:val="20"/>
              </w:rPr>
              <w:t>) (NSQHS Standards)</w:t>
            </w:r>
          </w:p>
        </w:tc>
        <w:tc>
          <w:tcPr>
            <w:tcW w:w="7264" w:type="dxa"/>
            <w:tcBorders>
              <w:top w:val="single" w:sz="4" w:space="0" w:color="auto"/>
              <w:bottom w:val="single" w:sz="4" w:space="0" w:color="auto"/>
            </w:tcBorders>
            <w:shd w:val="clear" w:color="auto" w:fill="D9D9D9" w:themeFill="background1" w:themeFillShade="D9"/>
          </w:tcPr>
          <w:p w14:paraId="286340F0" w14:textId="77777777" w:rsidR="00886DC4" w:rsidRDefault="00886DC4" w:rsidP="00781B94">
            <w:pPr>
              <w:pStyle w:val="TableofFigures"/>
            </w:pPr>
            <w:r>
              <w:t>The NSQHS Standards provide a nationally consistent statement about the level of care people can expect from health services.</w:t>
            </w:r>
          </w:p>
        </w:tc>
      </w:tr>
      <w:tr w:rsidR="00886DC4" w:rsidRPr="00C82C51" w14:paraId="7ECF621B" w14:textId="77777777" w:rsidTr="004A5202">
        <w:tc>
          <w:tcPr>
            <w:tcW w:w="2547" w:type="dxa"/>
            <w:tcBorders>
              <w:top w:val="single" w:sz="4" w:space="0" w:color="auto"/>
              <w:bottom w:val="single" w:sz="4" w:space="0" w:color="auto"/>
            </w:tcBorders>
            <w:shd w:val="clear" w:color="auto" w:fill="D9D9D9" w:themeFill="background1" w:themeFillShade="D9"/>
          </w:tcPr>
          <w:p w14:paraId="2D00303D"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mallCaps/>
                <w:szCs w:val="20"/>
              </w:rPr>
              <w:t>OLDER PEOPLE</w:t>
            </w:r>
          </w:p>
        </w:tc>
        <w:tc>
          <w:tcPr>
            <w:tcW w:w="7264" w:type="dxa"/>
            <w:tcBorders>
              <w:top w:val="single" w:sz="4" w:space="0" w:color="auto"/>
              <w:bottom w:val="single" w:sz="4" w:space="0" w:color="auto"/>
            </w:tcBorders>
            <w:shd w:val="clear" w:color="auto" w:fill="D9D9D9" w:themeFill="background1" w:themeFillShade="D9"/>
          </w:tcPr>
          <w:p w14:paraId="7B477138" w14:textId="1A54C7E9" w:rsidR="00886DC4" w:rsidRPr="00070A87" w:rsidRDefault="00886DC4" w:rsidP="00781B94">
            <w:pPr>
              <w:pStyle w:val="TableofFigures"/>
            </w:pPr>
            <w:r w:rsidRPr="00070A87">
              <w:t xml:space="preserve">For the purposes of aged care planning, older people are regarded as those aged </w:t>
            </w:r>
            <w:r>
              <w:t>65</w:t>
            </w:r>
            <w:r w:rsidRPr="00070A87">
              <w:t xml:space="preserve"> years and over or 50 years and over if Aboriginal and Torres Strait Islander people. The </w:t>
            </w:r>
            <w:r>
              <w:t>Act</w:t>
            </w:r>
            <w:r w:rsidRPr="00070A87">
              <w:t xml:space="preserve"> does not specify an age when a person becomes an aged person.</w:t>
            </w:r>
          </w:p>
        </w:tc>
      </w:tr>
      <w:tr w:rsidR="00886DC4" w:rsidRPr="00C82C51" w14:paraId="5207A1F2" w14:textId="77777777" w:rsidTr="005974C0">
        <w:tc>
          <w:tcPr>
            <w:tcW w:w="2547" w:type="dxa"/>
            <w:tcBorders>
              <w:top w:val="single" w:sz="4" w:space="0" w:color="auto"/>
              <w:bottom w:val="single" w:sz="4" w:space="0" w:color="auto"/>
            </w:tcBorders>
            <w:shd w:val="clear" w:color="auto" w:fill="FFFFFF" w:themeFill="background1"/>
          </w:tcPr>
          <w:p w14:paraId="74F3B43F" w14:textId="77777777" w:rsidR="00886DC4" w:rsidRPr="00070A87" w:rsidRDefault="00886DC4" w:rsidP="00886DC4">
            <w:pPr>
              <w:spacing w:before="0" w:after="60"/>
              <w:rPr>
                <w:rFonts w:asciiTheme="minorHAnsi" w:hAnsiTheme="minorHAnsi" w:cstheme="minorHAnsi"/>
                <w:smallCaps/>
                <w:szCs w:val="20"/>
              </w:rPr>
            </w:pPr>
            <w:r>
              <w:rPr>
                <w:rFonts w:asciiTheme="minorHAnsi" w:hAnsiTheme="minorHAnsi" w:cstheme="minorHAnsi"/>
                <w:smallCaps/>
                <w:szCs w:val="20"/>
              </w:rPr>
              <w:t>OLDER PERSONS ADVOCACY NETWORK (OPAN)</w:t>
            </w:r>
          </w:p>
        </w:tc>
        <w:tc>
          <w:tcPr>
            <w:tcW w:w="7264" w:type="dxa"/>
            <w:tcBorders>
              <w:top w:val="single" w:sz="4" w:space="0" w:color="auto"/>
              <w:bottom w:val="single" w:sz="4" w:space="0" w:color="auto"/>
            </w:tcBorders>
            <w:shd w:val="clear" w:color="auto" w:fill="FFFFFF" w:themeFill="background1"/>
          </w:tcPr>
          <w:p w14:paraId="4456BA44" w14:textId="0767F046" w:rsidR="00886DC4" w:rsidRDefault="00886DC4" w:rsidP="00781B94">
            <w:pPr>
              <w:pStyle w:val="TableofFigures"/>
            </w:pPr>
            <w:r>
              <w:t xml:space="preserve">OPAN is an Australia-wide </w:t>
            </w:r>
            <w:r w:rsidR="004A5202">
              <w:t>network that provides free advocacy services for care recipients, their families</w:t>
            </w:r>
            <w:r>
              <w:t xml:space="preserve"> and carers in relation to Australian Government funded aged care services, including transition care.</w:t>
            </w:r>
          </w:p>
          <w:p w14:paraId="4E349366" w14:textId="28CE1A10" w:rsidR="00886DC4" w:rsidRPr="00C20089" w:rsidRDefault="00886DC4" w:rsidP="00781B94">
            <w:pPr>
              <w:pStyle w:val="TableofFigures"/>
              <w:rPr>
                <w:spacing w:val="0"/>
              </w:rPr>
            </w:pPr>
            <w:r w:rsidRPr="00055F45">
              <w:rPr>
                <w:spacing w:val="0"/>
              </w:rPr>
              <w:t>OPAN can be con</w:t>
            </w:r>
            <w:r w:rsidR="00375AC1">
              <w:rPr>
                <w:spacing w:val="0"/>
              </w:rPr>
              <w:t>tacted on 1800 700 600 between 8.00am and 8.0</w:t>
            </w:r>
            <w:r w:rsidRPr="00055F45">
              <w:rPr>
                <w:spacing w:val="0"/>
              </w:rPr>
              <w:t xml:space="preserve">0pm from Monday to Friday. Further details about OPAN </w:t>
            </w:r>
            <w:r w:rsidR="00BE6E55">
              <w:rPr>
                <w:spacing w:val="0"/>
              </w:rPr>
              <w:t>are</w:t>
            </w:r>
            <w:r w:rsidRPr="00055F45">
              <w:rPr>
                <w:spacing w:val="0"/>
              </w:rPr>
              <w:t xml:space="preserve"> available at </w:t>
            </w:r>
            <w:hyperlink r:id="rId68" w:history="1">
              <w:r w:rsidRPr="006432AD">
                <w:rPr>
                  <w:color w:val="0070C0"/>
                  <w:spacing w:val="0"/>
                  <w:u w:val="single"/>
                </w:rPr>
                <w:t>www.opan.com.au</w:t>
              </w:r>
            </w:hyperlink>
            <w:r w:rsidRPr="00055F45">
              <w:rPr>
                <w:spacing w:val="0"/>
              </w:rPr>
              <w:t>.</w:t>
            </w:r>
          </w:p>
        </w:tc>
      </w:tr>
      <w:tr w:rsidR="00886DC4" w:rsidRPr="00C82C51" w14:paraId="17C5132E" w14:textId="77777777" w:rsidTr="004A5202">
        <w:tc>
          <w:tcPr>
            <w:tcW w:w="2547" w:type="dxa"/>
            <w:tcBorders>
              <w:top w:val="single" w:sz="4" w:space="0" w:color="auto"/>
              <w:bottom w:val="single" w:sz="4" w:space="0" w:color="auto"/>
            </w:tcBorders>
            <w:shd w:val="clear" w:color="auto" w:fill="D9D9D9" w:themeFill="background1" w:themeFillShade="D9"/>
          </w:tcPr>
          <w:p w14:paraId="09DC9E5A"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REHABILITATION</w:t>
            </w:r>
          </w:p>
        </w:tc>
        <w:tc>
          <w:tcPr>
            <w:tcW w:w="7264" w:type="dxa"/>
            <w:tcBorders>
              <w:top w:val="single" w:sz="4" w:space="0" w:color="auto"/>
              <w:bottom w:val="single" w:sz="4" w:space="0" w:color="auto"/>
            </w:tcBorders>
            <w:shd w:val="clear" w:color="auto" w:fill="D9D9D9" w:themeFill="background1" w:themeFillShade="D9"/>
          </w:tcPr>
          <w:p w14:paraId="6FB3A993" w14:textId="4D40EE69" w:rsidR="00886DC4" w:rsidRPr="00165930" w:rsidRDefault="00886DC4" w:rsidP="00781B94">
            <w:pPr>
              <w:pStyle w:val="TableofFigures"/>
            </w:pPr>
            <w:r w:rsidRPr="00070A87">
              <w:t xml:space="preserve">Rehabilitation, in the context of transition care, is a form of subacute care as outlined in section 4 of the </w:t>
            </w:r>
            <w:r w:rsidRPr="00070A87">
              <w:rPr>
                <w:i/>
              </w:rPr>
              <w:t xml:space="preserve">Subsidy Principles 2014 </w:t>
            </w:r>
            <w:r w:rsidRPr="00070A87">
              <w:t>- see ‘Subacute Care’ below.</w:t>
            </w:r>
          </w:p>
          <w:p w14:paraId="5A7D6629" w14:textId="39795D03" w:rsidR="00886DC4" w:rsidRPr="00070A87" w:rsidRDefault="00886DC4" w:rsidP="00781B94">
            <w:pPr>
              <w:pStyle w:val="TableofFigures"/>
            </w:pPr>
            <w:r w:rsidRPr="00070A87">
              <w:t xml:space="preserve">Transition care is not a substitute for rehabilitation and </w:t>
            </w:r>
            <w:r w:rsidR="00682B01">
              <w:t>must</w:t>
            </w:r>
            <w:r w:rsidRPr="00070A87">
              <w:t xml:space="preserve"> only commence after completion of the care recipient’s rehabilitation care episode.</w:t>
            </w:r>
          </w:p>
        </w:tc>
      </w:tr>
      <w:tr w:rsidR="00886DC4" w:rsidRPr="00C82C51" w14:paraId="2E6FE49B" w14:textId="77777777" w:rsidTr="005974C0">
        <w:tc>
          <w:tcPr>
            <w:tcW w:w="2547" w:type="dxa"/>
            <w:tcBorders>
              <w:top w:val="single" w:sz="4" w:space="0" w:color="auto"/>
              <w:bottom w:val="single" w:sz="4" w:space="0" w:color="auto"/>
            </w:tcBorders>
            <w:shd w:val="clear" w:color="auto" w:fill="FFFFFF" w:themeFill="background1"/>
          </w:tcPr>
          <w:p w14:paraId="7E7D8ED8"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REPRESENTATIVE</w:t>
            </w:r>
          </w:p>
        </w:tc>
        <w:tc>
          <w:tcPr>
            <w:tcW w:w="7264" w:type="dxa"/>
            <w:tcBorders>
              <w:top w:val="single" w:sz="4" w:space="0" w:color="auto"/>
              <w:bottom w:val="single" w:sz="4" w:space="0" w:color="auto"/>
            </w:tcBorders>
            <w:shd w:val="clear" w:color="auto" w:fill="FFFFFF" w:themeFill="background1"/>
          </w:tcPr>
          <w:p w14:paraId="31DDEB15" w14:textId="5D664894" w:rsidR="00886DC4" w:rsidRPr="00070A87" w:rsidRDefault="004B0F97" w:rsidP="00781B94">
            <w:pPr>
              <w:pStyle w:val="TableofFigures"/>
            </w:pPr>
            <w:r>
              <w:t>A r</w:t>
            </w:r>
            <w:r w:rsidR="00886DC4" w:rsidRPr="00070A87">
              <w:t>epresentative of a care recipient</w:t>
            </w:r>
            <w:r w:rsidR="006A36F4">
              <w:t xml:space="preserve"> </w:t>
            </w:r>
            <w:r>
              <w:t>is</w:t>
            </w:r>
            <w:r w:rsidR="006A36F4">
              <w:t>:</w:t>
            </w:r>
          </w:p>
          <w:p w14:paraId="29904CC9" w14:textId="7A2EF930" w:rsidR="00886DC4" w:rsidRPr="00070A87" w:rsidRDefault="00886DC4" w:rsidP="00762250">
            <w:pPr>
              <w:pStyle w:val="ListParagraph"/>
              <w:numPr>
                <w:ilvl w:val="0"/>
                <w:numId w:val="20"/>
              </w:numPr>
              <w:ind w:left="464"/>
            </w:pPr>
            <w:r w:rsidRPr="00070A87">
              <w:t>a person nominated by the care recipient as a person the care recipient wishes to participate in decisions relating to his or her care; or</w:t>
            </w:r>
          </w:p>
          <w:p w14:paraId="1FDE91CA" w14:textId="77777777" w:rsidR="00886DC4" w:rsidRPr="00070A87" w:rsidRDefault="00886DC4" w:rsidP="00762250">
            <w:pPr>
              <w:pStyle w:val="ListParagraph"/>
              <w:numPr>
                <w:ilvl w:val="0"/>
                <w:numId w:val="20"/>
              </w:numPr>
              <w:ind w:left="464"/>
            </w:pPr>
            <w:r w:rsidRPr="00070A87">
              <w:t>a *partner, carer, or *close relation of the care recipient; or</w:t>
            </w:r>
          </w:p>
          <w:p w14:paraId="388BB2E6" w14:textId="77777777" w:rsidR="00886DC4" w:rsidRPr="00070A87" w:rsidRDefault="00886DC4" w:rsidP="00762250">
            <w:pPr>
              <w:pStyle w:val="ListParagraph"/>
              <w:numPr>
                <w:ilvl w:val="0"/>
                <w:numId w:val="20"/>
              </w:numPr>
              <w:ind w:left="464"/>
            </w:pPr>
            <w:r w:rsidRPr="00070A87">
              <w:t>a person who holds an enduring power of attorney given by the care recipient to decide the health care and other kinds of personal services the care recipient is to receive; or</w:t>
            </w:r>
          </w:p>
          <w:p w14:paraId="625AE417" w14:textId="77777777" w:rsidR="00886DC4" w:rsidRPr="00070A87" w:rsidRDefault="00886DC4" w:rsidP="00762250">
            <w:pPr>
              <w:pStyle w:val="ListParagraph"/>
              <w:numPr>
                <w:ilvl w:val="0"/>
                <w:numId w:val="20"/>
              </w:numPr>
              <w:ind w:left="459" w:hanging="357"/>
            </w:pPr>
            <w:r w:rsidRPr="00070A87">
              <w:t>a person appointed by a state or territory guardianship board (however described) to decide the health care and other kinds of personal services the care recipient is to receive.</w:t>
            </w:r>
          </w:p>
          <w:p w14:paraId="53ED2B95" w14:textId="3ECAFEED" w:rsidR="00886DC4" w:rsidRPr="006A36F4" w:rsidRDefault="00B663D4" w:rsidP="006A36F4">
            <w:pPr>
              <w:autoSpaceDE w:val="0"/>
              <w:autoSpaceDN w:val="0"/>
              <w:adjustRightInd w:val="0"/>
              <w:spacing w:after="60"/>
              <w:rPr>
                <w:rFonts w:asciiTheme="minorHAnsi" w:hAnsiTheme="minorHAnsi" w:cstheme="minorHAnsi"/>
                <w:bCs/>
                <w:iCs/>
                <w:szCs w:val="20"/>
              </w:rPr>
            </w:pPr>
            <w:r>
              <w:rPr>
                <w:rFonts w:asciiTheme="minorHAnsi" w:hAnsiTheme="minorHAnsi" w:cstheme="minorHAnsi"/>
                <w:bCs/>
                <w:iCs/>
                <w:szCs w:val="20"/>
              </w:rPr>
              <w:t>Section 44-26B</w:t>
            </w:r>
            <w:r w:rsidR="006A36F4">
              <w:rPr>
                <w:rFonts w:asciiTheme="minorHAnsi" w:hAnsiTheme="minorHAnsi" w:cstheme="minorHAnsi"/>
                <w:bCs/>
                <w:iCs/>
                <w:szCs w:val="20"/>
              </w:rPr>
              <w:t xml:space="preserve"> of the Act defines</w:t>
            </w:r>
            <w:r>
              <w:rPr>
                <w:rFonts w:asciiTheme="minorHAnsi" w:hAnsiTheme="minorHAnsi" w:cstheme="minorHAnsi"/>
                <w:bCs/>
                <w:iCs/>
                <w:szCs w:val="20"/>
              </w:rPr>
              <w:t xml:space="preserve"> the following</w:t>
            </w:r>
            <w:r w:rsidR="006A36F4">
              <w:rPr>
                <w:rFonts w:asciiTheme="minorHAnsi" w:hAnsiTheme="minorHAnsi" w:cstheme="minorHAnsi"/>
                <w:bCs/>
                <w:iCs/>
                <w:szCs w:val="20"/>
              </w:rPr>
              <w:t>:</w:t>
            </w:r>
          </w:p>
          <w:p w14:paraId="4CADDC2E" w14:textId="35A52DF9" w:rsidR="00886DC4" w:rsidRPr="00070A87" w:rsidRDefault="00682B01" w:rsidP="00886DC4">
            <w:pPr>
              <w:autoSpaceDE w:val="0"/>
              <w:autoSpaceDN w:val="0"/>
              <w:adjustRightInd w:val="0"/>
              <w:spacing w:before="0" w:after="60"/>
              <w:rPr>
                <w:rFonts w:asciiTheme="minorHAnsi" w:hAnsiTheme="minorHAnsi" w:cstheme="minorHAnsi"/>
                <w:szCs w:val="20"/>
              </w:rPr>
            </w:pPr>
            <w:r>
              <w:rPr>
                <w:rFonts w:asciiTheme="minorHAnsi" w:hAnsiTheme="minorHAnsi" w:cstheme="minorHAnsi"/>
                <w:b/>
                <w:bCs/>
                <w:i/>
                <w:iCs/>
                <w:szCs w:val="20"/>
              </w:rPr>
              <w:t>*</w:t>
            </w:r>
            <w:r w:rsidR="004B0F97">
              <w:rPr>
                <w:rFonts w:asciiTheme="minorHAnsi" w:hAnsiTheme="minorHAnsi" w:cstheme="minorHAnsi"/>
                <w:b/>
                <w:bCs/>
                <w:i/>
                <w:iCs/>
                <w:szCs w:val="20"/>
              </w:rPr>
              <w:t>P</w:t>
            </w:r>
            <w:r w:rsidR="00886DC4" w:rsidRPr="00070A87">
              <w:rPr>
                <w:rFonts w:asciiTheme="minorHAnsi" w:hAnsiTheme="minorHAnsi" w:cstheme="minorHAnsi"/>
                <w:b/>
                <w:bCs/>
                <w:i/>
                <w:iCs/>
                <w:szCs w:val="20"/>
              </w:rPr>
              <w:t>artner</w:t>
            </w:r>
            <w:r w:rsidR="00886DC4" w:rsidRPr="00070A87">
              <w:rPr>
                <w:rFonts w:asciiTheme="minorHAnsi" w:hAnsiTheme="minorHAnsi" w:cstheme="minorHAnsi"/>
                <w:szCs w:val="20"/>
              </w:rPr>
              <w:t>, in relation to a person, means the other member of a couple of which the person is also a member.</w:t>
            </w:r>
          </w:p>
          <w:p w14:paraId="44E49D83" w14:textId="1CE176F9" w:rsidR="00886DC4" w:rsidRPr="00070A87" w:rsidRDefault="00682B01" w:rsidP="00886DC4">
            <w:pPr>
              <w:autoSpaceDE w:val="0"/>
              <w:autoSpaceDN w:val="0"/>
              <w:adjustRightInd w:val="0"/>
              <w:spacing w:before="0" w:after="60"/>
              <w:rPr>
                <w:rFonts w:asciiTheme="minorHAnsi" w:hAnsiTheme="minorHAnsi" w:cstheme="minorHAnsi"/>
                <w:szCs w:val="20"/>
              </w:rPr>
            </w:pPr>
            <w:r>
              <w:rPr>
                <w:rFonts w:asciiTheme="minorHAnsi" w:hAnsiTheme="minorHAnsi" w:cstheme="minorHAnsi"/>
                <w:b/>
                <w:bCs/>
                <w:i/>
                <w:iCs/>
                <w:szCs w:val="20"/>
              </w:rPr>
              <w:t>*</w:t>
            </w:r>
            <w:r w:rsidR="004B0F97">
              <w:rPr>
                <w:rFonts w:asciiTheme="minorHAnsi" w:hAnsiTheme="minorHAnsi" w:cstheme="minorHAnsi"/>
                <w:b/>
                <w:bCs/>
                <w:i/>
                <w:iCs/>
                <w:szCs w:val="20"/>
              </w:rPr>
              <w:t>C</w:t>
            </w:r>
            <w:r w:rsidR="00886DC4" w:rsidRPr="00070A87">
              <w:rPr>
                <w:rFonts w:asciiTheme="minorHAnsi" w:hAnsiTheme="minorHAnsi" w:cstheme="minorHAnsi"/>
                <w:b/>
                <w:bCs/>
                <w:i/>
                <w:iCs/>
                <w:szCs w:val="20"/>
              </w:rPr>
              <w:t>lose relation</w:t>
            </w:r>
            <w:r w:rsidR="00886DC4" w:rsidRPr="00070A87">
              <w:rPr>
                <w:rFonts w:asciiTheme="minorHAnsi" w:hAnsiTheme="minorHAnsi" w:cstheme="minorHAnsi"/>
                <w:szCs w:val="20"/>
              </w:rPr>
              <w:t>, in relation to a person, means:</w:t>
            </w:r>
          </w:p>
          <w:p w14:paraId="117B8B66" w14:textId="77777777" w:rsidR="00886DC4" w:rsidRPr="00070A87" w:rsidRDefault="00886DC4" w:rsidP="00762250">
            <w:pPr>
              <w:pStyle w:val="ListParagraph"/>
              <w:numPr>
                <w:ilvl w:val="0"/>
                <w:numId w:val="10"/>
              </w:numPr>
            </w:pPr>
            <w:r w:rsidRPr="00070A87">
              <w:t>a parent of the person; or</w:t>
            </w:r>
          </w:p>
          <w:p w14:paraId="4B9F959B" w14:textId="77777777" w:rsidR="00886DC4" w:rsidRPr="00070A87" w:rsidRDefault="00886DC4" w:rsidP="00762250">
            <w:pPr>
              <w:pStyle w:val="ListParagraph"/>
              <w:numPr>
                <w:ilvl w:val="0"/>
                <w:numId w:val="10"/>
              </w:numPr>
            </w:pPr>
            <w:r w:rsidRPr="00070A87">
              <w:t>a sister, brother, child or grandchild of the person; or</w:t>
            </w:r>
          </w:p>
          <w:p w14:paraId="443B3513" w14:textId="716B6F6E" w:rsidR="00762250" w:rsidRPr="006A36F4" w:rsidRDefault="00886DC4" w:rsidP="0087009A">
            <w:pPr>
              <w:pStyle w:val="ListParagraph"/>
              <w:numPr>
                <w:ilvl w:val="0"/>
                <w:numId w:val="10"/>
              </w:numPr>
            </w:pPr>
            <w:r w:rsidRPr="00070A87">
              <w:lastRenderedPageBreak/>
              <w:t xml:space="preserve">a person included in a class of persons specified in the </w:t>
            </w:r>
            <w:r w:rsidRPr="00070A87">
              <w:rPr>
                <w:i/>
              </w:rPr>
              <w:t>Subsidy Principles</w:t>
            </w:r>
            <w:r w:rsidR="00375AC1">
              <w:rPr>
                <w:i/>
              </w:rPr>
              <w:t xml:space="preserve"> 2014</w:t>
            </w:r>
            <w:r w:rsidRPr="00070A87">
              <w:t>.</w:t>
            </w:r>
          </w:p>
        </w:tc>
      </w:tr>
      <w:tr w:rsidR="00886DC4" w:rsidRPr="00C82C51" w14:paraId="00A1CE6F" w14:textId="77777777" w:rsidTr="004A5202">
        <w:tc>
          <w:tcPr>
            <w:tcW w:w="2547" w:type="dxa"/>
            <w:tcBorders>
              <w:top w:val="single" w:sz="4" w:space="0" w:color="auto"/>
              <w:bottom w:val="single" w:sz="4" w:space="0" w:color="auto"/>
            </w:tcBorders>
            <w:shd w:val="clear" w:color="auto" w:fill="D9D9D9" w:themeFill="background1" w:themeFillShade="D9"/>
          </w:tcPr>
          <w:p w14:paraId="15A1EBD2"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RESIDENTIAL AGED CARE</w:t>
            </w:r>
          </w:p>
        </w:tc>
        <w:tc>
          <w:tcPr>
            <w:tcW w:w="7264" w:type="dxa"/>
            <w:tcBorders>
              <w:top w:val="single" w:sz="4" w:space="0" w:color="auto"/>
              <w:bottom w:val="single" w:sz="4" w:space="0" w:color="auto"/>
            </w:tcBorders>
            <w:shd w:val="clear" w:color="auto" w:fill="D9D9D9" w:themeFill="background1" w:themeFillShade="D9"/>
          </w:tcPr>
          <w:p w14:paraId="7FE0A523" w14:textId="5CF915A9" w:rsidR="00886DC4" w:rsidRPr="00070A87" w:rsidRDefault="00886DC4" w:rsidP="00781B94">
            <w:pPr>
              <w:pStyle w:val="TableofFigures"/>
            </w:pPr>
            <w:r w:rsidRPr="00070A87">
              <w:t xml:space="preserve">Residential </w:t>
            </w:r>
            <w:r w:rsidR="00B663D4">
              <w:t xml:space="preserve">aged </w:t>
            </w:r>
            <w:r w:rsidRPr="00070A87">
              <w:t xml:space="preserve">care is personal and/or nursing care provided to a person in a residential facility </w:t>
            </w:r>
            <w:r w:rsidR="00682B01">
              <w:t>where</w:t>
            </w:r>
            <w:r w:rsidR="00F1549D">
              <w:t xml:space="preserve"> </w:t>
            </w:r>
            <w:r w:rsidRPr="00070A87">
              <w:t xml:space="preserve">the person is also provided with accommodation that includes appropriate staffing, meals, cleaning services, as well as furnishings, furniture and equipment for the provision of that care and accommodation. </w:t>
            </w:r>
            <w:r>
              <w:t>R</w:t>
            </w:r>
            <w:r w:rsidRPr="00070A87">
              <w:t>esidential care does not include care provided to a person in the person’s private home; care provided in a hospital or in a psychiatric facility; or care provided in a facility that primarily provides care to people who are not frail and aged.</w:t>
            </w:r>
          </w:p>
          <w:p w14:paraId="682C255A" w14:textId="77777777" w:rsidR="00886DC4" w:rsidRPr="00070A87" w:rsidRDefault="00886DC4" w:rsidP="00781B94">
            <w:pPr>
              <w:pStyle w:val="TableofFigures"/>
              <w:rPr>
                <w:i/>
              </w:rPr>
            </w:pPr>
            <w:r w:rsidRPr="00070A87">
              <w:t>S</w:t>
            </w:r>
            <w:r w:rsidR="00DB2441">
              <w:t>ee s</w:t>
            </w:r>
            <w:r w:rsidRPr="00070A87">
              <w:t xml:space="preserve">ection 41-3 of the </w:t>
            </w:r>
            <w:r>
              <w:t>Act.</w:t>
            </w:r>
          </w:p>
        </w:tc>
      </w:tr>
      <w:tr w:rsidR="00886DC4" w:rsidRPr="00C82C51" w14:paraId="4E910765" w14:textId="77777777" w:rsidTr="005974C0">
        <w:tc>
          <w:tcPr>
            <w:tcW w:w="2547" w:type="dxa"/>
            <w:tcBorders>
              <w:top w:val="single" w:sz="4" w:space="0" w:color="auto"/>
              <w:bottom w:val="single" w:sz="4" w:space="0" w:color="auto"/>
            </w:tcBorders>
            <w:shd w:val="clear" w:color="auto" w:fill="FFFFFF" w:themeFill="background1"/>
          </w:tcPr>
          <w:p w14:paraId="5A79188B" w14:textId="77777777" w:rsidR="00886DC4" w:rsidRPr="00070A87" w:rsidRDefault="00886DC4" w:rsidP="00886DC4">
            <w:pPr>
              <w:spacing w:before="0" w:after="60"/>
              <w:rPr>
                <w:rFonts w:asciiTheme="minorHAnsi" w:hAnsiTheme="minorHAnsi" w:cstheme="minorHAnsi"/>
                <w:szCs w:val="20"/>
              </w:rPr>
            </w:pPr>
            <w:r w:rsidRPr="00070A87">
              <w:rPr>
                <w:rStyle w:val="Strong"/>
                <w:rFonts w:asciiTheme="minorHAnsi" w:hAnsiTheme="minorHAnsi" w:cstheme="minorHAnsi"/>
                <w:b w:val="0"/>
                <w:bCs w:val="0"/>
                <w:szCs w:val="20"/>
              </w:rPr>
              <w:t>SANCTIONS</w:t>
            </w:r>
          </w:p>
        </w:tc>
        <w:tc>
          <w:tcPr>
            <w:tcW w:w="7264" w:type="dxa"/>
            <w:tcBorders>
              <w:top w:val="single" w:sz="4" w:space="0" w:color="auto"/>
              <w:bottom w:val="single" w:sz="4" w:space="0" w:color="auto"/>
            </w:tcBorders>
            <w:shd w:val="clear" w:color="auto" w:fill="FFFFFF" w:themeFill="background1"/>
          </w:tcPr>
          <w:p w14:paraId="72AF6A61" w14:textId="0CB7376C" w:rsidR="00886DC4" w:rsidRPr="00070A87" w:rsidRDefault="00886DC4" w:rsidP="00781B94">
            <w:pPr>
              <w:pStyle w:val="TableofFigures"/>
            </w:pPr>
            <w:r w:rsidRPr="00070A87">
              <w:t>Penalties may be imposed by the Secretary of the Department under Part</w:t>
            </w:r>
            <w:r w:rsidR="00165930">
              <w:t> </w:t>
            </w:r>
            <w:r w:rsidRPr="00070A87">
              <w:t xml:space="preserve">4.4 of the </w:t>
            </w:r>
            <w:r w:rsidRPr="00055F45">
              <w:t>A</w:t>
            </w:r>
            <w:r>
              <w:t>ct</w:t>
            </w:r>
            <w:r w:rsidRPr="00070A87">
              <w:rPr>
                <w:i/>
              </w:rPr>
              <w:t xml:space="preserve"> </w:t>
            </w:r>
            <w:r w:rsidRPr="00070A87">
              <w:t xml:space="preserve">on an approved provider for not complying with one or more of the responsibilities under Part 4.1, 4.2 or 4.3 and under Section 3-4 of the </w:t>
            </w:r>
            <w:r w:rsidRPr="00070A87">
              <w:rPr>
                <w:i/>
              </w:rPr>
              <w:t xml:space="preserve">Aged Care (Transitional Provisions) Act 1997. </w:t>
            </w:r>
            <w:r w:rsidRPr="00070A87">
              <w:t>Certain procedures must be followed for sanctions to be imposed.</w:t>
            </w:r>
          </w:p>
        </w:tc>
      </w:tr>
      <w:tr w:rsidR="00886DC4" w:rsidRPr="00C82C51" w14:paraId="26433BC0" w14:textId="77777777" w:rsidTr="004A5202">
        <w:tc>
          <w:tcPr>
            <w:tcW w:w="2547" w:type="dxa"/>
            <w:tcBorders>
              <w:top w:val="single" w:sz="4" w:space="0" w:color="auto"/>
              <w:bottom w:val="single" w:sz="4" w:space="0" w:color="auto"/>
            </w:tcBorders>
            <w:shd w:val="clear" w:color="auto" w:fill="D9D9D9" w:themeFill="background1" w:themeFillShade="D9"/>
          </w:tcPr>
          <w:p w14:paraId="2CD586C8" w14:textId="77777777" w:rsidR="00886DC4" w:rsidRPr="00070A87" w:rsidRDefault="00886DC4" w:rsidP="00886DC4">
            <w:pPr>
              <w:spacing w:before="0" w:after="60"/>
              <w:rPr>
                <w:rFonts w:asciiTheme="minorHAnsi" w:hAnsiTheme="minorHAnsi" w:cstheme="minorHAnsi"/>
                <w:szCs w:val="20"/>
              </w:rPr>
            </w:pPr>
            <w:r w:rsidRPr="00070A87">
              <w:rPr>
                <w:rStyle w:val="Strong"/>
                <w:rFonts w:asciiTheme="minorHAnsi" w:hAnsiTheme="minorHAnsi" w:cstheme="minorHAnsi"/>
                <w:b w:val="0"/>
                <w:bCs w:val="0"/>
                <w:szCs w:val="20"/>
              </w:rPr>
              <w:t>SECRETARY</w:t>
            </w:r>
          </w:p>
        </w:tc>
        <w:tc>
          <w:tcPr>
            <w:tcW w:w="7264" w:type="dxa"/>
            <w:tcBorders>
              <w:top w:val="single" w:sz="4" w:space="0" w:color="auto"/>
              <w:bottom w:val="single" w:sz="4" w:space="0" w:color="auto"/>
            </w:tcBorders>
            <w:shd w:val="clear" w:color="auto" w:fill="D9D9D9" w:themeFill="background1" w:themeFillShade="D9"/>
          </w:tcPr>
          <w:p w14:paraId="16A07F60" w14:textId="77777777" w:rsidR="00886DC4" w:rsidRPr="00070A87" w:rsidRDefault="00886DC4" w:rsidP="00781B94">
            <w:pPr>
              <w:pStyle w:val="TableofFigures"/>
            </w:pPr>
            <w:r w:rsidRPr="00070A87">
              <w:t>The person filling, or temporarily filling, the position</w:t>
            </w:r>
            <w:r w:rsidR="00B663D4">
              <w:t xml:space="preserve"> of Secretary of the Department.</w:t>
            </w:r>
          </w:p>
        </w:tc>
      </w:tr>
      <w:tr w:rsidR="00886DC4" w:rsidRPr="00C82C51" w14:paraId="0103B0ED" w14:textId="77777777" w:rsidTr="005974C0">
        <w:tc>
          <w:tcPr>
            <w:tcW w:w="2547" w:type="dxa"/>
            <w:tcBorders>
              <w:top w:val="single" w:sz="4" w:space="0" w:color="auto"/>
              <w:bottom w:val="single" w:sz="4" w:space="0" w:color="auto"/>
            </w:tcBorders>
            <w:shd w:val="clear" w:color="auto" w:fill="FFFFFF" w:themeFill="background1"/>
          </w:tcPr>
          <w:p w14:paraId="7C57FF3A"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SPECIFIED CARE AND SERVICES FOR TRANSITION CARE SERVICES</w:t>
            </w:r>
          </w:p>
        </w:tc>
        <w:tc>
          <w:tcPr>
            <w:tcW w:w="7264" w:type="dxa"/>
            <w:tcBorders>
              <w:top w:val="single" w:sz="4" w:space="0" w:color="auto"/>
              <w:bottom w:val="single" w:sz="4" w:space="0" w:color="auto"/>
            </w:tcBorders>
            <w:shd w:val="clear" w:color="auto" w:fill="FFFFFF" w:themeFill="background1"/>
          </w:tcPr>
          <w:p w14:paraId="56E7430A" w14:textId="14975F3C" w:rsidR="00886DC4" w:rsidRPr="00070A87" w:rsidRDefault="00886DC4" w:rsidP="00781B94">
            <w:pPr>
              <w:pStyle w:val="TableofFigures"/>
            </w:pPr>
            <w:r w:rsidRPr="00070A87">
              <w:t xml:space="preserve">Services to be provided for all transition care recipients who need them. They are listed at </w:t>
            </w:r>
            <w:r w:rsidR="00682B01" w:rsidRPr="00F1549D">
              <w:rPr>
                <w:i/>
                <w:iCs w:val="0"/>
              </w:rPr>
              <w:t>Attachment B</w:t>
            </w:r>
            <w:r w:rsidR="00DB2441">
              <w:t xml:space="preserve"> of these guidelines</w:t>
            </w:r>
            <w:r w:rsidRPr="00070A87">
              <w:t>.</w:t>
            </w:r>
          </w:p>
        </w:tc>
      </w:tr>
      <w:tr w:rsidR="00886DC4" w:rsidRPr="00C82C51" w14:paraId="44DAAE5E" w14:textId="77777777" w:rsidTr="004A5202">
        <w:tc>
          <w:tcPr>
            <w:tcW w:w="2547" w:type="dxa"/>
            <w:tcBorders>
              <w:top w:val="single" w:sz="4" w:space="0" w:color="auto"/>
              <w:bottom w:val="single" w:sz="4" w:space="0" w:color="auto"/>
            </w:tcBorders>
            <w:shd w:val="clear" w:color="auto" w:fill="D9D9D9" w:themeFill="background1" w:themeFillShade="D9"/>
          </w:tcPr>
          <w:p w14:paraId="05A722DB"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SUBACUTE CARE</w:t>
            </w:r>
          </w:p>
        </w:tc>
        <w:tc>
          <w:tcPr>
            <w:tcW w:w="7264" w:type="dxa"/>
            <w:tcBorders>
              <w:top w:val="single" w:sz="4" w:space="0" w:color="auto"/>
              <w:bottom w:val="single" w:sz="4" w:space="0" w:color="auto"/>
            </w:tcBorders>
            <w:shd w:val="clear" w:color="auto" w:fill="D9D9D9" w:themeFill="background1" w:themeFillShade="D9"/>
          </w:tcPr>
          <w:p w14:paraId="77F0EC38" w14:textId="5AC0E4C9" w:rsidR="00886DC4" w:rsidRPr="00070A87" w:rsidRDefault="00682B01" w:rsidP="00781B94">
            <w:pPr>
              <w:pStyle w:val="TableofFigures"/>
            </w:pPr>
            <w:r>
              <w:t>M</w:t>
            </w:r>
            <w:r w:rsidR="00886DC4" w:rsidRPr="00070A87">
              <w:t>edical or related care or services provided to a care recipient who is not in the acute phase of an illness. Examples include:</w:t>
            </w:r>
          </w:p>
          <w:p w14:paraId="70A322AD" w14:textId="77777777"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proofErr w:type="gramStart"/>
            <w:r w:rsidRPr="00070A87">
              <w:rPr>
                <w:rFonts w:asciiTheme="minorHAnsi" w:hAnsiTheme="minorHAnsi" w:cstheme="minorHAnsi"/>
                <w:szCs w:val="20"/>
              </w:rPr>
              <w:t>Rehabilitation;</w:t>
            </w:r>
            <w:proofErr w:type="gramEnd"/>
          </w:p>
          <w:p w14:paraId="3D762AE1" w14:textId="2F3D5D24"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r w:rsidRPr="00070A87">
              <w:rPr>
                <w:rFonts w:asciiTheme="minorHAnsi" w:hAnsiTheme="minorHAnsi" w:cstheme="minorHAnsi"/>
                <w:szCs w:val="20"/>
              </w:rPr>
              <w:t xml:space="preserve">Palliative </w:t>
            </w:r>
            <w:proofErr w:type="gramStart"/>
            <w:r w:rsidRPr="00070A87">
              <w:rPr>
                <w:rFonts w:asciiTheme="minorHAnsi" w:hAnsiTheme="minorHAnsi" w:cstheme="minorHAnsi"/>
                <w:szCs w:val="20"/>
              </w:rPr>
              <w:t>care;</w:t>
            </w:r>
            <w:proofErr w:type="gramEnd"/>
          </w:p>
          <w:p w14:paraId="7957C018" w14:textId="602AF1D0"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r w:rsidRPr="00070A87">
              <w:rPr>
                <w:rFonts w:asciiTheme="minorHAnsi" w:hAnsiTheme="minorHAnsi" w:cstheme="minorHAnsi"/>
                <w:szCs w:val="20"/>
              </w:rPr>
              <w:t>Psychogeriatric care; and</w:t>
            </w:r>
          </w:p>
          <w:p w14:paraId="36714810" w14:textId="6A8B9A31"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r w:rsidRPr="00070A87">
              <w:rPr>
                <w:rFonts w:asciiTheme="minorHAnsi" w:hAnsiTheme="minorHAnsi" w:cstheme="minorHAnsi"/>
                <w:szCs w:val="20"/>
              </w:rPr>
              <w:t>Geriatric evaluation and management.</w:t>
            </w:r>
          </w:p>
          <w:p w14:paraId="32E664A8" w14:textId="08A73DA5" w:rsidR="00886DC4" w:rsidRPr="00070A87" w:rsidRDefault="00DB2441" w:rsidP="00886DC4">
            <w:pPr>
              <w:pStyle w:val="DefinitionList"/>
              <w:tabs>
                <w:tab w:val="left" w:pos="0"/>
              </w:tabs>
              <w:spacing w:after="60"/>
              <w:ind w:left="0"/>
              <w:rPr>
                <w:rFonts w:asciiTheme="minorHAnsi" w:hAnsiTheme="minorHAnsi" w:cstheme="minorHAnsi"/>
                <w:i/>
                <w:iCs/>
                <w:szCs w:val="20"/>
              </w:rPr>
            </w:pPr>
            <w:r>
              <w:rPr>
                <w:rFonts w:asciiTheme="minorHAnsi" w:hAnsiTheme="minorHAnsi" w:cstheme="minorHAnsi"/>
                <w:szCs w:val="20"/>
              </w:rPr>
              <w:t>See s</w:t>
            </w:r>
            <w:r w:rsidR="00886DC4" w:rsidRPr="00070A87">
              <w:rPr>
                <w:rFonts w:asciiTheme="minorHAnsi" w:hAnsiTheme="minorHAnsi" w:cstheme="minorHAnsi"/>
                <w:szCs w:val="20"/>
              </w:rPr>
              <w:t xml:space="preserve">ection 15.3 of the </w:t>
            </w:r>
            <w:r w:rsidR="00886DC4" w:rsidRPr="00070A87">
              <w:rPr>
                <w:rFonts w:asciiTheme="minorHAnsi" w:hAnsiTheme="minorHAnsi" w:cstheme="minorHAnsi"/>
                <w:i/>
                <w:iCs/>
                <w:szCs w:val="20"/>
              </w:rPr>
              <w:t>Flexible Care Subsidy Principles 1997</w:t>
            </w:r>
            <w:r w:rsidR="00CB1B07">
              <w:rPr>
                <w:rFonts w:asciiTheme="minorHAnsi" w:hAnsiTheme="minorHAnsi" w:cstheme="minorHAnsi"/>
                <w:i/>
                <w:iCs/>
                <w:szCs w:val="20"/>
              </w:rPr>
              <w:t>.</w:t>
            </w:r>
          </w:p>
          <w:p w14:paraId="4BB04883" w14:textId="12F48F61" w:rsidR="00886DC4" w:rsidRPr="00C53CD6" w:rsidRDefault="00886DC4" w:rsidP="00781B94">
            <w:pPr>
              <w:pStyle w:val="TableofFigures"/>
            </w:pPr>
            <w:r w:rsidRPr="00070A87">
              <w:t>Note: To be eligible for transition care, a care recipient must have completed their acute and/or subacute episode of care.</w:t>
            </w:r>
          </w:p>
        </w:tc>
      </w:tr>
      <w:tr w:rsidR="00886DC4" w:rsidRPr="00C82C51" w14:paraId="7BEC97F8" w14:textId="77777777" w:rsidTr="005974C0">
        <w:tc>
          <w:tcPr>
            <w:tcW w:w="2547" w:type="dxa"/>
            <w:tcBorders>
              <w:top w:val="single" w:sz="4" w:space="0" w:color="auto"/>
              <w:bottom w:val="single" w:sz="4" w:space="0" w:color="auto"/>
            </w:tcBorders>
            <w:shd w:val="clear" w:color="auto" w:fill="FFFFFF" w:themeFill="background1"/>
          </w:tcPr>
          <w:p w14:paraId="146031C1"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w:t>
            </w:r>
          </w:p>
        </w:tc>
        <w:tc>
          <w:tcPr>
            <w:tcW w:w="7264" w:type="dxa"/>
            <w:tcBorders>
              <w:top w:val="single" w:sz="4" w:space="0" w:color="auto"/>
              <w:bottom w:val="single" w:sz="4" w:space="0" w:color="auto"/>
            </w:tcBorders>
            <w:shd w:val="clear" w:color="auto" w:fill="FFFFFF" w:themeFill="background1"/>
          </w:tcPr>
          <w:p w14:paraId="49617847" w14:textId="77777777" w:rsidR="00886DC4" w:rsidRPr="00070A87" w:rsidRDefault="00886DC4" w:rsidP="00781B94">
            <w:pPr>
              <w:pStyle w:val="TableofFigures"/>
            </w:pPr>
            <w:r w:rsidRPr="00070A87">
              <w:t>Transition care</w:t>
            </w:r>
            <w:r w:rsidRPr="00070A87">
              <w:rPr>
                <w:b/>
                <w:i/>
              </w:rPr>
              <w:t xml:space="preserve"> </w:t>
            </w:r>
            <w:r w:rsidRPr="00070A87">
              <w:t>is a form of flexible care that:</w:t>
            </w:r>
          </w:p>
          <w:p w14:paraId="3B501A5A" w14:textId="77777777" w:rsidR="00886DC4" w:rsidRPr="00070A87" w:rsidRDefault="00886DC4" w:rsidP="00762250">
            <w:pPr>
              <w:pStyle w:val="ListParagraph"/>
              <w:numPr>
                <w:ilvl w:val="0"/>
                <w:numId w:val="12"/>
              </w:numPr>
            </w:pPr>
            <w:r w:rsidRPr="00070A87">
              <w:t>is provided to a care recipient:</w:t>
            </w:r>
          </w:p>
          <w:p w14:paraId="0B0FD161" w14:textId="77777777" w:rsidR="00886DC4" w:rsidRPr="00070A87" w:rsidRDefault="00886DC4" w:rsidP="00762250">
            <w:pPr>
              <w:pStyle w:val="ListParagraph"/>
              <w:numPr>
                <w:ilvl w:val="0"/>
                <w:numId w:val="17"/>
              </w:numPr>
            </w:pPr>
            <w:r w:rsidRPr="00070A87">
              <w:t>at the conclusion of an in-patient hospital episode; and</w:t>
            </w:r>
          </w:p>
          <w:p w14:paraId="78E0322E" w14:textId="77777777" w:rsidR="00886DC4" w:rsidRPr="00070A87" w:rsidRDefault="00886DC4" w:rsidP="00762250">
            <w:pPr>
              <w:pStyle w:val="ListParagraph"/>
              <w:numPr>
                <w:ilvl w:val="0"/>
                <w:numId w:val="18"/>
              </w:numPr>
            </w:pPr>
            <w:r w:rsidRPr="00070A87">
              <w:t>in the form of a package of services that includes at least low intensity therapy and nursing support or personal care; and</w:t>
            </w:r>
          </w:p>
          <w:p w14:paraId="4BF1F48A" w14:textId="4B2D24B3" w:rsidR="00886DC4" w:rsidRPr="00070A87" w:rsidRDefault="00886DC4" w:rsidP="00762250">
            <w:pPr>
              <w:pStyle w:val="ListParagraph"/>
              <w:numPr>
                <w:ilvl w:val="0"/>
                <w:numId w:val="12"/>
              </w:numPr>
            </w:pPr>
            <w:r w:rsidRPr="00070A87">
              <w:t>can be characterised as:</w:t>
            </w:r>
          </w:p>
          <w:p w14:paraId="1C3F2648" w14:textId="21055746" w:rsidR="00886DC4" w:rsidRPr="00070A87" w:rsidRDefault="00886DC4" w:rsidP="00762250">
            <w:pPr>
              <w:pStyle w:val="ListParagraph"/>
              <w:numPr>
                <w:ilvl w:val="0"/>
                <w:numId w:val="19"/>
              </w:numPr>
            </w:pPr>
            <w:r w:rsidRPr="00070A87">
              <w:t>goal-</w:t>
            </w:r>
            <w:proofErr w:type="gramStart"/>
            <w:r w:rsidRPr="00070A87">
              <w:t>oriented;</w:t>
            </w:r>
            <w:proofErr w:type="gramEnd"/>
          </w:p>
          <w:p w14:paraId="3DAC4AF5" w14:textId="15C2AD75" w:rsidR="00886DC4" w:rsidRPr="00070A87" w:rsidRDefault="00886DC4" w:rsidP="00762250">
            <w:pPr>
              <w:pStyle w:val="ListParagraph"/>
              <w:numPr>
                <w:ilvl w:val="0"/>
                <w:numId w:val="19"/>
              </w:numPr>
            </w:pPr>
            <w:r w:rsidRPr="00070A87">
              <w:t>time-</w:t>
            </w:r>
            <w:proofErr w:type="gramStart"/>
            <w:r w:rsidRPr="00070A87">
              <w:t>limited;</w:t>
            </w:r>
            <w:proofErr w:type="gramEnd"/>
          </w:p>
          <w:p w14:paraId="15C478B1" w14:textId="464529E7" w:rsidR="00886DC4" w:rsidRPr="00070A87" w:rsidRDefault="00886DC4" w:rsidP="00762250">
            <w:pPr>
              <w:pStyle w:val="ListParagraph"/>
              <w:numPr>
                <w:ilvl w:val="0"/>
                <w:numId w:val="19"/>
              </w:numPr>
            </w:pPr>
            <w:r w:rsidRPr="00070A87">
              <w:t>therapy-</w:t>
            </w:r>
            <w:proofErr w:type="gramStart"/>
            <w:r w:rsidRPr="00070A87">
              <w:t>focussed;</w:t>
            </w:r>
            <w:proofErr w:type="gramEnd"/>
          </w:p>
          <w:p w14:paraId="2D56D00E" w14:textId="77777777" w:rsidR="00886DC4" w:rsidRPr="00070A87" w:rsidRDefault="00886DC4" w:rsidP="00762250">
            <w:pPr>
              <w:pStyle w:val="ListParagraph"/>
              <w:numPr>
                <w:ilvl w:val="0"/>
                <w:numId w:val="19"/>
              </w:numPr>
            </w:pPr>
            <w:r w:rsidRPr="00070A87">
              <w:t>targeted towards older people; and</w:t>
            </w:r>
          </w:p>
          <w:p w14:paraId="767873F0" w14:textId="550C4240" w:rsidR="00886DC4" w:rsidRPr="00070A87" w:rsidRDefault="00886DC4" w:rsidP="00762250">
            <w:pPr>
              <w:pStyle w:val="ListParagraph"/>
              <w:numPr>
                <w:ilvl w:val="0"/>
                <w:numId w:val="19"/>
              </w:numPr>
            </w:pPr>
            <w:r w:rsidRPr="00070A87">
              <w:t>necessary to complete the care recipient’s restorative process, optimise the care recipient’s functional capacity and assist the care recipient, and his or her family or carer (if any), to make long-term arrangements for his or her care.</w:t>
            </w:r>
          </w:p>
          <w:p w14:paraId="0604A9A3" w14:textId="77777777" w:rsidR="00886DC4" w:rsidRPr="00070A87" w:rsidRDefault="00DB2441" w:rsidP="005B2291">
            <w:pPr>
              <w:spacing w:before="0" w:after="60"/>
              <w:rPr>
                <w:rFonts w:asciiTheme="minorHAnsi" w:hAnsiTheme="minorHAnsi" w:cstheme="minorHAnsi"/>
                <w:bCs/>
                <w:i/>
                <w:iCs/>
                <w:szCs w:val="20"/>
              </w:rPr>
            </w:pPr>
            <w:r>
              <w:rPr>
                <w:rFonts w:asciiTheme="minorHAnsi" w:hAnsiTheme="minorHAnsi" w:cstheme="minorHAnsi"/>
                <w:bCs/>
                <w:iCs/>
                <w:szCs w:val="20"/>
              </w:rPr>
              <w:t>See s</w:t>
            </w:r>
            <w:r w:rsidR="00886DC4" w:rsidRPr="00070A87">
              <w:rPr>
                <w:rFonts w:asciiTheme="minorHAnsi" w:hAnsiTheme="minorHAnsi" w:cstheme="minorHAnsi"/>
                <w:bCs/>
                <w:iCs/>
                <w:szCs w:val="20"/>
              </w:rPr>
              <w:t xml:space="preserve">ection 106 of the </w:t>
            </w:r>
            <w:r w:rsidR="00886DC4" w:rsidRPr="00070A87">
              <w:rPr>
                <w:rFonts w:asciiTheme="minorHAnsi" w:hAnsiTheme="minorHAnsi" w:cstheme="minorHAnsi"/>
                <w:bCs/>
                <w:i/>
                <w:iCs/>
                <w:szCs w:val="20"/>
              </w:rPr>
              <w:t>Subsidy Principles 2014</w:t>
            </w:r>
            <w:r w:rsidR="00CB1B07">
              <w:rPr>
                <w:rFonts w:asciiTheme="minorHAnsi" w:hAnsiTheme="minorHAnsi" w:cstheme="minorHAnsi"/>
                <w:bCs/>
                <w:i/>
                <w:iCs/>
                <w:szCs w:val="20"/>
              </w:rPr>
              <w:t>.</w:t>
            </w:r>
          </w:p>
        </w:tc>
      </w:tr>
      <w:tr w:rsidR="00886DC4" w:rsidRPr="00C82C51" w14:paraId="2BE35146" w14:textId="77777777" w:rsidTr="004A5202">
        <w:tc>
          <w:tcPr>
            <w:tcW w:w="2547" w:type="dxa"/>
            <w:tcBorders>
              <w:top w:val="single" w:sz="4" w:space="0" w:color="auto"/>
              <w:bottom w:val="single" w:sz="4" w:space="0" w:color="auto"/>
            </w:tcBorders>
            <w:shd w:val="clear" w:color="auto" w:fill="D9D9D9" w:themeFill="background1" w:themeFillShade="D9"/>
          </w:tcPr>
          <w:p w14:paraId="3E8F096B"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 PAYMENT AGREEMENT</w:t>
            </w:r>
          </w:p>
        </w:tc>
        <w:tc>
          <w:tcPr>
            <w:tcW w:w="7264" w:type="dxa"/>
            <w:tcBorders>
              <w:top w:val="single" w:sz="4" w:space="0" w:color="auto"/>
              <w:bottom w:val="single" w:sz="4" w:space="0" w:color="auto"/>
            </w:tcBorders>
            <w:shd w:val="clear" w:color="auto" w:fill="D9D9D9" w:themeFill="background1" w:themeFillShade="D9"/>
          </w:tcPr>
          <w:p w14:paraId="10691F52" w14:textId="6665691E" w:rsidR="00886DC4" w:rsidRPr="00070A87" w:rsidRDefault="00886DC4" w:rsidP="00781B94">
            <w:pPr>
              <w:pStyle w:val="TableofFigures"/>
            </w:pPr>
            <w:r w:rsidRPr="00070A87">
              <w:t>An agreement between the Australian Government and each state and territory government as the approved provider of transition care which details the arrangements for the payment of flexible care subsidy by the Australian Government to the approved provider.</w:t>
            </w:r>
          </w:p>
        </w:tc>
      </w:tr>
      <w:tr w:rsidR="00886DC4" w:rsidRPr="00C82C51" w14:paraId="5089BAF5" w14:textId="77777777" w:rsidTr="00007ABB">
        <w:tc>
          <w:tcPr>
            <w:tcW w:w="2547" w:type="dxa"/>
            <w:tcBorders>
              <w:top w:val="single" w:sz="4" w:space="0" w:color="auto"/>
              <w:bottom w:val="single" w:sz="4" w:space="0" w:color="auto"/>
            </w:tcBorders>
            <w:shd w:val="clear" w:color="auto" w:fill="FFFFFF" w:themeFill="background1"/>
          </w:tcPr>
          <w:p w14:paraId="4AB1C505"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 RECIPIENT AGREEMENT</w:t>
            </w:r>
          </w:p>
        </w:tc>
        <w:tc>
          <w:tcPr>
            <w:tcW w:w="7264" w:type="dxa"/>
            <w:tcBorders>
              <w:top w:val="single" w:sz="4" w:space="0" w:color="auto"/>
              <w:bottom w:val="single" w:sz="4" w:space="0" w:color="auto"/>
            </w:tcBorders>
            <w:shd w:val="clear" w:color="auto" w:fill="FFFFFF" w:themeFill="background1"/>
          </w:tcPr>
          <w:p w14:paraId="20E01B72" w14:textId="5875454C" w:rsidR="00762250" w:rsidRPr="00762250" w:rsidRDefault="00886DC4" w:rsidP="00D8031B">
            <w:pPr>
              <w:pStyle w:val="TableofFigures"/>
            </w:pPr>
            <w:r w:rsidRPr="00070A87">
              <w:t xml:space="preserve">An agreement between a transition care recipient and a transition care service provider which details services to be delivered by the service provider, charges payable by the care recipient to the service provider, </w:t>
            </w:r>
            <w:r w:rsidR="00BE6E55">
              <w:t xml:space="preserve">the </w:t>
            </w:r>
            <w:r w:rsidRPr="00070A87">
              <w:t>external complaint mechanisms and how to access these and other arrangements.</w:t>
            </w:r>
          </w:p>
        </w:tc>
      </w:tr>
      <w:tr w:rsidR="007A4399" w:rsidRPr="00C82C51" w14:paraId="7433534B" w14:textId="77777777" w:rsidTr="004A5202">
        <w:tc>
          <w:tcPr>
            <w:tcW w:w="2547" w:type="dxa"/>
            <w:tcBorders>
              <w:top w:val="single" w:sz="4" w:space="0" w:color="auto"/>
              <w:bottom w:val="single" w:sz="4" w:space="0" w:color="auto"/>
            </w:tcBorders>
            <w:shd w:val="clear" w:color="auto" w:fill="D9D9D9" w:themeFill="background1" w:themeFillShade="D9"/>
          </w:tcPr>
          <w:p w14:paraId="4A6642DE" w14:textId="77777777" w:rsidR="00D8031B" w:rsidRDefault="007A4399" w:rsidP="0087009A">
            <w:pPr>
              <w:spacing w:before="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lastRenderedPageBreak/>
              <w:t>TRANSITION CARE SERVICE</w:t>
            </w:r>
          </w:p>
          <w:p w14:paraId="594ADAE8" w14:textId="77777777" w:rsidR="00D8031B" w:rsidRDefault="008D46E9" w:rsidP="0087009A">
            <w:pPr>
              <w:spacing w:before="0"/>
              <w:rPr>
                <w:rStyle w:val="Strong"/>
                <w:rFonts w:asciiTheme="minorHAnsi" w:hAnsiTheme="minorHAnsi" w:cstheme="minorHAnsi"/>
                <w:b w:val="0"/>
                <w:bCs w:val="0"/>
                <w:szCs w:val="20"/>
              </w:rPr>
            </w:pPr>
            <w:r>
              <w:rPr>
                <w:rStyle w:val="Strong"/>
                <w:rFonts w:asciiTheme="minorHAnsi" w:hAnsiTheme="minorHAnsi" w:cstheme="minorHAnsi"/>
                <w:b w:val="0"/>
                <w:bCs w:val="0"/>
                <w:szCs w:val="20"/>
              </w:rPr>
              <w:t>TRANSITION CARE SERVICE PROVIDER</w:t>
            </w:r>
          </w:p>
          <w:p w14:paraId="4FF5F1F3" w14:textId="27BCEE05" w:rsidR="007A4399" w:rsidRPr="00070A87" w:rsidRDefault="008D46E9" w:rsidP="0087009A">
            <w:pPr>
              <w:spacing w:before="0"/>
              <w:rPr>
                <w:rStyle w:val="Strong"/>
                <w:rFonts w:asciiTheme="minorHAnsi" w:hAnsiTheme="minorHAnsi" w:cstheme="minorHAnsi"/>
                <w:b w:val="0"/>
                <w:bCs w:val="0"/>
                <w:szCs w:val="20"/>
              </w:rPr>
            </w:pPr>
            <w:r>
              <w:rPr>
                <w:rStyle w:val="Strong"/>
                <w:rFonts w:asciiTheme="minorHAnsi" w:hAnsiTheme="minorHAnsi" w:cstheme="minorHAnsi"/>
                <w:b w:val="0"/>
                <w:bCs w:val="0"/>
                <w:szCs w:val="20"/>
              </w:rPr>
              <w:t>SERVICE PROVIDER</w:t>
            </w:r>
          </w:p>
        </w:tc>
        <w:tc>
          <w:tcPr>
            <w:tcW w:w="7264" w:type="dxa"/>
            <w:tcBorders>
              <w:top w:val="single" w:sz="4" w:space="0" w:color="auto"/>
              <w:bottom w:val="single" w:sz="4" w:space="0" w:color="auto"/>
            </w:tcBorders>
            <w:shd w:val="clear" w:color="auto" w:fill="D9D9D9" w:themeFill="background1" w:themeFillShade="D9"/>
          </w:tcPr>
          <w:p w14:paraId="294FC488" w14:textId="77777777" w:rsidR="007A4399" w:rsidRPr="00781B94" w:rsidRDefault="007A4399" w:rsidP="00781B94">
            <w:pPr>
              <w:pStyle w:val="TableofFigures"/>
            </w:pPr>
            <w:r>
              <w:t>An aged care service operated by a state or territory government as the approved provider to deliver transition care</w:t>
            </w:r>
            <w:r w:rsidR="008D46E9">
              <w:t>, or an organisation engaged by the approved provider to deliver transition care.</w:t>
            </w:r>
          </w:p>
        </w:tc>
      </w:tr>
    </w:tbl>
    <w:p w14:paraId="700F65CB" w14:textId="77777777" w:rsidR="00FF4654" w:rsidRPr="000140B8" w:rsidRDefault="00FF4654" w:rsidP="00DF7B75">
      <w:pPr>
        <w:spacing w:before="0" w:after="200" w:line="276" w:lineRule="auto"/>
      </w:pPr>
    </w:p>
    <w:sectPr w:rsidR="00FF4654" w:rsidRPr="000140B8" w:rsidSect="00292208">
      <w:pgSz w:w="11906" w:h="16838"/>
      <w:pgMar w:top="1134" w:right="1418" w:bottom="1418" w:left="993" w:header="284" w:footer="341"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81DF" w14:textId="77777777" w:rsidR="00E54957" w:rsidRDefault="00E54957" w:rsidP="008F3023">
      <w:pPr>
        <w:spacing w:before="0" w:after="0"/>
      </w:pPr>
      <w:r>
        <w:separator/>
      </w:r>
    </w:p>
    <w:p w14:paraId="3D7F2872" w14:textId="77777777" w:rsidR="00E54957" w:rsidRDefault="00E54957"/>
  </w:endnote>
  <w:endnote w:type="continuationSeparator" w:id="0">
    <w:p w14:paraId="667E796A" w14:textId="77777777" w:rsidR="00E54957" w:rsidRDefault="00E54957" w:rsidP="008F3023">
      <w:pPr>
        <w:spacing w:before="0" w:after="0"/>
      </w:pPr>
      <w:r>
        <w:continuationSeparator/>
      </w:r>
    </w:p>
    <w:p w14:paraId="1D04C6B4" w14:textId="77777777" w:rsidR="00E54957" w:rsidRDefault="00E54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A22C" w14:textId="77777777" w:rsidR="00E82F13" w:rsidRDefault="00E82F13">
    <w:pPr>
      <w:pStyle w:val="Footer"/>
    </w:pPr>
    <w:r>
      <w:ptab w:relativeTo="margin" w:alignment="center" w:leader="none"/>
    </w:r>
    <w:r>
      <w:t>4</w:t>
    </w:r>
    <w:r>
      <w:ptab w:relativeTo="margin" w:alignment="right" w:leader="none"/>
    </w:r>
    <w:r>
      <w:t>July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55" w14:textId="77777777" w:rsidR="00E82F13" w:rsidRDefault="00E82F13" w:rsidP="00B10EB1">
    <w:pPr>
      <w:pStyle w:val="Foote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2638" w14:textId="77777777" w:rsidR="00E82F13" w:rsidRDefault="00E82F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529E" w14:textId="77777777" w:rsidR="00E82F13" w:rsidRDefault="00E82F13" w:rsidP="00B10EB1">
    <w:pPr>
      <w:pStyle w:val="Footer"/>
      <w:ind w:left="-1417"/>
    </w:pPr>
    <w:r w:rsidRPr="005A6474">
      <w:rPr>
        <w:noProof/>
      </w:rPr>
      <w:ptab w:relativeTo="margin" w:alignment="center" w:leader="none"/>
    </w:r>
    <w:r w:rsidRPr="005A6474">
      <w:rPr>
        <w:noProof/>
      </w:rPr>
      <w:ptab w:relativeTo="margin" w:alignment="right" w:leader="none"/>
    </w:r>
    <w:r>
      <w:rPr>
        <w:noProof/>
      </w:rPr>
      <w:t>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104107"/>
      <w:docPartObj>
        <w:docPartGallery w:val="Page Numbers (Bottom of Page)"/>
        <w:docPartUnique/>
      </w:docPartObj>
    </w:sdtPr>
    <w:sdtEndPr>
      <w:rPr>
        <w:noProof/>
      </w:rPr>
    </w:sdtEndPr>
    <w:sdtContent>
      <w:p w14:paraId="03E6F418" w14:textId="6A3930D2" w:rsidR="00E82F13" w:rsidRDefault="00E82F13">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4E2EFB0F" w14:textId="699ECA40" w:rsidR="00E82F13" w:rsidRDefault="004F328C" w:rsidP="00DF12F7">
    <w:pPr>
      <w:pStyle w:val="Footer"/>
      <w:jc w:val="right"/>
    </w:pPr>
    <w:r>
      <w:t xml:space="preserve">August </w:t>
    </w:r>
    <w:r w:rsidR="007C59BA">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995566"/>
      <w:docPartObj>
        <w:docPartGallery w:val="Page Numbers (Bottom of Page)"/>
        <w:docPartUnique/>
      </w:docPartObj>
    </w:sdtPr>
    <w:sdtEndPr>
      <w:rPr>
        <w:noProof/>
      </w:rPr>
    </w:sdtEndPr>
    <w:sdtContent>
      <w:p w14:paraId="05340848" w14:textId="77777777" w:rsidR="00E82F13" w:rsidRDefault="00E82F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2E6A21" w14:textId="77777777" w:rsidR="00E82F13" w:rsidRDefault="00E82F13"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B426" w14:textId="77777777" w:rsidR="00E54957" w:rsidRDefault="00E54957" w:rsidP="00187113">
      <w:pPr>
        <w:spacing w:before="0" w:after="0"/>
      </w:pPr>
      <w:r>
        <w:separator/>
      </w:r>
    </w:p>
  </w:footnote>
  <w:footnote w:type="continuationSeparator" w:id="0">
    <w:p w14:paraId="2E20FC37" w14:textId="77777777" w:rsidR="00E54957" w:rsidRDefault="00E54957" w:rsidP="00E173A7">
      <w:pPr>
        <w:spacing w:before="0" w:after="0"/>
      </w:pPr>
      <w:r>
        <w:continuationSeparator/>
      </w:r>
    </w:p>
  </w:footnote>
  <w:footnote w:type="continuationNotice" w:id="1">
    <w:p w14:paraId="25D327C3" w14:textId="77777777" w:rsidR="00E54957" w:rsidRPr="00187113" w:rsidRDefault="00E54957" w:rsidP="00187113">
      <w:pPr>
        <w:pStyle w:val="Footer"/>
      </w:pPr>
    </w:p>
  </w:footnote>
  <w:footnote w:id="2">
    <w:p w14:paraId="2106B25F" w14:textId="2C74D80B" w:rsidR="00E82F13" w:rsidRPr="001C406F" w:rsidRDefault="00E82F13" w:rsidP="00DF7B75">
      <w:pPr>
        <w:pStyle w:val="Footnote"/>
      </w:pPr>
      <w:r>
        <w:rPr>
          <w:rStyle w:val="FootnoteReference"/>
        </w:rPr>
        <w:footnoteRef/>
      </w:r>
      <w:r>
        <w:t xml:space="preserve"> </w:t>
      </w:r>
      <w:r w:rsidRPr="001C406F">
        <w:t>Under section 1-2A, the Transitional Provisions Act applies only to ‘continuing care recipients. Under the Act, a continuing care recipient must have entered a relevant residential, home care, or flexible care service before 1</w:t>
      </w:r>
      <w:r>
        <w:t> </w:t>
      </w:r>
      <w:r w:rsidRPr="001C406F">
        <w:t>July</w:t>
      </w:r>
      <w:r>
        <w:t> </w:t>
      </w:r>
      <w:r w:rsidRPr="001C406F">
        <w:t>2014 and must not have ceased to be provided with that care for a continuous period of more than 28 days (other than for leave) or have chosen not to opt into the new aged care arrangements. Please note that where these guidelines refer to ‘the Act’, the Transitional Provisions Act may apply in circumstances which involve the provision of aged care services to a continuing care recipient.</w:t>
      </w:r>
    </w:p>
  </w:footnote>
  <w:footnote w:id="3">
    <w:p w14:paraId="18F59E7C" w14:textId="392550E2" w:rsidR="00E82F13" w:rsidRPr="001C406F" w:rsidRDefault="00E82F13" w:rsidP="00DF7B75">
      <w:pPr>
        <w:pStyle w:val="Footnote"/>
      </w:pPr>
      <w:r w:rsidRPr="00660227">
        <w:rPr>
          <w:rStyle w:val="FootnoteReference"/>
          <w:szCs w:val="18"/>
        </w:rPr>
        <w:footnoteRef/>
      </w:r>
      <w:r w:rsidRPr="00660227">
        <w:t xml:space="preserve"> </w:t>
      </w:r>
      <w:r w:rsidRPr="001C406F">
        <w:t xml:space="preserve">A detailed list of services to be provided is included in </w:t>
      </w:r>
      <w:r w:rsidRPr="001C406F">
        <w:rPr>
          <w:i/>
        </w:rPr>
        <w:t>Schedule 1: Specified care and services for transition care services</w:t>
      </w:r>
      <w:r w:rsidRPr="001C406F">
        <w:t xml:space="preserve"> of the payment agreement and is provided at </w:t>
      </w:r>
      <w:r w:rsidRPr="001C406F">
        <w:rPr>
          <w:u w:val="single"/>
        </w:rPr>
        <w:t>Attachment B</w:t>
      </w:r>
      <w:r w:rsidRPr="001C406F">
        <w:t>.</w:t>
      </w:r>
    </w:p>
  </w:footnote>
  <w:footnote w:id="4">
    <w:p w14:paraId="21CDC8D3" w14:textId="679CD041" w:rsidR="00E82F13" w:rsidRPr="001C406F" w:rsidRDefault="00E82F13" w:rsidP="00DF7B75">
      <w:pPr>
        <w:pStyle w:val="Footnote"/>
      </w:pPr>
      <w:r w:rsidRPr="001C406F">
        <w:rPr>
          <w:rStyle w:val="FootnoteReference"/>
          <w:rFonts w:asciiTheme="minorHAnsi" w:hAnsiTheme="minorHAnsi" w:cstheme="minorHAnsi"/>
          <w:szCs w:val="18"/>
        </w:rPr>
        <w:footnoteRef/>
      </w:r>
      <w:r w:rsidRPr="001C406F">
        <w:t xml:space="preserve"> Definitions for acute care and subacute care are included in the glossary at the end of these guidelines.</w:t>
      </w:r>
    </w:p>
  </w:footnote>
  <w:footnote w:id="5">
    <w:p w14:paraId="40B0B1B5" w14:textId="77777777" w:rsidR="00E82F13" w:rsidRPr="0035169C" w:rsidRDefault="00E82F13" w:rsidP="00DF7B75">
      <w:pPr>
        <w:pStyle w:val="Footnote"/>
      </w:pPr>
      <w:r w:rsidRPr="00E15655">
        <w:rPr>
          <w:rStyle w:val="FootnoteReference"/>
          <w:szCs w:val="18"/>
        </w:rPr>
        <w:footnoteRef/>
      </w:r>
      <w:r w:rsidRPr="00E15655">
        <w:t xml:space="preserve"> </w:t>
      </w:r>
      <w:r w:rsidRPr="0035169C">
        <w:t>While the definition is accurate in terms of specifying the interface between the acute/subacute and the residential aged care sectors, and while the programme applies to older people assessed as otherwise eligible for residential care, it also includes transition care provided in a community setting.</w:t>
      </w:r>
    </w:p>
  </w:footnote>
  <w:footnote w:id="6">
    <w:p w14:paraId="559E4B63" w14:textId="6E1AEF3B" w:rsidR="00E82F13" w:rsidRPr="0035169C" w:rsidRDefault="00E82F13" w:rsidP="00DF7B75">
      <w:pPr>
        <w:pStyle w:val="Footnote"/>
      </w:pPr>
      <w:r w:rsidRPr="0035169C">
        <w:rPr>
          <w:rStyle w:val="FootnoteReference"/>
          <w:rFonts w:asciiTheme="minorHAnsi" w:hAnsiTheme="minorHAnsi" w:cstheme="minorHAnsi"/>
          <w:szCs w:val="18"/>
        </w:rPr>
        <w:footnoteRef/>
      </w:r>
      <w:r w:rsidRPr="0035169C">
        <w:t xml:space="preserve"> </w:t>
      </w:r>
      <w:r w:rsidRPr="0035169C">
        <w:rPr>
          <w:bCs/>
        </w:rPr>
        <w:t>A detailed list of services to be provided is included in</w:t>
      </w:r>
      <w:r w:rsidRPr="0035169C">
        <w:rPr>
          <w:bCs/>
          <w:i/>
        </w:rPr>
        <w:t xml:space="preserve"> Schedule 1: Specified care and services for transition care services </w:t>
      </w:r>
      <w:r w:rsidRPr="0035169C">
        <w:rPr>
          <w:bCs/>
        </w:rPr>
        <w:t>of the Payment Agreement and provided</w:t>
      </w:r>
      <w:r w:rsidRPr="0035169C">
        <w:rPr>
          <w:bCs/>
          <w:i/>
        </w:rPr>
        <w:t xml:space="preserve"> </w:t>
      </w:r>
      <w:r w:rsidRPr="0035169C">
        <w:rPr>
          <w:bCs/>
        </w:rPr>
        <w:t xml:space="preserve">at </w:t>
      </w:r>
      <w:r w:rsidRPr="0035169C">
        <w:rPr>
          <w:bCs/>
          <w:u w:val="single"/>
        </w:rPr>
        <w:t>Attachment B</w:t>
      </w:r>
      <w:r w:rsidRPr="0035169C">
        <w:rPr>
          <w:bCs/>
        </w:rPr>
        <w:t>.</w:t>
      </w:r>
    </w:p>
  </w:footnote>
  <w:footnote w:id="7">
    <w:p w14:paraId="1E3AAB39" w14:textId="47FDEB5F" w:rsidR="00E82F13" w:rsidRPr="00DF7B75" w:rsidRDefault="00E82F13" w:rsidP="00DF7B75">
      <w:pPr>
        <w:pStyle w:val="Footnote"/>
        <w:rPr>
          <w:rFonts w:eastAsia="Calibri"/>
        </w:rPr>
      </w:pPr>
      <w:r>
        <w:rPr>
          <w:rStyle w:val="FootnoteReference"/>
        </w:rPr>
        <w:footnoteRef/>
      </w:r>
      <w:r>
        <w:t xml:space="preserve"> </w:t>
      </w:r>
      <w:r w:rsidRPr="00CA5E56">
        <w:rPr>
          <w:rFonts w:eastAsia="Calibri"/>
          <w:lang w:val="en"/>
        </w:rPr>
        <w:t>A care leaver is a person who was in institutional care or other form of out-of-home care, including foster care, as a child or youth (or both) at some time during the 20th century.</w:t>
      </w:r>
    </w:p>
  </w:footnote>
  <w:footnote w:id="8">
    <w:p w14:paraId="4BC7698C" w14:textId="77777777" w:rsidR="00E82F13" w:rsidRPr="00492711" w:rsidRDefault="00E82F13" w:rsidP="00DF7B75">
      <w:pPr>
        <w:pStyle w:val="Footnote"/>
      </w:pPr>
      <w:r w:rsidRPr="00464AC2">
        <w:rPr>
          <w:rStyle w:val="FootnoteReference"/>
          <w:szCs w:val="18"/>
        </w:rPr>
        <w:footnoteRef/>
      </w:r>
      <w:r w:rsidRPr="00464AC2">
        <w:t xml:space="preserve"> </w:t>
      </w:r>
      <w:r w:rsidRPr="00492711">
        <w:t>A definition for subacute care is included in the Glossary at the end of these guidelines.</w:t>
      </w:r>
    </w:p>
  </w:footnote>
  <w:footnote w:id="9">
    <w:p w14:paraId="3C28F068" w14:textId="4C50E103" w:rsidR="00E82F13" w:rsidRPr="0078593A" w:rsidRDefault="00E82F13" w:rsidP="00DF7B75">
      <w:pPr>
        <w:pStyle w:val="Footnote"/>
      </w:pPr>
      <w:r w:rsidRPr="00415081">
        <w:rPr>
          <w:rStyle w:val="FootnoteReference"/>
          <w:szCs w:val="18"/>
        </w:rPr>
        <w:footnoteRef/>
      </w:r>
      <w:r w:rsidRPr="00415081">
        <w:t xml:space="preserve"> </w:t>
      </w:r>
      <w:r w:rsidRPr="0078593A">
        <w:t>Definitions for transition care service, transition care service provider, and service provider are included in the</w:t>
      </w:r>
      <w:r>
        <w:t xml:space="preserve"> </w:t>
      </w:r>
      <w:r w:rsidRPr="0078593A">
        <w:t>Glossary at the end of these guidelines.</w:t>
      </w:r>
    </w:p>
  </w:footnote>
  <w:footnote w:id="10">
    <w:p w14:paraId="099BA9BD" w14:textId="136C734A" w:rsidR="00E82F13" w:rsidRPr="00DF7B75" w:rsidRDefault="00E82F13" w:rsidP="00DF7B75">
      <w:pPr>
        <w:pStyle w:val="Footnote"/>
      </w:pPr>
      <w:r w:rsidRPr="0056035A">
        <w:rPr>
          <w:rStyle w:val="FootnoteReference"/>
          <w:rFonts w:ascii="Times New Roman" w:hAnsi="Times New Roman"/>
          <w:sz w:val="20"/>
        </w:rPr>
        <w:footnoteRef/>
      </w:r>
      <w:r>
        <w:t xml:space="preserve"> Ibid</w:t>
      </w:r>
      <w:r w:rsidR="006F3A1C">
        <w:t xml:space="preserve"> Framework Dimensions</w:t>
      </w:r>
      <w:r>
        <w:t>.</w:t>
      </w:r>
    </w:p>
  </w:footnote>
  <w:footnote w:id="11">
    <w:p w14:paraId="33CB76FA" w14:textId="491C9E83" w:rsidR="00E82F13" w:rsidRPr="00F40830" w:rsidRDefault="00E82F13" w:rsidP="00DF7B75">
      <w:pPr>
        <w:pStyle w:val="Footnote"/>
      </w:pPr>
      <w:r w:rsidRPr="00F40830">
        <w:rPr>
          <w:rStyle w:val="FootnoteReference"/>
          <w:rFonts w:asciiTheme="minorHAnsi" w:hAnsiTheme="minorHAnsi" w:cstheme="minorHAnsi"/>
          <w:szCs w:val="18"/>
        </w:rPr>
        <w:footnoteRef/>
      </w:r>
      <w:r w:rsidRPr="00F40830">
        <w:t xml:space="preserve"> Ibid</w:t>
      </w:r>
      <w:r w:rsidR="006F3A1C">
        <w:t xml:space="preserve"> Framework Dimension</w:t>
      </w:r>
      <w:r w:rsidRPr="00F40830">
        <w:t xml:space="preserve">. </w:t>
      </w:r>
    </w:p>
  </w:footnote>
  <w:footnote w:id="12">
    <w:p w14:paraId="4D89BAC1" w14:textId="77777777" w:rsidR="00E82F13" w:rsidRPr="00DC79CF" w:rsidRDefault="00E82F13" w:rsidP="001174D0">
      <w:pPr>
        <w:pStyle w:val="Footnote"/>
      </w:pPr>
      <w:r w:rsidRPr="00DC79CF">
        <w:rPr>
          <w:rStyle w:val="FootnoteReference"/>
          <w:rFonts w:asciiTheme="minorHAnsi" w:hAnsiTheme="minorHAnsi" w:cstheme="minorHAnsi"/>
          <w:szCs w:val="18"/>
        </w:rPr>
        <w:footnoteRef/>
      </w:r>
      <w:r w:rsidRPr="00DC79CF">
        <w:t xml:space="preserve"> NSW Health, 1999. </w:t>
      </w:r>
      <w:r w:rsidRPr="00DC79CF">
        <w:rPr>
          <w:i/>
        </w:rPr>
        <w:t>A Framework for Managing the Quality of Health Services in New South Wales</w:t>
      </w:r>
      <w:r w:rsidRPr="00DC79CF">
        <w:t>, NSW Department of Health, Sydney.</w:t>
      </w:r>
    </w:p>
  </w:footnote>
  <w:footnote w:id="13">
    <w:p w14:paraId="3FCC2B52" w14:textId="55D50C7A" w:rsidR="00E82F13" w:rsidRPr="00DF7B75" w:rsidRDefault="00E82F13" w:rsidP="00DF7B75">
      <w:pPr>
        <w:pStyle w:val="Footnote"/>
        <w:rPr>
          <w:sz w:val="16"/>
          <w:szCs w:val="16"/>
        </w:rPr>
      </w:pPr>
      <w:r w:rsidRPr="00866734">
        <w:rPr>
          <w:rStyle w:val="FootnoteReference"/>
        </w:rPr>
        <w:footnoteRef/>
      </w:r>
      <w:r w:rsidRPr="00866734">
        <w:t xml:space="preserve"> </w:t>
      </w:r>
      <w:r w:rsidRPr="00B965EA">
        <w:t>Day to day diabetes education and management forms part of ‘dietetics’ and is to be undertaken by a qualified diabetes educator who oversees and manages diabetes therapy where clinically appropriate, according to the care recipient’s needs and care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CC59" w14:textId="2BA2857C" w:rsidR="00E82F13" w:rsidRDefault="0094416B" w:rsidP="00856159">
    <w:pPr>
      <w:ind w:left="-964"/>
      <w:jc w:val="center"/>
    </w:pPr>
    <w:r>
      <w:rPr>
        <w:noProof/>
        <w:sz w:val="28"/>
        <w:szCs w:val="28"/>
      </w:rPr>
      <w:drawing>
        <wp:inline distT="0" distB="0" distL="0" distR="0" wp14:anchorId="747678BB" wp14:editId="4A30AA42">
          <wp:extent cx="1610543" cy="1271751"/>
          <wp:effectExtent l="0" t="0" r="8890" b="5080"/>
          <wp:docPr id="526176817" name="Picture 1" descr="Department of Health, Disability and Ageing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76817" name="Picture 1" descr="Department of Health, Disability and Ageing 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D849" w14:textId="77777777" w:rsidR="00E82F13" w:rsidRPr="0084227C" w:rsidRDefault="00E82F13" w:rsidP="008422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4E96" w14:textId="77777777" w:rsidR="00E82F13" w:rsidRDefault="00E82F13"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AA05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652"/>
    <w:multiLevelType w:val="hybridMultilevel"/>
    <w:tmpl w:val="F4505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485D9B"/>
    <w:multiLevelType w:val="hybridMultilevel"/>
    <w:tmpl w:val="E71846F4"/>
    <w:lvl w:ilvl="0" w:tplc="C7CC9B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AF761F5"/>
    <w:multiLevelType w:val="hybridMultilevel"/>
    <w:tmpl w:val="7D7A1E38"/>
    <w:lvl w:ilvl="0" w:tplc="DA1C0AD0">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1D5DDC"/>
    <w:multiLevelType w:val="hybridMultilevel"/>
    <w:tmpl w:val="3B905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D3E87"/>
    <w:multiLevelType w:val="hybridMultilevel"/>
    <w:tmpl w:val="241A6BB4"/>
    <w:lvl w:ilvl="0" w:tplc="0C090017">
      <w:start w:val="1"/>
      <w:numFmt w:val="lowerLetter"/>
      <w:lvlText w:val="%1)"/>
      <w:lvlJc w:val="left"/>
      <w:pPr>
        <w:ind w:left="776"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0FC35BF0"/>
    <w:multiLevelType w:val="hybridMultilevel"/>
    <w:tmpl w:val="997ED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358B3"/>
    <w:multiLevelType w:val="hybridMultilevel"/>
    <w:tmpl w:val="2650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E21055"/>
    <w:multiLevelType w:val="hybridMultilevel"/>
    <w:tmpl w:val="A2286EC8"/>
    <w:lvl w:ilvl="0" w:tplc="3EFEEBB6">
      <w:start w:val="1"/>
      <w:numFmt w:val="decimal"/>
      <w:lvlText w:val="%1."/>
      <w:lvlJc w:val="left"/>
      <w:pPr>
        <w:tabs>
          <w:tab w:val="num" w:pos="754"/>
        </w:tabs>
        <w:ind w:left="754" w:hanging="360"/>
      </w:pPr>
      <w:rPr>
        <w:rFonts w:cs="Times New Roman" w:hint="default"/>
        <w:u w:color="3366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BA2C31"/>
    <w:multiLevelType w:val="hybridMultilevel"/>
    <w:tmpl w:val="0AD61DA8"/>
    <w:lvl w:ilvl="0" w:tplc="8CBC7014">
      <w:start w:val="3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A36AD5"/>
    <w:multiLevelType w:val="hybridMultilevel"/>
    <w:tmpl w:val="714C0BA0"/>
    <w:lvl w:ilvl="0" w:tplc="E8E8BAC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9F7F1B"/>
    <w:multiLevelType w:val="multilevel"/>
    <w:tmpl w:val="01265C7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07846"/>
    <w:multiLevelType w:val="hybridMultilevel"/>
    <w:tmpl w:val="BF46705C"/>
    <w:lvl w:ilvl="0" w:tplc="93C80E78">
      <w:start w:val="1"/>
      <w:numFmt w:val="decimal"/>
      <w:lvlText w:val="%1."/>
      <w:lvlJc w:val="left"/>
      <w:pPr>
        <w:tabs>
          <w:tab w:val="num" w:pos="754"/>
        </w:tabs>
        <w:ind w:left="754" w:hanging="360"/>
      </w:pPr>
      <w:rPr>
        <w:rFonts w:cs="Times New Roman" w:hint="default"/>
        <w:u w:color="3366FF"/>
      </w:rPr>
    </w:lvl>
    <w:lvl w:ilvl="1" w:tplc="0C090019" w:tentative="1">
      <w:start w:val="1"/>
      <w:numFmt w:val="lowerLetter"/>
      <w:lvlText w:val="%2."/>
      <w:lvlJc w:val="left"/>
      <w:pPr>
        <w:tabs>
          <w:tab w:val="num" w:pos="1759"/>
        </w:tabs>
        <w:ind w:left="1759" w:hanging="360"/>
      </w:pPr>
      <w:rPr>
        <w:rFonts w:cs="Times New Roman"/>
      </w:rPr>
    </w:lvl>
    <w:lvl w:ilvl="2" w:tplc="0C09001B" w:tentative="1">
      <w:start w:val="1"/>
      <w:numFmt w:val="lowerRoman"/>
      <w:lvlText w:val="%3."/>
      <w:lvlJc w:val="right"/>
      <w:pPr>
        <w:tabs>
          <w:tab w:val="num" w:pos="2479"/>
        </w:tabs>
        <w:ind w:left="2479" w:hanging="180"/>
      </w:pPr>
      <w:rPr>
        <w:rFonts w:cs="Times New Roman"/>
      </w:rPr>
    </w:lvl>
    <w:lvl w:ilvl="3" w:tplc="0C09000F" w:tentative="1">
      <w:start w:val="1"/>
      <w:numFmt w:val="decimal"/>
      <w:lvlText w:val="%4."/>
      <w:lvlJc w:val="left"/>
      <w:pPr>
        <w:tabs>
          <w:tab w:val="num" w:pos="3199"/>
        </w:tabs>
        <w:ind w:left="3199" w:hanging="360"/>
      </w:pPr>
      <w:rPr>
        <w:rFonts w:cs="Times New Roman"/>
      </w:rPr>
    </w:lvl>
    <w:lvl w:ilvl="4" w:tplc="0C090019" w:tentative="1">
      <w:start w:val="1"/>
      <w:numFmt w:val="lowerLetter"/>
      <w:lvlText w:val="%5."/>
      <w:lvlJc w:val="left"/>
      <w:pPr>
        <w:tabs>
          <w:tab w:val="num" w:pos="3919"/>
        </w:tabs>
        <w:ind w:left="3919" w:hanging="360"/>
      </w:pPr>
      <w:rPr>
        <w:rFonts w:cs="Times New Roman"/>
      </w:rPr>
    </w:lvl>
    <w:lvl w:ilvl="5" w:tplc="0C09001B" w:tentative="1">
      <w:start w:val="1"/>
      <w:numFmt w:val="lowerRoman"/>
      <w:lvlText w:val="%6."/>
      <w:lvlJc w:val="right"/>
      <w:pPr>
        <w:tabs>
          <w:tab w:val="num" w:pos="4639"/>
        </w:tabs>
        <w:ind w:left="4639" w:hanging="180"/>
      </w:pPr>
      <w:rPr>
        <w:rFonts w:cs="Times New Roman"/>
      </w:rPr>
    </w:lvl>
    <w:lvl w:ilvl="6" w:tplc="0C09000F" w:tentative="1">
      <w:start w:val="1"/>
      <w:numFmt w:val="decimal"/>
      <w:lvlText w:val="%7."/>
      <w:lvlJc w:val="left"/>
      <w:pPr>
        <w:tabs>
          <w:tab w:val="num" w:pos="5359"/>
        </w:tabs>
        <w:ind w:left="5359" w:hanging="360"/>
      </w:pPr>
      <w:rPr>
        <w:rFonts w:cs="Times New Roman"/>
      </w:rPr>
    </w:lvl>
    <w:lvl w:ilvl="7" w:tplc="0C090019" w:tentative="1">
      <w:start w:val="1"/>
      <w:numFmt w:val="lowerLetter"/>
      <w:lvlText w:val="%8."/>
      <w:lvlJc w:val="left"/>
      <w:pPr>
        <w:tabs>
          <w:tab w:val="num" w:pos="6079"/>
        </w:tabs>
        <w:ind w:left="6079" w:hanging="360"/>
      </w:pPr>
      <w:rPr>
        <w:rFonts w:cs="Times New Roman"/>
      </w:rPr>
    </w:lvl>
    <w:lvl w:ilvl="8" w:tplc="0C09001B" w:tentative="1">
      <w:start w:val="1"/>
      <w:numFmt w:val="lowerRoman"/>
      <w:lvlText w:val="%9."/>
      <w:lvlJc w:val="right"/>
      <w:pPr>
        <w:tabs>
          <w:tab w:val="num" w:pos="6799"/>
        </w:tabs>
        <w:ind w:left="6799" w:hanging="180"/>
      </w:pPr>
      <w:rPr>
        <w:rFonts w:cs="Times New Roman"/>
      </w:rPr>
    </w:lvl>
  </w:abstractNum>
  <w:abstractNum w:abstractNumId="13" w15:restartNumberingAfterBreak="0">
    <w:nsid w:val="29376A7B"/>
    <w:multiLevelType w:val="hybridMultilevel"/>
    <w:tmpl w:val="DB140E0A"/>
    <w:lvl w:ilvl="0" w:tplc="EFB819D4">
      <w:start w:val="1"/>
      <w:numFmt w:val="lowerLetter"/>
      <w:lvlText w:val="(%1)"/>
      <w:lvlJc w:val="left"/>
      <w:pPr>
        <w:ind w:left="360" w:hanging="360"/>
      </w:pPr>
      <w:rPr>
        <w:rFonts w:hint="default"/>
      </w:rPr>
    </w:lvl>
    <w:lvl w:ilvl="1" w:tplc="D2D4A77C">
      <w:start w:val="3"/>
      <w:numFmt w:val="lowerRoman"/>
      <w:lvlText w:val="(%2)"/>
      <w:lvlJc w:val="lef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8A5570"/>
    <w:multiLevelType w:val="multilevel"/>
    <w:tmpl w:val="D486BC30"/>
    <w:lvl w:ilvl="0">
      <w:start w:val="1"/>
      <w:numFmt w:val="decimal"/>
      <w:lvlText w:val="%1."/>
      <w:lvlJc w:val="left"/>
      <w:pPr>
        <w:tabs>
          <w:tab w:val="num" w:pos="927"/>
        </w:tabs>
        <w:ind w:left="927" w:hanging="360"/>
      </w:pPr>
      <w:rPr>
        <w:rFonts w:cs="Times New Roman" w:hint="default"/>
        <w:sz w:val="20"/>
        <w:szCs w:val="22"/>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2CFA2912"/>
    <w:multiLevelType w:val="hybridMultilevel"/>
    <w:tmpl w:val="BA6E8B5E"/>
    <w:lvl w:ilvl="0" w:tplc="04090003">
      <w:start w:val="1"/>
      <w:numFmt w:val="bullet"/>
      <w:lvlText w:val="o"/>
      <w:lvlJc w:val="left"/>
      <w:pPr>
        <w:tabs>
          <w:tab w:val="num" w:pos="2160"/>
        </w:tabs>
        <w:ind w:left="2160" w:hanging="360"/>
      </w:pPr>
      <w:rPr>
        <w:rFonts w:ascii="Courier New" w:hAnsi="Courier New"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0D774A"/>
    <w:multiLevelType w:val="hybridMultilevel"/>
    <w:tmpl w:val="2C284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E26C8"/>
    <w:multiLevelType w:val="hybridMultilevel"/>
    <w:tmpl w:val="241A6BB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FC4610"/>
    <w:multiLevelType w:val="hybridMultilevel"/>
    <w:tmpl w:val="49302948"/>
    <w:lvl w:ilvl="0" w:tplc="398E5A44">
      <w:start w:val="1"/>
      <w:numFmt w:val="bullet"/>
      <w:pStyle w:val="ListBullet2"/>
      <w:lvlText w:val="o"/>
      <w:lvlJc w:val="left"/>
      <w:pPr>
        <w:ind w:left="1356" w:hanging="360"/>
      </w:pPr>
      <w:rPr>
        <w:rFonts w:ascii="Courier New" w:hAnsi="Courier New" w:cs="Courier New" w:hint="default"/>
      </w:rPr>
    </w:lvl>
    <w:lvl w:ilvl="1" w:tplc="0C090003" w:tentative="1">
      <w:start w:val="1"/>
      <w:numFmt w:val="bullet"/>
      <w:lvlText w:val="o"/>
      <w:lvlJc w:val="left"/>
      <w:pPr>
        <w:ind w:left="2076" w:hanging="360"/>
      </w:pPr>
      <w:rPr>
        <w:rFonts w:ascii="Courier New" w:hAnsi="Courier New" w:cs="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cs="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cs="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19" w15:restartNumberingAfterBreak="0">
    <w:nsid w:val="37C81F6F"/>
    <w:multiLevelType w:val="multilevel"/>
    <w:tmpl w:val="EF94A05E"/>
    <w:lvl w:ilvl="0">
      <w:start w:val="1"/>
      <w:numFmt w:val="decimal"/>
      <w:pStyle w:val="Heading1"/>
      <w:lvlText w:val="CHAPTER %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cstheme="minorHAnsi"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7FA3C35"/>
    <w:multiLevelType w:val="hybridMultilevel"/>
    <w:tmpl w:val="241A6BB4"/>
    <w:lvl w:ilvl="0" w:tplc="0C090017">
      <w:start w:val="1"/>
      <w:numFmt w:val="lowerLetter"/>
      <w:lvlText w:val="%1)"/>
      <w:lvlJc w:val="left"/>
      <w:pPr>
        <w:ind w:left="3762"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1" w15:restartNumberingAfterBreak="0">
    <w:nsid w:val="3D7A425A"/>
    <w:multiLevelType w:val="hybridMultilevel"/>
    <w:tmpl w:val="7CA0988C"/>
    <w:lvl w:ilvl="0" w:tplc="AE6CDBAA">
      <w:start w:val="1"/>
      <w:numFmt w:val="bullet"/>
      <w:lvlText w:val=""/>
      <w:lvlJc w:val="left"/>
      <w:pPr>
        <w:ind w:left="1440" w:hanging="360"/>
      </w:pPr>
      <w:rPr>
        <w:rFonts w:ascii="Symbol" w:hAnsi="Symbol"/>
      </w:rPr>
    </w:lvl>
    <w:lvl w:ilvl="1" w:tplc="A5C28C3E">
      <w:start w:val="1"/>
      <w:numFmt w:val="bullet"/>
      <w:lvlText w:val=""/>
      <w:lvlJc w:val="left"/>
      <w:pPr>
        <w:ind w:left="1440" w:hanging="360"/>
      </w:pPr>
      <w:rPr>
        <w:rFonts w:ascii="Symbol" w:hAnsi="Symbol"/>
      </w:rPr>
    </w:lvl>
    <w:lvl w:ilvl="2" w:tplc="C97E9C04">
      <w:start w:val="1"/>
      <w:numFmt w:val="bullet"/>
      <w:lvlText w:val=""/>
      <w:lvlJc w:val="left"/>
      <w:pPr>
        <w:ind w:left="1440" w:hanging="360"/>
      </w:pPr>
      <w:rPr>
        <w:rFonts w:ascii="Symbol" w:hAnsi="Symbol"/>
      </w:rPr>
    </w:lvl>
    <w:lvl w:ilvl="3" w:tplc="BF4A0F36">
      <w:start w:val="1"/>
      <w:numFmt w:val="bullet"/>
      <w:lvlText w:val=""/>
      <w:lvlJc w:val="left"/>
      <w:pPr>
        <w:ind w:left="1440" w:hanging="360"/>
      </w:pPr>
      <w:rPr>
        <w:rFonts w:ascii="Symbol" w:hAnsi="Symbol"/>
      </w:rPr>
    </w:lvl>
    <w:lvl w:ilvl="4" w:tplc="F7AAB542">
      <w:start w:val="1"/>
      <w:numFmt w:val="bullet"/>
      <w:lvlText w:val=""/>
      <w:lvlJc w:val="left"/>
      <w:pPr>
        <w:ind w:left="1440" w:hanging="360"/>
      </w:pPr>
      <w:rPr>
        <w:rFonts w:ascii="Symbol" w:hAnsi="Symbol"/>
      </w:rPr>
    </w:lvl>
    <w:lvl w:ilvl="5" w:tplc="45A42C32">
      <w:start w:val="1"/>
      <w:numFmt w:val="bullet"/>
      <w:lvlText w:val=""/>
      <w:lvlJc w:val="left"/>
      <w:pPr>
        <w:ind w:left="1440" w:hanging="360"/>
      </w:pPr>
      <w:rPr>
        <w:rFonts w:ascii="Symbol" w:hAnsi="Symbol"/>
      </w:rPr>
    </w:lvl>
    <w:lvl w:ilvl="6" w:tplc="BFD6EC3C">
      <w:start w:val="1"/>
      <w:numFmt w:val="bullet"/>
      <w:lvlText w:val=""/>
      <w:lvlJc w:val="left"/>
      <w:pPr>
        <w:ind w:left="1440" w:hanging="360"/>
      </w:pPr>
      <w:rPr>
        <w:rFonts w:ascii="Symbol" w:hAnsi="Symbol"/>
      </w:rPr>
    </w:lvl>
    <w:lvl w:ilvl="7" w:tplc="3B522562">
      <w:start w:val="1"/>
      <w:numFmt w:val="bullet"/>
      <w:lvlText w:val=""/>
      <w:lvlJc w:val="left"/>
      <w:pPr>
        <w:ind w:left="1440" w:hanging="360"/>
      </w:pPr>
      <w:rPr>
        <w:rFonts w:ascii="Symbol" w:hAnsi="Symbol"/>
      </w:rPr>
    </w:lvl>
    <w:lvl w:ilvl="8" w:tplc="AD46CD96">
      <w:start w:val="1"/>
      <w:numFmt w:val="bullet"/>
      <w:lvlText w:val=""/>
      <w:lvlJc w:val="left"/>
      <w:pPr>
        <w:ind w:left="1440" w:hanging="360"/>
      </w:pPr>
      <w:rPr>
        <w:rFonts w:ascii="Symbol" w:hAnsi="Symbol"/>
      </w:rPr>
    </w:lvl>
  </w:abstractNum>
  <w:abstractNum w:abstractNumId="22" w15:restartNumberingAfterBreak="0">
    <w:nsid w:val="3ED70C2B"/>
    <w:multiLevelType w:val="hybridMultilevel"/>
    <w:tmpl w:val="F76A3BD4"/>
    <w:lvl w:ilvl="0" w:tplc="E400955A">
      <w:start w:val="1"/>
      <w:numFmt w:val="bullet"/>
      <w:lvlText w:val=""/>
      <w:lvlJc w:val="left"/>
      <w:pPr>
        <w:tabs>
          <w:tab w:val="num" w:pos="71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3FBD7996"/>
    <w:multiLevelType w:val="multilevel"/>
    <w:tmpl w:val="7C7E765E"/>
    <w:name w:val="StandardBulletedList"/>
    <w:lvl w:ilvl="0">
      <w:start w:val="1"/>
      <w:numFmt w:val="bullet"/>
      <w:pStyle w:val="Bullet"/>
      <w:lvlText w:val="•"/>
      <w:lvlJc w:val="left"/>
      <w:pPr>
        <w:tabs>
          <w:tab w:val="num" w:pos="567"/>
        </w:tabs>
        <w:ind w:left="567" w:hanging="567"/>
      </w:pPr>
      <w:rPr>
        <w:rFonts w:ascii="Times New Roman" w:hAnsi="Times New Roman"/>
      </w:rPr>
    </w:lvl>
    <w:lvl w:ilvl="1">
      <w:start w:val="1"/>
      <w:numFmt w:val="bullet"/>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0BA5D57"/>
    <w:multiLevelType w:val="hybridMultilevel"/>
    <w:tmpl w:val="17BCEF6A"/>
    <w:lvl w:ilvl="0" w:tplc="430EEEF6">
      <w:start w:val="1"/>
      <w:numFmt w:val="decimal"/>
      <w:lvlText w:val="%1."/>
      <w:lvlJc w:val="left"/>
      <w:pPr>
        <w:ind w:left="478" w:hanging="360"/>
      </w:pPr>
      <w:rPr>
        <w:rFonts w:ascii="Calibri" w:eastAsia="Calibri" w:hAnsi="Calibri" w:cs="Calibri" w:hint="default"/>
        <w:b w:val="0"/>
        <w:bCs w:val="0"/>
        <w:i w:val="0"/>
        <w:iCs w:val="0"/>
        <w:w w:val="100"/>
        <w:sz w:val="22"/>
        <w:szCs w:val="22"/>
        <w:lang w:val="en-US" w:eastAsia="en-US" w:bidi="ar-SA"/>
      </w:rPr>
    </w:lvl>
    <w:lvl w:ilvl="1" w:tplc="E27C68A2">
      <w:numFmt w:val="bullet"/>
      <w:lvlText w:val=""/>
      <w:lvlJc w:val="left"/>
      <w:pPr>
        <w:ind w:left="589" w:hanging="358"/>
      </w:pPr>
      <w:rPr>
        <w:rFonts w:ascii="Symbol" w:eastAsia="Symbol" w:hAnsi="Symbol" w:cs="Symbol" w:hint="default"/>
        <w:b w:val="0"/>
        <w:bCs w:val="0"/>
        <w:i w:val="0"/>
        <w:iCs w:val="0"/>
        <w:w w:val="100"/>
        <w:sz w:val="22"/>
        <w:szCs w:val="22"/>
        <w:lang w:val="en-US" w:eastAsia="en-US" w:bidi="ar-SA"/>
      </w:rPr>
    </w:lvl>
    <w:lvl w:ilvl="2" w:tplc="94B098D0">
      <w:numFmt w:val="bullet"/>
      <w:lvlText w:val="o"/>
      <w:lvlJc w:val="left"/>
      <w:pPr>
        <w:ind w:left="1558" w:hanging="360"/>
      </w:pPr>
      <w:rPr>
        <w:rFonts w:ascii="Courier New" w:eastAsia="Courier New" w:hAnsi="Courier New" w:cs="Courier New" w:hint="default"/>
        <w:b w:val="0"/>
        <w:bCs w:val="0"/>
        <w:i w:val="0"/>
        <w:iCs w:val="0"/>
        <w:w w:val="100"/>
        <w:sz w:val="22"/>
        <w:szCs w:val="22"/>
        <w:lang w:val="en-US" w:eastAsia="en-US" w:bidi="ar-SA"/>
      </w:rPr>
    </w:lvl>
    <w:lvl w:ilvl="3" w:tplc="CEC884E8">
      <w:numFmt w:val="bullet"/>
      <w:lvlText w:val="•"/>
      <w:lvlJc w:val="left"/>
      <w:pPr>
        <w:ind w:left="2528" w:hanging="360"/>
      </w:pPr>
      <w:rPr>
        <w:rFonts w:hint="default"/>
        <w:lang w:val="en-US" w:eastAsia="en-US" w:bidi="ar-SA"/>
      </w:rPr>
    </w:lvl>
    <w:lvl w:ilvl="4" w:tplc="5CB04F28">
      <w:numFmt w:val="bullet"/>
      <w:lvlText w:val="•"/>
      <w:lvlJc w:val="left"/>
      <w:pPr>
        <w:ind w:left="3496" w:hanging="360"/>
      </w:pPr>
      <w:rPr>
        <w:rFonts w:hint="default"/>
        <w:lang w:val="en-US" w:eastAsia="en-US" w:bidi="ar-SA"/>
      </w:rPr>
    </w:lvl>
    <w:lvl w:ilvl="5" w:tplc="38323C46">
      <w:numFmt w:val="bullet"/>
      <w:lvlText w:val="•"/>
      <w:lvlJc w:val="left"/>
      <w:pPr>
        <w:ind w:left="4464" w:hanging="360"/>
      </w:pPr>
      <w:rPr>
        <w:rFonts w:hint="default"/>
        <w:lang w:val="en-US" w:eastAsia="en-US" w:bidi="ar-SA"/>
      </w:rPr>
    </w:lvl>
    <w:lvl w:ilvl="6" w:tplc="98043CEE">
      <w:numFmt w:val="bullet"/>
      <w:lvlText w:val="•"/>
      <w:lvlJc w:val="left"/>
      <w:pPr>
        <w:ind w:left="5433" w:hanging="360"/>
      </w:pPr>
      <w:rPr>
        <w:rFonts w:hint="default"/>
        <w:lang w:val="en-US" w:eastAsia="en-US" w:bidi="ar-SA"/>
      </w:rPr>
    </w:lvl>
    <w:lvl w:ilvl="7" w:tplc="043CBC46">
      <w:numFmt w:val="bullet"/>
      <w:lvlText w:val="•"/>
      <w:lvlJc w:val="left"/>
      <w:pPr>
        <w:ind w:left="6401" w:hanging="360"/>
      </w:pPr>
      <w:rPr>
        <w:rFonts w:hint="default"/>
        <w:lang w:val="en-US" w:eastAsia="en-US" w:bidi="ar-SA"/>
      </w:rPr>
    </w:lvl>
    <w:lvl w:ilvl="8" w:tplc="3BC2C9C6">
      <w:numFmt w:val="bullet"/>
      <w:lvlText w:val="•"/>
      <w:lvlJc w:val="left"/>
      <w:pPr>
        <w:ind w:left="7369" w:hanging="360"/>
      </w:pPr>
      <w:rPr>
        <w:rFonts w:hint="default"/>
        <w:lang w:val="en-US" w:eastAsia="en-US" w:bidi="ar-SA"/>
      </w:rPr>
    </w:lvl>
  </w:abstractNum>
  <w:abstractNum w:abstractNumId="25" w15:restartNumberingAfterBreak="0">
    <w:nsid w:val="46267494"/>
    <w:multiLevelType w:val="hybridMultilevel"/>
    <w:tmpl w:val="3BA8286E"/>
    <w:lvl w:ilvl="0" w:tplc="C31C92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A487B"/>
    <w:multiLevelType w:val="hybridMultilevel"/>
    <w:tmpl w:val="A52C2F8A"/>
    <w:lvl w:ilvl="0" w:tplc="0F4A0492">
      <w:start w:val="1"/>
      <w:numFmt w:val="upperRoman"/>
      <w:pStyle w:val="List2"/>
      <w:lvlText w:val="%1."/>
      <w:lvlJc w:val="right"/>
      <w:pPr>
        <w:ind w:left="966" w:hanging="360"/>
      </w:pPr>
    </w:lvl>
    <w:lvl w:ilvl="1" w:tplc="0C090019" w:tentative="1">
      <w:start w:val="1"/>
      <w:numFmt w:val="lowerLetter"/>
      <w:lvlText w:val="%2."/>
      <w:lvlJc w:val="left"/>
      <w:pPr>
        <w:ind w:left="1686" w:hanging="360"/>
      </w:pPr>
    </w:lvl>
    <w:lvl w:ilvl="2" w:tplc="0C09001B" w:tentative="1">
      <w:start w:val="1"/>
      <w:numFmt w:val="lowerRoman"/>
      <w:lvlText w:val="%3."/>
      <w:lvlJc w:val="right"/>
      <w:pPr>
        <w:ind w:left="2406" w:hanging="180"/>
      </w:pPr>
    </w:lvl>
    <w:lvl w:ilvl="3" w:tplc="0C09000F" w:tentative="1">
      <w:start w:val="1"/>
      <w:numFmt w:val="decimal"/>
      <w:lvlText w:val="%4."/>
      <w:lvlJc w:val="left"/>
      <w:pPr>
        <w:ind w:left="3126" w:hanging="360"/>
      </w:pPr>
    </w:lvl>
    <w:lvl w:ilvl="4" w:tplc="0C090019" w:tentative="1">
      <w:start w:val="1"/>
      <w:numFmt w:val="lowerLetter"/>
      <w:lvlText w:val="%5."/>
      <w:lvlJc w:val="left"/>
      <w:pPr>
        <w:ind w:left="3846" w:hanging="360"/>
      </w:pPr>
    </w:lvl>
    <w:lvl w:ilvl="5" w:tplc="0C09001B" w:tentative="1">
      <w:start w:val="1"/>
      <w:numFmt w:val="lowerRoman"/>
      <w:lvlText w:val="%6."/>
      <w:lvlJc w:val="right"/>
      <w:pPr>
        <w:ind w:left="4566" w:hanging="180"/>
      </w:pPr>
    </w:lvl>
    <w:lvl w:ilvl="6" w:tplc="0C09000F" w:tentative="1">
      <w:start w:val="1"/>
      <w:numFmt w:val="decimal"/>
      <w:lvlText w:val="%7."/>
      <w:lvlJc w:val="left"/>
      <w:pPr>
        <w:ind w:left="5286" w:hanging="360"/>
      </w:pPr>
    </w:lvl>
    <w:lvl w:ilvl="7" w:tplc="0C090019" w:tentative="1">
      <w:start w:val="1"/>
      <w:numFmt w:val="lowerLetter"/>
      <w:lvlText w:val="%8."/>
      <w:lvlJc w:val="left"/>
      <w:pPr>
        <w:ind w:left="6006" w:hanging="360"/>
      </w:pPr>
    </w:lvl>
    <w:lvl w:ilvl="8" w:tplc="0C09001B" w:tentative="1">
      <w:start w:val="1"/>
      <w:numFmt w:val="lowerRoman"/>
      <w:lvlText w:val="%9."/>
      <w:lvlJc w:val="right"/>
      <w:pPr>
        <w:ind w:left="6726" w:hanging="180"/>
      </w:pPr>
    </w:lvl>
  </w:abstractNum>
  <w:abstractNum w:abstractNumId="27" w15:restartNumberingAfterBreak="0">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8" w15:restartNumberingAfterBreak="0">
    <w:nsid w:val="597D59FF"/>
    <w:multiLevelType w:val="hybridMultilevel"/>
    <w:tmpl w:val="AB02E2FA"/>
    <w:lvl w:ilvl="0" w:tplc="55A890B8">
      <w:start w:val="1"/>
      <w:numFmt w:val="bullet"/>
      <w:lvlText w:val=""/>
      <w:lvlJc w:val="left"/>
      <w:pPr>
        <w:ind w:left="720" w:hanging="360"/>
      </w:pPr>
      <w:rPr>
        <w:rFonts w:ascii="Symbol" w:hAnsi="Symbol" w:hint="default"/>
      </w:rPr>
    </w:lvl>
    <w:lvl w:ilvl="1" w:tplc="DA1C0AD0">
      <w:start w:val="1"/>
      <w:numFmt w:val="lowerRoman"/>
      <w:lvlText w:val="(%2)"/>
      <w:lvlJc w:val="left"/>
      <w:pPr>
        <w:ind w:left="1440" w:hanging="360"/>
      </w:pPr>
      <w:rPr>
        <w:rFont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24EEF"/>
    <w:multiLevelType w:val="hybridMultilevel"/>
    <w:tmpl w:val="C8784C14"/>
    <w:lvl w:ilvl="0" w:tplc="55A890B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DE1C8D"/>
    <w:multiLevelType w:val="hybridMultilevel"/>
    <w:tmpl w:val="6EA674C8"/>
    <w:lvl w:ilvl="0" w:tplc="8ADE0A50">
      <w:start w:val="1"/>
      <w:numFmt w:val="upperRoman"/>
      <w:pStyle w:val="List"/>
      <w:lvlText w:val="%1."/>
      <w:lvlJc w:val="right"/>
      <w:pPr>
        <w:tabs>
          <w:tab w:val="num" w:pos="1494"/>
        </w:tabs>
        <w:ind w:left="1494" w:hanging="180"/>
      </w:pPr>
      <w:rPr>
        <w:rFonts w:cs="Times New Roman"/>
      </w:rPr>
    </w:lvl>
    <w:lvl w:ilvl="1" w:tplc="0C090019" w:tentative="1">
      <w:start w:val="1"/>
      <w:numFmt w:val="lowerLetter"/>
      <w:lvlText w:val="%2."/>
      <w:lvlJc w:val="left"/>
      <w:pPr>
        <w:tabs>
          <w:tab w:val="num" w:pos="2394"/>
        </w:tabs>
        <w:ind w:left="2394" w:hanging="360"/>
      </w:pPr>
      <w:rPr>
        <w:rFonts w:cs="Times New Roman"/>
      </w:rPr>
    </w:lvl>
    <w:lvl w:ilvl="2" w:tplc="0C09001B" w:tentative="1">
      <w:start w:val="1"/>
      <w:numFmt w:val="lowerRoman"/>
      <w:lvlText w:val="%3."/>
      <w:lvlJc w:val="right"/>
      <w:pPr>
        <w:tabs>
          <w:tab w:val="num" w:pos="3114"/>
        </w:tabs>
        <w:ind w:left="3114" w:hanging="180"/>
      </w:pPr>
      <w:rPr>
        <w:rFonts w:cs="Times New Roman"/>
      </w:rPr>
    </w:lvl>
    <w:lvl w:ilvl="3" w:tplc="0C09000F" w:tentative="1">
      <w:start w:val="1"/>
      <w:numFmt w:val="decimal"/>
      <w:lvlText w:val="%4."/>
      <w:lvlJc w:val="left"/>
      <w:pPr>
        <w:tabs>
          <w:tab w:val="num" w:pos="3834"/>
        </w:tabs>
        <w:ind w:left="3834" w:hanging="360"/>
      </w:pPr>
      <w:rPr>
        <w:rFonts w:cs="Times New Roman"/>
      </w:rPr>
    </w:lvl>
    <w:lvl w:ilvl="4" w:tplc="0C090019" w:tentative="1">
      <w:start w:val="1"/>
      <w:numFmt w:val="lowerLetter"/>
      <w:lvlText w:val="%5."/>
      <w:lvlJc w:val="left"/>
      <w:pPr>
        <w:tabs>
          <w:tab w:val="num" w:pos="4554"/>
        </w:tabs>
        <w:ind w:left="4554" w:hanging="360"/>
      </w:pPr>
      <w:rPr>
        <w:rFonts w:cs="Times New Roman"/>
      </w:rPr>
    </w:lvl>
    <w:lvl w:ilvl="5" w:tplc="0C09001B" w:tentative="1">
      <w:start w:val="1"/>
      <w:numFmt w:val="lowerRoman"/>
      <w:lvlText w:val="%6."/>
      <w:lvlJc w:val="right"/>
      <w:pPr>
        <w:tabs>
          <w:tab w:val="num" w:pos="5274"/>
        </w:tabs>
        <w:ind w:left="5274" w:hanging="180"/>
      </w:pPr>
      <w:rPr>
        <w:rFonts w:cs="Times New Roman"/>
      </w:rPr>
    </w:lvl>
    <w:lvl w:ilvl="6" w:tplc="0C09000F" w:tentative="1">
      <w:start w:val="1"/>
      <w:numFmt w:val="decimal"/>
      <w:lvlText w:val="%7."/>
      <w:lvlJc w:val="left"/>
      <w:pPr>
        <w:tabs>
          <w:tab w:val="num" w:pos="5994"/>
        </w:tabs>
        <w:ind w:left="5994" w:hanging="360"/>
      </w:pPr>
      <w:rPr>
        <w:rFonts w:cs="Times New Roman"/>
      </w:rPr>
    </w:lvl>
    <w:lvl w:ilvl="7" w:tplc="0C090019" w:tentative="1">
      <w:start w:val="1"/>
      <w:numFmt w:val="lowerLetter"/>
      <w:lvlText w:val="%8."/>
      <w:lvlJc w:val="left"/>
      <w:pPr>
        <w:tabs>
          <w:tab w:val="num" w:pos="6714"/>
        </w:tabs>
        <w:ind w:left="6714" w:hanging="360"/>
      </w:pPr>
      <w:rPr>
        <w:rFonts w:cs="Times New Roman"/>
      </w:rPr>
    </w:lvl>
    <w:lvl w:ilvl="8" w:tplc="0C09001B" w:tentative="1">
      <w:start w:val="1"/>
      <w:numFmt w:val="lowerRoman"/>
      <w:lvlText w:val="%9."/>
      <w:lvlJc w:val="right"/>
      <w:pPr>
        <w:tabs>
          <w:tab w:val="num" w:pos="7434"/>
        </w:tabs>
        <w:ind w:left="7434" w:hanging="180"/>
      </w:pPr>
      <w:rPr>
        <w:rFonts w:cs="Times New Roman"/>
      </w:rPr>
    </w:lvl>
  </w:abstractNum>
  <w:abstractNum w:abstractNumId="31" w15:restartNumberingAfterBreak="0">
    <w:nsid w:val="65456429"/>
    <w:multiLevelType w:val="multilevel"/>
    <w:tmpl w:val="B17EE60E"/>
    <w:lvl w:ilvl="0">
      <w:start w:val="1"/>
      <w:numFmt w:val="decimal"/>
      <w:pStyle w:val="ListNumb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2" w15:restartNumberingAfterBreak="0">
    <w:nsid w:val="71BE497E"/>
    <w:multiLevelType w:val="hybridMultilevel"/>
    <w:tmpl w:val="4E94F78A"/>
    <w:lvl w:ilvl="0" w:tplc="0C090013">
      <w:start w:val="1"/>
      <w:numFmt w:val="upperRoman"/>
      <w:lvlText w:val="%1."/>
      <w:lvlJc w:val="right"/>
      <w:pPr>
        <w:tabs>
          <w:tab w:val="num" w:pos="1494"/>
        </w:tabs>
        <w:ind w:left="1494" w:hanging="180"/>
      </w:pPr>
    </w:lvl>
    <w:lvl w:ilvl="1" w:tplc="0C090019" w:tentative="1">
      <w:start w:val="1"/>
      <w:numFmt w:val="lowerLetter"/>
      <w:lvlText w:val="%2."/>
      <w:lvlJc w:val="left"/>
      <w:pPr>
        <w:tabs>
          <w:tab w:val="num" w:pos="2394"/>
        </w:tabs>
        <w:ind w:left="2394" w:hanging="360"/>
      </w:pPr>
      <w:rPr>
        <w:rFonts w:cs="Times New Roman"/>
      </w:rPr>
    </w:lvl>
    <w:lvl w:ilvl="2" w:tplc="0C09001B" w:tentative="1">
      <w:start w:val="1"/>
      <w:numFmt w:val="lowerRoman"/>
      <w:lvlText w:val="%3."/>
      <w:lvlJc w:val="right"/>
      <w:pPr>
        <w:tabs>
          <w:tab w:val="num" w:pos="3114"/>
        </w:tabs>
        <w:ind w:left="3114" w:hanging="180"/>
      </w:pPr>
      <w:rPr>
        <w:rFonts w:cs="Times New Roman"/>
      </w:rPr>
    </w:lvl>
    <w:lvl w:ilvl="3" w:tplc="0C09000F" w:tentative="1">
      <w:start w:val="1"/>
      <w:numFmt w:val="decimal"/>
      <w:lvlText w:val="%4."/>
      <w:lvlJc w:val="left"/>
      <w:pPr>
        <w:tabs>
          <w:tab w:val="num" w:pos="3834"/>
        </w:tabs>
        <w:ind w:left="3834" w:hanging="360"/>
      </w:pPr>
      <w:rPr>
        <w:rFonts w:cs="Times New Roman"/>
      </w:rPr>
    </w:lvl>
    <w:lvl w:ilvl="4" w:tplc="0C090019" w:tentative="1">
      <w:start w:val="1"/>
      <w:numFmt w:val="lowerLetter"/>
      <w:lvlText w:val="%5."/>
      <w:lvlJc w:val="left"/>
      <w:pPr>
        <w:tabs>
          <w:tab w:val="num" w:pos="4554"/>
        </w:tabs>
        <w:ind w:left="4554" w:hanging="360"/>
      </w:pPr>
      <w:rPr>
        <w:rFonts w:cs="Times New Roman"/>
      </w:rPr>
    </w:lvl>
    <w:lvl w:ilvl="5" w:tplc="0C09001B" w:tentative="1">
      <w:start w:val="1"/>
      <w:numFmt w:val="lowerRoman"/>
      <w:lvlText w:val="%6."/>
      <w:lvlJc w:val="right"/>
      <w:pPr>
        <w:tabs>
          <w:tab w:val="num" w:pos="5274"/>
        </w:tabs>
        <w:ind w:left="5274" w:hanging="180"/>
      </w:pPr>
      <w:rPr>
        <w:rFonts w:cs="Times New Roman"/>
      </w:rPr>
    </w:lvl>
    <w:lvl w:ilvl="6" w:tplc="0C09000F" w:tentative="1">
      <w:start w:val="1"/>
      <w:numFmt w:val="decimal"/>
      <w:lvlText w:val="%7."/>
      <w:lvlJc w:val="left"/>
      <w:pPr>
        <w:tabs>
          <w:tab w:val="num" w:pos="5994"/>
        </w:tabs>
        <w:ind w:left="5994" w:hanging="360"/>
      </w:pPr>
      <w:rPr>
        <w:rFonts w:cs="Times New Roman"/>
      </w:rPr>
    </w:lvl>
    <w:lvl w:ilvl="7" w:tplc="0C090019" w:tentative="1">
      <w:start w:val="1"/>
      <w:numFmt w:val="lowerLetter"/>
      <w:lvlText w:val="%8."/>
      <w:lvlJc w:val="left"/>
      <w:pPr>
        <w:tabs>
          <w:tab w:val="num" w:pos="6714"/>
        </w:tabs>
        <w:ind w:left="6714" w:hanging="360"/>
      </w:pPr>
      <w:rPr>
        <w:rFonts w:cs="Times New Roman"/>
      </w:rPr>
    </w:lvl>
    <w:lvl w:ilvl="8" w:tplc="0C09001B" w:tentative="1">
      <w:start w:val="1"/>
      <w:numFmt w:val="lowerRoman"/>
      <w:lvlText w:val="%9."/>
      <w:lvlJc w:val="right"/>
      <w:pPr>
        <w:tabs>
          <w:tab w:val="num" w:pos="7434"/>
        </w:tabs>
        <w:ind w:left="7434" w:hanging="180"/>
      </w:pPr>
      <w:rPr>
        <w:rFonts w:cs="Times New Roman"/>
      </w:rPr>
    </w:lvl>
  </w:abstractNum>
  <w:abstractNum w:abstractNumId="33" w15:restartNumberingAfterBreak="0">
    <w:nsid w:val="72853ADF"/>
    <w:multiLevelType w:val="hybridMultilevel"/>
    <w:tmpl w:val="8EB6735E"/>
    <w:lvl w:ilvl="0" w:tplc="50C89348">
      <w:start w:val="1"/>
      <w:numFmt w:val="bullet"/>
      <w:lvlText w:val=""/>
      <w:lvlJc w:val="left"/>
      <w:pPr>
        <w:ind w:left="1440" w:hanging="360"/>
      </w:pPr>
      <w:rPr>
        <w:rFonts w:ascii="Symbol" w:hAnsi="Symbol"/>
      </w:rPr>
    </w:lvl>
    <w:lvl w:ilvl="1" w:tplc="DC08E070">
      <w:start w:val="1"/>
      <w:numFmt w:val="bullet"/>
      <w:lvlText w:val=""/>
      <w:lvlJc w:val="left"/>
      <w:pPr>
        <w:ind w:left="1440" w:hanging="360"/>
      </w:pPr>
      <w:rPr>
        <w:rFonts w:ascii="Symbol" w:hAnsi="Symbol"/>
      </w:rPr>
    </w:lvl>
    <w:lvl w:ilvl="2" w:tplc="D3B8D156">
      <w:start w:val="1"/>
      <w:numFmt w:val="bullet"/>
      <w:lvlText w:val=""/>
      <w:lvlJc w:val="left"/>
      <w:pPr>
        <w:ind w:left="1440" w:hanging="360"/>
      </w:pPr>
      <w:rPr>
        <w:rFonts w:ascii="Symbol" w:hAnsi="Symbol"/>
      </w:rPr>
    </w:lvl>
    <w:lvl w:ilvl="3" w:tplc="759A32CC">
      <w:start w:val="1"/>
      <w:numFmt w:val="bullet"/>
      <w:lvlText w:val=""/>
      <w:lvlJc w:val="left"/>
      <w:pPr>
        <w:ind w:left="1440" w:hanging="360"/>
      </w:pPr>
      <w:rPr>
        <w:rFonts w:ascii="Symbol" w:hAnsi="Symbol"/>
      </w:rPr>
    </w:lvl>
    <w:lvl w:ilvl="4" w:tplc="18EC873A">
      <w:start w:val="1"/>
      <w:numFmt w:val="bullet"/>
      <w:lvlText w:val=""/>
      <w:lvlJc w:val="left"/>
      <w:pPr>
        <w:ind w:left="1440" w:hanging="360"/>
      </w:pPr>
      <w:rPr>
        <w:rFonts w:ascii="Symbol" w:hAnsi="Symbol"/>
      </w:rPr>
    </w:lvl>
    <w:lvl w:ilvl="5" w:tplc="32FEC7B0">
      <w:start w:val="1"/>
      <w:numFmt w:val="bullet"/>
      <w:lvlText w:val=""/>
      <w:lvlJc w:val="left"/>
      <w:pPr>
        <w:ind w:left="1440" w:hanging="360"/>
      </w:pPr>
      <w:rPr>
        <w:rFonts w:ascii="Symbol" w:hAnsi="Symbol"/>
      </w:rPr>
    </w:lvl>
    <w:lvl w:ilvl="6" w:tplc="62BAE70A">
      <w:start w:val="1"/>
      <w:numFmt w:val="bullet"/>
      <w:lvlText w:val=""/>
      <w:lvlJc w:val="left"/>
      <w:pPr>
        <w:ind w:left="1440" w:hanging="360"/>
      </w:pPr>
      <w:rPr>
        <w:rFonts w:ascii="Symbol" w:hAnsi="Symbol"/>
      </w:rPr>
    </w:lvl>
    <w:lvl w:ilvl="7" w:tplc="FE525604">
      <w:start w:val="1"/>
      <w:numFmt w:val="bullet"/>
      <w:lvlText w:val=""/>
      <w:lvlJc w:val="left"/>
      <w:pPr>
        <w:ind w:left="1440" w:hanging="360"/>
      </w:pPr>
      <w:rPr>
        <w:rFonts w:ascii="Symbol" w:hAnsi="Symbol"/>
      </w:rPr>
    </w:lvl>
    <w:lvl w:ilvl="8" w:tplc="4ACCFC96">
      <w:start w:val="1"/>
      <w:numFmt w:val="bullet"/>
      <w:lvlText w:val=""/>
      <w:lvlJc w:val="left"/>
      <w:pPr>
        <w:ind w:left="1440" w:hanging="360"/>
      </w:pPr>
      <w:rPr>
        <w:rFonts w:ascii="Symbol" w:hAnsi="Symbol"/>
      </w:rPr>
    </w:lvl>
  </w:abstractNum>
  <w:abstractNum w:abstractNumId="34" w15:restartNumberingAfterBreak="0">
    <w:nsid w:val="76392D91"/>
    <w:multiLevelType w:val="hybridMultilevel"/>
    <w:tmpl w:val="C37270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42D18"/>
    <w:multiLevelType w:val="multilevel"/>
    <w:tmpl w:val="0136B784"/>
    <w:lvl w:ilvl="0">
      <w:start w:val="1"/>
      <w:numFmt w:val="decimal"/>
      <w:pStyle w:val="NumberBullet1"/>
      <w:lvlText w:val="(%1)"/>
      <w:lvlJc w:val="left"/>
      <w:pPr>
        <w:tabs>
          <w:tab w:val="num" w:pos="936"/>
        </w:tabs>
        <w:ind w:left="936" w:hanging="504"/>
      </w:pPr>
      <w:rPr>
        <w:rFonts w:ascii="Arial" w:hAnsi="Arial" w:cs="Times New Roman" w:hint="default"/>
        <w:color w:val="auto"/>
        <w:sz w:val="20"/>
        <w:szCs w:val="20"/>
      </w:rPr>
    </w:lvl>
    <w:lvl w:ilvl="1">
      <w:start w:val="1"/>
      <w:numFmt w:val="lowerLetter"/>
      <w:pStyle w:val="NumberBullet2"/>
      <w:lvlText w:val="(%2)"/>
      <w:lvlJc w:val="left"/>
      <w:pPr>
        <w:tabs>
          <w:tab w:val="num" w:pos="1368"/>
        </w:tabs>
        <w:ind w:left="1368" w:hanging="360"/>
      </w:pPr>
      <w:rPr>
        <w:rFonts w:ascii="Arial" w:hAnsi="Arial" w:cs="Times New Roman" w:hint="default"/>
        <w:color w:val="auto"/>
        <w:sz w:val="20"/>
        <w:szCs w:val="20"/>
      </w:rPr>
    </w:lvl>
    <w:lvl w:ilvl="2">
      <w:start w:val="1"/>
      <w:numFmt w:val="lowerRoman"/>
      <w:pStyle w:val="NumberBullet3"/>
      <w:lvlText w:val="(%3)"/>
      <w:lvlJc w:val="right"/>
      <w:pPr>
        <w:tabs>
          <w:tab w:val="num" w:pos="1944"/>
        </w:tabs>
        <w:ind w:left="1944" w:hanging="144"/>
      </w:pPr>
      <w:rPr>
        <w:rFonts w:ascii="Arial" w:hAnsi="Arial" w:cs="Times New Roman" w:hint="default"/>
        <w:b w:val="0"/>
        <w:i w:val="0"/>
        <w:color w:val="auto"/>
        <w:sz w:val="20"/>
        <w:szCs w:val="20"/>
      </w:rPr>
    </w:lvl>
    <w:lvl w:ilvl="3">
      <w:start w:val="1"/>
      <w:numFmt w:val="decimal"/>
      <w:lvlText w:val="%4."/>
      <w:lvlJc w:val="left"/>
      <w:pPr>
        <w:tabs>
          <w:tab w:val="num" w:pos="3512"/>
        </w:tabs>
        <w:ind w:left="3512" w:hanging="360"/>
      </w:pPr>
      <w:rPr>
        <w:rFonts w:cs="Times New Roman" w:hint="default"/>
      </w:rPr>
    </w:lvl>
    <w:lvl w:ilvl="4">
      <w:start w:val="1"/>
      <w:numFmt w:val="lowerLetter"/>
      <w:lvlText w:val="%5."/>
      <w:lvlJc w:val="left"/>
      <w:pPr>
        <w:tabs>
          <w:tab w:val="num" w:pos="4232"/>
        </w:tabs>
        <w:ind w:left="4232" w:hanging="360"/>
      </w:pPr>
      <w:rPr>
        <w:rFonts w:cs="Times New Roman" w:hint="default"/>
      </w:rPr>
    </w:lvl>
    <w:lvl w:ilvl="5">
      <w:start w:val="1"/>
      <w:numFmt w:val="lowerRoman"/>
      <w:lvlText w:val="%6."/>
      <w:lvlJc w:val="right"/>
      <w:pPr>
        <w:tabs>
          <w:tab w:val="num" w:pos="4952"/>
        </w:tabs>
        <w:ind w:left="4952" w:hanging="180"/>
      </w:pPr>
      <w:rPr>
        <w:rFonts w:cs="Times New Roman" w:hint="default"/>
      </w:rPr>
    </w:lvl>
    <w:lvl w:ilvl="6">
      <w:start w:val="1"/>
      <w:numFmt w:val="decimal"/>
      <w:lvlText w:val="%7."/>
      <w:lvlJc w:val="left"/>
      <w:pPr>
        <w:tabs>
          <w:tab w:val="num" w:pos="5672"/>
        </w:tabs>
        <w:ind w:left="5672" w:hanging="360"/>
      </w:pPr>
      <w:rPr>
        <w:rFonts w:cs="Times New Roman" w:hint="default"/>
      </w:rPr>
    </w:lvl>
    <w:lvl w:ilvl="7">
      <w:start w:val="1"/>
      <w:numFmt w:val="lowerLetter"/>
      <w:lvlText w:val="%8."/>
      <w:lvlJc w:val="left"/>
      <w:pPr>
        <w:tabs>
          <w:tab w:val="num" w:pos="6392"/>
        </w:tabs>
        <w:ind w:left="6392" w:hanging="360"/>
      </w:pPr>
      <w:rPr>
        <w:rFonts w:cs="Times New Roman" w:hint="default"/>
      </w:rPr>
    </w:lvl>
    <w:lvl w:ilvl="8">
      <w:start w:val="1"/>
      <w:numFmt w:val="lowerRoman"/>
      <w:lvlText w:val="%9."/>
      <w:lvlJc w:val="right"/>
      <w:pPr>
        <w:tabs>
          <w:tab w:val="num" w:pos="7112"/>
        </w:tabs>
        <w:ind w:left="7112" w:hanging="180"/>
      </w:pPr>
      <w:rPr>
        <w:rFonts w:cs="Times New Roman" w:hint="default"/>
      </w:rPr>
    </w:lvl>
  </w:abstractNum>
  <w:abstractNum w:abstractNumId="36" w15:restartNumberingAfterBreak="0">
    <w:nsid w:val="7C9F3EE7"/>
    <w:multiLevelType w:val="hybridMultilevel"/>
    <w:tmpl w:val="C15CA0EA"/>
    <w:lvl w:ilvl="0" w:tplc="9D5C396E">
      <w:start w:val="1"/>
      <w:numFmt w:val="lowerRoman"/>
      <w:pStyle w:val="ListContinue"/>
      <w:lvlText w:val="(%1)"/>
      <w:lvlJc w:val="left"/>
      <w:pPr>
        <w:ind w:left="1211" w:hanging="360"/>
      </w:pPr>
      <w:rPr>
        <w:rFonts w:cs="Times New Roman"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E17834"/>
    <w:multiLevelType w:val="hybridMultilevel"/>
    <w:tmpl w:val="8AB24A56"/>
    <w:lvl w:ilvl="0" w:tplc="E400955A">
      <w:start w:val="1"/>
      <w:numFmt w:val="bullet"/>
      <w:lvlText w:val=""/>
      <w:lvlJc w:val="left"/>
      <w:pPr>
        <w:tabs>
          <w:tab w:val="num" w:pos="567"/>
        </w:tabs>
        <w:ind w:left="927"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9523285">
    <w:abstractNumId w:val="27"/>
  </w:num>
  <w:num w:numId="2" w16cid:durableId="317924247">
    <w:abstractNumId w:val="12"/>
  </w:num>
  <w:num w:numId="3" w16cid:durableId="873035316">
    <w:abstractNumId w:val="35"/>
  </w:num>
  <w:num w:numId="4" w16cid:durableId="1800807257">
    <w:abstractNumId w:val="23"/>
  </w:num>
  <w:num w:numId="5" w16cid:durableId="824782982">
    <w:abstractNumId w:val="30"/>
  </w:num>
  <w:num w:numId="6" w16cid:durableId="910383734">
    <w:abstractNumId w:val="15"/>
  </w:num>
  <w:num w:numId="7" w16cid:durableId="1888100726">
    <w:abstractNumId w:val="22"/>
  </w:num>
  <w:num w:numId="8" w16cid:durableId="1321890618">
    <w:abstractNumId w:val="37"/>
  </w:num>
  <w:num w:numId="9" w16cid:durableId="1840076655">
    <w:abstractNumId w:val="14"/>
  </w:num>
  <w:num w:numId="10" w16cid:durableId="1588265577">
    <w:abstractNumId w:val="25"/>
  </w:num>
  <w:num w:numId="11" w16cid:durableId="1142818814">
    <w:abstractNumId w:val="8"/>
  </w:num>
  <w:num w:numId="12" w16cid:durableId="981420608">
    <w:abstractNumId w:val="13"/>
  </w:num>
  <w:num w:numId="13" w16cid:durableId="1441414191">
    <w:abstractNumId w:val="31"/>
  </w:num>
  <w:num w:numId="14" w16cid:durableId="580725368">
    <w:abstractNumId w:val="2"/>
  </w:num>
  <w:num w:numId="15" w16cid:durableId="357705604">
    <w:abstractNumId w:val="5"/>
  </w:num>
  <w:num w:numId="16" w16cid:durableId="324013281">
    <w:abstractNumId w:val="17"/>
  </w:num>
  <w:num w:numId="17" w16cid:durableId="1755780519">
    <w:abstractNumId w:val="10"/>
  </w:num>
  <w:num w:numId="18" w16cid:durableId="1555313802">
    <w:abstractNumId w:val="9"/>
  </w:num>
  <w:num w:numId="19" w16cid:durableId="1636720155">
    <w:abstractNumId w:val="3"/>
  </w:num>
  <w:num w:numId="20" w16cid:durableId="1237544992">
    <w:abstractNumId w:val="20"/>
  </w:num>
  <w:num w:numId="21" w16cid:durableId="707729368">
    <w:abstractNumId w:val="19"/>
  </w:num>
  <w:num w:numId="22" w16cid:durableId="881484144">
    <w:abstractNumId w:val="29"/>
  </w:num>
  <w:num w:numId="23" w16cid:durableId="1830095497">
    <w:abstractNumId w:val="26"/>
  </w:num>
  <w:num w:numId="24" w16cid:durableId="1813408076">
    <w:abstractNumId w:val="30"/>
    <w:lvlOverride w:ilvl="0">
      <w:startOverride w:val="1"/>
    </w:lvlOverride>
  </w:num>
  <w:num w:numId="25" w16cid:durableId="1586911329">
    <w:abstractNumId w:val="26"/>
    <w:lvlOverride w:ilvl="0">
      <w:startOverride w:val="1"/>
    </w:lvlOverride>
  </w:num>
  <w:num w:numId="26" w16cid:durableId="161163730">
    <w:abstractNumId w:val="36"/>
  </w:num>
  <w:num w:numId="27" w16cid:durableId="28919975">
    <w:abstractNumId w:val="36"/>
    <w:lvlOverride w:ilvl="0">
      <w:startOverride w:val="1"/>
    </w:lvlOverride>
  </w:num>
  <w:num w:numId="28" w16cid:durableId="1175656191">
    <w:abstractNumId w:val="36"/>
    <w:lvlOverride w:ilvl="0">
      <w:startOverride w:val="1"/>
    </w:lvlOverride>
  </w:num>
  <w:num w:numId="29" w16cid:durableId="110898193">
    <w:abstractNumId w:val="36"/>
    <w:lvlOverride w:ilvl="0">
      <w:startOverride w:val="1"/>
    </w:lvlOverride>
  </w:num>
  <w:num w:numId="30" w16cid:durableId="591469771">
    <w:abstractNumId w:val="36"/>
    <w:lvlOverride w:ilvl="0">
      <w:startOverride w:val="1"/>
    </w:lvlOverride>
  </w:num>
  <w:num w:numId="31" w16cid:durableId="655959147">
    <w:abstractNumId w:val="26"/>
    <w:lvlOverride w:ilvl="0">
      <w:startOverride w:val="1"/>
    </w:lvlOverride>
  </w:num>
  <w:num w:numId="32" w16cid:durableId="280845775">
    <w:abstractNumId w:val="36"/>
    <w:lvlOverride w:ilvl="0">
      <w:startOverride w:val="1"/>
    </w:lvlOverride>
  </w:num>
  <w:num w:numId="33" w16cid:durableId="1567639978">
    <w:abstractNumId w:val="18"/>
  </w:num>
  <w:num w:numId="34" w16cid:durableId="340662621">
    <w:abstractNumId w:val="28"/>
  </w:num>
  <w:num w:numId="35" w16cid:durableId="1703281160">
    <w:abstractNumId w:val="32"/>
  </w:num>
  <w:num w:numId="36" w16cid:durableId="1070923926">
    <w:abstractNumId w:val="16"/>
  </w:num>
  <w:num w:numId="37" w16cid:durableId="1499005903">
    <w:abstractNumId w:val="7"/>
  </w:num>
  <w:num w:numId="38" w16cid:durableId="647250464">
    <w:abstractNumId w:val="24"/>
  </w:num>
  <w:num w:numId="39" w16cid:durableId="1733846331">
    <w:abstractNumId w:val="34"/>
  </w:num>
  <w:num w:numId="40" w16cid:durableId="541599917">
    <w:abstractNumId w:val="4"/>
  </w:num>
  <w:num w:numId="41" w16cid:durableId="1509560473">
    <w:abstractNumId w:val="11"/>
  </w:num>
  <w:num w:numId="42" w16cid:durableId="688407339">
    <w:abstractNumId w:val="1"/>
  </w:num>
  <w:num w:numId="43" w16cid:durableId="1750419691">
    <w:abstractNumId w:val="29"/>
  </w:num>
  <w:num w:numId="44" w16cid:durableId="1790777295">
    <w:abstractNumId w:val="29"/>
  </w:num>
  <w:num w:numId="45" w16cid:durableId="1511719568">
    <w:abstractNumId w:val="0"/>
  </w:num>
  <w:num w:numId="46" w16cid:durableId="600650697">
    <w:abstractNumId w:val="29"/>
  </w:num>
  <w:num w:numId="47" w16cid:durableId="1671444931">
    <w:abstractNumId w:val="6"/>
  </w:num>
  <w:num w:numId="48" w16cid:durableId="843513983">
    <w:abstractNumId w:val="29"/>
  </w:num>
  <w:num w:numId="49" w16cid:durableId="1005478923">
    <w:abstractNumId w:val="21"/>
  </w:num>
  <w:num w:numId="50" w16cid:durableId="1269268352">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1D"/>
    <w:rsid w:val="000009A7"/>
    <w:rsid w:val="000014F7"/>
    <w:rsid w:val="00001A61"/>
    <w:rsid w:val="00003C13"/>
    <w:rsid w:val="0000405C"/>
    <w:rsid w:val="0000773C"/>
    <w:rsid w:val="00007ABB"/>
    <w:rsid w:val="000104A8"/>
    <w:rsid w:val="0001221F"/>
    <w:rsid w:val="000124F4"/>
    <w:rsid w:val="000126D9"/>
    <w:rsid w:val="00013A33"/>
    <w:rsid w:val="000140B8"/>
    <w:rsid w:val="000143C3"/>
    <w:rsid w:val="00014515"/>
    <w:rsid w:val="00014740"/>
    <w:rsid w:val="00014CB9"/>
    <w:rsid w:val="00015329"/>
    <w:rsid w:val="00015BD3"/>
    <w:rsid w:val="00015E0C"/>
    <w:rsid w:val="00015FC1"/>
    <w:rsid w:val="00016851"/>
    <w:rsid w:val="00016E75"/>
    <w:rsid w:val="00016F4E"/>
    <w:rsid w:val="00020486"/>
    <w:rsid w:val="00020C25"/>
    <w:rsid w:val="00021966"/>
    <w:rsid w:val="00022B03"/>
    <w:rsid w:val="00023963"/>
    <w:rsid w:val="00024545"/>
    <w:rsid w:val="0002455A"/>
    <w:rsid w:val="0002469B"/>
    <w:rsid w:val="0002477A"/>
    <w:rsid w:val="00024BFC"/>
    <w:rsid w:val="00026C87"/>
    <w:rsid w:val="00026FA2"/>
    <w:rsid w:val="0002773E"/>
    <w:rsid w:val="000305CB"/>
    <w:rsid w:val="00030AB8"/>
    <w:rsid w:val="00030C1A"/>
    <w:rsid w:val="00030D07"/>
    <w:rsid w:val="000312C7"/>
    <w:rsid w:val="00031C1D"/>
    <w:rsid w:val="00032350"/>
    <w:rsid w:val="0003313E"/>
    <w:rsid w:val="00033B2B"/>
    <w:rsid w:val="00034171"/>
    <w:rsid w:val="000342B6"/>
    <w:rsid w:val="000344B5"/>
    <w:rsid w:val="00034988"/>
    <w:rsid w:val="00035E16"/>
    <w:rsid w:val="0003673C"/>
    <w:rsid w:val="00036C80"/>
    <w:rsid w:val="00037DF6"/>
    <w:rsid w:val="00040B91"/>
    <w:rsid w:val="00041454"/>
    <w:rsid w:val="00041890"/>
    <w:rsid w:val="00041A18"/>
    <w:rsid w:val="00041A1A"/>
    <w:rsid w:val="00041A93"/>
    <w:rsid w:val="00041D54"/>
    <w:rsid w:val="00041F06"/>
    <w:rsid w:val="00043046"/>
    <w:rsid w:val="00043304"/>
    <w:rsid w:val="000458D4"/>
    <w:rsid w:val="00045D0D"/>
    <w:rsid w:val="000462E1"/>
    <w:rsid w:val="00046585"/>
    <w:rsid w:val="000478F2"/>
    <w:rsid w:val="00047AA4"/>
    <w:rsid w:val="000501BF"/>
    <w:rsid w:val="0005058B"/>
    <w:rsid w:val="000505D6"/>
    <w:rsid w:val="000520FF"/>
    <w:rsid w:val="0005402E"/>
    <w:rsid w:val="000540C2"/>
    <w:rsid w:val="000555FC"/>
    <w:rsid w:val="00055F45"/>
    <w:rsid w:val="000604E0"/>
    <w:rsid w:val="000614F0"/>
    <w:rsid w:val="00061616"/>
    <w:rsid w:val="00061C36"/>
    <w:rsid w:val="00062A0C"/>
    <w:rsid w:val="00062D33"/>
    <w:rsid w:val="0006413E"/>
    <w:rsid w:val="00064BEB"/>
    <w:rsid w:val="000656FF"/>
    <w:rsid w:val="00066D6C"/>
    <w:rsid w:val="00070A87"/>
    <w:rsid w:val="00071075"/>
    <w:rsid w:val="00071156"/>
    <w:rsid w:val="000712E7"/>
    <w:rsid w:val="000717F8"/>
    <w:rsid w:val="0007236F"/>
    <w:rsid w:val="00074656"/>
    <w:rsid w:val="00075002"/>
    <w:rsid w:val="000755E6"/>
    <w:rsid w:val="00075879"/>
    <w:rsid w:val="00075E93"/>
    <w:rsid w:val="000768C4"/>
    <w:rsid w:val="00080154"/>
    <w:rsid w:val="00080904"/>
    <w:rsid w:val="00081192"/>
    <w:rsid w:val="00081610"/>
    <w:rsid w:val="00081785"/>
    <w:rsid w:val="00082246"/>
    <w:rsid w:val="0008224D"/>
    <w:rsid w:val="00082EB4"/>
    <w:rsid w:val="00083264"/>
    <w:rsid w:val="00083591"/>
    <w:rsid w:val="00083797"/>
    <w:rsid w:val="00083F7E"/>
    <w:rsid w:val="000840C9"/>
    <w:rsid w:val="0008438D"/>
    <w:rsid w:val="000847A1"/>
    <w:rsid w:val="00086332"/>
    <w:rsid w:val="00086588"/>
    <w:rsid w:val="00086923"/>
    <w:rsid w:val="0008766C"/>
    <w:rsid w:val="000903D5"/>
    <w:rsid w:val="00091C5F"/>
    <w:rsid w:val="0009214B"/>
    <w:rsid w:val="000923B1"/>
    <w:rsid w:val="00092AF0"/>
    <w:rsid w:val="00092BA8"/>
    <w:rsid w:val="000943B6"/>
    <w:rsid w:val="00094E6D"/>
    <w:rsid w:val="00094E8F"/>
    <w:rsid w:val="0009561C"/>
    <w:rsid w:val="00095725"/>
    <w:rsid w:val="0009585D"/>
    <w:rsid w:val="00097713"/>
    <w:rsid w:val="000A0C5D"/>
    <w:rsid w:val="000A2014"/>
    <w:rsid w:val="000A30B6"/>
    <w:rsid w:val="000A30CC"/>
    <w:rsid w:val="000A338F"/>
    <w:rsid w:val="000A3754"/>
    <w:rsid w:val="000A387A"/>
    <w:rsid w:val="000A5B9B"/>
    <w:rsid w:val="000A5C84"/>
    <w:rsid w:val="000A5EC7"/>
    <w:rsid w:val="000A66B7"/>
    <w:rsid w:val="000A7890"/>
    <w:rsid w:val="000A7FF1"/>
    <w:rsid w:val="000B0B61"/>
    <w:rsid w:val="000B17C6"/>
    <w:rsid w:val="000B24C9"/>
    <w:rsid w:val="000B3033"/>
    <w:rsid w:val="000B33E7"/>
    <w:rsid w:val="000B3661"/>
    <w:rsid w:val="000B611A"/>
    <w:rsid w:val="000B7047"/>
    <w:rsid w:val="000B7CAE"/>
    <w:rsid w:val="000C145A"/>
    <w:rsid w:val="000C180B"/>
    <w:rsid w:val="000C1DA2"/>
    <w:rsid w:val="000C223E"/>
    <w:rsid w:val="000C386E"/>
    <w:rsid w:val="000C4E19"/>
    <w:rsid w:val="000C4F04"/>
    <w:rsid w:val="000C6A37"/>
    <w:rsid w:val="000C713B"/>
    <w:rsid w:val="000C75A1"/>
    <w:rsid w:val="000C76A4"/>
    <w:rsid w:val="000C7DBF"/>
    <w:rsid w:val="000C7EBF"/>
    <w:rsid w:val="000D08D1"/>
    <w:rsid w:val="000D112F"/>
    <w:rsid w:val="000D23E7"/>
    <w:rsid w:val="000D2614"/>
    <w:rsid w:val="000D2C26"/>
    <w:rsid w:val="000D3C3B"/>
    <w:rsid w:val="000D3F95"/>
    <w:rsid w:val="000D48CE"/>
    <w:rsid w:val="000D5158"/>
    <w:rsid w:val="000D5617"/>
    <w:rsid w:val="000D562F"/>
    <w:rsid w:val="000D5843"/>
    <w:rsid w:val="000D5F52"/>
    <w:rsid w:val="000D6AAE"/>
    <w:rsid w:val="000E04CF"/>
    <w:rsid w:val="000E0552"/>
    <w:rsid w:val="000E0C40"/>
    <w:rsid w:val="000E125E"/>
    <w:rsid w:val="000E15E7"/>
    <w:rsid w:val="000E1963"/>
    <w:rsid w:val="000E1F91"/>
    <w:rsid w:val="000E30C6"/>
    <w:rsid w:val="000E3435"/>
    <w:rsid w:val="000E3FF7"/>
    <w:rsid w:val="000E4868"/>
    <w:rsid w:val="000E486C"/>
    <w:rsid w:val="000E5D15"/>
    <w:rsid w:val="000E7B08"/>
    <w:rsid w:val="000E7BFE"/>
    <w:rsid w:val="000F00D5"/>
    <w:rsid w:val="000F090F"/>
    <w:rsid w:val="000F25B7"/>
    <w:rsid w:val="000F287F"/>
    <w:rsid w:val="000F2BCB"/>
    <w:rsid w:val="000F4156"/>
    <w:rsid w:val="000F4C1B"/>
    <w:rsid w:val="000F4DC8"/>
    <w:rsid w:val="000F525F"/>
    <w:rsid w:val="000F5570"/>
    <w:rsid w:val="000F5985"/>
    <w:rsid w:val="000F5FFD"/>
    <w:rsid w:val="000F6D77"/>
    <w:rsid w:val="000F6DFF"/>
    <w:rsid w:val="000F765C"/>
    <w:rsid w:val="000F7B25"/>
    <w:rsid w:val="001009B5"/>
    <w:rsid w:val="001036A5"/>
    <w:rsid w:val="001038F7"/>
    <w:rsid w:val="00104FD4"/>
    <w:rsid w:val="001059D6"/>
    <w:rsid w:val="00106463"/>
    <w:rsid w:val="0011089B"/>
    <w:rsid w:val="0011116C"/>
    <w:rsid w:val="00111FCC"/>
    <w:rsid w:val="00112E46"/>
    <w:rsid w:val="00113994"/>
    <w:rsid w:val="00113AE7"/>
    <w:rsid w:val="00114B6F"/>
    <w:rsid w:val="00114CBE"/>
    <w:rsid w:val="00115349"/>
    <w:rsid w:val="00115E39"/>
    <w:rsid w:val="00116215"/>
    <w:rsid w:val="00117211"/>
    <w:rsid w:val="001174D0"/>
    <w:rsid w:val="00120794"/>
    <w:rsid w:val="00120C54"/>
    <w:rsid w:val="00121D02"/>
    <w:rsid w:val="00122F40"/>
    <w:rsid w:val="00123249"/>
    <w:rsid w:val="00123705"/>
    <w:rsid w:val="001239C9"/>
    <w:rsid w:val="00124851"/>
    <w:rsid w:val="00125654"/>
    <w:rsid w:val="00127529"/>
    <w:rsid w:val="001277C3"/>
    <w:rsid w:val="00130D0E"/>
    <w:rsid w:val="001317B6"/>
    <w:rsid w:val="001317DC"/>
    <w:rsid w:val="00131A8E"/>
    <w:rsid w:val="00131FA7"/>
    <w:rsid w:val="00132D7E"/>
    <w:rsid w:val="0013392D"/>
    <w:rsid w:val="00133F47"/>
    <w:rsid w:val="00134F37"/>
    <w:rsid w:val="0013520B"/>
    <w:rsid w:val="001354DC"/>
    <w:rsid w:val="00135BAF"/>
    <w:rsid w:val="00135C13"/>
    <w:rsid w:val="00136895"/>
    <w:rsid w:val="0013691A"/>
    <w:rsid w:val="001374EE"/>
    <w:rsid w:val="00137EFB"/>
    <w:rsid w:val="00140C04"/>
    <w:rsid w:val="0014180E"/>
    <w:rsid w:val="00141D91"/>
    <w:rsid w:val="0014478E"/>
    <w:rsid w:val="00144E05"/>
    <w:rsid w:val="001456EA"/>
    <w:rsid w:val="001474F5"/>
    <w:rsid w:val="00147EC2"/>
    <w:rsid w:val="00150895"/>
    <w:rsid w:val="001510D7"/>
    <w:rsid w:val="00151177"/>
    <w:rsid w:val="0015187F"/>
    <w:rsid w:val="00153B05"/>
    <w:rsid w:val="00154D8B"/>
    <w:rsid w:val="00155660"/>
    <w:rsid w:val="00156012"/>
    <w:rsid w:val="00157C78"/>
    <w:rsid w:val="00160C9E"/>
    <w:rsid w:val="0016135B"/>
    <w:rsid w:val="001626CC"/>
    <w:rsid w:val="00163521"/>
    <w:rsid w:val="00163D4B"/>
    <w:rsid w:val="00164A81"/>
    <w:rsid w:val="00164E37"/>
    <w:rsid w:val="001657EF"/>
    <w:rsid w:val="00165930"/>
    <w:rsid w:val="0016621F"/>
    <w:rsid w:val="0017077D"/>
    <w:rsid w:val="001710CB"/>
    <w:rsid w:val="00171AC6"/>
    <w:rsid w:val="001723C8"/>
    <w:rsid w:val="00172429"/>
    <w:rsid w:val="00172CE9"/>
    <w:rsid w:val="001731F3"/>
    <w:rsid w:val="00173792"/>
    <w:rsid w:val="001737B9"/>
    <w:rsid w:val="00174C56"/>
    <w:rsid w:val="00175A91"/>
    <w:rsid w:val="00175B5D"/>
    <w:rsid w:val="001764AC"/>
    <w:rsid w:val="0017662A"/>
    <w:rsid w:val="00177167"/>
    <w:rsid w:val="001778FA"/>
    <w:rsid w:val="00177DEE"/>
    <w:rsid w:val="001800EF"/>
    <w:rsid w:val="00181B75"/>
    <w:rsid w:val="00182075"/>
    <w:rsid w:val="00182094"/>
    <w:rsid w:val="00182B62"/>
    <w:rsid w:val="00183DAA"/>
    <w:rsid w:val="00184FBD"/>
    <w:rsid w:val="00184FFC"/>
    <w:rsid w:val="00185F49"/>
    <w:rsid w:val="00187113"/>
    <w:rsid w:val="0018786B"/>
    <w:rsid w:val="00187883"/>
    <w:rsid w:val="00187C48"/>
    <w:rsid w:val="00187E56"/>
    <w:rsid w:val="001904EE"/>
    <w:rsid w:val="00190D5A"/>
    <w:rsid w:val="00190E84"/>
    <w:rsid w:val="00190F77"/>
    <w:rsid w:val="001924EC"/>
    <w:rsid w:val="00192561"/>
    <w:rsid w:val="00193C70"/>
    <w:rsid w:val="001950A4"/>
    <w:rsid w:val="00196445"/>
    <w:rsid w:val="001972E2"/>
    <w:rsid w:val="00197890"/>
    <w:rsid w:val="001979E7"/>
    <w:rsid w:val="00197D75"/>
    <w:rsid w:val="001A12C6"/>
    <w:rsid w:val="001A15EF"/>
    <w:rsid w:val="001A2709"/>
    <w:rsid w:val="001A2A43"/>
    <w:rsid w:val="001A3BAB"/>
    <w:rsid w:val="001A4282"/>
    <w:rsid w:val="001A4A09"/>
    <w:rsid w:val="001A666C"/>
    <w:rsid w:val="001A69B4"/>
    <w:rsid w:val="001A7461"/>
    <w:rsid w:val="001A7D94"/>
    <w:rsid w:val="001B0404"/>
    <w:rsid w:val="001B076E"/>
    <w:rsid w:val="001B1560"/>
    <w:rsid w:val="001B17CB"/>
    <w:rsid w:val="001B1A3A"/>
    <w:rsid w:val="001B1AFC"/>
    <w:rsid w:val="001B2972"/>
    <w:rsid w:val="001B2EC4"/>
    <w:rsid w:val="001B3286"/>
    <w:rsid w:val="001B4B19"/>
    <w:rsid w:val="001B68D5"/>
    <w:rsid w:val="001C0176"/>
    <w:rsid w:val="001C03F2"/>
    <w:rsid w:val="001C19B7"/>
    <w:rsid w:val="001C1A71"/>
    <w:rsid w:val="001C252C"/>
    <w:rsid w:val="001C406F"/>
    <w:rsid w:val="001C5EAA"/>
    <w:rsid w:val="001C7501"/>
    <w:rsid w:val="001D090C"/>
    <w:rsid w:val="001D0BDA"/>
    <w:rsid w:val="001D0D88"/>
    <w:rsid w:val="001D17ED"/>
    <w:rsid w:val="001D1CAF"/>
    <w:rsid w:val="001D2859"/>
    <w:rsid w:val="001D4026"/>
    <w:rsid w:val="001D44BA"/>
    <w:rsid w:val="001D5215"/>
    <w:rsid w:val="001E1077"/>
    <w:rsid w:val="001E12A1"/>
    <w:rsid w:val="001E19F6"/>
    <w:rsid w:val="001E340F"/>
    <w:rsid w:val="001E3958"/>
    <w:rsid w:val="001E39D7"/>
    <w:rsid w:val="001E3F3D"/>
    <w:rsid w:val="001E5CA6"/>
    <w:rsid w:val="001E630D"/>
    <w:rsid w:val="001F0521"/>
    <w:rsid w:val="001F0DFD"/>
    <w:rsid w:val="001F2675"/>
    <w:rsid w:val="001F2696"/>
    <w:rsid w:val="001F2A9A"/>
    <w:rsid w:val="001F41F6"/>
    <w:rsid w:val="001F512D"/>
    <w:rsid w:val="001F5AB9"/>
    <w:rsid w:val="00200DBD"/>
    <w:rsid w:val="00200EF7"/>
    <w:rsid w:val="00201334"/>
    <w:rsid w:val="002021F2"/>
    <w:rsid w:val="00204FAB"/>
    <w:rsid w:val="00206F84"/>
    <w:rsid w:val="00206FEC"/>
    <w:rsid w:val="0020718C"/>
    <w:rsid w:val="00207444"/>
    <w:rsid w:val="00210A14"/>
    <w:rsid w:val="00210D27"/>
    <w:rsid w:val="002117E3"/>
    <w:rsid w:val="002120EF"/>
    <w:rsid w:val="00212221"/>
    <w:rsid w:val="0021249A"/>
    <w:rsid w:val="00212ADF"/>
    <w:rsid w:val="002149C7"/>
    <w:rsid w:val="00214A7A"/>
    <w:rsid w:val="00214F15"/>
    <w:rsid w:val="002158DC"/>
    <w:rsid w:val="00217338"/>
    <w:rsid w:val="0022021D"/>
    <w:rsid w:val="00221C54"/>
    <w:rsid w:val="002231AF"/>
    <w:rsid w:val="00224295"/>
    <w:rsid w:val="00224447"/>
    <w:rsid w:val="00226E55"/>
    <w:rsid w:val="002302AF"/>
    <w:rsid w:val="002303CD"/>
    <w:rsid w:val="00230BEA"/>
    <w:rsid w:val="002310F3"/>
    <w:rsid w:val="00231F61"/>
    <w:rsid w:val="00233784"/>
    <w:rsid w:val="00233CB2"/>
    <w:rsid w:val="00233EDC"/>
    <w:rsid w:val="002342E3"/>
    <w:rsid w:val="00234BC3"/>
    <w:rsid w:val="00234C08"/>
    <w:rsid w:val="00235D90"/>
    <w:rsid w:val="002363C1"/>
    <w:rsid w:val="00236ED3"/>
    <w:rsid w:val="00236F06"/>
    <w:rsid w:val="002375CF"/>
    <w:rsid w:val="00237E14"/>
    <w:rsid w:val="00237FE4"/>
    <w:rsid w:val="00240387"/>
    <w:rsid w:val="002408FA"/>
    <w:rsid w:val="002414F0"/>
    <w:rsid w:val="00241BAB"/>
    <w:rsid w:val="00241E5B"/>
    <w:rsid w:val="002421ED"/>
    <w:rsid w:val="0024238C"/>
    <w:rsid w:val="002427F4"/>
    <w:rsid w:val="00244F77"/>
    <w:rsid w:val="002452AD"/>
    <w:rsid w:val="00245613"/>
    <w:rsid w:val="00245E2D"/>
    <w:rsid w:val="0024693E"/>
    <w:rsid w:val="00251798"/>
    <w:rsid w:val="002522DD"/>
    <w:rsid w:val="0025478D"/>
    <w:rsid w:val="002549C9"/>
    <w:rsid w:val="00254A7A"/>
    <w:rsid w:val="00254CAD"/>
    <w:rsid w:val="00255941"/>
    <w:rsid w:val="0025671E"/>
    <w:rsid w:val="0025743E"/>
    <w:rsid w:val="00260C19"/>
    <w:rsid w:val="00260EAC"/>
    <w:rsid w:val="00261178"/>
    <w:rsid w:val="002612D4"/>
    <w:rsid w:val="00261B8C"/>
    <w:rsid w:val="00261E28"/>
    <w:rsid w:val="0026285F"/>
    <w:rsid w:val="00262DEC"/>
    <w:rsid w:val="0026313A"/>
    <w:rsid w:val="00263441"/>
    <w:rsid w:val="002643CC"/>
    <w:rsid w:val="00264770"/>
    <w:rsid w:val="002653FF"/>
    <w:rsid w:val="00265435"/>
    <w:rsid w:val="0026543F"/>
    <w:rsid w:val="0026619A"/>
    <w:rsid w:val="002706A3"/>
    <w:rsid w:val="00271976"/>
    <w:rsid w:val="00271BAA"/>
    <w:rsid w:val="00272A55"/>
    <w:rsid w:val="002731BF"/>
    <w:rsid w:val="00273C96"/>
    <w:rsid w:val="00274603"/>
    <w:rsid w:val="00274E4F"/>
    <w:rsid w:val="0027648E"/>
    <w:rsid w:val="002768B2"/>
    <w:rsid w:val="00276979"/>
    <w:rsid w:val="0027722C"/>
    <w:rsid w:val="002800FA"/>
    <w:rsid w:val="00280C5E"/>
    <w:rsid w:val="00281B34"/>
    <w:rsid w:val="00281DFB"/>
    <w:rsid w:val="00281E54"/>
    <w:rsid w:val="00282F54"/>
    <w:rsid w:val="002832FD"/>
    <w:rsid w:val="00283ACA"/>
    <w:rsid w:val="002843DB"/>
    <w:rsid w:val="0028671E"/>
    <w:rsid w:val="00286CF8"/>
    <w:rsid w:val="00287855"/>
    <w:rsid w:val="0028790B"/>
    <w:rsid w:val="00290521"/>
    <w:rsid w:val="00290DC5"/>
    <w:rsid w:val="002918E9"/>
    <w:rsid w:val="00291BB7"/>
    <w:rsid w:val="00292208"/>
    <w:rsid w:val="002941DE"/>
    <w:rsid w:val="0029461D"/>
    <w:rsid w:val="002965BB"/>
    <w:rsid w:val="002970B8"/>
    <w:rsid w:val="002A02B5"/>
    <w:rsid w:val="002A0418"/>
    <w:rsid w:val="002A1358"/>
    <w:rsid w:val="002A1CE4"/>
    <w:rsid w:val="002A2A19"/>
    <w:rsid w:val="002A2A53"/>
    <w:rsid w:val="002A2D2B"/>
    <w:rsid w:val="002A317C"/>
    <w:rsid w:val="002A3A48"/>
    <w:rsid w:val="002A5F9A"/>
    <w:rsid w:val="002A6484"/>
    <w:rsid w:val="002A67E0"/>
    <w:rsid w:val="002A7622"/>
    <w:rsid w:val="002B05D7"/>
    <w:rsid w:val="002B0734"/>
    <w:rsid w:val="002B0FB6"/>
    <w:rsid w:val="002B16A7"/>
    <w:rsid w:val="002B3CC6"/>
    <w:rsid w:val="002B46A8"/>
    <w:rsid w:val="002B49A3"/>
    <w:rsid w:val="002B563A"/>
    <w:rsid w:val="002B621B"/>
    <w:rsid w:val="002B6225"/>
    <w:rsid w:val="002B699A"/>
    <w:rsid w:val="002B6E44"/>
    <w:rsid w:val="002C0ED5"/>
    <w:rsid w:val="002C1EC6"/>
    <w:rsid w:val="002C2557"/>
    <w:rsid w:val="002C28A6"/>
    <w:rsid w:val="002C3DFD"/>
    <w:rsid w:val="002C50A7"/>
    <w:rsid w:val="002C5B48"/>
    <w:rsid w:val="002C6B8E"/>
    <w:rsid w:val="002C6CBA"/>
    <w:rsid w:val="002D03FF"/>
    <w:rsid w:val="002D0E7C"/>
    <w:rsid w:val="002D1977"/>
    <w:rsid w:val="002D2457"/>
    <w:rsid w:val="002D2807"/>
    <w:rsid w:val="002D379D"/>
    <w:rsid w:val="002D40EC"/>
    <w:rsid w:val="002D4F6C"/>
    <w:rsid w:val="002D586B"/>
    <w:rsid w:val="002D68D1"/>
    <w:rsid w:val="002D753D"/>
    <w:rsid w:val="002E0DE1"/>
    <w:rsid w:val="002E0EA8"/>
    <w:rsid w:val="002E13D7"/>
    <w:rsid w:val="002E2A0C"/>
    <w:rsid w:val="002E3952"/>
    <w:rsid w:val="002E4931"/>
    <w:rsid w:val="002E51D7"/>
    <w:rsid w:val="002E6A9D"/>
    <w:rsid w:val="002E6EE0"/>
    <w:rsid w:val="002E7048"/>
    <w:rsid w:val="002F0DB9"/>
    <w:rsid w:val="002F1496"/>
    <w:rsid w:val="002F162A"/>
    <w:rsid w:val="002F268F"/>
    <w:rsid w:val="002F2DE4"/>
    <w:rsid w:val="002F2F7A"/>
    <w:rsid w:val="002F2FC3"/>
    <w:rsid w:val="002F3218"/>
    <w:rsid w:val="002F4EB5"/>
    <w:rsid w:val="002F692E"/>
    <w:rsid w:val="002F6B4F"/>
    <w:rsid w:val="00300258"/>
    <w:rsid w:val="0030049B"/>
    <w:rsid w:val="00300BB0"/>
    <w:rsid w:val="00300C5C"/>
    <w:rsid w:val="0030172D"/>
    <w:rsid w:val="00301D99"/>
    <w:rsid w:val="00302288"/>
    <w:rsid w:val="0030273E"/>
    <w:rsid w:val="00302B63"/>
    <w:rsid w:val="00302C2E"/>
    <w:rsid w:val="00302FDA"/>
    <w:rsid w:val="003057B2"/>
    <w:rsid w:val="0030629C"/>
    <w:rsid w:val="003065CF"/>
    <w:rsid w:val="00306605"/>
    <w:rsid w:val="0030667C"/>
    <w:rsid w:val="00306F98"/>
    <w:rsid w:val="003071BE"/>
    <w:rsid w:val="00310A9A"/>
    <w:rsid w:val="0031156E"/>
    <w:rsid w:val="00311FC7"/>
    <w:rsid w:val="00312B2A"/>
    <w:rsid w:val="00313E87"/>
    <w:rsid w:val="003148D3"/>
    <w:rsid w:val="00314956"/>
    <w:rsid w:val="00314F31"/>
    <w:rsid w:val="003151A1"/>
    <w:rsid w:val="003157AA"/>
    <w:rsid w:val="00316747"/>
    <w:rsid w:val="0031763D"/>
    <w:rsid w:val="003178D8"/>
    <w:rsid w:val="00320509"/>
    <w:rsid w:val="00320613"/>
    <w:rsid w:val="003209A3"/>
    <w:rsid w:val="003217D2"/>
    <w:rsid w:val="003219AE"/>
    <w:rsid w:val="003224C6"/>
    <w:rsid w:val="00322698"/>
    <w:rsid w:val="00325141"/>
    <w:rsid w:val="0032518D"/>
    <w:rsid w:val="003253D4"/>
    <w:rsid w:val="003258D7"/>
    <w:rsid w:val="00326023"/>
    <w:rsid w:val="00327376"/>
    <w:rsid w:val="00327D83"/>
    <w:rsid w:val="00330557"/>
    <w:rsid w:val="003309AA"/>
    <w:rsid w:val="00330D7F"/>
    <w:rsid w:val="00330F22"/>
    <w:rsid w:val="003311B8"/>
    <w:rsid w:val="0033134F"/>
    <w:rsid w:val="00332960"/>
    <w:rsid w:val="00332D3C"/>
    <w:rsid w:val="00334D6C"/>
    <w:rsid w:val="003354A5"/>
    <w:rsid w:val="003355F2"/>
    <w:rsid w:val="00335722"/>
    <w:rsid w:val="003361A4"/>
    <w:rsid w:val="0033663D"/>
    <w:rsid w:val="003370E9"/>
    <w:rsid w:val="00337A7F"/>
    <w:rsid w:val="0034175B"/>
    <w:rsid w:val="00341B04"/>
    <w:rsid w:val="00342D47"/>
    <w:rsid w:val="003431E0"/>
    <w:rsid w:val="00343D4A"/>
    <w:rsid w:val="00343E6D"/>
    <w:rsid w:val="00344099"/>
    <w:rsid w:val="00344AA7"/>
    <w:rsid w:val="00345398"/>
    <w:rsid w:val="003463E0"/>
    <w:rsid w:val="003476DA"/>
    <w:rsid w:val="003505A5"/>
    <w:rsid w:val="0035169C"/>
    <w:rsid w:val="00352596"/>
    <w:rsid w:val="00352721"/>
    <w:rsid w:val="00352E8E"/>
    <w:rsid w:val="00354A26"/>
    <w:rsid w:val="0035562F"/>
    <w:rsid w:val="003559F5"/>
    <w:rsid w:val="00355A1B"/>
    <w:rsid w:val="00356E15"/>
    <w:rsid w:val="0035742D"/>
    <w:rsid w:val="00360E79"/>
    <w:rsid w:val="00361A52"/>
    <w:rsid w:val="00362442"/>
    <w:rsid w:val="003626D4"/>
    <w:rsid w:val="0036281E"/>
    <w:rsid w:val="003629D6"/>
    <w:rsid w:val="00362AF3"/>
    <w:rsid w:val="00363F76"/>
    <w:rsid w:val="003643CB"/>
    <w:rsid w:val="0036473A"/>
    <w:rsid w:val="00365F01"/>
    <w:rsid w:val="003661C6"/>
    <w:rsid w:val="00366DDB"/>
    <w:rsid w:val="00370B39"/>
    <w:rsid w:val="003710A9"/>
    <w:rsid w:val="00371D5C"/>
    <w:rsid w:val="00371FAF"/>
    <w:rsid w:val="00372237"/>
    <w:rsid w:val="00372662"/>
    <w:rsid w:val="00374725"/>
    <w:rsid w:val="00374BB6"/>
    <w:rsid w:val="00374CA9"/>
    <w:rsid w:val="00375346"/>
    <w:rsid w:val="00375AC1"/>
    <w:rsid w:val="00376F1F"/>
    <w:rsid w:val="00377879"/>
    <w:rsid w:val="00377F45"/>
    <w:rsid w:val="0038044C"/>
    <w:rsid w:val="003805AF"/>
    <w:rsid w:val="00382A2B"/>
    <w:rsid w:val="00382C07"/>
    <w:rsid w:val="0038381B"/>
    <w:rsid w:val="00383C99"/>
    <w:rsid w:val="00384692"/>
    <w:rsid w:val="00384F94"/>
    <w:rsid w:val="00385164"/>
    <w:rsid w:val="0038526E"/>
    <w:rsid w:val="0038663E"/>
    <w:rsid w:val="00390397"/>
    <w:rsid w:val="003904E3"/>
    <w:rsid w:val="00390B3F"/>
    <w:rsid w:val="00390B93"/>
    <w:rsid w:val="00391824"/>
    <w:rsid w:val="003919EC"/>
    <w:rsid w:val="00391EDA"/>
    <w:rsid w:val="0039212B"/>
    <w:rsid w:val="003925A1"/>
    <w:rsid w:val="00392FBC"/>
    <w:rsid w:val="00393195"/>
    <w:rsid w:val="00393C26"/>
    <w:rsid w:val="00393E07"/>
    <w:rsid w:val="0039453A"/>
    <w:rsid w:val="00394A2B"/>
    <w:rsid w:val="00394CC3"/>
    <w:rsid w:val="00395D81"/>
    <w:rsid w:val="003A1B8D"/>
    <w:rsid w:val="003A4599"/>
    <w:rsid w:val="003A4D02"/>
    <w:rsid w:val="003A5055"/>
    <w:rsid w:val="003A676C"/>
    <w:rsid w:val="003A6D92"/>
    <w:rsid w:val="003A7AD7"/>
    <w:rsid w:val="003B2870"/>
    <w:rsid w:val="003B2BB8"/>
    <w:rsid w:val="003B31CB"/>
    <w:rsid w:val="003B334E"/>
    <w:rsid w:val="003B3FB8"/>
    <w:rsid w:val="003B4367"/>
    <w:rsid w:val="003B4C6C"/>
    <w:rsid w:val="003B5383"/>
    <w:rsid w:val="003B5E1C"/>
    <w:rsid w:val="003B6145"/>
    <w:rsid w:val="003B69FC"/>
    <w:rsid w:val="003B6C96"/>
    <w:rsid w:val="003B6D3B"/>
    <w:rsid w:val="003B6F2C"/>
    <w:rsid w:val="003B7CD3"/>
    <w:rsid w:val="003C0FE4"/>
    <w:rsid w:val="003C1B5B"/>
    <w:rsid w:val="003C1EBB"/>
    <w:rsid w:val="003C1EF4"/>
    <w:rsid w:val="003C2B7D"/>
    <w:rsid w:val="003C34EC"/>
    <w:rsid w:val="003C387A"/>
    <w:rsid w:val="003C3D06"/>
    <w:rsid w:val="003C4B56"/>
    <w:rsid w:val="003C514C"/>
    <w:rsid w:val="003C6D4B"/>
    <w:rsid w:val="003C701A"/>
    <w:rsid w:val="003C76DF"/>
    <w:rsid w:val="003C78F2"/>
    <w:rsid w:val="003D080F"/>
    <w:rsid w:val="003D11DB"/>
    <w:rsid w:val="003D192B"/>
    <w:rsid w:val="003D1EFF"/>
    <w:rsid w:val="003D2757"/>
    <w:rsid w:val="003D282A"/>
    <w:rsid w:val="003D2835"/>
    <w:rsid w:val="003D2FED"/>
    <w:rsid w:val="003D34FF"/>
    <w:rsid w:val="003D40B2"/>
    <w:rsid w:val="003D76F9"/>
    <w:rsid w:val="003D7742"/>
    <w:rsid w:val="003D7B9A"/>
    <w:rsid w:val="003E0269"/>
    <w:rsid w:val="003E03B6"/>
    <w:rsid w:val="003E10ED"/>
    <w:rsid w:val="003E277A"/>
    <w:rsid w:val="003E27F2"/>
    <w:rsid w:val="003E2B62"/>
    <w:rsid w:val="003E5781"/>
    <w:rsid w:val="003E5C25"/>
    <w:rsid w:val="003E6A6C"/>
    <w:rsid w:val="003E6C21"/>
    <w:rsid w:val="003E7854"/>
    <w:rsid w:val="003F01F7"/>
    <w:rsid w:val="003F06C4"/>
    <w:rsid w:val="003F0AE5"/>
    <w:rsid w:val="003F1D52"/>
    <w:rsid w:val="003F4168"/>
    <w:rsid w:val="003F4296"/>
    <w:rsid w:val="003F64E5"/>
    <w:rsid w:val="003F661F"/>
    <w:rsid w:val="003F6F07"/>
    <w:rsid w:val="003F75B4"/>
    <w:rsid w:val="003F7D1D"/>
    <w:rsid w:val="0040065F"/>
    <w:rsid w:val="00400C3F"/>
    <w:rsid w:val="004019F0"/>
    <w:rsid w:val="00401C02"/>
    <w:rsid w:val="00402B99"/>
    <w:rsid w:val="00402C97"/>
    <w:rsid w:val="00402CDD"/>
    <w:rsid w:val="00403697"/>
    <w:rsid w:val="00403F5E"/>
    <w:rsid w:val="00404662"/>
    <w:rsid w:val="00404EC1"/>
    <w:rsid w:val="004050C9"/>
    <w:rsid w:val="004055B0"/>
    <w:rsid w:val="00406381"/>
    <w:rsid w:val="004063E3"/>
    <w:rsid w:val="00406EED"/>
    <w:rsid w:val="004072BD"/>
    <w:rsid w:val="0040776E"/>
    <w:rsid w:val="004108D6"/>
    <w:rsid w:val="00412E85"/>
    <w:rsid w:val="00413952"/>
    <w:rsid w:val="00414EE7"/>
    <w:rsid w:val="00415A90"/>
    <w:rsid w:val="00415AA7"/>
    <w:rsid w:val="004166C5"/>
    <w:rsid w:val="0041757F"/>
    <w:rsid w:val="00417752"/>
    <w:rsid w:val="00420379"/>
    <w:rsid w:val="004212B0"/>
    <w:rsid w:val="0042225F"/>
    <w:rsid w:val="00423472"/>
    <w:rsid w:val="00423DD3"/>
    <w:rsid w:val="00424529"/>
    <w:rsid w:val="00425D97"/>
    <w:rsid w:val="0042674B"/>
    <w:rsid w:val="004308CF"/>
    <w:rsid w:val="00431225"/>
    <w:rsid w:val="00431DE0"/>
    <w:rsid w:val="004322ED"/>
    <w:rsid w:val="004329BD"/>
    <w:rsid w:val="0043477B"/>
    <w:rsid w:val="00435C74"/>
    <w:rsid w:val="00437639"/>
    <w:rsid w:val="00437BA3"/>
    <w:rsid w:val="004401FF"/>
    <w:rsid w:val="00440542"/>
    <w:rsid w:val="0044079D"/>
    <w:rsid w:val="00440CB8"/>
    <w:rsid w:val="004423AB"/>
    <w:rsid w:val="0044467D"/>
    <w:rsid w:val="00444959"/>
    <w:rsid w:val="00445B05"/>
    <w:rsid w:val="00446272"/>
    <w:rsid w:val="0044666E"/>
    <w:rsid w:val="00446675"/>
    <w:rsid w:val="00446AD7"/>
    <w:rsid w:val="004473FE"/>
    <w:rsid w:val="00447459"/>
    <w:rsid w:val="00450BF4"/>
    <w:rsid w:val="00451618"/>
    <w:rsid w:val="00451847"/>
    <w:rsid w:val="00452726"/>
    <w:rsid w:val="0045298B"/>
    <w:rsid w:val="00453933"/>
    <w:rsid w:val="004543C0"/>
    <w:rsid w:val="00454B89"/>
    <w:rsid w:val="00454E16"/>
    <w:rsid w:val="0045620B"/>
    <w:rsid w:val="00457152"/>
    <w:rsid w:val="0045761D"/>
    <w:rsid w:val="00460015"/>
    <w:rsid w:val="0046025C"/>
    <w:rsid w:val="00460502"/>
    <w:rsid w:val="00460A0F"/>
    <w:rsid w:val="00462CA0"/>
    <w:rsid w:val="00462D7A"/>
    <w:rsid w:val="00463BC2"/>
    <w:rsid w:val="004655E1"/>
    <w:rsid w:val="00466335"/>
    <w:rsid w:val="0046649A"/>
    <w:rsid w:val="00466686"/>
    <w:rsid w:val="00466A26"/>
    <w:rsid w:val="0046710A"/>
    <w:rsid w:val="00471400"/>
    <w:rsid w:val="004715CB"/>
    <w:rsid w:val="0047161E"/>
    <w:rsid w:val="00471DF9"/>
    <w:rsid w:val="00472176"/>
    <w:rsid w:val="004725F1"/>
    <w:rsid w:val="00472A5A"/>
    <w:rsid w:val="00472C00"/>
    <w:rsid w:val="00472ED2"/>
    <w:rsid w:val="00473208"/>
    <w:rsid w:val="004738EB"/>
    <w:rsid w:val="00473B81"/>
    <w:rsid w:val="004744EF"/>
    <w:rsid w:val="00474BDB"/>
    <w:rsid w:val="004752CB"/>
    <w:rsid w:val="0047534F"/>
    <w:rsid w:val="0047550B"/>
    <w:rsid w:val="00476A87"/>
    <w:rsid w:val="00476AA3"/>
    <w:rsid w:val="0047734D"/>
    <w:rsid w:val="00477401"/>
    <w:rsid w:val="00477870"/>
    <w:rsid w:val="00477D75"/>
    <w:rsid w:val="00477F5B"/>
    <w:rsid w:val="0048055B"/>
    <w:rsid w:val="004806B1"/>
    <w:rsid w:val="004813EA"/>
    <w:rsid w:val="00481776"/>
    <w:rsid w:val="00481915"/>
    <w:rsid w:val="00481C4B"/>
    <w:rsid w:val="00482F13"/>
    <w:rsid w:val="0048326B"/>
    <w:rsid w:val="00483766"/>
    <w:rsid w:val="00484F20"/>
    <w:rsid w:val="004851ED"/>
    <w:rsid w:val="00485AAA"/>
    <w:rsid w:val="0048642B"/>
    <w:rsid w:val="00486E8C"/>
    <w:rsid w:val="00487566"/>
    <w:rsid w:val="00490DFB"/>
    <w:rsid w:val="00491560"/>
    <w:rsid w:val="00492018"/>
    <w:rsid w:val="00492711"/>
    <w:rsid w:val="00492734"/>
    <w:rsid w:val="00492916"/>
    <w:rsid w:val="00493731"/>
    <w:rsid w:val="004962B3"/>
    <w:rsid w:val="00496504"/>
    <w:rsid w:val="00496578"/>
    <w:rsid w:val="00496AF4"/>
    <w:rsid w:val="00497E92"/>
    <w:rsid w:val="004A25F1"/>
    <w:rsid w:val="004A3236"/>
    <w:rsid w:val="004A36E2"/>
    <w:rsid w:val="004A4438"/>
    <w:rsid w:val="004A5202"/>
    <w:rsid w:val="004A6074"/>
    <w:rsid w:val="004A6A73"/>
    <w:rsid w:val="004B053E"/>
    <w:rsid w:val="004B0F97"/>
    <w:rsid w:val="004B16E9"/>
    <w:rsid w:val="004B1936"/>
    <w:rsid w:val="004B1B82"/>
    <w:rsid w:val="004B1D6A"/>
    <w:rsid w:val="004B2453"/>
    <w:rsid w:val="004B2740"/>
    <w:rsid w:val="004B405C"/>
    <w:rsid w:val="004B488B"/>
    <w:rsid w:val="004B50FA"/>
    <w:rsid w:val="004B54CA"/>
    <w:rsid w:val="004B64A8"/>
    <w:rsid w:val="004C106A"/>
    <w:rsid w:val="004C14FA"/>
    <w:rsid w:val="004C18F3"/>
    <w:rsid w:val="004C334F"/>
    <w:rsid w:val="004C38F7"/>
    <w:rsid w:val="004C434D"/>
    <w:rsid w:val="004C4627"/>
    <w:rsid w:val="004C5298"/>
    <w:rsid w:val="004C5604"/>
    <w:rsid w:val="004C6935"/>
    <w:rsid w:val="004D0E73"/>
    <w:rsid w:val="004D2004"/>
    <w:rsid w:val="004D2046"/>
    <w:rsid w:val="004D23F0"/>
    <w:rsid w:val="004D45E7"/>
    <w:rsid w:val="004D54A1"/>
    <w:rsid w:val="004D5D6B"/>
    <w:rsid w:val="004D65CA"/>
    <w:rsid w:val="004D6B6D"/>
    <w:rsid w:val="004D7443"/>
    <w:rsid w:val="004E036F"/>
    <w:rsid w:val="004E094D"/>
    <w:rsid w:val="004E1108"/>
    <w:rsid w:val="004E1694"/>
    <w:rsid w:val="004E25FC"/>
    <w:rsid w:val="004E3122"/>
    <w:rsid w:val="004E3465"/>
    <w:rsid w:val="004E54B1"/>
    <w:rsid w:val="004E5AFB"/>
    <w:rsid w:val="004E5CBF"/>
    <w:rsid w:val="004E7685"/>
    <w:rsid w:val="004E7957"/>
    <w:rsid w:val="004E7EA4"/>
    <w:rsid w:val="004F02A3"/>
    <w:rsid w:val="004F0FB9"/>
    <w:rsid w:val="004F10E5"/>
    <w:rsid w:val="004F278E"/>
    <w:rsid w:val="004F2B51"/>
    <w:rsid w:val="004F328C"/>
    <w:rsid w:val="004F3CDF"/>
    <w:rsid w:val="004F3F76"/>
    <w:rsid w:val="004F44C3"/>
    <w:rsid w:val="004F498B"/>
    <w:rsid w:val="004F4D66"/>
    <w:rsid w:val="004F5ED9"/>
    <w:rsid w:val="004F66BA"/>
    <w:rsid w:val="004F6EF7"/>
    <w:rsid w:val="004F7667"/>
    <w:rsid w:val="004F77F4"/>
    <w:rsid w:val="004F7B18"/>
    <w:rsid w:val="00500131"/>
    <w:rsid w:val="00500F7C"/>
    <w:rsid w:val="0050273B"/>
    <w:rsid w:val="00502B9E"/>
    <w:rsid w:val="00503E51"/>
    <w:rsid w:val="005052DC"/>
    <w:rsid w:val="005056AD"/>
    <w:rsid w:val="005057ED"/>
    <w:rsid w:val="00507812"/>
    <w:rsid w:val="005078DA"/>
    <w:rsid w:val="00507E20"/>
    <w:rsid w:val="00510A17"/>
    <w:rsid w:val="00511D5C"/>
    <w:rsid w:val="00511FED"/>
    <w:rsid w:val="00512E52"/>
    <w:rsid w:val="00514399"/>
    <w:rsid w:val="00514534"/>
    <w:rsid w:val="00514F4C"/>
    <w:rsid w:val="00515072"/>
    <w:rsid w:val="0051525F"/>
    <w:rsid w:val="005160E4"/>
    <w:rsid w:val="00516B8D"/>
    <w:rsid w:val="005171DE"/>
    <w:rsid w:val="005178A6"/>
    <w:rsid w:val="00517AE4"/>
    <w:rsid w:val="00517F32"/>
    <w:rsid w:val="005214EF"/>
    <w:rsid w:val="00521A3C"/>
    <w:rsid w:val="00521AA5"/>
    <w:rsid w:val="00522207"/>
    <w:rsid w:val="00522465"/>
    <w:rsid w:val="00522758"/>
    <w:rsid w:val="00522B0F"/>
    <w:rsid w:val="005230E1"/>
    <w:rsid w:val="00523E65"/>
    <w:rsid w:val="00524180"/>
    <w:rsid w:val="0052722C"/>
    <w:rsid w:val="0053036D"/>
    <w:rsid w:val="00530377"/>
    <w:rsid w:val="00531258"/>
    <w:rsid w:val="005313EF"/>
    <w:rsid w:val="005327FB"/>
    <w:rsid w:val="005334F5"/>
    <w:rsid w:val="005342A6"/>
    <w:rsid w:val="00535033"/>
    <w:rsid w:val="00536362"/>
    <w:rsid w:val="00536735"/>
    <w:rsid w:val="00536CD9"/>
    <w:rsid w:val="00537296"/>
    <w:rsid w:val="00540499"/>
    <w:rsid w:val="00541E0B"/>
    <w:rsid w:val="00542658"/>
    <w:rsid w:val="0054352A"/>
    <w:rsid w:val="00543821"/>
    <w:rsid w:val="00544EF9"/>
    <w:rsid w:val="00545038"/>
    <w:rsid w:val="00545093"/>
    <w:rsid w:val="00545647"/>
    <w:rsid w:val="00545CA1"/>
    <w:rsid w:val="00546D30"/>
    <w:rsid w:val="0054713E"/>
    <w:rsid w:val="005471FC"/>
    <w:rsid w:val="005510C0"/>
    <w:rsid w:val="005518DF"/>
    <w:rsid w:val="005528EB"/>
    <w:rsid w:val="00552FE5"/>
    <w:rsid w:val="005530DF"/>
    <w:rsid w:val="00553374"/>
    <w:rsid w:val="005539F0"/>
    <w:rsid w:val="005544BE"/>
    <w:rsid w:val="00554C65"/>
    <w:rsid w:val="005555F4"/>
    <w:rsid w:val="005575B7"/>
    <w:rsid w:val="0056035A"/>
    <w:rsid w:val="00561EAA"/>
    <w:rsid w:val="00562052"/>
    <w:rsid w:val="0056206E"/>
    <w:rsid w:val="00563084"/>
    <w:rsid w:val="005633B5"/>
    <w:rsid w:val="00563EEC"/>
    <w:rsid w:val="00564E6E"/>
    <w:rsid w:val="00564F37"/>
    <w:rsid w:val="0056532F"/>
    <w:rsid w:val="00565C7D"/>
    <w:rsid w:val="00565D82"/>
    <w:rsid w:val="005664C7"/>
    <w:rsid w:val="00567053"/>
    <w:rsid w:val="0056709E"/>
    <w:rsid w:val="005673CC"/>
    <w:rsid w:val="00567415"/>
    <w:rsid w:val="00570631"/>
    <w:rsid w:val="00570680"/>
    <w:rsid w:val="00570D17"/>
    <w:rsid w:val="005713AE"/>
    <w:rsid w:val="005718E2"/>
    <w:rsid w:val="00572371"/>
    <w:rsid w:val="00572C60"/>
    <w:rsid w:val="0057384B"/>
    <w:rsid w:val="0057436F"/>
    <w:rsid w:val="00574709"/>
    <w:rsid w:val="0057617E"/>
    <w:rsid w:val="005763CA"/>
    <w:rsid w:val="0057795B"/>
    <w:rsid w:val="00577EBC"/>
    <w:rsid w:val="00577FAB"/>
    <w:rsid w:val="00580C34"/>
    <w:rsid w:val="0058119B"/>
    <w:rsid w:val="005816B5"/>
    <w:rsid w:val="0058216E"/>
    <w:rsid w:val="00583078"/>
    <w:rsid w:val="0058327D"/>
    <w:rsid w:val="005832C1"/>
    <w:rsid w:val="00583436"/>
    <w:rsid w:val="0058357D"/>
    <w:rsid w:val="0058359B"/>
    <w:rsid w:val="00584A96"/>
    <w:rsid w:val="00584FC1"/>
    <w:rsid w:val="00585AB5"/>
    <w:rsid w:val="00586246"/>
    <w:rsid w:val="0058686E"/>
    <w:rsid w:val="00586971"/>
    <w:rsid w:val="005877DC"/>
    <w:rsid w:val="00587BE1"/>
    <w:rsid w:val="005904D4"/>
    <w:rsid w:val="00591B6D"/>
    <w:rsid w:val="00591E10"/>
    <w:rsid w:val="0059228A"/>
    <w:rsid w:val="005930D1"/>
    <w:rsid w:val="00594FA5"/>
    <w:rsid w:val="00595C1D"/>
    <w:rsid w:val="00596003"/>
    <w:rsid w:val="0059635F"/>
    <w:rsid w:val="005965E1"/>
    <w:rsid w:val="005974AF"/>
    <w:rsid w:val="005974C0"/>
    <w:rsid w:val="005976A7"/>
    <w:rsid w:val="005A2F55"/>
    <w:rsid w:val="005A3403"/>
    <w:rsid w:val="005A363B"/>
    <w:rsid w:val="005A4238"/>
    <w:rsid w:val="005A484D"/>
    <w:rsid w:val="005A48EF"/>
    <w:rsid w:val="005A5A5F"/>
    <w:rsid w:val="005A6474"/>
    <w:rsid w:val="005A70E1"/>
    <w:rsid w:val="005A76D9"/>
    <w:rsid w:val="005A7A3E"/>
    <w:rsid w:val="005B043A"/>
    <w:rsid w:val="005B056A"/>
    <w:rsid w:val="005B2291"/>
    <w:rsid w:val="005B2816"/>
    <w:rsid w:val="005B28FE"/>
    <w:rsid w:val="005B3685"/>
    <w:rsid w:val="005B425B"/>
    <w:rsid w:val="005B500B"/>
    <w:rsid w:val="005B5B58"/>
    <w:rsid w:val="005B7051"/>
    <w:rsid w:val="005B751E"/>
    <w:rsid w:val="005B76C3"/>
    <w:rsid w:val="005B7EF6"/>
    <w:rsid w:val="005B7FA1"/>
    <w:rsid w:val="005C0C97"/>
    <w:rsid w:val="005C1151"/>
    <w:rsid w:val="005C1353"/>
    <w:rsid w:val="005C2501"/>
    <w:rsid w:val="005C2A73"/>
    <w:rsid w:val="005C2D20"/>
    <w:rsid w:val="005C3AA9"/>
    <w:rsid w:val="005C4618"/>
    <w:rsid w:val="005C4A28"/>
    <w:rsid w:val="005C4CCB"/>
    <w:rsid w:val="005C5744"/>
    <w:rsid w:val="005C5811"/>
    <w:rsid w:val="005C7A42"/>
    <w:rsid w:val="005D05E6"/>
    <w:rsid w:val="005D0C4F"/>
    <w:rsid w:val="005D18F0"/>
    <w:rsid w:val="005D2A56"/>
    <w:rsid w:val="005D407B"/>
    <w:rsid w:val="005D48F4"/>
    <w:rsid w:val="005D4A6D"/>
    <w:rsid w:val="005D4B49"/>
    <w:rsid w:val="005D67C1"/>
    <w:rsid w:val="005E09CD"/>
    <w:rsid w:val="005E0EE2"/>
    <w:rsid w:val="005E1F46"/>
    <w:rsid w:val="005E22CB"/>
    <w:rsid w:val="005E2B34"/>
    <w:rsid w:val="005E3008"/>
    <w:rsid w:val="005E3A81"/>
    <w:rsid w:val="005E3DA3"/>
    <w:rsid w:val="005E49FE"/>
    <w:rsid w:val="005E4C5C"/>
    <w:rsid w:val="005E6E78"/>
    <w:rsid w:val="005E6F0C"/>
    <w:rsid w:val="005F05CD"/>
    <w:rsid w:val="005F0D46"/>
    <w:rsid w:val="005F240A"/>
    <w:rsid w:val="005F3560"/>
    <w:rsid w:val="005F3FC7"/>
    <w:rsid w:val="005F4B77"/>
    <w:rsid w:val="005F4B8E"/>
    <w:rsid w:val="005F727F"/>
    <w:rsid w:val="005F79A5"/>
    <w:rsid w:val="0060138B"/>
    <w:rsid w:val="00601397"/>
    <w:rsid w:val="00601748"/>
    <w:rsid w:val="0060249E"/>
    <w:rsid w:val="006024B5"/>
    <w:rsid w:val="0060326A"/>
    <w:rsid w:val="006043C8"/>
    <w:rsid w:val="006052F0"/>
    <w:rsid w:val="006056B9"/>
    <w:rsid w:val="00605BA0"/>
    <w:rsid w:val="00605BE0"/>
    <w:rsid w:val="006064C6"/>
    <w:rsid w:val="00610063"/>
    <w:rsid w:val="0061293A"/>
    <w:rsid w:val="00612EF8"/>
    <w:rsid w:val="006145ED"/>
    <w:rsid w:val="00615CE8"/>
    <w:rsid w:val="00615D9C"/>
    <w:rsid w:val="0061625B"/>
    <w:rsid w:val="00616EAF"/>
    <w:rsid w:val="00617C5E"/>
    <w:rsid w:val="00617FF3"/>
    <w:rsid w:val="00620D24"/>
    <w:rsid w:val="00621B8E"/>
    <w:rsid w:val="006227DC"/>
    <w:rsid w:val="00623C93"/>
    <w:rsid w:val="00623EF7"/>
    <w:rsid w:val="00624E68"/>
    <w:rsid w:val="00625660"/>
    <w:rsid w:val="00625A46"/>
    <w:rsid w:val="00625A88"/>
    <w:rsid w:val="00626494"/>
    <w:rsid w:val="00626728"/>
    <w:rsid w:val="00627E0A"/>
    <w:rsid w:val="00630421"/>
    <w:rsid w:val="006314C4"/>
    <w:rsid w:val="00631590"/>
    <w:rsid w:val="00631C28"/>
    <w:rsid w:val="00632E1D"/>
    <w:rsid w:val="006330DA"/>
    <w:rsid w:val="00633BA6"/>
    <w:rsid w:val="0063436E"/>
    <w:rsid w:val="006346CF"/>
    <w:rsid w:val="00634967"/>
    <w:rsid w:val="00635AD0"/>
    <w:rsid w:val="0063659D"/>
    <w:rsid w:val="0063675C"/>
    <w:rsid w:val="0063679B"/>
    <w:rsid w:val="00636F7E"/>
    <w:rsid w:val="00637672"/>
    <w:rsid w:val="00637A4F"/>
    <w:rsid w:val="00640569"/>
    <w:rsid w:val="00640ADF"/>
    <w:rsid w:val="00641EB8"/>
    <w:rsid w:val="00642596"/>
    <w:rsid w:val="0064270C"/>
    <w:rsid w:val="00642A64"/>
    <w:rsid w:val="00642FA9"/>
    <w:rsid w:val="00642FF3"/>
    <w:rsid w:val="006432AD"/>
    <w:rsid w:val="00644538"/>
    <w:rsid w:val="00645C7F"/>
    <w:rsid w:val="00645D70"/>
    <w:rsid w:val="006469C7"/>
    <w:rsid w:val="00647A59"/>
    <w:rsid w:val="006510DC"/>
    <w:rsid w:val="00652AEC"/>
    <w:rsid w:val="00653C77"/>
    <w:rsid w:val="00653ED2"/>
    <w:rsid w:val="00655883"/>
    <w:rsid w:val="00657E73"/>
    <w:rsid w:val="00663177"/>
    <w:rsid w:val="00663331"/>
    <w:rsid w:val="00663C28"/>
    <w:rsid w:val="00664181"/>
    <w:rsid w:val="0066486B"/>
    <w:rsid w:val="00664A53"/>
    <w:rsid w:val="00664D89"/>
    <w:rsid w:val="0066550C"/>
    <w:rsid w:val="0066554D"/>
    <w:rsid w:val="00666E3F"/>
    <w:rsid w:val="0067066C"/>
    <w:rsid w:val="006719A9"/>
    <w:rsid w:val="00672360"/>
    <w:rsid w:val="006727E2"/>
    <w:rsid w:val="00672CED"/>
    <w:rsid w:val="00674A27"/>
    <w:rsid w:val="00674CFE"/>
    <w:rsid w:val="00676326"/>
    <w:rsid w:val="00677232"/>
    <w:rsid w:val="00680721"/>
    <w:rsid w:val="00681890"/>
    <w:rsid w:val="00682758"/>
    <w:rsid w:val="00682B01"/>
    <w:rsid w:val="006832A9"/>
    <w:rsid w:val="006838F4"/>
    <w:rsid w:val="006857B9"/>
    <w:rsid w:val="00685AB4"/>
    <w:rsid w:val="00686359"/>
    <w:rsid w:val="00687721"/>
    <w:rsid w:val="0068792C"/>
    <w:rsid w:val="006906A6"/>
    <w:rsid w:val="00690EE6"/>
    <w:rsid w:val="006920C6"/>
    <w:rsid w:val="0069213C"/>
    <w:rsid w:val="0069326E"/>
    <w:rsid w:val="006932F6"/>
    <w:rsid w:val="0069333C"/>
    <w:rsid w:val="006933CF"/>
    <w:rsid w:val="0069346C"/>
    <w:rsid w:val="00696CA7"/>
    <w:rsid w:val="00697C93"/>
    <w:rsid w:val="006A07CF"/>
    <w:rsid w:val="006A116A"/>
    <w:rsid w:val="006A1A72"/>
    <w:rsid w:val="006A22A4"/>
    <w:rsid w:val="006A257A"/>
    <w:rsid w:val="006A36F4"/>
    <w:rsid w:val="006A379D"/>
    <w:rsid w:val="006A3A49"/>
    <w:rsid w:val="006A4184"/>
    <w:rsid w:val="006A446E"/>
    <w:rsid w:val="006A4632"/>
    <w:rsid w:val="006A465D"/>
    <w:rsid w:val="006A4BBC"/>
    <w:rsid w:val="006A4CE7"/>
    <w:rsid w:val="006A512D"/>
    <w:rsid w:val="006A60D0"/>
    <w:rsid w:val="006A66B0"/>
    <w:rsid w:val="006A6777"/>
    <w:rsid w:val="006A7311"/>
    <w:rsid w:val="006B0516"/>
    <w:rsid w:val="006B088D"/>
    <w:rsid w:val="006B0C59"/>
    <w:rsid w:val="006B0DE8"/>
    <w:rsid w:val="006B15F5"/>
    <w:rsid w:val="006B416B"/>
    <w:rsid w:val="006B52C9"/>
    <w:rsid w:val="006B5842"/>
    <w:rsid w:val="006B7AD0"/>
    <w:rsid w:val="006C01E5"/>
    <w:rsid w:val="006C31A9"/>
    <w:rsid w:val="006C31FA"/>
    <w:rsid w:val="006C375D"/>
    <w:rsid w:val="006C384A"/>
    <w:rsid w:val="006C4BFF"/>
    <w:rsid w:val="006C4FA4"/>
    <w:rsid w:val="006C57AF"/>
    <w:rsid w:val="006C5B10"/>
    <w:rsid w:val="006C5FFA"/>
    <w:rsid w:val="006C632F"/>
    <w:rsid w:val="006C663E"/>
    <w:rsid w:val="006C73A7"/>
    <w:rsid w:val="006D024F"/>
    <w:rsid w:val="006D100B"/>
    <w:rsid w:val="006D1B72"/>
    <w:rsid w:val="006D21EE"/>
    <w:rsid w:val="006D2224"/>
    <w:rsid w:val="006D2E91"/>
    <w:rsid w:val="006D3018"/>
    <w:rsid w:val="006D3557"/>
    <w:rsid w:val="006D5C86"/>
    <w:rsid w:val="006D60C8"/>
    <w:rsid w:val="006D69B9"/>
    <w:rsid w:val="006D6DAB"/>
    <w:rsid w:val="006D6EA6"/>
    <w:rsid w:val="006D79FD"/>
    <w:rsid w:val="006D7E78"/>
    <w:rsid w:val="006E059E"/>
    <w:rsid w:val="006E0831"/>
    <w:rsid w:val="006E2D4F"/>
    <w:rsid w:val="006E2D9F"/>
    <w:rsid w:val="006E32A0"/>
    <w:rsid w:val="006E4BCE"/>
    <w:rsid w:val="006E4E7B"/>
    <w:rsid w:val="006E4EBE"/>
    <w:rsid w:val="006E5913"/>
    <w:rsid w:val="006E6461"/>
    <w:rsid w:val="006E66E4"/>
    <w:rsid w:val="006E709C"/>
    <w:rsid w:val="006E7138"/>
    <w:rsid w:val="006E7387"/>
    <w:rsid w:val="006F0B7B"/>
    <w:rsid w:val="006F1CE7"/>
    <w:rsid w:val="006F1FBF"/>
    <w:rsid w:val="006F3A1C"/>
    <w:rsid w:val="006F45AE"/>
    <w:rsid w:val="006F4A36"/>
    <w:rsid w:val="006F6619"/>
    <w:rsid w:val="006F741E"/>
    <w:rsid w:val="0070292B"/>
    <w:rsid w:val="0070327C"/>
    <w:rsid w:val="007065F3"/>
    <w:rsid w:val="007078DB"/>
    <w:rsid w:val="0071043D"/>
    <w:rsid w:val="007104C6"/>
    <w:rsid w:val="007107E9"/>
    <w:rsid w:val="0071119A"/>
    <w:rsid w:val="00712177"/>
    <w:rsid w:val="007123AF"/>
    <w:rsid w:val="00714424"/>
    <w:rsid w:val="00714D26"/>
    <w:rsid w:val="00714F19"/>
    <w:rsid w:val="007151ED"/>
    <w:rsid w:val="007152C3"/>
    <w:rsid w:val="00715F3A"/>
    <w:rsid w:val="0071632A"/>
    <w:rsid w:val="00716DC1"/>
    <w:rsid w:val="00716E4C"/>
    <w:rsid w:val="00717361"/>
    <w:rsid w:val="00720165"/>
    <w:rsid w:val="00720471"/>
    <w:rsid w:val="00720ED2"/>
    <w:rsid w:val="00721112"/>
    <w:rsid w:val="00721B9E"/>
    <w:rsid w:val="00721C0A"/>
    <w:rsid w:val="00721CBB"/>
    <w:rsid w:val="00722C6E"/>
    <w:rsid w:val="00723838"/>
    <w:rsid w:val="0072392B"/>
    <w:rsid w:val="00723ADD"/>
    <w:rsid w:val="00727A54"/>
    <w:rsid w:val="00727AD0"/>
    <w:rsid w:val="00731413"/>
    <w:rsid w:val="00731E0C"/>
    <w:rsid w:val="007320C9"/>
    <w:rsid w:val="0073320E"/>
    <w:rsid w:val="00733B57"/>
    <w:rsid w:val="00734511"/>
    <w:rsid w:val="00734C42"/>
    <w:rsid w:val="00735106"/>
    <w:rsid w:val="00735DF3"/>
    <w:rsid w:val="00736127"/>
    <w:rsid w:val="00736C1C"/>
    <w:rsid w:val="0074015F"/>
    <w:rsid w:val="00740B27"/>
    <w:rsid w:val="00741A10"/>
    <w:rsid w:val="00745B61"/>
    <w:rsid w:val="007461BB"/>
    <w:rsid w:val="00746900"/>
    <w:rsid w:val="0074706B"/>
    <w:rsid w:val="00747738"/>
    <w:rsid w:val="00751A8A"/>
    <w:rsid w:val="00752019"/>
    <w:rsid w:val="0075230E"/>
    <w:rsid w:val="007523B2"/>
    <w:rsid w:val="0075264B"/>
    <w:rsid w:val="007527DA"/>
    <w:rsid w:val="00753509"/>
    <w:rsid w:val="0075397C"/>
    <w:rsid w:val="00753F76"/>
    <w:rsid w:val="00754873"/>
    <w:rsid w:val="00755B74"/>
    <w:rsid w:val="00756274"/>
    <w:rsid w:val="00756689"/>
    <w:rsid w:val="00756693"/>
    <w:rsid w:val="007568B2"/>
    <w:rsid w:val="00756CF7"/>
    <w:rsid w:val="007575A3"/>
    <w:rsid w:val="00760502"/>
    <w:rsid w:val="00760BEA"/>
    <w:rsid w:val="00760CE7"/>
    <w:rsid w:val="00761421"/>
    <w:rsid w:val="00762250"/>
    <w:rsid w:val="0076347F"/>
    <w:rsid w:val="00763620"/>
    <w:rsid w:val="007642FE"/>
    <w:rsid w:val="00764E63"/>
    <w:rsid w:val="007653CE"/>
    <w:rsid w:val="00765AC3"/>
    <w:rsid w:val="0076747B"/>
    <w:rsid w:val="00767624"/>
    <w:rsid w:val="0077000F"/>
    <w:rsid w:val="0077034F"/>
    <w:rsid w:val="00770E8B"/>
    <w:rsid w:val="00772C76"/>
    <w:rsid w:val="00773B53"/>
    <w:rsid w:val="00773F02"/>
    <w:rsid w:val="00773F03"/>
    <w:rsid w:val="007750B7"/>
    <w:rsid w:val="0077544C"/>
    <w:rsid w:val="00776167"/>
    <w:rsid w:val="007761A9"/>
    <w:rsid w:val="00776472"/>
    <w:rsid w:val="00776863"/>
    <w:rsid w:val="00776EC0"/>
    <w:rsid w:val="00776FF0"/>
    <w:rsid w:val="00777608"/>
    <w:rsid w:val="00777785"/>
    <w:rsid w:val="00777A8C"/>
    <w:rsid w:val="00780143"/>
    <w:rsid w:val="0078113E"/>
    <w:rsid w:val="00781B94"/>
    <w:rsid w:val="00781EEF"/>
    <w:rsid w:val="00781F7A"/>
    <w:rsid w:val="00783D13"/>
    <w:rsid w:val="00784AA0"/>
    <w:rsid w:val="00785261"/>
    <w:rsid w:val="0078569A"/>
    <w:rsid w:val="0078593A"/>
    <w:rsid w:val="00786614"/>
    <w:rsid w:val="00790B42"/>
    <w:rsid w:val="00790F77"/>
    <w:rsid w:val="00792753"/>
    <w:rsid w:val="00792887"/>
    <w:rsid w:val="00793BB3"/>
    <w:rsid w:val="00794067"/>
    <w:rsid w:val="0079412D"/>
    <w:rsid w:val="0079478F"/>
    <w:rsid w:val="00795840"/>
    <w:rsid w:val="00795DC1"/>
    <w:rsid w:val="00795ECB"/>
    <w:rsid w:val="00796AA2"/>
    <w:rsid w:val="00796D23"/>
    <w:rsid w:val="007971A2"/>
    <w:rsid w:val="00797A23"/>
    <w:rsid w:val="00797C94"/>
    <w:rsid w:val="00797CC6"/>
    <w:rsid w:val="007A0324"/>
    <w:rsid w:val="007A06F8"/>
    <w:rsid w:val="007A1B13"/>
    <w:rsid w:val="007A25C2"/>
    <w:rsid w:val="007A4399"/>
    <w:rsid w:val="007A4537"/>
    <w:rsid w:val="007A488E"/>
    <w:rsid w:val="007A4C99"/>
    <w:rsid w:val="007A565B"/>
    <w:rsid w:val="007A5EF9"/>
    <w:rsid w:val="007A67B8"/>
    <w:rsid w:val="007A7423"/>
    <w:rsid w:val="007A7997"/>
    <w:rsid w:val="007B0256"/>
    <w:rsid w:val="007B1165"/>
    <w:rsid w:val="007B1295"/>
    <w:rsid w:val="007B1957"/>
    <w:rsid w:val="007B2D53"/>
    <w:rsid w:val="007B359C"/>
    <w:rsid w:val="007B372E"/>
    <w:rsid w:val="007B3BC6"/>
    <w:rsid w:val="007B48F7"/>
    <w:rsid w:val="007B4A45"/>
    <w:rsid w:val="007B4B99"/>
    <w:rsid w:val="007B51F7"/>
    <w:rsid w:val="007B5B7F"/>
    <w:rsid w:val="007B6460"/>
    <w:rsid w:val="007B6F70"/>
    <w:rsid w:val="007B7C35"/>
    <w:rsid w:val="007B7DC2"/>
    <w:rsid w:val="007C0384"/>
    <w:rsid w:val="007C1404"/>
    <w:rsid w:val="007C1EA3"/>
    <w:rsid w:val="007C2013"/>
    <w:rsid w:val="007C23B0"/>
    <w:rsid w:val="007C280D"/>
    <w:rsid w:val="007C3691"/>
    <w:rsid w:val="007C3C02"/>
    <w:rsid w:val="007C3C72"/>
    <w:rsid w:val="007C57E7"/>
    <w:rsid w:val="007C59BA"/>
    <w:rsid w:val="007C5A50"/>
    <w:rsid w:val="007C5DBA"/>
    <w:rsid w:val="007C5EBF"/>
    <w:rsid w:val="007C657E"/>
    <w:rsid w:val="007C7A8A"/>
    <w:rsid w:val="007D0D27"/>
    <w:rsid w:val="007D176D"/>
    <w:rsid w:val="007D1E23"/>
    <w:rsid w:val="007D43DB"/>
    <w:rsid w:val="007D4D10"/>
    <w:rsid w:val="007D5168"/>
    <w:rsid w:val="007D5627"/>
    <w:rsid w:val="007D7FF1"/>
    <w:rsid w:val="007E0476"/>
    <w:rsid w:val="007E144E"/>
    <w:rsid w:val="007E1C52"/>
    <w:rsid w:val="007E420A"/>
    <w:rsid w:val="007E492F"/>
    <w:rsid w:val="007E4FA9"/>
    <w:rsid w:val="007E5114"/>
    <w:rsid w:val="007E594A"/>
    <w:rsid w:val="007E5E12"/>
    <w:rsid w:val="007E696D"/>
    <w:rsid w:val="007E7373"/>
    <w:rsid w:val="007F0045"/>
    <w:rsid w:val="007F017E"/>
    <w:rsid w:val="007F1185"/>
    <w:rsid w:val="007F1809"/>
    <w:rsid w:val="007F1CD9"/>
    <w:rsid w:val="007F2191"/>
    <w:rsid w:val="007F32BD"/>
    <w:rsid w:val="007F6041"/>
    <w:rsid w:val="007F6187"/>
    <w:rsid w:val="007F69F5"/>
    <w:rsid w:val="007F6DA3"/>
    <w:rsid w:val="007F70C5"/>
    <w:rsid w:val="00800190"/>
    <w:rsid w:val="008006C2"/>
    <w:rsid w:val="008016AE"/>
    <w:rsid w:val="00801924"/>
    <w:rsid w:val="008049CF"/>
    <w:rsid w:val="00804A6C"/>
    <w:rsid w:val="00804AB0"/>
    <w:rsid w:val="00805FD5"/>
    <w:rsid w:val="00806A4D"/>
    <w:rsid w:val="00806B9C"/>
    <w:rsid w:val="00806FFF"/>
    <w:rsid w:val="00807EF8"/>
    <w:rsid w:val="0081034D"/>
    <w:rsid w:val="00810531"/>
    <w:rsid w:val="0081137A"/>
    <w:rsid w:val="008116A5"/>
    <w:rsid w:val="0081232E"/>
    <w:rsid w:val="0081320F"/>
    <w:rsid w:val="00815391"/>
    <w:rsid w:val="0081617C"/>
    <w:rsid w:val="008166E7"/>
    <w:rsid w:val="00816DFA"/>
    <w:rsid w:val="00817683"/>
    <w:rsid w:val="00820284"/>
    <w:rsid w:val="00820AAF"/>
    <w:rsid w:val="00820AE2"/>
    <w:rsid w:val="00820C83"/>
    <w:rsid w:val="00820DB5"/>
    <w:rsid w:val="00821071"/>
    <w:rsid w:val="0082130D"/>
    <w:rsid w:val="0082238D"/>
    <w:rsid w:val="00822687"/>
    <w:rsid w:val="0082296A"/>
    <w:rsid w:val="00823605"/>
    <w:rsid w:val="00825AF3"/>
    <w:rsid w:val="00826107"/>
    <w:rsid w:val="008264B5"/>
    <w:rsid w:val="00826654"/>
    <w:rsid w:val="00826E88"/>
    <w:rsid w:val="00827427"/>
    <w:rsid w:val="00827593"/>
    <w:rsid w:val="008276D1"/>
    <w:rsid w:val="008302F1"/>
    <w:rsid w:val="008316A3"/>
    <w:rsid w:val="0083176C"/>
    <w:rsid w:val="008321C0"/>
    <w:rsid w:val="00832942"/>
    <w:rsid w:val="00832F25"/>
    <w:rsid w:val="0083325E"/>
    <w:rsid w:val="008341DD"/>
    <w:rsid w:val="00834348"/>
    <w:rsid w:val="008348A5"/>
    <w:rsid w:val="00834D1A"/>
    <w:rsid w:val="008358CA"/>
    <w:rsid w:val="00836387"/>
    <w:rsid w:val="00836BA0"/>
    <w:rsid w:val="00837B6B"/>
    <w:rsid w:val="008415CB"/>
    <w:rsid w:val="0084170E"/>
    <w:rsid w:val="0084227C"/>
    <w:rsid w:val="00843072"/>
    <w:rsid w:val="008439F8"/>
    <w:rsid w:val="00844011"/>
    <w:rsid w:val="00845D98"/>
    <w:rsid w:val="00846B56"/>
    <w:rsid w:val="008471BD"/>
    <w:rsid w:val="0084748B"/>
    <w:rsid w:val="008476E8"/>
    <w:rsid w:val="00850065"/>
    <w:rsid w:val="008514A1"/>
    <w:rsid w:val="0085161C"/>
    <w:rsid w:val="00852974"/>
    <w:rsid w:val="00853D71"/>
    <w:rsid w:val="0085403A"/>
    <w:rsid w:val="00854B1E"/>
    <w:rsid w:val="008559F5"/>
    <w:rsid w:val="00856159"/>
    <w:rsid w:val="00856328"/>
    <w:rsid w:val="008565DF"/>
    <w:rsid w:val="00856BDF"/>
    <w:rsid w:val="00856EC3"/>
    <w:rsid w:val="0085710F"/>
    <w:rsid w:val="00857513"/>
    <w:rsid w:val="008579D2"/>
    <w:rsid w:val="00860E92"/>
    <w:rsid w:val="00861D5E"/>
    <w:rsid w:val="0086289C"/>
    <w:rsid w:val="0086372A"/>
    <w:rsid w:val="00863C9F"/>
    <w:rsid w:val="008640A9"/>
    <w:rsid w:val="0086433A"/>
    <w:rsid w:val="008643E3"/>
    <w:rsid w:val="00864809"/>
    <w:rsid w:val="00864A8F"/>
    <w:rsid w:val="008659F9"/>
    <w:rsid w:val="00865AF1"/>
    <w:rsid w:val="00865E8A"/>
    <w:rsid w:val="00865EC5"/>
    <w:rsid w:val="0086620F"/>
    <w:rsid w:val="008669FB"/>
    <w:rsid w:val="00866DCB"/>
    <w:rsid w:val="00867780"/>
    <w:rsid w:val="0087009A"/>
    <w:rsid w:val="008707BD"/>
    <w:rsid w:val="0087165C"/>
    <w:rsid w:val="008723FF"/>
    <w:rsid w:val="00872EAF"/>
    <w:rsid w:val="00873591"/>
    <w:rsid w:val="008736BB"/>
    <w:rsid w:val="00873921"/>
    <w:rsid w:val="00873973"/>
    <w:rsid w:val="00874B31"/>
    <w:rsid w:val="00875C3D"/>
    <w:rsid w:val="0087600D"/>
    <w:rsid w:val="008767AC"/>
    <w:rsid w:val="008769FB"/>
    <w:rsid w:val="00876CA6"/>
    <w:rsid w:val="00876F27"/>
    <w:rsid w:val="00877018"/>
    <w:rsid w:val="00877423"/>
    <w:rsid w:val="00877631"/>
    <w:rsid w:val="0088032E"/>
    <w:rsid w:val="00880592"/>
    <w:rsid w:val="00880DAB"/>
    <w:rsid w:val="008822E9"/>
    <w:rsid w:val="008827E6"/>
    <w:rsid w:val="00882898"/>
    <w:rsid w:val="0088501F"/>
    <w:rsid w:val="008853A6"/>
    <w:rsid w:val="00885464"/>
    <w:rsid w:val="00885DB0"/>
    <w:rsid w:val="00886812"/>
    <w:rsid w:val="0088687D"/>
    <w:rsid w:val="00886DC4"/>
    <w:rsid w:val="00886E88"/>
    <w:rsid w:val="00890AF3"/>
    <w:rsid w:val="00891322"/>
    <w:rsid w:val="008914A9"/>
    <w:rsid w:val="00891CA0"/>
    <w:rsid w:val="00896884"/>
    <w:rsid w:val="008A0194"/>
    <w:rsid w:val="008A21DD"/>
    <w:rsid w:val="008A2F6D"/>
    <w:rsid w:val="008A323A"/>
    <w:rsid w:val="008A473F"/>
    <w:rsid w:val="008A5B8B"/>
    <w:rsid w:val="008A5C1F"/>
    <w:rsid w:val="008A65D7"/>
    <w:rsid w:val="008B01DD"/>
    <w:rsid w:val="008B0C85"/>
    <w:rsid w:val="008B20C9"/>
    <w:rsid w:val="008B21AA"/>
    <w:rsid w:val="008B21E1"/>
    <w:rsid w:val="008B2F3A"/>
    <w:rsid w:val="008B3511"/>
    <w:rsid w:val="008B4101"/>
    <w:rsid w:val="008B41EF"/>
    <w:rsid w:val="008B6038"/>
    <w:rsid w:val="008B7938"/>
    <w:rsid w:val="008B7AC1"/>
    <w:rsid w:val="008C0014"/>
    <w:rsid w:val="008C1B89"/>
    <w:rsid w:val="008C1E79"/>
    <w:rsid w:val="008C287A"/>
    <w:rsid w:val="008C2E63"/>
    <w:rsid w:val="008C2F8C"/>
    <w:rsid w:val="008C5AF4"/>
    <w:rsid w:val="008C5B0C"/>
    <w:rsid w:val="008C642E"/>
    <w:rsid w:val="008C6646"/>
    <w:rsid w:val="008C7AA0"/>
    <w:rsid w:val="008C7AE8"/>
    <w:rsid w:val="008D0415"/>
    <w:rsid w:val="008D0504"/>
    <w:rsid w:val="008D0899"/>
    <w:rsid w:val="008D0CC0"/>
    <w:rsid w:val="008D1382"/>
    <w:rsid w:val="008D13D9"/>
    <w:rsid w:val="008D22B2"/>
    <w:rsid w:val="008D23D1"/>
    <w:rsid w:val="008D3761"/>
    <w:rsid w:val="008D46E9"/>
    <w:rsid w:val="008D4975"/>
    <w:rsid w:val="008D4BC7"/>
    <w:rsid w:val="008D4C36"/>
    <w:rsid w:val="008D5E6B"/>
    <w:rsid w:val="008D628B"/>
    <w:rsid w:val="008D7939"/>
    <w:rsid w:val="008D7C29"/>
    <w:rsid w:val="008E0BF6"/>
    <w:rsid w:val="008E0E80"/>
    <w:rsid w:val="008E1D9C"/>
    <w:rsid w:val="008E2D86"/>
    <w:rsid w:val="008E32D4"/>
    <w:rsid w:val="008E3A3D"/>
    <w:rsid w:val="008E3D5B"/>
    <w:rsid w:val="008E4779"/>
    <w:rsid w:val="008E5FD7"/>
    <w:rsid w:val="008E63C2"/>
    <w:rsid w:val="008E66C3"/>
    <w:rsid w:val="008E6B38"/>
    <w:rsid w:val="008E7A2D"/>
    <w:rsid w:val="008E7D61"/>
    <w:rsid w:val="008F019E"/>
    <w:rsid w:val="008F0AA6"/>
    <w:rsid w:val="008F3023"/>
    <w:rsid w:val="008F3255"/>
    <w:rsid w:val="008F38C4"/>
    <w:rsid w:val="008F402C"/>
    <w:rsid w:val="008F44A7"/>
    <w:rsid w:val="008F4705"/>
    <w:rsid w:val="008F6305"/>
    <w:rsid w:val="008F7273"/>
    <w:rsid w:val="008F787C"/>
    <w:rsid w:val="008F7C9D"/>
    <w:rsid w:val="009014E2"/>
    <w:rsid w:val="009019D8"/>
    <w:rsid w:val="009032A0"/>
    <w:rsid w:val="009044DD"/>
    <w:rsid w:val="00904683"/>
    <w:rsid w:val="0090540D"/>
    <w:rsid w:val="00905B9E"/>
    <w:rsid w:val="00906EB7"/>
    <w:rsid w:val="00907248"/>
    <w:rsid w:val="00911102"/>
    <w:rsid w:val="00911623"/>
    <w:rsid w:val="00911EA7"/>
    <w:rsid w:val="00912963"/>
    <w:rsid w:val="00913368"/>
    <w:rsid w:val="00913B05"/>
    <w:rsid w:val="009145F8"/>
    <w:rsid w:val="00914696"/>
    <w:rsid w:val="00916A5D"/>
    <w:rsid w:val="0091728E"/>
    <w:rsid w:val="00920008"/>
    <w:rsid w:val="00921058"/>
    <w:rsid w:val="0092126A"/>
    <w:rsid w:val="0092195C"/>
    <w:rsid w:val="009225F0"/>
    <w:rsid w:val="00922605"/>
    <w:rsid w:val="00922D06"/>
    <w:rsid w:val="0092310B"/>
    <w:rsid w:val="009234EB"/>
    <w:rsid w:val="0092437C"/>
    <w:rsid w:val="00924FED"/>
    <w:rsid w:val="00925100"/>
    <w:rsid w:val="00925677"/>
    <w:rsid w:val="009265EF"/>
    <w:rsid w:val="00926A3C"/>
    <w:rsid w:val="009274D2"/>
    <w:rsid w:val="009303C1"/>
    <w:rsid w:val="009304A4"/>
    <w:rsid w:val="00930ED3"/>
    <w:rsid w:val="0093109A"/>
    <w:rsid w:val="00931A3A"/>
    <w:rsid w:val="00931AC8"/>
    <w:rsid w:val="0093218E"/>
    <w:rsid w:val="009321AC"/>
    <w:rsid w:val="00932365"/>
    <w:rsid w:val="00932625"/>
    <w:rsid w:val="00932F4C"/>
    <w:rsid w:val="009357ED"/>
    <w:rsid w:val="00935F29"/>
    <w:rsid w:val="00936162"/>
    <w:rsid w:val="00936422"/>
    <w:rsid w:val="009365DD"/>
    <w:rsid w:val="009369A0"/>
    <w:rsid w:val="00942E91"/>
    <w:rsid w:val="009434F4"/>
    <w:rsid w:val="00943A3A"/>
    <w:rsid w:val="00943CC2"/>
    <w:rsid w:val="0094416B"/>
    <w:rsid w:val="0094558A"/>
    <w:rsid w:val="0094563F"/>
    <w:rsid w:val="00945CD4"/>
    <w:rsid w:val="0094616E"/>
    <w:rsid w:val="009464E4"/>
    <w:rsid w:val="0095019D"/>
    <w:rsid w:val="0095080D"/>
    <w:rsid w:val="00950C6A"/>
    <w:rsid w:val="00950D0B"/>
    <w:rsid w:val="0095139B"/>
    <w:rsid w:val="00952A60"/>
    <w:rsid w:val="00953230"/>
    <w:rsid w:val="00953A1C"/>
    <w:rsid w:val="00954E1B"/>
    <w:rsid w:val="00954E94"/>
    <w:rsid w:val="00955D57"/>
    <w:rsid w:val="00957540"/>
    <w:rsid w:val="00957CF1"/>
    <w:rsid w:val="009605A8"/>
    <w:rsid w:val="009606B4"/>
    <w:rsid w:val="00961371"/>
    <w:rsid w:val="009625B5"/>
    <w:rsid w:val="009630A5"/>
    <w:rsid w:val="0096395C"/>
    <w:rsid w:val="00963AF1"/>
    <w:rsid w:val="0096425C"/>
    <w:rsid w:val="00964302"/>
    <w:rsid w:val="009646A9"/>
    <w:rsid w:val="009658F7"/>
    <w:rsid w:val="0097048A"/>
    <w:rsid w:val="00970C3B"/>
    <w:rsid w:val="00970C86"/>
    <w:rsid w:val="00972F6F"/>
    <w:rsid w:val="00974FFC"/>
    <w:rsid w:val="009760E2"/>
    <w:rsid w:val="00976CB4"/>
    <w:rsid w:val="00977083"/>
    <w:rsid w:val="009770A7"/>
    <w:rsid w:val="009771A7"/>
    <w:rsid w:val="009779F9"/>
    <w:rsid w:val="009808AA"/>
    <w:rsid w:val="00980B41"/>
    <w:rsid w:val="00981E8B"/>
    <w:rsid w:val="00982D22"/>
    <w:rsid w:val="00983191"/>
    <w:rsid w:val="00983225"/>
    <w:rsid w:val="00983B1E"/>
    <w:rsid w:val="00983BDE"/>
    <w:rsid w:val="00984A10"/>
    <w:rsid w:val="00984B9E"/>
    <w:rsid w:val="00984ECA"/>
    <w:rsid w:val="00985297"/>
    <w:rsid w:val="00985CFA"/>
    <w:rsid w:val="00986118"/>
    <w:rsid w:val="00986218"/>
    <w:rsid w:val="009872AF"/>
    <w:rsid w:val="009874DF"/>
    <w:rsid w:val="00987796"/>
    <w:rsid w:val="00990688"/>
    <w:rsid w:val="00990E08"/>
    <w:rsid w:val="00992036"/>
    <w:rsid w:val="009929EA"/>
    <w:rsid w:val="00993AD2"/>
    <w:rsid w:val="009943DF"/>
    <w:rsid w:val="009949AA"/>
    <w:rsid w:val="0099570D"/>
    <w:rsid w:val="00995967"/>
    <w:rsid w:val="009962A6"/>
    <w:rsid w:val="00996320"/>
    <w:rsid w:val="00997424"/>
    <w:rsid w:val="0099762C"/>
    <w:rsid w:val="00997684"/>
    <w:rsid w:val="00997841"/>
    <w:rsid w:val="009979BC"/>
    <w:rsid w:val="009979F7"/>
    <w:rsid w:val="00997BE6"/>
    <w:rsid w:val="009A0192"/>
    <w:rsid w:val="009A0B23"/>
    <w:rsid w:val="009A2208"/>
    <w:rsid w:val="009A3151"/>
    <w:rsid w:val="009A3627"/>
    <w:rsid w:val="009A4032"/>
    <w:rsid w:val="009A46D8"/>
    <w:rsid w:val="009A560D"/>
    <w:rsid w:val="009A5C67"/>
    <w:rsid w:val="009A69DA"/>
    <w:rsid w:val="009A72B7"/>
    <w:rsid w:val="009A7E54"/>
    <w:rsid w:val="009B2228"/>
    <w:rsid w:val="009B2993"/>
    <w:rsid w:val="009B3140"/>
    <w:rsid w:val="009B398C"/>
    <w:rsid w:val="009B3BF8"/>
    <w:rsid w:val="009B4669"/>
    <w:rsid w:val="009B4F7B"/>
    <w:rsid w:val="009B5E16"/>
    <w:rsid w:val="009B621B"/>
    <w:rsid w:val="009B6277"/>
    <w:rsid w:val="009B66B3"/>
    <w:rsid w:val="009B6786"/>
    <w:rsid w:val="009B7094"/>
    <w:rsid w:val="009B7A97"/>
    <w:rsid w:val="009C10F6"/>
    <w:rsid w:val="009C2C34"/>
    <w:rsid w:val="009C2D63"/>
    <w:rsid w:val="009C4487"/>
    <w:rsid w:val="009C48CD"/>
    <w:rsid w:val="009C4DA4"/>
    <w:rsid w:val="009C5378"/>
    <w:rsid w:val="009C5A3A"/>
    <w:rsid w:val="009C5BDE"/>
    <w:rsid w:val="009C5E7B"/>
    <w:rsid w:val="009C616D"/>
    <w:rsid w:val="009C6E24"/>
    <w:rsid w:val="009C7C12"/>
    <w:rsid w:val="009C7DE0"/>
    <w:rsid w:val="009D08B1"/>
    <w:rsid w:val="009D0FF5"/>
    <w:rsid w:val="009D1F8F"/>
    <w:rsid w:val="009D3087"/>
    <w:rsid w:val="009D3CCB"/>
    <w:rsid w:val="009D422E"/>
    <w:rsid w:val="009D4895"/>
    <w:rsid w:val="009D4BCA"/>
    <w:rsid w:val="009D5626"/>
    <w:rsid w:val="009D574A"/>
    <w:rsid w:val="009D575F"/>
    <w:rsid w:val="009D58BC"/>
    <w:rsid w:val="009D5E1B"/>
    <w:rsid w:val="009D61D6"/>
    <w:rsid w:val="009D6563"/>
    <w:rsid w:val="009D6801"/>
    <w:rsid w:val="009D6A1D"/>
    <w:rsid w:val="009D6A5E"/>
    <w:rsid w:val="009D6EDB"/>
    <w:rsid w:val="009D7188"/>
    <w:rsid w:val="009D78F1"/>
    <w:rsid w:val="009E100E"/>
    <w:rsid w:val="009E1964"/>
    <w:rsid w:val="009E2E42"/>
    <w:rsid w:val="009E2EC9"/>
    <w:rsid w:val="009E369B"/>
    <w:rsid w:val="009E3C58"/>
    <w:rsid w:val="009E3EF4"/>
    <w:rsid w:val="009E4068"/>
    <w:rsid w:val="009E5760"/>
    <w:rsid w:val="009E58B0"/>
    <w:rsid w:val="009E5CC4"/>
    <w:rsid w:val="009E5D9A"/>
    <w:rsid w:val="009E7ACE"/>
    <w:rsid w:val="009F03C3"/>
    <w:rsid w:val="009F16C2"/>
    <w:rsid w:val="009F1E9F"/>
    <w:rsid w:val="009F2595"/>
    <w:rsid w:val="009F269E"/>
    <w:rsid w:val="009F2AD3"/>
    <w:rsid w:val="009F3C3A"/>
    <w:rsid w:val="009F3C7B"/>
    <w:rsid w:val="009F4B2D"/>
    <w:rsid w:val="009F5381"/>
    <w:rsid w:val="009F5712"/>
    <w:rsid w:val="009F5F35"/>
    <w:rsid w:val="009F6FBE"/>
    <w:rsid w:val="009F71A0"/>
    <w:rsid w:val="009F7ADE"/>
    <w:rsid w:val="00A0017E"/>
    <w:rsid w:val="00A01C99"/>
    <w:rsid w:val="00A020D4"/>
    <w:rsid w:val="00A021BF"/>
    <w:rsid w:val="00A02D71"/>
    <w:rsid w:val="00A052F4"/>
    <w:rsid w:val="00A069F5"/>
    <w:rsid w:val="00A0711B"/>
    <w:rsid w:val="00A07311"/>
    <w:rsid w:val="00A10006"/>
    <w:rsid w:val="00A10044"/>
    <w:rsid w:val="00A10C75"/>
    <w:rsid w:val="00A118A2"/>
    <w:rsid w:val="00A11C38"/>
    <w:rsid w:val="00A13549"/>
    <w:rsid w:val="00A13F32"/>
    <w:rsid w:val="00A15E30"/>
    <w:rsid w:val="00A1676C"/>
    <w:rsid w:val="00A1689B"/>
    <w:rsid w:val="00A17677"/>
    <w:rsid w:val="00A17842"/>
    <w:rsid w:val="00A17CCA"/>
    <w:rsid w:val="00A17F2C"/>
    <w:rsid w:val="00A22297"/>
    <w:rsid w:val="00A22449"/>
    <w:rsid w:val="00A235C9"/>
    <w:rsid w:val="00A24AE9"/>
    <w:rsid w:val="00A25C85"/>
    <w:rsid w:val="00A26A4A"/>
    <w:rsid w:val="00A2752A"/>
    <w:rsid w:val="00A278A4"/>
    <w:rsid w:val="00A27A94"/>
    <w:rsid w:val="00A27AAB"/>
    <w:rsid w:val="00A30095"/>
    <w:rsid w:val="00A31573"/>
    <w:rsid w:val="00A324CF"/>
    <w:rsid w:val="00A327C4"/>
    <w:rsid w:val="00A331ED"/>
    <w:rsid w:val="00A34FD0"/>
    <w:rsid w:val="00A36963"/>
    <w:rsid w:val="00A36A77"/>
    <w:rsid w:val="00A37C89"/>
    <w:rsid w:val="00A40153"/>
    <w:rsid w:val="00A43575"/>
    <w:rsid w:val="00A439A2"/>
    <w:rsid w:val="00A43E66"/>
    <w:rsid w:val="00A43FF3"/>
    <w:rsid w:val="00A4462B"/>
    <w:rsid w:val="00A4564A"/>
    <w:rsid w:val="00A45B18"/>
    <w:rsid w:val="00A46757"/>
    <w:rsid w:val="00A467C0"/>
    <w:rsid w:val="00A46B27"/>
    <w:rsid w:val="00A46E5E"/>
    <w:rsid w:val="00A4761E"/>
    <w:rsid w:val="00A47AC2"/>
    <w:rsid w:val="00A47AE4"/>
    <w:rsid w:val="00A51862"/>
    <w:rsid w:val="00A51AE4"/>
    <w:rsid w:val="00A51F70"/>
    <w:rsid w:val="00A5236D"/>
    <w:rsid w:val="00A5618B"/>
    <w:rsid w:val="00A562BA"/>
    <w:rsid w:val="00A57055"/>
    <w:rsid w:val="00A57B56"/>
    <w:rsid w:val="00A60DF2"/>
    <w:rsid w:val="00A62D6F"/>
    <w:rsid w:val="00A63724"/>
    <w:rsid w:val="00A63966"/>
    <w:rsid w:val="00A64685"/>
    <w:rsid w:val="00A647C4"/>
    <w:rsid w:val="00A64B5B"/>
    <w:rsid w:val="00A64F8B"/>
    <w:rsid w:val="00A65B34"/>
    <w:rsid w:val="00A66023"/>
    <w:rsid w:val="00A66593"/>
    <w:rsid w:val="00A66EDD"/>
    <w:rsid w:val="00A6797C"/>
    <w:rsid w:val="00A700C8"/>
    <w:rsid w:val="00A70732"/>
    <w:rsid w:val="00A71015"/>
    <w:rsid w:val="00A74769"/>
    <w:rsid w:val="00A75696"/>
    <w:rsid w:val="00A757DF"/>
    <w:rsid w:val="00A75CCC"/>
    <w:rsid w:val="00A76738"/>
    <w:rsid w:val="00A76BC7"/>
    <w:rsid w:val="00A77576"/>
    <w:rsid w:val="00A779EB"/>
    <w:rsid w:val="00A77B1F"/>
    <w:rsid w:val="00A8096E"/>
    <w:rsid w:val="00A81534"/>
    <w:rsid w:val="00A8222B"/>
    <w:rsid w:val="00A825CA"/>
    <w:rsid w:val="00A82DD1"/>
    <w:rsid w:val="00A833B4"/>
    <w:rsid w:val="00A83A75"/>
    <w:rsid w:val="00A83A78"/>
    <w:rsid w:val="00A84BD8"/>
    <w:rsid w:val="00A852D2"/>
    <w:rsid w:val="00A855F7"/>
    <w:rsid w:val="00A85D04"/>
    <w:rsid w:val="00A8701B"/>
    <w:rsid w:val="00A900B5"/>
    <w:rsid w:val="00A9071E"/>
    <w:rsid w:val="00A913F2"/>
    <w:rsid w:val="00A930F5"/>
    <w:rsid w:val="00A93430"/>
    <w:rsid w:val="00A93F1B"/>
    <w:rsid w:val="00A93F2A"/>
    <w:rsid w:val="00A94586"/>
    <w:rsid w:val="00A947CC"/>
    <w:rsid w:val="00A94D7C"/>
    <w:rsid w:val="00A9536D"/>
    <w:rsid w:val="00A9555B"/>
    <w:rsid w:val="00A95679"/>
    <w:rsid w:val="00A95CF4"/>
    <w:rsid w:val="00A95E13"/>
    <w:rsid w:val="00A96E34"/>
    <w:rsid w:val="00A97BBA"/>
    <w:rsid w:val="00A97DF1"/>
    <w:rsid w:val="00A97FD7"/>
    <w:rsid w:val="00AA02B8"/>
    <w:rsid w:val="00AA0486"/>
    <w:rsid w:val="00AA0E52"/>
    <w:rsid w:val="00AA145F"/>
    <w:rsid w:val="00AA31AB"/>
    <w:rsid w:val="00AA589A"/>
    <w:rsid w:val="00AB07DD"/>
    <w:rsid w:val="00AB0ECD"/>
    <w:rsid w:val="00AB139C"/>
    <w:rsid w:val="00AB15FB"/>
    <w:rsid w:val="00AB1F16"/>
    <w:rsid w:val="00AB21C0"/>
    <w:rsid w:val="00AB2C1D"/>
    <w:rsid w:val="00AB3803"/>
    <w:rsid w:val="00AB53D2"/>
    <w:rsid w:val="00AB5780"/>
    <w:rsid w:val="00AB5888"/>
    <w:rsid w:val="00AB5F06"/>
    <w:rsid w:val="00AB613F"/>
    <w:rsid w:val="00AB6227"/>
    <w:rsid w:val="00AB6889"/>
    <w:rsid w:val="00AC1048"/>
    <w:rsid w:val="00AC1B25"/>
    <w:rsid w:val="00AC3898"/>
    <w:rsid w:val="00AC43E2"/>
    <w:rsid w:val="00AC4A78"/>
    <w:rsid w:val="00AC6B66"/>
    <w:rsid w:val="00AD00CB"/>
    <w:rsid w:val="00AD11A7"/>
    <w:rsid w:val="00AD2271"/>
    <w:rsid w:val="00AD33BB"/>
    <w:rsid w:val="00AD3D2F"/>
    <w:rsid w:val="00AD59C1"/>
    <w:rsid w:val="00AD5ABA"/>
    <w:rsid w:val="00AD6F1C"/>
    <w:rsid w:val="00AE02F1"/>
    <w:rsid w:val="00AE202E"/>
    <w:rsid w:val="00AE2228"/>
    <w:rsid w:val="00AE28EE"/>
    <w:rsid w:val="00AE3770"/>
    <w:rsid w:val="00AE408C"/>
    <w:rsid w:val="00AE4239"/>
    <w:rsid w:val="00AE4B9D"/>
    <w:rsid w:val="00AE4C75"/>
    <w:rsid w:val="00AE5217"/>
    <w:rsid w:val="00AE6BD2"/>
    <w:rsid w:val="00AE7949"/>
    <w:rsid w:val="00AE7BA9"/>
    <w:rsid w:val="00AF0063"/>
    <w:rsid w:val="00AF0330"/>
    <w:rsid w:val="00AF2AFF"/>
    <w:rsid w:val="00AF4E89"/>
    <w:rsid w:val="00AF4F5E"/>
    <w:rsid w:val="00AF5BE5"/>
    <w:rsid w:val="00AF64D1"/>
    <w:rsid w:val="00AF720D"/>
    <w:rsid w:val="00AF7289"/>
    <w:rsid w:val="00B00C54"/>
    <w:rsid w:val="00B0103A"/>
    <w:rsid w:val="00B011D9"/>
    <w:rsid w:val="00B017EF"/>
    <w:rsid w:val="00B02304"/>
    <w:rsid w:val="00B02DB9"/>
    <w:rsid w:val="00B03331"/>
    <w:rsid w:val="00B03B84"/>
    <w:rsid w:val="00B041E4"/>
    <w:rsid w:val="00B044B9"/>
    <w:rsid w:val="00B0465A"/>
    <w:rsid w:val="00B06377"/>
    <w:rsid w:val="00B06502"/>
    <w:rsid w:val="00B06E29"/>
    <w:rsid w:val="00B06E49"/>
    <w:rsid w:val="00B0741C"/>
    <w:rsid w:val="00B107E2"/>
    <w:rsid w:val="00B1098B"/>
    <w:rsid w:val="00B10EB1"/>
    <w:rsid w:val="00B112A9"/>
    <w:rsid w:val="00B114BB"/>
    <w:rsid w:val="00B123CD"/>
    <w:rsid w:val="00B129F9"/>
    <w:rsid w:val="00B13ACD"/>
    <w:rsid w:val="00B14162"/>
    <w:rsid w:val="00B1456B"/>
    <w:rsid w:val="00B14CC4"/>
    <w:rsid w:val="00B1553A"/>
    <w:rsid w:val="00B155AE"/>
    <w:rsid w:val="00B175EB"/>
    <w:rsid w:val="00B17721"/>
    <w:rsid w:val="00B17789"/>
    <w:rsid w:val="00B20262"/>
    <w:rsid w:val="00B2052E"/>
    <w:rsid w:val="00B20F3C"/>
    <w:rsid w:val="00B21831"/>
    <w:rsid w:val="00B22433"/>
    <w:rsid w:val="00B22BBA"/>
    <w:rsid w:val="00B24531"/>
    <w:rsid w:val="00B248BB"/>
    <w:rsid w:val="00B25125"/>
    <w:rsid w:val="00B253D1"/>
    <w:rsid w:val="00B2558F"/>
    <w:rsid w:val="00B26D12"/>
    <w:rsid w:val="00B276CB"/>
    <w:rsid w:val="00B27C1C"/>
    <w:rsid w:val="00B30B1C"/>
    <w:rsid w:val="00B30C7B"/>
    <w:rsid w:val="00B35484"/>
    <w:rsid w:val="00B35950"/>
    <w:rsid w:val="00B36F57"/>
    <w:rsid w:val="00B36F7A"/>
    <w:rsid w:val="00B3711B"/>
    <w:rsid w:val="00B374EE"/>
    <w:rsid w:val="00B37C7D"/>
    <w:rsid w:val="00B40481"/>
    <w:rsid w:val="00B4055D"/>
    <w:rsid w:val="00B42C61"/>
    <w:rsid w:val="00B42CC9"/>
    <w:rsid w:val="00B432F7"/>
    <w:rsid w:val="00B44E7B"/>
    <w:rsid w:val="00B45321"/>
    <w:rsid w:val="00B47342"/>
    <w:rsid w:val="00B50024"/>
    <w:rsid w:val="00B50497"/>
    <w:rsid w:val="00B51A22"/>
    <w:rsid w:val="00B51C17"/>
    <w:rsid w:val="00B53DD0"/>
    <w:rsid w:val="00B561CA"/>
    <w:rsid w:val="00B56BE0"/>
    <w:rsid w:val="00B60060"/>
    <w:rsid w:val="00B60361"/>
    <w:rsid w:val="00B60538"/>
    <w:rsid w:val="00B608E3"/>
    <w:rsid w:val="00B60D25"/>
    <w:rsid w:val="00B61399"/>
    <w:rsid w:val="00B620B1"/>
    <w:rsid w:val="00B62870"/>
    <w:rsid w:val="00B631A4"/>
    <w:rsid w:val="00B63AB3"/>
    <w:rsid w:val="00B64430"/>
    <w:rsid w:val="00B64CF5"/>
    <w:rsid w:val="00B65FB5"/>
    <w:rsid w:val="00B663D4"/>
    <w:rsid w:val="00B66693"/>
    <w:rsid w:val="00B67C51"/>
    <w:rsid w:val="00B7019A"/>
    <w:rsid w:val="00B706AE"/>
    <w:rsid w:val="00B70B2B"/>
    <w:rsid w:val="00B70C8E"/>
    <w:rsid w:val="00B714E6"/>
    <w:rsid w:val="00B71E76"/>
    <w:rsid w:val="00B729CB"/>
    <w:rsid w:val="00B74A84"/>
    <w:rsid w:val="00B75ADB"/>
    <w:rsid w:val="00B76FAA"/>
    <w:rsid w:val="00B81AE2"/>
    <w:rsid w:val="00B828BE"/>
    <w:rsid w:val="00B82FC2"/>
    <w:rsid w:val="00B83831"/>
    <w:rsid w:val="00B84765"/>
    <w:rsid w:val="00B849E3"/>
    <w:rsid w:val="00B85F00"/>
    <w:rsid w:val="00B90BE1"/>
    <w:rsid w:val="00B92A20"/>
    <w:rsid w:val="00B92E26"/>
    <w:rsid w:val="00B92F8C"/>
    <w:rsid w:val="00B940EA"/>
    <w:rsid w:val="00B941D9"/>
    <w:rsid w:val="00B95E58"/>
    <w:rsid w:val="00B9631F"/>
    <w:rsid w:val="00B965EA"/>
    <w:rsid w:val="00B974BE"/>
    <w:rsid w:val="00BA003E"/>
    <w:rsid w:val="00BA04AA"/>
    <w:rsid w:val="00BA0612"/>
    <w:rsid w:val="00BA07AE"/>
    <w:rsid w:val="00BA0F89"/>
    <w:rsid w:val="00BA1C58"/>
    <w:rsid w:val="00BA1F73"/>
    <w:rsid w:val="00BA207F"/>
    <w:rsid w:val="00BA2DB9"/>
    <w:rsid w:val="00BA4351"/>
    <w:rsid w:val="00BA488D"/>
    <w:rsid w:val="00BA5EEE"/>
    <w:rsid w:val="00BA6887"/>
    <w:rsid w:val="00BA71D2"/>
    <w:rsid w:val="00BA73EA"/>
    <w:rsid w:val="00BA7565"/>
    <w:rsid w:val="00BA7584"/>
    <w:rsid w:val="00BA797B"/>
    <w:rsid w:val="00BA7CD4"/>
    <w:rsid w:val="00BB0515"/>
    <w:rsid w:val="00BB0AA7"/>
    <w:rsid w:val="00BB0BAD"/>
    <w:rsid w:val="00BB2610"/>
    <w:rsid w:val="00BB2826"/>
    <w:rsid w:val="00BB3331"/>
    <w:rsid w:val="00BB4F76"/>
    <w:rsid w:val="00BB5BE3"/>
    <w:rsid w:val="00BB7325"/>
    <w:rsid w:val="00BB74C5"/>
    <w:rsid w:val="00BC24CC"/>
    <w:rsid w:val="00BC3D25"/>
    <w:rsid w:val="00BC53E9"/>
    <w:rsid w:val="00BC5EB3"/>
    <w:rsid w:val="00BC5ED6"/>
    <w:rsid w:val="00BC6213"/>
    <w:rsid w:val="00BC69B2"/>
    <w:rsid w:val="00BC73A4"/>
    <w:rsid w:val="00BC778F"/>
    <w:rsid w:val="00BC7F67"/>
    <w:rsid w:val="00BD0DB8"/>
    <w:rsid w:val="00BD146D"/>
    <w:rsid w:val="00BD1F33"/>
    <w:rsid w:val="00BD25EE"/>
    <w:rsid w:val="00BD2B29"/>
    <w:rsid w:val="00BD3331"/>
    <w:rsid w:val="00BD3667"/>
    <w:rsid w:val="00BD466A"/>
    <w:rsid w:val="00BD4F0D"/>
    <w:rsid w:val="00BD6234"/>
    <w:rsid w:val="00BD7282"/>
    <w:rsid w:val="00BD7752"/>
    <w:rsid w:val="00BE1713"/>
    <w:rsid w:val="00BE1895"/>
    <w:rsid w:val="00BE2DE6"/>
    <w:rsid w:val="00BE30BE"/>
    <w:rsid w:val="00BE5040"/>
    <w:rsid w:val="00BE5D06"/>
    <w:rsid w:val="00BE5E6F"/>
    <w:rsid w:val="00BE6E55"/>
    <w:rsid w:val="00BE7148"/>
    <w:rsid w:val="00BE7E13"/>
    <w:rsid w:val="00BF07C3"/>
    <w:rsid w:val="00BF07F0"/>
    <w:rsid w:val="00BF0BE1"/>
    <w:rsid w:val="00BF0CFB"/>
    <w:rsid w:val="00BF12AA"/>
    <w:rsid w:val="00BF15ED"/>
    <w:rsid w:val="00BF1A5C"/>
    <w:rsid w:val="00BF2A64"/>
    <w:rsid w:val="00BF2B77"/>
    <w:rsid w:val="00BF2F56"/>
    <w:rsid w:val="00BF3E4C"/>
    <w:rsid w:val="00BF41F0"/>
    <w:rsid w:val="00BF4F32"/>
    <w:rsid w:val="00BF5DF2"/>
    <w:rsid w:val="00BF6BD8"/>
    <w:rsid w:val="00BF70D2"/>
    <w:rsid w:val="00C000BC"/>
    <w:rsid w:val="00C00151"/>
    <w:rsid w:val="00C004A2"/>
    <w:rsid w:val="00C00753"/>
    <w:rsid w:val="00C027B8"/>
    <w:rsid w:val="00C02DAA"/>
    <w:rsid w:val="00C03C1B"/>
    <w:rsid w:val="00C04025"/>
    <w:rsid w:val="00C043A8"/>
    <w:rsid w:val="00C04635"/>
    <w:rsid w:val="00C05659"/>
    <w:rsid w:val="00C06564"/>
    <w:rsid w:val="00C065C8"/>
    <w:rsid w:val="00C06B80"/>
    <w:rsid w:val="00C0701C"/>
    <w:rsid w:val="00C0723E"/>
    <w:rsid w:val="00C075E1"/>
    <w:rsid w:val="00C07A89"/>
    <w:rsid w:val="00C103D9"/>
    <w:rsid w:val="00C10C49"/>
    <w:rsid w:val="00C10EBE"/>
    <w:rsid w:val="00C11228"/>
    <w:rsid w:val="00C11251"/>
    <w:rsid w:val="00C11C8E"/>
    <w:rsid w:val="00C12B68"/>
    <w:rsid w:val="00C12B6C"/>
    <w:rsid w:val="00C12FE9"/>
    <w:rsid w:val="00C15833"/>
    <w:rsid w:val="00C15905"/>
    <w:rsid w:val="00C15D76"/>
    <w:rsid w:val="00C16FED"/>
    <w:rsid w:val="00C20089"/>
    <w:rsid w:val="00C20581"/>
    <w:rsid w:val="00C20801"/>
    <w:rsid w:val="00C210E6"/>
    <w:rsid w:val="00C2291A"/>
    <w:rsid w:val="00C2309D"/>
    <w:rsid w:val="00C23ACD"/>
    <w:rsid w:val="00C244E2"/>
    <w:rsid w:val="00C2524E"/>
    <w:rsid w:val="00C2576C"/>
    <w:rsid w:val="00C2627B"/>
    <w:rsid w:val="00C2726E"/>
    <w:rsid w:val="00C302FD"/>
    <w:rsid w:val="00C3057F"/>
    <w:rsid w:val="00C3182F"/>
    <w:rsid w:val="00C318B0"/>
    <w:rsid w:val="00C31A75"/>
    <w:rsid w:val="00C32121"/>
    <w:rsid w:val="00C330B6"/>
    <w:rsid w:val="00C33B23"/>
    <w:rsid w:val="00C349E7"/>
    <w:rsid w:val="00C34DCD"/>
    <w:rsid w:val="00C34E67"/>
    <w:rsid w:val="00C35346"/>
    <w:rsid w:val="00C36CF7"/>
    <w:rsid w:val="00C40005"/>
    <w:rsid w:val="00C409AE"/>
    <w:rsid w:val="00C40ACF"/>
    <w:rsid w:val="00C415EE"/>
    <w:rsid w:val="00C42A71"/>
    <w:rsid w:val="00C42DE3"/>
    <w:rsid w:val="00C4316C"/>
    <w:rsid w:val="00C43171"/>
    <w:rsid w:val="00C44827"/>
    <w:rsid w:val="00C44BEE"/>
    <w:rsid w:val="00C473B1"/>
    <w:rsid w:val="00C50A65"/>
    <w:rsid w:val="00C51116"/>
    <w:rsid w:val="00C51740"/>
    <w:rsid w:val="00C51FFE"/>
    <w:rsid w:val="00C52E58"/>
    <w:rsid w:val="00C53503"/>
    <w:rsid w:val="00C53A45"/>
    <w:rsid w:val="00C53CD6"/>
    <w:rsid w:val="00C53F9E"/>
    <w:rsid w:val="00C55250"/>
    <w:rsid w:val="00C56BA3"/>
    <w:rsid w:val="00C57001"/>
    <w:rsid w:val="00C57179"/>
    <w:rsid w:val="00C573C4"/>
    <w:rsid w:val="00C61368"/>
    <w:rsid w:val="00C6193D"/>
    <w:rsid w:val="00C62DCE"/>
    <w:rsid w:val="00C637E9"/>
    <w:rsid w:val="00C63868"/>
    <w:rsid w:val="00C64BE2"/>
    <w:rsid w:val="00C64D89"/>
    <w:rsid w:val="00C6550E"/>
    <w:rsid w:val="00C658EE"/>
    <w:rsid w:val="00C65A0B"/>
    <w:rsid w:val="00C65A93"/>
    <w:rsid w:val="00C667A4"/>
    <w:rsid w:val="00C67C88"/>
    <w:rsid w:val="00C71823"/>
    <w:rsid w:val="00C71C4E"/>
    <w:rsid w:val="00C73AE4"/>
    <w:rsid w:val="00C73E95"/>
    <w:rsid w:val="00C74945"/>
    <w:rsid w:val="00C7545E"/>
    <w:rsid w:val="00C75585"/>
    <w:rsid w:val="00C75929"/>
    <w:rsid w:val="00C80A96"/>
    <w:rsid w:val="00C80FE0"/>
    <w:rsid w:val="00C81591"/>
    <w:rsid w:val="00C819E4"/>
    <w:rsid w:val="00C82E90"/>
    <w:rsid w:val="00C8378A"/>
    <w:rsid w:val="00C83954"/>
    <w:rsid w:val="00C845F2"/>
    <w:rsid w:val="00C84CD7"/>
    <w:rsid w:val="00C85EE6"/>
    <w:rsid w:val="00C90C69"/>
    <w:rsid w:val="00C93A64"/>
    <w:rsid w:val="00C9537C"/>
    <w:rsid w:val="00C96162"/>
    <w:rsid w:val="00C9714D"/>
    <w:rsid w:val="00C97A68"/>
    <w:rsid w:val="00CA08D3"/>
    <w:rsid w:val="00CA0969"/>
    <w:rsid w:val="00CA0C00"/>
    <w:rsid w:val="00CA145E"/>
    <w:rsid w:val="00CA2EC4"/>
    <w:rsid w:val="00CA3552"/>
    <w:rsid w:val="00CA41D7"/>
    <w:rsid w:val="00CA4D3B"/>
    <w:rsid w:val="00CA59C0"/>
    <w:rsid w:val="00CA5AB1"/>
    <w:rsid w:val="00CA5E56"/>
    <w:rsid w:val="00CA666D"/>
    <w:rsid w:val="00CA73A1"/>
    <w:rsid w:val="00CA7FCD"/>
    <w:rsid w:val="00CB178D"/>
    <w:rsid w:val="00CB1B07"/>
    <w:rsid w:val="00CB3140"/>
    <w:rsid w:val="00CB361B"/>
    <w:rsid w:val="00CB3D58"/>
    <w:rsid w:val="00CB64F1"/>
    <w:rsid w:val="00CC1B4D"/>
    <w:rsid w:val="00CC4602"/>
    <w:rsid w:val="00CC4B9D"/>
    <w:rsid w:val="00CC6AD2"/>
    <w:rsid w:val="00CC7BE3"/>
    <w:rsid w:val="00CD0C26"/>
    <w:rsid w:val="00CD1431"/>
    <w:rsid w:val="00CD16C0"/>
    <w:rsid w:val="00CD199D"/>
    <w:rsid w:val="00CD1B02"/>
    <w:rsid w:val="00CD4746"/>
    <w:rsid w:val="00CD4D3E"/>
    <w:rsid w:val="00CD58AF"/>
    <w:rsid w:val="00CD643E"/>
    <w:rsid w:val="00CE0A62"/>
    <w:rsid w:val="00CE192A"/>
    <w:rsid w:val="00CE1CB4"/>
    <w:rsid w:val="00CE2642"/>
    <w:rsid w:val="00CE2AD6"/>
    <w:rsid w:val="00CE30A9"/>
    <w:rsid w:val="00CE3505"/>
    <w:rsid w:val="00CE3933"/>
    <w:rsid w:val="00CE3A32"/>
    <w:rsid w:val="00CE4A09"/>
    <w:rsid w:val="00CE639A"/>
    <w:rsid w:val="00CE681C"/>
    <w:rsid w:val="00CE702B"/>
    <w:rsid w:val="00CE7322"/>
    <w:rsid w:val="00CE7352"/>
    <w:rsid w:val="00CE7484"/>
    <w:rsid w:val="00CE796D"/>
    <w:rsid w:val="00CE7A2D"/>
    <w:rsid w:val="00CF130B"/>
    <w:rsid w:val="00CF1696"/>
    <w:rsid w:val="00CF16CD"/>
    <w:rsid w:val="00CF1751"/>
    <w:rsid w:val="00CF17B1"/>
    <w:rsid w:val="00CF194E"/>
    <w:rsid w:val="00CF2538"/>
    <w:rsid w:val="00CF4493"/>
    <w:rsid w:val="00CF44C7"/>
    <w:rsid w:val="00CF491B"/>
    <w:rsid w:val="00CF5AE0"/>
    <w:rsid w:val="00CF68C9"/>
    <w:rsid w:val="00CF7430"/>
    <w:rsid w:val="00CF7B21"/>
    <w:rsid w:val="00CF7E4B"/>
    <w:rsid w:val="00D014B6"/>
    <w:rsid w:val="00D024FE"/>
    <w:rsid w:val="00D02545"/>
    <w:rsid w:val="00D0331A"/>
    <w:rsid w:val="00D0585A"/>
    <w:rsid w:val="00D05FB7"/>
    <w:rsid w:val="00D065BF"/>
    <w:rsid w:val="00D067D6"/>
    <w:rsid w:val="00D072F8"/>
    <w:rsid w:val="00D07C04"/>
    <w:rsid w:val="00D07E67"/>
    <w:rsid w:val="00D10883"/>
    <w:rsid w:val="00D11ADE"/>
    <w:rsid w:val="00D12135"/>
    <w:rsid w:val="00D13909"/>
    <w:rsid w:val="00D13F9F"/>
    <w:rsid w:val="00D15A93"/>
    <w:rsid w:val="00D15D8E"/>
    <w:rsid w:val="00D162FC"/>
    <w:rsid w:val="00D16A88"/>
    <w:rsid w:val="00D171FD"/>
    <w:rsid w:val="00D1727B"/>
    <w:rsid w:val="00D2078E"/>
    <w:rsid w:val="00D216C6"/>
    <w:rsid w:val="00D22A8A"/>
    <w:rsid w:val="00D22BB1"/>
    <w:rsid w:val="00D22BDC"/>
    <w:rsid w:val="00D23359"/>
    <w:rsid w:val="00D24948"/>
    <w:rsid w:val="00D25C95"/>
    <w:rsid w:val="00D27C20"/>
    <w:rsid w:val="00D30069"/>
    <w:rsid w:val="00D303C0"/>
    <w:rsid w:val="00D31584"/>
    <w:rsid w:val="00D315DD"/>
    <w:rsid w:val="00D32174"/>
    <w:rsid w:val="00D32427"/>
    <w:rsid w:val="00D33D4D"/>
    <w:rsid w:val="00D34D3C"/>
    <w:rsid w:val="00D35EFE"/>
    <w:rsid w:val="00D367FE"/>
    <w:rsid w:val="00D36FAA"/>
    <w:rsid w:val="00D3710B"/>
    <w:rsid w:val="00D37412"/>
    <w:rsid w:val="00D37D2D"/>
    <w:rsid w:val="00D4120A"/>
    <w:rsid w:val="00D41A8A"/>
    <w:rsid w:val="00D426C7"/>
    <w:rsid w:val="00D43603"/>
    <w:rsid w:val="00D43635"/>
    <w:rsid w:val="00D43AE0"/>
    <w:rsid w:val="00D44267"/>
    <w:rsid w:val="00D4481D"/>
    <w:rsid w:val="00D471C8"/>
    <w:rsid w:val="00D472F7"/>
    <w:rsid w:val="00D4786C"/>
    <w:rsid w:val="00D479AD"/>
    <w:rsid w:val="00D479B8"/>
    <w:rsid w:val="00D47A28"/>
    <w:rsid w:val="00D512A0"/>
    <w:rsid w:val="00D519A6"/>
    <w:rsid w:val="00D53F57"/>
    <w:rsid w:val="00D5747C"/>
    <w:rsid w:val="00D575D9"/>
    <w:rsid w:val="00D57C0D"/>
    <w:rsid w:val="00D6052D"/>
    <w:rsid w:val="00D6073B"/>
    <w:rsid w:val="00D60B88"/>
    <w:rsid w:val="00D620BD"/>
    <w:rsid w:val="00D62CBC"/>
    <w:rsid w:val="00D632C2"/>
    <w:rsid w:val="00D63559"/>
    <w:rsid w:val="00D63A02"/>
    <w:rsid w:val="00D63A72"/>
    <w:rsid w:val="00D6442E"/>
    <w:rsid w:val="00D646B0"/>
    <w:rsid w:val="00D64A4C"/>
    <w:rsid w:val="00D66257"/>
    <w:rsid w:val="00D67115"/>
    <w:rsid w:val="00D70CF5"/>
    <w:rsid w:val="00D7211F"/>
    <w:rsid w:val="00D7236B"/>
    <w:rsid w:val="00D72998"/>
    <w:rsid w:val="00D7421C"/>
    <w:rsid w:val="00D74707"/>
    <w:rsid w:val="00D751E6"/>
    <w:rsid w:val="00D75847"/>
    <w:rsid w:val="00D75914"/>
    <w:rsid w:val="00D75996"/>
    <w:rsid w:val="00D77188"/>
    <w:rsid w:val="00D8031B"/>
    <w:rsid w:val="00D80648"/>
    <w:rsid w:val="00D80C50"/>
    <w:rsid w:val="00D81DB7"/>
    <w:rsid w:val="00D83307"/>
    <w:rsid w:val="00D836A9"/>
    <w:rsid w:val="00D858DF"/>
    <w:rsid w:val="00D87828"/>
    <w:rsid w:val="00D87969"/>
    <w:rsid w:val="00D87A38"/>
    <w:rsid w:val="00D9009B"/>
    <w:rsid w:val="00D90D3C"/>
    <w:rsid w:val="00D90FF2"/>
    <w:rsid w:val="00D91BD8"/>
    <w:rsid w:val="00D91CC6"/>
    <w:rsid w:val="00D930D1"/>
    <w:rsid w:val="00D93513"/>
    <w:rsid w:val="00D96A12"/>
    <w:rsid w:val="00D97114"/>
    <w:rsid w:val="00DA0938"/>
    <w:rsid w:val="00DA1336"/>
    <w:rsid w:val="00DA1C27"/>
    <w:rsid w:val="00DA2736"/>
    <w:rsid w:val="00DA33B4"/>
    <w:rsid w:val="00DA3DED"/>
    <w:rsid w:val="00DA4091"/>
    <w:rsid w:val="00DA4935"/>
    <w:rsid w:val="00DA4E41"/>
    <w:rsid w:val="00DA51A0"/>
    <w:rsid w:val="00DA6574"/>
    <w:rsid w:val="00DA687A"/>
    <w:rsid w:val="00DA69B4"/>
    <w:rsid w:val="00DA69FB"/>
    <w:rsid w:val="00DA6F70"/>
    <w:rsid w:val="00DA7DC6"/>
    <w:rsid w:val="00DB1E18"/>
    <w:rsid w:val="00DB2441"/>
    <w:rsid w:val="00DB2703"/>
    <w:rsid w:val="00DB461D"/>
    <w:rsid w:val="00DB4651"/>
    <w:rsid w:val="00DB4842"/>
    <w:rsid w:val="00DB5199"/>
    <w:rsid w:val="00DB5828"/>
    <w:rsid w:val="00DB58EE"/>
    <w:rsid w:val="00DB5FF7"/>
    <w:rsid w:val="00DB63BC"/>
    <w:rsid w:val="00DB65A8"/>
    <w:rsid w:val="00DB6BB0"/>
    <w:rsid w:val="00DB6F1E"/>
    <w:rsid w:val="00DB72A9"/>
    <w:rsid w:val="00DB7342"/>
    <w:rsid w:val="00DC110D"/>
    <w:rsid w:val="00DC2C0F"/>
    <w:rsid w:val="00DC2E8B"/>
    <w:rsid w:val="00DC33D8"/>
    <w:rsid w:val="00DC4437"/>
    <w:rsid w:val="00DC475C"/>
    <w:rsid w:val="00DC4906"/>
    <w:rsid w:val="00DC5CFE"/>
    <w:rsid w:val="00DC684F"/>
    <w:rsid w:val="00DC797F"/>
    <w:rsid w:val="00DC79CF"/>
    <w:rsid w:val="00DD0695"/>
    <w:rsid w:val="00DD09CF"/>
    <w:rsid w:val="00DD0E78"/>
    <w:rsid w:val="00DD30E6"/>
    <w:rsid w:val="00DD3B1D"/>
    <w:rsid w:val="00DD52D1"/>
    <w:rsid w:val="00DD5541"/>
    <w:rsid w:val="00DD5FA3"/>
    <w:rsid w:val="00DD6BA9"/>
    <w:rsid w:val="00DD6DA8"/>
    <w:rsid w:val="00DD7C0F"/>
    <w:rsid w:val="00DE213A"/>
    <w:rsid w:val="00DE315F"/>
    <w:rsid w:val="00DE3EFB"/>
    <w:rsid w:val="00DE4795"/>
    <w:rsid w:val="00DE47BC"/>
    <w:rsid w:val="00DE6E2A"/>
    <w:rsid w:val="00DF0EBA"/>
    <w:rsid w:val="00DF12F7"/>
    <w:rsid w:val="00DF1B98"/>
    <w:rsid w:val="00DF1CB3"/>
    <w:rsid w:val="00DF250C"/>
    <w:rsid w:val="00DF319D"/>
    <w:rsid w:val="00DF39D0"/>
    <w:rsid w:val="00DF58E9"/>
    <w:rsid w:val="00DF59A2"/>
    <w:rsid w:val="00DF5E29"/>
    <w:rsid w:val="00DF6A5A"/>
    <w:rsid w:val="00DF6D8F"/>
    <w:rsid w:val="00DF7B75"/>
    <w:rsid w:val="00E0123E"/>
    <w:rsid w:val="00E01409"/>
    <w:rsid w:val="00E01B52"/>
    <w:rsid w:val="00E01CCD"/>
    <w:rsid w:val="00E03917"/>
    <w:rsid w:val="00E05D64"/>
    <w:rsid w:val="00E05F69"/>
    <w:rsid w:val="00E0649C"/>
    <w:rsid w:val="00E073FF"/>
    <w:rsid w:val="00E10CFE"/>
    <w:rsid w:val="00E129C0"/>
    <w:rsid w:val="00E12B73"/>
    <w:rsid w:val="00E13192"/>
    <w:rsid w:val="00E13200"/>
    <w:rsid w:val="00E13960"/>
    <w:rsid w:val="00E13C6F"/>
    <w:rsid w:val="00E14877"/>
    <w:rsid w:val="00E14BA3"/>
    <w:rsid w:val="00E1647F"/>
    <w:rsid w:val="00E16C06"/>
    <w:rsid w:val="00E173A7"/>
    <w:rsid w:val="00E174A1"/>
    <w:rsid w:val="00E1771F"/>
    <w:rsid w:val="00E21540"/>
    <w:rsid w:val="00E21E75"/>
    <w:rsid w:val="00E225E2"/>
    <w:rsid w:val="00E235C5"/>
    <w:rsid w:val="00E2383C"/>
    <w:rsid w:val="00E23A9B"/>
    <w:rsid w:val="00E23DD2"/>
    <w:rsid w:val="00E2428F"/>
    <w:rsid w:val="00E24626"/>
    <w:rsid w:val="00E24710"/>
    <w:rsid w:val="00E249E2"/>
    <w:rsid w:val="00E24BC1"/>
    <w:rsid w:val="00E25043"/>
    <w:rsid w:val="00E26F98"/>
    <w:rsid w:val="00E27CAF"/>
    <w:rsid w:val="00E3045C"/>
    <w:rsid w:val="00E3300C"/>
    <w:rsid w:val="00E330E4"/>
    <w:rsid w:val="00E33AB8"/>
    <w:rsid w:val="00E33CFF"/>
    <w:rsid w:val="00E3433D"/>
    <w:rsid w:val="00E35324"/>
    <w:rsid w:val="00E35D15"/>
    <w:rsid w:val="00E3674B"/>
    <w:rsid w:val="00E36A10"/>
    <w:rsid w:val="00E404D9"/>
    <w:rsid w:val="00E407F6"/>
    <w:rsid w:val="00E42F14"/>
    <w:rsid w:val="00E432C8"/>
    <w:rsid w:val="00E432D4"/>
    <w:rsid w:val="00E432FD"/>
    <w:rsid w:val="00E43A07"/>
    <w:rsid w:val="00E440FF"/>
    <w:rsid w:val="00E44674"/>
    <w:rsid w:val="00E45589"/>
    <w:rsid w:val="00E4683E"/>
    <w:rsid w:val="00E4708F"/>
    <w:rsid w:val="00E47B13"/>
    <w:rsid w:val="00E53F55"/>
    <w:rsid w:val="00E54957"/>
    <w:rsid w:val="00E55759"/>
    <w:rsid w:val="00E56084"/>
    <w:rsid w:val="00E566EA"/>
    <w:rsid w:val="00E57313"/>
    <w:rsid w:val="00E57C6E"/>
    <w:rsid w:val="00E60CBB"/>
    <w:rsid w:val="00E610AA"/>
    <w:rsid w:val="00E619D9"/>
    <w:rsid w:val="00E61A1E"/>
    <w:rsid w:val="00E6310C"/>
    <w:rsid w:val="00E6493D"/>
    <w:rsid w:val="00E65671"/>
    <w:rsid w:val="00E65EB2"/>
    <w:rsid w:val="00E6606F"/>
    <w:rsid w:val="00E66480"/>
    <w:rsid w:val="00E67829"/>
    <w:rsid w:val="00E67963"/>
    <w:rsid w:val="00E701FA"/>
    <w:rsid w:val="00E708BB"/>
    <w:rsid w:val="00E70D7F"/>
    <w:rsid w:val="00E71CEB"/>
    <w:rsid w:val="00E7327F"/>
    <w:rsid w:val="00E73624"/>
    <w:rsid w:val="00E74DBC"/>
    <w:rsid w:val="00E76234"/>
    <w:rsid w:val="00E766AE"/>
    <w:rsid w:val="00E8018C"/>
    <w:rsid w:val="00E802F9"/>
    <w:rsid w:val="00E826F7"/>
    <w:rsid w:val="00E82F13"/>
    <w:rsid w:val="00E83AEC"/>
    <w:rsid w:val="00E84DA5"/>
    <w:rsid w:val="00E85862"/>
    <w:rsid w:val="00E87B61"/>
    <w:rsid w:val="00E87CCF"/>
    <w:rsid w:val="00E90AA2"/>
    <w:rsid w:val="00E91E73"/>
    <w:rsid w:val="00E9245E"/>
    <w:rsid w:val="00E943C1"/>
    <w:rsid w:val="00E94E37"/>
    <w:rsid w:val="00E962DD"/>
    <w:rsid w:val="00EA23D7"/>
    <w:rsid w:val="00EA2E48"/>
    <w:rsid w:val="00EA382C"/>
    <w:rsid w:val="00EA4B57"/>
    <w:rsid w:val="00EA4B86"/>
    <w:rsid w:val="00EA5065"/>
    <w:rsid w:val="00EA52CD"/>
    <w:rsid w:val="00EA5E96"/>
    <w:rsid w:val="00EA630A"/>
    <w:rsid w:val="00EA64FF"/>
    <w:rsid w:val="00EA6F96"/>
    <w:rsid w:val="00EA7EFD"/>
    <w:rsid w:val="00EB0400"/>
    <w:rsid w:val="00EB0C57"/>
    <w:rsid w:val="00EB1610"/>
    <w:rsid w:val="00EB21BF"/>
    <w:rsid w:val="00EB268F"/>
    <w:rsid w:val="00EB2C1D"/>
    <w:rsid w:val="00EB2F2F"/>
    <w:rsid w:val="00EB447C"/>
    <w:rsid w:val="00EB4713"/>
    <w:rsid w:val="00EB4B54"/>
    <w:rsid w:val="00EB5A52"/>
    <w:rsid w:val="00EB5AF2"/>
    <w:rsid w:val="00EB6000"/>
    <w:rsid w:val="00EB6486"/>
    <w:rsid w:val="00EB6FA7"/>
    <w:rsid w:val="00EB7386"/>
    <w:rsid w:val="00EB7AD9"/>
    <w:rsid w:val="00EB7B65"/>
    <w:rsid w:val="00EC005B"/>
    <w:rsid w:val="00EC0579"/>
    <w:rsid w:val="00EC08C8"/>
    <w:rsid w:val="00EC0AA4"/>
    <w:rsid w:val="00EC1AB5"/>
    <w:rsid w:val="00EC27E7"/>
    <w:rsid w:val="00EC4252"/>
    <w:rsid w:val="00EC44FA"/>
    <w:rsid w:val="00ED0197"/>
    <w:rsid w:val="00ED1205"/>
    <w:rsid w:val="00ED2560"/>
    <w:rsid w:val="00ED30A8"/>
    <w:rsid w:val="00ED34C6"/>
    <w:rsid w:val="00ED4020"/>
    <w:rsid w:val="00ED4A35"/>
    <w:rsid w:val="00ED4E5D"/>
    <w:rsid w:val="00ED5172"/>
    <w:rsid w:val="00ED59DE"/>
    <w:rsid w:val="00ED676D"/>
    <w:rsid w:val="00ED6A92"/>
    <w:rsid w:val="00ED6B3F"/>
    <w:rsid w:val="00ED7640"/>
    <w:rsid w:val="00EE10BB"/>
    <w:rsid w:val="00EE15C1"/>
    <w:rsid w:val="00EE31F0"/>
    <w:rsid w:val="00EE3834"/>
    <w:rsid w:val="00EE42E8"/>
    <w:rsid w:val="00EE4A5F"/>
    <w:rsid w:val="00EE4D24"/>
    <w:rsid w:val="00EE64DA"/>
    <w:rsid w:val="00EE68D1"/>
    <w:rsid w:val="00EE6AE7"/>
    <w:rsid w:val="00EE7015"/>
    <w:rsid w:val="00EF129D"/>
    <w:rsid w:val="00EF1CCF"/>
    <w:rsid w:val="00EF1DAA"/>
    <w:rsid w:val="00EF271E"/>
    <w:rsid w:val="00EF3213"/>
    <w:rsid w:val="00EF3459"/>
    <w:rsid w:val="00EF3AC3"/>
    <w:rsid w:val="00EF3C2C"/>
    <w:rsid w:val="00EF4A91"/>
    <w:rsid w:val="00EF5648"/>
    <w:rsid w:val="00EF5B17"/>
    <w:rsid w:val="00EF6CFB"/>
    <w:rsid w:val="00EF7871"/>
    <w:rsid w:val="00F02A10"/>
    <w:rsid w:val="00F04183"/>
    <w:rsid w:val="00F04578"/>
    <w:rsid w:val="00F04D5D"/>
    <w:rsid w:val="00F073F5"/>
    <w:rsid w:val="00F077AD"/>
    <w:rsid w:val="00F10381"/>
    <w:rsid w:val="00F1043F"/>
    <w:rsid w:val="00F14163"/>
    <w:rsid w:val="00F153C3"/>
    <w:rsid w:val="00F1549D"/>
    <w:rsid w:val="00F16527"/>
    <w:rsid w:val="00F16BF5"/>
    <w:rsid w:val="00F17758"/>
    <w:rsid w:val="00F20C72"/>
    <w:rsid w:val="00F21F16"/>
    <w:rsid w:val="00F22401"/>
    <w:rsid w:val="00F228CC"/>
    <w:rsid w:val="00F22D97"/>
    <w:rsid w:val="00F231B7"/>
    <w:rsid w:val="00F242BD"/>
    <w:rsid w:val="00F24B3B"/>
    <w:rsid w:val="00F25F73"/>
    <w:rsid w:val="00F2634F"/>
    <w:rsid w:val="00F26A28"/>
    <w:rsid w:val="00F26A34"/>
    <w:rsid w:val="00F27915"/>
    <w:rsid w:val="00F279C6"/>
    <w:rsid w:val="00F30908"/>
    <w:rsid w:val="00F30D1B"/>
    <w:rsid w:val="00F30E0C"/>
    <w:rsid w:val="00F30E55"/>
    <w:rsid w:val="00F313A7"/>
    <w:rsid w:val="00F3164D"/>
    <w:rsid w:val="00F31B87"/>
    <w:rsid w:val="00F31BEE"/>
    <w:rsid w:val="00F3258C"/>
    <w:rsid w:val="00F32B8D"/>
    <w:rsid w:val="00F3530E"/>
    <w:rsid w:val="00F358D8"/>
    <w:rsid w:val="00F35945"/>
    <w:rsid w:val="00F3651B"/>
    <w:rsid w:val="00F36B46"/>
    <w:rsid w:val="00F37BB6"/>
    <w:rsid w:val="00F37D32"/>
    <w:rsid w:val="00F37F55"/>
    <w:rsid w:val="00F40830"/>
    <w:rsid w:val="00F41D0C"/>
    <w:rsid w:val="00F423C1"/>
    <w:rsid w:val="00F43338"/>
    <w:rsid w:val="00F43E59"/>
    <w:rsid w:val="00F4401B"/>
    <w:rsid w:val="00F44EE3"/>
    <w:rsid w:val="00F4505F"/>
    <w:rsid w:val="00F453A1"/>
    <w:rsid w:val="00F46660"/>
    <w:rsid w:val="00F46AD6"/>
    <w:rsid w:val="00F46F96"/>
    <w:rsid w:val="00F50DBE"/>
    <w:rsid w:val="00F51317"/>
    <w:rsid w:val="00F5226E"/>
    <w:rsid w:val="00F524BC"/>
    <w:rsid w:val="00F53662"/>
    <w:rsid w:val="00F554D4"/>
    <w:rsid w:val="00F5560F"/>
    <w:rsid w:val="00F5563C"/>
    <w:rsid w:val="00F573C6"/>
    <w:rsid w:val="00F57D75"/>
    <w:rsid w:val="00F60084"/>
    <w:rsid w:val="00F6032B"/>
    <w:rsid w:val="00F606E8"/>
    <w:rsid w:val="00F60D83"/>
    <w:rsid w:val="00F6109C"/>
    <w:rsid w:val="00F61186"/>
    <w:rsid w:val="00F632A8"/>
    <w:rsid w:val="00F635C6"/>
    <w:rsid w:val="00F636C8"/>
    <w:rsid w:val="00F6454E"/>
    <w:rsid w:val="00F64F62"/>
    <w:rsid w:val="00F658C5"/>
    <w:rsid w:val="00F663AE"/>
    <w:rsid w:val="00F70447"/>
    <w:rsid w:val="00F71BCE"/>
    <w:rsid w:val="00F7242E"/>
    <w:rsid w:val="00F725FC"/>
    <w:rsid w:val="00F73142"/>
    <w:rsid w:val="00F732E7"/>
    <w:rsid w:val="00F738AC"/>
    <w:rsid w:val="00F746B2"/>
    <w:rsid w:val="00F74722"/>
    <w:rsid w:val="00F74DB6"/>
    <w:rsid w:val="00F74EB2"/>
    <w:rsid w:val="00F75D10"/>
    <w:rsid w:val="00F7731A"/>
    <w:rsid w:val="00F81C3D"/>
    <w:rsid w:val="00F821A1"/>
    <w:rsid w:val="00F82C68"/>
    <w:rsid w:val="00F836CF"/>
    <w:rsid w:val="00F84118"/>
    <w:rsid w:val="00F8430F"/>
    <w:rsid w:val="00F84333"/>
    <w:rsid w:val="00F84906"/>
    <w:rsid w:val="00F84DAF"/>
    <w:rsid w:val="00F84F9F"/>
    <w:rsid w:val="00F8557F"/>
    <w:rsid w:val="00F85669"/>
    <w:rsid w:val="00F910C2"/>
    <w:rsid w:val="00F91523"/>
    <w:rsid w:val="00F918F0"/>
    <w:rsid w:val="00F9263F"/>
    <w:rsid w:val="00F93639"/>
    <w:rsid w:val="00F93FF8"/>
    <w:rsid w:val="00F94701"/>
    <w:rsid w:val="00F9514E"/>
    <w:rsid w:val="00F952AE"/>
    <w:rsid w:val="00F957D4"/>
    <w:rsid w:val="00F97BB5"/>
    <w:rsid w:val="00FA0888"/>
    <w:rsid w:val="00FA2A8A"/>
    <w:rsid w:val="00FA304A"/>
    <w:rsid w:val="00FA4700"/>
    <w:rsid w:val="00FA47F3"/>
    <w:rsid w:val="00FA576D"/>
    <w:rsid w:val="00FA5B53"/>
    <w:rsid w:val="00FA60E1"/>
    <w:rsid w:val="00FA693A"/>
    <w:rsid w:val="00FA6D88"/>
    <w:rsid w:val="00FB050A"/>
    <w:rsid w:val="00FB159C"/>
    <w:rsid w:val="00FB1A7E"/>
    <w:rsid w:val="00FB2653"/>
    <w:rsid w:val="00FB2905"/>
    <w:rsid w:val="00FB4095"/>
    <w:rsid w:val="00FB42E2"/>
    <w:rsid w:val="00FB5118"/>
    <w:rsid w:val="00FB53A5"/>
    <w:rsid w:val="00FB5473"/>
    <w:rsid w:val="00FB5D5E"/>
    <w:rsid w:val="00FB5D61"/>
    <w:rsid w:val="00FC05FB"/>
    <w:rsid w:val="00FC143A"/>
    <w:rsid w:val="00FC16D8"/>
    <w:rsid w:val="00FC1863"/>
    <w:rsid w:val="00FC1891"/>
    <w:rsid w:val="00FC273B"/>
    <w:rsid w:val="00FC28A3"/>
    <w:rsid w:val="00FC2989"/>
    <w:rsid w:val="00FC29F4"/>
    <w:rsid w:val="00FC46D7"/>
    <w:rsid w:val="00FC4756"/>
    <w:rsid w:val="00FC486B"/>
    <w:rsid w:val="00FC54EA"/>
    <w:rsid w:val="00FC6DDC"/>
    <w:rsid w:val="00FC7C3E"/>
    <w:rsid w:val="00FD0624"/>
    <w:rsid w:val="00FD212C"/>
    <w:rsid w:val="00FD2B26"/>
    <w:rsid w:val="00FD2F0F"/>
    <w:rsid w:val="00FD2FAC"/>
    <w:rsid w:val="00FD3053"/>
    <w:rsid w:val="00FD37CA"/>
    <w:rsid w:val="00FD54DC"/>
    <w:rsid w:val="00FD5A2A"/>
    <w:rsid w:val="00FD6362"/>
    <w:rsid w:val="00FD6640"/>
    <w:rsid w:val="00FD70FA"/>
    <w:rsid w:val="00FD7339"/>
    <w:rsid w:val="00FD7AA2"/>
    <w:rsid w:val="00FE148C"/>
    <w:rsid w:val="00FE196F"/>
    <w:rsid w:val="00FE1A7A"/>
    <w:rsid w:val="00FE24C2"/>
    <w:rsid w:val="00FE2836"/>
    <w:rsid w:val="00FE2EFB"/>
    <w:rsid w:val="00FE2FA8"/>
    <w:rsid w:val="00FE3EC6"/>
    <w:rsid w:val="00FE4344"/>
    <w:rsid w:val="00FE4677"/>
    <w:rsid w:val="00FE4923"/>
    <w:rsid w:val="00FE6959"/>
    <w:rsid w:val="00FE6AB8"/>
    <w:rsid w:val="00FE6BCB"/>
    <w:rsid w:val="00FE6C71"/>
    <w:rsid w:val="00FE70AC"/>
    <w:rsid w:val="00FE729D"/>
    <w:rsid w:val="00FE74AE"/>
    <w:rsid w:val="00FE7626"/>
    <w:rsid w:val="00FE7B9D"/>
    <w:rsid w:val="00FE7DC9"/>
    <w:rsid w:val="00FE7E0A"/>
    <w:rsid w:val="00FE7FF0"/>
    <w:rsid w:val="00FF0B45"/>
    <w:rsid w:val="00FF1D8F"/>
    <w:rsid w:val="00FF2C4A"/>
    <w:rsid w:val="00FF2EA1"/>
    <w:rsid w:val="00FF32F3"/>
    <w:rsid w:val="00FF4654"/>
    <w:rsid w:val="00FF4B7B"/>
    <w:rsid w:val="00FF4BEF"/>
    <w:rsid w:val="00FF74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E6398"/>
  <w15:docId w15:val="{27E4F77F-997F-427A-80A5-2FD4DC0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CB"/>
    <w:pPr>
      <w:spacing w:before="120" w:after="120" w:line="240" w:lineRule="auto"/>
    </w:pPr>
    <w:rPr>
      <w:rFonts w:ascii="Arial" w:eastAsia="Times New Roman" w:hAnsi="Arial" w:cs="Times New Roman"/>
      <w:spacing w:val="4"/>
      <w:sz w:val="20"/>
      <w:szCs w:val="24"/>
      <w:lang w:eastAsia="en-AU"/>
    </w:rPr>
  </w:style>
  <w:style w:type="paragraph" w:styleId="Heading1">
    <w:name w:val="heading 1"/>
    <w:basedOn w:val="Normal"/>
    <w:next w:val="Normal"/>
    <w:link w:val="Heading1Char"/>
    <w:uiPriority w:val="99"/>
    <w:qFormat/>
    <w:rsid w:val="00D632C2"/>
    <w:pPr>
      <w:pageBreakBefore/>
      <w:numPr>
        <w:numId w:val="21"/>
      </w:numPr>
      <w:spacing w:before="360"/>
      <w:ind w:left="431" w:hanging="431"/>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9"/>
    <w:unhideWhenUsed/>
    <w:qFormat/>
    <w:rsid w:val="00DF7B75"/>
    <w:pPr>
      <w:keepNext/>
      <w:numPr>
        <w:ilvl w:val="1"/>
        <w:numId w:val="21"/>
      </w:numPr>
      <w:spacing w:before="240"/>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9"/>
    <w:unhideWhenUsed/>
    <w:qFormat/>
    <w:rsid w:val="002B3CC6"/>
    <w:pPr>
      <w:numPr>
        <w:ilvl w:val="2"/>
        <w:numId w:val="21"/>
      </w:numPr>
      <w:spacing w:before="200" w:after="0" w:line="271" w:lineRule="auto"/>
      <w:outlineLvl w:val="2"/>
    </w:pPr>
    <w:rPr>
      <w:rFonts w:ascii="Georgia" w:eastAsiaTheme="majorEastAsia" w:hAnsi="Georgia" w:cstheme="majorBidi"/>
      <w:bCs/>
      <w:sz w:val="28"/>
    </w:rPr>
  </w:style>
  <w:style w:type="paragraph" w:styleId="Heading4">
    <w:name w:val="heading 4"/>
    <w:aliases w:val="h4"/>
    <w:basedOn w:val="Normal"/>
    <w:next w:val="Normal"/>
    <w:link w:val="Heading4Char"/>
    <w:uiPriority w:val="99"/>
    <w:unhideWhenUsed/>
    <w:qFormat/>
    <w:rsid w:val="0054713E"/>
    <w:pPr>
      <w:numPr>
        <w:ilvl w:val="3"/>
        <w:numId w:val="2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qFormat/>
    <w:rsid w:val="0054713E"/>
    <w:pPr>
      <w:numPr>
        <w:ilvl w:val="4"/>
        <w:numId w:val="21"/>
      </w:numPr>
      <w:spacing w:before="200" w:after="0"/>
      <w:outlineLvl w:val="4"/>
    </w:pPr>
    <w:rPr>
      <w:rFonts w:eastAsiaTheme="majorEastAsia" w:cstheme="majorBidi"/>
      <w:bCs/>
    </w:rPr>
  </w:style>
  <w:style w:type="paragraph" w:styleId="Heading6">
    <w:name w:val="heading 6"/>
    <w:basedOn w:val="Normal"/>
    <w:next w:val="Normal"/>
    <w:link w:val="Heading6Char"/>
    <w:uiPriority w:val="99"/>
    <w:unhideWhenUsed/>
    <w:qFormat/>
    <w:rsid w:val="0054713E"/>
    <w:pPr>
      <w:numPr>
        <w:ilvl w:val="5"/>
        <w:numId w:val="21"/>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9"/>
    <w:unhideWhenUsed/>
    <w:qFormat/>
    <w:rsid w:val="004D7443"/>
    <w:pPr>
      <w:numPr>
        <w:ilvl w:val="6"/>
        <w:numId w:val="21"/>
      </w:numPr>
      <w:outlineLvl w:val="6"/>
    </w:pPr>
    <w:rPr>
      <w:rFonts w:eastAsiaTheme="majorEastAsia" w:cstheme="majorBidi"/>
      <w:iCs/>
    </w:rPr>
  </w:style>
  <w:style w:type="paragraph" w:styleId="Heading8">
    <w:name w:val="heading 8"/>
    <w:basedOn w:val="Normal"/>
    <w:next w:val="Normal"/>
    <w:link w:val="Heading8Char"/>
    <w:uiPriority w:val="99"/>
    <w:unhideWhenUsed/>
    <w:qFormat/>
    <w:rsid w:val="004B54CA"/>
    <w:pPr>
      <w:numPr>
        <w:ilvl w:val="7"/>
        <w:numId w:val="21"/>
      </w:numPr>
      <w:spacing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4713E"/>
    <w:pPr>
      <w:numPr>
        <w:ilvl w:val="8"/>
        <w:numId w:val="21"/>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2C2"/>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99"/>
    <w:rsid w:val="00DF7B75"/>
    <w:rPr>
      <w:rFonts w:ascii="Georgia" w:eastAsiaTheme="majorEastAsia" w:hAnsi="Georgia" w:cstheme="majorBidi"/>
      <w:bCs/>
      <w:color w:val="005A70"/>
      <w:spacing w:val="4"/>
      <w:sz w:val="32"/>
      <w:szCs w:val="26"/>
      <w:lang w:eastAsia="en-AU"/>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9"/>
    <w:rsid w:val="002B3CC6"/>
    <w:rPr>
      <w:rFonts w:ascii="Georgia" w:eastAsiaTheme="majorEastAsia" w:hAnsi="Georgia" w:cstheme="majorBidi"/>
      <w:bCs/>
      <w:spacing w:val="4"/>
      <w:sz w:val="28"/>
      <w:szCs w:val="24"/>
      <w:lang w:eastAsia="en-AU"/>
    </w:rPr>
  </w:style>
  <w:style w:type="character" w:customStyle="1" w:styleId="Heading4Char">
    <w:name w:val="Heading 4 Char"/>
    <w:aliases w:val="h4 Char"/>
    <w:basedOn w:val="DefaultParagraphFont"/>
    <w:link w:val="Heading4"/>
    <w:uiPriority w:val="99"/>
    <w:rsid w:val="0054713E"/>
    <w:rPr>
      <w:rFonts w:ascii="Arial" w:eastAsiaTheme="majorEastAsia" w:hAnsi="Arial" w:cstheme="majorBidi"/>
      <w:b/>
      <w:bCs/>
      <w:iCs/>
      <w:spacing w:val="4"/>
      <w:sz w:val="20"/>
      <w:szCs w:val="24"/>
      <w:lang w:eastAsia="en-AU"/>
    </w:rPr>
  </w:style>
  <w:style w:type="character" w:customStyle="1" w:styleId="Heading5Char">
    <w:name w:val="Heading 5 Char"/>
    <w:basedOn w:val="DefaultParagraphFont"/>
    <w:link w:val="Heading5"/>
    <w:uiPriority w:val="99"/>
    <w:rsid w:val="0054713E"/>
    <w:rPr>
      <w:rFonts w:ascii="Arial" w:eastAsiaTheme="majorEastAsia" w:hAnsi="Arial" w:cstheme="majorBidi"/>
      <w:bCs/>
      <w:spacing w:val="4"/>
      <w:sz w:val="20"/>
      <w:szCs w:val="24"/>
      <w:lang w:eastAsia="en-AU"/>
    </w:rPr>
  </w:style>
  <w:style w:type="character" w:customStyle="1" w:styleId="Heading6Char">
    <w:name w:val="Heading 6 Char"/>
    <w:basedOn w:val="DefaultParagraphFont"/>
    <w:link w:val="Heading6"/>
    <w:uiPriority w:val="99"/>
    <w:rsid w:val="0054713E"/>
    <w:rPr>
      <w:rFonts w:ascii="Arial" w:eastAsiaTheme="majorEastAsia" w:hAnsi="Arial" w:cstheme="majorBidi"/>
      <w:bCs/>
      <w:iCs/>
      <w:spacing w:val="4"/>
      <w:sz w:val="20"/>
      <w:szCs w:val="24"/>
      <w:lang w:eastAsia="en-AU"/>
    </w:rPr>
  </w:style>
  <w:style w:type="character" w:customStyle="1" w:styleId="Heading7Char">
    <w:name w:val="Heading 7 Char"/>
    <w:basedOn w:val="DefaultParagraphFont"/>
    <w:link w:val="Heading7"/>
    <w:uiPriority w:val="99"/>
    <w:rsid w:val="004D7443"/>
    <w:rPr>
      <w:rFonts w:ascii="Arial" w:eastAsiaTheme="majorEastAsia" w:hAnsi="Arial" w:cstheme="majorBidi"/>
      <w:iCs/>
      <w:spacing w:val="4"/>
      <w:sz w:val="20"/>
      <w:szCs w:val="24"/>
      <w:lang w:eastAsia="en-AU"/>
    </w:rPr>
  </w:style>
  <w:style w:type="character" w:customStyle="1" w:styleId="Heading8Char">
    <w:name w:val="Heading 8 Char"/>
    <w:basedOn w:val="DefaultParagraphFont"/>
    <w:link w:val="Heading8"/>
    <w:uiPriority w:val="99"/>
    <w:rsid w:val="004B54CA"/>
    <w:rPr>
      <w:rFonts w:ascii="Arial" w:eastAsiaTheme="majorEastAsia" w:hAnsi="Arial" w:cstheme="majorBidi"/>
      <w:spacing w:val="4"/>
      <w:sz w:val="20"/>
      <w:szCs w:val="20"/>
      <w:lang w:eastAsia="en-AU"/>
    </w:rPr>
  </w:style>
  <w:style w:type="character" w:customStyle="1" w:styleId="Heading9Char">
    <w:name w:val="Heading 9 Char"/>
    <w:basedOn w:val="DefaultParagraphFont"/>
    <w:link w:val="Heading9"/>
    <w:uiPriority w:val="99"/>
    <w:rsid w:val="0054713E"/>
    <w:rPr>
      <w:rFonts w:ascii="Arial" w:eastAsiaTheme="majorEastAsia" w:hAnsi="Arial" w:cstheme="majorBidi"/>
      <w:iCs/>
      <w:spacing w:val="5"/>
      <w:sz w:val="20"/>
      <w:szCs w:val="20"/>
      <w:lang w:eastAsia="en-AU"/>
    </w:rPr>
  </w:style>
  <w:style w:type="paragraph" w:styleId="Title">
    <w:name w:val="Title"/>
    <w:basedOn w:val="Normal"/>
    <w:next w:val="Normal"/>
    <w:link w:val="TitleChar"/>
    <w:uiPriority w:val="10"/>
    <w:qFormat/>
    <w:rsid w:val="001F512D"/>
    <w:pPr>
      <w:spacing w:before="1440"/>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11"/>
    <w:qFormat/>
    <w:rsid w:val="001F512D"/>
    <w:pPr>
      <w:spacing w:before="240" w:after="600"/>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11"/>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Recommendation,List Paragraph1,SAP Subpara,List Paragraph11,L,Bullet point,List Paragraph111,F5 List Paragraph,Dot pt,CV text,Table text,Medium Grid 1 - Accent 21,Numbered Paragraph,List Paragraph2,NFP GP Bulleted List,列出段"/>
    <w:basedOn w:val="Normal"/>
    <w:link w:val="ListParagraphChar"/>
    <w:uiPriority w:val="34"/>
    <w:qFormat/>
    <w:rsid w:val="00E173A7"/>
    <w:pPr>
      <w:numPr>
        <w:numId w:val="22"/>
      </w:numPr>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TableofAuthorities">
    <w:name w:val="table of authorities"/>
    <w:basedOn w:val="Normal"/>
    <w:next w:val="Normal"/>
    <w:uiPriority w:val="99"/>
    <w:unhideWhenUsed/>
    <w:rsid w:val="00781B94"/>
    <w:pPr>
      <w:spacing w:after="0"/>
      <w:ind w:left="200" w:hanging="200"/>
    </w:p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ListParagraph"/>
    <w:uiPriority w:val="1"/>
    <w:qFormat/>
    <w:rsid w:val="00187113"/>
  </w:style>
  <w:style w:type="character" w:styleId="UnresolvedMention">
    <w:name w:val="Unresolved Mention"/>
    <w:basedOn w:val="DefaultParagraphFont"/>
    <w:uiPriority w:val="99"/>
    <w:semiHidden/>
    <w:unhideWhenUsed/>
    <w:rsid w:val="00781B94"/>
    <w:rPr>
      <w:color w:val="605E5C"/>
      <w:shd w:val="clear" w:color="auto" w:fill="E1DFDD"/>
    </w:rPr>
  </w:style>
  <w:style w:type="paragraph" w:styleId="TableofFigures">
    <w:name w:val="table of figures"/>
    <w:basedOn w:val="Normal"/>
    <w:next w:val="Normal"/>
    <w:uiPriority w:val="99"/>
    <w:unhideWhenUsed/>
    <w:rsid w:val="00781B94"/>
    <w:pPr>
      <w:spacing w:before="0" w:after="60"/>
    </w:pPr>
    <w:rPr>
      <w:rFonts w:asciiTheme="minorHAnsi" w:hAnsiTheme="minorHAnsi" w:cstheme="minorHAnsi"/>
      <w:bCs/>
      <w:iCs/>
      <w:szCs w:val="20"/>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pPr>
    <w:rPr>
      <w:rFonts w:ascii="Times New Roman" w:hAnsi="Times New Roman"/>
    </w:rPr>
  </w:style>
  <w:style w:type="paragraph" w:styleId="TOC1">
    <w:name w:val="toc 1"/>
    <w:basedOn w:val="Normal"/>
    <w:next w:val="Normal"/>
    <w:autoRedefine/>
    <w:uiPriority w:val="39"/>
    <w:unhideWhenUsed/>
    <w:qFormat/>
    <w:rsid w:val="00DF7B75"/>
    <w:pPr>
      <w:tabs>
        <w:tab w:val="right" w:leader="dot" w:pos="9485"/>
      </w:tabs>
      <w:spacing w:after="0"/>
    </w:pPr>
  </w:style>
  <w:style w:type="paragraph" w:styleId="TOC2">
    <w:name w:val="toc 2"/>
    <w:basedOn w:val="Normal"/>
    <w:next w:val="Normal"/>
    <w:autoRedefine/>
    <w:uiPriority w:val="39"/>
    <w:unhideWhenUsed/>
    <w:qFormat/>
    <w:rsid w:val="00DF7B75"/>
    <w:pPr>
      <w:spacing w:after="0"/>
      <w:ind w:left="198"/>
    </w:pPr>
  </w:style>
  <w:style w:type="paragraph" w:styleId="TOC3">
    <w:name w:val="toc 3"/>
    <w:basedOn w:val="Normal"/>
    <w:next w:val="Normal"/>
    <w:autoRedefine/>
    <w:uiPriority w:val="39"/>
    <w:unhideWhenUsed/>
    <w:qFormat/>
    <w:rsid w:val="000712E7"/>
    <w:pPr>
      <w:tabs>
        <w:tab w:val="left" w:pos="1100"/>
        <w:tab w:val="right" w:leader="dot" w:pos="9485"/>
      </w:tabs>
      <w:spacing w:after="0"/>
      <w:ind w:left="403"/>
    </w:pPr>
    <w:rPr>
      <w:rFonts w:asciiTheme="minorHAnsi" w:eastAsiaTheme="majorEastAsia" w:hAnsiTheme="minorHAnsi" w:cstheme="minorHAnsi"/>
      <w:bCs/>
      <w:noProof/>
      <w:snapToGrid w:val="0"/>
    </w:rPr>
  </w:style>
  <w:style w:type="paragraph" w:customStyle="1" w:styleId="Smalltext">
    <w:name w:val="Small text"/>
    <w:basedOn w:val="Normal"/>
    <w:rsid w:val="0054713E"/>
    <w:pPr>
      <w:spacing w:before="480"/>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18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0"/>
      </w:rPr>
      <w:tblPr/>
      <w:tcPr>
        <w:shd w:val="clear" w:color="auto" w:fill="58267E"/>
      </w:tcPr>
    </w:tblStylePr>
  </w:style>
  <w:style w:type="character" w:styleId="FollowedHyperlink">
    <w:name w:val="FollowedHyperlink"/>
    <w:basedOn w:val="DefaultParagraphFont"/>
    <w:uiPriority w:val="99"/>
    <w:unhideWhenUsed/>
    <w:rsid w:val="0050273B"/>
    <w:rPr>
      <w:color w:val="000000" w:themeColor="followedHyperlink"/>
      <w:u w:val="single"/>
    </w:rPr>
  </w:style>
  <w:style w:type="paragraph" w:styleId="List">
    <w:name w:val="List"/>
    <w:uiPriority w:val="99"/>
    <w:unhideWhenUsed/>
    <w:rsid w:val="007E1C52"/>
    <w:pPr>
      <w:numPr>
        <w:numId w:val="5"/>
      </w:numPr>
      <w:tabs>
        <w:tab w:val="clear" w:pos="1494"/>
      </w:tabs>
      <w:spacing w:after="0" w:line="240" w:lineRule="auto"/>
      <w:ind w:left="482" w:hanging="142"/>
      <w:contextualSpacing/>
    </w:pPr>
    <w:rPr>
      <w:rFonts w:ascii="Arial" w:eastAsia="Times New Roman" w:hAnsi="Arial" w:cs="Times New Roman"/>
      <w:spacing w:val="4"/>
      <w:sz w:val="20"/>
      <w:szCs w:val="20"/>
      <w:lang w:eastAsia="en-AU"/>
    </w:rPr>
  </w:style>
  <w:style w:type="paragraph" w:styleId="List2">
    <w:name w:val="List 2"/>
    <w:basedOn w:val="List"/>
    <w:uiPriority w:val="99"/>
    <w:unhideWhenUsed/>
    <w:rsid w:val="007E1C52"/>
    <w:pPr>
      <w:numPr>
        <w:numId w:val="23"/>
      </w:numPr>
      <w:spacing w:before="120" w:after="120"/>
    </w:pPr>
    <w:rPr>
      <w:b/>
    </w:rPr>
  </w:style>
  <w:style w:type="paragraph" w:styleId="ListContinue">
    <w:name w:val="List Continue"/>
    <w:uiPriority w:val="99"/>
    <w:unhideWhenUsed/>
    <w:rsid w:val="00640569"/>
    <w:pPr>
      <w:numPr>
        <w:numId w:val="26"/>
      </w:numPr>
      <w:spacing w:after="0"/>
    </w:pPr>
    <w:rPr>
      <w:rFonts w:ascii="Arial" w:eastAsia="Times New Roman" w:hAnsi="Arial" w:cs="Times New Roman"/>
      <w:spacing w:val="4"/>
      <w:sz w:val="20"/>
      <w:szCs w:val="24"/>
      <w:lang w:eastAsia="en-AU"/>
    </w:rPr>
  </w:style>
  <w:style w:type="paragraph" w:styleId="ListContinue2">
    <w:name w:val="List Continue 2"/>
    <w:basedOn w:val="Normal"/>
    <w:uiPriority w:val="99"/>
    <w:unhideWhenUsed/>
    <w:rsid w:val="00A25C85"/>
    <w:pPr>
      <w:ind w:left="566"/>
      <w:contextualSpacing/>
    </w:pPr>
  </w:style>
  <w:style w:type="paragraph" w:styleId="Quote">
    <w:name w:val="Quote"/>
    <w:basedOn w:val="Normal"/>
    <w:next w:val="Normal"/>
    <w:link w:val="QuoteChar"/>
    <w:uiPriority w:val="29"/>
    <w:qFormat/>
    <w:rsid w:val="00F453A1"/>
    <w:rPr>
      <w:i/>
      <w:iCs/>
      <w:szCs w:val="20"/>
    </w:rPr>
  </w:style>
  <w:style w:type="character" w:customStyle="1" w:styleId="QuoteChar">
    <w:name w:val="Quote Char"/>
    <w:basedOn w:val="DefaultParagraphFont"/>
    <w:link w:val="Quote"/>
    <w:uiPriority w:val="29"/>
    <w:rsid w:val="00F453A1"/>
    <w:rPr>
      <w:rFonts w:ascii="Arial" w:eastAsia="Times New Roman" w:hAnsi="Arial" w:cs="Times New Roman"/>
      <w:i/>
      <w:iCs/>
      <w:spacing w:val="4"/>
      <w:sz w:val="20"/>
      <w:szCs w:val="20"/>
      <w:lang w:eastAsia="en-AU"/>
    </w:rPr>
  </w:style>
  <w:style w:type="paragraph" w:styleId="IntenseQuote">
    <w:name w:val="Intense Quote"/>
    <w:basedOn w:val="Normal"/>
    <w:next w:val="Normal"/>
    <w:link w:val="IntenseQuoteChar"/>
    <w:uiPriority w:val="30"/>
    <w:qFormat/>
    <w:rsid w:val="00605BA0"/>
    <w:pPr>
      <w:pBdr>
        <w:bottom w:val="single" w:sz="4" w:space="1" w:color="auto"/>
      </w:pBdr>
      <w:spacing w:before="200" w:after="280"/>
      <w:ind w:left="1008" w:right="1152"/>
      <w:jc w:val="both"/>
    </w:pPr>
    <w:rPr>
      <w:b/>
      <w:bCs/>
      <w:i/>
      <w:iCs/>
      <w:spacing w:val="0"/>
      <w:szCs w:val="20"/>
      <w:lang w:eastAsia="en-US"/>
    </w:rPr>
  </w:style>
  <w:style w:type="character" w:customStyle="1" w:styleId="IntenseQuoteChar">
    <w:name w:val="Intense Quote Char"/>
    <w:basedOn w:val="DefaultParagraphFont"/>
    <w:link w:val="IntenseQuote"/>
    <w:uiPriority w:val="30"/>
    <w:rsid w:val="00605BA0"/>
    <w:rPr>
      <w:rFonts w:ascii="Arial" w:eastAsia="Times New Roman" w:hAnsi="Arial" w:cs="Times New Roman"/>
      <w:b/>
      <w:bCs/>
      <w:i/>
      <w:iCs/>
      <w:sz w:val="20"/>
      <w:szCs w:val="20"/>
    </w:rPr>
  </w:style>
  <w:style w:type="character" w:styleId="SubtleReference">
    <w:name w:val="Subtle Reference"/>
    <w:uiPriority w:val="31"/>
    <w:qFormat/>
    <w:rsid w:val="00605BA0"/>
    <w:rPr>
      <w:smallCaps/>
    </w:rPr>
  </w:style>
  <w:style w:type="character" w:styleId="IntenseReference">
    <w:name w:val="Intense Reference"/>
    <w:uiPriority w:val="32"/>
    <w:qFormat/>
    <w:rsid w:val="00605BA0"/>
    <w:rPr>
      <w:smallCaps/>
      <w:spacing w:val="5"/>
      <w:u w:val="single"/>
    </w:rPr>
  </w:style>
  <w:style w:type="character" w:styleId="BookTitle">
    <w:name w:val="Book Title"/>
    <w:uiPriority w:val="33"/>
    <w:qFormat/>
    <w:rsid w:val="00605BA0"/>
    <w:rPr>
      <w:i/>
      <w:iCs/>
      <w:smallCaps/>
      <w:spacing w:val="5"/>
    </w:rPr>
  </w:style>
  <w:style w:type="paragraph" w:styleId="CommentText">
    <w:name w:val="annotation text"/>
    <w:basedOn w:val="Normal"/>
    <w:link w:val="CommentTextChar"/>
    <w:uiPriority w:val="99"/>
    <w:rsid w:val="00605BA0"/>
    <w:pPr>
      <w:spacing w:before="0" w:after="0"/>
    </w:pPr>
    <w:rPr>
      <w:spacing w:val="0"/>
      <w:szCs w:val="20"/>
      <w:lang w:eastAsia="en-US"/>
    </w:rPr>
  </w:style>
  <w:style w:type="character" w:customStyle="1" w:styleId="CommentTextChar">
    <w:name w:val="Comment Text Char"/>
    <w:basedOn w:val="DefaultParagraphFont"/>
    <w:link w:val="CommentText"/>
    <w:uiPriority w:val="99"/>
    <w:rsid w:val="00605BA0"/>
    <w:rPr>
      <w:rFonts w:ascii="Arial" w:eastAsia="Times New Roman" w:hAnsi="Arial" w:cs="Times New Roman"/>
      <w:sz w:val="20"/>
      <w:szCs w:val="20"/>
    </w:rPr>
  </w:style>
  <w:style w:type="table" w:styleId="TableGridLight">
    <w:name w:val="Grid Table Light"/>
    <w:basedOn w:val="TableNormal"/>
    <w:uiPriority w:val="40"/>
    <w:rsid w:val="005E09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pPr>
        <w:wordWrap/>
      </w:pPr>
      <w:rPr>
        <w:rFonts w:ascii="Arial" w:hAnsi="Arial"/>
        <w:b/>
        <w:sz w:val="20"/>
      </w:rPr>
    </w:tblStylePr>
  </w:style>
  <w:style w:type="character" w:styleId="CommentReference">
    <w:name w:val="annotation reference"/>
    <w:uiPriority w:val="99"/>
    <w:rsid w:val="00605BA0"/>
    <w:rPr>
      <w:sz w:val="16"/>
      <w:szCs w:val="16"/>
    </w:rPr>
  </w:style>
  <w:style w:type="paragraph" w:styleId="BodyText">
    <w:name w:val="Body Text"/>
    <w:basedOn w:val="Normal"/>
    <w:link w:val="BodyTextChar"/>
    <w:uiPriority w:val="99"/>
    <w:rsid w:val="00605BA0"/>
    <w:pPr>
      <w:spacing w:before="0"/>
    </w:pPr>
    <w:rPr>
      <w:spacing w:val="0"/>
      <w:szCs w:val="20"/>
      <w:lang w:eastAsia="en-US"/>
    </w:rPr>
  </w:style>
  <w:style w:type="character" w:customStyle="1" w:styleId="BodyTextChar">
    <w:name w:val="Body Text Char"/>
    <w:basedOn w:val="DefaultParagraphFont"/>
    <w:link w:val="BodyText"/>
    <w:uiPriority w:val="99"/>
    <w:rsid w:val="00605BA0"/>
    <w:rPr>
      <w:rFonts w:ascii="Arial" w:eastAsia="Times New Roman" w:hAnsi="Arial" w:cs="Times New Roman"/>
      <w:sz w:val="20"/>
      <w:szCs w:val="20"/>
    </w:rPr>
  </w:style>
  <w:style w:type="paragraph" w:customStyle="1" w:styleId="BulletDot">
    <w:name w:val="Bullet Dot"/>
    <w:basedOn w:val="Normal"/>
    <w:rsid w:val="00605BA0"/>
    <w:pPr>
      <w:keepLines/>
      <w:numPr>
        <w:numId w:val="1"/>
      </w:numPr>
      <w:spacing w:before="0" w:after="0"/>
    </w:pPr>
    <w:rPr>
      <w:spacing w:val="0"/>
      <w:szCs w:val="20"/>
      <w:lang w:eastAsia="en-US"/>
    </w:rPr>
  </w:style>
  <w:style w:type="numbering" w:customStyle="1" w:styleId="NoList1">
    <w:name w:val="No List1"/>
    <w:next w:val="NoList"/>
    <w:uiPriority w:val="99"/>
    <w:semiHidden/>
    <w:unhideWhenUsed/>
    <w:rsid w:val="00605BA0"/>
  </w:style>
  <w:style w:type="paragraph" w:styleId="CommentSubject">
    <w:name w:val="annotation subject"/>
    <w:basedOn w:val="CommentText"/>
    <w:next w:val="CommentText"/>
    <w:link w:val="CommentSubjectChar"/>
    <w:uiPriority w:val="99"/>
    <w:semiHidden/>
    <w:unhideWhenUsed/>
    <w:rsid w:val="00605BA0"/>
    <w:rPr>
      <w:b/>
      <w:bCs/>
    </w:rPr>
  </w:style>
  <w:style w:type="character" w:customStyle="1" w:styleId="CommentSubjectChar">
    <w:name w:val="Comment Subject Char"/>
    <w:basedOn w:val="CommentTextChar"/>
    <w:link w:val="CommentSubject"/>
    <w:uiPriority w:val="99"/>
    <w:semiHidden/>
    <w:rsid w:val="00605BA0"/>
    <w:rPr>
      <w:rFonts w:ascii="Arial" w:eastAsia="Times New Roman" w:hAnsi="Arial" w:cs="Times New Roman"/>
      <w:b/>
      <w:bCs/>
      <w:sz w:val="20"/>
      <w:szCs w:val="20"/>
    </w:rPr>
  </w:style>
  <w:style w:type="paragraph" w:styleId="Revision">
    <w:name w:val="Revision"/>
    <w:hidden/>
    <w:uiPriority w:val="99"/>
    <w:semiHidden/>
    <w:rsid w:val="00605BA0"/>
    <w:pPr>
      <w:spacing w:after="0" w:line="240" w:lineRule="auto"/>
    </w:pPr>
    <w:rPr>
      <w:rFonts w:ascii="Arial" w:eastAsia="Times New Roman" w:hAnsi="Arial" w:cs="Times New Roman"/>
      <w:szCs w:val="20"/>
    </w:rPr>
  </w:style>
  <w:style w:type="paragraph" w:customStyle="1" w:styleId="Default">
    <w:name w:val="Default"/>
    <w:link w:val="DefaultChar"/>
    <w:rsid w:val="00605BA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605BA0"/>
    <w:pPr>
      <w:spacing w:before="0" w:after="0"/>
    </w:pPr>
    <w:rPr>
      <w:rFonts w:ascii="Courier New" w:hAnsi="Courier New" w:cs="Courier New"/>
      <w:spacing w:val="0"/>
      <w:szCs w:val="20"/>
      <w:lang w:eastAsia="en-US"/>
    </w:rPr>
  </w:style>
  <w:style w:type="character" w:customStyle="1" w:styleId="PlainTextChar">
    <w:name w:val="Plain Text Char"/>
    <w:basedOn w:val="DefaultParagraphFont"/>
    <w:link w:val="PlainText"/>
    <w:uiPriority w:val="99"/>
    <w:rsid w:val="00605BA0"/>
    <w:rPr>
      <w:rFonts w:ascii="Courier New" w:eastAsia="Times New Roman" w:hAnsi="Courier New" w:cs="Courier New"/>
      <w:sz w:val="20"/>
      <w:szCs w:val="20"/>
    </w:rPr>
  </w:style>
  <w:style w:type="paragraph" w:customStyle="1" w:styleId="Covertable">
    <w:name w:val="Cover table"/>
    <w:rsid w:val="00605BA0"/>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uiPriority w:val="99"/>
    <w:semiHidden/>
    <w:rsid w:val="00605BA0"/>
    <w:pPr>
      <w:spacing w:before="0" w:after="0"/>
    </w:pPr>
    <w:rPr>
      <w:rFonts w:ascii="Times New Roman" w:hAnsi="Times New Roman"/>
      <w:spacing w:val="0"/>
      <w:szCs w:val="20"/>
      <w:lang w:eastAsia="en-US"/>
    </w:rPr>
  </w:style>
  <w:style w:type="character" w:customStyle="1" w:styleId="FootnoteTextChar">
    <w:name w:val="Footnote Text Char"/>
    <w:basedOn w:val="DefaultParagraphFont"/>
    <w:link w:val="FootnoteText"/>
    <w:uiPriority w:val="99"/>
    <w:semiHidden/>
    <w:rsid w:val="00605BA0"/>
    <w:rPr>
      <w:rFonts w:ascii="Times New Roman" w:eastAsia="Times New Roman" w:hAnsi="Times New Roman" w:cs="Times New Roman"/>
      <w:sz w:val="20"/>
      <w:szCs w:val="20"/>
    </w:rPr>
  </w:style>
  <w:style w:type="character" w:styleId="FootnoteReference">
    <w:name w:val="footnote reference"/>
    <w:uiPriority w:val="99"/>
    <w:semiHidden/>
    <w:rsid w:val="00605BA0"/>
    <w:rPr>
      <w:vertAlign w:val="superscript"/>
    </w:rPr>
  </w:style>
  <w:style w:type="character" w:customStyle="1" w:styleId="Boldblue">
    <w:name w:val="Bold blue"/>
    <w:uiPriority w:val="99"/>
    <w:rsid w:val="00605BA0"/>
    <w:rPr>
      <w:color w:val="4CB3C9"/>
    </w:rPr>
  </w:style>
  <w:style w:type="character" w:customStyle="1" w:styleId="ListParagraphChar">
    <w:name w:val="List Paragraph Char"/>
    <w:aliases w:val="#List Paragraph Char,Recommendation Char,List Paragraph1 Char,SAP Subpara Char,List Paragraph11 Char,L Char,Bullet point Char,List Paragraph111 Char,F5 List Paragraph Char,Dot pt Char,CV text Char,Table text Char,List Paragraph2 Char"/>
    <w:basedOn w:val="DefaultParagraphFont"/>
    <w:link w:val="ListParagraph"/>
    <w:uiPriority w:val="34"/>
    <w:qFormat/>
    <w:rsid w:val="00E173A7"/>
    <w:rPr>
      <w:rFonts w:ascii="Arial" w:eastAsia="Times New Roman" w:hAnsi="Arial" w:cs="Times New Roman"/>
      <w:spacing w:val="4"/>
      <w:sz w:val="20"/>
      <w:szCs w:val="24"/>
      <w:lang w:eastAsia="en-AU"/>
    </w:rPr>
  </w:style>
  <w:style w:type="paragraph" w:customStyle="1" w:styleId="heading4withoutnumbers">
    <w:name w:val="heading 4 without numbers"/>
    <w:basedOn w:val="Heading4"/>
    <w:next w:val="Normal"/>
    <w:qFormat/>
    <w:rsid w:val="00187113"/>
    <w:pPr>
      <w:keepNext/>
      <w:numPr>
        <w:ilvl w:val="0"/>
        <w:numId w:val="0"/>
      </w:numPr>
      <w:spacing w:before="120" w:after="120"/>
    </w:pPr>
    <w:rPr>
      <w:rFonts w:eastAsia="Times New Roman" w:cs="Arial"/>
      <w:b w:val="0"/>
      <w:bCs w:val="0"/>
      <w:iCs w:val="0"/>
      <w:color w:val="005A70" w:themeColor="accent1"/>
      <w:spacing w:val="0"/>
      <w:szCs w:val="20"/>
    </w:rPr>
  </w:style>
  <w:style w:type="paragraph" w:customStyle="1" w:styleId="Heading2withoutnumbering">
    <w:name w:val="Heading 2 without numbering"/>
    <w:basedOn w:val="Heading5"/>
    <w:rsid w:val="007F6041"/>
    <w:pPr>
      <w:numPr>
        <w:ilvl w:val="0"/>
        <w:numId w:val="0"/>
      </w:numPr>
      <w:spacing w:before="120"/>
      <w:outlineLvl w:val="1"/>
    </w:pPr>
    <w:rPr>
      <w:rFonts w:eastAsia="Calibri" w:cs="Arial"/>
      <w:b/>
      <w:bCs w:val="0"/>
      <w:spacing w:val="0"/>
      <w:szCs w:val="20"/>
    </w:rPr>
  </w:style>
  <w:style w:type="paragraph" w:customStyle="1" w:styleId="Heading3withoutnumbering">
    <w:name w:val="Heading 3 without numbering"/>
    <w:basedOn w:val="Heading3"/>
    <w:next w:val="Normal"/>
    <w:qFormat/>
    <w:rsid w:val="00596003"/>
    <w:pPr>
      <w:keepNext/>
      <w:spacing w:before="120" w:after="120" w:line="240" w:lineRule="auto"/>
    </w:pPr>
    <w:rPr>
      <w:rFonts w:ascii="Arial" w:hAnsi="Arial" w:cs="Arial"/>
      <w:b/>
      <w:bCs w:val="0"/>
      <w:spacing w:val="0"/>
      <w:sz w:val="20"/>
      <w:szCs w:val="20"/>
      <w:lang w:eastAsia="en-US"/>
    </w:rPr>
  </w:style>
  <w:style w:type="paragraph" w:styleId="TOC4">
    <w:name w:val="toc 4"/>
    <w:basedOn w:val="Normal"/>
    <w:next w:val="Normal"/>
    <w:autoRedefine/>
    <w:uiPriority w:val="39"/>
    <w:unhideWhenUsed/>
    <w:rsid w:val="00605BA0"/>
    <w:pPr>
      <w:spacing w:before="0" w:after="0"/>
      <w:ind w:left="601"/>
    </w:pPr>
    <w:rPr>
      <w:rFonts w:ascii="Times New Roman" w:hAnsi="Times New Roman"/>
      <w:b/>
      <w:spacing w:val="0"/>
      <w:szCs w:val="20"/>
      <w:lang w:eastAsia="en-US"/>
    </w:rPr>
  </w:style>
  <w:style w:type="paragraph" w:styleId="EndnoteText">
    <w:name w:val="endnote text"/>
    <w:basedOn w:val="Normal"/>
    <w:link w:val="EndnoteTextChar"/>
    <w:uiPriority w:val="99"/>
    <w:semiHidden/>
    <w:unhideWhenUsed/>
    <w:rsid w:val="00605BA0"/>
    <w:pPr>
      <w:spacing w:before="0" w:after="0"/>
    </w:pPr>
    <w:rPr>
      <w:spacing w:val="0"/>
      <w:szCs w:val="20"/>
      <w:lang w:eastAsia="en-US"/>
    </w:rPr>
  </w:style>
  <w:style w:type="character" w:customStyle="1" w:styleId="EndnoteTextChar">
    <w:name w:val="Endnote Text Char"/>
    <w:basedOn w:val="DefaultParagraphFont"/>
    <w:link w:val="EndnoteText"/>
    <w:uiPriority w:val="99"/>
    <w:semiHidden/>
    <w:rsid w:val="00605BA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05BA0"/>
    <w:rPr>
      <w:vertAlign w:val="superscript"/>
    </w:rPr>
  </w:style>
  <w:style w:type="character" w:styleId="PageNumber">
    <w:name w:val="page number"/>
    <w:uiPriority w:val="99"/>
    <w:rsid w:val="00605BA0"/>
    <w:rPr>
      <w:rFonts w:cs="Times New Roman"/>
    </w:rPr>
  </w:style>
  <w:style w:type="character" w:customStyle="1" w:styleId="BodyText1">
    <w:name w:val="Body Text1"/>
    <w:uiPriority w:val="99"/>
    <w:rsid w:val="00605BA0"/>
    <w:rPr>
      <w:rFonts w:ascii="Verdana" w:hAnsi="Verdana"/>
      <w:sz w:val="28"/>
    </w:rPr>
  </w:style>
  <w:style w:type="paragraph" w:customStyle="1" w:styleId="Note">
    <w:name w:val="Note"/>
    <w:basedOn w:val="Normal"/>
    <w:uiPriority w:val="99"/>
    <w:rsid w:val="00605BA0"/>
    <w:pPr>
      <w:spacing w:after="0" w:line="220" w:lineRule="exact"/>
      <w:ind w:left="964"/>
      <w:jc w:val="both"/>
    </w:pPr>
    <w:rPr>
      <w:rFonts w:ascii="Times New Roman" w:hAnsi="Times New Roman"/>
      <w:spacing w:val="0"/>
      <w:szCs w:val="20"/>
      <w:lang w:eastAsia="en-US"/>
    </w:rPr>
  </w:style>
  <w:style w:type="character" w:customStyle="1" w:styleId="DefaultChar">
    <w:name w:val="Default Char"/>
    <w:link w:val="Default"/>
    <w:uiPriority w:val="99"/>
    <w:locked/>
    <w:rsid w:val="00605BA0"/>
    <w:rPr>
      <w:rFonts w:ascii="Arial" w:hAnsi="Arial" w:cs="Arial"/>
      <w:color w:val="000000"/>
      <w:sz w:val="24"/>
      <w:szCs w:val="24"/>
    </w:rPr>
  </w:style>
  <w:style w:type="paragraph" w:customStyle="1" w:styleId="DefinitionTerm">
    <w:name w:val="Definition Term"/>
    <w:basedOn w:val="Normal"/>
    <w:next w:val="Normal"/>
    <w:uiPriority w:val="99"/>
    <w:rsid w:val="00605BA0"/>
    <w:pPr>
      <w:spacing w:before="0" w:after="0"/>
    </w:pPr>
    <w:rPr>
      <w:rFonts w:ascii="Times New Roman" w:hAnsi="Times New Roman"/>
      <w:spacing w:val="0"/>
    </w:rPr>
  </w:style>
  <w:style w:type="paragraph" w:customStyle="1" w:styleId="DefinitionList">
    <w:name w:val="Definition List"/>
    <w:basedOn w:val="Normal"/>
    <w:next w:val="DefinitionTerm"/>
    <w:uiPriority w:val="99"/>
    <w:rsid w:val="00605BA0"/>
    <w:pPr>
      <w:spacing w:before="0" w:after="0"/>
      <w:ind w:left="360"/>
    </w:pPr>
    <w:rPr>
      <w:rFonts w:ascii="Times New Roman" w:hAnsi="Times New Roman"/>
      <w:spacing w:val="0"/>
    </w:rPr>
  </w:style>
  <w:style w:type="paragraph" w:customStyle="1" w:styleId="StyleTCPH2Left0cmHanging125cm">
    <w:name w:val="Style TCP H2 + Left:  0 cm Hanging:  1.25 cm"/>
    <w:basedOn w:val="Normal"/>
    <w:uiPriority w:val="99"/>
    <w:rsid w:val="00781B94"/>
    <w:pPr>
      <w:keepNext/>
      <w:spacing w:before="240" w:after="60" w:line="360" w:lineRule="auto"/>
      <w:ind w:left="709" w:hanging="709"/>
      <w:outlineLvl w:val="1"/>
    </w:pPr>
    <w:rPr>
      <w:rFonts w:ascii="Times New Roman" w:hAnsi="Times New Roman"/>
      <w:b/>
      <w:bCs/>
      <w:color w:val="005A70"/>
      <w:spacing w:val="0"/>
      <w:sz w:val="28"/>
      <w:szCs w:val="20"/>
    </w:rPr>
  </w:style>
  <w:style w:type="paragraph" w:customStyle="1" w:styleId="StyleTCPH2Left0cmHanging125cm1">
    <w:name w:val="Style TCP H2 + Left:  0 cm Hanging:  1.25 cm1"/>
    <w:basedOn w:val="Normal"/>
    <w:uiPriority w:val="99"/>
    <w:rsid w:val="00781B94"/>
    <w:pPr>
      <w:keepNext/>
      <w:spacing w:before="240" w:after="60" w:line="360" w:lineRule="auto"/>
      <w:ind w:left="709" w:hanging="709"/>
      <w:outlineLvl w:val="1"/>
    </w:pPr>
    <w:rPr>
      <w:rFonts w:ascii="Times New Roman" w:hAnsi="Times New Roman"/>
      <w:b/>
      <w:bCs/>
      <w:color w:val="005A70"/>
      <w:spacing w:val="0"/>
      <w:sz w:val="28"/>
      <w:szCs w:val="20"/>
    </w:rPr>
  </w:style>
  <w:style w:type="paragraph" w:customStyle="1" w:styleId="StyleTCPH212ptLeft0cmHanging125cm">
    <w:name w:val="Style TCP H2 + 12 pt Left:  0 cm Hanging:  1.25 cm"/>
    <w:basedOn w:val="Normal"/>
    <w:uiPriority w:val="99"/>
    <w:rsid w:val="00781B94"/>
    <w:pPr>
      <w:keepNext/>
      <w:spacing w:before="240" w:after="60" w:line="360" w:lineRule="auto"/>
      <w:ind w:left="709" w:hanging="709"/>
      <w:outlineLvl w:val="1"/>
    </w:pPr>
    <w:rPr>
      <w:rFonts w:ascii="Times New Roman" w:hAnsi="Times New Roman"/>
      <w:b/>
      <w:bCs/>
      <w:color w:val="005A70"/>
      <w:spacing w:val="0"/>
      <w:sz w:val="24"/>
      <w:szCs w:val="20"/>
    </w:rPr>
  </w:style>
  <w:style w:type="paragraph" w:customStyle="1" w:styleId="DefaultParagraphFontParaChar">
    <w:name w:val="Default Paragraph Font Para Char"/>
    <w:basedOn w:val="Normal"/>
    <w:uiPriority w:val="99"/>
    <w:rsid w:val="00605BA0"/>
    <w:pPr>
      <w:spacing w:before="0" w:after="0"/>
    </w:pPr>
    <w:rPr>
      <w:spacing w:val="0"/>
      <w:sz w:val="22"/>
      <w:szCs w:val="20"/>
      <w:lang w:eastAsia="en-US"/>
    </w:rPr>
  </w:style>
  <w:style w:type="paragraph" w:customStyle="1" w:styleId="NumberBullet1">
    <w:name w:val="Number Bullet 1"/>
    <w:basedOn w:val="Normal"/>
    <w:link w:val="NumberBullet1Char"/>
    <w:uiPriority w:val="99"/>
    <w:rsid w:val="00605BA0"/>
    <w:pPr>
      <w:widowControl w:val="0"/>
      <w:numPr>
        <w:numId w:val="3"/>
      </w:numPr>
      <w:spacing w:line="288" w:lineRule="atLeast"/>
    </w:pPr>
    <w:rPr>
      <w:spacing w:val="0"/>
      <w:sz w:val="22"/>
      <w:szCs w:val="20"/>
      <w:lang w:eastAsia="en-US"/>
    </w:rPr>
  </w:style>
  <w:style w:type="paragraph" w:customStyle="1" w:styleId="NumberBullet2">
    <w:name w:val="Number Bullet 2"/>
    <w:basedOn w:val="Normal"/>
    <w:uiPriority w:val="99"/>
    <w:rsid w:val="00605BA0"/>
    <w:pPr>
      <w:widowControl w:val="0"/>
      <w:numPr>
        <w:ilvl w:val="1"/>
        <w:numId w:val="3"/>
      </w:numPr>
      <w:spacing w:line="288" w:lineRule="atLeast"/>
    </w:pPr>
    <w:rPr>
      <w:spacing w:val="0"/>
      <w:sz w:val="22"/>
      <w:szCs w:val="20"/>
      <w:lang w:eastAsia="en-US"/>
    </w:rPr>
  </w:style>
  <w:style w:type="character" w:customStyle="1" w:styleId="NumberBullet1Char">
    <w:name w:val="Number Bullet 1 Char"/>
    <w:link w:val="NumberBullet1"/>
    <w:uiPriority w:val="99"/>
    <w:locked/>
    <w:rsid w:val="00605BA0"/>
    <w:rPr>
      <w:rFonts w:ascii="Arial" w:eastAsia="Times New Roman" w:hAnsi="Arial" w:cs="Times New Roman"/>
      <w:szCs w:val="20"/>
    </w:rPr>
  </w:style>
  <w:style w:type="paragraph" w:customStyle="1" w:styleId="NumberBullet3">
    <w:name w:val="Number Bullet 3"/>
    <w:basedOn w:val="Normal"/>
    <w:uiPriority w:val="99"/>
    <w:rsid w:val="00605BA0"/>
    <w:pPr>
      <w:widowControl w:val="0"/>
      <w:numPr>
        <w:ilvl w:val="2"/>
        <w:numId w:val="3"/>
      </w:numPr>
      <w:spacing w:line="288" w:lineRule="atLeast"/>
    </w:pPr>
    <w:rPr>
      <w:spacing w:val="0"/>
      <w:sz w:val="22"/>
      <w:szCs w:val="20"/>
      <w:lang w:eastAsia="en-US"/>
    </w:rPr>
  </w:style>
  <w:style w:type="paragraph" w:customStyle="1" w:styleId="Bullet">
    <w:name w:val="Bullet"/>
    <w:basedOn w:val="Normal"/>
    <w:uiPriority w:val="99"/>
    <w:rsid w:val="00605BA0"/>
    <w:pPr>
      <w:numPr>
        <w:numId w:val="4"/>
      </w:numPr>
      <w:spacing w:before="0" w:after="240"/>
    </w:pPr>
    <w:rPr>
      <w:spacing w:val="0"/>
      <w:szCs w:val="20"/>
    </w:rPr>
  </w:style>
  <w:style w:type="paragraph" w:customStyle="1" w:styleId="DoubleDot">
    <w:name w:val="Double Dot"/>
    <w:basedOn w:val="Normal"/>
    <w:uiPriority w:val="99"/>
    <w:rsid w:val="00605BA0"/>
    <w:pPr>
      <w:numPr>
        <w:ilvl w:val="2"/>
        <w:numId w:val="4"/>
      </w:numPr>
      <w:spacing w:before="0" w:after="240"/>
    </w:pPr>
    <w:rPr>
      <w:spacing w:val="0"/>
      <w:szCs w:val="20"/>
    </w:rPr>
  </w:style>
  <w:style w:type="paragraph" w:styleId="BodyTextIndent3">
    <w:name w:val="Body Text Indent 3"/>
    <w:basedOn w:val="Normal"/>
    <w:link w:val="BodyTextIndent3Char"/>
    <w:uiPriority w:val="99"/>
    <w:rsid w:val="00605BA0"/>
    <w:pPr>
      <w:spacing w:before="0"/>
      <w:ind w:left="283"/>
    </w:pPr>
    <w:rPr>
      <w:rFonts w:ascii="Times New Roman" w:hAnsi="Times New Roman"/>
      <w:spacing w:val="0"/>
      <w:sz w:val="16"/>
      <w:szCs w:val="16"/>
      <w:lang w:eastAsia="en-US"/>
    </w:rPr>
  </w:style>
  <w:style w:type="character" w:customStyle="1" w:styleId="BodyTextIndent3Char">
    <w:name w:val="Body Text Indent 3 Char"/>
    <w:basedOn w:val="DefaultParagraphFont"/>
    <w:link w:val="BodyTextIndent3"/>
    <w:uiPriority w:val="99"/>
    <w:rsid w:val="00605BA0"/>
    <w:rPr>
      <w:rFonts w:ascii="Times New Roman" w:eastAsia="Times New Roman" w:hAnsi="Times New Roman" w:cs="Times New Roman"/>
      <w:sz w:val="16"/>
      <w:szCs w:val="16"/>
    </w:rPr>
  </w:style>
  <w:style w:type="paragraph" w:styleId="BodyText2">
    <w:name w:val="Body Text 2"/>
    <w:basedOn w:val="Normal"/>
    <w:link w:val="BodyText2Char"/>
    <w:uiPriority w:val="99"/>
    <w:rsid w:val="00605BA0"/>
    <w:pPr>
      <w:spacing w:before="0" w:line="480" w:lineRule="auto"/>
    </w:pPr>
    <w:rPr>
      <w:rFonts w:ascii="Times New Roman" w:hAnsi="Times New Roman"/>
      <w:spacing w:val="0"/>
      <w:lang w:eastAsia="en-US"/>
    </w:rPr>
  </w:style>
  <w:style w:type="character" w:customStyle="1" w:styleId="BodyText2Char">
    <w:name w:val="Body Text 2 Char"/>
    <w:basedOn w:val="DefaultParagraphFont"/>
    <w:link w:val="BodyText2"/>
    <w:uiPriority w:val="99"/>
    <w:rsid w:val="00605BA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605BA0"/>
    <w:pPr>
      <w:spacing w:before="0"/>
      <w:ind w:left="283"/>
    </w:pPr>
    <w:rPr>
      <w:rFonts w:ascii="Times New Roman" w:hAnsi="Times New Roman"/>
      <w:spacing w:val="0"/>
      <w:lang w:eastAsia="en-US"/>
    </w:rPr>
  </w:style>
  <w:style w:type="character" w:customStyle="1" w:styleId="BodyTextIndentChar">
    <w:name w:val="Body Text Indent Char"/>
    <w:basedOn w:val="DefaultParagraphFont"/>
    <w:link w:val="BodyTextIndent"/>
    <w:uiPriority w:val="99"/>
    <w:rsid w:val="00605BA0"/>
    <w:rPr>
      <w:rFonts w:ascii="Times New Roman" w:eastAsia="Times New Roman" w:hAnsi="Times New Roman" w:cs="Times New Roman"/>
      <w:sz w:val="24"/>
      <w:szCs w:val="24"/>
    </w:rPr>
  </w:style>
  <w:style w:type="paragraph" w:customStyle="1" w:styleId="Guidelines">
    <w:name w:val="Guidelines"/>
    <w:basedOn w:val="Heading3"/>
    <w:rsid w:val="00605BA0"/>
    <w:pPr>
      <w:keepNext/>
      <w:spacing w:before="0" w:line="240" w:lineRule="auto"/>
    </w:pPr>
    <w:rPr>
      <w:rFonts w:ascii="Times New Roman" w:eastAsia="Times New Roman" w:hAnsi="Times New Roman" w:cs="Arial"/>
      <w:i/>
      <w:spacing w:val="0"/>
      <w:sz w:val="24"/>
      <w:szCs w:val="26"/>
      <w:lang w:eastAsia="en-US"/>
    </w:rPr>
  </w:style>
  <w:style w:type="table" w:customStyle="1" w:styleId="DSSDatatablestyle1">
    <w:name w:val="DSS Data table style1"/>
    <w:basedOn w:val="TableNormal"/>
    <w:uiPriority w:val="99"/>
    <w:rsid w:val="00605BA0"/>
    <w:pPr>
      <w:spacing w:after="0" w:line="240" w:lineRule="auto"/>
    </w:pPr>
    <w:rPr>
      <w:rFonts w:ascii="Arial" w:hAnsi="Arial"/>
      <w:sz w:val="24"/>
    </w:rPr>
    <w:tblPr>
      <w:tblStyleRowBandSize w:val="1"/>
      <w:tblInd w:w="113" w:type="dxa"/>
    </w:tblPr>
    <w:tblStylePr w:type="firstRow">
      <w:rPr>
        <w:rFonts w:ascii="Arial" w:hAnsi="Arial"/>
        <w:b/>
        <w:color w:val="FFFFFF"/>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TOC5">
    <w:name w:val="toc 5"/>
    <w:basedOn w:val="Normal"/>
    <w:next w:val="Normal"/>
    <w:autoRedefine/>
    <w:uiPriority w:val="39"/>
    <w:unhideWhenUsed/>
    <w:rsid w:val="00BF41F0"/>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BF41F0"/>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BF41F0"/>
    <w:pPr>
      <w:spacing w:before="0" w:after="100" w:line="259"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BF41F0"/>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BF41F0"/>
    <w:pPr>
      <w:spacing w:before="0" w:after="100" w:line="259" w:lineRule="auto"/>
      <w:ind w:left="1760"/>
    </w:pPr>
    <w:rPr>
      <w:rFonts w:asciiTheme="minorHAnsi" w:eastAsiaTheme="minorEastAsia" w:hAnsiTheme="minorHAnsi" w:cstheme="minorBidi"/>
      <w:spacing w:val="0"/>
      <w:sz w:val="22"/>
      <w:szCs w:val="22"/>
    </w:rPr>
  </w:style>
  <w:style w:type="paragraph" w:styleId="ListNumber">
    <w:name w:val="List Number"/>
    <w:basedOn w:val="Normal"/>
    <w:uiPriority w:val="99"/>
    <w:unhideWhenUsed/>
    <w:rsid w:val="001626CC"/>
    <w:pPr>
      <w:numPr>
        <w:numId w:val="13"/>
      </w:numPr>
      <w:spacing w:before="0" w:after="0"/>
    </w:pPr>
    <w:rPr>
      <w:rFonts w:eastAsiaTheme="minorHAnsi" w:cs="Arial"/>
      <w:spacing w:val="0"/>
      <w:szCs w:val="22"/>
      <w:lang w:val="en-US" w:eastAsia="en-US"/>
    </w:rPr>
  </w:style>
  <w:style w:type="paragraph" w:styleId="ListNumber2">
    <w:name w:val="List Number 2"/>
    <w:basedOn w:val="Normal"/>
    <w:uiPriority w:val="99"/>
    <w:semiHidden/>
    <w:unhideWhenUsed/>
    <w:rsid w:val="00CF7B21"/>
    <w:pPr>
      <w:numPr>
        <w:ilvl w:val="1"/>
        <w:numId w:val="13"/>
      </w:numPr>
      <w:spacing w:before="0" w:after="200" w:line="276" w:lineRule="auto"/>
    </w:pPr>
    <w:rPr>
      <w:rFonts w:eastAsiaTheme="minorHAnsi" w:cs="Arial"/>
      <w:spacing w:val="0"/>
      <w:sz w:val="22"/>
      <w:szCs w:val="22"/>
      <w:lang w:val="en-US" w:eastAsia="en-US"/>
    </w:rPr>
  </w:style>
  <w:style w:type="paragraph" w:styleId="ListNumber3">
    <w:name w:val="List Number 3"/>
    <w:basedOn w:val="Normal"/>
    <w:uiPriority w:val="99"/>
    <w:semiHidden/>
    <w:unhideWhenUsed/>
    <w:rsid w:val="00CF7B21"/>
    <w:pPr>
      <w:numPr>
        <w:ilvl w:val="2"/>
        <w:numId w:val="13"/>
      </w:numPr>
      <w:spacing w:before="0" w:after="200" w:line="276" w:lineRule="auto"/>
    </w:pPr>
    <w:rPr>
      <w:rFonts w:eastAsiaTheme="minorHAnsi" w:cs="Arial"/>
      <w:spacing w:val="0"/>
      <w:sz w:val="22"/>
      <w:szCs w:val="22"/>
      <w:lang w:val="en-US" w:eastAsia="en-US"/>
    </w:rPr>
  </w:style>
  <w:style w:type="paragraph" w:styleId="ListNumber4">
    <w:name w:val="List Number 4"/>
    <w:basedOn w:val="Normal"/>
    <w:uiPriority w:val="99"/>
    <w:semiHidden/>
    <w:unhideWhenUsed/>
    <w:rsid w:val="00CF7B21"/>
    <w:pPr>
      <w:numPr>
        <w:ilvl w:val="3"/>
        <w:numId w:val="13"/>
      </w:numPr>
      <w:spacing w:before="0" w:after="200" w:line="276" w:lineRule="auto"/>
    </w:pPr>
    <w:rPr>
      <w:rFonts w:eastAsiaTheme="minorHAnsi" w:cs="Arial"/>
      <w:spacing w:val="0"/>
      <w:sz w:val="22"/>
      <w:szCs w:val="22"/>
      <w:lang w:val="en-US" w:eastAsia="en-US"/>
    </w:rPr>
  </w:style>
  <w:style w:type="paragraph" w:styleId="ListNumber5">
    <w:name w:val="List Number 5"/>
    <w:basedOn w:val="Normal"/>
    <w:uiPriority w:val="99"/>
    <w:semiHidden/>
    <w:unhideWhenUsed/>
    <w:rsid w:val="00CF7B21"/>
    <w:pPr>
      <w:numPr>
        <w:ilvl w:val="4"/>
        <w:numId w:val="13"/>
      </w:numPr>
      <w:spacing w:before="0" w:after="200" w:line="276" w:lineRule="auto"/>
    </w:pPr>
    <w:rPr>
      <w:rFonts w:eastAsiaTheme="minorHAnsi" w:cs="Arial"/>
      <w:spacing w:val="0"/>
      <w:sz w:val="22"/>
      <w:szCs w:val="22"/>
      <w:lang w:val="en-US" w:eastAsia="en-US"/>
    </w:rPr>
  </w:style>
  <w:style w:type="paragraph" w:customStyle="1" w:styleId="Footnote">
    <w:name w:val="Footnote"/>
    <w:basedOn w:val="FootnoteText"/>
    <w:link w:val="FootnoteChar"/>
    <w:qFormat/>
    <w:rsid w:val="00DF7B75"/>
    <w:pPr>
      <w:contextualSpacing/>
    </w:pPr>
    <w:rPr>
      <w:rFonts w:ascii="Arial" w:hAnsi="Arial"/>
      <w:sz w:val="18"/>
    </w:rPr>
  </w:style>
  <w:style w:type="character" w:customStyle="1" w:styleId="FootnoteChar">
    <w:name w:val="Footnote Char"/>
    <w:basedOn w:val="FootnoteTextChar"/>
    <w:link w:val="Footnote"/>
    <w:rsid w:val="00DF7B75"/>
    <w:rPr>
      <w:rFonts w:ascii="Arial" w:eastAsia="Times New Roman" w:hAnsi="Arial" w:cs="Times New Roman"/>
      <w:sz w:val="18"/>
      <w:szCs w:val="20"/>
    </w:rPr>
  </w:style>
  <w:style w:type="paragraph" w:styleId="ListBullet2">
    <w:name w:val="List Bullet 2"/>
    <w:basedOn w:val="ListBullet"/>
    <w:uiPriority w:val="99"/>
    <w:unhideWhenUsed/>
    <w:qFormat/>
    <w:rsid w:val="00E330E4"/>
    <w:pPr>
      <w:numPr>
        <w:numId w:val="33"/>
      </w:numPr>
      <w:spacing w:before="0" w:after="0"/>
      <w:ind w:left="1355" w:hanging="357"/>
    </w:pPr>
    <w:rPr>
      <w:szCs w:val="20"/>
    </w:rPr>
  </w:style>
  <w:style w:type="character" w:customStyle="1" w:styleId="normaltextrun">
    <w:name w:val="normaltextrun"/>
    <w:basedOn w:val="DefaultParagraphFont"/>
    <w:rsid w:val="00AE4B9D"/>
  </w:style>
  <w:style w:type="character" w:customStyle="1" w:styleId="eop">
    <w:name w:val="eop"/>
    <w:basedOn w:val="DefaultParagraphFont"/>
    <w:rsid w:val="00AE4B9D"/>
  </w:style>
  <w:style w:type="paragraph" w:customStyle="1" w:styleId="paragraph">
    <w:name w:val="paragraph"/>
    <w:basedOn w:val="Normal"/>
    <w:rsid w:val="00AE4B9D"/>
    <w:pPr>
      <w:spacing w:before="100" w:beforeAutospacing="1" w:after="100" w:afterAutospacing="1"/>
    </w:pPr>
    <w:rPr>
      <w:rFonts w:ascii="Times New Roman" w:hAnsi="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0860">
      <w:bodyDiv w:val="1"/>
      <w:marLeft w:val="0"/>
      <w:marRight w:val="0"/>
      <w:marTop w:val="0"/>
      <w:marBottom w:val="0"/>
      <w:divBdr>
        <w:top w:val="none" w:sz="0" w:space="0" w:color="auto"/>
        <w:left w:val="none" w:sz="0" w:space="0" w:color="auto"/>
        <w:bottom w:val="none" w:sz="0" w:space="0" w:color="auto"/>
        <w:right w:val="none" w:sz="0" w:space="0" w:color="auto"/>
      </w:divBdr>
    </w:div>
    <w:div w:id="192614465">
      <w:bodyDiv w:val="1"/>
      <w:marLeft w:val="0"/>
      <w:marRight w:val="0"/>
      <w:marTop w:val="0"/>
      <w:marBottom w:val="0"/>
      <w:divBdr>
        <w:top w:val="none" w:sz="0" w:space="0" w:color="auto"/>
        <w:left w:val="none" w:sz="0" w:space="0" w:color="auto"/>
        <w:bottom w:val="none" w:sz="0" w:space="0" w:color="auto"/>
        <w:right w:val="none" w:sz="0" w:space="0" w:color="auto"/>
      </w:divBdr>
    </w:div>
    <w:div w:id="197741916">
      <w:bodyDiv w:val="1"/>
      <w:marLeft w:val="0"/>
      <w:marRight w:val="0"/>
      <w:marTop w:val="0"/>
      <w:marBottom w:val="0"/>
      <w:divBdr>
        <w:top w:val="none" w:sz="0" w:space="0" w:color="auto"/>
        <w:left w:val="none" w:sz="0" w:space="0" w:color="auto"/>
        <w:bottom w:val="none" w:sz="0" w:space="0" w:color="auto"/>
        <w:right w:val="none" w:sz="0" w:space="0" w:color="auto"/>
      </w:divBdr>
    </w:div>
    <w:div w:id="286084012">
      <w:bodyDiv w:val="1"/>
      <w:marLeft w:val="0"/>
      <w:marRight w:val="0"/>
      <w:marTop w:val="0"/>
      <w:marBottom w:val="0"/>
      <w:divBdr>
        <w:top w:val="none" w:sz="0" w:space="0" w:color="auto"/>
        <w:left w:val="none" w:sz="0" w:space="0" w:color="auto"/>
        <w:bottom w:val="none" w:sz="0" w:space="0" w:color="auto"/>
        <w:right w:val="none" w:sz="0" w:space="0" w:color="auto"/>
      </w:divBdr>
    </w:div>
    <w:div w:id="34302190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0357575">
      <w:bodyDiv w:val="1"/>
      <w:marLeft w:val="0"/>
      <w:marRight w:val="0"/>
      <w:marTop w:val="0"/>
      <w:marBottom w:val="0"/>
      <w:divBdr>
        <w:top w:val="none" w:sz="0" w:space="0" w:color="auto"/>
        <w:left w:val="none" w:sz="0" w:space="0" w:color="auto"/>
        <w:bottom w:val="none" w:sz="0" w:space="0" w:color="auto"/>
        <w:right w:val="none" w:sz="0" w:space="0" w:color="auto"/>
      </w:divBdr>
    </w:div>
    <w:div w:id="534927519">
      <w:bodyDiv w:val="1"/>
      <w:marLeft w:val="0"/>
      <w:marRight w:val="0"/>
      <w:marTop w:val="0"/>
      <w:marBottom w:val="0"/>
      <w:divBdr>
        <w:top w:val="none" w:sz="0" w:space="0" w:color="auto"/>
        <w:left w:val="none" w:sz="0" w:space="0" w:color="auto"/>
        <w:bottom w:val="none" w:sz="0" w:space="0" w:color="auto"/>
        <w:right w:val="none" w:sz="0" w:space="0" w:color="auto"/>
      </w:divBdr>
    </w:div>
    <w:div w:id="647443086">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077449">
      <w:bodyDiv w:val="1"/>
      <w:marLeft w:val="0"/>
      <w:marRight w:val="0"/>
      <w:marTop w:val="0"/>
      <w:marBottom w:val="0"/>
      <w:divBdr>
        <w:top w:val="none" w:sz="0" w:space="0" w:color="auto"/>
        <w:left w:val="none" w:sz="0" w:space="0" w:color="auto"/>
        <w:bottom w:val="none" w:sz="0" w:space="0" w:color="auto"/>
        <w:right w:val="none" w:sz="0" w:space="0" w:color="auto"/>
      </w:divBdr>
    </w:div>
    <w:div w:id="877812399">
      <w:bodyDiv w:val="1"/>
      <w:marLeft w:val="0"/>
      <w:marRight w:val="0"/>
      <w:marTop w:val="0"/>
      <w:marBottom w:val="0"/>
      <w:divBdr>
        <w:top w:val="none" w:sz="0" w:space="0" w:color="auto"/>
        <w:left w:val="none" w:sz="0" w:space="0" w:color="auto"/>
        <w:bottom w:val="none" w:sz="0" w:space="0" w:color="auto"/>
        <w:right w:val="none" w:sz="0" w:space="0" w:color="auto"/>
      </w:divBdr>
    </w:div>
    <w:div w:id="920022657">
      <w:bodyDiv w:val="1"/>
      <w:marLeft w:val="0"/>
      <w:marRight w:val="0"/>
      <w:marTop w:val="0"/>
      <w:marBottom w:val="0"/>
      <w:divBdr>
        <w:top w:val="none" w:sz="0" w:space="0" w:color="auto"/>
        <w:left w:val="none" w:sz="0" w:space="0" w:color="auto"/>
        <w:bottom w:val="none" w:sz="0" w:space="0" w:color="auto"/>
        <w:right w:val="none" w:sz="0" w:space="0" w:color="auto"/>
      </w:divBdr>
    </w:div>
    <w:div w:id="982395357">
      <w:bodyDiv w:val="1"/>
      <w:marLeft w:val="0"/>
      <w:marRight w:val="0"/>
      <w:marTop w:val="0"/>
      <w:marBottom w:val="0"/>
      <w:divBdr>
        <w:top w:val="none" w:sz="0" w:space="0" w:color="auto"/>
        <w:left w:val="none" w:sz="0" w:space="0" w:color="auto"/>
        <w:bottom w:val="none" w:sz="0" w:space="0" w:color="auto"/>
        <w:right w:val="none" w:sz="0" w:space="0" w:color="auto"/>
      </w:divBdr>
    </w:div>
    <w:div w:id="1010761896">
      <w:bodyDiv w:val="1"/>
      <w:marLeft w:val="0"/>
      <w:marRight w:val="0"/>
      <w:marTop w:val="0"/>
      <w:marBottom w:val="0"/>
      <w:divBdr>
        <w:top w:val="none" w:sz="0" w:space="0" w:color="auto"/>
        <w:left w:val="none" w:sz="0" w:space="0" w:color="auto"/>
        <w:bottom w:val="none" w:sz="0" w:space="0" w:color="auto"/>
        <w:right w:val="none" w:sz="0" w:space="0" w:color="auto"/>
      </w:divBdr>
    </w:div>
    <w:div w:id="1029840462">
      <w:bodyDiv w:val="1"/>
      <w:marLeft w:val="0"/>
      <w:marRight w:val="0"/>
      <w:marTop w:val="0"/>
      <w:marBottom w:val="0"/>
      <w:divBdr>
        <w:top w:val="none" w:sz="0" w:space="0" w:color="auto"/>
        <w:left w:val="none" w:sz="0" w:space="0" w:color="auto"/>
        <w:bottom w:val="none" w:sz="0" w:space="0" w:color="auto"/>
        <w:right w:val="none" w:sz="0" w:space="0" w:color="auto"/>
      </w:divBdr>
      <w:divsChild>
        <w:div w:id="542638605">
          <w:marLeft w:val="0"/>
          <w:marRight w:val="0"/>
          <w:marTop w:val="0"/>
          <w:marBottom w:val="0"/>
          <w:divBdr>
            <w:top w:val="none" w:sz="0" w:space="0" w:color="auto"/>
            <w:left w:val="none" w:sz="0" w:space="0" w:color="auto"/>
            <w:bottom w:val="none" w:sz="0" w:space="0" w:color="auto"/>
            <w:right w:val="none" w:sz="0" w:space="0" w:color="auto"/>
          </w:divBdr>
          <w:divsChild>
            <w:div w:id="25522318">
              <w:marLeft w:val="-300"/>
              <w:marRight w:val="0"/>
              <w:marTop w:val="0"/>
              <w:marBottom w:val="0"/>
              <w:divBdr>
                <w:top w:val="none" w:sz="0" w:space="0" w:color="auto"/>
                <w:left w:val="none" w:sz="0" w:space="0" w:color="auto"/>
                <w:bottom w:val="none" w:sz="0" w:space="0" w:color="auto"/>
                <w:right w:val="none" w:sz="0" w:space="0" w:color="auto"/>
              </w:divBdr>
              <w:divsChild>
                <w:div w:id="1200244911">
                  <w:marLeft w:val="0"/>
                  <w:marRight w:val="0"/>
                  <w:marTop w:val="0"/>
                  <w:marBottom w:val="0"/>
                  <w:divBdr>
                    <w:top w:val="none" w:sz="0" w:space="0" w:color="auto"/>
                    <w:left w:val="none" w:sz="0" w:space="0" w:color="auto"/>
                    <w:bottom w:val="none" w:sz="0" w:space="0" w:color="auto"/>
                    <w:right w:val="none" w:sz="0" w:space="0" w:color="auto"/>
                  </w:divBdr>
                  <w:divsChild>
                    <w:div w:id="1550536605">
                      <w:marLeft w:val="0"/>
                      <w:marRight w:val="0"/>
                      <w:marTop w:val="0"/>
                      <w:marBottom w:val="0"/>
                      <w:divBdr>
                        <w:top w:val="none" w:sz="0" w:space="0" w:color="auto"/>
                        <w:left w:val="none" w:sz="0" w:space="0" w:color="auto"/>
                        <w:bottom w:val="none" w:sz="0" w:space="0" w:color="auto"/>
                        <w:right w:val="none" w:sz="0" w:space="0" w:color="auto"/>
                      </w:divBdr>
                      <w:divsChild>
                        <w:div w:id="1954508553">
                          <w:marLeft w:val="0"/>
                          <w:marRight w:val="0"/>
                          <w:marTop w:val="0"/>
                          <w:marBottom w:val="0"/>
                          <w:divBdr>
                            <w:top w:val="none" w:sz="0" w:space="0" w:color="auto"/>
                            <w:left w:val="none" w:sz="0" w:space="0" w:color="auto"/>
                            <w:bottom w:val="none" w:sz="0" w:space="0" w:color="auto"/>
                            <w:right w:val="none" w:sz="0" w:space="0" w:color="auto"/>
                          </w:divBdr>
                          <w:divsChild>
                            <w:div w:id="1795908765">
                              <w:marLeft w:val="0"/>
                              <w:marRight w:val="0"/>
                              <w:marTop w:val="240"/>
                              <w:marBottom w:val="480"/>
                              <w:divBdr>
                                <w:top w:val="none" w:sz="0" w:space="0" w:color="auto"/>
                                <w:left w:val="none" w:sz="0" w:space="0" w:color="auto"/>
                                <w:bottom w:val="none" w:sz="0" w:space="0" w:color="auto"/>
                                <w:right w:val="none" w:sz="0" w:space="0" w:color="auto"/>
                              </w:divBdr>
                              <w:divsChild>
                                <w:div w:id="1092823663">
                                  <w:marLeft w:val="0"/>
                                  <w:marRight w:val="0"/>
                                  <w:marTop w:val="0"/>
                                  <w:marBottom w:val="0"/>
                                  <w:divBdr>
                                    <w:top w:val="none" w:sz="0" w:space="0" w:color="auto"/>
                                    <w:left w:val="none" w:sz="0" w:space="0" w:color="auto"/>
                                    <w:bottom w:val="none" w:sz="0" w:space="0" w:color="auto"/>
                                    <w:right w:val="none" w:sz="0" w:space="0" w:color="auto"/>
                                  </w:divBdr>
                                  <w:divsChild>
                                    <w:div w:id="810639151">
                                      <w:marLeft w:val="0"/>
                                      <w:marRight w:val="0"/>
                                      <w:marTop w:val="240"/>
                                      <w:marBottom w:val="480"/>
                                      <w:divBdr>
                                        <w:top w:val="none" w:sz="0" w:space="0" w:color="auto"/>
                                        <w:left w:val="none" w:sz="0" w:space="0" w:color="auto"/>
                                        <w:bottom w:val="none" w:sz="0" w:space="0" w:color="auto"/>
                                        <w:right w:val="none" w:sz="0" w:space="0" w:color="auto"/>
                                      </w:divBdr>
                                      <w:divsChild>
                                        <w:div w:id="821240395">
                                          <w:marLeft w:val="0"/>
                                          <w:marRight w:val="0"/>
                                          <w:marTop w:val="0"/>
                                          <w:marBottom w:val="0"/>
                                          <w:divBdr>
                                            <w:top w:val="none" w:sz="0" w:space="0" w:color="auto"/>
                                            <w:left w:val="none" w:sz="0" w:space="0" w:color="auto"/>
                                            <w:bottom w:val="none" w:sz="0" w:space="0" w:color="auto"/>
                                            <w:right w:val="none" w:sz="0" w:space="0" w:color="auto"/>
                                          </w:divBdr>
                                          <w:divsChild>
                                            <w:div w:id="1574657298">
                                              <w:marLeft w:val="0"/>
                                              <w:marRight w:val="0"/>
                                              <w:marTop w:val="0"/>
                                              <w:marBottom w:val="0"/>
                                              <w:divBdr>
                                                <w:top w:val="none" w:sz="0" w:space="0" w:color="auto"/>
                                                <w:left w:val="none" w:sz="0" w:space="0" w:color="auto"/>
                                                <w:bottom w:val="none" w:sz="0" w:space="0" w:color="auto"/>
                                                <w:right w:val="none" w:sz="0" w:space="0" w:color="auto"/>
                                              </w:divBdr>
                                              <w:divsChild>
                                                <w:div w:id="699092506">
                                                  <w:marLeft w:val="0"/>
                                                  <w:marRight w:val="0"/>
                                                  <w:marTop w:val="0"/>
                                                  <w:marBottom w:val="0"/>
                                                  <w:divBdr>
                                                    <w:top w:val="none" w:sz="0" w:space="0" w:color="auto"/>
                                                    <w:left w:val="none" w:sz="0" w:space="0" w:color="auto"/>
                                                    <w:bottom w:val="none" w:sz="0" w:space="0" w:color="auto"/>
                                                    <w:right w:val="none" w:sz="0" w:space="0" w:color="auto"/>
                                                  </w:divBdr>
                                                  <w:divsChild>
                                                    <w:div w:id="1575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455787">
      <w:bodyDiv w:val="1"/>
      <w:marLeft w:val="0"/>
      <w:marRight w:val="0"/>
      <w:marTop w:val="0"/>
      <w:marBottom w:val="0"/>
      <w:divBdr>
        <w:top w:val="none" w:sz="0" w:space="0" w:color="auto"/>
        <w:left w:val="none" w:sz="0" w:space="0" w:color="auto"/>
        <w:bottom w:val="none" w:sz="0" w:space="0" w:color="auto"/>
        <w:right w:val="none" w:sz="0" w:space="0" w:color="auto"/>
      </w:divBdr>
    </w:div>
    <w:div w:id="1330400118">
      <w:bodyDiv w:val="1"/>
      <w:marLeft w:val="0"/>
      <w:marRight w:val="0"/>
      <w:marTop w:val="0"/>
      <w:marBottom w:val="0"/>
      <w:divBdr>
        <w:top w:val="none" w:sz="0" w:space="0" w:color="auto"/>
        <w:left w:val="none" w:sz="0" w:space="0" w:color="auto"/>
        <w:bottom w:val="none" w:sz="0" w:space="0" w:color="auto"/>
        <w:right w:val="none" w:sz="0" w:space="0" w:color="auto"/>
      </w:divBdr>
    </w:div>
    <w:div w:id="1431241448">
      <w:bodyDiv w:val="1"/>
      <w:marLeft w:val="0"/>
      <w:marRight w:val="0"/>
      <w:marTop w:val="0"/>
      <w:marBottom w:val="0"/>
      <w:divBdr>
        <w:top w:val="none" w:sz="0" w:space="0" w:color="auto"/>
        <w:left w:val="none" w:sz="0" w:space="0" w:color="auto"/>
        <w:bottom w:val="none" w:sz="0" w:space="0" w:color="auto"/>
        <w:right w:val="none" w:sz="0" w:space="0" w:color="auto"/>
      </w:divBdr>
    </w:div>
    <w:div w:id="152289054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572037869">
      <w:bodyDiv w:val="1"/>
      <w:marLeft w:val="0"/>
      <w:marRight w:val="0"/>
      <w:marTop w:val="0"/>
      <w:marBottom w:val="0"/>
      <w:divBdr>
        <w:top w:val="none" w:sz="0" w:space="0" w:color="auto"/>
        <w:left w:val="none" w:sz="0" w:space="0" w:color="auto"/>
        <w:bottom w:val="none" w:sz="0" w:space="0" w:color="auto"/>
        <w:right w:val="none" w:sz="0" w:space="0" w:color="auto"/>
      </w:divBdr>
      <w:divsChild>
        <w:div w:id="1353847928">
          <w:marLeft w:val="0"/>
          <w:marRight w:val="0"/>
          <w:marTop w:val="0"/>
          <w:marBottom w:val="0"/>
          <w:divBdr>
            <w:top w:val="none" w:sz="0" w:space="0" w:color="auto"/>
            <w:left w:val="none" w:sz="0" w:space="0" w:color="auto"/>
            <w:bottom w:val="none" w:sz="0" w:space="0" w:color="auto"/>
            <w:right w:val="none" w:sz="0" w:space="0" w:color="auto"/>
          </w:divBdr>
          <w:divsChild>
            <w:div w:id="2050833401">
              <w:marLeft w:val="-300"/>
              <w:marRight w:val="0"/>
              <w:marTop w:val="0"/>
              <w:marBottom w:val="0"/>
              <w:divBdr>
                <w:top w:val="none" w:sz="0" w:space="0" w:color="auto"/>
                <w:left w:val="none" w:sz="0" w:space="0" w:color="auto"/>
                <w:bottom w:val="none" w:sz="0" w:space="0" w:color="auto"/>
                <w:right w:val="none" w:sz="0" w:space="0" w:color="auto"/>
              </w:divBdr>
              <w:divsChild>
                <w:div w:id="1047097414">
                  <w:marLeft w:val="0"/>
                  <w:marRight w:val="0"/>
                  <w:marTop w:val="0"/>
                  <w:marBottom w:val="0"/>
                  <w:divBdr>
                    <w:top w:val="none" w:sz="0" w:space="0" w:color="auto"/>
                    <w:left w:val="none" w:sz="0" w:space="0" w:color="auto"/>
                    <w:bottom w:val="none" w:sz="0" w:space="0" w:color="auto"/>
                    <w:right w:val="none" w:sz="0" w:space="0" w:color="auto"/>
                  </w:divBdr>
                </w:div>
                <w:div w:id="1654946134">
                  <w:marLeft w:val="0"/>
                  <w:marRight w:val="0"/>
                  <w:marTop w:val="0"/>
                  <w:marBottom w:val="0"/>
                  <w:divBdr>
                    <w:top w:val="none" w:sz="0" w:space="0" w:color="auto"/>
                    <w:left w:val="none" w:sz="0" w:space="0" w:color="auto"/>
                    <w:bottom w:val="none" w:sz="0" w:space="0" w:color="auto"/>
                    <w:right w:val="none" w:sz="0" w:space="0" w:color="auto"/>
                  </w:divBdr>
                  <w:divsChild>
                    <w:div w:id="789981620">
                      <w:marLeft w:val="0"/>
                      <w:marRight w:val="0"/>
                      <w:marTop w:val="0"/>
                      <w:marBottom w:val="0"/>
                      <w:divBdr>
                        <w:top w:val="none" w:sz="0" w:space="0" w:color="auto"/>
                        <w:left w:val="none" w:sz="0" w:space="0" w:color="auto"/>
                        <w:bottom w:val="none" w:sz="0" w:space="0" w:color="auto"/>
                        <w:right w:val="none" w:sz="0" w:space="0" w:color="auto"/>
                      </w:divBdr>
                      <w:divsChild>
                        <w:div w:id="129859494">
                          <w:marLeft w:val="0"/>
                          <w:marRight w:val="0"/>
                          <w:marTop w:val="0"/>
                          <w:marBottom w:val="0"/>
                          <w:divBdr>
                            <w:top w:val="none" w:sz="0" w:space="0" w:color="auto"/>
                            <w:left w:val="none" w:sz="0" w:space="0" w:color="auto"/>
                            <w:bottom w:val="none" w:sz="0" w:space="0" w:color="auto"/>
                            <w:right w:val="none" w:sz="0" w:space="0" w:color="auto"/>
                          </w:divBdr>
                          <w:divsChild>
                            <w:div w:id="499391997">
                              <w:marLeft w:val="0"/>
                              <w:marRight w:val="0"/>
                              <w:marTop w:val="240"/>
                              <w:marBottom w:val="480"/>
                              <w:divBdr>
                                <w:top w:val="none" w:sz="0" w:space="0" w:color="auto"/>
                                <w:left w:val="none" w:sz="0" w:space="0" w:color="auto"/>
                                <w:bottom w:val="none" w:sz="0" w:space="0" w:color="auto"/>
                                <w:right w:val="none" w:sz="0" w:space="0" w:color="auto"/>
                              </w:divBdr>
                              <w:divsChild>
                                <w:div w:id="1946840382">
                                  <w:marLeft w:val="0"/>
                                  <w:marRight w:val="0"/>
                                  <w:marTop w:val="0"/>
                                  <w:marBottom w:val="0"/>
                                  <w:divBdr>
                                    <w:top w:val="none" w:sz="0" w:space="0" w:color="auto"/>
                                    <w:left w:val="none" w:sz="0" w:space="0" w:color="auto"/>
                                    <w:bottom w:val="none" w:sz="0" w:space="0" w:color="auto"/>
                                    <w:right w:val="none" w:sz="0" w:space="0" w:color="auto"/>
                                  </w:divBdr>
                                  <w:divsChild>
                                    <w:div w:id="820578374">
                                      <w:marLeft w:val="0"/>
                                      <w:marRight w:val="0"/>
                                      <w:marTop w:val="240"/>
                                      <w:marBottom w:val="480"/>
                                      <w:divBdr>
                                        <w:top w:val="none" w:sz="0" w:space="0" w:color="auto"/>
                                        <w:left w:val="none" w:sz="0" w:space="0" w:color="auto"/>
                                        <w:bottom w:val="none" w:sz="0" w:space="0" w:color="auto"/>
                                        <w:right w:val="none" w:sz="0" w:space="0" w:color="auto"/>
                                      </w:divBdr>
                                      <w:divsChild>
                                        <w:div w:id="122500361">
                                          <w:marLeft w:val="0"/>
                                          <w:marRight w:val="0"/>
                                          <w:marTop w:val="0"/>
                                          <w:marBottom w:val="0"/>
                                          <w:divBdr>
                                            <w:top w:val="none" w:sz="0" w:space="0" w:color="auto"/>
                                            <w:left w:val="none" w:sz="0" w:space="0" w:color="auto"/>
                                            <w:bottom w:val="none" w:sz="0" w:space="0" w:color="auto"/>
                                            <w:right w:val="none" w:sz="0" w:space="0" w:color="auto"/>
                                          </w:divBdr>
                                          <w:divsChild>
                                            <w:div w:id="1991903306">
                                              <w:marLeft w:val="0"/>
                                              <w:marRight w:val="0"/>
                                              <w:marTop w:val="0"/>
                                              <w:marBottom w:val="0"/>
                                              <w:divBdr>
                                                <w:top w:val="none" w:sz="0" w:space="0" w:color="auto"/>
                                                <w:left w:val="none" w:sz="0" w:space="0" w:color="auto"/>
                                                <w:bottom w:val="none" w:sz="0" w:space="0" w:color="auto"/>
                                                <w:right w:val="none" w:sz="0" w:space="0" w:color="auto"/>
                                              </w:divBdr>
                                              <w:divsChild>
                                                <w:div w:id="17066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964432">
      <w:bodyDiv w:val="1"/>
      <w:marLeft w:val="0"/>
      <w:marRight w:val="0"/>
      <w:marTop w:val="0"/>
      <w:marBottom w:val="0"/>
      <w:divBdr>
        <w:top w:val="none" w:sz="0" w:space="0" w:color="auto"/>
        <w:left w:val="none" w:sz="0" w:space="0" w:color="auto"/>
        <w:bottom w:val="none" w:sz="0" w:space="0" w:color="auto"/>
        <w:right w:val="none" w:sz="0" w:space="0" w:color="auto"/>
      </w:divBdr>
    </w:div>
    <w:div w:id="1646397835">
      <w:bodyDiv w:val="1"/>
      <w:marLeft w:val="0"/>
      <w:marRight w:val="0"/>
      <w:marTop w:val="0"/>
      <w:marBottom w:val="0"/>
      <w:divBdr>
        <w:top w:val="none" w:sz="0" w:space="0" w:color="auto"/>
        <w:left w:val="none" w:sz="0" w:space="0" w:color="auto"/>
        <w:bottom w:val="none" w:sz="0" w:space="0" w:color="auto"/>
        <w:right w:val="none" w:sz="0" w:space="0" w:color="auto"/>
      </w:divBdr>
    </w:div>
    <w:div w:id="1685672958">
      <w:bodyDiv w:val="1"/>
      <w:marLeft w:val="0"/>
      <w:marRight w:val="0"/>
      <w:marTop w:val="0"/>
      <w:marBottom w:val="0"/>
      <w:divBdr>
        <w:top w:val="none" w:sz="0" w:space="0" w:color="auto"/>
        <w:left w:val="none" w:sz="0" w:space="0" w:color="auto"/>
        <w:bottom w:val="none" w:sz="0" w:space="0" w:color="auto"/>
        <w:right w:val="none" w:sz="0" w:space="0" w:color="auto"/>
      </w:divBdr>
    </w:div>
    <w:div w:id="1712608508">
      <w:bodyDiv w:val="1"/>
      <w:marLeft w:val="0"/>
      <w:marRight w:val="0"/>
      <w:marTop w:val="0"/>
      <w:marBottom w:val="0"/>
      <w:divBdr>
        <w:top w:val="none" w:sz="0" w:space="0" w:color="auto"/>
        <w:left w:val="none" w:sz="0" w:space="0" w:color="auto"/>
        <w:bottom w:val="none" w:sz="0" w:space="0" w:color="auto"/>
        <w:right w:val="none" w:sz="0" w:space="0" w:color="auto"/>
      </w:divBdr>
    </w:div>
    <w:div w:id="1725370615">
      <w:bodyDiv w:val="1"/>
      <w:marLeft w:val="0"/>
      <w:marRight w:val="0"/>
      <w:marTop w:val="0"/>
      <w:marBottom w:val="0"/>
      <w:divBdr>
        <w:top w:val="none" w:sz="0" w:space="0" w:color="auto"/>
        <w:left w:val="none" w:sz="0" w:space="0" w:color="auto"/>
        <w:bottom w:val="none" w:sz="0" w:space="0" w:color="auto"/>
        <w:right w:val="none" w:sz="0" w:space="0" w:color="auto"/>
      </w:divBdr>
    </w:div>
    <w:div w:id="1797992053">
      <w:bodyDiv w:val="1"/>
      <w:marLeft w:val="0"/>
      <w:marRight w:val="0"/>
      <w:marTop w:val="0"/>
      <w:marBottom w:val="0"/>
      <w:divBdr>
        <w:top w:val="none" w:sz="0" w:space="0" w:color="auto"/>
        <w:left w:val="none" w:sz="0" w:space="0" w:color="auto"/>
        <w:bottom w:val="none" w:sz="0" w:space="0" w:color="auto"/>
        <w:right w:val="none" w:sz="0" w:space="0" w:color="auto"/>
      </w:divBdr>
    </w:div>
    <w:div w:id="1818567274">
      <w:bodyDiv w:val="1"/>
      <w:marLeft w:val="0"/>
      <w:marRight w:val="0"/>
      <w:marTop w:val="0"/>
      <w:marBottom w:val="0"/>
      <w:divBdr>
        <w:top w:val="none" w:sz="0" w:space="0" w:color="auto"/>
        <w:left w:val="none" w:sz="0" w:space="0" w:color="auto"/>
        <w:bottom w:val="none" w:sz="0" w:space="0" w:color="auto"/>
        <w:right w:val="none" w:sz="0" w:space="0" w:color="auto"/>
      </w:divBdr>
    </w:div>
    <w:div w:id="1916889118">
      <w:bodyDiv w:val="1"/>
      <w:marLeft w:val="0"/>
      <w:marRight w:val="0"/>
      <w:marTop w:val="0"/>
      <w:marBottom w:val="0"/>
      <w:divBdr>
        <w:top w:val="none" w:sz="0" w:space="0" w:color="auto"/>
        <w:left w:val="none" w:sz="0" w:space="0" w:color="auto"/>
        <w:bottom w:val="none" w:sz="0" w:space="0" w:color="auto"/>
        <w:right w:val="none" w:sz="0" w:space="0" w:color="auto"/>
      </w:divBdr>
    </w:div>
    <w:div w:id="1939867261">
      <w:bodyDiv w:val="1"/>
      <w:marLeft w:val="0"/>
      <w:marRight w:val="0"/>
      <w:marTop w:val="0"/>
      <w:marBottom w:val="0"/>
      <w:divBdr>
        <w:top w:val="none" w:sz="0" w:space="0" w:color="auto"/>
        <w:left w:val="none" w:sz="0" w:space="0" w:color="auto"/>
        <w:bottom w:val="none" w:sz="0" w:space="0" w:color="auto"/>
        <w:right w:val="none" w:sz="0" w:space="0" w:color="auto"/>
      </w:divBdr>
    </w:div>
    <w:div w:id="2001152732">
      <w:bodyDiv w:val="1"/>
      <w:marLeft w:val="0"/>
      <w:marRight w:val="0"/>
      <w:marTop w:val="0"/>
      <w:marBottom w:val="0"/>
      <w:divBdr>
        <w:top w:val="none" w:sz="0" w:space="0" w:color="auto"/>
        <w:left w:val="none" w:sz="0" w:space="0" w:color="auto"/>
        <w:bottom w:val="none" w:sz="0" w:space="0" w:color="auto"/>
        <w:right w:val="none" w:sz="0" w:space="0" w:color="auto"/>
      </w:divBdr>
    </w:div>
    <w:div w:id="2087072664">
      <w:bodyDiv w:val="1"/>
      <w:marLeft w:val="0"/>
      <w:marRight w:val="0"/>
      <w:marTop w:val="0"/>
      <w:marBottom w:val="0"/>
      <w:divBdr>
        <w:top w:val="none" w:sz="0" w:space="0" w:color="auto"/>
        <w:left w:val="none" w:sz="0" w:space="0" w:color="auto"/>
        <w:bottom w:val="none" w:sz="0" w:space="0" w:color="auto"/>
        <w:right w:val="none" w:sz="0" w:space="0" w:color="auto"/>
      </w:divBdr>
    </w:div>
    <w:div w:id="2103989299">
      <w:bodyDiv w:val="1"/>
      <w:marLeft w:val="0"/>
      <w:marRight w:val="0"/>
      <w:marTop w:val="0"/>
      <w:marBottom w:val="0"/>
      <w:divBdr>
        <w:top w:val="none" w:sz="0" w:space="0" w:color="auto"/>
        <w:left w:val="none" w:sz="0" w:space="0" w:color="auto"/>
        <w:bottom w:val="none" w:sz="0" w:space="0" w:color="auto"/>
        <w:right w:val="none" w:sz="0" w:space="0" w:color="auto"/>
      </w:divBdr>
    </w:div>
    <w:div w:id="21152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CP@health.gov.au" TargetMode="External"/><Relationship Id="rId26" Type="http://schemas.openxmlformats.org/officeDocument/2006/relationships/hyperlink" Target="https://www.health.gov.au/resources/publications/my-aged-care-assessment-manual" TargetMode="External"/><Relationship Id="rId39" Type="http://schemas.openxmlformats.org/officeDocument/2006/relationships/hyperlink" Target="mailto:sirs@agedcarequality.gov.au" TargetMode="External"/><Relationship Id="rId21" Type="http://schemas.openxmlformats.org/officeDocument/2006/relationships/hyperlink" Target="http://www.health.gov.au/initiatives-and-programs/translating-and-interpreting-service-for-aged-care-service-providers" TargetMode="External"/><Relationship Id="rId34" Type="http://schemas.openxmlformats.org/officeDocument/2006/relationships/hyperlink" Target="https://opan.org.au/" TargetMode="External"/><Relationship Id="rId42" Type="http://schemas.openxmlformats.org/officeDocument/2006/relationships/hyperlink" Target="https://www.health.gov.au/resources/collections/my-aged-care-service-provider-portal-resources" TargetMode="External"/><Relationship Id="rId47" Type="http://schemas.openxmlformats.org/officeDocument/2006/relationships/hyperlink" Target="https://www.legislation.gov.au/Details/F2020C00096" TargetMode="External"/><Relationship Id="rId50" Type="http://schemas.openxmlformats.org/officeDocument/2006/relationships/hyperlink" Target="https://www.agedcarequality.gov.au/providers/notifying-material-changes-approved-providers" TargetMode="External"/><Relationship Id="rId55" Type="http://schemas.openxmlformats.org/officeDocument/2006/relationships/hyperlink" Target="https://www.agedcarequality.gov.au/sites/default/files/media/Guidance_%26_Resource_V14.pdf" TargetMode="External"/><Relationship Id="rId63" Type="http://schemas.microsoft.com/office/2007/relationships/diagramDrawing" Target="diagrams/drawing1.xml"/><Relationship Id="rId68" Type="http://schemas.openxmlformats.org/officeDocument/2006/relationships/hyperlink" Target="http://www.opan.com.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thirdparty-2.myac.gov.au/adfs/ls/?wa=wsignin1.0&amp;wtrealm=https%3a%2f%2fmyagedcare-serviceproviderportal.health.gov.au%2f&amp;wctx=rm%3d0%26id%3dpassive%26ru%3d%252f&amp;wct=2022-08-25T23%3a48%3a49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ged.care.liaison@servicesaustralia.gov.au" TargetMode="External"/><Relationship Id="rId32" Type="http://schemas.openxmlformats.org/officeDocument/2006/relationships/hyperlink" Target="https://opan.org.au/" TargetMode="External"/><Relationship Id="rId37" Type="http://schemas.openxmlformats.org/officeDocument/2006/relationships/hyperlink" Target="https://www.legislation.gov.au/Series/F2014L00875" TargetMode="External"/><Relationship Id="rId40" Type="http://schemas.openxmlformats.org/officeDocument/2006/relationships/hyperlink" Target="http://www.agedcarequality.gov.au/" TargetMode="External"/><Relationship Id="rId45" Type="http://schemas.openxmlformats.org/officeDocument/2006/relationships/hyperlink" Target="https://www.agedcarequality.gov.au/sirs" TargetMode="External"/><Relationship Id="rId53" Type="http://schemas.openxmlformats.org/officeDocument/2006/relationships/hyperlink" Target="https://www.health.gov.au/resources/publications/my-aged-care-provider-portal-user-guide-part-1-administrator-functions" TargetMode="External"/><Relationship Id="rId58" Type="http://schemas.openxmlformats.org/officeDocument/2006/relationships/hyperlink" Target="mailto:info@agedcarequality.gov.au" TargetMode="External"/><Relationship Id="rId66" Type="http://schemas.openxmlformats.org/officeDocument/2006/relationships/hyperlink" Target="https://www.health.gov.au/resources/publications/my-aged-care-assessment-manual?language=en"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servicesaustralia.gov.au/organisations/health-professionals/services/medicare/aged-care-provider-portal" TargetMode="External"/><Relationship Id="rId28" Type="http://schemas.openxmlformats.org/officeDocument/2006/relationships/hyperlink" Target="https://www.health.gov.au/initiatives-and-programs/home-care-packages-program/managing-home-care-packages/temporary-leave-from-home-care-packages" TargetMode="External"/><Relationship Id="rId36" Type="http://schemas.openxmlformats.org/officeDocument/2006/relationships/hyperlink" Target="https://www.health.gov.au/resources/publications/schedule-of-fees-and-charges-for-residential-and-home-care" TargetMode="External"/><Relationship Id="rId49" Type="http://schemas.openxmlformats.org/officeDocument/2006/relationships/hyperlink" Target="http://www.servicesaustralia.gov.au/organisations/business/services/proda-provider-digital-access" TargetMode="External"/><Relationship Id="rId57" Type="http://schemas.openxmlformats.org/officeDocument/2006/relationships/hyperlink" Target="https://www.agedcarequality.gov.au/" TargetMode="External"/><Relationship Id="rId61"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health.gov.au/resources/publications/application-to-vary-conditions-of-allocation" TargetMode="External"/><Relationship Id="rId31" Type="http://schemas.openxmlformats.org/officeDocument/2006/relationships/hyperlink" Target="https://www.agedcarequality.gov.au/resources/charter-aged-care-rights-templates-signing" TargetMode="External"/><Relationship Id="rId44" Type="http://schemas.openxmlformats.org/officeDocument/2006/relationships/hyperlink" Target="https://www.agedcarequality.gov.au/consumers/minimising-restrictive-practices" TargetMode="External"/><Relationship Id="rId52" Type="http://schemas.openxmlformats.org/officeDocument/2006/relationships/hyperlink" Target="https://www.servicesaustralia.gov.au/organisations/health-professionals/forms/ac004" TargetMode="External"/><Relationship Id="rId60" Type="http://schemas.openxmlformats.org/officeDocument/2006/relationships/diagramLayout" Target="diagrams/layout1.xm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yagedcare.gov.au/" TargetMode="External"/><Relationship Id="rId27" Type="http://schemas.openxmlformats.org/officeDocument/2006/relationships/hyperlink" Target="https://www.health.gov.au/resources/publications/my-aged-care-assessment-manual" TargetMode="External"/><Relationship Id="rId30" Type="http://schemas.openxmlformats.org/officeDocument/2006/relationships/hyperlink" Target="https://www.agedcarequality.gov.au/providers/provider-information" TargetMode="External"/><Relationship Id="rId35" Type="http://schemas.openxmlformats.org/officeDocument/2006/relationships/hyperlink" Target="https://urldefense.proofpoint.com/v2/url?u=https-3A__www.myagedcare.gov.au_short-2Dterm-2Dcare_transition-2Dcare&amp;d=DwMFAg&amp;c=JnBkUqWXzx2bz-3a05d47Q&amp;r=dTZWmmOE9oOVrDp5YO5cahDo7FdwDSFQxJ_M5-wT_-Q&amp;m=GWLwNw6SChWA13TjvLufKnIM-rgv47YJe806wnnNZ3w&amp;s=At5Gt4S3UmgjSyrm_-njRW2fXBiHmji0OBUnrO1m7cU&amp;e=" TargetMode="External"/><Relationship Id="rId43" Type="http://schemas.openxmlformats.org/officeDocument/2006/relationships/hyperlink" Target="https://www.agedcarequality.gov.au/consumers/minimising-restrictive-practices" TargetMode="External"/><Relationship Id="rId48" Type="http://schemas.openxmlformats.org/officeDocument/2006/relationships/hyperlink" Target="http://www.agedcarequality.gov.au/providers/assessment-processes/minimising-restraints" TargetMode="External"/><Relationship Id="rId56" Type="http://schemas.openxmlformats.org/officeDocument/2006/relationships/hyperlink" Target="http://www.agedcarequality.gov.au/providers/standards" TargetMode="External"/><Relationship Id="rId64" Type="http://schemas.openxmlformats.org/officeDocument/2006/relationships/footer" Target="footer5.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gedcarequality.gov.au/resources/notification-material-chang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www.humanservices.gov.au/customer/services/medicare/reciprocal-health-care-agreements" TargetMode="External"/><Relationship Id="rId33" Type="http://schemas.openxmlformats.org/officeDocument/2006/relationships/hyperlink" Target="https://www.legislation.gov.au/Series/F2014L00808" TargetMode="External"/><Relationship Id="rId38" Type="http://schemas.openxmlformats.org/officeDocument/2006/relationships/hyperlink" Target="https://www.agedcarequality.gov.au/sirs" TargetMode="External"/><Relationship Id="rId46" Type="http://schemas.openxmlformats.org/officeDocument/2006/relationships/hyperlink" Target="https://www.agedcarequality.gov.au/sirs/decision-support-tool" TargetMode="External"/><Relationship Id="rId59" Type="http://schemas.openxmlformats.org/officeDocument/2006/relationships/diagramData" Target="diagrams/data1.xml"/><Relationship Id="rId67" Type="http://schemas.openxmlformats.org/officeDocument/2006/relationships/hyperlink" Target="https://www.health.gov.au/resources/publications/my-aged-care-integrated-assessment-tool-iat-user-guide?language=en" TargetMode="External"/><Relationship Id="rId20" Type="http://schemas.openxmlformats.org/officeDocument/2006/relationships/hyperlink" Target="https://www.legislation.gov.au/Series/C2004A05206" TargetMode="External"/><Relationship Id="rId41" Type="http://schemas.openxmlformats.org/officeDocument/2006/relationships/hyperlink" Target="http://www.agedcarequality.gov.au/" TargetMode="External"/><Relationship Id="rId54" Type="http://schemas.openxmlformats.org/officeDocument/2006/relationships/hyperlink" Target="mailto:TCP@health.gov.au" TargetMode="External"/><Relationship Id="rId62" Type="http://schemas.openxmlformats.org/officeDocument/2006/relationships/diagramColors" Target="diagrams/colors1.xm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0012\AppData\Local\Microsoft\Windows\Temporary%20Internet%20Files\Content.Outlook\AC2CN5VD\DSS%20Long%20Report%20Template%20Blue%20(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58A7E-BCBB-4039-BEE7-C3533CD8885E}" type="doc">
      <dgm:prSet loTypeId="urn:microsoft.com/office/officeart/2005/8/layout/cycle1" loCatId="cycle" qsTypeId="urn:microsoft.com/office/officeart/2005/8/quickstyle/simple1" qsCatId="simple" csTypeId="urn:microsoft.com/office/officeart/2005/8/colors/accent1_2" csCatId="accent1" phldr="1"/>
      <dgm:spPr/>
    </dgm:pt>
    <dgm:pt modelId="{570BE98F-6C46-468C-B3D4-7476550F4358}">
      <dgm:prSet custT="1"/>
      <dgm:spPr>
        <a:xfrm>
          <a:off x="3172316" y="307108"/>
          <a:ext cx="1060235" cy="1192737"/>
        </a:xfrm>
        <a:noFill/>
        <a:ln>
          <a:noFill/>
        </a:ln>
        <a:effectLst/>
      </dgm:spPr>
      <dgm:t>
        <a:bodyPr/>
        <a:lstStyle/>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monitor, manage and improve each dimension of quality:</a:t>
          </a:r>
        </a:p>
        <a:p>
          <a:pPr marR="0" algn="l" rtl="0">
            <a:buFont typeface="Calibri"/>
            <a:buChar char="1"/>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Safety</a:t>
          </a:r>
        </a:p>
        <a:p>
          <a:pPr rtl="0">
            <a:buFont typeface="Calibri"/>
            <a:buChar char="2"/>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Effectiveness</a:t>
          </a:r>
        </a:p>
        <a:p>
          <a:pPr rtl="0">
            <a:buFont typeface="Calibri"/>
            <a:buChar char="3"/>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Appropriateness</a:t>
          </a:r>
          <a:endPar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0">
            <a:buFont typeface="Calibri"/>
            <a:buChar char="4"/>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Stakeholder satisfaction</a:t>
          </a:r>
        </a:p>
        <a:p>
          <a:pPr rtl="0">
            <a:buFont typeface="Calibri"/>
            <a:buChar char="5"/>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Access</a:t>
          </a:r>
        </a:p>
        <a:p>
          <a:pPr rtl="0">
            <a:buFont typeface="Calibri"/>
            <a:buChar char="6"/>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Efficiency</a:t>
          </a:r>
          <a:endPar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58B2679-2CAA-4A0D-95EA-C1B5F71366CB}" type="parTrans" cxnId="{4D73D3D2-9945-4BD3-97FF-083A30AD119D}">
      <dgm:prSet/>
      <dgm:spPr/>
      <dgm:t>
        <a:bodyPr/>
        <a:lstStyle/>
        <a:p>
          <a:endParaRPr lang="en-AU"/>
        </a:p>
      </dgm:t>
    </dgm:pt>
    <dgm:pt modelId="{4F9AC282-727F-43E6-8AFA-86A9F5457499}" type="sibTrans" cxnId="{4D73D3D2-9945-4BD3-97FF-083A30AD119D}">
      <dgm:prSet/>
      <dgm:spPr>
        <a:xfrm>
          <a:off x="1196814" y="66148"/>
          <a:ext cx="2840067" cy="2840067"/>
        </a:xfrm>
        <a:solidFill>
          <a:srgbClr val="500778"/>
        </a:solidFill>
        <a:ln w="25400" cap="flat" cmpd="sng" algn="ctr">
          <a:solidFill>
            <a:sysClr val="window" lastClr="FFFFFF">
              <a:hueOff val="0"/>
              <a:satOff val="0"/>
              <a:lumOff val="0"/>
              <a:alphaOff val="0"/>
            </a:sysClr>
          </a:solidFill>
          <a:prstDash val="solid"/>
        </a:ln>
        <a:effectLst/>
      </dgm:spPr>
      <dgm:t>
        <a:bodyPr/>
        <a:lstStyle/>
        <a:p>
          <a:endParaRPr lang="en-AU"/>
        </a:p>
      </dgm:t>
    </dgm:pt>
    <dgm:pt modelId="{F8C9C180-DD6E-4880-85E2-E12DD9AC1B3B}">
      <dgm:prSet custT="1"/>
      <dgm:spPr>
        <a:xfrm>
          <a:off x="2091776" y="2186113"/>
          <a:ext cx="1201291" cy="933511"/>
        </a:xfrm>
        <a:noFill/>
        <a:ln>
          <a:noFill/>
        </a:ln>
        <a:effectLst/>
      </dgm:spPr>
      <dgm:t>
        <a:bodyPr/>
        <a:lstStyle/>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each level of the organisation:</a:t>
          </a:r>
        </a:p>
        <a:p>
          <a:pPr marR="0" algn="l"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Governments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Approved</a:t>
          </a: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Providers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Service Providers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Care Providers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Consumers and the community</a:t>
          </a:r>
          <a:endPar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5B89A0-BFDC-4FAE-8400-21047079CC9D}" type="parTrans" cxnId="{CC9A110E-C3FF-4031-83B7-2CBD6750A449}">
      <dgm:prSet/>
      <dgm:spPr/>
      <dgm:t>
        <a:bodyPr/>
        <a:lstStyle/>
        <a:p>
          <a:endParaRPr lang="en-AU"/>
        </a:p>
      </dgm:t>
    </dgm:pt>
    <dgm:pt modelId="{14E214E7-FDD8-41C9-8C0B-5B1D0D039B25}" type="sibTrans" cxnId="{CC9A110E-C3FF-4031-83B7-2CBD6750A449}">
      <dgm:prSet/>
      <dgm:spPr>
        <a:xfrm>
          <a:off x="1125386" y="230"/>
          <a:ext cx="2840067" cy="2840067"/>
        </a:xfrm>
        <a:solidFill>
          <a:srgbClr val="500778"/>
        </a:solidFill>
        <a:ln w="25400" cap="flat" cmpd="sng" algn="ctr">
          <a:solidFill>
            <a:sysClr val="window" lastClr="FFFFFF">
              <a:hueOff val="0"/>
              <a:satOff val="0"/>
              <a:lumOff val="0"/>
              <a:alphaOff val="0"/>
            </a:sysClr>
          </a:solidFill>
          <a:prstDash val="solid"/>
        </a:ln>
        <a:effectLst/>
      </dgm:spPr>
      <dgm:t>
        <a:bodyPr/>
        <a:lstStyle/>
        <a:p>
          <a:endParaRPr lang="en-AU"/>
        </a:p>
      </dgm:t>
    </dgm:pt>
    <dgm:pt modelId="{82D8A26A-552E-44DE-A162-004C1E673BCF}">
      <dgm:prSet custT="1"/>
      <dgm:spPr>
        <a:xfrm>
          <a:off x="1069698" y="553649"/>
          <a:ext cx="1225424" cy="699655"/>
        </a:xfrm>
        <a:noFill/>
        <a:ln>
          <a:noFill/>
        </a:ln>
        <a:effectLst/>
      </dgm:spPr>
      <dgm:t>
        <a:bodyPr/>
        <a:lstStyle/>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planned approach to safety and quality by key organisational elements:</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Governance</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 Consumer and </a:t>
          </a:r>
          <a:r>
            <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a:t>
          </a: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Involvement</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 Competence and Education</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 Information Management and Reporting</a:t>
          </a:r>
        </a:p>
        <a:p>
          <a:pPr marR="0" algn="l" rtl="0"/>
          <a:endParaRPr lang="en-AU" sz="500" b="0" i="0" u="none" strike="noStrike" baseline="0">
            <a:solidFill>
              <a:sysClr val="windowText" lastClr="000000">
                <a:hueOff val="0"/>
                <a:satOff val="0"/>
                <a:lumOff val="0"/>
                <a:alphaOff val="0"/>
              </a:sysClr>
            </a:solidFill>
            <a:latin typeface="Times New Roman"/>
            <a:ea typeface="+mn-ea"/>
            <a:cs typeface="+mn-cs"/>
          </a:endParaRPr>
        </a:p>
        <a:p>
          <a:pPr marR="0" algn="l" rtl="0"/>
          <a:endParaRPr lang="en-AU" sz="500" b="0" i="0" u="none" strike="noStrike" baseline="0">
            <a:solidFill>
              <a:sysClr val="windowText" lastClr="000000">
                <a:hueOff val="0"/>
                <a:satOff val="0"/>
                <a:lumOff val="0"/>
                <a:alphaOff val="0"/>
              </a:sysClr>
            </a:solidFill>
            <a:latin typeface="Times New Roman"/>
            <a:ea typeface="+mn-ea"/>
            <a:cs typeface="+mn-cs"/>
          </a:endParaRPr>
        </a:p>
        <a:p>
          <a:pPr marR="0" algn="l" rtl="0"/>
          <a:endParaRPr lang="en-AU" sz="500" b="0" i="0" u="none" strike="noStrike" baseline="0">
            <a:solidFill>
              <a:sysClr val="windowText" lastClr="000000">
                <a:hueOff val="0"/>
                <a:satOff val="0"/>
                <a:lumOff val="0"/>
                <a:alphaOff val="0"/>
              </a:sysClr>
            </a:solidFill>
            <a:latin typeface="Times New Roman"/>
            <a:ea typeface="+mn-ea"/>
            <a:cs typeface="+mn-cs"/>
          </a:endParaRPr>
        </a:p>
      </dgm:t>
    </dgm:pt>
    <dgm:pt modelId="{6309B0F5-F819-47C9-B00C-EE79F9D1DAEC}" type="parTrans" cxnId="{016045F3-4A66-496B-B655-BE8815338D5C}">
      <dgm:prSet/>
      <dgm:spPr/>
      <dgm:t>
        <a:bodyPr/>
        <a:lstStyle/>
        <a:p>
          <a:endParaRPr lang="en-AU"/>
        </a:p>
      </dgm:t>
    </dgm:pt>
    <dgm:pt modelId="{B39A726E-E420-4BDA-A57F-65D5D35B99EF}" type="sibTrans" cxnId="{016045F3-4A66-496B-B655-BE8815338D5C}">
      <dgm:prSet/>
      <dgm:spPr>
        <a:xfrm rot="595220">
          <a:off x="1082530" y="-117093"/>
          <a:ext cx="2840067" cy="2840067"/>
        </a:xfrm>
        <a:solidFill>
          <a:srgbClr val="500778"/>
        </a:solidFill>
        <a:ln w="25400" cap="flat" cmpd="sng" algn="ctr">
          <a:solidFill>
            <a:sysClr val="window" lastClr="FFFFFF">
              <a:hueOff val="0"/>
              <a:satOff val="0"/>
              <a:lumOff val="0"/>
              <a:alphaOff val="0"/>
            </a:sysClr>
          </a:solidFill>
          <a:prstDash val="solid"/>
        </a:ln>
        <a:effectLst/>
      </dgm:spPr>
      <dgm:t>
        <a:bodyPr/>
        <a:lstStyle/>
        <a:p>
          <a:endParaRPr lang="en-AU"/>
        </a:p>
      </dgm:t>
    </dgm:pt>
    <dgm:pt modelId="{C70EDCDD-6BC4-433C-A4C7-0CB24CDC2429}" type="pres">
      <dgm:prSet presAssocID="{DFC58A7E-BCBB-4039-BEE7-C3533CD8885E}" presName="cycle" presStyleCnt="0">
        <dgm:presLayoutVars>
          <dgm:dir/>
          <dgm:resizeHandles val="exact"/>
        </dgm:presLayoutVars>
      </dgm:prSet>
      <dgm:spPr/>
    </dgm:pt>
    <dgm:pt modelId="{EE094578-8F84-4882-A700-6D02F6B95DC6}" type="pres">
      <dgm:prSet presAssocID="{570BE98F-6C46-468C-B3D4-7476550F4358}" presName="dummy" presStyleCnt="0"/>
      <dgm:spPr/>
    </dgm:pt>
    <dgm:pt modelId="{FA50A990-4117-4158-A09C-94D0027BB103}" type="pres">
      <dgm:prSet presAssocID="{570BE98F-6C46-468C-B3D4-7476550F4358}" presName="node" presStyleLbl="revTx" presStyleIdx="0" presStyleCnt="3" custScaleX="88258" custScaleY="99288">
        <dgm:presLayoutVars>
          <dgm:bulletEnabled val="1"/>
        </dgm:presLayoutVars>
      </dgm:prSet>
      <dgm:spPr>
        <a:prstGeom prst="rect">
          <a:avLst/>
        </a:prstGeom>
      </dgm:spPr>
    </dgm:pt>
    <dgm:pt modelId="{149332F9-2F80-4B44-864C-B0F29A8A284F}" type="pres">
      <dgm:prSet presAssocID="{4F9AC282-727F-43E6-8AFA-86A9F5457499}" presName="sibTrans" presStyleLbl="node1" presStyleIdx="0" presStyleCnt="3" custAng="21280903" custLinFactNeighborX="-2661" custLinFactNeighborY="-15"/>
      <dgm:spPr>
        <a:prstGeom prst="circularArrow">
          <a:avLst>
            <a:gd name="adj1" fmla="val 8248"/>
            <a:gd name="adj2" fmla="val 576087"/>
            <a:gd name="adj3" fmla="val 2963993"/>
            <a:gd name="adj4" fmla="val 39023"/>
            <a:gd name="adj5" fmla="val 9623"/>
          </a:avLst>
        </a:prstGeom>
      </dgm:spPr>
    </dgm:pt>
    <dgm:pt modelId="{9B3CDA93-619C-4E38-B8B8-AB3360BA949B}" type="pres">
      <dgm:prSet presAssocID="{F8C9C180-DD6E-4880-85E2-E12DD9AC1B3B}" presName="dummy" presStyleCnt="0"/>
      <dgm:spPr/>
    </dgm:pt>
    <dgm:pt modelId="{2B6B2817-A459-46EF-9E15-FCE75D3CB893}" type="pres">
      <dgm:prSet presAssocID="{F8C9C180-DD6E-4880-85E2-E12DD9AC1B3B}" presName="node" presStyleLbl="revTx" presStyleIdx="1" presStyleCnt="3" custAng="0" custScaleY="77709">
        <dgm:presLayoutVars>
          <dgm:bulletEnabled val="1"/>
        </dgm:presLayoutVars>
      </dgm:prSet>
      <dgm:spPr>
        <a:prstGeom prst="rect">
          <a:avLst/>
        </a:prstGeom>
      </dgm:spPr>
    </dgm:pt>
    <dgm:pt modelId="{B7AE60D3-35CF-4D35-B5AE-25B264AC188E}" type="pres">
      <dgm:prSet presAssocID="{14E214E7-FDD8-41C9-8C0B-5B1D0D039B25}" presName="sibTrans" presStyleLbl="node1" presStyleIdx="1" presStyleCnt="3" custAng="21359565" custLinFactNeighborX="-5176" custLinFactNeighborY="-2336"/>
      <dgm:spPr>
        <a:prstGeom prst="circularArrow">
          <a:avLst>
            <a:gd name="adj1" fmla="val 8248"/>
            <a:gd name="adj2" fmla="val 576087"/>
            <a:gd name="adj3" fmla="val 10916282"/>
            <a:gd name="adj4" fmla="val 7259920"/>
            <a:gd name="adj5" fmla="val 9623"/>
          </a:avLst>
        </a:prstGeom>
      </dgm:spPr>
    </dgm:pt>
    <dgm:pt modelId="{4B4E06B6-C4DF-4FFC-923F-33C42AC72DA4}" type="pres">
      <dgm:prSet presAssocID="{82D8A26A-552E-44DE-A162-004C1E673BCF}" presName="dummy" presStyleCnt="0"/>
      <dgm:spPr/>
    </dgm:pt>
    <dgm:pt modelId="{31FCABC0-0FA2-4141-B361-4FB2EECCFA86}" type="pres">
      <dgm:prSet presAssocID="{82D8A26A-552E-44DE-A162-004C1E673BCF}" presName="node" presStyleLbl="revTx" presStyleIdx="2" presStyleCnt="3" custScaleX="102009" custScaleY="58242">
        <dgm:presLayoutVars>
          <dgm:bulletEnabled val="1"/>
        </dgm:presLayoutVars>
      </dgm:prSet>
      <dgm:spPr>
        <a:prstGeom prst="rect">
          <a:avLst/>
        </a:prstGeom>
      </dgm:spPr>
    </dgm:pt>
    <dgm:pt modelId="{0E87D0F2-5548-4379-A5DC-F568C661811E}" type="pres">
      <dgm:prSet presAssocID="{B39A726E-E420-4BDA-A57F-65D5D35B99EF}" presName="sibTrans" presStyleLbl="node1" presStyleIdx="2" presStyleCnt="3" custAng="866756" custLinFactNeighborX="-6685" custLinFactNeighborY="-6467"/>
      <dgm:spPr>
        <a:prstGeom prst="circularArrow">
          <a:avLst>
            <a:gd name="adj1" fmla="val 8248"/>
            <a:gd name="adj2" fmla="val 576087"/>
            <a:gd name="adj3" fmla="val 17081786"/>
            <a:gd name="adj4" fmla="val 13987559"/>
            <a:gd name="adj5" fmla="val 9623"/>
          </a:avLst>
        </a:prstGeom>
      </dgm:spPr>
    </dgm:pt>
  </dgm:ptLst>
  <dgm:cxnLst>
    <dgm:cxn modelId="{CC9A110E-C3FF-4031-83B7-2CBD6750A449}" srcId="{DFC58A7E-BCBB-4039-BEE7-C3533CD8885E}" destId="{F8C9C180-DD6E-4880-85E2-E12DD9AC1B3B}" srcOrd="1" destOrd="0" parTransId="{C95B89A0-BFDC-4FAE-8400-21047079CC9D}" sibTransId="{14E214E7-FDD8-41C9-8C0B-5B1D0D039B25}"/>
    <dgm:cxn modelId="{A45B4F84-91E8-49C2-8A9F-3B4752C83C67}" type="presOf" srcId="{570BE98F-6C46-468C-B3D4-7476550F4358}" destId="{FA50A990-4117-4158-A09C-94D0027BB103}" srcOrd="0" destOrd="0" presId="urn:microsoft.com/office/officeart/2005/8/layout/cycle1"/>
    <dgm:cxn modelId="{23522896-5803-49DD-8DC8-7D9BFD4F635F}" type="presOf" srcId="{B39A726E-E420-4BDA-A57F-65D5D35B99EF}" destId="{0E87D0F2-5548-4379-A5DC-F568C661811E}" srcOrd="0" destOrd="0" presId="urn:microsoft.com/office/officeart/2005/8/layout/cycle1"/>
    <dgm:cxn modelId="{22AA86BC-4497-4B63-87D2-0FB03504FC8C}" type="presOf" srcId="{F8C9C180-DD6E-4880-85E2-E12DD9AC1B3B}" destId="{2B6B2817-A459-46EF-9E15-FCE75D3CB893}" srcOrd="0" destOrd="0" presId="urn:microsoft.com/office/officeart/2005/8/layout/cycle1"/>
    <dgm:cxn modelId="{8C2F5DE3-B2FA-46ED-BE13-BE396B28EDC7}" type="presOf" srcId="{4F9AC282-727F-43E6-8AFA-86A9F5457499}" destId="{149332F9-2F80-4B44-864C-B0F29A8A284F}" srcOrd="0" destOrd="0" presId="urn:microsoft.com/office/officeart/2005/8/layout/cycle1"/>
    <dgm:cxn modelId="{D07CE9CC-C19E-4478-B7D3-D71349A75435}" type="presOf" srcId="{82D8A26A-552E-44DE-A162-004C1E673BCF}" destId="{31FCABC0-0FA2-4141-B361-4FB2EECCFA86}" srcOrd="0" destOrd="0" presId="urn:microsoft.com/office/officeart/2005/8/layout/cycle1"/>
    <dgm:cxn modelId="{4D73D3D2-9945-4BD3-97FF-083A30AD119D}" srcId="{DFC58A7E-BCBB-4039-BEE7-C3533CD8885E}" destId="{570BE98F-6C46-468C-B3D4-7476550F4358}" srcOrd="0" destOrd="0" parTransId="{958B2679-2CAA-4A0D-95EA-C1B5F71366CB}" sibTransId="{4F9AC282-727F-43E6-8AFA-86A9F5457499}"/>
    <dgm:cxn modelId="{016045F3-4A66-496B-B655-BE8815338D5C}" srcId="{DFC58A7E-BCBB-4039-BEE7-C3533CD8885E}" destId="{82D8A26A-552E-44DE-A162-004C1E673BCF}" srcOrd="2" destOrd="0" parTransId="{6309B0F5-F819-47C9-B00C-EE79F9D1DAEC}" sibTransId="{B39A726E-E420-4BDA-A57F-65D5D35B99EF}"/>
    <dgm:cxn modelId="{0396D6F3-BE21-4A59-8523-9DB9BA10E32A}" type="presOf" srcId="{DFC58A7E-BCBB-4039-BEE7-C3533CD8885E}" destId="{C70EDCDD-6BC4-433C-A4C7-0CB24CDC2429}" srcOrd="0" destOrd="0" presId="urn:microsoft.com/office/officeart/2005/8/layout/cycle1"/>
    <dgm:cxn modelId="{160E19F8-C4B5-4239-ABE5-6A204C48A1C7}" type="presOf" srcId="{14E214E7-FDD8-41C9-8C0B-5B1D0D039B25}" destId="{B7AE60D3-35CF-4D35-B5AE-25B264AC188E}" srcOrd="0" destOrd="0" presId="urn:microsoft.com/office/officeart/2005/8/layout/cycle1"/>
    <dgm:cxn modelId="{87A99BE8-6797-4E22-91E6-9F40C6027FE7}" type="presParOf" srcId="{C70EDCDD-6BC4-433C-A4C7-0CB24CDC2429}" destId="{EE094578-8F84-4882-A700-6D02F6B95DC6}" srcOrd="0" destOrd="0" presId="urn:microsoft.com/office/officeart/2005/8/layout/cycle1"/>
    <dgm:cxn modelId="{51E3CE58-46E9-4DB3-8A34-C04D82D6B025}" type="presParOf" srcId="{C70EDCDD-6BC4-433C-A4C7-0CB24CDC2429}" destId="{FA50A990-4117-4158-A09C-94D0027BB103}" srcOrd="1" destOrd="0" presId="urn:microsoft.com/office/officeart/2005/8/layout/cycle1"/>
    <dgm:cxn modelId="{CC33AAFE-301F-45FC-9529-E0819DB65C92}" type="presParOf" srcId="{C70EDCDD-6BC4-433C-A4C7-0CB24CDC2429}" destId="{149332F9-2F80-4B44-864C-B0F29A8A284F}" srcOrd="2" destOrd="0" presId="urn:microsoft.com/office/officeart/2005/8/layout/cycle1"/>
    <dgm:cxn modelId="{B2EF77E3-5786-4408-889E-9A28E6D62117}" type="presParOf" srcId="{C70EDCDD-6BC4-433C-A4C7-0CB24CDC2429}" destId="{9B3CDA93-619C-4E38-B8B8-AB3360BA949B}" srcOrd="3" destOrd="0" presId="urn:microsoft.com/office/officeart/2005/8/layout/cycle1"/>
    <dgm:cxn modelId="{7C44C3F6-332F-4E09-91FB-A11A9AF4476C}" type="presParOf" srcId="{C70EDCDD-6BC4-433C-A4C7-0CB24CDC2429}" destId="{2B6B2817-A459-46EF-9E15-FCE75D3CB893}" srcOrd="4" destOrd="0" presId="urn:microsoft.com/office/officeart/2005/8/layout/cycle1"/>
    <dgm:cxn modelId="{1530478B-6B10-4576-827D-DD12413854B2}" type="presParOf" srcId="{C70EDCDD-6BC4-433C-A4C7-0CB24CDC2429}" destId="{B7AE60D3-35CF-4D35-B5AE-25B264AC188E}" srcOrd="5" destOrd="0" presId="urn:microsoft.com/office/officeart/2005/8/layout/cycle1"/>
    <dgm:cxn modelId="{A0A6FCB5-5259-4D5A-9867-DF99013D8A77}" type="presParOf" srcId="{C70EDCDD-6BC4-433C-A4C7-0CB24CDC2429}" destId="{4B4E06B6-C4DF-4FFC-923F-33C42AC72DA4}" srcOrd="6" destOrd="0" presId="urn:microsoft.com/office/officeart/2005/8/layout/cycle1"/>
    <dgm:cxn modelId="{A1E26525-0A51-47B7-A91B-66507F30C55C}" type="presParOf" srcId="{C70EDCDD-6BC4-433C-A4C7-0CB24CDC2429}" destId="{31FCABC0-0FA2-4141-B361-4FB2EECCFA86}" srcOrd="7" destOrd="0" presId="urn:microsoft.com/office/officeart/2005/8/layout/cycle1"/>
    <dgm:cxn modelId="{3CC797C4-3C46-45CA-90D8-F6D3BBBAEB3A}" type="presParOf" srcId="{C70EDCDD-6BC4-433C-A4C7-0CB24CDC2429}" destId="{0E87D0F2-5548-4379-A5DC-F568C661811E}" srcOrd="8" destOrd="0" presId="urn:microsoft.com/office/officeart/2005/8/layout/cycle1"/>
  </dgm:cxnLst>
  <dgm:bg/>
  <dgm:whole/>
  <dgm:extLst>
    <a:ext uri="http://schemas.microsoft.com/office/drawing/2008/diagram">
      <dsp:dataModelExt xmlns:dsp="http://schemas.microsoft.com/office/drawing/2008/diagram" relId="rId6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0A990-4117-4158-A09C-94D0027BB103}">
      <dsp:nvSpPr>
        <dsp:cNvPr id="0" name=""/>
        <dsp:cNvSpPr/>
      </dsp:nvSpPr>
      <dsp:spPr>
        <a:xfrm>
          <a:off x="3609494" y="351614"/>
          <a:ext cx="1217279" cy="13694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monitor, manage and improve each dimension of quality:</a:t>
          </a:r>
        </a:p>
        <a:p>
          <a:pPr marL="0" marR="0" lvl="0" indent="0" algn="l"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Safety</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Effectiveness</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Appropriateness</a:t>
          </a:r>
          <a:endPar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Stakeholder satisfaction</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Access</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Efficiency</a:t>
          </a:r>
          <a:endPar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609494" y="351614"/>
        <a:ext cx="1217279" cy="1369408"/>
      </dsp:txXfrm>
    </dsp:sp>
    <dsp:sp modelId="{149332F9-2F80-4B44-864C-B0F29A8A284F}">
      <dsp:nvSpPr>
        <dsp:cNvPr id="0" name=""/>
        <dsp:cNvSpPr/>
      </dsp:nvSpPr>
      <dsp:spPr>
        <a:xfrm rot="21280903">
          <a:off x="1341958" y="75114"/>
          <a:ext cx="3260137" cy="3260137"/>
        </a:xfrm>
        <a:prstGeom prst="circularArrow">
          <a:avLst>
            <a:gd name="adj1" fmla="val 8248"/>
            <a:gd name="adj2" fmla="val 576087"/>
            <a:gd name="adj3" fmla="val 2963993"/>
            <a:gd name="adj4" fmla="val 39023"/>
            <a:gd name="adj5" fmla="val 9623"/>
          </a:avLst>
        </a:prstGeom>
        <a:solidFill>
          <a:srgbClr val="50077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B6B2817-A459-46EF-9E15-FCE75D3CB893}">
      <dsp:nvSpPr>
        <dsp:cNvPr id="0" name=""/>
        <dsp:cNvSpPr/>
      </dsp:nvSpPr>
      <dsp:spPr>
        <a:xfrm>
          <a:off x="2369165" y="2508487"/>
          <a:ext cx="1379228" cy="1071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each level of the organisation:</a:t>
          </a:r>
        </a:p>
        <a:p>
          <a:pPr marL="0" marR="0" lvl="0" indent="0" algn="l"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Governments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Approved</a:t>
          </a: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Providers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Service Providers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Care Providers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Consumers and the community</a:t>
          </a:r>
          <a:endPar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69165" y="2508487"/>
        <a:ext cx="1379228" cy="1071785"/>
      </dsp:txXfrm>
    </dsp:sp>
    <dsp:sp modelId="{B7AE60D3-35CF-4D35-B5AE-25B264AC188E}">
      <dsp:nvSpPr>
        <dsp:cNvPr id="0" name=""/>
        <dsp:cNvSpPr/>
      </dsp:nvSpPr>
      <dsp:spPr>
        <a:xfrm rot="21359565">
          <a:off x="1259966" y="-552"/>
          <a:ext cx="3260137" cy="3260137"/>
        </a:xfrm>
        <a:prstGeom prst="circularArrow">
          <a:avLst>
            <a:gd name="adj1" fmla="val 8248"/>
            <a:gd name="adj2" fmla="val 576087"/>
            <a:gd name="adj3" fmla="val 10916282"/>
            <a:gd name="adj4" fmla="val 7259920"/>
            <a:gd name="adj5" fmla="val 9623"/>
          </a:avLst>
        </a:prstGeom>
        <a:solidFill>
          <a:srgbClr val="50077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1FCABC0-0FA2-4141-B361-4FB2EECCFA86}">
      <dsp:nvSpPr>
        <dsp:cNvPr id="0" name=""/>
        <dsp:cNvSpPr/>
      </dsp:nvSpPr>
      <dsp:spPr>
        <a:xfrm>
          <a:off x="1195957" y="634674"/>
          <a:ext cx="1406937" cy="803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planned approach to safety and quality by key organisational elements:</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Governance</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 Consumer and </a:t>
          </a:r>
          <a:r>
            <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a:t>
          </a: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Involvement</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 Competence and Education</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 Information Management and Reporting</a:t>
          </a:r>
        </a:p>
        <a:p>
          <a:pPr marL="0" marR="0" lvl="0" indent="0" algn="l" defTabSz="311150" rtl="0">
            <a:lnSpc>
              <a:spcPct val="90000"/>
            </a:lnSpc>
            <a:spcBef>
              <a:spcPct val="0"/>
            </a:spcBef>
            <a:spcAft>
              <a:spcPct val="35000"/>
            </a:spcAft>
            <a:buNone/>
          </a:pPr>
          <a:endParaRPr lang="en-AU" sz="500" b="0" i="0" u="none" strike="noStrike" kern="1200" baseline="0">
            <a:solidFill>
              <a:sysClr val="windowText" lastClr="000000">
                <a:hueOff val="0"/>
                <a:satOff val="0"/>
                <a:lumOff val="0"/>
                <a:alphaOff val="0"/>
              </a:sysClr>
            </a:solidFill>
            <a:latin typeface="Times New Roman"/>
            <a:ea typeface="+mn-ea"/>
            <a:cs typeface="+mn-cs"/>
          </a:endParaRPr>
        </a:p>
        <a:p>
          <a:pPr marL="0" marR="0" lvl="0" indent="0" algn="l" defTabSz="311150" rtl="0">
            <a:lnSpc>
              <a:spcPct val="90000"/>
            </a:lnSpc>
            <a:spcBef>
              <a:spcPct val="0"/>
            </a:spcBef>
            <a:spcAft>
              <a:spcPct val="35000"/>
            </a:spcAft>
            <a:buNone/>
          </a:pPr>
          <a:endParaRPr lang="en-AU" sz="500" b="0" i="0" u="none" strike="noStrike" kern="1200" baseline="0">
            <a:solidFill>
              <a:sysClr val="windowText" lastClr="000000">
                <a:hueOff val="0"/>
                <a:satOff val="0"/>
                <a:lumOff val="0"/>
                <a:alphaOff val="0"/>
              </a:sysClr>
            </a:solidFill>
            <a:latin typeface="Times New Roman"/>
            <a:ea typeface="+mn-ea"/>
            <a:cs typeface="+mn-cs"/>
          </a:endParaRPr>
        </a:p>
        <a:p>
          <a:pPr marL="0" marR="0" lvl="0" indent="0" algn="l" defTabSz="311150" rtl="0">
            <a:lnSpc>
              <a:spcPct val="90000"/>
            </a:lnSpc>
            <a:spcBef>
              <a:spcPct val="0"/>
            </a:spcBef>
            <a:spcAft>
              <a:spcPct val="35000"/>
            </a:spcAft>
            <a:buNone/>
          </a:pPr>
          <a:endParaRPr lang="en-AU" sz="500" b="0" i="0" u="none" strike="noStrike" kern="1200" baseline="0">
            <a:solidFill>
              <a:sysClr val="windowText" lastClr="000000">
                <a:hueOff val="0"/>
                <a:satOff val="0"/>
                <a:lumOff val="0"/>
                <a:alphaOff val="0"/>
              </a:sysClr>
            </a:solidFill>
            <a:latin typeface="Times New Roman"/>
            <a:ea typeface="+mn-ea"/>
            <a:cs typeface="+mn-cs"/>
          </a:endParaRPr>
        </a:p>
      </dsp:txBody>
      <dsp:txXfrm>
        <a:off x="1195957" y="634674"/>
        <a:ext cx="1406937" cy="803290"/>
      </dsp:txXfrm>
    </dsp:sp>
    <dsp:sp modelId="{0E87D0F2-5548-4379-A5DC-F568C661811E}">
      <dsp:nvSpPr>
        <dsp:cNvPr id="0" name=""/>
        <dsp:cNvSpPr/>
      </dsp:nvSpPr>
      <dsp:spPr>
        <a:xfrm rot="866756">
          <a:off x="1210770" y="-135229"/>
          <a:ext cx="3260137" cy="3260137"/>
        </a:xfrm>
        <a:prstGeom prst="circularArrow">
          <a:avLst>
            <a:gd name="adj1" fmla="val 8248"/>
            <a:gd name="adj2" fmla="val 576087"/>
            <a:gd name="adj3" fmla="val 17081786"/>
            <a:gd name="adj4" fmla="val 13987559"/>
            <a:gd name="adj5" fmla="val 9623"/>
          </a:avLst>
        </a:prstGeom>
        <a:solidFill>
          <a:srgbClr val="50077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3D710-FE15-41AE-BB7D-C85DABDD02FD}">
  <ds:schemaRefs>
    <ds:schemaRef ds:uri="http://schemas.openxmlformats.org/officeDocument/2006/bibliography"/>
  </ds:schemaRefs>
</ds:datastoreItem>
</file>

<file path=customXml/itemProps2.xml><?xml version="1.0" encoding="utf-8"?>
<ds:datastoreItem xmlns:ds="http://schemas.openxmlformats.org/officeDocument/2006/customXml" ds:itemID="{85015E62-D04D-4714-9AD5-DD6C63D74DF3}">
  <ds:schemaRefs>
    <ds:schemaRef ds:uri="http://schemas.microsoft.com/sharepoint/v3/contenttype/forms"/>
  </ds:schemaRefs>
</ds:datastoreItem>
</file>

<file path=customXml/itemProps3.xml><?xml version="1.0" encoding="utf-8"?>
<ds:datastoreItem xmlns:ds="http://schemas.openxmlformats.org/officeDocument/2006/customXml" ds:itemID="{405EEEE4-3635-430D-8E24-6C51455467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9B4BA-DCEC-42C6-9302-9191C0B9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DSS Long Report Template Blue (3).dotx</Template>
  <TotalTime>6</TotalTime>
  <Pages>64</Pages>
  <Words>30581</Words>
  <Characters>174312</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Transition Care Programme Guidelines</vt:lpstr>
    </vt:vector>
  </TitlesOfParts>
  <Company/>
  <LinksUpToDate>false</LinksUpToDate>
  <CharactersWithSpaces>204485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Programme Guidelines</dc:title>
  <dc:subject>Aged care</dc:subject>
  <dc:creator>Australian Government Department of Healt, Disability and Ageing</dc:creator>
  <cp:keywords>Aged care; Home Care Packages Program</cp:keywords>
  <cp:lastModifiedBy>MASCHKE, Elvia</cp:lastModifiedBy>
  <cp:revision>6</cp:revision>
  <cp:lastPrinted>2025-08-05T05:13:00Z</cp:lastPrinted>
  <dcterms:created xsi:type="dcterms:W3CDTF">2025-08-04T04:29:00Z</dcterms:created>
  <dcterms:modified xsi:type="dcterms:W3CDTF">2025-08-05T09:35:00Z</dcterms:modified>
</cp:coreProperties>
</file>