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39BF" w14:textId="773D5F66" w:rsidR="006E4CD9" w:rsidRDefault="006E4CD9" w:rsidP="006E4CD9">
      <w:pPr>
        <w:pStyle w:val="Title"/>
      </w:pPr>
      <w:bookmarkStart w:id="0" w:name="_Hlk206496839"/>
      <w:r>
        <w:t>Strengthening</w:t>
      </w:r>
      <w:r>
        <w:rPr>
          <w:spacing w:val="-11"/>
        </w:rPr>
        <w:t xml:space="preserve"> </w:t>
      </w:r>
      <w:r>
        <w:t>Medicare</w:t>
      </w:r>
      <w:r>
        <w:rPr>
          <w:spacing w:val="-13"/>
        </w:rPr>
        <w:t xml:space="preserve"> </w:t>
      </w:r>
      <w:r>
        <w:t>with</w:t>
      </w:r>
      <w:r>
        <w:rPr>
          <w:spacing w:val="-12"/>
        </w:rPr>
        <w:t xml:space="preserve"> </w:t>
      </w:r>
      <w:r>
        <w:rPr>
          <w:spacing w:val="-12"/>
        </w:rPr>
        <w:br/>
      </w:r>
      <w:r>
        <w:t>more bulk billing</w:t>
      </w:r>
    </w:p>
    <w:bookmarkEnd w:id="0"/>
    <w:p w14:paraId="5761A66E" w14:textId="0A1098D6" w:rsidR="006E4CD9" w:rsidRDefault="006E4CD9" w:rsidP="006E4CD9">
      <w:pPr>
        <w:pStyle w:val="IntroPara"/>
      </w:pPr>
      <w:r>
        <w:t>The</w:t>
      </w:r>
      <w:r>
        <w:rPr>
          <w:spacing w:val="-6"/>
        </w:rPr>
        <w:t xml:space="preserve"> </w:t>
      </w:r>
      <w:r>
        <w:t>Australian Government is investing $7.9 billion to expand eligibility</w:t>
      </w:r>
      <w:r>
        <w:rPr>
          <w:spacing w:val="-5"/>
        </w:rPr>
        <w:t xml:space="preserve"> </w:t>
      </w:r>
      <w:r>
        <w:t>for</w:t>
      </w:r>
      <w:r>
        <w:rPr>
          <w:spacing w:val="-4"/>
        </w:rPr>
        <w:t xml:space="preserve"> </w:t>
      </w:r>
      <w:r>
        <w:t>bulk</w:t>
      </w:r>
      <w:r>
        <w:rPr>
          <w:spacing w:val="-4"/>
        </w:rPr>
        <w:t xml:space="preserve"> </w:t>
      </w:r>
      <w:r>
        <w:t>billing</w:t>
      </w:r>
      <w:r>
        <w:rPr>
          <w:spacing w:val="-2"/>
        </w:rPr>
        <w:t xml:space="preserve"> </w:t>
      </w:r>
      <w:r>
        <w:t>incentive</w:t>
      </w:r>
      <w:r>
        <w:rPr>
          <w:spacing w:val="-3"/>
        </w:rPr>
        <w:t xml:space="preserve"> </w:t>
      </w:r>
      <w:r>
        <w:t>items</w:t>
      </w:r>
      <w:r>
        <w:rPr>
          <w:spacing w:val="-5"/>
        </w:rPr>
        <w:t xml:space="preserve"> </w:t>
      </w:r>
      <w:r>
        <w:t>to</w:t>
      </w:r>
      <w:r>
        <w:rPr>
          <w:spacing w:val="-3"/>
        </w:rPr>
        <w:t xml:space="preserve"> </w:t>
      </w:r>
      <w:r>
        <w:t>all</w:t>
      </w:r>
      <w:r>
        <w:rPr>
          <w:spacing w:val="-23"/>
        </w:rPr>
        <w:t xml:space="preserve"> </w:t>
      </w:r>
      <w:r>
        <w:t>Australians</w:t>
      </w:r>
      <w:r>
        <w:rPr>
          <w:spacing w:val="-4"/>
        </w:rPr>
        <w:t xml:space="preserve"> </w:t>
      </w:r>
      <w:r>
        <w:t>and</w:t>
      </w:r>
      <w:r>
        <w:rPr>
          <w:spacing w:val="-7"/>
        </w:rPr>
        <w:t xml:space="preserve"> </w:t>
      </w:r>
      <w:r>
        <w:t>to create the Bulk Billing Practice Incentive Program to support General Practices across the country to bulk bill every patient.</w:t>
      </w:r>
    </w:p>
    <w:p w14:paraId="58A32158" w14:textId="7B952A8C" w:rsidR="006E4CD9" w:rsidRDefault="006E4CD9" w:rsidP="006E4CD9">
      <w:pPr>
        <w:pStyle w:val="Heading1"/>
      </w:pPr>
      <w:r w:rsidRPr="006E4CD9">
        <w:t>E</w:t>
      </w:r>
      <w:r w:rsidRPr="006E4CD9">
        <w:t>xpanding</w:t>
      </w:r>
      <w:r>
        <w:rPr>
          <w:spacing w:val="-2"/>
        </w:rPr>
        <w:t xml:space="preserve"> </w:t>
      </w:r>
      <w:r w:rsidRPr="00D270B8">
        <w:t>eligibility</w:t>
      </w:r>
      <w:r w:rsidRPr="00D270B8">
        <w:rPr>
          <w:spacing w:val="-5"/>
        </w:rPr>
        <w:t xml:space="preserve"> </w:t>
      </w:r>
      <w:r w:rsidRPr="00D270B8">
        <w:t>for bulk</w:t>
      </w:r>
      <w:r>
        <w:rPr>
          <w:spacing w:val="-7"/>
        </w:rPr>
        <w:t xml:space="preserve"> </w:t>
      </w:r>
      <w:r>
        <w:t>billing</w:t>
      </w:r>
      <w:r>
        <w:rPr>
          <w:spacing w:val="-3"/>
        </w:rPr>
        <w:t xml:space="preserve"> </w:t>
      </w:r>
      <w:r>
        <w:rPr>
          <w:spacing w:val="-2"/>
        </w:rPr>
        <w:t>incentives</w:t>
      </w:r>
    </w:p>
    <w:p w14:paraId="1283FADF" w14:textId="77777777" w:rsidR="006E4CD9" w:rsidRPr="006E4CD9" w:rsidRDefault="006E4CD9" w:rsidP="006E4CD9">
      <w:r w:rsidRPr="006E4CD9">
        <w:t>Currently, bulk billing incentives provide additional payments to GPs when they bulk bill children under the age of 16 and Commonwealth Concession Card holders.</w:t>
      </w:r>
    </w:p>
    <w:p w14:paraId="6C3BF0B6" w14:textId="77777777" w:rsidR="006E4CD9" w:rsidRPr="006E4CD9" w:rsidRDefault="006E4CD9" w:rsidP="006E4CD9">
      <w:r w:rsidRPr="006E4CD9">
        <w:t xml:space="preserve">From 1 November 2025, GPs will be able to claim bulk billing incentive items when they bulk bill </w:t>
      </w:r>
      <w:r w:rsidRPr="006E4CD9">
        <w:rPr>
          <w:b/>
          <w:bCs/>
          <w:u w:val="single"/>
        </w:rPr>
        <w:t>any</w:t>
      </w:r>
      <w:r w:rsidRPr="006E4CD9">
        <w:t xml:space="preserve"> Medicare-eligible patient.</w:t>
      </w:r>
    </w:p>
    <w:p w14:paraId="744CFF50" w14:textId="77777777" w:rsidR="006E4CD9" w:rsidRDefault="006E4CD9" w:rsidP="006E4CD9">
      <w:pPr>
        <w:pStyle w:val="Heading1"/>
      </w:pPr>
      <w:r>
        <w:t>Bulk Billing Practice Incentive Program</w:t>
      </w:r>
    </w:p>
    <w:p w14:paraId="48EB90AE" w14:textId="77777777" w:rsidR="006E4CD9" w:rsidRDefault="006E4CD9" w:rsidP="006E4CD9">
      <w:r>
        <w:t xml:space="preserve">From 1 November 2025, the Government will support thousands of GP practices to bulk bill every patient, with the launch of a new </w:t>
      </w:r>
      <w:r w:rsidRPr="008D6DE8">
        <w:rPr>
          <w:b/>
          <w:bCs/>
        </w:rPr>
        <w:t>Bulk Billing Practice Incentive Program</w:t>
      </w:r>
      <w:r>
        <w:t>.</w:t>
      </w:r>
    </w:p>
    <w:p w14:paraId="101A3D5A" w14:textId="77777777" w:rsidR="006E4CD9" w:rsidRDefault="006E4CD9" w:rsidP="006E4CD9">
      <w:r>
        <w:t>In addition to bulk billing incentive items, participating practices in the Program will receive an additional 12.5% loading payment on every $1 of MBS benefit earned from GP NRA services, split evenly between the GP and the practice.</w:t>
      </w:r>
    </w:p>
    <w:p w14:paraId="59B06CE0" w14:textId="77777777" w:rsidR="006E4CD9" w:rsidRDefault="006E4CD9" w:rsidP="006E4CD9">
      <w:r>
        <w:t>To participate in the Program, a GP practice will need to:</w:t>
      </w:r>
    </w:p>
    <w:p w14:paraId="604DBCA4" w14:textId="457D11EE" w:rsidR="006E4CD9" w:rsidRDefault="006E4CD9" w:rsidP="006E4CD9">
      <w:pPr>
        <w:pStyle w:val="ListParagraph"/>
        <w:numPr>
          <w:ilvl w:val="0"/>
          <w:numId w:val="27"/>
        </w:numPr>
      </w:pPr>
      <w:r>
        <w:t>Commit to bulk bill all GP NRA services</w:t>
      </w:r>
    </w:p>
    <w:p w14:paraId="214AD5AB" w14:textId="6A25C1C8" w:rsidR="006E4CD9" w:rsidRDefault="006E4CD9" w:rsidP="006E4CD9">
      <w:pPr>
        <w:pStyle w:val="ListParagraph"/>
        <w:numPr>
          <w:ilvl w:val="0"/>
          <w:numId w:val="27"/>
        </w:numPr>
      </w:pPr>
      <w:r>
        <w:t>Advertise their participation in the Program</w:t>
      </w:r>
    </w:p>
    <w:p w14:paraId="4EF3BEC9" w14:textId="45880C31" w:rsidR="006E4CD9" w:rsidRDefault="006E4CD9" w:rsidP="006E4CD9">
      <w:pPr>
        <w:pStyle w:val="ListParagraph"/>
        <w:numPr>
          <w:ilvl w:val="0"/>
          <w:numId w:val="27"/>
        </w:numPr>
      </w:pPr>
      <w:r>
        <w:t xml:space="preserve">Be registered with </w:t>
      </w:r>
      <w:proofErr w:type="spellStart"/>
      <w:r>
        <w:t>MyMedicare</w:t>
      </w:r>
      <w:proofErr w:type="spellEnd"/>
      <w:r>
        <w:t xml:space="preserve"> (accreditation requirements will be waived for practices joining the Program)</w:t>
      </w:r>
    </w:p>
    <w:p w14:paraId="77EB11AA" w14:textId="77777777" w:rsidR="006E4CD9" w:rsidRDefault="006E4CD9" w:rsidP="006E4CD9">
      <w:r>
        <w:t xml:space="preserve">Participating practices will be expected to advertise as fully bulk billing on </w:t>
      </w:r>
      <w:proofErr w:type="spellStart"/>
      <w:r>
        <w:t>Healthdirect’s</w:t>
      </w:r>
      <w:proofErr w:type="spellEnd"/>
      <w:r>
        <w:t xml:space="preserve"> National Health Services Directory and will be supported with marketing materials to identify their participation in the Program.</w:t>
      </w:r>
    </w:p>
    <w:p w14:paraId="2E774349" w14:textId="46479390" w:rsidR="006E4CD9" w:rsidRDefault="006E4CD9" w:rsidP="006E4CD9">
      <w:r>
        <w:t>Payments to GPs and practices will be made quarterly, in arrears, beginning in early 2026.</w:t>
      </w:r>
    </w:p>
    <w:p w14:paraId="42F4D0A9" w14:textId="77777777" w:rsidR="006E4CD9" w:rsidRDefault="006E4CD9">
      <w:pPr>
        <w:spacing w:before="0" w:after="0" w:line="240" w:lineRule="auto"/>
      </w:pPr>
      <w:r>
        <w:br w:type="page"/>
      </w:r>
    </w:p>
    <w:p w14:paraId="032890CC" w14:textId="6DEB701A" w:rsidR="006E4CD9" w:rsidRDefault="006E4CD9" w:rsidP="006E4CD9">
      <w:pPr>
        <w:pStyle w:val="Heading1majorheading"/>
      </w:pPr>
      <w:r w:rsidRPr="006E4CD9">
        <w:lastRenderedPageBreak/>
        <w:t>Example Case Studies</w:t>
      </w:r>
    </w:p>
    <w:p w14:paraId="4CD5CAE8" w14:textId="62FEC79B" w:rsidR="006E4CD9" w:rsidRPr="006E4CD9" w:rsidRDefault="006E4CD9" w:rsidP="006E4CD9">
      <w:pPr>
        <w:pStyle w:val="Boxheading"/>
      </w:pPr>
      <w:r w:rsidRPr="006E4CD9">
        <w:t>Large mixed billing GP practice</w:t>
      </w:r>
    </w:p>
    <w:p w14:paraId="6883626B" w14:textId="05DEBBC3" w:rsidR="006E4CD9" w:rsidRDefault="006E4CD9" w:rsidP="006E4CD9">
      <w:pPr>
        <w:pStyle w:val="Boxtype"/>
      </w:pPr>
      <w:r>
        <w:t xml:space="preserve">A </w:t>
      </w:r>
      <w:r>
        <w:t>large GP practice in a major city is providing around 40,000 GP services a year.</w:t>
      </w:r>
    </w:p>
    <w:p w14:paraId="6C5D90A5" w14:textId="5837400F" w:rsidR="006E4CD9" w:rsidRDefault="006E4CD9" w:rsidP="006E4CD9">
      <w:pPr>
        <w:pStyle w:val="Boxtype"/>
      </w:pPr>
      <w:r>
        <w:t>Due to recent cost pressures, GPs at the practice have started to bill some of their</w:t>
      </w:r>
      <w:r>
        <w:t xml:space="preserve"> </w:t>
      </w:r>
      <w:r>
        <w:t>patients for the first time. The practice now bulk bills around 78% of its services.</w:t>
      </w:r>
    </w:p>
    <w:p w14:paraId="2AAD393E" w14:textId="7A52E468" w:rsidR="006E4CD9" w:rsidRDefault="006E4CD9" w:rsidP="006E4CD9">
      <w:pPr>
        <w:pStyle w:val="Boxtype"/>
      </w:pPr>
      <w:r>
        <w:t>Last year, the practice received $2.4 million from MBS benefits and an additional</w:t>
      </w:r>
      <w:r>
        <w:t xml:space="preserve"> </w:t>
      </w:r>
      <w:r>
        <w:t>$260,000 in patient charges.</w:t>
      </w:r>
    </w:p>
    <w:p w14:paraId="5279BBC4" w14:textId="77777777" w:rsidR="006E4CD9" w:rsidRDefault="006E4CD9" w:rsidP="006E4CD9">
      <w:pPr>
        <w:pStyle w:val="Boxtype"/>
      </w:pPr>
      <w:r>
        <w:t xml:space="preserve">If the practice and its GPs participate in the </w:t>
      </w:r>
      <w:r w:rsidRPr="006E4CD9">
        <w:rPr>
          <w:b/>
          <w:bCs/>
        </w:rPr>
        <w:t xml:space="preserve">Bulk Billing Practice Incentive </w:t>
      </w:r>
      <w:proofErr w:type="gramStart"/>
      <w:r w:rsidRPr="006E4CD9">
        <w:rPr>
          <w:b/>
          <w:bCs/>
        </w:rPr>
        <w:t>Program</w:t>
      </w:r>
      <w:proofErr w:type="gramEnd"/>
      <w:r w:rsidRPr="006E4CD9">
        <w:rPr>
          <w:b/>
          <w:bCs/>
        </w:rPr>
        <w:t xml:space="preserve"> they will receive $575,000</w:t>
      </w:r>
      <w:r>
        <w:t xml:space="preserve"> in additional revenue from bulk billing and practice incentives.</w:t>
      </w:r>
    </w:p>
    <w:p w14:paraId="7DBEA946" w14:textId="2325298B" w:rsidR="006E4CD9" w:rsidRDefault="006E4CD9" w:rsidP="006E4CD9">
      <w:pPr>
        <w:pStyle w:val="Boxtype"/>
      </w:pPr>
      <w:r>
        <w:t>After covering the $260,000 shortfall from no longer charging patients, the practice and its GPs are $315,000 a year better off – with additional revenue now available to grow its team, upgrade its facilities and expand its services.</w:t>
      </w:r>
    </w:p>
    <w:p w14:paraId="47F6EF82" w14:textId="77777777" w:rsidR="006E4CD9" w:rsidRPr="006E4CD9" w:rsidRDefault="006E4CD9" w:rsidP="006E4CD9"/>
    <w:p w14:paraId="468394CF" w14:textId="3CC0B545" w:rsidR="006E4CD9" w:rsidRDefault="006E4CD9" w:rsidP="006E4CD9">
      <w:pPr>
        <w:pStyle w:val="Boxheading"/>
        <w:rPr>
          <w:spacing w:val="-2"/>
        </w:rPr>
      </w:pPr>
      <w:r>
        <w:t>Medium</w:t>
      </w:r>
      <w:r>
        <w:rPr>
          <w:spacing w:val="-5"/>
        </w:rPr>
        <w:t xml:space="preserve"> </w:t>
      </w:r>
      <w:r>
        <w:t>bulk</w:t>
      </w:r>
      <w:r>
        <w:rPr>
          <w:spacing w:val="-7"/>
        </w:rPr>
        <w:t xml:space="preserve"> </w:t>
      </w:r>
      <w:r>
        <w:t>billing</w:t>
      </w:r>
      <w:r>
        <w:rPr>
          <w:spacing w:val="-3"/>
        </w:rPr>
        <w:t xml:space="preserve"> </w:t>
      </w:r>
      <w:r>
        <w:t>GP</w:t>
      </w:r>
      <w:r>
        <w:rPr>
          <w:spacing w:val="-9"/>
        </w:rPr>
        <w:t xml:space="preserve"> </w:t>
      </w:r>
      <w:r>
        <w:rPr>
          <w:spacing w:val="-2"/>
        </w:rPr>
        <w:t>practice</w:t>
      </w:r>
    </w:p>
    <w:p w14:paraId="520B1CA7" w14:textId="77777777" w:rsidR="006E4CD9" w:rsidRPr="00D87086" w:rsidRDefault="006E4CD9" w:rsidP="00D87086">
      <w:pPr>
        <w:pStyle w:val="Boxtype"/>
      </w:pPr>
      <w:r w:rsidRPr="00D87086">
        <w:t>A medium-sized GP practice in a large rural town is providing around 20,000 GP services a year.</w:t>
      </w:r>
    </w:p>
    <w:p w14:paraId="183FF7A5" w14:textId="1BC78079" w:rsidR="006E4CD9" w:rsidRPr="00D87086" w:rsidRDefault="006E4CD9" w:rsidP="00D87086">
      <w:pPr>
        <w:pStyle w:val="Boxtype"/>
      </w:pPr>
      <w:r w:rsidRPr="00D87086">
        <w:t>The practice has always been bulk billing. Over the last few years, GPs at the practice have found it increasingly difficult to provide high-quality care without</w:t>
      </w:r>
      <w:r w:rsidR="00D87086" w:rsidRPr="00D87086">
        <w:t xml:space="preserve"> </w:t>
      </w:r>
      <w:r w:rsidRPr="00D87086">
        <w:t>charging patients. Many GPs are considering leaving the practice to work at nearby mixed billing practices.</w:t>
      </w:r>
    </w:p>
    <w:p w14:paraId="690C3168" w14:textId="77777777" w:rsidR="006E4CD9" w:rsidRPr="00D87086" w:rsidRDefault="006E4CD9" w:rsidP="00D87086">
      <w:pPr>
        <w:pStyle w:val="Boxtype"/>
      </w:pPr>
      <w:r w:rsidRPr="00D87086">
        <w:t>Last year, the practice received $1.4 million from MBS benefits.</w:t>
      </w:r>
    </w:p>
    <w:p w14:paraId="13D05307" w14:textId="77777777" w:rsidR="006E4CD9" w:rsidRPr="00D87086" w:rsidRDefault="006E4CD9" w:rsidP="00D87086">
      <w:pPr>
        <w:pStyle w:val="Boxtype"/>
      </w:pPr>
      <w:r w:rsidRPr="00D87086">
        <w:t xml:space="preserve">If the practice and its GPs participate in the Bulk Billing Practice Incentive </w:t>
      </w:r>
      <w:proofErr w:type="gramStart"/>
      <w:r w:rsidRPr="00D87086">
        <w:t>Program</w:t>
      </w:r>
      <w:proofErr w:type="gramEnd"/>
      <w:r w:rsidRPr="00D87086">
        <w:t xml:space="preserve"> they will receive $310,000 in additional revenue from bulk billing and practice incentives – an increase of around 22 per cent on its current MBS benefits.</w:t>
      </w:r>
    </w:p>
    <w:p w14:paraId="629B8787" w14:textId="3A0DEAC4" w:rsidR="006E4CD9" w:rsidRPr="00D87086" w:rsidRDefault="006E4CD9" w:rsidP="00D87086">
      <w:pPr>
        <w:pStyle w:val="Boxtype"/>
      </w:pPr>
      <w:r w:rsidRPr="00D87086">
        <w:t>This will ensure the practice and its GPs remain able to bulk bill every patient, with additional revenue now available to grow their team, upgrade their facilities and expand their services.</w:t>
      </w:r>
    </w:p>
    <w:p w14:paraId="3C643D51" w14:textId="07EF9E1B" w:rsidR="00310270" w:rsidRDefault="00310270" w:rsidP="00310270">
      <w:pPr>
        <w:pStyle w:val="Heading1majorheading"/>
        <w:rPr>
          <w:lang w:val="en"/>
        </w:rPr>
      </w:pPr>
      <w:r w:rsidRPr="00310270">
        <w:rPr>
          <w:lang w:val="en"/>
        </w:rPr>
        <w:lastRenderedPageBreak/>
        <w:t>Example Case Studies</w:t>
      </w:r>
    </w:p>
    <w:p w14:paraId="4D7668EF" w14:textId="7E2335D5" w:rsidR="00310270" w:rsidRDefault="00310270" w:rsidP="00310270">
      <w:pPr>
        <w:pStyle w:val="Boxheading"/>
      </w:pPr>
      <w:r w:rsidRPr="00310270">
        <w:t>Small mixed billing GP practice</w:t>
      </w:r>
    </w:p>
    <w:p w14:paraId="029CCF85" w14:textId="319F3358" w:rsidR="00310270" w:rsidRDefault="00310270" w:rsidP="00310270">
      <w:pPr>
        <w:pStyle w:val="Boxtype"/>
      </w:pPr>
      <w:r>
        <w:t xml:space="preserve">A </w:t>
      </w:r>
      <w:r>
        <w:t>small</w:t>
      </w:r>
      <w:r>
        <w:rPr>
          <w:spacing w:val="-1"/>
        </w:rPr>
        <w:t xml:space="preserve"> </w:t>
      </w:r>
      <w:r>
        <w:t>GP</w:t>
      </w:r>
      <w:r>
        <w:rPr>
          <w:spacing w:val="-7"/>
        </w:rPr>
        <w:t xml:space="preserve"> </w:t>
      </w:r>
      <w:r>
        <w:t>practice in</w:t>
      </w:r>
      <w:r>
        <w:rPr>
          <w:spacing w:val="-2"/>
        </w:rPr>
        <w:t xml:space="preserve"> </w:t>
      </w:r>
      <w:r>
        <w:t>a</w:t>
      </w:r>
      <w:r>
        <w:rPr>
          <w:spacing w:val="-1"/>
        </w:rPr>
        <w:t xml:space="preserve"> </w:t>
      </w:r>
      <w:r>
        <w:t>major</w:t>
      </w:r>
      <w:r>
        <w:rPr>
          <w:spacing w:val="-3"/>
        </w:rPr>
        <w:t xml:space="preserve"> </w:t>
      </w:r>
      <w:r>
        <w:t>city</w:t>
      </w:r>
      <w:r>
        <w:rPr>
          <w:spacing w:val="-1"/>
        </w:rPr>
        <w:t xml:space="preserve"> </w:t>
      </w:r>
      <w:r>
        <w:t>is</w:t>
      </w:r>
      <w:r>
        <w:rPr>
          <w:spacing w:val="-2"/>
        </w:rPr>
        <w:t xml:space="preserve"> </w:t>
      </w:r>
      <w:r>
        <w:t>providing</w:t>
      </w:r>
      <w:r>
        <w:rPr>
          <w:spacing w:val="-1"/>
        </w:rPr>
        <w:t xml:space="preserve"> </w:t>
      </w:r>
      <w:r>
        <w:t>around</w:t>
      </w:r>
      <w:r>
        <w:rPr>
          <w:spacing w:val="-3"/>
        </w:rPr>
        <w:t xml:space="preserve"> </w:t>
      </w:r>
      <w:r>
        <w:t>6,000</w:t>
      </w:r>
      <w:r>
        <w:rPr>
          <w:spacing w:val="-2"/>
        </w:rPr>
        <w:t xml:space="preserve"> </w:t>
      </w:r>
      <w:r>
        <w:t>GP</w:t>
      </w:r>
      <w:r>
        <w:rPr>
          <w:spacing w:val="-7"/>
        </w:rPr>
        <w:t xml:space="preserve"> </w:t>
      </w:r>
      <w:r>
        <w:t>services</w:t>
      </w:r>
      <w:r>
        <w:rPr>
          <w:spacing w:val="-3"/>
        </w:rPr>
        <w:t xml:space="preserve"> </w:t>
      </w:r>
      <w:r>
        <w:t>a</w:t>
      </w:r>
      <w:r>
        <w:rPr>
          <w:spacing w:val="-1"/>
        </w:rPr>
        <w:t xml:space="preserve"> </w:t>
      </w:r>
      <w:r>
        <w:rPr>
          <w:spacing w:val="-2"/>
        </w:rPr>
        <w:t>year.</w:t>
      </w:r>
    </w:p>
    <w:p w14:paraId="54D1C5CE" w14:textId="77777777" w:rsidR="00310270" w:rsidRDefault="00310270" w:rsidP="00310270">
      <w:pPr>
        <w:pStyle w:val="Boxtype"/>
      </w:pPr>
      <w:r>
        <w:t>The</w:t>
      </w:r>
      <w:r>
        <w:rPr>
          <w:spacing w:val="-3"/>
        </w:rPr>
        <w:t xml:space="preserve"> </w:t>
      </w:r>
      <w:r>
        <w:t>practice</w:t>
      </w:r>
      <w:r>
        <w:rPr>
          <w:spacing w:val="-2"/>
        </w:rPr>
        <w:t xml:space="preserve"> </w:t>
      </w:r>
      <w:r>
        <w:t>has</w:t>
      </w:r>
      <w:r>
        <w:rPr>
          <w:spacing w:val="-4"/>
        </w:rPr>
        <w:t xml:space="preserve"> </w:t>
      </w:r>
      <w:r>
        <w:t>been</w:t>
      </w:r>
      <w:r>
        <w:rPr>
          <w:spacing w:val="-3"/>
        </w:rPr>
        <w:t xml:space="preserve"> </w:t>
      </w:r>
      <w:r>
        <w:t>mixed</w:t>
      </w:r>
      <w:r>
        <w:rPr>
          <w:spacing w:val="-3"/>
        </w:rPr>
        <w:t xml:space="preserve"> </w:t>
      </w:r>
      <w:r>
        <w:t>billing</w:t>
      </w:r>
      <w:r>
        <w:rPr>
          <w:spacing w:val="-3"/>
        </w:rPr>
        <w:t xml:space="preserve"> </w:t>
      </w:r>
      <w:r>
        <w:t>for</w:t>
      </w:r>
      <w:r>
        <w:rPr>
          <w:spacing w:val="-4"/>
        </w:rPr>
        <w:t xml:space="preserve"> </w:t>
      </w:r>
      <w:r>
        <w:t>a few</w:t>
      </w:r>
      <w:r>
        <w:rPr>
          <w:spacing w:val="-2"/>
        </w:rPr>
        <w:t xml:space="preserve"> </w:t>
      </w:r>
      <w:r>
        <w:t>years,</w:t>
      </w:r>
      <w:r>
        <w:rPr>
          <w:spacing w:val="-6"/>
        </w:rPr>
        <w:t xml:space="preserve"> </w:t>
      </w:r>
      <w:r>
        <w:t>billing</w:t>
      </w:r>
      <w:r>
        <w:rPr>
          <w:spacing w:val="-3"/>
        </w:rPr>
        <w:t xml:space="preserve"> </w:t>
      </w:r>
      <w:r>
        <w:t>some</w:t>
      </w:r>
      <w:r>
        <w:rPr>
          <w:spacing w:val="-4"/>
        </w:rPr>
        <w:t xml:space="preserve"> </w:t>
      </w:r>
      <w:r>
        <w:t>patients,</w:t>
      </w:r>
      <w:r>
        <w:rPr>
          <w:spacing w:val="-6"/>
        </w:rPr>
        <w:t xml:space="preserve"> </w:t>
      </w:r>
      <w:r>
        <w:t>some</w:t>
      </w:r>
      <w:r>
        <w:rPr>
          <w:spacing w:val="-4"/>
        </w:rPr>
        <w:t xml:space="preserve"> </w:t>
      </w:r>
      <w:r>
        <w:t>of the time – depending on the service – while maintaining bulk billing for existing patients. The practice bulk bills around 79% of their services.</w:t>
      </w:r>
    </w:p>
    <w:p w14:paraId="0E9E5B4A" w14:textId="77777777" w:rsidR="00310270" w:rsidRDefault="00310270" w:rsidP="00310270">
      <w:pPr>
        <w:pStyle w:val="Boxtype"/>
      </w:pPr>
      <w:r>
        <w:t>Last</w:t>
      </w:r>
      <w:r>
        <w:rPr>
          <w:spacing w:val="-7"/>
        </w:rPr>
        <w:t xml:space="preserve"> </w:t>
      </w:r>
      <w:r>
        <w:t>year,</w:t>
      </w:r>
      <w:r>
        <w:rPr>
          <w:spacing w:val="-7"/>
        </w:rPr>
        <w:t xml:space="preserve"> </w:t>
      </w:r>
      <w:r>
        <w:t>the</w:t>
      </w:r>
      <w:r>
        <w:rPr>
          <w:spacing w:val="-4"/>
        </w:rPr>
        <w:t xml:space="preserve"> </w:t>
      </w:r>
      <w:r>
        <w:t>practice</w:t>
      </w:r>
      <w:r>
        <w:rPr>
          <w:spacing w:val="-2"/>
        </w:rPr>
        <w:t xml:space="preserve"> </w:t>
      </w:r>
      <w:r>
        <w:t>received</w:t>
      </w:r>
      <w:r>
        <w:rPr>
          <w:spacing w:val="-3"/>
        </w:rPr>
        <w:t xml:space="preserve"> </w:t>
      </w:r>
      <w:r>
        <w:t>around</w:t>
      </w:r>
      <w:r>
        <w:rPr>
          <w:spacing w:val="-3"/>
        </w:rPr>
        <w:t xml:space="preserve"> </w:t>
      </w:r>
      <w:r>
        <w:t>$410,000</w:t>
      </w:r>
      <w:r>
        <w:rPr>
          <w:spacing w:val="-3"/>
        </w:rPr>
        <w:t xml:space="preserve"> </w:t>
      </w:r>
      <w:r>
        <w:t>from</w:t>
      </w:r>
      <w:r>
        <w:rPr>
          <w:spacing w:val="-5"/>
        </w:rPr>
        <w:t xml:space="preserve"> </w:t>
      </w:r>
      <w:r>
        <w:t>MBS</w:t>
      </w:r>
      <w:r>
        <w:rPr>
          <w:spacing w:val="-5"/>
        </w:rPr>
        <w:t xml:space="preserve"> </w:t>
      </w:r>
      <w:r>
        <w:t>benefits</w:t>
      </w:r>
      <w:r>
        <w:rPr>
          <w:spacing w:val="-5"/>
        </w:rPr>
        <w:t xml:space="preserve"> </w:t>
      </w:r>
      <w:r>
        <w:t>and</w:t>
      </w:r>
      <w:r>
        <w:rPr>
          <w:spacing w:val="-4"/>
        </w:rPr>
        <w:t xml:space="preserve"> </w:t>
      </w:r>
      <w:r>
        <w:t>an additional $41,000 in patient charges.</w:t>
      </w:r>
    </w:p>
    <w:p w14:paraId="6C20DC21" w14:textId="77777777" w:rsidR="00310270" w:rsidRDefault="00310270" w:rsidP="00310270">
      <w:pPr>
        <w:pStyle w:val="Boxtype"/>
      </w:pPr>
      <w:r>
        <w:t>If</w:t>
      </w:r>
      <w:r>
        <w:rPr>
          <w:spacing w:val="-6"/>
        </w:rPr>
        <w:t xml:space="preserve"> </w:t>
      </w:r>
      <w:r>
        <w:t>the</w:t>
      </w:r>
      <w:r>
        <w:rPr>
          <w:spacing w:val="-3"/>
        </w:rPr>
        <w:t xml:space="preserve"> </w:t>
      </w:r>
      <w:r>
        <w:t>GP</w:t>
      </w:r>
      <w:r>
        <w:rPr>
          <w:spacing w:val="-9"/>
        </w:rPr>
        <w:t xml:space="preserve"> </w:t>
      </w:r>
      <w:r>
        <w:t>practice</w:t>
      </w:r>
      <w:r>
        <w:rPr>
          <w:spacing w:val="-1"/>
        </w:rPr>
        <w:t xml:space="preserve"> </w:t>
      </w:r>
      <w:r>
        <w:t>participates</w:t>
      </w:r>
      <w:r>
        <w:rPr>
          <w:spacing w:val="-4"/>
        </w:rPr>
        <w:t xml:space="preserve"> </w:t>
      </w:r>
      <w:r>
        <w:t>in</w:t>
      </w:r>
      <w:r>
        <w:rPr>
          <w:spacing w:val="-3"/>
        </w:rPr>
        <w:t xml:space="preserve"> </w:t>
      </w:r>
      <w:r>
        <w:t>the</w:t>
      </w:r>
      <w:r>
        <w:rPr>
          <w:spacing w:val="-2"/>
        </w:rPr>
        <w:t xml:space="preserve"> </w:t>
      </w:r>
      <w:r>
        <w:rPr>
          <w:b/>
        </w:rPr>
        <w:t>Bulk</w:t>
      </w:r>
      <w:r>
        <w:rPr>
          <w:b/>
          <w:spacing w:val="-2"/>
        </w:rPr>
        <w:t xml:space="preserve"> </w:t>
      </w:r>
      <w:r>
        <w:rPr>
          <w:b/>
        </w:rPr>
        <w:t>Billing</w:t>
      </w:r>
      <w:r>
        <w:rPr>
          <w:b/>
          <w:spacing w:val="-5"/>
        </w:rPr>
        <w:t xml:space="preserve"> </w:t>
      </w:r>
      <w:r>
        <w:rPr>
          <w:b/>
        </w:rPr>
        <w:t>Practice</w:t>
      </w:r>
      <w:r>
        <w:rPr>
          <w:b/>
          <w:spacing w:val="-2"/>
        </w:rPr>
        <w:t xml:space="preserve"> </w:t>
      </w:r>
      <w:r>
        <w:rPr>
          <w:b/>
        </w:rPr>
        <w:t>Incentive</w:t>
      </w:r>
      <w:r>
        <w:rPr>
          <w:b/>
          <w:spacing w:val="-2"/>
        </w:rPr>
        <w:t xml:space="preserve"> </w:t>
      </w:r>
      <w:proofErr w:type="gramStart"/>
      <w:r>
        <w:rPr>
          <w:b/>
        </w:rPr>
        <w:t>Program</w:t>
      </w:r>
      <w:proofErr w:type="gramEnd"/>
      <w:r>
        <w:rPr>
          <w:b/>
        </w:rPr>
        <w:t xml:space="preserve"> they will receive around $97,000 </w:t>
      </w:r>
      <w:r>
        <w:t>in additional revenue from bulk billing and practice incentives.</w:t>
      </w:r>
    </w:p>
    <w:p w14:paraId="6800D29D" w14:textId="3DAFCDBE" w:rsidR="00310270" w:rsidRDefault="00310270" w:rsidP="00310270">
      <w:pPr>
        <w:pStyle w:val="Boxtype"/>
      </w:pPr>
      <w:r>
        <w:t>After</w:t>
      </w:r>
      <w:r>
        <w:rPr>
          <w:spacing w:val="-4"/>
        </w:rPr>
        <w:t xml:space="preserve"> </w:t>
      </w:r>
      <w:r>
        <w:t>covering</w:t>
      </w:r>
      <w:r>
        <w:rPr>
          <w:spacing w:val="-3"/>
        </w:rPr>
        <w:t xml:space="preserve"> </w:t>
      </w:r>
      <w:r>
        <w:t>the</w:t>
      </w:r>
      <w:r>
        <w:rPr>
          <w:spacing w:val="-3"/>
        </w:rPr>
        <w:t xml:space="preserve"> </w:t>
      </w:r>
      <w:r>
        <w:t>$41,000</w:t>
      </w:r>
      <w:r>
        <w:rPr>
          <w:spacing w:val="-3"/>
        </w:rPr>
        <w:t xml:space="preserve"> </w:t>
      </w:r>
      <w:r>
        <w:t>shortfall</w:t>
      </w:r>
      <w:r>
        <w:rPr>
          <w:spacing w:val="-5"/>
        </w:rPr>
        <w:t xml:space="preserve"> </w:t>
      </w:r>
      <w:r>
        <w:t>from</w:t>
      </w:r>
      <w:r>
        <w:rPr>
          <w:spacing w:val="-4"/>
        </w:rPr>
        <w:t xml:space="preserve"> </w:t>
      </w:r>
      <w:r>
        <w:t>no</w:t>
      </w:r>
      <w:r>
        <w:rPr>
          <w:spacing w:val="-3"/>
        </w:rPr>
        <w:t xml:space="preserve"> </w:t>
      </w:r>
      <w:r>
        <w:t>longer</w:t>
      </w:r>
      <w:r>
        <w:rPr>
          <w:spacing w:val="-4"/>
        </w:rPr>
        <w:t xml:space="preserve"> </w:t>
      </w:r>
      <w:r>
        <w:t>charging patients,</w:t>
      </w:r>
      <w:r>
        <w:rPr>
          <w:spacing w:val="-6"/>
        </w:rPr>
        <w:t xml:space="preserve"> </w:t>
      </w:r>
      <w:r>
        <w:t>the practice</w:t>
      </w:r>
      <w:r>
        <w:rPr>
          <w:spacing w:val="-2"/>
        </w:rPr>
        <w:t xml:space="preserve"> </w:t>
      </w:r>
      <w:r>
        <w:t>is now $56,000 a year better off – with additional revenue now available to invest in the practice.</w:t>
      </w:r>
    </w:p>
    <w:p w14:paraId="1C74CDD0" w14:textId="77777777" w:rsidR="00310270" w:rsidRDefault="00310270">
      <w:pPr>
        <w:spacing w:before="0" w:after="0" w:line="240" w:lineRule="auto"/>
        <w:rPr>
          <w:rFonts w:cs="Arial"/>
          <w:lang w:val="en"/>
        </w:rPr>
      </w:pPr>
      <w:r>
        <w:br w:type="page"/>
      </w:r>
    </w:p>
    <w:p w14:paraId="7D7CF429" w14:textId="71C45C3C" w:rsidR="00310270" w:rsidRDefault="00310270" w:rsidP="00310270">
      <w:pPr>
        <w:pStyle w:val="Heading1majorheading"/>
      </w:pPr>
      <w:r w:rsidRPr="00310270">
        <w:lastRenderedPageBreak/>
        <w:t>What does this mean for GPs?</w:t>
      </w:r>
    </w:p>
    <w:p w14:paraId="3BD8E5C5" w14:textId="77777777" w:rsidR="00310270" w:rsidRPr="00310270" w:rsidRDefault="00310270" w:rsidP="00310270">
      <w:pPr>
        <w:pStyle w:val="Heading3"/>
      </w:pPr>
      <w:r w:rsidRPr="00310270">
        <w:t>Can I claim bulk billing incentive items if my practice doesn’t join the Program?</w:t>
      </w:r>
    </w:p>
    <w:p w14:paraId="0AF37A28" w14:textId="77777777" w:rsidR="00310270" w:rsidRDefault="00310270" w:rsidP="00310270">
      <w:r>
        <w:t>Yes. GPs will be able to claim bulk billing incentive items for any patient they bulk bill. There will be no other changes to existing bulk billing items.</w:t>
      </w:r>
    </w:p>
    <w:p w14:paraId="39A1FDDD" w14:textId="77777777" w:rsidR="00310270" w:rsidRDefault="00310270" w:rsidP="00310270">
      <w:pPr>
        <w:pStyle w:val="Heading3"/>
      </w:pPr>
      <w:r>
        <w:t>Does my practice have to join the Bulk Billing Practice Incentive Program?</w:t>
      </w:r>
    </w:p>
    <w:p w14:paraId="67EF4168" w14:textId="0B569BB0" w:rsidR="00310270" w:rsidRDefault="00310270" w:rsidP="00310270">
      <w:r>
        <w:t>No. The Program is voluntary. Practices can choose to opt-in or opt-out at any time.</w:t>
      </w:r>
    </w:p>
    <w:p w14:paraId="60AD2F03" w14:textId="77777777" w:rsidR="00310270" w:rsidRDefault="00310270" w:rsidP="00310270">
      <w:pPr>
        <w:pStyle w:val="Heading3"/>
      </w:pPr>
      <w:r>
        <w:t>I work at two GP practices – do both have to participate in the Program?</w:t>
      </w:r>
    </w:p>
    <w:p w14:paraId="3DE5B487" w14:textId="4FBC7162" w:rsidR="00310270" w:rsidRDefault="00310270" w:rsidP="00310270">
      <w:r>
        <w:t>No. GPs will only be required to bulk bill all of their services at participating practices.</w:t>
      </w:r>
    </w:p>
    <w:p w14:paraId="304B7FC7" w14:textId="77777777" w:rsidR="00310270" w:rsidRDefault="00310270" w:rsidP="00310270">
      <w:pPr>
        <w:pStyle w:val="Heading3"/>
      </w:pPr>
      <w:r>
        <w:t>What services must be bulk billed in the Program?</w:t>
      </w:r>
    </w:p>
    <w:p w14:paraId="5B71BBE0" w14:textId="77777777" w:rsidR="00310270" w:rsidRDefault="00310270" w:rsidP="00310270">
      <w:r>
        <w:t>All general practice non-referred attendance (GP NRA) services must be bulk billed for all patients. This includes most time-tiered consultation items, health assessments, mental health treatment plans and chronic disease management items.</w:t>
      </w:r>
    </w:p>
    <w:p w14:paraId="35415E43" w14:textId="77777777" w:rsidR="00310270" w:rsidRDefault="00310270" w:rsidP="00310270">
      <w:r>
        <w:t>Services that do not fall within this category (</w:t>
      </w:r>
      <w:proofErr w:type="gramStart"/>
      <w:r>
        <w:t>e.g.</w:t>
      </w:r>
      <w:proofErr w:type="gramEnd"/>
      <w:r>
        <w:t xml:space="preserve"> some procedural items) will not be subject to the bulk billing requirement.</w:t>
      </w:r>
    </w:p>
    <w:p w14:paraId="0AA25328" w14:textId="5A5D7E20" w:rsidR="00310270" w:rsidRDefault="00310270" w:rsidP="00310270">
      <w:r>
        <w:t>A full list of items will be made available on the Department’s website.</w:t>
      </w:r>
    </w:p>
    <w:p w14:paraId="105CE1A1" w14:textId="77777777" w:rsidR="00310270" w:rsidRDefault="00310270" w:rsidP="00310270">
      <w:pPr>
        <w:pStyle w:val="Heading3"/>
      </w:pPr>
      <w:r>
        <w:t>Do all GPs have to meet the bulk billing requirements for the practice to join the Program?</w:t>
      </w:r>
    </w:p>
    <w:p w14:paraId="3710FADF" w14:textId="17F62E5E" w:rsidR="00310270" w:rsidRDefault="00310270" w:rsidP="00310270">
      <w:r>
        <w:t>Yes. All GPs at a participating clinic must bulk bill all applicable services for all patients.</w:t>
      </w:r>
    </w:p>
    <w:p w14:paraId="21750FF6" w14:textId="77777777" w:rsidR="00310270" w:rsidRDefault="00310270" w:rsidP="00310270">
      <w:pPr>
        <w:pStyle w:val="Heading3"/>
      </w:pPr>
      <w:r>
        <w:t>How often will incentive payments be made?</w:t>
      </w:r>
    </w:p>
    <w:p w14:paraId="22F206C4" w14:textId="77777777" w:rsidR="00310270" w:rsidRDefault="00310270" w:rsidP="00310270">
      <w:r>
        <w:t>Incentive payments will be made quarterly in arrears. Payments will commence in the first quarter of 2026.</w:t>
      </w:r>
    </w:p>
    <w:p w14:paraId="39FA6219" w14:textId="77777777" w:rsidR="00310270" w:rsidRDefault="00310270" w:rsidP="00310270">
      <w:pPr>
        <w:pStyle w:val="Heading3"/>
      </w:pPr>
      <w:r>
        <w:t>How will the incentive payment be paid and who receives it, practices or GPs?</w:t>
      </w:r>
    </w:p>
    <w:p w14:paraId="55922B34" w14:textId="77777777" w:rsidR="00310270" w:rsidRDefault="00310270" w:rsidP="00310270">
      <w:r>
        <w:t>The incentive payment will be split evenly between practices and GPs, with one portion paid directly to the GP and the other portion paid directly to their associated clinic.</w:t>
      </w:r>
    </w:p>
    <w:p w14:paraId="639046BA" w14:textId="77777777" w:rsidR="00310270" w:rsidRDefault="00310270" w:rsidP="00310270">
      <w:r>
        <w:t>Bulk billing incentive benefits will continue to be paid directly to the GP.</w:t>
      </w:r>
    </w:p>
    <w:p w14:paraId="30F6296F" w14:textId="77777777" w:rsidR="00310270" w:rsidRDefault="00310270" w:rsidP="00310270">
      <w:pPr>
        <w:pStyle w:val="Heading3"/>
      </w:pPr>
      <w:r>
        <w:t>Do I need to track my practice’s bulk billing and provide this information in order to receive a payment?</w:t>
      </w:r>
    </w:p>
    <w:p w14:paraId="5A13CFC7" w14:textId="6EA05552" w:rsidR="00310270" w:rsidRPr="00310270" w:rsidRDefault="00310270" w:rsidP="00310270">
      <w:r>
        <w:t>No. Payments will be automated. Services Australia will monitor your practice’s adherence to the bulk billing requirement and will provide payment based on information in the system.</w:t>
      </w:r>
    </w:p>
    <w:sectPr w:rsidR="00310270" w:rsidRPr="00310270"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66077" w14:textId="77777777" w:rsidR="00D43A49" w:rsidRDefault="00D43A49" w:rsidP="006B56BB">
      <w:r>
        <w:separator/>
      </w:r>
    </w:p>
    <w:p w14:paraId="6ECF87B9" w14:textId="77777777" w:rsidR="00D43A49" w:rsidRDefault="00D43A49"/>
  </w:endnote>
  <w:endnote w:type="continuationSeparator" w:id="0">
    <w:p w14:paraId="74E5A2B8" w14:textId="77777777" w:rsidR="00D43A49" w:rsidRDefault="00D43A49" w:rsidP="006B56BB">
      <w:r>
        <w:continuationSeparator/>
      </w:r>
    </w:p>
    <w:p w14:paraId="28A06315" w14:textId="77777777" w:rsidR="00D43A49" w:rsidRDefault="00D43A49"/>
  </w:endnote>
  <w:endnote w:type="continuationNotice" w:id="1">
    <w:p w14:paraId="79B0C393" w14:textId="77777777" w:rsidR="00D43A49" w:rsidRDefault="00D43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1941" w14:textId="0CCB0788" w:rsidR="00B53987" w:rsidRPr="00310270" w:rsidRDefault="00310270" w:rsidP="00310270">
    <w:pPr>
      <w:pStyle w:val="Footer"/>
      <w:jc w:val="left"/>
    </w:pPr>
    <w:r w:rsidRPr="00310270">
      <w:rPr>
        <w:b/>
        <w:bCs/>
      </w:rPr>
      <w:t>Department of Health, Disability and Ageing –</w:t>
    </w:r>
    <w:r>
      <w:t xml:space="preserve"> </w:t>
    </w:r>
    <w:r>
      <w:br/>
      <w:t>Strengthening Medicare with more bulk billing</w:t>
    </w:r>
    <w:sdt>
      <w:sdtPr>
        <w:id w:val="7956405"/>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rPr>
            <w:noProof/>
          </w:rPr>
          <w:t>1</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FD7C" w14:textId="0022348A" w:rsidR="00B53987" w:rsidRDefault="00AA262B" w:rsidP="00310270">
    <w:pPr>
      <w:pStyle w:val="Footer"/>
      <w:jc w:val="left"/>
    </w:pPr>
    <w:bookmarkStart w:id="1" w:name="_Hlk206496882"/>
    <w:r w:rsidRPr="00310270">
      <w:rPr>
        <w:b/>
        <w:bCs/>
      </w:rPr>
      <w:t>Department of Health</w:t>
    </w:r>
    <w:r w:rsidR="00313F8B" w:rsidRPr="00310270">
      <w:rPr>
        <w:b/>
        <w:bCs/>
      </w:rPr>
      <w:t xml:space="preserve">, Disability and </w:t>
    </w:r>
    <w:r w:rsidRPr="00310270">
      <w:rPr>
        <w:b/>
        <w:bCs/>
      </w:rPr>
      <w:t>Age</w:t>
    </w:r>
    <w:r w:rsidR="00313F8B" w:rsidRPr="00310270">
      <w:rPr>
        <w:b/>
        <w:bCs/>
      </w:rPr>
      <w:t>ing</w:t>
    </w:r>
    <w:r w:rsidRPr="00310270">
      <w:rPr>
        <w:b/>
        <w:bCs/>
      </w:rPr>
      <w:t xml:space="preserve"> </w:t>
    </w:r>
    <w:r w:rsidR="00B53987" w:rsidRPr="00310270">
      <w:rPr>
        <w:b/>
        <w:bCs/>
      </w:rPr>
      <w:t>–</w:t>
    </w:r>
    <w:r w:rsidR="00B53987">
      <w:t xml:space="preserve"> </w:t>
    </w:r>
    <w:r w:rsidR="00310270">
      <w:br/>
    </w:r>
    <w:r w:rsidR="00310270">
      <w:t>Strengthening Medicare with more bulk billing</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608FD" w14:textId="77777777" w:rsidR="00D43A49" w:rsidRDefault="00D43A49" w:rsidP="006B56BB">
      <w:r>
        <w:separator/>
      </w:r>
    </w:p>
    <w:p w14:paraId="35D3AD66" w14:textId="77777777" w:rsidR="00D43A49" w:rsidRDefault="00D43A49"/>
  </w:footnote>
  <w:footnote w:type="continuationSeparator" w:id="0">
    <w:p w14:paraId="3D204038" w14:textId="77777777" w:rsidR="00D43A49" w:rsidRDefault="00D43A49" w:rsidP="006B56BB">
      <w:r>
        <w:continuationSeparator/>
      </w:r>
    </w:p>
    <w:p w14:paraId="194C7AD0" w14:textId="77777777" w:rsidR="00D43A49" w:rsidRDefault="00D43A49"/>
  </w:footnote>
  <w:footnote w:type="continuationNotice" w:id="1">
    <w:p w14:paraId="59BCB5B2" w14:textId="77777777" w:rsidR="00D43A49" w:rsidRDefault="00D43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8F8F"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BF76" w14:textId="77777777" w:rsidR="00B53987" w:rsidRDefault="00313F8B">
    <w:pPr>
      <w:pStyle w:val="Header"/>
    </w:pPr>
    <w:r>
      <w:rPr>
        <w:noProof/>
        <w:lang w:eastAsia="en-AU"/>
      </w:rPr>
      <w:drawing>
        <wp:inline distT="0" distB="0" distL="0" distR="0" wp14:anchorId="6F27E1F5" wp14:editId="4086C329">
          <wp:extent cx="5756275" cy="689547"/>
          <wp:effectExtent l="0" t="0" r="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b="26770"/>
                  <a:stretch/>
                </pic:blipFill>
                <pic:spPr bwMode="auto">
                  <a:xfrm>
                    <a:off x="0" y="0"/>
                    <a:ext cx="5759450" cy="68992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2435E4"/>
    <w:multiLevelType w:val="hybridMultilevel"/>
    <w:tmpl w:val="5F14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6"/>
  </w:num>
  <w:num w:numId="3" w16cid:durableId="99111382">
    <w:abstractNumId w:val="18"/>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4"/>
  </w:num>
  <w:num w:numId="8" w16cid:durableId="1674914654">
    <w:abstractNumId w:val="17"/>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19"/>
  </w:num>
  <w:num w:numId="17" w16cid:durableId="1161384352">
    <w:abstractNumId w:val="10"/>
  </w:num>
  <w:num w:numId="18" w16cid:durableId="1115442587">
    <w:abstractNumId w:val="11"/>
  </w:num>
  <w:num w:numId="19" w16cid:durableId="913049504">
    <w:abstractNumId w:val="13"/>
  </w:num>
  <w:num w:numId="20" w16cid:durableId="1185171215">
    <w:abstractNumId w:val="10"/>
  </w:num>
  <w:num w:numId="21" w16cid:durableId="1306743019">
    <w:abstractNumId w:val="13"/>
  </w:num>
  <w:num w:numId="22" w16cid:durableId="1809544992">
    <w:abstractNumId w:val="19"/>
  </w:num>
  <w:num w:numId="23" w16cid:durableId="638191149">
    <w:abstractNumId w:val="16"/>
  </w:num>
  <w:num w:numId="24" w16cid:durableId="503975017">
    <w:abstractNumId w:val="18"/>
  </w:num>
  <w:num w:numId="25" w16cid:durableId="215359669">
    <w:abstractNumId w:val="8"/>
  </w:num>
  <w:num w:numId="26" w16cid:durableId="352608886">
    <w:abstractNumId w:val="15"/>
  </w:num>
  <w:num w:numId="27" w16cid:durableId="10030505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88"/>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22F6"/>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10270"/>
    <w:rsid w:val="00313F8B"/>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5BB"/>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6E4CD9"/>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DE8"/>
    <w:rsid w:val="008E0C77"/>
    <w:rsid w:val="008E625F"/>
    <w:rsid w:val="008F00C6"/>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16AE"/>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4188"/>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3A49"/>
    <w:rsid w:val="00D524C8"/>
    <w:rsid w:val="00D65099"/>
    <w:rsid w:val="00D70E24"/>
    <w:rsid w:val="00D72B61"/>
    <w:rsid w:val="00D87086"/>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1917"/>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0DA4"/>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FB510"/>
  <w15:docId w15:val="{C02AD601-438B-40D5-8147-0E6A8E18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6E4CD9"/>
    <w:pPr>
      <w:keepNext/>
      <w:spacing w:before="240" w:after="60"/>
      <w:outlineLvl w:val="0"/>
    </w:pPr>
    <w:rPr>
      <w:rFonts w:ascii="Arial" w:hAnsi="Arial" w:cs="Arial"/>
      <w:b/>
      <w:bCs/>
      <w:color w:val="008938"/>
      <w:kern w:val="28"/>
      <w:sz w:val="44"/>
      <w:szCs w:val="36"/>
      <w:lang w:eastAsia="en-US"/>
    </w:rPr>
  </w:style>
  <w:style w:type="paragraph" w:styleId="Heading2">
    <w:name w:val="heading 2"/>
    <w:next w:val="Normal"/>
    <w:qFormat/>
    <w:rsid w:val="00310270"/>
    <w:pPr>
      <w:keepNext/>
      <w:spacing w:before="240" w:after="240"/>
      <w:outlineLvl w:val="1"/>
    </w:pPr>
    <w:rPr>
      <w:rFonts w:ascii="Arial" w:hAnsi="Arial" w:cs="Arial"/>
      <w:b/>
      <w:bCs/>
      <w:iCs/>
      <w:color w:val="008938"/>
      <w:sz w:val="32"/>
      <w:szCs w:val="24"/>
      <w:lang w:eastAsia="en-US"/>
    </w:rPr>
  </w:style>
  <w:style w:type="paragraph" w:styleId="Heading3">
    <w:name w:val="heading 3"/>
    <w:basedOn w:val="Heading2"/>
    <w:next w:val="Normal"/>
    <w:qFormat/>
    <w:rsid w:val="00310270"/>
    <w:pPr>
      <w:spacing w:before="360" w:after="120"/>
      <w:outlineLvl w:val="2"/>
    </w:pPr>
    <w:rPr>
      <w:sz w:val="24"/>
      <w:szCs w:val="21"/>
    </w:rPr>
  </w:style>
  <w:style w:type="paragraph" w:styleId="Heading4">
    <w:name w:val="heading 4"/>
    <w:next w:val="Normal"/>
    <w:qFormat/>
    <w:rsid w:val="006E4CD9"/>
    <w:pPr>
      <w:keepNext/>
      <w:spacing w:before="240" w:after="60"/>
      <w:outlineLvl w:val="3"/>
    </w:pPr>
    <w:rPr>
      <w:rFonts w:ascii="Arial" w:hAnsi="Arial"/>
      <w:b/>
      <w:bCs/>
      <w:i/>
      <w:color w:val="008938"/>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6E4CD9"/>
    <w:pPr>
      <w:pBdr>
        <w:top w:val="single" w:sz="4" w:space="8" w:color="008938"/>
        <w:left w:val="single" w:sz="4" w:space="8" w:color="008938"/>
        <w:bottom w:val="single" w:sz="4" w:space="8" w:color="008938"/>
        <w:right w:val="single" w:sz="4" w:space="8" w:color="008938"/>
      </w:pBdr>
      <w:shd w:val="clear" w:color="auto" w:fill="008938"/>
      <w:spacing w:before="360" w:after="120"/>
      <w:contextualSpacing/>
    </w:pPr>
    <w:rPr>
      <w:rFonts w:ascii="Arial" w:eastAsiaTheme="majorEastAsia" w:hAnsi="Arial" w:cstheme="majorBidi"/>
      <w:b/>
      <w:color w:val="FFFFFF" w:themeColor="background1"/>
      <w:kern w:val="28"/>
      <w:sz w:val="48"/>
      <w:szCs w:val="52"/>
      <w:lang w:eastAsia="en-US"/>
    </w:rPr>
  </w:style>
  <w:style w:type="character" w:customStyle="1" w:styleId="TitleChar">
    <w:name w:val="Title Char"/>
    <w:basedOn w:val="DefaultParagraphFont"/>
    <w:link w:val="Title"/>
    <w:rsid w:val="006E4CD9"/>
    <w:rPr>
      <w:rFonts w:ascii="Arial" w:eastAsiaTheme="majorEastAsia" w:hAnsi="Arial" w:cstheme="majorBidi"/>
      <w:b/>
      <w:color w:val="FFFFFF" w:themeColor="background1"/>
      <w:kern w:val="28"/>
      <w:sz w:val="48"/>
      <w:szCs w:val="52"/>
      <w:shd w:val="clear" w:color="auto" w:fill="008938"/>
      <w:lang w:eastAsia="en-US"/>
    </w:rPr>
  </w:style>
  <w:style w:type="paragraph" w:customStyle="1" w:styleId="Boxheading">
    <w:name w:val="Box heading"/>
    <w:basedOn w:val="Boxtype"/>
    <w:qFormat/>
    <w:rsid w:val="006E4CD9"/>
    <w:pPr>
      <w:spacing w:before="240"/>
    </w:pPr>
    <w:rPr>
      <w:rFonts w:cs="Times New Roman"/>
      <w:b/>
      <w:bCs/>
      <w:color w:val="008938"/>
      <w:sz w:val="36"/>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6E4CD9"/>
    <w:pPr>
      <w:pBdr>
        <w:top w:val="single" w:sz="4" w:space="15" w:color="008938"/>
        <w:bottom w:val="single" w:sz="4" w:space="10" w:color="008938"/>
      </w:pBdr>
      <w:spacing w:before="240" w:after="240" w:line="340" w:lineRule="exact"/>
    </w:pPr>
    <w:rPr>
      <w:rFonts w:eastAsiaTheme="minorHAnsi"/>
      <w:color w:val="008938"/>
    </w:rPr>
  </w:style>
  <w:style w:type="paragraph" w:customStyle="1" w:styleId="Boxtype">
    <w:name w:val="Box type"/>
    <w:next w:val="Normal"/>
    <w:qFormat/>
    <w:rsid w:val="006E4CD9"/>
    <w:pPr>
      <w:pBdr>
        <w:top w:val="single" w:sz="6" w:space="20" w:color="008938"/>
        <w:left w:val="single" w:sz="6" w:space="10" w:color="008938"/>
        <w:bottom w:val="single" w:sz="6" w:space="10" w:color="008938"/>
        <w:right w:val="single" w:sz="6" w:space="10" w:color="008938"/>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6E4CD9"/>
    <w:pPr>
      <w:pBdr>
        <w:top w:val="single" w:sz="4" w:space="8" w:color="008938"/>
        <w:left w:val="single" w:sz="4" w:space="8" w:color="008938"/>
        <w:bottom w:val="single" w:sz="4" w:space="8" w:color="008938"/>
        <w:right w:val="single" w:sz="4" w:space="8" w:color="008938"/>
      </w:pBdr>
      <w:shd w:val="clear" w:color="auto" w:fill="008938"/>
      <w:spacing w:before="480" w:line="400" w:lineRule="exact"/>
    </w:pPr>
    <w:rPr>
      <w:color w:val="FFFFFF" w:themeColor="background1"/>
      <w:sz w:val="28"/>
    </w:rPr>
  </w:style>
  <w:style w:type="paragraph" w:customStyle="1" w:styleId="Heading1majorheading">
    <w:name w:val="Heading 1 major heading"/>
    <w:basedOn w:val="Heading1"/>
    <w:rsid w:val="006E4CD9"/>
    <w:pPr>
      <w:pBdr>
        <w:top w:val="single" w:sz="48" w:space="1" w:color="008938"/>
        <w:left w:val="single" w:sz="48" w:space="4" w:color="008938"/>
        <w:bottom w:val="single" w:sz="48" w:space="1" w:color="008938"/>
        <w:right w:val="single" w:sz="48" w:space="4" w:color="008938"/>
      </w:pBdr>
      <w:shd w:val="clear" w:color="auto" w:fill="008938"/>
      <w:spacing w:after="240"/>
    </w:pPr>
    <w:rPr>
      <w:color w:val="FFFFFF" w:themeColor="background1"/>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zh\Downloads\Department%20of%20Health,%20Disability%20and%20Ageing%20fact%20sheet%20template%20bl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385b24-fdc9-465b-acea-1175dd5222bb" xsi:nil="true"/>
    <lcf76f155ced4ddcb4097134ff3c332f xmlns="4ad531cf-87ce-42ef-97b9-c349eda1b4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3CCE3-31B8-47BB-A69C-1F2F725D2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C:\Users\dongzh\Downloads\Department of Health, Disability and Ageing fact sheet template blue.dotx</Template>
  <TotalTime>0</TotalTime>
  <Pages>4</Pages>
  <Words>1006</Words>
  <Characters>5265</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Strengthening Medicare with more bulk billing</vt:lpstr>
    </vt:vector>
  </TitlesOfParts>
  <Manager/>
  <Company>Australian Government Department of Health Disability and Ageing</Company>
  <LinksUpToDate>false</LinksUpToDate>
  <CharactersWithSpaces>6206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Medicare with more bulk billing</dc:title>
  <dc:subject>bulk billing, medicare</dc:subject>
  <dc:creator>Australian Government Department of Health Disability and Ageing</dc:creator>
  <cp:keywords>bulk billing, general practice, bulk billing practice incentive program</cp:keywords>
  <dc:description/>
  <cp:lastModifiedBy>HOOD, Jodi</cp:lastModifiedBy>
  <cp:revision>3</cp:revision>
  <dcterms:created xsi:type="dcterms:W3CDTF">2025-08-19T01:58:00Z</dcterms:created>
  <dcterms:modified xsi:type="dcterms:W3CDTF">2025-08-19T02:24:00Z</dcterms:modified>
  <cp:category>Medicare</cp:category>
</cp:coreProperties>
</file>