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E460" w14:textId="77777777" w:rsidR="00AA55CC" w:rsidRDefault="00AA55CC" w:rsidP="00AA55CC">
      <w:pPr>
        <w:pStyle w:val="Heading1"/>
      </w:pPr>
      <w:bookmarkStart w:id="0" w:name="_Hlk77576590"/>
      <w:r w:rsidRPr="006D3057">
        <w:t>Practitioner review program, for practitioners – the six-month review</w:t>
      </w:r>
    </w:p>
    <w:p w14:paraId="74541AC0" w14:textId="77777777" w:rsidR="00AA55CC" w:rsidRDefault="00AA55CC" w:rsidP="007B1D54">
      <w:r w:rsidRPr="007770FC">
        <w:t>Information about the Practitioner Review Program (PRP) six-month period of review.</w:t>
      </w:r>
    </w:p>
    <w:p w14:paraId="59933CD2" w14:textId="77777777" w:rsidR="00AA55CC" w:rsidRPr="007770FC" w:rsidRDefault="00AA55CC" w:rsidP="00AA55CC">
      <w:pPr>
        <w:pStyle w:val="Heading2"/>
      </w:pPr>
      <w:r>
        <w:t>The six-month period of review</w:t>
      </w:r>
    </w:p>
    <w:p w14:paraId="009134E9" w14:textId="77777777" w:rsidR="00AA55CC" w:rsidRPr="006D3057" w:rsidRDefault="00AA55CC" w:rsidP="00AA55CC">
      <w:pPr>
        <w:spacing w:after="240"/>
      </w:pPr>
      <w:bookmarkStart w:id="1" w:name="_Hlk77576576"/>
      <w:bookmarkEnd w:id="0"/>
      <w:r w:rsidRPr="007770FC">
        <w:t>If some or all the identified concerns remain after the interview, you may be offered a six</w:t>
      </w:r>
      <w:r w:rsidRPr="007770FC">
        <w:noBreakHyphen/>
        <w:t>month review. This allows you time to consider your billing and/or prescribing as highlighted at interview and make any changes if necessary.</w:t>
      </w:r>
    </w:p>
    <w:p w14:paraId="5DA78258" w14:textId="77777777" w:rsidR="00AA55CC" w:rsidRPr="006D3057" w:rsidRDefault="00AA55CC" w:rsidP="00AA55CC">
      <w:r w:rsidRPr="007770FC">
        <w:t>After the six-month review period ends, a Professional Adviser will examine your Medicare servicing data from that time</w:t>
      </w:r>
      <w:r>
        <w:t>. To allow time for data to become available, this will be approximately 8 to 9 months after you were notified you were placed in six-month review</w:t>
      </w:r>
      <w:r w:rsidRPr="007770FC">
        <w:t>. You will not be contacted again for information during the six-month review. Possible outcomes include the following:</w:t>
      </w:r>
    </w:p>
    <w:p w14:paraId="7E40508B" w14:textId="77777777" w:rsidR="00AA55CC" w:rsidRPr="007770FC" w:rsidRDefault="00AA55CC" w:rsidP="008E280E">
      <w:pPr>
        <w:pStyle w:val="ListBullet"/>
      </w:pPr>
      <w:r w:rsidRPr="007770FC">
        <w:t>all concerns are addressed, and no further action is required, so the matter is closed</w:t>
      </w:r>
    </w:p>
    <w:p w14:paraId="045EE35B" w14:textId="77777777" w:rsidR="00AA55CC" w:rsidRPr="006D3057" w:rsidRDefault="00AA55CC" w:rsidP="008E280E">
      <w:pPr>
        <w:pStyle w:val="ListBullet"/>
      </w:pPr>
      <w:r w:rsidRPr="007770FC">
        <w:t xml:space="preserve">some or all the concerns remain, or new concerns are identified, and the matter is referred to a delegate of the Chief Executive Medicare (delegate) to consider whether to make a request to the Director of </w:t>
      </w:r>
      <w:r>
        <w:t>Professional Services Review</w:t>
      </w:r>
      <w:r w:rsidRPr="007770FC">
        <w:t>.</w:t>
      </w:r>
    </w:p>
    <w:p w14:paraId="4744BB1A" w14:textId="77777777" w:rsidR="00AA55CC" w:rsidRPr="006D3057" w:rsidRDefault="00AA55CC" w:rsidP="007B1D54">
      <w:r w:rsidRPr="007770FC">
        <w:t>We will write to you to let you know the outcome of the six-month review. Where you are referred to a delegate</w:t>
      </w:r>
      <w:r>
        <w:t xml:space="preserve"> after your six-month review</w:t>
      </w:r>
      <w:r w:rsidRPr="007770FC">
        <w:t>, an explanation will be provided in the letter.</w:t>
      </w:r>
    </w:p>
    <w:p w14:paraId="32CAB242" w14:textId="77777777" w:rsidR="00AA55CC" w:rsidRPr="007770FC" w:rsidRDefault="00AA55CC" w:rsidP="007B1D54">
      <w:pPr>
        <w:rPr>
          <w:b/>
        </w:rPr>
      </w:pPr>
      <w:r w:rsidRPr="007770FC">
        <w:t>All relevant information is carefully considered prior to referring a case to the delegate, including:</w:t>
      </w:r>
    </w:p>
    <w:p w14:paraId="25255157" w14:textId="77777777" w:rsidR="00AA55CC" w:rsidRPr="007770FC" w:rsidRDefault="00AA55CC" w:rsidP="008E280E">
      <w:pPr>
        <w:pStyle w:val="ListBullet"/>
      </w:pPr>
      <w:r w:rsidRPr="007770FC">
        <w:t>your Medicare</w:t>
      </w:r>
      <w:r>
        <w:t>, Child Dental Benefits servicing</w:t>
      </w:r>
      <w:r w:rsidRPr="007770FC">
        <w:t xml:space="preserve"> and</w:t>
      </w:r>
      <w:r>
        <w:t>/or Pharmaceutical Benefits Scheme</w:t>
      </w:r>
      <w:r w:rsidRPr="007770FC">
        <w:t xml:space="preserve"> </w:t>
      </w:r>
      <w:r>
        <w:t>prescribing</w:t>
      </w:r>
      <w:r w:rsidRPr="007770FC">
        <w:t xml:space="preserve"> data </w:t>
      </w:r>
    </w:p>
    <w:p w14:paraId="23AE3566" w14:textId="77777777" w:rsidR="00AA55CC" w:rsidRPr="007770FC" w:rsidRDefault="00AA55CC" w:rsidP="008E280E">
      <w:pPr>
        <w:pStyle w:val="ListBullet"/>
      </w:pPr>
      <w:r w:rsidRPr="007770FC">
        <w:t>information provided by you at interview</w:t>
      </w:r>
    </w:p>
    <w:p w14:paraId="4964A185" w14:textId="38AFA9CF" w:rsidR="00421FF3" w:rsidRPr="00AA55CC" w:rsidRDefault="00AA55CC" w:rsidP="008E280E">
      <w:pPr>
        <w:pStyle w:val="ListBullet"/>
      </w:pPr>
      <w:r w:rsidRPr="007770FC">
        <w:t>any other information that may arise about your case</w:t>
      </w:r>
      <w:r>
        <w:t>.</w:t>
      </w:r>
      <w:bookmarkEnd w:id="1"/>
    </w:p>
    <w:sectPr w:rsidR="00421FF3" w:rsidRPr="00AA5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AEC2" w14:textId="77777777" w:rsidR="00A93C5B" w:rsidRDefault="00A93C5B">
      <w:pPr>
        <w:spacing w:line="240" w:lineRule="auto"/>
      </w:pPr>
      <w:r>
        <w:separator/>
      </w:r>
    </w:p>
  </w:endnote>
  <w:endnote w:type="continuationSeparator" w:id="0">
    <w:p w14:paraId="20943446" w14:textId="77777777" w:rsidR="00A93C5B" w:rsidRDefault="00A93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6340" w14:textId="15F2B46A" w:rsidR="0002083B" w:rsidRDefault="00020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0009DF" wp14:editId="3D2069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9265"/>
              <wp:effectExtent l="0" t="0" r="635" b="0"/>
              <wp:wrapNone/>
              <wp:docPr id="10848755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06895" w14:textId="03990389" w:rsidR="0002083B" w:rsidRPr="0002083B" w:rsidRDefault="0002083B" w:rsidP="000208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08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009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6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" filled="f" stroked="f">
              <v:textbox style="mso-fit-shape-to-text:t" inset="0,0,0,15pt">
                <w:txbxContent>
                  <w:p w14:paraId="6E606895" w14:textId="03990389" w:rsidR="0002083B" w:rsidRPr="0002083B" w:rsidRDefault="0002083B" w:rsidP="000208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08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9F51" w14:textId="259A9740" w:rsidR="00421FF3" w:rsidRDefault="00421FF3" w:rsidP="0022339E">
    <w:pPr>
      <w:pStyle w:val="Footer"/>
    </w:pPr>
    <w:r>
      <w:t>Department of Health, Disability and Ageing</w:t>
    </w:r>
    <w:r w:rsidR="0022339E">
      <w:t xml:space="preserve"> </w:t>
    </w:r>
    <w:r w:rsidR="00AA55CC">
      <w:t xml:space="preserve">– </w:t>
    </w:r>
    <w:r w:rsidR="0022339E">
      <w:t>Practitioner review program, for practitioners – the six-month review</w:t>
    </w:r>
    <w:r w:rsidR="00AA55CC">
      <w:tab/>
    </w:r>
    <w:r w:rsidR="00AA55CC"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55CC">
          <w:fldChar w:fldCharType="begin"/>
        </w:r>
        <w:r w:rsidR="00AA55CC">
          <w:instrText xml:space="preserve"> PAGE   \* MERGEFORMAT </w:instrText>
        </w:r>
        <w:r w:rsidR="00AA55CC">
          <w:fldChar w:fldCharType="separate"/>
        </w:r>
        <w:r w:rsidR="00AA55CC">
          <w:rPr>
            <w:noProof/>
          </w:rPr>
          <w:t>2</w:t>
        </w:r>
        <w:r w:rsidR="00AA55C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BD80" w14:textId="189DCDD7" w:rsidR="0002083B" w:rsidRDefault="000208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EE7776" wp14:editId="1454C8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9265"/>
              <wp:effectExtent l="0" t="0" r="635" b="0"/>
              <wp:wrapNone/>
              <wp:docPr id="15267695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D4D6D" w14:textId="7D7013FA" w:rsidR="0002083B" w:rsidRPr="0002083B" w:rsidRDefault="0002083B" w:rsidP="000208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08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E77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6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" filled="f" stroked="f">
              <v:textbox style="mso-fit-shape-to-text:t" inset="0,0,0,15pt">
                <w:txbxContent>
                  <w:p w14:paraId="135D4D6D" w14:textId="7D7013FA" w:rsidR="0002083B" w:rsidRPr="0002083B" w:rsidRDefault="0002083B" w:rsidP="000208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08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A03B" w14:textId="77777777" w:rsidR="00A93C5B" w:rsidRDefault="00A93C5B">
      <w:pPr>
        <w:spacing w:line="240" w:lineRule="auto"/>
      </w:pPr>
      <w:r>
        <w:separator/>
      </w:r>
    </w:p>
  </w:footnote>
  <w:footnote w:type="continuationSeparator" w:id="0">
    <w:p w14:paraId="39D9F27A" w14:textId="77777777" w:rsidR="00A93C5B" w:rsidRDefault="00A93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C4A8" w14:textId="2CEF9C3F" w:rsidR="0002083B" w:rsidRDefault="00020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49EB42" wp14:editId="6648BE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4202800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54E15" w14:textId="6A6144FB" w:rsidR="0002083B" w:rsidRPr="0002083B" w:rsidRDefault="0002083B" w:rsidP="000208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08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9EB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6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" filled="f" stroked="f">
              <v:textbox style="mso-fit-shape-to-text:t" inset="0,15pt,0,0">
                <w:txbxContent>
                  <w:p w14:paraId="36154E15" w14:textId="6A6144FB" w:rsidR="0002083B" w:rsidRPr="0002083B" w:rsidRDefault="0002083B" w:rsidP="000208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08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8732" w14:textId="6EEF602E" w:rsidR="00421FF3" w:rsidRDefault="007B1D54">
    <w:pPr>
      <w:pStyle w:val="Header"/>
    </w:pPr>
    <w:r>
      <w:rPr>
        <w:noProof/>
      </w:rPr>
      <w:drawing>
        <wp:inline distT="0" distB="0" distL="0" distR="0" wp14:anchorId="7049C8CF" wp14:editId="6CD88884">
          <wp:extent cx="5731510" cy="939165"/>
          <wp:effectExtent l="0" t="0" r="2540" b="0"/>
          <wp:docPr id="1014409929" name="Picture 1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409929" name="Picture 1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A633" w14:textId="1974B95F" w:rsidR="0002083B" w:rsidRDefault="00020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F82C7B" wp14:editId="710F10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9606181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1F0D2" w14:textId="6BC06D25" w:rsidR="0002083B" w:rsidRPr="0002083B" w:rsidRDefault="0002083B" w:rsidP="0002083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02083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82C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6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" filled="f" stroked="f">
              <v:textbox style="mso-fit-shape-to-text:t" inset="0,15pt,0,0">
                <w:txbxContent>
                  <w:p w14:paraId="3B41F0D2" w14:textId="6BC06D25" w:rsidR="0002083B" w:rsidRPr="0002083B" w:rsidRDefault="0002083B" w:rsidP="0002083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02083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161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CE2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8A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5C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AA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281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AA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4137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9C98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609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4488A"/>
    <w:multiLevelType w:val="hybridMultilevel"/>
    <w:tmpl w:val="F584817A"/>
    <w:lvl w:ilvl="0" w:tplc="632030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F6D8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8449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B498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DC55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A416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9AB7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EAD9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E47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4D0C93"/>
    <w:multiLevelType w:val="hybridMultilevel"/>
    <w:tmpl w:val="3F02A6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224956">
    <w:abstractNumId w:val="9"/>
  </w:num>
  <w:num w:numId="2" w16cid:durableId="794367180">
    <w:abstractNumId w:val="7"/>
  </w:num>
  <w:num w:numId="3" w16cid:durableId="34088937">
    <w:abstractNumId w:val="11"/>
  </w:num>
  <w:num w:numId="4" w16cid:durableId="1894542971">
    <w:abstractNumId w:val="10"/>
  </w:num>
  <w:num w:numId="5" w16cid:durableId="577789787">
    <w:abstractNumId w:val="6"/>
  </w:num>
  <w:num w:numId="6" w16cid:durableId="1839880899">
    <w:abstractNumId w:val="5"/>
  </w:num>
  <w:num w:numId="7" w16cid:durableId="381098692">
    <w:abstractNumId w:val="4"/>
  </w:num>
  <w:num w:numId="8" w16cid:durableId="1343825192">
    <w:abstractNumId w:val="8"/>
  </w:num>
  <w:num w:numId="9" w16cid:durableId="1155335256">
    <w:abstractNumId w:val="3"/>
  </w:num>
  <w:num w:numId="10" w16cid:durableId="1111164111">
    <w:abstractNumId w:val="2"/>
  </w:num>
  <w:num w:numId="11" w16cid:durableId="1528710864">
    <w:abstractNumId w:val="1"/>
  </w:num>
  <w:num w:numId="12" w16cid:durableId="134277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CC"/>
    <w:rsid w:val="0002083B"/>
    <w:rsid w:val="0022339E"/>
    <w:rsid w:val="00421FF3"/>
    <w:rsid w:val="00446B26"/>
    <w:rsid w:val="006D5215"/>
    <w:rsid w:val="007B1D54"/>
    <w:rsid w:val="007F7932"/>
    <w:rsid w:val="008E280E"/>
    <w:rsid w:val="00A87A07"/>
    <w:rsid w:val="00A93C5B"/>
    <w:rsid w:val="00AA55CC"/>
    <w:rsid w:val="00B6619B"/>
    <w:rsid w:val="00D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98705"/>
  <w15:chartTrackingRefBased/>
  <w15:docId w15:val="{8E06370E-330B-43A6-A134-40F92FC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0E"/>
    <w:pPr>
      <w:spacing w:after="0" w:line="36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7B1D54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B1D54"/>
    <w:pPr>
      <w:spacing w:before="240" w:after="240" w:line="240" w:lineRule="auto"/>
      <w:outlineLvl w:val="1"/>
    </w:pPr>
    <w:rPr>
      <w:color w:val="009999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A55CC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D54"/>
    <w:rPr>
      <w:rFonts w:ascii="Arial" w:eastAsiaTheme="majorEastAsia" w:hAnsi="Arial" w:cstheme="majorBidi"/>
      <w:b/>
      <w:color w:val="44546A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1D54"/>
    <w:rPr>
      <w:rFonts w:ascii="Arial" w:eastAsiaTheme="majorEastAsia" w:hAnsi="Arial" w:cstheme="majorBidi"/>
      <w:b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5CC"/>
    <w:rPr>
      <w:rFonts w:ascii="Arial" w:eastAsiaTheme="majorEastAsia" w:hAnsi="Arial" w:cstheme="majorBidi"/>
      <w:b/>
      <w:color w:val="1F4E79" w:themeColor="accent5" w:themeShade="8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A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5CC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55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C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5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C"/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A55CC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55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AA55CC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AA55CC"/>
    <w:rPr>
      <w:i/>
      <w:iCs/>
    </w:rPr>
  </w:style>
  <w:style w:type="paragraph" w:styleId="Revision">
    <w:name w:val="Revision"/>
    <w:hidden/>
    <w:uiPriority w:val="99"/>
    <w:semiHidden/>
    <w:rsid w:val="00421FF3"/>
    <w:pPr>
      <w:spacing w:after="0" w:line="240" w:lineRule="auto"/>
    </w:pPr>
    <w:rPr>
      <w:rFonts w:ascii="Arial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421F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1E42D-0CE3-4F3C-B84C-7A084887B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B5CAC-A467-4E54-9A6F-ABAC0E7FBC17}">
  <ds:schemaRefs>
    <ds:schemaRef ds:uri="http://schemas.microsoft.com/office/2006/documentManagement/types"/>
    <ds:schemaRef ds:uri="b2250469-6996-43ed-b619-405ab07bd7c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4c34100-1f74-4b80-9481-61aca8ed614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082C4-756C-47DD-8A7E-781026BD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1377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Practitioner review program, for practitioners – the six-month review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review program, for practitioners – the six-month review</dc:title>
  <dc:subject>Digital health</dc:subject>
  <dc:creator>Australian Government Department of Health, Disability and Ageing</dc:creator>
  <cp:keywords>practitioner review; six-month review</cp:keywords>
  <dc:description/>
  <cp:lastModifiedBy>MASCHKE, Elvia</cp:lastModifiedBy>
  <cp:revision>6</cp:revision>
  <cp:lastPrinted>2025-08-28T07:18:00Z</cp:lastPrinted>
  <dcterms:created xsi:type="dcterms:W3CDTF">2022-07-22T00:48:00Z</dcterms:created>
  <dcterms:modified xsi:type="dcterms:W3CDTF">2025-08-28T07:18:00Z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0x010100F3F7F0D3F58DDA40ABB022BC60FCF30E</vt:lpwstr>
  </property>
  <property fmtid="{D5CDD505-2E9C-101B-9397-08002B2CF9AE}" pid="3" name="ClassificationContentMarkingHeaderShapeIds">
    <vt:lpwstr>3941decd,190cf6f5,1d31a400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5b00a769,40a9e31b,fc59ee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cd3e8b9-ffed-43a8-b7f4-cc2fa0382d36_Enabled">
    <vt:lpwstr>true</vt:lpwstr>
  </property>
  <property fmtid="{D5CDD505-2E9C-101B-9397-08002B2CF9AE}" pid="10" name="MSIP_Label_7cd3e8b9-ffed-43a8-b7f4-cc2fa0382d36_SetDate">
    <vt:lpwstr>2025-08-27T00:35:43Z</vt:lpwstr>
  </property>
  <property fmtid="{D5CDD505-2E9C-101B-9397-08002B2CF9AE}" pid="11" name="MSIP_Label_7cd3e8b9-ffed-43a8-b7f4-cc2fa0382d36_Method">
    <vt:lpwstr>Privileged</vt:lpwstr>
  </property>
  <property fmtid="{D5CDD505-2E9C-101B-9397-08002B2CF9AE}" pid="12" name="MSIP_Label_7cd3e8b9-ffed-43a8-b7f4-cc2fa0382d36_Name">
    <vt:lpwstr>O</vt:lpwstr>
  </property>
  <property fmtid="{D5CDD505-2E9C-101B-9397-08002B2CF9AE}" pid="13" name="MSIP_Label_7cd3e8b9-ffed-43a8-b7f4-cc2fa0382d36_SiteId">
    <vt:lpwstr>34a3929c-73cf-4954-abfe-147dc3517892</vt:lpwstr>
  </property>
  <property fmtid="{D5CDD505-2E9C-101B-9397-08002B2CF9AE}" pid="14" name="MSIP_Label_7cd3e8b9-ffed-43a8-b7f4-cc2fa0382d36_ActionId">
    <vt:lpwstr>e312719c-cbd8-4aeb-a2ba-6d4e4e646eae</vt:lpwstr>
  </property>
  <property fmtid="{D5CDD505-2E9C-101B-9397-08002B2CF9AE}" pid="15" name="MSIP_Label_7cd3e8b9-ffed-43a8-b7f4-cc2fa0382d36_ContentBits">
    <vt:lpwstr>3</vt:lpwstr>
  </property>
  <property fmtid="{D5CDD505-2E9C-101B-9397-08002B2CF9AE}" pid="16" name="MSIP_Label_7cd3e8b9-ffed-43a8-b7f4-cc2fa0382d36_Tag">
    <vt:lpwstr>10, 0, 1, 1</vt:lpwstr>
  </property>
</Properties>
</file>