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0842" w14:textId="77777777" w:rsidR="00A14A78" w:rsidRDefault="00A14A78" w:rsidP="00A14A78">
      <w:pPr>
        <w:pStyle w:val="Heading1"/>
      </w:pPr>
      <w:bookmarkStart w:id="0" w:name="_Hlk77576590"/>
      <w:r w:rsidRPr="00B370B6">
        <w:t>Practitioner review program, for practitioners – referral to a delegate of the Chief Executive Medicare without a six-month period of review</w:t>
      </w:r>
    </w:p>
    <w:p w14:paraId="07BC884C" w14:textId="77777777" w:rsidR="00A14A78" w:rsidRDefault="00A14A78" w:rsidP="00286886">
      <w:r w:rsidRPr="007770FC">
        <w:t xml:space="preserve">Information about the Practitioner Review Program (PRP) </w:t>
      </w:r>
      <w:r>
        <w:t>where practitioners are referred to a delegate of the Chief Executive Medicare (delegate) without a six-month period of review</w:t>
      </w:r>
      <w:r w:rsidRPr="007770FC">
        <w:t>.</w:t>
      </w:r>
    </w:p>
    <w:p w14:paraId="66C5878D" w14:textId="77777777" w:rsidR="00A14A78" w:rsidRPr="00781933" w:rsidRDefault="00A14A78" w:rsidP="00286886">
      <w:pPr>
        <w:pStyle w:val="Heading2"/>
        <w:rPr>
          <w:rFonts w:eastAsia="Arial" w:cs="Arial"/>
          <w:szCs w:val="36"/>
        </w:rPr>
      </w:pPr>
      <w:r>
        <w:t>Referral to a delegate without a six-month review</w:t>
      </w:r>
    </w:p>
    <w:p w14:paraId="42EE120D" w14:textId="77777777" w:rsidR="00A14A78" w:rsidRPr="002B4080" w:rsidRDefault="00A14A78" w:rsidP="00C63279">
      <w:bookmarkStart w:id="1" w:name="_Hlk77576576"/>
      <w:bookmarkEnd w:id="0"/>
      <w:r w:rsidRPr="002B4080">
        <w:t>In certain circumstances under the PRP, a six-month review will not be offered after interview, and your case will be referred to a delegate of the Chief Executive Medicare. A six-month review will not be offered if you:</w:t>
      </w:r>
    </w:p>
    <w:p w14:paraId="423750CB" w14:textId="77777777" w:rsidR="00A14A78" w:rsidRPr="002B4080" w:rsidRDefault="00A14A78" w:rsidP="00E259B4">
      <w:pPr>
        <w:pStyle w:val="ListBullet"/>
      </w:pPr>
      <w:r w:rsidRPr="002B4080">
        <w:t>fail to respond to our attempts to contact you</w:t>
      </w:r>
    </w:p>
    <w:p w14:paraId="5F234DF1" w14:textId="77777777" w:rsidR="00A14A78" w:rsidRPr="002B4080" w:rsidRDefault="00A14A78" w:rsidP="00E259B4">
      <w:pPr>
        <w:pStyle w:val="ListBullet"/>
      </w:pPr>
      <w:r w:rsidRPr="002B4080">
        <w:t>decline to respond to our concerns</w:t>
      </w:r>
    </w:p>
    <w:p w14:paraId="6871FA5A" w14:textId="77777777" w:rsidR="00A14A78" w:rsidRPr="002B4080" w:rsidRDefault="00A14A78" w:rsidP="00E259B4">
      <w:pPr>
        <w:pStyle w:val="ListBullet"/>
      </w:pPr>
      <w:r w:rsidRPr="002B4080">
        <w:t>do not want a period of review</w:t>
      </w:r>
    </w:p>
    <w:p w14:paraId="779E4CCC" w14:textId="77777777" w:rsidR="00A14A78" w:rsidRPr="002B4080" w:rsidRDefault="00A14A78" w:rsidP="00E259B4">
      <w:pPr>
        <w:pStyle w:val="ListBullet"/>
      </w:pPr>
      <w:r w:rsidRPr="002B4080">
        <w:t>request a review by peers or the Director of Professional Services Review (PSR). This can be requested at any time during the process</w:t>
      </w:r>
    </w:p>
    <w:p w14:paraId="0EF522DA" w14:textId="77777777" w:rsidR="00A14A78" w:rsidRPr="002B4080" w:rsidRDefault="00A14A78" w:rsidP="00E259B4">
      <w:pPr>
        <w:pStyle w:val="ListBullet"/>
      </w:pPr>
      <w:r w:rsidRPr="002B4080">
        <w:t>have undergone a period of review under PRP within the previous five years for the same or similar concern</w:t>
      </w:r>
    </w:p>
    <w:p w14:paraId="6D46B8AB" w14:textId="77777777" w:rsidR="00A14A78" w:rsidRPr="002B4080" w:rsidRDefault="00A14A78" w:rsidP="00E259B4">
      <w:pPr>
        <w:pStyle w:val="ListBullet"/>
      </w:pPr>
      <w:r w:rsidRPr="002B4080">
        <w:t>have been found under the PSR scheme to have engaged in inappropriate practice in the previous five years</w:t>
      </w:r>
    </w:p>
    <w:p w14:paraId="4D277028" w14:textId="77777777" w:rsidR="00A14A78" w:rsidRDefault="00A14A78" w:rsidP="00E259B4">
      <w:pPr>
        <w:pStyle w:val="ListBullet"/>
      </w:pPr>
      <w:r w:rsidRPr="002B4080">
        <w:t>have acknowledged you have engaged in inappropriate practice within the previous five years and signed a negotiated agreement with the Director of PSR</w:t>
      </w:r>
    </w:p>
    <w:p w14:paraId="7D068811" w14:textId="255ED73F" w:rsidR="00A14A78" w:rsidRPr="00B370B6" w:rsidRDefault="00A14A78" w:rsidP="00E259B4">
      <w:pPr>
        <w:pStyle w:val="ListBullet"/>
      </w:pPr>
      <w:r w:rsidRPr="002B4080">
        <w:t>have rendered a prescribed pattern of services which has </w:t>
      </w:r>
      <w:hyperlink r:id="rId10" w:history="1">
        <w:r w:rsidRPr="00A14A78">
          <w:rPr>
            <w:rStyle w:val="Hyperlink"/>
            <w:szCs w:val="20"/>
          </w:rPr>
          <w:t xml:space="preserve">breached the 80/20 </w:t>
        </w:r>
        <w:r w:rsidR="00057A13">
          <w:rPr>
            <w:rStyle w:val="Hyperlink"/>
            <w:szCs w:val="20"/>
          </w:rPr>
          <w:t xml:space="preserve">rule </w:t>
        </w:r>
        <w:r w:rsidR="00805211">
          <w:rPr>
            <w:rStyle w:val="Hyperlink"/>
            <w:szCs w:val="20"/>
          </w:rPr>
          <w:t xml:space="preserve">and/or the 30/20 </w:t>
        </w:r>
        <w:r w:rsidRPr="00A14A78">
          <w:rPr>
            <w:rStyle w:val="Hyperlink"/>
            <w:szCs w:val="20"/>
          </w:rPr>
          <w:t>rule.</w:t>
        </w:r>
      </w:hyperlink>
    </w:p>
    <w:p w14:paraId="5A88E786" w14:textId="507BAC98" w:rsidR="00E710A5" w:rsidRDefault="00A14A78" w:rsidP="00C63279">
      <w:r w:rsidRPr="002B4080">
        <w:t>Also, a review will not be offered if there is a high level of concern about the nature or extent of possible inappropriate practice</w:t>
      </w:r>
      <w:r>
        <w:t>.</w:t>
      </w:r>
      <w:bookmarkEnd w:id="1"/>
    </w:p>
    <w:sectPr w:rsidR="00E71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041A1" w14:textId="77777777" w:rsidR="002906F5" w:rsidRDefault="002906F5">
      <w:pPr>
        <w:spacing w:line="240" w:lineRule="auto"/>
      </w:pPr>
      <w:r>
        <w:separator/>
      </w:r>
    </w:p>
  </w:endnote>
  <w:endnote w:type="continuationSeparator" w:id="0">
    <w:p w14:paraId="3B5D8AB0" w14:textId="77777777" w:rsidR="002906F5" w:rsidRDefault="00290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5548" w14:textId="73725BFB" w:rsidR="008A3328" w:rsidRDefault="008A33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F9A2F" wp14:editId="748CD5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9265"/>
              <wp:effectExtent l="0" t="0" r="635" b="0"/>
              <wp:wrapNone/>
              <wp:docPr id="1373173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1D069" w14:textId="42E53199" w:rsidR="008A3328" w:rsidRPr="008A3328" w:rsidRDefault="008A3328" w:rsidP="008A33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A3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F9A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6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" filled="f" stroked="f">
              <v:textbox style="mso-fit-shape-to-text:t" inset="0,0,0,15pt">
                <w:txbxContent>
                  <w:p w14:paraId="4741D069" w14:textId="42E53199" w:rsidR="008A3328" w:rsidRPr="008A3328" w:rsidRDefault="008A3328" w:rsidP="008A33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A33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966A" w14:textId="125BE237" w:rsidR="00E710A5" w:rsidRDefault="00E710A5" w:rsidP="00141225">
    <w:pPr>
      <w:pStyle w:val="Footer"/>
    </w:pPr>
    <w:r>
      <w:t>Department of Health, Disability and Ageing</w:t>
    </w:r>
    <w:r w:rsidR="00141225">
      <w:t xml:space="preserve"> </w:t>
    </w:r>
    <w:r w:rsidR="00A14A78">
      <w:t xml:space="preserve">– </w:t>
    </w:r>
    <w:r w:rsidR="00141225">
      <w:t>Practitioner review program, for practitioners – referral to a delegate of the Chief Executive Medicare without a six-month period of review</w:t>
    </w:r>
    <w:r w:rsidR="00A14A78">
      <w:tab/>
    </w:r>
    <w:r w:rsidR="00A14A78">
      <w:tab/>
    </w:r>
    <w:sdt>
      <w:sdtPr>
        <w:id w:val="-603571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4A78">
          <w:fldChar w:fldCharType="begin"/>
        </w:r>
        <w:r w:rsidR="00A14A78">
          <w:instrText xml:space="preserve"> PAGE   \* MERGEFORMAT </w:instrText>
        </w:r>
        <w:r w:rsidR="00A14A78">
          <w:fldChar w:fldCharType="separate"/>
        </w:r>
        <w:r w:rsidR="00A14A78">
          <w:rPr>
            <w:noProof/>
          </w:rPr>
          <w:t>2</w:t>
        </w:r>
        <w:r w:rsidR="00A14A7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B2BB" w14:textId="4077E15A" w:rsidR="008A3328" w:rsidRDefault="008A33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0D1A5A" wp14:editId="652413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9265"/>
              <wp:effectExtent l="0" t="0" r="635" b="0"/>
              <wp:wrapNone/>
              <wp:docPr id="15089607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D27BA" w14:textId="48A9EF20" w:rsidR="008A3328" w:rsidRPr="008A3328" w:rsidRDefault="008A3328" w:rsidP="008A33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A3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1A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6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" filled="f" stroked="f">
              <v:textbox style="mso-fit-shape-to-text:t" inset="0,0,0,15pt">
                <w:txbxContent>
                  <w:p w14:paraId="59BD27BA" w14:textId="48A9EF20" w:rsidR="008A3328" w:rsidRPr="008A3328" w:rsidRDefault="008A3328" w:rsidP="008A33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A33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09E8A" w14:textId="77777777" w:rsidR="002906F5" w:rsidRDefault="002906F5">
      <w:pPr>
        <w:spacing w:line="240" w:lineRule="auto"/>
      </w:pPr>
      <w:r>
        <w:separator/>
      </w:r>
    </w:p>
  </w:footnote>
  <w:footnote w:type="continuationSeparator" w:id="0">
    <w:p w14:paraId="12696790" w14:textId="77777777" w:rsidR="002906F5" w:rsidRDefault="00290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0CFB" w14:textId="6723F306" w:rsidR="008A3328" w:rsidRDefault="008A33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F16E7" wp14:editId="591780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4617503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5B1AF" w14:textId="43DE6702" w:rsidR="008A3328" w:rsidRPr="008A3328" w:rsidRDefault="008A3328" w:rsidP="008A33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A3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F16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6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" filled="f" stroked="f">
              <v:textbox style="mso-fit-shape-to-text:t" inset="0,15pt,0,0">
                <w:txbxContent>
                  <w:p w14:paraId="61E5B1AF" w14:textId="43DE6702" w:rsidR="008A3328" w:rsidRPr="008A3328" w:rsidRDefault="008A3328" w:rsidP="008A33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A33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4824" w14:textId="47AA1101" w:rsidR="00E710A5" w:rsidRDefault="00286886">
    <w:pPr>
      <w:pStyle w:val="Header"/>
    </w:pPr>
    <w:r>
      <w:rPr>
        <w:noProof/>
      </w:rPr>
      <w:drawing>
        <wp:inline distT="0" distB="0" distL="0" distR="0" wp14:anchorId="625B1ED0" wp14:editId="1F334862">
          <wp:extent cx="5731510" cy="939165"/>
          <wp:effectExtent l="0" t="0" r="2540" b="0"/>
          <wp:docPr id="944987575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987575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AD00" w14:textId="56EC33EC" w:rsidR="008A3328" w:rsidRDefault="008A33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90D1FB" wp14:editId="01E377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11516774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1F0FC" w14:textId="09C6EE5C" w:rsidR="008A3328" w:rsidRPr="008A3328" w:rsidRDefault="008A3328" w:rsidP="008A332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A33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0D1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6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" filled="f" stroked="f">
              <v:textbox style="mso-fit-shape-to-text:t" inset="0,15pt,0,0">
                <w:txbxContent>
                  <w:p w14:paraId="7141F0FC" w14:textId="09C6EE5C" w:rsidR="008A3328" w:rsidRPr="008A3328" w:rsidRDefault="008A3328" w:rsidP="008A332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A332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541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85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CD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03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E41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50E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B25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FA8E10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1360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962C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970DEC"/>
    <w:multiLevelType w:val="multilevel"/>
    <w:tmpl w:val="9488B9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638077692">
    <w:abstractNumId w:val="9"/>
  </w:num>
  <w:num w:numId="2" w16cid:durableId="714040159">
    <w:abstractNumId w:val="7"/>
  </w:num>
  <w:num w:numId="3" w16cid:durableId="1301154488">
    <w:abstractNumId w:val="10"/>
  </w:num>
  <w:num w:numId="4" w16cid:durableId="2021927059">
    <w:abstractNumId w:val="6"/>
  </w:num>
  <w:num w:numId="5" w16cid:durableId="2136871583">
    <w:abstractNumId w:val="5"/>
  </w:num>
  <w:num w:numId="6" w16cid:durableId="450323941">
    <w:abstractNumId w:val="4"/>
  </w:num>
  <w:num w:numId="7" w16cid:durableId="304699130">
    <w:abstractNumId w:val="8"/>
  </w:num>
  <w:num w:numId="8" w16cid:durableId="1055738782">
    <w:abstractNumId w:val="3"/>
  </w:num>
  <w:num w:numId="9" w16cid:durableId="552620004">
    <w:abstractNumId w:val="2"/>
  </w:num>
  <w:num w:numId="10" w16cid:durableId="1106465171">
    <w:abstractNumId w:val="1"/>
  </w:num>
  <w:num w:numId="11" w16cid:durableId="38510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78"/>
    <w:rsid w:val="00057A13"/>
    <w:rsid w:val="00141225"/>
    <w:rsid w:val="00286886"/>
    <w:rsid w:val="002906F5"/>
    <w:rsid w:val="006D5215"/>
    <w:rsid w:val="00706E55"/>
    <w:rsid w:val="007F7932"/>
    <w:rsid w:val="00805211"/>
    <w:rsid w:val="008A3328"/>
    <w:rsid w:val="009F7834"/>
    <w:rsid w:val="00A14A78"/>
    <w:rsid w:val="00A87A07"/>
    <w:rsid w:val="00B62D33"/>
    <w:rsid w:val="00B6619B"/>
    <w:rsid w:val="00C63279"/>
    <w:rsid w:val="00DF3A14"/>
    <w:rsid w:val="00E259B4"/>
    <w:rsid w:val="00E50975"/>
    <w:rsid w:val="00E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24536"/>
  <w15:chartTrackingRefBased/>
  <w15:docId w15:val="{EDF57234-4B64-430D-AE18-F50ACDF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B4"/>
    <w:pPr>
      <w:spacing w:after="0" w:line="36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286886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44546A" w:themeColor="text2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86886"/>
    <w:pPr>
      <w:spacing w:before="240" w:after="240" w:line="240" w:lineRule="auto"/>
      <w:outlineLvl w:val="1"/>
    </w:pPr>
    <w:rPr>
      <w:color w:val="009999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4A78"/>
    <w:pPr>
      <w:spacing w:before="120" w:after="120"/>
      <w:outlineLvl w:val="2"/>
    </w:pPr>
    <w:rPr>
      <w:color w:val="1F4E79" w:themeColor="accent5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886"/>
    <w:rPr>
      <w:rFonts w:ascii="Arial" w:eastAsiaTheme="majorEastAsia" w:hAnsi="Arial" w:cstheme="majorBidi"/>
      <w:b/>
      <w:color w:val="44546A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886"/>
    <w:rPr>
      <w:rFonts w:ascii="Arial" w:eastAsiaTheme="majorEastAsia" w:hAnsi="Arial" w:cstheme="majorBidi"/>
      <w:b/>
      <w:color w:val="0099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A78"/>
    <w:rPr>
      <w:rFonts w:ascii="Arial" w:eastAsiaTheme="majorEastAsia" w:hAnsi="Arial" w:cstheme="majorBidi"/>
      <w:b/>
      <w:color w:val="1F4E79" w:themeColor="accent5" w:themeShade="80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14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A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A78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A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78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A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78"/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14A78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14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A14A78"/>
    <w:pPr>
      <w:numPr>
        <w:numId w:val="2"/>
      </w:numPr>
      <w:contextualSpacing/>
    </w:pPr>
  </w:style>
  <w:style w:type="character" w:styleId="Emphasis">
    <w:name w:val="Emphasis"/>
    <w:basedOn w:val="DefaultParagraphFont"/>
    <w:uiPriority w:val="20"/>
    <w:qFormat/>
    <w:rsid w:val="00A14A7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A78"/>
    <w:rPr>
      <w:rFonts w:ascii="Arial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4A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0A5"/>
    <w:pPr>
      <w:spacing w:after="0" w:line="240" w:lineRule="auto"/>
    </w:pPr>
    <w:rPr>
      <w:rFonts w:ascii="Arial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E710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ealth.gov.au/resources/collections/prescribed-pattern-of-service-the-8020-ru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3" ma:contentTypeDescription="Create a new document." ma:contentTypeScope="" ma:versionID="834bc3d541b54ef7dee55860cfb0962b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57ae11d1c135a77c624643b73978e90d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EE07A-A13E-43CA-BD77-F744F4878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89A77-C509-4FAB-A9C0-DCED7B251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21F9E-DC6B-4262-B366-122639C1503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4c34100-1f74-4b80-9481-61aca8ed614d"/>
    <ds:schemaRef ds:uri="b2250469-6996-43ed-b619-405ab07bd7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1214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Practitioner review program, for practitioners – referral to a delegate of the Chief Executive Medicare without a six-month period of review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review program, for practitioners – referral to a delegate of the Chief Executive Medicare without a six-month period of review</dc:title>
  <dc:subject>Digital health</dc:subject>
  <dc:creator>Australian Government Department of Health, Disability and Ageing</dc:creator>
  <cp:keywords>practitioner review; six-month review; medicare; compliance</cp:keywords>
  <dc:description/>
  <cp:lastModifiedBy>MASCHKE, Elvia</cp:lastModifiedBy>
  <cp:revision>8</cp:revision>
  <cp:lastPrinted>2025-08-28T05:20:00Z</cp:lastPrinted>
  <dcterms:created xsi:type="dcterms:W3CDTF">2022-09-27T07:45:00Z</dcterms:created>
  <dcterms:modified xsi:type="dcterms:W3CDTF">2025-08-28T05:20:00Z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44a53427,1b85c027,22e86f25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59f0e9ff,82f4bd4,53cbed88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2025-08-27T00:22:42Z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ce62fd81-3c04-4ece-9fe1-dd4fd71182de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