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86BD2" w14:textId="0FA1B551" w:rsidR="00B40E41" w:rsidRPr="00AF1AA6" w:rsidRDefault="00B40E41" w:rsidP="00472AB8">
      <w:pPr>
        <w:pStyle w:val="Title"/>
      </w:pPr>
      <w:r w:rsidRPr="00902DC1">
        <w:t>Infant Formula Stakeholder Forum 1</w:t>
      </w:r>
      <w:r w:rsidR="00472AB8">
        <w:t xml:space="preserve"> </w:t>
      </w:r>
      <w:r w:rsidR="00472AB8" w:rsidRPr="00472AB8">
        <w:t>–</w:t>
      </w:r>
      <w:r w:rsidR="00472AB8">
        <w:t xml:space="preserve"> </w:t>
      </w:r>
      <w:r w:rsidRPr="00AF1AA6">
        <w:t>Public Health</w:t>
      </w:r>
      <w:r w:rsidR="00180D52" w:rsidRPr="00AF1AA6">
        <w:t xml:space="preserve"> and Breastfeeding Stakeholders</w:t>
      </w:r>
    </w:p>
    <w:p w14:paraId="649D19F9" w14:textId="4C32D351" w:rsidR="00B40E41" w:rsidRPr="00AF1AA6" w:rsidRDefault="00B40E41" w:rsidP="00902DC1">
      <w:pPr>
        <w:pStyle w:val="Title"/>
      </w:pPr>
      <w:r w:rsidRPr="00AF1AA6">
        <w:t xml:space="preserve">Thursday </w:t>
      </w:r>
      <w:r w:rsidR="00180D52" w:rsidRPr="00AF1AA6">
        <w:t>12</w:t>
      </w:r>
      <w:r w:rsidRPr="00AF1AA6">
        <w:t xml:space="preserve"> </w:t>
      </w:r>
      <w:r w:rsidR="00180D52" w:rsidRPr="00AF1AA6">
        <w:t>June</w:t>
      </w:r>
      <w:r w:rsidR="00666CBF" w:rsidRPr="00AF1AA6">
        <w:t xml:space="preserve"> 2025</w:t>
      </w:r>
    </w:p>
    <w:p w14:paraId="79FA589E" w14:textId="24AD5C64" w:rsidR="00B40E41" w:rsidRPr="00AF1AA6" w:rsidRDefault="63937507" w:rsidP="00902DC1">
      <w:pPr>
        <w:pStyle w:val="Title"/>
      </w:pPr>
      <w:r w:rsidRPr="00AF1AA6">
        <w:t>SUMMARY</w:t>
      </w:r>
    </w:p>
    <w:p w14:paraId="4BAFF7A3" w14:textId="425F87B3" w:rsidR="1F85E0DE" w:rsidRDefault="1F85E0DE" w:rsidP="00902DC1">
      <w:r w:rsidRPr="43213D87">
        <w:rPr>
          <w:rFonts w:ascii="Aptos" w:eastAsia="Aptos" w:hAnsi="Aptos" w:cs="Aptos"/>
        </w:rPr>
        <w:t xml:space="preserve">This document is the Department of Health, Disability and Ageing’s (Department) summary of what we heard. </w:t>
      </w:r>
      <w:r w:rsidR="006650B5" w:rsidRPr="006B6233">
        <w:t xml:space="preserve">The </w:t>
      </w:r>
      <w:r w:rsidR="006650B5">
        <w:t>views and recommendations expressed are</w:t>
      </w:r>
      <w:r w:rsidR="006650B5" w:rsidRPr="006B6233">
        <w:t xml:space="preserve"> not </w:t>
      </w:r>
      <w:r w:rsidR="006650B5">
        <w:t>those</w:t>
      </w:r>
      <w:r w:rsidR="006650B5" w:rsidRPr="006B6233">
        <w:t xml:space="preserve"> of any one organisation in attendance, nor th</w:t>
      </w:r>
      <w:r w:rsidR="006650B5">
        <w:t>e</w:t>
      </w:r>
      <w:r w:rsidR="006650B5" w:rsidRPr="006B6233">
        <w:t xml:space="preserve"> </w:t>
      </w:r>
      <w:r w:rsidR="006650B5">
        <w:t>Government or</w:t>
      </w:r>
      <w:r w:rsidR="006650B5" w:rsidRPr="006B6233">
        <w:t xml:space="preserve"> Department.</w:t>
      </w:r>
      <w:r w:rsidR="006650B5">
        <w:rPr>
          <w:rFonts w:ascii="Aptos" w:eastAsia="Aptos" w:hAnsi="Aptos" w:cs="Aptos"/>
        </w:rPr>
        <w:t xml:space="preserve"> </w:t>
      </w:r>
      <w:r w:rsidR="006650B5">
        <w:t>Organisations were also invited to provide written comments for consideration which will also be used to inform the policy process.</w:t>
      </w:r>
    </w:p>
    <w:p w14:paraId="0CFDC9E2" w14:textId="329B3A98" w:rsidR="00672D25" w:rsidRPr="00902DC1" w:rsidRDefault="00672D25" w:rsidP="00902DC1">
      <w:pPr>
        <w:pStyle w:val="Heading1"/>
      </w:pPr>
      <w:r w:rsidRPr="00902DC1">
        <w:t>Attendees</w:t>
      </w:r>
      <w:r w:rsidR="003667EF" w:rsidRPr="00902DC1">
        <w:t xml:space="preserve"> (virtual)</w:t>
      </w:r>
    </w:p>
    <w:tbl>
      <w:tblPr>
        <w:tblStyle w:val="TableGrid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0A2F39" w:rsidRPr="008C5051" w14:paraId="5678AC00" w14:textId="77777777" w:rsidTr="00902DC1">
        <w:trPr>
          <w:tblHeader/>
        </w:trPr>
        <w:tc>
          <w:tcPr>
            <w:tcW w:w="9016" w:type="dxa"/>
            <w:gridSpan w:val="2"/>
          </w:tcPr>
          <w:p w14:paraId="74A419A4" w14:textId="067DA0BB" w:rsidR="000A2F39" w:rsidRPr="008C5051" w:rsidRDefault="000A2F39" w:rsidP="00AF1AA6">
            <w:pPr>
              <w:spacing w:before="60" w:after="60"/>
              <w:rPr>
                <w:rFonts w:eastAsia="Calibri" w:cs="Calibri"/>
                <w:b/>
                <w:bCs/>
                <w:szCs w:val="22"/>
              </w:rPr>
            </w:pPr>
            <w:r w:rsidRPr="008C5051">
              <w:rPr>
                <w:rFonts w:eastAsia="Calibri" w:cs="Calibri"/>
                <w:b/>
                <w:bCs/>
                <w:szCs w:val="22"/>
              </w:rPr>
              <w:t>Organisations</w:t>
            </w:r>
            <w:r w:rsidR="00210AF0" w:rsidRPr="008C5051">
              <w:rPr>
                <w:rFonts w:eastAsia="Calibri" w:cs="Calibri"/>
                <w:b/>
                <w:bCs/>
                <w:szCs w:val="22"/>
              </w:rPr>
              <w:t>*</w:t>
            </w:r>
          </w:p>
        </w:tc>
      </w:tr>
      <w:tr w:rsidR="008B372F" w:rsidRPr="008C5051" w14:paraId="319B1428" w14:textId="77777777" w:rsidTr="00210AF0">
        <w:tc>
          <w:tcPr>
            <w:tcW w:w="4531" w:type="dxa"/>
          </w:tcPr>
          <w:p w14:paraId="6E6B6CEA" w14:textId="77777777" w:rsidR="008B372F" w:rsidRPr="008C5051" w:rsidRDefault="008B372F" w:rsidP="00AF1AA6">
            <w:pPr>
              <w:spacing w:before="60" w:after="60"/>
              <w:rPr>
                <w:rFonts w:eastAsia="Calibri" w:cs="Calibri"/>
                <w:szCs w:val="22"/>
              </w:rPr>
            </w:pPr>
            <w:r w:rsidRPr="008C5051">
              <w:rPr>
                <w:rFonts w:eastAsia="Calibri" w:cs="Calibri"/>
                <w:szCs w:val="22"/>
              </w:rPr>
              <w:t>Allergy &amp; Anaphylaxis Australia</w:t>
            </w:r>
          </w:p>
        </w:tc>
        <w:tc>
          <w:tcPr>
            <w:tcW w:w="4485" w:type="dxa"/>
          </w:tcPr>
          <w:p w14:paraId="2A3E42F2" w14:textId="03DCC9A5" w:rsidR="008B372F" w:rsidRPr="008C5051" w:rsidRDefault="008B372F" w:rsidP="00AF1AA6">
            <w:pPr>
              <w:spacing w:before="60" w:after="60"/>
              <w:rPr>
                <w:rFonts w:eastAsia="Calibri" w:cs="Calibri"/>
                <w:szCs w:val="22"/>
              </w:rPr>
            </w:pPr>
            <w:r w:rsidRPr="008C5051">
              <w:rPr>
                <w:rFonts w:eastAsia="Calibri" w:cs="Calibri"/>
                <w:szCs w:val="22"/>
              </w:rPr>
              <w:t>Food for Health Alliance</w:t>
            </w:r>
          </w:p>
        </w:tc>
      </w:tr>
      <w:tr w:rsidR="008B372F" w:rsidRPr="008C5051" w14:paraId="7A8770A2" w14:textId="77777777" w:rsidTr="00210AF0">
        <w:tc>
          <w:tcPr>
            <w:tcW w:w="4531" w:type="dxa"/>
          </w:tcPr>
          <w:p w14:paraId="25611EFF" w14:textId="77777777" w:rsidR="008B372F" w:rsidRPr="008C5051" w:rsidRDefault="008B372F" w:rsidP="00AF1AA6">
            <w:pPr>
              <w:spacing w:before="60" w:after="60"/>
              <w:rPr>
                <w:rFonts w:eastAsia="Calibri" w:cs="Calibri"/>
                <w:szCs w:val="22"/>
              </w:rPr>
            </w:pPr>
            <w:r w:rsidRPr="008C5051">
              <w:rPr>
                <w:rFonts w:eastAsia="Calibri" w:cs="Calibri"/>
                <w:szCs w:val="22"/>
              </w:rPr>
              <w:t>Australian Breastfeeding Association</w:t>
            </w:r>
          </w:p>
        </w:tc>
        <w:tc>
          <w:tcPr>
            <w:tcW w:w="4485" w:type="dxa"/>
          </w:tcPr>
          <w:p w14:paraId="19EED5A9" w14:textId="48307F28" w:rsidR="008B372F" w:rsidRPr="008C5051" w:rsidRDefault="008B372F" w:rsidP="00AF1AA6">
            <w:pPr>
              <w:spacing w:before="60" w:after="60"/>
              <w:rPr>
                <w:rFonts w:eastAsia="Calibri" w:cs="Calibri"/>
                <w:szCs w:val="22"/>
              </w:rPr>
            </w:pPr>
            <w:r w:rsidRPr="008C5051">
              <w:rPr>
                <w:rFonts w:eastAsia="Calibri" w:cs="Calibri"/>
                <w:szCs w:val="22"/>
              </w:rPr>
              <w:t>The George Institute for Global Health</w:t>
            </w:r>
          </w:p>
        </w:tc>
      </w:tr>
      <w:tr w:rsidR="008B372F" w:rsidRPr="008C5051" w14:paraId="16A9028E" w14:textId="77777777" w:rsidTr="00210AF0">
        <w:tc>
          <w:tcPr>
            <w:tcW w:w="4531" w:type="dxa"/>
          </w:tcPr>
          <w:p w14:paraId="38F8F88E" w14:textId="77777777" w:rsidR="008B372F" w:rsidRPr="008C5051" w:rsidRDefault="008B372F" w:rsidP="00AF1AA6">
            <w:pPr>
              <w:spacing w:before="60" w:after="60"/>
              <w:rPr>
                <w:rFonts w:eastAsia="Calibri" w:cs="Calibri"/>
                <w:szCs w:val="22"/>
              </w:rPr>
            </w:pPr>
            <w:r w:rsidRPr="008C5051">
              <w:rPr>
                <w:rFonts w:eastAsia="Calibri" w:cs="Calibri"/>
                <w:szCs w:val="22"/>
              </w:rPr>
              <w:t>Australian College of Midwives</w:t>
            </w:r>
          </w:p>
        </w:tc>
        <w:tc>
          <w:tcPr>
            <w:tcW w:w="4485" w:type="dxa"/>
          </w:tcPr>
          <w:p w14:paraId="4264233F" w14:textId="078AEE90" w:rsidR="008B372F" w:rsidRPr="008C5051" w:rsidRDefault="008B372F" w:rsidP="00AF1AA6">
            <w:pPr>
              <w:spacing w:before="60" w:after="60"/>
              <w:rPr>
                <w:rFonts w:eastAsia="Calibri" w:cs="Calibri"/>
                <w:szCs w:val="22"/>
              </w:rPr>
            </w:pPr>
            <w:r w:rsidRPr="008C5051">
              <w:rPr>
                <w:rFonts w:eastAsia="Calibri" w:cs="Calibri"/>
                <w:szCs w:val="22"/>
              </w:rPr>
              <w:t>Lactation Consultants of Australia and New Zealand</w:t>
            </w:r>
          </w:p>
        </w:tc>
      </w:tr>
      <w:tr w:rsidR="008B372F" w:rsidRPr="008C5051" w14:paraId="19690677" w14:textId="77777777" w:rsidTr="00210AF0">
        <w:tc>
          <w:tcPr>
            <w:tcW w:w="4531" w:type="dxa"/>
          </w:tcPr>
          <w:p w14:paraId="6CD3ACD1" w14:textId="77777777" w:rsidR="008B372F" w:rsidRPr="008C5051" w:rsidRDefault="008B372F" w:rsidP="00AF1AA6">
            <w:pPr>
              <w:spacing w:before="60" w:after="60"/>
              <w:rPr>
                <w:rFonts w:eastAsia="Calibri" w:cs="Calibri"/>
                <w:szCs w:val="22"/>
              </w:rPr>
            </w:pPr>
            <w:r w:rsidRPr="008C5051">
              <w:rPr>
                <w:rFonts w:eastAsia="Calibri" w:cs="Calibri"/>
                <w:szCs w:val="22"/>
              </w:rPr>
              <w:t>Australian Medical Association</w:t>
            </w:r>
          </w:p>
        </w:tc>
        <w:tc>
          <w:tcPr>
            <w:tcW w:w="4485" w:type="dxa"/>
          </w:tcPr>
          <w:p w14:paraId="0F99C6B7" w14:textId="77EEB34C" w:rsidR="008B372F" w:rsidRPr="008C5051" w:rsidRDefault="008B372F" w:rsidP="00AF1AA6">
            <w:pPr>
              <w:spacing w:before="60" w:after="60"/>
              <w:rPr>
                <w:rFonts w:eastAsia="Calibri" w:cs="Calibri"/>
                <w:szCs w:val="22"/>
              </w:rPr>
            </w:pPr>
            <w:r w:rsidRPr="008C5051">
              <w:rPr>
                <w:rFonts w:eastAsia="Calibri" w:cs="Calibri"/>
                <w:szCs w:val="22"/>
              </w:rPr>
              <w:t>Maternal Child and Family Health Nurses</w:t>
            </w:r>
          </w:p>
        </w:tc>
      </w:tr>
      <w:tr w:rsidR="008B372F" w:rsidRPr="008C5051" w14:paraId="1B419530" w14:textId="77777777" w:rsidTr="00210AF0">
        <w:tc>
          <w:tcPr>
            <w:tcW w:w="4531" w:type="dxa"/>
          </w:tcPr>
          <w:p w14:paraId="6D29CE9B" w14:textId="3E048851" w:rsidR="008B372F" w:rsidRPr="008C5051" w:rsidRDefault="008B372F" w:rsidP="00AF1AA6">
            <w:pPr>
              <w:spacing w:before="60" w:after="60"/>
              <w:rPr>
                <w:rFonts w:eastAsia="Calibri" w:cs="Calibri"/>
                <w:szCs w:val="22"/>
              </w:rPr>
            </w:pPr>
            <w:r w:rsidRPr="008C5051">
              <w:rPr>
                <w:rFonts w:eastAsia="Calibri" w:cs="Calibri"/>
                <w:szCs w:val="22"/>
              </w:rPr>
              <w:t>Australian Nurse Family Partnership Program</w:t>
            </w:r>
          </w:p>
        </w:tc>
        <w:tc>
          <w:tcPr>
            <w:tcW w:w="4485" w:type="dxa"/>
          </w:tcPr>
          <w:p w14:paraId="77E8062B" w14:textId="1B61522A" w:rsidR="008B372F" w:rsidRPr="008C5051" w:rsidRDefault="008B372F" w:rsidP="00AF1AA6">
            <w:pPr>
              <w:spacing w:before="60" w:after="60"/>
              <w:rPr>
                <w:rFonts w:eastAsia="Calibri" w:cs="Calibri"/>
                <w:szCs w:val="22"/>
              </w:rPr>
            </w:pPr>
            <w:r w:rsidRPr="008C5051">
              <w:rPr>
                <w:rFonts w:eastAsia="Calibri" w:cs="Calibri"/>
                <w:szCs w:val="22"/>
              </w:rPr>
              <w:t xml:space="preserve">National Aboriginal Community Controlled Health Organisation </w:t>
            </w:r>
          </w:p>
        </w:tc>
      </w:tr>
      <w:tr w:rsidR="008B372F" w:rsidRPr="008C5051" w14:paraId="5C2D1FD1" w14:textId="77777777" w:rsidTr="00210AF0">
        <w:tc>
          <w:tcPr>
            <w:tcW w:w="4531" w:type="dxa"/>
          </w:tcPr>
          <w:p w14:paraId="3E0505C4" w14:textId="7641362E" w:rsidR="008B372F" w:rsidRPr="008C5051" w:rsidRDefault="008B372F" w:rsidP="00AF1AA6">
            <w:pPr>
              <w:spacing w:before="60" w:after="60"/>
              <w:rPr>
                <w:rFonts w:eastAsia="Calibri" w:cs="Calibri"/>
                <w:szCs w:val="22"/>
              </w:rPr>
            </w:pPr>
            <w:r w:rsidRPr="008C5051">
              <w:rPr>
                <w:rFonts w:eastAsia="Calibri" w:cs="Calibri"/>
                <w:szCs w:val="22"/>
              </w:rPr>
              <w:t xml:space="preserve">Australian Research Centre for Health Equity </w:t>
            </w:r>
          </w:p>
        </w:tc>
        <w:tc>
          <w:tcPr>
            <w:tcW w:w="4485" w:type="dxa"/>
          </w:tcPr>
          <w:p w14:paraId="61BAF3F0" w14:textId="7F99C9EE" w:rsidR="008B372F" w:rsidRPr="008C5051" w:rsidRDefault="008B372F" w:rsidP="00AF1AA6">
            <w:pPr>
              <w:spacing w:before="60" w:after="60"/>
              <w:rPr>
                <w:rFonts w:eastAsia="Calibri" w:cs="Calibri"/>
                <w:szCs w:val="22"/>
              </w:rPr>
            </w:pPr>
            <w:r w:rsidRPr="008C5051">
              <w:rPr>
                <w:rFonts w:eastAsia="Calibri" w:cs="Calibri"/>
                <w:szCs w:val="22"/>
              </w:rPr>
              <w:t>National Allergy Centre of Excellence</w:t>
            </w:r>
          </w:p>
        </w:tc>
      </w:tr>
      <w:tr w:rsidR="008B372F" w:rsidRPr="008C5051" w14:paraId="5699C0D3" w14:textId="77777777" w:rsidTr="00210AF0">
        <w:tc>
          <w:tcPr>
            <w:tcW w:w="4531" w:type="dxa"/>
          </w:tcPr>
          <w:p w14:paraId="4A2A88C4" w14:textId="16959488" w:rsidR="008B372F" w:rsidRPr="008C5051" w:rsidRDefault="008B372F" w:rsidP="00AF1AA6">
            <w:pPr>
              <w:spacing w:before="60" w:after="60"/>
              <w:rPr>
                <w:rFonts w:eastAsia="Calibri" w:cs="Calibri"/>
                <w:szCs w:val="22"/>
              </w:rPr>
            </w:pPr>
            <w:r w:rsidRPr="008C5051">
              <w:rPr>
                <w:rFonts w:eastAsia="Calibri" w:cs="Calibri"/>
                <w:szCs w:val="22"/>
              </w:rPr>
              <w:t>Breastfeeding Advocacy Australia</w:t>
            </w:r>
          </w:p>
        </w:tc>
        <w:tc>
          <w:tcPr>
            <w:tcW w:w="4485" w:type="dxa"/>
          </w:tcPr>
          <w:p w14:paraId="5CCD99FF" w14:textId="49E4A3E6" w:rsidR="008B372F" w:rsidRPr="008C5051" w:rsidRDefault="008B372F" w:rsidP="00AF1AA6">
            <w:pPr>
              <w:spacing w:before="60" w:after="60"/>
              <w:rPr>
                <w:rFonts w:eastAsia="Calibri" w:cs="Calibri"/>
                <w:szCs w:val="22"/>
              </w:rPr>
            </w:pPr>
            <w:r w:rsidRPr="008C5051">
              <w:rPr>
                <w:rFonts w:eastAsia="Calibri" w:cs="Calibri"/>
                <w:szCs w:val="22"/>
              </w:rPr>
              <w:t>National Allergy Council</w:t>
            </w:r>
          </w:p>
        </w:tc>
      </w:tr>
      <w:tr w:rsidR="008B372F" w:rsidRPr="008C5051" w14:paraId="5FD120FE" w14:textId="77777777" w:rsidTr="00210AF0">
        <w:tc>
          <w:tcPr>
            <w:tcW w:w="4531" w:type="dxa"/>
          </w:tcPr>
          <w:p w14:paraId="63873BC9" w14:textId="283A429E" w:rsidR="008B372F" w:rsidRPr="008C5051" w:rsidRDefault="008B372F" w:rsidP="00AF1AA6">
            <w:pPr>
              <w:spacing w:before="60" w:after="60"/>
              <w:rPr>
                <w:rFonts w:eastAsia="Calibri" w:cs="Calibri"/>
                <w:szCs w:val="22"/>
              </w:rPr>
            </w:pPr>
            <w:r w:rsidRPr="008C5051">
              <w:rPr>
                <w:rFonts w:eastAsia="Calibri" w:cs="Calibri"/>
                <w:szCs w:val="22"/>
              </w:rPr>
              <w:t>Central Australian Aboriginal Health Service</w:t>
            </w:r>
          </w:p>
        </w:tc>
        <w:tc>
          <w:tcPr>
            <w:tcW w:w="4485" w:type="dxa"/>
          </w:tcPr>
          <w:p w14:paraId="560D85C1" w14:textId="637092E2" w:rsidR="008B372F" w:rsidRPr="008C5051" w:rsidRDefault="008B372F" w:rsidP="00AF1AA6">
            <w:pPr>
              <w:spacing w:before="60" w:after="60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Public Health Association of Australia</w:t>
            </w:r>
          </w:p>
        </w:tc>
      </w:tr>
      <w:tr w:rsidR="008B372F" w:rsidRPr="008C5051" w14:paraId="0837B05D" w14:textId="77777777" w:rsidTr="00210AF0">
        <w:tc>
          <w:tcPr>
            <w:tcW w:w="4531" w:type="dxa"/>
          </w:tcPr>
          <w:p w14:paraId="40F0F9C9" w14:textId="262743C5" w:rsidR="008B372F" w:rsidRPr="008C5051" w:rsidRDefault="008B372F" w:rsidP="00AF1AA6">
            <w:pPr>
              <w:spacing w:before="60" w:after="60"/>
              <w:rPr>
                <w:rFonts w:eastAsia="Calibri" w:cs="Calibri"/>
                <w:szCs w:val="22"/>
              </w:rPr>
            </w:pPr>
            <w:r w:rsidRPr="008C5051">
              <w:rPr>
                <w:rFonts w:eastAsia="Calibri" w:cs="Calibri"/>
                <w:szCs w:val="22"/>
              </w:rPr>
              <w:t>Dietitians Australia</w:t>
            </w:r>
          </w:p>
        </w:tc>
        <w:tc>
          <w:tcPr>
            <w:tcW w:w="4485" w:type="dxa"/>
          </w:tcPr>
          <w:p w14:paraId="77AB786C" w14:textId="0DE1460A" w:rsidR="008B372F" w:rsidRPr="008C5051" w:rsidRDefault="008B372F" w:rsidP="00AF1AA6">
            <w:pPr>
              <w:spacing w:before="60" w:after="60"/>
              <w:rPr>
                <w:rFonts w:eastAsia="Calibri" w:cs="Calibri"/>
                <w:szCs w:val="22"/>
              </w:rPr>
            </w:pPr>
            <w:r w:rsidRPr="008C5051">
              <w:rPr>
                <w:rFonts w:eastAsia="Calibri" w:cs="Calibri"/>
                <w:szCs w:val="22"/>
              </w:rPr>
              <w:t>Uniting Church in Australia, Synod of Victoria and Tasmania</w:t>
            </w:r>
          </w:p>
        </w:tc>
      </w:tr>
      <w:tr w:rsidR="008B372F" w:rsidRPr="008C5051" w14:paraId="662CFDE3" w14:textId="77777777" w:rsidTr="00210AF0">
        <w:tc>
          <w:tcPr>
            <w:tcW w:w="4531" w:type="dxa"/>
          </w:tcPr>
          <w:p w14:paraId="1B01B67D" w14:textId="6EA0FD46" w:rsidR="008B372F" w:rsidRPr="008C5051" w:rsidRDefault="008B372F" w:rsidP="00AF1AA6">
            <w:pPr>
              <w:spacing w:before="60" w:after="60"/>
              <w:rPr>
                <w:rFonts w:eastAsia="Calibri" w:cs="Calibri"/>
                <w:szCs w:val="22"/>
              </w:rPr>
            </w:pPr>
            <w:r w:rsidRPr="008C5051">
              <w:rPr>
                <w:rFonts w:eastAsia="Calibri" w:cs="Calibri"/>
                <w:szCs w:val="22"/>
              </w:rPr>
              <w:t>Dietitian Connection</w:t>
            </w:r>
          </w:p>
        </w:tc>
        <w:tc>
          <w:tcPr>
            <w:tcW w:w="4485" w:type="dxa"/>
          </w:tcPr>
          <w:p w14:paraId="2BC2AB29" w14:textId="0346CC75" w:rsidR="008B372F" w:rsidRPr="008C5051" w:rsidRDefault="008B372F" w:rsidP="00AF1AA6">
            <w:pPr>
              <w:spacing w:before="60" w:after="60"/>
              <w:rPr>
                <w:rFonts w:eastAsia="Calibri" w:cs="Calibri"/>
                <w:szCs w:val="22"/>
              </w:rPr>
            </w:pPr>
            <w:r w:rsidRPr="008C5051">
              <w:rPr>
                <w:rFonts w:eastAsia="Calibri" w:cs="Calibri"/>
                <w:szCs w:val="22"/>
              </w:rPr>
              <w:t>World Breastfeeding Trends Initiative Australia</w:t>
            </w:r>
          </w:p>
        </w:tc>
      </w:tr>
      <w:tr w:rsidR="008B372F" w:rsidRPr="008C5051" w14:paraId="6B595007" w14:textId="77777777" w:rsidTr="00210AF0">
        <w:tc>
          <w:tcPr>
            <w:tcW w:w="4531" w:type="dxa"/>
          </w:tcPr>
          <w:p w14:paraId="185582C3" w14:textId="6854CC39" w:rsidR="008B372F" w:rsidRPr="008C5051" w:rsidRDefault="008B372F" w:rsidP="00AF1AA6">
            <w:pPr>
              <w:spacing w:before="60" w:after="60"/>
              <w:rPr>
                <w:rFonts w:eastAsia="Calibri" w:cs="Calibri"/>
                <w:szCs w:val="22"/>
              </w:rPr>
            </w:pPr>
            <w:r w:rsidRPr="008C5051">
              <w:rPr>
                <w:rFonts w:eastAsia="Calibri" w:cs="Calibri"/>
                <w:szCs w:val="22"/>
              </w:rPr>
              <w:t>Edith Cowan University</w:t>
            </w:r>
          </w:p>
        </w:tc>
        <w:tc>
          <w:tcPr>
            <w:tcW w:w="4485" w:type="dxa"/>
          </w:tcPr>
          <w:p w14:paraId="23861ED3" w14:textId="77777777" w:rsidR="008B372F" w:rsidRPr="008C5051" w:rsidRDefault="008B372F" w:rsidP="00AF1AA6">
            <w:pPr>
              <w:spacing w:before="60" w:after="60"/>
              <w:rPr>
                <w:rFonts w:eastAsia="Calibri" w:cs="Calibri"/>
                <w:szCs w:val="22"/>
              </w:rPr>
            </w:pPr>
          </w:p>
        </w:tc>
      </w:tr>
      <w:tr w:rsidR="008B372F" w:rsidRPr="008C5051" w14:paraId="6B690287" w14:textId="77777777" w:rsidTr="00210AF0">
        <w:tc>
          <w:tcPr>
            <w:tcW w:w="9016" w:type="dxa"/>
            <w:gridSpan w:val="2"/>
          </w:tcPr>
          <w:p w14:paraId="7F40938A" w14:textId="52B4D616" w:rsidR="008B372F" w:rsidRPr="008C5051" w:rsidRDefault="008B372F" w:rsidP="00AF1AA6">
            <w:pPr>
              <w:spacing w:before="60" w:after="60"/>
              <w:rPr>
                <w:rFonts w:eastAsia="Calibri" w:cs="Calibri"/>
                <w:szCs w:val="22"/>
              </w:rPr>
            </w:pPr>
            <w:r w:rsidRPr="008C5051">
              <w:rPr>
                <w:rFonts w:eastAsia="Calibri" w:cs="Calibri"/>
                <w:b/>
                <w:bCs/>
                <w:szCs w:val="22"/>
              </w:rPr>
              <w:t>Government Agencies</w:t>
            </w:r>
          </w:p>
        </w:tc>
      </w:tr>
      <w:tr w:rsidR="008B372F" w:rsidRPr="008C5051" w14:paraId="669F6BD8" w14:textId="77777777" w:rsidTr="00210AF0">
        <w:tc>
          <w:tcPr>
            <w:tcW w:w="4531" w:type="dxa"/>
          </w:tcPr>
          <w:p w14:paraId="79CA1A94" w14:textId="65B28E02" w:rsidR="008B372F" w:rsidRPr="008C5051" w:rsidRDefault="008B372F" w:rsidP="00AF1AA6">
            <w:pPr>
              <w:spacing w:before="60" w:after="60"/>
              <w:rPr>
                <w:rFonts w:eastAsia="Calibri" w:cs="Calibri"/>
                <w:szCs w:val="22"/>
              </w:rPr>
            </w:pPr>
            <w:r w:rsidRPr="008C5051">
              <w:rPr>
                <w:rFonts w:eastAsia="Calibri" w:cs="Calibri"/>
                <w:szCs w:val="22"/>
              </w:rPr>
              <w:t>Department of Health, Disability and Ageing</w:t>
            </w:r>
          </w:p>
        </w:tc>
        <w:tc>
          <w:tcPr>
            <w:tcW w:w="4485" w:type="dxa"/>
          </w:tcPr>
          <w:p w14:paraId="596A85E4" w14:textId="7E12C444" w:rsidR="008B372F" w:rsidRPr="008C5051" w:rsidRDefault="008B372F" w:rsidP="00AF1AA6">
            <w:pPr>
              <w:spacing w:before="60" w:after="60"/>
              <w:rPr>
                <w:rFonts w:eastAsia="Calibri" w:cs="Calibri"/>
                <w:szCs w:val="22"/>
              </w:rPr>
            </w:pPr>
            <w:r w:rsidRPr="008C5051">
              <w:rPr>
                <w:rFonts w:eastAsia="Calibri" w:cs="Calibri"/>
                <w:szCs w:val="22"/>
              </w:rPr>
              <w:t>Food Standards Australia New Zealand</w:t>
            </w:r>
          </w:p>
        </w:tc>
      </w:tr>
    </w:tbl>
    <w:p w14:paraId="1BEEFB55" w14:textId="6E7C4986" w:rsidR="002B3BD7" w:rsidRPr="00902DC1" w:rsidRDefault="00210AF0" w:rsidP="00902DC1">
      <w:pPr>
        <w:pStyle w:val="FootnoteText"/>
      </w:pPr>
      <w:r w:rsidRPr="00902DC1">
        <w:t>*</w:t>
      </w:r>
      <w:r w:rsidR="00061920" w:rsidRPr="00902DC1">
        <w:t xml:space="preserve"> Some individuals from relevant academic backgrounds also attended as subject matter experts</w:t>
      </w:r>
      <w:r w:rsidR="006650B5" w:rsidRPr="00902DC1">
        <w:t xml:space="preserve">. There were also some stakeholders who could not join due to technical reasons who were invited to submit written input and attend alternative meetings. </w:t>
      </w:r>
    </w:p>
    <w:p w14:paraId="0F911A06" w14:textId="77777777" w:rsidR="00902DC1" w:rsidRDefault="00E668D3" w:rsidP="00902DC1">
      <w:pPr>
        <w:pStyle w:val="Heading1"/>
        <w:rPr>
          <w:b w:val="0"/>
          <w:bCs w:val="0"/>
        </w:rPr>
      </w:pPr>
      <w:r w:rsidRPr="008C5051">
        <w:t xml:space="preserve">Welcome and Acknowledgement </w:t>
      </w:r>
      <w:r w:rsidR="006E4D7A" w:rsidRPr="008C5051">
        <w:t xml:space="preserve">of Country </w:t>
      </w:r>
    </w:p>
    <w:p w14:paraId="205AB493" w14:textId="0A2A3071" w:rsidR="00947F42" w:rsidRPr="008C5051" w:rsidRDefault="006E4D7A" w:rsidP="002B3BD7">
      <w:pPr>
        <w:spacing w:before="240"/>
        <w:rPr>
          <w:rFonts w:eastAsia="Calibri" w:cs="Calibri"/>
          <w:b/>
          <w:bCs/>
          <w:szCs w:val="22"/>
        </w:rPr>
      </w:pPr>
      <w:r w:rsidRPr="008C5051">
        <w:rPr>
          <w:rFonts w:eastAsia="Calibri" w:cs="Calibri"/>
          <w:szCs w:val="22"/>
        </w:rPr>
        <w:t xml:space="preserve">The </w:t>
      </w:r>
      <w:r w:rsidR="00D35C4C" w:rsidRPr="008C5051">
        <w:rPr>
          <w:rFonts w:eastAsia="Calibri" w:cs="Calibri"/>
          <w:szCs w:val="22"/>
        </w:rPr>
        <w:t>Department</w:t>
      </w:r>
      <w:r w:rsidRPr="008C5051">
        <w:rPr>
          <w:rFonts w:eastAsia="Calibri" w:cs="Calibri"/>
          <w:szCs w:val="22"/>
        </w:rPr>
        <w:t xml:space="preserve"> </w:t>
      </w:r>
      <w:r w:rsidR="00EC1464" w:rsidRPr="008C5051">
        <w:rPr>
          <w:rFonts w:eastAsia="Calibri" w:cs="Calibri"/>
          <w:szCs w:val="22"/>
        </w:rPr>
        <w:t xml:space="preserve">welcomed </w:t>
      </w:r>
      <w:r w:rsidR="00DA3842" w:rsidRPr="008C5051">
        <w:rPr>
          <w:rFonts w:eastAsia="Calibri" w:cs="Calibri"/>
          <w:szCs w:val="22"/>
        </w:rPr>
        <w:t>stakeholders to the</w:t>
      </w:r>
      <w:r w:rsidR="00672AFC" w:rsidRPr="008C5051">
        <w:rPr>
          <w:rFonts w:eastAsia="Calibri" w:cs="Calibri"/>
          <w:szCs w:val="22"/>
        </w:rPr>
        <w:t xml:space="preserve"> Infant Formula Stakeholder</w:t>
      </w:r>
      <w:r w:rsidR="00DA3842" w:rsidRPr="008C5051">
        <w:rPr>
          <w:rFonts w:eastAsia="Calibri" w:cs="Calibri"/>
          <w:szCs w:val="22"/>
        </w:rPr>
        <w:t xml:space="preserve"> Forum</w:t>
      </w:r>
      <w:r w:rsidR="00672AFC" w:rsidRPr="008C5051">
        <w:rPr>
          <w:rFonts w:eastAsia="Calibri" w:cs="Calibri"/>
          <w:szCs w:val="22"/>
        </w:rPr>
        <w:t xml:space="preserve"> (Forum)</w:t>
      </w:r>
      <w:r w:rsidR="00BA192C">
        <w:rPr>
          <w:rFonts w:eastAsia="Calibri" w:cs="Calibri"/>
          <w:szCs w:val="22"/>
        </w:rPr>
        <w:t xml:space="preserve"> and acknowledged t</w:t>
      </w:r>
      <w:r w:rsidR="009E4CD2" w:rsidRPr="008C5051">
        <w:rPr>
          <w:rFonts w:eastAsia="Calibri" w:cs="Calibri"/>
          <w:szCs w:val="22"/>
        </w:rPr>
        <w:t xml:space="preserve">he traditional lands upon which all </w:t>
      </w:r>
      <w:r w:rsidR="00BA192C">
        <w:rPr>
          <w:rFonts w:eastAsia="Calibri" w:cs="Calibri"/>
          <w:szCs w:val="22"/>
        </w:rPr>
        <w:t>we</w:t>
      </w:r>
      <w:r w:rsidR="009E4CD2" w:rsidRPr="008C5051">
        <w:rPr>
          <w:rFonts w:eastAsia="Calibri" w:cs="Calibri"/>
          <w:szCs w:val="22"/>
        </w:rPr>
        <w:t xml:space="preserve">re attending. </w:t>
      </w:r>
    </w:p>
    <w:p w14:paraId="178CA888" w14:textId="77777777" w:rsidR="00902DC1" w:rsidRDefault="00D35C4C" w:rsidP="00902DC1">
      <w:pPr>
        <w:pStyle w:val="Heading1"/>
        <w:rPr>
          <w:b w:val="0"/>
          <w:bCs w:val="0"/>
        </w:rPr>
      </w:pPr>
      <w:r w:rsidRPr="008C5051">
        <w:lastRenderedPageBreak/>
        <w:t>Presentation from the Department</w:t>
      </w:r>
    </w:p>
    <w:p w14:paraId="44DA23B8" w14:textId="070CF7D7" w:rsidR="00D35C4C" w:rsidRPr="008C5051" w:rsidRDefault="00021AEE" w:rsidP="776281F4">
      <w:pPr>
        <w:rPr>
          <w:rFonts w:eastAsia="Calibri" w:cs="Calibri"/>
          <w:szCs w:val="22"/>
        </w:rPr>
      </w:pPr>
      <w:r w:rsidRPr="008C5051">
        <w:rPr>
          <w:rFonts w:eastAsia="Calibri" w:cs="Calibri"/>
          <w:szCs w:val="22"/>
        </w:rPr>
        <w:t>The Department</w:t>
      </w:r>
      <w:r w:rsidR="00672AFC" w:rsidRPr="008C5051">
        <w:rPr>
          <w:rFonts w:eastAsia="Calibri" w:cs="Calibri"/>
          <w:szCs w:val="22"/>
        </w:rPr>
        <w:t xml:space="preserve"> outlin</w:t>
      </w:r>
      <w:r w:rsidR="00446CAD">
        <w:rPr>
          <w:rFonts w:eastAsia="Calibri" w:cs="Calibri"/>
          <w:szCs w:val="22"/>
        </w:rPr>
        <w:t>ed</w:t>
      </w:r>
      <w:r w:rsidR="00672AFC" w:rsidRPr="008C5051">
        <w:rPr>
          <w:rFonts w:eastAsia="Calibri" w:cs="Calibri"/>
          <w:szCs w:val="22"/>
        </w:rPr>
        <w:t xml:space="preserve"> the objectives of the Forum</w:t>
      </w:r>
      <w:r w:rsidR="00446CAD">
        <w:rPr>
          <w:rFonts w:eastAsia="Calibri" w:cs="Calibri"/>
          <w:szCs w:val="22"/>
        </w:rPr>
        <w:t>. These included</w:t>
      </w:r>
      <w:r w:rsidR="00FB25D8" w:rsidRPr="008C5051">
        <w:rPr>
          <w:rFonts w:eastAsia="Calibri" w:cs="Calibri"/>
          <w:szCs w:val="22"/>
        </w:rPr>
        <w:t xml:space="preserve"> seek</w:t>
      </w:r>
      <w:r w:rsidR="00446CAD">
        <w:rPr>
          <w:rFonts w:eastAsia="Calibri" w:cs="Calibri"/>
          <w:szCs w:val="22"/>
        </w:rPr>
        <w:t>ing</w:t>
      </w:r>
      <w:r w:rsidR="00FB25D8" w:rsidRPr="008C5051">
        <w:rPr>
          <w:rFonts w:eastAsia="Calibri" w:cs="Calibri"/>
          <w:szCs w:val="22"/>
        </w:rPr>
        <w:t xml:space="preserve"> stakeholder views on </w:t>
      </w:r>
      <w:r w:rsidR="00446CAD">
        <w:rPr>
          <w:rFonts w:eastAsia="Calibri" w:cs="Calibri"/>
          <w:szCs w:val="22"/>
        </w:rPr>
        <w:t>future</w:t>
      </w:r>
      <w:r w:rsidR="00FB25D8" w:rsidRPr="008C5051">
        <w:rPr>
          <w:rFonts w:eastAsia="Calibri" w:cs="Calibri"/>
          <w:szCs w:val="22"/>
        </w:rPr>
        <w:t xml:space="preserve"> mandatory controls </w:t>
      </w:r>
      <w:r w:rsidR="00846D54" w:rsidRPr="008C5051">
        <w:rPr>
          <w:rFonts w:eastAsia="Calibri" w:cs="Calibri"/>
          <w:szCs w:val="22"/>
        </w:rPr>
        <w:t xml:space="preserve">to restrict </w:t>
      </w:r>
      <w:r w:rsidR="00FB25D8" w:rsidRPr="008C5051">
        <w:rPr>
          <w:rFonts w:eastAsia="Calibri" w:cs="Calibri"/>
          <w:szCs w:val="22"/>
        </w:rPr>
        <w:t>infant formula marketing</w:t>
      </w:r>
      <w:r w:rsidR="003B66CD" w:rsidRPr="008C5051">
        <w:rPr>
          <w:rFonts w:eastAsia="Calibri" w:cs="Calibri"/>
          <w:szCs w:val="22"/>
        </w:rPr>
        <w:t>.</w:t>
      </w:r>
    </w:p>
    <w:p w14:paraId="2B1625F9" w14:textId="66664208" w:rsidR="00E96AFF" w:rsidRPr="008C5051" w:rsidRDefault="00446CAD" w:rsidP="776281F4">
      <w:pPr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>A</w:t>
      </w:r>
      <w:r w:rsidR="00E96AFF" w:rsidRPr="008C5051">
        <w:rPr>
          <w:rFonts w:eastAsia="Calibri" w:cs="Calibri"/>
          <w:szCs w:val="22"/>
        </w:rPr>
        <w:t xml:space="preserve"> </w:t>
      </w:r>
      <w:r w:rsidR="00E53AE9" w:rsidRPr="008C5051">
        <w:rPr>
          <w:rFonts w:eastAsia="Calibri" w:cs="Calibri"/>
          <w:szCs w:val="22"/>
        </w:rPr>
        <w:t>brie</w:t>
      </w:r>
      <w:r w:rsidR="00B06751" w:rsidRPr="008C5051">
        <w:rPr>
          <w:rFonts w:eastAsia="Calibri" w:cs="Calibri"/>
          <w:szCs w:val="22"/>
        </w:rPr>
        <w:t>f history of the previous M</w:t>
      </w:r>
      <w:r w:rsidR="00194A46" w:rsidRPr="008C5051">
        <w:rPr>
          <w:rFonts w:eastAsia="Calibri" w:cs="Calibri"/>
          <w:szCs w:val="22"/>
        </w:rPr>
        <w:t>arketing in Australia of Infant Formula: Manufacturers and Importers Agreement (MAIF Agreement)</w:t>
      </w:r>
      <w:r>
        <w:rPr>
          <w:rFonts w:eastAsia="Calibri" w:cs="Calibri"/>
          <w:szCs w:val="22"/>
        </w:rPr>
        <w:t xml:space="preserve"> was provided</w:t>
      </w:r>
      <w:r w:rsidR="4AC825B2" w:rsidRPr="008C5051">
        <w:rPr>
          <w:rFonts w:eastAsia="Calibri" w:cs="Calibri"/>
          <w:szCs w:val="22"/>
        </w:rPr>
        <w:t>.</w:t>
      </w:r>
      <w:r w:rsidR="00194A46" w:rsidRPr="008C5051">
        <w:rPr>
          <w:rFonts w:eastAsia="Calibri" w:cs="Calibri"/>
          <w:szCs w:val="22"/>
        </w:rPr>
        <w:t xml:space="preserve"> </w:t>
      </w:r>
      <w:r w:rsidR="4C77E9DD" w:rsidRPr="008C5051">
        <w:rPr>
          <w:rFonts w:eastAsia="Calibri" w:cs="Calibri"/>
          <w:szCs w:val="22"/>
        </w:rPr>
        <w:t xml:space="preserve">This included </w:t>
      </w:r>
      <w:r w:rsidR="00E75F61" w:rsidRPr="008C5051">
        <w:rPr>
          <w:rFonts w:eastAsia="Calibri" w:cs="Calibri"/>
          <w:szCs w:val="22"/>
        </w:rPr>
        <w:t xml:space="preserve">the </w:t>
      </w:r>
      <w:r w:rsidR="4C77E9DD" w:rsidRPr="008C5051">
        <w:rPr>
          <w:rFonts w:eastAsia="Calibri" w:cs="Calibri"/>
          <w:szCs w:val="22"/>
        </w:rPr>
        <w:t>events leading to the</w:t>
      </w:r>
      <w:r w:rsidR="00D62FB5" w:rsidRPr="008C5051">
        <w:rPr>
          <w:rFonts w:eastAsia="Calibri" w:cs="Calibri"/>
          <w:szCs w:val="22"/>
        </w:rPr>
        <w:t xml:space="preserve"> Australian Co</w:t>
      </w:r>
      <w:r w:rsidR="008C1119" w:rsidRPr="008C5051">
        <w:rPr>
          <w:rFonts w:eastAsia="Calibri" w:cs="Calibri"/>
          <w:szCs w:val="22"/>
        </w:rPr>
        <w:t>mpetition and Consumer Commission</w:t>
      </w:r>
      <w:r w:rsidR="09CAB4D0" w:rsidRPr="008C5051">
        <w:rPr>
          <w:rFonts w:eastAsia="Calibri" w:cs="Calibri"/>
          <w:szCs w:val="22"/>
        </w:rPr>
        <w:t>’s</w:t>
      </w:r>
      <w:r w:rsidR="008C1119" w:rsidRPr="008C5051">
        <w:rPr>
          <w:rFonts w:eastAsia="Calibri" w:cs="Calibri"/>
          <w:szCs w:val="22"/>
        </w:rPr>
        <w:t xml:space="preserve"> (ACCC)</w:t>
      </w:r>
      <w:r w:rsidR="00D62FB5" w:rsidRPr="008C5051">
        <w:rPr>
          <w:rFonts w:eastAsia="Calibri" w:cs="Calibri"/>
          <w:szCs w:val="22"/>
        </w:rPr>
        <w:t xml:space="preserve"> </w:t>
      </w:r>
      <w:r w:rsidR="247AA612" w:rsidRPr="008C5051">
        <w:rPr>
          <w:rFonts w:eastAsia="Calibri" w:cs="Calibri"/>
          <w:szCs w:val="22"/>
        </w:rPr>
        <w:t>February 2025 decision</w:t>
      </w:r>
      <w:r w:rsidR="00D62FB5" w:rsidRPr="008C5051">
        <w:rPr>
          <w:rFonts w:eastAsia="Calibri" w:cs="Calibri"/>
          <w:szCs w:val="22"/>
        </w:rPr>
        <w:t xml:space="preserve"> </w:t>
      </w:r>
      <w:r w:rsidR="59638B11" w:rsidRPr="008C5051">
        <w:rPr>
          <w:rFonts w:eastAsia="Calibri" w:cs="Calibri"/>
          <w:szCs w:val="22"/>
        </w:rPr>
        <w:t xml:space="preserve">not </w:t>
      </w:r>
      <w:r w:rsidR="00D62FB5" w:rsidRPr="008C5051">
        <w:rPr>
          <w:rFonts w:eastAsia="Calibri" w:cs="Calibri"/>
          <w:szCs w:val="22"/>
        </w:rPr>
        <w:t>to</w:t>
      </w:r>
      <w:r w:rsidR="00EF49B1" w:rsidRPr="008C5051">
        <w:rPr>
          <w:rFonts w:eastAsia="Calibri" w:cs="Calibri"/>
          <w:szCs w:val="22"/>
        </w:rPr>
        <w:t xml:space="preserve"> reauthoris</w:t>
      </w:r>
      <w:r w:rsidR="00D62FB5" w:rsidRPr="008C5051">
        <w:rPr>
          <w:rFonts w:eastAsia="Calibri" w:cs="Calibri"/>
          <w:szCs w:val="22"/>
        </w:rPr>
        <w:t xml:space="preserve">e </w:t>
      </w:r>
      <w:r w:rsidR="00EF49B1" w:rsidRPr="008C5051">
        <w:rPr>
          <w:rFonts w:eastAsia="Calibri" w:cs="Calibri"/>
          <w:szCs w:val="22"/>
        </w:rPr>
        <w:t>the MAIF Agreement</w:t>
      </w:r>
      <w:r w:rsidR="002D2428" w:rsidRPr="008C5051">
        <w:rPr>
          <w:rFonts w:eastAsia="Calibri" w:cs="Calibri"/>
          <w:szCs w:val="22"/>
        </w:rPr>
        <w:t xml:space="preserve">. </w:t>
      </w:r>
    </w:p>
    <w:p w14:paraId="1504E028" w14:textId="23A5AE7E" w:rsidR="00D777F3" w:rsidRDefault="00647316" w:rsidP="776281F4">
      <w:pPr>
        <w:rPr>
          <w:rFonts w:eastAsia="Calibri" w:cs="Calibri"/>
          <w:szCs w:val="22"/>
        </w:rPr>
      </w:pPr>
      <w:r w:rsidRPr="008C5051">
        <w:rPr>
          <w:rFonts w:eastAsia="Calibri" w:cs="Calibri"/>
          <w:szCs w:val="22"/>
        </w:rPr>
        <w:t xml:space="preserve">The Department </w:t>
      </w:r>
      <w:r w:rsidR="00227CEE" w:rsidRPr="008C5051">
        <w:rPr>
          <w:rFonts w:eastAsia="Calibri" w:cs="Calibri"/>
          <w:szCs w:val="22"/>
        </w:rPr>
        <w:t>outlined the proposed scope of the mandatory control</w:t>
      </w:r>
      <w:r w:rsidR="00D777F3">
        <w:rPr>
          <w:rFonts w:eastAsia="Calibri" w:cs="Calibri"/>
          <w:szCs w:val="22"/>
        </w:rPr>
        <w:t>s</w:t>
      </w:r>
      <w:r w:rsidR="00446CAD">
        <w:rPr>
          <w:rFonts w:eastAsia="Calibri" w:cs="Calibri"/>
          <w:szCs w:val="22"/>
        </w:rPr>
        <w:t>. These would reflect</w:t>
      </w:r>
      <w:r w:rsidR="00D777F3">
        <w:rPr>
          <w:rFonts w:eastAsia="Calibri" w:cs="Calibri"/>
          <w:szCs w:val="22"/>
        </w:rPr>
        <w:t xml:space="preserve"> </w:t>
      </w:r>
      <w:r w:rsidR="00227CEE" w:rsidRPr="008C5051">
        <w:rPr>
          <w:rFonts w:eastAsia="Calibri" w:cs="Calibri"/>
          <w:szCs w:val="22"/>
        </w:rPr>
        <w:t>th</w:t>
      </w:r>
      <w:r w:rsidR="005D5323" w:rsidRPr="008C5051">
        <w:rPr>
          <w:rFonts w:eastAsia="Calibri" w:cs="Calibri"/>
          <w:szCs w:val="22"/>
        </w:rPr>
        <w:t xml:space="preserve">e </w:t>
      </w:r>
      <w:r w:rsidR="00D777F3">
        <w:rPr>
          <w:rFonts w:eastAsia="Calibri" w:cs="Calibri"/>
          <w:szCs w:val="22"/>
        </w:rPr>
        <w:t>coverage</w:t>
      </w:r>
      <w:r w:rsidR="005D5323" w:rsidRPr="008C5051">
        <w:rPr>
          <w:rFonts w:eastAsia="Calibri" w:cs="Calibri"/>
          <w:szCs w:val="22"/>
        </w:rPr>
        <w:t xml:space="preserve"> of the previous MAIF </w:t>
      </w:r>
      <w:r w:rsidR="007B4F29" w:rsidRPr="008C5051">
        <w:rPr>
          <w:rFonts w:eastAsia="Calibri" w:cs="Calibri"/>
          <w:szCs w:val="22"/>
        </w:rPr>
        <w:t>Agreement</w:t>
      </w:r>
      <w:r w:rsidR="001568D2" w:rsidRPr="008C5051">
        <w:rPr>
          <w:rFonts w:eastAsia="Calibri" w:cs="Calibri"/>
          <w:szCs w:val="22"/>
        </w:rPr>
        <w:t xml:space="preserve">. </w:t>
      </w:r>
    </w:p>
    <w:p w14:paraId="05C47A5E" w14:textId="73456BB4" w:rsidR="00647316" w:rsidRPr="008C5051" w:rsidRDefault="001568D2" w:rsidP="776281F4">
      <w:pPr>
        <w:rPr>
          <w:rFonts w:eastAsia="Calibri" w:cs="Calibri"/>
          <w:szCs w:val="22"/>
        </w:rPr>
      </w:pPr>
      <w:r w:rsidRPr="008C5051">
        <w:rPr>
          <w:rFonts w:eastAsia="Calibri" w:cs="Calibri"/>
          <w:szCs w:val="22"/>
        </w:rPr>
        <w:t>A</w:t>
      </w:r>
      <w:r w:rsidR="001C2675" w:rsidRPr="008C5051">
        <w:rPr>
          <w:rFonts w:eastAsia="Calibri" w:cs="Calibri"/>
          <w:szCs w:val="22"/>
        </w:rPr>
        <w:t xml:space="preserve">n </w:t>
      </w:r>
      <w:r w:rsidR="00D777F3">
        <w:rPr>
          <w:rFonts w:eastAsia="Calibri" w:cs="Calibri"/>
          <w:szCs w:val="22"/>
        </w:rPr>
        <w:t>indicative</w:t>
      </w:r>
      <w:r w:rsidR="001C2675" w:rsidRPr="008C5051">
        <w:rPr>
          <w:rFonts w:eastAsia="Calibri" w:cs="Calibri"/>
          <w:szCs w:val="22"/>
        </w:rPr>
        <w:t xml:space="preserve"> </w:t>
      </w:r>
      <w:r w:rsidR="00FB34C7" w:rsidRPr="008C5051">
        <w:rPr>
          <w:rFonts w:eastAsia="Calibri" w:cs="Calibri"/>
          <w:szCs w:val="22"/>
        </w:rPr>
        <w:t xml:space="preserve">timeline </w:t>
      </w:r>
      <w:r w:rsidR="00446CAD">
        <w:rPr>
          <w:rFonts w:eastAsia="Calibri" w:cs="Calibri"/>
          <w:szCs w:val="22"/>
        </w:rPr>
        <w:t>for</w:t>
      </w:r>
      <w:r w:rsidR="00C35FEB" w:rsidRPr="008C5051">
        <w:rPr>
          <w:rFonts w:eastAsia="Calibri" w:cs="Calibri"/>
          <w:szCs w:val="22"/>
        </w:rPr>
        <w:t xml:space="preserve"> </w:t>
      </w:r>
      <w:r w:rsidR="00D777F3">
        <w:rPr>
          <w:rFonts w:eastAsia="Calibri" w:cs="Calibri"/>
          <w:szCs w:val="22"/>
        </w:rPr>
        <w:t>developing the</w:t>
      </w:r>
      <w:r w:rsidR="007B4F29" w:rsidRPr="008C5051">
        <w:rPr>
          <w:rFonts w:eastAsia="Calibri" w:cs="Calibri"/>
          <w:szCs w:val="22"/>
        </w:rPr>
        <w:t xml:space="preserve"> </w:t>
      </w:r>
      <w:r w:rsidR="00365793" w:rsidRPr="008C5051">
        <w:rPr>
          <w:rFonts w:eastAsia="Calibri" w:cs="Calibri"/>
          <w:szCs w:val="22"/>
        </w:rPr>
        <w:t>legislat</w:t>
      </w:r>
      <w:r w:rsidR="00446CAD">
        <w:rPr>
          <w:rFonts w:eastAsia="Calibri" w:cs="Calibri"/>
          <w:szCs w:val="22"/>
        </w:rPr>
        <w:t>i</w:t>
      </w:r>
      <w:r w:rsidR="00D777F3">
        <w:rPr>
          <w:rFonts w:eastAsia="Calibri" w:cs="Calibri"/>
          <w:szCs w:val="22"/>
        </w:rPr>
        <w:t>on</w:t>
      </w:r>
      <w:r w:rsidR="00446CAD">
        <w:rPr>
          <w:rFonts w:eastAsia="Calibri" w:cs="Calibri"/>
          <w:szCs w:val="22"/>
        </w:rPr>
        <w:t xml:space="preserve"> was</w:t>
      </w:r>
      <w:r w:rsidR="00D777F3">
        <w:rPr>
          <w:rFonts w:eastAsia="Calibri" w:cs="Calibri"/>
          <w:szCs w:val="22"/>
        </w:rPr>
        <w:t xml:space="preserve"> also</w:t>
      </w:r>
      <w:r w:rsidR="00446CAD">
        <w:rPr>
          <w:rFonts w:eastAsia="Calibri" w:cs="Calibri"/>
          <w:szCs w:val="22"/>
        </w:rPr>
        <w:t xml:space="preserve"> shared</w:t>
      </w:r>
      <w:r w:rsidR="00365793" w:rsidRPr="008C5051">
        <w:rPr>
          <w:rFonts w:eastAsia="Calibri" w:cs="Calibri"/>
          <w:szCs w:val="22"/>
        </w:rPr>
        <w:t xml:space="preserve">. </w:t>
      </w:r>
    </w:p>
    <w:p w14:paraId="5D906483" w14:textId="1504DB21" w:rsidR="00902DC1" w:rsidRDefault="070AD163" w:rsidP="00902DC1">
      <w:pPr>
        <w:pStyle w:val="Heading1"/>
        <w:rPr>
          <w:b w:val="0"/>
          <w:bCs w:val="0"/>
        </w:rPr>
      </w:pPr>
      <w:r w:rsidRPr="43213D87">
        <w:t>Stakeholder Views</w:t>
      </w:r>
    </w:p>
    <w:p w14:paraId="5534D0C3" w14:textId="32A420F0" w:rsidR="00945A14" w:rsidRPr="008C5051" w:rsidRDefault="4D10984E" w:rsidP="00902DC1">
      <w:pPr>
        <w:rPr>
          <w:rFonts w:eastAsia="Calibri" w:cs="Calibri"/>
          <w:szCs w:val="22"/>
        </w:rPr>
      </w:pPr>
      <w:r w:rsidRPr="43213D87">
        <w:rPr>
          <w:rFonts w:eastAsia="Calibri" w:cs="Calibri"/>
          <w:szCs w:val="22"/>
        </w:rPr>
        <w:t xml:space="preserve">Stakeholders were invited to provide their </w:t>
      </w:r>
      <w:r w:rsidR="413F54D2" w:rsidRPr="43213D87">
        <w:rPr>
          <w:rFonts w:eastAsia="Calibri" w:cs="Calibri"/>
          <w:szCs w:val="22"/>
        </w:rPr>
        <w:t>views</w:t>
      </w:r>
      <w:r w:rsidRPr="43213D87">
        <w:rPr>
          <w:rFonts w:eastAsia="Calibri" w:cs="Calibri"/>
          <w:szCs w:val="22"/>
        </w:rPr>
        <w:t xml:space="preserve"> </w:t>
      </w:r>
      <w:r w:rsidR="2255D5AE" w:rsidRPr="43213D87">
        <w:rPr>
          <w:rFonts w:eastAsia="Calibri" w:cs="Calibri"/>
          <w:szCs w:val="22"/>
        </w:rPr>
        <w:t>on</w:t>
      </w:r>
      <w:r w:rsidRPr="43213D87">
        <w:rPr>
          <w:rFonts w:eastAsia="Calibri" w:cs="Calibri"/>
          <w:szCs w:val="22"/>
        </w:rPr>
        <w:t xml:space="preserve"> </w:t>
      </w:r>
      <w:r w:rsidR="626B52CE" w:rsidRPr="43213D87">
        <w:rPr>
          <w:rFonts w:eastAsia="Calibri" w:cs="Calibri"/>
          <w:szCs w:val="22"/>
        </w:rPr>
        <w:t>the work</w:t>
      </w:r>
      <w:r w:rsidR="7F840F87" w:rsidRPr="43213D87">
        <w:rPr>
          <w:rFonts w:eastAsia="Calibri" w:cs="Calibri"/>
          <w:szCs w:val="22"/>
        </w:rPr>
        <w:t>.</w:t>
      </w:r>
    </w:p>
    <w:p w14:paraId="16CB0750" w14:textId="5F4E2F5F" w:rsidR="00177CE4" w:rsidRPr="008C5051" w:rsidRDefault="00E6704A" w:rsidP="00902DC1">
      <w:pPr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>The m</w:t>
      </w:r>
      <w:r w:rsidR="007E52C6" w:rsidRPr="008C5051">
        <w:rPr>
          <w:rFonts w:eastAsia="Calibri" w:cs="Calibri"/>
          <w:szCs w:val="22"/>
        </w:rPr>
        <w:t xml:space="preserve">ain </w:t>
      </w:r>
      <w:r w:rsidR="00722D2A" w:rsidRPr="008C5051">
        <w:rPr>
          <w:rFonts w:eastAsia="Calibri" w:cs="Calibri"/>
          <w:szCs w:val="22"/>
        </w:rPr>
        <w:t>points</w:t>
      </w:r>
      <w:r w:rsidR="007E52C6" w:rsidRPr="008C5051">
        <w:rPr>
          <w:rFonts w:eastAsia="Calibri" w:cs="Calibri"/>
          <w:szCs w:val="22"/>
        </w:rPr>
        <w:t xml:space="preserve"> </w:t>
      </w:r>
      <w:r w:rsidR="00033FBC" w:rsidRPr="008C5051">
        <w:rPr>
          <w:rFonts w:eastAsia="Calibri" w:cs="Calibri"/>
          <w:szCs w:val="22"/>
        </w:rPr>
        <w:t>raised</w:t>
      </w:r>
      <w:r w:rsidR="006A64C5" w:rsidRPr="008C5051">
        <w:rPr>
          <w:rFonts w:eastAsia="Calibri" w:cs="Calibri"/>
          <w:szCs w:val="22"/>
        </w:rPr>
        <w:t xml:space="preserve"> </w:t>
      </w:r>
      <w:r w:rsidR="0075639E">
        <w:rPr>
          <w:rFonts w:eastAsia="Calibri" w:cs="Calibri"/>
          <w:szCs w:val="22"/>
        </w:rPr>
        <w:t>were</w:t>
      </w:r>
      <w:r w:rsidR="006A64C5" w:rsidRPr="008C5051">
        <w:rPr>
          <w:rFonts w:eastAsia="Calibri" w:cs="Calibri"/>
          <w:szCs w:val="22"/>
        </w:rPr>
        <w:t xml:space="preserve">: </w:t>
      </w:r>
    </w:p>
    <w:p w14:paraId="5EEF7752" w14:textId="611C1933" w:rsidR="00EB3073" w:rsidRPr="008C5051" w:rsidRDefault="00EB3073" w:rsidP="00902DC1">
      <w:pPr>
        <w:pStyle w:val="ListBullet"/>
      </w:pPr>
      <w:r w:rsidRPr="008C5051">
        <w:t>The current proposed scope of the mandatory controls</w:t>
      </w:r>
      <w:r w:rsidR="00B96B58" w:rsidRPr="008C5051">
        <w:t xml:space="preserve"> being aligned </w:t>
      </w:r>
      <w:r w:rsidR="006D3E40" w:rsidRPr="008C5051">
        <w:t xml:space="preserve">with the previous MAIF Agreement </w:t>
      </w:r>
      <w:r w:rsidR="1F06BEE9" w:rsidRPr="008C5051">
        <w:t xml:space="preserve">is </w:t>
      </w:r>
      <w:r w:rsidR="006D3E40" w:rsidRPr="008C5051">
        <w:t xml:space="preserve">not </w:t>
      </w:r>
      <w:r w:rsidR="17D25F27" w:rsidRPr="008C5051">
        <w:t>sufficient</w:t>
      </w:r>
      <w:r w:rsidR="001B7E3A" w:rsidRPr="008C5051">
        <w:t>.</w:t>
      </w:r>
    </w:p>
    <w:p w14:paraId="3DAA3401" w14:textId="1B754AEC" w:rsidR="00457A4F" w:rsidRPr="008C5051" w:rsidRDefault="006A64C5" w:rsidP="00902DC1">
      <w:pPr>
        <w:pStyle w:val="ListBullet"/>
      </w:pPr>
      <w:r w:rsidRPr="008C5051">
        <w:t>Any mandatory controls should completely align with the World Health Organization’s International Code of Marketing of Breastmilk Substitutes</w:t>
      </w:r>
      <w:r w:rsidR="00994A73" w:rsidRPr="008C5051">
        <w:t xml:space="preserve"> (WHO Code)</w:t>
      </w:r>
      <w:r w:rsidR="00FF1DC2">
        <w:t xml:space="preserve"> and subseque</w:t>
      </w:r>
      <w:r w:rsidR="00D777F3">
        <w:t>n</w:t>
      </w:r>
      <w:r w:rsidR="00FF1DC2">
        <w:t>t World Health Assembly (WHA) resolutions</w:t>
      </w:r>
      <w:r w:rsidR="00154CFF" w:rsidRPr="008C5051">
        <w:t xml:space="preserve">. </w:t>
      </w:r>
    </w:p>
    <w:p w14:paraId="29C463A2" w14:textId="150C3B70" w:rsidR="00BA0587" w:rsidRPr="004006A8" w:rsidRDefault="00BA0587" w:rsidP="00902DC1">
      <w:pPr>
        <w:pStyle w:val="ListBullet"/>
      </w:pPr>
      <w:r>
        <w:t>Infant formula marketing legislation is broader than food regulation and should sit outside the food regulatory system.</w:t>
      </w:r>
    </w:p>
    <w:p w14:paraId="5ADA1F25" w14:textId="0EB0A55C" w:rsidR="02E94B80" w:rsidRPr="008C5051" w:rsidRDefault="02E94B80" w:rsidP="00902DC1">
      <w:pPr>
        <w:pStyle w:val="ListBullet"/>
      </w:pPr>
      <w:r w:rsidRPr="008C5051">
        <w:t xml:space="preserve">Compliance with the legislation should be monitored regularly. This monitoring should include any products and settings not initially included to inform future scope expansion. </w:t>
      </w:r>
    </w:p>
    <w:p w14:paraId="24FF88B1" w14:textId="705F84E2" w:rsidR="009C0FE7" w:rsidRDefault="009C0FE7" w:rsidP="00902DC1">
      <w:pPr>
        <w:pStyle w:val="ListBullet"/>
      </w:pPr>
      <w:r>
        <w:rPr>
          <w:lang w:val="en-AU"/>
        </w:rPr>
        <w:t xml:space="preserve">There was general support for a national enforcement body for the legislation. </w:t>
      </w:r>
    </w:p>
    <w:p w14:paraId="1BE0699B" w14:textId="62A4CEE9" w:rsidR="00E575BC" w:rsidRDefault="009C0FE7" w:rsidP="00902DC1">
      <w:pPr>
        <w:pStyle w:val="ListBullet"/>
      </w:pPr>
      <w:r>
        <w:t xml:space="preserve">Most </w:t>
      </w:r>
      <w:r w:rsidR="00D074E5">
        <w:t>thought that a</w:t>
      </w:r>
      <w:r w:rsidR="00BA0587">
        <w:t xml:space="preserve">s </w:t>
      </w:r>
      <w:r w:rsidR="00D074E5">
        <w:t xml:space="preserve">this would be </w:t>
      </w:r>
      <w:r w:rsidR="00BA0587">
        <w:t xml:space="preserve">health legislation, </w:t>
      </w:r>
      <w:r w:rsidR="00D074E5">
        <w:t xml:space="preserve">not food regulation, </w:t>
      </w:r>
      <w:r w:rsidR="00BA0587">
        <w:t>e</w:t>
      </w:r>
      <w:r w:rsidR="00457A4F" w:rsidRPr="008C5051">
        <w:t>nforcement should sit with the Department</w:t>
      </w:r>
      <w:r w:rsidR="002A2E11" w:rsidRPr="008C5051">
        <w:t>, not FSANZ</w:t>
      </w:r>
      <w:r w:rsidR="0021590B" w:rsidRPr="008C5051">
        <w:t xml:space="preserve">. </w:t>
      </w:r>
    </w:p>
    <w:p w14:paraId="5E0468BE" w14:textId="07B8BA15" w:rsidR="00182BA0" w:rsidRPr="008C5051" w:rsidRDefault="00E575BC" w:rsidP="00902DC1">
      <w:pPr>
        <w:pStyle w:val="ListBullet"/>
      </w:pPr>
      <w:r>
        <w:t>Infant formula marketing controls should be supported by a suite of activities</w:t>
      </w:r>
      <w:r w:rsidR="004006A8">
        <w:t xml:space="preserve"> to increase breastfeeding rates outlined in the Australian National Breastfeeding Strategy: 2019 and beyond.  </w:t>
      </w:r>
    </w:p>
    <w:p w14:paraId="45D021B5" w14:textId="26DF7A49" w:rsidR="00FD78CF" w:rsidRPr="00902DC1" w:rsidRDefault="00832994" w:rsidP="00902DC1">
      <w:pPr>
        <w:pStyle w:val="Heading2"/>
      </w:pPr>
      <w:r w:rsidRPr="00902DC1">
        <w:t>L</w:t>
      </w:r>
      <w:r w:rsidR="00596281" w:rsidRPr="00902DC1">
        <w:t>egislation</w:t>
      </w:r>
      <w:r w:rsidRPr="00902DC1">
        <w:t xml:space="preserve"> scope and development</w:t>
      </w:r>
    </w:p>
    <w:p w14:paraId="541BD7B3" w14:textId="3DFF4410" w:rsidR="00F576EF" w:rsidRPr="008C5051" w:rsidRDefault="00F576EF" w:rsidP="00902DC1">
      <w:pPr>
        <w:pStyle w:val="ListBullet"/>
      </w:pPr>
      <w:r w:rsidRPr="008C5051">
        <w:t xml:space="preserve">The previous MAIF Agreement should not be used as </w:t>
      </w:r>
      <w:r w:rsidR="002E1366" w:rsidRPr="008C5051">
        <w:t xml:space="preserve">a key guidance document as </w:t>
      </w:r>
      <w:r w:rsidR="00CF3A9B">
        <w:t>the scope is inadequate</w:t>
      </w:r>
      <w:r w:rsidR="008F1351" w:rsidRPr="008C5051">
        <w:t>.</w:t>
      </w:r>
      <w:r w:rsidR="00CF3A9B">
        <w:t xml:space="preserve"> </w:t>
      </w:r>
      <w:r w:rsidR="008F1351" w:rsidRPr="008C5051">
        <w:t xml:space="preserve"> </w:t>
      </w:r>
    </w:p>
    <w:p w14:paraId="78A77DB3" w14:textId="39C885F1" w:rsidR="63C37616" w:rsidRPr="008C5051" w:rsidRDefault="008F1351" w:rsidP="00902DC1">
      <w:pPr>
        <w:pStyle w:val="ListBullet"/>
      </w:pPr>
      <w:r w:rsidRPr="008C5051">
        <w:t xml:space="preserve">The </w:t>
      </w:r>
      <w:r w:rsidR="006D44CE" w:rsidRPr="008C5051">
        <w:t xml:space="preserve">scope of </w:t>
      </w:r>
      <w:r w:rsidR="00994A73" w:rsidRPr="008C5051">
        <w:t>the mandatory controls should be fully aligned with the WHO Code</w:t>
      </w:r>
      <w:r w:rsidR="00E450C0" w:rsidRPr="008C5051">
        <w:t xml:space="preserve"> and include </w:t>
      </w:r>
      <w:r w:rsidR="00621ADA" w:rsidRPr="008C5051">
        <w:t>toddler milks, retailers</w:t>
      </w:r>
      <w:r w:rsidR="004C22E4" w:rsidRPr="008C5051">
        <w:t>,</w:t>
      </w:r>
      <w:r w:rsidR="00621ADA" w:rsidRPr="008C5051">
        <w:t xml:space="preserve"> </w:t>
      </w:r>
      <w:r w:rsidR="0088131A" w:rsidRPr="008C5051">
        <w:t>digital marketing</w:t>
      </w:r>
      <w:r w:rsidR="004C22E4" w:rsidRPr="008C5051">
        <w:t xml:space="preserve"> and social media</w:t>
      </w:r>
      <w:r w:rsidR="0088131A" w:rsidRPr="008C5051">
        <w:t xml:space="preserve">. </w:t>
      </w:r>
    </w:p>
    <w:p w14:paraId="5E15A59F" w14:textId="51D5BD6C" w:rsidR="00F61B28" w:rsidRDefault="00EE453E" w:rsidP="00902DC1">
      <w:pPr>
        <w:pStyle w:val="ListBullet"/>
      </w:pPr>
      <w:r w:rsidRPr="008C5051">
        <w:lastRenderedPageBreak/>
        <w:t xml:space="preserve">Full implementation of the WHO Code </w:t>
      </w:r>
      <w:r w:rsidR="008579AE" w:rsidRPr="008C5051">
        <w:t xml:space="preserve">(and World Health Assembly resolutions) </w:t>
      </w:r>
      <w:r w:rsidR="002B6A65" w:rsidRPr="008C5051">
        <w:t>include</w:t>
      </w:r>
      <w:r w:rsidR="00A40FCF">
        <w:t>s</w:t>
      </w:r>
      <w:r w:rsidR="002B6A65" w:rsidRPr="008C5051">
        <w:t xml:space="preserve"> </w:t>
      </w:r>
      <w:r w:rsidR="005A311D" w:rsidRPr="008C5051">
        <w:t xml:space="preserve">feeding equipment such as bottles and </w:t>
      </w:r>
      <w:r w:rsidR="00E131F8" w:rsidRPr="008C5051">
        <w:t>teats and</w:t>
      </w:r>
      <w:r w:rsidR="005A311D" w:rsidRPr="008C5051">
        <w:t xml:space="preserve"> include all breastmilk substitutes </w:t>
      </w:r>
      <w:r w:rsidR="00B4566C" w:rsidRPr="008C5051">
        <w:t xml:space="preserve">for infants and children aged from 0 to 3 years. </w:t>
      </w:r>
    </w:p>
    <w:p w14:paraId="24946696" w14:textId="323FD17B" w:rsidR="00D2745E" w:rsidRPr="004006A8" w:rsidRDefault="00F61B28" w:rsidP="00902DC1">
      <w:pPr>
        <w:pStyle w:val="ListBullet"/>
      </w:pPr>
      <w:r>
        <w:t xml:space="preserve">Legislation should prohibit infant formula marketing in healthcare settings and infant formula industry engagement with healthcare professionals. </w:t>
      </w:r>
    </w:p>
    <w:p w14:paraId="42198A7E" w14:textId="199505AB" w:rsidR="00530D3B" w:rsidRPr="00D420CA" w:rsidRDefault="00F61B28" w:rsidP="00902DC1">
      <w:pPr>
        <w:pStyle w:val="ListBullet"/>
      </w:pPr>
      <w:r>
        <w:t>As per</w:t>
      </w:r>
      <w:r w:rsidR="00530D3B">
        <w:t xml:space="preserve"> WHO guidance on marketing of </w:t>
      </w:r>
      <w:r w:rsidR="00530D3B" w:rsidRPr="008C5051">
        <w:t>breastmilk substitutes</w:t>
      </w:r>
      <w:r w:rsidR="00530D3B">
        <w:t>, a mechanism should be included to allow for periodic updates to the legislation to enable adaptation to modern contexts</w:t>
      </w:r>
      <w:r>
        <w:t>. This includes</w:t>
      </w:r>
      <w:r w:rsidR="00530D3B">
        <w:t xml:space="preserve"> rapidly evolving digital marketing practices. </w:t>
      </w:r>
    </w:p>
    <w:p w14:paraId="64F61193" w14:textId="6993F154" w:rsidR="0084420F" w:rsidRPr="00AF1AA6" w:rsidRDefault="00945857" w:rsidP="00902DC1">
      <w:pPr>
        <w:pStyle w:val="ListBullet"/>
      </w:pPr>
      <w:r w:rsidRPr="00AF1AA6">
        <w:t xml:space="preserve">The needs of </w:t>
      </w:r>
      <w:r w:rsidR="0084420F" w:rsidRPr="00AF1AA6">
        <w:t xml:space="preserve">First Nations Australians </w:t>
      </w:r>
      <w:r w:rsidRPr="00AF1AA6">
        <w:t xml:space="preserve">must be </w:t>
      </w:r>
      <w:r w:rsidR="00AC2393" w:rsidRPr="00AF1AA6">
        <w:t>addressed</w:t>
      </w:r>
      <w:r w:rsidRPr="00AF1AA6">
        <w:t xml:space="preserve"> in this policy. </w:t>
      </w:r>
      <w:r w:rsidR="00AC2393" w:rsidRPr="00AF1AA6">
        <w:t>Further</w:t>
      </w:r>
      <w:r w:rsidRPr="00AF1AA6">
        <w:t xml:space="preserve"> consultation with First Nations peoples is critical. </w:t>
      </w:r>
    </w:p>
    <w:p w14:paraId="45A7DBC8" w14:textId="25B32744" w:rsidR="00832994" w:rsidRPr="008C5051" w:rsidRDefault="00783B70" w:rsidP="00902DC1">
      <w:pPr>
        <w:pStyle w:val="ListBullet"/>
        <w:rPr>
          <w:u w:val="single"/>
        </w:rPr>
      </w:pPr>
      <w:r w:rsidRPr="008C5051">
        <w:t>Development of the legal framework is best placed with the Department.</w:t>
      </w:r>
    </w:p>
    <w:p w14:paraId="04026404" w14:textId="5CC7368E" w:rsidR="00BA0587" w:rsidRPr="008C5051" w:rsidRDefault="00C15D48" w:rsidP="00902DC1">
      <w:pPr>
        <w:pStyle w:val="ListBullet"/>
        <w:rPr>
          <w:u w:val="single"/>
        </w:rPr>
      </w:pPr>
      <w:r>
        <w:t>Policy and l</w:t>
      </w:r>
      <w:r w:rsidR="00220CA2" w:rsidRPr="008C5051">
        <w:t xml:space="preserve">egislation </w:t>
      </w:r>
      <w:r w:rsidR="002C149E">
        <w:t xml:space="preserve">development </w:t>
      </w:r>
      <w:r w:rsidR="00220CA2" w:rsidRPr="008C5051">
        <w:t xml:space="preserve">should be free from </w:t>
      </w:r>
      <w:r w:rsidR="00420531">
        <w:t>i</w:t>
      </w:r>
      <w:r w:rsidR="00220CA2" w:rsidRPr="008C5051">
        <w:t>ndustry influen</w:t>
      </w:r>
      <w:r w:rsidR="002C149E">
        <w:t>ce.</w:t>
      </w:r>
    </w:p>
    <w:p w14:paraId="5B17FABC" w14:textId="5558744B" w:rsidR="00530D3B" w:rsidRDefault="00BA0587" w:rsidP="00902DC1">
      <w:pPr>
        <w:pStyle w:val="ListBullet"/>
      </w:pPr>
      <w:r>
        <w:t>Legislation design</w:t>
      </w:r>
      <w:r w:rsidRPr="008C5051">
        <w:t xml:space="preserve"> should be </w:t>
      </w:r>
      <w:r>
        <w:t>well-</w:t>
      </w:r>
      <w:r w:rsidRPr="008C5051">
        <w:t xml:space="preserve">considered and comprehensive to futureproof </w:t>
      </w:r>
      <w:r w:rsidR="00BC15EC">
        <w:t xml:space="preserve">against </w:t>
      </w:r>
      <w:r w:rsidRPr="008C5051">
        <w:t>loopholes</w:t>
      </w:r>
      <w:r w:rsidR="00530D3B">
        <w:t>.</w:t>
      </w:r>
      <w:r>
        <w:t xml:space="preserve"> </w:t>
      </w:r>
    </w:p>
    <w:p w14:paraId="5FB7C15D" w14:textId="5139A7C2" w:rsidR="00FF1DC2" w:rsidRPr="00902DC1" w:rsidRDefault="00FF1DC2" w:rsidP="00902DC1">
      <w:pPr>
        <w:pStyle w:val="Heading2"/>
      </w:pPr>
      <w:r w:rsidRPr="00902DC1">
        <w:t>Monitoring and Evaluation</w:t>
      </w:r>
    </w:p>
    <w:p w14:paraId="278207D2" w14:textId="3C401DCD" w:rsidR="00FF1DC2" w:rsidRPr="008C5051" w:rsidRDefault="00FF1DC2" w:rsidP="00902DC1">
      <w:pPr>
        <w:pStyle w:val="ListBullet"/>
        <w:rPr>
          <w:u w:val="single"/>
        </w:rPr>
      </w:pPr>
      <w:r w:rsidRPr="008C5051">
        <w:t xml:space="preserve">Monitoring and </w:t>
      </w:r>
      <w:r w:rsidR="0098772B">
        <w:t>e</w:t>
      </w:r>
      <w:r w:rsidRPr="008C5051">
        <w:t xml:space="preserve">valuation processes must be included in the legislation and must be effective. </w:t>
      </w:r>
    </w:p>
    <w:p w14:paraId="731E3DFA" w14:textId="59A90232" w:rsidR="00CB52A4" w:rsidRDefault="00FF1DC2" w:rsidP="00902DC1">
      <w:pPr>
        <w:pStyle w:val="ListBullet"/>
      </w:pPr>
      <w:r w:rsidRPr="008C5051">
        <w:t xml:space="preserve">Monitoring and evaluation should include mandatory reporting </w:t>
      </w:r>
      <w:r w:rsidR="00B726A9">
        <w:t>by</w:t>
      </w:r>
      <w:r w:rsidRPr="008C5051">
        <w:t xml:space="preserve"> infant formula companies, and an independent </w:t>
      </w:r>
      <w:r w:rsidR="00B726A9">
        <w:t>body</w:t>
      </w:r>
      <w:r w:rsidRPr="008C5051">
        <w:t xml:space="preserve"> to monitor and evaluate non-compliance with legislation.</w:t>
      </w:r>
    </w:p>
    <w:p w14:paraId="5268A8C1" w14:textId="0B42415E" w:rsidR="00E55DFE" w:rsidRPr="005F2C13" w:rsidRDefault="00E55DFE" w:rsidP="00902DC1">
      <w:pPr>
        <w:pStyle w:val="ListBullet"/>
      </w:pPr>
      <w:r>
        <w:t xml:space="preserve">Compliance monitoring should be proactive (not rely solely on </w:t>
      </w:r>
      <w:r w:rsidR="000E12BB">
        <w:t>complaints submitted by the public</w:t>
      </w:r>
      <w:r w:rsidR="00B726A9">
        <w:t>)</w:t>
      </w:r>
      <w:r w:rsidR="000E12BB">
        <w:t xml:space="preserve">; albeit a </w:t>
      </w:r>
      <w:r w:rsidR="000E12BB" w:rsidRPr="008C5051">
        <w:t>process for the public to report possible breaches of legislation and submit complaints and concerns is required.</w:t>
      </w:r>
    </w:p>
    <w:p w14:paraId="214382FD" w14:textId="47A7AD5B" w:rsidR="00FF1DC2" w:rsidRPr="00902DC1" w:rsidRDefault="00FF1DC2" w:rsidP="00902DC1">
      <w:r w:rsidRPr="008C5051">
        <w:rPr>
          <w:rFonts w:eastAsia="Calibri" w:cs="Calibri"/>
          <w:szCs w:val="22"/>
        </w:rPr>
        <w:t xml:space="preserve">An independent body should monitor breaches of the legislation. This body should have the power to investigate </w:t>
      </w:r>
      <w:r w:rsidR="00B726A9">
        <w:rPr>
          <w:rFonts w:eastAsia="Calibri" w:cs="Calibri"/>
          <w:szCs w:val="22"/>
        </w:rPr>
        <w:t xml:space="preserve">and adjudicate </w:t>
      </w:r>
      <w:r w:rsidRPr="008C5051">
        <w:rPr>
          <w:rFonts w:eastAsia="Calibri" w:cs="Calibri"/>
          <w:szCs w:val="22"/>
        </w:rPr>
        <w:t xml:space="preserve">breaches and enforce monitoring and evaluation </w:t>
      </w:r>
      <w:r w:rsidRPr="00902DC1">
        <w:t>procedures outlined in the legislation.</w:t>
      </w:r>
    </w:p>
    <w:p w14:paraId="7402A8E6" w14:textId="31C50934" w:rsidR="007E2666" w:rsidRPr="00902DC1" w:rsidRDefault="007E2666" w:rsidP="00902DC1">
      <w:pPr>
        <w:pStyle w:val="Heading2"/>
      </w:pPr>
      <w:r w:rsidRPr="00902DC1">
        <w:t>Enforcement</w:t>
      </w:r>
    </w:p>
    <w:p w14:paraId="6376A51A" w14:textId="24E42FB7" w:rsidR="0041159E" w:rsidRPr="008C5051" w:rsidRDefault="00CC7F52" w:rsidP="00902DC1">
      <w:pPr>
        <w:pStyle w:val="ListBullet"/>
        <w:rPr>
          <w:u w:val="single"/>
        </w:rPr>
      </w:pPr>
      <w:r w:rsidRPr="008C5051">
        <w:t>The enforce</w:t>
      </w:r>
      <w:r w:rsidR="2F55F87E" w:rsidRPr="008C5051">
        <w:t>ment body</w:t>
      </w:r>
      <w:r w:rsidRPr="008C5051">
        <w:t xml:space="preserve"> should be </w:t>
      </w:r>
      <w:r w:rsidR="00691D53" w:rsidRPr="008C5051">
        <w:t xml:space="preserve">properly resourced and motivated. </w:t>
      </w:r>
    </w:p>
    <w:p w14:paraId="59E640A1" w14:textId="70AE7CA5" w:rsidR="0041159E" w:rsidRPr="008C5051" w:rsidRDefault="00691D53" w:rsidP="00902DC1">
      <w:pPr>
        <w:pStyle w:val="ListBullet"/>
        <w:rPr>
          <w:u w:val="single"/>
        </w:rPr>
      </w:pPr>
      <w:r w:rsidRPr="008C5051">
        <w:t xml:space="preserve">Some stakeholders </w:t>
      </w:r>
      <w:r w:rsidR="006063DA" w:rsidRPr="008C5051">
        <w:t>raised</w:t>
      </w:r>
      <w:r w:rsidRPr="008C5051">
        <w:t xml:space="preserve"> concern</w:t>
      </w:r>
      <w:r w:rsidR="006063DA" w:rsidRPr="008C5051">
        <w:t>s</w:t>
      </w:r>
      <w:r w:rsidRPr="008C5051">
        <w:t xml:space="preserve"> </w:t>
      </w:r>
      <w:r w:rsidR="003B4605" w:rsidRPr="008C5051">
        <w:t xml:space="preserve">about FSANZ </w:t>
      </w:r>
      <w:r w:rsidR="1657A0D0" w:rsidRPr="008C5051">
        <w:t>taking on an enforcement role</w:t>
      </w:r>
      <w:r w:rsidR="244F113C" w:rsidRPr="008C5051">
        <w:t xml:space="preserve"> due to</w:t>
      </w:r>
      <w:r w:rsidR="73FDA55E" w:rsidRPr="008C5051">
        <w:t xml:space="preserve"> concerns that</w:t>
      </w:r>
      <w:r w:rsidR="244F113C" w:rsidRPr="008C5051">
        <w:t>:</w:t>
      </w:r>
      <w:r w:rsidR="003B4605" w:rsidRPr="008C5051">
        <w:t xml:space="preserve"> </w:t>
      </w:r>
      <w:r w:rsidRPr="008C5051">
        <w:t xml:space="preserve"> </w:t>
      </w:r>
    </w:p>
    <w:p w14:paraId="2FE05A85" w14:textId="559F0872" w:rsidR="00C640A3" w:rsidRPr="008C5051" w:rsidRDefault="004006A8" w:rsidP="00902DC1">
      <w:pPr>
        <w:pStyle w:val="ListBullet2"/>
        <w:rPr>
          <w:u w:val="single"/>
        </w:rPr>
      </w:pPr>
      <w:r>
        <w:t>T</w:t>
      </w:r>
      <w:r w:rsidR="002468E0">
        <w:t xml:space="preserve">he </w:t>
      </w:r>
      <w:r w:rsidR="0047587D" w:rsidRPr="008C5051">
        <w:t>food regulato</w:t>
      </w:r>
      <w:r w:rsidR="002468E0">
        <w:t>ry system</w:t>
      </w:r>
      <w:r w:rsidR="00B571E2">
        <w:t>’s focus is too narrow</w:t>
      </w:r>
      <w:r>
        <w:t>.</w:t>
      </w:r>
      <w:r w:rsidR="00547600" w:rsidRPr="008C5051">
        <w:t xml:space="preserve"> </w:t>
      </w:r>
    </w:p>
    <w:p w14:paraId="334DFFF7" w14:textId="5113E304" w:rsidR="00783B70" w:rsidRPr="005F2C13" w:rsidRDefault="00F71393" w:rsidP="00902DC1">
      <w:pPr>
        <w:pStyle w:val="ListBullet2"/>
        <w:rPr>
          <w:u w:val="single"/>
        </w:rPr>
      </w:pPr>
      <w:r w:rsidRPr="008C5051">
        <w:t xml:space="preserve">FSANZ does not have </w:t>
      </w:r>
      <w:r w:rsidR="00B571E2">
        <w:t>compliance and enforcement experience</w:t>
      </w:r>
      <w:r w:rsidR="00783B70">
        <w:t>, nor does it have expertise in</w:t>
      </w:r>
      <w:r w:rsidR="009079AC" w:rsidRPr="008C5051">
        <w:t xml:space="preserve"> digital marketing</w:t>
      </w:r>
      <w:r w:rsidR="004006A8">
        <w:t>.</w:t>
      </w:r>
    </w:p>
    <w:p w14:paraId="4C00B3DC" w14:textId="29DE2461" w:rsidR="00F71393" w:rsidRPr="008C5051" w:rsidRDefault="00B17F6C" w:rsidP="00902DC1">
      <w:pPr>
        <w:pStyle w:val="ListBullet2"/>
        <w:rPr>
          <w:u w:val="single"/>
        </w:rPr>
      </w:pPr>
      <w:r>
        <w:t xml:space="preserve">FSANZ’s </w:t>
      </w:r>
      <w:r w:rsidR="00D743D2">
        <w:t xml:space="preserve">inherent requirement for </w:t>
      </w:r>
      <w:r>
        <w:t>deep engage</w:t>
      </w:r>
      <w:r w:rsidR="00D743D2">
        <w:t>ment, including</w:t>
      </w:r>
      <w:r>
        <w:t xml:space="preserve"> with </w:t>
      </w:r>
      <w:r w:rsidR="00D743D2">
        <w:t xml:space="preserve">industry </w:t>
      </w:r>
      <w:r>
        <w:t>stakeholders</w:t>
      </w:r>
      <w:r w:rsidR="004006A8">
        <w:t xml:space="preserve">, increases the risk of conflicts of </w:t>
      </w:r>
      <w:r w:rsidR="00852C8B">
        <w:t>interest</w:t>
      </w:r>
      <w:r w:rsidR="00D743D2">
        <w:t>.</w:t>
      </w:r>
      <w:r w:rsidR="00852C8B">
        <w:t xml:space="preserve"> </w:t>
      </w:r>
    </w:p>
    <w:p w14:paraId="0F3BB7FD" w14:textId="67F4E068" w:rsidR="003A496E" w:rsidRPr="008C5051" w:rsidRDefault="00123200" w:rsidP="00902DC1">
      <w:pPr>
        <w:pStyle w:val="ListBullet"/>
        <w:rPr>
          <w:u w:val="single"/>
        </w:rPr>
      </w:pPr>
      <w:r>
        <w:t>Separation of d</w:t>
      </w:r>
      <w:r w:rsidR="003A496E" w:rsidRPr="008C5051">
        <w:t xml:space="preserve">evelopment and enforcement of the legislation should be </w:t>
      </w:r>
      <w:r>
        <w:t>considered</w:t>
      </w:r>
      <w:r w:rsidR="003A496E" w:rsidRPr="008C5051">
        <w:t>.</w:t>
      </w:r>
    </w:p>
    <w:p w14:paraId="7CDC7411" w14:textId="01A60A50" w:rsidR="006266CA" w:rsidRPr="008C5051" w:rsidRDefault="001F31BE" w:rsidP="00902DC1">
      <w:pPr>
        <w:pStyle w:val="ListBullet"/>
        <w:rPr>
          <w:u w:val="single"/>
        </w:rPr>
      </w:pPr>
      <w:r w:rsidRPr="008C5051">
        <w:t xml:space="preserve">There should be meaningful </w:t>
      </w:r>
      <w:r w:rsidR="00BD6039" w:rsidRPr="008C5051">
        <w:t xml:space="preserve">and strong </w:t>
      </w:r>
      <w:r w:rsidRPr="008C5051">
        <w:t xml:space="preserve">penalties </w:t>
      </w:r>
      <w:r w:rsidR="00B0766D" w:rsidRPr="008C5051">
        <w:t>for non-compliance</w:t>
      </w:r>
      <w:r w:rsidR="00F6115F" w:rsidRPr="008C5051">
        <w:t xml:space="preserve">. </w:t>
      </w:r>
    </w:p>
    <w:p w14:paraId="2ED92115" w14:textId="0CA9E8D4" w:rsidR="0058299E" w:rsidRPr="008C5051" w:rsidRDefault="00F6115F" w:rsidP="00902DC1">
      <w:pPr>
        <w:pStyle w:val="ListBullet"/>
        <w:rPr>
          <w:u w:val="single"/>
        </w:rPr>
      </w:pPr>
      <w:r w:rsidRPr="008C5051">
        <w:lastRenderedPageBreak/>
        <w:t>Penalties should be considered along with profit/</w:t>
      </w:r>
      <w:r w:rsidR="00F66F0E" w:rsidRPr="008C5051">
        <w:t>turnover,</w:t>
      </w:r>
      <w:r w:rsidRPr="008C5051">
        <w:t xml:space="preserve"> </w:t>
      </w:r>
      <w:r w:rsidR="006266CA" w:rsidRPr="008C5051">
        <w:t>so penalties are proportionate to company</w:t>
      </w:r>
      <w:r w:rsidR="3CE51EF6" w:rsidRPr="008C5051">
        <w:t xml:space="preserve"> size</w:t>
      </w:r>
      <w:r w:rsidR="006266CA" w:rsidRPr="008C5051">
        <w:t xml:space="preserve">. </w:t>
      </w:r>
    </w:p>
    <w:p w14:paraId="00E81525" w14:textId="7A8E9F52" w:rsidR="00F87C64" w:rsidRPr="008C5051" w:rsidRDefault="00CE36E6" w:rsidP="00902DC1">
      <w:pPr>
        <w:pStyle w:val="ListBullet2"/>
        <w:rPr>
          <w:u w:val="single"/>
        </w:rPr>
      </w:pPr>
      <w:r w:rsidRPr="008C5051">
        <w:t xml:space="preserve">The ACCC </w:t>
      </w:r>
      <w:r w:rsidR="00B63E1B" w:rsidRPr="008C5051">
        <w:t xml:space="preserve">Food and Grocery Code of Conduct </w:t>
      </w:r>
      <w:r w:rsidR="00B571E2">
        <w:t>should be</w:t>
      </w:r>
      <w:r w:rsidR="00D77CD2" w:rsidRPr="008C5051">
        <w:t xml:space="preserve"> used as a guide when considering penalties for infant formula marketing. </w:t>
      </w:r>
    </w:p>
    <w:p w14:paraId="0E462AAB" w14:textId="019DFCEF" w:rsidR="00F87C64" w:rsidRPr="00902DC1" w:rsidRDefault="00F87C64" w:rsidP="00902DC1">
      <w:pPr>
        <w:pStyle w:val="Heading2"/>
      </w:pPr>
      <w:r w:rsidRPr="00902DC1">
        <w:t xml:space="preserve">Implementation </w:t>
      </w:r>
      <w:r w:rsidR="00EC2688" w:rsidRPr="00902DC1">
        <w:t xml:space="preserve">and </w:t>
      </w:r>
      <w:r w:rsidR="003218A0" w:rsidRPr="00902DC1">
        <w:t>measures of success</w:t>
      </w:r>
    </w:p>
    <w:p w14:paraId="32709E61" w14:textId="3DC4CDB1" w:rsidR="00302C9D" w:rsidRPr="005F2C13" w:rsidRDefault="00302C9D" w:rsidP="00902DC1">
      <w:pPr>
        <w:pStyle w:val="ListBullet"/>
        <w:rPr>
          <w:u w:val="single"/>
        </w:rPr>
      </w:pPr>
      <w:r w:rsidRPr="005F2C13">
        <w:t>Health professionals should be trained</w:t>
      </w:r>
      <w:r w:rsidR="00B47583" w:rsidRPr="005F2C13">
        <w:t xml:space="preserve"> to provide </w:t>
      </w:r>
      <w:r w:rsidR="003D007C" w:rsidRPr="005F2C13">
        <w:t xml:space="preserve">advice free from </w:t>
      </w:r>
      <w:r w:rsidR="00852C8B" w:rsidRPr="005F2C13">
        <w:t>bias and</w:t>
      </w:r>
      <w:r w:rsidR="003D007C" w:rsidRPr="005F2C13">
        <w:t xml:space="preserve"> </w:t>
      </w:r>
      <w:r w:rsidR="00253C45" w:rsidRPr="005F2C13">
        <w:t xml:space="preserve">only recommend the use of breast milk substitutes to </w:t>
      </w:r>
      <w:r w:rsidR="008551BB" w:rsidRPr="005F2C13">
        <w:t>parents</w:t>
      </w:r>
      <w:r w:rsidR="00253C45" w:rsidRPr="005F2C13">
        <w:t xml:space="preserve"> when required. </w:t>
      </w:r>
    </w:p>
    <w:p w14:paraId="198FC0DC" w14:textId="09B9527B" w:rsidR="003218A0" w:rsidRPr="008C5051" w:rsidRDefault="002F655A" w:rsidP="00902DC1">
      <w:pPr>
        <w:pStyle w:val="ListBullet"/>
        <w:rPr>
          <w:u w:val="single"/>
        </w:rPr>
      </w:pPr>
      <w:r w:rsidRPr="008C5051">
        <w:t xml:space="preserve">Measures of success include: </w:t>
      </w:r>
    </w:p>
    <w:p w14:paraId="3515429B" w14:textId="2453F1F0" w:rsidR="002F655A" w:rsidRPr="008C5051" w:rsidRDefault="002F655A" w:rsidP="00902DC1">
      <w:pPr>
        <w:pStyle w:val="ListBullet2"/>
        <w:rPr>
          <w:u w:val="single"/>
        </w:rPr>
      </w:pPr>
      <w:r w:rsidRPr="008C5051">
        <w:t xml:space="preserve">Protection </w:t>
      </w:r>
      <w:r w:rsidR="240CC7CC" w:rsidRPr="008C5051">
        <w:t>of</w:t>
      </w:r>
      <w:r w:rsidR="00420531">
        <w:t>,</w:t>
      </w:r>
      <w:r w:rsidR="240CC7CC" w:rsidRPr="008C5051">
        <w:t xml:space="preserve"> </w:t>
      </w:r>
      <w:r w:rsidR="008D43B8" w:rsidRPr="008C5051">
        <w:t>and increas</w:t>
      </w:r>
      <w:r w:rsidR="0F232946" w:rsidRPr="008C5051">
        <w:t>ed</w:t>
      </w:r>
      <w:r w:rsidR="00420531">
        <w:t>,</w:t>
      </w:r>
      <w:r w:rsidRPr="008C5051">
        <w:t xml:space="preserve"> breastfeeding rates</w:t>
      </w:r>
      <w:r w:rsidR="0B143C9C" w:rsidRPr="008C5051">
        <w:t>.</w:t>
      </w:r>
      <w:r w:rsidRPr="008C5051">
        <w:t xml:space="preserve"> </w:t>
      </w:r>
    </w:p>
    <w:p w14:paraId="7878730A" w14:textId="67C2BF17" w:rsidR="002F655A" w:rsidRPr="008C5051" w:rsidRDefault="002F655A" w:rsidP="00902DC1">
      <w:pPr>
        <w:pStyle w:val="ListBullet2"/>
        <w:rPr>
          <w:u w:val="single"/>
        </w:rPr>
      </w:pPr>
      <w:r w:rsidRPr="008C5051">
        <w:t xml:space="preserve">Parents having </w:t>
      </w:r>
      <w:r w:rsidR="006D4EB3" w:rsidRPr="008C5051">
        <w:t>access to accurate and truthful information to help make informed feeding choices for their c</w:t>
      </w:r>
      <w:r w:rsidR="00D3752D" w:rsidRPr="008C5051">
        <w:t xml:space="preserve">hild. </w:t>
      </w:r>
    </w:p>
    <w:p w14:paraId="08D5B90A" w14:textId="0F92419A" w:rsidR="000D5D7A" w:rsidRPr="008C5051" w:rsidRDefault="000D5D7A" w:rsidP="00902DC1">
      <w:pPr>
        <w:pStyle w:val="ListBullet2"/>
        <w:rPr>
          <w:u w:val="single"/>
        </w:rPr>
      </w:pPr>
      <w:r w:rsidRPr="008C5051">
        <w:t xml:space="preserve">Australia leading </w:t>
      </w:r>
      <w:r w:rsidR="00420531">
        <w:t xml:space="preserve">internationally </w:t>
      </w:r>
      <w:r w:rsidRPr="008C5051">
        <w:t>with</w:t>
      </w:r>
      <w:r w:rsidR="004E346A" w:rsidRPr="008C5051">
        <w:t xml:space="preserve"> strict infant formula marketing restrictions</w:t>
      </w:r>
      <w:r w:rsidR="3FADB59E" w:rsidRPr="008C5051">
        <w:t>.</w:t>
      </w:r>
    </w:p>
    <w:p w14:paraId="4823C4E0" w14:textId="370B81DA" w:rsidR="008259F3" w:rsidRPr="008C5051" w:rsidRDefault="008259F3" w:rsidP="00902DC1">
      <w:pPr>
        <w:pStyle w:val="ListBullet2"/>
        <w:rPr>
          <w:u w:val="single"/>
        </w:rPr>
      </w:pPr>
      <w:r w:rsidRPr="008C5051">
        <w:t xml:space="preserve">Clear </w:t>
      </w:r>
      <w:r w:rsidR="00541CC0">
        <w:t xml:space="preserve">product </w:t>
      </w:r>
      <w:r w:rsidRPr="008C5051">
        <w:t>labelling</w:t>
      </w:r>
      <w:r w:rsidR="3FADB59E" w:rsidRPr="008C5051">
        <w:t>.</w:t>
      </w:r>
      <w:r w:rsidRPr="008C5051">
        <w:t xml:space="preserve"> </w:t>
      </w:r>
    </w:p>
    <w:p w14:paraId="0C89A5A2" w14:textId="2F8C9304" w:rsidR="005E6C03" w:rsidRPr="00902DC1" w:rsidRDefault="005E6C03" w:rsidP="00902DC1">
      <w:pPr>
        <w:pStyle w:val="Heading2"/>
      </w:pPr>
      <w:r w:rsidRPr="00902DC1">
        <w:t>Access, Equity and Support</w:t>
      </w:r>
    </w:p>
    <w:p w14:paraId="5E6E8AA9" w14:textId="424F4D4A" w:rsidR="004256EF" w:rsidRPr="008C5051" w:rsidRDefault="00DE283D" w:rsidP="00902DC1">
      <w:pPr>
        <w:pStyle w:val="ListBullet"/>
        <w:rPr>
          <w:u w:val="single"/>
        </w:rPr>
      </w:pPr>
      <w:r w:rsidRPr="008C5051">
        <w:t>S</w:t>
      </w:r>
      <w:r w:rsidR="008978AE" w:rsidRPr="008C5051">
        <w:t xml:space="preserve">ome families require </w:t>
      </w:r>
      <w:r w:rsidRPr="008C5051">
        <w:t xml:space="preserve">access </w:t>
      </w:r>
      <w:r w:rsidR="003034F4" w:rsidRPr="008C5051">
        <w:t>to breast milk substitutes.</w:t>
      </w:r>
    </w:p>
    <w:p w14:paraId="5AA073B4" w14:textId="6E261D53" w:rsidR="00A025EB" w:rsidRPr="008C5051" w:rsidRDefault="00A025EB" w:rsidP="00902DC1">
      <w:pPr>
        <w:pStyle w:val="ListBullet"/>
        <w:rPr>
          <w:u w:val="single"/>
        </w:rPr>
      </w:pPr>
      <w:r w:rsidRPr="008C5051">
        <w:t xml:space="preserve">Mandatory controls should consider </w:t>
      </w:r>
      <w:r w:rsidR="00CD495A" w:rsidRPr="008C5051">
        <w:t>access to formulas when required</w:t>
      </w:r>
      <w:r w:rsidR="00B17F6C">
        <w:t>, including for allergy management and in emergency (e.g. disaster) responses</w:t>
      </w:r>
      <w:r w:rsidR="004C29FB" w:rsidRPr="008C5051">
        <w:t>.</w:t>
      </w:r>
    </w:p>
    <w:p w14:paraId="4E037C8A" w14:textId="6D8963F9" w:rsidR="004E0AA3" w:rsidRPr="000D7ADB" w:rsidRDefault="004C29FB" w:rsidP="00902DC1">
      <w:pPr>
        <w:pStyle w:val="ListBullet"/>
      </w:pPr>
      <w:r w:rsidRPr="008C5051">
        <w:t xml:space="preserve">Health professionals and health services shouldn’t be restricted from providing infant formula to families that require it. </w:t>
      </w:r>
    </w:p>
    <w:sectPr w:rsidR="004E0AA3" w:rsidRPr="000D7ADB" w:rsidSect="00902DC1">
      <w:headerReference w:type="first" r:id="rId10"/>
      <w:pgSz w:w="11906" w:h="16838"/>
      <w:pgMar w:top="283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98213" w14:textId="77777777" w:rsidR="007B69AC" w:rsidRDefault="007B69AC" w:rsidP="00B34FA3">
      <w:pPr>
        <w:spacing w:after="0" w:line="240" w:lineRule="auto"/>
      </w:pPr>
      <w:r>
        <w:separator/>
      </w:r>
    </w:p>
  </w:endnote>
  <w:endnote w:type="continuationSeparator" w:id="0">
    <w:p w14:paraId="7A2973C2" w14:textId="77777777" w:rsidR="007B69AC" w:rsidRDefault="007B69AC" w:rsidP="00B3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5F75A" w14:textId="77777777" w:rsidR="007B69AC" w:rsidRDefault="007B69AC" w:rsidP="00B34FA3">
      <w:pPr>
        <w:spacing w:after="0" w:line="240" w:lineRule="auto"/>
      </w:pPr>
      <w:r>
        <w:separator/>
      </w:r>
    </w:p>
  </w:footnote>
  <w:footnote w:type="continuationSeparator" w:id="0">
    <w:p w14:paraId="2E22D521" w14:textId="77777777" w:rsidR="007B69AC" w:rsidRDefault="007B69AC" w:rsidP="00B34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58516" w14:textId="56B562EA" w:rsidR="00945CE2" w:rsidRPr="00902DC1" w:rsidRDefault="002B3BD7" w:rsidP="00902DC1">
    <w:pPr>
      <w:pStyle w:val="Header"/>
      <w:jc w:val="center"/>
      <w:rPr>
        <w:lang w:val="en-AU"/>
      </w:rPr>
    </w:pPr>
    <w:r w:rsidRPr="00945CE2">
      <w:rPr>
        <w:noProof/>
        <w:lang w:val="en-AU"/>
      </w:rPr>
      <w:drawing>
        <wp:inline distT="0" distB="0" distL="0" distR="0" wp14:anchorId="3AA84CA2" wp14:editId="5BE9F484">
          <wp:extent cx="1499819" cy="1143000"/>
          <wp:effectExtent l="0" t="0" r="5715" b="0"/>
          <wp:docPr id="591450096" name="Picture 2" descr="The Australian Government Department of Health, Disability and Ageing logo. Black writing on a white background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4469" name="Picture 2" descr="The Australian Government Department of Health, Disability and Ageing logo. Black writing on a white background.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438" cy="1153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53822AE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Arial" w:hint="default"/>
      </w:rPr>
    </w:lvl>
  </w:abstractNum>
  <w:abstractNum w:abstractNumId="1" w15:restartNumberingAfterBreak="0">
    <w:nsid w:val="FFFFFF89"/>
    <w:multiLevelType w:val="singleLevel"/>
    <w:tmpl w:val="AE64A9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6750C"/>
    <w:multiLevelType w:val="hybridMultilevel"/>
    <w:tmpl w:val="4D72A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7761"/>
    <w:multiLevelType w:val="hybridMultilevel"/>
    <w:tmpl w:val="0D143938"/>
    <w:lvl w:ilvl="0" w:tplc="89422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AB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83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AE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63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0F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A6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0A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CB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4057AB"/>
    <w:multiLevelType w:val="hybridMultilevel"/>
    <w:tmpl w:val="E9668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B76F7"/>
    <w:multiLevelType w:val="hybridMultilevel"/>
    <w:tmpl w:val="48487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64C82"/>
    <w:multiLevelType w:val="hybridMultilevel"/>
    <w:tmpl w:val="B7BA0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61449"/>
    <w:multiLevelType w:val="hybridMultilevel"/>
    <w:tmpl w:val="EC04F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63FAA"/>
    <w:multiLevelType w:val="hybridMultilevel"/>
    <w:tmpl w:val="3402B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53FAF"/>
    <w:multiLevelType w:val="hybridMultilevel"/>
    <w:tmpl w:val="9F08A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612847">
    <w:abstractNumId w:val="8"/>
  </w:num>
  <w:num w:numId="2" w16cid:durableId="1659847330">
    <w:abstractNumId w:val="2"/>
  </w:num>
  <w:num w:numId="3" w16cid:durableId="1329669860">
    <w:abstractNumId w:val="3"/>
  </w:num>
  <w:num w:numId="4" w16cid:durableId="1619679277">
    <w:abstractNumId w:val="9"/>
  </w:num>
  <w:num w:numId="5" w16cid:durableId="1051222877">
    <w:abstractNumId w:val="5"/>
  </w:num>
  <w:num w:numId="6" w16cid:durableId="2143384904">
    <w:abstractNumId w:val="4"/>
  </w:num>
  <w:num w:numId="7" w16cid:durableId="621545941">
    <w:abstractNumId w:val="7"/>
  </w:num>
  <w:num w:numId="8" w16cid:durableId="53354009">
    <w:abstractNumId w:val="6"/>
  </w:num>
  <w:num w:numId="9" w16cid:durableId="718362264">
    <w:abstractNumId w:val="1"/>
  </w:num>
  <w:num w:numId="10" w16cid:durableId="47194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FC03A0"/>
    <w:rsid w:val="00006FF8"/>
    <w:rsid w:val="00011D80"/>
    <w:rsid w:val="00021AEE"/>
    <w:rsid w:val="00022C4C"/>
    <w:rsid w:val="0003063C"/>
    <w:rsid w:val="00033968"/>
    <w:rsid w:val="00033FBC"/>
    <w:rsid w:val="00034EC2"/>
    <w:rsid w:val="000409D0"/>
    <w:rsid w:val="00041AD3"/>
    <w:rsid w:val="00044C1C"/>
    <w:rsid w:val="000452D3"/>
    <w:rsid w:val="00054136"/>
    <w:rsid w:val="00061920"/>
    <w:rsid w:val="00061FB1"/>
    <w:rsid w:val="000779A5"/>
    <w:rsid w:val="00077F01"/>
    <w:rsid w:val="00091A84"/>
    <w:rsid w:val="00091BF1"/>
    <w:rsid w:val="000929C8"/>
    <w:rsid w:val="000A28B9"/>
    <w:rsid w:val="000A2F39"/>
    <w:rsid w:val="000A3AF2"/>
    <w:rsid w:val="000C11C6"/>
    <w:rsid w:val="000C5C6D"/>
    <w:rsid w:val="000D2961"/>
    <w:rsid w:val="000D4C0A"/>
    <w:rsid w:val="000D5D7A"/>
    <w:rsid w:val="000D7ADB"/>
    <w:rsid w:val="000E12BB"/>
    <w:rsid w:val="000E54DB"/>
    <w:rsid w:val="000E5DC1"/>
    <w:rsid w:val="000F1428"/>
    <w:rsid w:val="000F75DF"/>
    <w:rsid w:val="00101B62"/>
    <w:rsid w:val="00103982"/>
    <w:rsid w:val="00123200"/>
    <w:rsid w:val="00126CB1"/>
    <w:rsid w:val="001440A5"/>
    <w:rsid w:val="00154CFF"/>
    <w:rsid w:val="00155309"/>
    <w:rsid w:val="001568D2"/>
    <w:rsid w:val="00160F89"/>
    <w:rsid w:val="0016583C"/>
    <w:rsid w:val="001770B0"/>
    <w:rsid w:val="00177CE4"/>
    <w:rsid w:val="00177CEC"/>
    <w:rsid w:val="00180D52"/>
    <w:rsid w:val="00182BA0"/>
    <w:rsid w:val="00194A46"/>
    <w:rsid w:val="00197297"/>
    <w:rsid w:val="001B0F5E"/>
    <w:rsid w:val="001B7E3A"/>
    <w:rsid w:val="001C070B"/>
    <w:rsid w:val="001C2675"/>
    <w:rsid w:val="001C5737"/>
    <w:rsid w:val="001E0356"/>
    <w:rsid w:val="001F31BE"/>
    <w:rsid w:val="001F5299"/>
    <w:rsid w:val="00210AF0"/>
    <w:rsid w:val="0021590B"/>
    <w:rsid w:val="00220CA2"/>
    <w:rsid w:val="00227CEE"/>
    <w:rsid w:val="00227D2D"/>
    <w:rsid w:val="00243CBF"/>
    <w:rsid w:val="002468E0"/>
    <w:rsid w:val="002518AE"/>
    <w:rsid w:val="00251CF4"/>
    <w:rsid w:val="00253C45"/>
    <w:rsid w:val="00256FCF"/>
    <w:rsid w:val="0026292D"/>
    <w:rsid w:val="002731FF"/>
    <w:rsid w:val="002A2E11"/>
    <w:rsid w:val="002B3BD7"/>
    <w:rsid w:val="002B6A65"/>
    <w:rsid w:val="002C149E"/>
    <w:rsid w:val="002C66B8"/>
    <w:rsid w:val="002D2428"/>
    <w:rsid w:val="002E1366"/>
    <w:rsid w:val="002E64C6"/>
    <w:rsid w:val="002F164E"/>
    <w:rsid w:val="002F2E2F"/>
    <w:rsid w:val="002F655A"/>
    <w:rsid w:val="00300E3C"/>
    <w:rsid w:val="00302C9D"/>
    <w:rsid w:val="003034F4"/>
    <w:rsid w:val="00303E86"/>
    <w:rsid w:val="003059B8"/>
    <w:rsid w:val="003218A0"/>
    <w:rsid w:val="00327E6C"/>
    <w:rsid w:val="00343140"/>
    <w:rsid w:val="00347A14"/>
    <w:rsid w:val="00350C71"/>
    <w:rsid w:val="00351626"/>
    <w:rsid w:val="0035400E"/>
    <w:rsid w:val="00365793"/>
    <w:rsid w:val="003667EF"/>
    <w:rsid w:val="003673C4"/>
    <w:rsid w:val="00373567"/>
    <w:rsid w:val="00375FAE"/>
    <w:rsid w:val="00392B5A"/>
    <w:rsid w:val="00392C81"/>
    <w:rsid w:val="003A2ACF"/>
    <w:rsid w:val="003A496E"/>
    <w:rsid w:val="003B4605"/>
    <w:rsid w:val="003B66CD"/>
    <w:rsid w:val="003C4219"/>
    <w:rsid w:val="003C64A9"/>
    <w:rsid w:val="003D007C"/>
    <w:rsid w:val="003D3B05"/>
    <w:rsid w:val="003D5155"/>
    <w:rsid w:val="003D75BF"/>
    <w:rsid w:val="003E1314"/>
    <w:rsid w:val="003E155B"/>
    <w:rsid w:val="004006A8"/>
    <w:rsid w:val="0041159E"/>
    <w:rsid w:val="00411CC1"/>
    <w:rsid w:val="00420531"/>
    <w:rsid w:val="004256EF"/>
    <w:rsid w:val="0043284D"/>
    <w:rsid w:val="00442C40"/>
    <w:rsid w:val="00446CAD"/>
    <w:rsid w:val="004546F2"/>
    <w:rsid w:val="00454DCE"/>
    <w:rsid w:val="00457A4F"/>
    <w:rsid w:val="00470673"/>
    <w:rsid w:val="00470905"/>
    <w:rsid w:val="00471D9B"/>
    <w:rsid w:val="004726A7"/>
    <w:rsid w:val="00472AB8"/>
    <w:rsid w:val="004745DE"/>
    <w:rsid w:val="0047587D"/>
    <w:rsid w:val="004849E3"/>
    <w:rsid w:val="004A35F8"/>
    <w:rsid w:val="004A7D2C"/>
    <w:rsid w:val="004B3724"/>
    <w:rsid w:val="004C22E4"/>
    <w:rsid w:val="004C29FB"/>
    <w:rsid w:val="004E0AA3"/>
    <w:rsid w:val="004E346A"/>
    <w:rsid w:val="004E5D6B"/>
    <w:rsid w:val="004F267E"/>
    <w:rsid w:val="004F28CA"/>
    <w:rsid w:val="004F6793"/>
    <w:rsid w:val="0051467F"/>
    <w:rsid w:val="005226B1"/>
    <w:rsid w:val="00525980"/>
    <w:rsid w:val="00530D3B"/>
    <w:rsid w:val="00533BDA"/>
    <w:rsid w:val="00541CC0"/>
    <w:rsid w:val="005450DA"/>
    <w:rsid w:val="00547600"/>
    <w:rsid w:val="005544D8"/>
    <w:rsid w:val="00563C29"/>
    <w:rsid w:val="00574012"/>
    <w:rsid w:val="00577A11"/>
    <w:rsid w:val="0058299E"/>
    <w:rsid w:val="005957B8"/>
    <w:rsid w:val="00596281"/>
    <w:rsid w:val="005A311D"/>
    <w:rsid w:val="005A6F88"/>
    <w:rsid w:val="005B5915"/>
    <w:rsid w:val="005D5323"/>
    <w:rsid w:val="005D7F28"/>
    <w:rsid w:val="005E17BF"/>
    <w:rsid w:val="005E3353"/>
    <w:rsid w:val="005E6C03"/>
    <w:rsid w:val="005F2C13"/>
    <w:rsid w:val="006057DA"/>
    <w:rsid w:val="006063DA"/>
    <w:rsid w:val="00620A61"/>
    <w:rsid w:val="00621ADA"/>
    <w:rsid w:val="006266CA"/>
    <w:rsid w:val="00636B47"/>
    <w:rsid w:val="00636E32"/>
    <w:rsid w:val="00644319"/>
    <w:rsid w:val="00646F25"/>
    <w:rsid w:val="00647316"/>
    <w:rsid w:val="00651D63"/>
    <w:rsid w:val="006650B5"/>
    <w:rsid w:val="00666CBF"/>
    <w:rsid w:val="00672AFC"/>
    <w:rsid w:val="00672D25"/>
    <w:rsid w:val="006853B0"/>
    <w:rsid w:val="00686F53"/>
    <w:rsid w:val="00690851"/>
    <w:rsid w:val="00691D53"/>
    <w:rsid w:val="0069546C"/>
    <w:rsid w:val="006A2756"/>
    <w:rsid w:val="006A5CA3"/>
    <w:rsid w:val="006A64C5"/>
    <w:rsid w:val="006D3E40"/>
    <w:rsid w:val="006D44CE"/>
    <w:rsid w:val="006D4BAB"/>
    <w:rsid w:val="006D4EB3"/>
    <w:rsid w:val="006D7B9D"/>
    <w:rsid w:val="006E0F4D"/>
    <w:rsid w:val="006E4D7A"/>
    <w:rsid w:val="006F0A55"/>
    <w:rsid w:val="006F6335"/>
    <w:rsid w:val="0070441E"/>
    <w:rsid w:val="00714FB5"/>
    <w:rsid w:val="00716AAB"/>
    <w:rsid w:val="00722D2A"/>
    <w:rsid w:val="00726850"/>
    <w:rsid w:val="00733A06"/>
    <w:rsid w:val="0074313C"/>
    <w:rsid w:val="00751387"/>
    <w:rsid w:val="00753382"/>
    <w:rsid w:val="0075639E"/>
    <w:rsid w:val="007656BD"/>
    <w:rsid w:val="007730BC"/>
    <w:rsid w:val="007805DB"/>
    <w:rsid w:val="007811B1"/>
    <w:rsid w:val="00783B70"/>
    <w:rsid w:val="00797941"/>
    <w:rsid w:val="007A1C5D"/>
    <w:rsid w:val="007A6125"/>
    <w:rsid w:val="007B4F29"/>
    <w:rsid w:val="007B53A6"/>
    <w:rsid w:val="007B69AC"/>
    <w:rsid w:val="007B770D"/>
    <w:rsid w:val="007D11E1"/>
    <w:rsid w:val="007D508E"/>
    <w:rsid w:val="007E063E"/>
    <w:rsid w:val="007E2666"/>
    <w:rsid w:val="007E52C6"/>
    <w:rsid w:val="007F2565"/>
    <w:rsid w:val="00800972"/>
    <w:rsid w:val="00802519"/>
    <w:rsid w:val="00805374"/>
    <w:rsid w:val="008129DA"/>
    <w:rsid w:val="008259F3"/>
    <w:rsid w:val="00832994"/>
    <w:rsid w:val="008376F2"/>
    <w:rsid w:val="0084420F"/>
    <w:rsid w:val="00845841"/>
    <w:rsid w:val="00846D54"/>
    <w:rsid w:val="00852C8B"/>
    <w:rsid w:val="008551BB"/>
    <w:rsid w:val="008579AE"/>
    <w:rsid w:val="0088131A"/>
    <w:rsid w:val="00891F47"/>
    <w:rsid w:val="008978AE"/>
    <w:rsid w:val="008A3B79"/>
    <w:rsid w:val="008A6B0E"/>
    <w:rsid w:val="008B372F"/>
    <w:rsid w:val="008C1119"/>
    <w:rsid w:val="008C5051"/>
    <w:rsid w:val="008D43B8"/>
    <w:rsid w:val="008E37B2"/>
    <w:rsid w:val="008F1351"/>
    <w:rsid w:val="00902DC1"/>
    <w:rsid w:val="00905E28"/>
    <w:rsid w:val="009079AC"/>
    <w:rsid w:val="0091552A"/>
    <w:rsid w:val="00923B61"/>
    <w:rsid w:val="00923D2D"/>
    <w:rsid w:val="00935410"/>
    <w:rsid w:val="00942DA6"/>
    <w:rsid w:val="00945857"/>
    <w:rsid w:val="00945A14"/>
    <w:rsid w:val="00945CE2"/>
    <w:rsid w:val="00947F42"/>
    <w:rsid w:val="00950485"/>
    <w:rsid w:val="009531DF"/>
    <w:rsid w:val="0095445B"/>
    <w:rsid w:val="00962C1D"/>
    <w:rsid w:val="0098347E"/>
    <w:rsid w:val="009844D8"/>
    <w:rsid w:val="00984CB9"/>
    <w:rsid w:val="0098772B"/>
    <w:rsid w:val="00994A73"/>
    <w:rsid w:val="009A2BF5"/>
    <w:rsid w:val="009A773B"/>
    <w:rsid w:val="009C0FE7"/>
    <w:rsid w:val="009D1D11"/>
    <w:rsid w:val="009D3259"/>
    <w:rsid w:val="009D4D03"/>
    <w:rsid w:val="009E4CD2"/>
    <w:rsid w:val="009E5263"/>
    <w:rsid w:val="009E53AD"/>
    <w:rsid w:val="009F6E66"/>
    <w:rsid w:val="00A025EB"/>
    <w:rsid w:val="00A10429"/>
    <w:rsid w:val="00A15A93"/>
    <w:rsid w:val="00A31651"/>
    <w:rsid w:val="00A40FCF"/>
    <w:rsid w:val="00A42960"/>
    <w:rsid w:val="00A470DD"/>
    <w:rsid w:val="00A5092D"/>
    <w:rsid w:val="00A5161B"/>
    <w:rsid w:val="00A6772F"/>
    <w:rsid w:val="00A76DC2"/>
    <w:rsid w:val="00A77B76"/>
    <w:rsid w:val="00A80401"/>
    <w:rsid w:val="00A816F0"/>
    <w:rsid w:val="00A85847"/>
    <w:rsid w:val="00A90B41"/>
    <w:rsid w:val="00A96696"/>
    <w:rsid w:val="00AA45BB"/>
    <w:rsid w:val="00AB071B"/>
    <w:rsid w:val="00AB2216"/>
    <w:rsid w:val="00AB46F6"/>
    <w:rsid w:val="00AC0888"/>
    <w:rsid w:val="00AC2393"/>
    <w:rsid w:val="00AE5041"/>
    <w:rsid w:val="00AE579B"/>
    <w:rsid w:val="00AF1AA6"/>
    <w:rsid w:val="00AF7F10"/>
    <w:rsid w:val="00B00BF5"/>
    <w:rsid w:val="00B029C3"/>
    <w:rsid w:val="00B06751"/>
    <w:rsid w:val="00B0766D"/>
    <w:rsid w:val="00B11897"/>
    <w:rsid w:val="00B12AD4"/>
    <w:rsid w:val="00B155AA"/>
    <w:rsid w:val="00B1609B"/>
    <w:rsid w:val="00B17F6C"/>
    <w:rsid w:val="00B23F89"/>
    <w:rsid w:val="00B34FA3"/>
    <w:rsid w:val="00B36449"/>
    <w:rsid w:val="00B37212"/>
    <w:rsid w:val="00B40E41"/>
    <w:rsid w:val="00B4533C"/>
    <w:rsid w:val="00B4566C"/>
    <w:rsid w:val="00B47583"/>
    <w:rsid w:val="00B55A5C"/>
    <w:rsid w:val="00B571E2"/>
    <w:rsid w:val="00B63E1B"/>
    <w:rsid w:val="00B70D82"/>
    <w:rsid w:val="00B726A9"/>
    <w:rsid w:val="00B833F6"/>
    <w:rsid w:val="00B9083D"/>
    <w:rsid w:val="00B96B58"/>
    <w:rsid w:val="00BA0587"/>
    <w:rsid w:val="00BA192C"/>
    <w:rsid w:val="00BA1BC1"/>
    <w:rsid w:val="00BA5018"/>
    <w:rsid w:val="00BC1364"/>
    <w:rsid w:val="00BC15EC"/>
    <w:rsid w:val="00BD6039"/>
    <w:rsid w:val="00BE618E"/>
    <w:rsid w:val="00BE705B"/>
    <w:rsid w:val="00BF1546"/>
    <w:rsid w:val="00C024C5"/>
    <w:rsid w:val="00C15D48"/>
    <w:rsid w:val="00C240A4"/>
    <w:rsid w:val="00C27B3B"/>
    <w:rsid w:val="00C31048"/>
    <w:rsid w:val="00C35FEB"/>
    <w:rsid w:val="00C36818"/>
    <w:rsid w:val="00C4702C"/>
    <w:rsid w:val="00C640A3"/>
    <w:rsid w:val="00C71844"/>
    <w:rsid w:val="00C76F94"/>
    <w:rsid w:val="00C93534"/>
    <w:rsid w:val="00CA182F"/>
    <w:rsid w:val="00CB2F10"/>
    <w:rsid w:val="00CB52A4"/>
    <w:rsid w:val="00CC7F52"/>
    <w:rsid w:val="00CD060E"/>
    <w:rsid w:val="00CD495A"/>
    <w:rsid w:val="00CE36E6"/>
    <w:rsid w:val="00CF3A9B"/>
    <w:rsid w:val="00D074E5"/>
    <w:rsid w:val="00D14F6B"/>
    <w:rsid w:val="00D21ADA"/>
    <w:rsid w:val="00D25830"/>
    <w:rsid w:val="00D2745E"/>
    <w:rsid w:val="00D35C4C"/>
    <w:rsid w:val="00D3752D"/>
    <w:rsid w:val="00D44767"/>
    <w:rsid w:val="00D5183C"/>
    <w:rsid w:val="00D62FB5"/>
    <w:rsid w:val="00D647DC"/>
    <w:rsid w:val="00D743D2"/>
    <w:rsid w:val="00D7662A"/>
    <w:rsid w:val="00D777F3"/>
    <w:rsid w:val="00D77CD2"/>
    <w:rsid w:val="00D85DAB"/>
    <w:rsid w:val="00D867B1"/>
    <w:rsid w:val="00D91170"/>
    <w:rsid w:val="00D91792"/>
    <w:rsid w:val="00D94CF3"/>
    <w:rsid w:val="00DA0C22"/>
    <w:rsid w:val="00DA3842"/>
    <w:rsid w:val="00DA6176"/>
    <w:rsid w:val="00DA6AF4"/>
    <w:rsid w:val="00DB5573"/>
    <w:rsid w:val="00DB64DA"/>
    <w:rsid w:val="00DC17BE"/>
    <w:rsid w:val="00DE283D"/>
    <w:rsid w:val="00E131F8"/>
    <w:rsid w:val="00E17382"/>
    <w:rsid w:val="00E337D3"/>
    <w:rsid w:val="00E450C0"/>
    <w:rsid w:val="00E50AE5"/>
    <w:rsid w:val="00E52A48"/>
    <w:rsid w:val="00E53AE9"/>
    <w:rsid w:val="00E55DFE"/>
    <w:rsid w:val="00E575BC"/>
    <w:rsid w:val="00E64B82"/>
    <w:rsid w:val="00E668D3"/>
    <w:rsid w:val="00E6704A"/>
    <w:rsid w:val="00E74A06"/>
    <w:rsid w:val="00E75F61"/>
    <w:rsid w:val="00E96AFF"/>
    <w:rsid w:val="00EA0816"/>
    <w:rsid w:val="00EA2156"/>
    <w:rsid w:val="00EA2F6C"/>
    <w:rsid w:val="00EB3073"/>
    <w:rsid w:val="00EC1464"/>
    <w:rsid w:val="00EC2688"/>
    <w:rsid w:val="00EE453E"/>
    <w:rsid w:val="00EF1D62"/>
    <w:rsid w:val="00EF49B1"/>
    <w:rsid w:val="00F00110"/>
    <w:rsid w:val="00F15711"/>
    <w:rsid w:val="00F21EF5"/>
    <w:rsid w:val="00F254C8"/>
    <w:rsid w:val="00F3027C"/>
    <w:rsid w:val="00F374F4"/>
    <w:rsid w:val="00F56F14"/>
    <w:rsid w:val="00F576EF"/>
    <w:rsid w:val="00F6115F"/>
    <w:rsid w:val="00F61B28"/>
    <w:rsid w:val="00F66F0E"/>
    <w:rsid w:val="00F70F97"/>
    <w:rsid w:val="00F71393"/>
    <w:rsid w:val="00F77F86"/>
    <w:rsid w:val="00F87C64"/>
    <w:rsid w:val="00F91C17"/>
    <w:rsid w:val="00F9236C"/>
    <w:rsid w:val="00FB25D8"/>
    <w:rsid w:val="00FB34C7"/>
    <w:rsid w:val="00FB4B10"/>
    <w:rsid w:val="00FC5D3D"/>
    <w:rsid w:val="00FD72EC"/>
    <w:rsid w:val="00FD78CF"/>
    <w:rsid w:val="00FE4C82"/>
    <w:rsid w:val="00FE4FFA"/>
    <w:rsid w:val="00FF1DC2"/>
    <w:rsid w:val="01118951"/>
    <w:rsid w:val="02E94B80"/>
    <w:rsid w:val="048CFF7F"/>
    <w:rsid w:val="05F44D51"/>
    <w:rsid w:val="066BFAF5"/>
    <w:rsid w:val="070AD163"/>
    <w:rsid w:val="09CAB4D0"/>
    <w:rsid w:val="0B143C9C"/>
    <w:rsid w:val="0B2B4DE9"/>
    <w:rsid w:val="0EFC03A0"/>
    <w:rsid w:val="0F232946"/>
    <w:rsid w:val="0F46BA48"/>
    <w:rsid w:val="0F773B7B"/>
    <w:rsid w:val="11DBC881"/>
    <w:rsid w:val="127697B1"/>
    <w:rsid w:val="1657A0D0"/>
    <w:rsid w:val="17D25F27"/>
    <w:rsid w:val="1878AE44"/>
    <w:rsid w:val="1A519C63"/>
    <w:rsid w:val="1AA1F6CD"/>
    <w:rsid w:val="1CB3779B"/>
    <w:rsid w:val="1DD0096F"/>
    <w:rsid w:val="1F06BEE9"/>
    <w:rsid w:val="1F85E0DE"/>
    <w:rsid w:val="2255D5AE"/>
    <w:rsid w:val="23187C9A"/>
    <w:rsid w:val="240CC7CC"/>
    <w:rsid w:val="244F113C"/>
    <w:rsid w:val="2466B85D"/>
    <w:rsid w:val="247AA612"/>
    <w:rsid w:val="24DB0540"/>
    <w:rsid w:val="25264C7E"/>
    <w:rsid w:val="2591874E"/>
    <w:rsid w:val="29AA540F"/>
    <w:rsid w:val="2ED6F962"/>
    <w:rsid w:val="2F55F87E"/>
    <w:rsid w:val="33D7F3B7"/>
    <w:rsid w:val="385D7378"/>
    <w:rsid w:val="39709349"/>
    <w:rsid w:val="3B4221FD"/>
    <w:rsid w:val="3C0B9FEC"/>
    <w:rsid w:val="3CE51EF6"/>
    <w:rsid w:val="3D61E241"/>
    <w:rsid w:val="3F004858"/>
    <w:rsid w:val="3FADB59E"/>
    <w:rsid w:val="413F54D2"/>
    <w:rsid w:val="43213D87"/>
    <w:rsid w:val="45157F48"/>
    <w:rsid w:val="45A350C6"/>
    <w:rsid w:val="45E39FEE"/>
    <w:rsid w:val="46FE410A"/>
    <w:rsid w:val="4AC825B2"/>
    <w:rsid w:val="4C77E9DD"/>
    <w:rsid w:val="4D10984E"/>
    <w:rsid w:val="4E1BAB74"/>
    <w:rsid w:val="4FCA43EE"/>
    <w:rsid w:val="50375CD7"/>
    <w:rsid w:val="5103B09E"/>
    <w:rsid w:val="52235FC9"/>
    <w:rsid w:val="5650B762"/>
    <w:rsid w:val="56DCD0D7"/>
    <w:rsid w:val="582F3E3A"/>
    <w:rsid w:val="590B27D1"/>
    <w:rsid w:val="59638B11"/>
    <w:rsid w:val="5A849F49"/>
    <w:rsid w:val="5A878AC8"/>
    <w:rsid w:val="5D7BF9B5"/>
    <w:rsid w:val="61B0996D"/>
    <w:rsid w:val="626B52CE"/>
    <w:rsid w:val="631FC5A9"/>
    <w:rsid w:val="63937507"/>
    <w:rsid w:val="63C37616"/>
    <w:rsid w:val="669EE284"/>
    <w:rsid w:val="66B41DE2"/>
    <w:rsid w:val="6835D65C"/>
    <w:rsid w:val="68F1850D"/>
    <w:rsid w:val="6AE473E3"/>
    <w:rsid w:val="6C33BB5E"/>
    <w:rsid w:val="727111CE"/>
    <w:rsid w:val="73641036"/>
    <w:rsid w:val="73FDA55E"/>
    <w:rsid w:val="76E94010"/>
    <w:rsid w:val="776281F4"/>
    <w:rsid w:val="78662CFA"/>
    <w:rsid w:val="7F8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ABCE2"/>
  <w15:chartTrackingRefBased/>
  <w15:docId w15:val="{F5051A43-70E9-45CB-BE19-D0E7D5EA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DC1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2DC1"/>
    <w:pPr>
      <w:spacing w:after="120"/>
      <w:outlineLvl w:val="0"/>
    </w:pPr>
    <w:rPr>
      <w:rFonts w:eastAsia="Calibri" w:cs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DC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2DC1"/>
    <w:pPr>
      <w:keepNext/>
      <w:keepLines/>
      <w:spacing w:before="160" w:after="80"/>
      <w:outlineLvl w:val="2"/>
    </w:pPr>
    <w:rPr>
      <w:rFonts w:eastAsiaTheme="majorEastAsia" w:cstheme="majorBidi"/>
      <w:b/>
      <w:color w:val="3A3A3A" w:themeColor="background2" w:themeShade="40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DC1"/>
    <w:rPr>
      <w:rFonts w:ascii="Calibri" w:eastAsia="Calibri" w:hAnsi="Calibri" w:cs="Calibr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02DC1"/>
    <w:rPr>
      <w:rFonts w:ascii="Calibri" w:eastAsiaTheme="majorEastAsia" w:hAnsi="Calibr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02DC1"/>
    <w:rPr>
      <w:rFonts w:ascii="Calibri" w:eastAsiaTheme="majorEastAsia" w:hAnsi="Calibri" w:cstheme="majorBidi"/>
      <w:b/>
      <w:color w:val="3A3A3A" w:themeColor="background2" w:themeShade="4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902DC1"/>
    <w:rPr>
      <w:rFonts w:eastAsia="Calibri" w:cs="Calibri"/>
      <w:b/>
      <w:bCs/>
      <w:sz w:val="30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902DC1"/>
    <w:pPr>
      <w:jc w:val="center"/>
    </w:pPr>
    <w:rPr>
      <w:rFonts w:eastAsia="Calibri" w:cs="Calibri"/>
      <w:b/>
      <w:bCs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5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D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FA3"/>
  </w:style>
  <w:style w:type="paragraph" w:styleId="Footer">
    <w:name w:val="footer"/>
    <w:basedOn w:val="Normal"/>
    <w:link w:val="FooterChar"/>
    <w:uiPriority w:val="99"/>
    <w:unhideWhenUsed/>
    <w:rsid w:val="00B34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FA3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B221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F8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02D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2DC1"/>
    <w:rPr>
      <w:rFonts w:ascii="Calibri" w:hAnsi="Calibri"/>
      <w:sz w:val="20"/>
      <w:szCs w:val="20"/>
    </w:rPr>
  </w:style>
  <w:style w:type="paragraph" w:styleId="ListBullet">
    <w:name w:val="List Bullet"/>
    <w:basedOn w:val="Normal"/>
    <w:uiPriority w:val="99"/>
    <w:unhideWhenUsed/>
    <w:rsid w:val="00902DC1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unhideWhenUsed/>
    <w:rsid w:val="00902DC1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4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840F4E9447E47AE8D084F01321CF9" ma:contentTypeVersion="4" ma:contentTypeDescription="Create a new document." ma:contentTypeScope="" ma:versionID="619c26b7e5de49ffa0e46806d11d5f6c">
  <xsd:schema xmlns:xsd="http://www.w3.org/2001/XMLSchema" xmlns:xs="http://www.w3.org/2001/XMLSchema" xmlns:p="http://schemas.microsoft.com/office/2006/metadata/properties" xmlns:ns2="dd814703-2c16-4d0b-927c-cefd65990ef4" targetNamespace="http://schemas.microsoft.com/office/2006/metadata/properties" ma:root="true" ma:fieldsID="1d50815af586991ffae099fdc930c436" ns2:_="">
    <xsd:import namespace="dd814703-2c16-4d0b-927c-cefd65990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4703-2c16-4d0b-927c-cefd65990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FC97B-90CB-4642-98DB-CF037E65F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2B98B-BE30-444A-B6D2-BD941F3B3A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ABB1F3-0C25-4994-BA99-91BC3C476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14703-2c16-4d0b-927c-cefd65990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1035</Words>
  <Characters>6379</Characters>
  <Application>Microsoft Office Word</Application>
  <DocSecurity>0</DocSecurity>
  <Lines>131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Infant Formula Stakeholder Forum 1 – Summary</vt:lpstr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Infant Formula Stakeholder Forum 1 – Summary</dc:title>
  <dc:subject>Pregnancy, birth and baby</dc:subject>
  <dc:creator>Australian Government Department of Health, Disability and Ageing</dc:creator>
  <cp:keywords>Infant Formula, Department of Health, Disability and Ageing, Infant feeding</cp:keywords>
  <dc:description/>
  <cp:lastModifiedBy>MASCHKE, Elvia</cp:lastModifiedBy>
  <cp:revision>8</cp:revision>
  <cp:lastPrinted>2025-08-01T05:07:00Z</cp:lastPrinted>
  <dcterms:created xsi:type="dcterms:W3CDTF">2025-07-24T22:59:00Z</dcterms:created>
  <dcterms:modified xsi:type="dcterms:W3CDTF">2025-08-01T05:08:00Z</dcterms:modified>
</cp:coreProperties>
</file>