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564B0" w14:textId="16AAC80A" w:rsidR="00670FFE" w:rsidRPr="00AB216C" w:rsidRDefault="00A918E6" w:rsidP="00A918E6">
      <w:pPr>
        <w:pStyle w:val="Heading1"/>
        <w:rPr>
          <w:sz w:val="44"/>
          <w:szCs w:val="44"/>
        </w:rPr>
      </w:pPr>
      <w:r w:rsidRPr="00AB216C">
        <w:rPr>
          <w:sz w:val="44"/>
          <w:szCs w:val="44"/>
        </w:rPr>
        <w:t>Electronic National Residential Medication Charts (eNRMC) and My Health Record</w:t>
      </w:r>
      <w:r w:rsidR="00AB216C" w:rsidRPr="00AB216C">
        <w:rPr>
          <w:sz w:val="44"/>
          <w:szCs w:val="44"/>
        </w:rPr>
        <w:t xml:space="preserve"> </w:t>
      </w:r>
      <w:r w:rsidRPr="00AB216C">
        <w:rPr>
          <w:sz w:val="44"/>
          <w:szCs w:val="44"/>
        </w:rPr>
        <w:t xml:space="preserve">(MHR) </w:t>
      </w:r>
      <w:r w:rsidR="00AB216C">
        <w:rPr>
          <w:sz w:val="44"/>
          <w:szCs w:val="44"/>
        </w:rPr>
        <w:t xml:space="preserve">Webinar </w:t>
      </w:r>
      <w:r w:rsidRPr="00AB216C">
        <w:rPr>
          <w:sz w:val="44"/>
          <w:szCs w:val="44"/>
        </w:rPr>
        <w:t>Update</w:t>
      </w:r>
      <w:r w:rsidR="0099328C" w:rsidRPr="00AB216C">
        <w:rPr>
          <w:sz w:val="44"/>
          <w:szCs w:val="44"/>
        </w:rPr>
        <w:t xml:space="preserve"> – 12 August 2025</w:t>
      </w:r>
    </w:p>
    <w:p w14:paraId="0BE18730" w14:textId="0CAC8353" w:rsidR="0099328C" w:rsidRPr="00AB216C" w:rsidRDefault="0099328C" w:rsidP="00A918E6">
      <w:pPr>
        <w:pStyle w:val="Heading2"/>
        <w:rPr>
          <w:sz w:val="36"/>
          <w:szCs w:val="32"/>
        </w:rPr>
      </w:pPr>
      <w:r w:rsidRPr="00AB216C">
        <w:rPr>
          <w:sz w:val="36"/>
          <w:szCs w:val="32"/>
        </w:rPr>
        <w:t>Responses to frequently asked questions</w:t>
      </w:r>
    </w:p>
    <w:p w14:paraId="184CEBAC" w14:textId="59243E55" w:rsidR="00A918E6" w:rsidRPr="00A918E6" w:rsidRDefault="00A918E6" w:rsidP="609B2750">
      <w:r w:rsidRPr="609B2750">
        <w:rPr>
          <w:lang w:val="en-GB"/>
        </w:rPr>
        <w:t>The Department of Health, Disability and Ageing</w:t>
      </w:r>
      <w:r w:rsidR="008D7F5D">
        <w:rPr>
          <w:lang w:val="en-GB"/>
        </w:rPr>
        <w:t xml:space="preserve"> (department)</w:t>
      </w:r>
      <w:r w:rsidRPr="609B2750">
        <w:rPr>
          <w:lang w:val="en-GB"/>
        </w:rPr>
        <w:t xml:space="preserve"> scheduled a webinar for 12 August 2025. However, due to technical difficulties, the live session was cancelled. Residential Aged Care Homes (RACHs) were subsequently invited to register for a recorded informational session regarding the upcoming changes to eNRMC systems.</w:t>
      </w:r>
      <w:r>
        <w:t> </w:t>
      </w:r>
    </w:p>
    <w:p w14:paraId="18DE014E" w14:textId="0E586D97" w:rsidR="0099328C" w:rsidRDefault="00A918E6" w:rsidP="00C957D9">
      <w:r w:rsidRPr="609B2750">
        <w:rPr>
          <w:lang w:val="en-GB"/>
        </w:rPr>
        <w:t>During the recorded session, the Chair and speakers addressed most of the pre-submitted questions received from registrants. Due to time limitations, not all questions could be covered. This document provides</w:t>
      </w:r>
      <w:r w:rsidR="00394EE1" w:rsidRPr="609B2750">
        <w:rPr>
          <w:lang w:val="en-GB"/>
        </w:rPr>
        <w:t xml:space="preserve"> responses to frequently asked questions</w:t>
      </w:r>
      <w:r w:rsidR="008C6089" w:rsidRPr="609B2750">
        <w:rPr>
          <w:lang w:val="en-GB"/>
        </w:rPr>
        <w:t xml:space="preserve"> </w:t>
      </w:r>
      <w:r w:rsidR="00C31BCC" w:rsidRPr="609B2750">
        <w:rPr>
          <w:lang w:val="en-GB"/>
        </w:rPr>
        <w:t xml:space="preserve">we received </w:t>
      </w:r>
      <w:r w:rsidR="00FF1CC4" w:rsidRPr="609B2750">
        <w:rPr>
          <w:lang w:val="en-GB"/>
        </w:rPr>
        <w:t>that were not addressed during the session</w:t>
      </w:r>
      <w:r w:rsidR="00477B30" w:rsidRPr="609B2750">
        <w:rPr>
          <w:lang w:val="en-GB"/>
        </w:rPr>
        <w:t>,</w:t>
      </w:r>
      <w:r w:rsidR="00FF1CC4" w:rsidRPr="609B2750">
        <w:rPr>
          <w:lang w:val="en-GB"/>
        </w:rPr>
        <w:t xml:space="preserve"> </w:t>
      </w:r>
      <w:r w:rsidR="008C6089" w:rsidRPr="609B2750">
        <w:rPr>
          <w:lang w:val="en-GB"/>
        </w:rPr>
        <w:t>and</w:t>
      </w:r>
      <w:r w:rsidRPr="609B2750">
        <w:rPr>
          <w:lang w:val="en-GB"/>
        </w:rPr>
        <w:t xml:space="preserve"> a summary of the answers discussed in the recording</w:t>
      </w:r>
      <w:r w:rsidR="00FF1CC4" w:rsidRPr="609B2750">
        <w:rPr>
          <w:lang w:val="en-GB"/>
        </w:rPr>
        <w:t xml:space="preserve">. </w:t>
      </w:r>
    </w:p>
    <w:p w14:paraId="51957B78" w14:textId="13439EBE" w:rsidR="00EC3FB6" w:rsidRPr="00C957D9" w:rsidRDefault="0099328C" w:rsidP="00EC3FB6">
      <w:pPr>
        <w:pStyle w:val="Heading3"/>
      </w:pPr>
      <w:r>
        <w:t xml:space="preserve">Rollout and </w:t>
      </w:r>
      <w:r w:rsidR="00592534">
        <w:t>implementation</w:t>
      </w:r>
      <w:r>
        <w:t xml:space="preserve"> of eNRMC systems which have Electronic Prescribing (</w:t>
      </w:r>
      <w:proofErr w:type="spellStart"/>
      <w:r>
        <w:t>eP</w:t>
      </w:r>
      <w:proofErr w:type="spellEnd"/>
      <w:r>
        <w:t xml:space="preserve">) capability </w:t>
      </w:r>
    </w:p>
    <w:p w14:paraId="284FD0B5" w14:textId="2315DD8C" w:rsidR="0099328C" w:rsidRPr="0099328C" w:rsidRDefault="0099328C" w:rsidP="00EC3FB6">
      <w:pPr>
        <w:pStyle w:val="Heading4"/>
        <w:rPr>
          <w:rStyle w:val="eop"/>
        </w:rPr>
      </w:pPr>
      <w:r w:rsidRPr="609B2750">
        <w:rPr>
          <w:lang w:val="en-GB"/>
        </w:rPr>
        <w:t>What actions do Residential Aged Care Service Providers need to take who already have an eNRMC product?</w:t>
      </w:r>
      <w:r w:rsidRPr="0099328C">
        <w:t> </w:t>
      </w:r>
    </w:p>
    <w:p w14:paraId="263E235C" w14:textId="06C6489A" w:rsidR="00477B30" w:rsidRDefault="00D67601" w:rsidP="609B2750">
      <w:pPr>
        <w:rPr>
          <w:rFonts w:cs="Arial"/>
          <w:color w:val="000000"/>
          <w:lang w:val="en-GB"/>
        </w:rPr>
      </w:pPr>
      <w:r w:rsidRPr="609B2750">
        <w:rPr>
          <w:lang w:val="en-GB"/>
        </w:rPr>
        <w:t xml:space="preserve">As the national rollout of eNRMCs progresses, aged care providers must prepare for the end of the Transitional Arrangement. </w:t>
      </w:r>
      <w:r w:rsidR="00D967D3" w:rsidRPr="609B2750">
        <w:rPr>
          <w:lang w:val="en-GB"/>
        </w:rPr>
        <w:t>RACHs</w:t>
      </w:r>
      <w:r w:rsidR="00AB216C" w:rsidRPr="609B2750">
        <w:rPr>
          <w:lang w:val="en-GB"/>
        </w:rPr>
        <w:t xml:space="preserve"> </w:t>
      </w:r>
      <w:r w:rsidR="008011FE">
        <w:rPr>
          <w:lang w:val="en-GB"/>
        </w:rPr>
        <w:t>should</w:t>
      </w:r>
      <w:r w:rsidR="00AB216C" w:rsidRPr="609B2750">
        <w:rPr>
          <w:lang w:val="en-GB"/>
        </w:rPr>
        <w:t xml:space="preserve"> contact their eNRMC software vendors to </w:t>
      </w:r>
      <w:r w:rsidR="00480814">
        <w:rPr>
          <w:lang w:val="en-GB"/>
        </w:rPr>
        <w:t>determine their</w:t>
      </w:r>
      <w:r w:rsidR="00AB216C" w:rsidRPr="609B2750">
        <w:rPr>
          <w:lang w:val="en-GB"/>
        </w:rPr>
        <w:t xml:space="preserve"> timeline for achieving conformance</w:t>
      </w:r>
      <w:r w:rsidR="00480814">
        <w:rPr>
          <w:lang w:val="en-GB"/>
        </w:rPr>
        <w:t xml:space="preserve"> and rollout completion</w:t>
      </w:r>
      <w:r w:rsidR="00AB216C" w:rsidRPr="609B2750">
        <w:rPr>
          <w:lang w:val="en-GB"/>
        </w:rPr>
        <w:t xml:space="preserve">. This will enable </w:t>
      </w:r>
      <w:r w:rsidR="00480814">
        <w:rPr>
          <w:lang w:val="en-GB"/>
        </w:rPr>
        <w:t>RACHs</w:t>
      </w:r>
      <w:r w:rsidR="00AB216C" w:rsidRPr="609B2750">
        <w:rPr>
          <w:lang w:val="en-GB"/>
        </w:rPr>
        <w:t xml:space="preserve"> to identify any </w:t>
      </w:r>
      <w:r w:rsidR="00EA5903">
        <w:rPr>
          <w:lang w:val="en-GB"/>
        </w:rPr>
        <w:t>new</w:t>
      </w:r>
      <w:r w:rsidR="00EA5903" w:rsidRPr="609B2750">
        <w:rPr>
          <w:lang w:val="en-GB"/>
        </w:rPr>
        <w:t xml:space="preserve"> </w:t>
      </w:r>
      <w:r w:rsidR="00AB216C" w:rsidRPr="609B2750">
        <w:rPr>
          <w:lang w:val="en-GB"/>
        </w:rPr>
        <w:t xml:space="preserve">procedures required to ensure that prescriptions are being generated appropriately. </w:t>
      </w:r>
    </w:p>
    <w:p w14:paraId="66FC0309" w14:textId="77777777" w:rsidR="00477B30" w:rsidRDefault="00477B30" w:rsidP="00AB216C">
      <w:pPr>
        <w:pStyle w:val="Heading2"/>
        <w:rPr>
          <w:rFonts w:cs="Arial"/>
          <w:b w:val="0"/>
          <w:bCs/>
          <w:color w:val="000000"/>
          <w:sz w:val="24"/>
          <w:szCs w:val="24"/>
          <w:shd w:val="clear" w:color="auto" w:fill="FFFFFF"/>
          <w:lang w:val="en-GB"/>
        </w:rPr>
      </w:pPr>
    </w:p>
    <w:p w14:paraId="7681CCAE" w14:textId="306D8BA2" w:rsidR="00AB216C" w:rsidRPr="00AB216C" w:rsidRDefault="00AB216C" w:rsidP="609B2750">
      <w:pPr>
        <w:rPr>
          <w:rFonts w:cs="Arial"/>
          <w:color w:val="000000"/>
        </w:rPr>
      </w:pPr>
      <w:r w:rsidRPr="609B2750">
        <w:rPr>
          <w:lang w:val="en-GB"/>
        </w:rPr>
        <w:t xml:space="preserve">In summary, </w:t>
      </w:r>
      <w:r w:rsidR="001A615A">
        <w:rPr>
          <w:lang w:val="en-GB"/>
        </w:rPr>
        <w:t>RACHs</w:t>
      </w:r>
      <w:r w:rsidR="001A615A" w:rsidRPr="609B2750">
        <w:rPr>
          <w:lang w:val="en-GB"/>
        </w:rPr>
        <w:t xml:space="preserve"> </w:t>
      </w:r>
      <w:r w:rsidRPr="609B2750">
        <w:rPr>
          <w:lang w:val="en-GB"/>
        </w:rPr>
        <w:t>must:</w:t>
      </w:r>
      <w:r w:rsidRPr="00AB216C">
        <w:t> </w:t>
      </w:r>
    </w:p>
    <w:p w14:paraId="6C961B68" w14:textId="22925921" w:rsidR="00AB216C" w:rsidRPr="008011FE" w:rsidRDefault="00AB216C" w:rsidP="008011FE">
      <w:pPr>
        <w:pStyle w:val="ListParagraph"/>
        <w:numPr>
          <w:ilvl w:val="0"/>
          <w:numId w:val="32"/>
        </w:numPr>
        <w:rPr>
          <w:rFonts w:cs="Arial"/>
          <w:color w:val="000000"/>
        </w:rPr>
      </w:pPr>
      <w:r w:rsidRPr="008011FE">
        <w:rPr>
          <w:lang w:val="en-GB"/>
        </w:rPr>
        <w:lastRenderedPageBreak/>
        <w:t>contact their software vendor to confirm that they will be using a conformant system by 1 October</w:t>
      </w:r>
      <w:r w:rsidR="0019458A">
        <w:rPr>
          <w:lang w:val="en-GB"/>
        </w:rPr>
        <w:t xml:space="preserve"> 2025</w:t>
      </w:r>
      <w:r w:rsidRPr="008011FE">
        <w:rPr>
          <w:lang w:val="en-GB"/>
        </w:rPr>
        <w:t>. If not, they must plan for alternative prescribing arrangements to ensure PBS compliance; and</w:t>
      </w:r>
      <w:r w:rsidRPr="00AB216C">
        <w:t> </w:t>
      </w:r>
    </w:p>
    <w:p w14:paraId="55A649B5" w14:textId="77777777" w:rsidR="00AB216C" w:rsidRPr="008011FE" w:rsidRDefault="00AB216C" w:rsidP="008011FE">
      <w:pPr>
        <w:pStyle w:val="ListParagraph"/>
        <w:numPr>
          <w:ilvl w:val="0"/>
          <w:numId w:val="32"/>
        </w:numPr>
        <w:rPr>
          <w:rFonts w:cs="Arial"/>
          <w:color w:val="000000"/>
        </w:rPr>
      </w:pPr>
      <w:r w:rsidRPr="008011FE">
        <w:rPr>
          <w:lang w:val="en-GB"/>
        </w:rPr>
        <w:t>work with their supplying pharmacy to ensure they are fully informed of these timeframes and requirements. </w:t>
      </w:r>
      <w:r w:rsidRPr="00AB216C">
        <w:t> </w:t>
      </w:r>
    </w:p>
    <w:p w14:paraId="5B418A56" w14:textId="57E50255" w:rsidR="00AB216C" w:rsidRDefault="00AB216C" w:rsidP="00AB216C">
      <w:r>
        <w:t xml:space="preserve">For more detailed information on software vendor readiness and next steps for </w:t>
      </w:r>
      <w:r w:rsidR="00D967D3">
        <w:t>RACHs</w:t>
      </w:r>
      <w:r>
        <w:t xml:space="preserve">, please </w:t>
      </w:r>
      <w:r w:rsidR="009F3CF2">
        <w:t xml:space="preserve">see </w:t>
      </w:r>
      <w:r>
        <w:t xml:space="preserve">our </w:t>
      </w:r>
      <w:hyperlink r:id="rId11" w:history="1">
        <w:r w:rsidRPr="00AB216C">
          <w:rPr>
            <w:rStyle w:val="Hyperlink"/>
          </w:rPr>
          <w:t>eNRMC Aged Care fact sheet</w:t>
        </w:r>
      </w:hyperlink>
      <w:r>
        <w:t xml:space="preserve">. </w:t>
      </w:r>
    </w:p>
    <w:p w14:paraId="73145E7E" w14:textId="02B54193" w:rsidR="0099328C" w:rsidRPr="00592534" w:rsidRDefault="009F3CF2" w:rsidP="00EC3FB6">
      <w:pPr>
        <w:pStyle w:val="Heading4"/>
        <w:rPr>
          <w:rFonts w:eastAsia="Calibri" w:cs="Arial"/>
          <w:bCs/>
          <w:szCs w:val="24"/>
          <w:lang w:val="en-GB"/>
        </w:rPr>
      </w:pPr>
      <w:r>
        <w:rPr>
          <w:lang w:val="en-GB"/>
        </w:rPr>
        <w:t>I</w:t>
      </w:r>
      <w:r w:rsidR="2B60E8DA" w:rsidRPr="609B2750">
        <w:rPr>
          <w:lang w:val="en-GB"/>
        </w:rPr>
        <w:t xml:space="preserve">s the government </w:t>
      </w:r>
      <w:r>
        <w:rPr>
          <w:lang w:val="en-GB"/>
        </w:rPr>
        <w:t xml:space="preserve">aware </w:t>
      </w:r>
      <w:r w:rsidR="2B60E8DA" w:rsidRPr="609B2750">
        <w:rPr>
          <w:lang w:val="en-GB"/>
        </w:rPr>
        <w:t xml:space="preserve">that eNRMC software vendors may require additional time to transition their </w:t>
      </w:r>
      <w:r w:rsidR="2B60E8DA" w:rsidRPr="00C957D9">
        <w:t>clients</w:t>
      </w:r>
      <w:r w:rsidR="00FA74A6">
        <w:rPr>
          <w:lang w:val="en-GB"/>
        </w:rPr>
        <w:t xml:space="preserve"> after they achieve conformance</w:t>
      </w:r>
      <w:r w:rsidR="2B60E8DA" w:rsidRPr="609B2750">
        <w:rPr>
          <w:lang w:val="en-GB"/>
        </w:rPr>
        <w:t xml:space="preserve">, and is there flexibility in implementation timelines to accommodate this? </w:t>
      </w:r>
    </w:p>
    <w:p w14:paraId="47219C71" w14:textId="1EC33FB5" w:rsidR="0099328C" w:rsidRPr="00592534" w:rsidRDefault="2B60E8DA" w:rsidP="00EC3FB6">
      <w:pPr>
        <w:rPr>
          <w:rFonts w:cs="Arial"/>
          <w:color w:val="000000"/>
          <w:lang w:val="en-GB"/>
        </w:rPr>
      </w:pPr>
      <w:r w:rsidRPr="609B2750">
        <w:rPr>
          <w:lang w:val="en-GB"/>
        </w:rPr>
        <w:t xml:space="preserve">The government revised timeframes </w:t>
      </w:r>
      <w:r w:rsidR="00FA74A6">
        <w:rPr>
          <w:lang w:val="en-GB"/>
        </w:rPr>
        <w:t xml:space="preserve">for the </w:t>
      </w:r>
      <w:r w:rsidR="00991BBB">
        <w:rPr>
          <w:lang w:val="en-GB"/>
        </w:rPr>
        <w:t xml:space="preserve">end of the </w:t>
      </w:r>
      <w:r w:rsidR="00FA74A6">
        <w:rPr>
          <w:lang w:val="en-GB"/>
        </w:rPr>
        <w:t xml:space="preserve">Transitional Arrangement </w:t>
      </w:r>
      <w:r w:rsidRPr="609B2750">
        <w:rPr>
          <w:lang w:val="en-GB"/>
        </w:rPr>
        <w:t xml:space="preserve">and provided interim flexibility to allow enough time for RACHs to transition to the conformant versions of their eNRMC software once available. </w:t>
      </w:r>
      <w:r w:rsidR="00DA66AF" w:rsidRPr="609B2750">
        <w:rPr>
          <w:lang w:val="en-GB"/>
        </w:rPr>
        <w:t xml:space="preserve"> </w:t>
      </w:r>
    </w:p>
    <w:p w14:paraId="161FF3BD" w14:textId="759502F8" w:rsidR="0099328C" w:rsidRPr="00592534" w:rsidRDefault="0843ADDA" w:rsidP="00EC3FB6">
      <w:pPr>
        <w:rPr>
          <w:rFonts w:cs="Arial"/>
          <w:color w:val="000000"/>
          <w:lang w:val="en-GB"/>
        </w:rPr>
      </w:pPr>
      <w:r w:rsidRPr="609B2750">
        <w:rPr>
          <w:lang w:val="en-GB"/>
        </w:rPr>
        <w:t>If</w:t>
      </w:r>
      <w:r w:rsidR="00592534" w:rsidRPr="609B2750">
        <w:rPr>
          <w:lang w:val="en-GB"/>
        </w:rPr>
        <w:t xml:space="preserve"> </w:t>
      </w:r>
      <w:r w:rsidR="00B67CE2" w:rsidRPr="609B2750">
        <w:rPr>
          <w:lang w:val="en-GB"/>
        </w:rPr>
        <w:t>a</w:t>
      </w:r>
      <w:r w:rsidR="00592534" w:rsidRPr="609B2750">
        <w:rPr>
          <w:lang w:val="en-GB"/>
        </w:rPr>
        <w:t xml:space="preserve"> software vendor do</w:t>
      </w:r>
      <w:r w:rsidR="00B67CE2" w:rsidRPr="609B2750">
        <w:rPr>
          <w:lang w:val="en-GB"/>
        </w:rPr>
        <w:t>es</w:t>
      </w:r>
      <w:r w:rsidR="00592534" w:rsidRPr="609B2750">
        <w:rPr>
          <w:lang w:val="en-GB"/>
        </w:rPr>
        <w:t xml:space="preserve"> not have a conformant version </w:t>
      </w:r>
      <w:r w:rsidR="245488A5" w:rsidRPr="609B2750">
        <w:rPr>
          <w:lang w:val="en-GB"/>
        </w:rPr>
        <w:t>of their product approved by the Australian Digital Health Agency</w:t>
      </w:r>
      <w:r w:rsidR="00885E1B">
        <w:rPr>
          <w:lang w:val="en-GB"/>
        </w:rPr>
        <w:t xml:space="preserve"> (Agency)</w:t>
      </w:r>
      <w:r w:rsidR="602BE15D" w:rsidRPr="609B2750">
        <w:rPr>
          <w:lang w:val="en-GB"/>
        </w:rPr>
        <w:t xml:space="preserve"> by </w:t>
      </w:r>
      <w:r w:rsidR="005C7DFB">
        <w:rPr>
          <w:lang w:val="en-GB"/>
        </w:rPr>
        <w:t>30</w:t>
      </w:r>
      <w:r w:rsidR="602BE15D" w:rsidRPr="609B2750">
        <w:rPr>
          <w:lang w:val="en-GB"/>
        </w:rPr>
        <w:t xml:space="preserve"> September 2025,</w:t>
      </w:r>
      <w:r w:rsidR="00592534" w:rsidRPr="609B2750">
        <w:rPr>
          <w:lang w:val="en-GB"/>
        </w:rPr>
        <w:t xml:space="preserve"> they will need to make sure that prescribers are generating</w:t>
      </w:r>
      <w:r w:rsidR="15544DD5" w:rsidRPr="609B2750">
        <w:rPr>
          <w:lang w:val="en-GB"/>
        </w:rPr>
        <w:t xml:space="preserve"> separate</w:t>
      </w:r>
      <w:r w:rsidR="00592534" w:rsidRPr="609B2750">
        <w:rPr>
          <w:lang w:val="en-GB"/>
        </w:rPr>
        <w:t xml:space="preserve"> </w:t>
      </w:r>
      <w:r w:rsidR="005268DE" w:rsidRPr="609B2750">
        <w:rPr>
          <w:lang w:val="en-GB"/>
        </w:rPr>
        <w:t xml:space="preserve">paper or electronic </w:t>
      </w:r>
      <w:r w:rsidR="00592534" w:rsidRPr="609B2750">
        <w:rPr>
          <w:lang w:val="en-GB"/>
        </w:rPr>
        <w:t xml:space="preserve">prescriptions to support PBS claiming and supply. </w:t>
      </w:r>
    </w:p>
    <w:p w14:paraId="2E05C0F7" w14:textId="43E73D21" w:rsidR="0099328C" w:rsidRDefault="00592534" w:rsidP="00EC3FB6">
      <w:pPr>
        <w:rPr>
          <w:lang w:val="en-GB"/>
        </w:rPr>
      </w:pPr>
      <w:r w:rsidRPr="609B2750">
        <w:rPr>
          <w:lang w:val="en-GB"/>
        </w:rPr>
        <w:t xml:space="preserve">Where a conformant version </w:t>
      </w:r>
      <w:r w:rsidR="7318C5EF" w:rsidRPr="609B2750">
        <w:rPr>
          <w:lang w:val="en-GB"/>
        </w:rPr>
        <w:t xml:space="preserve">is </w:t>
      </w:r>
      <w:r w:rsidRPr="609B2750">
        <w:rPr>
          <w:lang w:val="en-GB"/>
        </w:rPr>
        <w:t xml:space="preserve">available, </w:t>
      </w:r>
      <w:r w:rsidR="00B67CE2" w:rsidRPr="609B2750">
        <w:rPr>
          <w:lang w:val="en-GB"/>
        </w:rPr>
        <w:t>RACH</w:t>
      </w:r>
      <w:r w:rsidR="00D967D3" w:rsidRPr="609B2750">
        <w:rPr>
          <w:lang w:val="en-GB"/>
        </w:rPr>
        <w:t>s</w:t>
      </w:r>
      <w:r w:rsidRPr="609B2750">
        <w:rPr>
          <w:lang w:val="en-GB"/>
        </w:rPr>
        <w:t xml:space="preserve"> can continue to use their current </w:t>
      </w:r>
      <w:r w:rsidR="6A2939A1" w:rsidRPr="609B2750">
        <w:rPr>
          <w:lang w:val="en-GB"/>
        </w:rPr>
        <w:t xml:space="preserve">Transitional eNRMC </w:t>
      </w:r>
      <w:r w:rsidRPr="609B2750">
        <w:rPr>
          <w:lang w:val="en-GB"/>
        </w:rPr>
        <w:t>system until</w:t>
      </w:r>
      <w:r w:rsidR="116BD6B6" w:rsidRPr="609B2750">
        <w:rPr>
          <w:lang w:val="en-GB"/>
        </w:rPr>
        <w:t xml:space="preserve"> they upgrade to the conformant version of their system. RACHs must upgrade by</w:t>
      </w:r>
      <w:r w:rsidRPr="609B2750">
        <w:rPr>
          <w:lang w:val="en-GB"/>
        </w:rPr>
        <w:t xml:space="preserve"> 1 March 2026. </w:t>
      </w:r>
    </w:p>
    <w:p w14:paraId="15008DA0" w14:textId="7BF9D5B8" w:rsidR="007A3196" w:rsidRPr="00592534" w:rsidRDefault="00894564" w:rsidP="00EC3FB6">
      <w:pPr>
        <w:rPr>
          <w:rFonts w:eastAsia="Yu Gothic Light" w:cs="Arial"/>
          <w:lang w:val="en-GB"/>
        </w:rPr>
      </w:pPr>
      <w:r>
        <w:rPr>
          <w:lang w:val="en-GB"/>
        </w:rPr>
        <w:t>However, t</w:t>
      </w:r>
      <w:r w:rsidR="007A3196">
        <w:rPr>
          <w:lang w:val="en-GB"/>
        </w:rPr>
        <w:t xml:space="preserve">he Department will </w:t>
      </w:r>
      <w:r w:rsidR="00617826">
        <w:rPr>
          <w:lang w:val="en-GB"/>
        </w:rPr>
        <w:t xml:space="preserve">monitor </w:t>
      </w:r>
      <w:r w:rsidR="002C6E59">
        <w:rPr>
          <w:lang w:val="en-GB"/>
        </w:rPr>
        <w:t xml:space="preserve">the roll out </w:t>
      </w:r>
      <w:r w:rsidR="009C2050">
        <w:rPr>
          <w:lang w:val="en-GB"/>
        </w:rPr>
        <w:t xml:space="preserve">and adoption of conformant eNRMC </w:t>
      </w:r>
      <w:proofErr w:type="gramStart"/>
      <w:r w:rsidR="009C2050">
        <w:rPr>
          <w:lang w:val="en-GB"/>
        </w:rPr>
        <w:t xml:space="preserve">systems </w:t>
      </w:r>
      <w:r w:rsidR="002C6E59">
        <w:rPr>
          <w:lang w:val="en-GB"/>
        </w:rPr>
        <w:t xml:space="preserve"> over</w:t>
      </w:r>
      <w:proofErr w:type="gramEnd"/>
      <w:r w:rsidR="002C6E59">
        <w:rPr>
          <w:lang w:val="en-GB"/>
        </w:rPr>
        <w:t xml:space="preserve"> the coming months and will </w:t>
      </w:r>
      <w:r>
        <w:rPr>
          <w:lang w:val="en-GB"/>
        </w:rPr>
        <w:t xml:space="preserve">consider timeframe </w:t>
      </w:r>
      <w:r w:rsidR="00F61CC2">
        <w:rPr>
          <w:lang w:val="en-GB"/>
        </w:rPr>
        <w:t>changes</w:t>
      </w:r>
      <w:r w:rsidR="00D9755B">
        <w:rPr>
          <w:lang w:val="en-GB"/>
        </w:rPr>
        <w:t>,</w:t>
      </w:r>
      <w:r>
        <w:rPr>
          <w:lang w:val="en-GB"/>
        </w:rPr>
        <w:t xml:space="preserve"> </w:t>
      </w:r>
      <w:proofErr w:type="gramStart"/>
      <w:r>
        <w:rPr>
          <w:lang w:val="en-GB"/>
        </w:rPr>
        <w:t>if and when</w:t>
      </w:r>
      <w:proofErr w:type="gramEnd"/>
      <w:r>
        <w:rPr>
          <w:lang w:val="en-GB"/>
        </w:rPr>
        <w:t xml:space="preserve"> necessary.</w:t>
      </w:r>
      <w:r w:rsidR="009C2050">
        <w:rPr>
          <w:lang w:val="en-GB"/>
        </w:rPr>
        <w:t xml:space="preserve"> </w:t>
      </w:r>
    </w:p>
    <w:p w14:paraId="3A76981B" w14:textId="36B56C1E" w:rsidR="0099328C" w:rsidRDefault="76E6F0DB" w:rsidP="00EC3FB6">
      <w:r>
        <w:t>Speak with your software vendor to determine their advised timeframe for achieving conformance and rollout completion.</w:t>
      </w:r>
    </w:p>
    <w:p w14:paraId="588B3F0A" w14:textId="07160ED9" w:rsidR="002139BC" w:rsidRPr="002139BC" w:rsidRDefault="6A51C873" w:rsidP="00EC3FB6">
      <w:pPr>
        <w:pStyle w:val="Heading4"/>
        <w:rPr>
          <w:rFonts w:cs="Arial"/>
        </w:rPr>
      </w:pPr>
      <w:r>
        <w:t>Are eNRMC</w:t>
      </w:r>
      <w:r w:rsidR="50BF159D">
        <w:t xml:space="preserve"> or</w:t>
      </w:r>
      <w:r w:rsidR="16A456C3">
        <w:t xml:space="preserve"> </w:t>
      </w:r>
      <w:r w:rsidR="6C8E7AAF">
        <w:t xml:space="preserve">electronic </w:t>
      </w:r>
      <w:r w:rsidR="6C8E7AAF" w:rsidRPr="00EC3FB6">
        <w:t>medication</w:t>
      </w:r>
      <w:r w:rsidR="6C8E7AAF">
        <w:t xml:space="preserve"> management (</w:t>
      </w:r>
      <w:r>
        <w:t>EMM</w:t>
      </w:r>
      <w:r w:rsidR="4220D51F">
        <w:t>)</w:t>
      </w:r>
      <w:r>
        <w:t xml:space="preserve"> system</w:t>
      </w:r>
      <w:r w:rsidR="6A2C3DA4">
        <w:t>s mandatory in RACHs?</w:t>
      </w:r>
    </w:p>
    <w:p w14:paraId="31A616C9" w14:textId="6B09C7E0" w:rsidR="0054115B" w:rsidRPr="0054115B" w:rsidRDefault="0054115B" w:rsidP="00C957D9">
      <w:pPr>
        <w:rPr>
          <w:lang w:val="en-GB"/>
        </w:rPr>
      </w:pPr>
      <w:r w:rsidRPr="0054115B">
        <w:t xml:space="preserve">While eNRMC systems are not currently mandatory in RACHs, the </w:t>
      </w:r>
      <w:r w:rsidR="008D7F5D">
        <w:t>d</w:t>
      </w:r>
      <w:r w:rsidRPr="0054115B">
        <w:t xml:space="preserve">epartment strongly encourages their adoption to support safe and accountable medication management.  </w:t>
      </w:r>
      <w:r w:rsidRPr="0054115B">
        <w:rPr>
          <w:lang w:val="en-GB"/>
        </w:rPr>
        <w:t>The Royal Commission into Aged Care Quality and Safety recommended that all aged care providers delivering personal or clinical care adopt a digital care management system including an electronic medication management system as soon as possible (</w:t>
      </w:r>
      <w:hyperlink r:id="rId12">
        <w:r w:rsidRPr="0054115B">
          <w:rPr>
            <w:rFonts w:eastAsia="Times New Roman" w:cs="Times New Roman"/>
            <w:color w:val="0000FF"/>
            <w:u w:val="single"/>
            <w:lang w:val="en-GB"/>
          </w:rPr>
          <w:t>Recommendation 68</w:t>
        </w:r>
      </w:hyperlink>
      <w:r w:rsidRPr="0054115B">
        <w:rPr>
          <w:lang w:val="en-GB"/>
        </w:rPr>
        <w:t xml:space="preserve">). </w:t>
      </w:r>
    </w:p>
    <w:p w14:paraId="4FB5B6A9" w14:textId="4C8F8C30" w:rsidR="0099328C" w:rsidRDefault="0054115B" w:rsidP="00C957D9">
      <w:pPr>
        <w:rPr>
          <w:rStyle w:val="eop"/>
          <w:rFonts w:cs="Arial"/>
          <w:color w:val="000000"/>
          <w:sz w:val="20"/>
          <w:szCs w:val="20"/>
          <w:shd w:val="clear" w:color="auto" w:fill="FFFFFF"/>
        </w:rPr>
      </w:pPr>
      <w:r w:rsidRPr="609B2750">
        <w:rPr>
          <w:lang w:val="en-GB"/>
        </w:rPr>
        <w:t>The use of eNRMC systems also support wider system interoperability and integration improving continuity and quality of care.</w:t>
      </w:r>
    </w:p>
    <w:p w14:paraId="2A6F85AD" w14:textId="413460F5" w:rsidR="0099328C" w:rsidRDefault="00F02D8C" w:rsidP="609B2750">
      <w:pPr>
        <w:pStyle w:val="Heading3"/>
        <w:rPr>
          <w:rStyle w:val="eop"/>
          <w:rFonts w:cs="Arial"/>
          <w:color w:val="000000"/>
          <w:sz w:val="20"/>
          <w:szCs w:val="20"/>
        </w:rPr>
      </w:pPr>
      <w:r>
        <w:t>I</w:t>
      </w:r>
      <w:r w:rsidR="007F5E30">
        <w:t>nteroperability</w:t>
      </w:r>
    </w:p>
    <w:p w14:paraId="198FE190" w14:textId="57CA3AA5" w:rsidR="0099328C" w:rsidRPr="00D52E4E" w:rsidRDefault="00D52E4E" w:rsidP="609B2750">
      <w:pPr>
        <w:pStyle w:val="Heading4"/>
        <w:rPr>
          <w:rStyle w:val="eop"/>
          <w:rFonts w:cs="Arial"/>
          <w:color w:val="000000"/>
          <w:szCs w:val="24"/>
        </w:rPr>
      </w:pPr>
      <w:r w:rsidRPr="609B2750">
        <w:rPr>
          <w:lang w:val="en-GB"/>
        </w:rPr>
        <w:t>Is there any possibility that all RACHs will be required to utilise the same eNRMC system?</w:t>
      </w:r>
      <w:r w:rsidRPr="00D52E4E">
        <w:t> </w:t>
      </w:r>
    </w:p>
    <w:p w14:paraId="5A2C9156" w14:textId="2220C743" w:rsidR="00922D7B" w:rsidRDefault="00696FAE" w:rsidP="00922D7B">
      <w:r w:rsidRPr="609B2750">
        <w:rPr>
          <w:lang w:val="en-GB"/>
        </w:rPr>
        <w:t xml:space="preserve">No, </w:t>
      </w:r>
      <w:r w:rsidR="00CC29BC">
        <w:rPr>
          <w:lang w:val="en-GB"/>
        </w:rPr>
        <w:t>RACH</w:t>
      </w:r>
      <w:r w:rsidRPr="609B2750">
        <w:rPr>
          <w:lang w:val="en-GB"/>
        </w:rPr>
        <w:t xml:space="preserve"> can choose their own preferred conformant eNRMC system, and there is no mandate for a single national platform. </w:t>
      </w:r>
      <w:r w:rsidR="00B54773" w:rsidRPr="00B54773">
        <w:rPr>
          <w:lang w:val="en-GB"/>
        </w:rPr>
        <w:t xml:space="preserve">The government has deliberately taken a non-interventionist approach, allowing the market to offer a range of solutions that best suit </w:t>
      </w:r>
      <w:r w:rsidR="00B54773" w:rsidRPr="00B54773">
        <w:rPr>
          <w:lang w:val="en-GB"/>
        </w:rPr>
        <w:lastRenderedPageBreak/>
        <w:t xml:space="preserve">individual facility needs. This promotes innovation, flexibility, and vendor competition while ensuring safety and compliance. </w:t>
      </w:r>
    </w:p>
    <w:p w14:paraId="20B035EC" w14:textId="30271096" w:rsidR="00922D7B" w:rsidRPr="009B7E92" w:rsidRDefault="00D147A6" w:rsidP="609B2750">
      <w:pPr>
        <w:pStyle w:val="Heading4"/>
        <w:rPr>
          <w:rFonts w:cs="Arial"/>
        </w:rPr>
      </w:pPr>
      <w:r w:rsidRPr="4B33E7BA">
        <w:t xml:space="preserve">While upcoming changes are expected to enhance pharmacist access to eNRMC, what measures are being implemented to improve prescriber access—linking to hospitals, specialists, and locum GPs—and to reduce </w:t>
      </w:r>
      <w:r w:rsidR="009B7E92" w:rsidRPr="4B33E7BA">
        <w:t>the use</w:t>
      </w:r>
      <w:r w:rsidRPr="4B33E7BA">
        <w:t xml:space="preserve"> o</w:t>
      </w:r>
      <w:r w:rsidR="00CC01B0" w:rsidRPr="4B33E7BA">
        <w:t>f</w:t>
      </w:r>
      <w:r w:rsidRPr="4B33E7BA">
        <w:t xml:space="preserve"> multiple software platforms?</w:t>
      </w:r>
    </w:p>
    <w:p w14:paraId="022A85CB" w14:textId="77777777" w:rsidR="00015A00" w:rsidRDefault="00015A00" w:rsidP="00F3649C">
      <w:r>
        <w:t xml:space="preserve">The department continues to work with the clinical software industry to encourage integration between eNRMC and the following systems: </w:t>
      </w:r>
    </w:p>
    <w:p w14:paraId="65B2C189" w14:textId="77777777" w:rsidR="00015A00" w:rsidRDefault="00015A00" w:rsidP="00C957D9">
      <w:pPr>
        <w:pStyle w:val="ListParagraph"/>
        <w:numPr>
          <w:ilvl w:val="0"/>
          <w:numId w:val="36"/>
        </w:numPr>
      </w:pPr>
      <w:r>
        <w:t xml:space="preserve">GP prescribing software, including PBS Authorities </w:t>
      </w:r>
    </w:p>
    <w:p w14:paraId="0AD7109D" w14:textId="77777777" w:rsidR="00015A00" w:rsidRDefault="00015A00" w:rsidP="00C957D9">
      <w:pPr>
        <w:pStyle w:val="ListParagraph"/>
        <w:numPr>
          <w:ilvl w:val="0"/>
          <w:numId w:val="36"/>
        </w:numPr>
      </w:pPr>
      <w:r>
        <w:t xml:space="preserve">Health Provider Online Services </w:t>
      </w:r>
    </w:p>
    <w:p w14:paraId="58AF6E89" w14:textId="77777777" w:rsidR="00015A00" w:rsidRDefault="00015A00" w:rsidP="00C957D9">
      <w:pPr>
        <w:pStyle w:val="ListParagraph"/>
        <w:numPr>
          <w:ilvl w:val="0"/>
          <w:numId w:val="36"/>
        </w:numPr>
      </w:pPr>
      <w:r>
        <w:t xml:space="preserve">RACH clinical information systems (CIS) </w:t>
      </w:r>
    </w:p>
    <w:p w14:paraId="06C17F13" w14:textId="77777777" w:rsidR="0005689A" w:rsidRDefault="00015A00" w:rsidP="00C957D9">
      <w:pPr>
        <w:pStyle w:val="ListParagraph"/>
        <w:numPr>
          <w:ilvl w:val="0"/>
          <w:numId w:val="36"/>
        </w:numPr>
      </w:pPr>
      <w:r>
        <w:t>Hospital clinical systems such as electronic Medical Record (</w:t>
      </w:r>
      <w:proofErr w:type="spellStart"/>
      <w:r>
        <w:t>eMR</w:t>
      </w:r>
      <w:proofErr w:type="spellEnd"/>
      <w:r>
        <w:t>)</w:t>
      </w:r>
    </w:p>
    <w:p w14:paraId="6D76A109" w14:textId="267C5C48" w:rsidR="00CB5ED9" w:rsidRDefault="00015A00" w:rsidP="00C957D9">
      <w:pPr>
        <w:pStyle w:val="ListParagraph"/>
        <w:numPr>
          <w:ilvl w:val="0"/>
          <w:numId w:val="36"/>
        </w:numPr>
      </w:pPr>
      <w:r>
        <w:t>My Health Record</w:t>
      </w:r>
      <w:r w:rsidR="00ED7181">
        <w:t xml:space="preserve"> (MHR)</w:t>
      </w:r>
      <w:r>
        <w:t xml:space="preserve">. </w:t>
      </w:r>
    </w:p>
    <w:p w14:paraId="6B9FA6DF" w14:textId="015D258F" w:rsidR="00922D7B" w:rsidRDefault="00015A00" w:rsidP="00EC3FB6">
      <w:r>
        <w:t>Once achieved, increased interoperability will provide many benefits to prescribers, aged care homes and pharmacists. Interoperability will streamline the prescribing and supply process and ensure seamless clinician access to a resident’s important information at the point of care.</w:t>
      </w:r>
    </w:p>
    <w:p w14:paraId="6D715021" w14:textId="65F73B6F" w:rsidR="00AE724E" w:rsidRDefault="007F1E49" w:rsidP="00EC3FB6">
      <w:r>
        <w:t xml:space="preserve">The introduction of the </w:t>
      </w:r>
      <w:r w:rsidR="00027DCA">
        <w:t xml:space="preserve">eNRMC within electronic prescribing represents an important </w:t>
      </w:r>
      <w:r w:rsidR="00027DCA" w:rsidRPr="00C957D9">
        <w:t>first step</w:t>
      </w:r>
      <w:r w:rsidR="00027DCA" w:rsidRPr="00015914">
        <w:t xml:space="preserve"> in</w:t>
      </w:r>
      <w:r w:rsidR="00027DCA">
        <w:t xml:space="preserve"> a broader digital health journey. The department is committed to advancing interoperability across</w:t>
      </w:r>
      <w:r w:rsidR="000527DC">
        <w:t xml:space="preserve"> </w:t>
      </w:r>
      <w:r w:rsidR="006E29E9">
        <w:t>systems to ensure that medicines information is accessible across</w:t>
      </w:r>
      <w:r w:rsidR="00896C43">
        <w:t xml:space="preserve"> healthcare settings and ultimately improve patient safety and outcomes. </w:t>
      </w:r>
    </w:p>
    <w:p w14:paraId="2F1BEDE3" w14:textId="3C5A3427" w:rsidR="00AE724E" w:rsidRPr="00AE724E" w:rsidRDefault="00AE724E" w:rsidP="609B2750">
      <w:pPr>
        <w:pStyle w:val="Heading4"/>
        <w:rPr>
          <w:rFonts w:cs="Arial"/>
          <w:bCs/>
        </w:rPr>
      </w:pPr>
      <w:r>
        <w:t xml:space="preserve">As eNRMC adoption increases, how will </w:t>
      </w:r>
      <w:proofErr w:type="gramStart"/>
      <w:r>
        <w:t>outdated</w:t>
      </w:r>
      <w:proofErr w:type="gramEnd"/>
      <w:r>
        <w:t xml:space="preserve"> medication lists from sources like MHR be managed? Will there be a way to mark certain lists as superseded to ensure the eNRMC is the single source of truth?</w:t>
      </w:r>
    </w:p>
    <w:p w14:paraId="0C8CE165" w14:textId="77777777" w:rsidR="000815F8" w:rsidRDefault="007C54E1" w:rsidP="00EC3FB6">
      <w:r>
        <w:t xml:space="preserve">The department recognises the complexity of managing multiple sources </w:t>
      </w:r>
      <w:r w:rsidR="000815F8">
        <w:t xml:space="preserve">of medication information for residents – a challenge that extends beyond residential aged care </w:t>
      </w:r>
      <w:proofErr w:type="gramStart"/>
      <w:r w:rsidR="000815F8">
        <w:t>and also</w:t>
      </w:r>
      <w:proofErr w:type="gramEnd"/>
      <w:r w:rsidR="000815F8">
        <w:t xml:space="preserve"> affects the broader healthcare community. </w:t>
      </w:r>
    </w:p>
    <w:p w14:paraId="62309B02" w14:textId="77777777" w:rsidR="003A5743" w:rsidRDefault="000815F8" w:rsidP="00EC3FB6">
      <w:r>
        <w:t xml:space="preserve">As part of our commitment to improving medicines safety and </w:t>
      </w:r>
      <w:r w:rsidR="00B9791F">
        <w:t xml:space="preserve">continuity of care, we are working towards establishing a single, reliable source of medicines information. This work is central to our broader digital medicines strategy and aims to ensure that accurate, up-to-date medication data is accessible across all healthcare settings. </w:t>
      </w:r>
    </w:p>
    <w:p w14:paraId="6E751E81" w14:textId="04DEDB65" w:rsidR="008A7B34" w:rsidRDefault="003A5743" w:rsidP="00C957D9">
      <w:r>
        <w:t xml:space="preserve">The eNRMC is a foundational step in this journey. </w:t>
      </w:r>
      <w:r w:rsidR="00DE7CF2">
        <w:t xml:space="preserve">Ongoing efforts are focused on ensuring support for clinicians at the point of care. </w:t>
      </w:r>
      <w:r w:rsidR="00ED0631">
        <w:t xml:space="preserve">The department </w:t>
      </w:r>
      <w:r w:rsidR="00C77E76">
        <w:t xml:space="preserve">will continue to explore and implement solutions that promote interoperability, reduce duplication and improve the quality and safety of medicines management. </w:t>
      </w:r>
      <w:r w:rsidR="00B9791F">
        <w:t xml:space="preserve"> </w:t>
      </w:r>
    </w:p>
    <w:p w14:paraId="6DC1ECEC" w14:textId="7B4DB065" w:rsidR="00A13925" w:rsidRDefault="00A13925" w:rsidP="609B2750">
      <w:pPr>
        <w:pStyle w:val="Heading3"/>
      </w:pPr>
      <w:r>
        <w:t xml:space="preserve">Prescribing </w:t>
      </w:r>
      <w:r w:rsidR="0042057A">
        <w:t>medicines</w:t>
      </w:r>
    </w:p>
    <w:p w14:paraId="34762180" w14:textId="1B37FCBE" w:rsidR="007619FD" w:rsidRPr="007619FD" w:rsidRDefault="007619FD" w:rsidP="609B2750">
      <w:pPr>
        <w:pStyle w:val="Heading4"/>
        <w:rPr>
          <w:rFonts w:cs="Arial"/>
          <w:bCs/>
        </w:rPr>
      </w:pPr>
      <w:r>
        <w:t>Will there be any changes to opioid prescribing</w:t>
      </w:r>
      <w:r w:rsidR="00B63070">
        <w:t xml:space="preserve"> and </w:t>
      </w:r>
      <w:r w:rsidR="00263345">
        <w:t xml:space="preserve">what </w:t>
      </w:r>
      <w:r w:rsidR="00F80DC9">
        <w:t xml:space="preserve">are the </w:t>
      </w:r>
      <w:r w:rsidR="007A5894">
        <w:t xml:space="preserve">differences </w:t>
      </w:r>
      <w:r w:rsidR="00B63070">
        <w:t>between States and Territories</w:t>
      </w:r>
      <w:r>
        <w:t>?</w:t>
      </w:r>
    </w:p>
    <w:p w14:paraId="5250FA39" w14:textId="2A8D5996" w:rsidR="00D422D3" w:rsidRDefault="00555375" w:rsidP="00C957D9">
      <w:pPr>
        <w:rPr>
          <w:rFonts w:eastAsia="MS Mincho" w:cs="Arial"/>
          <w:lang w:val="en-GB" w:eastAsia="ja-JP"/>
        </w:rPr>
      </w:pPr>
      <w:r w:rsidRPr="00555375">
        <w:rPr>
          <w:rFonts w:eastAsia="MS Mincho" w:cs="Arial"/>
          <w:lang w:val="en-GB" w:eastAsia="ja-JP"/>
        </w:rPr>
        <w:t xml:space="preserve">No, there are no changes specific to opioid prescribing under the eNRMC. However, Schedule 8 </w:t>
      </w:r>
      <w:r w:rsidR="002A25E7">
        <w:rPr>
          <w:rFonts w:eastAsia="MS Mincho" w:cs="Arial"/>
          <w:lang w:val="en-GB" w:eastAsia="ja-JP"/>
        </w:rPr>
        <w:t>prescribing</w:t>
      </w:r>
      <w:r w:rsidRPr="00555375">
        <w:rPr>
          <w:rFonts w:eastAsia="MS Mincho" w:cs="Arial"/>
          <w:lang w:val="en-GB" w:eastAsia="ja-JP"/>
        </w:rPr>
        <w:t xml:space="preserve"> remain</w:t>
      </w:r>
      <w:r w:rsidR="002A25E7">
        <w:rPr>
          <w:rFonts w:eastAsia="MS Mincho" w:cs="Arial"/>
          <w:lang w:val="en-GB" w:eastAsia="ja-JP"/>
        </w:rPr>
        <w:t>s</w:t>
      </w:r>
      <w:r w:rsidRPr="00555375">
        <w:rPr>
          <w:rFonts w:eastAsia="MS Mincho" w:cs="Arial"/>
          <w:lang w:val="en-GB" w:eastAsia="ja-JP"/>
        </w:rPr>
        <w:t xml:space="preserve"> subject to State and Territory regulations</w:t>
      </w:r>
      <w:r w:rsidR="009926F8">
        <w:rPr>
          <w:rFonts w:eastAsia="MS Mincho" w:cs="Arial"/>
          <w:lang w:val="en-GB" w:eastAsia="ja-JP"/>
        </w:rPr>
        <w:t>, which vary across jurisdictions</w:t>
      </w:r>
      <w:r w:rsidRPr="00555375">
        <w:rPr>
          <w:rFonts w:eastAsia="MS Mincho" w:cs="Arial"/>
          <w:lang w:val="en-GB" w:eastAsia="ja-JP"/>
        </w:rPr>
        <w:t xml:space="preserve">. </w:t>
      </w:r>
    </w:p>
    <w:p w14:paraId="3E64C2FC" w14:textId="0633F4AB" w:rsidR="006D0FE6" w:rsidRPr="00555375" w:rsidRDefault="00555375" w:rsidP="00C957D9">
      <w:pPr>
        <w:rPr>
          <w:rFonts w:eastAsia="MS Mincho" w:cs="Arial"/>
          <w:color w:val="000000"/>
          <w:shd w:val="clear" w:color="auto" w:fill="FFFFFF"/>
          <w:lang w:val="en-GB" w:eastAsia="ja-JP"/>
        </w:rPr>
      </w:pPr>
      <w:r w:rsidRPr="00555375">
        <w:rPr>
          <w:rFonts w:eastAsia="MS Mincho" w:cs="Arial"/>
          <w:lang w:val="en-GB" w:eastAsia="ja-JP"/>
        </w:rPr>
        <w:lastRenderedPageBreak/>
        <w:t xml:space="preserve">Practitioners must </w:t>
      </w:r>
      <w:r w:rsidRPr="00555375">
        <w:rPr>
          <w:rFonts w:eastAsia="MS Mincho" w:cs="Arial" w:hint="eastAsia"/>
          <w:color w:val="000000"/>
          <w:shd w:val="clear" w:color="auto" w:fill="FFFFFF"/>
          <w:lang w:val="en-GB" w:eastAsia="ja-JP"/>
        </w:rPr>
        <w:t>be aware of the rules that apply in their jurisdiction, including prescribing approvals, dose indicators, and validity periods. For detailed legal requirements by jurisdiction, you can refer to the Agency</w:t>
      </w:r>
      <w:r w:rsidRPr="00555375">
        <w:rPr>
          <w:rFonts w:eastAsia="MS Mincho" w:cs="Arial"/>
          <w:color w:val="000000"/>
          <w:shd w:val="clear" w:color="auto" w:fill="FFFFFF"/>
          <w:lang w:eastAsia="ja-JP"/>
        </w:rPr>
        <w:t>’</w:t>
      </w:r>
      <w:r w:rsidRPr="00555375">
        <w:rPr>
          <w:rFonts w:eastAsia="MS Mincho" w:cs="Arial" w:hint="eastAsia"/>
          <w:color w:val="000000"/>
          <w:shd w:val="clear" w:color="auto" w:fill="FFFFFF"/>
          <w:lang w:val="en-GB" w:eastAsia="ja-JP"/>
        </w:rPr>
        <w:t>s</w:t>
      </w:r>
      <w:r w:rsidRPr="00555375">
        <w:rPr>
          <w:rFonts w:eastAsia="MS Mincho" w:cs="Arial"/>
          <w:color w:val="000000"/>
          <w:shd w:val="clear" w:color="auto" w:fill="FFFFFF"/>
          <w:lang w:val="en-GB" w:eastAsia="ja-JP"/>
        </w:rPr>
        <w:t> </w:t>
      </w:r>
      <w:hyperlink r:id="rId13" w:tgtFrame="_blank" w:history="1">
        <w:r w:rsidRPr="00C957D9">
          <w:rPr>
            <w:rFonts w:eastAsia="MS Mincho" w:cs="Arial" w:hint="eastAsia"/>
            <w:color w:val="0563C1"/>
            <w:u w:val="single"/>
            <w:shd w:val="clear" w:color="auto" w:fill="FFFFFF"/>
            <w:lang w:val="en-GB" w:eastAsia="ja-JP"/>
          </w:rPr>
          <w:t>Schedule 8 Quick Reference Guide for Electronic Prescriptions</w:t>
        </w:r>
      </w:hyperlink>
      <w:r w:rsidRPr="00EC3FB6">
        <w:rPr>
          <w:rFonts w:eastAsia="MS Mincho" w:cs="Arial" w:hint="eastAsia"/>
          <w:color w:val="000000"/>
          <w:shd w:val="clear" w:color="auto" w:fill="FFFFFF"/>
          <w:lang w:val="en-GB" w:eastAsia="ja-JP"/>
        </w:rPr>
        <w:t xml:space="preserve">. </w:t>
      </w:r>
    </w:p>
    <w:p w14:paraId="5536508B" w14:textId="72D6D688" w:rsidR="008A7B34" w:rsidRDefault="00845E25" w:rsidP="609B2750">
      <w:pPr>
        <w:pStyle w:val="Heading3"/>
      </w:pPr>
      <w:r>
        <w:t>General Practitioner</w:t>
      </w:r>
      <w:r w:rsidR="00A47BCE">
        <w:t xml:space="preserve"> Engagement and Support </w:t>
      </w:r>
    </w:p>
    <w:p w14:paraId="66271B28" w14:textId="6F646DD6" w:rsidR="00845E25" w:rsidRDefault="00845E25" w:rsidP="609B2750">
      <w:pPr>
        <w:pStyle w:val="Heading4"/>
        <w:rPr>
          <w:bCs/>
        </w:rPr>
      </w:pPr>
      <w:r>
        <w:t xml:space="preserve">Is there a communication </w:t>
      </w:r>
      <w:r w:rsidR="005527C3">
        <w:t xml:space="preserve">strategy in place to engage and inform General Practitioners </w:t>
      </w:r>
      <w:r w:rsidR="005C5D75">
        <w:t xml:space="preserve">(GPs) </w:t>
      </w:r>
      <w:r w:rsidR="005527C3">
        <w:t xml:space="preserve">regarding the implementation and </w:t>
      </w:r>
      <w:r w:rsidR="00F447C5">
        <w:t xml:space="preserve">use of </w:t>
      </w:r>
      <w:r w:rsidR="00B6113B">
        <w:t>eNRMC systems</w:t>
      </w:r>
      <w:r w:rsidR="00E0363D">
        <w:t xml:space="preserve">? </w:t>
      </w:r>
    </w:p>
    <w:p w14:paraId="66650109" w14:textId="5DC6ACC3" w:rsidR="00CA79C6" w:rsidRPr="00CA79C6" w:rsidRDefault="005C5D75" w:rsidP="00CA79C6">
      <w:r>
        <w:t xml:space="preserve">The department is committed to </w:t>
      </w:r>
      <w:r w:rsidR="00CA79C6" w:rsidRPr="00CA79C6">
        <w:t xml:space="preserve">engaging with </w:t>
      </w:r>
      <w:r w:rsidR="007926D8">
        <w:t>GPs</w:t>
      </w:r>
      <w:r w:rsidR="00CA79C6" w:rsidRPr="00CA79C6">
        <w:t xml:space="preserve"> on policy decisions related to the development and enhancement of the eNRMC. </w:t>
      </w:r>
    </w:p>
    <w:p w14:paraId="0696C955" w14:textId="4757B17E" w:rsidR="000C1C0C" w:rsidRDefault="00D41989" w:rsidP="00CA79C6">
      <w:r>
        <w:t>Consultation occurs through</w:t>
      </w:r>
      <w:r w:rsidR="00CA79C6" w:rsidRPr="00CA79C6">
        <w:t xml:space="preserve"> Advisory Committee meetings, Working Group, and regular individual discussions with peak bodies such as the Royal Australian College of General Practitioners (RACGP) and the Australian Medical Association (AMA)</w:t>
      </w:r>
      <w:r w:rsidR="000C1C0C">
        <w:t>, ensuring</w:t>
      </w:r>
      <w:r w:rsidR="00167C3A">
        <w:t xml:space="preserve"> diverse stakeholder representation</w:t>
      </w:r>
      <w:r w:rsidR="009543A3">
        <w:t xml:space="preserve"> and practical insights. </w:t>
      </w:r>
    </w:p>
    <w:p w14:paraId="5E8749ED" w14:textId="33E40E42" w:rsidR="00006A13" w:rsidRDefault="00006A13" w:rsidP="00CA79C6">
      <w:r>
        <w:t xml:space="preserve">We also </w:t>
      </w:r>
      <w:r w:rsidR="003B6166">
        <w:t>engage with</w:t>
      </w:r>
      <w:r>
        <w:t xml:space="preserve"> GPs </w:t>
      </w:r>
      <w:r w:rsidR="003B6166">
        <w:t xml:space="preserve">directly, </w:t>
      </w:r>
      <w:r w:rsidR="00A4003B">
        <w:t>who provide ongoing insights</w:t>
      </w:r>
      <w:r w:rsidR="00C57EFA">
        <w:t xml:space="preserve"> into what works effectively in the f</w:t>
      </w:r>
      <w:r w:rsidR="00901D39">
        <w:t xml:space="preserve">ield and the emerging challenges they identify. </w:t>
      </w:r>
      <w:r w:rsidR="002B0DF6">
        <w:t xml:space="preserve">Their </w:t>
      </w:r>
      <w:r w:rsidR="00A4003B">
        <w:t xml:space="preserve">valuable expertise </w:t>
      </w:r>
      <w:r w:rsidR="002B0DF6">
        <w:t>therefore</w:t>
      </w:r>
      <w:r w:rsidR="004930C0">
        <w:t xml:space="preserve"> helps inform</w:t>
      </w:r>
      <w:r w:rsidR="00200C90">
        <w:t xml:space="preserve"> and refine our</w:t>
      </w:r>
      <w:r w:rsidR="004930C0">
        <w:t xml:space="preserve"> polic</w:t>
      </w:r>
      <w:r w:rsidR="00200C90">
        <w:t>ies and strategies</w:t>
      </w:r>
      <w:r w:rsidR="004930C0">
        <w:t xml:space="preserve">, improve quality and safety and address any inequalities and inequities. </w:t>
      </w:r>
    </w:p>
    <w:p w14:paraId="2E6BDE84" w14:textId="00EDEFC8" w:rsidR="00200C90" w:rsidRDefault="00200C90" w:rsidP="00CA79C6">
      <w:r>
        <w:t>To support awareness</w:t>
      </w:r>
      <w:r w:rsidR="00B00FD6">
        <w:t>, engagement</w:t>
      </w:r>
      <w:r>
        <w:t xml:space="preserve"> and understanding, the department is developing targeted resources for</w:t>
      </w:r>
      <w:r w:rsidR="00375F0C">
        <w:t xml:space="preserve"> all eNRMC users including a fact sheet for prescribers, which will be made available th</w:t>
      </w:r>
      <w:r w:rsidR="00961A4E">
        <w:t>r</w:t>
      </w:r>
      <w:r w:rsidR="00375F0C">
        <w:t xml:space="preserve">ough the </w:t>
      </w:r>
      <w:hyperlink r:id="rId14" w:history="1">
        <w:r w:rsidR="00375F0C" w:rsidRPr="00961A4E">
          <w:rPr>
            <w:rStyle w:val="Hyperlink"/>
          </w:rPr>
          <w:t xml:space="preserve">eNRMC </w:t>
        </w:r>
        <w:r w:rsidR="00961A4E" w:rsidRPr="00961A4E">
          <w:rPr>
            <w:rStyle w:val="Hyperlink"/>
          </w:rPr>
          <w:t>collection</w:t>
        </w:r>
      </w:hyperlink>
      <w:r w:rsidR="00961A4E">
        <w:t xml:space="preserve"> of resources</w:t>
      </w:r>
      <w:r w:rsidR="00375F0C">
        <w:t xml:space="preserve">. </w:t>
      </w:r>
    </w:p>
    <w:p w14:paraId="4BC7853D" w14:textId="077DA4FB" w:rsidR="00845E25" w:rsidRDefault="00860DD2" w:rsidP="00845E25">
      <w:pPr>
        <w:rPr>
          <w:b/>
          <w:bCs/>
        </w:rPr>
      </w:pPr>
      <w:r>
        <w:t xml:space="preserve">Please also </w:t>
      </w:r>
      <w:r w:rsidR="004A5E54">
        <w:t xml:space="preserve">refer to our </w:t>
      </w:r>
      <w:hyperlink r:id="rId15" w:history="1">
        <w:r w:rsidR="004A5E54" w:rsidRPr="00472F04">
          <w:rPr>
            <w:rStyle w:val="Hyperlink"/>
          </w:rPr>
          <w:t>eNRMC User Resource</w:t>
        </w:r>
      </w:hyperlink>
      <w:r w:rsidR="004A5E54">
        <w:t xml:space="preserve"> document </w:t>
      </w:r>
      <w:r w:rsidR="007C4F79">
        <w:t xml:space="preserve">which brings together all the key information </w:t>
      </w:r>
      <w:r w:rsidR="006D087B">
        <w:t xml:space="preserve">relevant to all eNRMC users including pharmacists, prescribers and residential aged care management and care staff. </w:t>
      </w:r>
    </w:p>
    <w:p w14:paraId="785A3DBD" w14:textId="01F88AC9" w:rsidR="00B12E34" w:rsidRDefault="00B12E34" w:rsidP="609B2750">
      <w:pPr>
        <w:pStyle w:val="Heading4"/>
        <w:rPr>
          <w:bCs/>
        </w:rPr>
      </w:pPr>
      <w:r>
        <w:t>Are there any changes being introduced as part of this transition t</w:t>
      </w:r>
      <w:r w:rsidR="00EE70E9">
        <w:t>hat would support GPs?</w:t>
      </w:r>
    </w:p>
    <w:p w14:paraId="5741E265" w14:textId="5B259F48" w:rsidR="00EE70E9" w:rsidRPr="00B94632" w:rsidRDefault="00080725" w:rsidP="00B94632">
      <w:r w:rsidRPr="00B94632">
        <w:t>Electronic prescribing conformant eNRMC system benefits for GPs include:</w:t>
      </w:r>
    </w:p>
    <w:p w14:paraId="35728376" w14:textId="295ECF34" w:rsidR="00B94632" w:rsidRPr="00C957D9" w:rsidRDefault="00B94632" w:rsidP="00C957D9">
      <w:pPr>
        <w:pStyle w:val="ListParagraph"/>
        <w:numPr>
          <w:ilvl w:val="0"/>
          <w:numId w:val="47"/>
        </w:numPr>
        <w:rPr>
          <w:rFonts w:eastAsia="Times New Roman" w:cs="Arial"/>
          <w:color w:val="000000"/>
          <w:lang w:eastAsia="en-AU"/>
        </w:rPr>
      </w:pPr>
      <w:r w:rsidRPr="00C957D9">
        <w:rPr>
          <w:rFonts w:eastAsia="Times New Roman" w:cs="Arial"/>
          <w:b/>
          <w:bCs/>
          <w:color w:val="000000"/>
          <w:lang w:eastAsia="en-AU"/>
        </w:rPr>
        <w:t>Chart duration extended</w:t>
      </w:r>
      <w:r w:rsidRPr="00C957D9">
        <w:rPr>
          <w:rFonts w:eastAsia="Times New Roman" w:cs="Arial"/>
          <w:color w:val="000000"/>
          <w:lang w:eastAsia="en-AU"/>
        </w:rPr>
        <w:t> </w:t>
      </w:r>
      <w:r w:rsidR="00AC7273" w:rsidRPr="00C957D9">
        <w:rPr>
          <w:rFonts w:eastAsia="Times New Roman" w:cs="Arial"/>
          <w:color w:val="000000"/>
          <w:lang w:eastAsia="en-AU"/>
        </w:rPr>
        <w:t xml:space="preserve">- </w:t>
      </w:r>
      <w:r w:rsidRPr="00C957D9">
        <w:rPr>
          <w:rFonts w:eastAsia="Times New Roman" w:cs="Arial"/>
          <w:color w:val="000000"/>
          <w:lang w:eastAsia="en-AU"/>
        </w:rPr>
        <w:t>eNRMC chart duration will be increased from 4 months to 6 months, reducing the frequency of chart renewals. </w:t>
      </w:r>
    </w:p>
    <w:p w14:paraId="052A233B" w14:textId="25D18E41" w:rsidR="00B94632" w:rsidRPr="00C957D9" w:rsidRDefault="006D215B" w:rsidP="00C957D9">
      <w:pPr>
        <w:pStyle w:val="ListParagraph"/>
        <w:numPr>
          <w:ilvl w:val="0"/>
          <w:numId w:val="47"/>
        </w:numPr>
        <w:rPr>
          <w:rFonts w:eastAsia="Times New Roman" w:cs="Arial"/>
          <w:color w:val="000000"/>
          <w:lang w:eastAsia="en-AU"/>
        </w:rPr>
      </w:pPr>
      <w:r w:rsidRPr="00AC7273">
        <w:rPr>
          <w:b/>
          <w:bCs/>
        </w:rPr>
        <w:t>Flexible chart management options</w:t>
      </w:r>
      <w:r w:rsidR="00AC7273" w:rsidRPr="00C957D9">
        <w:rPr>
          <w:rFonts w:eastAsia="Times New Roman" w:cs="Arial"/>
          <w:color w:val="000000"/>
          <w:lang w:eastAsia="en-AU"/>
        </w:rPr>
        <w:t xml:space="preserve"> - </w:t>
      </w:r>
      <w:r w:rsidR="00B94632" w:rsidRPr="00C957D9">
        <w:rPr>
          <w:rFonts w:eastAsia="Times New Roman" w:cs="Arial"/>
          <w:color w:val="000000"/>
          <w:lang w:eastAsia="en-AU"/>
        </w:rPr>
        <w:t xml:space="preserve">Charts no longer </w:t>
      </w:r>
      <w:proofErr w:type="gramStart"/>
      <w:r w:rsidR="00B94632" w:rsidRPr="00C957D9">
        <w:rPr>
          <w:rFonts w:eastAsia="Times New Roman" w:cs="Arial"/>
          <w:color w:val="000000"/>
          <w:lang w:eastAsia="en-AU"/>
        </w:rPr>
        <w:t>have to</w:t>
      </w:r>
      <w:proofErr w:type="gramEnd"/>
      <w:r w:rsidR="00B94632" w:rsidRPr="00C957D9">
        <w:rPr>
          <w:rFonts w:eastAsia="Times New Roman" w:cs="Arial"/>
          <w:color w:val="000000"/>
          <w:lang w:eastAsia="en-AU"/>
        </w:rPr>
        <w:t xml:space="preserve"> cease at the end of the month, enabling staggered chart reviews and reducing administrative burden. </w:t>
      </w:r>
    </w:p>
    <w:p w14:paraId="3710BE1A" w14:textId="7C6F80C4" w:rsidR="0027604F" w:rsidRDefault="0027604F" w:rsidP="00C957D9">
      <w:pPr>
        <w:pStyle w:val="ListParagraph"/>
        <w:numPr>
          <w:ilvl w:val="0"/>
          <w:numId w:val="47"/>
        </w:numPr>
      </w:pPr>
      <w:r w:rsidRPr="00AC7273">
        <w:rPr>
          <w:b/>
          <w:bCs/>
        </w:rPr>
        <w:t>Alignment of chart review and renewal to bi-annual care planning sessions</w:t>
      </w:r>
      <w:r w:rsidR="00AC7273" w:rsidRPr="00AC7273">
        <w:rPr>
          <w:b/>
          <w:bCs/>
        </w:rPr>
        <w:t xml:space="preserve"> </w:t>
      </w:r>
      <w:r w:rsidR="00AC7273" w:rsidRPr="00C957D9">
        <w:t xml:space="preserve">- </w:t>
      </w:r>
      <w:r>
        <w:t xml:space="preserve">Funded by the </w:t>
      </w:r>
      <w:hyperlink r:id="rId16" w:history="1">
        <w:r w:rsidRPr="00947028">
          <w:rPr>
            <w:rStyle w:val="Hyperlink"/>
          </w:rPr>
          <w:t>General Practice in Aged Care Incentive</w:t>
        </w:r>
      </w:hyperlink>
      <w:r>
        <w:t>.</w:t>
      </w:r>
    </w:p>
    <w:p w14:paraId="73174A0A" w14:textId="77777777" w:rsidR="00AD2414" w:rsidRDefault="00B94632" w:rsidP="00940267">
      <w:pPr>
        <w:pStyle w:val="ListParagraph"/>
        <w:numPr>
          <w:ilvl w:val="0"/>
          <w:numId w:val="47"/>
        </w:numPr>
        <w:rPr>
          <w:rFonts w:eastAsia="Times New Roman" w:cs="Arial"/>
          <w:color w:val="000000"/>
          <w:lang w:eastAsia="en-AU"/>
        </w:rPr>
      </w:pPr>
      <w:r w:rsidRPr="00C957D9">
        <w:rPr>
          <w:rFonts w:eastAsia="Times New Roman" w:cs="Arial"/>
          <w:b/>
          <w:bCs/>
          <w:color w:val="000000"/>
          <w:lang w:eastAsia="en-AU"/>
        </w:rPr>
        <w:t>Streamlined prescribing and dispensing</w:t>
      </w:r>
      <w:r w:rsidRPr="00C957D9">
        <w:rPr>
          <w:rFonts w:eastAsia="Times New Roman" w:cs="Arial"/>
          <w:color w:val="000000"/>
          <w:lang w:eastAsia="en-AU"/>
        </w:rPr>
        <w:t> </w:t>
      </w:r>
      <w:r w:rsidR="00AC7273" w:rsidRPr="00C957D9">
        <w:rPr>
          <w:rFonts w:eastAsia="Times New Roman" w:cs="Arial"/>
          <w:color w:val="000000"/>
          <w:lang w:eastAsia="en-AU"/>
        </w:rPr>
        <w:t xml:space="preserve">- </w:t>
      </w:r>
      <w:r w:rsidRPr="00C957D9">
        <w:rPr>
          <w:rFonts w:eastAsia="Times New Roman" w:cs="Arial"/>
          <w:color w:val="000000"/>
          <w:lang w:eastAsia="en-AU"/>
        </w:rPr>
        <w:t>With conformant systems, prescriptions are automatically transmitted to the NPDS. Prescribers can be confident that medication orders are securely and accurately delivered to the pharmacy </w:t>
      </w:r>
    </w:p>
    <w:p w14:paraId="3662E602" w14:textId="6603A8EF" w:rsidR="00AD2414" w:rsidRPr="00C957D9" w:rsidRDefault="00B94632" w:rsidP="00AD2414">
      <w:pPr>
        <w:pStyle w:val="ListParagraph"/>
        <w:numPr>
          <w:ilvl w:val="0"/>
          <w:numId w:val="47"/>
        </w:numPr>
        <w:rPr>
          <w:rFonts w:eastAsia="Times New Roman" w:cs="Arial"/>
          <w:color w:val="000000"/>
          <w:lang w:eastAsia="en-AU"/>
        </w:rPr>
      </w:pPr>
      <w:r w:rsidRPr="00C957D9">
        <w:rPr>
          <w:b/>
          <w:bCs/>
        </w:rPr>
        <w:t>Improved Medication Safety</w:t>
      </w:r>
      <w:r w:rsidRPr="00C957D9">
        <w:t> </w:t>
      </w:r>
      <w:r w:rsidR="00AC7273" w:rsidRPr="00C957D9">
        <w:t xml:space="preserve">- </w:t>
      </w:r>
      <w:r w:rsidRPr="00C957D9">
        <w:t>Conformant systems include enhanced safety features, such as alerts for expiring charts, drug interactions and allergies.</w:t>
      </w:r>
      <w:r w:rsidR="00AC7273" w:rsidRPr="00C957D9">
        <w:t xml:space="preserve"> </w:t>
      </w:r>
      <w:r w:rsidRPr="00C957D9">
        <w:t>These features support safer prescribing decisions and reduce the risk of medication errors. </w:t>
      </w:r>
    </w:p>
    <w:p w14:paraId="36705ACC" w14:textId="05EEA42E" w:rsidR="00302D3B" w:rsidRDefault="00AD2414" w:rsidP="00940267">
      <w:pPr>
        <w:pStyle w:val="Heading4"/>
        <w:rPr>
          <w:lang w:eastAsia="en-AU"/>
        </w:rPr>
      </w:pPr>
      <w:r>
        <w:rPr>
          <w:lang w:eastAsia="en-AU"/>
        </w:rPr>
        <w:lastRenderedPageBreak/>
        <w:t>Ca</w:t>
      </w:r>
      <w:r w:rsidRPr="00AD2414">
        <w:rPr>
          <w:lang w:eastAsia="en-AU"/>
        </w:rPr>
        <w:t xml:space="preserve">n a Prescriber refuse to use </w:t>
      </w:r>
      <w:r>
        <w:rPr>
          <w:lang w:eastAsia="en-AU"/>
        </w:rPr>
        <w:t xml:space="preserve">a RACH’s eNRMC </w:t>
      </w:r>
      <w:r w:rsidRPr="00AD2414">
        <w:rPr>
          <w:lang w:eastAsia="en-AU"/>
        </w:rPr>
        <w:t>and continue with paper charts and scripts?  </w:t>
      </w:r>
    </w:p>
    <w:p w14:paraId="3F8F8540" w14:textId="4C707C9B"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Prescribers may choose to issue prescriptions outside eNRMC system - for example, using an NRMC or different electronic prescribing conformant clinical software). However</w:t>
      </w:r>
      <w:r w:rsidR="007842D9">
        <w:rPr>
          <w:rFonts w:eastAsia="Times New Roman" w:cs="Arial"/>
          <w:lang w:eastAsia="en-AU"/>
        </w:rPr>
        <w:t>,</w:t>
      </w:r>
      <w:r w:rsidRPr="00F31BB7">
        <w:rPr>
          <w:rFonts w:eastAsia="Times New Roman" w:cs="Arial"/>
          <w:lang w:eastAsia="en-AU"/>
        </w:rPr>
        <w:t xml:space="preserve"> they will still need to access the eNRMC system to create medication orders for administration and to review the whole chart when prescribing. </w:t>
      </w:r>
    </w:p>
    <w:p w14:paraId="7FF7B80C" w14:textId="719B25EE" w:rsidR="007842D9" w:rsidRDefault="007842D9" w:rsidP="00F31BB7">
      <w:pPr>
        <w:spacing w:before="0" w:after="0" w:line="240" w:lineRule="auto"/>
        <w:rPr>
          <w:rFonts w:eastAsia="Times New Roman" w:cs="Arial"/>
          <w:lang w:eastAsia="en-AU"/>
        </w:rPr>
      </w:pPr>
    </w:p>
    <w:p w14:paraId="5D5CA65C"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The eNRMC provides a comprehensive view of a resident's current medications, along with relevant health information, and is accessible to prescribers, pharmacists and RACH. This supports safer and more coordinated care. </w:t>
      </w:r>
    </w:p>
    <w:p w14:paraId="4666F6F5"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 </w:t>
      </w:r>
    </w:p>
    <w:p w14:paraId="771CDF2E"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Prescriptions created outside eNRMC can also be added as administration-only orders by a pharmacist subject to system functionality and their professional discretion. </w:t>
      </w:r>
    </w:p>
    <w:p w14:paraId="29AAE12C"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 </w:t>
      </w:r>
    </w:p>
    <w:p w14:paraId="1B8D1965" w14:textId="77777777" w:rsidR="00F31BB7" w:rsidRPr="00F31BB7" w:rsidRDefault="00F31BB7" w:rsidP="00F31BB7">
      <w:pPr>
        <w:spacing w:before="0" w:after="0" w:line="240" w:lineRule="auto"/>
        <w:rPr>
          <w:rFonts w:eastAsia="Times New Roman" w:cs="Arial"/>
          <w:lang w:eastAsia="en-AU"/>
        </w:rPr>
      </w:pPr>
      <w:r w:rsidRPr="00F31BB7">
        <w:rPr>
          <w:rFonts w:eastAsia="Times New Roman" w:cs="Arial"/>
          <w:lang w:eastAsia="en-AU"/>
        </w:rPr>
        <w:t>Prescribers are strongly encouraged to use the eNRMC system where available as it:</w:t>
      </w:r>
    </w:p>
    <w:p w14:paraId="626DBFC8" w14:textId="77777777" w:rsidR="00F31BB7" w:rsidRPr="00F31BB7" w:rsidRDefault="00F31BB7" w:rsidP="00F31BB7">
      <w:pPr>
        <w:numPr>
          <w:ilvl w:val="0"/>
          <w:numId w:val="61"/>
        </w:numPr>
        <w:spacing w:before="0" w:after="0" w:line="240" w:lineRule="auto"/>
        <w:rPr>
          <w:lang w:eastAsia="en-AU"/>
        </w:rPr>
      </w:pPr>
      <w:r w:rsidRPr="00F31BB7">
        <w:rPr>
          <w:lang w:eastAsia="en-AU"/>
        </w:rPr>
        <w:t>Improves safety and accuracy by reducing transcription errors and ensuring real-time access to current medication orders.</w:t>
      </w:r>
    </w:p>
    <w:p w14:paraId="27634887" w14:textId="77777777" w:rsidR="00F31BB7" w:rsidRPr="00F31BB7" w:rsidRDefault="00F31BB7" w:rsidP="00F31BB7">
      <w:pPr>
        <w:numPr>
          <w:ilvl w:val="0"/>
          <w:numId w:val="61"/>
        </w:numPr>
        <w:spacing w:before="0" w:after="0" w:line="240" w:lineRule="auto"/>
        <w:rPr>
          <w:lang w:eastAsia="en-AU"/>
        </w:rPr>
      </w:pPr>
      <w:r w:rsidRPr="00F31BB7">
        <w:rPr>
          <w:lang w:eastAsia="en-AU"/>
        </w:rPr>
        <w:t>Supports continuity of care by enabling seamless communication between prescribers, pharmacists, and aged care staff.</w:t>
      </w:r>
    </w:p>
    <w:p w14:paraId="26E239F6" w14:textId="276A4B66" w:rsidR="00F31BB7" w:rsidRDefault="00F31BB7" w:rsidP="00F31BB7">
      <w:pPr>
        <w:numPr>
          <w:ilvl w:val="0"/>
          <w:numId w:val="61"/>
        </w:numPr>
        <w:spacing w:before="0" w:after="0" w:line="240" w:lineRule="auto"/>
        <w:rPr>
          <w:lang w:eastAsia="en-AU"/>
        </w:rPr>
      </w:pPr>
      <w:r w:rsidRPr="00F31BB7">
        <w:rPr>
          <w:lang w:eastAsia="en-AU"/>
        </w:rPr>
        <w:t>Enhances compliance with national electronic medication management standards and facilitates integration with other digital health systems, such as MHR.</w:t>
      </w:r>
    </w:p>
    <w:p w14:paraId="39D3E839" w14:textId="77777777" w:rsidR="00543350" w:rsidRPr="00F31BB7" w:rsidRDefault="00543350" w:rsidP="0048380B">
      <w:pPr>
        <w:spacing w:before="0" w:after="0" w:line="240" w:lineRule="auto"/>
        <w:ind w:left="360"/>
        <w:rPr>
          <w:lang w:eastAsia="en-AU"/>
        </w:rPr>
      </w:pPr>
    </w:p>
    <w:p w14:paraId="259C55B5" w14:textId="738704E0" w:rsidR="00F31BB7" w:rsidRDefault="00F31BB7" w:rsidP="00F31BB7">
      <w:pPr>
        <w:spacing w:before="0" w:after="0" w:line="240" w:lineRule="auto"/>
        <w:rPr>
          <w:lang w:eastAsia="en-AU"/>
        </w:rPr>
      </w:pPr>
      <w:r w:rsidRPr="00F31BB7">
        <w:rPr>
          <w:lang w:eastAsia="en-AU"/>
        </w:rPr>
        <w:t>Paper-based prescribing may limit visibility, increase administrative burden, and delay timely medication administration—particularly in urgent or after-hours scenarios.</w:t>
      </w:r>
    </w:p>
    <w:p w14:paraId="10D8637E" w14:textId="77777777" w:rsidR="00543350" w:rsidRPr="00F31BB7" w:rsidRDefault="00543350" w:rsidP="00F31BB7">
      <w:pPr>
        <w:spacing w:before="0" w:after="0" w:line="240" w:lineRule="auto"/>
        <w:rPr>
          <w:lang w:eastAsia="en-AU"/>
        </w:rPr>
      </w:pPr>
    </w:p>
    <w:p w14:paraId="3EFF6D95" w14:textId="46530849" w:rsidR="00152BAA" w:rsidRDefault="00152BAA" w:rsidP="609B2750">
      <w:pPr>
        <w:pStyle w:val="Heading3"/>
      </w:pPr>
      <w:r>
        <w:t>Specialist and Registered Nurse (RN) prescribing</w:t>
      </w:r>
    </w:p>
    <w:p w14:paraId="780D96FE" w14:textId="310E2E2B" w:rsidR="00152BAA" w:rsidRPr="00FB6E9A" w:rsidRDefault="00AD492F" w:rsidP="609B2750">
      <w:pPr>
        <w:pStyle w:val="Heading4"/>
        <w:rPr>
          <w:bCs/>
        </w:rPr>
      </w:pPr>
      <w:r>
        <w:t xml:space="preserve">What is the recommended approach for </w:t>
      </w:r>
      <w:r w:rsidR="00A51CD9">
        <w:t xml:space="preserve">entering medicines prescribed by specialists into the RACH’s </w:t>
      </w:r>
      <w:r w:rsidR="003924EC">
        <w:t xml:space="preserve">nominated </w:t>
      </w:r>
      <w:r w:rsidR="00A51CD9">
        <w:t>eNRMC, particularly when the</w:t>
      </w:r>
      <w:r w:rsidR="00C35B34">
        <w:t xml:space="preserve">y are </w:t>
      </w:r>
      <w:r w:rsidR="009111B0">
        <w:t xml:space="preserve">unable or unwilling to prescribe on the eNRMC system? </w:t>
      </w:r>
    </w:p>
    <w:p w14:paraId="72EB022B" w14:textId="77777777" w:rsidR="00BC4D76" w:rsidRDefault="00FB6E9A" w:rsidP="00152BAA">
      <w:r w:rsidRPr="00FB6E9A">
        <w:t xml:space="preserve">Specialists can be provided access to the eNRMC system to prescribe medicines. All eNRMC systems include processes to support access. </w:t>
      </w:r>
    </w:p>
    <w:p w14:paraId="0C155A02" w14:textId="77777777" w:rsidR="00BC4D76" w:rsidRDefault="00FB6E9A" w:rsidP="00152BAA">
      <w:r w:rsidRPr="00FB6E9A">
        <w:t xml:space="preserve">However, some specialists may be unwilling or unable to use an unfamiliar system for a rare prescribing event. In such cases, prescriptions may be generated outside the eNRMC (for example, paper or electronic prescriptions). This presents an issue for medicine administration, as state and territory legislation generally require a valid medication chart order for any medicine to be administered to a resident in a RACH. </w:t>
      </w:r>
    </w:p>
    <w:p w14:paraId="30CFE463" w14:textId="77777777" w:rsidR="00BC4D76" w:rsidRDefault="00FB6E9A" w:rsidP="00152BAA">
      <w:r w:rsidRPr="00FB6E9A">
        <w:t xml:space="preserve">If a specialist cannot access the resident’s eNRMC, or it is not practical to do so, they should: </w:t>
      </w:r>
    </w:p>
    <w:p w14:paraId="36A0DCDF" w14:textId="77777777" w:rsidR="00BC4D76" w:rsidRDefault="00FB6E9A" w:rsidP="00BC4D76">
      <w:pPr>
        <w:pStyle w:val="ListParagraph"/>
        <w:numPr>
          <w:ilvl w:val="0"/>
          <w:numId w:val="28"/>
        </w:numPr>
      </w:pPr>
      <w:r w:rsidRPr="00FB6E9A">
        <w:t xml:space="preserve">contact the resident’s regular GP or pharmacist </w:t>
      </w:r>
    </w:p>
    <w:p w14:paraId="210226BF" w14:textId="77777777" w:rsidR="00315A24" w:rsidRDefault="00FB6E9A" w:rsidP="00BC4D76">
      <w:pPr>
        <w:pStyle w:val="ListParagraph"/>
        <w:numPr>
          <w:ilvl w:val="0"/>
          <w:numId w:val="28"/>
        </w:numPr>
      </w:pPr>
      <w:r w:rsidRPr="00FB6E9A">
        <w:t xml:space="preserve">provide the prescription (paper or electronic) and any associated token to the pharmacist for dispensing. </w:t>
      </w:r>
    </w:p>
    <w:p w14:paraId="4C7726AA" w14:textId="6A9535EA" w:rsidR="009111B0" w:rsidRDefault="00FB6E9A" w:rsidP="00315A24">
      <w:r w:rsidRPr="00FB6E9A">
        <w:t>There are two options for ensuring the medicine can be administered safely and legally:</w:t>
      </w:r>
    </w:p>
    <w:p w14:paraId="7BE240A9" w14:textId="73C5D96B" w:rsidR="00E96182" w:rsidRDefault="00E96182" w:rsidP="00E96182">
      <w:pPr>
        <w:pStyle w:val="ListParagraph"/>
        <w:numPr>
          <w:ilvl w:val="0"/>
          <w:numId w:val="29"/>
        </w:numPr>
      </w:pPr>
      <w:r>
        <w:t xml:space="preserve">The GP or pharmacist can enter the medicine into the resident’s eNRMC as an </w:t>
      </w:r>
      <w:r w:rsidRPr="00EA3E62">
        <w:rPr>
          <w:b/>
          <w:bCs/>
        </w:rPr>
        <w:t>administration-only order</w:t>
      </w:r>
      <w:r w:rsidR="00315A24">
        <w:t>.</w:t>
      </w:r>
    </w:p>
    <w:p w14:paraId="2DF2250B" w14:textId="5C5423F2" w:rsidR="00315A24" w:rsidRDefault="00315A24" w:rsidP="00E96182">
      <w:pPr>
        <w:pStyle w:val="ListParagraph"/>
        <w:numPr>
          <w:ilvl w:val="0"/>
          <w:numId w:val="29"/>
        </w:numPr>
      </w:pPr>
      <w:r w:rsidRPr="00EA3E62">
        <w:rPr>
          <w:b/>
          <w:bCs/>
        </w:rPr>
        <w:t>Prescribing by the GP</w:t>
      </w:r>
      <w:r>
        <w:t xml:space="preserve"> (in consultation with the specialist)</w:t>
      </w:r>
      <w:r w:rsidR="004F52CF">
        <w:t>.</w:t>
      </w:r>
    </w:p>
    <w:p w14:paraId="7F990ACF" w14:textId="45F5FF8A" w:rsidR="00696058" w:rsidRDefault="00315A24" w:rsidP="00315A24">
      <w:r>
        <w:lastRenderedPageBreak/>
        <w:t xml:space="preserve">For more information on these processes, please refer to the </w:t>
      </w:r>
      <w:hyperlink r:id="rId17" w:history="1">
        <w:r w:rsidRPr="00EA3E62">
          <w:rPr>
            <w:rStyle w:val="Hyperlink"/>
          </w:rPr>
          <w:t>eNRMC User Resource</w:t>
        </w:r>
      </w:hyperlink>
      <w:r w:rsidR="00A75239">
        <w:t>.</w:t>
      </w:r>
    </w:p>
    <w:p w14:paraId="629C5B47" w14:textId="77777777" w:rsidR="00E301E5" w:rsidRPr="00333B51" w:rsidRDefault="00E301E5" w:rsidP="00E301E5">
      <w:pPr>
        <w:pStyle w:val="Heading4"/>
      </w:pPr>
      <w:r w:rsidRPr="00333B51">
        <w:t>Is RN prescribing being considered in preparations as the Commonwealth framework now exists? </w:t>
      </w:r>
    </w:p>
    <w:p w14:paraId="0E91D4F0" w14:textId="4920D08B" w:rsidR="00D734B0" w:rsidRDefault="000D3735" w:rsidP="00940267">
      <w:pPr>
        <w:rPr>
          <w:rFonts w:cs="Arial"/>
        </w:rPr>
      </w:pPr>
      <w:r w:rsidRPr="000D3735">
        <w:rPr>
          <w:rFonts w:cs="Arial"/>
        </w:rPr>
        <w:t>RN prescribing is being introduced under a new registration standard: The Registration Standard: Endorsement for Scheduled Medicines – Designated Registered Nurse Prescriber will take effect by September 2025. This allows suitably qualified RNs to prescribe Schedule 2, 3, 4, and 8 medicines in partnership with authorised health practitioners under a prescribing agreement and clinical governance framework.</w:t>
      </w:r>
      <w:r>
        <w:rPr>
          <w:rFonts w:cs="Arial"/>
        </w:rPr>
        <w:t xml:space="preserve"> </w:t>
      </w:r>
      <w:r w:rsidR="00336C9C" w:rsidRPr="00333B51">
        <w:rPr>
          <w:rFonts w:cs="Arial"/>
        </w:rPr>
        <w:t xml:space="preserve">This is a significant step toward improving access to care, especially in rural and remote areas. More information is available on </w:t>
      </w:r>
      <w:hyperlink r:id="rId18" w:history="1">
        <w:r w:rsidR="00336C9C" w:rsidRPr="0068208F">
          <w:rPr>
            <w:rStyle w:val="Hyperlink"/>
            <w:rFonts w:cs="Arial"/>
          </w:rPr>
          <w:t>Aphra’s website</w:t>
        </w:r>
      </w:hyperlink>
      <w:r w:rsidR="00336C9C" w:rsidRPr="00333B51">
        <w:rPr>
          <w:rFonts w:cs="Arial"/>
        </w:rPr>
        <w:t>.  </w:t>
      </w:r>
    </w:p>
    <w:p w14:paraId="26E9272A" w14:textId="77777777" w:rsidR="00F86D7D" w:rsidRDefault="00E301E5" w:rsidP="00940267">
      <w:pPr>
        <w:rPr>
          <w:rFonts w:cs="Arial"/>
        </w:rPr>
      </w:pPr>
      <w:r w:rsidRPr="00333B51">
        <w:rPr>
          <w:rFonts w:cs="Arial"/>
        </w:rPr>
        <w:t xml:space="preserve">However, </w:t>
      </w:r>
      <w:r w:rsidR="0039679C" w:rsidRPr="0039679C">
        <w:rPr>
          <w:rFonts w:cs="Arial"/>
        </w:rPr>
        <w:t>only doctors, dentists, optometrists, midwives, and nurse practitioners are currently authorised to prescribe PBS medicines under the National Health Act 1953. Legislative changes would be required to expand PBS access to designated RN prescribers.</w:t>
      </w:r>
    </w:p>
    <w:p w14:paraId="2366A510" w14:textId="1D600A13" w:rsidR="00E301E5" w:rsidRDefault="00C4144E" w:rsidP="00940267">
      <w:pPr>
        <w:rPr>
          <w:rFonts w:cs="Arial"/>
        </w:rPr>
      </w:pPr>
      <w:r>
        <w:rPr>
          <w:rFonts w:cs="Arial"/>
        </w:rPr>
        <w:t>Further</w:t>
      </w:r>
      <w:r w:rsidR="00336C9C">
        <w:rPr>
          <w:rFonts w:cs="Arial"/>
        </w:rPr>
        <w:t xml:space="preserve"> to this</w:t>
      </w:r>
      <w:r>
        <w:rPr>
          <w:rFonts w:cs="Arial"/>
        </w:rPr>
        <w:t>, f</w:t>
      </w:r>
      <w:r w:rsidR="00F86D7D">
        <w:rPr>
          <w:rFonts w:cs="Arial"/>
        </w:rPr>
        <w:t>unctionality for RN</w:t>
      </w:r>
      <w:r>
        <w:rPr>
          <w:rFonts w:cs="Arial"/>
        </w:rPr>
        <w:t>s</w:t>
      </w:r>
      <w:r w:rsidR="00F86D7D">
        <w:rPr>
          <w:rFonts w:cs="Arial"/>
        </w:rPr>
        <w:t xml:space="preserve"> prescrib</w:t>
      </w:r>
      <w:r>
        <w:rPr>
          <w:rFonts w:cs="Arial"/>
        </w:rPr>
        <w:t>ing</w:t>
      </w:r>
      <w:r w:rsidR="00F86D7D">
        <w:rPr>
          <w:rFonts w:cs="Arial"/>
        </w:rPr>
        <w:t xml:space="preserve"> </w:t>
      </w:r>
      <w:r w:rsidR="00C444A5">
        <w:rPr>
          <w:rFonts w:cs="Arial"/>
        </w:rPr>
        <w:t xml:space="preserve">using an eNRMC </w:t>
      </w:r>
      <w:r>
        <w:rPr>
          <w:rFonts w:cs="Arial"/>
        </w:rPr>
        <w:t>may</w:t>
      </w:r>
      <w:r w:rsidR="00177DD6">
        <w:rPr>
          <w:rFonts w:cs="Arial"/>
        </w:rPr>
        <w:t xml:space="preserve"> be dependent on the </w:t>
      </w:r>
      <w:r w:rsidR="00797E13">
        <w:rPr>
          <w:rFonts w:cs="Arial"/>
        </w:rPr>
        <w:t>product</w:t>
      </w:r>
      <w:r w:rsidR="00BE0557">
        <w:rPr>
          <w:rFonts w:cs="Arial"/>
        </w:rPr>
        <w:t>.</w:t>
      </w:r>
    </w:p>
    <w:p w14:paraId="5AB49E1B" w14:textId="2E32E334" w:rsidR="008941E2" w:rsidRDefault="00E109E6" w:rsidP="609B2750">
      <w:pPr>
        <w:pStyle w:val="Heading4"/>
        <w:rPr>
          <w:bCs/>
        </w:rPr>
      </w:pPr>
      <w:r>
        <w:t xml:space="preserve">Are nurse practitioners </w:t>
      </w:r>
      <w:r w:rsidR="00EA30DF">
        <w:t>authorised</w:t>
      </w:r>
      <w:r>
        <w:t xml:space="preserve"> to prescribe on the eNRMC</w:t>
      </w:r>
      <w:r w:rsidR="00EA30DF">
        <w:t>,</w:t>
      </w:r>
      <w:r w:rsidR="001E2214">
        <w:t xml:space="preserve"> and can their chart-based prescription be dispens</w:t>
      </w:r>
      <w:r w:rsidR="0046443E">
        <w:t>ed and supplied?</w:t>
      </w:r>
    </w:p>
    <w:p w14:paraId="52D8E349" w14:textId="54868496" w:rsidR="00CC79F9" w:rsidRPr="0095312C" w:rsidRDefault="00CC79F9" w:rsidP="00C957D9">
      <w:pPr>
        <w:rPr>
          <w:rFonts w:cs="Arial"/>
        </w:rPr>
      </w:pPr>
      <w:r w:rsidRPr="0095312C">
        <w:rPr>
          <w:rFonts w:cs="Arial"/>
        </w:rPr>
        <w:t xml:space="preserve">All authorised </w:t>
      </w:r>
      <w:hyperlink r:id="rId19" w:anchor="who-can-prescribe-medicines" w:history="1">
        <w:r w:rsidRPr="0095312C">
          <w:rPr>
            <w:rStyle w:val="Hyperlink"/>
            <w:rFonts w:cs="Arial"/>
          </w:rPr>
          <w:t>PBS Prescribers</w:t>
        </w:r>
      </w:hyperlink>
      <w:r w:rsidRPr="0095312C">
        <w:rPr>
          <w:rFonts w:cs="Arial"/>
        </w:rPr>
        <w:t xml:space="preserve"> are legally able to prescribe </w:t>
      </w:r>
      <w:r w:rsidRPr="0095312C">
        <w:rPr>
          <w:rFonts w:cs="Arial"/>
          <w:color w:val="000000"/>
        </w:rPr>
        <w:t xml:space="preserve">PBS medicines in accordance with their scope of practice </w:t>
      </w:r>
      <w:r w:rsidRPr="0095312C">
        <w:rPr>
          <w:rFonts w:cs="Arial"/>
        </w:rPr>
        <w:t xml:space="preserve">from both a paper NRMC or an eNRMC system. Any relevant jurisdictional requirements or restrictions must also be observed when prescribing PBS medicines, which may modify prescribing rights. </w:t>
      </w:r>
    </w:p>
    <w:p w14:paraId="6AF90884" w14:textId="122E37C6" w:rsidR="008A3B3C" w:rsidRDefault="008A3B3C" w:rsidP="609B2750">
      <w:pPr>
        <w:pStyle w:val="Heading3"/>
      </w:pPr>
      <w:r>
        <w:t>Transitions of Care</w:t>
      </w:r>
    </w:p>
    <w:p w14:paraId="52432AF1" w14:textId="0BA8D151" w:rsidR="003B1D00" w:rsidRPr="003B1D00" w:rsidRDefault="00AC26A4" w:rsidP="609B2750">
      <w:pPr>
        <w:pStyle w:val="Heading4"/>
        <w:rPr>
          <w:bCs/>
        </w:rPr>
      </w:pPr>
      <w:r>
        <w:t>Will</w:t>
      </w:r>
      <w:r w:rsidR="00D76CA3">
        <w:t xml:space="preserve"> </w:t>
      </w:r>
      <w:r w:rsidR="003B1D00">
        <w:t>hospital doctors be able to access eNRMC for hospital avoidance service?</w:t>
      </w:r>
    </w:p>
    <w:p w14:paraId="66499634" w14:textId="0F182DCA" w:rsidR="00B85F61" w:rsidRDefault="00EA63EB" w:rsidP="00F3649C">
      <w:r>
        <w:t>H</w:t>
      </w:r>
      <w:r w:rsidR="00B85F61">
        <w:t>ospital doctors may access an eNRMC</w:t>
      </w:r>
      <w:r>
        <w:t xml:space="preserve"> system</w:t>
      </w:r>
      <w:r w:rsidR="007D7C71">
        <w:t xml:space="preserve"> if</w:t>
      </w:r>
      <w:r w:rsidR="00B85F61">
        <w:t xml:space="preserve"> they </w:t>
      </w:r>
      <w:r w:rsidR="007D7C71">
        <w:t>are granted</w:t>
      </w:r>
      <w:r w:rsidR="00B85F61">
        <w:t xml:space="preserve"> appropriate access</w:t>
      </w:r>
      <w:r w:rsidR="007D7C71">
        <w:t xml:space="preserve"> - </w:t>
      </w:r>
      <w:r w:rsidR="00B85F61">
        <w:t xml:space="preserve">either the software vendor or, depending on the product, the RACH. However, in most situations the hospital </w:t>
      </w:r>
      <w:proofErr w:type="gramStart"/>
      <w:r w:rsidR="006349CD">
        <w:t>do</w:t>
      </w:r>
      <w:proofErr w:type="gramEnd"/>
      <w:r w:rsidR="00B85F61">
        <w:t xml:space="preserve"> not typically have</w:t>
      </w:r>
      <w:r w:rsidR="006349CD">
        <w:t xml:space="preserve"> direct</w:t>
      </w:r>
      <w:r w:rsidR="00B85F61">
        <w:t xml:space="preserve"> access to eNRMC</w:t>
      </w:r>
      <w:r w:rsidR="006349CD">
        <w:t xml:space="preserve"> systems</w:t>
      </w:r>
      <w:r w:rsidR="00B85F61">
        <w:t>.</w:t>
      </w:r>
    </w:p>
    <w:p w14:paraId="1CE5E3ED" w14:textId="61850301" w:rsidR="00D66D7E" w:rsidRDefault="00D66D7E" w:rsidP="00F3649C">
      <w:r>
        <w:t xml:space="preserve">Only health practitioners who are legally authorised to prescribe under the PBS can create PBS prescriptions within an eNRMC system. </w:t>
      </w:r>
      <w:r w:rsidR="00EB5024">
        <w:t>I</w:t>
      </w:r>
      <w:r>
        <w:t xml:space="preserve">f a prescription (paper or electronic) has been issued outside the eNRMC system </w:t>
      </w:r>
      <w:r w:rsidR="00C633EE">
        <w:t>–</w:t>
      </w:r>
      <w:r>
        <w:t xml:space="preserve"> </w:t>
      </w:r>
      <w:r w:rsidR="00C633EE">
        <w:t xml:space="preserve">such as </w:t>
      </w:r>
      <w:r>
        <w:t>by</w:t>
      </w:r>
      <w:r w:rsidR="00C633EE">
        <w:t xml:space="preserve"> </w:t>
      </w:r>
      <w:r>
        <w:t>hospital doctor or specialist</w:t>
      </w:r>
      <w:r w:rsidR="00C633EE">
        <w:t xml:space="preserve"> – </w:t>
      </w:r>
      <w:r w:rsidR="00830105">
        <w:t xml:space="preserve">it can be recorded </w:t>
      </w:r>
      <w:r w:rsidR="00B531B0">
        <w:t xml:space="preserve">in the eNRMC </w:t>
      </w:r>
      <w:r w:rsidR="00830105">
        <w:t xml:space="preserve">by </w:t>
      </w:r>
      <w:r>
        <w:t xml:space="preserve">a pharmacist or GP for medicine administration purposes only. This record: </w:t>
      </w:r>
    </w:p>
    <w:p w14:paraId="38284CD6" w14:textId="2C929A99" w:rsidR="00D66D7E" w:rsidRDefault="00631DFE" w:rsidP="00C957D9">
      <w:pPr>
        <w:pStyle w:val="ListParagraph"/>
        <w:numPr>
          <w:ilvl w:val="0"/>
          <w:numId w:val="33"/>
        </w:numPr>
      </w:pPr>
      <w:r>
        <w:t xml:space="preserve">must </w:t>
      </w:r>
      <w:r w:rsidR="00D66D7E">
        <w:t xml:space="preserve">include </w:t>
      </w:r>
      <w:r w:rsidR="00C53359">
        <w:t>a</w:t>
      </w:r>
      <w:r w:rsidR="007B1EC5">
        <w:t xml:space="preserve">ll relevant </w:t>
      </w:r>
      <w:r w:rsidR="00D66D7E">
        <w:t xml:space="preserve">prescription information </w:t>
      </w:r>
      <w:r w:rsidR="007B1EC5">
        <w:t>(</w:t>
      </w:r>
      <w:r w:rsidR="00D66D7E">
        <w:t>prescriber details, date of prescribing, medicine details, instructions, relevant authority details etc</w:t>
      </w:r>
      <w:r w:rsidR="007B1EC5">
        <w:t>)</w:t>
      </w:r>
    </w:p>
    <w:p w14:paraId="495CAC46" w14:textId="7EA15B73" w:rsidR="00D66D7E" w:rsidRDefault="000D2C67" w:rsidP="00C957D9">
      <w:pPr>
        <w:pStyle w:val="ListParagraph"/>
        <w:numPr>
          <w:ilvl w:val="0"/>
          <w:numId w:val="33"/>
        </w:numPr>
      </w:pPr>
      <w:r>
        <w:t>is</w:t>
      </w:r>
      <w:r w:rsidR="00D66D7E">
        <w:t xml:space="preserve"> sole</w:t>
      </w:r>
      <w:r>
        <w:t>ly for the</w:t>
      </w:r>
      <w:r w:rsidR="00D66D7E">
        <w:t xml:space="preserve"> purpose of enabling administration of the medicine to the resident </w:t>
      </w:r>
    </w:p>
    <w:p w14:paraId="49CC5FDB" w14:textId="1425A26F" w:rsidR="00D66D7E" w:rsidRDefault="00536286" w:rsidP="00C957D9">
      <w:pPr>
        <w:pStyle w:val="ListParagraph"/>
        <w:numPr>
          <w:ilvl w:val="0"/>
          <w:numId w:val="33"/>
        </w:numPr>
      </w:pPr>
      <w:r>
        <w:t xml:space="preserve">does </w:t>
      </w:r>
      <w:r w:rsidR="00D66D7E">
        <w:t xml:space="preserve">not constitute a new prescription or </w:t>
      </w:r>
      <w:r w:rsidR="000A729C">
        <w:t xml:space="preserve">medication </w:t>
      </w:r>
      <w:r w:rsidR="00D66D7E">
        <w:t xml:space="preserve">order </w:t>
      </w:r>
    </w:p>
    <w:p w14:paraId="33045029" w14:textId="04FD15D3" w:rsidR="00F3649C" w:rsidRDefault="000A729C" w:rsidP="00C957D9">
      <w:pPr>
        <w:pStyle w:val="ListParagraph"/>
        <w:numPr>
          <w:ilvl w:val="0"/>
          <w:numId w:val="33"/>
        </w:numPr>
      </w:pPr>
      <w:r>
        <w:t xml:space="preserve">must </w:t>
      </w:r>
      <w:r w:rsidR="00D66D7E">
        <w:t xml:space="preserve">clearly indicate </w:t>
      </w:r>
      <w:r>
        <w:t>that it</w:t>
      </w:r>
      <w:r w:rsidR="00D66D7E">
        <w:t xml:space="preserve"> is for administration only </w:t>
      </w:r>
    </w:p>
    <w:p w14:paraId="3A9DEA11" w14:textId="5ADA6602" w:rsidR="00A408A6" w:rsidRDefault="000A729C" w:rsidP="00C957D9">
      <w:pPr>
        <w:pStyle w:val="ListParagraph"/>
        <w:numPr>
          <w:ilvl w:val="0"/>
          <w:numId w:val="33"/>
        </w:numPr>
      </w:pPr>
      <w:r>
        <w:t xml:space="preserve">will </w:t>
      </w:r>
      <w:r w:rsidR="00D66D7E">
        <w:t>not generate an electronic prescription</w:t>
      </w:r>
      <w:r>
        <w:t xml:space="preserve"> or</w:t>
      </w:r>
      <w:r w:rsidR="00D66D7E">
        <w:t xml:space="preserve"> enable supply.</w:t>
      </w:r>
    </w:p>
    <w:p w14:paraId="11622CBC" w14:textId="71E3B65D" w:rsidR="00EE27CA" w:rsidRPr="004B7B16" w:rsidRDefault="00A408A6" w:rsidP="00A408A6">
      <w:r w:rsidRPr="004B7B16">
        <w:t xml:space="preserve">This approach supports continuity of care while maintaining compliance with prescribing and supply regulations. See </w:t>
      </w:r>
      <w:r w:rsidR="00B63F25" w:rsidRPr="004B7B16">
        <w:t xml:space="preserve">the </w:t>
      </w:r>
      <w:hyperlink r:id="rId20" w:history="1">
        <w:r w:rsidR="00B63F25" w:rsidRPr="004B7B16">
          <w:rPr>
            <w:rStyle w:val="Hyperlink"/>
          </w:rPr>
          <w:t>eNRMC User Resource</w:t>
        </w:r>
      </w:hyperlink>
      <w:r w:rsidR="00B63F25" w:rsidRPr="004B7B16">
        <w:t xml:space="preserve"> for more information. </w:t>
      </w:r>
    </w:p>
    <w:p w14:paraId="060DE227" w14:textId="44648DA0" w:rsidR="00646983" w:rsidRPr="003B1D00" w:rsidRDefault="00646983" w:rsidP="609B2750">
      <w:pPr>
        <w:pStyle w:val="Heading4"/>
        <w:rPr>
          <w:bCs/>
        </w:rPr>
      </w:pPr>
      <w:r w:rsidRPr="00C957D9">
        <w:lastRenderedPageBreak/>
        <w:t>What is the future planning for Home Care and M</w:t>
      </w:r>
      <w:r w:rsidR="00264C5B" w:rsidRPr="00C957D9">
        <w:t>HR/eNRMC?</w:t>
      </w:r>
    </w:p>
    <w:p w14:paraId="4615DB1E" w14:textId="0C130446" w:rsidR="00885E1B" w:rsidRPr="00885E1B" w:rsidRDefault="00885E1B" w:rsidP="00885E1B">
      <w:r w:rsidRPr="00885E1B">
        <w:t xml:space="preserve">The </w:t>
      </w:r>
      <w:r>
        <w:t>department</w:t>
      </w:r>
      <w:r w:rsidRPr="00885E1B">
        <w:t xml:space="preserve"> and Agency are working to define potential use cases and implementation models to support medication management for people receiving care at home. This includes exploring how eNRMC and </w:t>
      </w:r>
      <w:r w:rsidR="00122048">
        <w:t>MHR</w:t>
      </w:r>
      <w:r w:rsidRPr="00885E1B">
        <w:t xml:space="preserve"> can be integrated to improve continuity of care across settings</w:t>
      </w:r>
      <w:r w:rsidR="00F6453B">
        <w:t>.</w:t>
      </w:r>
    </w:p>
    <w:p w14:paraId="489E8E7F" w14:textId="2B9F0293" w:rsidR="00BF377A" w:rsidRDefault="00122048" w:rsidP="000E4ACA">
      <w:r>
        <w:t xml:space="preserve">MHR </w:t>
      </w:r>
      <w:r w:rsidR="00885E1B" w:rsidRPr="00885E1B">
        <w:t xml:space="preserve">already shares key healthcare information that would support people in home care. As appropriate, additional key healthcare information may be shared with </w:t>
      </w:r>
      <w:r>
        <w:t xml:space="preserve">MHR </w:t>
      </w:r>
      <w:r w:rsidR="00885E1B" w:rsidRPr="00885E1B">
        <w:t>to support coordinated care for people in Home Care. </w:t>
      </w:r>
    </w:p>
    <w:p w14:paraId="35CE4B83" w14:textId="72EB5367" w:rsidR="00BF377A" w:rsidRPr="00264C5B" w:rsidRDefault="00264C5B" w:rsidP="609B2750">
      <w:pPr>
        <w:pStyle w:val="Heading4"/>
        <w:rPr>
          <w:bCs/>
        </w:rPr>
      </w:pPr>
      <w:r w:rsidRPr="00C957D9">
        <w:t>How can the risk of medication mismanagement during the transition of care (hospital discharge or external reviews) be managed without relying on internal processes?</w:t>
      </w:r>
    </w:p>
    <w:p w14:paraId="7169FA61" w14:textId="1EB4141D" w:rsidR="007C7BF7" w:rsidRPr="007C7BF7" w:rsidRDefault="007C7BF7" w:rsidP="00C957D9">
      <w:r w:rsidRPr="007C7BF7">
        <w:t xml:space="preserve">Functionality within </w:t>
      </w:r>
      <w:r w:rsidR="001F09B8">
        <w:t>MHR</w:t>
      </w:r>
      <w:r w:rsidRPr="007C7BF7">
        <w:t xml:space="preserve">, such as the Residential Care Transfer Overview, enables the secure transfer of a resident’s medication details to hospital teams. This supports clinical handover and medication reconciliation, helping reduce risks during transitions of care. </w:t>
      </w:r>
    </w:p>
    <w:p w14:paraId="477E76E9" w14:textId="77777777" w:rsidR="00BF377A" w:rsidRDefault="00BF377A" w:rsidP="000E4ACA"/>
    <w:p w14:paraId="0986F8AE" w14:textId="405F8311" w:rsidR="00646983" w:rsidRDefault="00646983" w:rsidP="609B2750">
      <w:pPr>
        <w:pStyle w:val="Heading3"/>
      </w:pPr>
      <w:r>
        <w:t>My Health Record</w:t>
      </w:r>
    </w:p>
    <w:p w14:paraId="1DD76B41" w14:textId="77BC44A6" w:rsidR="00BF377A" w:rsidRDefault="00264C5B" w:rsidP="00F3649C">
      <w:pPr>
        <w:pStyle w:val="Heading4"/>
      </w:pPr>
      <w:r w:rsidRPr="609B2750">
        <w:rPr>
          <w:highlight w:val="yellow"/>
        </w:rPr>
        <w:t xml:space="preserve">What do we need to do as an organisation to have MHR </w:t>
      </w:r>
      <w:r w:rsidRPr="00F3649C">
        <w:rPr>
          <w:highlight w:val="yellow"/>
        </w:rPr>
        <w:t>enabled</w:t>
      </w:r>
      <w:r w:rsidRPr="609B2750">
        <w:rPr>
          <w:highlight w:val="yellow"/>
        </w:rPr>
        <w:t>?</w:t>
      </w:r>
    </w:p>
    <w:p w14:paraId="26613067" w14:textId="44EED1E9" w:rsidR="00AD3A90" w:rsidRPr="00AD3A90" w:rsidRDefault="00AD3A90" w:rsidP="00AD3A90">
      <w:r>
        <w:t xml:space="preserve">Australian Digital Health Agency response pending – will be incorporated shortly. </w:t>
      </w:r>
    </w:p>
    <w:p w14:paraId="50B5989A" w14:textId="77777777" w:rsidR="00264C5B" w:rsidRDefault="00264C5B" w:rsidP="000E4ACA">
      <w:pPr>
        <w:rPr>
          <w:b/>
          <w:bCs/>
        </w:rPr>
      </w:pPr>
    </w:p>
    <w:p w14:paraId="240183E4" w14:textId="3E701516" w:rsidR="00264C5B" w:rsidRDefault="00264C5B" w:rsidP="609B2750">
      <w:pPr>
        <w:pStyle w:val="Heading4"/>
        <w:rPr>
          <w:bCs/>
        </w:rPr>
      </w:pPr>
      <w:r w:rsidRPr="609B2750">
        <w:rPr>
          <w:highlight w:val="yellow"/>
        </w:rPr>
        <w:t>Will there be any financial support to providers to update software applications to support the transition the Health Record?</w:t>
      </w:r>
    </w:p>
    <w:p w14:paraId="6F97A847" w14:textId="77777777" w:rsidR="00AD3A90" w:rsidRPr="00AD3A90" w:rsidRDefault="00AD3A90" w:rsidP="00AD3A90">
      <w:r>
        <w:t xml:space="preserve">Australian Digital Health Agency response pending – will be incorporated shortly. </w:t>
      </w:r>
    </w:p>
    <w:p w14:paraId="42E1EF64" w14:textId="77777777" w:rsidR="00264C5B" w:rsidRDefault="00264C5B" w:rsidP="000E4ACA">
      <w:pPr>
        <w:rPr>
          <w:b/>
          <w:bCs/>
        </w:rPr>
      </w:pPr>
    </w:p>
    <w:p w14:paraId="3D8F0F04" w14:textId="3D26E744" w:rsidR="00811A33" w:rsidRDefault="00264C5B" w:rsidP="609B2750">
      <w:pPr>
        <w:pStyle w:val="Heading4"/>
      </w:pPr>
      <w:r w:rsidRPr="609B2750">
        <w:rPr>
          <w:highlight w:val="yellow"/>
        </w:rPr>
        <w:t>Will accurate medication summaries be available (with appropriate permissions) for download via API from MHR?</w:t>
      </w:r>
    </w:p>
    <w:p w14:paraId="64539A75" w14:textId="77777777" w:rsidR="00AD3A90" w:rsidRPr="00AD3A90" w:rsidRDefault="00AD3A90" w:rsidP="00AD3A90">
      <w:r>
        <w:t xml:space="preserve">Australian Digital Health Agency response pending – will be incorporated shortly. </w:t>
      </w:r>
    </w:p>
    <w:p w14:paraId="1A951501" w14:textId="77777777" w:rsidR="00AD3A90" w:rsidRPr="00AD3A90" w:rsidRDefault="00AD3A90" w:rsidP="00AD3A90"/>
    <w:sectPr w:rsidR="00AD3A90" w:rsidRPr="00AD3A90" w:rsidSect="00C957D9">
      <w:footerReference w:type="default" r:id="rId21"/>
      <w:headerReference w:type="first" r:id="rId22"/>
      <w:footerReference w:type="first" r:id="rId23"/>
      <w:pgSz w:w="11906" w:h="16838"/>
      <w:pgMar w:top="1440" w:right="851" w:bottom="1418"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9464" w14:textId="77777777" w:rsidR="00843A07" w:rsidRDefault="00843A07" w:rsidP="0076491B">
      <w:pPr>
        <w:spacing w:before="0" w:after="0" w:line="240" w:lineRule="auto"/>
      </w:pPr>
      <w:r>
        <w:separator/>
      </w:r>
    </w:p>
  </w:endnote>
  <w:endnote w:type="continuationSeparator" w:id="0">
    <w:p w14:paraId="028C29EB" w14:textId="77777777" w:rsidR="00843A07" w:rsidRDefault="00843A07"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F564C" w14:textId="1CED427E" w:rsidR="0099328C" w:rsidRPr="00555375" w:rsidRDefault="0099328C">
    <w:pPr>
      <w:pStyle w:val="Footer"/>
      <w:rPr>
        <w:sz w:val="22"/>
        <w:szCs w:val="22"/>
      </w:rPr>
    </w:pPr>
    <w:r w:rsidRPr="00555375">
      <w:rPr>
        <w:sz w:val="22"/>
        <w:szCs w:val="22"/>
      </w:rPr>
      <w:t>Electronic National Residential Medication Charts (</w:t>
    </w:r>
    <w:proofErr w:type="spellStart"/>
    <w:r w:rsidRPr="00555375">
      <w:rPr>
        <w:sz w:val="22"/>
        <w:szCs w:val="22"/>
      </w:rPr>
      <w:t>eNRMC</w:t>
    </w:r>
    <w:proofErr w:type="spellEnd"/>
    <w:r w:rsidRPr="00555375">
      <w:rPr>
        <w:sz w:val="22"/>
        <w:szCs w:val="22"/>
      </w:rPr>
      <w:t xml:space="preserve">) and My Health Record (MHR) Update – </w:t>
    </w:r>
    <w:r w:rsidR="000A5A76">
      <w:rPr>
        <w:sz w:val="22"/>
        <w:szCs w:val="22"/>
      </w:rPr>
      <w:br/>
      <w:t>29</w:t>
    </w:r>
    <w:r w:rsidRPr="00555375">
      <w:rPr>
        <w:sz w:val="22"/>
        <w:szCs w:val="22"/>
      </w:rPr>
      <w:t xml:space="preserve"> August 2025 FAQs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D1A4" w14:textId="1834F9E4" w:rsidR="0099328C" w:rsidRDefault="0099328C">
    <w:pPr>
      <w:pStyle w:val="Footer"/>
      <w:jc w:val="right"/>
    </w:pPr>
  </w:p>
  <w:p w14:paraId="50BB97F1" w14:textId="3C05374E" w:rsidR="0099328C" w:rsidRPr="00555375" w:rsidRDefault="0099328C">
    <w:pPr>
      <w:pStyle w:val="Footer"/>
      <w:rPr>
        <w:sz w:val="22"/>
        <w:szCs w:val="22"/>
      </w:rPr>
    </w:pPr>
    <w:r w:rsidRPr="00555375">
      <w:rPr>
        <w:sz w:val="22"/>
        <w:szCs w:val="22"/>
      </w:rPr>
      <w:t>Electronic National Residential Medication Charts (</w:t>
    </w:r>
    <w:proofErr w:type="spellStart"/>
    <w:r w:rsidRPr="00555375">
      <w:rPr>
        <w:sz w:val="22"/>
        <w:szCs w:val="22"/>
      </w:rPr>
      <w:t>eNRMC</w:t>
    </w:r>
    <w:proofErr w:type="spellEnd"/>
    <w:r w:rsidRPr="00555375">
      <w:rPr>
        <w:sz w:val="22"/>
        <w:szCs w:val="22"/>
      </w:rPr>
      <w:t xml:space="preserve">) and My Health Record (MHR) Update – </w:t>
    </w:r>
    <w:r w:rsidR="000A5A76">
      <w:rPr>
        <w:sz w:val="22"/>
        <w:szCs w:val="22"/>
      </w:rPr>
      <w:br/>
      <w:t>29</w:t>
    </w:r>
    <w:r w:rsidRPr="00555375">
      <w:rPr>
        <w:sz w:val="22"/>
        <w:szCs w:val="22"/>
      </w:rPr>
      <w:t xml:space="preserve"> August 2025 FAQs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E9CAC" w14:textId="77777777" w:rsidR="00843A07" w:rsidRDefault="00843A07" w:rsidP="0076491B">
      <w:pPr>
        <w:spacing w:before="0" w:after="0" w:line="240" w:lineRule="auto"/>
      </w:pPr>
      <w:r>
        <w:separator/>
      </w:r>
    </w:p>
  </w:footnote>
  <w:footnote w:type="continuationSeparator" w:id="0">
    <w:p w14:paraId="4B17849F" w14:textId="77777777" w:rsidR="00843A07" w:rsidRDefault="00843A07"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F7E4" w14:textId="77777777" w:rsidR="0076491B" w:rsidRDefault="0015646D">
    <w:pPr>
      <w:pStyle w:val="Header"/>
    </w:pPr>
    <w:r>
      <w:rPr>
        <w:noProof/>
      </w:rPr>
      <w:drawing>
        <wp:anchor distT="0" distB="0" distL="114300" distR="114300" simplePos="0" relativeHeight="251658240" behindDoc="0" locked="0" layoutInCell="1" allowOverlap="1" wp14:anchorId="34D93EB5" wp14:editId="0D477DA6">
          <wp:simplePos x="0" y="0"/>
          <wp:positionH relativeFrom="page">
            <wp:posOffset>-1018</wp:posOffset>
          </wp:positionH>
          <wp:positionV relativeFrom="page">
            <wp:posOffset>0</wp:posOffset>
          </wp:positionV>
          <wp:extent cx="7560000" cy="1991868"/>
          <wp:effectExtent l="0" t="0" r="0" b="2540"/>
          <wp:wrapNone/>
          <wp:docPr id="1575868107" name="Picture 1575868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8241" behindDoc="1" locked="0" layoutInCell="1" allowOverlap="1" wp14:anchorId="0AABFF42" wp14:editId="036C3210">
          <wp:simplePos x="0" y="0"/>
          <wp:positionH relativeFrom="page">
            <wp:posOffset>-344032</wp:posOffset>
          </wp:positionH>
          <wp:positionV relativeFrom="page">
            <wp:posOffset>-153909</wp:posOffset>
          </wp:positionV>
          <wp:extent cx="8230235" cy="3549015"/>
          <wp:effectExtent l="0" t="0" r="0" b="0"/>
          <wp:wrapNone/>
          <wp:docPr id="122887828" name="Picture 1228878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FDE7B91"/>
    <w:multiLevelType w:val="hybridMultilevel"/>
    <w:tmpl w:val="5F9C6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9E671E"/>
    <w:multiLevelType w:val="multilevel"/>
    <w:tmpl w:val="4AF8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70715D"/>
    <w:multiLevelType w:val="hybridMultilevel"/>
    <w:tmpl w:val="ADE4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944E9"/>
    <w:multiLevelType w:val="multilevel"/>
    <w:tmpl w:val="DE4E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8980747"/>
    <w:multiLevelType w:val="multilevel"/>
    <w:tmpl w:val="B0DC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FC0CE6"/>
    <w:multiLevelType w:val="hybridMultilevel"/>
    <w:tmpl w:val="0124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FA34F6"/>
    <w:multiLevelType w:val="hybridMultilevel"/>
    <w:tmpl w:val="EFAAC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6954B6"/>
    <w:multiLevelType w:val="hybridMultilevel"/>
    <w:tmpl w:val="0F70B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BB59DF"/>
    <w:multiLevelType w:val="hybridMultilevel"/>
    <w:tmpl w:val="24C28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DD4FA2"/>
    <w:multiLevelType w:val="hybridMultilevel"/>
    <w:tmpl w:val="6A3C0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FF3FFF"/>
    <w:multiLevelType w:val="multilevel"/>
    <w:tmpl w:val="CE2E2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FB73C2"/>
    <w:multiLevelType w:val="hybridMultilevel"/>
    <w:tmpl w:val="72C6A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3C359F"/>
    <w:multiLevelType w:val="hybridMultilevel"/>
    <w:tmpl w:val="26C013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B597BE3"/>
    <w:multiLevelType w:val="multilevel"/>
    <w:tmpl w:val="1ED2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92333A"/>
    <w:multiLevelType w:val="hybridMultilevel"/>
    <w:tmpl w:val="D046A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EB5FAC"/>
    <w:multiLevelType w:val="multilevel"/>
    <w:tmpl w:val="257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9B0E4A"/>
    <w:multiLevelType w:val="multilevel"/>
    <w:tmpl w:val="A20E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3924E3"/>
    <w:multiLevelType w:val="hybridMultilevel"/>
    <w:tmpl w:val="B60EC81C"/>
    <w:lvl w:ilvl="0" w:tplc="7028108C">
      <w:start w:val="1"/>
      <w:numFmt w:val="bullet"/>
      <w:lvlText w:val=""/>
      <w:lvlJc w:val="left"/>
      <w:pPr>
        <w:ind w:left="1560" w:hanging="360"/>
      </w:pPr>
      <w:rPr>
        <w:rFonts w:ascii="Symbol" w:hAnsi="Symbol"/>
      </w:rPr>
    </w:lvl>
    <w:lvl w:ilvl="1" w:tplc="1C8A1D7E">
      <w:start w:val="1"/>
      <w:numFmt w:val="bullet"/>
      <w:lvlText w:val=""/>
      <w:lvlJc w:val="left"/>
      <w:pPr>
        <w:ind w:left="1560" w:hanging="360"/>
      </w:pPr>
      <w:rPr>
        <w:rFonts w:ascii="Symbol" w:hAnsi="Symbol"/>
      </w:rPr>
    </w:lvl>
    <w:lvl w:ilvl="2" w:tplc="AE626BDC">
      <w:start w:val="1"/>
      <w:numFmt w:val="bullet"/>
      <w:lvlText w:val=""/>
      <w:lvlJc w:val="left"/>
      <w:pPr>
        <w:ind w:left="1560" w:hanging="360"/>
      </w:pPr>
      <w:rPr>
        <w:rFonts w:ascii="Symbol" w:hAnsi="Symbol"/>
      </w:rPr>
    </w:lvl>
    <w:lvl w:ilvl="3" w:tplc="550AD2A2">
      <w:start w:val="1"/>
      <w:numFmt w:val="bullet"/>
      <w:lvlText w:val=""/>
      <w:lvlJc w:val="left"/>
      <w:pPr>
        <w:ind w:left="1560" w:hanging="360"/>
      </w:pPr>
      <w:rPr>
        <w:rFonts w:ascii="Symbol" w:hAnsi="Symbol"/>
      </w:rPr>
    </w:lvl>
    <w:lvl w:ilvl="4" w:tplc="205E1DC2">
      <w:start w:val="1"/>
      <w:numFmt w:val="bullet"/>
      <w:lvlText w:val=""/>
      <w:lvlJc w:val="left"/>
      <w:pPr>
        <w:ind w:left="1560" w:hanging="360"/>
      </w:pPr>
      <w:rPr>
        <w:rFonts w:ascii="Symbol" w:hAnsi="Symbol"/>
      </w:rPr>
    </w:lvl>
    <w:lvl w:ilvl="5" w:tplc="ED045122">
      <w:start w:val="1"/>
      <w:numFmt w:val="bullet"/>
      <w:lvlText w:val=""/>
      <w:lvlJc w:val="left"/>
      <w:pPr>
        <w:ind w:left="1560" w:hanging="360"/>
      </w:pPr>
      <w:rPr>
        <w:rFonts w:ascii="Symbol" w:hAnsi="Symbol"/>
      </w:rPr>
    </w:lvl>
    <w:lvl w:ilvl="6" w:tplc="16BA1E26">
      <w:start w:val="1"/>
      <w:numFmt w:val="bullet"/>
      <w:lvlText w:val=""/>
      <w:lvlJc w:val="left"/>
      <w:pPr>
        <w:ind w:left="1560" w:hanging="360"/>
      </w:pPr>
      <w:rPr>
        <w:rFonts w:ascii="Symbol" w:hAnsi="Symbol"/>
      </w:rPr>
    </w:lvl>
    <w:lvl w:ilvl="7" w:tplc="0D1C481E">
      <w:start w:val="1"/>
      <w:numFmt w:val="bullet"/>
      <w:lvlText w:val=""/>
      <w:lvlJc w:val="left"/>
      <w:pPr>
        <w:ind w:left="1560" w:hanging="360"/>
      </w:pPr>
      <w:rPr>
        <w:rFonts w:ascii="Symbol" w:hAnsi="Symbol"/>
      </w:rPr>
    </w:lvl>
    <w:lvl w:ilvl="8" w:tplc="FE82841E">
      <w:start w:val="1"/>
      <w:numFmt w:val="bullet"/>
      <w:lvlText w:val=""/>
      <w:lvlJc w:val="left"/>
      <w:pPr>
        <w:ind w:left="1560" w:hanging="360"/>
      </w:pPr>
      <w:rPr>
        <w:rFonts w:ascii="Symbol" w:hAnsi="Symbol"/>
      </w:rPr>
    </w:lvl>
  </w:abstractNum>
  <w:abstractNum w:abstractNumId="2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5AE6C86"/>
    <w:multiLevelType w:val="multilevel"/>
    <w:tmpl w:val="557E4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FB1A0B"/>
    <w:multiLevelType w:val="hybridMultilevel"/>
    <w:tmpl w:val="7E5E46F6"/>
    <w:lvl w:ilvl="0" w:tplc="A890112A">
      <w:start w:val="1"/>
      <w:numFmt w:val="bullet"/>
      <w:lvlText w:val=""/>
      <w:lvlJc w:val="left"/>
      <w:pPr>
        <w:ind w:left="1560" w:hanging="360"/>
      </w:pPr>
      <w:rPr>
        <w:rFonts w:ascii="Symbol" w:hAnsi="Symbol"/>
      </w:rPr>
    </w:lvl>
    <w:lvl w:ilvl="1" w:tplc="ED50A2A4">
      <w:start w:val="1"/>
      <w:numFmt w:val="bullet"/>
      <w:lvlText w:val=""/>
      <w:lvlJc w:val="left"/>
      <w:pPr>
        <w:ind w:left="1560" w:hanging="360"/>
      </w:pPr>
      <w:rPr>
        <w:rFonts w:ascii="Symbol" w:hAnsi="Symbol"/>
      </w:rPr>
    </w:lvl>
    <w:lvl w:ilvl="2" w:tplc="E4AC1C0C">
      <w:start w:val="1"/>
      <w:numFmt w:val="bullet"/>
      <w:lvlText w:val=""/>
      <w:lvlJc w:val="left"/>
      <w:pPr>
        <w:ind w:left="1560" w:hanging="360"/>
      </w:pPr>
      <w:rPr>
        <w:rFonts w:ascii="Symbol" w:hAnsi="Symbol"/>
      </w:rPr>
    </w:lvl>
    <w:lvl w:ilvl="3" w:tplc="4A180F08">
      <w:start w:val="1"/>
      <w:numFmt w:val="bullet"/>
      <w:lvlText w:val=""/>
      <w:lvlJc w:val="left"/>
      <w:pPr>
        <w:ind w:left="1560" w:hanging="360"/>
      </w:pPr>
      <w:rPr>
        <w:rFonts w:ascii="Symbol" w:hAnsi="Symbol"/>
      </w:rPr>
    </w:lvl>
    <w:lvl w:ilvl="4" w:tplc="E75C6D50">
      <w:start w:val="1"/>
      <w:numFmt w:val="bullet"/>
      <w:lvlText w:val=""/>
      <w:lvlJc w:val="left"/>
      <w:pPr>
        <w:ind w:left="1560" w:hanging="360"/>
      </w:pPr>
      <w:rPr>
        <w:rFonts w:ascii="Symbol" w:hAnsi="Symbol"/>
      </w:rPr>
    </w:lvl>
    <w:lvl w:ilvl="5" w:tplc="1CAC6520">
      <w:start w:val="1"/>
      <w:numFmt w:val="bullet"/>
      <w:lvlText w:val=""/>
      <w:lvlJc w:val="left"/>
      <w:pPr>
        <w:ind w:left="1560" w:hanging="360"/>
      </w:pPr>
      <w:rPr>
        <w:rFonts w:ascii="Symbol" w:hAnsi="Symbol"/>
      </w:rPr>
    </w:lvl>
    <w:lvl w:ilvl="6" w:tplc="F568199C">
      <w:start w:val="1"/>
      <w:numFmt w:val="bullet"/>
      <w:lvlText w:val=""/>
      <w:lvlJc w:val="left"/>
      <w:pPr>
        <w:ind w:left="1560" w:hanging="360"/>
      </w:pPr>
      <w:rPr>
        <w:rFonts w:ascii="Symbol" w:hAnsi="Symbol"/>
      </w:rPr>
    </w:lvl>
    <w:lvl w:ilvl="7" w:tplc="C03C6914">
      <w:start w:val="1"/>
      <w:numFmt w:val="bullet"/>
      <w:lvlText w:val=""/>
      <w:lvlJc w:val="left"/>
      <w:pPr>
        <w:ind w:left="1560" w:hanging="360"/>
      </w:pPr>
      <w:rPr>
        <w:rFonts w:ascii="Symbol" w:hAnsi="Symbol"/>
      </w:rPr>
    </w:lvl>
    <w:lvl w:ilvl="8" w:tplc="AE5E0068">
      <w:start w:val="1"/>
      <w:numFmt w:val="bullet"/>
      <w:lvlText w:val=""/>
      <w:lvlJc w:val="left"/>
      <w:pPr>
        <w:ind w:left="1560" w:hanging="360"/>
      </w:pPr>
      <w:rPr>
        <w:rFonts w:ascii="Symbol" w:hAnsi="Symbol"/>
      </w:rPr>
    </w:lvl>
  </w:abstractNum>
  <w:abstractNum w:abstractNumId="29"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BFE2161"/>
    <w:multiLevelType w:val="multilevel"/>
    <w:tmpl w:val="6FA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73356"/>
    <w:multiLevelType w:val="multilevel"/>
    <w:tmpl w:val="2A78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8D37E3"/>
    <w:multiLevelType w:val="hybridMultilevel"/>
    <w:tmpl w:val="7C28ABB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32278C1"/>
    <w:multiLevelType w:val="multilevel"/>
    <w:tmpl w:val="C696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C750F8"/>
    <w:multiLevelType w:val="hybridMultilevel"/>
    <w:tmpl w:val="0BC60800"/>
    <w:lvl w:ilvl="0" w:tplc="58EA70FC">
      <w:start w:val="1"/>
      <w:numFmt w:val="bullet"/>
      <w:lvlText w:val=""/>
      <w:lvlJc w:val="left"/>
      <w:pPr>
        <w:ind w:left="1560" w:hanging="360"/>
      </w:pPr>
      <w:rPr>
        <w:rFonts w:ascii="Symbol" w:hAnsi="Symbol"/>
      </w:rPr>
    </w:lvl>
    <w:lvl w:ilvl="1" w:tplc="F260FD8A">
      <w:start w:val="1"/>
      <w:numFmt w:val="bullet"/>
      <w:lvlText w:val=""/>
      <w:lvlJc w:val="left"/>
      <w:pPr>
        <w:ind w:left="1560" w:hanging="360"/>
      </w:pPr>
      <w:rPr>
        <w:rFonts w:ascii="Symbol" w:hAnsi="Symbol"/>
      </w:rPr>
    </w:lvl>
    <w:lvl w:ilvl="2" w:tplc="1EF61EB6">
      <w:start w:val="1"/>
      <w:numFmt w:val="bullet"/>
      <w:lvlText w:val=""/>
      <w:lvlJc w:val="left"/>
      <w:pPr>
        <w:ind w:left="1560" w:hanging="360"/>
      </w:pPr>
      <w:rPr>
        <w:rFonts w:ascii="Symbol" w:hAnsi="Symbol"/>
      </w:rPr>
    </w:lvl>
    <w:lvl w:ilvl="3" w:tplc="6CD48802">
      <w:start w:val="1"/>
      <w:numFmt w:val="bullet"/>
      <w:lvlText w:val=""/>
      <w:lvlJc w:val="left"/>
      <w:pPr>
        <w:ind w:left="1560" w:hanging="360"/>
      </w:pPr>
      <w:rPr>
        <w:rFonts w:ascii="Symbol" w:hAnsi="Symbol"/>
      </w:rPr>
    </w:lvl>
    <w:lvl w:ilvl="4" w:tplc="38CEC566">
      <w:start w:val="1"/>
      <w:numFmt w:val="bullet"/>
      <w:lvlText w:val=""/>
      <w:lvlJc w:val="left"/>
      <w:pPr>
        <w:ind w:left="1560" w:hanging="360"/>
      </w:pPr>
      <w:rPr>
        <w:rFonts w:ascii="Symbol" w:hAnsi="Symbol"/>
      </w:rPr>
    </w:lvl>
    <w:lvl w:ilvl="5" w:tplc="76D8B460">
      <w:start w:val="1"/>
      <w:numFmt w:val="bullet"/>
      <w:lvlText w:val=""/>
      <w:lvlJc w:val="left"/>
      <w:pPr>
        <w:ind w:left="1560" w:hanging="360"/>
      </w:pPr>
      <w:rPr>
        <w:rFonts w:ascii="Symbol" w:hAnsi="Symbol"/>
      </w:rPr>
    </w:lvl>
    <w:lvl w:ilvl="6" w:tplc="5ECAF62A">
      <w:start w:val="1"/>
      <w:numFmt w:val="bullet"/>
      <w:lvlText w:val=""/>
      <w:lvlJc w:val="left"/>
      <w:pPr>
        <w:ind w:left="1560" w:hanging="360"/>
      </w:pPr>
      <w:rPr>
        <w:rFonts w:ascii="Symbol" w:hAnsi="Symbol"/>
      </w:rPr>
    </w:lvl>
    <w:lvl w:ilvl="7" w:tplc="5BC06AD8">
      <w:start w:val="1"/>
      <w:numFmt w:val="bullet"/>
      <w:lvlText w:val=""/>
      <w:lvlJc w:val="left"/>
      <w:pPr>
        <w:ind w:left="1560" w:hanging="360"/>
      </w:pPr>
      <w:rPr>
        <w:rFonts w:ascii="Symbol" w:hAnsi="Symbol"/>
      </w:rPr>
    </w:lvl>
    <w:lvl w:ilvl="8" w:tplc="78E20058">
      <w:start w:val="1"/>
      <w:numFmt w:val="bullet"/>
      <w:lvlText w:val=""/>
      <w:lvlJc w:val="left"/>
      <w:pPr>
        <w:ind w:left="1560" w:hanging="360"/>
      </w:pPr>
      <w:rPr>
        <w:rFonts w:ascii="Symbol" w:hAnsi="Symbol"/>
      </w:rPr>
    </w:lvl>
  </w:abstractNum>
  <w:abstractNum w:abstractNumId="36" w15:restartNumberingAfterBreak="0">
    <w:nsid w:val="576B66D5"/>
    <w:multiLevelType w:val="multilevel"/>
    <w:tmpl w:val="A3E4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87D745D"/>
    <w:multiLevelType w:val="hybridMultilevel"/>
    <w:tmpl w:val="640C7F54"/>
    <w:lvl w:ilvl="0" w:tplc="91584A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0" w15:restartNumberingAfterBreak="0">
    <w:nsid w:val="5B1E58C6"/>
    <w:multiLevelType w:val="multilevel"/>
    <w:tmpl w:val="EF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BB920CE"/>
    <w:multiLevelType w:val="multilevel"/>
    <w:tmpl w:val="6C78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7E17C5"/>
    <w:multiLevelType w:val="multilevel"/>
    <w:tmpl w:val="1CBA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1F39A1"/>
    <w:multiLevelType w:val="hybridMultilevel"/>
    <w:tmpl w:val="16121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E692960"/>
    <w:multiLevelType w:val="multilevel"/>
    <w:tmpl w:val="0D46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E6E714A"/>
    <w:multiLevelType w:val="multilevel"/>
    <w:tmpl w:val="068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2D429E"/>
    <w:multiLevelType w:val="multilevel"/>
    <w:tmpl w:val="EBFC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2B6C36"/>
    <w:multiLevelType w:val="multilevel"/>
    <w:tmpl w:val="6760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6004CFB"/>
    <w:multiLevelType w:val="hybridMultilevel"/>
    <w:tmpl w:val="197C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B50574"/>
    <w:multiLevelType w:val="hybridMultilevel"/>
    <w:tmpl w:val="AFDC170E"/>
    <w:lvl w:ilvl="0" w:tplc="B5669C3A">
      <w:start w:val="1"/>
      <w:numFmt w:val="bullet"/>
      <w:lvlText w:val=""/>
      <w:lvlJc w:val="left"/>
      <w:pPr>
        <w:ind w:left="1560" w:hanging="360"/>
      </w:pPr>
      <w:rPr>
        <w:rFonts w:ascii="Symbol" w:hAnsi="Symbol"/>
      </w:rPr>
    </w:lvl>
    <w:lvl w:ilvl="1" w:tplc="D56654A0">
      <w:start w:val="1"/>
      <w:numFmt w:val="bullet"/>
      <w:lvlText w:val=""/>
      <w:lvlJc w:val="left"/>
      <w:pPr>
        <w:ind w:left="1560" w:hanging="360"/>
      </w:pPr>
      <w:rPr>
        <w:rFonts w:ascii="Symbol" w:hAnsi="Symbol"/>
      </w:rPr>
    </w:lvl>
    <w:lvl w:ilvl="2" w:tplc="E2AC8446">
      <w:start w:val="1"/>
      <w:numFmt w:val="bullet"/>
      <w:lvlText w:val=""/>
      <w:lvlJc w:val="left"/>
      <w:pPr>
        <w:ind w:left="1560" w:hanging="360"/>
      </w:pPr>
      <w:rPr>
        <w:rFonts w:ascii="Symbol" w:hAnsi="Symbol"/>
      </w:rPr>
    </w:lvl>
    <w:lvl w:ilvl="3" w:tplc="DF648C4A">
      <w:start w:val="1"/>
      <w:numFmt w:val="bullet"/>
      <w:lvlText w:val=""/>
      <w:lvlJc w:val="left"/>
      <w:pPr>
        <w:ind w:left="1560" w:hanging="360"/>
      </w:pPr>
      <w:rPr>
        <w:rFonts w:ascii="Symbol" w:hAnsi="Symbol"/>
      </w:rPr>
    </w:lvl>
    <w:lvl w:ilvl="4" w:tplc="78F26456">
      <w:start w:val="1"/>
      <w:numFmt w:val="bullet"/>
      <w:lvlText w:val=""/>
      <w:lvlJc w:val="left"/>
      <w:pPr>
        <w:ind w:left="1560" w:hanging="360"/>
      </w:pPr>
      <w:rPr>
        <w:rFonts w:ascii="Symbol" w:hAnsi="Symbol"/>
      </w:rPr>
    </w:lvl>
    <w:lvl w:ilvl="5" w:tplc="C950A034">
      <w:start w:val="1"/>
      <w:numFmt w:val="bullet"/>
      <w:lvlText w:val=""/>
      <w:lvlJc w:val="left"/>
      <w:pPr>
        <w:ind w:left="1560" w:hanging="360"/>
      </w:pPr>
      <w:rPr>
        <w:rFonts w:ascii="Symbol" w:hAnsi="Symbol"/>
      </w:rPr>
    </w:lvl>
    <w:lvl w:ilvl="6" w:tplc="9C2837E6">
      <w:start w:val="1"/>
      <w:numFmt w:val="bullet"/>
      <w:lvlText w:val=""/>
      <w:lvlJc w:val="left"/>
      <w:pPr>
        <w:ind w:left="1560" w:hanging="360"/>
      </w:pPr>
      <w:rPr>
        <w:rFonts w:ascii="Symbol" w:hAnsi="Symbol"/>
      </w:rPr>
    </w:lvl>
    <w:lvl w:ilvl="7" w:tplc="E89AD984">
      <w:start w:val="1"/>
      <w:numFmt w:val="bullet"/>
      <w:lvlText w:val=""/>
      <w:lvlJc w:val="left"/>
      <w:pPr>
        <w:ind w:left="1560" w:hanging="360"/>
      </w:pPr>
      <w:rPr>
        <w:rFonts w:ascii="Symbol" w:hAnsi="Symbol"/>
      </w:rPr>
    </w:lvl>
    <w:lvl w:ilvl="8" w:tplc="1E80682C">
      <w:start w:val="1"/>
      <w:numFmt w:val="bullet"/>
      <w:lvlText w:val=""/>
      <w:lvlJc w:val="left"/>
      <w:pPr>
        <w:ind w:left="1560" w:hanging="360"/>
      </w:pPr>
      <w:rPr>
        <w:rFonts w:ascii="Symbol" w:hAnsi="Symbol"/>
      </w:rPr>
    </w:lvl>
  </w:abstractNum>
  <w:abstractNum w:abstractNumId="50" w15:restartNumberingAfterBreak="0">
    <w:nsid w:val="67A44108"/>
    <w:multiLevelType w:val="multilevel"/>
    <w:tmpl w:val="122E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BCE7D83"/>
    <w:multiLevelType w:val="hybridMultilevel"/>
    <w:tmpl w:val="BC0C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F2A7779"/>
    <w:multiLevelType w:val="multilevel"/>
    <w:tmpl w:val="8278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3F54AD9"/>
    <w:multiLevelType w:val="hybridMultilevel"/>
    <w:tmpl w:val="480E9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9"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0" w15:restartNumberingAfterBreak="0">
    <w:nsid w:val="7BB64628"/>
    <w:multiLevelType w:val="multilevel"/>
    <w:tmpl w:val="73F4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6225801">
    <w:abstractNumId w:val="57"/>
  </w:num>
  <w:num w:numId="2" w16cid:durableId="1841508674">
    <w:abstractNumId w:val="12"/>
  </w:num>
  <w:num w:numId="3" w16cid:durableId="1439108642">
    <w:abstractNumId w:val="51"/>
  </w:num>
  <w:num w:numId="4" w16cid:durableId="2020425316">
    <w:abstractNumId w:val="52"/>
  </w:num>
  <w:num w:numId="5" w16cid:durableId="1447046202">
    <w:abstractNumId w:val="38"/>
  </w:num>
  <w:num w:numId="6" w16cid:durableId="1016152554">
    <w:abstractNumId w:val="26"/>
  </w:num>
  <w:num w:numId="7" w16cid:durableId="195505353">
    <w:abstractNumId w:val="8"/>
  </w:num>
  <w:num w:numId="8" w16cid:durableId="569389015">
    <w:abstractNumId w:val="4"/>
  </w:num>
  <w:num w:numId="9" w16cid:durableId="1399480652">
    <w:abstractNumId w:val="0"/>
  </w:num>
  <w:num w:numId="10" w16cid:durableId="36663721">
    <w:abstractNumId w:val="29"/>
  </w:num>
  <w:num w:numId="11" w16cid:durableId="1686595006">
    <w:abstractNumId w:val="17"/>
  </w:num>
  <w:num w:numId="12" w16cid:durableId="284966456">
    <w:abstractNumId w:val="59"/>
  </w:num>
  <w:num w:numId="13" w16cid:durableId="1613053519">
    <w:abstractNumId w:val="58"/>
  </w:num>
  <w:num w:numId="14" w16cid:durableId="136843437">
    <w:abstractNumId w:val="7"/>
  </w:num>
  <w:num w:numId="15" w16cid:durableId="1253856591">
    <w:abstractNumId w:val="55"/>
  </w:num>
  <w:num w:numId="16" w16cid:durableId="727190665">
    <w:abstractNumId w:val="5"/>
  </w:num>
  <w:num w:numId="17" w16cid:durableId="784689433">
    <w:abstractNumId w:val="32"/>
  </w:num>
  <w:num w:numId="18" w16cid:durableId="1064988609">
    <w:abstractNumId w:val="15"/>
  </w:num>
  <w:num w:numId="19" w16cid:durableId="1047224235">
    <w:abstractNumId w:val="39"/>
  </w:num>
  <w:num w:numId="20" w16cid:durableId="1639843202">
    <w:abstractNumId w:val="6"/>
  </w:num>
  <w:num w:numId="21" w16cid:durableId="597295554">
    <w:abstractNumId w:val="30"/>
  </w:num>
  <w:num w:numId="22" w16cid:durableId="1847474585">
    <w:abstractNumId w:val="43"/>
  </w:num>
  <w:num w:numId="23" w16cid:durableId="172303291">
    <w:abstractNumId w:val="25"/>
  </w:num>
  <w:num w:numId="24" w16cid:durableId="1909686094">
    <w:abstractNumId w:val="49"/>
  </w:num>
  <w:num w:numId="25" w16cid:durableId="1789616076">
    <w:abstractNumId w:val="28"/>
  </w:num>
  <w:num w:numId="26" w16cid:durableId="1126504226">
    <w:abstractNumId w:val="35"/>
  </w:num>
  <w:num w:numId="27" w16cid:durableId="1123184594">
    <w:abstractNumId w:val="3"/>
  </w:num>
  <w:num w:numId="28" w16cid:durableId="2070034351">
    <w:abstractNumId w:val="56"/>
  </w:num>
  <w:num w:numId="29" w16cid:durableId="349376759">
    <w:abstractNumId w:val="20"/>
  </w:num>
  <w:num w:numId="30" w16cid:durableId="572400178">
    <w:abstractNumId w:val="14"/>
  </w:num>
  <w:num w:numId="31" w16cid:durableId="299579158">
    <w:abstractNumId w:val="1"/>
  </w:num>
  <w:num w:numId="32" w16cid:durableId="904922071">
    <w:abstractNumId w:val="53"/>
  </w:num>
  <w:num w:numId="33" w16cid:durableId="1406340684">
    <w:abstractNumId w:val="16"/>
  </w:num>
  <w:num w:numId="34" w16cid:durableId="990670133">
    <w:abstractNumId w:val="33"/>
  </w:num>
  <w:num w:numId="35" w16cid:durableId="16276437">
    <w:abstractNumId w:val="37"/>
  </w:num>
  <w:num w:numId="36" w16cid:durableId="1287274017">
    <w:abstractNumId w:val="10"/>
  </w:num>
  <w:num w:numId="37" w16cid:durableId="683483287">
    <w:abstractNumId w:val="18"/>
  </w:num>
  <w:num w:numId="38" w16cid:durableId="732629267">
    <w:abstractNumId w:val="54"/>
  </w:num>
  <w:num w:numId="39" w16cid:durableId="968360551">
    <w:abstractNumId w:val="44"/>
  </w:num>
  <w:num w:numId="40" w16cid:durableId="26609903">
    <w:abstractNumId w:val="27"/>
  </w:num>
  <w:num w:numId="41" w16cid:durableId="706376066">
    <w:abstractNumId w:val="41"/>
  </w:num>
  <w:num w:numId="42" w16cid:durableId="1296175305">
    <w:abstractNumId w:val="40"/>
  </w:num>
  <w:num w:numId="43" w16cid:durableId="1907104141">
    <w:abstractNumId w:val="9"/>
  </w:num>
  <w:num w:numId="44" w16cid:durableId="56056725">
    <w:abstractNumId w:val="22"/>
  </w:num>
  <w:num w:numId="45" w16cid:durableId="292059019">
    <w:abstractNumId w:val="48"/>
  </w:num>
  <w:num w:numId="46" w16cid:durableId="1320503325">
    <w:abstractNumId w:val="19"/>
  </w:num>
  <w:num w:numId="47" w16cid:durableId="1208682170">
    <w:abstractNumId w:val="11"/>
  </w:num>
  <w:num w:numId="48" w16cid:durableId="1794251578">
    <w:abstractNumId w:val="13"/>
  </w:num>
  <w:num w:numId="49" w16cid:durableId="1668751550">
    <w:abstractNumId w:val="34"/>
  </w:num>
  <w:num w:numId="50" w16cid:durableId="1636256703">
    <w:abstractNumId w:val="23"/>
  </w:num>
  <w:num w:numId="51" w16cid:durableId="1979803263">
    <w:abstractNumId w:val="2"/>
  </w:num>
  <w:num w:numId="52" w16cid:durableId="630020468">
    <w:abstractNumId w:val="24"/>
  </w:num>
  <w:num w:numId="53" w16cid:durableId="536894536">
    <w:abstractNumId w:val="47"/>
  </w:num>
  <w:num w:numId="54" w16cid:durableId="2120905077">
    <w:abstractNumId w:val="42"/>
  </w:num>
  <w:num w:numId="55" w16cid:durableId="776292709">
    <w:abstractNumId w:val="21"/>
  </w:num>
  <w:num w:numId="56" w16cid:durableId="1553886207">
    <w:abstractNumId w:val="45"/>
  </w:num>
  <w:num w:numId="57" w16cid:durableId="753279431">
    <w:abstractNumId w:val="46"/>
  </w:num>
  <w:num w:numId="58" w16cid:durableId="542134355">
    <w:abstractNumId w:val="50"/>
  </w:num>
  <w:num w:numId="59" w16cid:durableId="117572655">
    <w:abstractNumId w:val="31"/>
  </w:num>
  <w:num w:numId="60" w16cid:durableId="167988377">
    <w:abstractNumId w:val="36"/>
  </w:num>
  <w:num w:numId="61" w16cid:durableId="1583250723">
    <w:abstractNumId w:val="6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E6"/>
    <w:rsid w:val="00003612"/>
    <w:rsid w:val="00004DD5"/>
    <w:rsid w:val="00006A13"/>
    <w:rsid w:val="000155E1"/>
    <w:rsid w:val="00015914"/>
    <w:rsid w:val="00015A00"/>
    <w:rsid w:val="00017258"/>
    <w:rsid w:val="00027DCA"/>
    <w:rsid w:val="00032293"/>
    <w:rsid w:val="0004371D"/>
    <w:rsid w:val="000475E3"/>
    <w:rsid w:val="00047C53"/>
    <w:rsid w:val="000521B3"/>
    <w:rsid w:val="000527DC"/>
    <w:rsid w:val="00052C63"/>
    <w:rsid w:val="0005689A"/>
    <w:rsid w:val="0006191C"/>
    <w:rsid w:val="00067E15"/>
    <w:rsid w:val="00074643"/>
    <w:rsid w:val="00075FE4"/>
    <w:rsid w:val="00080725"/>
    <w:rsid w:val="000815F8"/>
    <w:rsid w:val="000A49DD"/>
    <w:rsid w:val="000A5A76"/>
    <w:rsid w:val="000A60B8"/>
    <w:rsid w:val="000A729C"/>
    <w:rsid w:val="000A7F78"/>
    <w:rsid w:val="000B0414"/>
    <w:rsid w:val="000B6C34"/>
    <w:rsid w:val="000C1C0C"/>
    <w:rsid w:val="000C62FD"/>
    <w:rsid w:val="000D2C67"/>
    <w:rsid w:val="000D3735"/>
    <w:rsid w:val="000E17A6"/>
    <w:rsid w:val="000E4ACA"/>
    <w:rsid w:val="00100D1D"/>
    <w:rsid w:val="001034EA"/>
    <w:rsid w:val="001132EE"/>
    <w:rsid w:val="001150A1"/>
    <w:rsid w:val="00122048"/>
    <w:rsid w:val="00123765"/>
    <w:rsid w:val="00134FB8"/>
    <w:rsid w:val="0014279B"/>
    <w:rsid w:val="00152BAA"/>
    <w:rsid w:val="00153853"/>
    <w:rsid w:val="001553E6"/>
    <w:rsid w:val="00155D90"/>
    <w:rsid w:val="0015646D"/>
    <w:rsid w:val="00163A50"/>
    <w:rsid w:val="00167C3A"/>
    <w:rsid w:val="00175C8A"/>
    <w:rsid w:val="00177DD6"/>
    <w:rsid w:val="00187242"/>
    <w:rsid w:val="00194028"/>
    <w:rsid w:val="0019458A"/>
    <w:rsid w:val="00196573"/>
    <w:rsid w:val="001A38CC"/>
    <w:rsid w:val="001A4AC1"/>
    <w:rsid w:val="001A615A"/>
    <w:rsid w:val="001C0215"/>
    <w:rsid w:val="001C56F7"/>
    <w:rsid w:val="001D0C77"/>
    <w:rsid w:val="001D1035"/>
    <w:rsid w:val="001D2E54"/>
    <w:rsid w:val="001D430C"/>
    <w:rsid w:val="001D5C92"/>
    <w:rsid w:val="001E0946"/>
    <w:rsid w:val="001E2214"/>
    <w:rsid w:val="001F09B8"/>
    <w:rsid w:val="001F5903"/>
    <w:rsid w:val="00200C90"/>
    <w:rsid w:val="002033F0"/>
    <w:rsid w:val="002139BC"/>
    <w:rsid w:val="0021458A"/>
    <w:rsid w:val="00231159"/>
    <w:rsid w:val="0023523D"/>
    <w:rsid w:val="0023555F"/>
    <w:rsid w:val="00240B92"/>
    <w:rsid w:val="002541CF"/>
    <w:rsid w:val="00263345"/>
    <w:rsid w:val="00264C5B"/>
    <w:rsid w:val="00266194"/>
    <w:rsid w:val="00270FB4"/>
    <w:rsid w:val="00273590"/>
    <w:rsid w:val="002745E5"/>
    <w:rsid w:val="00274C66"/>
    <w:rsid w:val="0027604F"/>
    <w:rsid w:val="00280C18"/>
    <w:rsid w:val="002819F0"/>
    <w:rsid w:val="0028424A"/>
    <w:rsid w:val="002852B8"/>
    <w:rsid w:val="00294CB6"/>
    <w:rsid w:val="002A25E7"/>
    <w:rsid w:val="002A3AE4"/>
    <w:rsid w:val="002B0DF6"/>
    <w:rsid w:val="002C6E59"/>
    <w:rsid w:val="002D321B"/>
    <w:rsid w:val="002E1BC8"/>
    <w:rsid w:val="002E379F"/>
    <w:rsid w:val="00302D3B"/>
    <w:rsid w:val="00302D4E"/>
    <w:rsid w:val="00303DC6"/>
    <w:rsid w:val="00315A24"/>
    <w:rsid w:val="0031798B"/>
    <w:rsid w:val="00332C91"/>
    <w:rsid w:val="0033382C"/>
    <w:rsid w:val="00333B51"/>
    <w:rsid w:val="00336510"/>
    <w:rsid w:val="00336C9C"/>
    <w:rsid w:val="00342BEB"/>
    <w:rsid w:val="003443D7"/>
    <w:rsid w:val="0034723B"/>
    <w:rsid w:val="00347DEA"/>
    <w:rsid w:val="00353817"/>
    <w:rsid w:val="0035435D"/>
    <w:rsid w:val="003564DD"/>
    <w:rsid w:val="00360B34"/>
    <w:rsid w:val="0036274C"/>
    <w:rsid w:val="0036532A"/>
    <w:rsid w:val="00367DEA"/>
    <w:rsid w:val="00375F0C"/>
    <w:rsid w:val="00383ECD"/>
    <w:rsid w:val="00386C55"/>
    <w:rsid w:val="00391258"/>
    <w:rsid w:val="003924EC"/>
    <w:rsid w:val="00393E22"/>
    <w:rsid w:val="00394EE1"/>
    <w:rsid w:val="0039679C"/>
    <w:rsid w:val="003A056A"/>
    <w:rsid w:val="003A1C36"/>
    <w:rsid w:val="003A5743"/>
    <w:rsid w:val="003B1D00"/>
    <w:rsid w:val="003B6166"/>
    <w:rsid w:val="003D0D7B"/>
    <w:rsid w:val="003F045C"/>
    <w:rsid w:val="003F6805"/>
    <w:rsid w:val="0041315B"/>
    <w:rsid w:val="0042057A"/>
    <w:rsid w:val="00422745"/>
    <w:rsid w:val="0043616B"/>
    <w:rsid w:val="004433B2"/>
    <w:rsid w:val="00446948"/>
    <w:rsid w:val="004557A0"/>
    <w:rsid w:val="0046443E"/>
    <w:rsid w:val="00466CFA"/>
    <w:rsid w:val="00472F04"/>
    <w:rsid w:val="00477B30"/>
    <w:rsid w:val="00480814"/>
    <w:rsid w:val="004819F1"/>
    <w:rsid w:val="0048380B"/>
    <w:rsid w:val="00485BF7"/>
    <w:rsid w:val="004930C0"/>
    <w:rsid w:val="00496411"/>
    <w:rsid w:val="004A02F2"/>
    <w:rsid w:val="004A4BDA"/>
    <w:rsid w:val="004A4CDE"/>
    <w:rsid w:val="004A5E54"/>
    <w:rsid w:val="004B3F95"/>
    <w:rsid w:val="004B7B16"/>
    <w:rsid w:val="004C11EB"/>
    <w:rsid w:val="004D0BAE"/>
    <w:rsid w:val="004D302B"/>
    <w:rsid w:val="004D6966"/>
    <w:rsid w:val="004E098F"/>
    <w:rsid w:val="004E114F"/>
    <w:rsid w:val="004F2559"/>
    <w:rsid w:val="004F52CF"/>
    <w:rsid w:val="004F762B"/>
    <w:rsid w:val="005035B6"/>
    <w:rsid w:val="00510D29"/>
    <w:rsid w:val="00511073"/>
    <w:rsid w:val="00511A0C"/>
    <w:rsid w:val="00521BEE"/>
    <w:rsid w:val="00523A98"/>
    <w:rsid w:val="005268DE"/>
    <w:rsid w:val="0053032A"/>
    <w:rsid w:val="00532B06"/>
    <w:rsid w:val="00536286"/>
    <w:rsid w:val="0054115B"/>
    <w:rsid w:val="00541CBE"/>
    <w:rsid w:val="00543350"/>
    <w:rsid w:val="00552711"/>
    <w:rsid w:val="005527C3"/>
    <w:rsid w:val="0055531D"/>
    <w:rsid w:val="00555375"/>
    <w:rsid w:val="00561097"/>
    <w:rsid w:val="00562B00"/>
    <w:rsid w:val="00566D1A"/>
    <w:rsid w:val="005711EA"/>
    <w:rsid w:val="00577C30"/>
    <w:rsid w:val="00592534"/>
    <w:rsid w:val="00593F9F"/>
    <w:rsid w:val="005978D0"/>
    <w:rsid w:val="005A0624"/>
    <w:rsid w:val="005B0B5B"/>
    <w:rsid w:val="005B0FE7"/>
    <w:rsid w:val="005B2695"/>
    <w:rsid w:val="005B3911"/>
    <w:rsid w:val="005C5D75"/>
    <w:rsid w:val="005C740E"/>
    <w:rsid w:val="005C7DFB"/>
    <w:rsid w:val="005D222B"/>
    <w:rsid w:val="005D36C6"/>
    <w:rsid w:val="005E1DB7"/>
    <w:rsid w:val="005F10BD"/>
    <w:rsid w:val="005F378D"/>
    <w:rsid w:val="005F747A"/>
    <w:rsid w:val="005F7BD0"/>
    <w:rsid w:val="00600188"/>
    <w:rsid w:val="00604440"/>
    <w:rsid w:val="006078FA"/>
    <w:rsid w:val="00617826"/>
    <w:rsid w:val="00631DFE"/>
    <w:rsid w:val="00633DB4"/>
    <w:rsid w:val="006349CD"/>
    <w:rsid w:val="00641B78"/>
    <w:rsid w:val="00646983"/>
    <w:rsid w:val="00651ACF"/>
    <w:rsid w:val="00655054"/>
    <w:rsid w:val="006677E5"/>
    <w:rsid w:val="00667CDD"/>
    <w:rsid w:val="00670FFE"/>
    <w:rsid w:val="00673A04"/>
    <w:rsid w:val="0068208F"/>
    <w:rsid w:val="0069094C"/>
    <w:rsid w:val="00694F1C"/>
    <w:rsid w:val="00696058"/>
    <w:rsid w:val="00696FAE"/>
    <w:rsid w:val="006A2D62"/>
    <w:rsid w:val="006B046F"/>
    <w:rsid w:val="006B06AE"/>
    <w:rsid w:val="006B4072"/>
    <w:rsid w:val="006C53E9"/>
    <w:rsid w:val="006D087B"/>
    <w:rsid w:val="006D0DF0"/>
    <w:rsid w:val="006D0FE6"/>
    <w:rsid w:val="006D179C"/>
    <w:rsid w:val="006D215B"/>
    <w:rsid w:val="006D2A02"/>
    <w:rsid w:val="006E29E9"/>
    <w:rsid w:val="006F4500"/>
    <w:rsid w:val="00703A5A"/>
    <w:rsid w:val="007045D9"/>
    <w:rsid w:val="00704BB4"/>
    <w:rsid w:val="00726939"/>
    <w:rsid w:val="00736DDD"/>
    <w:rsid w:val="00740102"/>
    <w:rsid w:val="007441AC"/>
    <w:rsid w:val="007619FD"/>
    <w:rsid w:val="0076491B"/>
    <w:rsid w:val="00784000"/>
    <w:rsid w:val="007842D9"/>
    <w:rsid w:val="00790118"/>
    <w:rsid w:val="007926D8"/>
    <w:rsid w:val="00797E13"/>
    <w:rsid w:val="007A3196"/>
    <w:rsid w:val="007A5894"/>
    <w:rsid w:val="007B1EC5"/>
    <w:rsid w:val="007C4F79"/>
    <w:rsid w:val="007C54E1"/>
    <w:rsid w:val="007C5D1B"/>
    <w:rsid w:val="007C6509"/>
    <w:rsid w:val="007C7BF7"/>
    <w:rsid w:val="007D255C"/>
    <w:rsid w:val="007D3817"/>
    <w:rsid w:val="007D7457"/>
    <w:rsid w:val="007D7C71"/>
    <w:rsid w:val="007F0D3C"/>
    <w:rsid w:val="007F1E49"/>
    <w:rsid w:val="007F5E30"/>
    <w:rsid w:val="007F61A5"/>
    <w:rsid w:val="008011FE"/>
    <w:rsid w:val="00805DBD"/>
    <w:rsid w:val="00811A33"/>
    <w:rsid w:val="00823953"/>
    <w:rsid w:val="00830105"/>
    <w:rsid w:val="00833B87"/>
    <w:rsid w:val="00836595"/>
    <w:rsid w:val="00843A07"/>
    <w:rsid w:val="00845E25"/>
    <w:rsid w:val="00860A7D"/>
    <w:rsid w:val="00860DD2"/>
    <w:rsid w:val="00882E7E"/>
    <w:rsid w:val="00885E1B"/>
    <w:rsid w:val="008941E2"/>
    <w:rsid w:val="00894564"/>
    <w:rsid w:val="00896C43"/>
    <w:rsid w:val="008A3B3C"/>
    <w:rsid w:val="008A65DC"/>
    <w:rsid w:val="008A7B34"/>
    <w:rsid w:val="008B0064"/>
    <w:rsid w:val="008B4482"/>
    <w:rsid w:val="008B5B67"/>
    <w:rsid w:val="008C6089"/>
    <w:rsid w:val="008C6726"/>
    <w:rsid w:val="008D695B"/>
    <w:rsid w:val="008D7F5D"/>
    <w:rsid w:val="008E18A4"/>
    <w:rsid w:val="008E304A"/>
    <w:rsid w:val="008F0E99"/>
    <w:rsid w:val="008F3A94"/>
    <w:rsid w:val="00901D39"/>
    <w:rsid w:val="00903768"/>
    <w:rsid w:val="009111B0"/>
    <w:rsid w:val="00911CA2"/>
    <w:rsid w:val="00912067"/>
    <w:rsid w:val="00922D7B"/>
    <w:rsid w:val="00925CFA"/>
    <w:rsid w:val="00931905"/>
    <w:rsid w:val="009346B6"/>
    <w:rsid w:val="009351F8"/>
    <w:rsid w:val="00940267"/>
    <w:rsid w:val="00941E85"/>
    <w:rsid w:val="00947028"/>
    <w:rsid w:val="0094799B"/>
    <w:rsid w:val="0095312C"/>
    <w:rsid w:val="009543A3"/>
    <w:rsid w:val="00960087"/>
    <w:rsid w:val="00961A4E"/>
    <w:rsid w:val="0096225E"/>
    <w:rsid w:val="00966AEB"/>
    <w:rsid w:val="009730C9"/>
    <w:rsid w:val="0097496F"/>
    <w:rsid w:val="009868D5"/>
    <w:rsid w:val="009871CA"/>
    <w:rsid w:val="00991BBB"/>
    <w:rsid w:val="00992524"/>
    <w:rsid w:val="009926F8"/>
    <w:rsid w:val="0099328C"/>
    <w:rsid w:val="00993BD3"/>
    <w:rsid w:val="009A06C4"/>
    <w:rsid w:val="009A22E2"/>
    <w:rsid w:val="009B2828"/>
    <w:rsid w:val="009B37A2"/>
    <w:rsid w:val="009B7E92"/>
    <w:rsid w:val="009C2050"/>
    <w:rsid w:val="009C5CF5"/>
    <w:rsid w:val="009C78E5"/>
    <w:rsid w:val="009E5550"/>
    <w:rsid w:val="009F3CF2"/>
    <w:rsid w:val="009F423D"/>
    <w:rsid w:val="009F67AE"/>
    <w:rsid w:val="00A10C72"/>
    <w:rsid w:val="00A13925"/>
    <w:rsid w:val="00A21E42"/>
    <w:rsid w:val="00A228C0"/>
    <w:rsid w:val="00A4003B"/>
    <w:rsid w:val="00A408A6"/>
    <w:rsid w:val="00A44D00"/>
    <w:rsid w:val="00A47BCE"/>
    <w:rsid w:val="00A51C5C"/>
    <w:rsid w:val="00A51CD9"/>
    <w:rsid w:val="00A5418D"/>
    <w:rsid w:val="00A61954"/>
    <w:rsid w:val="00A64032"/>
    <w:rsid w:val="00A75239"/>
    <w:rsid w:val="00A80C6B"/>
    <w:rsid w:val="00A918E6"/>
    <w:rsid w:val="00AA4B36"/>
    <w:rsid w:val="00AB216C"/>
    <w:rsid w:val="00AC26A4"/>
    <w:rsid w:val="00AC4CE5"/>
    <w:rsid w:val="00AC7273"/>
    <w:rsid w:val="00AC729F"/>
    <w:rsid w:val="00AD2414"/>
    <w:rsid w:val="00AD3A90"/>
    <w:rsid w:val="00AD492F"/>
    <w:rsid w:val="00AE4D52"/>
    <w:rsid w:val="00AE724E"/>
    <w:rsid w:val="00AF2F31"/>
    <w:rsid w:val="00B00FD6"/>
    <w:rsid w:val="00B06FD8"/>
    <w:rsid w:val="00B12E34"/>
    <w:rsid w:val="00B14DC9"/>
    <w:rsid w:val="00B177B5"/>
    <w:rsid w:val="00B349EA"/>
    <w:rsid w:val="00B37B0A"/>
    <w:rsid w:val="00B50C79"/>
    <w:rsid w:val="00B531B0"/>
    <w:rsid w:val="00B54773"/>
    <w:rsid w:val="00B6113B"/>
    <w:rsid w:val="00B63070"/>
    <w:rsid w:val="00B63F25"/>
    <w:rsid w:val="00B645AC"/>
    <w:rsid w:val="00B67CE2"/>
    <w:rsid w:val="00B82102"/>
    <w:rsid w:val="00B831A2"/>
    <w:rsid w:val="00B85F61"/>
    <w:rsid w:val="00B94632"/>
    <w:rsid w:val="00B94E51"/>
    <w:rsid w:val="00B96D99"/>
    <w:rsid w:val="00B9791F"/>
    <w:rsid w:val="00BA10D1"/>
    <w:rsid w:val="00BA1CCB"/>
    <w:rsid w:val="00BA440E"/>
    <w:rsid w:val="00BB0BEE"/>
    <w:rsid w:val="00BB5F0F"/>
    <w:rsid w:val="00BB7C7B"/>
    <w:rsid w:val="00BC4D76"/>
    <w:rsid w:val="00BD7B2E"/>
    <w:rsid w:val="00BE0557"/>
    <w:rsid w:val="00BE2E58"/>
    <w:rsid w:val="00BE6853"/>
    <w:rsid w:val="00BF377A"/>
    <w:rsid w:val="00C1036B"/>
    <w:rsid w:val="00C12950"/>
    <w:rsid w:val="00C12BE1"/>
    <w:rsid w:val="00C12D64"/>
    <w:rsid w:val="00C15BEC"/>
    <w:rsid w:val="00C17467"/>
    <w:rsid w:val="00C31BCC"/>
    <w:rsid w:val="00C33953"/>
    <w:rsid w:val="00C35B34"/>
    <w:rsid w:val="00C36A3E"/>
    <w:rsid w:val="00C4144E"/>
    <w:rsid w:val="00C444A5"/>
    <w:rsid w:val="00C46331"/>
    <w:rsid w:val="00C53359"/>
    <w:rsid w:val="00C57EFA"/>
    <w:rsid w:val="00C61F8F"/>
    <w:rsid w:val="00C633EE"/>
    <w:rsid w:val="00C64385"/>
    <w:rsid w:val="00C64646"/>
    <w:rsid w:val="00C64A0C"/>
    <w:rsid w:val="00C76B54"/>
    <w:rsid w:val="00C77E76"/>
    <w:rsid w:val="00C8226E"/>
    <w:rsid w:val="00C83144"/>
    <w:rsid w:val="00C85153"/>
    <w:rsid w:val="00C87995"/>
    <w:rsid w:val="00C91304"/>
    <w:rsid w:val="00C9187A"/>
    <w:rsid w:val="00C92559"/>
    <w:rsid w:val="00C9327E"/>
    <w:rsid w:val="00C957D9"/>
    <w:rsid w:val="00C958F3"/>
    <w:rsid w:val="00C96087"/>
    <w:rsid w:val="00CA0CFC"/>
    <w:rsid w:val="00CA79C6"/>
    <w:rsid w:val="00CB4952"/>
    <w:rsid w:val="00CB5ED9"/>
    <w:rsid w:val="00CC01B0"/>
    <w:rsid w:val="00CC29BC"/>
    <w:rsid w:val="00CC3DDF"/>
    <w:rsid w:val="00CC79F9"/>
    <w:rsid w:val="00CD281E"/>
    <w:rsid w:val="00CD3460"/>
    <w:rsid w:val="00CF0654"/>
    <w:rsid w:val="00CF1A79"/>
    <w:rsid w:val="00CF60F4"/>
    <w:rsid w:val="00CF6EF6"/>
    <w:rsid w:val="00D05C9F"/>
    <w:rsid w:val="00D113A7"/>
    <w:rsid w:val="00D119DA"/>
    <w:rsid w:val="00D1254D"/>
    <w:rsid w:val="00D147A6"/>
    <w:rsid w:val="00D2090E"/>
    <w:rsid w:val="00D3220D"/>
    <w:rsid w:val="00D34AA8"/>
    <w:rsid w:val="00D372BE"/>
    <w:rsid w:val="00D40053"/>
    <w:rsid w:val="00D401B6"/>
    <w:rsid w:val="00D41508"/>
    <w:rsid w:val="00D41989"/>
    <w:rsid w:val="00D422D3"/>
    <w:rsid w:val="00D435F9"/>
    <w:rsid w:val="00D45F24"/>
    <w:rsid w:val="00D52E4E"/>
    <w:rsid w:val="00D66D7E"/>
    <w:rsid w:val="00D67601"/>
    <w:rsid w:val="00D70E57"/>
    <w:rsid w:val="00D734B0"/>
    <w:rsid w:val="00D75DFE"/>
    <w:rsid w:val="00D76391"/>
    <w:rsid w:val="00D76CA3"/>
    <w:rsid w:val="00D804B7"/>
    <w:rsid w:val="00D86B21"/>
    <w:rsid w:val="00D9068B"/>
    <w:rsid w:val="00D96247"/>
    <w:rsid w:val="00D967D3"/>
    <w:rsid w:val="00D9755B"/>
    <w:rsid w:val="00DA1906"/>
    <w:rsid w:val="00DA66AF"/>
    <w:rsid w:val="00DB77C5"/>
    <w:rsid w:val="00DC11B8"/>
    <w:rsid w:val="00DD4129"/>
    <w:rsid w:val="00DE265F"/>
    <w:rsid w:val="00DE3BB3"/>
    <w:rsid w:val="00DE5666"/>
    <w:rsid w:val="00DE7CF2"/>
    <w:rsid w:val="00DF1EE9"/>
    <w:rsid w:val="00DF4BA0"/>
    <w:rsid w:val="00DF6DD3"/>
    <w:rsid w:val="00E0363D"/>
    <w:rsid w:val="00E069A7"/>
    <w:rsid w:val="00E109E6"/>
    <w:rsid w:val="00E15E3A"/>
    <w:rsid w:val="00E257E4"/>
    <w:rsid w:val="00E301E5"/>
    <w:rsid w:val="00E46D3E"/>
    <w:rsid w:val="00E46F08"/>
    <w:rsid w:val="00E54276"/>
    <w:rsid w:val="00E62613"/>
    <w:rsid w:val="00E653B5"/>
    <w:rsid w:val="00E7171E"/>
    <w:rsid w:val="00E73258"/>
    <w:rsid w:val="00E74B10"/>
    <w:rsid w:val="00E82565"/>
    <w:rsid w:val="00E8383E"/>
    <w:rsid w:val="00E93455"/>
    <w:rsid w:val="00E95EC8"/>
    <w:rsid w:val="00E96182"/>
    <w:rsid w:val="00EA1211"/>
    <w:rsid w:val="00EA30DF"/>
    <w:rsid w:val="00EA3E62"/>
    <w:rsid w:val="00EA5903"/>
    <w:rsid w:val="00EA63EB"/>
    <w:rsid w:val="00EB5024"/>
    <w:rsid w:val="00EB77B6"/>
    <w:rsid w:val="00EC3FB6"/>
    <w:rsid w:val="00EC56AA"/>
    <w:rsid w:val="00ED0631"/>
    <w:rsid w:val="00ED098D"/>
    <w:rsid w:val="00ED7181"/>
    <w:rsid w:val="00EE0EC2"/>
    <w:rsid w:val="00EE0F5E"/>
    <w:rsid w:val="00EE27CA"/>
    <w:rsid w:val="00EE422E"/>
    <w:rsid w:val="00EE70E9"/>
    <w:rsid w:val="00EF5138"/>
    <w:rsid w:val="00F02D8C"/>
    <w:rsid w:val="00F27C82"/>
    <w:rsid w:val="00F3159D"/>
    <w:rsid w:val="00F31BB7"/>
    <w:rsid w:val="00F33CF1"/>
    <w:rsid w:val="00F3486D"/>
    <w:rsid w:val="00F348E6"/>
    <w:rsid w:val="00F3649C"/>
    <w:rsid w:val="00F37608"/>
    <w:rsid w:val="00F40C97"/>
    <w:rsid w:val="00F41598"/>
    <w:rsid w:val="00F43E9E"/>
    <w:rsid w:val="00F447C5"/>
    <w:rsid w:val="00F47808"/>
    <w:rsid w:val="00F60BAD"/>
    <w:rsid w:val="00F61CC2"/>
    <w:rsid w:val="00F6453B"/>
    <w:rsid w:val="00F6560A"/>
    <w:rsid w:val="00F7012E"/>
    <w:rsid w:val="00F73503"/>
    <w:rsid w:val="00F800A4"/>
    <w:rsid w:val="00F80DC9"/>
    <w:rsid w:val="00F82C79"/>
    <w:rsid w:val="00F86D7D"/>
    <w:rsid w:val="00F878DA"/>
    <w:rsid w:val="00F96B19"/>
    <w:rsid w:val="00FA74A6"/>
    <w:rsid w:val="00FB018F"/>
    <w:rsid w:val="00FB40F3"/>
    <w:rsid w:val="00FB6E9A"/>
    <w:rsid w:val="00FC3BF3"/>
    <w:rsid w:val="00FC4C9E"/>
    <w:rsid w:val="00FD1DF2"/>
    <w:rsid w:val="00FD7BF7"/>
    <w:rsid w:val="00FF1CC4"/>
    <w:rsid w:val="00FF26D1"/>
    <w:rsid w:val="00FF2CB5"/>
    <w:rsid w:val="00FF5C43"/>
    <w:rsid w:val="0843ADDA"/>
    <w:rsid w:val="116BD6B6"/>
    <w:rsid w:val="1310FC1F"/>
    <w:rsid w:val="15544DD5"/>
    <w:rsid w:val="1594160A"/>
    <w:rsid w:val="16A456C3"/>
    <w:rsid w:val="227C8E57"/>
    <w:rsid w:val="245488A5"/>
    <w:rsid w:val="24D14AEC"/>
    <w:rsid w:val="2B60E8DA"/>
    <w:rsid w:val="4220D51F"/>
    <w:rsid w:val="4B33E7BA"/>
    <w:rsid w:val="50BF159D"/>
    <w:rsid w:val="56C20414"/>
    <w:rsid w:val="5B3B9C21"/>
    <w:rsid w:val="602BE15D"/>
    <w:rsid w:val="609B2750"/>
    <w:rsid w:val="6A2939A1"/>
    <w:rsid w:val="6A2C3DA4"/>
    <w:rsid w:val="6A51C873"/>
    <w:rsid w:val="6C8E7AAF"/>
    <w:rsid w:val="7318C5EF"/>
    <w:rsid w:val="76E6F0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6EA8E"/>
  <w15:chartTrackingRefBased/>
  <w15:docId w15:val="{C3825843-B84C-4AE6-89C2-4BBA2D469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customStyle="1" w:styleId="normaltextrun">
    <w:name w:val="normaltextrun"/>
    <w:basedOn w:val="DefaultParagraphFont"/>
    <w:rsid w:val="0099328C"/>
  </w:style>
  <w:style w:type="character" w:customStyle="1" w:styleId="eop">
    <w:name w:val="eop"/>
    <w:basedOn w:val="DefaultParagraphFont"/>
    <w:rsid w:val="0099328C"/>
  </w:style>
  <w:style w:type="character" w:styleId="Hyperlink">
    <w:name w:val="Hyperlink"/>
    <w:basedOn w:val="DefaultParagraphFont"/>
    <w:uiPriority w:val="99"/>
    <w:unhideWhenUsed/>
    <w:rsid w:val="00AB216C"/>
    <w:rPr>
      <w:color w:val="1E1545" w:themeColor="hyperlink"/>
      <w:u w:val="single"/>
    </w:rPr>
  </w:style>
  <w:style w:type="character" w:styleId="UnresolvedMention">
    <w:name w:val="Unresolved Mention"/>
    <w:basedOn w:val="DefaultParagraphFont"/>
    <w:uiPriority w:val="99"/>
    <w:semiHidden/>
    <w:unhideWhenUsed/>
    <w:rsid w:val="00AB216C"/>
    <w:rPr>
      <w:color w:val="605E5C"/>
      <w:shd w:val="clear" w:color="auto" w:fill="E1DFDD"/>
    </w:rPr>
  </w:style>
  <w:style w:type="character" w:styleId="CommentReference">
    <w:name w:val="annotation reference"/>
    <w:basedOn w:val="DefaultParagraphFont"/>
    <w:uiPriority w:val="99"/>
    <w:semiHidden/>
    <w:unhideWhenUsed/>
    <w:rsid w:val="00C12D64"/>
    <w:rPr>
      <w:sz w:val="16"/>
      <w:szCs w:val="16"/>
    </w:rPr>
  </w:style>
  <w:style w:type="paragraph" w:styleId="CommentText">
    <w:name w:val="annotation text"/>
    <w:basedOn w:val="Normal"/>
    <w:link w:val="CommentTextChar"/>
    <w:uiPriority w:val="99"/>
    <w:unhideWhenUsed/>
    <w:rsid w:val="00C12D64"/>
    <w:pPr>
      <w:spacing w:line="240" w:lineRule="auto"/>
    </w:pPr>
    <w:rPr>
      <w:sz w:val="20"/>
      <w:szCs w:val="20"/>
    </w:rPr>
  </w:style>
  <w:style w:type="character" w:customStyle="1" w:styleId="CommentTextChar">
    <w:name w:val="Comment Text Char"/>
    <w:basedOn w:val="DefaultParagraphFont"/>
    <w:link w:val="CommentText"/>
    <w:uiPriority w:val="99"/>
    <w:rsid w:val="00C12D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12D64"/>
    <w:rPr>
      <w:b/>
      <w:bCs/>
    </w:rPr>
  </w:style>
  <w:style w:type="character" w:customStyle="1" w:styleId="CommentSubjectChar">
    <w:name w:val="Comment Subject Char"/>
    <w:basedOn w:val="CommentTextChar"/>
    <w:link w:val="CommentSubject"/>
    <w:uiPriority w:val="99"/>
    <w:semiHidden/>
    <w:rsid w:val="00C12D64"/>
    <w:rPr>
      <w:rFonts w:ascii="Arial" w:hAnsi="Arial"/>
      <w:b/>
      <w:bCs/>
      <w:sz w:val="20"/>
      <w:szCs w:val="20"/>
    </w:rPr>
  </w:style>
  <w:style w:type="character" w:styleId="Strong">
    <w:name w:val="Strong"/>
    <w:basedOn w:val="DefaultParagraphFont"/>
    <w:uiPriority w:val="22"/>
    <w:qFormat/>
    <w:rsid w:val="00D147A6"/>
    <w:rPr>
      <w:b/>
      <w:bCs/>
    </w:rPr>
  </w:style>
  <w:style w:type="paragraph" w:customStyle="1" w:styleId="paragraph">
    <w:name w:val="paragraph"/>
    <w:basedOn w:val="Normal"/>
    <w:rsid w:val="00CC79F9"/>
    <w:pPr>
      <w:spacing w:before="100" w:beforeAutospacing="1" w:after="100" w:afterAutospacing="1" w:line="240" w:lineRule="auto"/>
    </w:pPr>
    <w:rPr>
      <w:rFonts w:ascii="Calibri" w:hAnsi="Calibri" w:cs="Calibri"/>
      <w:sz w:val="22"/>
      <w:szCs w:val="22"/>
      <w:lang w:eastAsia="en-AU"/>
    </w:rPr>
  </w:style>
  <w:style w:type="character" w:styleId="FollowedHyperlink">
    <w:name w:val="FollowedHyperlink"/>
    <w:basedOn w:val="DefaultParagraphFont"/>
    <w:uiPriority w:val="99"/>
    <w:semiHidden/>
    <w:unhideWhenUsed/>
    <w:rsid w:val="00A228C0"/>
    <w:rPr>
      <w:color w:val="6D6D70" w:themeColor="followedHyperlink"/>
      <w:u w:val="single"/>
    </w:rPr>
  </w:style>
  <w:style w:type="paragraph" w:styleId="Revision">
    <w:name w:val="Revision"/>
    <w:hidden/>
    <w:uiPriority w:val="99"/>
    <w:semiHidden/>
    <w:rsid w:val="008011FE"/>
    <w:rPr>
      <w:rFonts w:ascii="Arial" w:hAnsi="Arial"/>
    </w:rPr>
  </w:style>
  <w:style w:type="paragraph" w:styleId="NormalWeb">
    <w:name w:val="Normal (Web)"/>
    <w:basedOn w:val="Normal"/>
    <w:uiPriority w:val="99"/>
    <w:semiHidden/>
    <w:unhideWhenUsed/>
    <w:rsid w:val="00C8515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5114">
      <w:bodyDiv w:val="1"/>
      <w:marLeft w:val="0"/>
      <w:marRight w:val="0"/>
      <w:marTop w:val="0"/>
      <w:marBottom w:val="0"/>
      <w:divBdr>
        <w:top w:val="none" w:sz="0" w:space="0" w:color="auto"/>
        <w:left w:val="none" w:sz="0" w:space="0" w:color="auto"/>
        <w:bottom w:val="none" w:sz="0" w:space="0" w:color="auto"/>
        <w:right w:val="none" w:sz="0" w:space="0" w:color="auto"/>
      </w:divBdr>
    </w:div>
    <w:div w:id="160320972">
      <w:bodyDiv w:val="1"/>
      <w:marLeft w:val="0"/>
      <w:marRight w:val="0"/>
      <w:marTop w:val="0"/>
      <w:marBottom w:val="0"/>
      <w:divBdr>
        <w:top w:val="none" w:sz="0" w:space="0" w:color="auto"/>
        <w:left w:val="none" w:sz="0" w:space="0" w:color="auto"/>
        <w:bottom w:val="none" w:sz="0" w:space="0" w:color="auto"/>
        <w:right w:val="none" w:sz="0" w:space="0" w:color="auto"/>
      </w:divBdr>
    </w:div>
    <w:div w:id="227112541">
      <w:bodyDiv w:val="1"/>
      <w:marLeft w:val="0"/>
      <w:marRight w:val="0"/>
      <w:marTop w:val="0"/>
      <w:marBottom w:val="0"/>
      <w:divBdr>
        <w:top w:val="none" w:sz="0" w:space="0" w:color="auto"/>
        <w:left w:val="none" w:sz="0" w:space="0" w:color="auto"/>
        <w:bottom w:val="none" w:sz="0" w:space="0" w:color="auto"/>
        <w:right w:val="none" w:sz="0" w:space="0" w:color="auto"/>
      </w:divBdr>
    </w:div>
    <w:div w:id="232931264">
      <w:bodyDiv w:val="1"/>
      <w:marLeft w:val="0"/>
      <w:marRight w:val="0"/>
      <w:marTop w:val="0"/>
      <w:marBottom w:val="0"/>
      <w:divBdr>
        <w:top w:val="none" w:sz="0" w:space="0" w:color="auto"/>
        <w:left w:val="none" w:sz="0" w:space="0" w:color="auto"/>
        <w:bottom w:val="none" w:sz="0" w:space="0" w:color="auto"/>
        <w:right w:val="none" w:sz="0" w:space="0" w:color="auto"/>
      </w:divBdr>
    </w:div>
    <w:div w:id="315502004">
      <w:bodyDiv w:val="1"/>
      <w:marLeft w:val="0"/>
      <w:marRight w:val="0"/>
      <w:marTop w:val="0"/>
      <w:marBottom w:val="0"/>
      <w:divBdr>
        <w:top w:val="none" w:sz="0" w:space="0" w:color="auto"/>
        <w:left w:val="none" w:sz="0" w:space="0" w:color="auto"/>
        <w:bottom w:val="none" w:sz="0" w:space="0" w:color="auto"/>
        <w:right w:val="none" w:sz="0" w:space="0" w:color="auto"/>
      </w:divBdr>
    </w:div>
    <w:div w:id="317732929">
      <w:bodyDiv w:val="1"/>
      <w:marLeft w:val="0"/>
      <w:marRight w:val="0"/>
      <w:marTop w:val="0"/>
      <w:marBottom w:val="0"/>
      <w:divBdr>
        <w:top w:val="none" w:sz="0" w:space="0" w:color="auto"/>
        <w:left w:val="none" w:sz="0" w:space="0" w:color="auto"/>
        <w:bottom w:val="none" w:sz="0" w:space="0" w:color="auto"/>
        <w:right w:val="none" w:sz="0" w:space="0" w:color="auto"/>
      </w:divBdr>
      <w:divsChild>
        <w:div w:id="569001456">
          <w:marLeft w:val="0"/>
          <w:marRight w:val="0"/>
          <w:marTop w:val="0"/>
          <w:marBottom w:val="0"/>
          <w:divBdr>
            <w:top w:val="none" w:sz="0" w:space="0" w:color="auto"/>
            <w:left w:val="none" w:sz="0" w:space="0" w:color="auto"/>
            <w:bottom w:val="none" w:sz="0" w:space="0" w:color="auto"/>
            <w:right w:val="none" w:sz="0" w:space="0" w:color="auto"/>
          </w:divBdr>
        </w:div>
        <w:div w:id="889195818">
          <w:marLeft w:val="0"/>
          <w:marRight w:val="0"/>
          <w:marTop w:val="0"/>
          <w:marBottom w:val="0"/>
          <w:divBdr>
            <w:top w:val="none" w:sz="0" w:space="0" w:color="auto"/>
            <w:left w:val="none" w:sz="0" w:space="0" w:color="auto"/>
            <w:bottom w:val="none" w:sz="0" w:space="0" w:color="auto"/>
            <w:right w:val="none" w:sz="0" w:space="0" w:color="auto"/>
          </w:divBdr>
        </w:div>
        <w:div w:id="1307470292">
          <w:marLeft w:val="0"/>
          <w:marRight w:val="0"/>
          <w:marTop w:val="0"/>
          <w:marBottom w:val="0"/>
          <w:divBdr>
            <w:top w:val="none" w:sz="0" w:space="0" w:color="auto"/>
            <w:left w:val="none" w:sz="0" w:space="0" w:color="auto"/>
            <w:bottom w:val="none" w:sz="0" w:space="0" w:color="auto"/>
            <w:right w:val="none" w:sz="0" w:space="0" w:color="auto"/>
          </w:divBdr>
        </w:div>
      </w:divsChild>
    </w:div>
    <w:div w:id="483815260">
      <w:bodyDiv w:val="1"/>
      <w:marLeft w:val="0"/>
      <w:marRight w:val="0"/>
      <w:marTop w:val="0"/>
      <w:marBottom w:val="0"/>
      <w:divBdr>
        <w:top w:val="none" w:sz="0" w:space="0" w:color="auto"/>
        <w:left w:val="none" w:sz="0" w:space="0" w:color="auto"/>
        <w:bottom w:val="none" w:sz="0" w:space="0" w:color="auto"/>
        <w:right w:val="none" w:sz="0" w:space="0" w:color="auto"/>
      </w:divBdr>
    </w:div>
    <w:div w:id="553859418">
      <w:bodyDiv w:val="1"/>
      <w:marLeft w:val="0"/>
      <w:marRight w:val="0"/>
      <w:marTop w:val="0"/>
      <w:marBottom w:val="0"/>
      <w:divBdr>
        <w:top w:val="none" w:sz="0" w:space="0" w:color="auto"/>
        <w:left w:val="none" w:sz="0" w:space="0" w:color="auto"/>
        <w:bottom w:val="none" w:sz="0" w:space="0" w:color="auto"/>
        <w:right w:val="none" w:sz="0" w:space="0" w:color="auto"/>
      </w:divBdr>
    </w:div>
    <w:div w:id="616261081">
      <w:bodyDiv w:val="1"/>
      <w:marLeft w:val="0"/>
      <w:marRight w:val="0"/>
      <w:marTop w:val="0"/>
      <w:marBottom w:val="0"/>
      <w:divBdr>
        <w:top w:val="none" w:sz="0" w:space="0" w:color="auto"/>
        <w:left w:val="none" w:sz="0" w:space="0" w:color="auto"/>
        <w:bottom w:val="none" w:sz="0" w:space="0" w:color="auto"/>
        <w:right w:val="none" w:sz="0" w:space="0" w:color="auto"/>
      </w:divBdr>
    </w:div>
    <w:div w:id="794832778">
      <w:bodyDiv w:val="1"/>
      <w:marLeft w:val="0"/>
      <w:marRight w:val="0"/>
      <w:marTop w:val="0"/>
      <w:marBottom w:val="0"/>
      <w:divBdr>
        <w:top w:val="none" w:sz="0" w:space="0" w:color="auto"/>
        <w:left w:val="none" w:sz="0" w:space="0" w:color="auto"/>
        <w:bottom w:val="none" w:sz="0" w:space="0" w:color="auto"/>
        <w:right w:val="none" w:sz="0" w:space="0" w:color="auto"/>
      </w:divBdr>
    </w:div>
    <w:div w:id="963001846">
      <w:bodyDiv w:val="1"/>
      <w:marLeft w:val="0"/>
      <w:marRight w:val="0"/>
      <w:marTop w:val="0"/>
      <w:marBottom w:val="0"/>
      <w:divBdr>
        <w:top w:val="none" w:sz="0" w:space="0" w:color="auto"/>
        <w:left w:val="none" w:sz="0" w:space="0" w:color="auto"/>
        <w:bottom w:val="none" w:sz="0" w:space="0" w:color="auto"/>
        <w:right w:val="none" w:sz="0" w:space="0" w:color="auto"/>
      </w:divBdr>
      <w:divsChild>
        <w:div w:id="601185365">
          <w:marLeft w:val="0"/>
          <w:marRight w:val="0"/>
          <w:marTop w:val="0"/>
          <w:marBottom w:val="0"/>
          <w:divBdr>
            <w:top w:val="none" w:sz="0" w:space="0" w:color="auto"/>
            <w:left w:val="none" w:sz="0" w:space="0" w:color="auto"/>
            <w:bottom w:val="none" w:sz="0" w:space="0" w:color="auto"/>
            <w:right w:val="none" w:sz="0" w:space="0" w:color="auto"/>
          </w:divBdr>
        </w:div>
        <w:div w:id="1208685802">
          <w:marLeft w:val="0"/>
          <w:marRight w:val="0"/>
          <w:marTop w:val="0"/>
          <w:marBottom w:val="0"/>
          <w:divBdr>
            <w:top w:val="none" w:sz="0" w:space="0" w:color="auto"/>
            <w:left w:val="none" w:sz="0" w:space="0" w:color="auto"/>
            <w:bottom w:val="none" w:sz="0" w:space="0" w:color="auto"/>
            <w:right w:val="none" w:sz="0" w:space="0" w:color="auto"/>
          </w:divBdr>
        </w:div>
        <w:div w:id="1921134530">
          <w:marLeft w:val="0"/>
          <w:marRight w:val="0"/>
          <w:marTop w:val="0"/>
          <w:marBottom w:val="0"/>
          <w:divBdr>
            <w:top w:val="none" w:sz="0" w:space="0" w:color="auto"/>
            <w:left w:val="none" w:sz="0" w:space="0" w:color="auto"/>
            <w:bottom w:val="none" w:sz="0" w:space="0" w:color="auto"/>
            <w:right w:val="none" w:sz="0" w:space="0" w:color="auto"/>
          </w:divBdr>
        </w:div>
      </w:divsChild>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315841913">
      <w:bodyDiv w:val="1"/>
      <w:marLeft w:val="0"/>
      <w:marRight w:val="0"/>
      <w:marTop w:val="0"/>
      <w:marBottom w:val="0"/>
      <w:divBdr>
        <w:top w:val="none" w:sz="0" w:space="0" w:color="auto"/>
        <w:left w:val="none" w:sz="0" w:space="0" w:color="auto"/>
        <w:bottom w:val="none" w:sz="0" w:space="0" w:color="auto"/>
        <w:right w:val="none" w:sz="0" w:space="0" w:color="auto"/>
      </w:divBdr>
    </w:div>
    <w:div w:id="1339622520">
      <w:bodyDiv w:val="1"/>
      <w:marLeft w:val="0"/>
      <w:marRight w:val="0"/>
      <w:marTop w:val="0"/>
      <w:marBottom w:val="0"/>
      <w:divBdr>
        <w:top w:val="none" w:sz="0" w:space="0" w:color="auto"/>
        <w:left w:val="none" w:sz="0" w:space="0" w:color="auto"/>
        <w:bottom w:val="none" w:sz="0" w:space="0" w:color="auto"/>
        <w:right w:val="none" w:sz="0" w:space="0" w:color="auto"/>
      </w:divBdr>
    </w:div>
    <w:div w:id="1428885348">
      <w:bodyDiv w:val="1"/>
      <w:marLeft w:val="0"/>
      <w:marRight w:val="0"/>
      <w:marTop w:val="0"/>
      <w:marBottom w:val="0"/>
      <w:divBdr>
        <w:top w:val="none" w:sz="0" w:space="0" w:color="auto"/>
        <w:left w:val="none" w:sz="0" w:space="0" w:color="auto"/>
        <w:bottom w:val="none" w:sz="0" w:space="0" w:color="auto"/>
        <w:right w:val="none" w:sz="0" w:space="0" w:color="auto"/>
      </w:divBdr>
      <w:divsChild>
        <w:div w:id="627928557">
          <w:marLeft w:val="0"/>
          <w:marRight w:val="0"/>
          <w:marTop w:val="0"/>
          <w:marBottom w:val="0"/>
          <w:divBdr>
            <w:top w:val="none" w:sz="0" w:space="0" w:color="auto"/>
            <w:left w:val="none" w:sz="0" w:space="0" w:color="auto"/>
            <w:bottom w:val="none" w:sz="0" w:space="0" w:color="auto"/>
            <w:right w:val="none" w:sz="0" w:space="0" w:color="auto"/>
          </w:divBdr>
        </w:div>
        <w:div w:id="1131366678">
          <w:marLeft w:val="0"/>
          <w:marRight w:val="0"/>
          <w:marTop w:val="0"/>
          <w:marBottom w:val="0"/>
          <w:divBdr>
            <w:top w:val="none" w:sz="0" w:space="0" w:color="auto"/>
            <w:left w:val="none" w:sz="0" w:space="0" w:color="auto"/>
            <w:bottom w:val="none" w:sz="0" w:space="0" w:color="auto"/>
            <w:right w:val="none" w:sz="0" w:space="0" w:color="auto"/>
          </w:divBdr>
        </w:div>
        <w:div w:id="1826434736">
          <w:marLeft w:val="0"/>
          <w:marRight w:val="0"/>
          <w:marTop w:val="0"/>
          <w:marBottom w:val="0"/>
          <w:divBdr>
            <w:top w:val="none" w:sz="0" w:space="0" w:color="auto"/>
            <w:left w:val="none" w:sz="0" w:space="0" w:color="auto"/>
            <w:bottom w:val="none" w:sz="0" w:space="0" w:color="auto"/>
            <w:right w:val="none" w:sz="0" w:space="0" w:color="auto"/>
          </w:divBdr>
        </w:div>
      </w:divsChild>
    </w:div>
    <w:div w:id="1433553081">
      <w:bodyDiv w:val="1"/>
      <w:marLeft w:val="0"/>
      <w:marRight w:val="0"/>
      <w:marTop w:val="0"/>
      <w:marBottom w:val="0"/>
      <w:divBdr>
        <w:top w:val="none" w:sz="0" w:space="0" w:color="auto"/>
        <w:left w:val="none" w:sz="0" w:space="0" w:color="auto"/>
        <w:bottom w:val="none" w:sz="0" w:space="0" w:color="auto"/>
        <w:right w:val="none" w:sz="0" w:space="0" w:color="auto"/>
      </w:divBdr>
      <w:divsChild>
        <w:div w:id="596868701">
          <w:marLeft w:val="0"/>
          <w:marRight w:val="0"/>
          <w:marTop w:val="0"/>
          <w:marBottom w:val="0"/>
          <w:divBdr>
            <w:top w:val="none" w:sz="0" w:space="0" w:color="auto"/>
            <w:left w:val="none" w:sz="0" w:space="0" w:color="auto"/>
            <w:bottom w:val="none" w:sz="0" w:space="0" w:color="auto"/>
            <w:right w:val="none" w:sz="0" w:space="0" w:color="auto"/>
          </w:divBdr>
        </w:div>
        <w:div w:id="1040205683">
          <w:marLeft w:val="0"/>
          <w:marRight w:val="0"/>
          <w:marTop w:val="0"/>
          <w:marBottom w:val="0"/>
          <w:divBdr>
            <w:top w:val="none" w:sz="0" w:space="0" w:color="auto"/>
            <w:left w:val="none" w:sz="0" w:space="0" w:color="auto"/>
            <w:bottom w:val="none" w:sz="0" w:space="0" w:color="auto"/>
            <w:right w:val="none" w:sz="0" w:space="0" w:color="auto"/>
          </w:divBdr>
        </w:div>
        <w:div w:id="2110737428">
          <w:marLeft w:val="0"/>
          <w:marRight w:val="0"/>
          <w:marTop w:val="0"/>
          <w:marBottom w:val="0"/>
          <w:divBdr>
            <w:top w:val="none" w:sz="0" w:space="0" w:color="auto"/>
            <w:left w:val="none" w:sz="0" w:space="0" w:color="auto"/>
            <w:bottom w:val="none" w:sz="0" w:space="0" w:color="auto"/>
            <w:right w:val="none" w:sz="0" w:space="0" w:color="auto"/>
          </w:divBdr>
        </w:div>
      </w:divsChild>
    </w:div>
    <w:div w:id="1478498532">
      <w:bodyDiv w:val="1"/>
      <w:marLeft w:val="0"/>
      <w:marRight w:val="0"/>
      <w:marTop w:val="0"/>
      <w:marBottom w:val="0"/>
      <w:divBdr>
        <w:top w:val="none" w:sz="0" w:space="0" w:color="auto"/>
        <w:left w:val="none" w:sz="0" w:space="0" w:color="auto"/>
        <w:bottom w:val="none" w:sz="0" w:space="0" w:color="auto"/>
        <w:right w:val="none" w:sz="0" w:space="0" w:color="auto"/>
      </w:divBdr>
    </w:div>
    <w:div w:id="1565142572">
      <w:bodyDiv w:val="1"/>
      <w:marLeft w:val="0"/>
      <w:marRight w:val="0"/>
      <w:marTop w:val="0"/>
      <w:marBottom w:val="0"/>
      <w:divBdr>
        <w:top w:val="none" w:sz="0" w:space="0" w:color="auto"/>
        <w:left w:val="none" w:sz="0" w:space="0" w:color="auto"/>
        <w:bottom w:val="none" w:sz="0" w:space="0" w:color="auto"/>
        <w:right w:val="none" w:sz="0" w:space="0" w:color="auto"/>
      </w:divBdr>
      <w:divsChild>
        <w:div w:id="1232538756">
          <w:marLeft w:val="0"/>
          <w:marRight w:val="0"/>
          <w:marTop w:val="0"/>
          <w:marBottom w:val="0"/>
          <w:divBdr>
            <w:top w:val="none" w:sz="0" w:space="0" w:color="auto"/>
            <w:left w:val="none" w:sz="0" w:space="0" w:color="auto"/>
            <w:bottom w:val="none" w:sz="0" w:space="0" w:color="auto"/>
            <w:right w:val="none" w:sz="0" w:space="0" w:color="auto"/>
          </w:divBdr>
          <w:divsChild>
            <w:div w:id="577178950">
              <w:marLeft w:val="0"/>
              <w:marRight w:val="0"/>
              <w:marTop w:val="0"/>
              <w:marBottom w:val="0"/>
              <w:divBdr>
                <w:top w:val="none" w:sz="0" w:space="0" w:color="auto"/>
                <w:left w:val="none" w:sz="0" w:space="0" w:color="auto"/>
                <w:bottom w:val="none" w:sz="0" w:space="0" w:color="auto"/>
                <w:right w:val="none" w:sz="0" w:space="0" w:color="auto"/>
              </w:divBdr>
            </w:div>
            <w:div w:id="1365210179">
              <w:marLeft w:val="0"/>
              <w:marRight w:val="0"/>
              <w:marTop w:val="0"/>
              <w:marBottom w:val="0"/>
              <w:divBdr>
                <w:top w:val="none" w:sz="0" w:space="0" w:color="auto"/>
                <w:left w:val="none" w:sz="0" w:space="0" w:color="auto"/>
                <w:bottom w:val="none" w:sz="0" w:space="0" w:color="auto"/>
                <w:right w:val="none" w:sz="0" w:space="0" w:color="auto"/>
              </w:divBdr>
            </w:div>
          </w:divsChild>
        </w:div>
        <w:div w:id="1273169506">
          <w:marLeft w:val="0"/>
          <w:marRight w:val="0"/>
          <w:marTop w:val="0"/>
          <w:marBottom w:val="0"/>
          <w:divBdr>
            <w:top w:val="none" w:sz="0" w:space="0" w:color="auto"/>
            <w:left w:val="none" w:sz="0" w:space="0" w:color="auto"/>
            <w:bottom w:val="none" w:sz="0" w:space="0" w:color="auto"/>
            <w:right w:val="none" w:sz="0" w:space="0" w:color="auto"/>
          </w:divBdr>
          <w:divsChild>
            <w:div w:id="132256254">
              <w:marLeft w:val="0"/>
              <w:marRight w:val="0"/>
              <w:marTop w:val="0"/>
              <w:marBottom w:val="0"/>
              <w:divBdr>
                <w:top w:val="none" w:sz="0" w:space="0" w:color="auto"/>
                <w:left w:val="none" w:sz="0" w:space="0" w:color="auto"/>
                <w:bottom w:val="none" w:sz="0" w:space="0" w:color="auto"/>
                <w:right w:val="none" w:sz="0" w:space="0" w:color="auto"/>
              </w:divBdr>
            </w:div>
            <w:div w:id="566497705">
              <w:marLeft w:val="0"/>
              <w:marRight w:val="0"/>
              <w:marTop w:val="0"/>
              <w:marBottom w:val="0"/>
              <w:divBdr>
                <w:top w:val="none" w:sz="0" w:space="0" w:color="auto"/>
                <w:left w:val="none" w:sz="0" w:space="0" w:color="auto"/>
                <w:bottom w:val="none" w:sz="0" w:space="0" w:color="auto"/>
                <w:right w:val="none" w:sz="0" w:space="0" w:color="auto"/>
              </w:divBdr>
            </w:div>
            <w:div w:id="1497695224">
              <w:marLeft w:val="0"/>
              <w:marRight w:val="0"/>
              <w:marTop w:val="0"/>
              <w:marBottom w:val="0"/>
              <w:divBdr>
                <w:top w:val="none" w:sz="0" w:space="0" w:color="auto"/>
                <w:left w:val="none" w:sz="0" w:space="0" w:color="auto"/>
                <w:bottom w:val="none" w:sz="0" w:space="0" w:color="auto"/>
                <w:right w:val="none" w:sz="0" w:space="0" w:color="auto"/>
              </w:divBdr>
            </w:div>
            <w:div w:id="1833372942">
              <w:marLeft w:val="0"/>
              <w:marRight w:val="0"/>
              <w:marTop w:val="0"/>
              <w:marBottom w:val="0"/>
              <w:divBdr>
                <w:top w:val="none" w:sz="0" w:space="0" w:color="auto"/>
                <w:left w:val="none" w:sz="0" w:space="0" w:color="auto"/>
                <w:bottom w:val="none" w:sz="0" w:space="0" w:color="auto"/>
                <w:right w:val="none" w:sz="0" w:space="0" w:color="auto"/>
              </w:divBdr>
            </w:div>
            <w:div w:id="18541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09494">
      <w:bodyDiv w:val="1"/>
      <w:marLeft w:val="0"/>
      <w:marRight w:val="0"/>
      <w:marTop w:val="0"/>
      <w:marBottom w:val="0"/>
      <w:divBdr>
        <w:top w:val="none" w:sz="0" w:space="0" w:color="auto"/>
        <w:left w:val="none" w:sz="0" w:space="0" w:color="auto"/>
        <w:bottom w:val="none" w:sz="0" w:space="0" w:color="auto"/>
        <w:right w:val="none" w:sz="0" w:space="0" w:color="auto"/>
      </w:divBdr>
      <w:divsChild>
        <w:div w:id="683284365">
          <w:marLeft w:val="0"/>
          <w:marRight w:val="0"/>
          <w:marTop w:val="0"/>
          <w:marBottom w:val="0"/>
          <w:divBdr>
            <w:top w:val="none" w:sz="0" w:space="0" w:color="auto"/>
            <w:left w:val="none" w:sz="0" w:space="0" w:color="auto"/>
            <w:bottom w:val="none" w:sz="0" w:space="0" w:color="auto"/>
            <w:right w:val="none" w:sz="0" w:space="0" w:color="auto"/>
          </w:divBdr>
          <w:divsChild>
            <w:div w:id="345906646">
              <w:marLeft w:val="0"/>
              <w:marRight w:val="0"/>
              <w:marTop w:val="0"/>
              <w:marBottom w:val="0"/>
              <w:divBdr>
                <w:top w:val="none" w:sz="0" w:space="0" w:color="auto"/>
                <w:left w:val="none" w:sz="0" w:space="0" w:color="auto"/>
                <w:bottom w:val="none" w:sz="0" w:space="0" w:color="auto"/>
                <w:right w:val="none" w:sz="0" w:space="0" w:color="auto"/>
              </w:divBdr>
            </w:div>
            <w:div w:id="1101070437">
              <w:marLeft w:val="0"/>
              <w:marRight w:val="0"/>
              <w:marTop w:val="0"/>
              <w:marBottom w:val="0"/>
              <w:divBdr>
                <w:top w:val="none" w:sz="0" w:space="0" w:color="auto"/>
                <w:left w:val="none" w:sz="0" w:space="0" w:color="auto"/>
                <w:bottom w:val="none" w:sz="0" w:space="0" w:color="auto"/>
                <w:right w:val="none" w:sz="0" w:space="0" w:color="auto"/>
              </w:divBdr>
            </w:div>
          </w:divsChild>
        </w:div>
        <w:div w:id="1799835529">
          <w:marLeft w:val="0"/>
          <w:marRight w:val="0"/>
          <w:marTop w:val="0"/>
          <w:marBottom w:val="0"/>
          <w:divBdr>
            <w:top w:val="none" w:sz="0" w:space="0" w:color="auto"/>
            <w:left w:val="none" w:sz="0" w:space="0" w:color="auto"/>
            <w:bottom w:val="none" w:sz="0" w:space="0" w:color="auto"/>
            <w:right w:val="none" w:sz="0" w:space="0" w:color="auto"/>
          </w:divBdr>
          <w:divsChild>
            <w:div w:id="61176545">
              <w:marLeft w:val="0"/>
              <w:marRight w:val="0"/>
              <w:marTop w:val="0"/>
              <w:marBottom w:val="0"/>
              <w:divBdr>
                <w:top w:val="none" w:sz="0" w:space="0" w:color="auto"/>
                <w:left w:val="none" w:sz="0" w:space="0" w:color="auto"/>
                <w:bottom w:val="none" w:sz="0" w:space="0" w:color="auto"/>
                <w:right w:val="none" w:sz="0" w:space="0" w:color="auto"/>
              </w:divBdr>
            </w:div>
            <w:div w:id="190919148">
              <w:marLeft w:val="0"/>
              <w:marRight w:val="0"/>
              <w:marTop w:val="0"/>
              <w:marBottom w:val="0"/>
              <w:divBdr>
                <w:top w:val="none" w:sz="0" w:space="0" w:color="auto"/>
                <w:left w:val="none" w:sz="0" w:space="0" w:color="auto"/>
                <w:bottom w:val="none" w:sz="0" w:space="0" w:color="auto"/>
                <w:right w:val="none" w:sz="0" w:space="0" w:color="auto"/>
              </w:divBdr>
            </w:div>
            <w:div w:id="1005740877">
              <w:marLeft w:val="0"/>
              <w:marRight w:val="0"/>
              <w:marTop w:val="0"/>
              <w:marBottom w:val="0"/>
              <w:divBdr>
                <w:top w:val="none" w:sz="0" w:space="0" w:color="auto"/>
                <w:left w:val="none" w:sz="0" w:space="0" w:color="auto"/>
                <w:bottom w:val="none" w:sz="0" w:space="0" w:color="auto"/>
                <w:right w:val="none" w:sz="0" w:space="0" w:color="auto"/>
              </w:divBdr>
            </w:div>
            <w:div w:id="1377970112">
              <w:marLeft w:val="0"/>
              <w:marRight w:val="0"/>
              <w:marTop w:val="0"/>
              <w:marBottom w:val="0"/>
              <w:divBdr>
                <w:top w:val="none" w:sz="0" w:space="0" w:color="auto"/>
                <w:left w:val="none" w:sz="0" w:space="0" w:color="auto"/>
                <w:bottom w:val="none" w:sz="0" w:space="0" w:color="auto"/>
                <w:right w:val="none" w:sz="0" w:space="0" w:color="auto"/>
              </w:divBdr>
            </w:div>
            <w:div w:id="18226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3559">
      <w:bodyDiv w:val="1"/>
      <w:marLeft w:val="0"/>
      <w:marRight w:val="0"/>
      <w:marTop w:val="0"/>
      <w:marBottom w:val="0"/>
      <w:divBdr>
        <w:top w:val="none" w:sz="0" w:space="0" w:color="auto"/>
        <w:left w:val="none" w:sz="0" w:space="0" w:color="auto"/>
        <w:bottom w:val="none" w:sz="0" w:space="0" w:color="auto"/>
        <w:right w:val="none" w:sz="0" w:space="0" w:color="auto"/>
      </w:divBdr>
    </w:div>
    <w:div w:id="1902715597">
      <w:bodyDiv w:val="1"/>
      <w:marLeft w:val="0"/>
      <w:marRight w:val="0"/>
      <w:marTop w:val="0"/>
      <w:marBottom w:val="0"/>
      <w:divBdr>
        <w:top w:val="none" w:sz="0" w:space="0" w:color="auto"/>
        <w:left w:val="none" w:sz="0" w:space="0" w:color="auto"/>
        <w:bottom w:val="none" w:sz="0" w:space="0" w:color="auto"/>
        <w:right w:val="none" w:sz="0" w:space="0" w:color="auto"/>
      </w:divBdr>
    </w:div>
    <w:div w:id="1978608259">
      <w:bodyDiv w:val="1"/>
      <w:marLeft w:val="0"/>
      <w:marRight w:val="0"/>
      <w:marTop w:val="0"/>
      <w:marBottom w:val="0"/>
      <w:divBdr>
        <w:top w:val="none" w:sz="0" w:space="0" w:color="auto"/>
        <w:left w:val="none" w:sz="0" w:space="0" w:color="auto"/>
        <w:bottom w:val="none" w:sz="0" w:space="0" w:color="auto"/>
        <w:right w:val="none" w:sz="0" w:space="0" w:color="auto"/>
      </w:divBdr>
    </w:div>
    <w:div w:id="20841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gitalhealth.gov.au/sites/default/files/documents/schedule_8_quick_reference_guide_for_electronic_prescriptions.pdf" TargetMode="External"/><Relationship Id="rId18" Type="http://schemas.openxmlformats.org/officeDocument/2006/relationships/hyperlink" Target="https://www.ahpra.gov.au/News/2024-12-11-Expanded-role-for-registered-nurses.asp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resources/publications/australian-government-response-to-the-final-report-of-the-royal-commission-into-aged-care-quality-and-safety?language=aus-N230" TargetMode="External"/><Relationship Id="rId17" Type="http://schemas.openxmlformats.org/officeDocument/2006/relationships/hyperlink" Target="https://www.health.gov.au/resources/publications/enrmc-user-resource?language=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gpaci" TargetMode="External"/><Relationship Id="rId20" Type="http://schemas.openxmlformats.org/officeDocument/2006/relationships/hyperlink" Target="https://www.health.gov.au/resources/publications/enrmc-user-resource?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electronic-national-residential-medication-chart-enrmc-aged-care-fact-sheet?language=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enrmc-user-resource?language=en"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health.gov.au/topics/medicines/about-prescrip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collections/enrmc-transitional-arrangements-collection?language=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CAIE\Downloads\Aged%20Care%20visual%20identity%20A4%20fact%20sheet%20template%20(mustard)%20(1).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3C7D3C-FEF4-4BE4-AC84-F6E3432EE3FA}">
  <ds:schemaRefs>
    <ds:schemaRef ds:uri="http://purl.org/dc/elements/1.1/"/>
    <ds:schemaRef ds:uri="31ed7be0-71df-4ef7-a44a-46c20e97f856"/>
    <ds:schemaRef ds:uri="http://schemas.openxmlformats.org/package/2006/metadata/core-properties"/>
    <ds:schemaRef ds:uri="http://purl.org/dc/terms/"/>
    <ds:schemaRef ds:uri="http://schemas.microsoft.com/office/infopath/2007/PartnerControls"/>
    <ds:schemaRef ds:uri="55f32057-c7d7-4cf2-a083-f930dcef3185"/>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11DFA474-632B-441E-93FA-562C3357D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567955-B411-41D7-B170-CB4D123D8A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 Care visual identity A4 fact sheet template (mustard) (1).dotx</Template>
  <TotalTime>3</TotalTime>
  <Pages>7</Pages>
  <Words>2675</Words>
  <Characters>15250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Electronic National Residential Medication Charts (eNRMC) and My Health Record (MHR) Webinar Update - 12 August 2025</vt:lpstr>
    </vt:vector>
  </TitlesOfParts>
  <Company/>
  <LinksUpToDate>false</LinksUpToDate>
  <CharactersWithSpaces>17890</CharactersWithSpaces>
  <SharedDoc>false</SharedDoc>
  <HLinks>
    <vt:vector size="60" baseType="variant">
      <vt:variant>
        <vt:i4>4259857</vt:i4>
      </vt:variant>
      <vt:variant>
        <vt:i4>27</vt:i4>
      </vt:variant>
      <vt:variant>
        <vt:i4>0</vt:i4>
      </vt:variant>
      <vt:variant>
        <vt:i4>5</vt:i4>
      </vt:variant>
      <vt:variant>
        <vt:lpwstr>https://www.health.gov.au/resources/publications/enrmc-user-resource?language=en</vt:lpwstr>
      </vt:variant>
      <vt:variant>
        <vt:lpwstr/>
      </vt:variant>
      <vt:variant>
        <vt:i4>4980757</vt:i4>
      </vt:variant>
      <vt:variant>
        <vt:i4>24</vt:i4>
      </vt:variant>
      <vt:variant>
        <vt:i4>0</vt:i4>
      </vt:variant>
      <vt:variant>
        <vt:i4>5</vt:i4>
      </vt:variant>
      <vt:variant>
        <vt:lpwstr>https://www.health.gov.au/topics/medicines/about-prescriptions</vt:lpwstr>
      </vt:variant>
      <vt:variant>
        <vt:lpwstr>who-can-prescribe-medicines</vt:lpwstr>
      </vt:variant>
      <vt:variant>
        <vt:i4>5570648</vt:i4>
      </vt:variant>
      <vt:variant>
        <vt:i4>21</vt:i4>
      </vt:variant>
      <vt:variant>
        <vt:i4>0</vt:i4>
      </vt:variant>
      <vt:variant>
        <vt:i4>5</vt:i4>
      </vt:variant>
      <vt:variant>
        <vt:lpwstr>https://www.ahpra.gov.au/News/2024-12-11-Expanded-role-for-registered-nurses.aspx</vt:lpwstr>
      </vt:variant>
      <vt:variant>
        <vt:lpwstr/>
      </vt:variant>
      <vt:variant>
        <vt:i4>4259857</vt:i4>
      </vt:variant>
      <vt:variant>
        <vt:i4>18</vt:i4>
      </vt:variant>
      <vt:variant>
        <vt:i4>0</vt:i4>
      </vt:variant>
      <vt:variant>
        <vt:i4>5</vt:i4>
      </vt:variant>
      <vt:variant>
        <vt:lpwstr>https://www.health.gov.au/resources/publications/enrmc-user-resource?language=en</vt:lpwstr>
      </vt:variant>
      <vt:variant>
        <vt:lpwstr/>
      </vt:variant>
      <vt:variant>
        <vt:i4>4521987</vt:i4>
      </vt:variant>
      <vt:variant>
        <vt:i4>15</vt:i4>
      </vt:variant>
      <vt:variant>
        <vt:i4>0</vt:i4>
      </vt:variant>
      <vt:variant>
        <vt:i4>5</vt:i4>
      </vt:variant>
      <vt:variant>
        <vt:lpwstr>https://www.health.gov.au/our-work/gpaci</vt:lpwstr>
      </vt:variant>
      <vt:variant>
        <vt:lpwstr/>
      </vt:variant>
      <vt:variant>
        <vt:i4>4259857</vt:i4>
      </vt:variant>
      <vt:variant>
        <vt:i4>12</vt:i4>
      </vt:variant>
      <vt:variant>
        <vt:i4>0</vt:i4>
      </vt:variant>
      <vt:variant>
        <vt:i4>5</vt:i4>
      </vt:variant>
      <vt:variant>
        <vt:lpwstr>https://www.health.gov.au/resources/publications/enrmc-user-resource?language=en</vt:lpwstr>
      </vt:variant>
      <vt:variant>
        <vt:lpwstr/>
      </vt:variant>
      <vt:variant>
        <vt:i4>3932201</vt:i4>
      </vt:variant>
      <vt:variant>
        <vt:i4>9</vt:i4>
      </vt:variant>
      <vt:variant>
        <vt:i4>0</vt:i4>
      </vt:variant>
      <vt:variant>
        <vt:i4>5</vt:i4>
      </vt:variant>
      <vt:variant>
        <vt:lpwstr>https://www.health.gov.au/resources/collections/enrmc-transitional-arrangements-collection?language=en</vt:lpwstr>
      </vt:variant>
      <vt:variant>
        <vt:lpwstr/>
      </vt:variant>
      <vt:variant>
        <vt:i4>5963818</vt:i4>
      </vt:variant>
      <vt:variant>
        <vt:i4>6</vt:i4>
      </vt:variant>
      <vt:variant>
        <vt:i4>0</vt:i4>
      </vt:variant>
      <vt:variant>
        <vt:i4>5</vt:i4>
      </vt:variant>
      <vt:variant>
        <vt:lpwstr>https://www.digitalhealth.gov.au/sites/default/files/documents/schedule_8_quick_reference_guide_for_electronic_prescriptions.pdf</vt:lpwstr>
      </vt:variant>
      <vt:variant>
        <vt:lpwstr/>
      </vt:variant>
      <vt:variant>
        <vt:i4>6815846</vt:i4>
      </vt:variant>
      <vt:variant>
        <vt:i4>3</vt:i4>
      </vt:variant>
      <vt:variant>
        <vt:i4>0</vt:i4>
      </vt:variant>
      <vt:variant>
        <vt:i4>5</vt:i4>
      </vt:variant>
      <vt:variant>
        <vt:lpwstr>https://www.health.gov.au/resources/publications/australian-government-response-to-the-final-report-of-the-royal-commission-into-aged-care-quality-and-safety?language=aus-N230</vt:lpwstr>
      </vt:variant>
      <vt:variant>
        <vt:lpwstr/>
      </vt:variant>
      <vt:variant>
        <vt:i4>4390993</vt:i4>
      </vt:variant>
      <vt:variant>
        <vt:i4>0</vt:i4>
      </vt:variant>
      <vt:variant>
        <vt:i4>0</vt:i4>
      </vt:variant>
      <vt:variant>
        <vt:i4>5</vt:i4>
      </vt:variant>
      <vt:variant>
        <vt:lpwstr>https://www.health.gov.au/resources/publications/electronic-national-residential-medication-chart-enrmc-aged-care-fact-sheet?language=en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National Residential Medication Charts (eNRMC) and My Health Record (MHR) Webinar Update - 12 August 2025</dc:title>
  <dc:subject/>
  <dc:creator>Australian Government Department of Health, Disability and Ageing</dc:creator>
  <cp:keywords>Aged Care, Aged Care Reforms</cp:keywords>
  <dc:description/>
  <dcterms:created xsi:type="dcterms:W3CDTF">2025-08-29T00:03:00Z</dcterms:created>
  <dcterms:modified xsi:type="dcterms:W3CDTF">2025-08-29T01:16:00Z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Order">
    <vt:r8>796300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dlc_DocIdItemGuid">
    <vt:lpwstr>af07be78-9082-4f38-857b-1ce19a48dfa6</vt:lpwstr>
  </property>
  <property fmtid="{D5CDD505-2E9C-101B-9397-08002B2CF9AE}" pid="12" name="Keywords1">
    <vt:lpwstr>30;#Aged care|15037316-ccb1-4430-a7dd-5c4031a389b1;#4;#visual identity|a54ebda2-a0fd-45ec-8fc0-1cf31001b526</vt:lpwstr>
  </property>
  <property fmtid="{D5CDD505-2E9C-101B-9397-08002B2CF9AE}" pid="13" name="Information type">
    <vt:lpwstr>23;#Document|4a540cb2-01e7-4be2-96f9-d9e7e1b556fd</vt:lpwstr>
  </property>
  <property fmtid="{D5CDD505-2E9C-101B-9397-08002B2CF9AE}" pid="14" name="Contact">
    <vt:lpwstr>104;#Aged Care Communications and Change|e5d142d6-a25f-4b81-a8a4-d8f9e5839eea</vt:lpwstr>
  </property>
  <property fmtid="{D5CDD505-2E9C-101B-9397-08002B2CF9AE}" pid="15" name="p76df81b8fed4a2fa2af18761f9ff90d">
    <vt:lpwstr>Aged care|15037316-ccb1-4430-a7dd-5c4031a389b1;visual identity|a54ebda2-a0fd-45ec-8fc0-1cf31001b526</vt:lpwstr>
  </property>
  <property fmtid="{D5CDD505-2E9C-101B-9397-08002B2CF9AE}" pid="16" name="Intranet">
    <vt:bool>true</vt:bool>
  </property>
  <property fmtid="{D5CDD505-2E9C-101B-9397-08002B2CF9AE}" pid="17" name="Int_x002d_InformationType">
    <vt:lpwstr/>
  </property>
  <property fmtid="{D5CDD505-2E9C-101B-9397-08002B2CF9AE}" pid="18" name="pfd27f99efda4409b63228bea026394d">
    <vt:lpwstr>Document|4a540cb2-01e7-4be2-96f9-d9e7e1b556fd</vt:lpwstr>
  </property>
  <property fmtid="{D5CDD505-2E9C-101B-9397-08002B2CF9AE}" pid="19" name="Int_x002d_Topics">
    <vt:lpwstr/>
  </property>
  <property fmtid="{D5CDD505-2E9C-101B-9397-08002B2CF9AE}" pid="20" name="Last reviewed">
    <vt:filetime>2024-02-15T02:51:03Z</vt:filetime>
  </property>
  <property fmtid="{D5CDD505-2E9C-101B-9397-08002B2CF9AE}" pid="21" name="jf042baad2b143719d8a0cfd36411dfb">
    <vt:lpwstr>Aged Care Communications and Change|e5d142d6-a25f-4b81-a8a4-d8f9e5839eea</vt:lpwstr>
  </property>
  <property fmtid="{D5CDD505-2E9C-101B-9397-08002B2CF9AE}" pid="22" name="SharedWithUsers">
    <vt:lpwstr/>
  </property>
  <property fmtid="{D5CDD505-2E9C-101B-9397-08002B2CF9AE}" pid="23" name="Int_x002d_Contact">
    <vt:lpwstr/>
  </property>
  <property fmtid="{D5CDD505-2E9C-101B-9397-08002B2CF9AE}" pid="24" name="Int-Contact">
    <vt:lpwstr>104;#|e5d142d6-a25f-4b81-a8a4-d8f9e5839eea</vt:lpwstr>
  </property>
  <property fmtid="{D5CDD505-2E9C-101B-9397-08002B2CF9AE}" pid="25" name="Int-InformationType">
    <vt:lpwstr>23;#|4a540cb2-01e7-4be2-96f9-d9e7e1b556fd</vt:lpwstr>
  </property>
  <property fmtid="{D5CDD505-2E9C-101B-9397-08002B2CF9AE}" pid="26" name="Int-Topics">
    <vt:lpwstr>4;#visual identity|a54ebda2-a0fd-45ec-8fc0-1cf31001b526;#30;#Aged care|15037316-ccb1-4430-a7dd-5c4031a389b1</vt:lpwstr>
  </property>
  <property fmtid="{D5CDD505-2E9C-101B-9397-08002B2CF9AE}" pid="27" name="lcf76f155ced4ddcb4097134ff3c332f">
    <vt:lpwstr/>
  </property>
</Properties>
</file>