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AD424" w14:textId="0821EAAF" w:rsidR="003146BC" w:rsidRPr="00FC63C6" w:rsidRDefault="00A310A3" w:rsidP="003146BC">
      <w:pPr>
        <w:spacing w:before="360"/>
        <w:jc w:val="center"/>
      </w:pPr>
      <w:r w:rsidRPr="00FC63C6">
        <w:rPr>
          <w:rFonts w:cs="Times New Roman"/>
          <w:b/>
          <w:noProof/>
          <w:szCs w:val="24"/>
          <w:lang w:eastAsia="en-AU"/>
        </w:rPr>
        <w:drawing>
          <wp:inline distT="0" distB="0" distL="0" distR="0" wp14:anchorId="3276337B" wp14:editId="14D28D0C">
            <wp:extent cx="2991658" cy="1657350"/>
            <wp:effectExtent l="0" t="0" r="0" b="0"/>
            <wp:docPr id="2"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pic:cNvPicPr>
                      <a:picLocks noChangeAspect="1" noChangeArrowheads="1"/>
                    </pic:cNvPicPr>
                  </pic:nvPicPr>
                  <pic:blipFill>
                    <a:blip r:embed="rId11">
                      <a:lum contrast="20000"/>
                      <a:extLst>
                        <a:ext uri="{28A0092B-C50C-407E-A947-70E740481C1C}">
                          <a14:useLocalDpi xmlns:a14="http://schemas.microsoft.com/office/drawing/2010/main" val="0"/>
                        </a:ext>
                      </a:extLst>
                    </a:blip>
                    <a:srcRect/>
                    <a:stretch>
                      <a:fillRect/>
                    </a:stretch>
                  </pic:blipFill>
                  <pic:spPr bwMode="auto">
                    <a:xfrm>
                      <a:off x="0" y="0"/>
                      <a:ext cx="3013680" cy="1669550"/>
                    </a:xfrm>
                    <a:prstGeom prst="rect">
                      <a:avLst/>
                    </a:prstGeom>
                    <a:noFill/>
                    <a:ln>
                      <a:noFill/>
                    </a:ln>
                  </pic:spPr>
                </pic:pic>
              </a:graphicData>
            </a:graphic>
          </wp:inline>
        </w:drawing>
      </w:r>
    </w:p>
    <w:p w14:paraId="25C0E5F6" w14:textId="16B74444" w:rsidR="001A141A" w:rsidRPr="00FC63C6" w:rsidRDefault="003146BC" w:rsidP="00F92826">
      <w:pPr>
        <w:spacing w:before="600" w:line="240" w:lineRule="auto"/>
        <w:jc w:val="center"/>
        <w:rPr>
          <w:rFonts w:cstheme="minorHAnsi"/>
          <w:iCs/>
          <w:sz w:val="36"/>
          <w:szCs w:val="36"/>
        </w:rPr>
      </w:pPr>
      <w:r w:rsidRPr="00FC63C6">
        <w:rPr>
          <w:rFonts w:cstheme="minorHAnsi"/>
          <w:sz w:val="36"/>
          <w:szCs w:val="36"/>
        </w:rPr>
        <w:t xml:space="preserve">Australian Government response to the </w:t>
      </w:r>
      <w:r w:rsidR="00A264C8" w:rsidRPr="00FC63C6">
        <w:rPr>
          <w:rFonts w:cstheme="minorHAnsi"/>
          <w:iCs/>
          <w:sz w:val="36"/>
          <w:szCs w:val="36"/>
        </w:rPr>
        <w:t>Community Affairs Re</w:t>
      </w:r>
      <w:r w:rsidR="00BD165C" w:rsidRPr="00FC63C6">
        <w:rPr>
          <w:rFonts w:cstheme="minorHAnsi"/>
          <w:iCs/>
          <w:sz w:val="36"/>
          <w:szCs w:val="36"/>
        </w:rPr>
        <w:t>ferences Committee</w:t>
      </w:r>
      <w:r w:rsidRPr="00FC63C6">
        <w:rPr>
          <w:rFonts w:cstheme="minorHAnsi"/>
          <w:iCs/>
          <w:sz w:val="36"/>
          <w:szCs w:val="36"/>
        </w:rPr>
        <w:t xml:space="preserve"> report:</w:t>
      </w:r>
    </w:p>
    <w:p w14:paraId="7442E7E7" w14:textId="175A428D" w:rsidR="001A141A" w:rsidRPr="00FC63C6" w:rsidRDefault="00BD165C" w:rsidP="001A141A">
      <w:pPr>
        <w:spacing w:before="240"/>
        <w:jc w:val="center"/>
        <w:rPr>
          <w:rFonts w:cstheme="minorHAnsi"/>
          <w:iCs/>
          <w:sz w:val="36"/>
          <w:szCs w:val="36"/>
        </w:rPr>
      </w:pPr>
      <w:r w:rsidRPr="00FC63C6">
        <w:rPr>
          <w:rFonts w:cstheme="minorHAnsi"/>
          <w:iCs/>
          <w:sz w:val="36"/>
          <w:szCs w:val="36"/>
        </w:rPr>
        <w:t>Excess Mortality</w:t>
      </w:r>
    </w:p>
    <w:p w14:paraId="45C78B71" w14:textId="7D874E0E" w:rsidR="003146BC" w:rsidRPr="00FC63C6" w:rsidRDefault="00523EB8" w:rsidP="003146BC">
      <w:pPr>
        <w:spacing w:before="6840" w:after="120"/>
        <w:jc w:val="right"/>
        <w:rPr>
          <w:rFonts w:cstheme="minorHAnsi"/>
          <w:caps/>
          <w:sz w:val="28"/>
          <w:szCs w:val="28"/>
        </w:rPr>
      </w:pPr>
      <w:r w:rsidRPr="00523EB8">
        <w:rPr>
          <w:rFonts w:cstheme="minorHAnsi"/>
          <w:caps/>
          <w:sz w:val="28"/>
          <w:szCs w:val="28"/>
        </w:rPr>
        <w:t>August 2025</w:t>
      </w:r>
      <w:r w:rsidR="003146BC" w:rsidRPr="00FC63C6">
        <w:rPr>
          <w:rFonts w:cstheme="minorHAnsi"/>
          <w:caps/>
          <w:sz w:val="28"/>
          <w:szCs w:val="28"/>
        </w:rPr>
        <w:br/>
      </w:r>
    </w:p>
    <w:p w14:paraId="133D5814" w14:textId="214F4930" w:rsidR="003146BC" w:rsidRPr="00FC63C6" w:rsidRDefault="003146BC" w:rsidP="003146BC">
      <w:pPr>
        <w:spacing w:after="480"/>
        <w:jc w:val="right"/>
        <w:rPr>
          <w:rFonts w:cstheme="minorHAnsi"/>
          <w:caps/>
          <w:sz w:val="28"/>
          <w:szCs w:val="28"/>
        </w:rPr>
      </w:pPr>
    </w:p>
    <w:p w14:paraId="7CB677ED" w14:textId="2AC7090E" w:rsidR="005D5127" w:rsidRPr="00FC63C6" w:rsidRDefault="00802A00" w:rsidP="004F4805">
      <w:pPr>
        <w:jc w:val="center"/>
        <w:rPr>
          <w:b/>
          <w:bCs/>
          <w:sz w:val="24"/>
          <w:szCs w:val="24"/>
        </w:rPr>
      </w:pPr>
      <w:r w:rsidRPr="00FC63C6">
        <w:rPr>
          <w:b/>
          <w:bCs/>
          <w:sz w:val="24"/>
          <w:szCs w:val="24"/>
        </w:rPr>
        <w:t>Overview</w:t>
      </w:r>
    </w:p>
    <w:p w14:paraId="66C00D68" w14:textId="1FE4721B" w:rsidR="00802A00" w:rsidRPr="00FC63C6" w:rsidRDefault="00802A00" w:rsidP="0031157E">
      <w:pPr>
        <w:jc w:val="both"/>
        <w:rPr>
          <w:sz w:val="24"/>
          <w:szCs w:val="24"/>
        </w:rPr>
      </w:pPr>
      <w:r w:rsidRPr="00FC63C6">
        <w:rPr>
          <w:sz w:val="24"/>
          <w:szCs w:val="24"/>
        </w:rPr>
        <w:lastRenderedPageBreak/>
        <w:t>The Australian Government</w:t>
      </w:r>
      <w:r w:rsidR="00304FD7" w:rsidRPr="00FC63C6">
        <w:rPr>
          <w:sz w:val="24"/>
          <w:szCs w:val="24"/>
        </w:rPr>
        <w:t xml:space="preserve"> provides the following </w:t>
      </w:r>
      <w:r w:rsidR="00DB43C1" w:rsidRPr="00FC63C6">
        <w:rPr>
          <w:sz w:val="24"/>
          <w:szCs w:val="24"/>
        </w:rPr>
        <w:t>responses</w:t>
      </w:r>
      <w:r w:rsidR="00304FD7" w:rsidRPr="00FC63C6">
        <w:rPr>
          <w:sz w:val="24"/>
          <w:szCs w:val="24"/>
        </w:rPr>
        <w:t xml:space="preserve"> to the recommendations from the </w:t>
      </w:r>
      <w:r w:rsidR="00537500" w:rsidRPr="00FC63C6">
        <w:rPr>
          <w:sz w:val="24"/>
          <w:szCs w:val="24"/>
        </w:rPr>
        <w:t>Community Affairs References Committee report into Excess Mortal</w:t>
      </w:r>
      <w:r w:rsidR="00DB43C1" w:rsidRPr="00FC63C6">
        <w:rPr>
          <w:sz w:val="24"/>
          <w:szCs w:val="24"/>
        </w:rPr>
        <w:t>ity</w:t>
      </w:r>
      <w:r w:rsidR="009E5C21" w:rsidRPr="00FC63C6">
        <w:rPr>
          <w:sz w:val="24"/>
          <w:szCs w:val="24"/>
        </w:rPr>
        <w:t xml:space="preserve"> as well as the</w:t>
      </w:r>
      <w:r w:rsidR="007E76A0" w:rsidRPr="00FC63C6">
        <w:rPr>
          <w:sz w:val="24"/>
          <w:szCs w:val="24"/>
        </w:rPr>
        <w:t xml:space="preserve"> </w:t>
      </w:r>
      <w:r w:rsidR="009E5C21" w:rsidRPr="00FC63C6">
        <w:rPr>
          <w:sz w:val="24"/>
          <w:szCs w:val="24"/>
        </w:rPr>
        <w:t>dissenting recommendations</w:t>
      </w:r>
      <w:r w:rsidR="00DB43C1" w:rsidRPr="00FC63C6">
        <w:rPr>
          <w:sz w:val="24"/>
          <w:szCs w:val="24"/>
        </w:rPr>
        <w:t>.</w:t>
      </w:r>
      <w:r w:rsidR="007D21E4" w:rsidRPr="00FC63C6">
        <w:rPr>
          <w:sz w:val="24"/>
          <w:szCs w:val="24"/>
        </w:rPr>
        <w:t xml:space="preserve"> </w:t>
      </w:r>
      <w:r w:rsidR="007606C1" w:rsidRPr="00FC63C6">
        <w:rPr>
          <w:sz w:val="24"/>
          <w:szCs w:val="24"/>
        </w:rPr>
        <w:t>Recommendations have been grouped</w:t>
      </w:r>
      <w:r w:rsidR="006A0A02" w:rsidRPr="00FC63C6">
        <w:rPr>
          <w:sz w:val="24"/>
          <w:szCs w:val="24"/>
        </w:rPr>
        <w:t xml:space="preserve"> thematically</w:t>
      </w:r>
      <w:r w:rsidR="007606C1" w:rsidRPr="00FC63C6">
        <w:rPr>
          <w:sz w:val="24"/>
          <w:szCs w:val="24"/>
        </w:rPr>
        <w:t xml:space="preserve"> </w:t>
      </w:r>
      <w:r w:rsidR="004F4805" w:rsidRPr="00FC63C6">
        <w:rPr>
          <w:sz w:val="24"/>
          <w:szCs w:val="24"/>
        </w:rPr>
        <w:t>to</w:t>
      </w:r>
      <w:r w:rsidR="004D19E3" w:rsidRPr="00FC63C6">
        <w:rPr>
          <w:sz w:val="24"/>
          <w:szCs w:val="24"/>
        </w:rPr>
        <w:t xml:space="preserve"> provide a</w:t>
      </w:r>
      <w:r w:rsidR="001D22C2" w:rsidRPr="00FC63C6">
        <w:rPr>
          <w:sz w:val="24"/>
          <w:szCs w:val="24"/>
        </w:rPr>
        <w:t xml:space="preserve"> c</w:t>
      </w:r>
      <w:r w:rsidR="00EE3653" w:rsidRPr="00FC63C6">
        <w:rPr>
          <w:sz w:val="24"/>
          <w:szCs w:val="24"/>
        </w:rPr>
        <w:t>omprehensive response.</w:t>
      </w:r>
    </w:p>
    <w:p w14:paraId="31E9A0A0" w14:textId="49F46CE1" w:rsidR="00A624D5" w:rsidRPr="00FC63C6" w:rsidRDefault="0079301F" w:rsidP="0031157E">
      <w:pPr>
        <w:jc w:val="both"/>
        <w:rPr>
          <w:sz w:val="24"/>
          <w:szCs w:val="24"/>
        </w:rPr>
      </w:pPr>
      <w:r>
        <w:rPr>
          <w:sz w:val="24"/>
          <w:szCs w:val="24"/>
        </w:rPr>
        <w:t>T</w:t>
      </w:r>
      <w:r w:rsidR="00E47764" w:rsidRPr="00FC63C6">
        <w:rPr>
          <w:sz w:val="24"/>
          <w:szCs w:val="24"/>
        </w:rPr>
        <w:t>he Australian Government is already</w:t>
      </w:r>
      <w:r w:rsidR="0083403C" w:rsidRPr="00FC63C6">
        <w:rPr>
          <w:sz w:val="24"/>
          <w:szCs w:val="24"/>
        </w:rPr>
        <w:t xml:space="preserve"> working towards </w:t>
      </w:r>
      <w:r>
        <w:rPr>
          <w:sz w:val="24"/>
          <w:szCs w:val="24"/>
        </w:rPr>
        <w:t>many</w:t>
      </w:r>
      <w:r w:rsidRPr="00FC63C6">
        <w:rPr>
          <w:sz w:val="24"/>
          <w:szCs w:val="24"/>
        </w:rPr>
        <w:t xml:space="preserve"> </w:t>
      </w:r>
      <w:r w:rsidR="0083403C" w:rsidRPr="00FC63C6">
        <w:rPr>
          <w:sz w:val="24"/>
          <w:szCs w:val="24"/>
        </w:rPr>
        <w:t>recommendations</w:t>
      </w:r>
      <w:r w:rsidR="00B20AE6" w:rsidRPr="00FC63C6">
        <w:rPr>
          <w:sz w:val="24"/>
          <w:szCs w:val="24"/>
        </w:rPr>
        <w:t xml:space="preserve"> in</w:t>
      </w:r>
      <w:r w:rsidR="002F5EB1" w:rsidRPr="00FC63C6">
        <w:rPr>
          <w:sz w:val="24"/>
          <w:szCs w:val="24"/>
        </w:rPr>
        <w:t xml:space="preserve"> the report</w:t>
      </w:r>
      <w:r w:rsidR="00DA718F" w:rsidRPr="00FC63C6">
        <w:rPr>
          <w:sz w:val="24"/>
          <w:szCs w:val="24"/>
        </w:rPr>
        <w:t>.</w:t>
      </w:r>
    </w:p>
    <w:p w14:paraId="7F592290" w14:textId="26B6605D" w:rsidR="005D5127" w:rsidRPr="001F3778" w:rsidRDefault="0079301F" w:rsidP="001F3778">
      <w:pPr>
        <w:jc w:val="both"/>
        <w:rPr>
          <w:sz w:val="24"/>
          <w:szCs w:val="24"/>
        </w:rPr>
      </w:pPr>
      <w:r>
        <w:rPr>
          <w:sz w:val="24"/>
          <w:szCs w:val="24"/>
        </w:rPr>
        <w:t>M</w:t>
      </w:r>
      <w:r w:rsidR="00D35807" w:rsidRPr="00FC63C6">
        <w:rPr>
          <w:sz w:val="24"/>
          <w:szCs w:val="24"/>
        </w:rPr>
        <w:t xml:space="preserve">any of the dissenting recommendations have been </w:t>
      </w:r>
      <w:r w:rsidR="007C3734" w:rsidRPr="00FC63C6">
        <w:rPr>
          <w:sz w:val="24"/>
          <w:szCs w:val="24"/>
        </w:rPr>
        <w:t xml:space="preserve">previously </w:t>
      </w:r>
      <w:r w:rsidR="00D35807" w:rsidRPr="00FC63C6">
        <w:rPr>
          <w:sz w:val="24"/>
          <w:szCs w:val="24"/>
        </w:rPr>
        <w:t xml:space="preserve">addressed in </w:t>
      </w:r>
      <w:r w:rsidR="00064DD9" w:rsidRPr="00FC63C6">
        <w:rPr>
          <w:sz w:val="24"/>
          <w:szCs w:val="24"/>
        </w:rPr>
        <w:t>s</w:t>
      </w:r>
      <w:r w:rsidR="00D35807" w:rsidRPr="00FC63C6">
        <w:rPr>
          <w:sz w:val="24"/>
          <w:szCs w:val="24"/>
        </w:rPr>
        <w:t xml:space="preserve">ubmissions to the Inquiry from </w:t>
      </w:r>
      <w:r w:rsidR="008310D4" w:rsidRPr="00FC63C6">
        <w:rPr>
          <w:sz w:val="24"/>
          <w:szCs w:val="24"/>
        </w:rPr>
        <w:t xml:space="preserve">the </w:t>
      </w:r>
      <w:r w:rsidR="00ED4C5F" w:rsidRPr="00FC63C6">
        <w:rPr>
          <w:sz w:val="24"/>
          <w:szCs w:val="24"/>
        </w:rPr>
        <w:t>Australian Bureau of Statistics (ABS)</w:t>
      </w:r>
      <w:r w:rsidR="00D35807" w:rsidRPr="00FC63C6">
        <w:rPr>
          <w:sz w:val="24"/>
          <w:szCs w:val="24"/>
        </w:rPr>
        <w:t xml:space="preserve">, </w:t>
      </w:r>
      <w:r w:rsidR="00ED4C5F" w:rsidRPr="00FC63C6">
        <w:rPr>
          <w:sz w:val="24"/>
          <w:szCs w:val="24"/>
        </w:rPr>
        <w:t xml:space="preserve">the Australian Institute of Health and </w:t>
      </w:r>
      <w:r w:rsidR="00AD53CE" w:rsidRPr="00FC63C6">
        <w:rPr>
          <w:sz w:val="24"/>
          <w:szCs w:val="24"/>
        </w:rPr>
        <w:t>Welfare</w:t>
      </w:r>
      <w:r w:rsidR="00ED4C5F" w:rsidRPr="00FC63C6">
        <w:rPr>
          <w:sz w:val="24"/>
          <w:szCs w:val="24"/>
        </w:rPr>
        <w:t xml:space="preserve"> (</w:t>
      </w:r>
      <w:r w:rsidR="00D35807" w:rsidRPr="00FC63C6">
        <w:rPr>
          <w:sz w:val="24"/>
          <w:szCs w:val="24"/>
        </w:rPr>
        <w:t>AIHW</w:t>
      </w:r>
      <w:r w:rsidR="00ED4C5F" w:rsidRPr="00FC63C6">
        <w:rPr>
          <w:sz w:val="24"/>
          <w:szCs w:val="24"/>
        </w:rPr>
        <w:t>)</w:t>
      </w:r>
      <w:r w:rsidR="00D35807" w:rsidRPr="00FC63C6">
        <w:rPr>
          <w:sz w:val="24"/>
          <w:szCs w:val="24"/>
        </w:rPr>
        <w:t xml:space="preserve"> and the Department of Health</w:t>
      </w:r>
      <w:r w:rsidR="002673FD">
        <w:rPr>
          <w:sz w:val="24"/>
          <w:szCs w:val="24"/>
        </w:rPr>
        <w:t>, Disability and</w:t>
      </w:r>
      <w:r w:rsidR="00D35807" w:rsidRPr="00FC63C6">
        <w:rPr>
          <w:sz w:val="24"/>
          <w:szCs w:val="24"/>
        </w:rPr>
        <w:t xml:space="preserve"> Age</w:t>
      </w:r>
      <w:r w:rsidR="002673FD">
        <w:rPr>
          <w:sz w:val="24"/>
          <w:szCs w:val="24"/>
        </w:rPr>
        <w:t>ing</w:t>
      </w:r>
      <w:r w:rsidR="00593873" w:rsidRPr="00FC63C6">
        <w:rPr>
          <w:sz w:val="24"/>
          <w:szCs w:val="24"/>
        </w:rPr>
        <w:t xml:space="preserve"> and there is no further information that can be added.</w:t>
      </w:r>
    </w:p>
    <w:p w14:paraId="3368AB91" w14:textId="46B09536" w:rsidR="003146BC" w:rsidRPr="00FC63C6" w:rsidRDefault="003146BC" w:rsidP="003146BC">
      <w:pPr>
        <w:sectPr w:rsidR="003146BC" w:rsidRPr="00FC63C6">
          <w:headerReference w:type="even" r:id="rId12"/>
          <w:headerReference w:type="default" r:id="rId13"/>
          <w:footerReference w:type="even" r:id="rId14"/>
          <w:footerReference w:type="default" r:id="rId15"/>
          <w:headerReference w:type="first" r:id="rId16"/>
          <w:footerReference w:type="first" r:id="rId17"/>
          <w:pgSz w:w="11906" w:h="16838" w:code="9"/>
          <w:pgMar w:top="1134" w:right="1418" w:bottom="709" w:left="1418" w:header="709" w:footer="584" w:gutter="0"/>
          <w:cols w:space="708"/>
          <w:titlePg/>
          <w:docGrid w:linePitch="360"/>
        </w:sectPr>
      </w:pPr>
      <w:r w:rsidRPr="00FC63C6">
        <w:br w:type="page"/>
      </w:r>
    </w:p>
    <w:p w14:paraId="328B81C3" w14:textId="2220D928" w:rsidR="00A51E02" w:rsidRPr="00FC63C6" w:rsidRDefault="00A51E02" w:rsidP="00506807">
      <w:pPr>
        <w:rPr>
          <w:rFonts w:cstheme="minorHAnsi"/>
          <w:bCs/>
          <w:iCs/>
          <w:sz w:val="24"/>
          <w:szCs w:val="24"/>
        </w:rPr>
      </w:pPr>
      <w:r w:rsidRPr="00FC63C6">
        <w:rPr>
          <w:rFonts w:cstheme="minorHAnsi"/>
          <w:bCs/>
          <w:iCs/>
          <w:sz w:val="24"/>
          <w:szCs w:val="24"/>
        </w:rPr>
        <w:lastRenderedPageBreak/>
        <w:t>Responses to recommendations</w:t>
      </w:r>
    </w:p>
    <w:p w14:paraId="585588ED" w14:textId="0F36587C" w:rsidR="00F81A9D" w:rsidRPr="00FC63C6" w:rsidRDefault="00426378" w:rsidP="001F3778">
      <w:pPr>
        <w:pStyle w:val="Heading1"/>
      </w:pPr>
      <w:r w:rsidRPr="00FC63C6">
        <w:t xml:space="preserve">Group 1 – </w:t>
      </w:r>
      <w:r w:rsidR="00F81A9D" w:rsidRPr="00FC63C6">
        <w:t>A</w:t>
      </w:r>
      <w:r w:rsidR="00B622A3" w:rsidRPr="00FC63C6">
        <w:t xml:space="preserve">ustralian </w:t>
      </w:r>
      <w:r w:rsidR="00F81A9D" w:rsidRPr="00FC63C6">
        <w:t>B</w:t>
      </w:r>
      <w:r w:rsidR="00B622A3" w:rsidRPr="00FC63C6">
        <w:t xml:space="preserve">ureau of </w:t>
      </w:r>
      <w:r w:rsidR="00F81A9D" w:rsidRPr="00FC63C6">
        <w:t>S</w:t>
      </w:r>
      <w:r w:rsidR="00B622A3" w:rsidRPr="00FC63C6">
        <w:t>tatistics</w:t>
      </w:r>
      <w:r w:rsidR="002E3232" w:rsidRPr="00FC63C6">
        <w:t xml:space="preserve"> and </w:t>
      </w:r>
      <w:r w:rsidR="00E1382D" w:rsidRPr="00FC63C6">
        <w:t>Data</w:t>
      </w:r>
      <w:r w:rsidR="00F81A9D" w:rsidRPr="00FC63C6">
        <w:t xml:space="preserve"> related</w:t>
      </w:r>
      <w:r w:rsidR="002E3232" w:rsidRPr="00FC63C6">
        <w:t xml:space="preserve"> recommendations</w:t>
      </w:r>
    </w:p>
    <w:p w14:paraId="40F28CB2" w14:textId="77777777" w:rsidR="00F81A9D" w:rsidRPr="001F3778" w:rsidRDefault="00F81A9D" w:rsidP="001F3778">
      <w:pPr>
        <w:pStyle w:val="Heading2"/>
      </w:pPr>
      <w:r w:rsidRPr="00FC63C6">
        <w:t>Recommendation 1</w:t>
      </w:r>
    </w:p>
    <w:p w14:paraId="340C693F" w14:textId="77777777" w:rsidR="00F81A9D" w:rsidRPr="00FC63C6" w:rsidRDefault="00F81A9D" w:rsidP="00452FB6">
      <w:pPr>
        <w:jc w:val="both"/>
        <w:rPr>
          <w:rFonts w:cstheme="minorHAnsi"/>
          <w:bCs/>
          <w:color w:val="2F5496" w:themeColor="accent5" w:themeShade="BF"/>
          <w:sz w:val="24"/>
          <w:szCs w:val="24"/>
        </w:rPr>
      </w:pPr>
      <w:r w:rsidRPr="00FC63C6">
        <w:rPr>
          <w:rFonts w:cstheme="minorHAnsi"/>
          <w:bCs/>
          <w:color w:val="2F5496" w:themeColor="accent5" w:themeShade="BF"/>
          <w:sz w:val="24"/>
          <w:szCs w:val="24"/>
        </w:rPr>
        <w:t xml:space="preserve">The committee recommends that the Australian Bureau of Statistics: </w:t>
      </w:r>
    </w:p>
    <w:p w14:paraId="5B2E74E5" w14:textId="25B82DBF" w:rsidR="00F81A9D" w:rsidRPr="00FC63C6" w:rsidRDefault="00F81A9D" w:rsidP="00452FB6">
      <w:pPr>
        <w:pStyle w:val="ListParagraph"/>
        <w:numPr>
          <w:ilvl w:val="0"/>
          <w:numId w:val="3"/>
        </w:numPr>
        <w:jc w:val="both"/>
        <w:rPr>
          <w:rFonts w:cstheme="minorHAnsi"/>
          <w:bCs/>
          <w:color w:val="2F5496" w:themeColor="accent5" w:themeShade="BF"/>
          <w:sz w:val="24"/>
          <w:szCs w:val="24"/>
        </w:rPr>
      </w:pPr>
      <w:r w:rsidRPr="00FC63C6">
        <w:rPr>
          <w:rFonts w:cstheme="minorHAnsi"/>
          <w:bCs/>
          <w:color w:val="2F5496" w:themeColor="accent5" w:themeShade="BF"/>
          <w:sz w:val="24"/>
          <w:szCs w:val="24"/>
        </w:rPr>
        <w:t>include geographic indicators in its excess mortality estimates; and</w:t>
      </w:r>
      <w:r w:rsidR="008F10D2">
        <w:rPr>
          <w:rFonts w:cstheme="minorHAnsi"/>
          <w:bCs/>
          <w:color w:val="2F5496" w:themeColor="accent5" w:themeShade="BF"/>
          <w:sz w:val="24"/>
          <w:szCs w:val="24"/>
        </w:rPr>
        <w:t xml:space="preserve"> </w:t>
      </w:r>
    </w:p>
    <w:p w14:paraId="20475B52" w14:textId="77777777" w:rsidR="00F81A9D" w:rsidRPr="00FC63C6" w:rsidRDefault="00F81A9D" w:rsidP="00452FB6">
      <w:pPr>
        <w:pStyle w:val="ListParagraph"/>
        <w:numPr>
          <w:ilvl w:val="0"/>
          <w:numId w:val="3"/>
        </w:numPr>
        <w:jc w:val="both"/>
        <w:rPr>
          <w:rFonts w:cstheme="minorHAnsi"/>
          <w:bCs/>
          <w:color w:val="2F5496" w:themeColor="accent5" w:themeShade="BF"/>
          <w:sz w:val="24"/>
          <w:szCs w:val="24"/>
        </w:rPr>
      </w:pPr>
      <w:r w:rsidRPr="00FC63C6">
        <w:rPr>
          <w:rFonts w:cstheme="minorHAnsi"/>
          <w:bCs/>
          <w:color w:val="2F5496" w:themeColor="accent5" w:themeShade="BF"/>
          <w:sz w:val="24"/>
          <w:szCs w:val="24"/>
        </w:rPr>
        <w:t>address gaps in the production and publication of data on excess mortality among Aboriginal and Torres Strait Islander people, people with disability, and people in rural and regional areas.</w:t>
      </w:r>
    </w:p>
    <w:p w14:paraId="17A28DE1" w14:textId="77777777" w:rsidR="00E529FC" w:rsidRPr="00FC63C6" w:rsidRDefault="00E529FC" w:rsidP="00492853">
      <w:pPr>
        <w:spacing w:after="120"/>
        <w:jc w:val="both"/>
        <w:rPr>
          <w:rFonts w:cstheme="minorHAnsi"/>
          <w:bCs/>
          <w:sz w:val="24"/>
          <w:szCs w:val="24"/>
        </w:rPr>
      </w:pPr>
      <w:r w:rsidRPr="00FC63C6">
        <w:rPr>
          <w:rFonts w:cstheme="minorHAnsi"/>
          <w:bCs/>
          <w:sz w:val="24"/>
          <w:szCs w:val="24"/>
        </w:rPr>
        <w:t>The Australian Government accepts this recommendation.</w:t>
      </w:r>
    </w:p>
    <w:p w14:paraId="52299FCB" w14:textId="08C5153A" w:rsidR="00E529FC" w:rsidRPr="00FC63C6" w:rsidRDefault="00E529FC" w:rsidP="00492853">
      <w:pPr>
        <w:spacing w:after="120"/>
        <w:jc w:val="both"/>
        <w:rPr>
          <w:rFonts w:cstheme="minorHAnsi"/>
          <w:bCs/>
          <w:sz w:val="24"/>
          <w:szCs w:val="24"/>
        </w:rPr>
      </w:pPr>
      <w:r w:rsidRPr="00FC63C6">
        <w:rPr>
          <w:rFonts w:cstheme="minorHAnsi"/>
          <w:sz w:val="24"/>
          <w:szCs w:val="24"/>
        </w:rPr>
        <w:t>The ABS produc</w:t>
      </w:r>
      <w:r w:rsidR="0079301F">
        <w:rPr>
          <w:rFonts w:cstheme="minorHAnsi"/>
          <w:sz w:val="24"/>
          <w:szCs w:val="24"/>
        </w:rPr>
        <w:t>es</w:t>
      </w:r>
      <w:r w:rsidRPr="00FC63C6">
        <w:rPr>
          <w:rFonts w:cstheme="minorHAnsi"/>
          <w:sz w:val="24"/>
          <w:szCs w:val="24"/>
        </w:rPr>
        <w:t xml:space="preserve"> excess mortality estimates that are methodologically robust and meet community needs. The ABS has produced excess mortality estimates at the national level, by state and territory and by selected age groups</w:t>
      </w:r>
      <w:r w:rsidRPr="00FC63C6">
        <w:rPr>
          <w:rFonts w:cstheme="minorHAnsi"/>
          <w:bCs/>
          <w:sz w:val="24"/>
          <w:szCs w:val="24"/>
        </w:rPr>
        <w:t xml:space="preserve">. </w:t>
      </w:r>
    </w:p>
    <w:p w14:paraId="21E40B49" w14:textId="62D488FC" w:rsidR="00E529FC" w:rsidRPr="00FC63C6" w:rsidRDefault="00A0170D" w:rsidP="00492853">
      <w:pPr>
        <w:spacing w:after="120"/>
        <w:jc w:val="both"/>
        <w:rPr>
          <w:rFonts w:cstheme="minorHAnsi"/>
          <w:bCs/>
          <w:sz w:val="24"/>
          <w:szCs w:val="24"/>
        </w:rPr>
      </w:pPr>
      <w:r w:rsidRPr="00FC63C6">
        <w:rPr>
          <w:rFonts w:cstheme="minorHAnsi"/>
          <w:bCs/>
          <w:sz w:val="24"/>
          <w:szCs w:val="24"/>
        </w:rPr>
        <w:t>The ABS</w:t>
      </w:r>
      <w:r>
        <w:rPr>
          <w:rFonts w:cstheme="minorHAnsi"/>
          <w:bCs/>
          <w:sz w:val="24"/>
          <w:szCs w:val="24"/>
        </w:rPr>
        <w:t xml:space="preserve"> released </w:t>
      </w:r>
      <w:proofErr w:type="gramStart"/>
      <w:r w:rsidRPr="00EF1F41">
        <w:rPr>
          <w:rFonts w:cstheme="minorHAnsi"/>
          <w:bCs/>
          <w:sz w:val="24"/>
          <w:szCs w:val="24"/>
        </w:rPr>
        <w:t>weekly</w:t>
      </w:r>
      <w:proofErr w:type="gramEnd"/>
      <w:r w:rsidRPr="00EF1F41">
        <w:rPr>
          <w:rFonts w:cstheme="minorHAnsi"/>
          <w:bCs/>
          <w:sz w:val="24"/>
          <w:szCs w:val="24"/>
        </w:rPr>
        <w:t xml:space="preserve"> and annual excess mortality estimates for deaths occurring in Australia by remoteness areas</w:t>
      </w:r>
      <w:r w:rsidRPr="00FC63C6">
        <w:rPr>
          <w:rStyle w:val="FootnoteReference"/>
          <w:rFonts w:cstheme="minorHAnsi"/>
          <w:bCs/>
          <w:sz w:val="24"/>
          <w:szCs w:val="24"/>
        </w:rPr>
        <w:footnoteReference w:id="2"/>
      </w:r>
      <w:r>
        <w:rPr>
          <w:rFonts w:cstheme="minorHAnsi"/>
          <w:bCs/>
          <w:sz w:val="24"/>
          <w:szCs w:val="24"/>
        </w:rPr>
        <w:t xml:space="preserve"> on 28 February 2025</w:t>
      </w:r>
      <w:r w:rsidRPr="00EF1F41">
        <w:rPr>
          <w:rFonts w:cstheme="minorHAnsi"/>
          <w:bCs/>
          <w:sz w:val="24"/>
          <w:szCs w:val="24"/>
        </w:rPr>
        <w:t>. Data is reported by date of death occurrence and remoteness area analysis</w:t>
      </w:r>
      <w:r w:rsidR="00323836">
        <w:rPr>
          <w:rFonts w:cstheme="minorHAnsi"/>
          <w:bCs/>
          <w:sz w:val="24"/>
          <w:szCs w:val="24"/>
        </w:rPr>
        <w:t>. The analysis</w:t>
      </w:r>
      <w:r w:rsidRPr="00EF1F41">
        <w:rPr>
          <w:rFonts w:cstheme="minorHAnsi"/>
          <w:bCs/>
          <w:sz w:val="24"/>
          <w:szCs w:val="24"/>
        </w:rPr>
        <w:t xml:space="preserve"> includes all deaths that occurred by 31</w:t>
      </w:r>
      <w:r w:rsidR="00492853">
        <w:rPr>
          <w:rFonts w:cstheme="minorHAnsi"/>
          <w:bCs/>
          <w:sz w:val="24"/>
          <w:szCs w:val="24"/>
        </w:rPr>
        <w:t> </w:t>
      </w:r>
      <w:r w:rsidRPr="00EF1F41">
        <w:rPr>
          <w:rFonts w:cstheme="minorHAnsi"/>
          <w:bCs/>
          <w:sz w:val="24"/>
          <w:szCs w:val="24"/>
        </w:rPr>
        <w:t>December</w:t>
      </w:r>
      <w:r w:rsidR="00492853">
        <w:rPr>
          <w:rFonts w:cstheme="minorHAnsi"/>
          <w:bCs/>
          <w:sz w:val="24"/>
          <w:szCs w:val="24"/>
        </w:rPr>
        <w:t> </w:t>
      </w:r>
      <w:r w:rsidRPr="00EF1F41">
        <w:rPr>
          <w:rFonts w:cstheme="minorHAnsi"/>
          <w:bCs/>
          <w:sz w:val="24"/>
          <w:szCs w:val="24"/>
        </w:rPr>
        <w:t>2023 and registered by 31 October 2024</w:t>
      </w:r>
      <w:r w:rsidR="00E529FC" w:rsidRPr="00FC63C6">
        <w:rPr>
          <w:rFonts w:cstheme="minorHAnsi"/>
          <w:bCs/>
          <w:sz w:val="24"/>
          <w:szCs w:val="24"/>
        </w:rPr>
        <w:t xml:space="preserve">. </w:t>
      </w:r>
    </w:p>
    <w:p w14:paraId="4491AF82" w14:textId="77777777" w:rsidR="00E529FC" w:rsidRPr="00FC63C6" w:rsidRDefault="00E529FC" w:rsidP="00E529FC">
      <w:pPr>
        <w:spacing w:after="120"/>
        <w:rPr>
          <w:rFonts w:cstheme="minorHAnsi"/>
          <w:bCs/>
          <w:i/>
          <w:iCs/>
          <w:sz w:val="24"/>
          <w:szCs w:val="24"/>
        </w:rPr>
      </w:pPr>
      <w:r w:rsidRPr="00FC63C6">
        <w:rPr>
          <w:rFonts w:cstheme="minorHAnsi"/>
          <w:i/>
          <w:sz w:val="24"/>
          <w:szCs w:val="24"/>
        </w:rPr>
        <w:t>Aboriginal and Torres Strait Islander data</w:t>
      </w:r>
    </w:p>
    <w:p w14:paraId="2406ECB7" w14:textId="77777777" w:rsidR="00E529FC" w:rsidRPr="00FC63C6" w:rsidRDefault="00E529FC" w:rsidP="00B838FE">
      <w:pPr>
        <w:spacing w:after="120"/>
        <w:jc w:val="both"/>
        <w:rPr>
          <w:rFonts w:cstheme="minorHAnsi"/>
          <w:bCs/>
          <w:sz w:val="24"/>
          <w:szCs w:val="24"/>
        </w:rPr>
      </w:pPr>
      <w:r w:rsidRPr="00FC63C6">
        <w:rPr>
          <w:rFonts w:cstheme="minorHAnsi"/>
          <w:bCs/>
          <w:sz w:val="24"/>
          <w:szCs w:val="24"/>
        </w:rPr>
        <w:t>The ABS has an ongoing work program to enhance the quality of Aboriginal and Torres Strait Islander mortality data. A key focus is to improve the accuracy of Indigenous identification by using multiple sources of information to understand if a deceased person was of Aboriginal and Torres Strait Islander origin. When the ABS introduces an additional source for deriving Indigenous status – as it has done recently – this generally changes the total number of deaths by Indigenous status, usually by increasing the reported number of deaths of both Aboriginal and Torres Strait Islander people and non-Indigenous people and decreasing the number of deaths where the Indigenous status is unknown.</w:t>
      </w:r>
    </w:p>
    <w:p w14:paraId="38B3DDD5" w14:textId="6843CFC2" w:rsidR="00E529FC" w:rsidRPr="00FC63C6" w:rsidRDefault="00E529FC" w:rsidP="00B838FE">
      <w:pPr>
        <w:spacing w:after="120"/>
        <w:jc w:val="both"/>
        <w:rPr>
          <w:rFonts w:cstheme="minorHAnsi"/>
          <w:sz w:val="24"/>
          <w:szCs w:val="24"/>
        </w:rPr>
      </w:pPr>
      <w:r w:rsidRPr="00FC63C6">
        <w:rPr>
          <w:rFonts w:cstheme="minorHAnsi"/>
          <w:sz w:val="24"/>
          <w:szCs w:val="24"/>
        </w:rPr>
        <w:t xml:space="preserve">For reports on </w:t>
      </w:r>
      <w:r w:rsidRPr="00FC63C6">
        <w:rPr>
          <w:rFonts w:cstheme="minorHAnsi"/>
          <w:i/>
          <w:sz w:val="24"/>
          <w:szCs w:val="24"/>
        </w:rPr>
        <w:t>Excess Deaths</w:t>
      </w:r>
      <w:r w:rsidRPr="00FC63C6">
        <w:rPr>
          <w:rFonts w:cstheme="minorHAnsi"/>
          <w:sz w:val="24"/>
          <w:szCs w:val="24"/>
        </w:rPr>
        <w:t xml:space="preserve">, the ABS will need several years of quality Aboriginal and Torres Strait Islander mortality data where Indigenous status has been derived consistently to calculate good quality estimates of excess mortality. The ABS </w:t>
      </w:r>
      <w:r w:rsidR="00DA3DCD">
        <w:rPr>
          <w:rFonts w:cstheme="minorHAnsi"/>
          <w:sz w:val="24"/>
          <w:szCs w:val="24"/>
        </w:rPr>
        <w:t>do not</w:t>
      </w:r>
      <w:r w:rsidRPr="00FC63C6">
        <w:rPr>
          <w:rFonts w:cstheme="minorHAnsi"/>
          <w:sz w:val="24"/>
          <w:szCs w:val="24"/>
        </w:rPr>
        <w:t xml:space="preserve"> </w:t>
      </w:r>
      <w:r w:rsidR="001F1D47" w:rsidRPr="00FC63C6">
        <w:rPr>
          <w:rFonts w:cstheme="minorHAnsi"/>
          <w:sz w:val="24"/>
          <w:szCs w:val="24"/>
        </w:rPr>
        <w:t xml:space="preserve">currently </w:t>
      </w:r>
      <w:r w:rsidRPr="00FC63C6">
        <w:rPr>
          <w:rFonts w:cstheme="minorHAnsi"/>
          <w:sz w:val="24"/>
          <w:szCs w:val="24"/>
        </w:rPr>
        <w:t xml:space="preserve">have this time series and so cannot currently produce reliable estimates of excess mortality for Aboriginal and Torres Strait Islander people. </w:t>
      </w:r>
    </w:p>
    <w:p w14:paraId="6751F471" w14:textId="77777777" w:rsidR="00E529FC" w:rsidRPr="00FC63C6" w:rsidRDefault="00E529FC" w:rsidP="00B838FE">
      <w:pPr>
        <w:spacing w:after="120"/>
        <w:jc w:val="both"/>
        <w:rPr>
          <w:rFonts w:cstheme="minorHAnsi"/>
          <w:bCs/>
          <w:sz w:val="24"/>
          <w:szCs w:val="24"/>
        </w:rPr>
      </w:pPr>
      <w:r w:rsidRPr="00FC63C6">
        <w:rPr>
          <w:rFonts w:cstheme="minorHAnsi"/>
          <w:sz w:val="24"/>
          <w:szCs w:val="24"/>
        </w:rPr>
        <w:t>The ABS will continue to work with stakeholders to improve the quality of mortality data for Aboriginal and Torres Strait Islander people.</w:t>
      </w:r>
      <w:r w:rsidRPr="00FC63C6">
        <w:rPr>
          <w:rFonts w:cstheme="minorHAnsi"/>
          <w:bCs/>
          <w:sz w:val="24"/>
          <w:szCs w:val="24"/>
        </w:rPr>
        <w:t xml:space="preserve"> </w:t>
      </w:r>
    </w:p>
    <w:p w14:paraId="3508ACC7" w14:textId="77777777" w:rsidR="00B838FE" w:rsidRDefault="00B838FE">
      <w:pPr>
        <w:spacing w:after="160" w:line="259" w:lineRule="auto"/>
        <w:rPr>
          <w:rFonts w:cstheme="minorHAnsi"/>
          <w:bCs/>
          <w:i/>
          <w:iCs/>
          <w:sz w:val="24"/>
          <w:szCs w:val="24"/>
        </w:rPr>
      </w:pPr>
      <w:r>
        <w:rPr>
          <w:rFonts w:cstheme="minorHAnsi"/>
          <w:bCs/>
          <w:i/>
          <w:iCs/>
          <w:sz w:val="24"/>
          <w:szCs w:val="24"/>
        </w:rPr>
        <w:br w:type="page"/>
      </w:r>
    </w:p>
    <w:p w14:paraId="4E1B7881" w14:textId="3328887B" w:rsidR="00E529FC" w:rsidRPr="00FC63C6" w:rsidRDefault="00E529FC" w:rsidP="00E529FC">
      <w:pPr>
        <w:spacing w:after="120"/>
        <w:rPr>
          <w:rFonts w:cstheme="minorHAnsi"/>
          <w:bCs/>
          <w:i/>
          <w:iCs/>
          <w:sz w:val="24"/>
          <w:szCs w:val="24"/>
        </w:rPr>
      </w:pPr>
      <w:r w:rsidRPr="00FC63C6">
        <w:rPr>
          <w:rFonts w:cstheme="minorHAnsi"/>
          <w:bCs/>
          <w:i/>
          <w:iCs/>
          <w:sz w:val="24"/>
          <w:szCs w:val="24"/>
        </w:rPr>
        <w:lastRenderedPageBreak/>
        <w:t>Disability data</w:t>
      </w:r>
    </w:p>
    <w:p w14:paraId="0EEAC475" w14:textId="77777777" w:rsidR="00E529FC" w:rsidRPr="00FC63C6" w:rsidRDefault="00E529FC" w:rsidP="008C7E4B">
      <w:pPr>
        <w:spacing w:after="120"/>
        <w:jc w:val="both"/>
        <w:rPr>
          <w:rFonts w:cstheme="minorHAnsi"/>
          <w:bCs/>
          <w:sz w:val="24"/>
          <w:szCs w:val="24"/>
        </w:rPr>
      </w:pPr>
      <w:r w:rsidRPr="00FC63C6">
        <w:rPr>
          <w:rFonts w:cstheme="minorHAnsi"/>
          <w:bCs/>
          <w:sz w:val="24"/>
          <w:szCs w:val="24"/>
        </w:rPr>
        <w:t xml:space="preserve">Information on disability is not collected as part of the death registration process, unless the disability itself caused or contributed to death and was certified as such by the medical practitioner. The ABS cannot produce estimates of excess mortality for people with disability from the existing mortality data. </w:t>
      </w:r>
    </w:p>
    <w:p w14:paraId="5F7F7CF1" w14:textId="4EEC1B58" w:rsidR="00E529FC" w:rsidRPr="00FC63C6" w:rsidRDefault="00E529FC" w:rsidP="008C7E4B">
      <w:pPr>
        <w:spacing w:after="120"/>
        <w:jc w:val="both"/>
        <w:rPr>
          <w:sz w:val="24"/>
          <w:szCs w:val="24"/>
        </w:rPr>
      </w:pPr>
      <w:r w:rsidRPr="22C9DF9A">
        <w:rPr>
          <w:sz w:val="24"/>
          <w:szCs w:val="24"/>
        </w:rPr>
        <w:t xml:space="preserve">Agencies across the Australian Government including the ABS, </w:t>
      </w:r>
      <w:r w:rsidRPr="00A34AA4">
        <w:rPr>
          <w:sz w:val="24"/>
          <w:szCs w:val="24"/>
        </w:rPr>
        <w:t>Department of Social Services</w:t>
      </w:r>
      <w:r w:rsidRPr="22C9DF9A">
        <w:rPr>
          <w:sz w:val="24"/>
          <w:szCs w:val="24"/>
        </w:rPr>
        <w:t xml:space="preserve"> and the AIHW have </w:t>
      </w:r>
      <w:r w:rsidR="004A2C87" w:rsidRPr="22C9DF9A">
        <w:rPr>
          <w:sz w:val="24"/>
          <w:szCs w:val="24"/>
        </w:rPr>
        <w:t>collaborated</w:t>
      </w:r>
      <w:r w:rsidRPr="22C9DF9A">
        <w:rPr>
          <w:sz w:val="24"/>
          <w:szCs w:val="24"/>
        </w:rPr>
        <w:t xml:space="preserve"> to create the National Disability Data Asset (NDDA). The NDDA links de-identified data from federal and jurisdictional agencies about individuals with and without disability. The aim is to have a resource which provides insights into the lives of people with disability and improves reporting outcomes for people with disability under </w:t>
      </w:r>
      <w:r w:rsidRPr="22C9DF9A">
        <w:rPr>
          <w:i/>
          <w:iCs/>
          <w:sz w:val="24"/>
          <w:szCs w:val="24"/>
        </w:rPr>
        <w:t>Australia’s Disability Strategy 2021</w:t>
      </w:r>
      <w:r w:rsidR="56ED7B36" w:rsidRPr="22C9DF9A">
        <w:rPr>
          <w:i/>
          <w:iCs/>
          <w:sz w:val="24"/>
          <w:szCs w:val="24"/>
        </w:rPr>
        <w:t>-</w:t>
      </w:r>
      <w:r w:rsidRPr="22C9DF9A">
        <w:rPr>
          <w:i/>
          <w:iCs/>
          <w:sz w:val="24"/>
          <w:szCs w:val="24"/>
        </w:rPr>
        <w:t xml:space="preserve">2031. </w:t>
      </w:r>
      <w:r w:rsidRPr="22C9DF9A">
        <w:rPr>
          <w:sz w:val="24"/>
          <w:szCs w:val="24"/>
        </w:rPr>
        <w:t>The NDDA includes</w:t>
      </w:r>
      <w:r w:rsidRPr="22C9DF9A">
        <w:rPr>
          <w:i/>
          <w:iCs/>
          <w:sz w:val="24"/>
          <w:szCs w:val="24"/>
        </w:rPr>
        <w:t xml:space="preserve"> </w:t>
      </w:r>
      <w:r w:rsidRPr="22C9DF9A">
        <w:rPr>
          <w:sz w:val="24"/>
          <w:szCs w:val="24"/>
        </w:rPr>
        <w:t>mortality data</w:t>
      </w:r>
      <w:r w:rsidR="005B5EE8" w:rsidRPr="22C9DF9A">
        <w:rPr>
          <w:sz w:val="24"/>
          <w:szCs w:val="24"/>
        </w:rPr>
        <w:t xml:space="preserve"> and </w:t>
      </w:r>
      <w:r w:rsidRPr="22C9DF9A">
        <w:rPr>
          <w:sz w:val="24"/>
          <w:szCs w:val="24"/>
        </w:rPr>
        <w:t>may provide insights into mortality for people with disability in future.</w:t>
      </w:r>
      <w:r w:rsidR="00AC4811" w:rsidRPr="22C9DF9A">
        <w:rPr>
          <w:sz w:val="24"/>
          <w:szCs w:val="24"/>
        </w:rPr>
        <w:t xml:space="preserve"> Th</w:t>
      </w:r>
      <w:r w:rsidR="00931D76" w:rsidRPr="22C9DF9A">
        <w:rPr>
          <w:sz w:val="24"/>
          <w:szCs w:val="24"/>
        </w:rPr>
        <w:t xml:space="preserve">e first release of the NDDA was made available in December 2024 to approved researchers. More data will be available throughout 2025 and the </w:t>
      </w:r>
      <w:r w:rsidR="001951E0" w:rsidRPr="22C9DF9A">
        <w:rPr>
          <w:sz w:val="24"/>
          <w:szCs w:val="24"/>
        </w:rPr>
        <w:t>NDDA is expected to be fully operational in 2026.</w:t>
      </w:r>
      <w:r w:rsidR="00AC4811" w:rsidRPr="22C9DF9A">
        <w:rPr>
          <w:sz w:val="24"/>
          <w:szCs w:val="24"/>
        </w:rPr>
        <w:t xml:space="preserve"> </w:t>
      </w:r>
      <w:r w:rsidR="00096F4A" w:rsidRPr="22C9DF9A">
        <w:rPr>
          <w:sz w:val="24"/>
          <w:szCs w:val="24"/>
        </w:rPr>
        <w:t xml:space="preserve">Researchers may apply for access by contacting the ABS </w:t>
      </w:r>
      <w:r w:rsidR="00096F4A" w:rsidRPr="00233079">
        <w:rPr>
          <w:sz w:val="24"/>
          <w:szCs w:val="24"/>
        </w:rPr>
        <w:t xml:space="preserve">at </w:t>
      </w:r>
      <w:hyperlink r:id="rId18" w:history="1">
        <w:r w:rsidR="00096F4A" w:rsidRPr="00233079">
          <w:rPr>
            <w:rStyle w:val="Hyperlink"/>
            <w:color w:val="auto"/>
            <w:sz w:val="24"/>
            <w:szCs w:val="24"/>
          </w:rPr>
          <w:t>ndda@abs.gov.au</w:t>
        </w:r>
      </w:hyperlink>
      <w:r w:rsidR="00096F4A" w:rsidRPr="22C9DF9A">
        <w:rPr>
          <w:sz w:val="24"/>
          <w:szCs w:val="24"/>
        </w:rPr>
        <w:t xml:space="preserve">. </w:t>
      </w:r>
    </w:p>
    <w:p w14:paraId="2AA1AAEA" w14:textId="3D35B335" w:rsidR="00936E83" w:rsidRPr="00FC63C6" w:rsidRDefault="00F42DE3" w:rsidP="001F3778">
      <w:pPr>
        <w:pStyle w:val="Heading3"/>
      </w:pPr>
      <w:r w:rsidRPr="001F3778">
        <w:t>Dissenting</w:t>
      </w:r>
      <w:r w:rsidRPr="00FC63C6">
        <w:t xml:space="preserve"> Recommendation</w:t>
      </w:r>
      <w:r w:rsidR="007A5209" w:rsidRPr="00FC63C6">
        <w:t xml:space="preserve"> </w:t>
      </w:r>
      <w:r w:rsidR="00B300E7" w:rsidRPr="00FC63C6">
        <w:t>–</w:t>
      </w:r>
      <w:r w:rsidR="007A5209" w:rsidRPr="00FC63C6">
        <w:t xml:space="preserve"> </w:t>
      </w:r>
      <w:r w:rsidR="00B300E7" w:rsidRPr="00FC63C6">
        <w:t>Senator Rennick – Recommendation 1</w:t>
      </w:r>
    </w:p>
    <w:p w14:paraId="1726A92E" w14:textId="77777777" w:rsidR="00936E83" w:rsidRPr="00FC63C6" w:rsidRDefault="00936E83" w:rsidP="00936E83">
      <w:pPr>
        <w:rPr>
          <w:rFonts w:cstheme="minorHAnsi"/>
          <w:bCs/>
          <w:color w:val="2F5496" w:themeColor="accent5" w:themeShade="BF"/>
          <w:sz w:val="24"/>
          <w:szCs w:val="24"/>
        </w:rPr>
      </w:pPr>
      <w:r w:rsidRPr="00FC63C6">
        <w:rPr>
          <w:rFonts w:cstheme="minorHAnsi"/>
          <w:bCs/>
          <w:color w:val="2F5496" w:themeColor="accent5" w:themeShade="BF"/>
          <w:sz w:val="24"/>
          <w:szCs w:val="24"/>
        </w:rPr>
        <w:t>The Australian Bureau of Statistics needs to track and report vaccination status.</w:t>
      </w:r>
    </w:p>
    <w:p w14:paraId="54B92CB2" w14:textId="4B5B3299" w:rsidR="008A5D8C" w:rsidRPr="00FC63C6" w:rsidRDefault="008A5D8C" w:rsidP="00686755">
      <w:pPr>
        <w:jc w:val="both"/>
        <w:rPr>
          <w:rFonts w:cstheme="minorHAnsi"/>
          <w:iCs/>
          <w:sz w:val="24"/>
          <w:szCs w:val="24"/>
        </w:rPr>
      </w:pPr>
      <w:r w:rsidRPr="00FC63C6">
        <w:rPr>
          <w:rFonts w:cstheme="minorHAnsi"/>
          <w:iCs/>
          <w:sz w:val="24"/>
          <w:szCs w:val="24"/>
        </w:rPr>
        <w:t xml:space="preserve">The Australian Government </w:t>
      </w:r>
      <w:r w:rsidR="00550B99" w:rsidRPr="00FC63C6">
        <w:rPr>
          <w:rFonts w:cstheme="minorHAnsi"/>
          <w:iCs/>
          <w:sz w:val="24"/>
          <w:szCs w:val="24"/>
        </w:rPr>
        <w:t xml:space="preserve">does not </w:t>
      </w:r>
      <w:r w:rsidR="004A427F">
        <w:rPr>
          <w:rFonts w:cstheme="minorHAnsi"/>
          <w:iCs/>
          <w:sz w:val="24"/>
          <w:szCs w:val="24"/>
        </w:rPr>
        <w:t>support</w:t>
      </w:r>
      <w:r w:rsidR="00AC7F44" w:rsidRPr="00FC63C6">
        <w:rPr>
          <w:rFonts w:cstheme="minorHAnsi"/>
          <w:iCs/>
          <w:sz w:val="24"/>
          <w:szCs w:val="24"/>
        </w:rPr>
        <w:t xml:space="preserve"> </w:t>
      </w:r>
      <w:r w:rsidRPr="00FC63C6">
        <w:rPr>
          <w:rFonts w:cstheme="minorHAnsi"/>
          <w:iCs/>
          <w:sz w:val="24"/>
          <w:szCs w:val="24"/>
        </w:rPr>
        <w:t>this recommendation</w:t>
      </w:r>
      <w:r w:rsidR="00510AF0" w:rsidRPr="00FC63C6">
        <w:rPr>
          <w:rFonts w:cstheme="minorHAnsi"/>
          <w:iCs/>
          <w:sz w:val="24"/>
          <w:szCs w:val="24"/>
        </w:rPr>
        <w:t>.</w:t>
      </w:r>
    </w:p>
    <w:p w14:paraId="3FB0A193" w14:textId="029386D0" w:rsidR="00FA6810" w:rsidRPr="00FC63C6" w:rsidRDefault="00FA6810" w:rsidP="00686755">
      <w:pPr>
        <w:jc w:val="both"/>
        <w:rPr>
          <w:sz w:val="24"/>
          <w:szCs w:val="24"/>
        </w:rPr>
      </w:pPr>
      <w:r w:rsidRPr="22C9DF9A">
        <w:rPr>
          <w:sz w:val="24"/>
          <w:szCs w:val="24"/>
        </w:rPr>
        <w:t>The Department of Health</w:t>
      </w:r>
      <w:r w:rsidR="00F30D64">
        <w:rPr>
          <w:sz w:val="24"/>
          <w:szCs w:val="24"/>
        </w:rPr>
        <w:t>, Disability and Ageing</w:t>
      </w:r>
      <w:r w:rsidRPr="22C9DF9A">
        <w:rPr>
          <w:sz w:val="24"/>
          <w:szCs w:val="24"/>
        </w:rPr>
        <w:t xml:space="preserve"> </w:t>
      </w:r>
      <w:r w:rsidR="00F3058E" w:rsidRPr="22C9DF9A">
        <w:rPr>
          <w:sz w:val="24"/>
          <w:szCs w:val="24"/>
        </w:rPr>
        <w:t xml:space="preserve">is </w:t>
      </w:r>
      <w:r w:rsidRPr="22C9DF9A">
        <w:rPr>
          <w:sz w:val="24"/>
          <w:szCs w:val="24"/>
        </w:rPr>
        <w:t>the data custodian of the Australian Immunisation Register</w:t>
      </w:r>
      <w:r w:rsidR="002478A3" w:rsidRPr="22C9DF9A">
        <w:rPr>
          <w:sz w:val="24"/>
          <w:szCs w:val="24"/>
        </w:rPr>
        <w:t xml:space="preserve"> (AIR)</w:t>
      </w:r>
      <w:r w:rsidRPr="22C9DF9A">
        <w:rPr>
          <w:sz w:val="24"/>
          <w:szCs w:val="24"/>
        </w:rPr>
        <w:t xml:space="preserve"> </w:t>
      </w:r>
      <w:r w:rsidR="005E6FAE" w:rsidRPr="22C9DF9A">
        <w:rPr>
          <w:sz w:val="24"/>
          <w:szCs w:val="24"/>
        </w:rPr>
        <w:t>which</w:t>
      </w:r>
      <w:r w:rsidRPr="22C9DF9A">
        <w:rPr>
          <w:sz w:val="24"/>
          <w:szCs w:val="24"/>
        </w:rPr>
        <w:t xml:space="preserve"> report</w:t>
      </w:r>
      <w:r w:rsidR="005E6FAE" w:rsidRPr="22C9DF9A">
        <w:rPr>
          <w:sz w:val="24"/>
          <w:szCs w:val="24"/>
        </w:rPr>
        <w:t>s</w:t>
      </w:r>
      <w:r w:rsidRPr="22C9DF9A">
        <w:rPr>
          <w:sz w:val="24"/>
          <w:szCs w:val="24"/>
        </w:rPr>
        <w:t xml:space="preserve"> and track</w:t>
      </w:r>
      <w:r w:rsidR="005E6FAE" w:rsidRPr="22C9DF9A">
        <w:rPr>
          <w:sz w:val="24"/>
          <w:szCs w:val="24"/>
        </w:rPr>
        <w:t>s</w:t>
      </w:r>
      <w:r w:rsidRPr="22C9DF9A">
        <w:rPr>
          <w:sz w:val="24"/>
          <w:szCs w:val="24"/>
        </w:rPr>
        <w:t xml:space="preserve"> vaccination status of the population. </w:t>
      </w:r>
      <w:r w:rsidR="707473B1" w:rsidRPr="22C9DF9A">
        <w:rPr>
          <w:sz w:val="24"/>
          <w:szCs w:val="24"/>
        </w:rPr>
        <w:t>The AIR data is provided to the ABS frequently to link with other C</w:t>
      </w:r>
      <w:r w:rsidR="2D0120D5" w:rsidRPr="22C9DF9A">
        <w:rPr>
          <w:sz w:val="24"/>
          <w:szCs w:val="24"/>
        </w:rPr>
        <w:t>o</w:t>
      </w:r>
      <w:r w:rsidR="707473B1" w:rsidRPr="22C9DF9A">
        <w:rPr>
          <w:sz w:val="24"/>
          <w:szCs w:val="24"/>
        </w:rPr>
        <w:t xml:space="preserve">mmonwealth </w:t>
      </w:r>
      <w:r w:rsidR="39C8EE23" w:rsidRPr="22C9DF9A">
        <w:rPr>
          <w:sz w:val="24"/>
          <w:szCs w:val="24"/>
        </w:rPr>
        <w:t>administered</w:t>
      </w:r>
      <w:r w:rsidR="707473B1" w:rsidRPr="22C9DF9A">
        <w:rPr>
          <w:sz w:val="24"/>
          <w:szCs w:val="24"/>
        </w:rPr>
        <w:t xml:space="preserve"> data sets</w:t>
      </w:r>
      <w:r w:rsidR="6C4B9AE7" w:rsidRPr="22C9DF9A">
        <w:rPr>
          <w:sz w:val="24"/>
          <w:szCs w:val="24"/>
        </w:rPr>
        <w:t xml:space="preserve"> for access by government agencies and researchers.</w:t>
      </w:r>
      <w:r w:rsidRPr="22C9DF9A">
        <w:rPr>
          <w:sz w:val="24"/>
          <w:szCs w:val="24"/>
        </w:rPr>
        <w:t xml:space="preserve"> </w:t>
      </w:r>
      <w:r w:rsidR="008B3ABA" w:rsidRPr="22C9DF9A">
        <w:rPr>
          <w:sz w:val="24"/>
          <w:szCs w:val="24"/>
        </w:rPr>
        <w:t xml:space="preserve">An example of a project that integrates AIR and </w:t>
      </w:r>
      <w:r w:rsidR="001C7E12" w:rsidRPr="22C9DF9A">
        <w:rPr>
          <w:sz w:val="24"/>
          <w:szCs w:val="24"/>
        </w:rPr>
        <w:t xml:space="preserve">the </w:t>
      </w:r>
      <w:r w:rsidR="001C7E12" w:rsidRPr="00FC63C6">
        <w:rPr>
          <w:rFonts w:ascii="Calibri" w:eastAsia="Calibri" w:hAnsi="Calibri" w:cs="Calibri"/>
          <w:sz w:val="24"/>
          <w:szCs w:val="24"/>
        </w:rPr>
        <w:t>ABS’ Person Level Integrated Data Asset (PLIDA)</w:t>
      </w:r>
      <w:r w:rsidR="001C7E12">
        <w:rPr>
          <w:rFonts w:ascii="Calibri" w:eastAsia="Calibri" w:hAnsi="Calibri" w:cs="Calibri"/>
          <w:sz w:val="24"/>
          <w:szCs w:val="24"/>
        </w:rPr>
        <w:t xml:space="preserve"> is “Understanding socio-demographic cohorts in the COVID-19 Vaccines Strategy (</w:t>
      </w:r>
      <w:r w:rsidR="001C7E12" w:rsidRPr="22C9DF9A">
        <w:rPr>
          <w:rFonts w:ascii="Calibri" w:eastAsia="Calibri" w:hAnsi="Calibri" w:cs="Calibri"/>
          <w:sz w:val="24"/>
          <w:szCs w:val="24"/>
        </w:rPr>
        <w:t>20</w:t>
      </w:r>
      <w:r w:rsidR="7D0C8100" w:rsidRPr="22C9DF9A">
        <w:rPr>
          <w:rFonts w:ascii="Calibri" w:eastAsia="Calibri" w:hAnsi="Calibri" w:cs="Calibri"/>
          <w:sz w:val="24"/>
          <w:szCs w:val="24"/>
        </w:rPr>
        <w:t>2</w:t>
      </w:r>
      <w:r w:rsidR="001C7E12" w:rsidRPr="22C9DF9A">
        <w:rPr>
          <w:rFonts w:ascii="Calibri" w:eastAsia="Calibri" w:hAnsi="Calibri" w:cs="Calibri"/>
          <w:sz w:val="24"/>
          <w:szCs w:val="24"/>
        </w:rPr>
        <w:t>1</w:t>
      </w:r>
      <w:r w:rsidR="001C7E12">
        <w:rPr>
          <w:rFonts w:ascii="Calibri" w:eastAsia="Calibri" w:hAnsi="Calibri" w:cs="Calibri"/>
          <w:sz w:val="24"/>
          <w:szCs w:val="24"/>
        </w:rPr>
        <w:t>)”</w:t>
      </w:r>
      <w:r w:rsidR="000E054D">
        <w:rPr>
          <w:rFonts w:ascii="Calibri" w:eastAsia="Calibri" w:hAnsi="Calibri" w:cs="Calibri"/>
          <w:sz w:val="24"/>
          <w:szCs w:val="24"/>
        </w:rPr>
        <w:t xml:space="preserve">. Details about this and other PLIDA projects </w:t>
      </w:r>
      <w:r w:rsidR="000E054D" w:rsidRPr="00DB1E02">
        <w:rPr>
          <w:rFonts w:ascii="Calibri" w:eastAsia="Calibri" w:hAnsi="Calibri" w:cs="Calibri"/>
          <w:sz w:val="24"/>
          <w:szCs w:val="24"/>
        </w:rPr>
        <w:t xml:space="preserve">are available </w:t>
      </w:r>
      <w:r w:rsidR="00A416E2" w:rsidRPr="00DB1E02">
        <w:rPr>
          <w:rFonts w:ascii="Calibri" w:eastAsia="Calibri" w:hAnsi="Calibri" w:cs="Calibri"/>
          <w:sz w:val="24"/>
          <w:szCs w:val="24"/>
        </w:rPr>
        <w:t>from</w:t>
      </w:r>
      <w:r w:rsidR="000E054D" w:rsidRPr="00DB1E02">
        <w:rPr>
          <w:rFonts w:ascii="Calibri" w:eastAsia="Calibri" w:hAnsi="Calibri" w:cs="Calibri"/>
          <w:sz w:val="24"/>
          <w:szCs w:val="24"/>
        </w:rPr>
        <w:t xml:space="preserve"> the ABS</w:t>
      </w:r>
      <w:r w:rsidR="00775427" w:rsidRPr="00DB1E02">
        <w:rPr>
          <w:rFonts w:ascii="Calibri" w:eastAsia="Calibri" w:hAnsi="Calibri" w:cs="Calibri"/>
          <w:sz w:val="24"/>
          <w:szCs w:val="24"/>
        </w:rPr>
        <w:t xml:space="preserve"> (</w:t>
      </w:r>
      <w:hyperlink r:id="rId19" w:history="1">
        <w:r w:rsidR="00775427" w:rsidRPr="00DB1E02">
          <w:rPr>
            <w:rStyle w:val="Hyperlink"/>
            <w:rFonts w:ascii="Calibri" w:eastAsia="Calibri" w:hAnsi="Calibri" w:cs="Calibri"/>
            <w:color w:val="auto"/>
            <w:sz w:val="24"/>
            <w:szCs w:val="24"/>
          </w:rPr>
          <w:t>https://www.abs.gov.au/about/data-services/data-integration/integrated-data/person-level-integrated-data-asset-plida/plidamadip-research-projects</w:t>
        </w:r>
      </w:hyperlink>
      <w:r w:rsidR="00775427" w:rsidRPr="00DB1E02">
        <w:rPr>
          <w:rFonts w:ascii="Calibri" w:eastAsia="Calibri" w:hAnsi="Calibri" w:cs="Calibri"/>
          <w:sz w:val="24"/>
          <w:szCs w:val="24"/>
        </w:rPr>
        <w:t xml:space="preserve">). </w:t>
      </w:r>
    </w:p>
    <w:p w14:paraId="47D5EC14" w14:textId="76AE7E68" w:rsidR="006A13C0" w:rsidRPr="00FC63C6" w:rsidRDefault="006A13C0" w:rsidP="001F3778">
      <w:pPr>
        <w:pStyle w:val="Heading3"/>
      </w:pPr>
      <w:r w:rsidRPr="00FC63C6">
        <w:t>Dissenting Recommendation</w:t>
      </w:r>
      <w:r w:rsidR="0099427A" w:rsidRPr="00FC63C6">
        <w:t xml:space="preserve"> – Senator Babet </w:t>
      </w:r>
      <w:r w:rsidR="00316168" w:rsidRPr="00FC63C6">
        <w:t>–</w:t>
      </w:r>
      <w:r w:rsidR="0099427A" w:rsidRPr="00FC63C6">
        <w:t xml:space="preserve"> Recommendation</w:t>
      </w:r>
      <w:r w:rsidR="00316168" w:rsidRPr="00FC63C6">
        <w:t xml:space="preserve"> 3</w:t>
      </w:r>
    </w:p>
    <w:p w14:paraId="28858B9D" w14:textId="77777777" w:rsidR="0003264F" w:rsidRPr="00FC63C6" w:rsidRDefault="0003264F" w:rsidP="00452FB6">
      <w:pPr>
        <w:jc w:val="both"/>
        <w:rPr>
          <w:rFonts w:cstheme="minorHAnsi"/>
          <w:bCs/>
          <w:color w:val="2F5496" w:themeColor="accent5" w:themeShade="BF"/>
          <w:sz w:val="24"/>
          <w:szCs w:val="24"/>
        </w:rPr>
      </w:pPr>
      <w:r w:rsidRPr="00FC63C6">
        <w:rPr>
          <w:rFonts w:cstheme="minorHAnsi"/>
          <w:bCs/>
          <w:color w:val="2F5496" w:themeColor="accent5" w:themeShade="BF"/>
          <w:sz w:val="24"/>
          <w:szCs w:val="24"/>
        </w:rPr>
        <w:t xml:space="preserve">Integrated data assets held by the AIHW and ABS which include both mortality data and the Australian Immunisation Register data should have been reviewed throughout the pandemic to review any possible connection between higher-than-expected all-cause mortality and COVID-19 vaccination. These same data assets must be made available for independent analysis of vaccination status and mortality. </w:t>
      </w:r>
    </w:p>
    <w:p w14:paraId="5EFD942C" w14:textId="593B8B7F" w:rsidR="00F55976" w:rsidRPr="00FC63C6" w:rsidRDefault="000504C5" w:rsidP="00EF0FAF">
      <w:pPr>
        <w:spacing w:after="120"/>
        <w:jc w:val="both"/>
        <w:rPr>
          <w:rFonts w:cstheme="minorHAnsi"/>
          <w:bCs/>
          <w:sz w:val="24"/>
          <w:szCs w:val="24"/>
          <w:u w:val="single"/>
        </w:rPr>
      </w:pPr>
      <w:r w:rsidRPr="00FC63C6">
        <w:rPr>
          <w:rFonts w:cstheme="minorHAnsi"/>
          <w:bCs/>
          <w:sz w:val="24"/>
          <w:szCs w:val="24"/>
        </w:rPr>
        <w:t>The Australian Government notes this recommendation.</w:t>
      </w:r>
    </w:p>
    <w:p w14:paraId="412A3500" w14:textId="1005B061" w:rsidR="00F55976" w:rsidRPr="00FC63C6" w:rsidRDefault="00F55976" w:rsidP="00EF0FAF">
      <w:pPr>
        <w:jc w:val="both"/>
        <w:rPr>
          <w:sz w:val="24"/>
          <w:szCs w:val="24"/>
        </w:rPr>
      </w:pPr>
      <w:r w:rsidRPr="00FC63C6">
        <w:rPr>
          <w:sz w:val="24"/>
          <w:szCs w:val="24"/>
        </w:rPr>
        <w:t>The Department of Health</w:t>
      </w:r>
      <w:r w:rsidR="00F30D64">
        <w:rPr>
          <w:sz w:val="24"/>
          <w:szCs w:val="24"/>
        </w:rPr>
        <w:t>, Disability and Ageing</w:t>
      </w:r>
      <w:r w:rsidR="00F30D64" w:rsidRPr="00FC63C6">
        <w:rPr>
          <w:sz w:val="24"/>
          <w:szCs w:val="24"/>
        </w:rPr>
        <w:t xml:space="preserve"> </w:t>
      </w:r>
      <w:r w:rsidR="68DFC069" w:rsidRPr="00FC63C6">
        <w:rPr>
          <w:sz w:val="24"/>
          <w:szCs w:val="24"/>
        </w:rPr>
        <w:t xml:space="preserve">has </w:t>
      </w:r>
      <w:r w:rsidR="327B9EE3" w:rsidRPr="00FC63C6">
        <w:rPr>
          <w:sz w:val="24"/>
          <w:szCs w:val="24"/>
        </w:rPr>
        <w:t xml:space="preserve">made AIR data available </w:t>
      </w:r>
      <w:r w:rsidR="3FB8C4C1" w:rsidRPr="00FC63C6">
        <w:rPr>
          <w:sz w:val="24"/>
          <w:szCs w:val="24"/>
        </w:rPr>
        <w:t xml:space="preserve">through both the ABS and AIHW. The department has also </w:t>
      </w:r>
      <w:r w:rsidR="4D4096AB" w:rsidRPr="00FC63C6">
        <w:rPr>
          <w:sz w:val="24"/>
          <w:szCs w:val="24"/>
        </w:rPr>
        <w:t>analyse</w:t>
      </w:r>
      <w:r w:rsidR="746FB557" w:rsidRPr="00FC63C6">
        <w:rPr>
          <w:sz w:val="24"/>
          <w:szCs w:val="24"/>
        </w:rPr>
        <w:t>d</w:t>
      </w:r>
      <w:r w:rsidRPr="00FC63C6">
        <w:rPr>
          <w:sz w:val="24"/>
          <w:szCs w:val="24"/>
        </w:rPr>
        <w:t xml:space="preserve"> mortality by vaccination status using </w:t>
      </w:r>
      <w:r w:rsidR="001F46D5" w:rsidRPr="00FC63C6">
        <w:rPr>
          <w:sz w:val="24"/>
          <w:szCs w:val="24"/>
        </w:rPr>
        <w:lastRenderedPageBreak/>
        <w:t xml:space="preserve">integrated </w:t>
      </w:r>
      <w:r w:rsidRPr="00FC63C6">
        <w:rPr>
          <w:sz w:val="24"/>
          <w:szCs w:val="24"/>
        </w:rPr>
        <w:t xml:space="preserve">data </w:t>
      </w:r>
      <w:r w:rsidR="001F46D5" w:rsidRPr="00FC63C6">
        <w:rPr>
          <w:sz w:val="24"/>
          <w:szCs w:val="24"/>
        </w:rPr>
        <w:t>assets held by the ABS</w:t>
      </w:r>
      <w:r w:rsidR="154CCA4B" w:rsidRPr="00FC63C6">
        <w:rPr>
          <w:sz w:val="24"/>
          <w:szCs w:val="24"/>
        </w:rPr>
        <w:t xml:space="preserve"> throughout the pandemic</w:t>
      </w:r>
      <w:r w:rsidR="1C5C7F3A" w:rsidRPr="00FC63C6">
        <w:rPr>
          <w:sz w:val="24"/>
          <w:szCs w:val="24"/>
        </w:rPr>
        <w:t>.</w:t>
      </w:r>
      <w:r w:rsidR="001F46D5" w:rsidRPr="00FC63C6">
        <w:rPr>
          <w:sz w:val="24"/>
          <w:szCs w:val="24"/>
        </w:rPr>
        <w:t xml:space="preserve"> </w:t>
      </w:r>
      <w:r w:rsidR="00B77542" w:rsidRPr="00FC63C6">
        <w:rPr>
          <w:sz w:val="24"/>
          <w:szCs w:val="24"/>
        </w:rPr>
        <w:t xml:space="preserve">Direct access </w:t>
      </w:r>
      <w:r w:rsidR="10A4A48B" w:rsidRPr="00FC63C6">
        <w:rPr>
          <w:sz w:val="24"/>
          <w:szCs w:val="24"/>
        </w:rPr>
        <w:t>to</w:t>
      </w:r>
      <w:r w:rsidR="007C74EE" w:rsidRPr="00FC63C6">
        <w:rPr>
          <w:sz w:val="24"/>
          <w:szCs w:val="24"/>
        </w:rPr>
        <w:t xml:space="preserve"> </w:t>
      </w:r>
      <w:r w:rsidR="00B77542" w:rsidRPr="00FC63C6">
        <w:rPr>
          <w:sz w:val="24"/>
          <w:szCs w:val="24"/>
        </w:rPr>
        <w:t>these data assets is managed by the ABS</w:t>
      </w:r>
      <w:r w:rsidR="024CE071" w:rsidRPr="00FC63C6">
        <w:rPr>
          <w:sz w:val="24"/>
          <w:szCs w:val="24"/>
        </w:rPr>
        <w:t xml:space="preserve"> and AIHW</w:t>
      </w:r>
      <w:r w:rsidR="17B1F963" w:rsidRPr="00FC63C6">
        <w:rPr>
          <w:sz w:val="24"/>
          <w:szCs w:val="24"/>
        </w:rPr>
        <w:t>.</w:t>
      </w:r>
      <w:r w:rsidR="008F10D2">
        <w:rPr>
          <w:sz w:val="24"/>
          <w:szCs w:val="24"/>
        </w:rPr>
        <w:t xml:space="preserve"> </w:t>
      </w:r>
    </w:p>
    <w:p w14:paraId="777C4DF8" w14:textId="77777777" w:rsidR="001F3778" w:rsidRDefault="00661DFB" w:rsidP="001F3778">
      <w:pPr>
        <w:pStyle w:val="FootnoteText"/>
        <w:spacing w:line="276" w:lineRule="auto"/>
        <w:jc w:val="both"/>
        <w:rPr>
          <w:rFonts w:ascii="Calibri" w:eastAsia="Calibri" w:hAnsi="Calibri" w:cs="Calibri"/>
          <w:sz w:val="24"/>
          <w:szCs w:val="24"/>
        </w:rPr>
      </w:pPr>
      <w:r w:rsidRPr="00FC63C6">
        <w:rPr>
          <w:rFonts w:ascii="Calibri" w:eastAsia="Calibri" w:hAnsi="Calibri" w:cs="Calibri"/>
          <w:sz w:val="24"/>
          <w:szCs w:val="24"/>
        </w:rPr>
        <w:t xml:space="preserve">Death registry information is also available through the ABS’ Person Level Integrated Data Asset (PLIDA). AIR data and Death Registrations from State and Territory registrars is available to approved researchers through the safe and secure ABS </w:t>
      </w:r>
      <w:proofErr w:type="spellStart"/>
      <w:r w:rsidRPr="00FC63C6">
        <w:rPr>
          <w:rFonts w:ascii="Calibri" w:eastAsia="Calibri" w:hAnsi="Calibri" w:cs="Calibri"/>
          <w:sz w:val="24"/>
          <w:szCs w:val="24"/>
        </w:rPr>
        <w:t>DataLab</w:t>
      </w:r>
      <w:proofErr w:type="spellEnd"/>
      <w:r w:rsidRPr="00FC63C6">
        <w:rPr>
          <w:rFonts w:ascii="Calibri" w:eastAsia="Calibri" w:hAnsi="Calibri" w:cs="Calibri"/>
          <w:sz w:val="24"/>
          <w:szCs w:val="24"/>
        </w:rPr>
        <w:t xml:space="preserve"> facility. </w:t>
      </w:r>
      <w:r w:rsidR="0079301F">
        <w:rPr>
          <w:rFonts w:ascii="Calibri" w:eastAsia="Calibri" w:hAnsi="Calibri" w:cs="Calibri"/>
          <w:sz w:val="24"/>
          <w:szCs w:val="24"/>
        </w:rPr>
        <w:t>R</w:t>
      </w:r>
      <w:r w:rsidRPr="00FC63C6">
        <w:rPr>
          <w:rFonts w:ascii="Calibri" w:eastAsia="Calibri" w:hAnsi="Calibri" w:cs="Calibri"/>
          <w:sz w:val="24"/>
          <w:szCs w:val="24"/>
        </w:rPr>
        <w:t xml:space="preserve">esearchers can apply to access this and other PLIDA datasets through the ABS </w:t>
      </w:r>
      <w:proofErr w:type="spellStart"/>
      <w:r w:rsidRPr="00FC63C6">
        <w:rPr>
          <w:rFonts w:ascii="Calibri" w:eastAsia="Calibri" w:hAnsi="Calibri" w:cs="Calibri"/>
          <w:sz w:val="24"/>
          <w:szCs w:val="24"/>
        </w:rPr>
        <w:t>myD</w:t>
      </w:r>
      <w:r w:rsidRPr="00FC63C6">
        <w:rPr>
          <w:rFonts w:eastAsiaTheme="minorEastAsia"/>
          <w:sz w:val="24"/>
          <w:szCs w:val="24"/>
        </w:rPr>
        <w:t>ATA</w:t>
      </w:r>
      <w:proofErr w:type="spellEnd"/>
      <w:r w:rsidRPr="00FC63C6">
        <w:rPr>
          <w:rFonts w:eastAsiaTheme="minorEastAsia"/>
          <w:sz w:val="24"/>
          <w:szCs w:val="24"/>
        </w:rPr>
        <w:t xml:space="preserve"> portal</w:t>
      </w:r>
      <w:r w:rsidR="00CF5D38" w:rsidRPr="00FC63C6">
        <w:rPr>
          <w:rFonts w:eastAsiaTheme="minorEastAsia"/>
          <w:sz w:val="24"/>
          <w:szCs w:val="24"/>
        </w:rPr>
        <w:t xml:space="preserve"> </w:t>
      </w:r>
      <w:r w:rsidR="70E43234" w:rsidRPr="00FC63C6">
        <w:rPr>
          <w:rFonts w:eastAsiaTheme="minorEastAsia"/>
          <w:sz w:val="24"/>
          <w:szCs w:val="24"/>
        </w:rPr>
        <w:t>(https://mydataportal.abs.gov.au/</w:t>
      </w:r>
      <w:r w:rsidR="00CF5D38" w:rsidRPr="00FC63C6">
        <w:rPr>
          <w:rFonts w:eastAsiaTheme="minorEastAsia"/>
          <w:sz w:val="24"/>
          <w:szCs w:val="24"/>
        </w:rPr>
        <w:t>)</w:t>
      </w:r>
      <w:r w:rsidRPr="00FC63C6">
        <w:rPr>
          <w:rFonts w:eastAsiaTheme="minorEastAsia"/>
          <w:sz w:val="24"/>
          <w:szCs w:val="24"/>
        </w:rPr>
        <w:t>. T</w:t>
      </w:r>
      <w:r w:rsidRPr="00FC63C6">
        <w:rPr>
          <w:rFonts w:ascii="Calibri" w:eastAsia="Calibri" w:hAnsi="Calibri" w:cs="Calibri"/>
          <w:sz w:val="24"/>
          <w:szCs w:val="24"/>
        </w:rPr>
        <w:t xml:space="preserve">his facility enables ongoing research into Excess Mortality. </w:t>
      </w:r>
    </w:p>
    <w:p w14:paraId="3E5EBD1D" w14:textId="29C7F7DB" w:rsidR="00BA6B4A" w:rsidRPr="001F3778" w:rsidRDefault="00BA6B4A" w:rsidP="001F3778">
      <w:pPr>
        <w:rPr>
          <w:rFonts w:ascii="Calibri" w:eastAsia="Calibri" w:hAnsi="Calibri" w:cs="Calibri"/>
          <w:sz w:val="24"/>
          <w:szCs w:val="24"/>
        </w:rPr>
      </w:pPr>
      <w:r w:rsidRPr="00FC63C6">
        <w:rPr>
          <w:rFonts w:cstheme="minorHAnsi"/>
          <w:bCs/>
          <w:sz w:val="24"/>
          <w:szCs w:val="24"/>
        </w:rPr>
        <w:t>The AIHW’s COVID-19 Register (</w:t>
      </w:r>
      <w:hyperlink r:id="rId20" w:history="1">
        <w:r w:rsidRPr="00FC63C6">
          <w:rPr>
            <w:rStyle w:val="Hyperlink"/>
            <w:rFonts w:cstheme="minorHAnsi"/>
            <w:bCs/>
            <w:color w:val="auto"/>
            <w:sz w:val="24"/>
            <w:szCs w:val="24"/>
          </w:rPr>
          <w:t>https://www.aihw.gov.au/reports-data/covid-linked-data-set</w:t>
        </w:r>
      </w:hyperlink>
      <w:r w:rsidRPr="00FC63C6">
        <w:rPr>
          <w:rFonts w:cstheme="minorHAnsi"/>
          <w:bCs/>
          <w:sz w:val="24"/>
          <w:szCs w:val="24"/>
        </w:rPr>
        <w:t>), which contains information about all-cause mortality and COVID-19 vaccination, is available to researchers for independent analysis of vaccination status and mortality.</w:t>
      </w:r>
      <w:r w:rsidR="003D2916">
        <w:rPr>
          <w:rFonts w:cstheme="minorHAnsi"/>
          <w:bCs/>
          <w:sz w:val="24"/>
          <w:szCs w:val="24"/>
        </w:rPr>
        <w:t xml:space="preserve"> Researchers can access information on the COVID-19 Register project approval process on </w:t>
      </w:r>
      <w:r w:rsidR="003D2916" w:rsidRPr="00233079">
        <w:rPr>
          <w:rFonts w:cstheme="minorHAnsi"/>
          <w:bCs/>
          <w:sz w:val="24"/>
          <w:szCs w:val="24"/>
        </w:rPr>
        <w:t>AIHWs website (</w:t>
      </w:r>
      <w:hyperlink r:id="rId21" w:history="1">
        <w:r w:rsidR="003D2916" w:rsidRPr="00233079">
          <w:rPr>
            <w:rStyle w:val="Hyperlink"/>
            <w:rFonts w:cstheme="minorHAnsi"/>
            <w:bCs/>
            <w:color w:val="auto"/>
            <w:sz w:val="24"/>
            <w:szCs w:val="24"/>
          </w:rPr>
          <w:t>https://www.aihw.gov.au/reports-data/covid-linked-data-set/accessing-the-data</w:t>
        </w:r>
      </w:hyperlink>
      <w:r w:rsidR="003D2916" w:rsidRPr="00233079">
        <w:rPr>
          <w:rFonts w:cstheme="minorHAnsi"/>
          <w:bCs/>
          <w:sz w:val="24"/>
          <w:szCs w:val="24"/>
        </w:rPr>
        <w:t>).</w:t>
      </w:r>
    </w:p>
    <w:p w14:paraId="6F30751C" w14:textId="6AE67EBD" w:rsidR="006A13C0" w:rsidRPr="00FC63C6" w:rsidRDefault="006A13C0" w:rsidP="001F3778">
      <w:pPr>
        <w:pStyle w:val="Heading3"/>
      </w:pPr>
      <w:r w:rsidRPr="00FC63C6">
        <w:t>Dissenting Recommendation</w:t>
      </w:r>
      <w:r w:rsidR="003D7BD0" w:rsidRPr="00FC63C6">
        <w:t xml:space="preserve"> – Senator Babet – Recommendation 5</w:t>
      </w:r>
    </w:p>
    <w:p w14:paraId="3885BB42" w14:textId="77777777" w:rsidR="00AB4E56" w:rsidRPr="00FC63C6" w:rsidRDefault="00AB4E56" w:rsidP="00452FB6">
      <w:pPr>
        <w:jc w:val="both"/>
        <w:rPr>
          <w:rFonts w:cstheme="minorHAnsi"/>
          <w:bCs/>
          <w:color w:val="2F5496" w:themeColor="accent5" w:themeShade="BF"/>
          <w:sz w:val="24"/>
          <w:szCs w:val="24"/>
        </w:rPr>
      </w:pPr>
      <w:r w:rsidRPr="00FC63C6">
        <w:rPr>
          <w:rFonts w:cstheme="minorHAnsi"/>
          <w:bCs/>
          <w:color w:val="2F5496" w:themeColor="accent5" w:themeShade="BF"/>
          <w:sz w:val="24"/>
          <w:szCs w:val="24"/>
        </w:rPr>
        <w:t xml:space="preserve">During a declared pandemic, mortality data should be available to researchers and the </w:t>
      </w:r>
      <w:proofErr w:type="gramStart"/>
      <w:r w:rsidRPr="00FC63C6">
        <w:rPr>
          <w:rFonts w:cstheme="minorHAnsi"/>
          <w:bCs/>
          <w:color w:val="2F5496" w:themeColor="accent5" w:themeShade="BF"/>
          <w:sz w:val="24"/>
          <w:szCs w:val="24"/>
        </w:rPr>
        <w:t>general public</w:t>
      </w:r>
      <w:proofErr w:type="gramEnd"/>
      <w:r w:rsidRPr="00FC63C6">
        <w:rPr>
          <w:rFonts w:cstheme="minorHAnsi"/>
          <w:bCs/>
          <w:color w:val="2F5496" w:themeColor="accent5" w:themeShade="BF"/>
          <w:sz w:val="24"/>
          <w:szCs w:val="24"/>
        </w:rPr>
        <w:t xml:space="preserve">. The ABS should report monthly mortality data by age, sex and cause of death, which would enable additional analyses on a more regular basis, which can inform policy. Data should be freely available to users, enabling engagement with a range of experts to facilitate a quicker and more in-depth understanding of the impacts of epidemics going forward. </w:t>
      </w:r>
    </w:p>
    <w:p w14:paraId="7E661AA4" w14:textId="77777777" w:rsidR="00294FFA" w:rsidRPr="00FC63C6" w:rsidRDefault="00294FFA" w:rsidP="0081045A">
      <w:pPr>
        <w:jc w:val="both"/>
        <w:rPr>
          <w:rFonts w:cstheme="minorHAnsi"/>
          <w:iCs/>
          <w:sz w:val="24"/>
          <w:szCs w:val="24"/>
        </w:rPr>
      </w:pPr>
      <w:r w:rsidRPr="00FC63C6">
        <w:rPr>
          <w:rFonts w:cstheme="minorHAnsi"/>
          <w:iCs/>
          <w:sz w:val="24"/>
          <w:szCs w:val="24"/>
        </w:rPr>
        <w:t>The Australian Government notes this recommendation.</w:t>
      </w:r>
    </w:p>
    <w:p w14:paraId="0F77A193" w14:textId="7FFC4B3C" w:rsidR="00DF1DFC" w:rsidRPr="00FC63C6" w:rsidRDefault="007E4FB5" w:rsidP="0081045A">
      <w:pPr>
        <w:jc w:val="both"/>
        <w:rPr>
          <w:rFonts w:cstheme="minorHAnsi"/>
          <w:iCs/>
          <w:sz w:val="24"/>
          <w:szCs w:val="24"/>
        </w:rPr>
      </w:pPr>
      <w:r w:rsidRPr="00FC63C6">
        <w:rPr>
          <w:rFonts w:cstheme="minorHAnsi"/>
          <w:iCs/>
          <w:sz w:val="24"/>
          <w:szCs w:val="24"/>
        </w:rPr>
        <w:t>Th</w:t>
      </w:r>
      <w:r w:rsidR="004A0D45" w:rsidRPr="00FC63C6">
        <w:rPr>
          <w:rFonts w:cstheme="minorHAnsi"/>
          <w:iCs/>
          <w:sz w:val="24"/>
          <w:szCs w:val="24"/>
        </w:rPr>
        <w:t>i</w:t>
      </w:r>
      <w:r w:rsidR="004F218B" w:rsidRPr="00FC63C6">
        <w:rPr>
          <w:rFonts w:cstheme="minorHAnsi"/>
          <w:iCs/>
          <w:sz w:val="24"/>
          <w:szCs w:val="24"/>
        </w:rPr>
        <w:t xml:space="preserve">s information is available from the ABS. </w:t>
      </w:r>
      <w:r w:rsidR="00DF1DFC" w:rsidRPr="00FC63C6">
        <w:rPr>
          <w:rFonts w:cstheme="minorHAnsi"/>
          <w:iCs/>
          <w:sz w:val="24"/>
          <w:szCs w:val="24"/>
        </w:rPr>
        <w:t>The ABS</w:t>
      </w:r>
      <w:r w:rsidR="00130E6E" w:rsidRPr="00FC63C6">
        <w:rPr>
          <w:rFonts w:cstheme="minorHAnsi"/>
          <w:iCs/>
          <w:sz w:val="24"/>
          <w:szCs w:val="24"/>
        </w:rPr>
        <w:t xml:space="preserve"> </w:t>
      </w:r>
      <w:r w:rsidR="00DF1DFC" w:rsidRPr="00FC63C6">
        <w:rPr>
          <w:rFonts w:cstheme="minorHAnsi"/>
          <w:iCs/>
          <w:sz w:val="24"/>
          <w:szCs w:val="24"/>
        </w:rPr>
        <w:t>publish</w:t>
      </w:r>
      <w:r w:rsidR="008F7C13">
        <w:rPr>
          <w:rFonts w:cstheme="minorHAnsi"/>
          <w:iCs/>
          <w:sz w:val="24"/>
          <w:szCs w:val="24"/>
        </w:rPr>
        <w:t>es</w:t>
      </w:r>
      <w:r w:rsidR="009C3798" w:rsidRPr="00FC63C6">
        <w:rPr>
          <w:rFonts w:cstheme="minorHAnsi"/>
          <w:iCs/>
          <w:sz w:val="24"/>
          <w:szCs w:val="24"/>
        </w:rPr>
        <w:t xml:space="preserve"> </w:t>
      </w:r>
      <w:r w:rsidR="00880D77" w:rsidRPr="00FC63C6">
        <w:rPr>
          <w:rFonts w:cstheme="minorHAnsi"/>
          <w:iCs/>
          <w:sz w:val="24"/>
          <w:szCs w:val="24"/>
        </w:rPr>
        <w:t>regular</w:t>
      </w:r>
      <w:r w:rsidR="00DF1DFC" w:rsidRPr="00FC63C6">
        <w:rPr>
          <w:rFonts w:cstheme="minorHAnsi"/>
          <w:iCs/>
          <w:sz w:val="24"/>
          <w:szCs w:val="24"/>
        </w:rPr>
        <w:t xml:space="preserve"> Provisional Mortality Statistics reports which includes weekly and monthly analysis on mortality data by age, sex, cause of death and jurisdiction. These reports are published monthly (</w:t>
      </w:r>
      <w:r w:rsidR="001C3B6A" w:rsidRPr="00FC63C6">
        <w:rPr>
          <w:rFonts w:cstheme="minorHAnsi"/>
          <w:iCs/>
          <w:sz w:val="24"/>
          <w:szCs w:val="24"/>
        </w:rPr>
        <w:t>except for</w:t>
      </w:r>
      <w:r w:rsidR="00DF1DFC" w:rsidRPr="00FC63C6">
        <w:rPr>
          <w:rFonts w:cstheme="minorHAnsi"/>
          <w:iCs/>
          <w:sz w:val="24"/>
          <w:szCs w:val="24"/>
        </w:rPr>
        <w:t xml:space="preserve"> January) and are available </w:t>
      </w:r>
      <w:r w:rsidR="00880D77" w:rsidRPr="00FC63C6">
        <w:rPr>
          <w:rFonts w:cstheme="minorHAnsi"/>
          <w:iCs/>
          <w:sz w:val="24"/>
          <w:szCs w:val="24"/>
        </w:rPr>
        <w:t>via the public</w:t>
      </w:r>
      <w:r w:rsidR="00DF1DFC" w:rsidRPr="00FC63C6">
        <w:rPr>
          <w:rFonts w:cstheme="minorHAnsi"/>
          <w:iCs/>
          <w:sz w:val="24"/>
          <w:szCs w:val="24"/>
        </w:rPr>
        <w:t xml:space="preserve"> ABS website</w:t>
      </w:r>
      <w:r w:rsidR="001B2F7D" w:rsidRPr="00FC63C6">
        <w:rPr>
          <w:rFonts w:cstheme="minorHAnsi"/>
          <w:iCs/>
          <w:sz w:val="24"/>
          <w:szCs w:val="24"/>
        </w:rPr>
        <w:t xml:space="preserve"> (</w:t>
      </w:r>
      <w:r w:rsidR="001B2F7D" w:rsidRPr="004D3992">
        <w:rPr>
          <w:rFonts w:cstheme="minorHAnsi"/>
          <w:iCs/>
          <w:sz w:val="24"/>
          <w:szCs w:val="24"/>
          <w:u w:val="single"/>
        </w:rPr>
        <w:t>http://www.abs.gov.au</w:t>
      </w:r>
      <w:r w:rsidR="001B2F7D" w:rsidRPr="00FC63C6">
        <w:rPr>
          <w:rFonts w:cstheme="minorHAnsi"/>
          <w:iCs/>
          <w:sz w:val="24"/>
          <w:szCs w:val="24"/>
        </w:rPr>
        <w:t>)</w:t>
      </w:r>
      <w:r w:rsidR="00DF1DFC" w:rsidRPr="00FC63C6">
        <w:rPr>
          <w:rFonts w:cstheme="minorHAnsi"/>
          <w:iCs/>
          <w:sz w:val="24"/>
          <w:szCs w:val="24"/>
        </w:rPr>
        <w:t xml:space="preserve">. </w:t>
      </w:r>
      <w:r w:rsidR="00BD4E8D" w:rsidRPr="00FC63C6">
        <w:rPr>
          <w:rFonts w:cstheme="minorHAnsi"/>
          <w:iCs/>
          <w:sz w:val="24"/>
          <w:szCs w:val="24"/>
        </w:rPr>
        <w:t>The ABS first published these reports in mid-2020 in response to the COVID-19 pandemic.</w:t>
      </w:r>
    </w:p>
    <w:p w14:paraId="7B7E3D45" w14:textId="1C246E47" w:rsidR="00DF1DFC" w:rsidRPr="00FC63C6" w:rsidRDefault="00DF1DFC" w:rsidP="0081045A">
      <w:pPr>
        <w:jc w:val="both"/>
        <w:rPr>
          <w:rFonts w:cstheme="minorHAnsi"/>
          <w:iCs/>
          <w:sz w:val="24"/>
          <w:szCs w:val="24"/>
        </w:rPr>
      </w:pPr>
      <w:r w:rsidRPr="00FC63C6">
        <w:rPr>
          <w:rFonts w:cstheme="minorHAnsi"/>
          <w:iCs/>
          <w:sz w:val="24"/>
          <w:szCs w:val="24"/>
        </w:rPr>
        <w:t xml:space="preserve">The ABS also produces custom requests </w:t>
      </w:r>
      <w:r w:rsidR="00AB6B8A">
        <w:rPr>
          <w:rFonts w:cstheme="minorHAnsi"/>
          <w:iCs/>
          <w:sz w:val="24"/>
          <w:szCs w:val="24"/>
        </w:rPr>
        <w:t>for</w:t>
      </w:r>
      <w:r w:rsidR="00AB6B8A" w:rsidRPr="00FC63C6">
        <w:rPr>
          <w:rFonts w:cstheme="minorHAnsi"/>
          <w:iCs/>
          <w:sz w:val="24"/>
          <w:szCs w:val="24"/>
        </w:rPr>
        <w:t xml:space="preserve"> </w:t>
      </w:r>
      <w:r w:rsidRPr="00FC63C6">
        <w:rPr>
          <w:rFonts w:cstheme="minorHAnsi"/>
          <w:iCs/>
          <w:sz w:val="24"/>
          <w:szCs w:val="24"/>
        </w:rPr>
        <w:t xml:space="preserve">stakeholders who require further information. Custom requests are cost recovered. </w:t>
      </w:r>
    </w:p>
    <w:p w14:paraId="41B0E5BF" w14:textId="327FFF43" w:rsidR="006A13C0" w:rsidRPr="00FC63C6" w:rsidRDefault="006A13C0" w:rsidP="006A13C0">
      <w:pPr>
        <w:spacing w:after="120"/>
        <w:rPr>
          <w:rFonts w:cstheme="minorHAnsi"/>
          <w:bCs/>
          <w:i/>
          <w:iCs/>
          <w:color w:val="2F5496" w:themeColor="accent5" w:themeShade="BF"/>
          <w:sz w:val="24"/>
          <w:szCs w:val="24"/>
          <w:u w:val="single"/>
        </w:rPr>
      </w:pPr>
      <w:r w:rsidRPr="00FC63C6">
        <w:rPr>
          <w:rFonts w:cstheme="minorHAnsi"/>
          <w:bCs/>
          <w:i/>
          <w:iCs/>
          <w:color w:val="2F5496" w:themeColor="accent5" w:themeShade="BF"/>
          <w:sz w:val="24"/>
          <w:szCs w:val="24"/>
          <w:u w:val="single"/>
        </w:rPr>
        <w:t>Dissenting Recommendation</w:t>
      </w:r>
      <w:r w:rsidR="003D7BD0" w:rsidRPr="00FC63C6">
        <w:rPr>
          <w:rFonts w:cstheme="minorHAnsi"/>
          <w:bCs/>
          <w:i/>
          <w:iCs/>
          <w:color w:val="2F5496" w:themeColor="accent5" w:themeShade="BF"/>
          <w:sz w:val="24"/>
          <w:szCs w:val="24"/>
          <w:u w:val="single"/>
        </w:rPr>
        <w:t xml:space="preserve"> </w:t>
      </w:r>
      <w:r w:rsidR="00781803" w:rsidRPr="00FC63C6">
        <w:rPr>
          <w:rFonts w:cstheme="minorHAnsi"/>
          <w:bCs/>
          <w:i/>
          <w:iCs/>
          <w:color w:val="2F5496" w:themeColor="accent5" w:themeShade="BF"/>
          <w:sz w:val="24"/>
          <w:szCs w:val="24"/>
          <w:u w:val="single"/>
        </w:rPr>
        <w:t>–</w:t>
      </w:r>
      <w:r w:rsidR="003D7BD0" w:rsidRPr="00FC63C6">
        <w:rPr>
          <w:rFonts w:cstheme="minorHAnsi"/>
          <w:bCs/>
          <w:i/>
          <w:iCs/>
          <w:color w:val="2F5496" w:themeColor="accent5" w:themeShade="BF"/>
          <w:sz w:val="24"/>
          <w:szCs w:val="24"/>
          <w:u w:val="single"/>
        </w:rPr>
        <w:t xml:space="preserve"> </w:t>
      </w:r>
      <w:r w:rsidR="00781803" w:rsidRPr="00FC63C6">
        <w:rPr>
          <w:rFonts w:cstheme="minorHAnsi"/>
          <w:bCs/>
          <w:i/>
          <w:iCs/>
          <w:color w:val="2F5496" w:themeColor="accent5" w:themeShade="BF"/>
          <w:sz w:val="24"/>
          <w:szCs w:val="24"/>
          <w:u w:val="single"/>
        </w:rPr>
        <w:t>Senator Babet – Recommendation 4</w:t>
      </w:r>
    </w:p>
    <w:p w14:paraId="06CC3FE1" w14:textId="5CB65374" w:rsidR="00F82808" w:rsidRPr="00FC63C6" w:rsidRDefault="00E1382D" w:rsidP="001F3778">
      <w:pPr>
        <w:jc w:val="both"/>
        <w:rPr>
          <w:rFonts w:cstheme="minorHAnsi"/>
          <w:bCs/>
          <w:color w:val="2F5496" w:themeColor="accent5" w:themeShade="BF"/>
          <w:sz w:val="24"/>
          <w:szCs w:val="24"/>
        </w:rPr>
      </w:pPr>
      <w:r w:rsidRPr="00FC63C6">
        <w:rPr>
          <w:rFonts w:cstheme="minorHAnsi"/>
          <w:bCs/>
          <w:color w:val="2F5496" w:themeColor="accent5" w:themeShade="BF"/>
          <w:sz w:val="24"/>
          <w:szCs w:val="24"/>
        </w:rPr>
        <w:t xml:space="preserve">When dealing with a provisionally approved drug, deaths in interim mortality reporting should be analysed by vaccination status by integrating the AIR data, not just relying on death certificates. </w:t>
      </w:r>
    </w:p>
    <w:p w14:paraId="69EAA8AF" w14:textId="7370786A" w:rsidR="003D7BD0" w:rsidRPr="00FC63C6" w:rsidRDefault="003D7BD0" w:rsidP="001F3778">
      <w:pPr>
        <w:pStyle w:val="Heading3"/>
      </w:pPr>
      <w:r w:rsidRPr="00FC63C6">
        <w:t>Dissenting Recommendation</w:t>
      </w:r>
      <w:r w:rsidR="00A1277E" w:rsidRPr="00FC63C6">
        <w:t xml:space="preserve"> – Senator Babet – Recommendation 9</w:t>
      </w:r>
    </w:p>
    <w:p w14:paraId="1814F99A" w14:textId="77777777" w:rsidR="00EF24AA" w:rsidRPr="00FC63C6" w:rsidRDefault="00EF24AA" w:rsidP="00F82808">
      <w:pPr>
        <w:jc w:val="both"/>
        <w:rPr>
          <w:rFonts w:cstheme="minorHAnsi"/>
          <w:bCs/>
          <w:color w:val="2F5496" w:themeColor="accent5" w:themeShade="BF"/>
          <w:sz w:val="24"/>
          <w:szCs w:val="24"/>
        </w:rPr>
      </w:pPr>
      <w:r w:rsidRPr="00FC63C6">
        <w:rPr>
          <w:rFonts w:cstheme="minorHAnsi"/>
          <w:bCs/>
          <w:color w:val="2F5496" w:themeColor="accent5" w:themeShade="BF"/>
          <w:sz w:val="24"/>
          <w:szCs w:val="24"/>
        </w:rPr>
        <w:lastRenderedPageBreak/>
        <w:t>According to official data, deaths of young women continue to run at far higher than expected levels, whereas young men do not. The cause/s of this alarming and consistent trend must be immediately identified.</w:t>
      </w:r>
    </w:p>
    <w:p w14:paraId="5416B81B" w14:textId="74FA71F1" w:rsidR="00391981" w:rsidRPr="00FC63C6" w:rsidRDefault="00391981" w:rsidP="006572DA">
      <w:pPr>
        <w:jc w:val="both"/>
        <w:rPr>
          <w:rFonts w:cstheme="minorHAnsi"/>
          <w:bCs/>
          <w:iCs/>
          <w:sz w:val="24"/>
          <w:szCs w:val="24"/>
        </w:rPr>
      </w:pPr>
      <w:r w:rsidRPr="00FC63C6">
        <w:rPr>
          <w:rFonts w:cstheme="minorHAnsi"/>
          <w:bCs/>
          <w:iCs/>
          <w:sz w:val="24"/>
          <w:szCs w:val="24"/>
        </w:rPr>
        <w:t>The Australian Government</w:t>
      </w:r>
      <w:r w:rsidR="005C2583" w:rsidRPr="00FC63C6">
        <w:rPr>
          <w:rFonts w:cstheme="minorHAnsi"/>
          <w:bCs/>
          <w:iCs/>
          <w:sz w:val="24"/>
          <w:szCs w:val="24"/>
        </w:rPr>
        <w:t xml:space="preserve"> notes th</w:t>
      </w:r>
      <w:r w:rsidR="00632583" w:rsidRPr="00FC63C6">
        <w:rPr>
          <w:rFonts w:cstheme="minorHAnsi"/>
          <w:bCs/>
          <w:iCs/>
          <w:sz w:val="24"/>
          <w:szCs w:val="24"/>
        </w:rPr>
        <w:t>ese</w:t>
      </w:r>
      <w:r w:rsidR="005C2583" w:rsidRPr="00FC63C6">
        <w:rPr>
          <w:rFonts w:cstheme="minorHAnsi"/>
          <w:bCs/>
          <w:iCs/>
          <w:sz w:val="24"/>
          <w:szCs w:val="24"/>
        </w:rPr>
        <w:t xml:space="preserve"> recommendation</w:t>
      </w:r>
      <w:r w:rsidR="00632583" w:rsidRPr="00FC63C6">
        <w:rPr>
          <w:rFonts w:cstheme="minorHAnsi"/>
          <w:bCs/>
          <w:iCs/>
          <w:sz w:val="24"/>
          <w:szCs w:val="24"/>
        </w:rPr>
        <w:t>s</w:t>
      </w:r>
      <w:r w:rsidR="003A14E4" w:rsidRPr="00FC63C6">
        <w:rPr>
          <w:rFonts w:cstheme="minorHAnsi"/>
          <w:bCs/>
          <w:iCs/>
          <w:sz w:val="24"/>
          <w:szCs w:val="24"/>
        </w:rPr>
        <w:t xml:space="preserve"> (Senator Babet Recommendations</w:t>
      </w:r>
      <w:r w:rsidR="0029676C" w:rsidRPr="00FC63C6">
        <w:rPr>
          <w:rFonts w:cstheme="minorHAnsi"/>
          <w:bCs/>
          <w:iCs/>
          <w:sz w:val="24"/>
          <w:szCs w:val="24"/>
        </w:rPr>
        <w:t xml:space="preserve"> 4 and 9)</w:t>
      </w:r>
      <w:r w:rsidR="005C2583" w:rsidRPr="00FC63C6">
        <w:rPr>
          <w:rFonts w:cstheme="minorHAnsi"/>
          <w:bCs/>
          <w:iCs/>
          <w:sz w:val="24"/>
          <w:szCs w:val="24"/>
        </w:rPr>
        <w:t>.</w:t>
      </w:r>
    </w:p>
    <w:p w14:paraId="77477686" w14:textId="020043E1" w:rsidR="004D3164" w:rsidRPr="00FC63C6" w:rsidRDefault="004D3164" w:rsidP="006572DA">
      <w:pPr>
        <w:jc w:val="both"/>
        <w:rPr>
          <w:rFonts w:cstheme="minorHAnsi"/>
          <w:iCs/>
          <w:sz w:val="24"/>
          <w:szCs w:val="24"/>
        </w:rPr>
      </w:pPr>
      <w:r w:rsidRPr="00FC63C6">
        <w:rPr>
          <w:rFonts w:cstheme="minorHAnsi"/>
          <w:iCs/>
          <w:sz w:val="24"/>
          <w:szCs w:val="24"/>
        </w:rPr>
        <w:t xml:space="preserve">The ABS publishes reports on cause of death by age group. The </w:t>
      </w:r>
      <w:r w:rsidRPr="00FC63C6">
        <w:rPr>
          <w:rFonts w:cstheme="minorHAnsi"/>
          <w:i/>
          <w:sz w:val="24"/>
          <w:szCs w:val="24"/>
        </w:rPr>
        <w:t>Causes of Death Australia</w:t>
      </w:r>
      <w:r w:rsidRPr="00FC63C6">
        <w:rPr>
          <w:rFonts w:cstheme="minorHAnsi"/>
          <w:iCs/>
          <w:sz w:val="24"/>
          <w:szCs w:val="24"/>
        </w:rPr>
        <w:t xml:space="preserve"> reports include the most comprehensive information on causes of deaths by sex and age group. Many deaths of young people are referred to the coroner and</w:t>
      </w:r>
      <w:r w:rsidR="007F0793" w:rsidRPr="00FC63C6">
        <w:rPr>
          <w:rFonts w:cstheme="minorHAnsi"/>
          <w:iCs/>
          <w:sz w:val="24"/>
          <w:szCs w:val="24"/>
        </w:rPr>
        <w:t xml:space="preserve"> establishing</w:t>
      </w:r>
      <w:r w:rsidRPr="00FC63C6">
        <w:rPr>
          <w:rFonts w:cstheme="minorHAnsi"/>
          <w:iCs/>
          <w:sz w:val="24"/>
          <w:szCs w:val="24"/>
        </w:rPr>
        <w:t xml:space="preserve"> a final cause of death can take some time.</w:t>
      </w:r>
    </w:p>
    <w:p w14:paraId="0B9AF4E9" w14:textId="6E33CB92" w:rsidR="004D3164" w:rsidRPr="00FC63C6" w:rsidRDefault="004D3164" w:rsidP="006572DA">
      <w:pPr>
        <w:jc w:val="both"/>
        <w:rPr>
          <w:rFonts w:cstheme="minorHAnsi"/>
          <w:iCs/>
          <w:sz w:val="24"/>
          <w:szCs w:val="24"/>
        </w:rPr>
      </w:pPr>
      <w:r w:rsidRPr="00FC63C6">
        <w:rPr>
          <w:rFonts w:cstheme="minorHAnsi"/>
          <w:iCs/>
          <w:sz w:val="24"/>
          <w:szCs w:val="24"/>
        </w:rPr>
        <w:t>Excess mortality in young people has decreased since 2022. ABS data shows that COVID-19 was the main contributor to excess mortality of young people in 2022. In the ABS submission to the Inquiry in</w:t>
      </w:r>
      <w:r w:rsidR="00733DA4">
        <w:rPr>
          <w:rFonts w:cstheme="minorHAnsi"/>
          <w:iCs/>
          <w:sz w:val="24"/>
          <w:szCs w:val="24"/>
        </w:rPr>
        <w:t>to</w:t>
      </w:r>
      <w:r w:rsidRPr="00FC63C6">
        <w:rPr>
          <w:rFonts w:cstheme="minorHAnsi"/>
          <w:iCs/>
          <w:sz w:val="24"/>
          <w:szCs w:val="24"/>
        </w:rPr>
        <w:t xml:space="preserve"> </w:t>
      </w:r>
      <w:r w:rsidR="00DE5F0E" w:rsidRPr="00FC63C6">
        <w:rPr>
          <w:rFonts w:cstheme="minorHAnsi"/>
          <w:iCs/>
          <w:sz w:val="24"/>
          <w:szCs w:val="24"/>
        </w:rPr>
        <w:t>Excess Mortality included the following caution on interpreting excess mortality in young people:</w:t>
      </w:r>
    </w:p>
    <w:p w14:paraId="52B2366E" w14:textId="77777777" w:rsidR="004D3164" w:rsidRPr="00FC63C6" w:rsidRDefault="004D3164" w:rsidP="006572DA">
      <w:pPr>
        <w:ind w:left="720"/>
        <w:jc w:val="both"/>
        <w:rPr>
          <w:rFonts w:cstheme="minorHAnsi"/>
          <w:i/>
          <w:iCs/>
          <w:sz w:val="24"/>
          <w:szCs w:val="24"/>
        </w:rPr>
      </w:pPr>
      <w:r w:rsidRPr="00FC63C6">
        <w:rPr>
          <w:rFonts w:cstheme="minorHAnsi"/>
          <w:i/>
          <w:iCs/>
          <w:sz w:val="24"/>
          <w:szCs w:val="24"/>
        </w:rPr>
        <w:t>“While there is some excess mortality recorded for the younger groups across 2020-2022, there are small numbers of deaths in these age groups and a large amount of variability in the expected range. This means that the excess mortality percentages in these age groups may reflect natural variation in mortality patterns rather than statistically significant excess mortality.”</w:t>
      </w:r>
    </w:p>
    <w:p w14:paraId="01DF5835" w14:textId="77777777" w:rsidR="00F82808" w:rsidRDefault="00152221" w:rsidP="006572DA">
      <w:pPr>
        <w:spacing w:after="160" w:line="259" w:lineRule="auto"/>
        <w:jc w:val="both"/>
        <w:rPr>
          <w:rFonts w:cstheme="minorHAnsi"/>
          <w:bCs/>
          <w:iCs/>
          <w:sz w:val="24"/>
          <w:szCs w:val="24"/>
        </w:rPr>
      </w:pPr>
      <w:r w:rsidRPr="008B631B">
        <w:rPr>
          <w:rFonts w:cstheme="minorHAnsi"/>
          <w:bCs/>
          <w:iCs/>
          <w:sz w:val="24"/>
          <w:szCs w:val="24"/>
        </w:rPr>
        <w:t xml:space="preserve">The ABS findings on excess deaths among young </w:t>
      </w:r>
      <w:r>
        <w:rPr>
          <w:rFonts w:cstheme="minorHAnsi"/>
          <w:bCs/>
          <w:iCs/>
          <w:sz w:val="24"/>
          <w:szCs w:val="24"/>
        </w:rPr>
        <w:t>females</w:t>
      </w:r>
      <w:r w:rsidRPr="008B631B">
        <w:rPr>
          <w:rFonts w:cstheme="minorHAnsi"/>
          <w:bCs/>
          <w:iCs/>
          <w:sz w:val="24"/>
          <w:szCs w:val="24"/>
        </w:rPr>
        <w:t xml:space="preserve"> are supported by the AIHW.</w:t>
      </w:r>
    </w:p>
    <w:p w14:paraId="1129317B" w14:textId="64BB5601" w:rsidR="00FC588A" w:rsidRPr="00FC63C6" w:rsidRDefault="00FC588A" w:rsidP="006572DA">
      <w:pPr>
        <w:spacing w:after="160" w:line="259" w:lineRule="auto"/>
        <w:jc w:val="both"/>
        <w:rPr>
          <w:rFonts w:cstheme="minorHAnsi"/>
          <w:b/>
          <w:iCs/>
          <w:sz w:val="24"/>
          <w:szCs w:val="24"/>
          <w:u w:val="single"/>
        </w:rPr>
      </w:pPr>
      <w:r w:rsidRPr="00FC63C6">
        <w:rPr>
          <w:rFonts w:cstheme="minorHAnsi"/>
          <w:b/>
          <w:iCs/>
          <w:sz w:val="24"/>
          <w:szCs w:val="24"/>
          <w:u w:val="single"/>
        </w:rPr>
        <w:br w:type="page"/>
      </w:r>
    </w:p>
    <w:p w14:paraId="7626936C" w14:textId="4BF856DD" w:rsidR="00F81A9D" w:rsidRPr="00FC63C6" w:rsidRDefault="00E70BA4" w:rsidP="001F3778">
      <w:pPr>
        <w:pStyle w:val="Heading1"/>
      </w:pPr>
      <w:r w:rsidRPr="00FC63C6">
        <w:lastRenderedPageBreak/>
        <w:t xml:space="preserve">Group 2 – </w:t>
      </w:r>
      <w:r w:rsidR="006947C7" w:rsidRPr="00FC63C6">
        <w:t>COVID reviews</w:t>
      </w:r>
    </w:p>
    <w:p w14:paraId="136F269B" w14:textId="77777777" w:rsidR="0061366B" w:rsidRPr="00FC63C6" w:rsidRDefault="0061366B" w:rsidP="001F3778">
      <w:pPr>
        <w:pStyle w:val="Heading2"/>
      </w:pPr>
      <w:r w:rsidRPr="00FC63C6">
        <w:t>Recommendation 4</w:t>
      </w:r>
    </w:p>
    <w:p w14:paraId="2A28C288" w14:textId="5847DA5B" w:rsidR="0061366B" w:rsidRPr="00FC63C6" w:rsidRDefault="0061366B" w:rsidP="00F82808">
      <w:pPr>
        <w:jc w:val="both"/>
        <w:rPr>
          <w:rFonts w:cstheme="minorHAnsi"/>
          <w:bCs/>
          <w:color w:val="2F5496" w:themeColor="accent5" w:themeShade="BF"/>
          <w:sz w:val="24"/>
          <w:szCs w:val="24"/>
        </w:rPr>
      </w:pPr>
      <w:r w:rsidRPr="00FC63C6">
        <w:rPr>
          <w:rFonts w:cstheme="minorHAnsi"/>
          <w:bCs/>
          <w:color w:val="2F5496" w:themeColor="accent5" w:themeShade="BF"/>
          <w:sz w:val="24"/>
          <w:szCs w:val="24"/>
        </w:rPr>
        <w:t>The committee recommends that the Australian Government task the Department of Health</w:t>
      </w:r>
      <w:r w:rsidR="00F30D64" w:rsidRPr="00F30D64">
        <w:rPr>
          <w:rFonts w:cstheme="minorHAnsi"/>
          <w:bCs/>
          <w:color w:val="2F5496" w:themeColor="accent5" w:themeShade="BF"/>
          <w:sz w:val="24"/>
          <w:szCs w:val="24"/>
        </w:rPr>
        <w:t>, Disability and Ageing</w:t>
      </w:r>
      <w:r w:rsidRPr="00FC63C6">
        <w:rPr>
          <w:rFonts w:cstheme="minorHAnsi"/>
          <w:bCs/>
          <w:color w:val="2F5496" w:themeColor="accent5" w:themeShade="BF"/>
          <w:sz w:val="24"/>
          <w:szCs w:val="24"/>
        </w:rPr>
        <w:t xml:space="preserve"> with reviewing Australia’s public health information communication strategies during the COVID-19 pandemic, to improve the delivery of future public health communication.</w:t>
      </w:r>
    </w:p>
    <w:p w14:paraId="5AC269D3" w14:textId="6DC14EC4" w:rsidR="0093798F" w:rsidRPr="00FC63C6" w:rsidRDefault="0093798F" w:rsidP="00435D01">
      <w:pPr>
        <w:jc w:val="both"/>
        <w:rPr>
          <w:rFonts w:cstheme="minorHAnsi"/>
          <w:bCs/>
          <w:iCs/>
          <w:sz w:val="24"/>
          <w:szCs w:val="24"/>
        </w:rPr>
      </w:pPr>
      <w:r w:rsidRPr="00FC63C6">
        <w:rPr>
          <w:rFonts w:cstheme="minorHAnsi"/>
          <w:bCs/>
          <w:iCs/>
          <w:sz w:val="24"/>
          <w:szCs w:val="24"/>
        </w:rPr>
        <w:t xml:space="preserve">The Australian Government </w:t>
      </w:r>
      <w:r w:rsidR="009E331D" w:rsidRPr="00FC63C6">
        <w:rPr>
          <w:rFonts w:cstheme="minorHAnsi"/>
          <w:bCs/>
          <w:iCs/>
          <w:sz w:val="24"/>
          <w:szCs w:val="24"/>
        </w:rPr>
        <w:t>notes</w:t>
      </w:r>
      <w:r w:rsidRPr="00FC63C6">
        <w:rPr>
          <w:rFonts w:cstheme="minorHAnsi"/>
          <w:bCs/>
          <w:iCs/>
          <w:sz w:val="24"/>
          <w:szCs w:val="24"/>
        </w:rPr>
        <w:t xml:space="preserve"> this recommendation.</w:t>
      </w:r>
    </w:p>
    <w:p w14:paraId="79B75302" w14:textId="714BF7F8" w:rsidR="0093798F" w:rsidRDefault="0093798F" w:rsidP="00435D01">
      <w:pPr>
        <w:jc w:val="both"/>
        <w:rPr>
          <w:rFonts w:cstheme="minorHAnsi"/>
          <w:sz w:val="24"/>
          <w:szCs w:val="24"/>
        </w:rPr>
      </w:pPr>
      <w:r w:rsidRPr="00FC63C6">
        <w:rPr>
          <w:rFonts w:cstheme="minorHAnsi"/>
          <w:bCs/>
          <w:iCs/>
          <w:sz w:val="24"/>
          <w:szCs w:val="24"/>
        </w:rPr>
        <w:t xml:space="preserve">The Australian Government is working to improve the delivery of future public health information. </w:t>
      </w:r>
      <w:r w:rsidR="00485E78" w:rsidRPr="00FC63C6">
        <w:rPr>
          <w:rFonts w:cstheme="minorHAnsi"/>
          <w:bCs/>
          <w:iCs/>
          <w:sz w:val="24"/>
          <w:szCs w:val="24"/>
        </w:rPr>
        <w:t>The</w:t>
      </w:r>
      <w:r w:rsidR="001858A9" w:rsidRPr="00FC63C6">
        <w:rPr>
          <w:rFonts w:cstheme="minorHAnsi"/>
          <w:bCs/>
          <w:iCs/>
          <w:sz w:val="24"/>
          <w:szCs w:val="24"/>
        </w:rPr>
        <w:t xml:space="preserve"> Department of Health</w:t>
      </w:r>
      <w:r w:rsidR="00F30D64">
        <w:rPr>
          <w:sz w:val="24"/>
          <w:szCs w:val="24"/>
        </w:rPr>
        <w:t>, Disability and Ageing</w:t>
      </w:r>
      <w:r w:rsidR="001F3167" w:rsidRPr="00FC63C6">
        <w:rPr>
          <w:rFonts w:cstheme="minorHAnsi"/>
          <w:bCs/>
          <w:iCs/>
          <w:sz w:val="24"/>
          <w:szCs w:val="24"/>
        </w:rPr>
        <w:t xml:space="preserve"> is developing a National Health Literacy Strategy to improve the health literacy environment in Australia as well as individuals’ self-care capabilities</w:t>
      </w:r>
      <w:r w:rsidR="007A452D" w:rsidRPr="00FC63C6">
        <w:rPr>
          <w:rFonts w:cstheme="minorHAnsi"/>
          <w:bCs/>
          <w:iCs/>
          <w:sz w:val="24"/>
          <w:szCs w:val="24"/>
        </w:rPr>
        <w:t xml:space="preserve">. </w:t>
      </w:r>
      <w:r w:rsidR="007A452D" w:rsidRPr="00FC63C6">
        <w:rPr>
          <w:rFonts w:cstheme="minorHAnsi"/>
          <w:sz w:val="24"/>
          <w:szCs w:val="24"/>
        </w:rPr>
        <w:t>Th</w:t>
      </w:r>
      <w:r w:rsidR="00F259E0" w:rsidRPr="00FC63C6">
        <w:rPr>
          <w:rFonts w:cstheme="minorHAnsi"/>
          <w:sz w:val="24"/>
          <w:szCs w:val="24"/>
        </w:rPr>
        <w:t>is Strategy</w:t>
      </w:r>
      <w:r w:rsidR="007A452D" w:rsidRPr="00FC63C6">
        <w:rPr>
          <w:rFonts w:cstheme="minorHAnsi"/>
          <w:sz w:val="24"/>
          <w:szCs w:val="24"/>
        </w:rPr>
        <w:t xml:space="preserve"> aims to transform the health literacy environment to enhance the ability of people and communities to make informed decisions about their health and wellbeing through access to evidence-based, person-centred, and culturally and linguistically appropriate </w:t>
      </w:r>
      <w:r w:rsidR="005C48AC" w:rsidRPr="00FC63C6">
        <w:rPr>
          <w:rFonts w:cstheme="minorHAnsi"/>
          <w:sz w:val="24"/>
          <w:szCs w:val="24"/>
        </w:rPr>
        <w:t>information.</w:t>
      </w:r>
    </w:p>
    <w:p w14:paraId="0C8E7D7F" w14:textId="2E11C18B" w:rsidR="00092684" w:rsidRPr="00730756" w:rsidRDefault="00646A8F" w:rsidP="00435D01">
      <w:pPr>
        <w:jc w:val="both"/>
        <w:rPr>
          <w:sz w:val="24"/>
          <w:szCs w:val="24"/>
        </w:rPr>
      </w:pPr>
      <w:r>
        <w:rPr>
          <w:sz w:val="24"/>
          <w:szCs w:val="24"/>
        </w:rPr>
        <w:t xml:space="preserve">Additionally, the Australian Centre for Disease Control </w:t>
      </w:r>
      <w:r w:rsidR="000072EE">
        <w:rPr>
          <w:sz w:val="24"/>
          <w:szCs w:val="24"/>
        </w:rPr>
        <w:t xml:space="preserve">(CDC) </w:t>
      </w:r>
      <w:r>
        <w:rPr>
          <w:sz w:val="24"/>
          <w:szCs w:val="24"/>
        </w:rPr>
        <w:t xml:space="preserve">will have a role in developing communication strategies to deliver public health communication during a health emergency. </w:t>
      </w:r>
      <w:r w:rsidR="00092684" w:rsidRPr="00730756">
        <w:rPr>
          <w:sz w:val="24"/>
          <w:szCs w:val="24"/>
        </w:rPr>
        <w:t>A communication strategy</w:t>
      </w:r>
      <w:r w:rsidR="005C0B25">
        <w:rPr>
          <w:sz w:val="24"/>
          <w:szCs w:val="24"/>
        </w:rPr>
        <w:t xml:space="preserve"> has been developed</w:t>
      </w:r>
      <w:r w:rsidR="00092684" w:rsidRPr="00730756">
        <w:rPr>
          <w:sz w:val="24"/>
          <w:szCs w:val="24"/>
        </w:rPr>
        <w:t xml:space="preserve"> for the interim CDC as it transitions to an independent entity. </w:t>
      </w:r>
      <w:r w:rsidR="009633D6">
        <w:rPr>
          <w:sz w:val="24"/>
          <w:szCs w:val="24"/>
        </w:rPr>
        <w:t>This strategy</w:t>
      </w:r>
      <w:r w:rsidR="00092684" w:rsidRPr="00730756">
        <w:rPr>
          <w:sz w:val="24"/>
          <w:szCs w:val="24"/>
        </w:rPr>
        <w:t xml:space="preserve"> provid</w:t>
      </w:r>
      <w:r w:rsidR="00013222">
        <w:rPr>
          <w:sz w:val="24"/>
          <w:szCs w:val="24"/>
        </w:rPr>
        <w:t xml:space="preserve">es </w:t>
      </w:r>
      <w:r w:rsidR="00092684" w:rsidRPr="00730756">
        <w:rPr>
          <w:sz w:val="24"/>
          <w:szCs w:val="24"/>
        </w:rPr>
        <w:t>a foundation for effective communication to establish the Australian CDC as a trusted, expert, independent public health authority.</w:t>
      </w:r>
    </w:p>
    <w:p w14:paraId="51713818" w14:textId="7860F643" w:rsidR="00092684" w:rsidRPr="00730756" w:rsidRDefault="00092684" w:rsidP="00435D01">
      <w:pPr>
        <w:jc w:val="both"/>
        <w:rPr>
          <w:sz w:val="24"/>
          <w:szCs w:val="24"/>
        </w:rPr>
      </w:pPr>
      <w:r w:rsidRPr="00730756">
        <w:rPr>
          <w:sz w:val="24"/>
          <w:szCs w:val="24"/>
        </w:rPr>
        <w:t>The strategy offers an evidence</w:t>
      </w:r>
      <w:r w:rsidR="00EB16D4">
        <w:rPr>
          <w:sz w:val="24"/>
          <w:szCs w:val="24"/>
        </w:rPr>
        <w:t>-</w:t>
      </w:r>
      <w:r w:rsidRPr="00730756">
        <w:rPr>
          <w:sz w:val="24"/>
          <w:szCs w:val="24"/>
        </w:rPr>
        <w:t>informed approach to communication and prioritises building public trust and credibility, articulating the CDC’s role in public health, and showcasing its data-driven capabilities in response to health threats.</w:t>
      </w:r>
    </w:p>
    <w:p w14:paraId="7F81CB14" w14:textId="0E6BC6E5" w:rsidR="00092684" w:rsidRDefault="00092684" w:rsidP="00435D01">
      <w:pPr>
        <w:jc w:val="both"/>
        <w:rPr>
          <w:sz w:val="24"/>
          <w:szCs w:val="24"/>
        </w:rPr>
      </w:pPr>
      <w:r w:rsidRPr="00730756">
        <w:rPr>
          <w:sz w:val="24"/>
          <w:szCs w:val="24"/>
        </w:rPr>
        <w:t>The CDC will work in partnership with priority population groups, state and territory governments and others to tailor and target timely, inclusive health messaging on disease threats and issues.</w:t>
      </w:r>
      <w:r w:rsidRPr="517DA39A">
        <w:rPr>
          <w:sz w:val="24"/>
          <w:szCs w:val="24"/>
        </w:rPr>
        <w:t xml:space="preserve"> </w:t>
      </w:r>
    </w:p>
    <w:p w14:paraId="1BC28B72" w14:textId="53E24588" w:rsidR="006A13C0" w:rsidRPr="00FC63C6" w:rsidRDefault="006A13C0" w:rsidP="001F3778">
      <w:pPr>
        <w:pStyle w:val="Heading3"/>
      </w:pPr>
      <w:r w:rsidRPr="00FC63C6">
        <w:t>Dissenting Recommendation</w:t>
      </w:r>
      <w:r w:rsidR="00844019" w:rsidRPr="00FC63C6">
        <w:t xml:space="preserve"> – Senator Babet Recommendation 1</w:t>
      </w:r>
    </w:p>
    <w:p w14:paraId="19ADEA20" w14:textId="041EF6AC" w:rsidR="0061366B" w:rsidRPr="00FC63C6" w:rsidRDefault="0061366B" w:rsidP="0091312C">
      <w:pPr>
        <w:jc w:val="both"/>
        <w:rPr>
          <w:rFonts w:cstheme="minorHAnsi"/>
          <w:color w:val="2F5496" w:themeColor="accent5" w:themeShade="BF"/>
          <w:sz w:val="24"/>
          <w:szCs w:val="24"/>
        </w:rPr>
      </w:pPr>
      <w:r w:rsidRPr="00FC63C6">
        <w:rPr>
          <w:rFonts w:cstheme="minorHAnsi"/>
          <w:color w:val="2F5496" w:themeColor="accent5" w:themeShade="BF"/>
          <w:sz w:val="24"/>
          <w:szCs w:val="24"/>
        </w:rPr>
        <w:t>The federal government must establish a royal commission to examine the Australian response to the COVID-19 pandemic and the consequential impacts on the Australian community. States and Territories should pass complementary legislation that would enable them to participate in the Royal Commission. The terms of reference for the Royal Commission should be adopted from the Senate Standing Committee on Legal and Constitutional Affairs’ COVID-19 Royal Commission inquiry report.</w:t>
      </w:r>
    </w:p>
    <w:p w14:paraId="26DAAD56" w14:textId="22DC1C52" w:rsidR="00BE1694" w:rsidRDefault="001434B4" w:rsidP="00521C6A">
      <w:pPr>
        <w:jc w:val="both"/>
        <w:rPr>
          <w:rFonts w:cstheme="minorHAnsi"/>
          <w:sz w:val="24"/>
          <w:szCs w:val="24"/>
        </w:rPr>
      </w:pPr>
      <w:r w:rsidRPr="00FC63C6">
        <w:rPr>
          <w:rFonts w:cstheme="minorHAnsi"/>
          <w:sz w:val="24"/>
          <w:szCs w:val="24"/>
        </w:rPr>
        <w:t xml:space="preserve">The Government does not </w:t>
      </w:r>
      <w:r w:rsidR="00BC53AD">
        <w:rPr>
          <w:rFonts w:cstheme="minorHAnsi"/>
          <w:sz w:val="24"/>
          <w:szCs w:val="24"/>
        </w:rPr>
        <w:t>support</w:t>
      </w:r>
      <w:r w:rsidR="00BC53AD" w:rsidRPr="00FC63C6">
        <w:rPr>
          <w:rFonts w:cstheme="minorHAnsi"/>
          <w:sz w:val="24"/>
          <w:szCs w:val="24"/>
        </w:rPr>
        <w:t xml:space="preserve"> </w:t>
      </w:r>
      <w:r w:rsidRPr="00FC63C6">
        <w:rPr>
          <w:rFonts w:cstheme="minorHAnsi"/>
          <w:sz w:val="24"/>
          <w:szCs w:val="24"/>
        </w:rPr>
        <w:t>this recommendation</w:t>
      </w:r>
      <w:r w:rsidR="001F7947" w:rsidRPr="00FC63C6">
        <w:rPr>
          <w:rFonts w:cstheme="minorHAnsi"/>
          <w:sz w:val="24"/>
          <w:szCs w:val="24"/>
        </w:rPr>
        <w:t xml:space="preserve">. </w:t>
      </w:r>
    </w:p>
    <w:p w14:paraId="2CA6D239" w14:textId="024BDEA6" w:rsidR="003537A1" w:rsidRDefault="003537A1" w:rsidP="00DA6D83">
      <w:pPr>
        <w:rPr>
          <w:sz w:val="24"/>
          <w:szCs w:val="24"/>
        </w:rPr>
      </w:pPr>
      <w:r w:rsidRPr="00FC63C6">
        <w:rPr>
          <w:rFonts w:cstheme="minorHAnsi"/>
          <w:sz w:val="24"/>
          <w:szCs w:val="24"/>
        </w:rPr>
        <w:t xml:space="preserve">This recommendation </w:t>
      </w:r>
      <w:r>
        <w:rPr>
          <w:rFonts w:cstheme="minorHAnsi"/>
          <w:sz w:val="24"/>
          <w:szCs w:val="24"/>
        </w:rPr>
        <w:t xml:space="preserve">replicates </w:t>
      </w:r>
      <w:r w:rsidRPr="00FC63C6">
        <w:rPr>
          <w:rFonts w:cstheme="minorHAnsi"/>
          <w:sz w:val="24"/>
          <w:szCs w:val="24"/>
        </w:rPr>
        <w:t xml:space="preserve">recommendations in the </w:t>
      </w:r>
      <w:r w:rsidR="00646A8F">
        <w:rPr>
          <w:rFonts w:cstheme="minorHAnsi"/>
          <w:sz w:val="24"/>
          <w:szCs w:val="24"/>
        </w:rPr>
        <w:t xml:space="preserve">inquiry into the appropriate terms of reference for a </w:t>
      </w:r>
      <w:r w:rsidRPr="00FC63C6">
        <w:rPr>
          <w:rFonts w:cstheme="minorHAnsi"/>
          <w:sz w:val="24"/>
          <w:szCs w:val="24"/>
        </w:rPr>
        <w:t xml:space="preserve">COVID-19 Royal Commission report </w:t>
      </w:r>
      <w:r w:rsidR="00984D8C">
        <w:rPr>
          <w:rFonts w:cstheme="minorHAnsi"/>
          <w:sz w:val="24"/>
          <w:szCs w:val="24"/>
        </w:rPr>
        <w:lastRenderedPageBreak/>
        <w:t>(</w:t>
      </w:r>
      <w:hyperlink r:id="rId22" w:history="1">
        <w:r w:rsidR="00435D01" w:rsidRPr="00346499">
          <w:rPr>
            <w:rStyle w:val="Hyperlink"/>
            <w:rFonts w:cstheme="minorHAnsi"/>
            <w:color w:val="auto"/>
            <w:sz w:val="24"/>
            <w:szCs w:val="24"/>
          </w:rPr>
          <w:t>https://www.aph.gov.au/Parliamentary_Business/Committees/Senate/Legal_and_Constitutional_Affairs/COVID19RC47/Report/List_of_recommendations</w:t>
        </w:r>
      </w:hyperlink>
      <w:r w:rsidR="00984D8C">
        <w:t>)</w:t>
      </w:r>
      <w:r w:rsidRPr="00FC63C6">
        <w:rPr>
          <w:sz w:val="24"/>
          <w:szCs w:val="24"/>
        </w:rPr>
        <w:t xml:space="preserve">. </w:t>
      </w:r>
    </w:p>
    <w:p w14:paraId="0331DD1D" w14:textId="76D23EAF" w:rsidR="008B0141" w:rsidRPr="00791415" w:rsidRDefault="008B0141" w:rsidP="00521C6A">
      <w:pPr>
        <w:jc w:val="both"/>
        <w:rPr>
          <w:rFonts w:cstheme="minorHAnsi"/>
          <w:sz w:val="24"/>
          <w:szCs w:val="24"/>
        </w:rPr>
      </w:pPr>
      <w:r w:rsidRPr="00791415">
        <w:rPr>
          <w:rFonts w:cstheme="minorHAnsi"/>
          <w:sz w:val="24"/>
          <w:szCs w:val="24"/>
        </w:rPr>
        <w:t>There have been numerous reviews and research into the Commonwealth Government and state and territory governments</w:t>
      </w:r>
      <w:r w:rsidR="00C95163">
        <w:rPr>
          <w:rFonts w:cstheme="minorHAnsi"/>
          <w:sz w:val="24"/>
          <w:szCs w:val="24"/>
        </w:rPr>
        <w:t>’</w:t>
      </w:r>
      <w:r w:rsidRPr="00791415">
        <w:rPr>
          <w:rFonts w:cstheme="minorHAnsi"/>
          <w:sz w:val="24"/>
          <w:szCs w:val="24"/>
        </w:rPr>
        <w:t xml:space="preserve"> responses to COVID-19. The Commonwealth Government COVID-19 Response Inquiry, led by an independent panel of experts, built on these reviews and was a comprehensive analysis of the Commonwealth response to the pandemic. In October 2024</w:t>
      </w:r>
      <w:r w:rsidR="00C95163">
        <w:rPr>
          <w:rFonts w:cstheme="minorHAnsi"/>
          <w:sz w:val="24"/>
          <w:szCs w:val="24"/>
        </w:rPr>
        <w:t>,</w:t>
      </w:r>
      <w:r w:rsidRPr="00791415">
        <w:rPr>
          <w:rFonts w:cstheme="minorHAnsi"/>
          <w:sz w:val="24"/>
          <w:szCs w:val="24"/>
        </w:rPr>
        <w:t xml:space="preserve"> the Inquiry report was published </w:t>
      </w:r>
      <w:r w:rsidR="00502929" w:rsidRPr="00791415">
        <w:rPr>
          <w:rFonts w:cstheme="minorHAnsi"/>
          <w:sz w:val="24"/>
          <w:szCs w:val="24"/>
        </w:rPr>
        <w:t>with</w:t>
      </w:r>
      <w:r w:rsidRPr="00791415">
        <w:rPr>
          <w:rFonts w:cstheme="minorHAnsi"/>
          <w:sz w:val="24"/>
          <w:szCs w:val="24"/>
        </w:rPr>
        <w:t xml:space="preserve"> </w:t>
      </w:r>
      <w:r w:rsidR="00C95163">
        <w:rPr>
          <w:rFonts w:cstheme="minorHAnsi"/>
          <w:sz w:val="24"/>
          <w:szCs w:val="24"/>
        </w:rPr>
        <w:t>nine</w:t>
      </w:r>
      <w:r w:rsidR="00502929" w:rsidRPr="00791415">
        <w:rPr>
          <w:rFonts w:cstheme="minorHAnsi"/>
          <w:sz w:val="24"/>
          <w:szCs w:val="24"/>
        </w:rPr>
        <w:t> </w:t>
      </w:r>
      <w:r w:rsidRPr="00791415">
        <w:rPr>
          <w:rFonts w:cstheme="minorHAnsi"/>
          <w:sz w:val="24"/>
          <w:szCs w:val="24"/>
        </w:rPr>
        <w:t xml:space="preserve">guiding recommendations and 26 actions for both short and longer-term work to improve Australia’s preparedness for future pandemics. </w:t>
      </w:r>
    </w:p>
    <w:p w14:paraId="1FA57AFC" w14:textId="41932866" w:rsidR="008B0141" w:rsidRPr="00FC63C6" w:rsidRDefault="008B0141" w:rsidP="00521C6A">
      <w:pPr>
        <w:jc w:val="both"/>
        <w:rPr>
          <w:rFonts w:cstheme="minorHAnsi"/>
          <w:sz w:val="24"/>
          <w:szCs w:val="24"/>
        </w:rPr>
      </w:pPr>
      <w:r w:rsidRPr="00791415">
        <w:rPr>
          <w:rFonts w:cstheme="minorHAnsi"/>
          <w:sz w:val="24"/>
          <w:szCs w:val="24"/>
        </w:rPr>
        <w:t>The Australian Government is considering the Inquiry report before responding.</w:t>
      </w:r>
    </w:p>
    <w:p w14:paraId="56BBAD2D" w14:textId="7C4C69AA" w:rsidR="006A13C0" w:rsidRPr="00FC63C6" w:rsidRDefault="006A13C0" w:rsidP="001F3778">
      <w:pPr>
        <w:pStyle w:val="Heading3"/>
      </w:pPr>
      <w:r w:rsidRPr="00FC63C6">
        <w:t>Dissenting Recommendation</w:t>
      </w:r>
      <w:r w:rsidR="00844019" w:rsidRPr="00FC63C6">
        <w:t xml:space="preserve"> </w:t>
      </w:r>
      <w:r w:rsidR="001157EB" w:rsidRPr="00FC63C6">
        <w:t>–</w:t>
      </w:r>
      <w:r w:rsidR="00844019" w:rsidRPr="00FC63C6">
        <w:t xml:space="preserve"> </w:t>
      </w:r>
      <w:r w:rsidR="001157EB" w:rsidRPr="00FC63C6">
        <w:t>Senator Babet – Recommendation 10</w:t>
      </w:r>
    </w:p>
    <w:p w14:paraId="0468BA75" w14:textId="77777777" w:rsidR="00E572DD" w:rsidRPr="00FC63C6" w:rsidRDefault="00E572DD" w:rsidP="0091312C">
      <w:pPr>
        <w:jc w:val="both"/>
        <w:rPr>
          <w:rFonts w:cstheme="minorHAnsi"/>
          <w:bCs/>
          <w:color w:val="2F5496" w:themeColor="accent5" w:themeShade="BF"/>
          <w:sz w:val="24"/>
          <w:szCs w:val="24"/>
        </w:rPr>
      </w:pPr>
      <w:r w:rsidRPr="00FC63C6">
        <w:rPr>
          <w:rFonts w:cstheme="minorHAnsi"/>
          <w:bCs/>
          <w:color w:val="2F5496" w:themeColor="accent5" w:themeShade="BF"/>
          <w:sz w:val="24"/>
          <w:szCs w:val="24"/>
        </w:rPr>
        <w:t xml:space="preserve">An appropriate independent body should undertake comprehensive review (including with bereaved families) of every report of death following COVID-19 vaccination. This body should also undertake investigations of each serious adverse event following immunisation (AEFI) report to pharmacovigilance authorities including interviewing each patient and undertaking additional specialised testing where possible. All AEFI reports (including those not deemed “serious”) should be individually </w:t>
      </w:r>
      <w:proofErr w:type="gramStart"/>
      <w:r w:rsidRPr="00FC63C6">
        <w:rPr>
          <w:rFonts w:cstheme="minorHAnsi"/>
          <w:bCs/>
          <w:color w:val="2F5496" w:themeColor="accent5" w:themeShade="BF"/>
          <w:sz w:val="24"/>
          <w:szCs w:val="24"/>
        </w:rPr>
        <w:t>followed-up</w:t>
      </w:r>
      <w:proofErr w:type="gramEnd"/>
      <w:r w:rsidRPr="00FC63C6">
        <w:rPr>
          <w:rFonts w:cstheme="minorHAnsi"/>
          <w:bCs/>
          <w:color w:val="2F5496" w:themeColor="accent5" w:themeShade="BF"/>
          <w:sz w:val="24"/>
          <w:szCs w:val="24"/>
        </w:rPr>
        <w:t xml:space="preserve"> to determine the long-lasting consequences of their vaccine reactions (which may include death).</w:t>
      </w:r>
    </w:p>
    <w:p w14:paraId="6A8EFAE5" w14:textId="3FB80C34" w:rsidR="00A456A6" w:rsidRPr="00FC63C6" w:rsidRDefault="00A456A6" w:rsidP="00440140">
      <w:pPr>
        <w:jc w:val="both"/>
        <w:rPr>
          <w:sz w:val="24"/>
          <w:szCs w:val="24"/>
        </w:rPr>
      </w:pPr>
      <w:r w:rsidRPr="00FC63C6">
        <w:rPr>
          <w:sz w:val="24"/>
          <w:szCs w:val="24"/>
        </w:rPr>
        <w:t xml:space="preserve">The </w:t>
      </w:r>
      <w:r w:rsidR="00227F92" w:rsidRPr="00FC63C6">
        <w:rPr>
          <w:sz w:val="24"/>
          <w:szCs w:val="24"/>
        </w:rPr>
        <w:t>Australian</w:t>
      </w:r>
      <w:r w:rsidR="00080AC2" w:rsidRPr="00FC63C6">
        <w:rPr>
          <w:sz w:val="24"/>
          <w:szCs w:val="24"/>
        </w:rPr>
        <w:t xml:space="preserve"> Government </w:t>
      </w:r>
      <w:r w:rsidR="00C27A3A">
        <w:rPr>
          <w:sz w:val="24"/>
          <w:szCs w:val="24"/>
        </w:rPr>
        <w:t>does not support this</w:t>
      </w:r>
      <w:r w:rsidR="00080AC2" w:rsidRPr="00FC63C6">
        <w:rPr>
          <w:sz w:val="24"/>
          <w:szCs w:val="24"/>
        </w:rPr>
        <w:t xml:space="preserve"> recommendation.</w:t>
      </w:r>
      <w:r w:rsidR="001C6CF5" w:rsidRPr="00FC63C6">
        <w:rPr>
          <w:sz w:val="24"/>
          <w:szCs w:val="24"/>
        </w:rPr>
        <w:t xml:space="preserve"> </w:t>
      </w:r>
    </w:p>
    <w:p w14:paraId="35F7E40C" w14:textId="2AD29854" w:rsidR="0076462D" w:rsidRPr="00FC63C6" w:rsidRDefault="003A0778" w:rsidP="00440140">
      <w:pPr>
        <w:jc w:val="both"/>
        <w:rPr>
          <w:rFonts w:cstheme="minorHAnsi"/>
          <w:iCs/>
          <w:sz w:val="24"/>
          <w:szCs w:val="24"/>
        </w:rPr>
      </w:pPr>
      <w:r w:rsidRPr="00FC63C6">
        <w:rPr>
          <w:rFonts w:cstheme="minorHAnsi"/>
          <w:iCs/>
          <w:sz w:val="24"/>
          <w:szCs w:val="24"/>
        </w:rPr>
        <w:t xml:space="preserve">Adverse </w:t>
      </w:r>
      <w:r w:rsidR="004C1E3F">
        <w:rPr>
          <w:rFonts w:cstheme="minorHAnsi"/>
          <w:iCs/>
          <w:sz w:val="24"/>
          <w:szCs w:val="24"/>
        </w:rPr>
        <w:t>e</w:t>
      </w:r>
      <w:r w:rsidRPr="00FC63C6">
        <w:rPr>
          <w:rFonts w:cstheme="minorHAnsi"/>
          <w:iCs/>
          <w:sz w:val="24"/>
          <w:szCs w:val="24"/>
        </w:rPr>
        <w:t xml:space="preserve">vent data is made available to the public though the Database of Adverse Event Notifications (DAEN) – medicines. </w:t>
      </w:r>
      <w:r w:rsidR="006E68C7" w:rsidRPr="00FC63C6">
        <w:rPr>
          <w:rFonts w:cstheme="minorHAnsi"/>
          <w:bCs/>
          <w:iCs/>
          <w:sz w:val="24"/>
          <w:szCs w:val="24"/>
        </w:rPr>
        <w:t>The Australian Government was</w:t>
      </w:r>
      <w:r w:rsidR="009F413C" w:rsidRPr="00FC63C6">
        <w:rPr>
          <w:rFonts w:cstheme="minorHAnsi"/>
          <w:bCs/>
          <w:iCs/>
          <w:sz w:val="24"/>
          <w:szCs w:val="24"/>
        </w:rPr>
        <w:t xml:space="preserve"> open and transparent about COVID-19 vaccine safety</w:t>
      </w:r>
      <w:r w:rsidR="003042F0" w:rsidRPr="00FC63C6">
        <w:rPr>
          <w:rFonts w:cstheme="minorHAnsi"/>
          <w:bCs/>
          <w:iCs/>
          <w:sz w:val="24"/>
          <w:szCs w:val="24"/>
        </w:rPr>
        <w:t xml:space="preserve"> during its roll-out</w:t>
      </w:r>
      <w:r w:rsidR="003042F0" w:rsidRPr="00FC63C6">
        <w:rPr>
          <w:rFonts w:cstheme="minorHAnsi"/>
          <w:iCs/>
          <w:sz w:val="24"/>
          <w:szCs w:val="24"/>
        </w:rPr>
        <w:t>.</w:t>
      </w:r>
      <w:r w:rsidR="0076462D" w:rsidRPr="00FC63C6">
        <w:rPr>
          <w:rFonts w:cstheme="minorHAnsi"/>
          <w:iCs/>
          <w:sz w:val="24"/>
          <w:szCs w:val="24"/>
        </w:rPr>
        <w:t xml:space="preserve"> For more than </w:t>
      </w:r>
      <w:r w:rsidR="004C1E3F">
        <w:rPr>
          <w:rFonts w:cstheme="minorHAnsi"/>
          <w:iCs/>
          <w:sz w:val="24"/>
          <w:szCs w:val="24"/>
        </w:rPr>
        <w:t>two</w:t>
      </w:r>
      <w:r w:rsidR="0076462D" w:rsidRPr="00FC63C6">
        <w:rPr>
          <w:rFonts w:cstheme="minorHAnsi"/>
          <w:iCs/>
          <w:sz w:val="24"/>
          <w:szCs w:val="24"/>
        </w:rPr>
        <w:t xml:space="preserve"> years, the Therapeutic Goods Administration (TGA) published a regular COVID-19 vaccine safety report, initially weekly and then fortnightly. </w:t>
      </w:r>
    </w:p>
    <w:p w14:paraId="3B95661C" w14:textId="37AF8917" w:rsidR="00080AC2" w:rsidRPr="00FC63C6" w:rsidRDefault="005D73BB" w:rsidP="00440140">
      <w:pPr>
        <w:jc w:val="both"/>
        <w:rPr>
          <w:rFonts w:ascii="Calibri" w:hAnsi="Calibri" w:cs="Calibri"/>
          <w:sz w:val="24"/>
          <w:szCs w:val="24"/>
        </w:rPr>
      </w:pPr>
      <w:r w:rsidRPr="00FC63C6">
        <w:rPr>
          <w:rFonts w:ascii="Calibri" w:hAnsi="Calibri" w:cs="Calibri"/>
          <w:sz w:val="24"/>
          <w:szCs w:val="24"/>
        </w:rPr>
        <w:t xml:space="preserve">The safety of the COVID-19 vaccines currently registered in Australia was assessed by the </w:t>
      </w:r>
      <w:r w:rsidR="00093EFD" w:rsidRPr="00FC63C6">
        <w:rPr>
          <w:rFonts w:ascii="Calibri" w:hAnsi="Calibri" w:cs="Calibri"/>
          <w:sz w:val="24"/>
          <w:szCs w:val="24"/>
        </w:rPr>
        <w:t>TGA</w:t>
      </w:r>
      <w:r w:rsidRPr="00FC63C6">
        <w:rPr>
          <w:rFonts w:ascii="Calibri" w:hAnsi="Calibri" w:cs="Calibri"/>
          <w:sz w:val="24"/>
          <w:szCs w:val="24"/>
        </w:rPr>
        <w:t xml:space="preserve"> through analysis of large </w:t>
      </w:r>
      <w:r w:rsidRPr="00FC63C6">
        <w:rPr>
          <w:rFonts w:ascii="Calibri" w:hAnsi="Calibri" w:cs="Calibri"/>
          <w:i/>
          <w:iCs/>
          <w:sz w:val="24"/>
          <w:szCs w:val="24"/>
        </w:rPr>
        <w:t>in vivo</w:t>
      </w:r>
      <w:r w:rsidRPr="00FC63C6">
        <w:rPr>
          <w:rFonts w:ascii="Calibri" w:hAnsi="Calibri" w:cs="Calibri"/>
          <w:sz w:val="24"/>
          <w:szCs w:val="24"/>
        </w:rPr>
        <w:t xml:space="preserve"> studies (clinical trials) with tens of thousands of individuals. This has since been supported by real</w:t>
      </w:r>
      <w:r w:rsidR="004C1E3F">
        <w:rPr>
          <w:rFonts w:ascii="Calibri" w:hAnsi="Calibri" w:cs="Calibri"/>
          <w:sz w:val="24"/>
          <w:szCs w:val="24"/>
        </w:rPr>
        <w:t>-</w:t>
      </w:r>
      <w:r w:rsidRPr="00FC63C6">
        <w:rPr>
          <w:rFonts w:ascii="Calibri" w:hAnsi="Calibri" w:cs="Calibri"/>
          <w:sz w:val="24"/>
          <w:szCs w:val="24"/>
        </w:rPr>
        <w:t>world data from billions of individuals</w:t>
      </w:r>
      <w:r w:rsidR="0039142B" w:rsidRPr="00FC63C6">
        <w:rPr>
          <w:rFonts w:ascii="Calibri" w:hAnsi="Calibri" w:cs="Calibri"/>
          <w:sz w:val="24"/>
          <w:szCs w:val="24"/>
        </w:rPr>
        <w:t>.</w:t>
      </w:r>
    </w:p>
    <w:p w14:paraId="268A0B27" w14:textId="68E19BD6" w:rsidR="00AB3267" w:rsidRPr="00FC63C6" w:rsidRDefault="00FE3A78" w:rsidP="00440140">
      <w:pPr>
        <w:jc w:val="both"/>
        <w:rPr>
          <w:rFonts w:cstheme="minorHAnsi"/>
          <w:b/>
          <w:iCs/>
          <w:sz w:val="24"/>
          <w:szCs w:val="24"/>
          <w:u w:val="single"/>
        </w:rPr>
      </w:pPr>
      <w:r w:rsidRPr="00FC63C6">
        <w:rPr>
          <w:rFonts w:cstheme="minorHAnsi"/>
          <w:sz w:val="24"/>
          <w:szCs w:val="24"/>
        </w:rPr>
        <w:t>Mechanisms for coronial enquiry into deaths, including those which might be attributed to vaccine adverse events, exist in all states and territories of Australia and an independent body as proposed in Recommendation 10 would both exceed Commonwealth jurisdiction and duplicate these systems. Such an enquiry would involve analysis of large amounts of private medical information which the Commonwealth would not normally access or have procedures to handle.</w:t>
      </w:r>
      <w:r w:rsidR="00AB3267" w:rsidRPr="00FC63C6">
        <w:rPr>
          <w:rFonts w:cstheme="minorHAnsi"/>
          <w:b/>
          <w:iCs/>
          <w:sz w:val="24"/>
          <w:szCs w:val="24"/>
          <w:u w:val="single"/>
        </w:rPr>
        <w:br w:type="page"/>
      </w:r>
    </w:p>
    <w:p w14:paraId="3750EC70" w14:textId="0BABF9D5" w:rsidR="0061366B" w:rsidRPr="00FC63C6" w:rsidRDefault="00AB3267" w:rsidP="001F3778">
      <w:pPr>
        <w:pStyle w:val="Heading1"/>
      </w:pPr>
      <w:r w:rsidRPr="00FC63C6">
        <w:lastRenderedPageBreak/>
        <w:t xml:space="preserve">Group 3 – </w:t>
      </w:r>
      <w:r w:rsidR="000D21F7" w:rsidRPr="00FC63C6">
        <w:t>Compensation</w:t>
      </w:r>
    </w:p>
    <w:p w14:paraId="26581E3B" w14:textId="77777777" w:rsidR="000D21F7" w:rsidRPr="00FC63C6" w:rsidRDefault="000D21F7" w:rsidP="001F3778">
      <w:pPr>
        <w:pStyle w:val="Heading2"/>
      </w:pPr>
      <w:r w:rsidRPr="00FC63C6">
        <w:t>Recommendation 2</w:t>
      </w:r>
    </w:p>
    <w:p w14:paraId="1D8C976D" w14:textId="77777777" w:rsidR="000D21F7" w:rsidRDefault="000D21F7" w:rsidP="0091312C">
      <w:pPr>
        <w:jc w:val="both"/>
        <w:rPr>
          <w:rFonts w:cstheme="minorHAnsi"/>
          <w:bCs/>
          <w:color w:val="2F5496" w:themeColor="accent5" w:themeShade="BF"/>
          <w:sz w:val="24"/>
          <w:szCs w:val="24"/>
        </w:rPr>
      </w:pPr>
      <w:r w:rsidRPr="00FC63C6">
        <w:rPr>
          <w:rFonts w:cstheme="minorHAnsi"/>
          <w:bCs/>
          <w:color w:val="2F5496" w:themeColor="accent5" w:themeShade="BF"/>
          <w:sz w:val="24"/>
          <w:szCs w:val="24"/>
        </w:rPr>
        <w:t xml:space="preserve">The committee recommends that the Australian Government consider the design and compensation arrangements of a no-fault compensation scheme for Commonwealth-funded vaccines in response to a future pandemic event. </w:t>
      </w:r>
    </w:p>
    <w:p w14:paraId="6928AB73" w14:textId="56852726" w:rsidR="00DF4E6C" w:rsidRDefault="00DF4E6C" w:rsidP="000D21F7">
      <w:pPr>
        <w:rPr>
          <w:rFonts w:cstheme="minorHAnsi"/>
          <w:bCs/>
          <w:iCs/>
          <w:sz w:val="24"/>
          <w:szCs w:val="24"/>
        </w:rPr>
      </w:pPr>
      <w:r w:rsidRPr="00FC63C6">
        <w:rPr>
          <w:rFonts w:cstheme="minorHAnsi"/>
          <w:bCs/>
          <w:iCs/>
          <w:sz w:val="24"/>
          <w:szCs w:val="24"/>
        </w:rPr>
        <w:t>The</w:t>
      </w:r>
      <w:r>
        <w:rPr>
          <w:rFonts w:cstheme="minorHAnsi"/>
          <w:bCs/>
          <w:iCs/>
          <w:sz w:val="24"/>
          <w:szCs w:val="24"/>
        </w:rPr>
        <w:t xml:space="preserve"> Australian Government notes this </w:t>
      </w:r>
      <w:r w:rsidR="00D37159">
        <w:rPr>
          <w:rFonts w:cstheme="minorHAnsi"/>
          <w:bCs/>
          <w:iCs/>
          <w:sz w:val="24"/>
          <w:szCs w:val="24"/>
        </w:rPr>
        <w:t xml:space="preserve">recommendation. </w:t>
      </w:r>
    </w:p>
    <w:p w14:paraId="244D7358" w14:textId="77777777" w:rsidR="007F6FA8" w:rsidRPr="00FC63C6" w:rsidRDefault="007F6FA8" w:rsidP="00440140">
      <w:pPr>
        <w:jc w:val="both"/>
        <w:rPr>
          <w:rFonts w:cstheme="minorHAnsi"/>
          <w:bCs/>
          <w:color w:val="2F5496" w:themeColor="accent5" w:themeShade="BF"/>
          <w:sz w:val="24"/>
          <w:szCs w:val="24"/>
        </w:rPr>
      </w:pPr>
      <w:r>
        <w:rPr>
          <w:rFonts w:cstheme="minorHAnsi"/>
          <w:bCs/>
          <w:iCs/>
          <w:sz w:val="24"/>
          <w:szCs w:val="24"/>
        </w:rPr>
        <w:t>This recommendation will be addressed through the Government response to the Commonwealth Government COVID-19 Response Inquiry.</w:t>
      </w:r>
    </w:p>
    <w:p w14:paraId="1BBF0697" w14:textId="4CBBD4B0" w:rsidR="006A13C0" w:rsidRPr="00FC63C6" w:rsidRDefault="006A13C0" w:rsidP="001F3778">
      <w:pPr>
        <w:pStyle w:val="Heading3"/>
      </w:pPr>
      <w:r w:rsidRPr="00FC63C6">
        <w:t>Dissenting Recommendation</w:t>
      </w:r>
      <w:r w:rsidR="001157EB" w:rsidRPr="00FC63C6">
        <w:t xml:space="preserve"> – Senator Babet – Recommendation </w:t>
      </w:r>
      <w:r w:rsidR="00CD46F4" w:rsidRPr="00FC63C6">
        <w:t>6</w:t>
      </w:r>
    </w:p>
    <w:p w14:paraId="09B99E62" w14:textId="77777777" w:rsidR="0001035A" w:rsidRPr="00FC63C6" w:rsidRDefault="0001035A" w:rsidP="0091312C">
      <w:pPr>
        <w:jc w:val="both"/>
        <w:rPr>
          <w:rFonts w:cstheme="minorHAnsi"/>
          <w:bCs/>
          <w:color w:val="2F5496" w:themeColor="accent5" w:themeShade="BF"/>
          <w:sz w:val="24"/>
          <w:szCs w:val="24"/>
        </w:rPr>
      </w:pPr>
      <w:r w:rsidRPr="00FC63C6">
        <w:rPr>
          <w:rFonts w:cstheme="minorHAnsi"/>
          <w:bCs/>
          <w:color w:val="2F5496" w:themeColor="accent5" w:themeShade="BF"/>
          <w:sz w:val="24"/>
          <w:szCs w:val="24"/>
        </w:rPr>
        <w:t xml:space="preserve">Extend the COVID-19 Vaccine Claims Scheme and fully review its terms to ensure that victims are adequately compensated. </w:t>
      </w:r>
    </w:p>
    <w:p w14:paraId="6502DD4C" w14:textId="27DE392F" w:rsidR="00AC335A" w:rsidRPr="00FC63C6" w:rsidRDefault="00AC335A" w:rsidP="00D565D8">
      <w:pPr>
        <w:jc w:val="both"/>
        <w:rPr>
          <w:rFonts w:cstheme="minorHAnsi"/>
          <w:bCs/>
          <w:iCs/>
          <w:sz w:val="24"/>
          <w:szCs w:val="24"/>
        </w:rPr>
      </w:pPr>
      <w:r w:rsidRPr="00791415">
        <w:rPr>
          <w:rFonts w:cstheme="minorHAnsi"/>
          <w:bCs/>
          <w:iCs/>
          <w:sz w:val="24"/>
          <w:szCs w:val="24"/>
        </w:rPr>
        <w:t xml:space="preserve">The Australian Government does not </w:t>
      </w:r>
      <w:r w:rsidR="004818F7" w:rsidRPr="00791415">
        <w:rPr>
          <w:rFonts w:cstheme="minorHAnsi"/>
          <w:bCs/>
          <w:iCs/>
          <w:sz w:val="24"/>
          <w:szCs w:val="24"/>
        </w:rPr>
        <w:t>support</w:t>
      </w:r>
      <w:r w:rsidRPr="00791415">
        <w:rPr>
          <w:rFonts w:cstheme="minorHAnsi"/>
          <w:bCs/>
          <w:iCs/>
          <w:sz w:val="24"/>
          <w:szCs w:val="24"/>
        </w:rPr>
        <w:t xml:space="preserve"> this recommendation.</w:t>
      </w:r>
    </w:p>
    <w:p w14:paraId="2060F219" w14:textId="7F0115B2" w:rsidR="005A1D67" w:rsidRPr="00FC63C6" w:rsidRDefault="005A1D67" w:rsidP="00D565D8">
      <w:pPr>
        <w:jc w:val="both"/>
        <w:rPr>
          <w:rFonts w:cstheme="minorHAnsi"/>
          <w:bCs/>
          <w:sz w:val="24"/>
          <w:szCs w:val="24"/>
        </w:rPr>
      </w:pPr>
      <w:r w:rsidRPr="00FC63C6">
        <w:rPr>
          <w:rFonts w:cstheme="minorHAnsi"/>
          <w:bCs/>
          <w:sz w:val="24"/>
          <w:szCs w:val="24"/>
        </w:rPr>
        <w:t xml:space="preserve">The Australian Government established the COVID-19 Vaccine Claims Scheme on 13 December 2021 as a no-fault, time-limited claims </w:t>
      </w:r>
      <w:r w:rsidR="004C1E3F">
        <w:rPr>
          <w:rFonts w:cstheme="minorHAnsi"/>
          <w:bCs/>
          <w:sz w:val="24"/>
          <w:szCs w:val="24"/>
        </w:rPr>
        <w:t>s</w:t>
      </w:r>
      <w:r w:rsidRPr="00FC63C6">
        <w:rPr>
          <w:rFonts w:cstheme="minorHAnsi"/>
          <w:bCs/>
          <w:sz w:val="24"/>
          <w:szCs w:val="24"/>
        </w:rPr>
        <w:t>cheme to respond to the unprecedented immediate circumstances of the COVID-19 pandemic. As agreed by Government in the 2023-24 Mid-Year Economic and Fiscal Outlook</w:t>
      </w:r>
      <w:r w:rsidR="00CA6B8B">
        <w:rPr>
          <w:rFonts w:cstheme="minorHAnsi"/>
          <w:bCs/>
          <w:sz w:val="24"/>
          <w:szCs w:val="24"/>
        </w:rPr>
        <w:t>,</w:t>
      </w:r>
      <w:r w:rsidRPr="00FC63C6">
        <w:rPr>
          <w:rFonts w:cstheme="minorHAnsi"/>
          <w:bCs/>
          <w:sz w:val="24"/>
          <w:szCs w:val="24"/>
        </w:rPr>
        <w:t xml:space="preserve"> the </w:t>
      </w:r>
      <w:r w:rsidR="004C1E3F">
        <w:rPr>
          <w:rFonts w:cstheme="minorHAnsi"/>
          <w:bCs/>
          <w:sz w:val="24"/>
          <w:szCs w:val="24"/>
        </w:rPr>
        <w:t>s</w:t>
      </w:r>
      <w:r w:rsidRPr="00FC63C6">
        <w:rPr>
          <w:rFonts w:cstheme="minorHAnsi"/>
          <w:bCs/>
          <w:sz w:val="24"/>
          <w:szCs w:val="24"/>
        </w:rPr>
        <w:t>cheme close</w:t>
      </w:r>
      <w:r w:rsidR="007F2A44" w:rsidRPr="00FC63C6">
        <w:rPr>
          <w:rFonts w:cstheme="minorHAnsi"/>
          <w:bCs/>
          <w:sz w:val="24"/>
          <w:szCs w:val="24"/>
        </w:rPr>
        <w:t>d</w:t>
      </w:r>
      <w:r w:rsidR="00BA6872" w:rsidRPr="00FC63C6">
        <w:rPr>
          <w:rFonts w:cstheme="minorHAnsi"/>
          <w:bCs/>
          <w:sz w:val="24"/>
          <w:szCs w:val="24"/>
        </w:rPr>
        <w:t xml:space="preserve"> </w:t>
      </w:r>
      <w:r w:rsidRPr="00FC63C6">
        <w:rPr>
          <w:rFonts w:cstheme="minorHAnsi"/>
          <w:bCs/>
          <w:sz w:val="24"/>
          <w:szCs w:val="24"/>
        </w:rPr>
        <w:t xml:space="preserve">to new claims on 30 September 2024. Claims submitted by that date continue to be assessed in line with the Scheme Policy. </w:t>
      </w:r>
    </w:p>
    <w:p w14:paraId="5683A270" w14:textId="5E30A6CF" w:rsidR="006B599F" w:rsidRPr="00FC63C6" w:rsidRDefault="006B599F" w:rsidP="00D82E46">
      <w:pPr>
        <w:jc w:val="both"/>
        <w:rPr>
          <w:rFonts w:cstheme="minorHAnsi"/>
          <w:bCs/>
          <w:sz w:val="24"/>
          <w:szCs w:val="24"/>
        </w:rPr>
      </w:pPr>
      <w:r w:rsidRPr="00FC63C6">
        <w:rPr>
          <w:rFonts w:cstheme="minorHAnsi"/>
          <w:bCs/>
          <w:sz w:val="24"/>
          <w:szCs w:val="24"/>
        </w:rPr>
        <w:t xml:space="preserve">The Australian Government is working to improve vaccine rollout in the future. The interim Australian CDC </w:t>
      </w:r>
      <w:r w:rsidR="0067214E">
        <w:rPr>
          <w:rFonts w:cstheme="minorHAnsi"/>
          <w:bCs/>
          <w:sz w:val="24"/>
          <w:szCs w:val="24"/>
        </w:rPr>
        <w:t>led</w:t>
      </w:r>
      <w:r w:rsidRPr="00FC63C6">
        <w:rPr>
          <w:rFonts w:cstheme="minorHAnsi"/>
          <w:bCs/>
          <w:sz w:val="24"/>
          <w:szCs w:val="24"/>
        </w:rPr>
        <w:t xml:space="preserve"> the development of the</w:t>
      </w:r>
      <w:r w:rsidR="0067214E">
        <w:rPr>
          <w:rFonts w:cstheme="minorHAnsi"/>
          <w:bCs/>
          <w:sz w:val="24"/>
          <w:szCs w:val="24"/>
        </w:rPr>
        <w:t xml:space="preserve"> </w:t>
      </w:r>
      <w:r w:rsidRPr="00FC63C6">
        <w:rPr>
          <w:rFonts w:cstheme="minorHAnsi"/>
          <w:bCs/>
          <w:sz w:val="24"/>
          <w:szCs w:val="24"/>
        </w:rPr>
        <w:t xml:space="preserve">National Immunisation Strategy 2025–30 (Strategy) in collaboration with key partners, including States and Territories. </w:t>
      </w:r>
    </w:p>
    <w:p w14:paraId="5920C7F5" w14:textId="41F8E681" w:rsidR="006B599F" w:rsidRPr="00FC63C6" w:rsidRDefault="006B599F" w:rsidP="00D82E46">
      <w:pPr>
        <w:jc w:val="both"/>
        <w:rPr>
          <w:rFonts w:cstheme="minorHAnsi"/>
          <w:bCs/>
          <w:sz w:val="24"/>
          <w:szCs w:val="24"/>
        </w:rPr>
      </w:pPr>
      <w:r w:rsidRPr="00FC63C6">
        <w:rPr>
          <w:rFonts w:cstheme="minorHAnsi"/>
          <w:bCs/>
          <w:sz w:val="24"/>
          <w:szCs w:val="24"/>
        </w:rPr>
        <w:t>The new Strategy outline</w:t>
      </w:r>
      <w:r w:rsidR="0067214E">
        <w:rPr>
          <w:rFonts w:cstheme="minorHAnsi"/>
          <w:bCs/>
          <w:sz w:val="24"/>
          <w:szCs w:val="24"/>
        </w:rPr>
        <w:t>s</w:t>
      </w:r>
      <w:r w:rsidRPr="00FC63C6">
        <w:rPr>
          <w:rFonts w:cstheme="minorHAnsi"/>
          <w:bCs/>
          <w:sz w:val="24"/>
          <w:szCs w:val="24"/>
        </w:rPr>
        <w:t xml:space="preserve"> a vision and mission to reduce the health impacts of vaccine preventable diseases. It contain</w:t>
      </w:r>
      <w:r w:rsidR="0067214E">
        <w:rPr>
          <w:rFonts w:cstheme="minorHAnsi"/>
          <w:bCs/>
          <w:sz w:val="24"/>
          <w:szCs w:val="24"/>
        </w:rPr>
        <w:t>s</w:t>
      </w:r>
      <w:r w:rsidRPr="00FC63C6">
        <w:rPr>
          <w:rFonts w:cstheme="minorHAnsi"/>
          <w:bCs/>
          <w:sz w:val="24"/>
          <w:szCs w:val="24"/>
        </w:rPr>
        <w:t xml:space="preserve"> priority areas and strategic goals, providing a roadmap for action over the next five years.</w:t>
      </w:r>
    </w:p>
    <w:p w14:paraId="59A3EEA6" w14:textId="414CD253" w:rsidR="006B599F" w:rsidRPr="00FC63C6" w:rsidRDefault="006B599F" w:rsidP="00D82E46">
      <w:pPr>
        <w:jc w:val="both"/>
        <w:rPr>
          <w:rFonts w:cstheme="minorHAnsi"/>
          <w:bCs/>
          <w:sz w:val="24"/>
          <w:szCs w:val="24"/>
        </w:rPr>
      </w:pPr>
      <w:r w:rsidRPr="00FC63C6">
        <w:rPr>
          <w:rFonts w:cstheme="minorHAnsi"/>
          <w:bCs/>
          <w:sz w:val="24"/>
          <w:szCs w:val="24"/>
        </w:rPr>
        <w:t>The Strategy prioritise</w:t>
      </w:r>
      <w:r w:rsidR="001C576C" w:rsidRPr="00FC63C6">
        <w:rPr>
          <w:rFonts w:cstheme="minorHAnsi"/>
          <w:bCs/>
          <w:sz w:val="24"/>
          <w:szCs w:val="24"/>
        </w:rPr>
        <w:t>s</w:t>
      </w:r>
      <w:r w:rsidRPr="00FC63C6">
        <w:rPr>
          <w:rFonts w:cstheme="minorHAnsi"/>
          <w:bCs/>
          <w:sz w:val="24"/>
          <w:szCs w:val="24"/>
        </w:rPr>
        <w:t xml:space="preserve"> the implementation of sustainable reform in vaccine program governance, program delivery and accountability. It focus</w:t>
      </w:r>
      <w:r w:rsidR="0067214E">
        <w:rPr>
          <w:rFonts w:cstheme="minorHAnsi"/>
          <w:bCs/>
          <w:sz w:val="24"/>
          <w:szCs w:val="24"/>
        </w:rPr>
        <w:t>es</w:t>
      </w:r>
      <w:r w:rsidRPr="00FC63C6">
        <w:rPr>
          <w:rFonts w:cstheme="minorHAnsi"/>
          <w:bCs/>
          <w:sz w:val="24"/>
          <w:szCs w:val="24"/>
        </w:rPr>
        <w:t xml:space="preserve"> on supporting policies that help to improve public confidence in </w:t>
      </w:r>
      <w:proofErr w:type="gramStart"/>
      <w:r w:rsidRPr="00FC63C6">
        <w:rPr>
          <w:rFonts w:cstheme="minorHAnsi"/>
          <w:bCs/>
          <w:sz w:val="24"/>
          <w:szCs w:val="24"/>
        </w:rPr>
        <w:t>vaccines, and</w:t>
      </w:r>
      <w:proofErr w:type="gramEnd"/>
      <w:r w:rsidRPr="00FC63C6">
        <w:rPr>
          <w:rFonts w:cstheme="minorHAnsi"/>
          <w:bCs/>
          <w:sz w:val="24"/>
          <w:szCs w:val="24"/>
        </w:rPr>
        <w:t xml:space="preserve"> signal</w:t>
      </w:r>
      <w:r w:rsidR="0067214E">
        <w:rPr>
          <w:rFonts w:cstheme="minorHAnsi"/>
          <w:bCs/>
          <w:sz w:val="24"/>
          <w:szCs w:val="24"/>
        </w:rPr>
        <w:t>s</w:t>
      </w:r>
      <w:r w:rsidRPr="00FC63C6">
        <w:rPr>
          <w:rFonts w:cstheme="minorHAnsi"/>
          <w:bCs/>
          <w:sz w:val="24"/>
          <w:szCs w:val="24"/>
        </w:rPr>
        <w:t xml:space="preserve"> the intent to explore the feasibility of establishing a no-fault compensation scheme that covers all N</w:t>
      </w:r>
      <w:r w:rsidR="000B3FC8">
        <w:rPr>
          <w:rFonts w:cstheme="minorHAnsi"/>
          <w:bCs/>
          <w:sz w:val="24"/>
          <w:szCs w:val="24"/>
        </w:rPr>
        <w:t xml:space="preserve">ational </w:t>
      </w:r>
      <w:r w:rsidR="000B3FC8" w:rsidRPr="00FC63C6">
        <w:rPr>
          <w:rFonts w:cstheme="minorHAnsi"/>
          <w:bCs/>
          <w:sz w:val="24"/>
          <w:szCs w:val="24"/>
        </w:rPr>
        <w:t>I</w:t>
      </w:r>
      <w:r w:rsidR="000B3FC8">
        <w:rPr>
          <w:rFonts w:cstheme="minorHAnsi"/>
          <w:bCs/>
          <w:sz w:val="24"/>
          <w:szCs w:val="24"/>
        </w:rPr>
        <w:t xml:space="preserve">mmunisation </w:t>
      </w:r>
      <w:r w:rsidRPr="00FC63C6">
        <w:rPr>
          <w:rFonts w:cstheme="minorHAnsi"/>
          <w:bCs/>
          <w:sz w:val="24"/>
          <w:szCs w:val="24"/>
        </w:rPr>
        <w:t>P</w:t>
      </w:r>
      <w:r w:rsidR="000B3FC8">
        <w:rPr>
          <w:rFonts w:cstheme="minorHAnsi"/>
          <w:bCs/>
          <w:sz w:val="24"/>
          <w:szCs w:val="24"/>
        </w:rPr>
        <w:t>rogram</w:t>
      </w:r>
      <w:r w:rsidRPr="00FC63C6">
        <w:rPr>
          <w:rFonts w:cstheme="minorHAnsi"/>
          <w:bCs/>
          <w:sz w:val="24"/>
          <w:szCs w:val="24"/>
        </w:rPr>
        <w:t xml:space="preserve"> vaccines. </w:t>
      </w:r>
    </w:p>
    <w:p w14:paraId="13CE0898" w14:textId="77777777" w:rsidR="00C53494" w:rsidRPr="00FC63C6" w:rsidRDefault="00C53494" w:rsidP="001F3778">
      <w:pPr>
        <w:pStyle w:val="Heading3"/>
      </w:pPr>
      <w:r w:rsidRPr="00FC63C6">
        <w:t>Dissenting Recommendation – Senator Rennick – Recommendation 4</w:t>
      </w:r>
    </w:p>
    <w:p w14:paraId="622C60E5" w14:textId="4EAB8650" w:rsidR="0091312C" w:rsidRDefault="00C53494" w:rsidP="00C53494">
      <w:pPr>
        <w:rPr>
          <w:rFonts w:cstheme="minorHAnsi"/>
          <w:bCs/>
          <w:color w:val="2F5496" w:themeColor="accent5" w:themeShade="BF"/>
          <w:sz w:val="24"/>
          <w:szCs w:val="24"/>
        </w:rPr>
      </w:pPr>
      <w:r w:rsidRPr="00FC63C6">
        <w:rPr>
          <w:rFonts w:cstheme="minorHAnsi"/>
          <w:bCs/>
          <w:color w:val="2F5496" w:themeColor="accent5" w:themeShade="BF"/>
          <w:sz w:val="24"/>
          <w:szCs w:val="24"/>
        </w:rPr>
        <w:t>Pharmaceutical companies should be held responsible for their products. They should be liable for adverse events.</w:t>
      </w:r>
    </w:p>
    <w:p w14:paraId="254C9AA2" w14:textId="77777777" w:rsidR="0091312C" w:rsidRDefault="0091312C">
      <w:pPr>
        <w:spacing w:after="160" w:line="259" w:lineRule="auto"/>
        <w:rPr>
          <w:rFonts w:cstheme="minorHAnsi"/>
          <w:bCs/>
          <w:color w:val="2F5496" w:themeColor="accent5" w:themeShade="BF"/>
          <w:sz w:val="24"/>
          <w:szCs w:val="24"/>
        </w:rPr>
      </w:pPr>
      <w:r>
        <w:rPr>
          <w:rFonts w:cstheme="minorHAnsi"/>
          <w:bCs/>
          <w:color w:val="2F5496" w:themeColor="accent5" w:themeShade="BF"/>
          <w:sz w:val="24"/>
          <w:szCs w:val="24"/>
        </w:rPr>
        <w:br w:type="page"/>
      </w:r>
    </w:p>
    <w:p w14:paraId="3D1ABC31" w14:textId="001B5309" w:rsidR="00235574" w:rsidRPr="00FC63C6" w:rsidRDefault="00235574" w:rsidP="001F3778">
      <w:pPr>
        <w:pStyle w:val="Heading3"/>
      </w:pPr>
      <w:r w:rsidRPr="00FC63C6">
        <w:lastRenderedPageBreak/>
        <w:t>Dissenting Recommendation</w:t>
      </w:r>
      <w:r w:rsidR="00CD46F4" w:rsidRPr="00FC63C6">
        <w:t xml:space="preserve"> – Senator Rennick – Recommendation </w:t>
      </w:r>
      <w:r w:rsidR="0014630C" w:rsidRPr="00FC63C6">
        <w:t>5</w:t>
      </w:r>
    </w:p>
    <w:p w14:paraId="5C05173B" w14:textId="43FEF045" w:rsidR="00302B2B" w:rsidRPr="00FC63C6" w:rsidRDefault="001A2146" w:rsidP="00301BFE">
      <w:pPr>
        <w:jc w:val="both"/>
        <w:rPr>
          <w:rFonts w:cstheme="minorHAnsi"/>
          <w:bCs/>
          <w:color w:val="2F5496" w:themeColor="accent5" w:themeShade="BF"/>
          <w:sz w:val="24"/>
          <w:szCs w:val="24"/>
        </w:rPr>
      </w:pPr>
      <w:r w:rsidRPr="00FC63C6">
        <w:rPr>
          <w:rFonts w:cstheme="minorHAnsi"/>
          <w:bCs/>
          <w:color w:val="2F5496" w:themeColor="accent5" w:themeShade="BF"/>
          <w:sz w:val="24"/>
          <w:szCs w:val="24"/>
        </w:rPr>
        <w:t xml:space="preserve">People were disabled by COVID-19 vaccines. In many cases, lives were destroyed. Australians who are unable to live a full and fulfilling life, after doing what they thought was best based on Government advice or to save their livelihoods, should be adequately compensated, not given a hollow promise that it will be considered in the </w:t>
      </w:r>
      <w:r w:rsidR="00E574E4" w:rsidRPr="00FC63C6">
        <w:rPr>
          <w:rFonts w:cstheme="minorHAnsi"/>
          <w:bCs/>
          <w:color w:val="2F5496" w:themeColor="accent5" w:themeShade="BF"/>
          <w:sz w:val="24"/>
          <w:szCs w:val="24"/>
        </w:rPr>
        <w:t>future.</w:t>
      </w:r>
    </w:p>
    <w:p w14:paraId="3F379B3D" w14:textId="419EE0FF" w:rsidR="00474421" w:rsidRPr="00FC63C6" w:rsidRDefault="00474421" w:rsidP="001F3778">
      <w:pPr>
        <w:pStyle w:val="Heading3"/>
      </w:pPr>
      <w:r w:rsidRPr="00FC63C6">
        <w:t xml:space="preserve">Dissenting Recommendation – Senator Babet – Recommendation </w:t>
      </w:r>
      <w:r w:rsidR="00280F29" w:rsidRPr="00FC63C6">
        <w:t>8</w:t>
      </w:r>
    </w:p>
    <w:p w14:paraId="0813CEC2" w14:textId="4AD74324" w:rsidR="00EF24AA" w:rsidRPr="00FC63C6" w:rsidRDefault="00EF24AA" w:rsidP="00301BFE">
      <w:pPr>
        <w:jc w:val="both"/>
        <w:rPr>
          <w:rFonts w:cstheme="minorHAnsi"/>
          <w:bCs/>
          <w:color w:val="2F5496" w:themeColor="accent5" w:themeShade="BF"/>
          <w:sz w:val="24"/>
          <w:szCs w:val="24"/>
        </w:rPr>
      </w:pPr>
      <w:r w:rsidRPr="00FC63C6">
        <w:rPr>
          <w:rFonts w:cstheme="minorHAnsi"/>
          <w:bCs/>
          <w:color w:val="2F5496" w:themeColor="accent5" w:themeShade="BF"/>
          <w:sz w:val="24"/>
          <w:szCs w:val="24"/>
        </w:rPr>
        <w:t xml:space="preserve">In the interest of transparency, existing contracts containing indemnification clauses should be release publicly as they create an unquantifiable contingent liability for Australian taxpayers. </w:t>
      </w:r>
    </w:p>
    <w:p w14:paraId="4334FDB1" w14:textId="4BF082CA" w:rsidR="00756889" w:rsidRPr="00FC63C6" w:rsidRDefault="000E3DCD" w:rsidP="001F3778">
      <w:pPr>
        <w:rPr>
          <w:rFonts w:cstheme="minorHAnsi"/>
          <w:bCs/>
          <w:sz w:val="24"/>
          <w:szCs w:val="24"/>
        </w:rPr>
      </w:pPr>
      <w:r w:rsidRPr="00FC63C6">
        <w:rPr>
          <w:rFonts w:cstheme="minorHAnsi"/>
          <w:bCs/>
          <w:sz w:val="24"/>
          <w:szCs w:val="24"/>
        </w:rPr>
        <w:t>The Australian Government notes th</w:t>
      </w:r>
      <w:r w:rsidR="00254059" w:rsidRPr="00FC63C6">
        <w:rPr>
          <w:rFonts w:cstheme="minorHAnsi"/>
          <w:bCs/>
          <w:sz w:val="24"/>
          <w:szCs w:val="24"/>
        </w:rPr>
        <w:t>ese</w:t>
      </w:r>
      <w:r w:rsidRPr="00FC63C6">
        <w:rPr>
          <w:rFonts w:cstheme="minorHAnsi"/>
          <w:bCs/>
          <w:sz w:val="24"/>
          <w:szCs w:val="24"/>
        </w:rPr>
        <w:t xml:space="preserve"> recommendations</w:t>
      </w:r>
      <w:r w:rsidR="00C53494" w:rsidRPr="00FC63C6">
        <w:rPr>
          <w:rFonts w:cstheme="minorHAnsi"/>
          <w:bCs/>
          <w:sz w:val="24"/>
          <w:szCs w:val="24"/>
        </w:rPr>
        <w:t xml:space="preserve"> (Senator Rennick </w:t>
      </w:r>
      <w:r w:rsidR="00D82E46">
        <w:rPr>
          <w:rFonts w:cstheme="minorHAnsi"/>
          <w:bCs/>
          <w:sz w:val="24"/>
          <w:szCs w:val="24"/>
        </w:rPr>
        <w:t>R</w:t>
      </w:r>
      <w:r w:rsidR="00C53494" w:rsidRPr="00FC63C6">
        <w:rPr>
          <w:rFonts w:cstheme="minorHAnsi"/>
          <w:bCs/>
          <w:sz w:val="24"/>
          <w:szCs w:val="24"/>
        </w:rPr>
        <w:t xml:space="preserve">ecommendations 4 and 5 and Senator Babet Recommendation </w:t>
      </w:r>
      <w:r w:rsidR="003915C2" w:rsidRPr="00FC63C6">
        <w:rPr>
          <w:rFonts w:cstheme="minorHAnsi"/>
          <w:bCs/>
          <w:sz w:val="24"/>
          <w:szCs w:val="24"/>
        </w:rPr>
        <w:t>8)</w:t>
      </w:r>
      <w:r w:rsidRPr="00FC63C6">
        <w:rPr>
          <w:rFonts w:cstheme="minorHAnsi"/>
          <w:bCs/>
          <w:sz w:val="24"/>
          <w:szCs w:val="24"/>
        </w:rPr>
        <w:t>.</w:t>
      </w:r>
    </w:p>
    <w:p w14:paraId="46C84DBE" w14:textId="4CA8493D" w:rsidR="00B4488F" w:rsidRPr="00FC63C6" w:rsidRDefault="00B4488F" w:rsidP="00371982">
      <w:pPr>
        <w:rPr>
          <w:rFonts w:cstheme="minorHAnsi"/>
          <w:bCs/>
          <w:sz w:val="24"/>
          <w:szCs w:val="24"/>
        </w:rPr>
      </w:pPr>
      <w:r w:rsidRPr="00FC63C6">
        <w:rPr>
          <w:rFonts w:cstheme="minorHAnsi"/>
          <w:bCs/>
          <w:sz w:val="24"/>
          <w:szCs w:val="24"/>
        </w:rPr>
        <w:br w:type="page"/>
      </w:r>
    </w:p>
    <w:p w14:paraId="752B2674" w14:textId="7A333647" w:rsidR="0061366B" w:rsidRPr="00FC63C6" w:rsidRDefault="00B4488F" w:rsidP="001F3778">
      <w:pPr>
        <w:pStyle w:val="Heading1"/>
      </w:pPr>
      <w:r w:rsidRPr="00FC63C6">
        <w:lastRenderedPageBreak/>
        <w:t>Group</w:t>
      </w:r>
      <w:r w:rsidR="000A619E" w:rsidRPr="00FC63C6">
        <w:t xml:space="preserve"> 4</w:t>
      </w:r>
      <w:r w:rsidRPr="00FC63C6">
        <w:t xml:space="preserve"> – T</w:t>
      </w:r>
      <w:r w:rsidR="00446B17" w:rsidRPr="00FC63C6">
        <w:t>herapeutic Goods Administration</w:t>
      </w:r>
      <w:r w:rsidRPr="00FC63C6">
        <w:t xml:space="preserve"> </w:t>
      </w:r>
    </w:p>
    <w:p w14:paraId="1C33CC80" w14:textId="4EFC52F9" w:rsidR="006A13C0" w:rsidRPr="00FC63C6" w:rsidRDefault="006A13C0" w:rsidP="001F3778">
      <w:pPr>
        <w:pStyle w:val="Heading2"/>
      </w:pPr>
      <w:r w:rsidRPr="00FC63C6">
        <w:t>Dissenting Recommendation</w:t>
      </w:r>
      <w:r w:rsidR="00280F29" w:rsidRPr="00FC63C6">
        <w:t xml:space="preserve"> </w:t>
      </w:r>
      <w:r w:rsidR="00763D8B" w:rsidRPr="00FC63C6">
        <w:t>–</w:t>
      </w:r>
      <w:r w:rsidR="00280F29" w:rsidRPr="00FC63C6">
        <w:t xml:space="preserve"> Senator</w:t>
      </w:r>
      <w:r w:rsidR="00763D8B" w:rsidRPr="00FC63C6">
        <w:t xml:space="preserve"> Rennick – Recommendation 2</w:t>
      </w:r>
    </w:p>
    <w:p w14:paraId="0A2EC3AF" w14:textId="77777777" w:rsidR="00EF24AA" w:rsidRPr="00FC63C6" w:rsidRDefault="00EF24AA" w:rsidP="00301BFE">
      <w:pPr>
        <w:jc w:val="both"/>
        <w:rPr>
          <w:rFonts w:cstheme="minorHAnsi"/>
          <w:bCs/>
          <w:iCs/>
          <w:color w:val="2F5496" w:themeColor="accent5" w:themeShade="BF"/>
          <w:sz w:val="24"/>
          <w:szCs w:val="24"/>
        </w:rPr>
      </w:pPr>
      <w:r w:rsidRPr="00FC63C6">
        <w:rPr>
          <w:rFonts w:cstheme="minorHAnsi"/>
          <w:bCs/>
          <w:iCs/>
          <w:color w:val="2F5496" w:themeColor="accent5" w:themeShade="BF"/>
          <w:sz w:val="24"/>
          <w:szCs w:val="24"/>
        </w:rPr>
        <w:t>The Therapeutic Goods Administration must acknowledge that their testing of the COVID-19 vaccines was insufficient and work to lift their quality assurance.</w:t>
      </w:r>
    </w:p>
    <w:p w14:paraId="0841FECD" w14:textId="20EF0AC8" w:rsidR="00280F29" w:rsidRPr="00FC63C6" w:rsidRDefault="00280F29" w:rsidP="001F3778">
      <w:pPr>
        <w:pStyle w:val="Heading2"/>
      </w:pPr>
      <w:r w:rsidRPr="00FC63C6">
        <w:t>Dissenting Recommendation – Senator</w:t>
      </w:r>
      <w:r w:rsidR="00763D8B" w:rsidRPr="00FC63C6">
        <w:t xml:space="preserve"> Rennick – Recommendation 3</w:t>
      </w:r>
    </w:p>
    <w:p w14:paraId="59FD595A" w14:textId="05E0484A" w:rsidR="00BE2493" w:rsidRPr="00FC63C6" w:rsidRDefault="00BE2493" w:rsidP="00301BFE">
      <w:pPr>
        <w:jc w:val="both"/>
        <w:rPr>
          <w:rFonts w:cstheme="minorHAnsi"/>
          <w:bCs/>
          <w:iCs/>
          <w:color w:val="2F5496" w:themeColor="accent5" w:themeShade="BF"/>
          <w:sz w:val="24"/>
          <w:szCs w:val="24"/>
        </w:rPr>
      </w:pPr>
      <w:r w:rsidRPr="00FC63C6">
        <w:rPr>
          <w:rFonts w:cstheme="minorHAnsi"/>
          <w:bCs/>
          <w:iCs/>
          <w:color w:val="2F5496" w:themeColor="accent5" w:themeShade="BF"/>
          <w:sz w:val="24"/>
          <w:szCs w:val="24"/>
        </w:rPr>
        <w:t>Adverse events need to be recognised sooner so that faulty products can be recalled. The Australian people should not have their injuries gaslighted.</w:t>
      </w:r>
    </w:p>
    <w:p w14:paraId="4966AD28" w14:textId="581B3960" w:rsidR="00230C30" w:rsidRPr="00FC63C6" w:rsidRDefault="00230C30" w:rsidP="00377588">
      <w:pPr>
        <w:jc w:val="both"/>
        <w:rPr>
          <w:rFonts w:cstheme="minorHAnsi"/>
          <w:bCs/>
          <w:iCs/>
          <w:sz w:val="24"/>
          <w:szCs w:val="24"/>
        </w:rPr>
      </w:pPr>
      <w:r w:rsidRPr="00FC63C6">
        <w:rPr>
          <w:rFonts w:cstheme="minorHAnsi"/>
          <w:bCs/>
          <w:iCs/>
          <w:sz w:val="24"/>
          <w:szCs w:val="24"/>
        </w:rPr>
        <w:t xml:space="preserve">The Australian Government </w:t>
      </w:r>
      <w:r w:rsidR="00C045E1" w:rsidRPr="00FC63C6">
        <w:rPr>
          <w:rFonts w:cstheme="minorHAnsi"/>
          <w:bCs/>
          <w:iCs/>
          <w:sz w:val="24"/>
          <w:szCs w:val="24"/>
        </w:rPr>
        <w:t xml:space="preserve">does not </w:t>
      </w:r>
      <w:r w:rsidR="009B1E1A">
        <w:rPr>
          <w:rFonts w:cstheme="minorHAnsi"/>
          <w:bCs/>
          <w:iCs/>
          <w:sz w:val="24"/>
          <w:szCs w:val="24"/>
        </w:rPr>
        <w:t>support</w:t>
      </w:r>
      <w:r w:rsidRPr="00FC63C6">
        <w:rPr>
          <w:rFonts w:cstheme="minorHAnsi"/>
          <w:bCs/>
          <w:iCs/>
          <w:sz w:val="24"/>
          <w:szCs w:val="24"/>
        </w:rPr>
        <w:t xml:space="preserve"> these</w:t>
      </w:r>
      <w:r w:rsidR="00E62D71" w:rsidRPr="00FC63C6">
        <w:rPr>
          <w:rFonts w:cstheme="minorHAnsi"/>
          <w:bCs/>
          <w:iCs/>
          <w:sz w:val="24"/>
          <w:szCs w:val="24"/>
        </w:rPr>
        <w:t xml:space="preserve"> recommendations</w:t>
      </w:r>
      <w:r w:rsidR="003915C2" w:rsidRPr="00FC63C6">
        <w:rPr>
          <w:rFonts w:cstheme="minorHAnsi"/>
          <w:bCs/>
          <w:iCs/>
          <w:sz w:val="24"/>
          <w:szCs w:val="24"/>
        </w:rPr>
        <w:t xml:space="preserve"> (Senator Rennick Recommendations 2 and 3)</w:t>
      </w:r>
      <w:r w:rsidR="00E95918" w:rsidRPr="00FC63C6">
        <w:rPr>
          <w:rFonts w:cstheme="minorHAnsi"/>
          <w:bCs/>
          <w:iCs/>
          <w:sz w:val="24"/>
          <w:szCs w:val="24"/>
        </w:rPr>
        <w:t>.</w:t>
      </w:r>
    </w:p>
    <w:p w14:paraId="27DEDFB3" w14:textId="45428B03" w:rsidR="00F308E0" w:rsidRPr="00FC63C6" w:rsidRDefault="00F9687D" w:rsidP="00377588">
      <w:pPr>
        <w:jc w:val="both"/>
        <w:rPr>
          <w:rFonts w:ascii="Calibri" w:hAnsi="Calibri" w:cs="Calibri"/>
          <w:sz w:val="24"/>
          <w:szCs w:val="24"/>
        </w:rPr>
      </w:pPr>
      <w:r w:rsidRPr="00FC63C6">
        <w:rPr>
          <w:rFonts w:cstheme="minorHAnsi"/>
          <w:iCs/>
          <w:sz w:val="24"/>
          <w:szCs w:val="24"/>
        </w:rPr>
        <w:t xml:space="preserve">The </w:t>
      </w:r>
      <w:r w:rsidR="00C35181">
        <w:rPr>
          <w:rFonts w:cstheme="minorHAnsi"/>
          <w:iCs/>
          <w:sz w:val="24"/>
          <w:szCs w:val="24"/>
        </w:rPr>
        <w:t>Government</w:t>
      </w:r>
      <w:r w:rsidRPr="00FC63C6">
        <w:rPr>
          <w:rFonts w:cstheme="minorHAnsi"/>
          <w:iCs/>
          <w:sz w:val="24"/>
          <w:szCs w:val="24"/>
        </w:rPr>
        <w:t xml:space="preserve"> rejects any assertion that </w:t>
      </w:r>
      <w:r w:rsidR="00C35181">
        <w:rPr>
          <w:rFonts w:cstheme="minorHAnsi"/>
          <w:iCs/>
          <w:sz w:val="24"/>
          <w:szCs w:val="24"/>
        </w:rPr>
        <w:t>the TGA’s</w:t>
      </w:r>
      <w:r w:rsidRPr="00FC63C6">
        <w:rPr>
          <w:rFonts w:cstheme="minorHAnsi"/>
          <w:iCs/>
          <w:sz w:val="24"/>
          <w:szCs w:val="24"/>
        </w:rPr>
        <w:t xml:space="preserve"> assessment of COVID-19 vaccines was insufficient. </w:t>
      </w:r>
      <w:r w:rsidR="00F308E0" w:rsidRPr="00FC63C6">
        <w:rPr>
          <w:rFonts w:ascii="Calibri" w:hAnsi="Calibri" w:cs="Calibri"/>
          <w:sz w:val="24"/>
          <w:szCs w:val="24"/>
        </w:rPr>
        <w:t>The claim that the TGA ‘gaslights’ people who have experienced an adverse event is incorrect and not reflective of publicly available evidence.</w:t>
      </w:r>
    </w:p>
    <w:p w14:paraId="12E293D8" w14:textId="15C647D2" w:rsidR="00E62D71" w:rsidRPr="00FC63C6" w:rsidRDefault="00E62D71" w:rsidP="00377588">
      <w:pPr>
        <w:jc w:val="both"/>
        <w:rPr>
          <w:rFonts w:cstheme="minorHAnsi"/>
          <w:bCs/>
          <w:iCs/>
          <w:sz w:val="24"/>
          <w:szCs w:val="24"/>
        </w:rPr>
      </w:pPr>
      <w:r w:rsidRPr="00FC63C6">
        <w:rPr>
          <w:rFonts w:cstheme="minorHAnsi"/>
          <w:bCs/>
          <w:iCs/>
          <w:sz w:val="24"/>
          <w:szCs w:val="24"/>
        </w:rPr>
        <w:t xml:space="preserve">The </w:t>
      </w:r>
      <w:r w:rsidR="0004119F">
        <w:rPr>
          <w:rFonts w:cstheme="minorHAnsi"/>
          <w:bCs/>
          <w:iCs/>
          <w:sz w:val="24"/>
          <w:szCs w:val="24"/>
        </w:rPr>
        <w:t xml:space="preserve">TGA </w:t>
      </w:r>
      <w:r w:rsidRPr="00FC63C6">
        <w:rPr>
          <w:rFonts w:cstheme="minorHAnsi"/>
          <w:bCs/>
          <w:iCs/>
          <w:sz w:val="24"/>
          <w:szCs w:val="24"/>
        </w:rPr>
        <w:t xml:space="preserve">comprehensively evaluated each COVID-19 vaccine to ensure that they meet Australia's high standards of safety, quality, and efficacy. </w:t>
      </w:r>
      <w:r w:rsidRPr="00FC63C6">
        <w:rPr>
          <w:rFonts w:ascii="Calibri" w:hAnsi="Calibri" w:cs="Calibri"/>
          <w:sz w:val="24"/>
          <w:szCs w:val="24"/>
        </w:rPr>
        <w:t>Evaluation is based on clinical, non-clinical and toxicological studies, and chemistry, risk management and manufacturing information.</w:t>
      </w:r>
    </w:p>
    <w:p w14:paraId="7A3A03B5" w14:textId="36CEDD8A" w:rsidR="0045264C" w:rsidRPr="00FC63C6" w:rsidRDefault="0045264C" w:rsidP="00377588">
      <w:pPr>
        <w:jc w:val="both"/>
        <w:rPr>
          <w:rFonts w:cstheme="minorHAnsi"/>
          <w:bCs/>
          <w:iCs/>
          <w:sz w:val="24"/>
          <w:szCs w:val="24"/>
        </w:rPr>
      </w:pPr>
      <w:r w:rsidRPr="00FC63C6">
        <w:rPr>
          <w:rFonts w:ascii="Calibri" w:hAnsi="Calibri" w:cs="Calibri"/>
          <w:sz w:val="24"/>
          <w:szCs w:val="24"/>
        </w:rPr>
        <w:t xml:space="preserve">A vaccine is only approved by the TGA if this rigorous assessment process is completed, and the benefits of the vaccine </w:t>
      </w:r>
      <w:r w:rsidR="00867AB9" w:rsidRPr="00FC63C6">
        <w:rPr>
          <w:rFonts w:ascii="Calibri" w:hAnsi="Calibri" w:cs="Calibri"/>
          <w:sz w:val="24"/>
          <w:szCs w:val="24"/>
        </w:rPr>
        <w:t>are</w:t>
      </w:r>
      <w:r w:rsidRPr="00FC63C6">
        <w:rPr>
          <w:rFonts w:ascii="Calibri" w:hAnsi="Calibri" w:cs="Calibri"/>
          <w:sz w:val="24"/>
          <w:szCs w:val="24"/>
        </w:rPr>
        <w:t xml:space="preserve"> greater than any potential risks. </w:t>
      </w:r>
      <w:r w:rsidR="00E62D71" w:rsidRPr="00FC63C6">
        <w:rPr>
          <w:rFonts w:ascii="Calibri" w:hAnsi="Calibri" w:cs="Calibri"/>
          <w:sz w:val="24"/>
          <w:szCs w:val="24"/>
        </w:rPr>
        <w:t>O</w:t>
      </w:r>
      <w:r w:rsidR="00170F1D" w:rsidRPr="00FC63C6">
        <w:rPr>
          <w:rFonts w:ascii="Calibri" w:hAnsi="Calibri" w:cs="Calibri"/>
          <w:sz w:val="24"/>
          <w:szCs w:val="24"/>
        </w:rPr>
        <w:t xml:space="preserve">nce a vaccine has been approved, the TGA has robust processes for the ongoing monitoring of the safety of that product. This post-market safety surveillance system enables the TGA to rapidly detect, investigate and respond to emerging safety issues. Many of these processes were enhanced </w:t>
      </w:r>
      <w:r w:rsidR="006D4DA4">
        <w:rPr>
          <w:rFonts w:ascii="Calibri" w:hAnsi="Calibri" w:cs="Calibri"/>
          <w:sz w:val="24"/>
          <w:szCs w:val="24"/>
        </w:rPr>
        <w:t>significantly</w:t>
      </w:r>
      <w:r w:rsidR="006D4DA4" w:rsidRPr="00FC63C6">
        <w:rPr>
          <w:rFonts w:ascii="Calibri" w:hAnsi="Calibri" w:cs="Calibri"/>
          <w:sz w:val="24"/>
          <w:szCs w:val="24"/>
        </w:rPr>
        <w:t xml:space="preserve"> </w:t>
      </w:r>
      <w:r w:rsidR="00170F1D" w:rsidRPr="00FC63C6">
        <w:rPr>
          <w:rFonts w:ascii="Calibri" w:hAnsi="Calibri" w:cs="Calibri"/>
          <w:sz w:val="24"/>
          <w:szCs w:val="24"/>
        </w:rPr>
        <w:t>for COVID-19 vaccines, making it the most intensive safety monitoring of therapeutic goods ever conducted in Australia.</w:t>
      </w:r>
    </w:p>
    <w:p w14:paraId="3D0DA1DC" w14:textId="5AEE922E" w:rsidR="00B4488F" w:rsidRPr="001F3778" w:rsidRDefault="00B87C0A" w:rsidP="001F3778">
      <w:pPr>
        <w:jc w:val="both"/>
        <w:rPr>
          <w:rFonts w:ascii="Calibri" w:hAnsi="Calibri" w:cs="Calibri"/>
          <w:sz w:val="24"/>
          <w:szCs w:val="24"/>
        </w:rPr>
      </w:pPr>
      <w:r w:rsidRPr="00FC63C6">
        <w:rPr>
          <w:rFonts w:ascii="Calibri" w:hAnsi="Calibri" w:cs="Calibri"/>
          <w:sz w:val="24"/>
          <w:szCs w:val="24"/>
        </w:rPr>
        <w:t xml:space="preserve">Extensive independent testing was conducted on all batches of the COVID-19 vaccines released for supply to the Australian public. This included testing for composition, strength, purity, integrity, identity and endotoxin. All batches released for supply in Australia met the quality </w:t>
      </w:r>
      <w:r w:rsidR="00F308E0" w:rsidRPr="00FC63C6">
        <w:rPr>
          <w:rFonts w:ascii="Calibri" w:hAnsi="Calibri" w:cs="Calibri"/>
          <w:sz w:val="24"/>
          <w:szCs w:val="24"/>
        </w:rPr>
        <w:t>requirements. The</w:t>
      </w:r>
      <w:r w:rsidRPr="00FC63C6">
        <w:rPr>
          <w:rFonts w:ascii="Calibri" w:hAnsi="Calibri" w:cs="Calibri"/>
          <w:sz w:val="24"/>
          <w:szCs w:val="24"/>
        </w:rPr>
        <w:t xml:space="preserve"> TGA has not identified any safety signals that may relate to a quality issue for any COVID-19 vaccine.</w:t>
      </w:r>
      <w:r w:rsidR="00B4488F" w:rsidRPr="001F3778">
        <w:rPr>
          <w:rFonts w:cstheme="minorHAnsi"/>
          <w:b/>
          <w:iCs/>
          <w:sz w:val="24"/>
          <w:szCs w:val="24"/>
          <w:u w:val="single"/>
        </w:rPr>
        <w:br w:type="page"/>
      </w:r>
    </w:p>
    <w:p w14:paraId="167CCFED" w14:textId="66C4D290" w:rsidR="003B75EE" w:rsidRPr="00FC63C6" w:rsidRDefault="000A619E" w:rsidP="001F3778">
      <w:pPr>
        <w:pStyle w:val="Heading1"/>
      </w:pPr>
      <w:r w:rsidRPr="00FC63C6">
        <w:lastRenderedPageBreak/>
        <w:t xml:space="preserve">Group 5 – </w:t>
      </w:r>
      <w:r w:rsidR="00BB608C" w:rsidRPr="00FC63C6">
        <w:t>Procedural</w:t>
      </w:r>
    </w:p>
    <w:p w14:paraId="49B6402A" w14:textId="77777777" w:rsidR="00833684" w:rsidRPr="00FC63C6" w:rsidRDefault="00833684" w:rsidP="001F3778">
      <w:pPr>
        <w:pStyle w:val="Heading2"/>
      </w:pPr>
      <w:r w:rsidRPr="00FC63C6">
        <w:t>Recommendation 3</w:t>
      </w:r>
    </w:p>
    <w:p w14:paraId="6FC87461" w14:textId="77777777" w:rsidR="00833684" w:rsidRPr="00FC63C6" w:rsidRDefault="00833684" w:rsidP="00301BFE">
      <w:pPr>
        <w:jc w:val="both"/>
        <w:rPr>
          <w:rFonts w:cstheme="minorHAnsi"/>
          <w:bCs/>
          <w:color w:val="2F5496" w:themeColor="accent5" w:themeShade="BF"/>
          <w:sz w:val="24"/>
          <w:szCs w:val="24"/>
        </w:rPr>
      </w:pPr>
      <w:r w:rsidRPr="00FC63C6">
        <w:rPr>
          <w:rFonts w:cstheme="minorHAnsi"/>
          <w:bCs/>
          <w:color w:val="2F5496" w:themeColor="accent5" w:themeShade="BF"/>
          <w:sz w:val="24"/>
          <w:szCs w:val="24"/>
        </w:rPr>
        <w:t>The committee recommends that the Australian Government establish the Australian Centre for Disease Control as soon as practicable.</w:t>
      </w:r>
    </w:p>
    <w:p w14:paraId="7825A75E" w14:textId="77777777" w:rsidR="00833684" w:rsidRPr="00FC63C6" w:rsidRDefault="00833684" w:rsidP="00C364C0">
      <w:pPr>
        <w:jc w:val="both"/>
        <w:rPr>
          <w:rFonts w:cstheme="minorHAnsi"/>
          <w:bCs/>
          <w:sz w:val="24"/>
          <w:szCs w:val="24"/>
        </w:rPr>
      </w:pPr>
      <w:r w:rsidRPr="00FC63C6">
        <w:rPr>
          <w:rFonts w:cstheme="minorHAnsi"/>
          <w:bCs/>
          <w:sz w:val="24"/>
          <w:szCs w:val="24"/>
        </w:rPr>
        <w:t xml:space="preserve">The Australian Government accepts this recommendation. </w:t>
      </w:r>
    </w:p>
    <w:p w14:paraId="22451968" w14:textId="498E6537" w:rsidR="008E4616" w:rsidRPr="00FC63C6" w:rsidRDefault="008E4616" w:rsidP="00C364C0">
      <w:pPr>
        <w:jc w:val="both"/>
        <w:rPr>
          <w:sz w:val="24"/>
          <w:szCs w:val="24"/>
        </w:rPr>
      </w:pPr>
      <w:r w:rsidRPr="006974B9">
        <w:rPr>
          <w:sz w:val="24"/>
          <w:szCs w:val="24"/>
        </w:rPr>
        <w:t xml:space="preserve">On 29 October 2024, the Australian Government announced it is investing $251.7 million to improve Australia’s ability to prepare for, and respond to, public health challenges through the creation of the Australian </w:t>
      </w:r>
      <w:r w:rsidR="00D856F1">
        <w:rPr>
          <w:sz w:val="24"/>
          <w:szCs w:val="24"/>
        </w:rPr>
        <w:t>CDC</w:t>
      </w:r>
      <w:r w:rsidRPr="006974B9">
        <w:rPr>
          <w:sz w:val="24"/>
          <w:szCs w:val="24"/>
        </w:rPr>
        <w:t>. The CDC will be established as an independent agency, separate to the Department of Health</w:t>
      </w:r>
      <w:r w:rsidR="00F30D64">
        <w:rPr>
          <w:sz w:val="24"/>
          <w:szCs w:val="24"/>
        </w:rPr>
        <w:t>, Disability and Ageing</w:t>
      </w:r>
      <w:r w:rsidRPr="006974B9">
        <w:rPr>
          <w:sz w:val="24"/>
          <w:szCs w:val="24"/>
        </w:rPr>
        <w:t>, from 1 January 2026, subject to the passage of legislation. This builds on the interim CDC, established on 1 January 2024, as part of the Australian Government’s commitment to establishing a</w:t>
      </w:r>
      <w:r w:rsidR="00366A21">
        <w:rPr>
          <w:sz w:val="24"/>
          <w:szCs w:val="24"/>
        </w:rPr>
        <w:t xml:space="preserve"> CDC </w:t>
      </w:r>
      <w:r w:rsidRPr="006974B9">
        <w:rPr>
          <w:sz w:val="24"/>
          <w:szCs w:val="24"/>
        </w:rPr>
        <w:t>in a phased approach.</w:t>
      </w:r>
      <w:r w:rsidRPr="517DA39A">
        <w:rPr>
          <w:sz w:val="24"/>
          <w:szCs w:val="24"/>
        </w:rPr>
        <w:t xml:space="preserve"> </w:t>
      </w:r>
    </w:p>
    <w:p w14:paraId="24AA95CF" w14:textId="77777777" w:rsidR="00BB608C" w:rsidRPr="00FC63C6" w:rsidRDefault="00BB608C" w:rsidP="001F3778">
      <w:pPr>
        <w:pStyle w:val="Heading2"/>
      </w:pPr>
      <w:r w:rsidRPr="00FC63C6">
        <w:t>Recommendation 5</w:t>
      </w:r>
    </w:p>
    <w:p w14:paraId="3F41D9FA" w14:textId="77777777" w:rsidR="00BB608C" w:rsidRPr="00FC63C6" w:rsidRDefault="00BB608C" w:rsidP="00301BFE">
      <w:pPr>
        <w:jc w:val="both"/>
        <w:rPr>
          <w:rFonts w:cstheme="minorHAnsi"/>
          <w:bCs/>
          <w:color w:val="2F5496" w:themeColor="accent5" w:themeShade="BF"/>
          <w:sz w:val="24"/>
          <w:szCs w:val="24"/>
        </w:rPr>
      </w:pPr>
      <w:r w:rsidRPr="00FC63C6">
        <w:rPr>
          <w:rFonts w:cstheme="minorHAnsi"/>
          <w:bCs/>
          <w:color w:val="2F5496" w:themeColor="accent5" w:themeShade="BF"/>
          <w:sz w:val="24"/>
          <w:szCs w:val="24"/>
        </w:rPr>
        <w:t xml:space="preserve"> The committee recommends that the Senate take note of the following: </w:t>
      </w:r>
    </w:p>
    <w:p w14:paraId="5C541300" w14:textId="77777777" w:rsidR="00BB608C" w:rsidRPr="00FC63C6" w:rsidRDefault="00BB608C" w:rsidP="00301BFE">
      <w:pPr>
        <w:pStyle w:val="ListParagraph"/>
        <w:numPr>
          <w:ilvl w:val="0"/>
          <w:numId w:val="4"/>
        </w:numPr>
        <w:jc w:val="both"/>
        <w:rPr>
          <w:rFonts w:cstheme="minorHAnsi"/>
          <w:bCs/>
          <w:color w:val="2F5496" w:themeColor="accent5" w:themeShade="BF"/>
          <w:sz w:val="24"/>
          <w:szCs w:val="24"/>
        </w:rPr>
      </w:pPr>
      <w:r w:rsidRPr="00FC63C6">
        <w:rPr>
          <w:rFonts w:cstheme="minorHAnsi"/>
          <w:bCs/>
          <w:color w:val="2F5496" w:themeColor="accent5" w:themeShade="BF"/>
          <w:sz w:val="24"/>
          <w:szCs w:val="24"/>
        </w:rPr>
        <w:t xml:space="preserve">witness participation in public hearings is critical to the committee inquiry </w:t>
      </w:r>
      <w:proofErr w:type="gramStart"/>
      <w:r w:rsidRPr="00FC63C6">
        <w:rPr>
          <w:rFonts w:cstheme="minorHAnsi"/>
          <w:bCs/>
          <w:color w:val="2F5496" w:themeColor="accent5" w:themeShade="BF"/>
          <w:sz w:val="24"/>
          <w:szCs w:val="24"/>
        </w:rPr>
        <w:t>process;</w:t>
      </w:r>
      <w:proofErr w:type="gramEnd"/>
      <w:r w:rsidRPr="00FC63C6">
        <w:rPr>
          <w:rFonts w:cstheme="minorHAnsi"/>
          <w:bCs/>
          <w:color w:val="2F5496" w:themeColor="accent5" w:themeShade="BF"/>
          <w:sz w:val="24"/>
          <w:szCs w:val="24"/>
        </w:rPr>
        <w:t xml:space="preserve"> </w:t>
      </w:r>
    </w:p>
    <w:p w14:paraId="2069D645" w14:textId="7C81631B" w:rsidR="00BB608C" w:rsidRPr="00FC63C6" w:rsidRDefault="00BB608C" w:rsidP="00301BFE">
      <w:pPr>
        <w:pStyle w:val="ListParagraph"/>
        <w:numPr>
          <w:ilvl w:val="0"/>
          <w:numId w:val="4"/>
        </w:numPr>
        <w:jc w:val="both"/>
        <w:rPr>
          <w:rFonts w:cstheme="minorHAnsi"/>
          <w:bCs/>
          <w:color w:val="2F5496" w:themeColor="accent5" w:themeShade="BF"/>
          <w:sz w:val="24"/>
          <w:szCs w:val="24"/>
        </w:rPr>
      </w:pPr>
      <w:r w:rsidRPr="00FC63C6">
        <w:rPr>
          <w:rFonts w:cstheme="minorHAnsi"/>
          <w:bCs/>
          <w:color w:val="2F5496" w:themeColor="accent5" w:themeShade="BF"/>
          <w:sz w:val="24"/>
          <w:szCs w:val="24"/>
        </w:rPr>
        <w:t xml:space="preserve">all witnesses who participate in committee public hearings should be treated with </w:t>
      </w:r>
      <w:proofErr w:type="gramStart"/>
      <w:r w:rsidRPr="00FC63C6">
        <w:rPr>
          <w:rFonts w:cstheme="minorHAnsi"/>
          <w:bCs/>
          <w:color w:val="2F5496" w:themeColor="accent5" w:themeShade="BF"/>
          <w:sz w:val="24"/>
          <w:szCs w:val="24"/>
        </w:rPr>
        <w:t>respect;</w:t>
      </w:r>
      <w:proofErr w:type="gramEnd"/>
      <w:r w:rsidR="008F10D2">
        <w:rPr>
          <w:rFonts w:cstheme="minorHAnsi"/>
          <w:bCs/>
          <w:color w:val="2F5496" w:themeColor="accent5" w:themeShade="BF"/>
          <w:sz w:val="24"/>
          <w:szCs w:val="24"/>
        </w:rPr>
        <w:t xml:space="preserve"> </w:t>
      </w:r>
    </w:p>
    <w:p w14:paraId="174DE4CB" w14:textId="77777777" w:rsidR="00BB608C" w:rsidRPr="00FC63C6" w:rsidRDefault="00BB608C" w:rsidP="00301BFE">
      <w:pPr>
        <w:pStyle w:val="ListParagraph"/>
        <w:numPr>
          <w:ilvl w:val="0"/>
          <w:numId w:val="4"/>
        </w:numPr>
        <w:jc w:val="both"/>
        <w:rPr>
          <w:rFonts w:cstheme="minorHAnsi"/>
          <w:bCs/>
          <w:color w:val="2F5496" w:themeColor="accent5" w:themeShade="BF"/>
          <w:sz w:val="24"/>
          <w:szCs w:val="24"/>
        </w:rPr>
      </w:pPr>
      <w:r w:rsidRPr="00FC63C6">
        <w:rPr>
          <w:rFonts w:cstheme="minorHAnsi"/>
          <w:bCs/>
          <w:color w:val="2F5496" w:themeColor="accent5" w:themeShade="BF"/>
          <w:sz w:val="24"/>
          <w:szCs w:val="24"/>
        </w:rPr>
        <w:t>Senators should be reminded of the Resolution on the Broadcasting of Senate and Committee Proceedings</w:t>
      </w:r>
    </w:p>
    <w:p w14:paraId="1325C46C" w14:textId="2D7C16DF" w:rsidR="00BC5C98" w:rsidRPr="00FC63C6" w:rsidRDefault="00BC5C98" w:rsidP="00C364C0">
      <w:pPr>
        <w:jc w:val="both"/>
        <w:rPr>
          <w:rFonts w:cstheme="minorHAnsi"/>
          <w:bCs/>
          <w:iCs/>
          <w:sz w:val="24"/>
          <w:szCs w:val="24"/>
        </w:rPr>
      </w:pPr>
      <w:r w:rsidRPr="00FC63C6">
        <w:rPr>
          <w:rFonts w:cstheme="minorHAnsi"/>
          <w:bCs/>
          <w:iCs/>
          <w:sz w:val="24"/>
          <w:szCs w:val="24"/>
        </w:rPr>
        <w:t xml:space="preserve">The Australian Government </w:t>
      </w:r>
      <w:r w:rsidR="00AF5177" w:rsidRPr="00FC63C6">
        <w:rPr>
          <w:rFonts w:cstheme="minorHAnsi"/>
          <w:bCs/>
          <w:iCs/>
          <w:sz w:val="24"/>
          <w:szCs w:val="24"/>
        </w:rPr>
        <w:t xml:space="preserve">accepts </w:t>
      </w:r>
      <w:r w:rsidRPr="00FC63C6">
        <w:rPr>
          <w:rFonts w:cstheme="minorHAnsi"/>
          <w:bCs/>
          <w:iCs/>
          <w:sz w:val="24"/>
          <w:szCs w:val="24"/>
        </w:rPr>
        <w:t xml:space="preserve">this recommendation. </w:t>
      </w:r>
    </w:p>
    <w:p w14:paraId="2AED2313" w14:textId="77777777" w:rsidR="00BC5C98" w:rsidRPr="00FC63C6" w:rsidRDefault="00BC5C98" w:rsidP="00C364C0">
      <w:pPr>
        <w:jc w:val="both"/>
        <w:rPr>
          <w:rFonts w:cstheme="minorHAnsi"/>
          <w:bCs/>
          <w:iCs/>
          <w:sz w:val="24"/>
          <w:szCs w:val="24"/>
        </w:rPr>
      </w:pPr>
      <w:r w:rsidRPr="00FC63C6">
        <w:rPr>
          <w:rFonts w:cstheme="minorHAnsi"/>
          <w:bCs/>
          <w:iCs/>
          <w:sz w:val="24"/>
          <w:szCs w:val="24"/>
        </w:rPr>
        <w:t>The Australian Government is committed to respecting the process and outcomes of Senate Inquiries.</w:t>
      </w:r>
    </w:p>
    <w:p w14:paraId="3D57AC46" w14:textId="44A41730" w:rsidR="00C13834" w:rsidRPr="00FC63C6" w:rsidRDefault="00C13834" w:rsidP="001F3778">
      <w:pPr>
        <w:pStyle w:val="Heading3"/>
      </w:pPr>
      <w:r w:rsidRPr="00FC63C6">
        <w:t>Dissenting Recommendation</w:t>
      </w:r>
      <w:r w:rsidR="00833684" w:rsidRPr="00FC63C6">
        <w:t xml:space="preserve"> – Senator </w:t>
      </w:r>
      <w:r w:rsidR="000A5D02" w:rsidRPr="00FC63C6">
        <w:t>Babet – Recommendation 2</w:t>
      </w:r>
    </w:p>
    <w:p w14:paraId="39CE7C47" w14:textId="63AF388A" w:rsidR="00BB608C" w:rsidRPr="00FC63C6" w:rsidRDefault="00BB608C" w:rsidP="00301BFE">
      <w:pPr>
        <w:jc w:val="both"/>
        <w:rPr>
          <w:rFonts w:cstheme="minorHAnsi"/>
          <w:bCs/>
          <w:color w:val="2F5496" w:themeColor="accent5" w:themeShade="BF"/>
          <w:sz w:val="24"/>
          <w:szCs w:val="24"/>
        </w:rPr>
      </w:pPr>
      <w:r w:rsidRPr="00FC63C6">
        <w:rPr>
          <w:rFonts w:cstheme="minorHAnsi"/>
          <w:bCs/>
          <w:color w:val="2F5496" w:themeColor="accent5" w:themeShade="BF"/>
          <w:sz w:val="24"/>
          <w:szCs w:val="24"/>
        </w:rPr>
        <w:t xml:space="preserve">Committees must be made to justify in detail the reasons why each individual submission is not uploaded publicly. All efforts must be made to publish submissions publicly, even if some redaction is necessary. </w:t>
      </w:r>
    </w:p>
    <w:p w14:paraId="54DB56EE" w14:textId="2A732143" w:rsidR="005C4450" w:rsidRPr="005C4450" w:rsidRDefault="00093E28" w:rsidP="00C364C0">
      <w:pPr>
        <w:jc w:val="both"/>
        <w:rPr>
          <w:rFonts w:cstheme="minorHAnsi"/>
          <w:b/>
          <w:sz w:val="24"/>
          <w:szCs w:val="24"/>
        </w:rPr>
      </w:pPr>
      <w:r w:rsidRPr="00FC63C6">
        <w:rPr>
          <w:rFonts w:cstheme="minorHAnsi"/>
          <w:bCs/>
          <w:sz w:val="24"/>
          <w:szCs w:val="24"/>
        </w:rPr>
        <w:t xml:space="preserve">The Australian Government </w:t>
      </w:r>
      <w:r w:rsidR="00467F84">
        <w:rPr>
          <w:rFonts w:cstheme="minorHAnsi"/>
          <w:bCs/>
          <w:sz w:val="24"/>
          <w:szCs w:val="24"/>
        </w:rPr>
        <w:t>notes</w:t>
      </w:r>
      <w:r w:rsidR="00CD13AC" w:rsidRPr="00FC63C6">
        <w:rPr>
          <w:rFonts w:cstheme="minorHAnsi"/>
          <w:bCs/>
          <w:sz w:val="24"/>
          <w:szCs w:val="24"/>
        </w:rPr>
        <w:t xml:space="preserve"> </w:t>
      </w:r>
      <w:r w:rsidRPr="00FC63C6">
        <w:rPr>
          <w:rFonts w:cstheme="minorHAnsi"/>
          <w:bCs/>
          <w:sz w:val="24"/>
          <w:szCs w:val="24"/>
        </w:rPr>
        <w:t>this recommendation.</w:t>
      </w:r>
      <w:r w:rsidR="00440DB3">
        <w:rPr>
          <w:rFonts w:cstheme="minorHAnsi"/>
          <w:bCs/>
          <w:sz w:val="24"/>
          <w:szCs w:val="24"/>
        </w:rPr>
        <w:t xml:space="preserve"> </w:t>
      </w:r>
      <w:r w:rsidR="00857F9D">
        <w:rPr>
          <w:rFonts w:cstheme="minorHAnsi"/>
          <w:bCs/>
          <w:sz w:val="24"/>
          <w:szCs w:val="24"/>
        </w:rPr>
        <w:t>Submissions</w:t>
      </w:r>
      <w:r w:rsidR="00FF533C">
        <w:rPr>
          <w:rFonts w:cstheme="minorHAnsi"/>
          <w:bCs/>
          <w:sz w:val="24"/>
          <w:szCs w:val="24"/>
        </w:rPr>
        <w:t xml:space="preserve"> are only published after a decision by the committee. </w:t>
      </w:r>
      <w:r w:rsidR="00EB53D2">
        <w:rPr>
          <w:rFonts w:cstheme="minorHAnsi"/>
          <w:bCs/>
          <w:sz w:val="24"/>
          <w:szCs w:val="24"/>
        </w:rPr>
        <w:t xml:space="preserve">Submissions are not automatically accepted and published. </w:t>
      </w:r>
      <w:r w:rsidR="00E51759">
        <w:rPr>
          <w:rFonts w:cstheme="minorHAnsi"/>
          <w:bCs/>
          <w:sz w:val="24"/>
          <w:szCs w:val="24"/>
        </w:rPr>
        <w:t xml:space="preserve">A committee may reject </w:t>
      </w:r>
      <w:r w:rsidR="00857F9D">
        <w:rPr>
          <w:rFonts w:cstheme="minorHAnsi"/>
          <w:bCs/>
          <w:sz w:val="24"/>
          <w:szCs w:val="24"/>
        </w:rPr>
        <w:t>a submission that is not relevant to its inquiry. For more information, contact the Senior Clerk of Committees (</w:t>
      </w:r>
      <w:hyperlink r:id="rId23" w:history="1">
        <w:r w:rsidR="00857F9D" w:rsidRPr="00C364C0">
          <w:rPr>
            <w:rStyle w:val="Hyperlink"/>
            <w:rFonts w:cstheme="minorHAnsi"/>
            <w:bCs/>
            <w:color w:val="auto"/>
            <w:sz w:val="24"/>
            <w:szCs w:val="24"/>
          </w:rPr>
          <w:t>seniorclerk.committees.sen@aph.gov.au</w:t>
        </w:r>
      </w:hyperlink>
      <w:r w:rsidR="00857F9D">
        <w:rPr>
          <w:rFonts w:cstheme="minorHAnsi"/>
          <w:bCs/>
          <w:sz w:val="24"/>
          <w:szCs w:val="24"/>
        </w:rPr>
        <w:t xml:space="preserve">) or the relevant committee secretary. </w:t>
      </w:r>
    </w:p>
    <w:sectPr w:rsidR="005C4450" w:rsidRPr="005C44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9CC25" w14:textId="77777777" w:rsidR="00C012AA" w:rsidRDefault="00C012AA" w:rsidP="001E7FA8">
      <w:pPr>
        <w:spacing w:after="0" w:line="240" w:lineRule="auto"/>
      </w:pPr>
      <w:r>
        <w:separator/>
      </w:r>
    </w:p>
  </w:endnote>
  <w:endnote w:type="continuationSeparator" w:id="0">
    <w:p w14:paraId="01901440" w14:textId="77777777" w:rsidR="00C012AA" w:rsidRDefault="00C012AA" w:rsidP="001E7FA8">
      <w:pPr>
        <w:spacing w:after="0" w:line="240" w:lineRule="auto"/>
      </w:pPr>
      <w:r>
        <w:continuationSeparator/>
      </w:r>
    </w:p>
  </w:endnote>
  <w:endnote w:type="continuationNotice" w:id="1">
    <w:p w14:paraId="44C29705" w14:textId="77777777" w:rsidR="00C012AA" w:rsidRDefault="00C01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8E4DF" w14:textId="77777777" w:rsidR="001E7FA8" w:rsidRDefault="001E7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4241687"/>
      <w:docPartObj>
        <w:docPartGallery w:val="Page Numbers (Bottom of Page)"/>
        <w:docPartUnique/>
      </w:docPartObj>
    </w:sdtPr>
    <w:sdtEndPr>
      <w:rPr>
        <w:noProof/>
      </w:rPr>
    </w:sdtEndPr>
    <w:sdtContent>
      <w:p w14:paraId="40A6CAEF" w14:textId="667296B7" w:rsidR="009E1169" w:rsidRDefault="009E11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3FC3CF" w14:textId="77777777" w:rsidR="001E7FA8" w:rsidRDefault="001E7F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803B7" w14:textId="77777777" w:rsidR="001E7FA8" w:rsidRDefault="001E7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9F73D" w14:textId="77777777" w:rsidR="00C012AA" w:rsidRDefault="00C012AA" w:rsidP="001E7FA8">
      <w:pPr>
        <w:spacing w:after="0" w:line="240" w:lineRule="auto"/>
      </w:pPr>
      <w:r>
        <w:separator/>
      </w:r>
    </w:p>
  </w:footnote>
  <w:footnote w:type="continuationSeparator" w:id="0">
    <w:p w14:paraId="3B16680A" w14:textId="77777777" w:rsidR="00C012AA" w:rsidRDefault="00C012AA" w:rsidP="001E7FA8">
      <w:pPr>
        <w:spacing w:after="0" w:line="240" w:lineRule="auto"/>
      </w:pPr>
      <w:r>
        <w:continuationSeparator/>
      </w:r>
    </w:p>
  </w:footnote>
  <w:footnote w:type="continuationNotice" w:id="1">
    <w:p w14:paraId="1636044A" w14:textId="77777777" w:rsidR="00C012AA" w:rsidRDefault="00C012AA">
      <w:pPr>
        <w:spacing w:after="0" w:line="240" w:lineRule="auto"/>
      </w:pPr>
    </w:p>
  </w:footnote>
  <w:footnote w:id="2">
    <w:p w14:paraId="1DCFD072" w14:textId="77777777" w:rsidR="00A0170D" w:rsidRDefault="00A0170D" w:rsidP="00A0170D">
      <w:pPr>
        <w:pStyle w:val="FootnoteText"/>
      </w:pPr>
      <w:r w:rsidRPr="00F3352E">
        <w:rPr>
          <w:rStyle w:val="FootnoteReference"/>
        </w:rPr>
        <w:footnoteRef/>
      </w:r>
      <w:r w:rsidRPr="00F3352E">
        <w:t xml:space="preserve"> </w:t>
      </w:r>
      <w:r w:rsidRPr="00F3352E">
        <w:rPr>
          <w:rFonts w:cstheme="minorHAnsi"/>
          <w:bCs/>
          <w:sz w:val="24"/>
          <w:szCs w:val="24"/>
        </w:rPr>
        <w:t xml:space="preserve">The five remoteness classes are: major cities, inner regional, outer regional, remote and very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9242" w14:textId="77777777" w:rsidR="001E7FA8" w:rsidRDefault="001E7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FBB75" w14:textId="63B6FF9F" w:rsidR="001E7FA8" w:rsidRDefault="001E7F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4E66" w14:textId="77777777" w:rsidR="001E7FA8" w:rsidRDefault="001E7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601DC"/>
    <w:multiLevelType w:val="hybridMultilevel"/>
    <w:tmpl w:val="9796F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777B80"/>
    <w:multiLevelType w:val="hybridMultilevel"/>
    <w:tmpl w:val="5BFA1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560E30"/>
    <w:multiLevelType w:val="hybridMultilevel"/>
    <w:tmpl w:val="1908A2AA"/>
    <w:lvl w:ilvl="0" w:tplc="72E64024">
      <w:start w:val="1"/>
      <w:numFmt w:val="bullet"/>
      <w:lvlText w:val=""/>
      <w:lvlJc w:val="left"/>
      <w:pPr>
        <w:ind w:left="360" w:hanging="360"/>
      </w:pPr>
      <w:rPr>
        <w:rFonts w:ascii="Symbol" w:hAnsi="Symbol" w:hint="default"/>
      </w:rPr>
    </w:lvl>
    <w:lvl w:ilvl="1" w:tplc="196C8262" w:tentative="1">
      <w:start w:val="1"/>
      <w:numFmt w:val="bullet"/>
      <w:lvlText w:val="o"/>
      <w:lvlJc w:val="left"/>
      <w:pPr>
        <w:ind w:left="1080" w:hanging="360"/>
      </w:pPr>
      <w:rPr>
        <w:rFonts w:ascii="Courier New" w:hAnsi="Courier New" w:cs="Courier New" w:hint="default"/>
      </w:rPr>
    </w:lvl>
    <w:lvl w:ilvl="2" w:tplc="706A03D6" w:tentative="1">
      <w:start w:val="1"/>
      <w:numFmt w:val="bullet"/>
      <w:lvlText w:val=""/>
      <w:lvlJc w:val="left"/>
      <w:pPr>
        <w:ind w:left="1800" w:hanging="360"/>
      </w:pPr>
      <w:rPr>
        <w:rFonts w:ascii="Wingdings" w:hAnsi="Wingdings" w:hint="default"/>
      </w:rPr>
    </w:lvl>
    <w:lvl w:ilvl="3" w:tplc="7D5EE78C" w:tentative="1">
      <w:start w:val="1"/>
      <w:numFmt w:val="bullet"/>
      <w:lvlText w:val=""/>
      <w:lvlJc w:val="left"/>
      <w:pPr>
        <w:ind w:left="2520" w:hanging="360"/>
      </w:pPr>
      <w:rPr>
        <w:rFonts w:ascii="Symbol" w:hAnsi="Symbol" w:hint="default"/>
      </w:rPr>
    </w:lvl>
    <w:lvl w:ilvl="4" w:tplc="739EF8F8" w:tentative="1">
      <w:start w:val="1"/>
      <w:numFmt w:val="bullet"/>
      <w:lvlText w:val="o"/>
      <w:lvlJc w:val="left"/>
      <w:pPr>
        <w:ind w:left="3240" w:hanging="360"/>
      </w:pPr>
      <w:rPr>
        <w:rFonts w:ascii="Courier New" w:hAnsi="Courier New" w:cs="Courier New" w:hint="default"/>
      </w:rPr>
    </w:lvl>
    <w:lvl w:ilvl="5" w:tplc="F91A1BDE" w:tentative="1">
      <w:start w:val="1"/>
      <w:numFmt w:val="bullet"/>
      <w:lvlText w:val=""/>
      <w:lvlJc w:val="left"/>
      <w:pPr>
        <w:ind w:left="3960" w:hanging="360"/>
      </w:pPr>
      <w:rPr>
        <w:rFonts w:ascii="Wingdings" w:hAnsi="Wingdings" w:hint="default"/>
      </w:rPr>
    </w:lvl>
    <w:lvl w:ilvl="6" w:tplc="57AE3AA2" w:tentative="1">
      <w:start w:val="1"/>
      <w:numFmt w:val="bullet"/>
      <w:lvlText w:val=""/>
      <w:lvlJc w:val="left"/>
      <w:pPr>
        <w:ind w:left="4680" w:hanging="360"/>
      </w:pPr>
      <w:rPr>
        <w:rFonts w:ascii="Symbol" w:hAnsi="Symbol" w:hint="default"/>
      </w:rPr>
    </w:lvl>
    <w:lvl w:ilvl="7" w:tplc="ECA4010A" w:tentative="1">
      <w:start w:val="1"/>
      <w:numFmt w:val="bullet"/>
      <w:lvlText w:val="o"/>
      <w:lvlJc w:val="left"/>
      <w:pPr>
        <w:ind w:left="5400" w:hanging="360"/>
      </w:pPr>
      <w:rPr>
        <w:rFonts w:ascii="Courier New" w:hAnsi="Courier New" w:cs="Courier New" w:hint="default"/>
      </w:rPr>
    </w:lvl>
    <w:lvl w:ilvl="8" w:tplc="356845CA" w:tentative="1">
      <w:start w:val="1"/>
      <w:numFmt w:val="bullet"/>
      <w:lvlText w:val=""/>
      <w:lvlJc w:val="left"/>
      <w:pPr>
        <w:ind w:left="6120" w:hanging="360"/>
      </w:pPr>
      <w:rPr>
        <w:rFonts w:ascii="Wingdings" w:hAnsi="Wingdings" w:hint="default"/>
      </w:rPr>
    </w:lvl>
  </w:abstractNum>
  <w:abstractNum w:abstractNumId="3" w15:restartNumberingAfterBreak="0">
    <w:nsid w:val="2C863DC4"/>
    <w:multiLevelType w:val="hybridMultilevel"/>
    <w:tmpl w:val="726C2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1666C3"/>
    <w:multiLevelType w:val="hybridMultilevel"/>
    <w:tmpl w:val="89D08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063243"/>
    <w:multiLevelType w:val="hybridMultilevel"/>
    <w:tmpl w:val="D2D4A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B178E7"/>
    <w:multiLevelType w:val="hybridMultilevel"/>
    <w:tmpl w:val="73529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FB1E49"/>
    <w:multiLevelType w:val="hybridMultilevel"/>
    <w:tmpl w:val="12D49C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204CA6"/>
    <w:multiLevelType w:val="hybridMultilevel"/>
    <w:tmpl w:val="8F74F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957087"/>
    <w:multiLevelType w:val="hybridMultilevel"/>
    <w:tmpl w:val="9766D0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E62597"/>
    <w:multiLevelType w:val="hybridMultilevel"/>
    <w:tmpl w:val="B374E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990842"/>
    <w:multiLevelType w:val="hybridMultilevel"/>
    <w:tmpl w:val="FE602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B54623"/>
    <w:multiLevelType w:val="hybridMultilevel"/>
    <w:tmpl w:val="BC08F5AE"/>
    <w:lvl w:ilvl="0" w:tplc="B3AC565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8774248">
    <w:abstractNumId w:val="2"/>
  </w:num>
  <w:num w:numId="2" w16cid:durableId="1021779640">
    <w:abstractNumId w:val="4"/>
  </w:num>
  <w:num w:numId="3" w16cid:durableId="253175771">
    <w:abstractNumId w:val="3"/>
  </w:num>
  <w:num w:numId="4" w16cid:durableId="323313612">
    <w:abstractNumId w:val="10"/>
  </w:num>
  <w:num w:numId="5" w16cid:durableId="1520124216">
    <w:abstractNumId w:val="5"/>
  </w:num>
  <w:num w:numId="6" w16cid:durableId="552695621">
    <w:abstractNumId w:val="7"/>
  </w:num>
  <w:num w:numId="7" w16cid:durableId="1950502245">
    <w:abstractNumId w:val="8"/>
  </w:num>
  <w:num w:numId="8" w16cid:durableId="717238800">
    <w:abstractNumId w:val="12"/>
  </w:num>
  <w:num w:numId="9" w16cid:durableId="755785991">
    <w:abstractNumId w:val="9"/>
  </w:num>
  <w:num w:numId="10" w16cid:durableId="63453107">
    <w:abstractNumId w:val="1"/>
  </w:num>
  <w:num w:numId="11" w16cid:durableId="282806442">
    <w:abstractNumId w:val="11"/>
  </w:num>
  <w:num w:numId="12" w16cid:durableId="271254172">
    <w:abstractNumId w:val="6"/>
  </w:num>
  <w:num w:numId="13" w16cid:durableId="194499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BC"/>
    <w:rsid w:val="000017BC"/>
    <w:rsid w:val="00006AEE"/>
    <w:rsid w:val="000072EE"/>
    <w:rsid w:val="0001035A"/>
    <w:rsid w:val="00012917"/>
    <w:rsid w:val="00013222"/>
    <w:rsid w:val="00014860"/>
    <w:rsid w:val="00016B5E"/>
    <w:rsid w:val="000236E2"/>
    <w:rsid w:val="00025D9D"/>
    <w:rsid w:val="00030128"/>
    <w:rsid w:val="00030E83"/>
    <w:rsid w:val="00030EDE"/>
    <w:rsid w:val="0003264F"/>
    <w:rsid w:val="0004119F"/>
    <w:rsid w:val="00045D28"/>
    <w:rsid w:val="000504C5"/>
    <w:rsid w:val="000528DF"/>
    <w:rsid w:val="00052BA0"/>
    <w:rsid w:val="00053C8D"/>
    <w:rsid w:val="00054A48"/>
    <w:rsid w:val="000617EC"/>
    <w:rsid w:val="000634FF"/>
    <w:rsid w:val="00064DD9"/>
    <w:rsid w:val="000726F5"/>
    <w:rsid w:val="00080AC2"/>
    <w:rsid w:val="00081FBB"/>
    <w:rsid w:val="0008201E"/>
    <w:rsid w:val="00084E14"/>
    <w:rsid w:val="00084F9B"/>
    <w:rsid w:val="00092684"/>
    <w:rsid w:val="000937A3"/>
    <w:rsid w:val="000937A9"/>
    <w:rsid w:val="00093E28"/>
    <w:rsid w:val="00093EFD"/>
    <w:rsid w:val="00096F4A"/>
    <w:rsid w:val="000A0D06"/>
    <w:rsid w:val="000A1391"/>
    <w:rsid w:val="000A1AD0"/>
    <w:rsid w:val="000A2752"/>
    <w:rsid w:val="000A5D02"/>
    <w:rsid w:val="000A619E"/>
    <w:rsid w:val="000B05BF"/>
    <w:rsid w:val="000B095C"/>
    <w:rsid w:val="000B3FC8"/>
    <w:rsid w:val="000C4051"/>
    <w:rsid w:val="000C55AD"/>
    <w:rsid w:val="000D21F7"/>
    <w:rsid w:val="000E054D"/>
    <w:rsid w:val="000E0889"/>
    <w:rsid w:val="000E0EA9"/>
    <w:rsid w:val="000E1FB6"/>
    <w:rsid w:val="000E3DCD"/>
    <w:rsid w:val="000F050B"/>
    <w:rsid w:val="000F5DD3"/>
    <w:rsid w:val="00105A5C"/>
    <w:rsid w:val="00106A76"/>
    <w:rsid w:val="001075F0"/>
    <w:rsid w:val="00112962"/>
    <w:rsid w:val="001157EB"/>
    <w:rsid w:val="00120043"/>
    <w:rsid w:val="00122797"/>
    <w:rsid w:val="00130B93"/>
    <w:rsid w:val="00130E6E"/>
    <w:rsid w:val="001434B4"/>
    <w:rsid w:val="0014630C"/>
    <w:rsid w:val="00152221"/>
    <w:rsid w:val="00154345"/>
    <w:rsid w:val="00155251"/>
    <w:rsid w:val="00155910"/>
    <w:rsid w:val="001619E7"/>
    <w:rsid w:val="0016756D"/>
    <w:rsid w:val="00167B0F"/>
    <w:rsid w:val="00170632"/>
    <w:rsid w:val="00170F1D"/>
    <w:rsid w:val="0017162E"/>
    <w:rsid w:val="001730D0"/>
    <w:rsid w:val="0018094F"/>
    <w:rsid w:val="0018146B"/>
    <w:rsid w:val="00184099"/>
    <w:rsid w:val="001858A9"/>
    <w:rsid w:val="001951E0"/>
    <w:rsid w:val="001954C7"/>
    <w:rsid w:val="0019615E"/>
    <w:rsid w:val="001973BE"/>
    <w:rsid w:val="001A141A"/>
    <w:rsid w:val="001A2146"/>
    <w:rsid w:val="001A258F"/>
    <w:rsid w:val="001A7C97"/>
    <w:rsid w:val="001B2F7D"/>
    <w:rsid w:val="001B4C9E"/>
    <w:rsid w:val="001C2AC8"/>
    <w:rsid w:val="001C3B6A"/>
    <w:rsid w:val="001C51BA"/>
    <w:rsid w:val="001C576C"/>
    <w:rsid w:val="001C66E8"/>
    <w:rsid w:val="001C67D9"/>
    <w:rsid w:val="001C6A51"/>
    <w:rsid w:val="001C6CF5"/>
    <w:rsid w:val="001C7E12"/>
    <w:rsid w:val="001D0197"/>
    <w:rsid w:val="001D12A3"/>
    <w:rsid w:val="001D22C2"/>
    <w:rsid w:val="001D4E03"/>
    <w:rsid w:val="001D5D5E"/>
    <w:rsid w:val="001E3932"/>
    <w:rsid w:val="001E6C14"/>
    <w:rsid w:val="001E7FA8"/>
    <w:rsid w:val="001F12D2"/>
    <w:rsid w:val="001F1D47"/>
    <w:rsid w:val="001F3167"/>
    <w:rsid w:val="001F3778"/>
    <w:rsid w:val="001F46D5"/>
    <w:rsid w:val="001F5875"/>
    <w:rsid w:val="001F63CD"/>
    <w:rsid w:val="001F7947"/>
    <w:rsid w:val="002045FA"/>
    <w:rsid w:val="002054F9"/>
    <w:rsid w:val="002102C6"/>
    <w:rsid w:val="002105B7"/>
    <w:rsid w:val="00211C31"/>
    <w:rsid w:val="0021338F"/>
    <w:rsid w:val="00213E60"/>
    <w:rsid w:val="0021434B"/>
    <w:rsid w:val="002235E0"/>
    <w:rsid w:val="002254E6"/>
    <w:rsid w:val="00227F92"/>
    <w:rsid w:val="00230C30"/>
    <w:rsid w:val="00233079"/>
    <w:rsid w:val="00235574"/>
    <w:rsid w:val="00245483"/>
    <w:rsid w:val="0024613E"/>
    <w:rsid w:val="002478A3"/>
    <w:rsid w:val="00250719"/>
    <w:rsid w:val="00251027"/>
    <w:rsid w:val="00253397"/>
    <w:rsid w:val="00254059"/>
    <w:rsid w:val="002613F1"/>
    <w:rsid w:val="0026469F"/>
    <w:rsid w:val="002652C4"/>
    <w:rsid w:val="00266004"/>
    <w:rsid w:val="002673FD"/>
    <w:rsid w:val="00272999"/>
    <w:rsid w:val="00280050"/>
    <w:rsid w:val="00280F29"/>
    <w:rsid w:val="002843CD"/>
    <w:rsid w:val="00287335"/>
    <w:rsid w:val="0028761B"/>
    <w:rsid w:val="002908CA"/>
    <w:rsid w:val="00294C61"/>
    <w:rsid w:val="00294FFA"/>
    <w:rsid w:val="0029547B"/>
    <w:rsid w:val="00295E6C"/>
    <w:rsid w:val="0029676C"/>
    <w:rsid w:val="002A1F4C"/>
    <w:rsid w:val="002A6DE8"/>
    <w:rsid w:val="002B12C3"/>
    <w:rsid w:val="002B5020"/>
    <w:rsid w:val="002C0ACB"/>
    <w:rsid w:val="002D2C73"/>
    <w:rsid w:val="002D2F4A"/>
    <w:rsid w:val="002D387D"/>
    <w:rsid w:val="002D7562"/>
    <w:rsid w:val="002D7FA7"/>
    <w:rsid w:val="002E3232"/>
    <w:rsid w:val="002F1C19"/>
    <w:rsid w:val="002F2BCE"/>
    <w:rsid w:val="002F5EB1"/>
    <w:rsid w:val="002F71DA"/>
    <w:rsid w:val="00301BFE"/>
    <w:rsid w:val="00302B2B"/>
    <w:rsid w:val="003042F0"/>
    <w:rsid w:val="00304FD7"/>
    <w:rsid w:val="0031157E"/>
    <w:rsid w:val="00314429"/>
    <w:rsid w:val="003146BC"/>
    <w:rsid w:val="00316168"/>
    <w:rsid w:val="00322CCB"/>
    <w:rsid w:val="00323836"/>
    <w:rsid w:val="00323E42"/>
    <w:rsid w:val="00331AE5"/>
    <w:rsid w:val="00342541"/>
    <w:rsid w:val="00346499"/>
    <w:rsid w:val="00347578"/>
    <w:rsid w:val="00347763"/>
    <w:rsid w:val="00351733"/>
    <w:rsid w:val="003537A1"/>
    <w:rsid w:val="00356E8F"/>
    <w:rsid w:val="00357E0F"/>
    <w:rsid w:val="00357E11"/>
    <w:rsid w:val="003612EF"/>
    <w:rsid w:val="00366A21"/>
    <w:rsid w:val="00371982"/>
    <w:rsid w:val="00373B20"/>
    <w:rsid w:val="00377588"/>
    <w:rsid w:val="00380CCA"/>
    <w:rsid w:val="003824FA"/>
    <w:rsid w:val="0039142B"/>
    <w:rsid w:val="003915C2"/>
    <w:rsid w:val="00391981"/>
    <w:rsid w:val="00394AFC"/>
    <w:rsid w:val="003975DF"/>
    <w:rsid w:val="003A0778"/>
    <w:rsid w:val="003A0838"/>
    <w:rsid w:val="003A14E4"/>
    <w:rsid w:val="003A4F68"/>
    <w:rsid w:val="003A5088"/>
    <w:rsid w:val="003B2BFD"/>
    <w:rsid w:val="003B3412"/>
    <w:rsid w:val="003B4578"/>
    <w:rsid w:val="003B5D83"/>
    <w:rsid w:val="003B75EE"/>
    <w:rsid w:val="003C0BF7"/>
    <w:rsid w:val="003D011D"/>
    <w:rsid w:val="003D2916"/>
    <w:rsid w:val="003D3FC4"/>
    <w:rsid w:val="003D7BD0"/>
    <w:rsid w:val="003E1039"/>
    <w:rsid w:val="003E4260"/>
    <w:rsid w:val="003E5FF0"/>
    <w:rsid w:val="003F4ADD"/>
    <w:rsid w:val="003F4D74"/>
    <w:rsid w:val="003F5160"/>
    <w:rsid w:val="003F5994"/>
    <w:rsid w:val="003F69D1"/>
    <w:rsid w:val="00403528"/>
    <w:rsid w:val="004067B3"/>
    <w:rsid w:val="004106FB"/>
    <w:rsid w:val="004127A0"/>
    <w:rsid w:val="00412DA4"/>
    <w:rsid w:val="0041511A"/>
    <w:rsid w:val="004205B6"/>
    <w:rsid w:val="00426378"/>
    <w:rsid w:val="0043076E"/>
    <w:rsid w:val="00432F54"/>
    <w:rsid w:val="00435401"/>
    <w:rsid w:val="00435D01"/>
    <w:rsid w:val="00440140"/>
    <w:rsid w:val="004408D1"/>
    <w:rsid w:val="00440DB3"/>
    <w:rsid w:val="00442C17"/>
    <w:rsid w:val="00443C5B"/>
    <w:rsid w:val="00446B17"/>
    <w:rsid w:val="0045264C"/>
    <w:rsid w:val="00452FB6"/>
    <w:rsid w:val="00460933"/>
    <w:rsid w:val="00461283"/>
    <w:rsid w:val="004627A2"/>
    <w:rsid w:val="00467B26"/>
    <w:rsid w:val="00467F84"/>
    <w:rsid w:val="0047157C"/>
    <w:rsid w:val="0047358E"/>
    <w:rsid w:val="00474421"/>
    <w:rsid w:val="004818F7"/>
    <w:rsid w:val="00485E78"/>
    <w:rsid w:val="00492853"/>
    <w:rsid w:val="00495EDA"/>
    <w:rsid w:val="004963C8"/>
    <w:rsid w:val="004A01ED"/>
    <w:rsid w:val="004A07B3"/>
    <w:rsid w:val="004A0D45"/>
    <w:rsid w:val="004A2C87"/>
    <w:rsid w:val="004A427F"/>
    <w:rsid w:val="004A55DB"/>
    <w:rsid w:val="004C0E90"/>
    <w:rsid w:val="004C1CD1"/>
    <w:rsid w:val="004C1E3F"/>
    <w:rsid w:val="004C7D2D"/>
    <w:rsid w:val="004C7DA9"/>
    <w:rsid w:val="004D0280"/>
    <w:rsid w:val="004D19E3"/>
    <w:rsid w:val="004D3164"/>
    <w:rsid w:val="004D3992"/>
    <w:rsid w:val="004D523F"/>
    <w:rsid w:val="004D7952"/>
    <w:rsid w:val="004E1E3F"/>
    <w:rsid w:val="004E350B"/>
    <w:rsid w:val="004E3A71"/>
    <w:rsid w:val="004F0A25"/>
    <w:rsid w:val="004F1949"/>
    <w:rsid w:val="004F218B"/>
    <w:rsid w:val="004F29E1"/>
    <w:rsid w:val="004F3408"/>
    <w:rsid w:val="004F4805"/>
    <w:rsid w:val="0050090D"/>
    <w:rsid w:val="00500F61"/>
    <w:rsid w:val="00501513"/>
    <w:rsid w:val="00501621"/>
    <w:rsid w:val="00502929"/>
    <w:rsid w:val="00506092"/>
    <w:rsid w:val="00506807"/>
    <w:rsid w:val="00510AF0"/>
    <w:rsid w:val="00516F5D"/>
    <w:rsid w:val="00517072"/>
    <w:rsid w:val="00520BB6"/>
    <w:rsid w:val="00521C6A"/>
    <w:rsid w:val="00523EB8"/>
    <w:rsid w:val="00526B35"/>
    <w:rsid w:val="00527749"/>
    <w:rsid w:val="00535321"/>
    <w:rsid w:val="00536276"/>
    <w:rsid w:val="00537500"/>
    <w:rsid w:val="0053768F"/>
    <w:rsid w:val="00541A44"/>
    <w:rsid w:val="00541F73"/>
    <w:rsid w:val="00550B99"/>
    <w:rsid w:val="00555745"/>
    <w:rsid w:val="00555923"/>
    <w:rsid w:val="0055759A"/>
    <w:rsid w:val="005725B0"/>
    <w:rsid w:val="00572B73"/>
    <w:rsid w:val="00572F4A"/>
    <w:rsid w:val="005732EA"/>
    <w:rsid w:val="00593215"/>
    <w:rsid w:val="005933B1"/>
    <w:rsid w:val="00593873"/>
    <w:rsid w:val="005A1D67"/>
    <w:rsid w:val="005B2853"/>
    <w:rsid w:val="005B31C3"/>
    <w:rsid w:val="005B333A"/>
    <w:rsid w:val="005B3A61"/>
    <w:rsid w:val="005B5EE8"/>
    <w:rsid w:val="005C0B25"/>
    <w:rsid w:val="005C2583"/>
    <w:rsid w:val="005C3084"/>
    <w:rsid w:val="005C4450"/>
    <w:rsid w:val="005C48AC"/>
    <w:rsid w:val="005C7337"/>
    <w:rsid w:val="005D06E9"/>
    <w:rsid w:val="005D0BEB"/>
    <w:rsid w:val="005D5127"/>
    <w:rsid w:val="005D73BB"/>
    <w:rsid w:val="005E538A"/>
    <w:rsid w:val="005E5CA6"/>
    <w:rsid w:val="005E6FAE"/>
    <w:rsid w:val="005F36A8"/>
    <w:rsid w:val="005F622F"/>
    <w:rsid w:val="006026E3"/>
    <w:rsid w:val="006101DC"/>
    <w:rsid w:val="0061138C"/>
    <w:rsid w:val="0061366B"/>
    <w:rsid w:val="0061475F"/>
    <w:rsid w:val="00620533"/>
    <w:rsid w:val="00621C8B"/>
    <w:rsid w:val="006228FA"/>
    <w:rsid w:val="00627022"/>
    <w:rsid w:val="00631E87"/>
    <w:rsid w:val="00632583"/>
    <w:rsid w:val="00635C58"/>
    <w:rsid w:val="00636E4D"/>
    <w:rsid w:val="0064032C"/>
    <w:rsid w:val="00644A67"/>
    <w:rsid w:val="00646A8F"/>
    <w:rsid w:val="00647F0D"/>
    <w:rsid w:val="006572DA"/>
    <w:rsid w:val="00661DFB"/>
    <w:rsid w:val="00662080"/>
    <w:rsid w:val="00662FD7"/>
    <w:rsid w:val="00663C5A"/>
    <w:rsid w:val="0067210A"/>
    <w:rsid w:val="0067214E"/>
    <w:rsid w:val="006766EA"/>
    <w:rsid w:val="00682C01"/>
    <w:rsid w:val="00686755"/>
    <w:rsid w:val="006947C7"/>
    <w:rsid w:val="006955A4"/>
    <w:rsid w:val="00696AD9"/>
    <w:rsid w:val="006974B9"/>
    <w:rsid w:val="006A0A02"/>
    <w:rsid w:val="006A0AA4"/>
    <w:rsid w:val="006A13C0"/>
    <w:rsid w:val="006A569D"/>
    <w:rsid w:val="006B163F"/>
    <w:rsid w:val="006B2397"/>
    <w:rsid w:val="006B599F"/>
    <w:rsid w:val="006B7263"/>
    <w:rsid w:val="006C44B5"/>
    <w:rsid w:val="006D2E87"/>
    <w:rsid w:val="006D4DA4"/>
    <w:rsid w:val="006D4F82"/>
    <w:rsid w:val="006D4F96"/>
    <w:rsid w:val="006D566A"/>
    <w:rsid w:val="006D5C9C"/>
    <w:rsid w:val="006D7197"/>
    <w:rsid w:val="006E0A26"/>
    <w:rsid w:val="006E5967"/>
    <w:rsid w:val="006E5AA3"/>
    <w:rsid w:val="006E68C7"/>
    <w:rsid w:val="006E717B"/>
    <w:rsid w:val="006F0E6F"/>
    <w:rsid w:val="006F604D"/>
    <w:rsid w:val="006F60A1"/>
    <w:rsid w:val="006F7648"/>
    <w:rsid w:val="00700335"/>
    <w:rsid w:val="0070112E"/>
    <w:rsid w:val="00701CB3"/>
    <w:rsid w:val="00706525"/>
    <w:rsid w:val="00710980"/>
    <w:rsid w:val="00712192"/>
    <w:rsid w:val="007148C9"/>
    <w:rsid w:val="00721AF6"/>
    <w:rsid w:val="00724ADA"/>
    <w:rsid w:val="00726DFE"/>
    <w:rsid w:val="00726F0C"/>
    <w:rsid w:val="00730756"/>
    <w:rsid w:val="00733DA4"/>
    <w:rsid w:val="007359F3"/>
    <w:rsid w:val="00741256"/>
    <w:rsid w:val="00742A78"/>
    <w:rsid w:val="00742CA8"/>
    <w:rsid w:val="00745A63"/>
    <w:rsid w:val="00747B21"/>
    <w:rsid w:val="00754BC6"/>
    <w:rsid w:val="00755327"/>
    <w:rsid w:val="00756889"/>
    <w:rsid w:val="007577BD"/>
    <w:rsid w:val="007606C1"/>
    <w:rsid w:val="00763D8B"/>
    <w:rsid w:val="0076462D"/>
    <w:rsid w:val="00767FEB"/>
    <w:rsid w:val="00775117"/>
    <w:rsid w:val="00775427"/>
    <w:rsid w:val="00781803"/>
    <w:rsid w:val="00786B09"/>
    <w:rsid w:val="00791415"/>
    <w:rsid w:val="0079175C"/>
    <w:rsid w:val="0079301F"/>
    <w:rsid w:val="007963D1"/>
    <w:rsid w:val="007A1FA8"/>
    <w:rsid w:val="007A2AF1"/>
    <w:rsid w:val="007A452D"/>
    <w:rsid w:val="007A5209"/>
    <w:rsid w:val="007A6CAF"/>
    <w:rsid w:val="007C063E"/>
    <w:rsid w:val="007C3734"/>
    <w:rsid w:val="007C74EE"/>
    <w:rsid w:val="007D16FC"/>
    <w:rsid w:val="007D21E4"/>
    <w:rsid w:val="007D3120"/>
    <w:rsid w:val="007D5B80"/>
    <w:rsid w:val="007D6018"/>
    <w:rsid w:val="007D6D93"/>
    <w:rsid w:val="007D7D01"/>
    <w:rsid w:val="007D7E37"/>
    <w:rsid w:val="007E4FB5"/>
    <w:rsid w:val="007E7636"/>
    <w:rsid w:val="007E76A0"/>
    <w:rsid w:val="007F0793"/>
    <w:rsid w:val="007F1EB2"/>
    <w:rsid w:val="007F2A44"/>
    <w:rsid w:val="007F6FA8"/>
    <w:rsid w:val="0080030C"/>
    <w:rsid w:val="00802A00"/>
    <w:rsid w:val="0080448C"/>
    <w:rsid w:val="0081045A"/>
    <w:rsid w:val="0081279A"/>
    <w:rsid w:val="008171BA"/>
    <w:rsid w:val="008310D4"/>
    <w:rsid w:val="008311E0"/>
    <w:rsid w:val="00833684"/>
    <w:rsid w:val="0083403C"/>
    <w:rsid w:val="00835EEF"/>
    <w:rsid w:val="00837FCA"/>
    <w:rsid w:val="0084171F"/>
    <w:rsid w:val="00844019"/>
    <w:rsid w:val="00846721"/>
    <w:rsid w:val="00847531"/>
    <w:rsid w:val="00850624"/>
    <w:rsid w:val="008519B1"/>
    <w:rsid w:val="0085235B"/>
    <w:rsid w:val="00855820"/>
    <w:rsid w:val="0085635C"/>
    <w:rsid w:val="008566A3"/>
    <w:rsid w:val="00857F9D"/>
    <w:rsid w:val="00860B9F"/>
    <w:rsid w:val="00862F95"/>
    <w:rsid w:val="0086598E"/>
    <w:rsid w:val="0086620F"/>
    <w:rsid w:val="00867AB9"/>
    <w:rsid w:val="00870951"/>
    <w:rsid w:val="00870D73"/>
    <w:rsid w:val="00870D93"/>
    <w:rsid w:val="00874CDF"/>
    <w:rsid w:val="00880A09"/>
    <w:rsid w:val="00880D77"/>
    <w:rsid w:val="00881B05"/>
    <w:rsid w:val="00883056"/>
    <w:rsid w:val="008917FD"/>
    <w:rsid w:val="0089253D"/>
    <w:rsid w:val="00893F9C"/>
    <w:rsid w:val="00897AE1"/>
    <w:rsid w:val="008A1EB5"/>
    <w:rsid w:val="008A578A"/>
    <w:rsid w:val="008A5D8C"/>
    <w:rsid w:val="008A61F6"/>
    <w:rsid w:val="008A6F7C"/>
    <w:rsid w:val="008B0141"/>
    <w:rsid w:val="008B3ABA"/>
    <w:rsid w:val="008C5B26"/>
    <w:rsid w:val="008C7E4B"/>
    <w:rsid w:val="008C7F5B"/>
    <w:rsid w:val="008E1DAA"/>
    <w:rsid w:val="008E4616"/>
    <w:rsid w:val="008E6905"/>
    <w:rsid w:val="008E6E07"/>
    <w:rsid w:val="008F10D2"/>
    <w:rsid w:val="008F3424"/>
    <w:rsid w:val="008F7C13"/>
    <w:rsid w:val="00902F27"/>
    <w:rsid w:val="0091312C"/>
    <w:rsid w:val="00915E04"/>
    <w:rsid w:val="009219AC"/>
    <w:rsid w:val="00927542"/>
    <w:rsid w:val="00930B50"/>
    <w:rsid w:val="00931D76"/>
    <w:rsid w:val="0093283F"/>
    <w:rsid w:val="00933E36"/>
    <w:rsid w:val="00935B0F"/>
    <w:rsid w:val="00936E83"/>
    <w:rsid w:val="0093798F"/>
    <w:rsid w:val="00940D0B"/>
    <w:rsid w:val="00945142"/>
    <w:rsid w:val="00945755"/>
    <w:rsid w:val="00955BA3"/>
    <w:rsid w:val="00960924"/>
    <w:rsid w:val="00961381"/>
    <w:rsid w:val="00962792"/>
    <w:rsid w:val="009633D6"/>
    <w:rsid w:val="00984D8C"/>
    <w:rsid w:val="00986934"/>
    <w:rsid w:val="00992344"/>
    <w:rsid w:val="00993610"/>
    <w:rsid w:val="0099427A"/>
    <w:rsid w:val="009A1303"/>
    <w:rsid w:val="009A1CAA"/>
    <w:rsid w:val="009A450F"/>
    <w:rsid w:val="009A7F4C"/>
    <w:rsid w:val="009B1E1A"/>
    <w:rsid w:val="009C070C"/>
    <w:rsid w:val="009C1068"/>
    <w:rsid w:val="009C3798"/>
    <w:rsid w:val="009C396C"/>
    <w:rsid w:val="009C4E5F"/>
    <w:rsid w:val="009C6B4C"/>
    <w:rsid w:val="009D652E"/>
    <w:rsid w:val="009D7EEA"/>
    <w:rsid w:val="009E1169"/>
    <w:rsid w:val="009E11FA"/>
    <w:rsid w:val="009E331D"/>
    <w:rsid w:val="009E5C21"/>
    <w:rsid w:val="009E7915"/>
    <w:rsid w:val="009F0729"/>
    <w:rsid w:val="009F3113"/>
    <w:rsid w:val="009F413C"/>
    <w:rsid w:val="009F44D8"/>
    <w:rsid w:val="009F6BA4"/>
    <w:rsid w:val="00A01641"/>
    <w:rsid w:val="00A0170D"/>
    <w:rsid w:val="00A12764"/>
    <w:rsid w:val="00A1277E"/>
    <w:rsid w:val="00A2089B"/>
    <w:rsid w:val="00A22A5F"/>
    <w:rsid w:val="00A22B76"/>
    <w:rsid w:val="00A264C8"/>
    <w:rsid w:val="00A273A1"/>
    <w:rsid w:val="00A310A3"/>
    <w:rsid w:val="00A348DD"/>
    <w:rsid w:val="00A34AA4"/>
    <w:rsid w:val="00A416E2"/>
    <w:rsid w:val="00A456A6"/>
    <w:rsid w:val="00A51E00"/>
    <w:rsid w:val="00A51E02"/>
    <w:rsid w:val="00A5210A"/>
    <w:rsid w:val="00A604A9"/>
    <w:rsid w:val="00A60A93"/>
    <w:rsid w:val="00A624D5"/>
    <w:rsid w:val="00A62BA8"/>
    <w:rsid w:val="00A71C87"/>
    <w:rsid w:val="00A73B0C"/>
    <w:rsid w:val="00A75162"/>
    <w:rsid w:val="00A753B1"/>
    <w:rsid w:val="00A84EC2"/>
    <w:rsid w:val="00A862A3"/>
    <w:rsid w:val="00A90B54"/>
    <w:rsid w:val="00A92910"/>
    <w:rsid w:val="00A93B76"/>
    <w:rsid w:val="00A976F5"/>
    <w:rsid w:val="00AA284C"/>
    <w:rsid w:val="00AB3267"/>
    <w:rsid w:val="00AB4E56"/>
    <w:rsid w:val="00AB6B8A"/>
    <w:rsid w:val="00AC0943"/>
    <w:rsid w:val="00AC335A"/>
    <w:rsid w:val="00AC4811"/>
    <w:rsid w:val="00AC591D"/>
    <w:rsid w:val="00AC6719"/>
    <w:rsid w:val="00AC7F44"/>
    <w:rsid w:val="00AD53CE"/>
    <w:rsid w:val="00AD57F3"/>
    <w:rsid w:val="00AD5F42"/>
    <w:rsid w:val="00AD66B2"/>
    <w:rsid w:val="00AE5FBA"/>
    <w:rsid w:val="00AE6202"/>
    <w:rsid w:val="00AF359D"/>
    <w:rsid w:val="00AF4EB3"/>
    <w:rsid w:val="00AF5177"/>
    <w:rsid w:val="00AF5F41"/>
    <w:rsid w:val="00B00528"/>
    <w:rsid w:val="00B02B0F"/>
    <w:rsid w:val="00B120F5"/>
    <w:rsid w:val="00B16437"/>
    <w:rsid w:val="00B17DDD"/>
    <w:rsid w:val="00B20AE6"/>
    <w:rsid w:val="00B222D6"/>
    <w:rsid w:val="00B22360"/>
    <w:rsid w:val="00B26E0E"/>
    <w:rsid w:val="00B300E7"/>
    <w:rsid w:val="00B319A9"/>
    <w:rsid w:val="00B32C58"/>
    <w:rsid w:val="00B367D1"/>
    <w:rsid w:val="00B40065"/>
    <w:rsid w:val="00B42816"/>
    <w:rsid w:val="00B4488F"/>
    <w:rsid w:val="00B47C8C"/>
    <w:rsid w:val="00B50FE8"/>
    <w:rsid w:val="00B51693"/>
    <w:rsid w:val="00B55265"/>
    <w:rsid w:val="00B622A3"/>
    <w:rsid w:val="00B6496E"/>
    <w:rsid w:val="00B650B3"/>
    <w:rsid w:val="00B6786E"/>
    <w:rsid w:val="00B70125"/>
    <w:rsid w:val="00B73974"/>
    <w:rsid w:val="00B76C14"/>
    <w:rsid w:val="00B77542"/>
    <w:rsid w:val="00B77822"/>
    <w:rsid w:val="00B77F19"/>
    <w:rsid w:val="00B80431"/>
    <w:rsid w:val="00B82FC8"/>
    <w:rsid w:val="00B838FE"/>
    <w:rsid w:val="00B83D0E"/>
    <w:rsid w:val="00B86670"/>
    <w:rsid w:val="00B87C0A"/>
    <w:rsid w:val="00B91B50"/>
    <w:rsid w:val="00BA0CA7"/>
    <w:rsid w:val="00BA6872"/>
    <w:rsid w:val="00BA6B4A"/>
    <w:rsid w:val="00BA7F06"/>
    <w:rsid w:val="00BB2A1F"/>
    <w:rsid w:val="00BB608C"/>
    <w:rsid w:val="00BC0F34"/>
    <w:rsid w:val="00BC53AD"/>
    <w:rsid w:val="00BC5C98"/>
    <w:rsid w:val="00BC6739"/>
    <w:rsid w:val="00BD165C"/>
    <w:rsid w:val="00BD4D13"/>
    <w:rsid w:val="00BD4E8D"/>
    <w:rsid w:val="00BE027A"/>
    <w:rsid w:val="00BE1694"/>
    <w:rsid w:val="00BE1FFD"/>
    <w:rsid w:val="00BE2493"/>
    <w:rsid w:val="00BF1580"/>
    <w:rsid w:val="00BF2E3E"/>
    <w:rsid w:val="00BF3250"/>
    <w:rsid w:val="00BF46E5"/>
    <w:rsid w:val="00BF5E84"/>
    <w:rsid w:val="00C012AA"/>
    <w:rsid w:val="00C03064"/>
    <w:rsid w:val="00C036AB"/>
    <w:rsid w:val="00C045E1"/>
    <w:rsid w:val="00C13834"/>
    <w:rsid w:val="00C1713A"/>
    <w:rsid w:val="00C20051"/>
    <w:rsid w:val="00C22C78"/>
    <w:rsid w:val="00C26FC4"/>
    <w:rsid w:val="00C27A3A"/>
    <w:rsid w:val="00C30C4E"/>
    <w:rsid w:val="00C35181"/>
    <w:rsid w:val="00C364C0"/>
    <w:rsid w:val="00C43615"/>
    <w:rsid w:val="00C43A92"/>
    <w:rsid w:val="00C53494"/>
    <w:rsid w:val="00C53784"/>
    <w:rsid w:val="00C60BAE"/>
    <w:rsid w:val="00C67BA7"/>
    <w:rsid w:val="00C72731"/>
    <w:rsid w:val="00C804EA"/>
    <w:rsid w:val="00C83DEB"/>
    <w:rsid w:val="00C86D61"/>
    <w:rsid w:val="00C9499A"/>
    <w:rsid w:val="00C95163"/>
    <w:rsid w:val="00CA0FB9"/>
    <w:rsid w:val="00CA53BB"/>
    <w:rsid w:val="00CA6B8B"/>
    <w:rsid w:val="00CB112B"/>
    <w:rsid w:val="00CC05F4"/>
    <w:rsid w:val="00CC12E4"/>
    <w:rsid w:val="00CC65B7"/>
    <w:rsid w:val="00CC7219"/>
    <w:rsid w:val="00CD13AC"/>
    <w:rsid w:val="00CD3A81"/>
    <w:rsid w:val="00CD46F4"/>
    <w:rsid w:val="00CD5683"/>
    <w:rsid w:val="00CE3578"/>
    <w:rsid w:val="00CF51EA"/>
    <w:rsid w:val="00CF5D38"/>
    <w:rsid w:val="00D077D7"/>
    <w:rsid w:val="00D07812"/>
    <w:rsid w:val="00D13659"/>
    <w:rsid w:val="00D15217"/>
    <w:rsid w:val="00D20E47"/>
    <w:rsid w:val="00D21000"/>
    <w:rsid w:val="00D210A0"/>
    <w:rsid w:val="00D2612E"/>
    <w:rsid w:val="00D26ECC"/>
    <w:rsid w:val="00D27903"/>
    <w:rsid w:val="00D27991"/>
    <w:rsid w:val="00D30A4A"/>
    <w:rsid w:val="00D32194"/>
    <w:rsid w:val="00D3524B"/>
    <w:rsid w:val="00D35807"/>
    <w:rsid w:val="00D37159"/>
    <w:rsid w:val="00D375BC"/>
    <w:rsid w:val="00D43773"/>
    <w:rsid w:val="00D458B7"/>
    <w:rsid w:val="00D532FF"/>
    <w:rsid w:val="00D54AC3"/>
    <w:rsid w:val="00D565D8"/>
    <w:rsid w:val="00D67511"/>
    <w:rsid w:val="00D813EC"/>
    <w:rsid w:val="00D82E46"/>
    <w:rsid w:val="00D832D9"/>
    <w:rsid w:val="00D856F1"/>
    <w:rsid w:val="00D92010"/>
    <w:rsid w:val="00D9284C"/>
    <w:rsid w:val="00D9345D"/>
    <w:rsid w:val="00D93CDF"/>
    <w:rsid w:val="00D93E97"/>
    <w:rsid w:val="00D97ED2"/>
    <w:rsid w:val="00DA2436"/>
    <w:rsid w:val="00DA3612"/>
    <w:rsid w:val="00DA3DCD"/>
    <w:rsid w:val="00DA6D83"/>
    <w:rsid w:val="00DA718F"/>
    <w:rsid w:val="00DA72CF"/>
    <w:rsid w:val="00DA7E85"/>
    <w:rsid w:val="00DB1789"/>
    <w:rsid w:val="00DB1E02"/>
    <w:rsid w:val="00DB43C1"/>
    <w:rsid w:val="00DB54DC"/>
    <w:rsid w:val="00DC3D85"/>
    <w:rsid w:val="00DD5BC8"/>
    <w:rsid w:val="00DE0560"/>
    <w:rsid w:val="00DE085B"/>
    <w:rsid w:val="00DE41AF"/>
    <w:rsid w:val="00DE5F0E"/>
    <w:rsid w:val="00DF07C9"/>
    <w:rsid w:val="00DF1DFC"/>
    <w:rsid w:val="00DF4A4E"/>
    <w:rsid w:val="00DF4E6C"/>
    <w:rsid w:val="00DF5102"/>
    <w:rsid w:val="00E0460F"/>
    <w:rsid w:val="00E04A2D"/>
    <w:rsid w:val="00E11D14"/>
    <w:rsid w:val="00E12DC5"/>
    <w:rsid w:val="00E1382D"/>
    <w:rsid w:val="00E212AA"/>
    <w:rsid w:val="00E23D5F"/>
    <w:rsid w:val="00E27C27"/>
    <w:rsid w:val="00E34851"/>
    <w:rsid w:val="00E42438"/>
    <w:rsid w:val="00E42EEA"/>
    <w:rsid w:val="00E44254"/>
    <w:rsid w:val="00E44AFD"/>
    <w:rsid w:val="00E4737E"/>
    <w:rsid w:val="00E47764"/>
    <w:rsid w:val="00E506AE"/>
    <w:rsid w:val="00E50D6F"/>
    <w:rsid w:val="00E51759"/>
    <w:rsid w:val="00E529FC"/>
    <w:rsid w:val="00E56EA2"/>
    <w:rsid w:val="00E572DD"/>
    <w:rsid w:val="00E574E4"/>
    <w:rsid w:val="00E6006B"/>
    <w:rsid w:val="00E605B5"/>
    <w:rsid w:val="00E62D71"/>
    <w:rsid w:val="00E65D3E"/>
    <w:rsid w:val="00E668E5"/>
    <w:rsid w:val="00E70BA4"/>
    <w:rsid w:val="00E73D3C"/>
    <w:rsid w:val="00E77CFC"/>
    <w:rsid w:val="00E85879"/>
    <w:rsid w:val="00E95918"/>
    <w:rsid w:val="00EA3FB4"/>
    <w:rsid w:val="00EB1373"/>
    <w:rsid w:val="00EB16D4"/>
    <w:rsid w:val="00EB43D7"/>
    <w:rsid w:val="00EB53D2"/>
    <w:rsid w:val="00EC44E9"/>
    <w:rsid w:val="00ED4C5F"/>
    <w:rsid w:val="00EE3653"/>
    <w:rsid w:val="00EE64D4"/>
    <w:rsid w:val="00EF0FAF"/>
    <w:rsid w:val="00EF1B68"/>
    <w:rsid w:val="00EF24AA"/>
    <w:rsid w:val="00EF4ADC"/>
    <w:rsid w:val="00EF5FB8"/>
    <w:rsid w:val="00F008A6"/>
    <w:rsid w:val="00F01C48"/>
    <w:rsid w:val="00F03CD3"/>
    <w:rsid w:val="00F04219"/>
    <w:rsid w:val="00F14D6C"/>
    <w:rsid w:val="00F2117A"/>
    <w:rsid w:val="00F21EE3"/>
    <w:rsid w:val="00F25170"/>
    <w:rsid w:val="00F259E0"/>
    <w:rsid w:val="00F273AB"/>
    <w:rsid w:val="00F3058E"/>
    <w:rsid w:val="00F308E0"/>
    <w:rsid w:val="00F30D64"/>
    <w:rsid w:val="00F3352E"/>
    <w:rsid w:val="00F368B6"/>
    <w:rsid w:val="00F37032"/>
    <w:rsid w:val="00F3738D"/>
    <w:rsid w:val="00F40B83"/>
    <w:rsid w:val="00F42A3A"/>
    <w:rsid w:val="00F42DE3"/>
    <w:rsid w:val="00F53829"/>
    <w:rsid w:val="00F53D5F"/>
    <w:rsid w:val="00F55976"/>
    <w:rsid w:val="00F56293"/>
    <w:rsid w:val="00F6146F"/>
    <w:rsid w:val="00F704D2"/>
    <w:rsid w:val="00F71B3B"/>
    <w:rsid w:val="00F72F14"/>
    <w:rsid w:val="00F761FC"/>
    <w:rsid w:val="00F7732E"/>
    <w:rsid w:val="00F7746C"/>
    <w:rsid w:val="00F81A9D"/>
    <w:rsid w:val="00F826CF"/>
    <w:rsid w:val="00F82808"/>
    <w:rsid w:val="00F83C98"/>
    <w:rsid w:val="00F92826"/>
    <w:rsid w:val="00F931EA"/>
    <w:rsid w:val="00F94518"/>
    <w:rsid w:val="00F95144"/>
    <w:rsid w:val="00F9687D"/>
    <w:rsid w:val="00FA3378"/>
    <w:rsid w:val="00FA429A"/>
    <w:rsid w:val="00FA551A"/>
    <w:rsid w:val="00FA6810"/>
    <w:rsid w:val="00FB2892"/>
    <w:rsid w:val="00FB65D6"/>
    <w:rsid w:val="00FC588A"/>
    <w:rsid w:val="00FC5B8A"/>
    <w:rsid w:val="00FC63C6"/>
    <w:rsid w:val="00FC705A"/>
    <w:rsid w:val="00FC77A6"/>
    <w:rsid w:val="00FD73E5"/>
    <w:rsid w:val="00FE34A4"/>
    <w:rsid w:val="00FE3A78"/>
    <w:rsid w:val="00FE5B3B"/>
    <w:rsid w:val="00FF2A74"/>
    <w:rsid w:val="00FF533C"/>
    <w:rsid w:val="00FF73A1"/>
    <w:rsid w:val="00FF7D3C"/>
    <w:rsid w:val="016CDE23"/>
    <w:rsid w:val="024CE071"/>
    <w:rsid w:val="033528EB"/>
    <w:rsid w:val="057369A1"/>
    <w:rsid w:val="057EC312"/>
    <w:rsid w:val="0DBF553E"/>
    <w:rsid w:val="0FA21695"/>
    <w:rsid w:val="10A4A48B"/>
    <w:rsid w:val="1177A8F8"/>
    <w:rsid w:val="154CCA4B"/>
    <w:rsid w:val="17B1F963"/>
    <w:rsid w:val="18B4A99A"/>
    <w:rsid w:val="1976F2D4"/>
    <w:rsid w:val="1C5C7F3A"/>
    <w:rsid w:val="22C9DF9A"/>
    <w:rsid w:val="23B0EB2B"/>
    <w:rsid w:val="2851CF53"/>
    <w:rsid w:val="294DB4AD"/>
    <w:rsid w:val="2C9AF3AA"/>
    <w:rsid w:val="2CA6C48F"/>
    <w:rsid w:val="2D0120D5"/>
    <w:rsid w:val="327B9EE3"/>
    <w:rsid w:val="334995DB"/>
    <w:rsid w:val="33E40B6C"/>
    <w:rsid w:val="39C8EE23"/>
    <w:rsid w:val="3C06F6FE"/>
    <w:rsid w:val="3FB8C4C1"/>
    <w:rsid w:val="4548B8A5"/>
    <w:rsid w:val="490B6638"/>
    <w:rsid w:val="4BE1A35C"/>
    <w:rsid w:val="4D4096AB"/>
    <w:rsid w:val="4DCB2ED4"/>
    <w:rsid w:val="4E192A6B"/>
    <w:rsid w:val="50BD2042"/>
    <w:rsid w:val="5293E709"/>
    <w:rsid w:val="53B0CCAA"/>
    <w:rsid w:val="543B1D25"/>
    <w:rsid w:val="5654714D"/>
    <w:rsid w:val="56ED7B36"/>
    <w:rsid w:val="64873DE9"/>
    <w:rsid w:val="687A6B55"/>
    <w:rsid w:val="68DFC069"/>
    <w:rsid w:val="69322641"/>
    <w:rsid w:val="6C4B9AE7"/>
    <w:rsid w:val="6D507538"/>
    <w:rsid w:val="707473B1"/>
    <w:rsid w:val="70E43234"/>
    <w:rsid w:val="746FB557"/>
    <w:rsid w:val="748DC324"/>
    <w:rsid w:val="78FB5324"/>
    <w:rsid w:val="7AE5C97F"/>
    <w:rsid w:val="7D0C8100"/>
    <w:rsid w:val="7E5B01D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FDA5C"/>
  <w15:chartTrackingRefBased/>
  <w15:docId w15:val="{44BDF08B-6FA1-4A9F-B168-BCB55C9D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BC"/>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1F3778"/>
    <w:pPr>
      <w:outlineLvl w:val="0"/>
    </w:pPr>
    <w:rPr>
      <w:rFonts w:cstheme="minorHAnsi"/>
      <w:b/>
      <w:iCs/>
      <w:sz w:val="24"/>
      <w:szCs w:val="24"/>
      <w:u w:val="single"/>
    </w:rPr>
  </w:style>
  <w:style w:type="paragraph" w:styleId="Heading2">
    <w:name w:val="heading 2"/>
    <w:basedOn w:val="Normal"/>
    <w:next w:val="Normal"/>
    <w:link w:val="Heading2Char"/>
    <w:uiPriority w:val="9"/>
    <w:unhideWhenUsed/>
    <w:qFormat/>
    <w:rsid w:val="001F3778"/>
    <w:pPr>
      <w:spacing w:after="120"/>
      <w:jc w:val="both"/>
      <w:outlineLvl w:val="1"/>
    </w:pPr>
    <w:rPr>
      <w:rFonts w:cstheme="minorHAnsi"/>
      <w:bCs/>
      <w:color w:val="2F5496" w:themeColor="accent5" w:themeShade="BF"/>
      <w:sz w:val="24"/>
      <w:szCs w:val="24"/>
      <w:u w:val="single"/>
    </w:rPr>
  </w:style>
  <w:style w:type="paragraph" w:styleId="Heading3">
    <w:name w:val="heading 3"/>
    <w:basedOn w:val="Normal"/>
    <w:next w:val="Normal"/>
    <w:link w:val="Heading3Char"/>
    <w:uiPriority w:val="9"/>
    <w:unhideWhenUsed/>
    <w:qFormat/>
    <w:rsid w:val="001F3778"/>
    <w:pPr>
      <w:spacing w:after="120"/>
      <w:outlineLvl w:val="2"/>
    </w:pPr>
    <w:rPr>
      <w:rFonts w:cstheme="minorHAnsi"/>
      <w:bCs/>
      <w:i/>
      <w:iCs/>
      <w:color w:val="2F5496" w:themeColor="accent5" w:themeShade="BF"/>
      <w:sz w:val="24"/>
      <w:szCs w:val="24"/>
      <w:u w:val="single"/>
    </w:rPr>
  </w:style>
  <w:style w:type="paragraph" w:styleId="Heading6">
    <w:name w:val="heading 6"/>
    <w:basedOn w:val="Normal"/>
    <w:next w:val="Normal"/>
    <w:link w:val="Heading6Char"/>
    <w:uiPriority w:val="9"/>
    <w:semiHidden/>
    <w:unhideWhenUsed/>
    <w:qFormat/>
    <w:rsid w:val="003146B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3146BC"/>
    <w:rPr>
      <w:rFonts w:asciiTheme="majorHAnsi" w:eastAsiaTheme="majorEastAsia" w:hAnsiTheme="majorHAnsi" w:cstheme="majorBidi"/>
      <w:color w:val="1F4D78" w:themeColor="accent1" w:themeShade="7F"/>
      <w:sz w:val="22"/>
      <w:szCs w:val="22"/>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3146BC"/>
    <w:pPr>
      <w:ind w:left="720"/>
      <w:contextualSpacing/>
    </w:pPr>
  </w:style>
  <w:style w:type="paragraph" w:customStyle="1" w:styleId="Default">
    <w:name w:val="Default"/>
    <w:rsid w:val="001A141A"/>
    <w:pPr>
      <w:autoSpaceDE w:val="0"/>
      <w:autoSpaceDN w:val="0"/>
      <w:adjustRightInd w:val="0"/>
      <w:spacing w:after="0" w:line="240" w:lineRule="auto"/>
    </w:pPr>
    <w:rPr>
      <w:color w:val="000000"/>
    </w:rPr>
  </w:style>
  <w:style w:type="paragraph" w:styleId="Header">
    <w:name w:val="header"/>
    <w:basedOn w:val="Normal"/>
    <w:link w:val="HeaderChar"/>
    <w:uiPriority w:val="99"/>
    <w:unhideWhenUsed/>
    <w:rsid w:val="001E7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FA8"/>
    <w:rPr>
      <w:rFonts w:asciiTheme="minorHAnsi" w:hAnsiTheme="minorHAnsi" w:cstheme="minorBidi"/>
      <w:sz w:val="22"/>
      <w:szCs w:val="22"/>
    </w:rPr>
  </w:style>
  <w:style w:type="paragraph" w:styleId="Footer">
    <w:name w:val="footer"/>
    <w:basedOn w:val="Normal"/>
    <w:link w:val="FooterChar"/>
    <w:uiPriority w:val="99"/>
    <w:unhideWhenUsed/>
    <w:rsid w:val="001E7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FA8"/>
    <w:rPr>
      <w:rFonts w:asciiTheme="minorHAnsi" w:hAnsiTheme="minorHAnsi" w:cstheme="minorBidi"/>
      <w:sz w:val="22"/>
      <w:szCs w:val="22"/>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locked/>
    <w:rsid w:val="00250719"/>
    <w:rPr>
      <w:rFonts w:asciiTheme="minorHAnsi" w:hAnsiTheme="minorHAnsi" w:cstheme="minorBidi"/>
      <w:sz w:val="22"/>
      <w:szCs w:val="22"/>
    </w:rPr>
  </w:style>
  <w:style w:type="character" w:customStyle="1" w:styleId="ISCnumberedChar">
    <w:name w:val="ISC numbered Char"/>
    <w:basedOn w:val="DefaultParagraphFont"/>
    <w:link w:val="ISCnumbered"/>
    <w:uiPriority w:val="99"/>
    <w:locked/>
    <w:rsid w:val="00C30C4E"/>
  </w:style>
  <w:style w:type="paragraph" w:customStyle="1" w:styleId="ISCnumbered">
    <w:name w:val="ISC numbered"/>
    <w:basedOn w:val="Normal"/>
    <w:link w:val="ISCnumberedChar"/>
    <w:uiPriority w:val="99"/>
    <w:rsid w:val="00C30C4E"/>
    <w:pPr>
      <w:spacing w:after="12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F3778"/>
    <w:rPr>
      <w:rFonts w:asciiTheme="minorHAnsi" w:hAnsiTheme="minorHAnsi" w:cstheme="minorHAnsi"/>
      <w:b/>
      <w:iCs/>
      <w:u w:val="single"/>
    </w:rPr>
  </w:style>
  <w:style w:type="character" w:customStyle="1" w:styleId="eop">
    <w:name w:val="eop"/>
    <w:basedOn w:val="DefaultParagraphFont"/>
    <w:rsid w:val="005C4450"/>
  </w:style>
  <w:style w:type="character" w:styleId="CommentReference">
    <w:name w:val="annotation reference"/>
    <w:basedOn w:val="DefaultParagraphFont"/>
    <w:uiPriority w:val="99"/>
    <w:semiHidden/>
    <w:unhideWhenUsed/>
    <w:rsid w:val="006C44B5"/>
    <w:rPr>
      <w:sz w:val="16"/>
      <w:szCs w:val="16"/>
    </w:rPr>
  </w:style>
  <w:style w:type="paragraph" w:styleId="CommentText">
    <w:name w:val="annotation text"/>
    <w:basedOn w:val="Normal"/>
    <w:link w:val="CommentTextChar"/>
    <w:uiPriority w:val="99"/>
    <w:unhideWhenUsed/>
    <w:rsid w:val="006C44B5"/>
    <w:pPr>
      <w:spacing w:line="240" w:lineRule="auto"/>
    </w:pPr>
    <w:rPr>
      <w:sz w:val="20"/>
      <w:szCs w:val="20"/>
    </w:rPr>
  </w:style>
  <w:style w:type="character" w:customStyle="1" w:styleId="CommentTextChar">
    <w:name w:val="Comment Text Char"/>
    <w:basedOn w:val="DefaultParagraphFont"/>
    <w:link w:val="CommentText"/>
    <w:uiPriority w:val="99"/>
    <w:rsid w:val="006C44B5"/>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C44B5"/>
    <w:rPr>
      <w:b/>
      <w:bCs/>
    </w:rPr>
  </w:style>
  <w:style w:type="character" w:customStyle="1" w:styleId="CommentSubjectChar">
    <w:name w:val="Comment Subject Char"/>
    <w:basedOn w:val="CommentTextChar"/>
    <w:link w:val="CommentSubject"/>
    <w:uiPriority w:val="99"/>
    <w:semiHidden/>
    <w:rsid w:val="006C44B5"/>
    <w:rPr>
      <w:rFonts w:asciiTheme="minorHAnsi" w:hAnsiTheme="minorHAnsi" w:cstheme="minorBidi"/>
      <w:b/>
      <w:bCs/>
      <w:sz w:val="20"/>
      <w:szCs w:val="20"/>
    </w:rPr>
  </w:style>
  <w:style w:type="character" w:styleId="Hyperlink">
    <w:name w:val="Hyperlink"/>
    <w:basedOn w:val="DefaultParagraphFont"/>
    <w:uiPriority w:val="99"/>
    <w:unhideWhenUsed/>
    <w:rsid w:val="00BA7F06"/>
    <w:rPr>
      <w:color w:val="0563C1" w:themeColor="hyperlink"/>
      <w:u w:val="single"/>
    </w:rPr>
  </w:style>
  <w:style w:type="character" w:styleId="UnresolvedMention">
    <w:name w:val="Unresolved Mention"/>
    <w:basedOn w:val="DefaultParagraphFont"/>
    <w:uiPriority w:val="99"/>
    <w:semiHidden/>
    <w:unhideWhenUsed/>
    <w:rsid w:val="002235E0"/>
    <w:rPr>
      <w:color w:val="605E5C"/>
      <w:shd w:val="clear" w:color="auto" w:fill="E1DFDD"/>
    </w:rPr>
  </w:style>
  <w:style w:type="character" w:styleId="FollowedHyperlink">
    <w:name w:val="FollowedHyperlink"/>
    <w:basedOn w:val="DefaultParagraphFont"/>
    <w:uiPriority w:val="99"/>
    <w:semiHidden/>
    <w:unhideWhenUsed/>
    <w:rsid w:val="00B02B0F"/>
    <w:rPr>
      <w:color w:val="954F72" w:themeColor="followedHyperlink"/>
      <w:u w:val="single"/>
    </w:rPr>
  </w:style>
  <w:style w:type="paragraph" w:styleId="Revision">
    <w:name w:val="Revision"/>
    <w:hidden/>
    <w:uiPriority w:val="99"/>
    <w:semiHidden/>
    <w:rsid w:val="006A0A02"/>
    <w:pPr>
      <w:spacing w:after="0" w:line="240" w:lineRule="auto"/>
    </w:pPr>
    <w:rPr>
      <w:rFonts w:asciiTheme="minorHAnsi" w:hAnsiTheme="minorHAnsi" w:cstheme="minorBidi"/>
      <w:sz w:val="22"/>
      <w:szCs w:val="22"/>
    </w:rPr>
  </w:style>
  <w:style w:type="paragraph" w:styleId="FootnoteText">
    <w:name w:val="footnote text"/>
    <w:basedOn w:val="Normal"/>
    <w:link w:val="FootnoteTextChar"/>
    <w:uiPriority w:val="99"/>
    <w:unhideWhenUsed/>
    <w:rsid w:val="008311E0"/>
    <w:pPr>
      <w:spacing w:after="0" w:line="240" w:lineRule="auto"/>
    </w:pPr>
    <w:rPr>
      <w:sz w:val="20"/>
      <w:szCs w:val="20"/>
    </w:rPr>
  </w:style>
  <w:style w:type="character" w:customStyle="1" w:styleId="FootnoteTextChar">
    <w:name w:val="Footnote Text Char"/>
    <w:basedOn w:val="DefaultParagraphFont"/>
    <w:link w:val="FootnoteText"/>
    <w:uiPriority w:val="99"/>
    <w:rsid w:val="008311E0"/>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8311E0"/>
    <w:rPr>
      <w:vertAlign w:val="superscript"/>
    </w:rPr>
  </w:style>
  <w:style w:type="character" w:customStyle="1" w:styleId="Heading2Char">
    <w:name w:val="Heading 2 Char"/>
    <w:basedOn w:val="DefaultParagraphFont"/>
    <w:link w:val="Heading2"/>
    <w:uiPriority w:val="9"/>
    <w:rsid w:val="001F3778"/>
    <w:rPr>
      <w:rFonts w:asciiTheme="minorHAnsi" w:hAnsiTheme="minorHAnsi" w:cstheme="minorHAnsi"/>
      <w:bCs/>
      <w:color w:val="2F5496" w:themeColor="accent5" w:themeShade="BF"/>
      <w:u w:val="single"/>
    </w:rPr>
  </w:style>
  <w:style w:type="character" w:customStyle="1" w:styleId="Heading3Char">
    <w:name w:val="Heading 3 Char"/>
    <w:basedOn w:val="DefaultParagraphFont"/>
    <w:link w:val="Heading3"/>
    <w:uiPriority w:val="9"/>
    <w:rsid w:val="001F3778"/>
    <w:rPr>
      <w:rFonts w:asciiTheme="minorHAnsi" w:hAnsiTheme="minorHAnsi" w:cstheme="minorHAnsi"/>
      <w:bCs/>
      <w:i/>
      <w:iCs/>
      <w:color w:val="2F5496" w:themeColor="accent5" w:themeShade="B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8698">
      <w:bodyDiv w:val="1"/>
      <w:marLeft w:val="0"/>
      <w:marRight w:val="0"/>
      <w:marTop w:val="0"/>
      <w:marBottom w:val="0"/>
      <w:divBdr>
        <w:top w:val="none" w:sz="0" w:space="0" w:color="auto"/>
        <w:left w:val="none" w:sz="0" w:space="0" w:color="auto"/>
        <w:bottom w:val="none" w:sz="0" w:space="0" w:color="auto"/>
        <w:right w:val="none" w:sz="0" w:space="0" w:color="auto"/>
      </w:divBdr>
    </w:div>
    <w:div w:id="91555715">
      <w:bodyDiv w:val="1"/>
      <w:marLeft w:val="0"/>
      <w:marRight w:val="0"/>
      <w:marTop w:val="0"/>
      <w:marBottom w:val="0"/>
      <w:divBdr>
        <w:top w:val="none" w:sz="0" w:space="0" w:color="auto"/>
        <w:left w:val="none" w:sz="0" w:space="0" w:color="auto"/>
        <w:bottom w:val="none" w:sz="0" w:space="0" w:color="auto"/>
        <w:right w:val="none" w:sz="0" w:space="0" w:color="auto"/>
      </w:divBdr>
    </w:div>
    <w:div w:id="163278583">
      <w:bodyDiv w:val="1"/>
      <w:marLeft w:val="0"/>
      <w:marRight w:val="0"/>
      <w:marTop w:val="0"/>
      <w:marBottom w:val="0"/>
      <w:divBdr>
        <w:top w:val="none" w:sz="0" w:space="0" w:color="auto"/>
        <w:left w:val="none" w:sz="0" w:space="0" w:color="auto"/>
        <w:bottom w:val="none" w:sz="0" w:space="0" w:color="auto"/>
        <w:right w:val="none" w:sz="0" w:space="0" w:color="auto"/>
      </w:divBdr>
    </w:div>
    <w:div w:id="206721869">
      <w:bodyDiv w:val="1"/>
      <w:marLeft w:val="0"/>
      <w:marRight w:val="0"/>
      <w:marTop w:val="0"/>
      <w:marBottom w:val="0"/>
      <w:divBdr>
        <w:top w:val="none" w:sz="0" w:space="0" w:color="auto"/>
        <w:left w:val="none" w:sz="0" w:space="0" w:color="auto"/>
        <w:bottom w:val="none" w:sz="0" w:space="0" w:color="auto"/>
        <w:right w:val="none" w:sz="0" w:space="0" w:color="auto"/>
      </w:divBdr>
    </w:div>
    <w:div w:id="551969435">
      <w:bodyDiv w:val="1"/>
      <w:marLeft w:val="0"/>
      <w:marRight w:val="0"/>
      <w:marTop w:val="0"/>
      <w:marBottom w:val="0"/>
      <w:divBdr>
        <w:top w:val="none" w:sz="0" w:space="0" w:color="auto"/>
        <w:left w:val="none" w:sz="0" w:space="0" w:color="auto"/>
        <w:bottom w:val="none" w:sz="0" w:space="0" w:color="auto"/>
        <w:right w:val="none" w:sz="0" w:space="0" w:color="auto"/>
      </w:divBdr>
    </w:div>
    <w:div w:id="649603550">
      <w:bodyDiv w:val="1"/>
      <w:marLeft w:val="0"/>
      <w:marRight w:val="0"/>
      <w:marTop w:val="0"/>
      <w:marBottom w:val="0"/>
      <w:divBdr>
        <w:top w:val="none" w:sz="0" w:space="0" w:color="auto"/>
        <w:left w:val="none" w:sz="0" w:space="0" w:color="auto"/>
        <w:bottom w:val="none" w:sz="0" w:space="0" w:color="auto"/>
        <w:right w:val="none" w:sz="0" w:space="0" w:color="auto"/>
      </w:divBdr>
    </w:div>
    <w:div w:id="687949586">
      <w:bodyDiv w:val="1"/>
      <w:marLeft w:val="0"/>
      <w:marRight w:val="0"/>
      <w:marTop w:val="0"/>
      <w:marBottom w:val="0"/>
      <w:divBdr>
        <w:top w:val="none" w:sz="0" w:space="0" w:color="auto"/>
        <w:left w:val="none" w:sz="0" w:space="0" w:color="auto"/>
        <w:bottom w:val="none" w:sz="0" w:space="0" w:color="auto"/>
        <w:right w:val="none" w:sz="0" w:space="0" w:color="auto"/>
      </w:divBdr>
    </w:div>
    <w:div w:id="982924795">
      <w:bodyDiv w:val="1"/>
      <w:marLeft w:val="0"/>
      <w:marRight w:val="0"/>
      <w:marTop w:val="0"/>
      <w:marBottom w:val="0"/>
      <w:divBdr>
        <w:top w:val="none" w:sz="0" w:space="0" w:color="auto"/>
        <w:left w:val="none" w:sz="0" w:space="0" w:color="auto"/>
        <w:bottom w:val="none" w:sz="0" w:space="0" w:color="auto"/>
        <w:right w:val="none" w:sz="0" w:space="0" w:color="auto"/>
      </w:divBdr>
    </w:div>
    <w:div w:id="1133018570">
      <w:bodyDiv w:val="1"/>
      <w:marLeft w:val="0"/>
      <w:marRight w:val="0"/>
      <w:marTop w:val="0"/>
      <w:marBottom w:val="0"/>
      <w:divBdr>
        <w:top w:val="none" w:sz="0" w:space="0" w:color="auto"/>
        <w:left w:val="none" w:sz="0" w:space="0" w:color="auto"/>
        <w:bottom w:val="none" w:sz="0" w:space="0" w:color="auto"/>
        <w:right w:val="none" w:sz="0" w:space="0" w:color="auto"/>
      </w:divBdr>
    </w:div>
    <w:div w:id="1268466334">
      <w:bodyDiv w:val="1"/>
      <w:marLeft w:val="0"/>
      <w:marRight w:val="0"/>
      <w:marTop w:val="0"/>
      <w:marBottom w:val="0"/>
      <w:divBdr>
        <w:top w:val="none" w:sz="0" w:space="0" w:color="auto"/>
        <w:left w:val="none" w:sz="0" w:space="0" w:color="auto"/>
        <w:bottom w:val="none" w:sz="0" w:space="0" w:color="auto"/>
        <w:right w:val="none" w:sz="0" w:space="0" w:color="auto"/>
      </w:divBdr>
    </w:div>
    <w:div w:id="1385447919">
      <w:bodyDiv w:val="1"/>
      <w:marLeft w:val="0"/>
      <w:marRight w:val="0"/>
      <w:marTop w:val="0"/>
      <w:marBottom w:val="0"/>
      <w:divBdr>
        <w:top w:val="none" w:sz="0" w:space="0" w:color="auto"/>
        <w:left w:val="none" w:sz="0" w:space="0" w:color="auto"/>
        <w:bottom w:val="none" w:sz="0" w:space="0" w:color="auto"/>
        <w:right w:val="none" w:sz="0" w:space="0" w:color="auto"/>
      </w:divBdr>
    </w:div>
    <w:div w:id="1403025635">
      <w:bodyDiv w:val="1"/>
      <w:marLeft w:val="0"/>
      <w:marRight w:val="0"/>
      <w:marTop w:val="0"/>
      <w:marBottom w:val="0"/>
      <w:divBdr>
        <w:top w:val="none" w:sz="0" w:space="0" w:color="auto"/>
        <w:left w:val="none" w:sz="0" w:space="0" w:color="auto"/>
        <w:bottom w:val="none" w:sz="0" w:space="0" w:color="auto"/>
        <w:right w:val="none" w:sz="0" w:space="0" w:color="auto"/>
      </w:divBdr>
    </w:div>
    <w:div w:id="1501119677">
      <w:bodyDiv w:val="1"/>
      <w:marLeft w:val="0"/>
      <w:marRight w:val="0"/>
      <w:marTop w:val="0"/>
      <w:marBottom w:val="0"/>
      <w:divBdr>
        <w:top w:val="none" w:sz="0" w:space="0" w:color="auto"/>
        <w:left w:val="none" w:sz="0" w:space="0" w:color="auto"/>
        <w:bottom w:val="none" w:sz="0" w:space="0" w:color="auto"/>
        <w:right w:val="none" w:sz="0" w:space="0" w:color="auto"/>
      </w:divBdr>
    </w:div>
    <w:div w:id="1748532991">
      <w:bodyDiv w:val="1"/>
      <w:marLeft w:val="0"/>
      <w:marRight w:val="0"/>
      <w:marTop w:val="0"/>
      <w:marBottom w:val="0"/>
      <w:divBdr>
        <w:top w:val="none" w:sz="0" w:space="0" w:color="auto"/>
        <w:left w:val="none" w:sz="0" w:space="0" w:color="auto"/>
        <w:bottom w:val="none" w:sz="0" w:space="0" w:color="auto"/>
        <w:right w:val="none" w:sz="0" w:space="0" w:color="auto"/>
      </w:divBdr>
    </w:div>
    <w:div w:id="199730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ndda@abs.gov.au" TargetMode="External"/><Relationship Id="rId3" Type="http://schemas.openxmlformats.org/officeDocument/2006/relationships/customXml" Target="../customXml/item3.xml"/><Relationship Id="rId21" Type="http://schemas.openxmlformats.org/officeDocument/2006/relationships/hyperlink" Target="https://www.aihw.gov.au/reports-data/covid-linked-data-set/accessing-the-dat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ihw.gov.au/reports-data/covid-linked-data-s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seniorclerk.committees.sen@aph.gov.au" TargetMode="External"/><Relationship Id="rId10" Type="http://schemas.openxmlformats.org/officeDocument/2006/relationships/endnotes" Target="endnotes.xml"/><Relationship Id="rId19" Type="http://schemas.openxmlformats.org/officeDocument/2006/relationships/hyperlink" Target="https://www.abs.gov.au/about/data-services/data-integration/integrated-data/person-level-integrated-data-asset-plida/plidamadip-research-proje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ph.gov.au/Parliamentary_Business/Committees/Senate/Legal_and_Constitutional_Affairs/COVID19RC47/Report/List_of_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7A8C815660B342888F7298E29F87D1" ma:contentTypeVersion="6" ma:contentTypeDescription="Create a new document." ma:contentTypeScope="" ma:versionID="f4da336b2d8e6651b1e0f4e6a4bfb3c6">
  <xsd:schema xmlns:xsd="http://www.w3.org/2001/XMLSchema" xmlns:xs="http://www.w3.org/2001/XMLSchema" xmlns:p="http://schemas.microsoft.com/office/2006/metadata/properties" xmlns:ns2="1da552da-88c4-46f9-a58f-3e65fcde0760" xmlns:ns3="49074975-af08-4ba8-a1c7-355682010f6b" targetNamespace="http://schemas.microsoft.com/office/2006/metadata/properties" ma:root="true" ma:fieldsID="d9e9036a999c7a2b1d9e5f1ccab33494" ns2:_="" ns3:_="">
    <xsd:import namespace="1da552da-88c4-46f9-a58f-3e65fcde0760"/>
    <xsd:import namespace="49074975-af08-4ba8-a1c7-355682010f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52da-88c4-46f9-a58f-3e65fcde0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074975-af08-4ba8-a1c7-355682010f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D99E0-4392-4549-BF3C-5F2DC97CD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52da-88c4-46f9-a58f-3e65fcde0760"/>
    <ds:schemaRef ds:uri="49074975-af08-4ba8-a1c7-355682010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9BDF6-CD4F-4D9E-AE16-FBF21C7C8786}">
  <ds:schemaRefs>
    <ds:schemaRef ds:uri="http://schemas.microsoft.com/sharepoint/v3/contenttype/forms"/>
  </ds:schemaRefs>
</ds:datastoreItem>
</file>

<file path=customXml/itemProps3.xml><?xml version="1.0" encoding="utf-8"?>
<ds:datastoreItem xmlns:ds="http://schemas.openxmlformats.org/officeDocument/2006/customXml" ds:itemID="{CA8E62BA-7C0D-4815-9FEE-9A91C8F307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E5E69B-1A6D-4470-B966-4739E9BB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3571</Words>
  <Characters>18999</Characters>
  <Application>Microsoft Office Word</Application>
  <DocSecurity>0</DocSecurity>
  <Lines>441</Lines>
  <Paragraphs>341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final report of the Inquiry into Excess Mortality</dc:title>
  <dc:subject>Aged Care</dc:subject>
  <dc:creator>Australian Government Department of Health, Disability and Ageing</dc:creator>
  <cp:keywords/>
  <dc:description/>
  <cp:lastModifiedBy>MASCHKE, Elvia</cp:lastModifiedBy>
  <cp:revision>6</cp:revision>
  <cp:lastPrinted>2024-11-08T11:13:00Z</cp:lastPrinted>
  <dcterms:created xsi:type="dcterms:W3CDTF">2025-07-30T00:41:00Z</dcterms:created>
  <dcterms:modified xsi:type="dcterms:W3CDTF">2025-08-18T02:52:00Z</dcterms:modified>
</cp:coreProperties>
</file>