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F137" w14:textId="37A70812" w:rsidR="006A6A89" w:rsidRDefault="00860F2A" w:rsidP="00554ACC">
      <w:pPr>
        <w:jc w:val="center"/>
      </w:pPr>
      <w:bookmarkStart w:id="0" w:name="_Toc450730581"/>
      <w:bookmarkEnd w:id="0"/>
      <w:r>
        <w:rPr>
          <w:noProof/>
        </w:rPr>
        <w:drawing>
          <wp:inline distT="0" distB="0" distL="0" distR="0" wp14:anchorId="1DED63BF" wp14:editId="7741E140">
            <wp:extent cx="3448050" cy="1289415"/>
            <wp:effectExtent l="0" t="0" r="0" b="6350"/>
            <wp:docPr id="19127138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13883"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361" cy="1292897"/>
                    </a:xfrm>
                    <a:prstGeom prst="rect">
                      <a:avLst/>
                    </a:prstGeom>
                  </pic:spPr>
                </pic:pic>
              </a:graphicData>
            </a:graphic>
          </wp:inline>
        </w:drawing>
      </w:r>
    </w:p>
    <w:sdt>
      <w:sdtPr>
        <w:rPr>
          <w:rFonts w:eastAsiaTheme="minorEastAsia" w:cs="Times New Roman"/>
          <w:b w:val="0"/>
          <w:spacing w:val="0"/>
          <w:sz w:val="24"/>
          <w:szCs w:val="24"/>
          <w:lang w:val="en-AU"/>
        </w:rPr>
        <w:id w:val="979044571"/>
        <w:docPartObj>
          <w:docPartGallery w:val="Cover Pages"/>
          <w:docPartUnique/>
        </w:docPartObj>
      </w:sdtPr>
      <w:sdtContent>
        <w:p w14:paraId="51B2894F" w14:textId="77777777" w:rsidR="00235CD1" w:rsidRPr="003511CA" w:rsidRDefault="00A3423C" w:rsidP="00554ACC">
          <w:pPr>
            <w:pStyle w:val="Title"/>
            <w:spacing w:before="0" w:after="0"/>
            <w:ind w:left="0" w:right="0"/>
            <w:rPr>
              <w:rFonts w:cstheme="minorHAnsi"/>
            </w:rPr>
          </w:pPr>
          <w:r w:rsidRPr="006A6A89">
            <w:rPr>
              <w:rFonts w:cstheme="minorHAnsi"/>
            </w:rPr>
            <w:t>Workforce Incentive Program</w:t>
          </w:r>
          <w:r w:rsidR="00781C1E" w:rsidRPr="006A6A89">
            <w:rPr>
              <w:rFonts w:cstheme="minorHAnsi"/>
            </w:rPr>
            <w:t xml:space="preserve"> </w:t>
          </w:r>
        </w:p>
        <w:p w14:paraId="5760989F" w14:textId="77777777" w:rsidR="00235CD1" w:rsidRPr="006A6A89" w:rsidRDefault="004E186C" w:rsidP="00554ACC">
          <w:pPr>
            <w:pStyle w:val="Title"/>
            <w:spacing w:before="0" w:after="0"/>
            <w:ind w:left="0" w:right="0"/>
            <w:rPr>
              <w:rFonts w:cstheme="minorHAnsi"/>
            </w:rPr>
          </w:pPr>
          <w:r w:rsidRPr="006A6A89">
            <w:rPr>
              <w:rFonts w:cstheme="minorHAnsi"/>
            </w:rPr>
            <w:t>Practice Stream</w:t>
          </w:r>
          <w:bookmarkStart w:id="1" w:name="_Toc484682533"/>
          <w:bookmarkStart w:id="2" w:name="_Toc484683114"/>
          <w:r w:rsidR="00781C1E" w:rsidRPr="006A6A89">
            <w:rPr>
              <w:rFonts w:cstheme="minorHAnsi"/>
            </w:rPr>
            <w:t xml:space="preserve"> </w:t>
          </w:r>
        </w:p>
        <w:p w14:paraId="39DEC3A0" w14:textId="087E7B03" w:rsidR="006A6A89" w:rsidRPr="00860F2A" w:rsidRDefault="00A3423C" w:rsidP="00860F2A">
          <w:pPr>
            <w:pStyle w:val="Title"/>
            <w:spacing w:before="0" w:after="0"/>
            <w:ind w:left="0" w:right="0"/>
            <w:rPr>
              <w:rFonts w:cstheme="minorHAnsi"/>
            </w:rPr>
          </w:pPr>
          <w:r w:rsidRPr="006A6A89">
            <w:rPr>
              <w:rFonts w:cstheme="minorHAnsi"/>
            </w:rPr>
            <w:t>Guidelines</w:t>
          </w:r>
          <w:bookmarkEnd w:id="1"/>
          <w:bookmarkEnd w:id="2"/>
        </w:p>
        <w:p w14:paraId="530501FE" w14:textId="65771466" w:rsidR="005E2443" w:rsidRPr="00781C1E" w:rsidRDefault="00A3423C" w:rsidP="00781C1E">
          <w:pPr>
            <w:pStyle w:val="Subtitle"/>
          </w:pPr>
          <w:r w:rsidRPr="00781C1E">
            <w:t>E</w:t>
          </w:r>
          <w:r w:rsidR="00235CD1">
            <w:t>FFECTIVE DATE</w:t>
          </w:r>
          <w:r w:rsidRPr="00781C1E">
            <w:t xml:space="preserve">: </w:t>
          </w:r>
          <w:r w:rsidR="00FC77C6">
            <w:t>1 AUGUST</w:t>
          </w:r>
          <w:r w:rsidR="00DA1C8E">
            <w:t xml:space="preserve"> 2025</w:t>
          </w:r>
        </w:p>
        <w:p w14:paraId="428A3F09" w14:textId="7A11FE32" w:rsidR="00A3423C" w:rsidRDefault="005E2443" w:rsidP="005E2443">
          <w:pPr>
            <w:spacing w:after="160"/>
          </w:pPr>
          <w:r>
            <w:br w:type="page"/>
          </w:r>
        </w:p>
      </w:sdtContent>
    </w:sdt>
    <w:bookmarkStart w:id="3" w:name="_Toc197682337" w:displacedByCustomXml="next"/>
    <w:sdt>
      <w:sdtPr>
        <w:rPr>
          <w:rFonts w:asciiTheme="minorHAnsi" w:eastAsiaTheme="minorEastAsia" w:hAnsiTheme="minorHAnsi" w:cs="Times New Roman"/>
          <w:b w:val="0"/>
          <w:color w:val="auto"/>
          <w:sz w:val="24"/>
          <w:szCs w:val="24"/>
        </w:rPr>
        <w:id w:val="-1487159983"/>
        <w:docPartObj>
          <w:docPartGallery w:val="Table of Contents"/>
          <w:docPartUnique/>
        </w:docPartObj>
      </w:sdtPr>
      <w:sdtEndPr>
        <w:rPr>
          <w:noProof/>
        </w:rPr>
      </w:sdtEndPr>
      <w:sdtContent>
        <w:p w14:paraId="43F3326E" w14:textId="149B9A60" w:rsidR="00216160" w:rsidRDefault="00216160" w:rsidP="00350712">
          <w:pPr>
            <w:pStyle w:val="Heading1"/>
          </w:pPr>
          <w:r>
            <w:t>Contents</w:t>
          </w:r>
          <w:bookmarkEnd w:id="3"/>
        </w:p>
        <w:p w14:paraId="197272FF" w14:textId="22497B23" w:rsidR="00554ACC" w:rsidRDefault="00216160">
          <w:pPr>
            <w:pStyle w:val="TOC1"/>
            <w:rPr>
              <w:rFonts w:eastAsiaTheme="minorEastAsia" w:cstheme="minorBidi"/>
              <w:kern w:val="2"/>
              <w:lang w:eastAsia="en-AU"/>
              <w14:ligatures w14:val="standardContextual"/>
            </w:rPr>
          </w:pPr>
          <w:r>
            <w:rPr>
              <w:noProof w:val="0"/>
            </w:rPr>
            <w:fldChar w:fldCharType="begin"/>
          </w:r>
          <w:r>
            <w:instrText xml:space="preserve"> TOC \o "1-3" \h \z \u </w:instrText>
          </w:r>
          <w:r>
            <w:rPr>
              <w:noProof w:val="0"/>
            </w:rPr>
            <w:fldChar w:fldCharType="separate"/>
          </w:r>
          <w:hyperlink w:anchor="_Toc197682337" w:history="1">
            <w:r w:rsidR="00554ACC" w:rsidRPr="00F977B2">
              <w:rPr>
                <w:rStyle w:val="Hyperlink"/>
              </w:rPr>
              <w:t>Contents</w:t>
            </w:r>
            <w:r w:rsidR="00554ACC">
              <w:rPr>
                <w:webHidden/>
              </w:rPr>
              <w:tab/>
            </w:r>
            <w:r w:rsidR="00554ACC">
              <w:rPr>
                <w:webHidden/>
              </w:rPr>
              <w:fldChar w:fldCharType="begin"/>
            </w:r>
            <w:r w:rsidR="00554ACC">
              <w:rPr>
                <w:webHidden/>
              </w:rPr>
              <w:instrText xml:space="preserve"> PAGEREF _Toc197682337 \h </w:instrText>
            </w:r>
            <w:r w:rsidR="00554ACC">
              <w:rPr>
                <w:webHidden/>
              </w:rPr>
            </w:r>
            <w:r w:rsidR="00554ACC">
              <w:rPr>
                <w:webHidden/>
              </w:rPr>
              <w:fldChar w:fldCharType="separate"/>
            </w:r>
            <w:r w:rsidR="0098319E">
              <w:rPr>
                <w:webHidden/>
              </w:rPr>
              <w:t>i</w:t>
            </w:r>
            <w:r w:rsidR="00554ACC">
              <w:rPr>
                <w:webHidden/>
              </w:rPr>
              <w:fldChar w:fldCharType="end"/>
            </w:r>
          </w:hyperlink>
        </w:p>
        <w:p w14:paraId="56B25B74" w14:textId="1B5DF4A6" w:rsidR="00554ACC" w:rsidRDefault="00554ACC">
          <w:pPr>
            <w:pStyle w:val="TOC1"/>
            <w:rPr>
              <w:rFonts w:eastAsiaTheme="minorEastAsia" w:cstheme="minorBidi"/>
              <w:kern w:val="2"/>
              <w:lang w:eastAsia="en-AU"/>
              <w14:ligatures w14:val="standardContextual"/>
            </w:rPr>
          </w:pPr>
          <w:hyperlink w:anchor="_Toc197682338" w:history="1">
            <w:r w:rsidRPr="00F977B2">
              <w:rPr>
                <w:rStyle w:val="Hyperlink"/>
              </w:rPr>
              <w:t>Disclaimer</w:t>
            </w:r>
            <w:r>
              <w:rPr>
                <w:webHidden/>
              </w:rPr>
              <w:tab/>
            </w:r>
            <w:r>
              <w:rPr>
                <w:webHidden/>
              </w:rPr>
              <w:fldChar w:fldCharType="begin"/>
            </w:r>
            <w:r>
              <w:rPr>
                <w:webHidden/>
              </w:rPr>
              <w:instrText xml:space="preserve"> PAGEREF _Toc197682338 \h </w:instrText>
            </w:r>
            <w:r>
              <w:rPr>
                <w:webHidden/>
              </w:rPr>
            </w:r>
            <w:r>
              <w:rPr>
                <w:webHidden/>
              </w:rPr>
              <w:fldChar w:fldCharType="separate"/>
            </w:r>
            <w:r w:rsidR="0098319E">
              <w:rPr>
                <w:webHidden/>
              </w:rPr>
              <w:t>iii</w:t>
            </w:r>
            <w:r>
              <w:rPr>
                <w:webHidden/>
              </w:rPr>
              <w:fldChar w:fldCharType="end"/>
            </w:r>
          </w:hyperlink>
        </w:p>
        <w:p w14:paraId="136B6189" w14:textId="75239BF1" w:rsidR="00554ACC" w:rsidRDefault="00554ACC">
          <w:pPr>
            <w:pStyle w:val="TOC1"/>
            <w:rPr>
              <w:rFonts w:eastAsiaTheme="minorEastAsia" w:cstheme="minorBidi"/>
              <w:kern w:val="2"/>
              <w:lang w:eastAsia="en-AU"/>
              <w14:ligatures w14:val="standardContextual"/>
            </w:rPr>
          </w:pPr>
          <w:hyperlink w:anchor="_Toc197682339" w:history="1">
            <w:r w:rsidRPr="00F977B2">
              <w:rPr>
                <w:rStyle w:val="Hyperlink"/>
              </w:rPr>
              <w:t>Part A: WIP – Overview</w:t>
            </w:r>
            <w:r>
              <w:rPr>
                <w:webHidden/>
              </w:rPr>
              <w:tab/>
            </w:r>
            <w:r>
              <w:rPr>
                <w:webHidden/>
              </w:rPr>
              <w:fldChar w:fldCharType="begin"/>
            </w:r>
            <w:r>
              <w:rPr>
                <w:webHidden/>
              </w:rPr>
              <w:instrText xml:space="preserve"> PAGEREF _Toc197682339 \h </w:instrText>
            </w:r>
            <w:r>
              <w:rPr>
                <w:webHidden/>
              </w:rPr>
            </w:r>
            <w:r>
              <w:rPr>
                <w:webHidden/>
              </w:rPr>
              <w:fldChar w:fldCharType="separate"/>
            </w:r>
            <w:r w:rsidR="0098319E">
              <w:rPr>
                <w:webHidden/>
              </w:rPr>
              <w:t>3</w:t>
            </w:r>
            <w:r>
              <w:rPr>
                <w:webHidden/>
              </w:rPr>
              <w:fldChar w:fldCharType="end"/>
            </w:r>
          </w:hyperlink>
        </w:p>
        <w:p w14:paraId="198989EE" w14:textId="2B7F9336" w:rsidR="00554ACC" w:rsidRDefault="00554ACC">
          <w:pPr>
            <w:pStyle w:val="TOC1"/>
            <w:tabs>
              <w:tab w:val="left" w:pos="480"/>
            </w:tabs>
            <w:rPr>
              <w:rFonts w:eastAsiaTheme="minorEastAsia" w:cstheme="minorBidi"/>
              <w:kern w:val="2"/>
              <w:lang w:eastAsia="en-AU"/>
              <w14:ligatures w14:val="standardContextual"/>
            </w:rPr>
          </w:pPr>
          <w:hyperlink w:anchor="_Toc197682340" w:history="1">
            <w:r w:rsidRPr="00F977B2">
              <w:rPr>
                <w:rStyle w:val="Hyperlink"/>
              </w:rPr>
              <w:t>1.</w:t>
            </w:r>
            <w:r>
              <w:rPr>
                <w:rFonts w:eastAsiaTheme="minorEastAsia" w:cstheme="minorBidi"/>
                <w:kern w:val="2"/>
                <w:lang w:eastAsia="en-AU"/>
                <w14:ligatures w14:val="standardContextual"/>
              </w:rPr>
              <w:tab/>
            </w:r>
            <w:r w:rsidRPr="00F977B2">
              <w:rPr>
                <w:rStyle w:val="Hyperlink"/>
              </w:rPr>
              <w:t>WIP - Practice Stream Guidelines</w:t>
            </w:r>
            <w:r>
              <w:rPr>
                <w:webHidden/>
              </w:rPr>
              <w:tab/>
            </w:r>
            <w:r>
              <w:rPr>
                <w:webHidden/>
              </w:rPr>
              <w:fldChar w:fldCharType="begin"/>
            </w:r>
            <w:r>
              <w:rPr>
                <w:webHidden/>
              </w:rPr>
              <w:instrText xml:space="preserve"> PAGEREF _Toc197682340 \h </w:instrText>
            </w:r>
            <w:r>
              <w:rPr>
                <w:webHidden/>
              </w:rPr>
            </w:r>
            <w:r>
              <w:rPr>
                <w:webHidden/>
              </w:rPr>
              <w:fldChar w:fldCharType="separate"/>
            </w:r>
            <w:r w:rsidR="0098319E">
              <w:rPr>
                <w:webHidden/>
              </w:rPr>
              <w:t>3</w:t>
            </w:r>
            <w:r>
              <w:rPr>
                <w:webHidden/>
              </w:rPr>
              <w:fldChar w:fldCharType="end"/>
            </w:r>
          </w:hyperlink>
        </w:p>
        <w:p w14:paraId="4C7D3C0A" w14:textId="0CBF056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41" w:history="1">
            <w:r w:rsidRPr="00F977B2">
              <w:rPr>
                <w:rStyle w:val="Hyperlink"/>
                <w:noProof/>
              </w:rPr>
              <w:t>Legislative and Legal Authority</w:t>
            </w:r>
            <w:r>
              <w:rPr>
                <w:noProof/>
                <w:webHidden/>
              </w:rPr>
              <w:tab/>
            </w:r>
            <w:r>
              <w:rPr>
                <w:noProof/>
                <w:webHidden/>
              </w:rPr>
              <w:fldChar w:fldCharType="begin"/>
            </w:r>
            <w:r>
              <w:rPr>
                <w:noProof/>
                <w:webHidden/>
              </w:rPr>
              <w:instrText xml:space="preserve"> PAGEREF _Toc197682341 \h </w:instrText>
            </w:r>
            <w:r>
              <w:rPr>
                <w:noProof/>
                <w:webHidden/>
              </w:rPr>
            </w:r>
            <w:r>
              <w:rPr>
                <w:noProof/>
                <w:webHidden/>
              </w:rPr>
              <w:fldChar w:fldCharType="separate"/>
            </w:r>
            <w:r w:rsidR="0098319E">
              <w:rPr>
                <w:noProof/>
                <w:webHidden/>
              </w:rPr>
              <w:t>3</w:t>
            </w:r>
            <w:r>
              <w:rPr>
                <w:noProof/>
                <w:webHidden/>
              </w:rPr>
              <w:fldChar w:fldCharType="end"/>
            </w:r>
          </w:hyperlink>
        </w:p>
        <w:p w14:paraId="7B751788" w14:textId="56E84D97" w:rsidR="00554ACC" w:rsidRDefault="00554ACC">
          <w:pPr>
            <w:pStyle w:val="TOC1"/>
            <w:tabs>
              <w:tab w:val="left" w:pos="480"/>
            </w:tabs>
            <w:rPr>
              <w:rFonts w:eastAsiaTheme="minorEastAsia" w:cstheme="minorBidi"/>
              <w:kern w:val="2"/>
              <w:lang w:eastAsia="en-AU"/>
              <w14:ligatures w14:val="standardContextual"/>
            </w:rPr>
          </w:pPr>
          <w:hyperlink w:anchor="_Toc197682342" w:history="1">
            <w:r w:rsidRPr="00F977B2">
              <w:rPr>
                <w:rStyle w:val="Hyperlink"/>
              </w:rPr>
              <w:t>2.</w:t>
            </w:r>
            <w:r>
              <w:rPr>
                <w:rFonts w:eastAsiaTheme="minorEastAsia" w:cstheme="minorBidi"/>
                <w:kern w:val="2"/>
                <w:lang w:eastAsia="en-AU"/>
                <w14:ligatures w14:val="standardContextual"/>
              </w:rPr>
              <w:tab/>
            </w:r>
            <w:r w:rsidRPr="00F977B2">
              <w:rPr>
                <w:rStyle w:val="Hyperlink"/>
              </w:rPr>
              <w:t>WIP policy overview</w:t>
            </w:r>
            <w:r>
              <w:rPr>
                <w:webHidden/>
              </w:rPr>
              <w:tab/>
            </w:r>
            <w:r>
              <w:rPr>
                <w:webHidden/>
              </w:rPr>
              <w:fldChar w:fldCharType="begin"/>
            </w:r>
            <w:r>
              <w:rPr>
                <w:webHidden/>
              </w:rPr>
              <w:instrText xml:space="preserve"> PAGEREF _Toc197682342 \h </w:instrText>
            </w:r>
            <w:r>
              <w:rPr>
                <w:webHidden/>
              </w:rPr>
            </w:r>
            <w:r>
              <w:rPr>
                <w:webHidden/>
              </w:rPr>
              <w:fldChar w:fldCharType="separate"/>
            </w:r>
            <w:r w:rsidR="0098319E">
              <w:rPr>
                <w:webHidden/>
              </w:rPr>
              <w:t>2</w:t>
            </w:r>
            <w:r>
              <w:rPr>
                <w:webHidden/>
              </w:rPr>
              <w:fldChar w:fldCharType="end"/>
            </w:r>
          </w:hyperlink>
        </w:p>
        <w:p w14:paraId="5614BCAF" w14:textId="6B4D465E" w:rsidR="00554ACC" w:rsidRDefault="00554ACC">
          <w:pPr>
            <w:pStyle w:val="TOC1"/>
            <w:rPr>
              <w:rFonts w:eastAsiaTheme="minorEastAsia" w:cstheme="minorBidi"/>
              <w:kern w:val="2"/>
              <w:lang w:eastAsia="en-AU"/>
              <w14:ligatures w14:val="standardContextual"/>
            </w:rPr>
          </w:pPr>
          <w:hyperlink w:anchor="_Toc197682343" w:history="1">
            <w:r w:rsidRPr="00F977B2">
              <w:rPr>
                <w:rStyle w:val="Hyperlink"/>
              </w:rPr>
              <w:t>Part B: Workforce Incentive Program – Practice Stream</w:t>
            </w:r>
            <w:r>
              <w:rPr>
                <w:webHidden/>
              </w:rPr>
              <w:tab/>
            </w:r>
            <w:r>
              <w:rPr>
                <w:webHidden/>
              </w:rPr>
              <w:fldChar w:fldCharType="begin"/>
            </w:r>
            <w:r>
              <w:rPr>
                <w:webHidden/>
              </w:rPr>
              <w:instrText xml:space="preserve"> PAGEREF _Toc197682343 \h </w:instrText>
            </w:r>
            <w:r>
              <w:rPr>
                <w:webHidden/>
              </w:rPr>
            </w:r>
            <w:r>
              <w:rPr>
                <w:webHidden/>
              </w:rPr>
              <w:fldChar w:fldCharType="separate"/>
            </w:r>
            <w:r w:rsidR="0098319E">
              <w:rPr>
                <w:webHidden/>
              </w:rPr>
              <w:t>2</w:t>
            </w:r>
            <w:r>
              <w:rPr>
                <w:webHidden/>
              </w:rPr>
              <w:fldChar w:fldCharType="end"/>
            </w:r>
          </w:hyperlink>
        </w:p>
        <w:p w14:paraId="74975E36" w14:textId="7EAF0C87" w:rsidR="00554ACC" w:rsidRDefault="00554ACC">
          <w:pPr>
            <w:pStyle w:val="TOC1"/>
            <w:tabs>
              <w:tab w:val="left" w:pos="480"/>
            </w:tabs>
            <w:rPr>
              <w:rFonts w:eastAsiaTheme="minorEastAsia" w:cstheme="minorBidi"/>
              <w:kern w:val="2"/>
              <w:lang w:eastAsia="en-AU"/>
              <w14:ligatures w14:val="standardContextual"/>
            </w:rPr>
          </w:pPr>
          <w:hyperlink w:anchor="_Toc197682344" w:history="1">
            <w:r w:rsidRPr="00F977B2">
              <w:rPr>
                <w:rStyle w:val="Hyperlink"/>
              </w:rPr>
              <w:t>1.</w:t>
            </w:r>
            <w:r>
              <w:rPr>
                <w:rFonts w:eastAsiaTheme="minorEastAsia" w:cstheme="minorBidi"/>
                <w:kern w:val="2"/>
                <w:lang w:eastAsia="en-AU"/>
                <w14:ligatures w14:val="standardContextual"/>
              </w:rPr>
              <w:tab/>
            </w:r>
            <w:r w:rsidRPr="00F977B2">
              <w:rPr>
                <w:rStyle w:val="Hyperlink"/>
              </w:rPr>
              <w:t>Eligibility</w:t>
            </w:r>
            <w:r>
              <w:rPr>
                <w:webHidden/>
              </w:rPr>
              <w:tab/>
            </w:r>
            <w:r>
              <w:rPr>
                <w:webHidden/>
              </w:rPr>
              <w:fldChar w:fldCharType="begin"/>
            </w:r>
            <w:r>
              <w:rPr>
                <w:webHidden/>
              </w:rPr>
              <w:instrText xml:space="preserve"> PAGEREF _Toc197682344 \h </w:instrText>
            </w:r>
            <w:r>
              <w:rPr>
                <w:webHidden/>
              </w:rPr>
            </w:r>
            <w:r>
              <w:rPr>
                <w:webHidden/>
              </w:rPr>
              <w:fldChar w:fldCharType="separate"/>
            </w:r>
            <w:r w:rsidR="0098319E">
              <w:rPr>
                <w:webHidden/>
              </w:rPr>
              <w:t>2</w:t>
            </w:r>
            <w:r>
              <w:rPr>
                <w:webHidden/>
              </w:rPr>
              <w:fldChar w:fldCharType="end"/>
            </w:r>
          </w:hyperlink>
        </w:p>
        <w:p w14:paraId="6E06393F" w14:textId="099F1B70"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5" w:history="1">
            <w:r w:rsidRPr="00F977B2">
              <w:rPr>
                <w:rStyle w:val="Hyperlink"/>
                <w:noProof/>
              </w:rPr>
              <w:t>1.1</w:t>
            </w:r>
            <w:r>
              <w:rPr>
                <w:rFonts w:eastAsiaTheme="minorEastAsia" w:cstheme="minorBidi"/>
                <w:noProof/>
                <w:kern w:val="2"/>
                <w:lang w:eastAsia="en-AU"/>
                <w14:ligatures w14:val="standardContextual"/>
              </w:rPr>
              <w:tab/>
            </w:r>
            <w:r w:rsidRPr="00F977B2">
              <w:rPr>
                <w:rStyle w:val="Hyperlink"/>
                <w:noProof/>
              </w:rPr>
              <w:t>Eligible health professionals</w:t>
            </w:r>
            <w:r>
              <w:rPr>
                <w:noProof/>
                <w:webHidden/>
              </w:rPr>
              <w:tab/>
            </w:r>
            <w:r>
              <w:rPr>
                <w:noProof/>
                <w:webHidden/>
              </w:rPr>
              <w:fldChar w:fldCharType="begin"/>
            </w:r>
            <w:r>
              <w:rPr>
                <w:noProof/>
                <w:webHidden/>
              </w:rPr>
              <w:instrText xml:space="preserve"> PAGEREF _Toc197682345 \h </w:instrText>
            </w:r>
            <w:r>
              <w:rPr>
                <w:noProof/>
                <w:webHidden/>
              </w:rPr>
            </w:r>
            <w:r>
              <w:rPr>
                <w:noProof/>
                <w:webHidden/>
              </w:rPr>
              <w:fldChar w:fldCharType="separate"/>
            </w:r>
            <w:r w:rsidR="0098319E">
              <w:rPr>
                <w:noProof/>
                <w:webHidden/>
              </w:rPr>
              <w:t>2</w:t>
            </w:r>
            <w:r>
              <w:rPr>
                <w:noProof/>
                <w:webHidden/>
              </w:rPr>
              <w:fldChar w:fldCharType="end"/>
            </w:r>
          </w:hyperlink>
        </w:p>
        <w:p w14:paraId="7FCF1AFF" w14:textId="7DEA08FD"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46" w:history="1">
            <w:r w:rsidRPr="00F977B2">
              <w:rPr>
                <w:rStyle w:val="Hyperlink"/>
                <w:noProof/>
              </w:rPr>
              <w:t>1.1.1</w:t>
            </w:r>
            <w:r>
              <w:rPr>
                <w:rFonts w:eastAsiaTheme="minorEastAsia" w:cstheme="minorBidi"/>
                <w:noProof/>
                <w:kern w:val="2"/>
                <w:lang w:eastAsia="en-AU"/>
                <w14:ligatures w14:val="standardContextual"/>
              </w:rPr>
              <w:tab/>
            </w:r>
            <w:r w:rsidRPr="00F977B2">
              <w:rPr>
                <w:rStyle w:val="Hyperlink"/>
                <w:noProof/>
              </w:rPr>
              <w:t>Enrolled nurses - additional requirements</w:t>
            </w:r>
            <w:r>
              <w:rPr>
                <w:noProof/>
                <w:webHidden/>
              </w:rPr>
              <w:tab/>
            </w:r>
            <w:r>
              <w:rPr>
                <w:noProof/>
                <w:webHidden/>
              </w:rPr>
              <w:fldChar w:fldCharType="begin"/>
            </w:r>
            <w:r>
              <w:rPr>
                <w:noProof/>
                <w:webHidden/>
              </w:rPr>
              <w:instrText xml:space="preserve"> PAGEREF _Toc197682346 \h </w:instrText>
            </w:r>
            <w:r>
              <w:rPr>
                <w:noProof/>
                <w:webHidden/>
              </w:rPr>
            </w:r>
            <w:r>
              <w:rPr>
                <w:noProof/>
                <w:webHidden/>
              </w:rPr>
              <w:fldChar w:fldCharType="separate"/>
            </w:r>
            <w:r w:rsidR="0098319E">
              <w:rPr>
                <w:noProof/>
                <w:webHidden/>
              </w:rPr>
              <w:t>4</w:t>
            </w:r>
            <w:r>
              <w:rPr>
                <w:noProof/>
                <w:webHidden/>
              </w:rPr>
              <w:fldChar w:fldCharType="end"/>
            </w:r>
          </w:hyperlink>
        </w:p>
        <w:p w14:paraId="474BA53E" w14:textId="2705DEF1"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47" w:history="1">
            <w:r w:rsidRPr="00F977B2">
              <w:rPr>
                <w:rStyle w:val="Hyperlink"/>
                <w:noProof/>
              </w:rPr>
              <w:t>1.1.2</w:t>
            </w:r>
            <w:r>
              <w:rPr>
                <w:rFonts w:eastAsiaTheme="minorEastAsia" w:cstheme="minorBidi"/>
                <w:noProof/>
                <w:kern w:val="2"/>
                <w:lang w:eastAsia="en-AU"/>
                <w14:ligatures w14:val="standardContextual"/>
              </w:rPr>
              <w:tab/>
            </w:r>
            <w:r w:rsidRPr="00F977B2">
              <w:rPr>
                <w:rStyle w:val="Hyperlink"/>
                <w:noProof/>
              </w:rPr>
              <w:t>Pharmacists - additional requirements</w:t>
            </w:r>
            <w:r>
              <w:rPr>
                <w:noProof/>
                <w:webHidden/>
              </w:rPr>
              <w:tab/>
            </w:r>
            <w:r>
              <w:rPr>
                <w:noProof/>
                <w:webHidden/>
              </w:rPr>
              <w:fldChar w:fldCharType="begin"/>
            </w:r>
            <w:r>
              <w:rPr>
                <w:noProof/>
                <w:webHidden/>
              </w:rPr>
              <w:instrText xml:space="preserve"> PAGEREF _Toc197682347 \h </w:instrText>
            </w:r>
            <w:r>
              <w:rPr>
                <w:noProof/>
                <w:webHidden/>
              </w:rPr>
            </w:r>
            <w:r>
              <w:rPr>
                <w:noProof/>
                <w:webHidden/>
              </w:rPr>
              <w:fldChar w:fldCharType="separate"/>
            </w:r>
            <w:r w:rsidR="0098319E">
              <w:rPr>
                <w:noProof/>
                <w:webHidden/>
              </w:rPr>
              <w:t>4</w:t>
            </w:r>
            <w:r>
              <w:rPr>
                <w:noProof/>
                <w:webHidden/>
              </w:rPr>
              <w:fldChar w:fldCharType="end"/>
            </w:r>
          </w:hyperlink>
        </w:p>
        <w:p w14:paraId="3C0F180F" w14:textId="5A83FD56"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8" w:history="1">
            <w:r w:rsidRPr="00F977B2">
              <w:rPr>
                <w:rStyle w:val="Hyperlink"/>
                <w:noProof/>
              </w:rPr>
              <w:t>1.2</w:t>
            </w:r>
            <w:r>
              <w:rPr>
                <w:rFonts w:eastAsiaTheme="minorEastAsia" w:cstheme="minorBidi"/>
                <w:noProof/>
                <w:kern w:val="2"/>
                <w:lang w:eastAsia="en-AU"/>
                <w14:ligatures w14:val="standardContextual"/>
              </w:rPr>
              <w:tab/>
            </w:r>
            <w:r w:rsidRPr="00F977B2">
              <w:rPr>
                <w:rStyle w:val="Hyperlink"/>
                <w:noProof/>
              </w:rPr>
              <w:t>Determining how to engage an eligible health professional</w:t>
            </w:r>
            <w:r>
              <w:rPr>
                <w:noProof/>
                <w:webHidden/>
              </w:rPr>
              <w:tab/>
            </w:r>
            <w:r>
              <w:rPr>
                <w:noProof/>
                <w:webHidden/>
              </w:rPr>
              <w:fldChar w:fldCharType="begin"/>
            </w:r>
            <w:r>
              <w:rPr>
                <w:noProof/>
                <w:webHidden/>
              </w:rPr>
              <w:instrText xml:space="preserve"> PAGEREF _Toc197682348 \h </w:instrText>
            </w:r>
            <w:r>
              <w:rPr>
                <w:noProof/>
                <w:webHidden/>
              </w:rPr>
            </w:r>
            <w:r>
              <w:rPr>
                <w:noProof/>
                <w:webHidden/>
              </w:rPr>
              <w:fldChar w:fldCharType="separate"/>
            </w:r>
            <w:r w:rsidR="0098319E">
              <w:rPr>
                <w:noProof/>
                <w:webHidden/>
              </w:rPr>
              <w:t>4</w:t>
            </w:r>
            <w:r>
              <w:rPr>
                <w:noProof/>
                <w:webHidden/>
              </w:rPr>
              <w:fldChar w:fldCharType="end"/>
            </w:r>
          </w:hyperlink>
        </w:p>
        <w:p w14:paraId="2A1ADDCE" w14:textId="0D55149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49" w:history="1">
            <w:r w:rsidRPr="00F977B2">
              <w:rPr>
                <w:rStyle w:val="Hyperlink"/>
                <w:noProof/>
              </w:rPr>
              <w:t>1.3</w:t>
            </w:r>
            <w:r>
              <w:rPr>
                <w:rFonts w:eastAsiaTheme="minorEastAsia" w:cstheme="minorBidi"/>
                <w:noProof/>
                <w:kern w:val="2"/>
                <w:lang w:eastAsia="en-AU"/>
                <w14:ligatures w14:val="standardContextual"/>
              </w:rPr>
              <w:tab/>
            </w:r>
            <w:r w:rsidRPr="00F977B2">
              <w:rPr>
                <w:rStyle w:val="Hyperlink"/>
                <w:noProof/>
              </w:rPr>
              <w:t>Eligible general practices</w:t>
            </w:r>
            <w:r>
              <w:rPr>
                <w:noProof/>
                <w:webHidden/>
              </w:rPr>
              <w:tab/>
            </w:r>
            <w:r>
              <w:rPr>
                <w:noProof/>
                <w:webHidden/>
              </w:rPr>
              <w:fldChar w:fldCharType="begin"/>
            </w:r>
            <w:r>
              <w:rPr>
                <w:noProof/>
                <w:webHidden/>
              </w:rPr>
              <w:instrText xml:space="preserve"> PAGEREF _Toc197682349 \h </w:instrText>
            </w:r>
            <w:r>
              <w:rPr>
                <w:noProof/>
                <w:webHidden/>
              </w:rPr>
            </w:r>
            <w:r>
              <w:rPr>
                <w:noProof/>
                <w:webHidden/>
              </w:rPr>
              <w:fldChar w:fldCharType="separate"/>
            </w:r>
            <w:r w:rsidR="0098319E">
              <w:rPr>
                <w:noProof/>
                <w:webHidden/>
              </w:rPr>
              <w:t>5</w:t>
            </w:r>
            <w:r>
              <w:rPr>
                <w:noProof/>
                <w:webHidden/>
              </w:rPr>
              <w:fldChar w:fldCharType="end"/>
            </w:r>
          </w:hyperlink>
        </w:p>
        <w:p w14:paraId="63BBDFF5" w14:textId="17B64C2C"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0" w:history="1">
            <w:r w:rsidRPr="00F977B2">
              <w:rPr>
                <w:rStyle w:val="Hyperlink"/>
                <w:noProof/>
              </w:rPr>
              <w:t>1.3.1</w:t>
            </w:r>
            <w:r>
              <w:rPr>
                <w:rFonts w:eastAsiaTheme="minorEastAsia" w:cstheme="minorBidi"/>
                <w:noProof/>
                <w:kern w:val="2"/>
                <w:lang w:eastAsia="en-AU"/>
                <w14:ligatures w14:val="standardContextual"/>
              </w:rPr>
              <w:tab/>
            </w:r>
            <w:r w:rsidRPr="00F977B2">
              <w:rPr>
                <w:rStyle w:val="Hyperlink"/>
                <w:noProof/>
              </w:rPr>
              <w:t>Practices with multiple locations</w:t>
            </w:r>
            <w:r>
              <w:rPr>
                <w:noProof/>
                <w:webHidden/>
              </w:rPr>
              <w:tab/>
            </w:r>
            <w:r>
              <w:rPr>
                <w:noProof/>
                <w:webHidden/>
              </w:rPr>
              <w:fldChar w:fldCharType="begin"/>
            </w:r>
            <w:r>
              <w:rPr>
                <w:noProof/>
                <w:webHidden/>
              </w:rPr>
              <w:instrText xml:space="preserve"> PAGEREF _Toc197682350 \h </w:instrText>
            </w:r>
            <w:r>
              <w:rPr>
                <w:noProof/>
                <w:webHidden/>
              </w:rPr>
            </w:r>
            <w:r>
              <w:rPr>
                <w:noProof/>
                <w:webHidden/>
              </w:rPr>
              <w:fldChar w:fldCharType="separate"/>
            </w:r>
            <w:r w:rsidR="0098319E">
              <w:rPr>
                <w:noProof/>
                <w:webHidden/>
              </w:rPr>
              <w:t>6</w:t>
            </w:r>
            <w:r>
              <w:rPr>
                <w:noProof/>
                <w:webHidden/>
              </w:rPr>
              <w:fldChar w:fldCharType="end"/>
            </w:r>
          </w:hyperlink>
        </w:p>
        <w:p w14:paraId="398B95B8" w14:textId="354CD961"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1" w:history="1">
            <w:r w:rsidRPr="00F977B2">
              <w:rPr>
                <w:rStyle w:val="Hyperlink"/>
                <w:noProof/>
              </w:rPr>
              <w:t>1.4</w:t>
            </w:r>
            <w:r>
              <w:rPr>
                <w:rFonts w:eastAsiaTheme="minorEastAsia" w:cstheme="minorBidi"/>
                <w:noProof/>
                <w:kern w:val="2"/>
                <w:lang w:eastAsia="en-AU"/>
                <w14:ligatures w14:val="standardContextual"/>
              </w:rPr>
              <w:tab/>
            </w:r>
            <w:r w:rsidRPr="00F977B2">
              <w:rPr>
                <w:rStyle w:val="Hyperlink"/>
                <w:noProof/>
              </w:rPr>
              <w:t>Accreditation requirements</w:t>
            </w:r>
            <w:r>
              <w:rPr>
                <w:noProof/>
                <w:webHidden/>
              </w:rPr>
              <w:tab/>
            </w:r>
            <w:r>
              <w:rPr>
                <w:noProof/>
                <w:webHidden/>
              </w:rPr>
              <w:fldChar w:fldCharType="begin"/>
            </w:r>
            <w:r>
              <w:rPr>
                <w:noProof/>
                <w:webHidden/>
              </w:rPr>
              <w:instrText xml:space="preserve"> PAGEREF _Toc197682351 \h </w:instrText>
            </w:r>
            <w:r>
              <w:rPr>
                <w:noProof/>
                <w:webHidden/>
              </w:rPr>
            </w:r>
            <w:r>
              <w:rPr>
                <w:noProof/>
                <w:webHidden/>
              </w:rPr>
              <w:fldChar w:fldCharType="separate"/>
            </w:r>
            <w:r w:rsidR="0098319E">
              <w:rPr>
                <w:noProof/>
                <w:webHidden/>
              </w:rPr>
              <w:t>6</w:t>
            </w:r>
            <w:r>
              <w:rPr>
                <w:noProof/>
                <w:webHidden/>
              </w:rPr>
              <w:fldChar w:fldCharType="end"/>
            </w:r>
          </w:hyperlink>
        </w:p>
        <w:p w14:paraId="3AFB73E8" w14:textId="7E466B35"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2" w:history="1">
            <w:r w:rsidRPr="00F977B2">
              <w:rPr>
                <w:rStyle w:val="Hyperlink"/>
                <w:noProof/>
              </w:rPr>
              <w:t>1.4.1</w:t>
            </w:r>
            <w:r>
              <w:rPr>
                <w:rFonts w:eastAsiaTheme="minorEastAsia" w:cstheme="minorBidi"/>
                <w:noProof/>
                <w:kern w:val="2"/>
                <w:lang w:eastAsia="en-AU"/>
                <w14:ligatures w14:val="standardContextual"/>
              </w:rPr>
              <w:tab/>
            </w:r>
            <w:r w:rsidRPr="00F977B2">
              <w:rPr>
                <w:rStyle w:val="Hyperlink"/>
                <w:noProof/>
              </w:rPr>
              <w:t>Accreditation requirements – practice branches</w:t>
            </w:r>
            <w:r>
              <w:rPr>
                <w:noProof/>
                <w:webHidden/>
              </w:rPr>
              <w:tab/>
            </w:r>
            <w:r>
              <w:rPr>
                <w:noProof/>
                <w:webHidden/>
              </w:rPr>
              <w:fldChar w:fldCharType="begin"/>
            </w:r>
            <w:r>
              <w:rPr>
                <w:noProof/>
                <w:webHidden/>
              </w:rPr>
              <w:instrText xml:space="preserve"> PAGEREF _Toc197682352 \h </w:instrText>
            </w:r>
            <w:r>
              <w:rPr>
                <w:noProof/>
                <w:webHidden/>
              </w:rPr>
            </w:r>
            <w:r>
              <w:rPr>
                <w:noProof/>
                <w:webHidden/>
              </w:rPr>
              <w:fldChar w:fldCharType="separate"/>
            </w:r>
            <w:r w:rsidR="0098319E">
              <w:rPr>
                <w:noProof/>
                <w:webHidden/>
              </w:rPr>
              <w:t>7</w:t>
            </w:r>
            <w:r>
              <w:rPr>
                <w:noProof/>
                <w:webHidden/>
              </w:rPr>
              <w:fldChar w:fldCharType="end"/>
            </w:r>
          </w:hyperlink>
        </w:p>
        <w:p w14:paraId="5B9A70BC" w14:textId="01A6EE43"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53" w:history="1">
            <w:r w:rsidRPr="00F977B2">
              <w:rPr>
                <w:rStyle w:val="Hyperlink"/>
                <w:noProof/>
              </w:rPr>
              <w:t>1.4.2</w:t>
            </w:r>
            <w:r>
              <w:rPr>
                <w:rFonts w:eastAsiaTheme="minorEastAsia" w:cstheme="minorBidi"/>
                <w:noProof/>
                <w:kern w:val="2"/>
                <w:lang w:eastAsia="en-AU"/>
                <w14:ligatures w14:val="standardContextual"/>
              </w:rPr>
              <w:tab/>
            </w:r>
            <w:r w:rsidRPr="00F977B2">
              <w:rPr>
                <w:rStyle w:val="Hyperlink"/>
                <w:noProof/>
              </w:rPr>
              <w:t>Transfer of accreditation</w:t>
            </w:r>
            <w:r>
              <w:rPr>
                <w:noProof/>
                <w:webHidden/>
              </w:rPr>
              <w:tab/>
            </w:r>
            <w:r>
              <w:rPr>
                <w:noProof/>
                <w:webHidden/>
              </w:rPr>
              <w:fldChar w:fldCharType="begin"/>
            </w:r>
            <w:r>
              <w:rPr>
                <w:noProof/>
                <w:webHidden/>
              </w:rPr>
              <w:instrText xml:space="preserve"> PAGEREF _Toc197682353 \h </w:instrText>
            </w:r>
            <w:r>
              <w:rPr>
                <w:noProof/>
                <w:webHidden/>
              </w:rPr>
            </w:r>
            <w:r>
              <w:rPr>
                <w:noProof/>
                <w:webHidden/>
              </w:rPr>
              <w:fldChar w:fldCharType="separate"/>
            </w:r>
            <w:r w:rsidR="0098319E">
              <w:rPr>
                <w:noProof/>
                <w:webHidden/>
              </w:rPr>
              <w:t>8</w:t>
            </w:r>
            <w:r>
              <w:rPr>
                <w:noProof/>
                <w:webHidden/>
              </w:rPr>
              <w:fldChar w:fldCharType="end"/>
            </w:r>
          </w:hyperlink>
        </w:p>
        <w:p w14:paraId="4EE3B3E3" w14:textId="6E0A2D2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4" w:history="1">
            <w:r w:rsidRPr="00F977B2">
              <w:rPr>
                <w:rStyle w:val="Hyperlink"/>
                <w:noProof/>
              </w:rPr>
              <w:t>1.5</w:t>
            </w:r>
            <w:r>
              <w:rPr>
                <w:rFonts w:eastAsiaTheme="minorEastAsia" w:cstheme="minorBidi"/>
                <w:noProof/>
                <w:kern w:val="2"/>
                <w:lang w:eastAsia="en-AU"/>
                <w14:ligatures w14:val="standardContextual"/>
              </w:rPr>
              <w:tab/>
            </w:r>
            <w:r w:rsidRPr="00F977B2">
              <w:rPr>
                <w:rStyle w:val="Hyperlink"/>
                <w:noProof/>
              </w:rPr>
              <w:t>Ineligible services/activities</w:t>
            </w:r>
            <w:r>
              <w:rPr>
                <w:noProof/>
                <w:webHidden/>
              </w:rPr>
              <w:tab/>
            </w:r>
            <w:r>
              <w:rPr>
                <w:noProof/>
                <w:webHidden/>
              </w:rPr>
              <w:fldChar w:fldCharType="begin"/>
            </w:r>
            <w:r>
              <w:rPr>
                <w:noProof/>
                <w:webHidden/>
              </w:rPr>
              <w:instrText xml:space="preserve"> PAGEREF _Toc197682354 \h </w:instrText>
            </w:r>
            <w:r>
              <w:rPr>
                <w:noProof/>
                <w:webHidden/>
              </w:rPr>
            </w:r>
            <w:r>
              <w:rPr>
                <w:noProof/>
                <w:webHidden/>
              </w:rPr>
              <w:fldChar w:fldCharType="separate"/>
            </w:r>
            <w:r w:rsidR="0098319E">
              <w:rPr>
                <w:noProof/>
                <w:webHidden/>
              </w:rPr>
              <w:t>9</w:t>
            </w:r>
            <w:r>
              <w:rPr>
                <w:noProof/>
                <w:webHidden/>
              </w:rPr>
              <w:fldChar w:fldCharType="end"/>
            </w:r>
          </w:hyperlink>
        </w:p>
        <w:p w14:paraId="1078F245" w14:textId="63FBEEC9"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5" w:history="1">
            <w:r w:rsidRPr="00F977B2">
              <w:rPr>
                <w:rStyle w:val="Hyperlink"/>
                <w:noProof/>
              </w:rPr>
              <w:t>1.5.1 Ineligible services</w:t>
            </w:r>
            <w:r>
              <w:rPr>
                <w:noProof/>
                <w:webHidden/>
              </w:rPr>
              <w:tab/>
            </w:r>
            <w:r>
              <w:rPr>
                <w:noProof/>
                <w:webHidden/>
              </w:rPr>
              <w:fldChar w:fldCharType="begin"/>
            </w:r>
            <w:r>
              <w:rPr>
                <w:noProof/>
                <w:webHidden/>
              </w:rPr>
              <w:instrText xml:space="preserve"> PAGEREF _Toc197682355 \h </w:instrText>
            </w:r>
            <w:r>
              <w:rPr>
                <w:noProof/>
                <w:webHidden/>
              </w:rPr>
            </w:r>
            <w:r>
              <w:rPr>
                <w:noProof/>
                <w:webHidden/>
              </w:rPr>
              <w:fldChar w:fldCharType="separate"/>
            </w:r>
            <w:r w:rsidR="0098319E">
              <w:rPr>
                <w:noProof/>
                <w:webHidden/>
              </w:rPr>
              <w:t>9</w:t>
            </w:r>
            <w:r>
              <w:rPr>
                <w:noProof/>
                <w:webHidden/>
              </w:rPr>
              <w:fldChar w:fldCharType="end"/>
            </w:r>
          </w:hyperlink>
        </w:p>
        <w:p w14:paraId="0AF2FCA3" w14:textId="6CBBD87A"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6" w:history="1">
            <w:r w:rsidRPr="00F977B2">
              <w:rPr>
                <w:rStyle w:val="Hyperlink"/>
                <w:noProof/>
              </w:rPr>
              <w:t>1.5.2 Ineligible activities</w:t>
            </w:r>
            <w:r>
              <w:rPr>
                <w:noProof/>
                <w:webHidden/>
              </w:rPr>
              <w:tab/>
            </w:r>
            <w:r>
              <w:rPr>
                <w:noProof/>
                <w:webHidden/>
              </w:rPr>
              <w:fldChar w:fldCharType="begin"/>
            </w:r>
            <w:r>
              <w:rPr>
                <w:noProof/>
                <w:webHidden/>
              </w:rPr>
              <w:instrText xml:space="preserve"> PAGEREF _Toc197682356 \h </w:instrText>
            </w:r>
            <w:r>
              <w:rPr>
                <w:noProof/>
                <w:webHidden/>
              </w:rPr>
            </w:r>
            <w:r>
              <w:rPr>
                <w:noProof/>
                <w:webHidden/>
              </w:rPr>
              <w:fldChar w:fldCharType="separate"/>
            </w:r>
            <w:r w:rsidR="0098319E">
              <w:rPr>
                <w:noProof/>
                <w:webHidden/>
              </w:rPr>
              <w:t>10</w:t>
            </w:r>
            <w:r>
              <w:rPr>
                <w:noProof/>
                <w:webHidden/>
              </w:rPr>
              <w:fldChar w:fldCharType="end"/>
            </w:r>
          </w:hyperlink>
        </w:p>
        <w:p w14:paraId="26D2BC34" w14:textId="5098810C"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57" w:history="1">
            <w:r w:rsidRPr="00F977B2">
              <w:rPr>
                <w:rStyle w:val="Hyperlink"/>
                <w:noProof/>
              </w:rPr>
              <w:t>1.5.3 Medicare Benefits Schedule services</w:t>
            </w:r>
            <w:r>
              <w:rPr>
                <w:noProof/>
                <w:webHidden/>
              </w:rPr>
              <w:tab/>
            </w:r>
            <w:r>
              <w:rPr>
                <w:noProof/>
                <w:webHidden/>
              </w:rPr>
              <w:fldChar w:fldCharType="begin"/>
            </w:r>
            <w:r>
              <w:rPr>
                <w:noProof/>
                <w:webHidden/>
              </w:rPr>
              <w:instrText xml:space="preserve"> PAGEREF _Toc197682357 \h </w:instrText>
            </w:r>
            <w:r>
              <w:rPr>
                <w:noProof/>
                <w:webHidden/>
              </w:rPr>
            </w:r>
            <w:r>
              <w:rPr>
                <w:noProof/>
                <w:webHidden/>
              </w:rPr>
              <w:fldChar w:fldCharType="separate"/>
            </w:r>
            <w:r w:rsidR="0098319E">
              <w:rPr>
                <w:noProof/>
                <w:webHidden/>
              </w:rPr>
              <w:t>10</w:t>
            </w:r>
            <w:r>
              <w:rPr>
                <w:noProof/>
                <w:webHidden/>
              </w:rPr>
              <w:fldChar w:fldCharType="end"/>
            </w:r>
          </w:hyperlink>
        </w:p>
        <w:p w14:paraId="7D8AD933" w14:textId="3D636667" w:rsidR="00554ACC" w:rsidRDefault="00554ACC">
          <w:pPr>
            <w:pStyle w:val="TOC1"/>
            <w:tabs>
              <w:tab w:val="left" w:pos="480"/>
            </w:tabs>
            <w:rPr>
              <w:rFonts w:eastAsiaTheme="minorEastAsia" w:cstheme="minorBidi"/>
              <w:kern w:val="2"/>
              <w:lang w:eastAsia="en-AU"/>
              <w14:ligatures w14:val="standardContextual"/>
            </w:rPr>
          </w:pPr>
          <w:hyperlink w:anchor="_Toc197682358" w:history="1">
            <w:r w:rsidRPr="00F977B2">
              <w:rPr>
                <w:rStyle w:val="Hyperlink"/>
              </w:rPr>
              <w:t>2.</w:t>
            </w:r>
            <w:r>
              <w:rPr>
                <w:rFonts w:eastAsiaTheme="minorEastAsia" w:cstheme="minorBidi"/>
                <w:kern w:val="2"/>
                <w:lang w:eastAsia="en-AU"/>
                <w14:ligatures w14:val="standardContextual"/>
              </w:rPr>
              <w:tab/>
            </w:r>
            <w:r w:rsidRPr="00F977B2">
              <w:rPr>
                <w:rStyle w:val="Hyperlink"/>
              </w:rPr>
              <w:t>Application requirements</w:t>
            </w:r>
            <w:r>
              <w:rPr>
                <w:webHidden/>
              </w:rPr>
              <w:tab/>
            </w:r>
            <w:r>
              <w:rPr>
                <w:webHidden/>
              </w:rPr>
              <w:fldChar w:fldCharType="begin"/>
            </w:r>
            <w:r>
              <w:rPr>
                <w:webHidden/>
              </w:rPr>
              <w:instrText xml:space="preserve"> PAGEREF _Toc197682358 \h </w:instrText>
            </w:r>
            <w:r>
              <w:rPr>
                <w:webHidden/>
              </w:rPr>
            </w:r>
            <w:r>
              <w:rPr>
                <w:webHidden/>
              </w:rPr>
              <w:fldChar w:fldCharType="separate"/>
            </w:r>
            <w:r w:rsidR="0098319E">
              <w:rPr>
                <w:webHidden/>
              </w:rPr>
              <w:t>11</w:t>
            </w:r>
            <w:r>
              <w:rPr>
                <w:webHidden/>
              </w:rPr>
              <w:fldChar w:fldCharType="end"/>
            </w:r>
          </w:hyperlink>
        </w:p>
        <w:p w14:paraId="52BB7037" w14:textId="552DA06D"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59" w:history="1">
            <w:r w:rsidRPr="00F977B2">
              <w:rPr>
                <w:rStyle w:val="Hyperlink"/>
                <w:noProof/>
              </w:rPr>
              <w:t>2.1</w:t>
            </w:r>
            <w:r>
              <w:rPr>
                <w:rFonts w:eastAsiaTheme="minorEastAsia" w:cstheme="minorBidi"/>
                <w:noProof/>
                <w:kern w:val="2"/>
                <w:lang w:eastAsia="en-AU"/>
                <w14:ligatures w14:val="standardContextual"/>
              </w:rPr>
              <w:tab/>
            </w:r>
            <w:r w:rsidRPr="00F977B2">
              <w:rPr>
                <w:rStyle w:val="Hyperlink"/>
                <w:noProof/>
              </w:rPr>
              <w:t>Submitting an application</w:t>
            </w:r>
            <w:r>
              <w:rPr>
                <w:noProof/>
                <w:webHidden/>
              </w:rPr>
              <w:tab/>
            </w:r>
            <w:r>
              <w:rPr>
                <w:noProof/>
                <w:webHidden/>
              </w:rPr>
              <w:fldChar w:fldCharType="begin"/>
            </w:r>
            <w:r>
              <w:rPr>
                <w:noProof/>
                <w:webHidden/>
              </w:rPr>
              <w:instrText xml:space="preserve"> PAGEREF _Toc197682359 \h </w:instrText>
            </w:r>
            <w:r>
              <w:rPr>
                <w:noProof/>
                <w:webHidden/>
              </w:rPr>
            </w:r>
            <w:r>
              <w:rPr>
                <w:noProof/>
                <w:webHidden/>
              </w:rPr>
              <w:fldChar w:fldCharType="separate"/>
            </w:r>
            <w:r w:rsidR="0098319E">
              <w:rPr>
                <w:noProof/>
                <w:webHidden/>
              </w:rPr>
              <w:t>11</w:t>
            </w:r>
            <w:r>
              <w:rPr>
                <w:noProof/>
                <w:webHidden/>
              </w:rPr>
              <w:fldChar w:fldCharType="end"/>
            </w:r>
          </w:hyperlink>
        </w:p>
        <w:p w14:paraId="7BCCBD07" w14:textId="3A2E4727"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60" w:history="1">
            <w:r w:rsidRPr="00F977B2">
              <w:rPr>
                <w:rStyle w:val="Hyperlink"/>
                <w:noProof/>
              </w:rPr>
              <w:t>2.2</w:t>
            </w:r>
            <w:r>
              <w:rPr>
                <w:rFonts w:eastAsiaTheme="minorEastAsia" w:cstheme="minorBidi"/>
                <w:noProof/>
                <w:kern w:val="2"/>
                <w:lang w:eastAsia="en-AU"/>
                <w14:ligatures w14:val="standardContextual"/>
              </w:rPr>
              <w:tab/>
            </w:r>
            <w:r w:rsidRPr="00F977B2">
              <w:rPr>
                <w:rStyle w:val="Hyperlink"/>
                <w:noProof/>
              </w:rPr>
              <w:t>Authorised contact person</w:t>
            </w:r>
            <w:r>
              <w:rPr>
                <w:noProof/>
                <w:webHidden/>
              </w:rPr>
              <w:tab/>
            </w:r>
            <w:r>
              <w:rPr>
                <w:noProof/>
                <w:webHidden/>
              </w:rPr>
              <w:fldChar w:fldCharType="begin"/>
            </w:r>
            <w:r>
              <w:rPr>
                <w:noProof/>
                <w:webHidden/>
              </w:rPr>
              <w:instrText xml:space="preserve"> PAGEREF _Toc197682360 \h </w:instrText>
            </w:r>
            <w:r>
              <w:rPr>
                <w:noProof/>
                <w:webHidden/>
              </w:rPr>
            </w:r>
            <w:r>
              <w:rPr>
                <w:noProof/>
                <w:webHidden/>
              </w:rPr>
              <w:fldChar w:fldCharType="separate"/>
            </w:r>
            <w:r w:rsidR="0098319E">
              <w:rPr>
                <w:noProof/>
                <w:webHidden/>
              </w:rPr>
              <w:t>11</w:t>
            </w:r>
            <w:r>
              <w:rPr>
                <w:noProof/>
                <w:webHidden/>
              </w:rPr>
              <w:fldChar w:fldCharType="end"/>
            </w:r>
          </w:hyperlink>
        </w:p>
        <w:p w14:paraId="787CA795" w14:textId="080D528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1" w:history="1">
            <w:r w:rsidRPr="00F977B2">
              <w:rPr>
                <w:rStyle w:val="Hyperlink"/>
                <w:noProof/>
              </w:rPr>
              <w:t>2.3 Supporting documentation</w:t>
            </w:r>
            <w:r>
              <w:rPr>
                <w:noProof/>
                <w:webHidden/>
              </w:rPr>
              <w:tab/>
            </w:r>
            <w:r>
              <w:rPr>
                <w:noProof/>
                <w:webHidden/>
              </w:rPr>
              <w:fldChar w:fldCharType="begin"/>
            </w:r>
            <w:r>
              <w:rPr>
                <w:noProof/>
                <w:webHidden/>
              </w:rPr>
              <w:instrText xml:space="preserve"> PAGEREF _Toc197682361 \h </w:instrText>
            </w:r>
            <w:r>
              <w:rPr>
                <w:noProof/>
                <w:webHidden/>
              </w:rPr>
            </w:r>
            <w:r>
              <w:rPr>
                <w:noProof/>
                <w:webHidden/>
              </w:rPr>
              <w:fldChar w:fldCharType="separate"/>
            </w:r>
            <w:r w:rsidR="0098319E">
              <w:rPr>
                <w:noProof/>
                <w:webHidden/>
              </w:rPr>
              <w:t>12</w:t>
            </w:r>
            <w:r>
              <w:rPr>
                <w:noProof/>
                <w:webHidden/>
              </w:rPr>
              <w:fldChar w:fldCharType="end"/>
            </w:r>
          </w:hyperlink>
        </w:p>
        <w:p w14:paraId="6135EAA6" w14:textId="2AF84B3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2" w:history="1">
            <w:r w:rsidRPr="00F977B2">
              <w:rPr>
                <w:rStyle w:val="Hyperlink"/>
                <w:noProof/>
              </w:rPr>
              <w:t>2.4 Assessment of applications</w:t>
            </w:r>
            <w:r>
              <w:rPr>
                <w:noProof/>
                <w:webHidden/>
              </w:rPr>
              <w:tab/>
            </w:r>
            <w:r>
              <w:rPr>
                <w:noProof/>
                <w:webHidden/>
              </w:rPr>
              <w:fldChar w:fldCharType="begin"/>
            </w:r>
            <w:r>
              <w:rPr>
                <w:noProof/>
                <w:webHidden/>
              </w:rPr>
              <w:instrText xml:space="preserve"> PAGEREF _Toc197682362 \h </w:instrText>
            </w:r>
            <w:r>
              <w:rPr>
                <w:noProof/>
                <w:webHidden/>
              </w:rPr>
            </w:r>
            <w:r>
              <w:rPr>
                <w:noProof/>
                <w:webHidden/>
              </w:rPr>
              <w:fldChar w:fldCharType="separate"/>
            </w:r>
            <w:r w:rsidR="0098319E">
              <w:rPr>
                <w:noProof/>
                <w:webHidden/>
              </w:rPr>
              <w:t>12</w:t>
            </w:r>
            <w:r>
              <w:rPr>
                <w:noProof/>
                <w:webHidden/>
              </w:rPr>
              <w:fldChar w:fldCharType="end"/>
            </w:r>
          </w:hyperlink>
        </w:p>
        <w:p w14:paraId="6C77D551" w14:textId="009AC4E9" w:rsidR="00554ACC" w:rsidRDefault="00554ACC">
          <w:pPr>
            <w:pStyle w:val="TOC1"/>
            <w:tabs>
              <w:tab w:val="left" w:pos="480"/>
            </w:tabs>
            <w:rPr>
              <w:rFonts w:eastAsiaTheme="minorEastAsia" w:cstheme="minorBidi"/>
              <w:kern w:val="2"/>
              <w:lang w:eastAsia="en-AU"/>
              <w14:ligatures w14:val="standardContextual"/>
            </w:rPr>
          </w:pPr>
          <w:hyperlink w:anchor="_Toc197682363" w:history="1">
            <w:r w:rsidRPr="00F977B2">
              <w:rPr>
                <w:rStyle w:val="Hyperlink"/>
              </w:rPr>
              <w:t>3.</w:t>
            </w:r>
            <w:r>
              <w:rPr>
                <w:rFonts w:eastAsiaTheme="minorEastAsia" w:cstheme="minorBidi"/>
                <w:kern w:val="2"/>
                <w:lang w:eastAsia="en-AU"/>
                <w14:ligatures w14:val="standardContextual"/>
              </w:rPr>
              <w:tab/>
            </w:r>
            <w:r w:rsidRPr="00F977B2">
              <w:rPr>
                <w:rStyle w:val="Hyperlink"/>
              </w:rPr>
              <w:t>WIP - Practice Stream payments</w:t>
            </w:r>
            <w:r>
              <w:rPr>
                <w:webHidden/>
              </w:rPr>
              <w:tab/>
            </w:r>
            <w:r>
              <w:rPr>
                <w:webHidden/>
              </w:rPr>
              <w:fldChar w:fldCharType="begin"/>
            </w:r>
            <w:r>
              <w:rPr>
                <w:webHidden/>
              </w:rPr>
              <w:instrText xml:space="preserve"> PAGEREF _Toc197682363 \h </w:instrText>
            </w:r>
            <w:r>
              <w:rPr>
                <w:webHidden/>
              </w:rPr>
            </w:r>
            <w:r>
              <w:rPr>
                <w:webHidden/>
              </w:rPr>
              <w:fldChar w:fldCharType="separate"/>
            </w:r>
            <w:r w:rsidR="0098319E">
              <w:rPr>
                <w:webHidden/>
              </w:rPr>
              <w:t>13</w:t>
            </w:r>
            <w:r>
              <w:rPr>
                <w:webHidden/>
              </w:rPr>
              <w:fldChar w:fldCharType="end"/>
            </w:r>
          </w:hyperlink>
        </w:p>
        <w:p w14:paraId="4C3F7DA9" w14:textId="0396F19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4" w:history="1">
            <w:r w:rsidRPr="00F977B2">
              <w:rPr>
                <w:rStyle w:val="Hyperlink"/>
                <w:noProof/>
              </w:rPr>
              <w:t>3.1 Types of payments</w:t>
            </w:r>
            <w:r>
              <w:rPr>
                <w:noProof/>
                <w:webHidden/>
              </w:rPr>
              <w:tab/>
            </w:r>
            <w:r>
              <w:rPr>
                <w:noProof/>
                <w:webHidden/>
              </w:rPr>
              <w:fldChar w:fldCharType="begin"/>
            </w:r>
            <w:r>
              <w:rPr>
                <w:noProof/>
                <w:webHidden/>
              </w:rPr>
              <w:instrText xml:space="preserve"> PAGEREF _Toc197682364 \h </w:instrText>
            </w:r>
            <w:r>
              <w:rPr>
                <w:noProof/>
                <w:webHidden/>
              </w:rPr>
            </w:r>
            <w:r>
              <w:rPr>
                <w:noProof/>
                <w:webHidden/>
              </w:rPr>
              <w:fldChar w:fldCharType="separate"/>
            </w:r>
            <w:r w:rsidR="0098319E">
              <w:rPr>
                <w:noProof/>
                <w:webHidden/>
              </w:rPr>
              <w:t>13</w:t>
            </w:r>
            <w:r>
              <w:rPr>
                <w:noProof/>
                <w:webHidden/>
              </w:rPr>
              <w:fldChar w:fldCharType="end"/>
            </w:r>
          </w:hyperlink>
        </w:p>
        <w:p w14:paraId="3AC49257" w14:textId="74A9F042"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5" w:history="1">
            <w:r w:rsidRPr="00F977B2">
              <w:rPr>
                <w:rStyle w:val="Hyperlink"/>
                <w:noProof/>
              </w:rPr>
              <w:t>3.2 Payment quarters – important dates</w:t>
            </w:r>
            <w:r>
              <w:rPr>
                <w:noProof/>
                <w:webHidden/>
              </w:rPr>
              <w:tab/>
            </w:r>
            <w:r>
              <w:rPr>
                <w:noProof/>
                <w:webHidden/>
              </w:rPr>
              <w:fldChar w:fldCharType="begin"/>
            </w:r>
            <w:r>
              <w:rPr>
                <w:noProof/>
                <w:webHidden/>
              </w:rPr>
              <w:instrText xml:space="preserve"> PAGEREF _Toc197682365 \h </w:instrText>
            </w:r>
            <w:r>
              <w:rPr>
                <w:noProof/>
                <w:webHidden/>
              </w:rPr>
            </w:r>
            <w:r>
              <w:rPr>
                <w:noProof/>
                <w:webHidden/>
              </w:rPr>
              <w:fldChar w:fldCharType="separate"/>
            </w:r>
            <w:r w:rsidR="0098319E">
              <w:rPr>
                <w:noProof/>
                <w:webHidden/>
              </w:rPr>
              <w:t>13</w:t>
            </w:r>
            <w:r>
              <w:rPr>
                <w:noProof/>
                <w:webHidden/>
              </w:rPr>
              <w:fldChar w:fldCharType="end"/>
            </w:r>
          </w:hyperlink>
        </w:p>
        <w:p w14:paraId="222ED432" w14:textId="781377DE"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6" w:history="1">
            <w:r w:rsidRPr="00F977B2">
              <w:rPr>
                <w:rStyle w:val="Hyperlink"/>
                <w:noProof/>
              </w:rPr>
              <w:t>3.3 Quarterly Confirmation Statements (QCS)</w:t>
            </w:r>
            <w:r>
              <w:rPr>
                <w:noProof/>
                <w:webHidden/>
              </w:rPr>
              <w:tab/>
            </w:r>
            <w:r>
              <w:rPr>
                <w:noProof/>
                <w:webHidden/>
              </w:rPr>
              <w:fldChar w:fldCharType="begin"/>
            </w:r>
            <w:r>
              <w:rPr>
                <w:noProof/>
                <w:webHidden/>
              </w:rPr>
              <w:instrText xml:space="preserve"> PAGEREF _Toc197682366 \h </w:instrText>
            </w:r>
            <w:r>
              <w:rPr>
                <w:noProof/>
                <w:webHidden/>
              </w:rPr>
            </w:r>
            <w:r>
              <w:rPr>
                <w:noProof/>
                <w:webHidden/>
              </w:rPr>
              <w:fldChar w:fldCharType="separate"/>
            </w:r>
            <w:r w:rsidR="0098319E">
              <w:rPr>
                <w:noProof/>
                <w:webHidden/>
              </w:rPr>
              <w:t>14</w:t>
            </w:r>
            <w:r>
              <w:rPr>
                <w:noProof/>
                <w:webHidden/>
              </w:rPr>
              <w:fldChar w:fldCharType="end"/>
            </w:r>
          </w:hyperlink>
        </w:p>
        <w:p w14:paraId="798F4BAA" w14:textId="48573E98"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7" w:history="1">
            <w:r w:rsidRPr="00F977B2">
              <w:rPr>
                <w:rStyle w:val="Hyperlink"/>
                <w:noProof/>
              </w:rPr>
              <w:t>3.4 Withheld payments</w:t>
            </w:r>
            <w:r>
              <w:rPr>
                <w:noProof/>
                <w:webHidden/>
              </w:rPr>
              <w:tab/>
            </w:r>
            <w:r>
              <w:rPr>
                <w:noProof/>
                <w:webHidden/>
              </w:rPr>
              <w:fldChar w:fldCharType="begin"/>
            </w:r>
            <w:r>
              <w:rPr>
                <w:noProof/>
                <w:webHidden/>
              </w:rPr>
              <w:instrText xml:space="preserve"> PAGEREF _Toc197682367 \h </w:instrText>
            </w:r>
            <w:r>
              <w:rPr>
                <w:noProof/>
                <w:webHidden/>
              </w:rPr>
            </w:r>
            <w:r>
              <w:rPr>
                <w:noProof/>
                <w:webHidden/>
              </w:rPr>
              <w:fldChar w:fldCharType="separate"/>
            </w:r>
            <w:r w:rsidR="0098319E">
              <w:rPr>
                <w:noProof/>
                <w:webHidden/>
              </w:rPr>
              <w:t>15</w:t>
            </w:r>
            <w:r>
              <w:rPr>
                <w:noProof/>
                <w:webHidden/>
              </w:rPr>
              <w:fldChar w:fldCharType="end"/>
            </w:r>
          </w:hyperlink>
        </w:p>
        <w:p w14:paraId="0956C03B" w14:textId="392650D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8" w:history="1">
            <w:r w:rsidRPr="00F977B2">
              <w:rPr>
                <w:rStyle w:val="Hyperlink"/>
                <w:noProof/>
              </w:rPr>
              <w:t>3.5 Withheld payments for 3 consecutive quarters (three quarter rule)</w:t>
            </w:r>
            <w:r>
              <w:rPr>
                <w:noProof/>
                <w:webHidden/>
              </w:rPr>
              <w:tab/>
            </w:r>
            <w:r>
              <w:rPr>
                <w:noProof/>
                <w:webHidden/>
              </w:rPr>
              <w:fldChar w:fldCharType="begin"/>
            </w:r>
            <w:r>
              <w:rPr>
                <w:noProof/>
                <w:webHidden/>
              </w:rPr>
              <w:instrText xml:space="preserve"> PAGEREF _Toc197682368 \h </w:instrText>
            </w:r>
            <w:r>
              <w:rPr>
                <w:noProof/>
                <w:webHidden/>
              </w:rPr>
            </w:r>
            <w:r>
              <w:rPr>
                <w:noProof/>
                <w:webHidden/>
              </w:rPr>
              <w:fldChar w:fldCharType="separate"/>
            </w:r>
            <w:r w:rsidR="0098319E">
              <w:rPr>
                <w:noProof/>
                <w:webHidden/>
              </w:rPr>
              <w:t>16</w:t>
            </w:r>
            <w:r>
              <w:rPr>
                <w:noProof/>
                <w:webHidden/>
              </w:rPr>
              <w:fldChar w:fldCharType="end"/>
            </w:r>
          </w:hyperlink>
        </w:p>
        <w:p w14:paraId="60195A7E" w14:textId="2F2AF889"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69" w:history="1">
            <w:r w:rsidRPr="00F977B2">
              <w:rPr>
                <w:rStyle w:val="Hyperlink"/>
                <w:noProof/>
              </w:rPr>
              <w:t>3.6 Recovery of payments</w:t>
            </w:r>
            <w:r>
              <w:rPr>
                <w:noProof/>
                <w:webHidden/>
              </w:rPr>
              <w:tab/>
            </w:r>
            <w:r>
              <w:rPr>
                <w:noProof/>
                <w:webHidden/>
              </w:rPr>
              <w:fldChar w:fldCharType="begin"/>
            </w:r>
            <w:r>
              <w:rPr>
                <w:noProof/>
                <w:webHidden/>
              </w:rPr>
              <w:instrText xml:space="preserve"> PAGEREF _Toc197682369 \h </w:instrText>
            </w:r>
            <w:r>
              <w:rPr>
                <w:noProof/>
                <w:webHidden/>
              </w:rPr>
            </w:r>
            <w:r>
              <w:rPr>
                <w:noProof/>
                <w:webHidden/>
              </w:rPr>
              <w:fldChar w:fldCharType="separate"/>
            </w:r>
            <w:r w:rsidR="0098319E">
              <w:rPr>
                <w:noProof/>
                <w:webHidden/>
              </w:rPr>
              <w:t>16</w:t>
            </w:r>
            <w:r>
              <w:rPr>
                <w:noProof/>
                <w:webHidden/>
              </w:rPr>
              <w:fldChar w:fldCharType="end"/>
            </w:r>
          </w:hyperlink>
        </w:p>
        <w:p w14:paraId="47B1836B" w14:textId="3276DEC1" w:rsidR="00554ACC" w:rsidRDefault="00554ACC">
          <w:pPr>
            <w:pStyle w:val="TOC1"/>
            <w:tabs>
              <w:tab w:val="left" w:pos="480"/>
            </w:tabs>
            <w:rPr>
              <w:rFonts w:eastAsiaTheme="minorEastAsia" w:cstheme="minorBidi"/>
              <w:kern w:val="2"/>
              <w:lang w:eastAsia="en-AU"/>
              <w14:ligatures w14:val="standardContextual"/>
            </w:rPr>
          </w:pPr>
          <w:hyperlink w:anchor="_Toc197682370" w:history="1">
            <w:r w:rsidRPr="00F977B2">
              <w:rPr>
                <w:rStyle w:val="Hyperlink"/>
              </w:rPr>
              <w:t>4.</w:t>
            </w:r>
            <w:r>
              <w:rPr>
                <w:rFonts w:eastAsiaTheme="minorEastAsia" w:cstheme="minorBidi"/>
                <w:kern w:val="2"/>
                <w:lang w:eastAsia="en-AU"/>
                <w14:ligatures w14:val="standardContextual"/>
              </w:rPr>
              <w:tab/>
            </w:r>
            <w:r w:rsidRPr="00F977B2">
              <w:rPr>
                <w:rStyle w:val="Hyperlink"/>
              </w:rPr>
              <w:t>Calculating WIP - Practice Stream payments</w:t>
            </w:r>
            <w:r>
              <w:rPr>
                <w:webHidden/>
              </w:rPr>
              <w:tab/>
            </w:r>
            <w:r>
              <w:rPr>
                <w:webHidden/>
              </w:rPr>
              <w:fldChar w:fldCharType="begin"/>
            </w:r>
            <w:r>
              <w:rPr>
                <w:webHidden/>
              </w:rPr>
              <w:instrText xml:space="preserve"> PAGEREF _Toc197682370 \h </w:instrText>
            </w:r>
            <w:r>
              <w:rPr>
                <w:webHidden/>
              </w:rPr>
            </w:r>
            <w:r>
              <w:rPr>
                <w:webHidden/>
              </w:rPr>
              <w:fldChar w:fldCharType="separate"/>
            </w:r>
            <w:r w:rsidR="0098319E">
              <w:rPr>
                <w:webHidden/>
              </w:rPr>
              <w:t>16</w:t>
            </w:r>
            <w:r>
              <w:rPr>
                <w:webHidden/>
              </w:rPr>
              <w:fldChar w:fldCharType="end"/>
            </w:r>
          </w:hyperlink>
        </w:p>
        <w:p w14:paraId="000B6C14" w14:textId="2C91C6F3"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1" w:history="1">
            <w:r w:rsidRPr="00F977B2">
              <w:rPr>
                <w:rStyle w:val="Hyperlink"/>
                <w:noProof/>
              </w:rPr>
              <w:t>4.1</w:t>
            </w:r>
            <w:r>
              <w:rPr>
                <w:rFonts w:eastAsiaTheme="minorEastAsia" w:cstheme="minorBidi"/>
                <w:noProof/>
                <w:kern w:val="2"/>
                <w:lang w:eastAsia="en-AU"/>
                <w14:ligatures w14:val="standardContextual"/>
              </w:rPr>
              <w:tab/>
            </w:r>
            <w:r w:rsidRPr="00F977B2">
              <w:rPr>
                <w:rStyle w:val="Hyperlink"/>
                <w:noProof/>
              </w:rPr>
              <w:t>Calculating the Standardised Whole Patient Equivalent (SWPE) value</w:t>
            </w:r>
            <w:r>
              <w:rPr>
                <w:noProof/>
                <w:webHidden/>
              </w:rPr>
              <w:tab/>
            </w:r>
            <w:r>
              <w:rPr>
                <w:noProof/>
                <w:webHidden/>
              </w:rPr>
              <w:fldChar w:fldCharType="begin"/>
            </w:r>
            <w:r>
              <w:rPr>
                <w:noProof/>
                <w:webHidden/>
              </w:rPr>
              <w:instrText xml:space="preserve"> PAGEREF _Toc197682371 \h </w:instrText>
            </w:r>
            <w:r>
              <w:rPr>
                <w:noProof/>
                <w:webHidden/>
              </w:rPr>
            </w:r>
            <w:r>
              <w:rPr>
                <w:noProof/>
                <w:webHidden/>
              </w:rPr>
              <w:fldChar w:fldCharType="separate"/>
            </w:r>
            <w:r w:rsidR="0098319E">
              <w:rPr>
                <w:noProof/>
                <w:webHidden/>
              </w:rPr>
              <w:t>18</w:t>
            </w:r>
            <w:r>
              <w:rPr>
                <w:noProof/>
                <w:webHidden/>
              </w:rPr>
              <w:fldChar w:fldCharType="end"/>
            </w:r>
          </w:hyperlink>
        </w:p>
        <w:p w14:paraId="513DE453" w14:textId="1F5ECC5D"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2" w:history="1">
            <w:r w:rsidRPr="00F977B2">
              <w:rPr>
                <w:rStyle w:val="Hyperlink"/>
                <w:noProof/>
              </w:rPr>
              <w:t>4.1.1 Practices with a historical SWPE value</w:t>
            </w:r>
            <w:r>
              <w:rPr>
                <w:noProof/>
                <w:webHidden/>
              </w:rPr>
              <w:tab/>
            </w:r>
            <w:r>
              <w:rPr>
                <w:noProof/>
                <w:webHidden/>
              </w:rPr>
              <w:fldChar w:fldCharType="begin"/>
            </w:r>
            <w:r>
              <w:rPr>
                <w:noProof/>
                <w:webHidden/>
              </w:rPr>
              <w:instrText xml:space="preserve"> PAGEREF _Toc197682372 \h </w:instrText>
            </w:r>
            <w:r>
              <w:rPr>
                <w:noProof/>
                <w:webHidden/>
              </w:rPr>
            </w:r>
            <w:r>
              <w:rPr>
                <w:noProof/>
                <w:webHidden/>
              </w:rPr>
              <w:fldChar w:fldCharType="separate"/>
            </w:r>
            <w:r w:rsidR="0098319E">
              <w:rPr>
                <w:noProof/>
                <w:webHidden/>
              </w:rPr>
              <w:t>19</w:t>
            </w:r>
            <w:r>
              <w:rPr>
                <w:noProof/>
                <w:webHidden/>
              </w:rPr>
              <w:fldChar w:fldCharType="end"/>
            </w:r>
          </w:hyperlink>
        </w:p>
        <w:p w14:paraId="4E6D32AC" w14:textId="3BFFE7FE"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3" w:history="1">
            <w:r w:rsidRPr="00F977B2">
              <w:rPr>
                <w:rStyle w:val="Hyperlink"/>
                <w:noProof/>
              </w:rPr>
              <w:t>4.1.2 Practices without a historical SWPE value</w:t>
            </w:r>
            <w:r>
              <w:rPr>
                <w:noProof/>
                <w:webHidden/>
              </w:rPr>
              <w:tab/>
            </w:r>
            <w:r>
              <w:rPr>
                <w:noProof/>
                <w:webHidden/>
              </w:rPr>
              <w:fldChar w:fldCharType="begin"/>
            </w:r>
            <w:r>
              <w:rPr>
                <w:noProof/>
                <w:webHidden/>
              </w:rPr>
              <w:instrText xml:space="preserve"> PAGEREF _Toc197682373 \h </w:instrText>
            </w:r>
            <w:r>
              <w:rPr>
                <w:noProof/>
                <w:webHidden/>
              </w:rPr>
            </w:r>
            <w:r>
              <w:rPr>
                <w:noProof/>
                <w:webHidden/>
              </w:rPr>
              <w:fldChar w:fldCharType="separate"/>
            </w:r>
            <w:r w:rsidR="0098319E">
              <w:rPr>
                <w:noProof/>
                <w:webHidden/>
              </w:rPr>
              <w:t>19</w:t>
            </w:r>
            <w:r>
              <w:rPr>
                <w:noProof/>
                <w:webHidden/>
              </w:rPr>
              <w:fldChar w:fldCharType="end"/>
            </w:r>
          </w:hyperlink>
        </w:p>
        <w:p w14:paraId="4E3DD4E3" w14:textId="6D001400"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4" w:history="1">
            <w:r w:rsidRPr="00F977B2">
              <w:rPr>
                <w:rStyle w:val="Hyperlink"/>
                <w:noProof/>
              </w:rPr>
              <w:t>4.2</w:t>
            </w:r>
            <w:r>
              <w:rPr>
                <w:rFonts w:eastAsiaTheme="minorEastAsia" w:cstheme="minorBidi"/>
                <w:noProof/>
                <w:kern w:val="2"/>
                <w:lang w:eastAsia="en-AU"/>
                <w14:ligatures w14:val="standardContextual"/>
              </w:rPr>
              <w:tab/>
            </w:r>
            <w:r w:rsidRPr="00F977B2">
              <w:rPr>
                <w:rStyle w:val="Hyperlink"/>
                <w:noProof/>
              </w:rPr>
              <w:t>Transferring a SWPE value</w:t>
            </w:r>
            <w:r>
              <w:rPr>
                <w:noProof/>
                <w:webHidden/>
              </w:rPr>
              <w:tab/>
            </w:r>
            <w:r>
              <w:rPr>
                <w:noProof/>
                <w:webHidden/>
              </w:rPr>
              <w:fldChar w:fldCharType="begin"/>
            </w:r>
            <w:r>
              <w:rPr>
                <w:noProof/>
                <w:webHidden/>
              </w:rPr>
              <w:instrText xml:space="preserve"> PAGEREF _Toc197682374 \h </w:instrText>
            </w:r>
            <w:r>
              <w:rPr>
                <w:noProof/>
                <w:webHidden/>
              </w:rPr>
            </w:r>
            <w:r>
              <w:rPr>
                <w:noProof/>
                <w:webHidden/>
              </w:rPr>
              <w:fldChar w:fldCharType="separate"/>
            </w:r>
            <w:r w:rsidR="0098319E">
              <w:rPr>
                <w:noProof/>
                <w:webHidden/>
              </w:rPr>
              <w:t>20</w:t>
            </w:r>
            <w:r>
              <w:rPr>
                <w:noProof/>
                <w:webHidden/>
              </w:rPr>
              <w:fldChar w:fldCharType="end"/>
            </w:r>
          </w:hyperlink>
        </w:p>
        <w:p w14:paraId="351CF197" w14:textId="6890BF74"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5" w:history="1">
            <w:r w:rsidRPr="00F977B2">
              <w:rPr>
                <w:rStyle w:val="Hyperlink"/>
                <w:noProof/>
              </w:rPr>
              <w:t>4.2.1</w:t>
            </w:r>
            <w:r>
              <w:rPr>
                <w:rFonts w:eastAsiaTheme="minorEastAsia" w:cstheme="minorBidi"/>
                <w:noProof/>
                <w:kern w:val="2"/>
                <w:lang w:eastAsia="en-AU"/>
                <w14:ligatures w14:val="standardContextual"/>
              </w:rPr>
              <w:tab/>
            </w:r>
            <w:r w:rsidRPr="00F977B2">
              <w:rPr>
                <w:rStyle w:val="Hyperlink"/>
                <w:noProof/>
              </w:rPr>
              <w:t>Practice relocation - transferring a SWPE value</w:t>
            </w:r>
            <w:r>
              <w:rPr>
                <w:noProof/>
                <w:webHidden/>
              </w:rPr>
              <w:tab/>
            </w:r>
            <w:r>
              <w:rPr>
                <w:noProof/>
                <w:webHidden/>
              </w:rPr>
              <w:fldChar w:fldCharType="begin"/>
            </w:r>
            <w:r>
              <w:rPr>
                <w:noProof/>
                <w:webHidden/>
              </w:rPr>
              <w:instrText xml:space="preserve"> PAGEREF _Toc197682375 \h </w:instrText>
            </w:r>
            <w:r>
              <w:rPr>
                <w:noProof/>
                <w:webHidden/>
              </w:rPr>
            </w:r>
            <w:r>
              <w:rPr>
                <w:noProof/>
                <w:webHidden/>
              </w:rPr>
              <w:fldChar w:fldCharType="separate"/>
            </w:r>
            <w:r w:rsidR="0098319E">
              <w:rPr>
                <w:noProof/>
                <w:webHidden/>
              </w:rPr>
              <w:t>20</w:t>
            </w:r>
            <w:r>
              <w:rPr>
                <w:noProof/>
                <w:webHidden/>
              </w:rPr>
              <w:fldChar w:fldCharType="end"/>
            </w:r>
          </w:hyperlink>
        </w:p>
        <w:p w14:paraId="326D01A0" w14:textId="69EC311A"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6" w:history="1">
            <w:r w:rsidRPr="00F977B2">
              <w:rPr>
                <w:rStyle w:val="Hyperlink"/>
                <w:noProof/>
              </w:rPr>
              <w:t>4.2.2</w:t>
            </w:r>
            <w:r>
              <w:rPr>
                <w:rFonts w:eastAsiaTheme="minorEastAsia" w:cstheme="minorBidi"/>
                <w:noProof/>
                <w:kern w:val="2"/>
                <w:lang w:eastAsia="en-AU"/>
                <w14:ligatures w14:val="standardContextual"/>
              </w:rPr>
              <w:tab/>
            </w:r>
            <w:r w:rsidRPr="00F977B2">
              <w:rPr>
                <w:rStyle w:val="Hyperlink"/>
                <w:noProof/>
              </w:rPr>
              <w:t>Change of ownership - transferring a SWPE value</w:t>
            </w:r>
            <w:r>
              <w:rPr>
                <w:noProof/>
                <w:webHidden/>
              </w:rPr>
              <w:tab/>
            </w:r>
            <w:r>
              <w:rPr>
                <w:noProof/>
                <w:webHidden/>
              </w:rPr>
              <w:fldChar w:fldCharType="begin"/>
            </w:r>
            <w:r>
              <w:rPr>
                <w:noProof/>
                <w:webHidden/>
              </w:rPr>
              <w:instrText xml:space="preserve"> PAGEREF _Toc197682376 \h </w:instrText>
            </w:r>
            <w:r>
              <w:rPr>
                <w:noProof/>
                <w:webHidden/>
              </w:rPr>
            </w:r>
            <w:r>
              <w:rPr>
                <w:noProof/>
                <w:webHidden/>
              </w:rPr>
              <w:fldChar w:fldCharType="separate"/>
            </w:r>
            <w:r w:rsidR="0098319E">
              <w:rPr>
                <w:noProof/>
                <w:webHidden/>
              </w:rPr>
              <w:t>20</w:t>
            </w:r>
            <w:r>
              <w:rPr>
                <w:noProof/>
                <w:webHidden/>
              </w:rPr>
              <w:fldChar w:fldCharType="end"/>
            </w:r>
          </w:hyperlink>
        </w:p>
        <w:p w14:paraId="1AE433D0" w14:textId="0B2B8463" w:rsidR="00554ACC" w:rsidRDefault="00554ACC">
          <w:pPr>
            <w:pStyle w:val="TOC3"/>
            <w:tabs>
              <w:tab w:val="left" w:pos="1320"/>
              <w:tab w:val="right" w:leader="dot" w:pos="9016"/>
            </w:tabs>
            <w:rPr>
              <w:rFonts w:eastAsiaTheme="minorEastAsia" w:cstheme="minorBidi"/>
              <w:noProof/>
              <w:kern w:val="2"/>
              <w:lang w:eastAsia="en-AU"/>
              <w14:ligatures w14:val="standardContextual"/>
            </w:rPr>
          </w:pPr>
          <w:hyperlink w:anchor="_Toc197682377" w:history="1">
            <w:r w:rsidRPr="00F977B2">
              <w:rPr>
                <w:rStyle w:val="Hyperlink"/>
                <w:noProof/>
              </w:rPr>
              <w:t>4.2.3</w:t>
            </w:r>
            <w:r>
              <w:rPr>
                <w:rFonts w:eastAsiaTheme="minorEastAsia" w:cstheme="minorBidi"/>
                <w:noProof/>
                <w:kern w:val="2"/>
                <w:lang w:eastAsia="en-AU"/>
                <w14:ligatures w14:val="standardContextual"/>
              </w:rPr>
              <w:tab/>
            </w:r>
            <w:r w:rsidRPr="00F977B2">
              <w:rPr>
                <w:rStyle w:val="Hyperlink"/>
                <w:noProof/>
              </w:rPr>
              <w:t>Practice amalgamation - transferring a SWPE value</w:t>
            </w:r>
            <w:r>
              <w:rPr>
                <w:noProof/>
                <w:webHidden/>
              </w:rPr>
              <w:tab/>
            </w:r>
            <w:r>
              <w:rPr>
                <w:noProof/>
                <w:webHidden/>
              </w:rPr>
              <w:fldChar w:fldCharType="begin"/>
            </w:r>
            <w:r>
              <w:rPr>
                <w:noProof/>
                <w:webHidden/>
              </w:rPr>
              <w:instrText xml:space="preserve"> PAGEREF _Toc197682377 \h </w:instrText>
            </w:r>
            <w:r>
              <w:rPr>
                <w:noProof/>
                <w:webHidden/>
              </w:rPr>
            </w:r>
            <w:r>
              <w:rPr>
                <w:noProof/>
                <w:webHidden/>
              </w:rPr>
              <w:fldChar w:fldCharType="separate"/>
            </w:r>
            <w:r w:rsidR="0098319E">
              <w:rPr>
                <w:noProof/>
                <w:webHidden/>
              </w:rPr>
              <w:t>21</w:t>
            </w:r>
            <w:r>
              <w:rPr>
                <w:noProof/>
                <w:webHidden/>
              </w:rPr>
              <w:fldChar w:fldCharType="end"/>
            </w:r>
          </w:hyperlink>
        </w:p>
        <w:p w14:paraId="3FA4807D" w14:textId="6BE80BA9"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78" w:history="1">
            <w:r w:rsidRPr="00F977B2">
              <w:rPr>
                <w:rStyle w:val="Hyperlink"/>
                <w:noProof/>
              </w:rPr>
              <w:t>4.3</w:t>
            </w:r>
            <w:r>
              <w:rPr>
                <w:rFonts w:eastAsiaTheme="minorEastAsia" w:cstheme="minorBidi"/>
                <w:noProof/>
                <w:kern w:val="2"/>
                <w:lang w:eastAsia="en-AU"/>
                <w14:ligatures w14:val="standardContextual"/>
              </w:rPr>
              <w:tab/>
            </w:r>
            <w:r w:rsidRPr="00F977B2">
              <w:rPr>
                <w:rStyle w:val="Hyperlink"/>
                <w:noProof/>
              </w:rPr>
              <w:t>Calculating hours worked by eligible health professionals</w:t>
            </w:r>
            <w:r>
              <w:rPr>
                <w:noProof/>
                <w:webHidden/>
              </w:rPr>
              <w:tab/>
            </w:r>
            <w:r>
              <w:rPr>
                <w:noProof/>
                <w:webHidden/>
              </w:rPr>
              <w:fldChar w:fldCharType="begin"/>
            </w:r>
            <w:r>
              <w:rPr>
                <w:noProof/>
                <w:webHidden/>
              </w:rPr>
              <w:instrText xml:space="preserve"> PAGEREF _Toc197682378 \h </w:instrText>
            </w:r>
            <w:r>
              <w:rPr>
                <w:noProof/>
                <w:webHidden/>
              </w:rPr>
            </w:r>
            <w:r>
              <w:rPr>
                <w:noProof/>
                <w:webHidden/>
              </w:rPr>
              <w:fldChar w:fldCharType="separate"/>
            </w:r>
            <w:r w:rsidR="0098319E">
              <w:rPr>
                <w:noProof/>
                <w:webHidden/>
              </w:rPr>
              <w:t>21</w:t>
            </w:r>
            <w:r>
              <w:rPr>
                <w:noProof/>
                <w:webHidden/>
              </w:rPr>
              <w:fldChar w:fldCharType="end"/>
            </w:r>
          </w:hyperlink>
        </w:p>
        <w:p w14:paraId="24E211A8" w14:textId="646443EA"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79" w:history="1">
            <w:r w:rsidRPr="00F977B2">
              <w:rPr>
                <w:rStyle w:val="Hyperlink"/>
                <w:noProof/>
              </w:rPr>
              <w:t>4.3.1 Grace periods</w:t>
            </w:r>
            <w:r>
              <w:rPr>
                <w:noProof/>
                <w:webHidden/>
              </w:rPr>
              <w:tab/>
            </w:r>
            <w:r>
              <w:rPr>
                <w:noProof/>
                <w:webHidden/>
              </w:rPr>
              <w:fldChar w:fldCharType="begin"/>
            </w:r>
            <w:r>
              <w:rPr>
                <w:noProof/>
                <w:webHidden/>
              </w:rPr>
              <w:instrText xml:space="preserve"> PAGEREF _Toc197682379 \h </w:instrText>
            </w:r>
            <w:r>
              <w:rPr>
                <w:noProof/>
                <w:webHidden/>
              </w:rPr>
            </w:r>
            <w:r>
              <w:rPr>
                <w:noProof/>
                <w:webHidden/>
              </w:rPr>
              <w:fldChar w:fldCharType="separate"/>
            </w:r>
            <w:r w:rsidR="0098319E">
              <w:rPr>
                <w:noProof/>
                <w:webHidden/>
              </w:rPr>
              <w:t>22</w:t>
            </w:r>
            <w:r>
              <w:rPr>
                <w:noProof/>
                <w:webHidden/>
              </w:rPr>
              <w:fldChar w:fldCharType="end"/>
            </w:r>
          </w:hyperlink>
        </w:p>
        <w:p w14:paraId="0FCC1022" w14:textId="6FA5FACD"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0" w:history="1">
            <w:r w:rsidRPr="00F977B2">
              <w:rPr>
                <w:rStyle w:val="Hyperlink"/>
                <w:noProof/>
              </w:rPr>
              <w:t>4.3.2 Calculating hours - amalgamating practices</w:t>
            </w:r>
            <w:r>
              <w:rPr>
                <w:noProof/>
                <w:webHidden/>
              </w:rPr>
              <w:tab/>
            </w:r>
            <w:r>
              <w:rPr>
                <w:noProof/>
                <w:webHidden/>
              </w:rPr>
              <w:fldChar w:fldCharType="begin"/>
            </w:r>
            <w:r>
              <w:rPr>
                <w:noProof/>
                <w:webHidden/>
              </w:rPr>
              <w:instrText xml:space="preserve"> PAGEREF _Toc197682380 \h </w:instrText>
            </w:r>
            <w:r>
              <w:rPr>
                <w:noProof/>
                <w:webHidden/>
              </w:rPr>
            </w:r>
            <w:r>
              <w:rPr>
                <w:noProof/>
                <w:webHidden/>
              </w:rPr>
              <w:fldChar w:fldCharType="separate"/>
            </w:r>
            <w:r w:rsidR="0098319E">
              <w:rPr>
                <w:noProof/>
                <w:webHidden/>
              </w:rPr>
              <w:t>22</w:t>
            </w:r>
            <w:r>
              <w:rPr>
                <w:noProof/>
                <w:webHidden/>
              </w:rPr>
              <w:fldChar w:fldCharType="end"/>
            </w:r>
          </w:hyperlink>
        </w:p>
        <w:p w14:paraId="2293A160" w14:textId="2D33C384"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81" w:history="1">
            <w:r w:rsidRPr="00F977B2">
              <w:rPr>
                <w:rStyle w:val="Hyperlink"/>
                <w:noProof/>
              </w:rPr>
              <w:t>4.4</w:t>
            </w:r>
            <w:r>
              <w:rPr>
                <w:rFonts w:eastAsiaTheme="minorEastAsia" w:cstheme="minorBidi"/>
                <w:noProof/>
                <w:kern w:val="2"/>
                <w:lang w:eastAsia="en-AU"/>
                <w14:ligatures w14:val="standardContextual"/>
              </w:rPr>
              <w:tab/>
            </w:r>
            <w:r w:rsidRPr="00F977B2">
              <w:rPr>
                <w:rStyle w:val="Hyperlink"/>
                <w:noProof/>
              </w:rPr>
              <w:t>Calculating the rural loading payment</w:t>
            </w:r>
            <w:r>
              <w:rPr>
                <w:noProof/>
                <w:webHidden/>
              </w:rPr>
              <w:tab/>
            </w:r>
            <w:r>
              <w:rPr>
                <w:noProof/>
                <w:webHidden/>
              </w:rPr>
              <w:fldChar w:fldCharType="begin"/>
            </w:r>
            <w:r>
              <w:rPr>
                <w:noProof/>
                <w:webHidden/>
              </w:rPr>
              <w:instrText xml:space="preserve"> PAGEREF _Toc197682381 \h </w:instrText>
            </w:r>
            <w:r>
              <w:rPr>
                <w:noProof/>
                <w:webHidden/>
              </w:rPr>
            </w:r>
            <w:r>
              <w:rPr>
                <w:noProof/>
                <w:webHidden/>
              </w:rPr>
              <w:fldChar w:fldCharType="separate"/>
            </w:r>
            <w:r w:rsidR="0098319E">
              <w:rPr>
                <w:noProof/>
                <w:webHidden/>
              </w:rPr>
              <w:t>23</w:t>
            </w:r>
            <w:r>
              <w:rPr>
                <w:noProof/>
                <w:webHidden/>
              </w:rPr>
              <w:fldChar w:fldCharType="end"/>
            </w:r>
          </w:hyperlink>
        </w:p>
        <w:p w14:paraId="14A29C1F" w14:textId="7AC6EC1F" w:rsidR="00554ACC" w:rsidRDefault="00554ACC">
          <w:pPr>
            <w:pStyle w:val="TOC2"/>
            <w:tabs>
              <w:tab w:val="left" w:pos="880"/>
              <w:tab w:val="right" w:leader="dot" w:pos="9016"/>
            </w:tabs>
            <w:rPr>
              <w:rFonts w:eastAsiaTheme="minorEastAsia" w:cstheme="minorBidi"/>
              <w:noProof/>
              <w:kern w:val="2"/>
              <w:lang w:eastAsia="en-AU"/>
              <w14:ligatures w14:val="standardContextual"/>
            </w:rPr>
          </w:pPr>
          <w:hyperlink w:anchor="_Toc197682382" w:history="1">
            <w:r w:rsidRPr="00F977B2">
              <w:rPr>
                <w:rStyle w:val="Hyperlink"/>
                <w:noProof/>
              </w:rPr>
              <w:t>4.5</w:t>
            </w:r>
            <w:r>
              <w:rPr>
                <w:rFonts w:eastAsiaTheme="minorEastAsia" w:cstheme="minorBidi"/>
                <w:noProof/>
                <w:kern w:val="2"/>
                <w:lang w:eastAsia="en-AU"/>
                <w14:ligatures w14:val="standardContextual"/>
              </w:rPr>
              <w:tab/>
            </w:r>
            <w:r w:rsidRPr="00F977B2">
              <w:rPr>
                <w:rStyle w:val="Hyperlink"/>
                <w:noProof/>
              </w:rPr>
              <w:t>Calculating the DVA loading payment</w:t>
            </w:r>
            <w:r>
              <w:rPr>
                <w:noProof/>
                <w:webHidden/>
              </w:rPr>
              <w:tab/>
            </w:r>
            <w:r>
              <w:rPr>
                <w:noProof/>
                <w:webHidden/>
              </w:rPr>
              <w:fldChar w:fldCharType="begin"/>
            </w:r>
            <w:r>
              <w:rPr>
                <w:noProof/>
                <w:webHidden/>
              </w:rPr>
              <w:instrText xml:space="preserve"> PAGEREF _Toc197682382 \h </w:instrText>
            </w:r>
            <w:r>
              <w:rPr>
                <w:noProof/>
                <w:webHidden/>
              </w:rPr>
            </w:r>
            <w:r>
              <w:rPr>
                <w:noProof/>
                <w:webHidden/>
              </w:rPr>
              <w:fldChar w:fldCharType="separate"/>
            </w:r>
            <w:r w:rsidR="0098319E">
              <w:rPr>
                <w:noProof/>
                <w:webHidden/>
              </w:rPr>
              <w:t>23</w:t>
            </w:r>
            <w:r>
              <w:rPr>
                <w:noProof/>
                <w:webHidden/>
              </w:rPr>
              <w:fldChar w:fldCharType="end"/>
            </w:r>
          </w:hyperlink>
        </w:p>
        <w:p w14:paraId="3D4C063D" w14:textId="6226A9F1" w:rsidR="00554ACC" w:rsidRDefault="00554ACC">
          <w:pPr>
            <w:pStyle w:val="TOC1"/>
            <w:tabs>
              <w:tab w:val="left" w:pos="480"/>
            </w:tabs>
            <w:rPr>
              <w:rFonts w:eastAsiaTheme="minorEastAsia" w:cstheme="minorBidi"/>
              <w:kern w:val="2"/>
              <w:lang w:eastAsia="en-AU"/>
              <w14:ligatures w14:val="standardContextual"/>
            </w:rPr>
          </w:pPr>
          <w:hyperlink w:anchor="_Toc197682383" w:history="1">
            <w:r w:rsidRPr="00F977B2">
              <w:rPr>
                <w:rStyle w:val="Hyperlink"/>
              </w:rPr>
              <w:t>5.</w:t>
            </w:r>
            <w:r>
              <w:rPr>
                <w:rFonts w:eastAsiaTheme="minorEastAsia" w:cstheme="minorBidi"/>
                <w:kern w:val="2"/>
                <w:lang w:eastAsia="en-AU"/>
                <w14:ligatures w14:val="standardContextual"/>
              </w:rPr>
              <w:tab/>
            </w:r>
            <w:r w:rsidRPr="00F977B2">
              <w:rPr>
                <w:rStyle w:val="Hyperlink"/>
              </w:rPr>
              <w:t>Practice obligations</w:t>
            </w:r>
            <w:r>
              <w:rPr>
                <w:webHidden/>
              </w:rPr>
              <w:tab/>
            </w:r>
            <w:r>
              <w:rPr>
                <w:webHidden/>
              </w:rPr>
              <w:fldChar w:fldCharType="begin"/>
            </w:r>
            <w:r>
              <w:rPr>
                <w:webHidden/>
              </w:rPr>
              <w:instrText xml:space="preserve"> PAGEREF _Toc197682383 \h </w:instrText>
            </w:r>
            <w:r>
              <w:rPr>
                <w:webHidden/>
              </w:rPr>
            </w:r>
            <w:r>
              <w:rPr>
                <w:webHidden/>
              </w:rPr>
              <w:fldChar w:fldCharType="separate"/>
            </w:r>
            <w:r w:rsidR="0098319E">
              <w:rPr>
                <w:webHidden/>
              </w:rPr>
              <w:t>24</w:t>
            </w:r>
            <w:r>
              <w:rPr>
                <w:webHidden/>
              </w:rPr>
              <w:fldChar w:fldCharType="end"/>
            </w:r>
          </w:hyperlink>
        </w:p>
        <w:p w14:paraId="289815BF" w14:textId="776F234B"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4" w:history="1">
            <w:r w:rsidRPr="00F977B2">
              <w:rPr>
                <w:rStyle w:val="Hyperlink"/>
                <w:noProof/>
              </w:rPr>
              <w:t>5.1 Eligibility for payments</w:t>
            </w:r>
            <w:r>
              <w:rPr>
                <w:noProof/>
                <w:webHidden/>
              </w:rPr>
              <w:tab/>
            </w:r>
            <w:r>
              <w:rPr>
                <w:noProof/>
                <w:webHidden/>
              </w:rPr>
              <w:fldChar w:fldCharType="begin"/>
            </w:r>
            <w:r>
              <w:rPr>
                <w:noProof/>
                <w:webHidden/>
              </w:rPr>
              <w:instrText xml:space="preserve"> PAGEREF _Toc197682384 \h </w:instrText>
            </w:r>
            <w:r>
              <w:rPr>
                <w:noProof/>
                <w:webHidden/>
              </w:rPr>
            </w:r>
            <w:r>
              <w:rPr>
                <w:noProof/>
                <w:webHidden/>
              </w:rPr>
              <w:fldChar w:fldCharType="separate"/>
            </w:r>
            <w:r w:rsidR="0098319E">
              <w:rPr>
                <w:noProof/>
                <w:webHidden/>
              </w:rPr>
              <w:t>24</w:t>
            </w:r>
            <w:r>
              <w:rPr>
                <w:noProof/>
                <w:webHidden/>
              </w:rPr>
              <w:fldChar w:fldCharType="end"/>
            </w:r>
          </w:hyperlink>
        </w:p>
        <w:p w14:paraId="6D871414" w14:textId="797BBDB5"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5" w:history="1">
            <w:r w:rsidRPr="00F977B2">
              <w:rPr>
                <w:rStyle w:val="Hyperlink"/>
                <w:noProof/>
              </w:rPr>
              <w:t>5.1.1 Practice obligations</w:t>
            </w:r>
            <w:r>
              <w:rPr>
                <w:noProof/>
                <w:webHidden/>
              </w:rPr>
              <w:tab/>
            </w:r>
            <w:r>
              <w:rPr>
                <w:noProof/>
                <w:webHidden/>
              </w:rPr>
              <w:fldChar w:fldCharType="begin"/>
            </w:r>
            <w:r>
              <w:rPr>
                <w:noProof/>
                <w:webHidden/>
              </w:rPr>
              <w:instrText xml:space="preserve"> PAGEREF _Toc197682385 \h </w:instrText>
            </w:r>
            <w:r>
              <w:rPr>
                <w:noProof/>
                <w:webHidden/>
              </w:rPr>
            </w:r>
            <w:r>
              <w:rPr>
                <w:noProof/>
                <w:webHidden/>
              </w:rPr>
              <w:fldChar w:fldCharType="separate"/>
            </w:r>
            <w:r w:rsidR="0098319E">
              <w:rPr>
                <w:noProof/>
                <w:webHidden/>
              </w:rPr>
              <w:t>24</w:t>
            </w:r>
            <w:r>
              <w:rPr>
                <w:noProof/>
                <w:webHidden/>
              </w:rPr>
              <w:fldChar w:fldCharType="end"/>
            </w:r>
          </w:hyperlink>
        </w:p>
        <w:p w14:paraId="721A3F58" w14:textId="2B37C5F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6" w:history="1">
            <w:r w:rsidRPr="00F977B2">
              <w:rPr>
                <w:rStyle w:val="Hyperlink"/>
                <w:noProof/>
              </w:rPr>
              <w:t>5.2 Changes to practice arrangements</w:t>
            </w:r>
            <w:r>
              <w:rPr>
                <w:noProof/>
                <w:webHidden/>
              </w:rPr>
              <w:tab/>
            </w:r>
            <w:r>
              <w:rPr>
                <w:noProof/>
                <w:webHidden/>
              </w:rPr>
              <w:fldChar w:fldCharType="begin"/>
            </w:r>
            <w:r>
              <w:rPr>
                <w:noProof/>
                <w:webHidden/>
              </w:rPr>
              <w:instrText xml:space="preserve"> PAGEREF _Toc197682386 \h </w:instrText>
            </w:r>
            <w:r>
              <w:rPr>
                <w:noProof/>
                <w:webHidden/>
              </w:rPr>
            </w:r>
            <w:r>
              <w:rPr>
                <w:noProof/>
                <w:webHidden/>
              </w:rPr>
              <w:fldChar w:fldCharType="separate"/>
            </w:r>
            <w:r w:rsidR="0098319E">
              <w:rPr>
                <w:noProof/>
                <w:webHidden/>
              </w:rPr>
              <w:t>25</w:t>
            </w:r>
            <w:r>
              <w:rPr>
                <w:noProof/>
                <w:webHidden/>
              </w:rPr>
              <w:fldChar w:fldCharType="end"/>
            </w:r>
          </w:hyperlink>
        </w:p>
        <w:p w14:paraId="73FD0B60" w14:textId="724F9905"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7" w:history="1">
            <w:r w:rsidRPr="00F977B2">
              <w:rPr>
                <w:rStyle w:val="Hyperlink"/>
                <w:noProof/>
              </w:rPr>
              <w:t>5.3 Withdrawing from the program</w:t>
            </w:r>
            <w:r>
              <w:rPr>
                <w:noProof/>
                <w:webHidden/>
              </w:rPr>
              <w:tab/>
            </w:r>
            <w:r>
              <w:rPr>
                <w:noProof/>
                <w:webHidden/>
              </w:rPr>
              <w:fldChar w:fldCharType="begin"/>
            </w:r>
            <w:r>
              <w:rPr>
                <w:noProof/>
                <w:webHidden/>
              </w:rPr>
              <w:instrText xml:space="preserve"> PAGEREF _Toc197682387 \h </w:instrText>
            </w:r>
            <w:r>
              <w:rPr>
                <w:noProof/>
                <w:webHidden/>
              </w:rPr>
            </w:r>
            <w:r>
              <w:rPr>
                <w:noProof/>
                <w:webHidden/>
              </w:rPr>
              <w:fldChar w:fldCharType="separate"/>
            </w:r>
            <w:r w:rsidR="0098319E">
              <w:rPr>
                <w:noProof/>
                <w:webHidden/>
              </w:rPr>
              <w:t>26</w:t>
            </w:r>
            <w:r>
              <w:rPr>
                <w:noProof/>
                <w:webHidden/>
              </w:rPr>
              <w:fldChar w:fldCharType="end"/>
            </w:r>
          </w:hyperlink>
        </w:p>
        <w:p w14:paraId="4DAA5E2E" w14:textId="2342E689"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88" w:history="1">
            <w:r w:rsidRPr="00F977B2">
              <w:rPr>
                <w:rStyle w:val="Hyperlink"/>
                <w:noProof/>
              </w:rPr>
              <w:t>5.4 Privacy and consent</w:t>
            </w:r>
            <w:r>
              <w:rPr>
                <w:noProof/>
                <w:webHidden/>
              </w:rPr>
              <w:tab/>
            </w:r>
            <w:r>
              <w:rPr>
                <w:noProof/>
                <w:webHidden/>
              </w:rPr>
              <w:fldChar w:fldCharType="begin"/>
            </w:r>
            <w:r>
              <w:rPr>
                <w:noProof/>
                <w:webHidden/>
              </w:rPr>
              <w:instrText xml:space="preserve"> PAGEREF _Toc197682388 \h </w:instrText>
            </w:r>
            <w:r>
              <w:rPr>
                <w:noProof/>
                <w:webHidden/>
              </w:rPr>
            </w:r>
            <w:r>
              <w:rPr>
                <w:noProof/>
                <w:webHidden/>
              </w:rPr>
              <w:fldChar w:fldCharType="separate"/>
            </w:r>
            <w:r w:rsidR="0098319E">
              <w:rPr>
                <w:noProof/>
                <w:webHidden/>
              </w:rPr>
              <w:t>26</w:t>
            </w:r>
            <w:r>
              <w:rPr>
                <w:noProof/>
                <w:webHidden/>
              </w:rPr>
              <w:fldChar w:fldCharType="end"/>
            </w:r>
          </w:hyperlink>
        </w:p>
        <w:p w14:paraId="1BEBF1BD" w14:textId="15EE1D24" w:rsidR="00554ACC" w:rsidRDefault="00554ACC">
          <w:pPr>
            <w:pStyle w:val="TOC3"/>
            <w:tabs>
              <w:tab w:val="right" w:leader="dot" w:pos="9016"/>
            </w:tabs>
            <w:rPr>
              <w:rFonts w:eastAsiaTheme="minorEastAsia" w:cstheme="minorBidi"/>
              <w:noProof/>
              <w:kern w:val="2"/>
              <w:lang w:eastAsia="en-AU"/>
              <w14:ligatures w14:val="standardContextual"/>
            </w:rPr>
          </w:pPr>
          <w:hyperlink w:anchor="_Toc197682389" w:history="1">
            <w:r w:rsidRPr="00F977B2">
              <w:rPr>
                <w:rStyle w:val="Hyperlink"/>
                <w:noProof/>
              </w:rPr>
              <w:t>5.4.1 PIP consenting practice</w:t>
            </w:r>
            <w:r>
              <w:rPr>
                <w:noProof/>
                <w:webHidden/>
              </w:rPr>
              <w:tab/>
            </w:r>
            <w:r>
              <w:rPr>
                <w:noProof/>
                <w:webHidden/>
              </w:rPr>
              <w:fldChar w:fldCharType="begin"/>
            </w:r>
            <w:r>
              <w:rPr>
                <w:noProof/>
                <w:webHidden/>
              </w:rPr>
              <w:instrText xml:space="preserve"> PAGEREF _Toc197682389 \h </w:instrText>
            </w:r>
            <w:r>
              <w:rPr>
                <w:noProof/>
                <w:webHidden/>
              </w:rPr>
            </w:r>
            <w:r>
              <w:rPr>
                <w:noProof/>
                <w:webHidden/>
              </w:rPr>
              <w:fldChar w:fldCharType="separate"/>
            </w:r>
            <w:r w:rsidR="0098319E">
              <w:rPr>
                <w:noProof/>
                <w:webHidden/>
              </w:rPr>
              <w:t>27</w:t>
            </w:r>
            <w:r>
              <w:rPr>
                <w:noProof/>
                <w:webHidden/>
              </w:rPr>
              <w:fldChar w:fldCharType="end"/>
            </w:r>
          </w:hyperlink>
        </w:p>
        <w:p w14:paraId="45A5B022" w14:textId="4AF82456"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0" w:history="1">
            <w:r w:rsidRPr="00F977B2">
              <w:rPr>
                <w:rStyle w:val="Hyperlink"/>
                <w:noProof/>
              </w:rPr>
              <w:t>5.5 Rights of review</w:t>
            </w:r>
            <w:r>
              <w:rPr>
                <w:noProof/>
                <w:webHidden/>
              </w:rPr>
              <w:tab/>
            </w:r>
            <w:r>
              <w:rPr>
                <w:noProof/>
                <w:webHidden/>
              </w:rPr>
              <w:fldChar w:fldCharType="begin"/>
            </w:r>
            <w:r>
              <w:rPr>
                <w:noProof/>
                <w:webHidden/>
              </w:rPr>
              <w:instrText xml:space="preserve"> PAGEREF _Toc197682390 \h </w:instrText>
            </w:r>
            <w:r>
              <w:rPr>
                <w:noProof/>
                <w:webHidden/>
              </w:rPr>
            </w:r>
            <w:r>
              <w:rPr>
                <w:noProof/>
                <w:webHidden/>
              </w:rPr>
              <w:fldChar w:fldCharType="separate"/>
            </w:r>
            <w:r w:rsidR="0098319E">
              <w:rPr>
                <w:noProof/>
                <w:webHidden/>
              </w:rPr>
              <w:t>27</w:t>
            </w:r>
            <w:r>
              <w:rPr>
                <w:noProof/>
                <w:webHidden/>
              </w:rPr>
              <w:fldChar w:fldCharType="end"/>
            </w:r>
          </w:hyperlink>
        </w:p>
        <w:p w14:paraId="0062E557" w14:textId="33E241A4"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1" w:history="1">
            <w:r w:rsidRPr="00F977B2">
              <w:rPr>
                <w:rStyle w:val="Hyperlink"/>
                <w:noProof/>
              </w:rPr>
              <w:t>5.6 Ensuring the integrity of the WIP-Practice Stream</w:t>
            </w:r>
            <w:r>
              <w:rPr>
                <w:noProof/>
                <w:webHidden/>
              </w:rPr>
              <w:tab/>
            </w:r>
            <w:r>
              <w:rPr>
                <w:noProof/>
                <w:webHidden/>
              </w:rPr>
              <w:fldChar w:fldCharType="begin"/>
            </w:r>
            <w:r>
              <w:rPr>
                <w:noProof/>
                <w:webHidden/>
              </w:rPr>
              <w:instrText xml:space="preserve"> PAGEREF _Toc197682391 \h </w:instrText>
            </w:r>
            <w:r>
              <w:rPr>
                <w:noProof/>
                <w:webHidden/>
              </w:rPr>
            </w:r>
            <w:r>
              <w:rPr>
                <w:noProof/>
                <w:webHidden/>
              </w:rPr>
              <w:fldChar w:fldCharType="separate"/>
            </w:r>
            <w:r w:rsidR="0098319E">
              <w:rPr>
                <w:noProof/>
                <w:webHidden/>
              </w:rPr>
              <w:t>28</w:t>
            </w:r>
            <w:r>
              <w:rPr>
                <w:noProof/>
                <w:webHidden/>
              </w:rPr>
              <w:fldChar w:fldCharType="end"/>
            </w:r>
          </w:hyperlink>
        </w:p>
        <w:p w14:paraId="6D04FE0A" w14:textId="4CAAAF5A" w:rsidR="00554ACC" w:rsidRDefault="00554ACC">
          <w:pPr>
            <w:pStyle w:val="TOC1"/>
            <w:tabs>
              <w:tab w:val="left" w:pos="480"/>
            </w:tabs>
            <w:rPr>
              <w:rFonts w:eastAsiaTheme="minorEastAsia" w:cstheme="minorBidi"/>
              <w:kern w:val="2"/>
              <w:lang w:eastAsia="en-AU"/>
              <w14:ligatures w14:val="standardContextual"/>
            </w:rPr>
          </w:pPr>
          <w:hyperlink w:anchor="_Toc197682392" w:history="1">
            <w:r w:rsidRPr="00F977B2">
              <w:rPr>
                <w:rStyle w:val="Hyperlink"/>
              </w:rPr>
              <w:t>6.</w:t>
            </w:r>
            <w:r>
              <w:rPr>
                <w:rFonts w:eastAsiaTheme="minorEastAsia" w:cstheme="minorBidi"/>
                <w:kern w:val="2"/>
                <w:lang w:eastAsia="en-AU"/>
                <w14:ligatures w14:val="standardContextual"/>
              </w:rPr>
              <w:tab/>
            </w:r>
            <w:r w:rsidRPr="00F977B2">
              <w:rPr>
                <w:rStyle w:val="Hyperlink"/>
              </w:rPr>
              <w:t>Example WIP – Practice Stream payment calculations</w:t>
            </w:r>
            <w:r>
              <w:rPr>
                <w:webHidden/>
              </w:rPr>
              <w:tab/>
            </w:r>
            <w:r>
              <w:rPr>
                <w:webHidden/>
              </w:rPr>
              <w:fldChar w:fldCharType="begin"/>
            </w:r>
            <w:r>
              <w:rPr>
                <w:webHidden/>
              </w:rPr>
              <w:instrText xml:space="preserve"> PAGEREF _Toc197682392 \h </w:instrText>
            </w:r>
            <w:r>
              <w:rPr>
                <w:webHidden/>
              </w:rPr>
            </w:r>
            <w:r>
              <w:rPr>
                <w:webHidden/>
              </w:rPr>
              <w:fldChar w:fldCharType="separate"/>
            </w:r>
            <w:r w:rsidR="0098319E">
              <w:rPr>
                <w:webHidden/>
              </w:rPr>
              <w:t>29</w:t>
            </w:r>
            <w:r>
              <w:rPr>
                <w:webHidden/>
              </w:rPr>
              <w:fldChar w:fldCharType="end"/>
            </w:r>
          </w:hyperlink>
        </w:p>
        <w:p w14:paraId="7392B1C1" w14:textId="22DAFC60" w:rsidR="00554ACC" w:rsidRDefault="00554ACC">
          <w:pPr>
            <w:pStyle w:val="TOC1"/>
            <w:tabs>
              <w:tab w:val="left" w:pos="480"/>
            </w:tabs>
            <w:rPr>
              <w:rFonts w:eastAsiaTheme="minorEastAsia" w:cstheme="minorBidi"/>
              <w:kern w:val="2"/>
              <w:lang w:eastAsia="en-AU"/>
              <w14:ligatures w14:val="standardContextual"/>
            </w:rPr>
          </w:pPr>
          <w:hyperlink w:anchor="_Toc197682393" w:history="1">
            <w:r w:rsidRPr="00F977B2">
              <w:rPr>
                <w:rStyle w:val="Hyperlink"/>
              </w:rPr>
              <w:t>7.</w:t>
            </w:r>
            <w:r>
              <w:rPr>
                <w:rFonts w:eastAsiaTheme="minorEastAsia" w:cstheme="minorBidi"/>
                <w:kern w:val="2"/>
                <w:lang w:eastAsia="en-AU"/>
                <w14:ligatures w14:val="standardContextual"/>
              </w:rPr>
              <w:tab/>
            </w:r>
            <w:r w:rsidRPr="00F977B2">
              <w:rPr>
                <w:rStyle w:val="Hyperlink"/>
              </w:rPr>
              <w:t>Contact information WIP – Practice Stream</w:t>
            </w:r>
            <w:r>
              <w:rPr>
                <w:webHidden/>
              </w:rPr>
              <w:tab/>
            </w:r>
            <w:r>
              <w:rPr>
                <w:webHidden/>
              </w:rPr>
              <w:fldChar w:fldCharType="begin"/>
            </w:r>
            <w:r>
              <w:rPr>
                <w:webHidden/>
              </w:rPr>
              <w:instrText xml:space="preserve"> PAGEREF _Toc197682393 \h </w:instrText>
            </w:r>
            <w:r>
              <w:rPr>
                <w:webHidden/>
              </w:rPr>
            </w:r>
            <w:r>
              <w:rPr>
                <w:webHidden/>
              </w:rPr>
              <w:fldChar w:fldCharType="separate"/>
            </w:r>
            <w:r w:rsidR="0098319E">
              <w:rPr>
                <w:webHidden/>
              </w:rPr>
              <w:t>31</w:t>
            </w:r>
            <w:r>
              <w:rPr>
                <w:webHidden/>
              </w:rPr>
              <w:fldChar w:fldCharType="end"/>
            </w:r>
          </w:hyperlink>
        </w:p>
        <w:p w14:paraId="5DBA2588" w14:textId="08BDD686" w:rsidR="00554ACC" w:rsidRDefault="00554ACC">
          <w:pPr>
            <w:pStyle w:val="TOC1"/>
            <w:rPr>
              <w:rFonts w:eastAsiaTheme="minorEastAsia" w:cstheme="minorBidi"/>
              <w:kern w:val="2"/>
              <w:lang w:eastAsia="en-AU"/>
              <w14:ligatures w14:val="standardContextual"/>
            </w:rPr>
          </w:pPr>
          <w:hyperlink w:anchor="_Toc197682394" w:history="1">
            <w:r w:rsidRPr="00F977B2">
              <w:rPr>
                <w:rStyle w:val="Hyperlink"/>
              </w:rPr>
              <w:t>Part C: Acronyms/ Glossary of Terms</w:t>
            </w:r>
            <w:r>
              <w:rPr>
                <w:webHidden/>
              </w:rPr>
              <w:tab/>
            </w:r>
            <w:r>
              <w:rPr>
                <w:webHidden/>
              </w:rPr>
              <w:fldChar w:fldCharType="begin"/>
            </w:r>
            <w:r>
              <w:rPr>
                <w:webHidden/>
              </w:rPr>
              <w:instrText xml:space="preserve"> PAGEREF _Toc197682394 \h </w:instrText>
            </w:r>
            <w:r>
              <w:rPr>
                <w:webHidden/>
              </w:rPr>
            </w:r>
            <w:r>
              <w:rPr>
                <w:webHidden/>
              </w:rPr>
              <w:fldChar w:fldCharType="separate"/>
            </w:r>
            <w:r w:rsidR="0098319E">
              <w:rPr>
                <w:webHidden/>
              </w:rPr>
              <w:t>32</w:t>
            </w:r>
            <w:r>
              <w:rPr>
                <w:webHidden/>
              </w:rPr>
              <w:fldChar w:fldCharType="end"/>
            </w:r>
          </w:hyperlink>
        </w:p>
        <w:p w14:paraId="493ECC50" w14:textId="02A7F358" w:rsidR="00554ACC" w:rsidRDefault="00554ACC">
          <w:pPr>
            <w:pStyle w:val="TOC1"/>
            <w:rPr>
              <w:rFonts w:eastAsiaTheme="minorEastAsia" w:cstheme="minorBidi"/>
              <w:kern w:val="2"/>
              <w:lang w:eastAsia="en-AU"/>
              <w14:ligatures w14:val="standardContextual"/>
            </w:rPr>
          </w:pPr>
          <w:hyperlink w:anchor="_Toc197682395" w:history="1">
            <w:r w:rsidRPr="00F977B2">
              <w:rPr>
                <w:rStyle w:val="Hyperlink"/>
              </w:rPr>
              <w:t>List of acronyms</w:t>
            </w:r>
            <w:r>
              <w:rPr>
                <w:webHidden/>
              </w:rPr>
              <w:tab/>
            </w:r>
            <w:r>
              <w:rPr>
                <w:webHidden/>
              </w:rPr>
              <w:fldChar w:fldCharType="begin"/>
            </w:r>
            <w:r>
              <w:rPr>
                <w:webHidden/>
              </w:rPr>
              <w:instrText xml:space="preserve"> PAGEREF _Toc197682395 \h </w:instrText>
            </w:r>
            <w:r>
              <w:rPr>
                <w:webHidden/>
              </w:rPr>
            </w:r>
            <w:r>
              <w:rPr>
                <w:webHidden/>
              </w:rPr>
              <w:fldChar w:fldCharType="separate"/>
            </w:r>
            <w:r w:rsidR="0098319E">
              <w:rPr>
                <w:webHidden/>
              </w:rPr>
              <w:t>32</w:t>
            </w:r>
            <w:r>
              <w:rPr>
                <w:webHidden/>
              </w:rPr>
              <w:fldChar w:fldCharType="end"/>
            </w:r>
          </w:hyperlink>
        </w:p>
        <w:p w14:paraId="09310736" w14:textId="2C4E2B29" w:rsidR="00554ACC" w:rsidRDefault="00554ACC">
          <w:pPr>
            <w:pStyle w:val="TOC1"/>
            <w:rPr>
              <w:rFonts w:eastAsiaTheme="minorEastAsia" w:cstheme="minorBidi"/>
              <w:kern w:val="2"/>
              <w:lang w:eastAsia="en-AU"/>
              <w14:ligatures w14:val="standardContextual"/>
            </w:rPr>
          </w:pPr>
          <w:hyperlink w:anchor="_Toc197682396" w:history="1">
            <w:r w:rsidRPr="00F977B2">
              <w:rPr>
                <w:rStyle w:val="Hyperlink"/>
              </w:rPr>
              <w:t>Glossary of Terms</w:t>
            </w:r>
            <w:r>
              <w:rPr>
                <w:webHidden/>
              </w:rPr>
              <w:tab/>
            </w:r>
            <w:r>
              <w:rPr>
                <w:webHidden/>
              </w:rPr>
              <w:fldChar w:fldCharType="begin"/>
            </w:r>
            <w:r>
              <w:rPr>
                <w:webHidden/>
              </w:rPr>
              <w:instrText xml:space="preserve"> PAGEREF _Toc197682396 \h </w:instrText>
            </w:r>
            <w:r>
              <w:rPr>
                <w:webHidden/>
              </w:rPr>
            </w:r>
            <w:r>
              <w:rPr>
                <w:webHidden/>
              </w:rPr>
              <w:fldChar w:fldCharType="separate"/>
            </w:r>
            <w:r w:rsidR="0098319E">
              <w:rPr>
                <w:webHidden/>
              </w:rPr>
              <w:t>33</w:t>
            </w:r>
            <w:r>
              <w:rPr>
                <w:webHidden/>
              </w:rPr>
              <w:fldChar w:fldCharType="end"/>
            </w:r>
          </w:hyperlink>
        </w:p>
        <w:p w14:paraId="38EE568B" w14:textId="52E55E41"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7" w:history="1">
            <w:r w:rsidRPr="00F977B2">
              <w:rPr>
                <w:rStyle w:val="Hyperlink"/>
                <w:noProof/>
              </w:rPr>
              <w:t>General</w:t>
            </w:r>
            <w:r>
              <w:rPr>
                <w:noProof/>
                <w:webHidden/>
              </w:rPr>
              <w:tab/>
            </w:r>
            <w:r>
              <w:rPr>
                <w:noProof/>
                <w:webHidden/>
              </w:rPr>
              <w:fldChar w:fldCharType="begin"/>
            </w:r>
            <w:r>
              <w:rPr>
                <w:noProof/>
                <w:webHidden/>
              </w:rPr>
              <w:instrText xml:space="preserve"> PAGEREF _Toc197682397 \h </w:instrText>
            </w:r>
            <w:r>
              <w:rPr>
                <w:noProof/>
                <w:webHidden/>
              </w:rPr>
            </w:r>
            <w:r>
              <w:rPr>
                <w:noProof/>
                <w:webHidden/>
              </w:rPr>
              <w:fldChar w:fldCharType="separate"/>
            </w:r>
            <w:r w:rsidR="0098319E">
              <w:rPr>
                <w:noProof/>
                <w:webHidden/>
              </w:rPr>
              <w:t>33</w:t>
            </w:r>
            <w:r>
              <w:rPr>
                <w:noProof/>
                <w:webHidden/>
              </w:rPr>
              <w:fldChar w:fldCharType="end"/>
            </w:r>
          </w:hyperlink>
        </w:p>
        <w:p w14:paraId="2A7AE79E" w14:textId="5F4A6DFF" w:rsidR="00554ACC" w:rsidRDefault="00554ACC">
          <w:pPr>
            <w:pStyle w:val="TOC2"/>
            <w:tabs>
              <w:tab w:val="right" w:leader="dot" w:pos="9016"/>
            </w:tabs>
            <w:rPr>
              <w:rFonts w:eastAsiaTheme="minorEastAsia" w:cstheme="minorBidi"/>
              <w:noProof/>
              <w:kern w:val="2"/>
              <w:lang w:eastAsia="en-AU"/>
              <w14:ligatures w14:val="standardContextual"/>
            </w:rPr>
          </w:pPr>
          <w:hyperlink w:anchor="_Toc197682398" w:history="1">
            <w:r w:rsidRPr="00F977B2">
              <w:rPr>
                <w:rStyle w:val="Hyperlink"/>
                <w:noProof/>
              </w:rPr>
              <w:t>WIP – Practice Stream</w:t>
            </w:r>
            <w:r>
              <w:rPr>
                <w:noProof/>
                <w:webHidden/>
              </w:rPr>
              <w:tab/>
            </w:r>
            <w:r>
              <w:rPr>
                <w:noProof/>
                <w:webHidden/>
              </w:rPr>
              <w:fldChar w:fldCharType="begin"/>
            </w:r>
            <w:r>
              <w:rPr>
                <w:noProof/>
                <w:webHidden/>
              </w:rPr>
              <w:instrText xml:space="preserve"> PAGEREF _Toc197682398 \h </w:instrText>
            </w:r>
            <w:r>
              <w:rPr>
                <w:noProof/>
                <w:webHidden/>
              </w:rPr>
            </w:r>
            <w:r>
              <w:rPr>
                <w:noProof/>
                <w:webHidden/>
              </w:rPr>
              <w:fldChar w:fldCharType="separate"/>
            </w:r>
            <w:r w:rsidR="0098319E">
              <w:rPr>
                <w:noProof/>
                <w:webHidden/>
              </w:rPr>
              <w:t>34</w:t>
            </w:r>
            <w:r>
              <w:rPr>
                <w:noProof/>
                <w:webHidden/>
              </w:rPr>
              <w:fldChar w:fldCharType="end"/>
            </w:r>
          </w:hyperlink>
        </w:p>
        <w:p w14:paraId="63E27C6D" w14:textId="48145910" w:rsidR="00216160" w:rsidRDefault="00216160">
          <w:pPr>
            <w:rPr>
              <w:b/>
              <w:bCs/>
              <w:noProof/>
            </w:rPr>
          </w:pPr>
          <w:r>
            <w:rPr>
              <w:b/>
              <w:bCs/>
              <w:noProof/>
            </w:rPr>
            <w:fldChar w:fldCharType="end"/>
          </w:r>
        </w:p>
      </w:sdtContent>
    </w:sdt>
    <w:p w14:paraId="1F7B6C10" w14:textId="34B43E3D" w:rsidR="00E7061D" w:rsidRDefault="00E7061D">
      <w:pPr>
        <w:spacing w:after="160"/>
      </w:pPr>
      <w:r>
        <w:br w:type="page"/>
      </w:r>
    </w:p>
    <w:p w14:paraId="1FF56FE1" w14:textId="77777777" w:rsidR="00C71821" w:rsidRDefault="00C71821" w:rsidP="00C71821">
      <w:pPr>
        <w:pStyle w:val="Heading1"/>
      </w:pPr>
      <w:bookmarkStart w:id="4" w:name="_Toc197682338"/>
      <w:r>
        <w:lastRenderedPageBreak/>
        <w:t>Disclaimer</w:t>
      </w:r>
      <w:bookmarkEnd w:id="4"/>
    </w:p>
    <w:p w14:paraId="3DC94C87" w14:textId="5A021C51" w:rsidR="009034A5" w:rsidRPr="0043055A" w:rsidRDefault="00C71821" w:rsidP="0043055A">
      <w:pPr>
        <w:rPr>
          <w:highlight w:val="yellow"/>
        </w:rPr>
      </w:pPr>
      <w:r w:rsidRPr="00FA2942">
        <w:t>The</w:t>
      </w:r>
      <w:r w:rsidR="00235CD1">
        <w:t>se</w:t>
      </w:r>
      <w:r w:rsidRPr="00FA2942">
        <w:t xml:space="preserve"> Guidelines are for information purposes and provide the basis upon which </w:t>
      </w:r>
      <w:r w:rsidR="00FB35C8">
        <w:t>Workforce Incentive Program</w:t>
      </w:r>
      <w:r w:rsidRPr="00FA2942">
        <w:t xml:space="preserve"> </w:t>
      </w:r>
      <w:r w:rsidR="00FB35C8">
        <w:t xml:space="preserve">- </w:t>
      </w:r>
      <w:r w:rsidR="009034A5">
        <w:t>Practice Stream</w:t>
      </w:r>
      <w:r w:rsidR="0075274E">
        <w:t xml:space="preserve"> (WIP-PS)</w:t>
      </w:r>
      <w:r w:rsidR="009034A5">
        <w:t xml:space="preserve"> </w:t>
      </w:r>
      <w:r w:rsidRPr="00FA2942">
        <w:t>payments are made</w:t>
      </w:r>
      <w:r w:rsidRPr="008118AF">
        <w:t>. While it is intended that the Australian Government will mak</w:t>
      </w:r>
      <w:r>
        <w:t>e payments as set out in the G</w:t>
      </w:r>
      <w:r w:rsidRPr="008118AF">
        <w:t>uidelines, payments are made at its sole discretion. The Government may alter arra</w:t>
      </w:r>
      <w:r>
        <w:t>ngements for the</w:t>
      </w:r>
      <w:r w:rsidRPr="00FA2942">
        <w:t xml:space="preserve"> </w:t>
      </w:r>
      <w:r w:rsidR="0025487A">
        <w:t>WIP-PS</w:t>
      </w:r>
      <w:r w:rsidRPr="00FA2942">
        <w:t xml:space="preserve"> </w:t>
      </w:r>
      <w:r w:rsidRPr="008118AF">
        <w:t xml:space="preserve">at any time and without notice. The Government does not accept any legal liability or responsibility for any injury, loss or damage incurred </w:t>
      </w:r>
      <w:r w:rsidR="00AC5E37" w:rsidRPr="008118AF">
        <w:t>using</w:t>
      </w:r>
      <w:r w:rsidRPr="008118AF">
        <w:t xml:space="preserve">, reliance on, or interpretation </w:t>
      </w:r>
      <w:r w:rsidRPr="0043055A">
        <w:t>of</w:t>
      </w:r>
      <w:r w:rsidRPr="008118AF">
        <w:t xml:space="preserve"> the information provided in the </w:t>
      </w:r>
      <w:r>
        <w:t>G</w:t>
      </w:r>
      <w:r w:rsidRPr="008118AF">
        <w:t>uidelines.</w:t>
      </w:r>
      <w:r w:rsidRPr="008118AF">
        <w:rPr>
          <w:i/>
          <w:highlight w:val="yellow"/>
        </w:rPr>
        <w:t xml:space="preserve"> </w:t>
      </w:r>
    </w:p>
    <w:p w14:paraId="68218FE5" w14:textId="3D53D225" w:rsidR="009034A5" w:rsidRPr="0043055A" w:rsidRDefault="009034A5" w:rsidP="0043055A">
      <w:pPr>
        <w:sectPr w:rsidR="009034A5" w:rsidRPr="0043055A" w:rsidSect="00C64AEF">
          <w:footerReference w:type="default" r:id="rId12"/>
          <w:footerReference w:type="first" r:id="rId13"/>
          <w:pgSz w:w="11906" w:h="16838"/>
          <w:pgMar w:top="1440" w:right="1440" w:bottom="1440" w:left="1440" w:header="708" w:footer="708" w:gutter="0"/>
          <w:pgBorders w:display="firstPage" w:offsetFrom="page">
            <w:top w:val="single" w:sz="48" w:space="24" w:color="2E74B5" w:themeColor="accent1" w:themeShade="BF"/>
            <w:left w:val="single" w:sz="48" w:space="24" w:color="2E74B5" w:themeColor="accent1" w:themeShade="BF"/>
            <w:bottom w:val="single" w:sz="48" w:space="24" w:color="2E74B5" w:themeColor="accent1" w:themeShade="BF"/>
            <w:right w:val="single" w:sz="48" w:space="24" w:color="2E74B5" w:themeColor="accent1" w:themeShade="BF"/>
          </w:pgBorders>
          <w:pgNumType w:fmt="lowerRoman" w:start="0"/>
          <w:cols w:space="708"/>
          <w:titlePg/>
          <w:docGrid w:linePitch="360"/>
        </w:sectPr>
      </w:pPr>
    </w:p>
    <w:p w14:paraId="54B5C110" w14:textId="712DDAE0" w:rsidR="001740DE" w:rsidRPr="001740DE" w:rsidRDefault="00A37E8D" w:rsidP="00781C1E">
      <w:pPr>
        <w:pStyle w:val="Heading1"/>
        <w:rPr>
          <w:b w:val="0"/>
        </w:rPr>
      </w:pPr>
      <w:bookmarkStart w:id="5" w:name="_Toc142318428"/>
      <w:bookmarkStart w:id="6" w:name="_Toc197682339"/>
      <w:bookmarkStart w:id="7" w:name="_Toc529284530"/>
      <w:bookmarkStart w:id="8" w:name="_Toc529284754"/>
      <w:r>
        <w:t>Part A</w:t>
      </w:r>
      <w:r w:rsidR="001740DE">
        <w:t xml:space="preserve">: </w:t>
      </w:r>
      <w:r w:rsidR="00FB35C8">
        <w:t>WIP</w:t>
      </w:r>
      <w:r w:rsidR="009034A5">
        <w:t xml:space="preserve"> – </w:t>
      </w:r>
      <w:r w:rsidR="001740DE">
        <w:t>Overview</w:t>
      </w:r>
      <w:bookmarkEnd w:id="5"/>
      <w:bookmarkEnd w:id="6"/>
    </w:p>
    <w:p w14:paraId="21326DE8" w14:textId="14D06BC7" w:rsidR="00067EBF" w:rsidRPr="006748D1" w:rsidRDefault="00FB35C8" w:rsidP="00350712">
      <w:pPr>
        <w:pStyle w:val="Heading1numbered"/>
      </w:pPr>
      <w:bookmarkStart w:id="9" w:name="_Toc142318429"/>
      <w:bookmarkStart w:id="10" w:name="_Toc197682340"/>
      <w:r>
        <w:t>WIP</w:t>
      </w:r>
      <w:r w:rsidR="009034A5" w:rsidRPr="006748D1">
        <w:t xml:space="preserve"> </w:t>
      </w:r>
      <w:r w:rsidR="00980154">
        <w:t>-</w:t>
      </w:r>
      <w:r w:rsidR="009034A5" w:rsidRPr="006748D1">
        <w:t xml:space="preserve"> Practice Stream Guidelines</w:t>
      </w:r>
      <w:bookmarkEnd w:id="7"/>
      <w:bookmarkEnd w:id="8"/>
      <w:bookmarkEnd w:id="9"/>
      <w:bookmarkEnd w:id="10"/>
    </w:p>
    <w:p w14:paraId="3AB1CEB3" w14:textId="30F4529F" w:rsidR="00E100B6" w:rsidRDefault="00E100B6" w:rsidP="00164043">
      <w:r w:rsidRPr="00FA2942">
        <w:t xml:space="preserve">The </w:t>
      </w:r>
      <w:r w:rsidR="006A6A89">
        <w:t>W</w:t>
      </w:r>
      <w:r w:rsidR="000C73BF">
        <w:t>orkforce Incentive Program</w:t>
      </w:r>
      <w:r w:rsidR="004A27EC">
        <w:t xml:space="preserve"> Practice Stream</w:t>
      </w:r>
      <w:r w:rsidR="0025487A">
        <w:t xml:space="preserve"> </w:t>
      </w:r>
      <w:r w:rsidRPr="00FA2942">
        <w:t xml:space="preserve">Guidelines </w:t>
      </w:r>
      <w:r w:rsidR="00FA2942" w:rsidRPr="00FA2942">
        <w:t>(the</w:t>
      </w:r>
      <w:r w:rsidR="003302FB" w:rsidRPr="00FA2942">
        <w:t xml:space="preserve"> Guidelines) set out</w:t>
      </w:r>
      <w:r w:rsidR="00C6259D" w:rsidRPr="00FA2942">
        <w:t xml:space="preserve"> how the </w:t>
      </w:r>
      <w:r w:rsidR="00D276A9" w:rsidRPr="00FA2942">
        <w:t>WIP</w:t>
      </w:r>
      <w:r w:rsidR="00C6259D" w:rsidRPr="00FA2942">
        <w:t xml:space="preserve"> </w:t>
      </w:r>
      <w:r w:rsidR="00980154">
        <w:t>-</w:t>
      </w:r>
      <w:r w:rsidR="009034A5">
        <w:t xml:space="preserve"> Practice Stream </w:t>
      </w:r>
      <w:r w:rsidR="00C6259D" w:rsidRPr="00FA2942">
        <w:t>op</w:t>
      </w:r>
      <w:r w:rsidR="003302FB" w:rsidRPr="00FA2942">
        <w:t xml:space="preserve">erates including eligibility, how to apply and how payments are calculated. </w:t>
      </w:r>
    </w:p>
    <w:p w14:paraId="05D7907D" w14:textId="77777777" w:rsidR="00A37E8D" w:rsidRDefault="00A37E8D" w:rsidP="00A37E8D">
      <w:r w:rsidRPr="00FA2942">
        <w:t>The Guidelines</w:t>
      </w:r>
      <w:r>
        <w:t xml:space="preserve"> contain two parts. </w:t>
      </w:r>
    </w:p>
    <w:p w14:paraId="39CEC4F5" w14:textId="341E2EE2" w:rsidR="00A37E8D" w:rsidRDefault="00A37E8D" w:rsidP="0043055A">
      <w:pPr>
        <w:pStyle w:val="ListBullet"/>
      </w:pPr>
      <w:r>
        <w:t xml:space="preserve">Part A provides an overview of the </w:t>
      </w:r>
      <w:r w:rsidR="00554ACC">
        <w:t>WIP.</w:t>
      </w:r>
    </w:p>
    <w:p w14:paraId="4C66B1A9" w14:textId="612EE61B" w:rsidR="00A37E8D" w:rsidRPr="00FA2942" w:rsidRDefault="00A37E8D" w:rsidP="0043055A">
      <w:pPr>
        <w:pStyle w:val="ListBullet"/>
      </w:pPr>
      <w:r>
        <w:t>Part B</w:t>
      </w:r>
      <w:r w:rsidRPr="00FA2942">
        <w:t xml:space="preserve"> provides information relating to the </w:t>
      </w:r>
      <w:hyperlink w:anchor="_Part_B:_Workforce" w:history="1">
        <w:r w:rsidRPr="00E116C2">
          <w:rPr>
            <w:rStyle w:val="Hyperlink"/>
          </w:rPr>
          <w:t>WIP – Practice Stream</w:t>
        </w:r>
      </w:hyperlink>
      <w:r>
        <w:t>.</w:t>
      </w:r>
    </w:p>
    <w:p w14:paraId="1ABA8540" w14:textId="77777777" w:rsidR="00A37E8D" w:rsidRDefault="00A37E8D" w:rsidP="00A37E8D">
      <w:r w:rsidRPr="00FA2942">
        <w:t>The Guidelines are effective from</w:t>
      </w:r>
      <w:r>
        <w:t>:</w:t>
      </w:r>
    </w:p>
    <w:p w14:paraId="0096AE76" w14:textId="28126E50" w:rsidR="00A37E8D" w:rsidRDefault="00DA1C8E" w:rsidP="0043055A">
      <w:pPr>
        <w:pStyle w:val="ListBullet"/>
      </w:pPr>
      <w:r>
        <w:t xml:space="preserve">1 </w:t>
      </w:r>
      <w:r w:rsidR="006B64BC">
        <w:t xml:space="preserve">August </w:t>
      </w:r>
      <w:r>
        <w:t>2025</w:t>
      </w:r>
      <w:r w:rsidR="00EF7DAE">
        <w:t>.</w:t>
      </w:r>
    </w:p>
    <w:p w14:paraId="29F0DD67" w14:textId="3FDE97AB" w:rsidR="00A37E8D" w:rsidRPr="00C63F1F" w:rsidRDefault="00A37E8D" w:rsidP="006748D1">
      <w:pPr>
        <w:rPr>
          <w:iCs/>
        </w:rPr>
      </w:pPr>
      <w:r w:rsidRPr="00FA2942">
        <w:t xml:space="preserve">The Guidelines may be amended at any </w:t>
      </w:r>
      <w:r w:rsidRPr="00245891">
        <w:t>time by</w:t>
      </w:r>
      <w:r w:rsidR="003220A6" w:rsidRPr="00245891">
        <w:t xml:space="preserve"> </w:t>
      </w:r>
      <w:r w:rsidR="00F62273" w:rsidRPr="00245891">
        <w:t>The Department of Health</w:t>
      </w:r>
      <w:r w:rsidR="00481541">
        <w:t xml:space="preserve">, Disability and Ageing </w:t>
      </w:r>
      <w:r w:rsidR="00F62273" w:rsidRPr="00245891">
        <w:t>(Health)</w:t>
      </w:r>
      <w:r w:rsidRPr="00245891">
        <w:t>. The current version of the Guidelines will state the ‘effective date’ as detailed</w:t>
      </w:r>
      <w:r w:rsidRPr="00FA2942">
        <w:t xml:space="preserve"> in the corresponding amendment notice on the </w:t>
      </w:r>
      <w:proofErr w:type="gramStart"/>
      <w:r w:rsidRPr="00FA2942">
        <w:t>Health</w:t>
      </w:r>
      <w:proofErr w:type="gramEnd"/>
      <w:r w:rsidRPr="00FA2942">
        <w:t xml:space="preserve"> website. The current versio</w:t>
      </w:r>
      <w:r>
        <w:t>n</w:t>
      </w:r>
      <w:r w:rsidRPr="00FA2942">
        <w:t xml:space="preserve"> of the Guidelines will </w:t>
      </w:r>
      <w:proofErr w:type="gramStart"/>
      <w:r w:rsidRPr="00FA2942">
        <w:t>be available at all times</w:t>
      </w:r>
      <w:proofErr w:type="gramEnd"/>
      <w:r w:rsidRPr="00FA2942">
        <w:t xml:space="preserve"> on</w:t>
      </w:r>
      <w:r w:rsidR="00634148">
        <w:t xml:space="preserve"> Health’s</w:t>
      </w:r>
      <w:r w:rsidRPr="00FA2942">
        <w:t xml:space="preserve"> </w:t>
      </w:r>
      <w:r w:rsidR="00F06C55">
        <w:t>website.</w:t>
      </w:r>
    </w:p>
    <w:p w14:paraId="7AA447EB" w14:textId="6A282F5D" w:rsidR="00280E69" w:rsidRPr="008A00F4" w:rsidRDefault="00E100B6" w:rsidP="009403B6">
      <w:pPr>
        <w:rPr>
          <w:i/>
        </w:rPr>
      </w:pPr>
      <w:r w:rsidRPr="008146FB">
        <w:t xml:space="preserve">It is the responsibility of eligible </w:t>
      </w:r>
      <w:r w:rsidR="007B43FD">
        <w:t xml:space="preserve">medical practitioners </w:t>
      </w:r>
      <w:r>
        <w:t>and</w:t>
      </w:r>
      <w:r w:rsidRPr="001D4FB6">
        <w:t xml:space="preserve"> </w:t>
      </w:r>
      <w:r w:rsidR="008D12C5" w:rsidRPr="001D4FB6">
        <w:t xml:space="preserve">general </w:t>
      </w:r>
      <w:r>
        <w:t>practice</w:t>
      </w:r>
      <w:r w:rsidR="009920F0">
        <w:t xml:space="preserve"> owner</w:t>
      </w:r>
      <w:r w:rsidR="001C1AD0">
        <w:t>(</w:t>
      </w:r>
      <w:r w:rsidR="009920F0">
        <w:t>s</w:t>
      </w:r>
      <w:r w:rsidR="001C1AD0">
        <w:t>)</w:t>
      </w:r>
      <w:r w:rsidRPr="008146FB">
        <w:t xml:space="preserve"> to</w:t>
      </w:r>
      <w:r w:rsidR="00C00C52">
        <w:t xml:space="preserve"> ensure they are operating </w:t>
      </w:r>
      <w:r w:rsidR="00FA2942">
        <w:t>under the current version of the</w:t>
      </w:r>
      <w:r w:rsidR="00EB6E69">
        <w:t xml:space="preserve"> Guidelines.</w:t>
      </w:r>
      <w:r w:rsidRPr="008146FB">
        <w:t xml:space="preserve"> </w:t>
      </w:r>
      <w:r w:rsidR="00C00C52">
        <w:t xml:space="preserve">Any </w:t>
      </w:r>
      <w:r w:rsidRPr="008146FB">
        <w:t xml:space="preserve">loss of payment or any other loss </w:t>
      </w:r>
      <w:proofErr w:type="gramStart"/>
      <w:r w:rsidRPr="008146FB">
        <w:t>as a result of</w:t>
      </w:r>
      <w:proofErr w:type="gramEnd"/>
      <w:r w:rsidRPr="008146FB">
        <w:t xml:space="preserve"> failing to operate under the current version of the Guidelines</w:t>
      </w:r>
      <w:r w:rsidR="00C00C52">
        <w:t xml:space="preserve"> is the responsibility of the </w:t>
      </w:r>
      <w:r w:rsidR="00064252">
        <w:t xml:space="preserve">medical practitioner </w:t>
      </w:r>
      <w:r w:rsidR="00C00C52">
        <w:t>or practice</w:t>
      </w:r>
      <w:r w:rsidR="009920F0">
        <w:t xml:space="preserve"> owner</w:t>
      </w:r>
      <w:r w:rsidR="001C1AD0">
        <w:t>(</w:t>
      </w:r>
      <w:r w:rsidR="009920F0">
        <w:t>s</w:t>
      </w:r>
      <w:r w:rsidR="001C1AD0">
        <w:t>)</w:t>
      </w:r>
      <w:r w:rsidRPr="008146FB">
        <w:t>.</w:t>
      </w:r>
      <w:r>
        <w:t xml:space="preserve"> </w:t>
      </w:r>
      <w:r w:rsidR="008A00F4" w:rsidRPr="006748D1">
        <w:t>The Government reserves the right to recover over-payments.</w:t>
      </w:r>
    </w:p>
    <w:p w14:paraId="42B82D02" w14:textId="2654C920" w:rsidR="00C22792" w:rsidRPr="00F0217B" w:rsidRDefault="00C22792" w:rsidP="00F0217B">
      <w:pPr>
        <w:pStyle w:val="Heading2"/>
      </w:pPr>
      <w:bookmarkStart w:id="11" w:name="_2.3_Modified_Monash"/>
      <w:bookmarkStart w:id="12" w:name="_7._Glossary_of"/>
      <w:bookmarkStart w:id="13" w:name="_Toc142318430"/>
      <w:bookmarkStart w:id="14" w:name="_Toc197682341"/>
      <w:bookmarkStart w:id="15" w:name="_Hlk136609353"/>
      <w:bookmarkEnd w:id="11"/>
      <w:bookmarkEnd w:id="12"/>
      <w:r w:rsidRPr="00F0217B">
        <w:t>Legislative and Legal Authority</w:t>
      </w:r>
      <w:bookmarkEnd w:id="13"/>
      <w:bookmarkEnd w:id="14"/>
    </w:p>
    <w:p w14:paraId="4FF55ED5" w14:textId="6005D199" w:rsidR="00C22792" w:rsidRDefault="00436AFF">
      <w:r>
        <w:t xml:space="preserve">The program is authorised by section 32B of the </w:t>
      </w:r>
      <w:r w:rsidRPr="00E87A06">
        <w:rPr>
          <w:i/>
        </w:rPr>
        <w:t>Financial Framework (Supplementary Powers) Act 1997</w:t>
      </w:r>
      <w:r>
        <w:t xml:space="preserve">. </w:t>
      </w:r>
      <w:r w:rsidR="00C22792" w:rsidRPr="00EC11CB">
        <w:t xml:space="preserve">Legislative authority for arrangements of </w:t>
      </w:r>
      <w:r w:rsidR="00C22792">
        <w:t xml:space="preserve">the WIP </w:t>
      </w:r>
      <w:r>
        <w:t xml:space="preserve">– Practice Stream </w:t>
      </w:r>
      <w:r w:rsidR="00C22792" w:rsidRPr="00EC11CB">
        <w:t xml:space="preserve">can be found in Item 415.023 (Primary Care Practice Incentives) and Item 415.035 (Workforce and Rural Distribution) of Part </w:t>
      </w:r>
      <w:r w:rsidR="00EE0DCF">
        <w:t>4</w:t>
      </w:r>
      <w:r w:rsidR="00C22792" w:rsidRPr="00EC11CB">
        <w:t xml:space="preserve"> (</w:t>
      </w:r>
      <w:r w:rsidR="00EE0DCF">
        <w:t>Programs</w:t>
      </w:r>
      <w:r w:rsidR="00C22792" w:rsidRPr="00EC11CB">
        <w:t>) of Schedule 1AA of the</w:t>
      </w:r>
      <w:r w:rsidR="00EE0DCF">
        <w:t xml:space="preserve"> </w:t>
      </w:r>
      <w:r w:rsidR="00EE0DCF" w:rsidRPr="00E87A06">
        <w:rPr>
          <w:i/>
        </w:rPr>
        <w:t>Financial Framework (Supplementary Powers) Regulations 1997</w:t>
      </w:r>
      <w:r w:rsidR="00C22792" w:rsidRPr="00EC11CB">
        <w:t>.</w:t>
      </w:r>
      <w:bookmarkEnd w:id="15"/>
    </w:p>
    <w:p w14:paraId="0137C2B3" w14:textId="0414A07B" w:rsidR="00A37E8D" w:rsidRPr="0043055A" w:rsidRDefault="00A37E8D" w:rsidP="005565C0">
      <w:pPr>
        <w:pStyle w:val="Heading1numbered"/>
      </w:pPr>
      <w:bookmarkStart w:id="16" w:name="_Toc529284531"/>
      <w:bookmarkStart w:id="17" w:name="_Toc529284755"/>
      <w:bookmarkStart w:id="18" w:name="_Toc89261867"/>
      <w:bookmarkStart w:id="19" w:name="_Toc197682342"/>
      <w:r w:rsidRPr="006748D1">
        <w:lastRenderedPageBreak/>
        <w:t>W</w:t>
      </w:r>
      <w:r w:rsidR="0025487A">
        <w:t xml:space="preserve">orkforce </w:t>
      </w:r>
      <w:r w:rsidRPr="006748D1">
        <w:t>I</w:t>
      </w:r>
      <w:r w:rsidR="0025487A">
        <w:t xml:space="preserve">ncentive </w:t>
      </w:r>
      <w:r w:rsidRPr="006748D1">
        <w:t>P</w:t>
      </w:r>
      <w:r w:rsidR="0025487A">
        <w:t>rogram</w:t>
      </w:r>
      <w:r w:rsidR="00624CC3">
        <w:t xml:space="preserve"> (WIP)</w:t>
      </w:r>
      <w:r w:rsidRPr="006748D1">
        <w:t xml:space="preserve"> policy overvie</w:t>
      </w:r>
      <w:bookmarkEnd w:id="16"/>
      <w:bookmarkEnd w:id="17"/>
      <w:bookmarkEnd w:id="18"/>
      <w:r w:rsidRPr="006748D1">
        <w:t>w</w:t>
      </w:r>
      <w:bookmarkEnd w:id="19"/>
    </w:p>
    <w:p w14:paraId="5D1B1A60" w14:textId="4F10B2DC" w:rsidR="00A37E8D" w:rsidRDefault="00A37E8D" w:rsidP="00A37E8D">
      <w:pPr>
        <w:tabs>
          <w:tab w:val="right" w:pos="9016"/>
        </w:tabs>
        <w:autoSpaceDE w:val="0"/>
        <w:autoSpaceDN w:val="0"/>
        <w:adjustRightInd w:val="0"/>
        <w:spacing w:line="240" w:lineRule="auto"/>
        <w:rPr>
          <w:rFonts w:ascii="Calibri" w:hAnsi="Calibri" w:cs="Calibri"/>
        </w:rPr>
      </w:pPr>
      <w:r>
        <w:rPr>
          <w:rFonts w:ascii="Calibri" w:hAnsi="Calibri" w:cs="Calibri"/>
        </w:rPr>
        <w:t xml:space="preserve">The objectives of the WIP are to provide targeted financial incentives that will: </w:t>
      </w:r>
    </w:p>
    <w:p w14:paraId="73CFB707" w14:textId="7F522D0F" w:rsidR="00A37E8D" w:rsidRPr="007E5E73" w:rsidRDefault="00A37E8D" w:rsidP="0043055A">
      <w:pPr>
        <w:pStyle w:val="ListBullet"/>
      </w:pPr>
      <w:r w:rsidRPr="007E5E73">
        <w:t xml:space="preserve">encourage </w:t>
      </w:r>
      <w:r w:rsidR="007367D4">
        <w:t xml:space="preserve">health professionals </w:t>
      </w:r>
      <w:r w:rsidRPr="007E5E73">
        <w:t xml:space="preserve">to deliver primary health care services in regional, rural and remote </w:t>
      </w:r>
      <w:proofErr w:type="gramStart"/>
      <w:r w:rsidRPr="007E5E73">
        <w:t>communities;</w:t>
      </w:r>
      <w:proofErr w:type="gramEnd"/>
      <w:r w:rsidRPr="007E5E73">
        <w:t xml:space="preserve"> </w:t>
      </w:r>
    </w:p>
    <w:p w14:paraId="02AD85CD" w14:textId="6A93FBB8" w:rsidR="00A37E8D" w:rsidRPr="007E5E73" w:rsidRDefault="00A37E8D" w:rsidP="0043055A">
      <w:pPr>
        <w:pStyle w:val="ListBullet"/>
      </w:pPr>
      <w:r w:rsidRPr="007E5E73">
        <w:t xml:space="preserve">support careers in rural </w:t>
      </w:r>
      <w:r w:rsidR="007367D4">
        <w:t xml:space="preserve">primary health care </w:t>
      </w:r>
      <w:r w:rsidRPr="007E5E73">
        <w:t xml:space="preserve">to retain </w:t>
      </w:r>
      <w:r w:rsidR="007367D4">
        <w:t xml:space="preserve">health professionals </w:t>
      </w:r>
      <w:r w:rsidRPr="007E5E73">
        <w:t>in regional, rural and remote locations;</w:t>
      </w:r>
      <w:r w:rsidR="00EF7DAE" w:rsidRPr="007E5E73">
        <w:t xml:space="preserve"> and</w:t>
      </w:r>
    </w:p>
    <w:p w14:paraId="223E9750" w14:textId="78CD1FFE" w:rsidR="00A37E8D" w:rsidRPr="007E5E73" w:rsidRDefault="00A37E8D" w:rsidP="0043055A">
      <w:pPr>
        <w:pStyle w:val="ListBullet"/>
      </w:pPr>
      <w:r w:rsidRPr="007E5E73">
        <w:t xml:space="preserve">support the growth of team-based multidisciplinary care models </w:t>
      </w:r>
      <w:r w:rsidR="00624CC3">
        <w:t>in</w:t>
      </w:r>
      <w:r w:rsidR="00624CC3" w:rsidRPr="007E5E73">
        <w:t xml:space="preserve"> </w:t>
      </w:r>
      <w:r w:rsidRPr="007E5E73">
        <w:t>eligible general practices</w:t>
      </w:r>
      <w:r w:rsidR="00EF7DAE" w:rsidRPr="007E5E73">
        <w:t>.</w:t>
      </w:r>
    </w:p>
    <w:p w14:paraId="664D4C6C" w14:textId="00C16367" w:rsidR="00A37E8D" w:rsidRPr="007E5E73" w:rsidRDefault="00A37E8D" w:rsidP="00BC4F08">
      <w:pPr>
        <w:pStyle w:val="ListBullet"/>
        <w:numPr>
          <w:ilvl w:val="0"/>
          <w:numId w:val="0"/>
        </w:numPr>
        <w:ind w:left="360" w:hanging="360"/>
      </w:pPr>
      <w:r w:rsidRPr="007E5E73">
        <w:t xml:space="preserve">The WIP has </w:t>
      </w:r>
      <w:r w:rsidR="00CB07AF" w:rsidRPr="007E5E73">
        <w:t xml:space="preserve">three </w:t>
      </w:r>
      <w:r w:rsidR="00EF7DAE" w:rsidRPr="007E5E73">
        <w:t>streams</w:t>
      </w:r>
      <w:r w:rsidRPr="007E5E73">
        <w:t>:</w:t>
      </w:r>
    </w:p>
    <w:p w14:paraId="3E79BC4D" w14:textId="6369695D" w:rsidR="00A37E8D" w:rsidRPr="007E5E73" w:rsidRDefault="00A37E8D" w:rsidP="0043055A">
      <w:pPr>
        <w:pStyle w:val="ListBullet"/>
      </w:pPr>
      <w:r w:rsidRPr="007E5E73">
        <w:t xml:space="preserve">WIP </w:t>
      </w:r>
      <w:r w:rsidR="00980154">
        <w:t>-</w:t>
      </w:r>
      <w:r w:rsidRPr="007E5E73">
        <w:t xml:space="preserve"> Doctor Stream where payments are made directly to General Practitioners (GPs) and Rural Generalists working in </w:t>
      </w:r>
      <w:hyperlink w:anchor="MMM" w:history="1">
        <w:r w:rsidRPr="007E5E73">
          <w:rPr>
            <w:rStyle w:val="Hyperlink"/>
            <w:rFonts w:cstheme="minorHAnsi"/>
          </w:rPr>
          <w:t>Modified Monash</w:t>
        </w:r>
      </w:hyperlink>
      <w:r w:rsidRPr="007E5E73">
        <w:t xml:space="preserve"> (MM) 3-7 </w:t>
      </w:r>
      <w:proofErr w:type="gramStart"/>
      <w:r w:rsidRPr="007E5E73">
        <w:t>locations;</w:t>
      </w:r>
      <w:proofErr w:type="gramEnd"/>
      <w:r w:rsidRPr="007E5E73">
        <w:t xml:space="preserve"> </w:t>
      </w:r>
    </w:p>
    <w:p w14:paraId="352906BB" w14:textId="6F1C9836" w:rsidR="001F411C" w:rsidRPr="007E5E73" w:rsidRDefault="00A37E8D" w:rsidP="0043055A">
      <w:pPr>
        <w:pStyle w:val="ListBullet"/>
      </w:pPr>
      <w:r w:rsidRPr="007E5E73">
        <w:t xml:space="preserve">WIP </w:t>
      </w:r>
      <w:r w:rsidR="00980154">
        <w:t xml:space="preserve">- </w:t>
      </w:r>
      <w:r w:rsidRPr="007E5E73">
        <w:t xml:space="preserve">Practice Stream where payments are made directly to practices that employ nurses, </w:t>
      </w:r>
      <w:r w:rsidR="0098676B">
        <w:t xml:space="preserve">midwives, </w:t>
      </w:r>
      <w:r w:rsidRPr="007E5E73">
        <w:t xml:space="preserve">Aboriginal and Torres Strait Islander </w:t>
      </w:r>
      <w:r w:rsidR="007520CC">
        <w:t>h</w:t>
      </w:r>
      <w:r w:rsidRPr="007E5E73">
        <w:t xml:space="preserve">ealth </w:t>
      </w:r>
      <w:r w:rsidR="007520CC">
        <w:t>w</w:t>
      </w:r>
      <w:r w:rsidRPr="007E5E73">
        <w:t>orkers</w:t>
      </w:r>
      <w:r w:rsidR="00E46842">
        <w:t xml:space="preserve"> and health practitioners</w:t>
      </w:r>
      <w:r w:rsidRPr="007E5E73">
        <w:t>, and allied health professionals</w:t>
      </w:r>
      <w:r w:rsidR="00EF7DAE" w:rsidRPr="007E5E73">
        <w:t>; and</w:t>
      </w:r>
    </w:p>
    <w:p w14:paraId="4C4264BB" w14:textId="3A010C74" w:rsidR="00EF3399" w:rsidRPr="001F411C" w:rsidRDefault="00CB07AF" w:rsidP="0043055A">
      <w:pPr>
        <w:pStyle w:val="ListBullet"/>
        <w:rPr>
          <w:rFonts w:ascii="Calibri" w:hAnsi="Calibri" w:cs="Calibri"/>
        </w:rPr>
      </w:pPr>
      <w:r w:rsidRPr="007E5E73">
        <w:t xml:space="preserve">WIP </w:t>
      </w:r>
      <w:r w:rsidR="003269D1">
        <w:t xml:space="preserve">- </w:t>
      </w:r>
      <w:r w:rsidRPr="007E5E73">
        <w:t>Rural Advanced Skills for GPs and rural generalists with advanced clinical skills to practice in rural and remote communities</w:t>
      </w:r>
      <w:r>
        <w:t>.</w:t>
      </w:r>
    </w:p>
    <w:p w14:paraId="48309622" w14:textId="67D6A0D0" w:rsidR="00FA5693" w:rsidRPr="00350712" w:rsidRDefault="00FA5693" w:rsidP="00F0217B">
      <w:pPr>
        <w:pStyle w:val="Heading1"/>
      </w:pPr>
      <w:bookmarkStart w:id="20" w:name="_Part_B:_WIP"/>
      <w:bookmarkStart w:id="21" w:name="_2.2_Maximum_incentive"/>
      <w:bookmarkStart w:id="22" w:name="_2.3_Active_quarters"/>
      <w:bookmarkStart w:id="23" w:name="_2.3.4_Number_of"/>
      <w:bookmarkStart w:id="24" w:name="_2.4.1_Number_of"/>
      <w:bookmarkStart w:id="25" w:name="_2.3.1_Number_of"/>
      <w:bookmarkStart w:id="26" w:name="_3.2_Maximum_Incentive"/>
      <w:bookmarkStart w:id="27" w:name="_Toc439753933"/>
      <w:bookmarkStart w:id="28" w:name="_Toc439753935"/>
      <w:bookmarkStart w:id="29" w:name="_3._Central_Payment"/>
      <w:bookmarkStart w:id="30" w:name="_3.1_Eligibility"/>
      <w:bookmarkStart w:id="31" w:name="_3.1.1_Eligible_primary"/>
      <w:bookmarkStart w:id="32" w:name="_5.1.1_Eligible_Primary"/>
      <w:bookmarkStart w:id="33" w:name="_3.2_Activity_thresholds"/>
      <w:bookmarkStart w:id="34" w:name="_3.5_Providing_bank"/>
      <w:bookmarkStart w:id="35" w:name="_SECTION_B:_Flexible"/>
      <w:bookmarkStart w:id="36" w:name="_4._Flexible_Payment"/>
      <w:bookmarkStart w:id="37" w:name="_4.1_Eligibility"/>
      <w:bookmarkStart w:id="38" w:name="_4.1.1_Eligible_primary"/>
      <w:bookmarkStart w:id="39" w:name="_4.1.3_Alternative_employment"/>
      <w:bookmarkStart w:id="40" w:name="_4.1.3_Alternative_employment_1"/>
      <w:bookmarkStart w:id="41" w:name="_4.1.2_Alternative_employment"/>
      <w:bookmarkStart w:id="42" w:name="_4.1.3_Approved_"/>
      <w:bookmarkStart w:id="43" w:name="_.1.3_Approved_"/>
      <w:bookmarkStart w:id="44" w:name="_4.1.5_Special_top-up"/>
      <w:bookmarkStart w:id="45" w:name="_4.1.6_Special_top-up"/>
      <w:bookmarkStart w:id="46" w:name="_Excessive_travel_time"/>
      <w:bookmarkStart w:id="47" w:name="_4.2_Activity_thresholds"/>
      <w:bookmarkStart w:id="48" w:name="_Toc491157218"/>
      <w:bookmarkStart w:id="49" w:name="_4.4_Application_requirements"/>
      <w:bookmarkStart w:id="50" w:name="_5.2_Health_Professional"/>
      <w:bookmarkStart w:id="51" w:name="_6._Example_WIP_1"/>
      <w:bookmarkStart w:id="52" w:name="_67._Example_WIP"/>
      <w:bookmarkStart w:id="53" w:name="_Example_Payment_Calculation"/>
      <w:bookmarkStart w:id="54" w:name="_Part_B:_Workforce"/>
      <w:bookmarkStart w:id="55" w:name="_Toc197682343"/>
      <w:bookmarkStart w:id="56" w:name="_Toc25157818"/>
      <w:bookmarkStart w:id="57" w:name="_Toc529284541"/>
      <w:bookmarkStart w:id="58" w:name="_Toc52928476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 xml:space="preserve">Part B: </w:t>
      </w:r>
      <w:r w:rsidRPr="00F0217B">
        <w:t>Workforce</w:t>
      </w:r>
      <w:r>
        <w:t xml:space="preserve"> </w:t>
      </w:r>
      <w:r w:rsidRPr="0043055A">
        <w:t>Incentive</w:t>
      </w:r>
      <w:r>
        <w:t xml:space="preserve"> Program – Practice Stream</w:t>
      </w:r>
      <w:bookmarkEnd w:id="55"/>
    </w:p>
    <w:p w14:paraId="0630AA7D" w14:textId="4F17EBC2" w:rsidR="00CF4BBE" w:rsidRPr="0043055A" w:rsidRDefault="00CF4BBE" w:rsidP="00694D90">
      <w:pPr>
        <w:pStyle w:val="Heading1numbered"/>
        <w:numPr>
          <w:ilvl w:val="0"/>
          <w:numId w:val="6"/>
        </w:numPr>
        <w:ind w:left="470" w:hanging="357"/>
      </w:pPr>
      <w:bookmarkStart w:id="59" w:name="_Toc137644686"/>
      <w:bookmarkStart w:id="60" w:name="_Toc138054920"/>
      <w:bookmarkStart w:id="61" w:name="_Toc138162297"/>
      <w:bookmarkStart w:id="62" w:name="_Toc138162846"/>
      <w:bookmarkStart w:id="63" w:name="_Toc138162927"/>
      <w:bookmarkStart w:id="64" w:name="_8._Contact_information"/>
      <w:bookmarkStart w:id="65" w:name="_Toc137644687"/>
      <w:bookmarkStart w:id="66" w:name="_Toc138054921"/>
      <w:bookmarkStart w:id="67" w:name="_Toc138162298"/>
      <w:bookmarkStart w:id="68" w:name="_Toc138162847"/>
      <w:bookmarkStart w:id="69" w:name="_Toc138162928"/>
      <w:bookmarkStart w:id="70" w:name="_Toc137644688"/>
      <w:bookmarkStart w:id="71" w:name="_Toc138054922"/>
      <w:bookmarkStart w:id="72" w:name="_Toc138162299"/>
      <w:bookmarkStart w:id="73" w:name="_Toc138162848"/>
      <w:bookmarkStart w:id="74" w:name="_Toc138162929"/>
      <w:bookmarkStart w:id="75" w:name="_Toc137644689"/>
      <w:bookmarkStart w:id="76" w:name="_Toc138054923"/>
      <w:bookmarkStart w:id="77" w:name="_Toc138162300"/>
      <w:bookmarkStart w:id="78" w:name="_Toc138162849"/>
      <w:bookmarkStart w:id="79" w:name="_Toc138162930"/>
      <w:bookmarkStart w:id="80" w:name="_Toc137644690"/>
      <w:bookmarkStart w:id="81" w:name="_Toc138054924"/>
      <w:bookmarkStart w:id="82" w:name="_Toc138162301"/>
      <w:bookmarkStart w:id="83" w:name="_Toc138162850"/>
      <w:bookmarkStart w:id="84" w:name="_Toc138162931"/>
      <w:bookmarkStart w:id="85" w:name="_Toc137644691"/>
      <w:bookmarkStart w:id="86" w:name="_Toc138054925"/>
      <w:bookmarkStart w:id="87" w:name="_Toc138162302"/>
      <w:bookmarkStart w:id="88" w:name="_Toc138162851"/>
      <w:bookmarkStart w:id="89" w:name="_Toc138162932"/>
      <w:bookmarkStart w:id="90" w:name="_Toc137644692"/>
      <w:bookmarkStart w:id="91" w:name="_Toc138054926"/>
      <w:bookmarkStart w:id="92" w:name="_Toc138162303"/>
      <w:bookmarkStart w:id="93" w:name="_Toc138162852"/>
      <w:bookmarkStart w:id="94" w:name="_Toc138162933"/>
      <w:bookmarkStart w:id="95" w:name="_Toc137644693"/>
      <w:bookmarkStart w:id="96" w:name="_Toc138054927"/>
      <w:bookmarkStart w:id="97" w:name="_Toc138162304"/>
      <w:bookmarkStart w:id="98" w:name="_Toc138162853"/>
      <w:bookmarkStart w:id="99" w:name="_Toc138162934"/>
      <w:bookmarkStart w:id="100" w:name="_Toc137644694"/>
      <w:bookmarkStart w:id="101" w:name="_Toc138054928"/>
      <w:bookmarkStart w:id="102" w:name="_Toc138162305"/>
      <w:bookmarkStart w:id="103" w:name="_Toc138162854"/>
      <w:bookmarkStart w:id="104" w:name="_Toc138162935"/>
      <w:bookmarkStart w:id="105" w:name="_Toc137644695"/>
      <w:bookmarkStart w:id="106" w:name="_Toc138054929"/>
      <w:bookmarkStart w:id="107" w:name="_Toc138162306"/>
      <w:bookmarkStart w:id="108" w:name="_Toc138162855"/>
      <w:bookmarkStart w:id="109" w:name="_Toc138162936"/>
      <w:bookmarkStart w:id="110" w:name="_Toc137644696"/>
      <w:bookmarkStart w:id="111" w:name="_Toc138054930"/>
      <w:bookmarkStart w:id="112" w:name="_Toc138162307"/>
      <w:bookmarkStart w:id="113" w:name="_Toc138162856"/>
      <w:bookmarkStart w:id="114" w:name="_Toc138162937"/>
      <w:bookmarkStart w:id="115" w:name="_Toc137644697"/>
      <w:bookmarkStart w:id="116" w:name="_Toc138054931"/>
      <w:bookmarkStart w:id="117" w:name="_Toc138162308"/>
      <w:bookmarkStart w:id="118" w:name="_Toc138162857"/>
      <w:bookmarkStart w:id="119" w:name="_Toc138162938"/>
      <w:bookmarkStart w:id="120" w:name="_Toc137644698"/>
      <w:bookmarkStart w:id="121" w:name="_Toc138054932"/>
      <w:bookmarkStart w:id="122" w:name="_Toc138162309"/>
      <w:bookmarkStart w:id="123" w:name="_Toc138162858"/>
      <w:bookmarkStart w:id="124" w:name="_Toc138162939"/>
      <w:bookmarkStart w:id="125" w:name="_Toc137644699"/>
      <w:bookmarkStart w:id="126" w:name="_Toc138054933"/>
      <w:bookmarkStart w:id="127" w:name="_Toc138162310"/>
      <w:bookmarkStart w:id="128" w:name="_Toc138162859"/>
      <w:bookmarkStart w:id="129" w:name="_Toc138162940"/>
      <w:bookmarkStart w:id="130" w:name="_Toc137644700"/>
      <w:bookmarkStart w:id="131" w:name="_Toc138054934"/>
      <w:bookmarkStart w:id="132" w:name="_Toc138162311"/>
      <w:bookmarkStart w:id="133" w:name="_Toc138162860"/>
      <w:bookmarkStart w:id="134" w:name="_Toc138162941"/>
      <w:bookmarkStart w:id="135" w:name="_Toc137644701"/>
      <w:bookmarkStart w:id="136" w:name="_Toc138054935"/>
      <w:bookmarkStart w:id="137" w:name="_Toc138162312"/>
      <w:bookmarkStart w:id="138" w:name="_Toc138162861"/>
      <w:bookmarkStart w:id="139" w:name="_Toc138162942"/>
      <w:bookmarkStart w:id="140" w:name="_Toc137644702"/>
      <w:bookmarkStart w:id="141" w:name="_Toc138054936"/>
      <w:bookmarkStart w:id="142" w:name="_Toc138162313"/>
      <w:bookmarkStart w:id="143" w:name="_Toc138162862"/>
      <w:bookmarkStart w:id="144" w:name="_Toc138162943"/>
      <w:bookmarkStart w:id="145" w:name="_Toc137644703"/>
      <w:bookmarkStart w:id="146" w:name="_Toc138054937"/>
      <w:bookmarkStart w:id="147" w:name="_Toc138162314"/>
      <w:bookmarkStart w:id="148" w:name="_Toc138162863"/>
      <w:bookmarkStart w:id="149" w:name="_Toc138162944"/>
      <w:bookmarkStart w:id="150" w:name="_Toc529284543"/>
      <w:bookmarkStart w:id="151" w:name="_Toc529284767"/>
      <w:bookmarkStart w:id="152" w:name="_Toc25157819"/>
      <w:bookmarkStart w:id="153" w:name="_Toc197682344"/>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B28A1">
        <w:t>Eligibility</w:t>
      </w:r>
      <w:bookmarkEnd w:id="150"/>
      <w:bookmarkEnd w:id="151"/>
      <w:bookmarkEnd w:id="152"/>
      <w:bookmarkEnd w:id="153"/>
    </w:p>
    <w:p w14:paraId="36796C6D" w14:textId="387F2CA2" w:rsidR="002E4BCE" w:rsidRDefault="002A4384" w:rsidP="00CD7B16">
      <w:r w:rsidRPr="00CD7B16">
        <w:t xml:space="preserve">The </w:t>
      </w:r>
      <w:r w:rsidR="00B37D38">
        <w:t>WIP</w:t>
      </w:r>
      <w:r w:rsidR="00F0140C">
        <w:t xml:space="preserve"> </w:t>
      </w:r>
      <w:r w:rsidR="00B37D38">
        <w:t>-</w:t>
      </w:r>
      <w:r w:rsidR="00F0140C">
        <w:t xml:space="preserve"> </w:t>
      </w:r>
      <w:r w:rsidR="00B37D38">
        <w:t xml:space="preserve">Practice </w:t>
      </w:r>
      <w:r w:rsidR="00BE76A4">
        <w:t>S</w:t>
      </w:r>
      <w:r w:rsidR="00B37D38">
        <w:t>tream</w:t>
      </w:r>
      <w:r w:rsidRPr="00CD7B16">
        <w:t xml:space="preserve"> </w:t>
      </w:r>
      <w:r w:rsidRPr="0082483D">
        <w:t xml:space="preserve">provides financial incentives to help general practices with the cost of engaging nurses, </w:t>
      </w:r>
      <w:r w:rsidR="00627161">
        <w:t xml:space="preserve">midwives, </w:t>
      </w:r>
      <w:r w:rsidRPr="0082483D">
        <w:t xml:space="preserve">allied health professionals, and/or Aboriginal and Torres Strait Islander health </w:t>
      </w:r>
      <w:r w:rsidR="00627161">
        <w:t xml:space="preserve">workers </w:t>
      </w:r>
      <w:r w:rsidRPr="0082483D">
        <w:t xml:space="preserve">and health </w:t>
      </w:r>
      <w:r w:rsidR="00752068">
        <w:t xml:space="preserve">practitioners </w:t>
      </w:r>
      <w:r w:rsidRPr="0082483D">
        <w:t xml:space="preserve">as part of a multidisciplinary team. </w:t>
      </w:r>
    </w:p>
    <w:p w14:paraId="7EA7CFC4" w14:textId="01E00BE9" w:rsidR="002A4384" w:rsidRPr="0082483D" w:rsidRDefault="008D50BC" w:rsidP="00CD7B16">
      <w:r>
        <w:t xml:space="preserve">To be eligible to participate in the WIP </w:t>
      </w:r>
      <w:r w:rsidR="00980154">
        <w:t>-</w:t>
      </w:r>
      <w:r>
        <w:t xml:space="preserve"> Practice Stream a practice must meet eligibility requirements.</w:t>
      </w:r>
    </w:p>
    <w:p w14:paraId="257FB572" w14:textId="2D29493F" w:rsidR="00C71821" w:rsidRPr="001F5C23" w:rsidRDefault="00C71821" w:rsidP="00830756">
      <w:pPr>
        <w:pStyle w:val="Heading2numbered"/>
      </w:pPr>
      <w:bookmarkStart w:id="154" w:name="_1.1_Eligible_general"/>
      <w:bookmarkStart w:id="155" w:name="_1.1_Eligible_health"/>
      <w:bookmarkStart w:id="156" w:name="_Ref2590634"/>
      <w:bookmarkStart w:id="157" w:name="_Ref2590681"/>
      <w:bookmarkStart w:id="158" w:name="_Ref2590698"/>
      <w:bookmarkStart w:id="159" w:name="_Ref2590702"/>
      <w:bookmarkStart w:id="160" w:name="_Toc197682345"/>
      <w:bookmarkStart w:id="161" w:name="_Toc529284544"/>
      <w:bookmarkStart w:id="162" w:name="_Toc529284768"/>
      <w:bookmarkStart w:id="163" w:name="_Toc25157820"/>
      <w:bookmarkEnd w:id="154"/>
      <w:bookmarkEnd w:id="155"/>
      <w:r w:rsidRPr="001F5C23">
        <w:t xml:space="preserve">Eligible health </w:t>
      </w:r>
      <w:r w:rsidRPr="00F0217B">
        <w:t>professionals</w:t>
      </w:r>
      <w:bookmarkEnd w:id="156"/>
      <w:bookmarkEnd w:id="157"/>
      <w:bookmarkEnd w:id="158"/>
      <w:bookmarkEnd w:id="159"/>
      <w:bookmarkEnd w:id="160"/>
    </w:p>
    <w:p w14:paraId="2F6098F4" w14:textId="53CE5B45" w:rsidR="00C71821" w:rsidRDefault="00C71821" w:rsidP="00C71821">
      <w:r>
        <w:t xml:space="preserve">The following are eligible health professionals in the WIP </w:t>
      </w:r>
      <w:r w:rsidR="00980154">
        <w:t>-</w:t>
      </w:r>
      <w:r>
        <w:t xml:space="preserve"> Practice Stream:</w:t>
      </w:r>
    </w:p>
    <w:p w14:paraId="27D88782" w14:textId="77777777" w:rsidR="00C71821" w:rsidRPr="00C3622B" w:rsidRDefault="00C71821" w:rsidP="0043055A">
      <w:pPr>
        <w:pStyle w:val="ListBullet"/>
        <w:rPr>
          <w:lang w:val="en"/>
        </w:rPr>
      </w:pPr>
      <w:r w:rsidRPr="00C3622B">
        <w:rPr>
          <w:lang w:val="en"/>
        </w:rPr>
        <w:t>nurse practitioners</w:t>
      </w:r>
    </w:p>
    <w:p w14:paraId="38D348EA" w14:textId="3C3FAA68" w:rsidR="00C71821" w:rsidRPr="00942930" w:rsidRDefault="00C71821" w:rsidP="0043055A">
      <w:pPr>
        <w:pStyle w:val="ListBullet"/>
        <w:rPr>
          <w:lang w:val="en"/>
        </w:rPr>
      </w:pPr>
      <w:r w:rsidRPr="00942930">
        <w:rPr>
          <w:lang w:val="en"/>
        </w:rPr>
        <w:t>registered nurse</w:t>
      </w:r>
      <w:r>
        <w:rPr>
          <w:lang w:val="en"/>
        </w:rPr>
        <w:t>s</w:t>
      </w:r>
      <w:r w:rsidR="00B30561">
        <w:rPr>
          <w:rStyle w:val="FootnoteReference"/>
          <w:rFonts w:cstheme="minorHAnsi"/>
          <w:lang w:val="en"/>
        </w:rPr>
        <w:footnoteReference w:id="2"/>
      </w:r>
    </w:p>
    <w:p w14:paraId="1CA105D0" w14:textId="02842161" w:rsidR="00C71821" w:rsidRDefault="00C71821" w:rsidP="0043055A">
      <w:pPr>
        <w:pStyle w:val="ListBullet"/>
        <w:rPr>
          <w:lang w:val="en"/>
        </w:rPr>
      </w:pPr>
      <w:r w:rsidRPr="00942930">
        <w:rPr>
          <w:lang w:val="en"/>
        </w:rPr>
        <w:t>enrolled nurse</w:t>
      </w:r>
      <w:r>
        <w:rPr>
          <w:lang w:val="en"/>
        </w:rPr>
        <w:t>s</w:t>
      </w:r>
      <w:r>
        <w:rPr>
          <w:rStyle w:val="FootnoteReference"/>
          <w:rFonts w:cstheme="minorHAnsi"/>
          <w:lang w:val="en"/>
        </w:rPr>
        <w:footnoteReference w:id="3"/>
      </w:r>
    </w:p>
    <w:p w14:paraId="630DDD4C" w14:textId="51745DF6" w:rsidR="00DD32C7" w:rsidRPr="0038168D" w:rsidRDefault="00DD32C7" w:rsidP="0043055A">
      <w:pPr>
        <w:pStyle w:val="ListBullet"/>
        <w:rPr>
          <w:lang w:val="en"/>
        </w:rPr>
      </w:pPr>
      <w:r>
        <w:rPr>
          <w:lang w:val="en"/>
        </w:rPr>
        <w:lastRenderedPageBreak/>
        <w:t>midwives</w:t>
      </w:r>
    </w:p>
    <w:p w14:paraId="6868B701" w14:textId="77777777" w:rsidR="00C71821" w:rsidRPr="00942930" w:rsidRDefault="00C71821" w:rsidP="0043055A">
      <w:pPr>
        <w:pStyle w:val="ListBullet"/>
        <w:rPr>
          <w:lang w:val="en"/>
        </w:rPr>
      </w:pPr>
      <w:r w:rsidRPr="00942930">
        <w:rPr>
          <w:lang w:val="en"/>
        </w:rPr>
        <w:t>Aboriginal and Torres Strait Islander Health Worker</w:t>
      </w:r>
      <w:r>
        <w:rPr>
          <w:lang w:val="en"/>
        </w:rPr>
        <w:t>s</w:t>
      </w:r>
    </w:p>
    <w:p w14:paraId="14419548" w14:textId="77777777" w:rsidR="00C71821" w:rsidRPr="00942930" w:rsidRDefault="00C71821" w:rsidP="0043055A">
      <w:pPr>
        <w:pStyle w:val="ListBullet"/>
        <w:rPr>
          <w:lang w:val="en"/>
        </w:rPr>
      </w:pPr>
      <w:r w:rsidRPr="00942930">
        <w:rPr>
          <w:lang w:val="en"/>
        </w:rPr>
        <w:t>Aboriginal and Torres Strait Islander Health Practitioner</w:t>
      </w:r>
      <w:r>
        <w:rPr>
          <w:lang w:val="en"/>
        </w:rPr>
        <w:t>s</w:t>
      </w:r>
    </w:p>
    <w:p w14:paraId="33089E8F" w14:textId="11B9FE1E" w:rsidR="00C71821" w:rsidRPr="00942930" w:rsidRDefault="00554ACC" w:rsidP="005565C0">
      <w:pPr>
        <w:pStyle w:val="ListBullet"/>
        <w:rPr>
          <w:lang w:val="en"/>
        </w:rPr>
      </w:pPr>
      <w:r>
        <w:rPr>
          <w:lang w:val="en"/>
        </w:rPr>
        <w:t>Allied</w:t>
      </w:r>
      <w:r w:rsidR="00C71821" w:rsidRPr="00942930">
        <w:rPr>
          <w:lang w:val="en"/>
        </w:rPr>
        <w:t xml:space="preserve"> health professionals</w:t>
      </w:r>
    </w:p>
    <w:p w14:paraId="6CB79EA6" w14:textId="77777777" w:rsidR="00C71821" w:rsidRPr="00227BB0" w:rsidRDefault="00C71821" w:rsidP="0043055A">
      <w:pPr>
        <w:pStyle w:val="ListBullet2"/>
        <w:rPr>
          <w:lang w:val="en"/>
        </w:rPr>
      </w:pPr>
      <w:r w:rsidRPr="00227BB0">
        <w:rPr>
          <w:lang w:val="en"/>
        </w:rPr>
        <w:t>audiologists</w:t>
      </w:r>
    </w:p>
    <w:p w14:paraId="5B4E4A2D" w14:textId="77777777" w:rsidR="00C71821" w:rsidRPr="00227BB0" w:rsidRDefault="00C71821" w:rsidP="0043055A">
      <w:pPr>
        <w:pStyle w:val="ListBullet2"/>
        <w:rPr>
          <w:lang w:val="en"/>
        </w:rPr>
      </w:pPr>
      <w:r w:rsidRPr="00227BB0">
        <w:rPr>
          <w:lang w:val="en"/>
        </w:rPr>
        <w:t>chiropractors</w:t>
      </w:r>
    </w:p>
    <w:p w14:paraId="6580948F" w14:textId="77777777" w:rsidR="00C71821" w:rsidRPr="00227BB0" w:rsidRDefault="00C71821" w:rsidP="0043055A">
      <w:pPr>
        <w:pStyle w:val="ListBullet2"/>
        <w:rPr>
          <w:lang w:val="en"/>
        </w:rPr>
      </w:pPr>
      <w:r w:rsidRPr="00227BB0">
        <w:rPr>
          <w:lang w:val="en"/>
        </w:rPr>
        <w:t>diabetes educators</w:t>
      </w:r>
    </w:p>
    <w:p w14:paraId="10D02797" w14:textId="77777777" w:rsidR="00C71821" w:rsidRPr="00227BB0" w:rsidRDefault="00C71821" w:rsidP="0043055A">
      <w:pPr>
        <w:pStyle w:val="ListBullet2"/>
        <w:rPr>
          <w:lang w:val="en"/>
        </w:rPr>
      </w:pPr>
      <w:r w:rsidRPr="00227BB0">
        <w:rPr>
          <w:lang w:val="en"/>
        </w:rPr>
        <w:t>dietitians/nutritionists</w:t>
      </w:r>
    </w:p>
    <w:p w14:paraId="1C8B8614" w14:textId="77777777" w:rsidR="00C71821" w:rsidRPr="002370F9" w:rsidRDefault="00C71821" w:rsidP="0043055A">
      <w:pPr>
        <w:pStyle w:val="ListBullet2"/>
        <w:rPr>
          <w:lang w:val="en"/>
        </w:rPr>
      </w:pPr>
      <w:r w:rsidRPr="00227BB0">
        <w:rPr>
          <w:lang w:val="en"/>
        </w:rPr>
        <w:t>exercise physiologists</w:t>
      </w:r>
    </w:p>
    <w:p w14:paraId="2FA365EA" w14:textId="77777777" w:rsidR="00C71821" w:rsidRPr="00227BB0" w:rsidRDefault="00C71821" w:rsidP="0043055A">
      <w:pPr>
        <w:pStyle w:val="ListBullet2"/>
        <w:rPr>
          <w:lang w:val="en"/>
        </w:rPr>
      </w:pPr>
      <w:r w:rsidRPr="00227BB0">
        <w:rPr>
          <w:lang w:val="en"/>
        </w:rPr>
        <w:t>occupational therapists</w:t>
      </w:r>
    </w:p>
    <w:p w14:paraId="2A8981C6" w14:textId="77777777" w:rsidR="00C71821" w:rsidRPr="00227BB0" w:rsidRDefault="00C71821" w:rsidP="0043055A">
      <w:pPr>
        <w:pStyle w:val="ListBullet2"/>
        <w:rPr>
          <w:lang w:val="en"/>
        </w:rPr>
      </w:pPr>
      <w:r w:rsidRPr="00227BB0">
        <w:rPr>
          <w:lang w:val="en"/>
        </w:rPr>
        <w:t>orthoptists</w:t>
      </w:r>
    </w:p>
    <w:p w14:paraId="78445282" w14:textId="77777777" w:rsidR="00C71821" w:rsidRPr="00227BB0" w:rsidRDefault="00C71821" w:rsidP="0043055A">
      <w:pPr>
        <w:pStyle w:val="ListBullet2"/>
        <w:rPr>
          <w:lang w:val="en"/>
        </w:rPr>
      </w:pPr>
      <w:r w:rsidRPr="00227BB0">
        <w:rPr>
          <w:lang w:val="en"/>
        </w:rPr>
        <w:t>orthotists/prosthetists</w:t>
      </w:r>
    </w:p>
    <w:p w14:paraId="701E2D4D" w14:textId="3DC3A246" w:rsidR="00C71821" w:rsidRDefault="00C71821" w:rsidP="0043055A">
      <w:pPr>
        <w:pStyle w:val="ListBullet2"/>
        <w:rPr>
          <w:lang w:val="en"/>
        </w:rPr>
      </w:pPr>
      <w:r w:rsidRPr="00227BB0">
        <w:rPr>
          <w:lang w:val="en"/>
        </w:rPr>
        <w:t>osteopaths</w:t>
      </w:r>
    </w:p>
    <w:p w14:paraId="15352B47" w14:textId="2B80CD65" w:rsidR="0038168D" w:rsidRDefault="0038168D" w:rsidP="0043055A">
      <w:pPr>
        <w:pStyle w:val="ListBullet2"/>
        <w:rPr>
          <w:lang w:val="en"/>
        </w:rPr>
      </w:pPr>
      <w:r>
        <w:rPr>
          <w:lang w:val="en"/>
        </w:rPr>
        <w:t>paramedics</w:t>
      </w:r>
    </w:p>
    <w:p w14:paraId="50BCC85A" w14:textId="77777777" w:rsidR="00C71821" w:rsidRPr="00C3622B" w:rsidRDefault="00C71821" w:rsidP="0043055A">
      <w:pPr>
        <w:pStyle w:val="ListBullet2"/>
        <w:rPr>
          <w:lang w:val="en"/>
        </w:rPr>
      </w:pPr>
      <w:r w:rsidRPr="00C3622B">
        <w:rPr>
          <w:lang w:val="en"/>
        </w:rPr>
        <w:t>pharmacists (non-dispensing role)</w:t>
      </w:r>
      <w:r w:rsidRPr="00C3622B">
        <w:rPr>
          <w:rStyle w:val="FootnoteReference"/>
          <w:rFonts w:cstheme="minorHAnsi"/>
          <w:szCs w:val="22"/>
          <w:lang w:val="en"/>
        </w:rPr>
        <w:footnoteReference w:id="4"/>
      </w:r>
    </w:p>
    <w:p w14:paraId="755EF564" w14:textId="77777777" w:rsidR="00C71821" w:rsidRPr="00227BB0" w:rsidRDefault="00C71821" w:rsidP="0043055A">
      <w:pPr>
        <w:pStyle w:val="ListBullet2"/>
        <w:rPr>
          <w:lang w:val="en"/>
        </w:rPr>
      </w:pPr>
      <w:r w:rsidRPr="00227BB0">
        <w:rPr>
          <w:lang w:val="en"/>
        </w:rPr>
        <w:t>physiotherapists</w:t>
      </w:r>
    </w:p>
    <w:p w14:paraId="56F8EF38" w14:textId="77777777" w:rsidR="00C71821" w:rsidRPr="00227BB0" w:rsidRDefault="00C71821" w:rsidP="0043055A">
      <w:pPr>
        <w:pStyle w:val="ListBullet2"/>
        <w:rPr>
          <w:lang w:val="en"/>
        </w:rPr>
      </w:pPr>
      <w:r w:rsidRPr="00227BB0">
        <w:rPr>
          <w:lang w:val="en"/>
        </w:rPr>
        <w:t>podiatrists</w:t>
      </w:r>
    </w:p>
    <w:p w14:paraId="26FE14C8" w14:textId="77777777" w:rsidR="00C71821" w:rsidRPr="00227BB0" w:rsidRDefault="00C71821" w:rsidP="0043055A">
      <w:pPr>
        <w:pStyle w:val="ListBullet2"/>
        <w:rPr>
          <w:lang w:val="en"/>
        </w:rPr>
      </w:pPr>
      <w:r w:rsidRPr="00227BB0">
        <w:rPr>
          <w:lang w:val="en"/>
        </w:rPr>
        <w:t>psychologists</w:t>
      </w:r>
    </w:p>
    <w:p w14:paraId="7C700389" w14:textId="77777777" w:rsidR="00C71821" w:rsidRPr="00227BB0" w:rsidRDefault="00C71821" w:rsidP="0043055A">
      <w:pPr>
        <w:pStyle w:val="ListBullet2"/>
        <w:rPr>
          <w:lang w:val="en"/>
        </w:rPr>
      </w:pPr>
      <w:r w:rsidRPr="00227BB0">
        <w:rPr>
          <w:lang w:val="en"/>
        </w:rPr>
        <w:t>social workers</w:t>
      </w:r>
    </w:p>
    <w:p w14:paraId="70449886" w14:textId="77777777" w:rsidR="00C71821" w:rsidRDefault="00C71821" w:rsidP="0043055A">
      <w:pPr>
        <w:pStyle w:val="ListBullet2"/>
      </w:pPr>
      <w:r w:rsidRPr="00227BB0">
        <w:rPr>
          <w:lang w:val="en"/>
        </w:rPr>
        <w:t>speech pathologists</w:t>
      </w:r>
    </w:p>
    <w:p w14:paraId="129C5354" w14:textId="70D8539E" w:rsidR="00C71821" w:rsidRDefault="00C71821" w:rsidP="00C71821">
      <w:r>
        <w:t xml:space="preserve">All </w:t>
      </w:r>
      <w:r w:rsidRPr="00B162B8">
        <w:t>eligible health professionals</w:t>
      </w:r>
      <w:r>
        <w:t xml:space="preserve"> under the WIP </w:t>
      </w:r>
      <w:r w:rsidR="00980154">
        <w:t xml:space="preserve">- </w:t>
      </w:r>
      <w:r>
        <w:t xml:space="preserve">Practice Stream must: </w:t>
      </w:r>
    </w:p>
    <w:p w14:paraId="123580BB" w14:textId="1A498A64" w:rsidR="00C71821" w:rsidRPr="00C3622B" w:rsidRDefault="00C71821" w:rsidP="0043055A">
      <w:pPr>
        <w:pStyle w:val="ListBullet"/>
        <w:rPr>
          <w:rFonts w:cstheme="minorHAnsi"/>
          <w:lang w:val="en"/>
        </w:rPr>
      </w:pPr>
      <w:r w:rsidRPr="005F7D94">
        <w:rPr>
          <w:rFonts w:cstheme="minorHAnsi"/>
          <w:lang w:val="en"/>
        </w:rPr>
        <w:t xml:space="preserve">meet the </w:t>
      </w:r>
      <w:r w:rsidRPr="005F7D94">
        <w:t xml:space="preserve">the minimum qualifications set out in the </w:t>
      </w:r>
      <w:hyperlink w:anchor="_Glossary_of_Terms" w:history="1">
        <w:r w:rsidRPr="00BF1657">
          <w:rPr>
            <w:rStyle w:val="Hyperlink"/>
          </w:rPr>
          <w:t>Glossary</w:t>
        </w:r>
      </w:hyperlink>
      <w:r w:rsidRPr="005F7D94">
        <w:t xml:space="preserve"> for that health </w:t>
      </w:r>
      <w:proofErr w:type="gramStart"/>
      <w:r w:rsidRPr="00C3622B">
        <w:t>professional;</w:t>
      </w:r>
      <w:proofErr w:type="gramEnd"/>
    </w:p>
    <w:p w14:paraId="299836CA" w14:textId="77777777" w:rsidR="00C71821" w:rsidRPr="00C3622B" w:rsidRDefault="00C71821" w:rsidP="0043055A">
      <w:pPr>
        <w:pStyle w:val="ListBullet"/>
        <w:rPr>
          <w:lang w:val="en"/>
        </w:rPr>
      </w:pPr>
      <w:r w:rsidRPr="00C3622B">
        <w:rPr>
          <w:lang w:val="en"/>
        </w:rPr>
        <w:t>have, or be covered by, the required level of professional indemnity insurance regardless of whether they are registered under the National Registration and Accreditation Scheme (NRAS</w:t>
      </w:r>
      <w:proofErr w:type="gramStart"/>
      <w:r w:rsidRPr="00C3622B">
        <w:rPr>
          <w:lang w:val="en"/>
        </w:rPr>
        <w:t>);</w:t>
      </w:r>
      <w:proofErr w:type="gramEnd"/>
    </w:p>
    <w:p w14:paraId="4F7AA758" w14:textId="77777777" w:rsidR="00C71821" w:rsidRPr="00C3622B" w:rsidRDefault="00C71821" w:rsidP="0043055A">
      <w:pPr>
        <w:pStyle w:val="ListBullet2"/>
        <w:rPr>
          <w:lang w:val="en"/>
        </w:rPr>
      </w:pPr>
      <w:r w:rsidRPr="00C3622B">
        <w:rPr>
          <w:lang w:val="en"/>
        </w:rPr>
        <w:t>if</w:t>
      </w:r>
      <w:r w:rsidRPr="008D62E9">
        <w:rPr>
          <w:lang w:val="en"/>
        </w:rPr>
        <w:t xml:space="preserve"> registered under the NRAS, </w:t>
      </w:r>
      <w:r w:rsidRPr="00C3622B">
        <w:rPr>
          <w:lang w:val="en"/>
        </w:rPr>
        <w:t xml:space="preserve">they must have the required professional indemnity cover as set out by their respective National Board’s </w:t>
      </w:r>
      <w:r w:rsidRPr="00C3622B">
        <w:rPr>
          <w:i/>
          <w:lang w:val="en"/>
        </w:rPr>
        <w:t xml:space="preserve">Registration standard: Professional indemnity insurance </w:t>
      </w:r>
      <w:proofErr w:type="gramStart"/>
      <w:r w:rsidRPr="00C3622B">
        <w:rPr>
          <w:i/>
          <w:lang w:val="en"/>
        </w:rPr>
        <w:t>arrangements</w:t>
      </w:r>
      <w:r w:rsidRPr="00C3622B">
        <w:rPr>
          <w:lang w:val="en"/>
        </w:rPr>
        <w:t>;</w:t>
      </w:r>
      <w:proofErr w:type="gramEnd"/>
    </w:p>
    <w:p w14:paraId="2F72AB25" w14:textId="77777777" w:rsidR="00C71821" w:rsidRPr="00C3622B" w:rsidRDefault="00C71821" w:rsidP="0043055A">
      <w:pPr>
        <w:pStyle w:val="ListBullet2"/>
        <w:rPr>
          <w:lang w:val="en"/>
        </w:rPr>
      </w:pPr>
      <w:r w:rsidRPr="00C3622B">
        <w:rPr>
          <w:lang w:val="en"/>
        </w:rPr>
        <w:t xml:space="preserve">if not registered under the NRAS, they must have the level of insurance recommended by the relevant professional </w:t>
      </w:r>
      <w:proofErr w:type="gramStart"/>
      <w:r w:rsidRPr="00C3622B">
        <w:rPr>
          <w:lang w:val="en"/>
        </w:rPr>
        <w:t>association;</w:t>
      </w:r>
      <w:proofErr w:type="gramEnd"/>
    </w:p>
    <w:p w14:paraId="5D1C6B8D" w14:textId="77777777" w:rsidR="00C71821" w:rsidRPr="00D8377F" w:rsidRDefault="0798F7F6" w:rsidP="0798F7F6">
      <w:pPr>
        <w:pStyle w:val="ListBullet2"/>
      </w:pPr>
      <w:r w:rsidRPr="0798F7F6">
        <w:lastRenderedPageBreak/>
        <w:t xml:space="preserve">where a health professional is not an employee of the eligible organisation or practice, they must have the required minimum level of professional indemnity insurance coverage in their name.  </w:t>
      </w:r>
    </w:p>
    <w:p w14:paraId="3189887D" w14:textId="0B35A0F2" w:rsidR="00FD5DCE" w:rsidRDefault="00D93A2A" w:rsidP="00FA4D4B">
      <w:r w:rsidRPr="00FA4D4B">
        <w:t xml:space="preserve">When claiming hours worked under the WIP </w:t>
      </w:r>
      <w:r w:rsidR="008C7C74">
        <w:t>-</w:t>
      </w:r>
      <w:r w:rsidRPr="00FA4D4B">
        <w:t xml:space="preserve"> Practice Stream, practices should</w:t>
      </w:r>
      <w:r w:rsidR="00E714AC">
        <w:t xml:space="preserve"> </w:t>
      </w:r>
      <w:r w:rsidR="00510FDD">
        <w:t xml:space="preserve">individually </w:t>
      </w:r>
      <w:r w:rsidR="00510FDD" w:rsidRPr="00FA4D4B">
        <w:t>report</w:t>
      </w:r>
      <w:r w:rsidRPr="00FA4D4B">
        <w:t xml:space="preserve"> each eligible health professional’s full name, profession type average weekly hours (</w:t>
      </w:r>
      <w:proofErr w:type="spellStart"/>
      <w:r w:rsidRPr="00FA4D4B">
        <w:t>hh:mm</w:t>
      </w:r>
      <w:proofErr w:type="spellEnd"/>
      <w:r w:rsidRPr="00FA4D4B">
        <w:t>), and unique identifier number (</w:t>
      </w:r>
      <w:proofErr w:type="spellStart"/>
      <w:r w:rsidR="006F38A4" w:rsidRPr="00FA4D4B">
        <w:t>Ahpra</w:t>
      </w:r>
      <w:proofErr w:type="spellEnd"/>
      <w:r w:rsidR="006F38A4" w:rsidRPr="00FA4D4B">
        <w:t xml:space="preserve"> </w:t>
      </w:r>
      <w:r w:rsidRPr="00FA4D4B">
        <w:t>or HPI-I).</w:t>
      </w:r>
    </w:p>
    <w:p w14:paraId="4C5F20E8" w14:textId="1AA11AB0" w:rsidR="00113296" w:rsidRPr="00F51141" w:rsidRDefault="00113296" w:rsidP="00113296">
      <w:pPr>
        <w:pStyle w:val="Heading3numbered"/>
        <w:numPr>
          <w:ilvl w:val="2"/>
          <w:numId w:val="8"/>
        </w:numPr>
      </w:pPr>
      <w:bookmarkStart w:id="164" w:name="_Toc197682346"/>
      <w:r w:rsidRPr="00F51141">
        <w:t>Enrolled nurses - additional requirements</w:t>
      </w:r>
      <w:bookmarkEnd w:id="164"/>
      <w:r w:rsidRPr="00F51141">
        <w:t xml:space="preserve"> </w:t>
      </w:r>
    </w:p>
    <w:p w14:paraId="787E3101" w14:textId="77777777" w:rsidR="00113296" w:rsidRPr="007523C7" w:rsidRDefault="00113296" w:rsidP="00113296">
      <w:r w:rsidRPr="007523C7">
        <w:t>To be eligible to receive incentive payments for enrolled nurses, practices must ensure:</w:t>
      </w:r>
    </w:p>
    <w:p w14:paraId="1C2AF391" w14:textId="77777777" w:rsidR="00113296" w:rsidRPr="007523C7" w:rsidRDefault="0798F7F6" w:rsidP="0798F7F6">
      <w:pPr>
        <w:pStyle w:val="ListBullet"/>
        <w:rPr>
          <w:lang w:val="en-US"/>
        </w:rPr>
      </w:pPr>
      <w:r w:rsidRPr="0798F7F6">
        <w:rPr>
          <w:lang w:val="en-US"/>
        </w:rPr>
        <w:t xml:space="preserve">the enrolled nurse(s) are working under the direct or indirect supervision of a registered nurse(s) in accordance with the requirements of the Nursing and Midwifery Board of Australia’s </w:t>
      </w:r>
      <w:hyperlink r:id="rId14">
        <w:r w:rsidRPr="0798F7F6">
          <w:rPr>
            <w:rStyle w:val="Hyperlink"/>
            <w:lang w:val="en-US"/>
          </w:rPr>
          <w:t>Enrolled Nurse Standards for Practice</w:t>
        </w:r>
      </w:hyperlink>
      <w:r w:rsidRPr="0798F7F6">
        <w:rPr>
          <w:lang w:val="en-US"/>
        </w:rPr>
        <w:t xml:space="preserve"> </w:t>
      </w:r>
      <w:r w:rsidRPr="0798F7F6">
        <w:rPr>
          <w:rStyle w:val="Hyperlink"/>
          <w:rFonts w:cstheme="minorBidi"/>
          <w:color w:val="auto"/>
          <w:u w:val="none"/>
          <w:lang w:val="en-US"/>
        </w:rPr>
        <w:t>(EN Standards)</w:t>
      </w:r>
      <w:r w:rsidRPr="0798F7F6">
        <w:rPr>
          <w:lang w:val="en-US"/>
        </w:rPr>
        <w:t>; and</w:t>
      </w:r>
    </w:p>
    <w:p w14:paraId="36CED36C" w14:textId="77777777" w:rsidR="00113296" w:rsidRPr="007523C7" w:rsidRDefault="00113296" w:rsidP="00113296">
      <w:pPr>
        <w:pStyle w:val="ListBullet"/>
        <w:rPr>
          <w:lang w:val="en"/>
        </w:rPr>
      </w:pPr>
      <w:r w:rsidRPr="007523C7">
        <w:rPr>
          <w:lang w:val="en"/>
        </w:rPr>
        <w:t xml:space="preserve">that if, the EN Standards require </w:t>
      </w:r>
      <w:r w:rsidRPr="007523C7">
        <w:rPr>
          <w:b/>
          <w:lang w:val="en"/>
        </w:rPr>
        <w:t xml:space="preserve">documented </w:t>
      </w:r>
      <w:r w:rsidRPr="007523C7">
        <w:rPr>
          <w:lang w:val="en"/>
        </w:rPr>
        <w:t xml:space="preserve">supervisory arrangements to be in place with the employer(s), the arrangements are: </w:t>
      </w:r>
    </w:p>
    <w:p w14:paraId="3791B698" w14:textId="77777777" w:rsidR="00113296" w:rsidRPr="007523C7" w:rsidRDefault="00113296" w:rsidP="00113296">
      <w:pPr>
        <w:pStyle w:val="ListBullet2"/>
        <w:rPr>
          <w:lang w:val="en"/>
        </w:rPr>
      </w:pPr>
      <w:r w:rsidRPr="007523C7">
        <w:rPr>
          <w:lang w:val="en"/>
        </w:rPr>
        <w:t>supported by the affected registered nurse(s) and enrolled nurse(s</w:t>
      </w:r>
      <w:proofErr w:type="gramStart"/>
      <w:r w:rsidRPr="007523C7">
        <w:rPr>
          <w:lang w:val="en"/>
        </w:rPr>
        <w:t>);</w:t>
      </w:r>
      <w:proofErr w:type="gramEnd"/>
    </w:p>
    <w:p w14:paraId="6C16AF52" w14:textId="77777777" w:rsidR="00113296" w:rsidRPr="007523C7" w:rsidRDefault="00113296" w:rsidP="00113296">
      <w:pPr>
        <w:pStyle w:val="ListBullet2"/>
        <w:rPr>
          <w:lang w:val="en"/>
        </w:rPr>
      </w:pPr>
      <w:r w:rsidRPr="007523C7">
        <w:rPr>
          <w:lang w:val="en"/>
        </w:rPr>
        <w:t>reviewed annually and when the engaged enrolled nurse(s) or supervising registered nurse(s) circumstances change; and</w:t>
      </w:r>
    </w:p>
    <w:p w14:paraId="131B25ED" w14:textId="65B5F464" w:rsidR="00FD5DCE" w:rsidRDefault="00113296" w:rsidP="00113296">
      <w:pPr>
        <w:pStyle w:val="ListBullet2"/>
        <w:rPr>
          <w:lang w:val="en"/>
        </w:rPr>
      </w:pPr>
      <w:r>
        <w:rPr>
          <w:lang w:val="en"/>
        </w:rPr>
        <w:t>retained</w:t>
      </w:r>
      <w:r w:rsidRPr="007523C7">
        <w:rPr>
          <w:lang w:val="en"/>
        </w:rPr>
        <w:t xml:space="preserve"> by the practice and provided to Health</w:t>
      </w:r>
      <w:r w:rsidR="003717E7">
        <w:rPr>
          <w:lang w:val="en"/>
        </w:rPr>
        <w:t xml:space="preserve"> </w:t>
      </w:r>
      <w:r w:rsidRPr="007523C7">
        <w:rPr>
          <w:lang w:val="en"/>
        </w:rPr>
        <w:t>for auditing purposes, on request.</w:t>
      </w:r>
    </w:p>
    <w:p w14:paraId="3EA2770B" w14:textId="1D710009" w:rsidR="00113296" w:rsidRPr="00F51141" w:rsidRDefault="00113296" w:rsidP="00113296">
      <w:pPr>
        <w:pStyle w:val="Heading3numbered"/>
        <w:numPr>
          <w:ilvl w:val="2"/>
          <w:numId w:val="8"/>
        </w:numPr>
      </w:pPr>
      <w:bookmarkStart w:id="165" w:name="_Toc197682347"/>
      <w:r w:rsidRPr="00F51141">
        <w:t>Pharmacists - additional requirements</w:t>
      </w:r>
      <w:bookmarkEnd w:id="165"/>
    </w:p>
    <w:p w14:paraId="79BDB19E" w14:textId="3629BFD1" w:rsidR="00113296" w:rsidRDefault="00113296" w:rsidP="00113296">
      <w:r w:rsidRPr="007523C7">
        <w:t xml:space="preserve">Under the WIP </w:t>
      </w:r>
      <w:r w:rsidR="008C7C74">
        <w:t>-</w:t>
      </w:r>
      <w:r w:rsidRPr="007523C7">
        <w:t xml:space="preserve"> Practice Stream</w:t>
      </w:r>
      <w:r>
        <w:t>,</w:t>
      </w:r>
      <w:r w:rsidRPr="007523C7">
        <w:t xml:space="preserve"> pharmacists can only be engaged to undertake a non-dispensing role. </w:t>
      </w:r>
      <w:r>
        <w:t xml:space="preserve">Non-dispensing pharmacists can undertake a range of </w:t>
      </w:r>
      <w:r>
        <w:rPr>
          <w:lang w:val="en"/>
        </w:rPr>
        <w:t xml:space="preserve">activities including medication reviews, patient and staff education, and responding to medicine information queries. </w:t>
      </w:r>
    </w:p>
    <w:p w14:paraId="7D53E551" w14:textId="77777777" w:rsidR="00113296" w:rsidRPr="00D8662E" w:rsidRDefault="00113296" w:rsidP="00113296">
      <w:r w:rsidRPr="00061D83">
        <w:t xml:space="preserve">Practices must ensure </w:t>
      </w:r>
      <w:r>
        <w:t xml:space="preserve">that </w:t>
      </w:r>
      <w:r w:rsidRPr="00061D83">
        <w:t>the hours claimed for a pharmacist are only for a non-dispensing role</w:t>
      </w:r>
      <w:r w:rsidRPr="00D8662E">
        <w:t xml:space="preserve">. </w:t>
      </w:r>
    </w:p>
    <w:p w14:paraId="475C9DF2" w14:textId="3E3063D3" w:rsidR="00C71821" w:rsidRPr="008664E4" w:rsidRDefault="00C71821" w:rsidP="00830756">
      <w:pPr>
        <w:pStyle w:val="Heading2numbered"/>
      </w:pPr>
      <w:bookmarkStart w:id="166" w:name="_1.1.1_Enrolled_nurses"/>
      <w:bookmarkStart w:id="167" w:name="_Toc197682348"/>
      <w:bookmarkEnd w:id="166"/>
      <w:r w:rsidRPr="006427CA">
        <w:t>Determining how to engage an eligible health professional</w:t>
      </w:r>
      <w:bookmarkEnd w:id="167"/>
    </w:p>
    <w:p w14:paraId="4724233B" w14:textId="4E93ED9E" w:rsidR="00C71821" w:rsidRPr="00C728DC" w:rsidRDefault="0798F7F6" w:rsidP="0798F7F6">
      <w:pPr>
        <w:rPr>
          <w:lang w:val="en-US"/>
        </w:rPr>
      </w:pPr>
      <w:r w:rsidRPr="0798F7F6">
        <w:rPr>
          <w:lang w:val="en-US"/>
        </w:rPr>
        <w:t>Practices have the flexibility to decide the type of eligible health professional, or combination of health professionals to engage and how to engage them.</w:t>
      </w:r>
    </w:p>
    <w:p w14:paraId="506871DD" w14:textId="1E8481A0" w:rsidR="00C71821" w:rsidRPr="00C728DC" w:rsidRDefault="00C71821" w:rsidP="00C71821">
      <w:pPr>
        <w:rPr>
          <w:lang w:val="en"/>
        </w:rPr>
      </w:pPr>
      <w:r w:rsidRPr="00C728DC">
        <w:rPr>
          <w:lang w:val="en"/>
        </w:rPr>
        <w:t xml:space="preserve">Practices should consider: </w:t>
      </w:r>
    </w:p>
    <w:p w14:paraId="51E5068C" w14:textId="398AE70D" w:rsidR="00C71821" w:rsidRPr="00C728DC" w:rsidRDefault="000F0F77" w:rsidP="0043055A">
      <w:pPr>
        <w:pStyle w:val="ListBullet"/>
        <w:rPr>
          <w:lang w:val="en"/>
        </w:rPr>
      </w:pPr>
      <w:r>
        <w:rPr>
          <w:lang w:val="en"/>
        </w:rPr>
        <w:t xml:space="preserve">the health </w:t>
      </w:r>
      <w:r w:rsidR="00C71821" w:rsidRPr="00C728DC">
        <w:rPr>
          <w:lang w:val="en"/>
        </w:rPr>
        <w:t xml:space="preserve">needs of their </w:t>
      </w:r>
      <w:proofErr w:type="gramStart"/>
      <w:r w:rsidR="00C71821" w:rsidRPr="00C728DC">
        <w:rPr>
          <w:lang w:val="en"/>
        </w:rPr>
        <w:t>community;</w:t>
      </w:r>
      <w:proofErr w:type="gramEnd"/>
    </w:p>
    <w:p w14:paraId="5A390BD7" w14:textId="7752A007" w:rsidR="00C71821" w:rsidRPr="00C728DC" w:rsidRDefault="000F0F77" w:rsidP="0043055A">
      <w:pPr>
        <w:pStyle w:val="ListBullet"/>
        <w:rPr>
          <w:lang w:val="en"/>
        </w:rPr>
      </w:pPr>
      <w:r>
        <w:rPr>
          <w:lang w:val="en"/>
        </w:rPr>
        <w:t xml:space="preserve">any </w:t>
      </w:r>
      <w:r w:rsidR="00C71821" w:rsidRPr="00C728DC">
        <w:rPr>
          <w:lang w:val="en"/>
        </w:rPr>
        <w:t>gaps in services or access to services in their community; and</w:t>
      </w:r>
    </w:p>
    <w:p w14:paraId="59880EEC" w14:textId="5C6D87C1" w:rsidR="00C71821" w:rsidRDefault="0798F7F6" w:rsidP="0798F7F6">
      <w:pPr>
        <w:pStyle w:val="ListBullet"/>
        <w:rPr>
          <w:lang w:val="en-US"/>
        </w:rPr>
      </w:pPr>
      <w:r w:rsidRPr="0798F7F6">
        <w:rPr>
          <w:lang w:val="en-US"/>
        </w:rPr>
        <w:t xml:space="preserve">which eligible health professionals will support their practice to deliver team-based and multidisciplinary care. </w:t>
      </w:r>
    </w:p>
    <w:p w14:paraId="43481849" w14:textId="77777777" w:rsidR="000F0F77" w:rsidRPr="00E679BE" w:rsidRDefault="000F0F77" w:rsidP="000F0F77">
      <w:pPr>
        <w:rPr>
          <w:lang w:val="en"/>
        </w:rPr>
      </w:pPr>
      <w:r>
        <w:rPr>
          <w:lang w:val="en"/>
        </w:rPr>
        <w:t xml:space="preserve">Examples of gaps could include: </w:t>
      </w:r>
    </w:p>
    <w:p w14:paraId="3FD87D0A" w14:textId="1AF283A8" w:rsidR="000F0F77" w:rsidRDefault="000F0F77" w:rsidP="0043055A">
      <w:pPr>
        <w:pStyle w:val="ListBullet"/>
        <w:rPr>
          <w:lang w:val="en"/>
        </w:rPr>
      </w:pPr>
      <w:r>
        <w:rPr>
          <w:lang w:val="en"/>
        </w:rPr>
        <w:lastRenderedPageBreak/>
        <w:t xml:space="preserve">limited or no access to a particular health service in the </w:t>
      </w:r>
      <w:proofErr w:type="gramStart"/>
      <w:r>
        <w:rPr>
          <w:lang w:val="en"/>
        </w:rPr>
        <w:t>community</w:t>
      </w:r>
      <w:r w:rsidR="00663F5B">
        <w:rPr>
          <w:lang w:val="en"/>
        </w:rPr>
        <w:t>;</w:t>
      </w:r>
      <w:proofErr w:type="gramEnd"/>
      <w:r>
        <w:rPr>
          <w:lang w:val="en"/>
        </w:rPr>
        <w:t xml:space="preserve"> </w:t>
      </w:r>
    </w:p>
    <w:p w14:paraId="6F41BE46" w14:textId="13C116DB" w:rsidR="000F0F77" w:rsidRDefault="0798F7F6" w:rsidP="0798F7F6">
      <w:pPr>
        <w:pStyle w:val="ListBullet"/>
        <w:rPr>
          <w:lang w:val="en-US"/>
        </w:rPr>
      </w:pPr>
      <w:r w:rsidRPr="0798F7F6">
        <w:rPr>
          <w:lang w:val="en-US"/>
        </w:rPr>
        <w:t xml:space="preserve">limited or no access for </w:t>
      </w:r>
      <w:proofErr w:type="gramStart"/>
      <w:r w:rsidRPr="0798F7F6">
        <w:rPr>
          <w:lang w:val="en-US"/>
        </w:rPr>
        <w:t>particular community</w:t>
      </w:r>
      <w:proofErr w:type="gramEnd"/>
      <w:r w:rsidRPr="0798F7F6">
        <w:rPr>
          <w:lang w:val="en-US"/>
        </w:rPr>
        <w:t xml:space="preserve"> </w:t>
      </w:r>
      <w:proofErr w:type="gramStart"/>
      <w:r w:rsidRPr="0798F7F6">
        <w:rPr>
          <w:lang w:val="en-US"/>
        </w:rPr>
        <w:t>members;</w:t>
      </w:r>
      <w:proofErr w:type="gramEnd"/>
      <w:r w:rsidRPr="0798F7F6">
        <w:rPr>
          <w:lang w:val="en-US"/>
        </w:rPr>
        <w:t xml:space="preserve"> </w:t>
      </w:r>
    </w:p>
    <w:p w14:paraId="3606F093" w14:textId="70FDCC87" w:rsidR="000F0F77" w:rsidRPr="00906B7D" w:rsidRDefault="000F0F77" w:rsidP="0043055A">
      <w:pPr>
        <w:pStyle w:val="ListBullet"/>
        <w:rPr>
          <w:lang w:val="en"/>
        </w:rPr>
      </w:pPr>
      <w:r>
        <w:rPr>
          <w:lang w:val="en"/>
        </w:rPr>
        <w:t xml:space="preserve">disadvantaged community members </w:t>
      </w:r>
      <w:r w:rsidR="00764B7E">
        <w:rPr>
          <w:lang w:val="en"/>
        </w:rPr>
        <w:t xml:space="preserve">that </w:t>
      </w:r>
      <w:r>
        <w:rPr>
          <w:lang w:val="en"/>
        </w:rPr>
        <w:t>cannot afford alternative services delivered outside of general practice</w:t>
      </w:r>
      <w:r w:rsidR="00663F5B">
        <w:rPr>
          <w:lang w:val="en"/>
        </w:rPr>
        <w:t>.</w:t>
      </w:r>
    </w:p>
    <w:p w14:paraId="53B14914" w14:textId="77777777" w:rsidR="00C71821" w:rsidRPr="0067676A" w:rsidRDefault="0798F7F6" w:rsidP="0798F7F6">
      <w:pPr>
        <w:rPr>
          <w:lang w:val="en-US"/>
        </w:rPr>
      </w:pPr>
      <w:r w:rsidRPr="0798F7F6">
        <w:rPr>
          <w:lang w:val="en-US"/>
        </w:rPr>
        <w:t xml:space="preserve">The local Primary Health Network (PHN) may be able to assist a practice to identify community needs and gaps in services. Practices can find their PHN and contact details using the </w:t>
      </w:r>
      <w:hyperlink r:id="rId15">
        <w:r w:rsidRPr="0798F7F6">
          <w:rPr>
            <w:rStyle w:val="Hyperlink"/>
            <w:lang w:val="en-US"/>
          </w:rPr>
          <w:t>map locator</w:t>
        </w:r>
      </w:hyperlink>
      <w:r w:rsidRPr="0798F7F6">
        <w:rPr>
          <w:lang w:val="en-US"/>
        </w:rPr>
        <w:t xml:space="preserve"> on Health’s website</w:t>
      </w:r>
      <w:r w:rsidRPr="0798F7F6">
        <w:rPr>
          <w:rStyle w:val="Hyperlink"/>
          <w:color w:val="auto"/>
          <w:u w:val="none"/>
          <w:lang w:val="en-US"/>
        </w:rPr>
        <w:t>.</w:t>
      </w:r>
    </w:p>
    <w:p w14:paraId="534D59D5" w14:textId="57B1C6D5" w:rsidR="00C71821" w:rsidRDefault="00C71821" w:rsidP="00C71821">
      <w:pPr>
        <w:rPr>
          <w:lang w:val="en"/>
        </w:rPr>
      </w:pPr>
      <w:r w:rsidRPr="009D7C64">
        <w:rPr>
          <w:lang w:val="en"/>
        </w:rPr>
        <w:t xml:space="preserve">The form of engagement is determined by </w:t>
      </w:r>
      <w:proofErr w:type="gramStart"/>
      <w:r w:rsidRPr="009D7C64">
        <w:rPr>
          <w:lang w:val="en"/>
        </w:rPr>
        <w:t>the practice</w:t>
      </w:r>
      <w:proofErr w:type="gramEnd"/>
      <w:r w:rsidRPr="009D7C64">
        <w:rPr>
          <w:lang w:val="en"/>
        </w:rPr>
        <w:t xml:space="preserve"> and </w:t>
      </w:r>
      <w:proofErr w:type="gramStart"/>
      <w:r w:rsidRPr="009D7C64">
        <w:rPr>
          <w:lang w:val="en"/>
        </w:rPr>
        <w:t>the eligible</w:t>
      </w:r>
      <w:proofErr w:type="gramEnd"/>
      <w:r w:rsidRPr="009D7C64">
        <w:rPr>
          <w:lang w:val="en"/>
        </w:rPr>
        <w:t xml:space="preserve"> health </w:t>
      </w:r>
      <w:proofErr w:type="gramStart"/>
      <w:r w:rsidRPr="009D7C64">
        <w:rPr>
          <w:lang w:val="en"/>
        </w:rPr>
        <w:t>professional</w:t>
      </w:r>
      <w:proofErr w:type="gramEnd"/>
      <w:r w:rsidRPr="009D7C64">
        <w:rPr>
          <w:lang w:val="en"/>
        </w:rPr>
        <w:t>. The arrangement may be through direct employment, contracted, casual or other means</w:t>
      </w:r>
      <w:r w:rsidR="007B02E8">
        <w:rPr>
          <w:lang w:val="en"/>
        </w:rPr>
        <w:t xml:space="preserve"> such as those outlined here:</w:t>
      </w:r>
      <w:r w:rsidR="00E0760D">
        <w:rPr>
          <w:lang w:val="en"/>
        </w:rPr>
        <w:t xml:space="preserve"> </w:t>
      </w:r>
      <w:hyperlink r:id="rId16" w:history="1">
        <w:r w:rsidR="007B02E8" w:rsidRPr="007B02E8">
          <w:rPr>
            <w:rStyle w:val="Hyperlink"/>
          </w:rPr>
          <w:t>Types of employees - Fair Work Ombudsman</w:t>
        </w:r>
      </w:hyperlink>
      <w:r w:rsidRPr="009D7C64">
        <w:rPr>
          <w:lang w:val="en"/>
        </w:rPr>
        <w:t xml:space="preserve">. </w:t>
      </w:r>
    </w:p>
    <w:p w14:paraId="34067477" w14:textId="363A6083" w:rsidR="000F0F77" w:rsidRPr="009D7C64" w:rsidRDefault="0798F7F6" w:rsidP="0798F7F6">
      <w:pPr>
        <w:rPr>
          <w:lang w:val="en-US"/>
        </w:rPr>
      </w:pPr>
      <w:r w:rsidRPr="0798F7F6">
        <w:rPr>
          <w:lang w:val="en-US"/>
        </w:rPr>
        <w:t xml:space="preserve">The incentive payment is intended to help </w:t>
      </w:r>
      <w:proofErr w:type="gramStart"/>
      <w:r w:rsidRPr="0798F7F6">
        <w:rPr>
          <w:lang w:val="en-US"/>
        </w:rPr>
        <w:t>practices</w:t>
      </w:r>
      <w:proofErr w:type="gramEnd"/>
      <w:r w:rsidRPr="0798F7F6">
        <w:rPr>
          <w:lang w:val="en-US"/>
        </w:rPr>
        <w:t xml:space="preserve"> with the cost of engaging eligible health professionals. It does not cover the whole cost of engaging eligible health professionals. Practices should ensure that eligible health professionals are paid at or above the </w:t>
      </w:r>
      <w:proofErr w:type="gramStart"/>
      <w:r w:rsidRPr="0798F7F6">
        <w:rPr>
          <w:lang w:val="en-US"/>
        </w:rPr>
        <w:t>relevant award</w:t>
      </w:r>
      <w:proofErr w:type="gramEnd"/>
      <w:r w:rsidRPr="0798F7F6">
        <w:rPr>
          <w:lang w:val="en-US"/>
        </w:rPr>
        <w:t xml:space="preserve"> wage for the hours they are engaged.</w:t>
      </w:r>
    </w:p>
    <w:p w14:paraId="3F3DCACB" w14:textId="013B323F" w:rsidR="00CF4BBE" w:rsidRDefault="00CF4BBE" w:rsidP="00830756">
      <w:pPr>
        <w:pStyle w:val="Heading2numbered"/>
      </w:pPr>
      <w:bookmarkStart w:id="168" w:name="_Toc142318438"/>
      <w:bookmarkStart w:id="169" w:name="_Toc197682349"/>
      <w:r>
        <w:t>Eligible general practices</w:t>
      </w:r>
      <w:bookmarkEnd w:id="161"/>
      <w:bookmarkEnd w:id="162"/>
      <w:bookmarkEnd w:id="163"/>
      <w:bookmarkEnd w:id="168"/>
      <w:bookmarkEnd w:id="169"/>
    </w:p>
    <w:p w14:paraId="3FE1DBB0" w14:textId="0B93C336" w:rsidR="00063F60" w:rsidRPr="00063F60" w:rsidRDefault="00CF4BBE" w:rsidP="00063F60">
      <w:r>
        <w:t xml:space="preserve">To be eligible </w:t>
      </w:r>
      <w:r w:rsidR="000F0F77">
        <w:t xml:space="preserve">to participate in </w:t>
      </w:r>
      <w:r>
        <w:t xml:space="preserve">the WIP </w:t>
      </w:r>
      <w:r w:rsidR="008C7C74">
        <w:t xml:space="preserve">- </w:t>
      </w:r>
      <w:r>
        <w:t>Practice Stream</w:t>
      </w:r>
      <w:r w:rsidR="00C71821">
        <w:t>,</w:t>
      </w:r>
      <w:r>
        <w:t xml:space="preserve"> a general </w:t>
      </w:r>
      <w:r w:rsidRPr="00AE2569">
        <w:t xml:space="preserve">practice (including Aboriginal Medical Services and Aboriginal Community Controlled Health Services) must </w:t>
      </w:r>
      <w:r>
        <w:t xml:space="preserve">meet </w:t>
      </w:r>
      <w:r w:rsidR="00B605B9">
        <w:t>all</w:t>
      </w:r>
      <w:r>
        <w:t xml:space="preserve"> the following requirements: </w:t>
      </w:r>
    </w:p>
    <w:p w14:paraId="4589270F" w14:textId="75C273D0" w:rsidR="000F0F77" w:rsidRDefault="000F0F77" w:rsidP="0043055A">
      <w:pPr>
        <w:pStyle w:val="ListBullet"/>
        <w:rPr>
          <w:lang w:val="en"/>
        </w:rPr>
      </w:pPr>
      <w:r>
        <w:rPr>
          <w:lang w:val="en"/>
        </w:rPr>
        <w:t>be a general practice as defined by the Royal Australian College of General Practitioners (RACGP</w:t>
      </w:r>
      <w:proofErr w:type="gramStart"/>
      <w:r>
        <w:rPr>
          <w:lang w:val="en"/>
        </w:rPr>
        <w:t>);</w:t>
      </w:r>
      <w:proofErr w:type="gramEnd"/>
    </w:p>
    <w:p w14:paraId="39AC4783" w14:textId="07D4EF90" w:rsidR="000F0F77" w:rsidRPr="007151BD" w:rsidRDefault="000F0F77" w:rsidP="0043055A">
      <w:pPr>
        <w:pStyle w:val="ListBullet"/>
        <w:rPr>
          <w:lang w:val="en"/>
        </w:rPr>
      </w:pPr>
      <w:r w:rsidRPr="007151BD">
        <w:rPr>
          <w:lang w:val="en"/>
        </w:rPr>
        <w:t xml:space="preserve">employ a full or </w:t>
      </w:r>
      <w:proofErr w:type="gramStart"/>
      <w:r w:rsidRPr="007151BD">
        <w:rPr>
          <w:lang w:val="en"/>
        </w:rPr>
        <w:t>part time</w:t>
      </w:r>
      <w:proofErr w:type="gramEnd"/>
      <w:r w:rsidRPr="007151BD">
        <w:rPr>
          <w:lang w:val="en"/>
        </w:rPr>
        <w:t xml:space="preserve"> GP</w:t>
      </w:r>
      <w:r>
        <w:rPr>
          <w:lang w:val="en"/>
        </w:rPr>
        <w:t xml:space="preserve"> and be an Open Practice, as defined by the WIP </w:t>
      </w:r>
      <w:r w:rsidR="008C7C74">
        <w:rPr>
          <w:lang w:val="en"/>
        </w:rPr>
        <w:t xml:space="preserve">- </w:t>
      </w:r>
      <w:r>
        <w:rPr>
          <w:lang w:val="en"/>
        </w:rPr>
        <w:t xml:space="preserve">Practice </w:t>
      </w:r>
      <w:proofErr w:type="gramStart"/>
      <w:r>
        <w:rPr>
          <w:lang w:val="en"/>
        </w:rPr>
        <w:t>Stream</w:t>
      </w:r>
      <w:r w:rsidRPr="007151BD">
        <w:rPr>
          <w:lang w:val="en"/>
        </w:rPr>
        <w:t>;</w:t>
      </w:r>
      <w:proofErr w:type="gramEnd"/>
    </w:p>
    <w:p w14:paraId="214036FF" w14:textId="77777777" w:rsidR="000F0F77" w:rsidRPr="007151BD" w:rsidRDefault="0798F7F6" w:rsidP="0798F7F6">
      <w:pPr>
        <w:pStyle w:val="ListBullet"/>
        <w:rPr>
          <w:lang w:val="en-US"/>
        </w:rPr>
      </w:pPr>
      <w:r w:rsidRPr="0798F7F6">
        <w:rPr>
          <w:lang w:val="en-US"/>
        </w:rPr>
        <w:t xml:space="preserve">be accredited, or registered for accreditation, as a general practice against the RACGP </w:t>
      </w:r>
      <w:r w:rsidRPr="0798F7F6">
        <w:rPr>
          <w:i/>
          <w:iCs/>
          <w:lang w:val="en-US"/>
        </w:rPr>
        <w:t>Standards for general practices</w:t>
      </w:r>
      <w:r w:rsidRPr="0798F7F6">
        <w:rPr>
          <w:lang w:val="en-US"/>
        </w:rPr>
        <w:t xml:space="preserve"> (</w:t>
      </w:r>
      <w:hyperlink r:id="rId17">
        <w:r w:rsidRPr="0798F7F6">
          <w:rPr>
            <w:rStyle w:val="Hyperlink"/>
            <w:lang w:val="en-US"/>
          </w:rPr>
          <w:t>the RACGP Standards</w:t>
        </w:r>
      </w:hyperlink>
      <w:r w:rsidRPr="0798F7F6">
        <w:rPr>
          <w:lang w:val="en-US"/>
        </w:rPr>
        <w:t xml:space="preserve">). Accreditation must: </w:t>
      </w:r>
    </w:p>
    <w:p w14:paraId="378A9646" w14:textId="539C59F1" w:rsidR="000F0F77" w:rsidRPr="007151BD" w:rsidRDefault="004F1CCC" w:rsidP="0043055A">
      <w:pPr>
        <w:pStyle w:val="ListBullet2"/>
        <w:rPr>
          <w:lang w:val="en"/>
        </w:rPr>
      </w:pPr>
      <w:r>
        <w:rPr>
          <w:lang w:val="en" w:eastAsia="en-AU"/>
        </w:rPr>
        <w:t xml:space="preserve">be </w:t>
      </w:r>
      <w:r w:rsidR="00835C27">
        <w:rPr>
          <w:lang w:val="en" w:eastAsia="en-AU"/>
        </w:rPr>
        <w:t>current</w:t>
      </w:r>
      <w:r w:rsidR="00835C27" w:rsidRPr="001556D9">
        <w:rPr>
          <w:lang w:val="en" w:eastAsia="en-AU"/>
        </w:rPr>
        <w:t xml:space="preserve"> </w:t>
      </w:r>
      <w:r w:rsidR="00835C27">
        <w:rPr>
          <w:lang w:val="en" w:eastAsia="en-AU"/>
        </w:rPr>
        <w:t>at</w:t>
      </w:r>
      <w:r w:rsidR="00835C27" w:rsidRPr="001556D9">
        <w:rPr>
          <w:lang w:val="en" w:eastAsia="en-AU"/>
        </w:rPr>
        <w:t xml:space="preserve"> the point in time date of each payment quarter to be eligible for </w:t>
      </w:r>
      <w:proofErr w:type="gramStart"/>
      <w:r w:rsidR="00835C27" w:rsidRPr="001556D9">
        <w:rPr>
          <w:lang w:val="en" w:eastAsia="en-AU"/>
        </w:rPr>
        <w:t>payment</w:t>
      </w:r>
      <w:r w:rsidR="000F0F77" w:rsidRPr="007151BD">
        <w:rPr>
          <w:lang w:val="en"/>
        </w:rPr>
        <w:t>;</w:t>
      </w:r>
      <w:proofErr w:type="gramEnd"/>
    </w:p>
    <w:p w14:paraId="40B601FB" w14:textId="38092476" w:rsidR="000F0F77" w:rsidRPr="007151BD" w:rsidRDefault="0798F7F6" w:rsidP="0798F7F6">
      <w:pPr>
        <w:pStyle w:val="ListBullet2"/>
        <w:rPr>
          <w:lang w:val="en-US"/>
        </w:rPr>
      </w:pPr>
      <w:r w:rsidRPr="0798F7F6">
        <w:rPr>
          <w:lang w:val="en-US"/>
        </w:rPr>
        <w:t xml:space="preserve">if registered for accreditation, practices must achieve accreditation against the RACGP Standards within 12 months of being approved in the WIP - Practice Stream, or within 12 months of being approved in the Practice Incentives Program (PIP) if a PIP consenting practice, and maintain accreditation </w:t>
      </w:r>
      <w:proofErr w:type="gramStart"/>
      <w:r w:rsidRPr="0798F7F6">
        <w:rPr>
          <w:lang w:val="en-US"/>
        </w:rPr>
        <w:t>thereafter;</w:t>
      </w:r>
      <w:proofErr w:type="gramEnd"/>
    </w:p>
    <w:p w14:paraId="1312EBCC" w14:textId="7C0705DD" w:rsidR="00CF4BBE" w:rsidRPr="007151BD" w:rsidRDefault="00CF4BBE" w:rsidP="0043055A">
      <w:pPr>
        <w:pStyle w:val="ListBullet"/>
        <w:rPr>
          <w:lang w:val="en"/>
        </w:rPr>
      </w:pPr>
      <w:r w:rsidRPr="007151BD">
        <w:rPr>
          <w:lang w:val="en"/>
        </w:rPr>
        <w:t xml:space="preserve">if the practice is a PIP consenting practice, it must remain eligible in the </w:t>
      </w:r>
      <w:proofErr w:type="gramStart"/>
      <w:r w:rsidRPr="007151BD">
        <w:rPr>
          <w:lang w:val="en"/>
        </w:rPr>
        <w:t>PIP;</w:t>
      </w:r>
      <w:proofErr w:type="gramEnd"/>
    </w:p>
    <w:p w14:paraId="57ECBA77" w14:textId="77777777" w:rsidR="00CF4BBE" w:rsidRPr="007151BD" w:rsidRDefault="0798F7F6" w:rsidP="0798F7F6">
      <w:pPr>
        <w:pStyle w:val="ListBullet"/>
        <w:rPr>
          <w:lang w:val="en-US"/>
        </w:rPr>
      </w:pPr>
      <w:r w:rsidRPr="0798F7F6">
        <w:rPr>
          <w:lang w:val="en-US"/>
        </w:rPr>
        <w:t xml:space="preserve">maintain at least $10 million in public liability insurance cover for the main location and each additional practice location. Legal liability is not public </w:t>
      </w:r>
      <w:proofErr w:type="gramStart"/>
      <w:r w:rsidRPr="0798F7F6">
        <w:rPr>
          <w:lang w:val="en-US"/>
        </w:rPr>
        <w:t>liability;</w:t>
      </w:r>
      <w:proofErr w:type="gramEnd"/>
    </w:p>
    <w:p w14:paraId="165F4CB9" w14:textId="54AE0EDE" w:rsidR="00CF4BBE" w:rsidRPr="007E5E73" w:rsidRDefault="00CF4BBE" w:rsidP="0043055A">
      <w:pPr>
        <w:pStyle w:val="ListBullet"/>
        <w:rPr>
          <w:lang w:val="en"/>
        </w:rPr>
      </w:pPr>
      <w:r w:rsidRPr="007E5E73">
        <w:rPr>
          <w:lang w:val="en"/>
        </w:rPr>
        <w:t xml:space="preserve">make sure all general practitioners and </w:t>
      </w:r>
      <w:r w:rsidR="000F0F77" w:rsidRPr="007E5E73">
        <w:rPr>
          <w:lang w:val="en"/>
        </w:rPr>
        <w:t>health professionals</w:t>
      </w:r>
      <w:r w:rsidRPr="007E5E73">
        <w:rPr>
          <w:lang w:val="en"/>
        </w:rPr>
        <w:t xml:space="preserve"> have the required professional indemnity insurance cover as set out by their respective National Board’s </w:t>
      </w:r>
      <w:r w:rsidRPr="007E5E73">
        <w:rPr>
          <w:i/>
          <w:lang w:val="en"/>
        </w:rPr>
        <w:t>Registration standard: Professional indemnity insurance arrangements</w:t>
      </w:r>
      <w:r w:rsidRPr="007E5E73">
        <w:rPr>
          <w:rStyle w:val="CommentReference"/>
          <w:sz w:val="24"/>
          <w:szCs w:val="24"/>
        </w:rPr>
        <w:t xml:space="preserve">; </w:t>
      </w:r>
      <w:r w:rsidRPr="007E5E73">
        <w:rPr>
          <w:lang w:val="en"/>
        </w:rPr>
        <w:t>and</w:t>
      </w:r>
    </w:p>
    <w:p w14:paraId="07AA849F" w14:textId="77777777" w:rsidR="00FD5DCE" w:rsidRDefault="00CF4BBE" w:rsidP="005B437F">
      <w:pPr>
        <w:pStyle w:val="ListBullet"/>
      </w:pPr>
      <w:r w:rsidRPr="007151BD">
        <w:rPr>
          <w:lang w:val="en"/>
        </w:rPr>
        <w:lastRenderedPageBreak/>
        <w:t>employ or engage the services of an eligible health professional</w:t>
      </w:r>
      <w:r w:rsidRPr="007151BD">
        <w:rPr>
          <w:b/>
          <w:lang w:val="en"/>
        </w:rPr>
        <w:t xml:space="preserve"> </w:t>
      </w:r>
      <w:r w:rsidRPr="007151BD">
        <w:rPr>
          <w:lang w:val="en"/>
        </w:rPr>
        <w:t xml:space="preserve">listed in Part </w:t>
      </w:r>
      <w:r w:rsidR="00CB497A">
        <w:rPr>
          <w:lang w:val="en"/>
        </w:rPr>
        <w:t>B</w:t>
      </w:r>
      <w:r w:rsidRPr="007151BD">
        <w:rPr>
          <w:lang w:val="en"/>
        </w:rPr>
        <w:t xml:space="preserve">, </w:t>
      </w:r>
      <w:bookmarkStart w:id="170" w:name="_Toc490491600"/>
      <w:r w:rsidR="00CB497A" w:rsidRPr="00F0217B">
        <w:fldChar w:fldCharType="begin"/>
      </w:r>
      <w:r w:rsidR="00CB497A" w:rsidRPr="00F0217B">
        <w:instrText xml:space="preserve"> HYPERLINK  \l "_1.1_Eligible_health" </w:instrText>
      </w:r>
      <w:r w:rsidR="00CB497A" w:rsidRPr="00F0217B">
        <w:fldChar w:fldCharType="separate"/>
      </w:r>
      <w:r w:rsidR="000F0F77" w:rsidRPr="00F0217B">
        <w:rPr>
          <w:rStyle w:val="Hyperlink"/>
        </w:rPr>
        <w:t>Section 1.1</w:t>
      </w:r>
      <w:r w:rsidR="00CB497A" w:rsidRPr="00F0217B">
        <w:fldChar w:fldCharType="end"/>
      </w:r>
      <w:r w:rsidRPr="00F0217B">
        <w:t xml:space="preserve"> ‘Eligible Health Professionals’. </w:t>
      </w:r>
    </w:p>
    <w:p w14:paraId="1BF4AEE8" w14:textId="0445DFE2" w:rsidR="00CF4BBE" w:rsidRPr="00F0217B" w:rsidRDefault="00EC4DD2" w:rsidP="00EC4DD2">
      <w:pPr>
        <w:pStyle w:val="Heading3numbered"/>
      </w:pPr>
      <w:bookmarkStart w:id="171" w:name="_Toc529284769"/>
      <w:bookmarkStart w:id="172" w:name="_Toc25157821"/>
      <w:bookmarkStart w:id="173" w:name="_Toc142318439"/>
      <w:bookmarkStart w:id="174" w:name="_Toc197682350"/>
      <w:r>
        <w:t>1.3.1</w:t>
      </w:r>
      <w:r>
        <w:tab/>
      </w:r>
      <w:r w:rsidR="00CF4BBE" w:rsidRPr="00F0217B">
        <w:t>Practices with multiple locations</w:t>
      </w:r>
      <w:bookmarkEnd w:id="170"/>
      <w:bookmarkEnd w:id="171"/>
      <w:bookmarkEnd w:id="172"/>
      <w:bookmarkEnd w:id="173"/>
      <w:bookmarkEnd w:id="174"/>
    </w:p>
    <w:p w14:paraId="2F964688" w14:textId="5CB6D489" w:rsidR="002A4CD2" w:rsidRPr="009F4163" w:rsidRDefault="008F2262" w:rsidP="002A4CD2">
      <w:r>
        <w:t>G</w:t>
      </w:r>
      <w:r w:rsidR="002A4CD2">
        <w:t>eneral p</w:t>
      </w:r>
      <w:r w:rsidR="002A4CD2" w:rsidRPr="009F4163">
        <w:t xml:space="preserve">ractices </w:t>
      </w:r>
      <w:r w:rsidR="00372706">
        <w:t>that work from</w:t>
      </w:r>
      <w:r w:rsidR="00372706" w:rsidRPr="009F4163">
        <w:t xml:space="preserve"> </w:t>
      </w:r>
      <w:r w:rsidR="002A4CD2" w:rsidRPr="009F4163">
        <w:t xml:space="preserve">multiple </w:t>
      </w:r>
      <w:r w:rsidR="002A4CD2">
        <w:t xml:space="preserve">locations can apply for the WIP – Practice Stream </w:t>
      </w:r>
      <w:r w:rsidR="002A4CD2" w:rsidRPr="009F4163">
        <w:t xml:space="preserve">as a single practice </w:t>
      </w:r>
      <w:r w:rsidR="002A4CD2" w:rsidRPr="00A54AAF">
        <w:t xml:space="preserve">if they </w:t>
      </w:r>
      <w:r w:rsidR="002A4CD2" w:rsidRPr="009F4163">
        <w:t xml:space="preserve">meet eligibility requirements. </w:t>
      </w:r>
    </w:p>
    <w:p w14:paraId="3F8AC383" w14:textId="77777777" w:rsidR="00372706" w:rsidRDefault="002A4CD2" w:rsidP="002A4CD2">
      <w:r w:rsidRPr="00256302">
        <w:t xml:space="preserve">Practices need to nominate the main practice location. The main practice location should be the one that provides the most </w:t>
      </w:r>
      <w:r w:rsidR="00104E07">
        <w:t>Medicare Benefits Schedule (</w:t>
      </w:r>
      <w:r w:rsidRPr="00256302">
        <w:t>MBS</w:t>
      </w:r>
      <w:r w:rsidR="00104E07">
        <w:t>)</w:t>
      </w:r>
      <w:r w:rsidRPr="00256302">
        <w:t xml:space="preserve"> services per annum. Additional practice locations are called practice branches. </w:t>
      </w:r>
      <w:r>
        <w:t>Eligibility for</w:t>
      </w:r>
      <w:r w:rsidR="00656FD3">
        <w:t xml:space="preserve"> </w:t>
      </w:r>
      <w:r>
        <w:t>and c</w:t>
      </w:r>
      <w:r w:rsidRPr="00256302">
        <w:t xml:space="preserve">alculation of a rural loading </w:t>
      </w:r>
      <w:r>
        <w:t>is</w:t>
      </w:r>
      <w:r w:rsidRPr="00256302">
        <w:t xml:space="preserve"> applied to the main practice location.</w:t>
      </w:r>
      <w:r w:rsidR="00372706">
        <w:t xml:space="preserve"> </w:t>
      </w:r>
    </w:p>
    <w:p w14:paraId="10D8F3BB" w14:textId="196147C8" w:rsidR="00CF4BBE" w:rsidRPr="00A54AAF" w:rsidRDefault="00CF4BBE" w:rsidP="00CD7B16">
      <w:pPr>
        <w:spacing w:after="160"/>
        <w:rPr>
          <w:lang w:val="en"/>
        </w:rPr>
      </w:pPr>
      <w:r w:rsidRPr="00A54AAF">
        <w:rPr>
          <w:lang w:val="en"/>
        </w:rPr>
        <w:t>To be eligible, a</w:t>
      </w:r>
      <w:r w:rsidR="002A4CD2">
        <w:rPr>
          <w:lang w:val="en"/>
        </w:rPr>
        <w:t xml:space="preserve"> general</w:t>
      </w:r>
      <w:r w:rsidRPr="00A54AAF">
        <w:rPr>
          <w:lang w:val="en"/>
        </w:rPr>
        <w:t xml:space="preserve"> practice branch must:</w:t>
      </w:r>
    </w:p>
    <w:p w14:paraId="6E0AFCBC" w14:textId="77777777" w:rsidR="00CF4BBE" w:rsidRPr="009F4163" w:rsidRDefault="00CF4BBE" w:rsidP="0043055A">
      <w:pPr>
        <w:pStyle w:val="ListBullet"/>
        <w:rPr>
          <w:lang w:val="en"/>
        </w:rPr>
      </w:pPr>
      <w:r>
        <w:rPr>
          <w:lang w:val="en"/>
        </w:rPr>
        <w:t xml:space="preserve">provide </w:t>
      </w:r>
      <w:r w:rsidRPr="009F4163">
        <w:rPr>
          <w:lang w:val="en"/>
        </w:rPr>
        <w:t xml:space="preserve">MBS </w:t>
      </w:r>
      <w:proofErr w:type="gramStart"/>
      <w:r w:rsidRPr="009F4163">
        <w:rPr>
          <w:lang w:val="en"/>
        </w:rPr>
        <w:t>services</w:t>
      </w:r>
      <w:r>
        <w:rPr>
          <w:lang w:val="en"/>
        </w:rPr>
        <w:t>;</w:t>
      </w:r>
      <w:proofErr w:type="gramEnd"/>
    </w:p>
    <w:p w14:paraId="368EB427" w14:textId="77777777" w:rsidR="00CF4BBE" w:rsidRPr="009F4163" w:rsidRDefault="00CF4BBE" w:rsidP="0043055A">
      <w:pPr>
        <w:pStyle w:val="ListBullet"/>
        <w:rPr>
          <w:lang w:val="en"/>
        </w:rPr>
      </w:pPr>
      <w:r>
        <w:rPr>
          <w:lang w:val="en"/>
        </w:rPr>
        <w:t>have one</w:t>
      </w:r>
      <w:r w:rsidRPr="009F4163">
        <w:rPr>
          <w:lang w:val="en"/>
        </w:rPr>
        <w:t xml:space="preserve"> or more </w:t>
      </w:r>
      <w:r w:rsidRPr="00B929F0">
        <w:rPr>
          <w:lang w:val="en"/>
        </w:rPr>
        <w:t xml:space="preserve">general practitioners who </w:t>
      </w:r>
      <w:r w:rsidRPr="009F4163">
        <w:rPr>
          <w:lang w:val="en"/>
        </w:rPr>
        <w:t xml:space="preserve">provide MBS services at both the main </w:t>
      </w:r>
      <w:r w:rsidRPr="00A54AAF">
        <w:rPr>
          <w:lang w:val="en"/>
        </w:rPr>
        <w:t xml:space="preserve">practice location and the practice </w:t>
      </w:r>
      <w:proofErr w:type="gramStart"/>
      <w:r w:rsidRPr="00A54AAF">
        <w:rPr>
          <w:lang w:val="en"/>
        </w:rPr>
        <w:t>branch;</w:t>
      </w:r>
      <w:proofErr w:type="gramEnd"/>
    </w:p>
    <w:p w14:paraId="1BA21FC0" w14:textId="77777777" w:rsidR="00CF4BBE" w:rsidRPr="009F4163" w:rsidRDefault="00CF4BBE" w:rsidP="0043055A">
      <w:pPr>
        <w:pStyle w:val="ListBullet"/>
        <w:rPr>
          <w:lang w:val="en"/>
        </w:rPr>
      </w:pPr>
      <w:r w:rsidRPr="009F4163">
        <w:rPr>
          <w:lang w:val="en"/>
        </w:rPr>
        <w:t>maintain at least $10 million in public liability insurance cover</w:t>
      </w:r>
      <w:r>
        <w:rPr>
          <w:lang w:val="en"/>
        </w:rPr>
        <w:t xml:space="preserve"> (legal liability is not public liability); </w:t>
      </w:r>
      <w:r w:rsidRPr="009F4163">
        <w:rPr>
          <w:lang w:val="en"/>
        </w:rPr>
        <w:t>and</w:t>
      </w:r>
    </w:p>
    <w:p w14:paraId="6E851B6C" w14:textId="00FD27B4" w:rsidR="004C5AF5" w:rsidRPr="004C5AF5" w:rsidRDefault="0798F7F6" w:rsidP="0798F7F6">
      <w:pPr>
        <w:pStyle w:val="ListBullet"/>
        <w:rPr>
          <w:lang w:val="en-US"/>
        </w:rPr>
      </w:pPr>
      <w:r w:rsidRPr="0798F7F6">
        <w:rPr>
          <w:lang w:val="en-US"/>
        </w:rPr>
        <w:t>ensure all practitioners and eligible health professionals have, and maintain, the required professional indemnity cover.</w:t>
      </w:r>
    </w:p>
    <w:p w14:paraId="2797143B" w14:textId="25FEE0F1" w:rsidR="00CF4BBE" w:rsidRPr="00640B58" w:rsidRDefault="00CF4BBE" w:rsidP="00830756">
      <w:pPr>
        <w:pStyle w:val="Heading2numbered"/>
      </w:pPr>
      <w:bookmarkStart w:id="175" w:name="_1.2_Accreditation_requirements"/>
      <w:bookmarkStart w:id="176" w:name="_1.4_Accreditation_requirements"/>
      <w:bookmarkStart w:id="177" w:name="_Toc529284545"/>
      <w:bookmarkStart w:id="178" w:name="_Toc529284771"/>
      <w:bookmarkStart w:id="179" w:name="_Ref2590865"/>
      <w:bookmarkStart w:id="180" w:name="_Toc25157822"/>
      <w:bookmarkStart w:id="181" w:name="_Toc142318440"/>
      <w:bookmarkStart w:id="182" w:name="_Toc197682351"/>
      <w:bookmarkEnd w:id="175"/>
      <w:bookmarkEnd w:id="176"/>
      <w:r w:rsidRPr="00640B58">
        <w:t>Accreditation requirements</w:t>
      </w:r>
      <w:bookmarkEnd w:id="177"/>
      <w:bookmarkEnd w:id="178"/>
      <w:bookmarkEnd w:id="179"/>
      <w:bookmarkEnd w:id="180"/>
      <w:bookmarkEnd w:id="181"/>
      <w:bookmarkEnd w:id="182"/>
    </w:p>
    <w:p w14:paraId="00A70B11" w14:textId="3EB4AB29"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 xml:space="preserve">General practices must be accredited as a general practice against the RACGP Standards to participate in the </w:t>
      </w:r>
      <w:r>
        <w:rPr>
          <w:rFonts w:eastAsia="Times New Roman" w:cstheme="minorHAnsi"/>
          <w:color w:val="000000" w:themeColor="text1"/>
          <w:lang w:val="en" w:eastAsia="en-AU"/>
        </w:rPr>
        <w:t>WIP</w:t>
      </w:r>
      <w:r w:rsidR="00FF515E">
        <w:rPr>
          <w:rFonts w:eastAsia="Times New Roman" w:cstheme="minorHAnsi"/>
          <w:color w:val="000000" w:themeColor="text1"/>
          <w:lang w:val="en" w:eastAsia="en-AU"/>
        </w:rPr>
        <w:t xml:space="preserve"> </w:t>
      </w:r>
      <w:r>
        <w:rPr>
          <w:rFonts w:eastAsia="Times New Roman" w:cstheme="minorHAnsi"/>
          <w:color w:val="000000" w:themeColor="text1"/>
          <w:lang w:val="en" w:eastAsia="en-AU"/>
        </w:rPr>
        <w:t>-</w:t>
      </w:r>
      <w:r w:rsidR="00FF515E">
        <w:rPr>
          <w:rFonts w:eastAsia="Times New Roman" w:cstheme="minorHAnsi"/>
          <w:color w:val="000000" w:themeColor="text1"/>
          <w:lang w:val="en" w:eastAsia="en-AU"/>
        </w:rPr>
        <w:t xml:space="preserve"> </w:t>
      </w:r>
      <w:r>
        <w:rPr>
          <w:rFonts w:eastAsia="Times New Roman" w:cstheme="minorHAnsi"/>
          <w:color w:val="000000" w:themeColor="text1"/>
          <w:lang w:val="en" w:eastAsia="en-AU"/>
        </w:rPr>
        <w:t>Practice Stream</w:t>
      </w:r>
      <w:r w:rsidRPr="000D3C6F">
        <w:rPr>
          <w:rFonts w:eastAsia="Times New Roman" w:cstheme="minorHAnsi"/>
          <w:color w:val="000000" w:themeColor="text1"/>
          <w:lang w:val="en" w:eastAsia="en-AU"/>
        </w:rPr>
        <w:t xml:space="preserve">. Practices applying for the first time can be registered for accreditation and then must achieve accreditation within 12 months of being approved. </w:t>
      </w:r>
      <w:r w:rsidR="00043D6D" w:rsidRPr="000D3C6F">
        <w:rPr>
          <w:rFonts w:eastAsia="Times New Roman" w:cstheme="minorHAnsi"/>
          <w:color w:val="000000" w:themeColor="text1"/>
          <w:lang w:val="en" w:eastAsia="en-AU"/>
        </w:rPr>
        <w:t>If your practice doesn’t meet this requirement, your practice will not be eligible for payment until the payment quarter that accreditation is achieved.</w:t>
      </w:r>
      <w:r w:rsidR="00043D6D">
        <w:rPr>
          <w:rFonts w:eastAsia="Times New Roman" w:cstheme="minorHAnsi"/>
          <w:color w:val="000000"/>
          <w:lang w:val="en" w:eastAsia="en-AU"/>
        </w:rPr>
        <w:t xml:space="preserve"> </w:t>
      </w:r>
      <w:r w:rsidR="000D3C6F" w:rsidRPr="000E0581">
        <w:rPr>
          <w:rFonts w:cstheme="minorHAnsi"/>
        </w:rPr>
        <w:t xml:space="preserve">If a PIP consenting </w:t>
      </w:r>
      <w:r w:rsidR="00FC4692">
        <w:rPr>
          <w:rFonts w:cstheme="minorHAnsi"/>
        </w:rPr>
        <w:t xml:space="preserve">WIP </w:t>
      </w:r>
      <w:r w:rsidR="00FF515E">
        <w:rPr>
          <w:rFonts w:cstheme="minorHAnsi"/>
        </w:rPr>
        <w:t xml:space="preserve">- </w:t>
      </w:r>
      <w:r w:rsidR="00FC4692">
        <w:rPr>
          <w:rFonts w:cstheme="minorHAnsi"/>
        </w:rPr>
        <w:t xml:space="preserve">Practice Stream </w:t>
      </w:r>
      <w:r w:rsidR="000D3C6F" w:rsidRPr="000E0581">
        <w:rPr>
          <w:rFonts w:cstheme="minorHAnsi"/>
        </w:rPr>
        <w:t xml:space="preserve">practice is registered for accreditation, the </w:t>
      </w:r>
      <w:r w:rsidR="00510FDD">
        <w:rPr>
          <w:rFonts w:cstheme="minorHAnsi"/>
        </w:rPr>
        <w:t>12-month</w:t>
      </w:r>
      <w:r w:rsidR="00FC4692">
        <w:rPr>
          <w:rFonts w:cstheme="minorHAnsi"/>
        </w:rPr>
        <w:t xml:space="preserve"> period</w:t>
      </w:r>
      <w:r w:rsidR="000D3C6F">
        <w:rPr>
          <w:rFonts w:cstheme="minorHAnsi"/>
        </w:rPr>
        <w:t xml:space="preserve"> will </w:t>
      </w:r>
      <w:r w:rsidR="000D3C6F" w:rsidRPr="000E0581">
        <w:rPr>
          <w:rFonts w:cstheme="minorHAnsi"/>
        </w:rPr>
        <w:t>start from the date the practice was approved for the PIP</w:t>
      </w:r>
      <w:r w:rsidR="00605185">
        <w:rPr>
          <w:rFonts w:cstheme="minorHAnsi"/>
        </w:rPr>
        <w:t xml:space="preserve"> if the</w:t>
      </w:r>
      <w:r w:rsidR="00177118">
        <w:rPr>
          <w:rFonts w:cstheme="minorHAnsi"/>
        </w:rPr>
        <w:t xml:space="preserve"> PIP</w:t>
      </w:r>
      <w:r w:rsidR="00605185">
        <w:rPr>
          <w:rFonts w:cstheme="minorHAnsi"/>
        </w:rPr>
        <w:t xml:space="preserve"> approval date is earlier</w:t>
      </w:r>
      <w:r w:rsidR="000D3C6F">
        <w:rPr>
          <w:rFonts w:cstheme="minorHAnsi"/>
        </w:rPr>
        <w:t xml:space="preserve">. </w:t>
      </w:r>
    </w:p>
    <w:p w14:paraId="236043E6" w14:textId="341714BE"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Your practice must be accredited by an accrediting agency approved by the Australian Commission on Safety and Quality in Health Care (</w:t>
      </w:r>
      <w:r w:rsidR="002C7FA7">
        <w:rPr>
          <w:rFonts w:eastAsia="Times New Roman"/>
          <w:lang w:val="en"/>
        </w:rPr>
        <w:t>ACSQHC</w:t>
      </w:r>
      <w:r w:rsidRPr="000D3C6F">
        <w:rPr>
          <w:rFonts w:eastAsia="Times New Roman" w:cstheme="minorHAnsi"/>
          <w:color w:val="000000" w:themeColor="text1"/>
          <w:lang w:val="en" w:eastAsia="en-AU"/>
        </w:rPr>
        <w:t xml:space="preserve">). </w:t>
      </w:r>
      <w:r w:rsidR="002C7FA7">
        <w:rPr>
          <w:rFonts w:eastAsia="Times New Roman"/>
          <w:lang w:val="en"/>
        </w:rPr>
        <w:t xml:space="preserve">ACSQHC </w:t>
      </w:r>
      <w:r w:rsidRPr="000D3C6F">
        <w:rPr>
          <w:rFonts w:eastAsia="Times New Roman" w:cstheme="minorHAnsi"/>
          <w:color w:val="000000" w:themeColor="text1"/>
          <w:lang w:val="en" w:eastAsia="en-AU"/>
        </w:rPr>
        <w:t xml:space="preserve">administers the </w:t>
      </w:r>
      <w:hyperlink r:id="rId18" w:history="1">
        <w:r w:rsidRPr="000D3C6F">
          <w:rPr>
            <w:rFonts w:eastAsia="Times New Roman" w:cstheme="minorHAnsi"/>
            <w:color w:val="0000FF"/>
            <w:u w:val="single"/>
            <w:lang w:val="en" w:eastAsia="en-AU"/>
          </w:rPr>
          <w:t>National General Practice Accreditation (NGPA) Scheme</w:t>
        </w:r>
      </w:hyperlink>
      <w:r w:rsidRPr="000D3C6F">
        <w:rPr>
          <w:rFonts w:eastAsia="Times New Roman" w:cstheme="minorHAnsi"/>
          <w:color w:val="000000" w:themeColor="text1"/>
          <w:lang w:val="en" w:eastAsia="en-AU"/>
        </w:rPr>
        <w:t>. RACGP Standards must be referenced on the certificate provided by the accrediting agency.</w:t>
      </w:r>
    </w:p>
    <w:p w14:paraId="3F19954A" w14:textId="1A121B1A" w:rsidR="00934592" w:rsidRPr="000D3C6F" w:rsidRDefault="0798F7F6" w:rsidP="0798F7F6">
      <w:pPr>
        <w:spacing w:before="240" w:line="240" w:lineRule="auto"/>
        <w:rPr>
          <w:rFonts w:eastAsia="Times New Roman" w:cstheme="minorBidi"/>
          <w:color w:val="000000"/>
          <w:lang w:val="en-US" w:eastAsia="en-AU"/>
        </w:rPr>
      </w:pPr>
      <w:r w:rsidRPr="0798F7F6">
        <w:rPr>
          <w:rFonts w:eastAsia="Times New Roman" w:cstheme="minorBidi"/>
          <w:color w:val="000000" w:themeColor="text1"/>
          <w:lang w:val="en-US" w:eastAsia="en-AU"/>
        </w:rPr>
        <w:t>Your practice must be accredited at the point in time date of each payment quarter to be eligible for payment. To maintain your eligibility for payments, you should:</w:t>
      </w:r>
    </w:p>
    <w:p w14:paraId="538108D8" w14:textId="088F65CB" w:rsidR="00934592" w:rsidRPr="000D3C6F" w:rsidRDefault="0798F7F6" w:rsidP="0798F7F6">
      <w:pPr>
        <w:pStyle w:val="ListBullet"/>
        <w:rPr>
          <w:color w:val="000000"/>
          <w:lang w:val="en-US" w:eastAsia="en-AU"/>
        </w:rPr>
      </w:pPr>
      <w:r w:rsidRPr="0798F7F6">
        <w:rPr>
          <w:lang w:val="en-US" w:eastAsia="en-AU"/>
        </w:rPr>
        <w:t xml:space="preserve">consult your accrediting agency early to renew your accreditation before it expires. Your assessment should commence well before the expiry date of your current accreditation certificate to allow time to remediate non-compliant </w:t>
      </w:r>
      <w:proofErr w:type="gramStart"/>
      <w:r w:rsidRPr="0798F7F6">
        <w:rPr>
          <w:lang w:val="en-US" w:eastAsia="en-AU"/>
        </w:rPr>
        <w:t>indicators;</w:t>
      </w:r>
      <w:proofErr w:type="gramEnd"/>
      <w:r w:rsidRPr="0798F7F6">
        <w:rPr>
          <w:lang w:val="en-US" w:eastAsia="en-AU"/>
        </w:rPr>
        <w:t xml:space="preserve"> </w:t>
      </w:r>
    </w:p>
    <w:p w14:paraId="183D173F" w14:textId="58A967BF" w:rsidR="00934592" w:rsidRPr="000D3C6F" w:rsidRDefault="0798F7F6" w:rsidP="0798F7F6">
      <w:pPr>
        <w:pStyle w:val="ListBullet"/>
        <w:rPr>
          <w:color w:val="000000"/>
          <w:lang w:val="en-US" w:eastAsia="en-AU"/>
        </w:rPr>
      </w:pPr>
      <w:r w:rsidRPr="0798F7F6">
        <w:rPr>
          <w:lang w:val="en-US" w:eastAsia="en-AU"/>
        </w:rPr>
        <w:lastRenderedPageBreak/>
        <w:t xml:space="preserve">accreditation start dates can’t be backdated. The date that an accrediting agency awards accreditation must be on, or before the next point in time date following accreditation </w:t>
      </w:r>
      <w:proofErr w:type="gramStart"/>
      <w:r w:rsidRPr="0798F7F6">
        <w:rPr>
          <w:lang w:val="en-US" w:eastAsia="en-AU"/>
        </w:rPr>
        <w:t>expiry;</w:t>
      </w:r>
      <w:proofErr w:type="gramEnd"/>
    </w:p>
    <w:p w14:paraId="7AB17804" w14:textId="0EF71493" w:rsidR="00934592" w:rsidRPr="000D3C6F" w:rsidRDefault="00934592" w:rsidP="0043055A">
      <w:pPr>
        <w:pStyle w:val="ListBullet"/>
        <w:rPr>
          <w:rFonts w:cstheme="minorBidi"/>
          <w:color w:val="000000"/>
          <w:lang w:val="en" w:eastAsia="en-AU"/>
        </w:rPr>
      </w:pPr>
      <w:r w:rsidRPr="000D3C6F">
        <w:rPr>
          <w:rFonts w:cstheme="minorBidi"/>
          <w:lang w:val="en" w:eastAsia="en-AU"/>
        </w:rPr>
        <w:t xml:space="preserve">in exceptional circumstances you may be able to request an extension to your accreditation. Applications for extensions to accreditation submitted to </w:t>
      </w:r>
      <w:r w:rsidR="002C7FA7">
        <w:rPr>
          <w:lang w:val="en"/>
        </w:rPr>
        <w:t>ACSQHC</w:t>
      </w:r>
      <w:r w:rsidRPr="000D3C6F">
        <w:rPr>
          <w:rFonts w:cstheme="minorBidi"/>
          <w:lang w:val="en" w:eastAsia="en-AU"/>
        </w:rPr>
        <w:t xml:space="preserve"> must meet the criteria set out in National General Practice Accreditation (NGPA) </w:t>
      </w:r>
      <w:r w:rsidRPr="00557517">
        <w:rPr>
          <w:lang w:val="en" w:eastAsia="en-AU"/>
        </w:rPr>
        <w:t xml:space="preserve">Scheme </w:t>
      </w:r>
      <w:r w:rsidR="00231CE4" w:rsidRPr="00557517">
        <w:rPr>
          <w:i/>
          <w:iCs/>
        </w:rPr>
        <w:t>Advisory 23/02 Requests for extensions and appeals</w:t>
      </w:r>
      <w:r w:rsidRPr="00557517">
        <w:rPr>
          <w:i/>
          <w:lang w:val="en" w:eastAsia="en-AU"/>
        </w:rPr>
        <w:t>.</w:t>
      </w:r>
      <w:r w:rsidRPr="000D3C6F">
        <w:rPr>
          <w:rFonts w:cstheme="minorBidi"/>
          <w:i/>
          <w:lang w:val="en" w:eastAsia="en-AU"/>
        </w:rPr>
        <w:t xml:space="preserve"> </w:t>
      </w:r>
      <w:r w:rsidRPr="000D3C6F">
        <w:rPr>
          <w:rFonts w:cstheme="minorBidi"/>
          <w:lang w:val="en" w:eastAsia="en-AU"/>
        </w:rPr>
        <w:t xml:space="preserve">To apply complete a request for approval under the NGPA scheme application form to </w:t>
      </w:r>
      <w:r w:rsidR="002C7FA7">
        <w:rPr>
          <w:lang w:val="en"/>
        </w:rPr>
        <w:t xml:space="preserve">ACSQHC. </w:t>
      </w:r>
    </w:p>
    <w:p w14:paraId="05563123" w14:textId="369D634F" w:rsidR="00934592" w:rsidRPr="000D3C6F" w:rsidRDefault="0798F7F6" w:rsidP="0798F7F6">
      <w:pPr>
        <w:spacing w:before="240" w:line="240" w:lineRule="auto"/>
        <w:rPr>
          <w:rFonts w:eastAsia="Times New Roman" w:cstheme="minorBidi"/>
          <w:color w:val="000000"/>
          <w:lang w:val="en-US" w:eastAsia="en-AU"/>
        </w:rPr>
      </w:pPr>
      <w:r w:rsidRPr="0798F7F6">
        <w:rPr>
          <w:rFonts w:eastAsia="Times New Roman" w:cstheme="minorBidi"/>
          <w:color w:val="000000" w:themeColor="text1"/>
          <w:lang w:val="en-US" w:eastAsia="en-AU"/>
        </w:rPr>
        <w:t>Practices that aren’t accredited at the point in time will not be eligible for the quarterly payment.</w:t>
      </w:r>
    </w:p>
    <w:p w14:paraId="56A7AC9B" w14:textId="01098023" w:rsidR="00934592" w:rsidRPr="000D3C6F" w:rsidRDefault="00934592" w:rsidP="00934592">
      <w:pPr>
        <w:spacing w:before="240" w:line="240" w:lineRule="auto"/>
        <w:rPr>
          <w:rFonts w:eastAsia="Times New Roman" w:cstheme="minorHAnsi"/>
          <w:color w:val="000000"/>
          <w:lang w:val="en" w:eastAsia="en-AU"/>
        </w:rPr>
      </w:pPr>
      <w:r w:rsidRPr="000D3C6F">
        <w:rPr>
          <w:rFonts w:eastAsia="Times New Roman" w:cstheme="minorHAnsi"/>
          <w:color w:val="000000" w:themeColor="text1"/>
          <w:lang w:val="en" w:eastAsia="en-AU"/>
        </w:rPr>
        <w:t>You can read the accreditation advisories, find an approved accrediting agency, or find out more about the NGPA Scheme on</w:t>
      </w:r>
      <w:r w:rsidR="002C7FA7">
        <w:rPr>
          <w:rFonts w:eastAsia="Times New Roman" w:cstheme="minorHAnsi"/>
          <w:color w:val="000000" w:themeColor="text1"/>
          <w:lang w:val="en" w:eastAsia="en-AU"/>
        </w:rPr>
        <w:t xml:space="preserve"> the</w:t>
      </w:r>
      <w:r w:rsidRPr="000D3C6F">
        <w:rPr>
          <w:rFonts w:eastAsia="Times New Roman" w:cstheme="minorHAnsi"/>
          <w:color w:val="000000" w:themeColor="text1"/>
          <w:lang w:val="en" w:eastAsia="en-AU"/>
        </w:rPr>
        <w:t xml:space="preserve"> </w:t>
      </w:r>
      <w:r w:rsidR="002C7FA7">
        <w:rPr>
          <w:rFonts w:eastAsia="Times New Roman"/>
          <w:lang w:val="en"/>
        </w:rPr>
        <w:t xml:space="preserve">ACSQHC </w:t>
      </w:r>
      <w:hyperlink r:id="rId19" w:history="1">
        <w:hyperlink r:id="rId20" w:history="1">
          <w:r w:rsidRPr="000D3C6F">
            <w:rPr>
              <w:rFonts w:eastAsia="Times New Roman" w:cstheme="minorHAnsi"/>
              <w:lang w:val="en" w:eastAsia="en-AU"/>
            </w:rPr>
            <w:t>website</w:t>
          </w:r>
        </w:hyperlink>
      </w:hyperlink>
      <w:r w:rsidRPr="000D3C6F">
        <w:rPr>
          <w:rFonts w:eastAsia="Times New Roman" w:cstheme="minorHAnsi"/>
          <w:color w:val="000000" w:themeColor="text1"/>
          <w:lang w:val="en" w:eastAsia="en-AU"/>
        </w:rPr>
        <w:t>.</w:t>
      </w:r>
    </w:p>
    <w:p w14:paraId="7995AC8B" w14:textId="77777777" w:rsidR="00934592" w:rsidRPr="0043055A" w:rsidRDefault="0798F7F6" w:rsidP="0043055A">
      <w:r w:rsidRPr="0798F7F6">
        <w:rPr>
          <w:rFonts w:eastAsia="Times New Roman" w:cstheme="minorBidi"/>
          <w:color w:val="000000" w:themeColor="text1"/>
          <w:lang w:val="en-US" w:eastAsia="en-AU"/>
        </w:rPr>
        <w:t xml:space="preserve">It is recommended you keep in regular contact with your accrediting agency to complete the </w:t>
      </w:r>
      <w:proofErr w:type="spellStart"/>
      <w:r w:rsidRPr="0798F7F6">
        <w:rPr>
          <w:rFonts w:eastAsia="Times New Roman" w:cstheme="minorBidi"/>
          <w:color w:val="000000" w:themeColor="text1"/>
          <w:lang w:val="en-US" w:eastAsia="en-AU"/>
        </w:rPr>
        <w:t>selfassessment</w:t>
      </w:r>
      <w:proofErr w:type="spellEnd"/>
      <w:r w:rsidRPr="0798F7F6">
        <w:rPr>
          <w:rFonts w:eastAsia="Times New Roman" w:cstheme="minorBidi"/>
          <w:color w:val="000000" w:themeColor="text1"/>
          <w:lang w:val="en-US" w:eastAsia="en-AU"/>
        </w:rPr>
        <w:t xml:space="preserve"> processes and schedule your assessment. </w:t>
      </w:r>
    </w:p>
    <w:p w14:paraId="74328C2B" w14:textId="012F4588" w:rsidR="002A4CD2" w:rsidRPr="00E31430" w:rsidRDefault="002A4CD2" w:rsidP="002A4CD2">
      <w:pPr>
        <w:rPr>
          <w:rFonts w:cstheme="minorHAnsi"/>
        </w:rPr>
      </w:pPr>
      <w:r w:rsidRPr="00906B7D">
        <w:rPr>
          <w:rFonts w:cstheme="minorHAnsi"/>
        </w:rPr>
        <w:t xml:space="preserve">For the purposes of the WIP </w:t>
      </w:r>
      <w:r w:rsidR="00FF515E">
        <w:rPr>
          <w:rFonts w:cstheme="minorHAnsi"/>
        </w:rPr>
        <w:t>-</w:t>
      </w:r>
      <w:r w:rsidRPr="00906B7D">
        <w:rPr>
          <w:rFonts w:cstheme="minorHAnsi"/>
        </w:rPr>
        <w:t xml:space="preserve"> Practice Stream, the accreditation certificate must:</w:t>
      </w:r>
    </w:p>
    <w:p w14:paraId="523845E1" w14:textId="77777777" w:rsidR="002A4CD2" w:rsidRPr="006748D1" w:rsidRDefault="002A4CD2" w:rsidP="0043055A">
      <w:pPr>
        <w:pStyle w:val="ListBullet"/>
      </w:pPr>
      <w:r w:rsidRPr="006748D1">
        <w:t xml:space="preserve">reference the RACGP </w:t>
      </w:r>
      <w:proofErr w:type="gramStart"/>
      <w:r w:rsidRPr="006748D1">
        <w:t>Standards;</w:t>
      </w:r>
      <w:proofErr w:type="gramEnd"/>
    </w:p>
    <w:p w14:paraId="01B797C6" w14:textId="1C845B47" w:rsidR="00F92610" w:rsidRDefault="002A4CD2" w:rsidP="0043055A">
      <w:pPr>
        <w:pStyle w:val="ListBullet"/>
      </w:pPr>
      <w:r w:rsidRPr="006748D1">
        <w:t xml:space="preserve">include the location of the </w:t>
      </w:r>
      <w:proofErr w:type="gramStart"/>
      <w:r w:rsidRPr="006748D1">
        <w:t>practice;</w:t>
      </w:r>
      <w:proofErr w:type="gramEnd"/>
      <w:r w:rsidRPr="006748D1">
        <w:t xml:space="preserve"> </w:t>
      </w:r>
    </w:p>
    <w:p w14:paraId="53DDB71B" w14:textId="2AB9529A" w:rsidR="002A4CD2" w:rsidRPr="006748D1" w:rsidRDefault="00F92610" w:rsidP="0043055A">
      <w:pPr>
        <w:pStyle w:val="ListBullet"/>
      </w:pPr>
      <w:r>
        <w:t xml:space="preserve">included the unique accreditation number; </w:t>
      </w:r>
      <w:r w:rsidR="002A4CD2" w:rsidRPr="006748D1">
        <w:t>and</w:t>
      </w:r>
    </w:p>
    <w:p w14:paraId="7BC67600" w14:textId="60463363" w:rsidR="002A4CD2" w:rsidRPr="006748D1" w:rsidRDefault="002A4CD2" w:rsidP="0043055A">
      <w:pPr>
        <w:pStyle w:val="ListBullet"/>
        <w:rPr>
          <w:lang w:val="en-GB"/>
        </w:rPr>
      </w:pPr>
      <w:r w:rsidRPr="006748D1">
        <w:t xml:space="preserve">include the practice’s registered name, company name or trading name </w:t>
      </w:r>
    </w:p>
    <w:p w14:paraId="07A9CD1F" w14:textId="77777777" w:rsidR="002A4CD2" w:rsidRPr="006748D1" w:rsidRDefault="002A4CD2" w:rsidP="0043055A">
      <w:pPr>
        <w:pStyle w:val="ListBullet2"/>
        <w:rPr>
          <w:lang w:val="en-GB"/>
        </w:rPr>
      </w:pPr>
      <w:r w:rsidRPr="006748D1">
        <w:t xml:space="preserve">If the practice name changes (without a relocation) and no longer matches the certificate, </w:t>
      </w:r>
      <w:r w:rsidRPr="006748D1">
        <w:rPr>
          <w:lang w:val="en-US"/>
        </w:rPr>
        <w:t xml:space="preserve">the practice must provide Services Australia with a copy of the new accreditation certificate </w:t>
      </w:r>
      <w:r w:rsidRPr="006748D1">
        <w:rPr>
          <w:b/>
          <w:lang w:val="en-US"/>
        </w:rPr>
        <w:t>within 6 months</w:t>
      </w:r>
      <w:r w:rsidRPr="006748D1">
        <w:rPr>
          <w:lang w:val="en-US"/>
        </w:rPr>
        <w:t xml:space="preserve"> of the change. </w:t>
      </w:r>
    </w:p>
    <w:p w14:paraId="182EE020" w14:textId="77777777" w:rsidR="002A4CD2" w:rsidRPr="006748D1" w:rsidRDefault="002A4CD2" w:rsidP="0043055A">
      <w:pPr>
        <w:pStyle w:val="ListBullet2"/>
        <w:rPr>
          <w:lang w:val="en-GB"/>
        </w:rPr>
      </w:pPr>
      <w:r w:rsidRPr="006748D1">
        <w:rPr>
          <w:lang w:val="en-US"/>
        </w:rPr>
        <w:t xml:space="preserve">If the practice relocates or amalgamates, see </w:t>
      </w:r>
      <w:r w:rsidRPr="006748D1">
        <w:rPr>
          <w:i/>
          <w:iCs/>
          <w:lang w:val="en-US"/>
        </w:rPr>
        <w:t>Transfer of accreditation</w:t>
      </w:r>
      <w:r w:rsidRPr="006748D1">
        <w:rPr>
          <w:lang w:val="en-US"/>
        </w:rPr>
        <w:t xml:space="preserve">. </w:t>
      </w:r>
    </w:p>
    <w:p w14:paraId="270D2D30" w14:textId="0EEA1531" w:rsidR="00CF4BBE" w:rsidRPr="00830756" w:rsidRDefault="00EC4DD2" w:rsidP="00EC4DD2">
      <w:pPr>
        <w:pStyle w:val="Heading3numbered"/>
      </w:pPr>
      <w:bookmarkStart w:id="183" w:name="_Toc490491601"/>
      <w:bookmarkStart w:id="184" w:name="_Toc529284772"/>
      <w:bookmarkStart w:id="185" w:name="_Toc25157823"/>
      <w:bookmarkStart w:id="186" w:name="_Toc197682352"/>
      <w:r>
        <w:t>1.4.1</w:t>
      </w:r>
      <w:r>
        <w:tab/>
      </w:r>
      <w:r w:rsidR="00CF4BBE" w:rsidRPr="00830756">
        <w:t>Accreditation requirements – practice branches</w:t>
      </w:r>
      <w:bookmarkEnd w:id="183"/>
      <w:bookmarkEnd w:id="184"/>
      <w:bookmarkEnd w:id="185"/>
      <w:bookmarkEnd w:id="186"/>
    </w:p>
    <w:p w14:paraId="46D27201" w14:textId="421DEBBA" w:rsidR="002A4CD2" w:rsidRDefault="002A4CD2" w:rsidP="002A4CD2">
      <w:pPr>
        <w:rPr>
          <w:rFonts w:cstheme="minorHAnsi"/>
        </w:rPr>
      </w:pPr>
      <w:r w:rsidRPr="000E0581">
        <w:rPr>
          <w:rFonts w:cstheme="minorHAnsi"/>
        </w:rPr>
        <w:t xml:space="preserve">Practice branches that provide 3,000 or more MBS services per annum must be accredited </w:t>
      </w:r>
      <w:proofErr w:type="gramStart"/>
      <w:r w:rsidR="0058233D">
        <w:rPr>
          <w:rFonts w:cstheme="minorHAnsi"/>
        </w:rPr>
        <w:t xml:space="preserve">in their own right </w:t>
      </w:r>
      <w:r w:rsidRPr="000E0581">
        <w:rPr>
          <w:rFonts w:cstheme="minorHAnsi"/>
        </w:rPr>
        <w:t>to</w:t>
      </w:r>
      <w:proofErr w:type="gramEnd"/>
      <w:r w:rsidRPr="000E0581">
        <w:rPr>
          <w:rFonts w:cstheme="minorHAnsi"/>
        </w:rPr>
        <w:t xml:space="preserve"> participate in the WIP </w:t>
      </w:r>
      <w:r w:rsidR="00FF515E">
        <w:rPr>
          <w:rFonts w:cstheme="minorHAnsi"/>
        </w:rPr>
        <w:t>-</w:t>
      </w:r>
      <w:r w:rsidRPr="000E0581">
        <w:rPr>
          <w:rFonts w:cstheme="minorHAnsi"/>
        </w:rPr>
        <w:t xml:space="preserve"> Practice</w:t>
      </w:r>
      <w:r>
        <w:rPr>
          <w:rFonts w:cstheme="minorHAnsi"/>
        </w:rPr>
        <w:t xml:space="preserve"> Stream. </w:t>
      </w:r>
      <w:r w:rsidRPr="000E0581">
        <w:rPr>
          <w:rFonts w:cstheme="minorHAnsi"/>
        </w:rPr>
        <w:t xml:space="preserve"> </w:t>
      </w:r>
    </w:p>
    <w:p w14:paraId="126C7DC3" w14:textId="49430AD0" w:rsidR="002A4CD2" w:rsidRDefault="002A4CD2" w:rsidP="002A4CD2">
      <w:pPr>
        <w:rPr>
          <w:rFonts w:cstheme="minorHAnsi"/>
        </w:rPr>
      </w:pPr>
      <w:r w:rsidRPr="000E0581">
        <w:rPr>
          <w:rFonts w:cstheme="minorHAnsi"/>
        </w:rPr>
        <w:t>Practice branches that provide less than 3,000 MBS services per annum do not need to be accredited to participate.</w:t>
      </w:r>
    </w:p>
    <w:p w14:paraId="67215CCE" w14:textId="64355E8B" w:rsidR="002A4CD2" w:rsidRPr="000E0581" w:rsidRDefault="002A4CD2" w:rsidP="002A4CD2">
      <w:pPr>
        <w:rPr>
          <w:rFonts w:cstheme="minorHAnsi"/>
        </w:rPr>
      </w:pPr>
      <w:r w:rsidRPr="000E0581">
        <w:rPr>
          <w:rFonts w:cstheme="minorHAnsi"/>
        </w:rPr>
        <w:t xml:space="preserve">When a practice branch reaches </w:t>
      </w:r>
      <w:r w:rsidRPr="000E0581">
        <w:rPr>
          <w:rFonts w:cstheme="minorHAnsi"/>
          <w:iCs/>
        </w:rPr>
        <w:t>3,000 MBS services</w:t>
      </w:r>
      <w:r w:rsidRPr="000E0581">
        <w:rPr>
          <w:rFonts w:cstheme="minorHAnsi"/>
        </w:rPr>
        <w:t xml:space="preserve"> per annum, they must register for </w:t>
      </w:r>
      <w:proofErr w:type="gramStart"/>
      <w:r w:rsidRPr="000E0581">
        <w:rPr>
          <w:rFonts w:cstheme="minorHAnsi"/>
        </w:rPr>
        <w:t>accreditation in their own right</w:t>
      </w:r>
      <w:proofErr w:type="gramEnd"/>
      <w:r w:rsidRPr="000E0581">
        <w:rPr>
          <w:rFonts w:cstheme="minorHAnsi"/>
        </w:rPr>
        <w:t xml:space="preserve">. The practice branch will have 12 months to be assessed and achieve accreditation from an approved accrediting agency. </w:t>
      </w:r>
    </w:p>
    <w:p w14:paraId="05F2492B" w14:textId="0F9C8738" w:rsidR="002A4CD2" w:rsidRPr="000E0581" w:rsidRDefault="002A4CD2" w:rsidP="002A4CD2">
      <w:pPr>
        <w:rPr>
          <w:rFonts w:cstheme="minorHAnsi"/>
        </w:rPr>
      </w:pPr>
      <w:r w:rsidRPr="000E0581">
        <w:rPr>
          <w:rFonts w:cstheme="minorHAnsi"/>
        </w:rPr>
        <w:t xml:space="preserve">Practice branches’ </w:t>
      </w:r>
      <w:hyperlink w:anchor="EMBS" w:history="1">
        <w:r w:rsidR="0058233D" w:rsidRPr="005469FE">
          <w:rPr>
            <w:rStyle w:val="Hyperlink"/>
            <w:rFonts w:cstheme="minorHAnsi"/>
          </w:rPr>
          <w:t>eligible MBS services</w:t>
        </w:r>
      </w:hyperlink>
      <w:r w:rsidR="0058233D" w:rsidRPr="000E0581">
        <w:rPr>
          <w:rFonts w:cstheme="minorHAnsi"/>
        </w:rPr>
        <w:t xml:space="preserve"> </w:t>
      </w:r>
      <w:r w:rsidRPr="000E0581">
        <w:rPr>
          <w:rFonts w:cstheme="minorHAnsi"/>
        </w:rPr>
        <w:t xml:space="preserve">will automatically be included in the calculation of payments. </w:t>
      </w:r>
    </w:p>
    <w:p w14:paraId="67C42E00" w14:textId="3C1B1663" w:rsidR="00CF4BBE" w:rsidRPr="00830756" w:rsidRDefault="00EC4DD2" w:rsidP="00EC4DD2">
      <w:pPr>
        <w:pStyle w:val="Heading3numbered"/>
      </w:pPr>
      <w:bookmarkStart w:id="187" w:name="_Toc529284773"/>
      <w:bookmarkStart w:id="188" w:name="_Toc25157824"/>
      <w:bookmarkStart w:id="189" w:name="_Toc142318442"/>
      <w:bookmarkStart w:id="190" w:name="_Toc197682353"/>
      <w:r>
        <w:lastRenderedPageBreak/>
        <w:t>1.4.2</w:t>
      </w:r>
      <w:r>
        <w:tab/>
      </w:r>
      <w:r w:rsidR="00CF4BBE" w:rsidRPr="00830756">
        <w:t xml:space="preserve">Transfer of </w:t>
      </w:r>
      <w:r w:rsidR="00CF4BBE" w:rsidRPr="00EC4DD2">
        <w:t>accreditation</w:t>
      </w:r>
      <w:bookmarkEnd w:id="187"/>
      <w:bookmarkEnd w:id="188"/>
      <w:bookmarkEnd w:id="189"/>
      <w:bookmarkEnd w:id="190"/>
    </w:p>
    <w:p w14:paraId="6BCC17F3" w14:textId="418D8F4D" w:rsidR="002A4CD2" w:rsidRDefault="002A4CD2" w:rsidP="002A4CD2">
      <w:pPr>
        <w:rPr>
          <w:rFonts w:cstheme="minorHAnsi"/>
        </w:rPr>
      </w:pPr>
      <w:r w:rsidRPr="000E0581">
        <w:rPr>
          <w:rFonts w:cstheme="minorHAnsi"/>
        </w:rPr>
        <w:t>Accreditation of a practice may be transferred and retained if a practice relocate</w:t>
      </w:r>
      <w:r>
        <w:rPr>
          <w:rFonts w:cstheme="minorHAnsi"/>
        </w:rPr>
        <w:t xml:space="preserve">s </w:t>
      </w:r>
      <w:r w:rsidRPr="000E0581">
        <w:rPr>
          <w:rFonts w:cstheme="minorHAnsi"/>
        </w:rPr>
        <w:t xml:space="preserve">amalgamates with another </w:t>
      </w:r>
      <w:r w:rsidR="00554ACC" w:rsidRPr="000E0581">
        <w:rPr>
          <w:rFonts w:cstheme="minorHAnsi"/>
        </w:rPr>
        <w:t>practice or</w:t>
      </w:r>
      <w:r w:rsidRPr="000E0581">
        <w:rPr>
          <w:rFonts w:cstheme="minorHAnsi"/>
        </w:rPr>
        <w:t xml:space="preserve"> is sold. </w:t>
      </w:r>
      <w:r w:rsidRPr="000E0581">
        <w:rPr>
          <w:rFonts w:cstheme="minorHAnsi"/>
          <w:lang w:val="en-US"/>
        </w:rPr>
        <w:t>General practices are</w:t>
      </w:r>
      <w:r w:rsidRPr="000E0581">
        <w:rPr>
          <w:rFonts w:cstheme="minorHAnsi"/>
        </w:rPr>
        <w:t xml:space="preserve"> required to </w:t>
      </w:r>
      <w:r w:rsidRPr="00C51887">
        <w:rPr>
          <w:rFonts w:cstheme="minorHAnsi"/>
          <w:u w:val="single"/>
        </w:rPr>
        <w:t>notify the</w:t>
      </w:r>
      <w:r>
        <w:rPr>
          <w:rFonts w:cstheme="minorHAnsi"/>
          <w:u w:val="single"/>
        </w:rPr>
        <w:t>ir</w:t>
      </w:r>
      <w:r w:rsidRPr="00C51887">
        <w:rPr>
          <w:rFonts w:cstheme="minorHAnsi"/>
          <w:u w:val="single"/>
        </w:rPr>
        <w:t xml:space="preserve"> accrediting </w:t>
      </w:r>
      <w:r w:rsidR="001D0DDF" w:rsidRPr="00C51887">
        <w:rPr>
          <w:rFonts w:cstheme="minorHAnsi"/>
          <w:u w:val="single"/>
        </w:rPr>
        <w:t xml:space="preserve">agency </w:t>
      </w:r>
      <w:r w:rsidR="001D0DDF" w:rsidRPr="00C51887">
        <w:rPr>
          <w:rFonts w:cstheme="minorHAnsi"/>
          <w:u w:val="single"/>
          <w:lang w:val="en-US"/>
        </w:rPr>
        <w:t>of</w:t>
      </w:r>
      <w:r w:rsidRPr="00C51887">
        <w:rPr>
          <w:rFonts w:cstheme="minorHAnsi"/>
          <w:u w:val="single"/>
          <w:lang w:val="en-US"/>
        </w:rPr>
        <w:t xml:space="preserve"> any planned changes</w:t>
      </w:r>
      <w:r w:rsidRPr="000E0581">
        <w:rPr>
          <w:rFonts w:cstheme="minorHAnsi"/>
          <w:lang w:val="en-US"/>
        </w:rPr>
        <w:t xml:space="preserve"> </w:t>
      </w:r>
      <w:r w:rsidRPr="000E0581">
        <w:rPr>
          <w:rFonts w:cstheme="minorHAnsi"/>
        </w:rPr>
        <w:t>as soon as practical.</w:t>
      </w:r>
    </w:p>
    <w:p w14:paraId="0FBFC5A2" w14:textId="25B2D68C" w:rsidR="002A4CD2" w:rsidRDefault="002A4CD2" w:rsidP="002A4CD2">
      <w:pPr>
        <w:rPr>
          <w:rFonts w:cstheme="minorHAnsi"/>
        </w:rPr>
      </w:pPr>
      <w:r w:rsidRPr="000E0581">
        <w:rPr>
          <w:rFonts w:cstheme="minorHAnsi"/>
        </w:rPr>
        <w:t xml:space="preserve">Accredited practices seeking to transfer their accreditation should </w:t>
      </w:r>
      <w:r w:rsidRPr="00476D7F">
        <w:rPr>
          <w:rFonts w:cstheme="minorHAnsi"/>
          <w:b/>
          <w:bCs/>
        </w:rPr>
        <w:t xml:space="preserve">work with their </w:t>
      </w:r>
      <w:r w:rsidR="00F502F6">
        <w:rPr>
          <w:rFonts w:cstheme="minorHAnsi"/>
          <w:b/>
          <w:bCs/>
        </w:rPr>
        <w:t xml:space="preserve">approved </w:t>
      </w:r>
      <w:r w:rsidRPr="00476D7F">
        <w:rPr>
          <w:rFonts w:cstheme="minorHAnsi"/>
          <w:b/>
          <w:bCs/>
        </w:rPr>
        <w:t>accrediting agency</w:t>
      </w:r>
      <w:r w:rsidRPr="000E0581">
        <w:rPr>
          <w:rFonts w:cstheme="minorHAnsi"/>
        </w:rPr>
        <w:t xml:space="preserve"> </w:t>
      </w:r>
      <w:r w:rsidRPr="000E0581">
        <w:rPr>
          <w:rFonts w:cstheme="minorHAnsi"/>
          <w:lang w:val="en-US"/>
        </w:rPr>
        <w:t>to complete any review or realignment survey required</w:t>
      </w:r>
      <w:r w:rsidRPr="000E0581">
        <w:rPr>
          <w:rFonts w:cstheme="minorHAnsi"/>
        </w:rPr>
        <w:t xml:space="preserve"> during the transition. This assessment is required to ensure </w:t>
      </w:r>
      <w:r w:rsidR="001D0DDF">
        <w:rPr>
          <w:rFonts w:cstheme="minorHAnsi"/>
        </w:rPr>
        <w:t xml:space="preserve">that </w:t>
      </w:r>
      <w:r w:rsidRPr="000E0581">
        <w:rPr>
          <w:rFonts w:cstheme="minorHAnsi"/>
        </w:rPr>
        <w:t xml:space="preserve">the safety and quality processes remain in place as premises become operational and the practice continues to comply with the RACGP Standards. Upon successful completion of the review or realignment survey, accrediting agencies will reissue the general practice’s accreditation certificate to reflect the general practice’s new details. The accreditation </w:t>
      </w:r>
      <w:proofErr w:type="gramStart"/>
      <w:r w:rsidRPr="000E0581">
        <w:rPr>
          <w:rFonts w:cstheme="minorHAnsi"/>
        </w:rPr>
        <w:t>start</w:t>
      </w:r>
      <w:proofErr w:type="gramEnd"/>
      <w:r w:rsidRPr="000E0581">
        <w:rPr>
          <w:rFonts w:cstheme="minorHAnsi"/>
        </w:rPr>
        <w:t xml:space="preserve"> and end date on the new certificate should remain unchanged.</w:t>
      </w:r>
    </w:p>
    <w:p w14:paraId="62871D19" w14:textId="39A30D22" w:rsidR="002A4CD2" w:rsidRPr="000E0581" w:rsidRDefault="002A4CD2" w:rsidP="00DB7020">
      <w:pPr>
        <w:pStyle w:val="Heading4"/>
        <w:rPr>
          <w:b w:val="0"/>
          <w:lang w:val="en-US"/>
        </w:rPr>
      </w:pPr>
      <w:r>
        <w:rPr>
          <w:lang w:val="en-US"/>
        </w:rPr>
        <w:t>R</w:t>
      </w:r>
      <w:r w:rsidRPr="000E0581">
        <w:rPr>
          <w:lang w:val="en-US"/>
        </w:rPr>
        <w:t>elocation</w:t>
      </w:r>
      <w:r>
        <w:rPr>
          <w:lang w:val="en-US"/>
        </w:rPr>
        <w:t xml:space="preserve"> to another premises</w:t>
      </w:r>
    </w:p>
    <w:p w14:paraId="7474394C" w14:textId="4F17FAB1" w:rsidR="002A4CD2" w:rsidRDefault="002A4CD2" w:rsidP="002A4CD2">
      <w:pPr>
        <w:rPr>
          <w:rFonts w:cstheme="minorHAnsi"/>
          <w:lang w:val="en-US"/>
        </w:rPr>
      </w:pPr>
      <w:r w:rsidRPr="000E0581">
        <w:rPr>
          <w:rFonts w:cstheme="minorHAnsi"/>
          <w:lang w:val="en-US"/>
        </w:rPr>
        <w:t>If a general practice relocate</w:t>
      </w:r>
      <w:r w:rsidR="000330D5">
        <w:rPr>
          <w:rFonts w:cstheme="minorHAnsi"/>
          <w:lang w:val="en-US"/>
        </w:rPr>
        <w:t>s</w:t>
      </w:r>
      <w:r w:rsidRPr="000E0581">
        <w:rPr>
          <w:rFonts w:cstheme="minorHAnsi"/>
          <w:lang w:val="en-US"/>
        </w:rPr>
        <w:t xml:space="preserve"> to </w:t>
      </w:r>
      <w:proofErr w:type="gramStart"/>
      <w:r w:rsidRPr="000E0581">
        <w:rPr>
          <w:rFonts w:cstheme="minorHAnsi"/>
          <w:lang w:val="en-US"/>
        </w:rPr>
        <w:t>a new</w:t>
      </w:r>
      <w:proofErr w:type="gramEnd"/>
      <w:r w:rsidRPr="000E0581">
        <w:rPr>
          <w:rFonts w:cstheme="minorHAnsi"/>
          <w:lang w:val="en-US"/>
        </w:rPr>
        <w:t xml:space="preserve"> premises, current accreditation can be transferred to the new location and the practice’s accreditation status retained under the NGPA Scheme’s</w:t>
      </w:r>
      <w:bookmarkStart w:id="191" w:name="_Hlk98932953"/>
      <w:r w:rsidR="0089534A">
        <w:rPr>
          <w:rFonts w:cstheme="minorHAnsi"/>
          <w:lang w:val="en-US"/>
        </w:rPr>
        <w:t>.</w:t>
      </w:r>
      <w:r w:rsidR="00EE2654" w:rsidRPr="00EE2654">
        <w:t xml:space="preserve"> </w:t>
      </w:r>
      <w:hyperlink r:id="rId21" w:history="1">
        <w:r w:rsidR="00EE2654">
          <w:rPr>
            <w:rStyle w:val="Hyperlink"/>
          </w:rPr>
          <w:t>Advisory GP24/01: Assessment following relocation of physical premises by an accredited general practice</w:t>
        </w:r>
      </w:hyperlink>
      <w:r w:rsidRPr="000E0581">
        <w:rPr>
          <w:rFonts w:cstheme="minorHAnsi"/>
          <w:lang w:val="en-US"/>
        </w:rPr>
        <w:t xml:space="preserve">. </w:t>
      </w:r>
      <w:bookmarkEnd w:id="191"/>
    </w:p>
    <w:p w14:paraId="29C7040F" w14:textId="666885B2" w:rsidR="002A4CD2" w:rsidRPr="005D72A5" w:rsidRDefault="002A4CD2" w:rsidP="00DB7020">
      <w:pPr>
        <w:pStyle w:val="Heading5"/>
        <w:rPr>
          <w:i w:val="0"/>
          <w:lang w:val="en-US"/>
        </w:rPr>
      </w:pPr>
      <w:r w:rsidRPr="005D72A5">
        <w:rPr>
          <w:lang w:val="en-US"/>
        </w:rPr>
        <w:t>Permanent relocation</w:t>
      </w:r>
    </w:p>
    <w:p w14:paraId="2339A903" w14:textId="5F2A3788" w:rsidR="000330D5" w:rsidRPr="00DB7020" w:rsidRDefault="002A4CD2" w:rsidP="00DB7020">
      <w:r w:rsidRPr="000E0581">
        <w:rPr>
          <w:rFonts w:cstheme="minorHAnsi"/>
          <w:lang w:val="en-US"/>
        </w:rPr>
        <w:t xml:space="preserve">The practice must </w:t>
      </w:r>
      <w:r w:rsidRPr="000E0581">
        <w:rPr>
          <w:rFonts w:eastAsia="Times New Roman" w:cstheme="minorHAnsi"/>
          <w:color w:val="000000"/>
          <w:lang w:val="en" w:eastAsia="en-AU"/>
        </w:rPr>
        <w:t>notify</w:t>
      </w:r>
      <w:r w:rsidRPr="000E0581">
        <w:rPr>
          <w:rFonts w:cstheme="minorHAnsi"/>
          <w:lang w:val="en-US"/>
        </w:rPr>
        <w:t xml:space="preserve"> Services Australia </w:t>
      </w:r>
      <w:r>
        <w:rPr>
          <w:rFonts w:cstheme="minorHAnsi"/>
          <w:lang w:val="en-US"/>
        </w:rPr>
        <w:t xml:space="preserve">within 7 days </w:t>
      </w:r>
      <w:r w:rsidRPr="000E0581">
        <w:rPr>
          <w:rFonts w:cstheme="minorHAnsi"/>
          <w:lang w:val="en-US"/>
        </w:rPr>
        <w:t>of the change of practice details</w:t>
      </w:r>
      <w:r>
        <w:rPr>
          <w:rFonts w:cstheme="minorHAnsi"/>
          <w:lang w:val="en-US"/>
        </w:rPr>
        <w:t xml:space="preserve"> by </w:t>
      </w:r>
      <w:r w:rsidR="000330D5">
        <w:rPr>
          <w:rFonts w:cstheme="minorHAnsi"/>
          <w:lang w:val="en-US"/>
        </w:rPr>
        <w:t>completing the following:</w:t>
      </w:r>
    </w:p>
    <w:p w14:paraId="49AEEFFE" w14:textId="3C76DB9D" w:rsidR="000330D5" w:rsidRDefault="002A4CD2" w:rsidP="0043055A">
      <w:pPr>
        <w:pStyle w:val="ListBullet"/>
        <w:rPr>
          <w:lang w:val="en-US"/>
        </w:rPr>
      </w:pPr>
      <w:r w:rsidRPr="00633AA7">
        <w:rPr>
          <w:lang w:val="en-US"/>
        </w:rPr>
        <w:t>submitting a</w:t>
      </w:r>
      <w:r w:rsidR="00E034E3">
        <w:rPr>
          <w:lang w:val="en-US"/>
        </w:rPr>
        <w:t>n</w:t>
      </w:r>
      <w:r w:rsidRPr="00633AA7">
        <w:rPr>
          <w:lang w:val="en-US"/>
        </w:rPr>
        <w:t xml:space="preserve"> </w:t>
      </w:r>
      <w:r w:rsidR="00290F04" w:rsidRPr="001C1AD0">
        <w:rPr>
          <w:lang w:val="en-US"/>
        </w:rPr>
        <w:t>Incentive Program</w:t>
      </w:r>
      <w:r w:rsidR="00290F04" w:rsidRPr="00E74253">
        <w:rPr>
          <w:lang w:val="en-US"/>
        </w:rPr>
        <w:t>s</w:t>
      </w:r>
      <w:r w:rsidR="00290F04" w:rsidRPr="001C1AD0">
        <w:rPr>
          <w:lang w:val="en-US"/>
        </w:rPr>
        <w:t xml:space="preserve"> </w:t>
      </w:r>
      <w:r w:rsidRPr="001C1AD0">
        <w:rPr>
          <w:lang w:val="en-US"/>
        </w:rPr>
        <w:t>Change of Practice Details</w:t>
      </w:r>
      <w:r w:rsidRPr="00633AA7">
        <w:rPr>
          <w:lang w:val="en-US"/>
        </w:rPr>
        <w:t xml:space="preserve"> f</w:t>
      </w:r>
      <w:r w:rsidR="000330D5" w:rsidRPr="006748D1">
        <w:rPr>
          <w:lang w:val="en-US"/>
        </w:rPr>
        <w:t>orm</w:t>
      </w:r>
      <w:r w:rsidRPr="006748D1">
        <w:rPr>
          <w:lang w:val="en-US"/>
        </w:rPr>
        <w:t xml:space="preserve"> (IP005)</w:t>
      </w:r>
      <w:r w:rsidR="00290F04">
        <w:rPr>
          <w:lang w:val="en-US"/>
        </w:rPr>
        <w:t xml:space="preserve"> along with the required supporting documents</w:t>
      </w:r>
      <w:r w:rsidR="000330D5">
        <w:rPr>
          <w:lang w:val="en-US"/>
        </w:rPr>
        <w:t>,</w:t>
      </w:r>
      <w:r w:rsidRPr="00633AA7">
        <w:rPr>
          <w:lang w:val="en-US"/>
        </w:rPr>
        <w:t xml:space="preserve"> or updating their details through HPOS</w:t>
      </w:r>
      <w:r w:rsidR="000330D5">
        <w:rPr>
          <w:lang w:val="en-US"/>
        </w:rPr>
        <w:t>;</w:t>
      </w:r>
      <w:r w:rsidRPr="00633AA7">
        <w:rPr>
          <w:lang w:val="en-US"/>
        </w:rPr>
        <w:t xml:space="preserve"> and </w:t>
      </w:r>
    </w:p>
    <w:p w14:paraId="52F37935" w14:textId="2C70723D" w:rsidR="002A4CD2" w:rsidRPr="006748D1" w:rsidRDefault="002A4CD2" w:rsidP="0043055A">
      <w:pPr>
        <w:pStyle w:val="ListBullet"/>
        <w:rPr>
          <w:lang w:val="en-US"/>
        </w:rPr>
      </w:pPr>
      <w:r w:rsidRPr="00633AA7">
        <w:rPr>
          <w:lang w:val="en-US"/>
        </w:rPr>
        <w:t>provid</w:t>
      </w:r>
      <w:r w:rsidR="000330D5">
        <w:rPr>
          <w:lang w:val="en-US"/>
        </w:rPr>
        <w:t>ing</w:t>
      </w:r>
      <w:r w:rsidRPr="006748D1">
        <w:rPr>
          <w:lang w:val="en-US"/>
        </w:rPr>
        <w:t xml:space="preserve"> an updated accreditation certificate, showing the new location to Services Australia within 6 months of the relocation. </w:t>
      </w:r>
    </w:p>
    <w:p w14:paraId="2EC4DC86" w14:textId="3C99D167" w:rsidR="00D93A2A" w:rsidRDefault="002A4CD2" w:rsidP="002A4CD2">
      <w:pPr>
        <w:rPr>
          <w:rFonts w:cstheme="minorHAnsi"/>
        </w:rPr>
      </w:pPr>
      <w:r w:rsidRPr="000E0581">
        <w:rPr>
          <w:rFonts w:cstheme="minorHAnsi"/>
        </w:rPr>
        <w:t xml:space="preserve">Practice payments will be placed </w:t>
      </w:r>
      <w:r w:rsidRPr="000E0581">
        <w:rPr>
          <w:rFonts w:cstheme="minorHAnsi"/>
          <w:u w:val="single"/>
        </w:rPr>
        <w:t xml:space="preserve">on hold </w:t>
      </w:r>
      <w:r>
        <w:rPr>
          <w:rFonts w:cstheme="minorHAnsi"/>
          <w:u w:val="single"/>
        </w:rPr>
        <w:t>from the date Services Australia is notified of the relocation,</w:t>
      </w:r>
      <w:r w:rsidRPr="00FF515E">
        <w:rPr>
          <w:rFonts w:cstheme="minorHAnsi"/>
        </w:rPr>
        <w:t xml:space="preserve"> until</w:t>
      </w:r>
      <w:r w:rsidRPr="000E0581">
        <w:rPr>
          <w:rFonts w:cstheme="minorHAnsi"/>
        </w:rPr>
        <w:t xml:space="preserve"> an </w:t>
      </w:r>
      <w:r>
        <w:rPr>
          <w:rFonts w:cstheme="minorHAnsi"/>
        </w:rPr>
        <w:t xml:space="preserve">updated </w:t>
      </w:r>
      <w:r w:rsidRPr="000E0581">
        <w:rPr>
          <w:rFonts w:cstheme="minorHAnsi"/>
        </w:rPr>
        <w:t>accreditation certificate</w:t>
      </w:r>
      <w:r w:rsidR="000330D5">
        <w:rPr>
          <w:rFonts w:cstheme="minorHAnsi"/>
        </w:rPr>
        <w:t xml:space="preserve"> </w:t>
      </w:r>
      <w:r w:rsidRPr="000E0581">
        <w:rPr>
          <w:rFonts w:cstheme="minorHAnsi"/>
        </w:rPr>
        <w:t>showing the new location address is provided. If the accreditation certificate is not provided within 6 months</w:t>
      </w:r>
      <w:r>
        <w:rPr>
          <w:rFonts w:cstheme="minorHAnsi"/>
        </w:rPr>
        <w:t xml:space="preserve"> of the original notification</w:t>
      </w:r>
      <w:r w:rsidRPr="000E0581">
        <w:rPr>
          <w:rFonts w:cstheme="minorHAnsi"/>
        </w:rPr>
        <w:t xml:space="preserve">, payments may be forfeited. </w:t>
      </w:r>
    </w:p>
    <w:p w14:paraId="07A528D4" w14:textId="1FAEBCFE" w:rsidR="003229F3" w:rsidRPr="0043055A" w:rsidRDefault="00D93A2A" w:rsidP="0043055A">
      <w:r w:rsidRPr="00D93A2A">
        <w:rPr>
          <w:rFonts w:cstheme="minorHAnsi"/>
        </w:rPr>
        <w:t xml:space="preserve">To ensure your practice receives the correct incentive payment, all current practitioners must </w:t>
      </w:r>
      <w:r w:rsidR="004104E7">
        <w:rPr>
          <w:rFonts w:cstheme="minorHAnsi"/>
        </w:rPr>
        <w:t xml:space="preserve">update their </w:t>
      </w:r>
      <w:r w:rsidR="00C05345">
        <w:rPr>
          <w:rFonts w:cstheme="minorHAnsi"/>
        </w:rPr>
        <w:t xml:space="preserve">registered </w:t>
      </w:r>
      <w:r w:rsidR="004104E7">
        <w:rPr>
          <w:rFonts w:cstheme="minorHAnsi"/>
        </w:rPr>
        <w:t xml:space="preserve">provider number to the one that is </w:t>
      </w:r>
      <w:r w:rsidRPr="00D93A2A">
        <w:rPr>
          <w:rFonts w:cstheme="minorHAnsi"/>
        </w:rPr>
        <w:t>associated with the new practice location.</w:t>
      </w:r>
      <w:r w:rsidR="00E034E3">
        <w:rPr>
          <w:rFonts w:cstheme="minorHAnsi"/>
        </w:rPr>
        <w:t xml:space="preserve"> </w:t>
      </w:r>
    </w:p>
    <w:p w14:paraId="24E1F739" w14:textId="08C326B7" w:rsidR="002A4CD2" w:rsidRPr="0043055A" w:rsidRDefault="002A4CD2" w:rsidP="0043055A">
      <w:pPr>
        <w:spacing w:after="0" w:line="240" w:lineRule="auto"/>
        <w:rPr>
          <w:rFonts w:cstheme="minorHAnsi"/>
          <w:bCs/>
          <w:i/>
          <w:iCs/>
          <w:lang w:val="en-US"/>
        </w:rPr>
      </w:pPr>
      <w:r w:rsidRPr="005D72A5">
        <w:rPr>
          <w:rFonts w:cstheme="minorHAnsi"/>
          <w:bCs/>
          <w:i/>
          <w:iCs/>
          <w:lang w:val="en-US"/>
        </w:rPr>
        <w:t xml:space="preserve">Temporary relocation </w:t>
      </w:r>
    </w:p>
    <w:p w14:paraId="2E20CB14" w14:textId="5D882A89" w:rsidR="002A4CD2" w:rsidRPr="0043055A" w:rsidRDefault="002A4CD2" w:rsidP="0043055A">
      <w:r w:rsidRPr="000E0581">
        <w:rPr>
          <w:rFonts w:eastAsia="Times New Roman" w:cstheme="minorHAnsi"/>
          <w:color w:val="000000"/>
          <w:lang w:val="en" w:eastAsia="en-AU"/>
        </w:rPr>
        <w:t>The practice must notify its accrediting agency and Services Australia of the temporary address and dates of relocation. The accrediting agency will work with the practice during the transition to ensure the practice is meeting accreditation requirements at the temporary location.</w:t>
      </w:r>
      <w:r>
        <w:rPr>
          <w:rFonts w:eastAsia="Times New Roman" w:cstheme="minorHAnsi"/>
          <w:color w:val="000000"/>
          <w:lang w:val="en" w:eastAsia="en-AU"/>
        </w:rPr>
        <w:t xml:space="preserve"> </w:t>
      </w:r>
      <w:r w:rsidRPr="000E0581">
        <w:rPr>
          <w:rFonts w:eastAsia="Times New Roman" w:cstheme="minorHAnsi"/>
          <w:color w:val="000000"/>
          <w:lang w:val="en" w:eastAsia="en-AU"/>
        </w:rPr>
        <w:t xml:space="preserve">Refer to ‘permanent relocation’ for </w:t>
      </w:r>
      <w:r>
        <w:rPr>
          <w:rFonts w:eastAsia="Times New Roman" w:cstheme="minorHAnsi"/>
          <w:color w:val="000000"/>
          <w:lang w:val="en" w:eastAsia="en-AU"/>
        </w:rPr>
        <w:t xml:space="preserve">all other </w:t>
      </w:r>
      <w:r w:rsidRPr="000E0581">
        <w:rPr>
          <w:rFonts w:eastAsia="Times New Roman" w:cstheme="minorHAnsi"/>
          <w:color w:val="000000"/>
          <w:lang w:val="en" w:eastAsia="en-AU"/>
        </w:rPr>
        <w:t>relocation</w:t>
      </w:r>
      <w:r>
        <w:rPr>
          <w:rFonts w:eastAsia="Times New Roman" w:cstheme="minorHAnsi"/>
          <w:color w:val="000000"/>
          <w:lang w:val="en" w:eastAsia="en-AU"/>
        </w:rPr>
        <w:t xml:space="preserve"> </w:t>
      </w:r>
      <w:r w:rsidRPr="000E0581">
        <w:rPr>
          <w:rFonts w:eastAsia="Times New Roman" w:cstheme="minorHAnsi"/>
          <w:color w:val="000000"/>
          <w:lang w:val="en" w:eastAsia="en-AU"/>
        </w:rPr>
        <w:t>s</w:t>
      </w:r>
      <w:r>
        <w:rPr>
          <w:rFonts w:eastAsia="Times New Roman" w:cstheme="minorHAnsi"/>
          <w:color w:val="000000"/>
          <w:lang w:val="en" w:eastAsia="en-AU"/>
        </w:rPr>
        <w:t>cenarios</w:t>
      </w:r>
      <w:r w:rsidRPr="000E0581">
        <w:rPr>
          <w:rFonts w:eastAsia="Times New Roman" w:cstheme="minorHAnsi"/>
          <w:color w:val="000000"/>
          <w:lang w:val="en" w:eastAsia="en-AU"/>
        </w:rPr>
        <w:t xml:space="preserve">. </w:t>
      </w:r>
    </w:p>
    <w:p w14:paraId="3B1B9316" w14:textId="77777777" w:rsidR="002A4CD2" w:rsidRPr="00DB7020" w:rsidRDefault="002A4CD2" w:rsidP="00DB7020">
      <w:pPr>
        <w:pStyle w:val="Heading4"/>
      </w:pPr>
      <w:r w:rsidRPr="00DB7020">
        <w:lastRenderedPageBreak/>
        <w:t>Amalgamation with another practice</w:t>
      </w:r>
    </w:p>
    <w:p w14:paraId="2BE67E26" w14:textId="2AD15D18" w:rsidR="002A4CD2" w:rsidRDefault="002A4CD2" w:rsidP="002A4CD2">
      <w:pPr>
        <w:rPr>
          <w:rFonts w:cstheme="minorHAnsi"/>
          <w:lang w:val="en-US"/>
        </w:rPr>
      </w:pPr>
      <w:r w:rsidRPr="000E0581">
        <w:rPr>
          <w:rFonts w:cstheme="minorHAnsi"/>
          <w:lang w:val="en-US"/>
        </w:rPr>
        <w:t>When two or more practices amalgamate</w:t>
      </w:r>
      <w:r>
        <w:rPr>
          <w:rFonts w:cstheme="minorHAnsi"/>
          <w:lang w:val="en-US"/>
        </w:rPr>
        <w:t xml:space="preserve"> to a main practice location that is not accredited</w:t>
      </w:r>
      <w:r w:rsidRPr="000E0581">
        <w:rPr>
          <w:rFonts w:cstheme="minorHAnsi"/>
          <w:lang w:val="en-US"/>
        </w:rPr>
        <w:t xml:space="preserve">, the amalgamated practice </w:t>
      </w:r>
      <w:r>
        <w:rPr>
          <w:rFonts w:cstheme="minorHAnsi"/>
          <w:lang w:val="en-US"/>
        </w:rPr>
        <w:t>will not be eligible for payments until the practice has provided</w:t>
      </w:r>
      <w:r w:rsidRPr="000E0581">
        <w:rPr>
          <w:rFonts w:cstheme="minorHAnsi"/>
          <w:lang w:val="en-US"/>
        </w:rPr>
        <w:t xml:space="preserve"> Services Australia with</w:t>
      </w:r>
      <w:r>
        <w:rPr>
          <w:rFonts w:cstheme="minorHAnsi"/>
          <w:lang w:val="en-US"/>
        </w:rPr>
        <w:t xml:space="preserve"> evidence</w:t>
      </w:r>
      <w:r w:rsidRPr="000E0581">
        <w:rPr>
          <w:rFonts w:cstheme="minorHAnsi"/>
          <w:lang w:val="en-US"/>
        </w:rPr>
        <w:t xml:space="preserve"> of accreditation</w:t>
      </w:r>
      <w:r>
        <w:rPr>
          <w:rFonts w:cstheme="minorHAnsi"/>
          <w:lang w:val="en-US"/>
        </w:rPr>
        <w:t xml:space="preserve"> for the main location. The practice will be eligible for payments once it has achieved and maintained accreditation for an entire payment quarter. </w:t>
      </w:r>
      <w:hyperlink w:anchor="_3.65_Withheld_payments" w:history="1">
        <w:r w:rsidRPr="00D80315">
          <w:rPr>
            <w:rStyle w:val="Hyperlink"/>
            <w:rFonts w:cstheme="minorHAnsi"/>
            <w:lang w:val="en-US"/>
          </w:rPr>
          <w:t>The three quarter</w:t>
        </w:r>
      </w:hyperlink>
      <w:r>
        <w:rPr>
          <w:rFonts w:cstheme="minorHAnsi"/>
          <w:lang w:val="en-US"/>
        </w:rPr>
        <w:t xml:space="preserve"> rule will apply.</w:t>
      </w:r>
    </w:p>
    <w:p w14:paraId="44823266" w14:textId="398C6FBD" w:rsidR="002A4CD2" w:rsidRDefault="002A4CD2" w:rsidP="002A4CD2">
      <w:pPr>
        <w:rPr>
          <w:rFonts w:cstheme="minorHAnsi"/>
        </w:rPr>
      </w:pPr>
      <w:r>
        <w:rPr>
          <w:rFonts w:cstheme="minorHAnsi"/>
          <w:lang w:val="en-US"/>
        </w:rPr>
        <w:t>When two or more practices amalgamate with an accredited practice, an updated accreditation</w:t>
      </w:r>
      <w:r w:rsidRPr="000E0581">
        <w:rPr>
          <w:rFonts w:cstheme="minorHAnsi"/>
          <w:lang w:val="en-US"/>
        </w:rPr>
        <w:t xml:space="preserve"> certificate</w:t>
      </w:r>
      <w:r>
        <w:rPr>
          <w:rFonts w:cstheme="minorHAnsi"/>
          <w:lang w:val="en-US"/>
        </w:rPr>
        <w:t xml:space="preserve"> must be provided to Services Australia</w:t>
      </w:r>
      <w:r w:rsidRPr="000E0581">
        <w:rPr>
          <w:rFonts w:cstheme="minorHAnsi"/>
          <w:lang w:val="en-US"/>
        </w:rPr>
        <w:t xml:space="preserve"> </w:t>
      </w:r>
      <w:r w:rsidRPr="000E0581">
        <w:rPr>
          <w:rFonts w:cstheme="minorHAnsi"/>
          <w:b/>
          <w:lang w:val="en-US"/>
        </w:rPr>
        <w:t>within 6 months</w:t>
      </w:r>
      <w:r w:rsidRPr="000E0581">
        <w:rPr>
          <w:rFonts w:cstheme="minorHAnsi"/>
          <w:lang w:val="en-US"/>
        </w:rPr>
        <w:t xml:space="preserve"> of the amalgamation. </w:t>
      </w:r>
      <w:r w:rsidRPr="000E0581">
        <w:rPr>
          <w:rFonts w:cstheme="minorHAnsi"/>
        </w:rPr>
        <w:t xml:space="preserve">Practice payments will be placed on </w:t>
      </w:r>
      <w:r w:rsidRPr="00D93A2A">
        <w:rPr>
          <w:rFonts w:cstheme="minorHAnsi"/>
        </w:rPr>
        <w:t xml:space="preserve">hold </w:t>
      </w:r>
      <w:r w:rsidRPr="006748D1">
        <w:rPr>
          <w:rFonts w:cstheme="minorHAnsi"/>
        </w:rPr>
        <w:t>from the date Services Australia is notified of the amalgamation</w:t>
      </w:r>
      <w:r w:rsidRPr="00D93A2A">
        <w:rPr>
          <w:rFonts w:cstheme="minorHAnsi"/>
        </w:rPr>
        <w:t xml:space="preserve"> until an updated accreditation certificate is provided.</w:t>
      </w:r>
    </w:p>
    <w:p w14:paraId="51D44E8B" w14:textId="77777777" w:rsidR="002A4CD2" w:rsidRPr="00DB7020" w:rsidRDefault="002A4CD2" w:rsidP="00DB7020">
      <w:pPr>
        <w:pStyle w:val="Heading4"/>
      </w:pPr>
      <w:r w:rsidRPr="00DB7020">
        <w:t>Sale of a practice</w:t>
      </w:r>
    </w:p>
    <w:p w14:paraId="58D5FC04" w14:textId="2FD47F86" w:rsidR="002A4CD2" w:rsidRDefault="004C1C9D" w:rsidP="002A4CD2">
      <w:pPr>
        <w:rPr>
          <w:rFonts w:cstheme="minorHAnsi"/>
          <w:lang w:val="en-US"/>
        </w:rPr>
      </w:pPr>
      <w:r>
        <w:rPr>
          <w:rFonts w:cstheme="minorHAnsi"/>
          <w:lang w:val="en-US"/>
        </w:rPr>
        <w:t>Where a practice is sold, a</w:t>
      </w:r>
      <w:r w:rsidR="002A4CD2" w:rsidRPr="000E0581">
        <w:rPr>
          <w:rFonts w:cstheme="minorHAnsi"/>
          <w:lang w:val="en-US"/>
        </w:rPr>
        <w:t>ccreditation must be part of the sale of a practice for the</w:t>
      </w:r>
      <w:r>
        <w:rPr>
          <w:rFonts w:cstheme="minorHAnsi"/>
          <w:lang w:val="en-US"/>
        </w:rPr>
        <w:t xml:space="preserve"> </w:t>
      </w:r>
      <w:proofErr w:type="gramStart"/>
      <w:r>
        <w:rPr>
          <w:rFonts w:cstheme="minorHAnsi"/>
          <w:lang w:val="en-US"/>
        </w:rPr>
        <w:t>accreditation to transfer</w:t>
      </w:r>
      <w:proofErr w:type="gramEnd"/>
      <w:r>
        <w:rPr>
          <w:rFonts w:cstheme="minorHAnsi"/>
          <w:lang w:val="en-US"/>
        </w:rPr>
        <w:t xml:space="preserve"> and to use</w:t>
      </w:r>
      <w:r w:rsidR="002A4CD2" w:rsidRPr="000E0581">
        <w:rPr>
          <w:rFonts w:cstheme="minorHAnsi"/>
          <w:lang w:val="en-US"/>
        </w:rPr>
        <w:t xml:space="preserve"> historical practice data, including the </w:t>
      </w:r>
      <w:proofErr w:type="spellStart"/>
      <w:r w:rsidR="002A4CD2" w:rsidRPr="000E0581">
        <w:rPr>
          <w:rFonts w:cstheme="minorHAnsi"/>
          <w:lang w:val="en-US"/>
        </w:rPr>
        <w:t>Standardised</w:t>
      </w:r>
      <w:proofErr w:type="spellEnd"/>
      <w:r w:rsidR="002A4CD2" w:rsidRPr="000E0581">
        <w:rPr>
          <w:rFonts w:cstheme="minorHAnsi"/>
          <w:lang w:val="en-US"/>
        </w:rPr>
        <w:t xml:space="preserve"> Whole Patient Equivalent (SWPE)</w:t>
      </w:r>
      <w:r w:rsidR="002A4CD2">
        <w:rPr>
          <w:rFonts w:cstheme="minorHAnsi"/>
          <w:lang w:val="en-US"/>
        </w:rPr>
        <w:t xml:space="preserve"> value</w:t>
      </w:r>
      <w:r w:rsidR="002A4CD2" w:rsidRPr="000E0581">
        <w:rPr>
          <w:rFonts w:cstheme="minorHAnsi"/>
          <w:lang w:val="en-US"/>
        </w:rPr>
        <w:t>.</w:t>
      </w:r>
      <w:r w:rsidR="00DD1D15">
        <w:rPr>
          <w:rFonts w:cstheme="minorHAnsi"/>
          <w:lang w:val="en-US"/>
        </w:rPr>
        <w:t xml:space="preserve"> For further information on the SWPE, see section </w:t>
      </w:r>
      <w:r w:rsidR="00DD1D15">
        <w:t>4.1 Calculating the Standardised Whole Patient Equivalent (SWPE) value</w:t>
      </w:r>
      <w:r w:rsidR="00FD541C">
        <w:t>.</w:t>
      </w:r>
    </w:p>
    <w:p w14:paraId="24321745" w14:textId="670D477B" w:rsidR="002A4CD2" w:rsidRDefault="002A4CD2" w:rsidP="002A4CD2">
      <w:pPr>
        <w:rPr>
          <w:rFonts w:cstheme="minorHAnsi"/>
          <w:lang w:val="en-US"/>
        </w:rPr>
      </w:pPr>
      <w:r w:rsidRPr="000E0581">
        <w:rPr>
          <w:rFonts w:cstheme="minorHAnsi"/>
          <w:lang w:val="en-US"/>
        </w:rPr>
        <w:t xml:space="preserve">If accreditation is not part of the sale, the historical practice data and the SWPE </w:t>
      </w:r>
      <w:r>
        <w:rPr>
          <w:rFonts w:cstheme="minorHAnsi"/>
          <w:lang w:val="en-US"/>
        </w:rPr>
        <w:t xml:space="preserve">value </w:t>
      </w:r>
      <w:r w:rsidRPr="000E0581">
        <w:rPr>
          <w:rFonts w:cstheme="minorHAnsi"/>
          <w:lang w:val="en-US"/>
        </w:rPr>
        <w:t>cannot be transferred. The new practice owner(s) will need to apply as a new practice for the WIP</w:t>
      </w:r>
      <w:r w:rsidRPr="000E0581">
        <w:rPr>
          <w:rFonts w:cstheme="minorHAnsi"/>
        </w:rPr>
        <w:t> – </w:t>
      </w:r>
      <w:r w:rsidRPr="000E0581">
        <w:rPr>
          <w:rFonts w:cstheme="minorHAnsi"/>
          <w:lang w:val="en-US"/>
        </w:rPr>
        <w:t xml:space="preserve">Practice Stream and achieve accreditation as a general practice in accordance with Part </w:t>
      </w:r>
      <w:r w:rsidR="00CB497A">
        <w:rPr>
          <w:rFonts w:cstheme="minorHAnsi"/>
          <w:lang w:val="en-US"/>
        </w:rPr>
        <w:t>B</w:t>
      </w:r>
      <w:r w:rsidRPr="000E0581">
        <w:rPr>
          <w:rFonts w:cstheme="minorHAnsi"/>
          <w:lang w:val="en-US"/>
        </w:rPr>
        <w:t xml:space="preserve">, </w:t>
      </w:r>
      <w:hyperlink w:anchor="_1.4_Accreditation_requirements" w:history="1">
        <w:r w:rsidRPr="00CB497A">
          <w:rPr>
            <w:rStyle w:val="Hyperlink"/>
            <w:rFonts w:cstheme="minorHAnsi"/>
            <w:lang w:val="en-US"/>
          </w:rPr>
          <w:t>Section 1.</w:t>
        </w:r>
        <w:r w:rsidR="00CB497A" w:rsidRPr="00CB497A">
          <w:rPr>
            <w:rStyle w:val="Hyperlink"/>
            <w:rFonts w:cstheme="minorHAnsi"/>
            <w:lang w:val="en-US"/>
          </w:rPr>
          <w:t>4</w:t>
        </w:r>
      </w:hyperlink>
      <w:r w:rsidRPr="000E0581">
        <w:rPr>
          <w:rFonts w:cstheme="minorHAnsi"/>
          <w:lang w:val="en-US"/>
        </w:rPr>
        <w:t xml:space="preserve"> ‘Accreditation requirements’. </w:t>
      </w:r>
    </w:p>
    <w:p w14:paraId="30B38889" w14:textId="25C2C88E" w:rsidR="002A4CD2" w:rsidRDefault="002A4CD2" w:rsidP="002A4CD2">
      <w:pPr>
        <w:rPr>
          <w:rFonts w:cstheme="minorHAnsi"/>
          <w:lang w:val="en-US"/>
        </w:rPr>
      </w:pPr>
      <w:r w:rsidRPr="000E0581">
        <w:rPr>
          <w:rFonts w:cstheme="minorHAnsi"/>
          <w:lang w:val="en-US"/>
        </w:rPr>
        <w:t xml:space="preserve">The new practice owner(s) will receive all eligible incentive payments for the relevant payment quarter following </w:t>
      </w:r>
      <w:r>
        <w:rPr>
          <w:rFonts w:cstheme="minorHAnsi"/>
          <w:lang w:val="en-US"/>
        </w:rPr>
        <w:t xml:space="preserve">Services Australia receiving notification of </w:t>
      </w:r>
      <w:r w:rsidRPr="000E0581">
        <w:rPr>
          <w:rFonts w:cstheme="minorHAnsi"/>
          <w:lang w:val="en-US"/>
        </w:rPr>
        <w:t xml:space="preserve">the sale of the practice. </w:t>
      </w:r>
      <w:r w:rsidRPr="000E0581">
        <w:rPr>
          <w:rFonts w:cstheme="minorHAnsi"/>
        </w:rPr>
        <w:t xml:space="preserve">Quarterly payments will be paid into the bank account registered on WIP </w:t>
      </w:r>
      <w:r w:rsidR="00FF515E">
        <w:rPr>
          <w:rFonts w:cstheme="minorHAnsi"/>
        </w:rPr>
        <w:t>-</w:t>
      </w:r>
      <w:r w:rsidRPr="000E0581">
        <w:rPr>
          <w:rFonts w:cstheme="minorHAnsi"/>
        </w:rPr>
        <w:t xml:space="preserve"> Practice Stream at the point-in-time date.</w:t>
      </w:r>
      <w:r w:rsidRPr="000E0581">
        <w:rPr>
          <w:rFonts w:cstheme="minorHAnsi"/>
          <w:lang w:val="en-US"/>
        </w:rPr>
        <w:t xml:space="preserve"> </w:t>
      </w:r>
    </w:p>
    <w:p w14:paraId="7289BAC5" w14:textId="062D017D" w:rsidR="002A4CD2" w:rsidRPr="000E0581" w:rsidRDefault="002A4CD2" w:rsidP="002A4CD2">
      <w:pPr>
        <w:rPr>
          <w:rFonts w:cstheme="minorHAnsi"/>
        </w:rPr>
      </w:pPr>
      <w:r w:rsidRPr="000E0581">
        <w:rPr>
          <w:rFonts w:cstheme="minorHAnsi"/>
          <w:lang w:val="en-US"/>
        </w:rPr>
        <w:t xml:space="preserve">If quarterly payments have been withheld for any reason, after the change of ownership process is </w:t>
      </w:r>
      <w:proofErr w:type="spellStart"/>
      <w:r w:rsidRPr="000E0581">
        <w:rPr>
          <w:rFonts w:cstheme="minorHAnsi"/>
          <w:lang w:val="en-US"/>
        </w:rPr>
        <w:t>finalised</w:t>
      </w:r>
      <w:proofErr w:type="spellEnd"/>
      <w:r w:rsidRPr="000E0581">
        <w:rPr>
          <w:rFonts w:cstheme="minorHAnsi"/>
          <w:lang w:val="en-US"/>
        </w:rPr>
        <w:t xml:space="preserve">, Services Australia will release the payments to the practice </w:t>
      </w:r>
      <w:r>
        <w:rPr>
          <w:rFonts w:cstheme="minorHAnsi"/>
          <w:lang w:val="en-US"/>
        </w:rPr>
        <w:t xml:space="preserve">owner </w:t>
      </w:r>
      <w:r w:rsidRPr="000E0581">
        <w:rPr>
          <w:rFonts w:cstheme="minorHAnsi"/>
          <w:lang w:val="en-US"/>
        </w:rPr>
        <w:t>at the relevant point-in-time date</w:t>
      </w:r>
      <w:r>
        <w:rPr>
          <w:rFonts w:cstheme="minorHAnsi"/>
          <w:lang w:val="en-US"/>
        </w:rPr>
        <w:t xml:space="preserve"> of the withheld payment quarter</w:t>
      </w:r>
      <w:r w:rsidR="00104E07">
        <w:rPr>
          <w:rFonts w:cstheme="minorHAnsi"/>
          <w:lang w:val="en-US"/>
        </w:rPr>
        <w:t>(</w:t>
      </w:r>
      <w:r>
        <w:rPr>
          <w:rFonts w:cstheme="minorHAnsi"/>
          <w:lang w:val="en-US"/>
        </w:rPr>
        <w:t>s</w:t>
      </w:r>
      <w:r w:rsidR="00104E07">
        <w:rPr>
          <w:rFonts w:cstheme="minorHAnsi"/>
          <w:lang w:val="en-US"/>
        </w:rPr>
        <w:t>)</w:t>
      </w:r>
      <w:r w:rsidRPr="000E0581">
        <w:rPr>
          <w:rFonts w:cstheme="minorHAnsi"/>
          <w:lang w:val="en-US"/>
        </w:rPr>
        <w:t xml:space="preserve">. </w:t>
      </w:r>
    </w:p>
    <w:p w14:paraId="3FB72134" w14:textId="2DFD0042" w:rsidR="00CF4BBE" w:rsidRPr="004A4E43" w:rsidRDefault="00CF4BBE" w:rsidP="00830756">
      <w:pPr>
        <w:pStyle w:val="Heading2numbered"/>
      </w:pPr>
      <w:bookmarkStart w:id="192" w:name="_1.3_Eligible_health"/>
      <w:bookmarkStart w:id="193" w:name="_1.5_Ineligible_services/activities"/>
      <w:bookmarkStart w:id="194" w:name="_Toc529284547"/>
      <w:bookmarkStart w:id="195" w:name="_Toc529284775"/>
      <w:bookmarkStart w:id="196" w:name="_Toc25157829"/>
      <w:bookmarkStart w:id="197" w:name="_Toc197682354"/>
      <w:bookmarkEnd w:id="192"/>
      <w:bookmarkEnd w:id="193"/>
      <w:r w:rsidRPr="004A4E43">
        <w:t>Ineligible services/activities</w:t>
      </w:r>
      <w:bookmarkEnd w:id="194"/>
      <w:bookmarkEnd w:id="195"/>
      <w:bookmarkEnd w:id="196"/>
      <w:bookmarkEnd w:id="197"/>
    </w:p>
    <w:p w14:paraId="38434D15" w14:textId="3BA158BC" w:rsidR="0035246F" w:rsidRPr="009D7C64" w:rsidRDefault="0035246F" w:rsidP="0035246F">
      <w:r w:rsidRPr="009D7C64">
        <w:t xml:space="preserve">Some services and activities are not eligible to receive payments under the WIP </w:t>
      </w:r>
      <w:r w:rsidR="00FF515E">
        <w:t>-</w:t>
      </w:r>
      <w:r w:rsidRPr="009D7C64">
        <w:t xml:space="preserve"> Practice Stream.</w:t>
      </w:r>
    </w:p>
    <w:p w14:paraId="46A96DFC" w14:textId="62044C34" w:rsidR="0035246F" w:rsidRPr="00D60DD3" w:rsidRDefault="0035246F" w:rsidP="00BC4F08">
      <w:pPr>
        <w:pStyle w:val="Heading3numbered"/>
      </w:pPr>
      <w:bookmarkStart w:id="198" w:name="_Toc197682355"/>
      <w:r w:rsidRPr="00D60DD3">
        <w:t>1.5.1 Ineligible services</w:t>
      </w:r>
      <w:bookmarkEnd w:id="198"/>
    </w:p>
    <w:p w14:paraId="4C518435" w14:textId="7C28E10D" w:rsidR="00A62B0A" w:rsidRPr="00CF7892" w:rsidRDefault="00A62B0A" w:rsidP="00A62B0A">
      <w:r w:rsidRPr="00CF7892">
        <w:t xml:space="preserve">The following services are </w:t>
      </w:r>
      <w:r w:rsidRPr="00CF7892">
        <w:rPr>
          <w:b/>
        </w:rPr>
        <w:t>not</w:t>
      </w:r>
      <w:r w:rsidRPr="00CF7892">
        <w:t xml:space="preserve"> </w:t>
      </w:r>
      <w:r w:rsidR="00554ACC" w:rsidRPr="00CF7892">
        <w:t>eligible</w:t>
      </w:r>
      <w:r w:rsidR="00554ACC">
        <w:t>:</w:t>
      </w:r>
    </w:p>
    <w:p w14:paraId="6E49BE1E" w14:textId="79D26410" w:rsidR="00A62B0A" w:rsidRPr="009776F9" w:rsidRDefault="0798F7F6" w:rsidP="0798F7F6">
      <w:pPr>
        <w:pStyle w:val="ListBullet"/>
        <w:rPr>
          <w:lang w:val="en-US"/>
        </w:rPr>
      </w:pPr>
      <w:r w:rsidRPr="0798F7F6">
        <w:rPr>
          <w:lang w:val="en-US"/>
        </w:rPr>
        <w:t xml:space="preserve">Medical </w:t>
      </w:r>
      <w:proofErr w:type="spellStart"/>
      <w:r w:rsidRPr="0798F7F6">
        <w:rPr>
          <w:lang w:val="en-US"/>
        </w:rPr>
        <w:t>Deputising</w:t>
      </w:r>
      <w:proofErr w:type="spellEnd"/>
      <w:r w:rsidRPr="0798F7F6">
        <w:rPr>
          <w:lang w:val="en-US"/>
        </w:rPr>
        <w:t xml:space="preserve"> Services that directly arrange for medical practitioners to provide after-hours services to patients of practice principals during the absence of, and at the request of the practice principals; and </w:t>
      </w:r>
    </w:p>
    <w:p w14:paraId="1E0F6F13" w14:textId="77777777" w:rsidR="00A62B0A" w:rsidRPr="00600A7E" w:rsidRDefault="0798F7F6" w:rsidP="0043055A">
      <w:pPr>
        <w:pStyle w:val="ListBullet"/>
      </w:pPr>
      <w:r w:rsidRPr="0798F7F6">
        <w:rPr>
          <w:lang w:val="en-US"/>
        </w:rPr>
        <w:lastRenderedPageBreak/>
        <w:t xml:space="preserve">After-hours services that provide care outside the normal opening hours of a general practice. This applies </w:t>
      </w:r>
      <w:proofErr w:type="gramStart"/>
      <w:r w:rsidRPr="0798F7F6">
        <w:rPr>
          <w:lang w:val="en-US"/>
        </w:rPr>
        <w:t>whether or not</w:t>
      </w:r>
      <w:proofErr w:type="gramEnd"/>
      <w:r w:rsidRPr="0798F7F6">
        <w:rPr>
          <w:lang w:val="en-US"/>
        </w:rPr>
        <w:t>:</w:t>
      </w:r>
    </w:p>
    <w:p w14:paraId="5124EE37" w14:textId="77777777" w:rsidR="00A62B0A" w:rsidRPr="00435354" w:rsidRDefault="0798F7F6" w:rsidP="0798F7F6">
      <w:pPr>
        <w:pStyle w:val="ListBullet2"/>
        <w:rPr>
          <w:lang w:val="en-US"/>
        </w:rPr>
      </w:pPr>
      <w:r w:rsidRPr="0798F7F6">
        <w:rPr>
          <w:lang w:val="en-US"/>
        </w:rPr>
        <w:t xml:space="preserve">the service </w:t>
      </w:r>
      <w:proofErr w:type="spellStart"/>
      <w:proofErr w:type="gramStart"/>
      <w:r w:rsidRPr="0798F7F6">
        <w:rPr>
          <w:lang w:val="en-US"/>
        </w:rPr>
        <w:t>deputises</w:t>
      </w:r>
      <w:proofErr w:type="spellEnd"/>
      <w:proofErr w:type="gramEnd"/>
      <w:r w:rsidRPr="0798F7F6">
        <w:rPr>
          <w:lang w:val="en-US"/>
        </w:rPr>
        <w:t xml:space="preserve"> for other general practices; and</w:t>
      </w:r>
    </w:p>
    <w:p w14:paraId="10D3844F" w14:textId="77777777" w:rsidR="00A62B0A" w:rsidRPr="00DB7020" w:rsidRDefault="0798F7F6" w:rsidP="0043055A">
      <w:pPr>
        <w:pStyle w:val="ListBullet2"/>
      </w:pPr>
      <w:proofErr w:type="gramStart"/>
      <w:r w:rsidRPr="0798F7F6">
        <w:rPr>
          <w:lang w:val="en-US"/>
        </w:rPr>
        <w:t>the</w:t>
      </w:r>
      <w:proofErr w:type="gramEnd"/>
      <w:r w:rsidRPr="0798F7F6">
        <w:rPr>
          <w:lang w:val="en-US"/>
        </w:rPr>
        <w:t xml:space="preserve"> care is provided physically within or outside the practice.</w:t>
      </w:r>
    </w:p>
    <w:p w14:paraId="41BF2B7F" w14:textId="0C79A458" w:rsidR="00CF4BBE" w:rsidRPr="00D60DD3" w:rsidRDefault="00CF4BBE" w:rsidP="00BC4F08">
      <w:pPr>
        <w:pStyle w:val="Heading3numbered"/>
      </w:pPr>
      <w:bookmarkStart w:id="199" w:name="_Toc529284777"/>
      <w:bookmarkStart w:id="200" w:name="_Toc25157831"/>
      <w:bookmarkStart w:id="201" w:name="_Toc142318445"/>
      <w:bookmarkStart w:id="202" w:name="_Toc197682356"/>
      <w:r w:rsidRPr="00D60DD3">
        <w:t>1.5.</w:t>
      </w:r>
      <w:r w:rsidR="00723693" w:rsidRPr="00D60DD3">
        <w:t>2</w:t>
      </w:r>
      <w:r w:rsidRPr="00D60DD3">
        <w:t xml:space="preserve"> Ineligible activities</w:t>
      </w:r>
      <w:bookmarkEnd w:id="199"/>
      <w:bookmarkEnd w:id="200"/>
      <w:bookmarkEnd w:id="201"/>
      <w:bookmarkEnd w:id="202"/>
    </w:p>
    <w:p w14:paraId="2F4E9482" w14:textId="24B312F7" w:rsidR="00A62B0A" w:rsidRPr="007D2D9E" w:rsidRDefault="00A62B0A" w:rsidP="00A62B0A">
      <w:pPr>
        <w:rPr>
          <w:lang w:val="en-GB"/>
        </w:rPr>
      </w:pPr>
      <w:r w:rsidRPr="007D2D9E">
        <w:rPr>
          <w:lang w:val="en-GB"/>
        </w:rPr>
        <w:t xml:space="preserve">Practices are </w:t>
      </w:r>
      <w:r w:rsidRPr="007D2D9E">
        <w:rPr>
          <w:b/>
          <w:lang w:val="en-GB"/>
        </w:rPr>
        <w:t xml:space="preserve">not </w:t>
      </w:r>
      <w:r w:rsidRPr="007D2D9E">
        <w:rPr>
          <w:lang w:val="en-GB"/>
        </w:rPr>
        <w:t xml:space="preserve">eligible to claim payment for any hours where they already receive </w:t>
      </w:r>
      <w:r>
        <w:rPr>
          <w:lang w:val="en-GB"/>
        </w:rPr>
        <w:t xml:space="preserve">financial </w:t>
      </w:r>
      <w:r w:rsidRPr="007D2D9E">
        <w:rPr>
          <w:lang w:val="en-GB"/>
        </w:rPr>
        <w:t>support</w:t>
      </w:r>
      <w:r>
        <w:rPr>
          <w:lang w:val="en-GB"/>
        </w:rPr>
        <w:t xml:space="preserve"> </w:t>
      </w:r>
      <w:r w:rsidRPr="007D2D9E">
        <w:rPr>
          <w:lang w:val="en-GB"/>
        </w:rPr>
        <w:t>to employ or engage an eligible health professional</w:t>
      </w:r>
      <w:r w:rsidR="008A50DE">
        <w:rPr>
          <w:lang w:val="en-GB"/>
        </w:rPr>
        <w:t>,</w:t>
      </w:r>
      <w:r>
        <w:rPr>
          <w:lang w:val="en-GB"/>
        </w:rPr>
        <w:t xml:space="preserve"> </w:t>
      </w:r>
      <w:r w:rsidRPr="001F5A7F">
        <w:rPr>
          <w:lang w:val="en-GB"/>
        </w:rPr>
        <w:t xml:space="preserve">or </w:t>
      </w:r>
      <w:r>
        <w:rPr>
          <w:lang w:val="en-GB"/>
        </w:rPr>
        <w:t xml:space="preserve">if the financial support covers the </w:t>
      </w:r>
      <w:r w:rsidRPr="001F5A7F">
        <w:rPr>
          <w:lang w:val="en-GB"/>
        </w:rPr>
        <w:t>services performed by an eligible health professional.</w:t>
      </w:r>
      <w:r w:rsidRPr="007D2D9E">
        <w:rPr>
          <w:lang w:val="en-GB"/>
        </w:rPr>
        <w:t xml:space="preserve"> </w:t>
      </w:r>
    </w:p>
    <w:p w14:paraId="74A40F3F" w14:textId="77777777" w:rsidR="00A62B0A" w:rsidRPr="00FD6CED" w:rsidRDefault="00A62B0A" w:rsidP="00A62B0A">
      <w:pPr>
        <w:rPr>
          <w:lang w:val="en-GB"/>
        </w:rPr>
      </w:pPr>
      <w:r w:rsidRPr="00FD6CED">
        <w:rPr>
          <w:lang w:val="en-GB"/>
        </w:rPr>
        <w:t>Support could include:</w:t>
      </w:r>
    </w:p>
    <w:p w14:paraId="54E9E3CA" w14:textId="77777777" w:rsidR="00A62B0A" w:rsidRPr="00FD6CED" w:rsidRDefault="00A62B0A" w:rsidP="0043055A">
      <w:pPr>
        <w:pStyle w:val="ListBullet"/>
        <w:rPr>
          <w:lang w:val="en"/>
        </w:rPr>
      </w:pPr>
      <w:r w:rsidRPr="00FD6CED">
        <w:rPr>
          <w:lang w:val="en"/>
        </w:rPr>
        <w:t xml:space="preserve">Australian, state or territory government </w:t>
      </w:r>
      <w:proofErr w:type="gramStart"/>
      <w:r w:rsidRPr="00FD6CED">
        <w:rPr>
          <w:lang w:val="en"/>
        </w:rPr>
        <w:t>funding;</w:t>
      </w:r>
      <w:proofErr w:type="gramEnd"/>
    </w:p>
    <w:p w14:paraId="2BD4989F" w14:textId="77777777" w:rsidR="00A62B0A" w:rsidRPr="00FD6CED" w:rsidRDefault="0798F7F6" w:rsidP="0798F7F6">
      <w:pPr>
        <w:pStyle w:val="ListBullet"/>
        <w:rPr>
          <w:lang w:val="en-US"/>
        </w:rPr>
      </w:pPr>
      <w:r w:rsidRPr="0798F7F6">
        <w:rPr>
          <w:lang w:val="en-US"/>
        </w:rPr>
        <w:t xml:space="preserve">other private funding (e.g. funding from a parent </w:t>
      </w:r>
      <w:proofErr w:type="spellStart"/>
      <w:r w:rsidRPr="0798F7F6">
        <w:rPr>
          <w:lang w:val="en-US"/>
        </w:rPr>
        <w:t>organisation</w:t>
      </w:r>
      <w:proofErr w:type="spellEnd"/>
      <w:r w:rsidRPr="0798F7F6">
        <w:rPr>
          <w:lang w:val="en-US"/>
        </w:rPr>
        <w:t>); or</w:t>
      </w:r>
    </w:p>
    <w:p w14:paraId="15EFD63E" w14:textId="77777777" w:rsidR="00A62B0A" w:rsidRPr="00425F18" w:rsidRDefault="00A62B0A" w:rsidP="0043055A">
      <w:pPr>
        <w:pStyle w:val="ListBullet"/>
        <w:rPr>
          <w:lang w:val="en-US"/>
        </w:rPr>
      </w:pPr>
      <w:r w:rsidRPr="00FD6CED">
        <w:rPr>
          <w:lang w:val="en"/>
        </w:rPr>
        <w:t xml:space="preserve">funding from other incentive programs. </w:t>
      </w:r>
    </w:p>
    <w:p w14:paraId="2CFAD121" w14:textId="77777777" w:rsidR="00A62B0A" w:rsidRPr="00FD6CED" w:rsidRDefault="00A62B0A" w:rsidP="00A62B0A">
      <w:pPr>
        <w:rPr>
          <w:lang w:val="en"/>
        </w:rPr>
      </w:pPr>
      <w:r w:rsidRPr="00FD6CED">
        <w:rPr>
          <w:lang w:val="en-US"/>
        </w:rPr>
        <w:t>This does not apply to</w:t>
      </w:r>
      <w:r>
        <w:rPr>
          <w:lang w:val="en-US"/>
        </w:rPr>
        <w:t xml:space="preserve"> </w:t>
      </w:r>
      <w:r w:rsidRPr="00FD6CED">
        <w:rPr>
          <w:lang w:val="en"/>
        </w:rPr>
        <w:t>Aboriginal Medical Services, Aboriginal Community Controlled Health Services, and state or territory government health clinics</w:t>
      </w:r>
      <w:r>
        <w:rPr>
          <w:lang w:val="en"/>
        </w:rPr>
        <w:t xml:space="preserve"> in rural and remote communities</w:t>
      </w:r>
      <w:r w:rsidRPr="00FD6CED">
        <w:rPr>
          <w:lang w:val="en"/>
        </w:rPr>
        <w:t xml:space="preserve"> that:</w:t>
      </w:r>
    </w:p>
    <w:p w14:paraId="2D35B934" w14:textId="77777777" w:rsidR="00A62B0A" w:rsidRPr="00FD6CED" w:rsidRDefault="00A62B0A" w:rsidP="0043055A">
      <w:pPr>
        <w:pStyle w:val="ListBullet"/>
        <w:rPr>
          <w:lang w:val="en"/>
        </w:rPr>
      </w:pPr>
      <w:r w:rsidRPr="00FD6CED">
        <w:rPr>
          <w:lang w:val="en"/>
        </w:rPr>
        <w:t xml:space="preserve">have an exemption under Section 19(2) of the </w:t>
      </w:r>
      <w:r w:rsidRPr="002E555E">
        <w:rPr>
          <w:i/>
          <w:lang w:val="en"/>
        </w:rPr>
        <w:t>Health Insurance Act 1973</w:t>
      </w:r>
      <w:r w:rsidRPr="00FD6CED">
        <w:rPr>
          <w:lang w:val="en"/>
        </w:rPr>
        <w:t xml:space="preserve">; or </w:t>
      </w:r>
    </w:p>
    <w:p w14:paraId="010ECE0C" w14:textId="77777777" w:rsidR="00A62B0A" w:rsidRPr="00CC6F1A" w:rsidRDefault="00A62B0A" w:rsidP="0043055A">
      <w:pPr>
        <w:pStyle w:val="ListBullet"/>
        <w:rPr>
          <w:lang w:val="en"/>
        </w:rPr>
      </w:pPr>
      <w:r w:rsidRPr="00FD6CED">
        <w:rPr>
          <w:lang w:val="en"/>
        </w:rPr>
        <w:t>receive funding for Aboriginal and Torres Strait Islander Health Workers, Aboriginal and Torres Strait Islander Health Practitioners, or allied health professionals through Health.</w:t>
      </w:r>
      <w:r>
        <w:rPr>
          <w:lang w:val="en"/>
        </w:rPr>
        <w:t xml:space="preserve"> </w:t>
      </w:r>
    </w:p>
    <w:p w14:paraId="59DDA389" w14:textId="77777777" w:rsidR="00CF4BBE" w:rsidRPr="00D60DD3" w:rsidRDefault="00CF4BBE" w:rsidP="00BC4F08">
      <w:pPr>
        <w:pStyle w:val="Heading3numbered"/>
      </w:pPr>
      <w:bookmarkStart w:id="203" w:name="_Toc25157832"/>
      <w:bookmarkStart w:id="204" w:name="_Toc142318446"/>
      <w:bookmarkStart w:id="205" w:name="_Toc197682357"/>
      <w:r w:rsidRPr="00D60DD3">
        <w:t>1.5.3 Medicare Benefits Schedule services</w:t>
      </w:r>
      <w:bookmarkEnd w:id="203"/>
      <w:bookmarkEnd w:id="204"/>
      <w:bookmarkEnd w:id="205"/>
      <w:r w:rsidRPr="00D60DD3">
        <w:t xml:space="preserve"> </w:t>
      </w:r>
    </w:p>
    <w:p w14:paraId="26D7A14D" w14:textId="1D20F99D" w:rsidR="00CF4BBE" w:rsidRPr="00FD6CED" w:rsidRDefault="00CF4BBE" w:rsidP="00CF4BBE">
      <w:pPr>
        <w:rPr>
          <w:lang w:val="en-US"/>
        </w:rPr>
      </w:pPr>
      <w:bookmarkStart w:id="206" w:name="_Hlk137474196"/>
      <w:r w:rsidRPr="007D2D9E">
        <w:rPr>
          <w:lang w:val="en-US"/>
        </w:rPr>
        <w:t xml:space="preserve">Practices that employ or engage the services of a nurse practitioner, </w:t>
      </w:r>
      <w:r w:rsidR="002B1FED">
        <w:rPr>
          <w:lang w:val="en-US"/>
        </w:rPr>
        <w:t>midwife with an endorsement for schedule</w:t>
      </w:r>
      <w:r w:rsidR="001E0C53">
        <w:rPr>
          <w:lang w:val="en-US"/>
        </w:rPr>
        <w:t>d</w:t>
      </w:r>
      <w:r w:rsidR="002B1FED">
        <w:rPr>
          <w:lang w:val="en-US"/>
        </w:rPr>
        <w:t xml:space="preserve"> medicines, </w:t>
      </w:r>
      <w:r w:rsidRPr="007D2D9E">
        <w:rPr>
          <w:lang w:val="en-US"/>
        </w:rPr>
        <w:t xml:space="preserve">allied health professional, Aboriginal and Torres Strait Islander </w:t>
      </w:r>
      <w:r w:rsidR="00176258">
        <w:rPr>
          <w:lang w:val="en-US"/>
        </w:rPr>
        <w:t xml:space="preserve">health worker or health practitioner </w:t>
      </w:r>
      <w:r w:rsidRPr="007D2D9E">
        <w:rPr>
          <w:lang w:val="en-US"/>
        </w:rPr>
        <w:t xml:space="preserve">with their own provider number are not eligible to claim </w:t>
      </w:r>
      <w:r w:rsidRPr="009D7C64">
        <w:t xml:space="preserve">WIP </w:t>
      </w:r>
      <w:r w:rsidR="00FF515E">
        <w:t>-</w:t>
      </w:r>
      <w:r w:rsidRPr="009D7C64">
        <w:t xml:space="preserve"> </w:t>
      </w:r>
      <w:r w:rsidRPr="007D2D9E">
        <w:rPr>
          <w:lang w:val="en-US"/>
        </w:rPr>
        <w:t xml:space="preserve">Practice Stream </w:t>
      </w:r>
      <w:r>
        <w:rPr>
          <w:lang w:val="en-US"/>
        </w:rPr>
        <w:t>incentives</w:t>
      </w:r>
      <w:r w:rsidRPr="007D2D9E">
        <w:rPr>
          <w:lang w:val="en-US"/>
        </w:rPr>
        <w:t xml:space="preserve"> for any time those health professionals spend on the relevant Medicare Benefits Schedule services.</w:t>
      </w:r>
    </w:p>
    <w:p w14:paraId="3953DB58" w14:textId="77777777" w:rsidR="00CF4BBE" w:rsidRPr="00FD6CED" w:rsidRDefault="00CF4BBE" w:rsidP="00CF4BBE">
      <w:pPr>
        <w:rPr>
          <w:lang w:val="en-US"/>
        </w:rPr>
      </w:pPr>
      <w:r w:rsidRPr="00FD6CED">
        <w:rPr>
          <w:lang w:val="en-US"/>
        </w:rPr>
        <w:t>This does not apply to:</w:t>
      </w:r>
    </w:p>
    <w:p w14:paraId="611286AC" w14:textId="77777777" w:rsidR="00CF4BBE" w:rsidRPr="00FD6CED" w:rsidRDefault="00CF4BBE" w:rsidP="0043055A">
      <w:pPr>
        <w:pStyle w:val="ListBullet"/>
        <w:rPr>
          <w:lang w:val="en"/>
        </w:rPr>
      </w:pPr>
      <w:r w:rsidRPr="00FD6CED">
        <w:rPr>
          <w:lang w:val="en"/>
        </w:rPr>
        <w:t>Aboriginal Medical Services, Aboriginal Community Controlled Health Services, and state or territory government health clinics that:</w:t>
      </w:r>
    </w:p>
    <w:p w14:paraId="1EC56E2C" w14:textId="77777777" w:rsidR="00CF4BBE" w:rsidRPr="00FD6CED" w:rsidRDefault="00CF4BBE" w:rsidP="0043055A">
      <w:pPr>
        <w:pStyle w:val="ListBullet2"/>
        <w:rPr>
          <w:lang w:val="en"/>
        </w:rPr>
      </w:pPr>
      <w:r w:rsidRPr="00FD6CED">
        <w:rPr>
          <w:lang w:val="en"/>
        </w:rPr>
        <w:t xml:space="preserve">have an exemption under Section 19(2) of the </w:t>
      </w:r>
      <w:r w:rsidRPr="005B437F">
        <w:rPr>
          <w:i/>
          <w:iCs/>
          <w:lang w:val="en"/>
        </w:rPr>
        <w:t>Health Insurance Act 1973</w:t>
      </w:r>
      <w:r w:rsidRPr="00FD6CED">
        <w:rPr>
          <w:lang w:val="en"/>
        </w:rPr>
        <w:t xml:space="preserve">; or </w:t>
      </w:r>
    </w:p>
    <w:p w14:paraId="40762F1A" w14:textId="0DD31D96" w:rsidR="00C71821" w:rsidRDefault="00CF4BBE" w:rsidP="0043055A">
      <w:pPr>
        <w:pStyle w:val="ListBullet2"/>
        <w:rPr>
          <w:lang w:val="en"/>
        </w:rPr>
      </w:pPr>
      <w:r w:rsidRPr="00FD6CED">
        <w:rPr>
          <w:lang w:val="en"/>
        </w:rPr>
        <w:t xml:space="preserve">receive funding for Aboriginal and Torres Strait Islander </w:t>
      </w:r>
      <w:r w:rsidR="00E46842">
        <w:rPr>
          <w:lang w:val="en"/>
        </w:rPr>
        <w:t>h</w:t>
      </w:r>
      <w:r w:rsidRPr="00FD6CED">
        <w:rPr>
          <w:lang w:val="en"/>
        </w:rPr>
        <w:t xml:space="preserve">ealth </w:t>
      </w:r>
      <w:r w:rsidR="00E46842">
        <w:rPr>
          <w:lang w:val="en"/>
        </w:rPr>
        <w:t>w</w:t>
      </w:r>
      <w:r w:rsidRPr="00FD6CED">
        <w:rPr>
          <w:lang w:val="en"/>
        </w:rPr>
        <w:t xml:space="preserve">orkers, Aboriginal and Torres Strait Islander </w:t>
      </w:r>
      <w:r w:rsidR="002C4B25">
        <w:rPr>
          <w:lang w:val="en"/>
        </w:rPr>
        <w:t>h</w:t>
      </w:r>
      <w:r w:rsidRPr="00FD6CED">
        <w:rPr>
          <w:lang w:val="en"/>
        </w:rPr>
        <w:t xml:space="preserve">ealth </w:t>
      </w:r>
      <w:r w:rsidR="00F47196">
        <w:rPr>
          <w:lang w:val="en"/>
        </w:rPr>
        <w:t>p</w:t>
      </w:r>
      <w:r w:rsidRPr="00FD6CED">
        <w:rPr>
          <w:lang w:val="en"/>
        </w:rPr>
        <w:t>ractitioners, or allied health professionals through Health.</w:t>
      </w:r>
      <w:bookmarkEnd w:id="206"/>
    </w:p>
    <w:p w14:paraId="568917BF" w14:textId="55E6F4A3" w:rsidR="00CF4BBE" w:rsidRDefault="00CF4BBE" w:rsidP="00D60DD3">
      <w:pPr>
        <w:pStyle w:val="Heading1numbered"/>
      </w:pPr>
      <w:bookmarkStart w:id="207" w:name="_1.6_Stage_one"/>
      <w:bookmarkStart w:id="208" w:name="_Toc529284548"/>
      <w:bookmarkStart w:id="209" w:name="_Toc529284779"/>
      <w:bookmarkStart w:id="210" w:name="_Toc25157834"/>
      <w:bookmarkStart w:id="211" w:name="_Toc142318447"/>
      <w:bookmarkStart w:id="212" w:name="_Toc197682358"/>
      <w:bookmarkEnd w:id="207"/>
      <w:r w:rsidRPr="00D2425D">
        <w:lastRenderedPageBreak/>
        <w:t>Application requirements</w:t>
      </w:r>
      <w:bookmarkEnd w:id="208"/>
      <w:bookmarkEnd w:id="209"/>
      <w:bookmarkEnd w:id="210"/>
      <w:bookmarkEnd w:id="211"/>
      <w:bookmarkEnd w:id="212"/>
    </w:p>
    <w:p w14:paraId="6460D7F8" w14:textId="47FB8A43" w:rsidR="00CF4BBE" w:rsidRPr="0075747B" w:rsidRDefault="00CF4BBE" w:rsidP="00CF4BBE">
      <w:r w:rsidRPr="0075747B">
        <w:t xml:space="preserve">A practice must be </w:t>
      </w:r>
      <w:hyperlink w:anchor="_1.1_Eligible_general" w:history="1">
        <w:r w:rsidRPr="0075747B">
          <w:rPr>
            <w:rStyle w:val="Hyperlink"/>
          </w:rPr>
          <w:t>eligible</w:t>
        </w:r>
      </w:hyperlink>
      <w:r w:rsidRPr="0075747B">
        <w:t xml:space="preserve"> to apply for the WIP </w:t>
      </w:r>
      <w:r w:rsidR="00054CFB">
        <w:t>-</w:t>
      </w:r>
      <w:r w:rsidRPr="0075747B">
        <w:t xml:space="preserve"> Practice Stream. </w:t>
      </w:r>
    </w:p>
    <w:p w14:paraId="724A4046" w14:textId="209BBB63" w:rsidR="00CF4BBE" w:rsidRPr="00547B5D" w:rsidRDefault="00CF4BBE" w:rsidP="00830756">
      <w:pPr>
        <w:pStyle w:val="Heading2numbered"/>
      </w:pPr>
      <w:bookmarkStart w:id="213" w:name="_Toc529284549"/>
      <w:bookmarkStart w:id="214" w:name="_Toc529284780"/>
      <w:bookmarkStart w:id="215" w:name="_Toc25157835"/>
      <w:bookmarkStart w:id="216" w:name="_Toc142318448"/>
      <w:bookmarkStart w:id="217" w:name="_Toc197682359"/>
      <w:proofErr w:type="gramStart"/>
      <w:r w:rsidRPr="00547B5D">
        <w:t>Submitting an application</w:t>
      </w:r>
      <w:bookmarkEnd w:id="213"/>
      <w:bookmarkEnd w:id="214"/>
      <w:bookmarkEnd w:id="215"/>
      <w:bookmarkEnd w:id="216"/>
      <w:bookmarkEnd w:id="217"/>
      <w:proofErr w:type="gramEnd"/>
    </w:p>
    <w:p w14:paraId="2590AEF3" w14:textId="1A1FDEBA" w:rsidR="00CF4BBE" w:rsidRPr="0075747B" w:rsidRDefault="00CF4BBE" w:rsidP="00CF4BBE">
      <w:r w:rsidRPr="0075747B">
        <w:t xml:space="preserve">A practice owner can apply at any time to join the WIP </w:t>
      </w:r>
      <w:r w:rsidR="00054CFB">
        <w:t>-</w:t>
      </w:r>
      <w:r w:rsidRPr="0075747B">
        <w:t xml:space="preserve"> Practice Stream: </w:t>
      </w:r>
    </w:p>
    <w:p w14:paraId="5C0A992C" w14:textId="09CE1862" w:rsidR="00D516FF" w:rsidRPr="0075747B" w:rsidRDefault="00CF4BBE" w:rsidP="0043055A">
      <w:pPr>
        <w:pStyle w:val="ListBullet"/>
        <w:rPr>
          <w:lang w:val="en"/>
        </w:rPr>
      </w:pPr>
      <w:r w:rsidRPr="0075747B">
        <w:rPr>
          <w:lang w:val="en"/>
        </w:rPr>
        <w:t xml:space="preserve">online through </w:t>
      </w:r>
      <w:hyperlink r:id="rId22" w:history="1">
        <w:r w:rsidRPr="0075747B">
          <w:rPr>
            <w:rStyle w:val="Hyperlink"/>
            <w:lang w:val="en"/>
          </w:rPr>
          <w:t>Health Professional Online Services</w:t>
        </w:r>
      </w:hyperlink>
      <w:r w:rsidRPr="0075747B">
        <w:rPr>
          <w:rStyle w:val="Hyperlink"/>
          <w:lang w:val="en"/>
        </w:rPr>
        <w:t xml:space="preserve"> (HPOS)</w:t>
      </w:r>
      <w:r w:rsidRPr="0075747B">
        <w:rPr>
          <w:lang w:val="en"/>
        </w:rPr>
        <w:t xml:space="preserve"> </w:t>
      </w:r>
      <w:r w:rsidRPr="0075747B">
        <w:rPr>
          <w:rFonts w:cstheme="minorHAnsi"/>
          <w:szCs w:val="22"/>
          <w:lang w:val="en"/>
        </w:rPr>
        <w:t xml:space="preserve">using a </w:t>
      </w:r>
      <w:r w:rsidRPr="0075747B">
        <w:rPr>
          <w:lang w:val="en-US"/>
        </w:rPr>
        <w:t>Provider Digital Access (PRODA) account</w:t>
      </w:r>
      <w:r w:rsidRPr="0075747B">
        <w:rPr>
          <w:rFonts w:cstheme="minorHAnsi"/>
          <w:szCs w:val="22"/>
          <w:lang w:val="en"/>
        </w:rPr>
        <w:t xml:space="preserve">; </w:t>
      </w:r>
      <w:r w:rsidRPr="0075747B">
        <w:rPr>
          <w:lang w:val="en"/>
        </w:rPr>
        <w:t>or</w:t>
      </w:r>
    </w:p>
    <w:p w14:paraId="14636F7A" w14:textId="57ECEE2A" w:rsidR="00F2708F" w:rsidRDefault="0798F7F6" w:rsidP="0798F7F6">
      <w:pPr>
        <w:pStyle w:val="ListBullet"/>
        <w:rPr>
          <w:lang w:val="en-US"/>
        </w:rPr>
      </w:pPr>
      <w:r w:rsidRPr="0798F7F6">
        <w:rPr>
          <w:lang w:val="en-US"/>
        </w:rPr>
        <w:t xml:space="preserve">by completing the </w:t>
      </w:r>
      <w:hyperlink r:id="rId23">
        <w:r w:rsidRPr="0798F7F6">
          <w:rPr>
            <w:rStyle w:val="Hyperlink"/>
            <w:lang w:val="en-US"/>
          </w:rPr>
          <w:t>Practice Incentives application form (IP001</w:t>
        </w:r>
      </w:hyperlink>
      <w:r w:rsidRPr="0798F7F6">
        <w:rPr>
          <w:rStyle w:val="Hyperlink"/>
          <w:lang w:val="en-US"/>
        </w:rPr>
        <w:t>)</w:t>
      </w:r>
      <w:r w:rsidRPr="0798F7F6">
        <w:rPr>
          <w:lang w:val="en-US"/>
        </w:rPr>
        <w:t xml:space="preserve"> and submitting the form as per the instruction on the form with the required supporting documentation.</w:t>
      </w:r>
    </w:p>
    <w:p w14:paraId="728681E9" w14:textId="77777777" w:rsidR="00CF4BBE" w:rsidRPr="00FA4D4B" w:rsidRDefault="00CF4BBE" w:rsidP="00FA4D4B">
      <w:r w:rsidRPr="00906B7D">
        <w:rPr>
          <w:lang w:val="en"/>
        </w:rPr>
        <w:t xml:space="preserve">Read more about </w:t>
      </w:r>
      <w:hyperlink r:id="rId24" w:history="1">
        <w:r w:rsidRPr="00906B7D">
          <w:rPr>
            <w:rStyle w:val="Hyperlink"/>
            <w:lang w:val="en"/>
          </w:rPr>
          <w:t>HPOS</w:t>
        </w:r>
      </w:hyperlink>
      <w:r w:rsidRPr="00906B7D">
        <w:rPr>
          <w:lang w:val="en"/>
        </w:rPr>
        <w:t xml:space="preserve"> including how to register.</w:t>
      </w:r>
      <w:r w:rsidRPr="0075747B">
        <w:t xml:space="preserve"> </w:t>
      </w:r>
      <w:r w:rsidRPr="00906B7D">
        <w:rPr>
          <w:lang w:val="en"/>
        </w:rPr>
        <w:t xml:space="preserve">Read more about </w:t>
      </w:r>
      <w:hyperlink r:id="rId25" w:history="1">
        <w:r w:rsidRPr="00906B7D">
          <w:rPr>
            <w:rStyle w:val="Hyperlink"/>
            <w:lang w:val="en"/>
          </w:rPr>
          <w:t>PRODA</w:t>
        </w:r>
      </w:hyperlink>
      <w:r w:rsidRPr="00906B7D">
        <w:rPr>
          <w:lang w:val="en"/>
        </w:rPr>
        <w:t xml:space="preserve"> including how to create an account.</w:t>
      </w:r>
      <w:r>
        <w:t xml:space="preserve"> </w:t>
      </w:r>
    </w:p>
    <w:p w14:paraId="2D32B9D6" w14:textId="77777777" w:rsidR="00CF4BBE" w:rsidRPr="00EE6B2C" w:rsidRDefault="00CF4BBE" w:rsidP="00CF4BBE">
      <w:pPr>
        <w:rPr>
          <w:lang w:val="en-US"/>
        </w:rPr>
      </w:pPr>
      <w:r w:rsidRPr="00EE6B2C">
        <w:rPr>
          <w:lang w:val="en-US"/>
        </w:rPr>
        <w:t xml:space="preserve">Practices must: </w:t>
      </w:r>
    </w:p>
    <w:p w14:paraId="0E1019B1" w14:textId="77777777" w:rsidR="00CF4BBE" w:rsidRPr="00EE6B2C" w:rsidRDefault="0798F7F6" w:rsidP="0798F7F6">
      <w:pPr>
        <w:pStyle w:val="ListBullet"/>
        <w:rPr>
          <w:lang w:val="en-US"/>
        </w:rPr>
      </w:pPr>
      <w:r w:rsidRPr="0798F7F6">
        <w:rPr>
          <w:lang w:val="en-US"/>
        </w:rPr>
        <w:t xml:space="preserve">provide current and accurate </w:t>
      </w:r>
      <w:proofErr w:type="gramStart"/>
      <w:r w:rsidRPr="0798F7F6">
        <w:rPr>
          <w:lang w:val="en-US"/>
        </w:rPr>
        <w:t>information;</w:t>
      </w:r>
      <w:proofErr w:type="gramEnd"/>
    </w:p>
    <w:p w14:paraId="665FCBF4" w14:textId="2DA8B760" w:rsidR="00F2708F" w:rsidRDefault="00F2708F" w:rsidP="0043055A">
      <w:pPr>
        <w:pStyle w:val="ListBullet"/>
        <w:rPr>
          <w:lang w:val="en"/>
        </w:rPr>
      </w:pPr>
      <w:r>
        <w:rPr>
          <w:lang w:val="en"/>
        </w:rPr>
        <w:t xml:space="preserve">submit a completed application, including all supporting documents, </w:t>
      </w:r>
      <w:r w:rsidRPr="00A44138">
        <w:rPr>
          <w:lang w:val="en"/>
        </w:rPr>
        <w:t xml:space="preserve">at least </w:t>
      </w:r>
      <w:r w:rsidRPr="00A44138">
        <w:rPr>
          <w:b/>
          <w:lang w:val="en"/>
        </w:rPr>
        <w:t>7 calendar days</w:t>
      </w:r>
      <w:r w:rsidRPr="00A44138">
        <w:rPr>
          <w:lang w:val="en"/>
        </w:rPr>
        <w:t xml:space="preserve"> before the </w:t>
      </w:r>
      <w:hyperlink w:anchor="_4.2_Payment_quarter" w:history="1">
        <w:r w:rsidRPr="00A44138">
          <w:rPr>
            <w:rStyle w:val="Hyperlink"/>
            <w:lang w:val="en"/>
          </w:rPr>
          <w:t>point-in-time</w:t>
        </w:r>
      </w:hyperlink>
      <w:r>
        <w:rPr>
          <w:rStyle w:val="Hyperlink"/>
          <w:lang w:val="en"/>
        </w:rPr>
        <w:t xml:space="preserve"> date</w:t>
      </w:r>
      <w:r w:rsidR="0031517A">
        <w:rPr>
          <w:rStyle w:val="Hyperlink"/>
          <w:lang w:val="en"/>
        </w:rPr>
        <w:t xml:space="preserve"> (refer to table 1 under 3.2</w:t>
      </w:r>
      <w:r w:rsidR="00554ACC">
        <w:rPr>
          <w:rStyle w:val="Hyperlink"/>
          <w:lang w:val="en"/>
        </w:rPr>
        <w:t xml:space="preserve">); </w:t>
      </w:r>
      <w:r w:rsidR="00554ACC">
        <w:rPr>
          <w:lang w:val="en"/>
        </w:rPr>
        <w:t>and</w:t>
      </w:r>
    </w:p>
    <w:p w14:paraId="04203699" w14:textId="77777777" w:rsidR="00F2708F" w:rsidRDefault="00F2708F" w:rsidP="0043055A">
      <w:pPr>
        <w:pStyle w:val="ListBullet"/>
        <w:rPr>
          <w:lang w:val="en"/>
        </w:rPr>
      </w:pPr>
      <w:r>
        <w:rPr>
          <w:lang w:val="en"/>
        </w:rPr>
        <w:t xml:space="preserve">retain </w:t>
      </w:r>
      <w:r w:rsidRPr="00C5739D">
        <w:rPr>
          <w:lang w:val="en"/>
        </w:rPr>
        <w:t xml:space="preserve">a copy of the </w:t>
      </w:r>
      <w:r w:rsidRPr="009A7551">
        <w:rPr>
          <w:lang w:val="en"/>
        </w:rPr>
        <w:t>above documents</w:t>
      </w:r>
      <w:r w:rsidRPr="00C5739D">
        <w:rPr>
          <w:lang w:val="en"/>
        </w:rPr>
        <w:t xml:space="preserve"> </w:t>
      </w:r>
      <w:r>
        <w:rPr>
          <w:lang w:val="en"/>
        </w:rPr>
        <w:t xml:space="preserve">within </w:t>
      </w:r>
      <w:r w:rsidRPr="00C5739D">
        <w:rPr>
          <w:lang w:val="en"/>
        </w:rPr>
        <w:t xml:space="preserve">practice files for </w:t>
      </w:r>
      <w:r w:rsidRPr="005B12F0">
        <w:rPr>
          <w:lang w:val="en"/>
        </w:rPr>
        <w:t>a minimum of 6 </w:t>
      </w:r>
      <w:r w:rsidRPr="00C5739D">
        <w:rPr>
          <w:lang w:val="en"/>
        </w:rPr>
        <w:t>years.</w:t>
      </w:r>
    </w:p>
    <w:p w14:paraId="62DB2EB9" w14:textId="77777777" w:rsidR="00F2708F" w:rsidRPr="00D4091C" w:rsidRDefault="00F2708F" w:rsidP="00F2708F">
      <w:pPr>
        <w:rPr>
          <w:lang w:val="en"/>
        </w:rPr>
      </w:pPr>
      <w:r>
        <w:rPr>
          <w:lang w:val="en"/>
        </w:rPr>
        <w:t xml:space="preserve">Incomplete </w:t>
      </w:r>
      <w:r w:rsidRPr="009D7C64">
        <w:rPr>
          <w:lang w:val="en"/>
        </w:rPr>
        <w:t xml:space="preserve">applications may </w:t>
      </w:r>
      <w:r>
        <w:rPr>
          <w:lang w:val="en"/>
        </w:rPr>
        <w:t xml:space="preserve">cause a </w:t>
      </w:r>
      <w:r w:rsidRPr="009D7C64">
        <w:rPr>
          <w:lang w:val="en"/>
        </w:rPr>
        <w:t>delay</w:t>
      </w:r>
      <w:r>
        <w:rPr>
          <w:lang w:val="en"/>
        </w:rPr>
        <w:t xml:space="preserve"> in</w:t>
      </w:r>
      <w:r w:rsidRPr="009D7C64">
        <w:rPr>
          <w:lang w:val="en"/>
        </w:rPr>
        <w:t xml:space="preserve"> the application process</w:t>
      </w:r>
      <w:r>
        <w:rPr>
          <w:lang w:val="en"/>
        </w:rPr>
        <w:t>.</w:t>
      </w:r>
    </w:p>
    <w:p w14:paraId="5D5473DB" w14:textId="6B42A802" w:rsidR="00CF4BBE" w:rsidRPr="00DB7020" w:rsidRDefault="00CF4BBE" w:rsidP="00830756">
      <w:pPr>
        <w:pStyle w:val="Heading2numbered"/>
      </w:pPr>
      <w:bookmarkStart w:id="218" w:name="_Toc142318449"/>
      <w:bookmarkStart w:id="219" w:name="_Toc197682360"/>
      <w:r w:rsidRPr="00547B5D">
        <w:t>Authorised</w:t>
      </w:r>
      <w:r w:rsidRPr="00DB7020">
        <w:t xml:space="preserve"> contact person</w:t>
      </w:r>
      <w:bookmarkEnd w:id="218"/>
      <w:bookmarkEnd w:id="219"/>
    </w:p>
    <w:p w14:paraId="0BED7566" w14:textId="5A43DB4A" w:rsidR="00CF4BBE" w:rsidRDefault="00CF4BBE" w:rsidP="00CF4BBE">
      <w:pPr>
        <w:rPr>
          <w:lang w:val="en"/>
        </w:rPr>
      </w:pPr>
      <w:r>
        <w:t xml:space="preserve">Practice owner(s) nominate authorised </w:t>
      </w:r>
      <w:r w:rsidRPr="005273D7">
        <w:t>contact person</w:t>
      </w:r>
      <w:r w:rsidR="00920E4B">
        <w:t>(</w:t>
      </w:r>
      <w:r>
        <w:t>s</w:t>
      </w:r>
      <w:r w:rsidR="00920E4B">
        <w:t>)</w:t>
      </w:r>
      <w:r>
        <w:t xml:space="preserve"> t</w:t>
      </w:r>
      <w:r>
        <w:rPr>
          <w:lang w:val="en"/>
        </w:rPr>
        <w:t>o</w:t>
      </w:r>
      <w:r w:rsidRPr="00161B68">
        <w:rPr>
          <w:lang w:val="en"/>
        </w:rPr>
        <w:t xml:space="preserve"> act on behalf of the practice </w:t>
      </w:r>
      <w:r>
        <w:rPr>
          <w:lang w:val="en"/>
        </w:rPr>
        <w:t>in relation to</w:t>
      </w:r>
      <w:r w:rsidRPr="00161B68">
        <w:rPr>
          <w:lang w:val="en"/>
        </w:rPr>
        <w:t xml:space="preserve"> the WIP</w:t>
      </w:r>
      <w:r>
        <w:t xml:space="preserve"> </w:t>
      </w:r>
      <w:r w:rsidR="00054CFB">
        <w:t>-</w:t>
      </w:r>
      <w:r>
        <w:t xml:space="preserve"> </w:t>
      </w:r>
      <w:r w:rsidRPr="00161B68">
        <w:rPr>
          <w:lang w:val="en"/>
        </w:rPr>
        <w:t>Practice Stream</w:t>
      </w:r>
      <w:r>
        <w:rPr>
          <w:lang w:val="en"/>
        </w:rPr>
        <w:t>.</w:t>
      </w:r>
    </w:p>
    <w:p w14:paraId="0DCBA6A6" w14:textId="589E4E4D" w:rsidR="0031517A" w:rsidRDefault="0798F7F6" w:rsidP="0798F7F6">
      <w:pPr>
        <w:rPr>
          <w:lang w:val="en-US"/>
        </w:rPr>
      </w:pPr>
      <w:r w:rsidRPr="0798F7F6">
        <w:rPr>
          <w:lang w:val="en-US"/>
        </w:rPr>
        <w:t xml:space="preserve">Applications must include the details of one primary </w:t>
      </w:r>
      <w:proofErr w:type="spellStart"/>
      <w:r w:rsidRPr="0798F7F6">
        <w:rPr>
          <w:lang w:val="en-US"/>
        </w:rPr>
        <w:t>authorised</w:t>
      </w:r>
      <w:proofErr w:type="spellEnd"/>
      <w:r w:rsidRPr="0798F7F6">
        <w:rPr>
          <w:lang w:val="en-US"/>
        </w:rPr>
        <w:t xml:space="preserve"> contact person and can include up to four additional secondary </w:t>
      </w:r>
      <w:proofErr w:type="spellStart"/>
      <w:r w:rsidRPr="0798F7F6">
        <w:rPr>
          <w:lang w:val="en-US"/>
        </w:rPr>
        <w:t>authorised</w:t>
      </w:r>
      <w:proofErr w:type="spellEnd"/>
      <w:r w:rsidRPr="0798F7F6">
        <w:rPr>
          <w:lang w:val="en-US"/>
        </w:rPr>
        <w:t xml:space="preserve"> contact persons.</w:t>
      </w:r>
    </w:p>
    <w:p w14:paraId="13D33897" w14:textId="77777777" w:rsidR="00CF4BBE" w:rsidRDefault="0798F7F6" w:rsidP="0798F7F6">
      <w:pPr>
        <w:rPr>
          <w:lang w:val="en-US"/>
        </w:rPr>
      </w:pPr>
      <w:r w:rsidRPr="0798F7F6">
        <w:rPr>
          <w:lang w:val="en-US"/>
        </w:rPr>
        <w:t xml:space="preserve">The primary </w:t>
      </w:r>
      <w:proofErr w:type="spellStart"/>
      <w:r w:rsidRPr="0798F7F6">
        <w:rPr>
          <w:lang w:val="en-US"/>
        </w:rPr>
        <w:t>authorised</w:t>
      </w:r>
      <w:proofErr w:type="spellEnd"/>
      <w:r w:rsidRPr="0798F7F6">
        <w:rPr>
          <w:lang w:val="en-US"/>
        </w:rPr>
        <w:t xml:space="preserve"> contact person is responsible for:</w:t>
      </w:r>
    </w:p>
    <w:p w14:paraId="292EAFB4" w14:textId="1B2697E8" w:rsidR="00CF4BBE" w:rsidRDefault="00CF4BBE" w:rsidP="0043055A">
      <w:pPr>
        <w:pStyle w:val="ListBullet"/>
        <w:rPr>
          <w:lang w:val="en"/>
        </w:rPr>
      </w:pPr>
      <w:r>
        <w:rPr>
          <w:lang w:val="en"/>
        </w:rPr>
        <w:t xml:space="preserve">receiving all communications in relation to the WIP </w:t>
      </w:r>
      <w:r w:rsidR="00054CFB">
        <w:rPr>
          <w:lang w:val="en"/>
        </w:rPr>
        <w:t>-</w:t>
      </w:r>
      <w:r>
        <w:rPr>
          <w:lang w:val="en"/>
        </w:rPr>
        <w:t xml:space="preserve"> Practice </w:t>
      </w:r>
      <w:proofErr w:type="gramStart"/>
      <w:r>
        <w:rPr>
          <w:lang w:val="en"/>
        </w:rPr>
        <w:t>Stream</w:t>
      </w:r>
      <w:r w:rsidR="00920E4B">
        <w:rPr>
          <w:lang w:val="en"/>
        </w:rPr>
        <w:t>;</w:t>
      </w:r>
      <w:proofErr w:type="gramEnd"/>
    </w:p>
    <w:p w14:paraId="31AAA37C" w14:textId="02812625" w:rsidR="00F2708F" w:rsidRDefault="0798F7F6" w:rsidP="0798F7F6">
      <w:pPr>
        <w:pStyle w:val="ListBullet"/>
        <w:rPr>
          <w:lang w:val="en-US"/>
        </w:rPr>
      </w:pPr>
      <w:r w:rsidRPr="0798F7F6">
        <w:rPr>
          <w:lang w:val="en-US"/>
        </w:rPr>
        <w:t>advising Services Australia of any changes in participation; and</w:t>
      </w:r>
    </w:p>
    <w:p w14:paraId="7A4EA56F" w14:textId="77777777" w:rsidR="00F2708F" w:rsidRDefault="0798F7F6" w:rsidP="0798F7F6">
      <w:pPr>
        <w:pStyle w:val="ListBullet"/>
        <w:rPr>
          <w:lang w:val="en-US"/>
        </w:rPr>
      </w:pPr>
      <w:r w:rsidRPr="0798F7F6">
        <w:rPr>
          <w:lang w:val="en-US"/>
        </w:rPr>
        <w:t>updating practice information, including bank account details.</w:t>
      </w:r>
    </w:p>
    <w:p w14:paraId="35321A89" w14:textId="63EF5CAD" w:rsidR="00CF4BBE" w:rsidRPr="00284D96" w:rsidRDefault="0798F7F6" w:rsidP="0798F7F6">
      <w:pPr>
        <w:rPr>
          <w:lang w:val="en-US"/>
        </w:rPr>
      </w:pPr>
      <w:r w:rsidRPr="0798F7F6">
        <w:rPr>
          <w:lang w:val="en-US"/>
        </w:rPr>
        <w:t xml:space="preserve">All </w:t>
      </w:r>
      <w:proofErr w:type="spellStart"/>
      <w:r w:rsidRPr="0798F7F6">
        <w:rPr>
          <w:lang w:val="en-US"/>
        </w:rPr>
        <w:t>authorised</w:t>
      </w:r>
      <w:proofErr w:type="spellEnd"/>
      <w:r w:rsidRPr="0798F7F6">
        <w:rPr>
          <w:lang w:val="en-US"/>
        </w:rPr>
        <w:t xml:space="preserve"> contact person(s) </w:t>
      </w:r>
      <w:proofErr w:type="gramStart"/>
      <w:r w:rsidRPr="0798F7F6">
        <w:rPr>
          <w:lang w:val="en-US"/>
        </w:rPr>
        <w:t>are</w:t>
      </w:r>
      <w:proofErr w:type="gramEnd"/>
      <w:r w:rsidRPr="0798F7F6">
        <w:rPr>
          <w:lang w:val="en-US"/>
        </w:rPr>
        <w:t xml:space="preserve"> responsible for:</w:t>
      </w:r>
    </w:p>
    <w:p w14:paraId="38BE8A73" w14:textId="77777777" w:rsidR="00F2708F" w:rsidRDefault="00F2708F" w:rsidP="0043055A">
      <w:pPr>
        <w:pStyle w:val="ListBullet"/>
      </w:pPr>
      <w:r w:rsidRPr="00F15D28">
        <w:t xml:space="preserve">advising </w:t>
      </w:r>
      <w:r>
        <w:t xml:space="preserve">Services Australia </w:t>
      </w:r>
      <w:r w:rsidRPr="00F15D28">
        <w:t>of any changes in participation</w:t>
      </w:r>
      <w:r>
        <w:t>; and</w:t>
      </w:r>
    </w:p>
    <w:p w14:paraId="00D23778" w14:textId="77777777" w:rsidR="00F2708F" w:rsidRDefault="00F2708F" w:rsidP="0043055A">
      <w:pPr>
        <w:pStyle w:val="ListBullet"/>
      </w:pPr>
      <w:r>
        <w:t>updating practice information, including bank account details.</w:t>
      </w:r>
    </w:p>
    <w:p w14:paraId="0ACE53E8" w14:textId="522ADD0F" w:rsidR="00CF4BBE" w:rsidRDefault="00CF4BBE" w:rsidP="00CF4BBE">
      <w:r w:rsidRPr="00F15D28">
        <w:t xml:space="preserve">All forms </w:t>
      </w:r>
      <w:r w:rsidR="00F2708F">
        <w:t>submitted</w:t>
      </w:r>
      <w:r w:rsidR="00F2708F" w:rsidRPr="00F15D28">
        <w:t xml:space="preserve"> </w:t>
      </w:r>
      <w:r w:rsidRPr="00F15D28">
        <w:t xml:space="preserve">by </w:t>
      </w:r>
      <w:r>
        <w:t xml:space="preserve">an </w:t>
      </w:r>
      <w:r w:rsidRPr="00F15D28">
        <w:t>authorised contact person will be taken to be completed and authorised on behalf of the practice and the practice owner(s).</w:t>
      </w:r>
    </w:p>
    <w:p w14:paraId="28759FA8" w14:textId="438D6AA0" w:rsidR="00CF4BBE" w:rsidRDefault="00CF4BBE" w:rsidP="00CF4BBE">
      <w:r>
        <w:lastRenderedPageBreak/>
        <w:t>O</w:t>
      </w:r>
      <w:r w:rsidRPr="005273D7">
        <w:t>nly the current owner</w:t>
      </w:r>
      <w:r>
        <w:t>(s)</w:t>
      </w:r>
      <w:r w:rsidRPr="005273D7">
        <w:t xml:space="preserve"> or authorised contact person</w:t>
      </w:r>
      <w:r>
        <w:t>(s) will be contacted in relation to the</w:t>
      </w:r>
      <w:r w:rsidRPr="00B23875">
        <w:t xml:space="preserve"> </w:t>
      </w:r>
      <w:r>
        <w:t xml:space="preserve">WIP </w:t>
      </w:r>
      <w:r w:rsidR="00054CFB">
        <w:t>-</w:t>
      </w:r>
      <w:r>
        <w:t xml:space="preserve"> Practice Stream</w:t>
      </w:r>
      <w:r w:rsidRPr="005273D7">
        <w:t>.</w:t>
      </w:r>
      <w:r>
        <w:t xml:space="preserve"> </w:t>
      </w:r>
    </w:p>
    <w:p w14:paraId="20084CEC" w14:textId="71FD40F0" w:rsidR="00F2708F" w:rsidRPr="003D119A" w:rsidRDefault="00F2708F" w:rsidP="00906B7D">
      <w:r w:rsidRPr="00F2708F">
        <w:t xml:space="preserve">It is the responsibility of the </w:t>
      </w:r>
      <w:r w:rsidR="003B1FFE">
        <w:t>p</w:t>
      </w:r>
      <w:r w:rsidRPr="00F2708F">
        <w:t>ractice owner</w:t>
      </w:r>
      <w:r w:rsidR="003B1FFE">
        <w:t>(</w:t>
      </w:r>
      <w:r w:rsidRPr="00F2708F">
        <w:t>s</w:t>
      </w:r>
      <w:r w:rsidR="003B1FFE">
        <w:t>)</w:t>
      </w:r>
      <w:r w:rsidRPr="00F2708F">
        <w:t xml:space="preserve"> to regularly check that the details of the authorised contact person(s) are correct. If details are not kept up to date, practices may not receive important information that requires action. This could result in payments being withheld or the practice being withdrawn from the program. </w:t>
      </w:r>
      <w:r>
        <w:t xml:space="preserve">It is the responsibility of </w:t>
      </w:r>
      <w:r w:rsidR="00CB09A3">
        <w:t xml:space="preserve">the </w:t>
      </w:r>
      <w:r w:rsidR="00AA33F2">
        <w:t xml:space="preserve">practice owner </w:t>
      </w:r>
      <w:r w:rsidR="00A77CEE">
        <w:t xml:space="preserve">to </w:t>
      </w:r>
      <w:r w:rsidR="00227B30">
        <w:t>ensure they meet</w:t>
      </w:r>
      <w:r w:rsidR="00A77CEE">
        <w:t xml:space="preserve"> the WIP </w:t>
      </w:r>
      <w:r w:rsidR="00054CFB">
        <w:t>-</w:t>
      </w:r>
      <w:r w:rsidR="00A77CEE">
        <w:t xml:space="preserve"> Practice Stream requirements</w:t>
      </w:r>
      <w:r>
        <w:t>.</w:t>
      </w:r>
    </w:p>
    <w:p w14:paraId="586E63E2" w14:textId="77310E9A" w:rsidR="00CF4BBE" w:rsidRPr="00DB7020" w:rsidRDefault="00CF4BBE" w:rsidP="00BC4F08">
      <w:pPr>
        <w:pStyle w:val="Heading2numbered"/>
      </w:pPr>
      <w:bookmarkStart w:id="220" w:name="_Toc529284551"/>
      <w:bookmarkStart w:id="221" w:name="_Toc529284782"/>
      <w:bookmarkStart w:id="222" w:name="_Toc25157837"/>
      <w:bookmarkStart w:id="223" w:name="_Toc142318450"/>
      <w:bookmarkStart w:id="224" w:name="_Toc197682361"/>
      <w:r w:rsidRPr="00DB7020">
        <w:t>Supporting documentation</w:t>
      </w:r>
      <w:bookmarkEnd w:id="220"/>
      <w:bookmarkEnd w:id="221"/>
      <w:bookmarkEnd w:id="222"/>
      <w:bookmarkEnd w:id="223"/>
      <w:bookmarkEnd w:id="224"/>
      <w:r w:rsidRPr="00DB7020">
        <w:t xml:space="preserve"> </w:t>
      </w:r>
    </w:p>
    <w:p w14:paraId="1DFAA7D3" w14:textId="3D5A7EEC" w:rsidR="00CF4BBE" w:rsidRPr="0030672A" w:rsidRDefault="00CF4BBE" w:rsidP="00CF4BBE">
      <w:r w:rsidRPr="009B25D9">
        <w:t xml:space="preserve">Practices can submit supporting documentation as an attachment to their application through </w:t>
      </w:r>
      <w:hyperlink r:id="rId26" w:history="1">
        <w:r w:rsidRPr="00D06BDF">
          <w:rPr>
            <w:rStyle w:val="Hyperlink"/>
            <w:lang w:val="en"/>
          </w:rPr>
          <w:t>HPOS</w:t>
        </w:r>
      </w:hyperlink>
      <w:r w:rsidRPr="00D450BB">
        <w:t xml:space="preserve"> or</w:t>
      </w:r>
      <w:r>
        <w:t xml:space="preserve"> </w:t>
      </w:r>
      <w:r w:rsidR="0028694D" w:rsidRPr="005B437F">
        <w:rPr>
          <w:rStyle w:val="Hyperlink"/>
          <w:color w:val="auto"/>
          <w:u w:val="none"/>
        </w:rPr>
        <w:t>in a way accepted by Services Australia.</w:t>
      </w:r>
    </w:p>
    <w:p w14:paraId="34051182" w14:textId="77777777" w:rsidR="00CF4BBE" w:rsidRDefault="00CF4BBE" w:rsidP="00CF4BBE">
      <w:r w:rsidRPr="00D8377F">
        <w:t>Practices must provide</w:t>
      </w:r>
      <w:r>
        <w:t>:</w:t>
      </w:r>
    </w:p>
    <w:p w14:paraId="297566D9" w14:textId="797EB48D" w:rsidR="00F2708F" w:rsidRPr="00D8377F" w:rsidRDefault="00F2708F" w:rsidP="0043055A">
      <w:pPr>
        <w:pStyle w:val="ListBullet"/>
      </w:pPr>
      <w:r w:rsidRPr="00D8377F">
        <w:t xml:space="preserve">an accreditation or registered for accreditation certificate from an </w:t>
      </w:r>
      <w:hyperlink r:id="rId27" w:anchor="approved-accrediting-agencies" w:history="1">
        <w:r w:rsidRPr="00E070FC">
          <w:rPr>
            <w:rStyle w:val="Hyperlink"/>
          </w:rPr>
          <w:t>approved accrediting agency</w:t>
        </w:r>
      </w:hyperlink>
      <w:r w:rsidR="0068189F">
        <w:t>;</w:t>
      </w:r>
    </w:p>
    <w:p w14:paraId="17F753F3" w14:textId="407B32EE" w:rsidR="00F2708F" w:rsidRDefault="00F2708F" w:rsidP="0043055A">
      <w:pPr>
        <w:pStyle w:val="ListBullet"/>
      </w:pPr>
      <w:r>
        <w:t xml:space="preserve">a </w:t>
      </w:r>
      <w:hyperlink r:id="rId28" w:history="1">
        <w:r w:rsidRPr="001C1AD0">
          <w:rPr>
            <w:rStyle w:val="Hyperlink"/>
          </w:rPr>
          <w:t xml:space="preserve">Practice Incentives </w:t>
        </w:r>
        <w:r w:rsidR="00E8136D">
          <w:rPr>
            <w:rStyle w:val="Hyperlink"/>
          </w:rPr>
          <w:t>P</w:t>
        </w:r>
        <w:r w:rsidRPr="001C1AD0">
          <w:rPr>
            <w:rStyle w:val="Hyperlink"/>
          </w:rPr>
          <w:t>ractice ownership details and declaration</w:t>
        </w:r>
        <w:r w:rsidRPr="00D12F07">
          <w:rPr>
            <w:rStyle w:val="Hyperlink"/>
          </w:rPr>
          <w:t xml:space="preserve"> form (IP008)</w:t>
        </w:r>
      </w:hyperlink>
      <w:r>
        <w:t>, for applications submitted through HPOS only</w:t>
      </w:r>
      <w:r w:rsidR="0068189F">
        <w:t>;</w:t>
      </w:r>
      <w:r>
        <w:t xml:space="preserve"> and</w:t>
      </w:r>
    </w:p>
    <w:p w14:paraId="065C3ED6" w14:textId="2FB326C0" w:rsidR="00F2708F" w:rsidRDefault="00F2708F" w:rsidP="0043055A">
      <w:pPr>
        <w:pStyle w:val="ListBullet"/>
      </w:pPr>
      <w:r w:rsidRPr="00D8377F">
        <w:t xml:space="preserve">other supporting documentation as per the requirements </w:t>
      </w:r>
      <w:r>
        <w:t>of</w:t>
      </w:r>
      <w:r w:rsidRPr="00D8377F">
        <w:t xml:space="preserve"> the application form. </w:t>
      </w:r>
    </w:p>
    <w:p w14:paraId="2B098CA0" w14:textId="77777777" w:rsidR="00F2708F" w:rsidRPr="00D50E85" w:rsidRDefault="00F2708F" w:rsidP="00F2708F">
      <w:r w:rsidRPr="006166BD">
        <w:t xml:space="preserve">Practices </w:t>
      </w:r>
      <w:r w:rsidRPr="006166BD">
        <w:rPr>
          <w:b/>
          <w:bCs/>
        </w:rPr>
        <w:t>may</w:t>
      </w:r>
      <w:r>
        <w:rPr>
          <w:b/>
          <w:bCs/>
        </w:rPr>
        <w:t>, upon request,</w:t>
      </w:r>
      <w:r w:rsidRPr="006166BD">
        <w:t xml:space="preserve"> be asked to provide: </w:t>
      </w:r>
    </w:p>
    <w:p w14:paraId="06E2718E" w14:textId="406D460D" w:rsidR="00F2708F" w:rsidRDefault="00F2708F" w:rsidP="0043055A">
      <w:pPr>
        <w:pStyle w:val="ListBullet"/>
      </w:pPr>
      <w:r w:rsidRPr="006166BD">
        <w:t xml:space="preserve">a </w:t>
      </w:r>
      <w:r>
        <w:t>c</w:t>
      </w:r>
      <w:r w:rsidRPr="006166BD">
        <w:t xml:space="preserve">ertificate of </w:t>
      </w:r>
      <w:r>
        <w:t>c</w:t>
      </w:r>
      <w:r w:rsidRPr="006166BD">
        <w:t xml:space="preserve">urrency for all </w:t>
      </w:r>
      <w:r>
        <w:t>applicable</w:t>
      </w:r>
      <w:r w:rsidRPr="006166BD">
        <w:t xml:space="preserve"> public liability insurance and professional indemnity insurance policies</w:t>
      </w:r>
      <w:r>
        <w:t>, to confirm eligibility requirements</w:t>
      </w:r>
      <w:r w:rsidRPr="006166BD">
        <w:t xml:space="preserve"> within the timeframe nominated by Health.</w:t>
      </w:r>
    </w:p>
    <w:p w14:paraId="71C41201" w14:textId="300A1804" w:rsidR="00CF4BBE" w:rsidRPr="00DB7020" w:rsidRDefault="00CF4BBE" w:rsidP="00BC4F08">
      <w:pPr>
        <w:pStyle w:val="Heading2numbered"/>
      </w:pPr>
      <w:bookmarkStart w:id="225" w:name="_Toc529284552"/>
      <w:bookmarkStart w:id="226" w:name="_Toc529284783"/>
      <w:bookmarkStart w:id="227" w:name="_Toc25157838"/>
      <w:bookmarkStart w:id="228" w:name="_Toc142318451"/>
      <w:bookmarkStart w:id="229" w:name="_Toc197682362"/>
      <w:r w:rsidRPr="00DB7020">
        <w:t>Assessment of applications</w:t>
      </w:r>
      <w:bookmarkEnd w:id="225"/>
      <w:bookmarkEnd w:id="226"/>
      <w:bookmarkEnd w:id="227"/>
      <w:bookmarkEnd w:id="228"/>
      <w:bookmarkEnd w:id="229"/>
    </w:p>
    <w:p w14:paraId="64AB5462" w14:textId="0796C640" w:rsidR="00E814DA" w:rsidRDefault="00E814DA" w:rsidP="00E814DA">
      <w:r>
        <w:t>Services Australia</w:t>
      </w:r>
      <w:r w:rsidRPr="00575802">
        <w:t xml:space="preserve"> </w:t>
      </w:r>
      <w:r w:rsidRPr="005273D7">
        <w:t xml:space="preserve">will assess </w:t>
      </w:r>
      <w:r>
        <w:t xml:space="preserve">practice </w:t>
      </w:r>
      <w:r w:rsidRPr="005273D7">
        <w:t xml:space="preserve">applications and </w:t>
      </w:r>
      <w:r>
        <w:t>advise the primary authorised contact in writing if it is eligible for the</w:t>
      </w:r>
      <w:r w:rsidRPr="00DB78A4">
        <w:t xml:space="preserve"> </w:t>
      </w:r>
      <w:r>
        <w:t xml:space="preserve">WIP </w:t>
      </w:r>
      <w:r w:rsidR="00054CFB">
        <w:t>-</w:t>
      </w:r>
      <w:r>
        <w:t xml:space="preserve"> Practice Stream</w:t>
      </w:r>
      <w:r w:rsidRPr="00546EA9">
        <w:t xml:space="preserve">. </w:t>
      </w:r>
    </w:p>
    <w:p w14:paraId="1BD12250" w14:textId="77777777" w:rsidR="00E814DA" w:rsidRDefault="00E814DA" w:rsidP="00E814DA">
      <w:r>
        <w:t xml:space="preserve">If Services Australia asks for more </w:t>
      </w:r>
      <w:r w:rsidRPr="00546EA9">
        <w:t>information</w:t>
      </w:r>
      <w:r>
        <w:t xml:space="preserve">, the required information must be provided within 28 calendar </w:t>
      </w:r>
      <w:r w:rsidRPr="00546EA9">
        <w:t xml:space="preserve">days </w:t>
      </w:r>
      <w:r>
        <w:t>from the date of the letter.</w:t>
      </w:r>
    </w:p>
    <w:p w14:paraId="694FEBD2" w14:textId="77777777" w:rsidR="00806897" w:rsidRDefault="00F2708F" w:rsidP="008934B0">
      <w:r w:rsidRPr="00906B7D">
        <w:t xml:space="preserve">If </w:t>
      </w:r>
      <w:r w:rsidRPr="00D96E4C">
        <w:t>Services Australia</w:t>
      </w:r>
      <w:r w:rsidRPr="00E31430">
        <w:t xml:space="preserve"> </w:t>
      </w:r>
      <w:r w:rsidR="00363FF8">
        <w:t>request</w:t>
      </w:r>
      <w:r w:rsidRPr="00E31430">
        <w:t xml:space="preserve"> more </w:t>
      </w:r>
      <w:r w:rsidRPr="003A35E5">
        <w:t>information</w:t>
      </w:r>
      <w:r w:rsidR="0068189F">
        <w:t xml:space="preserve"> to assess an application</w:t>
      </w:r>
      <w:r w:rsidRPr="00D93A2A">
        <w:t xml:space="preserve">, the required information must be provided </w:t>
      </w:r>
      <w:r w:rsidRPr="00D93A2A">
        <w:rPr>
          <w:lang w:val="en"/>
        </w:rPr>
        <w:t xml:space="preserve">at least </w:t>
      </w:r>
      <w:r w:rsidRPr="00D93A2A">
        <w:rPr>
          <w:b/>
          <w:lang w:val="en"/>
        </w:rPr>
        <w:t>7 calendar days</w:t>
      </w:r>
      <w:r w:rsidRPr="00D93A2A">
        <w:rPr>
          <w:lang w:val="en"/>
        </w:rPr>
        <w:t xml:space="preserve"> before the </w:t>
      </w:r>
      <w:hyperlink w:anchor="_4.2_Payment_quarter" w:history="1">
        <w:r w:rsidRPr="00D96E4C">
          <w:rPr>
            <w:rStyle w:val="Hyperlink"/>
            <w:lang w:val="en"/>
          </w:rPr>
          <w:t>point-in-time</w:t>
        </w:r>
      </w:hyperlink>
      <w:r w:rsidRPr="00906B7D">
        <w:rPr>
          <w:rStyle w:val="Hyperlink"/>
          <w:lang w:val="en"/>
        </w:rPr>
        <w:t xml:space="preserve"> date</w:t>
      </w:r>
      <w:r w:rsidRPr="00D96E4C">
        <w:rPr>
          <w:rStyle w:val="Hyperlink"/>
          <w:lang w:val="en"/>
        </w:rPr>
        <w:t>.</w:t>
      </w:r>
      <w:r w:rsidRPr="00E31430">
        <w:t xml:space="preserve"> If the req</w:t>
      </w:r>
      <w:r w:rsidRPr="003A35E5">
        <w:t>uired</w:t>
      </w:r>
      <w:r w:rsidRPr="00D93A2A">
        <w:t xml:space="preserve"> information is not provided within the specified timeframe</w:t>
      </w:r>
      <w:r w:rsidR="00363FF8">
        <w:t>,</w:t>
      </w:r>
      <w:r w:rsidRPr="00D93A2A">
        <w:t xml:space="preserve"> a practice may not be eligible to receive an incentive payment for the relevant payment quarter.  </w:t>
      </w:r>
    </w:p>
    <w:p w14:paraId="631B7C40" w14:textId="75502EA6" w:rsidR="00C71821" w:rsidRPr="008934B0" w:rsidRDefault="00F2708F" w:rsidP="008934B0">
      <w:r w:rsidRPr="00D93A2A">
        <w:t xml:space="preserve">Practices are eligible to participate in the WIP </w:t>
      </w:r>
      <w:r w:rsidR="00054CFB">
        <w:t>-</w:t>
      </w:r>
      <w:r w:rsidRPr="00D93A2A">
        <w:t xml:space="preserve"> Practice Stream from the date of approval, not from the date the application is lodged.</w:t>
      </w:r>
      <w:bookmarkStart w:id="230" w:name="_Toc25157839"/>
    </w:p>
    <w:p w14:paraId="32E69449" w14:textId="648FB73C" w:rsidR="00CF4BBE" w:rsidRDefault="00CF4BBE" w:rsidP="00D60DD3">
      <w:pPr>
        <w:pStyle w:val="Heading1numbered"/>
      </w:pPr>
      <w:bookmarkStart w:id="231" w:name="_Toc142318452"/>
      <w:bookmarkStart w:id="232" w:name="_Toc529284553"/>
      <w:bookmarkStart w:id="233" w:name="_Toc529284784"/>
      <w:bookmarkStart w:id="234" w:name="_Toc25157848"/>
      <w:bookmarkStart w:id="235" w:name="_Toc197682363"/>
      <w:bookmarkEnd w:id="230"/>
      <w:r>
        <w:lastRenderedPageBreak/>
        <w:t xml:space="preserve">WIP </w:t>
      </w:r>
      <w:r w:rsidR="00054CFB">
        <w:t>-</w:t>
      </w:r>
      <w:r>
        <w:t xml:space="preserve"> Practice Stream payments</w:t>
      </w:r>
      <w:bookmarkEnd w:id="231"/>
      <w:bookmarkEnd w:id="232"/>
      <w:bookmarkEnd w:id="233"/>
      <w:bookmarkEnd w:id="234"/>
      <w:bookmarkEnd w:id="235"/>
      <w:r>
        <w:t xml:space="preserve"> </w:t>
      </w:r>
    </w:p>
    <w:p w14:paraId="52D383DE" w14:textId="215F4B05" w:rsidR="00CF4BBE" w:rsidRPr="005F75A9" w:rsidRDefault="00CF4BBE" w:rsidP="00CF4BBE">
      <w:r>
        <w:t xml:space="preserve">WIP </w:t>
      </w:r>
      <w:r w:rsidR="00054CFB">
        <w:t>-</w:t>
      </w:r>
      <w:r>
        <w:t xml:space="preserve"> Practice Stream payments will be</w:t>
      </w:r>
      <w:r w:rsidRPr="00D165F9">
        <w:t xml:space="preserve"> made by electronic funds t</w:t>
      </w:r>
      <w:r>
        <w:t>ransfer to the account specified on the practice’s application, unless advised otherwise</w:t>
      </w:r>
      <w:r w:rsidRPr="005F75A9">
        <w:t xml:space="preserve">. </w:t>
      </w:r>
    </w:p>
    <w:p w14:paraId="1776C334" w14:textId="586862EE" w:rsidR="00CF4BBE" w:rsidRDefault="00CF4BBE" w:rsidP="00CF4BBE">
      <w:r>
        <w:t xml:space="preserve">WIP </w:t>
      </w:r>
      <w:r w:rsidR="00054CFB">
        <w:t>-</w:t>
      </w:r>
      <w:r>
        <w:t xml:space="preserve"> Practice Stream </w:t>
      </w:r>
      <w:r w:rsidRPr="00AE246E">
        <w:t>payments</w:t>
      </w:r>
      <w:r>
        <w:t xml:space="preserve"> do not attract goods and services t</w:t>
      </w:r>
      <w:r w:rsidRPr="00AE246E">
        <w:t>ax</w:t>
      </w:r>
      <w:r>
        <w:t xml:space="preserve"> (GST)</w:t>
      </w:r>
      <w:r w:rsidRPr="00AE246E">
        <w:t>.</w:t>
      </w:r>
    </w:p>
    <w:p w14:paraId="422B566A" w14:textId="350D4173" w:rsidR="00CF4BBE" w:rsidRDefault="00CF4BBE" w:rsidP="00CF4BBE">
      <w:pPr>
        <w:rPr>
          <w:lang w:val="en"/>
        </w:rPr>
      </w:pPr>
      <w:r w:rsidRPr="005F75A9">
        <w:rPr>
          <w:lang w:val="en"/>
        </w:rPr>
        <w:t xml:space="preserve">Medicare and </w:t>
      </w:r>
      <w:r w:rsidR="00D84B00" w:rsidRPr="00E70E57">
        <w:rPr>
          <w:lang w:val="en"/>
        </w:rPr>
        <w:t>Department of Veterans’</w:t>
      </w:r>
      <w:r w:rsidR="00D84B00">
        <w:rPr>
          <w:lang w:val="en"/>
        </w:rPr>
        <w:t xml:space="preserve"> Affairs (DVA) </w:t>
      </w:r>
      <w:r w:rsidRPr="005F75A9">
        <w:rPr>
          <w:lang w:val="en"/>
        </w:rPr>
        <w:t xml:space="preserve">data </w:t>
      </w:r>
      <w:r w:rsidRPr="00F21D05">
        <w:rPr>
          <w:lang w:val="en"/>
        </w:rPr>
        <w:t xml:space="preserve">is linked to the provider numbers </w:t>
      </w:r>
      <w:r>
        <w:rPr>
          <w:lang w:val="en"/>
        </w:rPr>
        <w:t xml:space="preserve">of each general practitioner and nurse practitioner </w:t>
      </w:r>
      <w:r w:rsidRPr="00F21D05">
        <w:rPr>
          <w:lang w:val="en"/>
        </w:rPr>
        <w:t>specified on the practice's application, a</w:t>
      </w:r>
      <w:r>
        <w:rPr>
          <w:lang w:val="en"/>
        </w:rPr>
        <w:t xml:space="preserve">nd any subsequent amendments. If </w:t>
      </w:r>
      <w:r w:rsidRPr="00F21D05">
        <w:rPr>
          <w:lang w:val="en"/>
        </w:rPr>
        <w:t>a practice does not provide</w:t>
      </w:r>
      <w:r w:rsidRPr="005F75A9">
        <w:rPr>
          <w:lang w:val="en"/>
        </w:rPr>
        <w:t xml:space="preserve"> </w:t>
      </w:r>
      <w:r>
        <w:rPr>
          <w:lang w:val="en"/>
        </w:rPr>
        <w:t>Services Australia</w:t>
      </w:r>
      <w:r w:rsidRPr="005F75A9">
        <w:rPr>
          <w:lang w:val="en"/>
        </w:rPr>
        <w:t xml:space="preserve"> </w:t>
      </w:r>
      <w:r w:rsidRPr="00F21D05">
        <w:rPr>
          <w:lang w:val="en"/>
        </w:rPr>
        <w:t>with details of new practitioners</w:t>
      </w:r>
      <w:r w:rsidR="00857022">
        <w:rPr>
          <w:lang w:val="en"/>
        </w:rPr>
        <w:t>,</w:t>
      </w:r>
      <w:r w:rsidRPr="00F21D05">
        <w:rPr>
          <w:lang w:val="en"/>
        </w:rPr>
        <w:t xml:space="preserve"> it will not receive payments associated with the services provided by those new practitioners.</w:t>
      </w:r>
    </w:p>
    <w:p w14:paraId="757AE890" w14:textId="3C53CF2D" w:rsidR="00E814DA" w:rsidRPr="005F75A9" w:rsidRDefault="00CF4BBE" w:rsidP="00CF4BBE">
      <w:r w:rsidRPr="005F75A9">
        <w:t xml:space="preserve">See Part </w:t>
      </w:r>
      <w:r w:rsidR="00CB497A">
        <w:t>B</w:t>
      </w:r>
      <w:r w:rsidRPr="005F75A9">
        <w:t xml:space="preserve">, </w:t>
      </w:r>
      <w:hyperlink w:anchor="_5.2_Changes_to" w:history="1">
        <w:r w:rsidRPr="00CB497A">
          <w:rPr>
            <w:rStyle w:val="Hyperlink"/>
          </w:rPr>
          <w:t xml:space="preserve">Section </w:t>
        </w:r>
        <w:r w:rsidR="00CB497A" w:rsidRPr="00CB497A">
          <w:rPr>
            <w:rStyle w:val="Hyperlink"/>
          </w:rPr>
          <w:t>5</w:t>
        </w:r>
        <w:r w:rsidRPr="00CB497A">
          <w:rPr>
            <w:rStyle w:val="Hyperlink"/>
          </w:rPr>
          <w:t>.2</w:t>
        </w:r>
      </w:hyperlink>
      <w:r w:rsidRPr="005F75A9">
        <w:t xml:space="preserve"> ‘Changes to practice arrangements’ to change practice details including changes to the nominated bank account and changes to practitioners. </w:t>
      </w:r>
    </w:p>
    <w:p w14:paraId="56DCC426" w14:textId="00BA790B" w:rsidR="00CF4BBE" w:rsidRPr="00643E95" w:rsidRDefault="00CF4BBE" w:rsidP="00BC4F08">
      <w:pPr>
        <w:pStyle w:val="Heading2numbered"/>
      </w:pPr>
      <w:bookmarkStart w:id="236" w:name="_Toc25157849"/>
      <w:bookmarkStart w:id="237" w:name="_Toc142318453"/>
      <w:bookmarkStart w:id="238" w:name="_Toc197682364"/>
      <w:r w:rsidRPr="00643E95">
        <w:t>Types of payments</w:t>
      </w:r>
      <w:bookmarkEnd w:id="236"/>
      <w:bookmarkEnd w:id="237"/>
      <w:bookmarkEnd w:id="238"/>
    </w:p>
    <w:p w14:paraId="6E5DB946" w14:textId="5C1FA3BC" w:rsidR="00CF4BBE" w:rsidRDefault="00CF4BBE" w:rsidP="00CF4BBE">
      <w:r>
        <w:t>There are three payments available under the</w:t>
      </w:r>
      <w:r w:rsidRPr="00BA4B54">
        <w:t xml:space="preserve"> </w:t>
      </w:r>
      <w:r>
        <w:t xml:space="preserve">WIP </w:t>
      </w:r>
      <w:r w:rsidR="00054CFB">
        <w:t>-</w:t>
      </w:r>
      <w:r>
        <w:t xml:space="preserve"> Practice Stream:</w:t>
      </w:r>
    </w:p>
    <w:p w14:paraId="1C99999C" w14:textId="77777777" w:rsidR="00CF4BBE" w:rsidRDefault="00CF4BBE" w:rsidP="0043055A">
      <w:pPr>
        <w:pStyle w:val="ListBullet"/>
        <w:rPr>
          <w:lang w:val="en"/>
        </w:rPr>
      </w:pPr>
      <w:r>
        <w:rPr>
          <w:lang w:val="en"/>
        </w:rPr>
        <w:t xml:space="preserve">Quarterly </w:t>
      </w:r>
      <w:r w:rsidRPr="00E70E57">
        <w:rPr>
          <w:lang w:val="en"/>
        </w:rPr>
        <w:t xml:space="preserve">incentive </w:t>
      </w:r>
      <w:proofErr w:type="gramStart"/>
      <w:r w:rsidRPr="00E70E57">
        <w:rPr>
          <w:lang w:val="en"/>
        </w:rPr>
        <w:t>payments</w:t>
      </w:r>
      <w:r>
        <w:rPr>
          <w:lang w:val="en"/>
        </w:rPr>
        <w:t>;</w:t>
      </w:r>
      <w:proofErr w:type="gramEnd"/>
    </w:p>
    <w:p w14:paraId="4BA6ADCB" w14:textId="77777777" w:rsidR="00CF4BBE" w:rsidRPr="00E70E57" w:rsidRDefault="00CF4BBE" w:rsidP="0043055A">
      <w:pPr>
        <w:pStyle w:val="ListBullet"/>
        <w:rPr>
          <w:lang w:val="en"/>
        </w:rPr>
      </w:pPr>
      <w:r>
        <w:rPr>
          <w:lang w:val="en"/>
        </w:rPr>
        <w:t>Quarterly r</w:t>
      </w:r>
      <w:r w:rsidRPr="00E70E57">
        <w:rPr>
          <w:lang w:val="en"/>
        </w:rPr>
        <w:t>ural loading payments</w:t>
      </w:r>
      <w:r>
        <w:rPr>
          <w:lang w:val="en"/>
        </w:rPr>
        <w:t>; and</w:t>
      </w:r>
    </w:p>
    <w:p w14:paraId="54662075" w14:textId="5911460A" w:rsidR="00CF4BBE" w:rsidRDefault="00CF4BBE" w:rsidP="0043055A">
      <w:pPr>
        <w:pStyle w:val="ListBullet"/>
        <w:rPr>
          <w:lang w:val="en"/>
        </w:rPr>
      </w:pPr>
      <w:r>
        <w:rPr>
          <w:lang w:val="en"/>
        </w:rPr>
        <w:t>Annual</w:t>
      </w:r>
      <w:r w:rsidRPr="00E70E57">
        <w:rPr>
          <w:lang w:val="en"/>
        </w:rPr>
        <w:t xml:space="preserve"> </w:t>
      </w:r>
      <w:r w:rsidR="00D84B00">
        <w:rPr>
          <w:lang w:val="en"/>
        </w:rPr>
        <w:t>DVA</w:t>
      </w:r>
      <w:r>
        <w:rPr>
          <w:lang w:val="en"/>
        </w:rPr>
        <w:t xml:space="preserve"> loading payments.</w:t>
      </w:r>
    </w:p>
    <w:p w14:paraId="6CF80EEE" w14:textId="77777777" w:rsidR="00CF4BBE" w:rsidRDefault="00CF4BBE" w:rsidP="00CF4BBE">
      <w:r w:rsidRPr="00375AA2">
        <w:t xml:space="preserve">Payments are calculated </w:t>
      </w:r>
      <w:r>
        <w:t xml:space="preserve">and paid retrospectively </w:t>
      </w:r>
      <w:r w:rsidRPr="00375AA2">
        <w:t xml:space="preserve">by </w:t>
      </w:r>
      <w:r>
        <w:t>using:</w:t>
      </w:r>
    </w:p>
    <w:p w14:paraId="0361A5EB" w14:textId="77777777" w:rsidR="00CF4BBE" w:rsidRDefault="00CF4BBE" w:rsidP="0043055A">
      <w:pPr>
        <w:pStyle w:val="ListBullet"/>
        <w:rPr>
          <w:lang w:val="en"/>
        </w:rPr>
      </w:pPr>
      <w:r>
        <w:rPr>
          <w:lang w:val="en"/>
        </w:rPr>
        <w:t xml:space="preserve">details from a </w:t>
      </w:r>
      <w:proofErr w:type="gramStart"/>
      <w:r w:rsidRPr="00B274E8">
        <w:rPr>
          <w:lang w:val="en"/>
        </w:rPr>
        <w:t>practice</w:t>
      </w:r>
      <w:r>
        <w:rPr>
          <w:lang w:val="en"/>
        </w:rPr>
        <w:t>’</w:t>
      </w:r>
      <w:r w:rsidRPr="00B274E8">
        <w:rPr>
          <w:lang w:val="en"/>
        </w:rPr>
        <w:t>s</w:t>
      </w:r>
      <w:proofErr w:type="gramEnd"/>
      <w:r w:rsidRPr="00B274E8">
        <w:rPr>
          <w:lang w:val="en"/>
        </w:rPr>
        <w:t xml:space="preserve"> application and subsequent </w:t>
      </w:r>
      <w:proofErr w:type="gramStart"/>
      <w:r w:rsidRPr="00B274E8">
        <w:rPr>
          <w:lang w:val="en"/>
        </w:rPr>
        <w:t>amendments;</w:t>
      </w:r>
      <w:proofErr w:type="gramEnd"/>
      <w:r>
        <w:rPr>
          <w:lang w:val="en"/>
        </w:rPr>
        <w:t xml:space="preserve"> </w:t>
      </w:r>
    </w:p>
    <w:p w14:paraId="5426D9BF" w14:textId="77777777" w:rsidR="00CF4BBE" w:rsidRPr="001C0306" w:rsidRDefault="00CF4BBE" w:rsidP="0043055A">
      <w:pPr>
        <w:pStyle w:val="ListBullet"/>
        <w:rPr>
          <w:lang w:val="en"/>
        </w:rPr>
      </w:pPr>
      <w:r>
        <w:rPr>
          <w:lang w:val="en"/>
        </w:rPr>
        <w:t>d</w:t>
      </w:r>
      <w:r w:rsidRPr="00B274E8">
        <w:rPr>
          <w:lang w:val="en"/>
        </w:rPr>
        <w:t>etails from a practice</w:t>
      </w:r>
      <w:r>
        <w:rPr>
          <w:lang w:val="en"/>
        </w:rPr>
        <w:t>’</w:t>
      </w:r>
      <w:r w:rsidRPr="00B274E8">
        <w:rPr>
          <w:lang w:val="en"/>
        </w:rPr>
        <w:t xml:space="preserve">s Quarterly Confirmation </w:t>
      </w:r>
      <w:r>
        <w:rPr>
          <w:lang w:val="en"/>
        </w:rPr>
        <w:t>Statement</w:t>
      </w:r>
      <w:r w:rsidRPr="00B274E8">
        <w:rPr>
          <w:lang w:val="en"/>
        </w:rPr>
        <w:t xml:space="preserve"> (QCS)</w:t>
      </w:r>
      <w:r>
        <w:rPr>
          <w:lang w:val="en"/>
        </w:rPr>
        <w:t>; and</w:t>
      </w:r>
    </w:p>
    <w:p w14:paraId="717C691F" w14:textId="7A13FB43" w:rsidR="00CF4BBE" w:rsidRPr="00164043" w:rsidRDefault="00F72CCD" w:rsidP="0043055A">
      <w:pPr>
        <w:pStyle w:val="ListBullet"/>
        <w:rPr>
          <w:lang w:val="en"/>
        </w:rPr>
      </w:pPr>
      <w:r>
        <w:rPr>
          <w:lang w:val="en"/>
        </w:rPr>
        <w:t xml:space="preserve">Medicare and </w:t>
      </w:r>
      <w:r w:rsidR="00D84B00">
        <w:rPr>
          <w:lang w:val="en"/>
        </w:rPr>
        <w:t>DVA</w:t>
      </w:r>
      <w:r w:rsidR="00CF4BBE" w:rsidRPr="00B274E8">
        <w:rPr>
          <w:lang w:val="en"/>
        </w:rPr>
        <w:t xml:space="preserve"> data</w:t>
      </w:r>
      <w:r w:rsidR="00CF4BBE">
        <w:rPr>
          <w:lang w:val="en"/>
        </w:rPr>
        <w:t>.</w:t>
      </w:r>
    </w:p>
    <w:p w14:paraId="4CD9CA50" w14:textId="2F8285B3" w:rsidR="00CF4BBE" w:rsidRPr="00643E95" w:rsidRDefault="00CF4BBE" w:rsidP="00BC4F08">
      <w:pPr>
        <w:pStyle w:val="Heading2numbered"/>
      </w:pPr>
      <w:bookmarkStart w:id="239" w:name="_4.2_Payment_quarter"/>
      <w:bookmarkStart w:id="240" w:name="_4.2_Payment_quarters"/>
      <w:bookmarkStart w:id="241" w:name="_3.2_Payment_quarters"/>
      <w:bookmarkStart w:id="242" w:name="_Ref529892921"/>
      <w:bookmarkStart w:id="243" w:name="_Toc25157850"/>
      <w:bookmarkStart w:id="244" w:name="_Toc142318454"/>
      <w:bookmarkStart w:id="245" w:name="_Toc197682365"/>
      <w:bookmarkEnd w:id="239"/>
      <w:bookmarkEnd w:id="240"/>
      <w:bookmarkEnd w:id="241"/>
      <w:r>
        <w:t xml:space="preserve">Payment quarters </w:t>
      </w:r>
      <w:r w:rsidRPr="009B1D19">
        <w:t>– important</w:t>
      </w:r>
      <w:r w:rsidRPr="00BC4F08">
        <w:t xml:space="preserve"> </w:t>
      </w:r>
      <w:r w:rsidRPr="00643E95">
        <w:t>dates</w:t>
      </w:r>
      <w:bookmarkEnd w:id="242"/>
      <w:bookmarkEnd w:id="243"/>
      <w:bookmarkEnd w:id="244"/>
      <w:bookmarkEnd w:id="245"/>
    </w:p>
    <w:p w14:paraId="5A33493C" w14:textId="02F07340" w:rsidR="00CF4BBE" w:rsidRPr="005F75A9" w:rsidRDefault="00CF4BBE" w:rsidP="00CF4BBE">
      <w:r w:rsidRPr="005F75A9">
        <w:t xml:space="preserve">There are four payment quarters under the WIP </w:t>
      </w:r>
      <w:r w:rsidR="00054CFB">
        <w:t>-</w:t>
      </w:r>
      <w:r w:rsidRPr="005F75A9">
        <w:t xml:space="preserve"> Practice Stream. Eligible practices will receive payments in February, May, August and November. </w:t>
      </w:r>
    </w:p>
    <w:p w14:paraId="16AE698B" w14:textId="3D4FDFA2" w:rsidR="00472736" w:rsidRDefault="00CF4BBE" w:rsidP="006748D1">
      <w:r w:rsidRPr="005F75A9">
        <w:t xml:space="preserve">Each payment quarter has a reference </w:t>
      </w:r>
      <w:r w:rsidR="002D027E" w:rsidRPr="005F75A9">
        <w:t>period,</w:t>
      </w:r>
      <w:r w:rsidRPr="005F75A9">
        <w:t xml:space="preserve"> and a point-in-time date as set out in </w:t>
      </w:r>
      <w:r w:rsidR="00F72CCD">
        <w:t>T</w:t>
      </w:r>
      <w:r w:rsidRPr="005F75A9">
        <w:t>able</w:t>
      </w:r>
      <w:r w:rsidR="00F72CCD">
        <w:t xml:space="preserve"> 1</w:t>
      </w:r>
      <w:r w:rsidRPr="005F75A9">
        <w:t xml:space="preserve"> below. The reference period is the three months before the payment quarter where practice activity is measured and used to calculate the current quarter payment. The point-in-time date is the last day of the month before the next WIP </w:t>
      </w:r>
      <w:r w:rsidR="00054CFB">
        <w:t>-</w:t>
      </w:r>
      <w:r w:rsidRPr="005F75A9">
        <w:t xml:space="preserve"> Practice Stream payment quarter and is the date practice eligibility for that payment quarter is assessed.</w:t>
      </w:r>
    </w:p>
    <w:p w14:paraId="27031C64" w14:textId="799A694C" w:rsidR="00CF4BBE" w:rsidRPr="00472736" w:rsidRDefault="00DB7020" w:rsidP="00DB7020">
      <w:pPr>
        <w:pStyle w:val="Caption"/>
        <w:rPr>
          <w:b w:val="0"/>
          <w:bCs/>
        </w:rPr>
      </w:pPr>
      <w:r>
        <w:lastRenderedPageBreak/>
        <w:t xml:space="preserve">Table </w:t>
      </w:r>
      <w:r>
        <w:fldChar w:fldCharType="begin"/>
      </w:r>
      <w:r>
        <w:instrText xml:space="preserve"> SEQ Table \* ARABIC </w:instrText>
      </w:r>
      <w:r>
        <w:fldChar w:fldCharType="separate"/>
      </w:r>
      <w:r w:rsidR="0098319E">
        <w:rPr>
          <w:noProof/>
        </w:rPr>
        <w:t>1</w:t>
      </w:r>
      <w:r>
        <w:fldChar w:fldCharType="end"/>
      </w:r>
      <w:r w:rsidR="0031517A" w:rsidRPr="00472736">
        <w:rPr>
          <w:bCs/>
        </w:rPr>
        <w:t xml:space="preserve">: </w:t>
      </w:r>
      <w:r w:rsidR="00CF4BBE" w:rsidRPr="00472736">
        <w:rPr>
          <w:bCs/>
        </w:rPr>
        <w:t xml:space="preserve">The table below provides the payment quarters with the relevant reference period and point-in-time dates. </w:t>
      </w:r>
    </w:p>
    <w:tbl>
      <w:tblPr>
        <w:tblStyle w:val="TableGrid"/>
        <w:tblW w:w="8505" w:type="dxa"/>
        <w:tblInd w:w="11" w:type="dxa"/>
        <w:tblLook w:val="04A0" w:firstRow="1" w:lastRow="0" w:firstColumn="1" w:lastColumn="0" w:noHBand="0" w:noVBand="1"/>
        <w:tblDescription w:val="Provides the payment quarters with the relevant reference period and point-in-time assessment of eligibility dates."/>
      </w:tblPr>
      <w:tblGrid>
        <w:gridCol w:w="2835"/>
        <w:gridCol w:w="2835"/>
        <w:gridCol w:w="2835"/>
      </w:tblGrid>
      <w:tr w:rsidR="00CF4BBE" w:rsidRPr="0001205D" w14:paraId="732D39F5" w14:textId="77777777" w:rsidTr="005166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D64FA9A" w14:textId="77777777" w:rsidR="00CF4BBE" w:rsidRPr="00DB7020" w:rsidRDefault="00CF4BBE" w:rsidP="00DB7020">
            <w:r w:rsidRPr="00DB7020">
              <w:t>Payment quarter</w:t>
            </w:r>
          </w:p>
        </w:tc>
        <w:tc>
          <w:tcPr>
            <w:tcW w:w="2835" w:type="dxa"/>
          </w:tcPr>
          <w:p w14:paraId="65EEAA5A" w14:textId="1CF7D3AD"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Point-in-time assessment of eligibility</w:t>
            </w:r>
          </w:p>
        </w:tc>
        <w:tc>
          <w:tcPr>
            <w:tcW w:w="2835" w:type="dxa"/>
          </w:tcPr>
          <w:p w14:paraId="100A38AF" w14:textId="77777777" w:rsidR="00CF4BBE" w:rsidRPr="00DB7020" w:rsidRDefault="00CF4BBE" w:rsidP="00DB7020">
            <w:pPr>
              <w:cnfStyle w:val="100000000000" w:firstRow="1" w:lastRow="0" w:firstColumn="0" w:lastColumn="0" w:oddVBand="0" w:evenVBand="0" w:oddHBand="0" w:evenHBand="0" w:firstRowFirstColumn="0" w:firstRowLastColumn="0" w:lastRowFirstColumn="0" w:lastRowLastColumn="0"/>
            </w:pPr>
            <w:r w:rsidRPr="00DB7020">
              <w:t>Reference period</w:t>
            </w:r>
          </w:p>
        </w:tc>
      </w:tr>
      <w:tr w:rsidR="00CF4BBE" w:rsidRPr="0001205D" w14:paraId="46C23A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9156889" w14:textId="77777777" w:rsidR="00CF4BBE" w:rsidRPr="00DB7020" w:rsidRDefault="00CF4BBE" w:rsidP="00DB7020">
            <w:r w:rsidRPr="00DB7020">
              <w:t>February</w:t>
            </w:r>
          </w:p>
        </w:tc>
        <w:tc>
          <w:tcPr>
            <w:tcW w:w="2835" w:type="dxa"/>
          </w:tcPr>
          <w:p w14:paraId="3558256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January</w:t>
            </w:r>
          </w:p>
        </w:tc>
        <w:tc>
          <w:tcPr>
            <w:tcW w:w="2835" w:type="dxa"/>
          </w:tcPr>
          <w:p w14:paraId="11A01E97"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November to 31 January</w:t>
            </w:r>
          </w:p>
        </w:tc>
      </w:tr>
      <w:tr w:rsidR="00CF4BBE" w:rsidRPr="0001205D" w14:paraId="04BFCFD6"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244A604B" w14:textId="77777777" w:rsidR="00CF4BBE" w:rsidRPr="00DB7020" w:rsidRDefault="00CF4BBE" w:rsidP="00DB7020">
            <w:r w:rsidRPr="00DB7020">
              <w:t>May</w:t>
            </w:r>
          </w:p>
        </w:tc>
        <w:tc>
          <w:tcPr>
            <w:tcW w:w="2835" w:type="dxa"/>
          </w:tcPr>
          <w:p w14:paraId="545CEE6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30 April</w:t>
            </w:r>
          </w:p>
        </w:tc>
        <w:tc>
          <w:tcPr>
            <w:tcW w:w="2835" w:type="dxa"/>
          </w:tcPr>
          <w:p w14:paraId="0C3267AB"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February to 30 April</w:t>
            </w:r>
          </w:p>
        </w:tc>
      </w:tr>
      <w:tr w:rsidR="00CF4BBE" w:rsidRPr="0001205D" w14:paraId="12AFF77B"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4D94E782" w14:textId="77777777" w:rsidR="00CF4BBE" w:rsidRPr="00DB7020" w:rsidRDefault="00CF4BBE" w:rsidP="00DB7020">
            <w:r w:rsidRPr="00DB7020">
              <w:t>August</w:t>
            </w:r>
          </w:p>
        </w:tc>
        <w:tc>
          <w:tcPr>
            <w:tcW w:w="2835" w:type="dxa"/>
          </w:tcPr>
          <w:p w14:paraId="64824AD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July</w:t>
            </w:r>
          </w:p>
        </w:tc>
        <w:tc>
          <w:tcPr>
            <w:tcW w:w="2835" w:type="dxa"/>
          </w:tcPr>
          <w:p w14:paraId="757E8B39"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May to 31 July</w:t>
            </w:r>
          </w:p>
        </w:tc>
      </w:tr>
      <w:tr w:rsidR="00CF4BBE" w:rsidRPr="0001205D" w14:paraId="6466806C" w14:textId="77777777" w:rsidTr="00516685">
        <w:tc>
          <w:tcPr>
            <w:cnfStyle w:val="001000000000" w:firstRow="0" w:lastRow="0" w:firstColumn="1" w:lastColumn="0" w:oddVBand="0" w:evenVBand="0" w:oddHBand="0" w:evenHBand="0" w:firstRowFirstColumn="0" w:firstRowLastColumn="0" w:lastRowFirstColumn="0" w:lastRowLastColumn="0"/>
            <w:tcW w:w="2835" w:type="dxa"/>
          </w:tcPr>
          <w:p w14:paraId="03B5E136" w14:textId="77777777" w:rsidR="00CF4BBE" w:rsidRPr="00DB7020" w:rsidRDefault="00CF4BBE" w:rsidP="00DB7020">
            <w:r w:rsidRPr="00DB7020">
              <w:t>November</w:t>
            </w:r>
          </w:p>
        </w:tc>
        <w:tc>
          <w:tcPr>
            <w:tcW w:w="2835" w:type="dxa"/>
          </w:tcPr>
          <w:p w14:paraId="738D7894"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31 October</w:t>
            </w:r>
          </w:p>
        </w:tc>
        <w:tc>
          <w:tcPr>
            <w:tcW w:w="2835" w:type="dxa"/>
          </w:tcPr>
          <w:p w14:paraId="1557CD2A" w14:textId="77777777" w:rsidR="00CF4BBE" w:rsidRPr="00DB7020" w:rsidRDefault="00CF4BBE" w:rsidP="00DB7020">
            <w:pPr>
              <w:cnfStyle w:val="000000000000" w:firstRow="0" w:lastRow="0" w:firstColumn="0" w:lastColumn="0" w:oddVBand="0" w:evenVBand="0" w:oddHBand="0" w:evenHBand="0" w:firstRowFirstColumn="0" w:firstRowLastColumn="0" w:lastRowFirstColumn="0" w:lastRowLastColumn="0"/>
            </w:pPr>
            <w:r w:rsidRPr="00DB7020">
              <w:t>1 August to 31 October</w:t>
            </w:r>
          </w:p>
        </w:tc>
      </w:tr>
    </w:tbl>
    <w:p w14:paraId="4B59A9F7" w14:textId="77777777" w:rsidR="00CF4BBE" w:rsidRDefault="00CF4BBE" w:rsidP="00CF4BBE">
      <w:pPr>
        <w:spacing w:before="240"/>
      </w:pPr>
      <w:r w:rsidRPr="005273D7">
        <w:t xml:space="preserve">Practices no longer participating in the program at the point-in-time </w:t>
      </w:r>
      <w:r>
        <w:t xml:space="preserve">date </w:t>
      </w:r>
      <w:r w:rsidRPr="005273D7">
        <w:t>are</w:t>
      </w:r>
      <w:r>
        <w:t xml:space="preserve"> no</w:t>
      </w:r>
      <w:r w:rsidRPr="005273D7">
        <w:t xml:space="preserve">t eligible to receive the current quarter payment. </w:t>
      </w:r>
    </w:p>
    <w:p w14:paraId="49DA56CD" w14:textId="3A45A70E" w:rsidR="00CF4BBE" w:rsidRPr="00643E95" w:rsidRDefault="00CF4BBE" w:rsidP="00BC4F08">
      <w:pPr>
        <w:pStyle w:val="Heading2numbered"/>
      </w:pPr>
      <w:bookmarkStart w:id="246" w:name="_3.3_Quarterly_Confirmation"/>
      <w:bookmarkStart w:id="247" w:name="_Toc25157851"/>
      <w:bookmarkStart w:id="248" w:name="_Toc142318455"/>
      <w:bookmarkStart w:id="249" w:name="_Toc197682366"/>
      <w:bookmarkEnd w:id="246"/>
      <w:r w:rsidRPr="00643E95">
        <w:t>Quarterly Confirmation Statements</w:t>
      </w:r>
      <w:r>
        <w:t xml:space="preserve"> (QCS)</w:t>
      </w:r>
      <w:bookmarkEnd w:id="247"/>
      <w:bookmarkEnd w:id="248"/>
      <w:bookmarkEnd w:id="249"/>
    </w:p>
    <w:p w14:paraId="5840C9CB" w14:textId="4ECDCEFB" w:rsidR="00CF4BBE" w:rsidRPr="005F75A9" w:rsidRDefault="00CF4BBE" w:rsidP="00CF4BBE">
      <w:r w:rsidRPr="005F75A9">
        <w:t xml:space="preserve">Practices must complete and submit a Quarterly Confirmation Statement (QCS) each quarter before the WIP </w:t>
      </w:r>
      <w:r w:rsidR="00054CFB">
        <w:t>-</w:t>
      </w:r>
      <w:r w:rsidRPr="005F75A9">
        <w:t xml:space="preserve"> Practice Stream payments can be released. </w:t>
      </w:r>
    </w:p>
    <w:p w14:paraId="488A49FC" w14:textId="1D26A293" w:rsidR="00CF4BBE" w:rsidRDefault="00CF4BBE" w:rsidP="00CF4BBE">
      <w:bookmarkStart w:id="250" w:name="_Hlk202277455"/>
      <w:r>
        <w:t xml:space="preserve">Services Australia will send a QCS to all approved WIP –Practice Stream practices each quarter, except the first quarter that the practice is approved for the program. </w:t>
      </w:r>
    </w:p>
    <w:bookmarkEnd w:id="250"/>
    <w:p w14:paraId="56B312CA" w14:textId="2BBE3D98" w:rsidR="00D96E4C" w:rsidRPr="00920455" w:rsidRDefault="00D96E4C" w:rsidP="00D96E4C">
      <w:r w:rsidRPr="00920455">
        <w:t xml:space="preserve">Practices with a Health Professional Online Services (HPOS) account </w:t>
      </w:r>
      <w:r>
        <w:t>can</w:t>
      </w:r>
      <w:r w:rsidRPr="00920455">
        <w:t xml:space="preserve"> receive their QCS each quarter through HPOS</w:t>
      </w:r>
      <w:r>
        <w:t xml:space="preserve"> by choosing to receive online notifications</w:t>
      </w:r>
      <w:r w:rsidRPr="00920455">
        <w:t xml:space="preserve">. </w:t>
      </w:r>
      <w:r>
        <w:t xml:space="preserve">The fastest and easiest way to receive and confirm the QCS is through HPOS. </w:t>
      </w:r>
    </w:p>
    <w:p w14:paraId="05308B87" w14:textId="6E3796C0" w:rsidR="00CF4BBE" w:rsidRDefault="00CF4BBE" w:rsidP="00CF4BBE">
      <w:r w:rsidRPr="0033651F">
        <w:t>Practices should receive their QCS by the 15</w:t>
      </w:r>
      <w:r w:rsidRPr="0033651F">
        <w:rPr>
          <w:vertAlign w:val="superscript"/>
        </w:rPr>
        <w:t>th</w:t>
      </w:r>
      <w:r w:rsidRPr="0033651F">
        <w:t xml:space="preserve"> day of the point-in-time month. </w:t>
      </w:r>
      <w:r>
        <w:t>If the QCS has not been received by the due date</w:t>
      </w:r>
      <w:r w:rsidR="00857022">
        <w:t>,</w:t>
      </w:r>
      <w:r>
        <w:t xml:space="preserve"> c</w:t>
      </w:r>
      <w:r w:rsidR="00064473">
        <w:t>ontact</w:t>
      </w:r>
      <w:r w:rsidRPr="00571022">
        <w:t xml:space="preserve"> </w:t>
      </w:r>
      <w:hyperlink r:id="rId29" w:anchor="incentiveprogrammes" w:history="1">
        <w:r w:rsidR="00D245C1">
          <w:rPr>
            <w:rStyle w:val="Hyperlink"/>
          </w:rPr>
          <w:t xml:space="preserve">Workforce Incentive Program (WIP) – Practice Stream </w:t>
        </w:r>
      </w:hyperlink>
      <w:r>
        <w:t>.</w:t>
      </w:r>
    </w:p>
    <w:p w14:paraId="32655EFC" w14:textId="77777777" w:rsidR="00CF4BBE" w:rsidRPr="00920455" w:rsidRDefault="00CF4BBE" w:rsidP="00CF4BBE">
      <w:pPr>
        <w:rPr>
          <w:lang w:val="en"/>
        </w:rPr>
      </w:pPr>
      <w:r w:rsidRPr="00920455">
        <w:t>The QCS will include the details reported by the practice and the</w:t>
      </w:r>
      <w:r w:rsidRPr="00920455">
        <w:rPr>
          <w:lang w:val="en"/>
        </w:rPr>
        <w:t xml:space="preserve"> </w:t>
      </w:r>
      <w:proofErr w:type="spellStart"/>
      <w:r w:rsidRPr="00920455">
        <w:rPr>
          <w:lang w:val="en"/>
        </w:rPr>
        <w:t>authorised</w:t>
      </w:r>
      <w:proofErr w:type="spellEnd"/>
      <w:r w:rsidRPr="00920455">
        <w:rPr>
          <w:lang w:val="en"/>
        </w:rPr>
        <w:t xml:space="preserve"> contact person or practice owner must complete the QCS by:</w:t>
      </w:r>
    </w:p>
    <w:p w14:paraId="75F9B213" w14:textId="77777777" w:rsidR="00CF4BBE" w:rsidRPr="00920455" w:rsidRDefault="00CF4BBE" w:rsidP="0043055A">
      <w:pPr>
        <w:pStyle w:val="ListBullet"/>
        <w:rPr>
          <w:lang w:val="en"/>
        </w:rPr>
      </w:pPr>
      <w:r w:rsidRPr="00920455">
        <w:rPr>
          <w:lang w:val="en"/>
        </w:rPr>
        <w:t>confirming the practice details; or</w:t>
      </w:r>
    </w:p>
    <w:p w14:paraId="07317C84" w14:textId="77777777" w:rsidR="00CF4BBE" w:rsidRPr="00920455" w:rsidRDefault="00CF4BBE" w:rsidP="0043055A">
      <w:pPr>
        <w:pStyle w:val="ListBullet"/>
        <w:rPr>
          <w:lang w:val="en"/>
        </w:rPr>
      </w:pPr>
      <w:r w:rsidRPr="00920455">
        <w:rPr>
          <w:lang w:val="en"/>
        </w:rPr>
        <w:t>including any changes in practice arrangements such as changes in eligible health professionals engaged and/or the hours they have worked; and</w:t>
      </w:r>
    </w:p>
    <w:p w14:paraId="10827FF0" w14:textId="659F2A2D" w:rsidR="00CF4BBE" w:rsidRPr="00920455" w:rsidRDefault="00645BF6" w:rsidP="0043055A">
      <w:pPr>
        <w:pStyle w:val="ListBullet"/>
        <w:rPr>
          <w:lang w:val="en"/>
        </w:rPr>
      </w:pPr>
      <w:r>
        <w:rPr>
          <w:lang w:val="en"/>
        </w:rPr>
        <w:t>Either:</w:t>
      </w:r>
    </w:p>
    <w:p w14:paraId="155F7734" w14:textId="06280FE1" w:rsidR="00645BF6" w:rsidRDefault="00D245C1" w:rsidP="0043055A">
      <w:pPr>
        <w:pStyle w:val="ListBullet2"/>
        <w:rPr>
          <w:lang w:val="en"/>
        </w:rPr>
      </w:pPr>
      <w:r>
        <w:rPr>
          <w:lang w:val="en"/>
        </w:rPr>
        <w:t>updating and con</w:t>
      </w:r>
      <w:r w:rsidR="00645BF6">
        <w:rPr>
          <w:lang w:val="en"/>
        </w:rPr>
        <w:t xml:space="preserve">firming the details in the WIP- Practice Stream online system (via HPOS) </w:t>
      </w:r>
      <w:r w:rsidR="00645BF6" w:rsidRPr="00920455">
        <w:rPr>
          <w:lang w:val="en"/>
        </w:rPr>
        <w:t>by the relevant point-in-time date</w:t>
      </w:r>
      <w:r w:rsidR="00645BF6">
        <w:rPr>
          <w:lang w:val="en"/>
        </w:rPr>
        <w:t>; or</w:t>
      </w:r>
    </w:p>
    <w:p w14:paraId="20627C8D" w14:textId="7D4B5823" w:rsidR="00CF4BBE" w:rsidRPr="0043055A" w:rsidRDefault="00645BF6" w:rsidP="0043055A">
      <w:pPr>
        <w:pStyle w:val="ListBullet2"/>
        <w:rPr>
          <w:rFonts w:cstheme="minorHAnsi"/>
          <w:szCs w:val="22"/>
          <w:lang w:val="en"/>
        </w:rPr>
      </w:pPr>
      <w:r w:rsidRPr="00920455">
        <w:rPr>
          <w:lang w:val="en"/>
        </w:rPr>
        <w:t xml:space="preserve">submitting the QCS </w:t>
      </w:r>
      <w:r>
        <w:rPr>
          <w:lang w:val="en"/>
        </w:rPr>
        <w:t xml:space="preserve">for </w:t>
      </w:r>
      <w:r w:rsidR="00CF4BBE" w:rsidRPr="00920455">
        <w:rPr>
          <w:rFonts w:cstheme="minorHAnsi"/>
          <w:szCs w:val="22"/>
          <w:lang w:val="en"/>
        </w:rPr>
        <w:t>manual processing a</w:t>
      </w:r>
      <w:r w:rsidR="00CF4BBE">
        <w:rPr>
          <w:rFonts w:cstheme="minorHAnsi"/>
          <w:szCs w:val="22"/>
          <w:lang w:val="en"/>
        </w:rPr>
        <w:t>t</w:t>
      </w:r>
      <w:r w:rsidR="00CF4BBE" w:rsidRPr="00920455">
        <w:rPr>
          <w:rFonts w:cstheme="minorHAnsi"/>
          <w:szCs w:val="22"/>
          <w:lang w:val="en"/>
        </w:rPr>
        <w:t xml:space="preserve"> least 7 calendar days before the relevant point-in-time date</w:t>
      </w:r>
      <w:r>
        <w:rPr>
          <w:rFonts w:cstheme="minorHAnsi"/>
          <w:szCs w:val="22"/>
          <w:lang w:val="en"/>
        </w:rPr>
        <w:t xml:space="preserve"> through HPOS form upload facility or as per the instructions on the QCS</w:t>
      </w:r>
    </w:p>
    <w:p w14:paraId="33F35479" w14:textId="06CF94BD" w:rsidR="00D96E4C" w:rsidRPr="0043055A" w:rsidRDefault="00D96E4C" w:rsidP="0043055A">
      <w:r>
        <w:lastRenderedPageBreak/>
        <w:t xml:space="preserve">Once received, the QCS will be assessed </w:t>
      </w:r>
      <w:r w:rsidRPr="00920455">
        <w:t xml:space="preserve">for payment and where eligible, the payment will be </w:t>
      </w:r>
      <w:r w:rsidRPr="0043055A">
        <w:t>released</w:t>
      </w:r>
      <w:r w:rsidR="00857022" w:rsidRPr="0043055A">
        <w:t>.</w:t>
      </w:r>
    </w:p>
    <w:p w14:paraId="7C3DC706" w14:textId="4E81332C" w:rsidR="00564A3F" w:rsidRPr="0043055A" w:rsidRDefault="00D96E4C" w:rsidP="0043055A">
      <w:r w:rsidRPr="0043055A">
        <w:t xml:space="preserve">If a practice does not return a fully completed QCS by the point-in-time, the practice’s payment will be withheld until </w:t>
      </w:r>
      <w:r w:rsidR="00645BF6" w:rsidRPr="0043055A">
        <w:t>the</w:t>
      </w:r>
      <w:r w:rsidR="00645BF6">
        <w:t xml:space="preserve"> fully completed </w:t>
      </w:r>
      <w:r w:rsidRPr="0043055A">
        <w:t>QCS has been returned.</w:t>
      </w:r>
    </w:p>
    <w:p w14:paraId="5E7B1189" w14:textId="44A9355C" w:rsidR="00857022" w:rsidRPr="0043055A" w:rsidRDefault="00D96E4C" w:rsidP="0043055A">
      <w:r w:rsidRPr="0043055A">
        <w:t xml:space="preserve">QCSs must be submitted in chronological date order. If more than one QCS is outstanding, payments will not be released until the oldest outstanding QCS is confirmed and submitted, along with any other outstanding QCSs. </w:t>
      </w:r>
    </w:p>
    <w:p w14:paraId="5C79B16F" w14:textId="2A70D8B9" w:rsidR="001D59C7" w:rsidRPr="0043055A" w:rsidRDefault="00857022" w:rsidP="0043055A">
      <w:r w:rsidRPr="0043055A">
        <w:t>A</w:t>
      </w:r>
      <w:r w:rsidR="00D96E4C" w:rsidRPr="0043055A">
        <w:t>ll</w:t>
      </w:r>
      <w:r w:rsidR="00064473" w:rsidRPr="0043055A">
        <w:t xml:space="preserve"> outstanding</w:t>
      </w:r>
      <w:r w:rsidR="00D96E4C" w:rsidRPr="0043055A">
        <w:t xml:space="preserve"> QCS must be returned for any eligible payments to be released.</w:t>
      </w:r>
    </w:p>
    <w:p w14:paraId="63EA92A4" w14:textId="62AAA5F1" w:rsidR="0037679C" w:rsidRPr="00D60DD3" w:rsidRDefault="001D59C7" w:rsidP="0037679C">
      <w:pPr>
        <w:pStyle w:val="Heading3numbered"/>
      </w:pPr>
      <w:r w:rsidRPr="0043055A">
        <w:t xml:space="preserve">When reporting hours worked by eligible health professionals in the QCS, practices must report the AVERAGE WEEKLY HOURS worked (not the total hours worked), for each health professional, for the relevant quarter. </w:t>
      </w:r>
      <w:r w:rsidR="005616CB">
        <w:t>The</w:t>
      </w:r>
      <w:r w:rsidR="004D6A00">
        <w:t xml:space="preserve"> hours reported</w:t>
      </w:r>
      <w:r w:rsidR="005616CB">
        <w:t xml:space="preserve"> must </w:t>
      </w:r>
      <w:r w:rsidR="005616CB" w:rsidRPr="000778EB">
        <w:t xml:space="preserve">not </w:t>
      </w:r>
      <w:r w:rsidR="00C80052">
        <w:t>include hours</w:t>
      </w:r>
      <w:r w:rsidR="0037679C">
        <w:t xml:space="preserve"> as set out at</w:t>
      </w:r>
      <w:r w:rsidR="00C80052">
        <w:t xml:space="preserve"> </w:t>
      </w:r>
      <w:r w:rsidR="00C80052" w:rsidRPr="00D60DD3">
        <w:t>1.5.2 Ineligible activities</w:t>
      </w:r>
      <w:r w:rsidR="0037679C">
        <w:t xml:space="preserve"> or </w:t>
      </w:r>
      <w:r w:rsidR="0037679C" w:rsidRPr="00D60DD3">
        <w:t>1.5.3 Medicare Benefits Schedule services</w:t>
      </w:r>
      <w:r w:rsidR="0037679C">
        <w:t>.</w:t>
      </w:r>
      <w:r w:rsidR="0037679C" w:rsidRPr="00D60DD3">
        <w:t xml:space="preserve"> </w:t>
      </w:r>
    </w:p>
    <w:p w14:paraId="5CCBB428" w14:textId="6575BBD4" w:rsidR="001D59C7" w:rsidRPr="0043055A" w:rsidRDefault="005616CB" w:rsidP="0043055A">
      <w:r>
        <w:t>.</w:t>
      </w:r>
    </w:p>
    <w:p w14:paraId="0DCB4D9B" w14:textId="78BA7DDA" w:rsidR="001D59C7" w:rsidRPr="006748D1" w:rsidRDefault="001D59C7" w:rsidP="001D59C7">
      <w:pPr>
        <w:pStyle w:val="Revision"/>
        <w:rPr>
          <w:noProof/>
        </w:rPr>
      </w:pPr>
      <w:r w:rsidRPr="006748D1">
        <w:rPr>
          <w:noProof/>
        </w:rPr>
        <w:t xml:space="preserve">Hours should be reported as a separate entry for each eligible health professional, not totalled together and reported as one entry. </w:t>
      </w:r>
    </w:p>
    <w:p w14:paraId="22C06517" w14:textId="15012DAF" w:rsidR="00CF4BBE" w:rsidRPr="00643E95" w:rsidRDefault="00CF4BBE" w:rsidP="00BC4F08">
      <w:pPr>
        <w:pStyle w:val="Heading2numbered"/>
      </w:pPr>
      <w:bookmarkStart w:id="251" w:name="_Toc437932769"/>
      <w:bookmarkStart w:id="252" w:name="_Toc454456863"/>
      <w:bookmarkStart w:id="253" w:name="_Toc490491624"/>
      <w:bookmarkStart w:id="254" w:name="_Toc25157852"/>
      <w:bookmarkStart w:id="255" w:name="_Toc142318456"/>
      <w:bookmarkStart w:id="256" w:name="_Toc197682367"/>
      <w:r w:rsidRPr="00643E95">
        <w:t>Withheld payments</w:t>
      </w:r>
      <w:bookmarkEnd w:id="251"/>
      <w:bookmarkEnd w:id="252"/>
      <w:bookmarkEnd w:id="253"/>
      <w:bookmarkEnd w:id="254"/>
      <w:bookmarkEnd w:id="255"/>
      <w:bookmarkEnd w:id="256"/>
    </w:p>
    <w:p w14:paraId="49F2E2D2" w14:textId="77777777" w:rsidR="00CF4BBE" w:rsidRPr="00C31EF9" w:rsidRDefault="00CF4BBE" w:rsidP="00CF4BBE">
      <w:pPr>
        <w:rPr>
          <w:b/>
          <w:bCs/>
          <w:lang w:val="en-GB"/>
        </w:rPr>
      </w:pPr>
      <w:r w:rsidRPr="00C31EF9">
        <w:t xml:space="preserve">Payments may be withheld for </w:t>
      </w:r>
      <w:proofErr w:type="gramStart"/>
      <w:r w:rsidRPr="00C31EF9">
        <w:t>a number of</w:t>
      </w:r>
      <w:proofErr w:type="gramEnd"/>
      <w:r w:rsidRPr="00C31EF9">
        <w:t xml:space="preserve"> reasons including:</w:t>
      </w:r>
      <w:r w:rsidRPr="00C31EF9">
        <w:rPr>
          <w:b/>
          <w:bCs/>
          <w:lang w:val="en-GB"/>
        </w:rPr>
        <w:t xml:space="preserve"> </w:t>
      </w:r>
    </w:p>
    <w:p w14:paraId="05F4665D" w14:textId="77777777" w:rsidR="00CF4BBE" w:rsidRPr="00E85DFA" w:rsidRDefault="00CF4BBE" w:rsidP="0043055A">
      <w:pPr>
        <w:pStyle w:val="ListBullet"/>
        <w:rPr>
          <w:lang w:val="en"/>
        </w:rPr>
      </w:pPr>
      <w:r w:rsidRPr="008223EA">
        <w:rPr>
          <w:lang w:val="en"/>
        </w:rPr>
        <w:t>the practice failed to return the completed</w:t>
      </w:r>
      <w:r>
        <w:rPr>
          <w:lang w:val="en"/>
        </w:rPr>
        <w:t xml:space="preserve"> QCS </w:t>
      </w:r>
      <w:r w:rsidRPr="008223EA">
        <w:rPr>
          <w:lang w:val="en"/>
        </w:rPr>
        <w:t xml:space="preserve">by the </w:t>
      </w:r>
      <w:r w:rsidRPr="00E85DFA">
        <w:rPr>
          <w:lang w:val="en"/>
        </w:rPr>
        <w:t xml:space="preserve">relevant point-in-time </w:t>
      </w:r>
      <w:proofErr w:type="gramStart"/>
      <w:r w:rsidRPr="00E85DFA">
        <w:rPr>
          <w:lang w:val="en"/>
        </w:rPr>
        <w:t>date;</w:t>
      </w:r>
      <w:proofErr w:type="gramEnd"/>
      <w:r w:rsidRPr="00E85DFA">
        <w:rPr>
          <w:lang w:val="en"/>
        </w:rPr>
        <w:t xml:space="preserve"> </w:t>
      </w:r>
    </w:p>
    <w:p w14:paraId="0C07A99F" w14:textId="5B142FEE" w:rsidR="00CF4BBE" w:rsidRPr="00E85DFA" w:rsidRDefault="00CF4BBE" w:rsidP="0043055A">
      <w:pPr>
        <w:pStyle w:val="ListBullet"/>
        <w:rPr>
          <w:lang w:val="en"/>
        </w:rPr>
      </w:pPr>
      <w:r w:rsidRPr="00E85DFA">
        <w:rPr>
          <w:lang w:val="en"/>
        </w:rPr>
        <w:t>the practice’s accreditation has expired</w:t>
      </w:r>
      <w:r w:rsidR="007A4C63">
        <w:rPr>
          <w:lang w:val="en"/>
        </w:rPr>
        <w:t xml:space="preserve"> or was not current at the point-in-time </w:t>
      </w:r>
      <w:proofErr w:type="gramStart"/>
      <w:r w:rsidR="007A4C63">
        <w:rPr>
          <w:lang w:val="en"/>
        </w:rPr>
        <w:t>date</w:t>
      </w:r>
      <w:r w:rsidRPr="00E85DFA">
        <w:rPr>
          <w:lang w:val="en"/>
        </w:rPr>
        <w:t>;</w:t>
      </w:r>
      <w:proofErr w:type="gramEnd"/>
    </w:p>
    <w:p w14:paraId="1D02F635" w14:textId="77777777" w:rsidR="00CF4BBE" w:rsidRPr="006F214D" w:rsidRDefault="00CF4BBE" w:rsidP="0043055A">
      <w:pPr>
        <w:pStyle w:val="ListBullet"/>
        <w:rPr>
          <w:lang w:val="en"/>
        </w:rPr>
      </w:pPr>
      <w:r w:rsidRPr="00E85DFA">
        <w:rPr>
          <w:lang w:val="en"/>
        </w:rPr>
        <w:t>the practice did not achieve</w:t>
      </w:r>
      <w:r w:rsidRPr="00E85DFA">
        <w:rPr>
          <w:strike/>
          <w:lang w:val="en"/>
        </w:rPr>
        <w:t xml:space="preserve"> </w:t>
      </w:r>
    </w:p>
    <w:p w14:paraId="15AC00A2" w14:textId="4E59F12F" w:rsidR="00CF4BBE" w:rsidRDefault="00CF4BBE" w:rsidP="0043055A">
      <w:pPr>
        <w:pStyle w:val="ListBullet2"/>
        <w:rPr>
          <w:lang w:val="en"/>
        </w:rPr>
      </w:pPr>
      <w:r w:rsidRPr="00E85DFA">
        <w:rPr>
          <w:lang w:val="en"/>
        </w:rPr>
        <w:t>accreditation within 12 months of joining the</w:t>
      </w:r>
      <w:r w:rsidRPr="00E85DFA">
        <w:t xml:space="preserve"> WIP </w:t>
      </w:r>
      <w:r w:rsidR="00054CFB">
        <w:t xml:space="preserve">- </w:t>
      </w:r>
      <w:r w:rsidRPr="00E85DFA">
        <w:t>Practice Stream</w:t>
      </w:r>
      <w:r>
        <w:t>;</w:t>
      </w:r>
      <w:r w:rsidRPr="00E85DFA">
        <w:t xml:space="preserve"> </w:t>
      </w:r>
      <w:r w:rsidRPr="00E85DFA">
        <w:rPr>
          <w:lang w:val="en"/>
        </w:rPr>
        <w:t xml:space="preserve">or </w:t>
      </w:r>
    </w:p>
    <w:p w14:paraId="02A1153B" w14:textId="343B38A7" w:rsidR="00CF4BBE" w:rsidRPr="00E85DFA" w:rsidRDefault="00CF4BBE" w:rsidP="0043055A">
      <w:pPr>
        <w:pStyle w:val="ListBullet2"/>
        <w:rPr>
          <w:lang w:val="en"/>
        </w:rPr>
      </w:pPr>
      <w:r w:rsidRPr="00E85DFA">
        <w:rPr>
          <w:lang w:val="en"/>
        </w:rPr>
        <w:t>for a Practice Incentives Program (PIP) consenting practice,</w:t>
      </w:r>
      <w:r>
        <w:rPr>
          <w:lang w:val="en"/>
        </w:rPr>
        <w:t xml:space="preserve"> </w:t>
      </w:r>
      <w:r w:rsidRPr="00E85DFA">
        <w:rPr>
          <w:lang w:val="en"/>
        </w:rPr>
        <w:t xml:space="preserve">accreditation was not achieved within 12 months of joining the </w:t>
      </w:r>
      <w:proofErr w:type="gramStart"/>
      <w:r w:rsidRPr="00E85DFA">
        <w:rPr>
          <w:lang w:val="en"/>
        </w:rPr>
        <w:t>PIP;</w:t>
      </w:r>
      <w:proofErr w:type="gramEnd"/>
      <w:r w:rsidR="0040686C">
        <w:rPr>
          <w:lang w:val="en"/>
        </w:rPr>
        <w:t xml:space="preserve"> </w:t>
      </w:r>
      <w:r w:rsidR="005A0F07">
        <w:rPr>
          <w:lang w:val="en"/>
        </w:rPr>
        <w:t>if the PIP approval</w:t>
      </w:r>
      <w:r w:rsidR="0040686C">
        <w:rPr>
          <w:lang w:val="en"/>
        </w:rPr>
        <w:t xml:space="preserve"> date is earlier</w:t>
      </w:r>
    </w:p>
    <w:p w14:paraId="78B82BC2" w14:textId="66A5BEC1" w:rsidR="00CF4BBE" w:rsidRPr="000E5F23" w:rsidRDefault="00CF4BBE" w:rsidP="0043055A">
      <w:pPr>
        <w:pStyle w:val="ListBullet"/>
        <w:rPr>
          <w:lang w:val="en"/>
        </w:rPr>
      </w:pPr>
      <w:r w:rsidRPr="00E85DFA">
        <w:rPr>
          <w:lang w:val="en"/>
        </w:rPr>
        <w:t>there has been a change of practice ownership</w:t>
      </w:r>
      <w:r>
        <w:rPr>
          <w:lang w:val="en"/>
        </w:rPr>
        <w:t xml:space="preserve"> and Services Australia was not provided with the details </w:t>
      </w:r>
      <w:r w:rsidR="00C6766B">
        <w:rPr>
          <w:lang w:val="en"/>
        </w:rPr>
        <w:t xml:space="preserve">in time </w:t>
      </w:r>
      <w:r>
        <w:rPr>
          <w:lang w:val="en"/>
        </w:rPr>
        <w:t xml:space="preserve">to </w:t>
      </w:r>
      <w:proofErr w:type="spellStart"/>
      <w:r>
        <w:rPr>
          <w:lang w:val="en"/>
        </w:rPr>
        <w:t>finalise</w:t>
      </w:r>
      <w:proofErr w:type="spellEnd"/>
      <w:r>
        <w:rPr>
          <w:lang w:val="en"/>
        </w:rPr>
        <w:t xml:space="preserve"> the </w:t>
      </w:r>
      <w:proofErr w:type="gramStart"/>
      <w:r>
        <w:rPr>
          <w:lang w:val="en"/>
        </w:rPr>
        <w:t>change</w:t>
      </w:r>
      <w:r w:rsidRPr="00E85DFA">
        <w:rPr>
          <w:lang w:val="en"/>
        </w:rPr>
        <w:t>;</w:t>
      </w:r>
      <w:proofErr w:type="gramEnd"/>
    </w:p>
    <w:p w14:paraId="4C739B94" w14:textId="6942613F" w:rsidR="00CF4BBE" w:rsidRPr="000E5F23" w:rsidRDefault="00CF4BBE" w:rsidP="0043055A">
      <w:pPr>
        <w:pStyle w:val="ListBullet"/>
        <w:rPr>
          <w:lang w:val="en"/>
        </w:rPr>
      </w:pPr>
      <w:r w:rsidRPr="00E85DFA">
        <w:rPr>
          <w:lang w:val="en"/>
        </w:rPr>
        <w:t xml:space="preserve">the practice has </w:t>
      </w:r>
      <w:r w:rsidR="002D027E" w:rsidRPr="00E85DFA">
        <w:rPr>
          <w:lang w:val="en"/>
        </w:rPr>
        <w:t>relocated,</w:t>
      </w:r>
      <w:r>
        <w:rPr>
          <w:lang w:val="en"/>
        </w:rPr>
        <w:t xml:space="preserve"> and Services Australia </w:t>
      </w:r>
      <w:r w:rsidR="00D96E4C">
        <w:rPr>
          <w:lang w:val="en"/>
        </w:rPr>
        <w:t xml:space="preserve">needs your updated accreditation certificate for the new </w:t>
      </w:r>
      <w:proofErr w:type="gramStart"/>
      <w:r w:rsidR="00D96E4C">
        <w:rPr>
          <w:lang w:val="en"/>
        </w:rPr>
        <w:t>location</w:t>
      </w:r>
      <w:r w:rsidR="00D96E4C" w:rsidRPr="00E85DFA">
        <w:rPr>
          <w:lang w:val="en"/>
        </w:rPr>
        <w:t>;</w:t>
      </w:r>
      <w:proofErr w:type="gramEnd"/>
      <w:r w:rsidR="00D96E4C">
        <w:rPr>
          <w:lang w:val="en"/>
        </w:rPr>
        <w:t xml:space="preserve"> </w:t>
      </w:r>
    </w:p>
    <w:p w14:paraId="0A244F1E" w14:textId="77777777" w:rsidR="00CF4BBE" w:rsidRPr="00E85DFA" w:rsidRDefault="00CF4BBE" w:rsidP="0043055A">
      <w:pPr>
        <w:pStyle w:val="ListBullet"/>
        <w:rPr>
          <w:lang w:val="en"/>
        </w:rPr>
      </w:pPr>
      <w:r w:rsidRPr="00E85DFA">
        <w:rPr>
          <w:lang w:val="en"/>
        </w:rPr>
        <w:t xml:space="preserve">the practice no longer employs a general </w:t>
      </w:r>
      <w:proofErr w:type="gramStart"/>
      <w:r w:rsidRPr="00E85DFA">
        <w:rPr>
          <w:lang w:val="en"/>
        </w:rPr>
        <w:t>practitioner;</w:t>
      </w:r>
      <w:proofErr w:type="gramEnd"/>
    </w:p>
    <w:p w14:paraId="2DFBD6EA" w14:textId="77777777" w:rsidR="00CF4BBE" w:rsidRPr="00E85DFA" w:rsidRDefault="00CF4BBE" w:rsidP="0043055A">
      <w:pPr>
        <w:pStyle w:val="ListBullet"/>
        <w:rPr>
          <w:lang w:val="en"/>
        </w:rPr>
      </w:pPr>
      <w:r w:rsidRPr="00E85DFA">
        <w:rPr>
          <w:lang w:val="en"/>
        </w:rPr>
        <w:t>the practice no longer employs</w:t>
      </w:r>
      <w:r>
        <w:rPr>
          <w:lang w:val="en"/>
        </w:rPr>
        <w:t xml:space="preserve"> or</w:t>
      </w:r>
      <w:r w:rsidRPr="00E85DFA">
        <w:rPr>
          <w:lang w:val="en"/>
        </w:rPr>
        <w:t xml:space="preserve"> engages an eligible health </w:t>
      </w:r>
      <w:proofErr w:type="gramStart"/>
      <w:r w:rsidRPr="00E85DFA">
        <w:rPr>
          <w:lang w:val="en"/>
        </w:rPr>
        <w:t>professional;</w:t>
      </w:r>
      <w:proofErr w:type="gramEnd"/>
    </w:p>
    <w:p w14:paraId="31709E82" w14:textId="77F61072" w:rsidR="00CF4BBE" w:rsidRPr="008223EA" w:rsidRDefault="00ED3DB1" w:rsidP="0043055A">
      <w:pPr>
        <w:pStyle w:val="ListBullet"/>
        <w:rPr>
          <w:lang w:val="en"/>
        </w:rPr>
      </w:pPr>
      <w:r>
        <w:rPr>
          <w:lang w:val="en"/>
        </w:rPr>
        <w:t xml:space="preserve">the average </w:t>
      </w:r>
      <w:r w:rsidR="0040686C">
        <w:rPr>
          <w:lang w:val="en"/>
        </w:rPr>
        <w:t xml:space="preserve">weekly </w:t>
      </w:r>
      <w:r>
        <w:rPr>
          <w:lang w:val="en"/>
        </w:rPr>
        <w:t xml:space="preserve">hours for a registered nurse supervising </w:t>
      </w:r>
      <w:r w:rsidR="00CF4BBE" w:rsidRPr="008223EA">
        <w:rPr>
          <w:lang w:val="en"/>
        </w:rPr>
        <w:t xml:space="preserve">an enrolled nurse </w:t>
      </w:r>
      <w:r>
        <w:rPr>
          <w:lang w:val="en"/>
        </w:rPr>
        <w:t>were not reported</w:t>
      </w:r>
      <w:r w:rsidR="00CF4BBE" w:rsidRPr="008223EA">
        <w:rPr>
          <w:lang w:val="en"/>
        </w:rPr>
        <w:t xml:space="preserve"> (</w:t>
      </w:r>
      <w:r>
        <w:rPr>
          <w:lang w:val="en"/>
        </w:rPr>
        <w:t xml:space="preserve">enrolled nurses can be supervised </w:t>
      </w:r>
      <w:r w:rsidR="00CF4BBE" w:rsidRPr="008223EA">
        <w:rPr>
          <w:lang w:val="en"/>
        </w:rPr>
        <w:t>either directly or indirectly</w:t>
      </w:r>
      <w:proofErr w:type="gramStart"/>
      <w:r w:rsidR="00CF4BBE" w:rsidRPr="008223EA">
        <w:rPr>
          <w:lang w:val="en"/>
        </w:rPr>
        <w:t>)</w:t>
      </w:r>
      <w:r w:rsidR="00CF4BBE">
        <w:rPr>
          <w:lang w:val="en"/>
        </w:rPr>
        <w:t>;</w:t>
      </w:r>
      <w:proofErr w:type="gramEnd"/>
    </w:p>
    <w:p w14:paraId="487DB05A" w14:textId="77777777" w:rsidR="00CF4BBE" w:rsidRPr="008223EA" w:rsidRDefault="00CF4BBE" w:rsidP="0043055A">
      <w:pPr>
        <w:pStyle w:val="ListBullet"/>
        <w:rPr>
          <w:lang w:val="en"/>
        </w:rPr>
      </w:pPr>
      <w:r w:rsidRPr="008223EA">
        <w:rPr>
          <w:lang w:val="en"/>
        </w:rPr>
        <w:t xml:space="preserve">the practice or health professionals do not have the required </w:t>
      </w:r>
      <w:proofErr w:type="gramStart"/>
      <w:r w:rsidRPr="008223EA">
        <w:rPr>
          <w:lang w:val="en"/>
        </w:rPr>
        <w:t>insurances</w:t>
      </w:r>
      <w:r>
        <w:rPr>
          <w:lang w:val="en"/>
        </w:rPr>
        <w:t>;</w:t>
      </w:r>
      <w:proofErr w:type="gramEnd"/>
    </w:p>
    <w:p w14:paraId="18E33F58" w14:textId="77777777" w:rsidR="00CF4BBE" w:rsidRDefault="00CF4BBE" w:rsidP="0043055A">
      <w:pPr>
        <w:pStyle w:val="ListBullet"/>
        <w:rPr>
          <w:lang w:val="en"/>
        </w:rPr>
      </w:pPr>
      <w:r w:rsidRPr="008223EA">
        <w:rPr>
          <w:lang w:val="en"/>
        </w:rPr>
        <w:t>there are incomplete or inaccurate practic</w:t>
      </w:r>
      <w:r>
        <w:rPr>
          <w:lang w:val="en"/>
        </w:rPr>
        <w:t xml:space="preserve">e </w:t>
      </w:r>
      <w:proofErr w:type="gramStart"/>
      <w:r>
        <w:rPr>
          <w:lang w:val="en"/>
        </w:rPr>
        <w:t>details;</w:t>
      </w:r>
      <w:proofErr w:type="gramEnd"/>
    </w:p>
    <w:p w14:paraId="6101D3DB" w14:textId="77777777" w:rsidR="00CF4BBE" w:rsidRDefault="00CF4BBE" w:rsidP="0043055A">
      <w:pPr>
        <w:pStyle w:val="ListBullet"/>
        <w:rPr>
          <w:lang w:val="en"/>
        </w:rPr>
      </w:pPr>
      <w:r w:rsidRPr="008223EA">
        <w:rPr>
          <w:lang w:val="en"/>
        </w:rPr>
        <w:lastRenderedPageBreak/>
        <w:t>there have been significant changes in practice data</w:t>
      </w:r>
      <w:r>
        <w:rPr>
          <w:lang w:val="en"/>
        </w:rPr>
        <w:t xml:space="preserve">; </w:t>
      </w:r>
      <w:r w:rsidRPr="008223EA">
        <w:rPr>
          <w:lang w:val="en"/>
        </w:rPr>
        <w:t>and/or</w:t>
      </w:r>
    </w:p>
    <w:p w14:paraId="1E295DF0" w14:textId="77777777" w:rsidR="00CF4BBE" w:rsidRPr="00164043" w:rsidRDefault="00CF4BBE" w:rsidP="0043055A">
      <w:pPr>
        <w:pStyle w:val="ListBullet"/>
        <w:rPr>
          <w:lang w:val="en"/>
        </w:rPr>
      </w:pPr>
      <w:r w:rsidRPr="008223EA">
        <w:rPr>
          <w:lang w:val="en"/>
        </w:rPr>
        <w:t>non-compliance</w:t>
      </w:r>
      <w:r>
        <w:rPr>
          <w:lang w:val="en"/>
        </w:rPr>
        <w:t>.</w:t>
      </w:r>
    </w:p>
    <w:p w14:paraId="340590D0" w14:textId="0F54849E" w:rsidR="00CF4BBE" w:rsidRPr="005E5EA1" w:rsidRDefault="00CF4BBE" w:rsidP="00CF4BBE">
      <w:r w:rsidRPr="008223EA">
        <w:t xml:space="preserve">If a practice’s payment has been withheld, </w:t>
      </w:r>
      <w:r>
        <w:t>Services Australia</w:t>
      </w:r>
      <w:r w:rsidRPr="008223EA">
        <w:t xml:space="preserve"> will </w:t>
      </w:r>
      <w:r w:rsidR="00CE5D04">
        <w:t xml:space="preserve">advise </w:t>
      </w:r>
      <w:r>
        <w:t xml:space="preserve">the practice </w:t>
      </w:r>
      <w:r w:rsidRPr="00E85DFA">
        <w:t xml:space="preserve">in writing </w:t>
      </w:r>
      <w:r w:rsidR="00CE5D04">
        <w:t>about the</w:t>
      </w:r>
      <w:r w:rsidR="00CE5D04" w:rsidRPr="008223EA">
        <w:t xml:space="preserve"> </w:t>
      </w:r>
      <w:r w:rsidRPr="008223EA">
        <w:t xml:space="preserve">information </w:t>
      </w:r>
      <w:r w:rsidR="00CE5D04">
        <w:t xml:space="preserve">that </w:t>
      </w:r>
      <w:r w:rsidRPr="008223EA">
        <w:t xml:space="preserve">is required for payments to be released. </w:t>
      </w:r>
    </w:p>
    <w:p w14:paraId="5491401F" w14:textId="1FD01D42" w:rsidR="00CF4BBE" w:rsidRPr="00643E95" w:rsidRDefault="00CF4BBE" w:rsidP="00BC4F08">
      <w:pPr>
        <w:pStyle w:val="Heading2numbered"/>
      </w:pPr>
      <w:bookmarkStart w:id="257" w:name="_3.65_Withheld_payments"/>
      <w:bookmarkStart w:id="258" w:name="_Toc25157853"/>
      <w:bookmarkStart w:id="259" w:name="_Toc142318457"/>
      <w:bookmarkStart w:id="260" w:name="_Toc197682368"/>
      <w:bookmarkEnd w:id="257"/>
      <w:r w:rsidRPr="006F214D">
        <w:t>Withheld payments for 3 consecutive quarters</w:t>
      </w:r>
      <w:bookmarkEnd w:id="258"/>
      <w:r w:rsidR="00F942C7">
        <w:t xml:space="preserve"> (three quarter rule)</w:t>
      </w:r>
      <w:bookmarkEnd w:id="259"/>
      <w:bookmarkEnd w:id="260"/>
    </w:p>
    <w:p w14:paraId="25DC3F78" w14:textId="099D6941" w:rsidR="00F942C7" w:rsidRDefault="00F942C7" w:rsidP="006113FC">
      <w:pPr>
        <w:pStyle w:val="Revision"/>
        <w:spacing w:after="256"/>
        <w:rPr>
          <w:noProof/>
        </w:rPr>
      </w:pPr>
      <w:r w:rsidRPr="006748D1">
        <w:rPr>
          <w:noProof/>
        </w:rPr>
        <w:t xml:space="preserve">Where payments have been $0 or withheld for three consecutive payment quarters, the practice may be withdrawn from the WIP </w:t>
      </w:r>
      <w:r w:rsidR="00A008AC">
        <w:rPr>
          <w:noProof/>
        </w:rPr>
        <w:t>-</w:t>
      </w:r>
      <w:r w:rsidRPr="006748D1">
        <w:rPr>
          <w:noProof/>
        </w:rPr>
        <w:t xml:space="preserve"> Practice Stream and incentive payments will be </w:t>
      </w:r>
      <w:r>
        <w:rPr>
          <w:noProof/>
        </w:rPr>
        <w:t>ceased</w:t>
      </w:r>
      <w:r w:rsidRPr="006748D1">
        <w:rPr>
          <w:noProof/>
        </w:rPr>
        <w:t>.</w:t>
      </w:r>
    </w:p>
    <w:p w14:paraId="2B81D57F" w14:textId="166DB94C" w:rsidR="00E31430" w:rsidRPr="005E5EA1" w:rsidRDefault="00E31430" w:rsidP="00E31430">
      <w:r>
        <w:t>Withdrawn p</w:t>
      </w:r>
      <w:r w:rsidRPr="005E5EA1">
        <w:t xml:space="preserve">ractices </w:t>
      </w:r>
      <w:r>
        <w:t>may choose to</w:t>
      </w:r>
      <w:r w:rsidRPr="005E5EA1">
        <w:t xml:space="preserve"> apply to re-join the </w:t>
      </w:r>
      <w:r>
        <w:t xml:space="preserve">WIP </w:t>
      </w:r>
      <w:r w:rsidR="00A008AC">
        <w:t>-</w:t>
      </w:r>
      <w:r>
        <w:t xml:space="preserve"> Practice Stream. The practice must meet all eligibility criteria at the time of </w:t>
      </w:r>
      <w:r w:rsidR="006E5F9F">
        <w:t>applying</w:t>
      </w:r>
      <w:r>
        <w:t>, including being</w:t>
      </w:r>
      <w:r w:rsidRPr="005E5EA1">
        <w:t xml:space="preserve"> fully accredited to be eligible to participate. Any previous </w:t>
      </w:r>
      <w:r>
        <w:t xml:space="preserve">withheld </w:t>
      </w:r>
      <w:r w:rsidRPr="005E5EA1">
        <w:t>payments are forfeited.</w:t>
      </w:r>
    </w:p>
    <w:p w14:paraId="2EE83830" w14:textId="7DED31BC" w:rsidR="00E31430" w:rsidRDefault="00E31430" w:rsidP="00E31430">
      <w:r w:rsidRPr="005E5EA1">
        <w:t xml:space="preserve">If a practice </w:t>
      </w:r>
      <w:r>
        <w:t xml:space="preserve">does </w:t>
      </w:r>
      <w:r w:rsidRPr="005E5EA1">
        <w:t>re-appl</w:t>
      </w:r>
      <w:r>
        <w:t>y</w:t>
      </w:r>
      <w:r w:rsidRPr="005E5EA1">
        <w:t xml:space="preserve">, payments will recommence </w:t>
      </w:r>
      <w:r w:rsidRPr="00DF22A8">
        <w:t>from the</w:t>
      </w:r>
      <w:r>
        <w:t xml:space="preserve"> </w:t>
      </w:r>
      <w:r w:rsidRPr="00DF22A8">
        <w:t>first point-in-time date</w:t>
      </w:r>
      <w:r w:rsidRPr="005E5EA1">
        <w:t xml:space="preserve"> following the date the </w:t>
      </w:r>
      <w:r w:rsidRPr="00E85DFA">
        <w:t xml:space="preserve">practice meets </w:t>
      </w:r>
      <w:r w:rsidRPr="005E5EA1">
        <w:t>all eligibility requirements and is approved to par</w:t>
      </w:r>
      <w:r>
        <w:t>ticipate in the</w:t>
      </w:r>
      <w:r w:rsidRPr="00DB78A4">
        <w:t xml:space="preserve"> </w:t>
      </w:r>
      <w:r>
        <w:t xml:space="preserve">WIP </w:t>
      </w:r>
      <w:r w:rsidR="00A008AC">
        <w:t>-</w:t>
      </w:r>
      <w:r>
        <w:t xml:space="preserve"> Practice Stream</w:t>
      </w:r>
      <w:r w:rsidRPr="005E5EA1">
        <w:t>.</w:t>
      </w:r>
    </w:p>
    <w:p w14:paraId="6E2D79A7" w14:textId="11D63D81" w:rsidR="00CE5D04" w:rsidRDefault="00E31430" w:rsidP="006748D1">
      <w:r w:rsidRPr="00287816">
        <w:t xml:space="preserve">Practices approved to re-join the program </w:t>
      </w:r>
      <w:r>
        <w:t xml:space="preserve">will have their eligibility </w:t>
      </w:r>
      <w:r w:rsidRPr="00287816">
        <w:rPr>
          <w:lang w:val="en-US"/>
        </w:rPr>
        <w:t xml:space="preserve">to use the practice’s historical data and </w:t>
      </w:r>
      <w:r w:rsidRPr="00425F18">
        <w:t>SWPE</w:t>
      </w:r>
      <w:r>
        <w:rPr>
          <w:lang w:val="en-US"/>
        </w:rPr>
        <w:t xml:space="preserve"> </w:t>
      </w:r>
      <w:r>
        <w:t>value assessed</w:t>
      </w:r>
      <w:r w:rsidRPr="00287816">
        <w:rPr>
          <w:lang w:val="en-US"/>
        </w:rPr>
        <w:t>.</w:t>
      </w:r>
      <w:r w:rsidRPr="00287816">
        <w:t xml:space="preserve"> </w:t>
      </w:r>
      <w:r>
        <w:t>Eligibility will depend on the practice’s individual circumstances.</w:t>
      </w:r>
      <w:r w:rsidRPr="005E5EA1" w:rsidDel="00E31430">
        <w:t xml:space="preserve"> </w:t>
      </w:r>
      <w:bookmarkStart w:id="261" w:name="_Toc25157854"/>
    </w:p>
    <w:p w14:paraId="52488BFE" w14:textId="0512A337" w:rsidR="00CF4BBE" w:rsidRPr="00643E95" w:rsidRDefault="00CF4BBE" w:rsidP="00BC4F08">
      <w:pPr>
        <w:pStyle w:val="Heading2numbered"/>
      </w:pPr>
      <w:bookmarkStart w:id="262" w:name="_Toc142318458"/>
      <w:bookmarkStart w:id="263" w:name="_Toc197682369"/>
      <w:r w:rsidRPr="00643E95">
        <w:t>Recovery of payments</w:t>
      </w:r>
      <w:bookmarkEnd w:id="261"/>
      <w:bookmarkEnd w:id="262"/>
      <w:bookmarkEnd w:id="263"/>
    </w:p>
    <w:p w14:paraId="3AEA0780" w14:textId="4713F1CD" w:rsidR="00E31430" w:rsidRPr="00F30682" w:rsidRDefault="00E31430" w:rsidP="00E31430">
      <w:r>
        <w:t xml:space="preserve">If WIP </w:t>
      </w:r>
      <w:r w:rsidR="00A008AC">
        <w:t>-</w:t>
      </w:r>
      <w:r>
        <w:t xml:space="preserve"> </w:t>
      </w:r>
      <w:r w:rsidRPr="00F30682">
        <w:t xml:space="preserve">Practice Stream payments have been made </w:t>
      </w:r>
      <w:proofErr w:type="gramStart"/>
      <w:r w:rsidRPr="00F30682">
        <w:t>as a result of</w:t>
      </w:r>
      <w:proofErr w:type="gramEnd"/>
      <w:r w:rsidRPr="00F30682">
        <w:t xml:space="preserve"> an administrative error</w:t>
      </w:r>
      <w:r>
        <w:t xml:space="preserve"> (either by the practice or Services Australia)</w:t>
      </w:r>
      <w:r w:rsidRPr="00F30682">
        <w:t xml:space="preserve"> or inappropriate claiming</w:t>
      </w:r>
      <w:r>
        <w:t xml:space="preserve"> by the practice</w:t>
      </w:r>
      <w:r w:rsidRPr="00F30682">
        <w:t xml:space="preserve">, </w:t>
      </w:r>
      <w:r>
        <w:t xml:space="preserve">Services </w:t>
      </w:r>
      <w:r w:rsidRPr="00F9726F">
        <w:t xml:space="preserve">Australia </w:t>
      </w:r>
      <w:r w:rsidRPr="006748D1">
        <w:t>or Health</w:t>
      </w:r>
      <w:r w:rsidRPr="00F9726F">
        <w:t xml:space="preserve"> may seek</w:t>
      </w:r>
      <w:r>
        <w:t xml:space="preserve"> to recover these payments.</w:t>
      </w:r>
    </w:p>
    <w:p w14:paraId="3F2E7E49" w14:textId="6F5BBC71" w:rsidR="00E31430" w:rsidRDefault="00E31430" w:rsidP="00E31430">
      <w:r w:rsidRPr="009A6A8C">
        <w:t>Practices will receive a payment advice outlining the practice and payment details following each payment. Practic</w:t>
      </w:r>
      <w:r>
        <w:t xml:space="preserve">es should check that their WIP </w:t>
      </w:r>
      <w:r w:rsidR="00A008AC">
        <w:t>-</w:t>
      </w:r>
      <w:r>
        <w:t xml:space="preserve"> Practice Stream </w:t>
      </w:r>
      <w:r w:rsidRPr="009A6A8C">
        <w:t>payment advice is correct.</w:t>
      </w:r>
    </w:p>
    <w:p w14:paraId="75AF869D" w14:textId="77777777" w:rsidR="00E31430" w:rsidRDefault="00E31430" w:rsidP="00E31430">
      <w:pPr>
        <w:rPr>
          <w:lang w:val="en-GB"/>
        </w:rPr>
      </w:pPr>
      <w:r w:rsidRPr="009A6A8C">
        <w:rPr>
          <w:lang w:val="en-GB"/>
        </w:rPr>
        <w:t xml:space="preserve">Practices may have to pay back any payments received incorrectly </w:t>
      </w:r>
      <w:r>
        <w:rPr>
          <w:lang w:val="en-GB"/>
        </w:rPr>
        <w:t>if they:</w:t>
      </w:r>
    </w:p>
    <w:p w14:paraId="69CC3BE7" w14:textId="77777777" w:rsidR="00E31430" w:rsidRPr="0050282D" w:rsidRDefault="00E31430" w:rsidP="0043055A">
      <w:pPr>
        <w:pStyle w:val="ListBullet"/>
        <w:rPr>
          <w:lang w:val="en"/>
        </w:rPr>
      </w:pPr>
      <w:r w:rsidRPr="0050282D">
        <w:rPr>
          <w:lang w:val="en"/>
        </w:rPr>
        <w:t>make false or misleading claims</w:t>
      </w:r>
      <w:r>
        <w:rPr>
          <w:lang w:val="en"/>
        </w:rPr>
        <w:t>;</w:t>
      </w:r>
      <w:r w:rsidRPr="0050282D">
        <w:rPr>
          <w:lang w:val="en"/>
        </w:rPr>
        <w:t xml:space="preserve"> or </w:t>
      </w:r>
    </w:p>
    <w:p w14:paraId="5B230B52" w14:textId="0EF236BF" w:rsidR="00E31430" w:rsidRDefault="00E31430" w:rsidP="0043055A">
      <w:pPr>
        <w:pStyle w:val="ListBullet"/>
      </w:pPr>
      <w:r>
        <w:rPr>
          <w:lang w:val="en"/>
        </w:rPr>
        <w:t>fail to notify Services Australia</w:t>
      </w:r>
      <w:r w:rsidRPr="00EA46F7">
        <w:rPr>
          <w:lang w:val="en"/>
        </w:rPr>
        <w:t xml:space="preserve"> </w:t>
      </w:r>
      <w:r w:rsidRPr="0050282D">
        <w:rPr>
          <w:lang w:val="en"/>
        </w:rPr>
        <w:t>of any changes which affect t</w:t>
      </w:r>
      <w:r>
        <w:rPr>
          <w:lang w:val="en"/>
        </w:rPr>
        <w:t xml:space="preserve">heir eligibility to receive </w:t>
      </w:r>
      <w:r w:rsidR="00A008AC">
        <w:rPr>
          <w:lang w:val="en"/>
        </w:rPr>
        <w:br/>
      </w:r>
      <w:r>
        <w:t xml:space="preserve">WIP </w:t>
      </w:r>
      <w:r w:rsidR="00A008AC">
        <w:t>-</w:t>
      </w:r>
      <w:r>
        <w:t xml:space="preserve"> Practice Stream </w:t>
      </w:r>
      <w:r w:rsidRPr="0050282D">
        <w:rPr>
          <w:lang w:val="en"/>
        </w:rPr>
        <w:t>payments</w:t>
      </w:r>
      <w:r>
        <w:rPr>
          <w:lang w:val="en"/>
        </w:rPr>
        <w:t>.</w:t>
      </w:r>
    </w:p>
    <w:p w14:paraId="59815956" w14:textId="465B4939" w:rsidR="00CF4BBE" w:rsidRDefault="00CF4BBE" w:rsidP="00D60DD3">
      <w:pPr>
        <w:pStyle w:val="Heading1numbered"/>
      </w:pPr>
      <w:bookmarkStart w:id="264" w:name="_Toc529284554"/>
      <w:bookmarkStart w:id="265" w:name="_Toc529284785"/>
      <w:bookmarkStart w:id="266" w:name="_Toc25157855"/>
      <w:bookmarkStart w:id="267" w:name="_Toc142318459"/>
      <w:bookmarkStart w:id="268" w:name="_Toc197682370"/>
      <w:r>
        <w:t xml:space="preserve">Calculating WIP </w:t>
      </w:r>
      <w:r w:rsidR="00A008AC">
        <w:t xml:space="preserve">- </w:t>
      </w:r>
      <w:r>
        <w:t>Practice Stream payment</w:t>
      </w:r>
      <w:bookmarkEnd w:id="264"/>
      <w:bookmarkEnd w:id="265"/>
      <w:r>
        <w:t>s</w:t>
      </w:r>
      <w:bookmarkEnd w:id="266"/>
      <w:bookmarkEnd w:id="267"/>
      <w:bookmarkEnd w:id="268"/>
    </w:p>
    <w:p w14:paraId="4F64C325" w14:textId="370C31C0" w:rsidR="00E31430" w:rsidRDefault="00E31430" w:rsidP="00E31430">
      <w:r w:rsidRPr="000161F4">
        <w:t xml:space="preserve">The incentive payment amount a general practice </w:t>
      </w:r>
      <w:r>
        <w:t xml:space="preserve">is eligible to </w:t>
      </w:r>
      <w:r w:rsidRPr="000161F4">
        <w:t>receive depends on</w:t>
      </w:r>
      <w:r>
        <w:t xml:space="preserve"> </w:t>
      </w:r>
      <w:proofErr w:type="gramStart"/>
      <w:r>
        <w:t>a number of</w:t>
      </w:r>
      <w:proofErr w:type="gramEnd"/>
      <w:r w:rsidR="0058770B">
        <w:t xml:space="preserve"> </w:t>
      </w:r>
      <w:r>
        <w:t xml:space="preserve">factors, including: </w:t>
      </w:r>
    </w:p>
    <w:p w14:paraId="679F45F2" w14:textId="77777777" w:rsidR="00E31430" w:rsidRDefault="00E31430" w:rsidP="0043055A">
      <w:pPr>
        <w:pStyle w:val="ListBullet"/>
      </w:pPr>
      <w:r>
        <w:lastRenderedPageBreak/>
        <w:t xml:space="preserve">the type of </w:t>
      </w:r>
      <w:proofErr w:type="gramStart"/>
      <w:r>
        <w:t>practice;</w:t>
      </w:r>
      <w:proofErr w:type="gramEnd"/>
    </w:p>
    <w:p w14:paraId="644B3725" w14:textId="77777777" w:rsidR="00E31430" w:rsidRDefault="00E31430" w:rsidP="0043055A">
      <w:pPr>
        <w:pStyle w:val="ListBullet"/>
      </w:pPr>
      <w:r>
        <w:t xml:space="preserve">the practice </w:t>
      </w:r>
      <w:proofErr w:type="gramStart"/>
      <w:r>
        <w:t>location;</w:t>
      </w:r>
      <w:proofErr w:type="gramEnd"/>
    </w:p>
    <w:p w14:paraId="348F654D" w14:textId="77777777" w:rsidR="00E31430" w:rsidRDefault="00E31430" w:rsidP="0043055A">
      <w:pPr>
        <w:pStyle w:val="ListBullet"/>
      </w:pPr>
      <w:r w:rsidRPr="000161F4">
        <w:t xml:space="preserve">the practice’s SWPE </w:t>
      </w:r>
      <w:proofErr w:type="gramStart"/>
      <w:r w:rsidRPr="000161F4">
        <w:t>value</w:t>
      </w:r>
      <w:r>
        <w:t>;</w:t>
      </w:r>
      <w:proofErr w:type="gramEnd"/>
    </w:p>
    <w:p w14:paraId="7C2E1329" w14:textId="17B0F4CB" w:rsidR="00E31430" w:rsidRDefault="00E31430" w:rsidP="0043055A">
      <w:pPr>
        <w:pStyle w:val="ListBullet"/>
      </w:pPr>
      <w:r w:rsidRPr="000161F4">
        <w:t>the type of eligible health professional</w:t>
      </w:r>
      <w:r w:rsidR="00C220B5">
        <w:t>(</w:t>
      </w:r>
      <w:r>
        <w:t>s</w:t>
      </w:r>
      <w:r w:rsidR="00C220B5">
        <w:t>)</w:t>
      </w:r>
      <w:r w:rsidRPr="000161F4">
        <w:t xml:space="preserve"> engaged</w:t>
      </w:r>
      <w:r>
        <w:t>; and</w:t>
      </w:r>
    </w:p>
    <w:p w14:paraId="0EA20415" w14:textId="0DD901D7" w:rsidR="00E31430" w:rsidRPr="000161F4" w:rsidRDefault="00E31430" w:rsidP="0043055A">
      <w:pPr>
        <w:pStyle w:val="ListBullet"/>
      </w:pPr>
      <w:r w:rsidRPr="000161F4">
        <w:t>the average weekly hours</w:t>
      </w:r>
      <w:r>
        <w:t xml:space="preserve"> worked by</w:t>
      </w:r>
      <w:r w:rsidRPr="000161F4">
        <w:t xml:space="preserve"> </w:t>
      </w:r>
      <w:r>
        <w:t>eligible health professionals</w:t>
      </w:r>
      <w:r w:rsidRPr="000161F4">
        <w:t xml:space="preserve"> at the practice over the quarter. </w:t>
      </w:r>
    </w:p>
    <w:p w14:paraId="755637C9" w14:textId="77777777" w:rsidR="00CF4BBE" w:rsidRPr="003E1DD8" w:rsidRDefault="00CF4BBE" w:rsidP="00CF4BBE">
      <w:r>
        <w:t xml:space="preserve">A </w:t>
      </w:r>
      <w:r w:rsidRPr="003E1DD8">
        <w:t>practice may be eligible to receive incentive payments of:</w:t>
      </w:r>
      <w:r>
        <w:t xml:space="preserve"> </w:t>
      </w:r>
    </w:p>
    <w:p w14:paraId="07A70745" w14:textId="6AA4FC2D" w:rsidR="00CF4BBE" w:rsidRPr="004D7C0D" w:rsidRDefault="00B903FD" w:rsidP="0043055A">
      <w:pPr>
        <w:pStyle w:val="ListBullet"/>
        <w:rPr>
          <w:lang w:val="en"/>
        </w:rPr>
      </w:pPr>
      <w:r w:rsidRPr="002C0DEF">
        <w:t>$34,343.9</w:t>
      </w:r>
      <w:r>
        <w:t xml:space="preserve">0 </w:t>
      </w:r>
      <w:r w:rsidR="00CF4BBE" w:rsidRPr="004D7C0D">
        <w:rPr>
          <w:lang w:val="en"/>
        </w:rPr>
        <w:t xml:space="preserve">per year per SWPE </w:t>
      </w:r>
      <w:r w:rsidR="00CF4BBE">
        <w:rPr>
          <w:lang w:val="en"/>
        </w:rPr>
        <w:t xml:space="preserve">value of 1,000 </w:t>
      </w:r>
      <w:r w:rsidR="00CF4BBE" w:rsidRPr="004D7C0D">
        <w:rPr>
          <w:lang w:val="en"/>
        </w:rPr>
        <w:t xml:space="preserve">where a </w:t>
      </w:r>
      <w:r w:rsidR="00CF4BBE">
        <w:rPr>
          <w:lang w:val="en"/>
        </w:rPr>
        <w:t xml:space="preserve">nurse practitioner, </w:t>
      </w:r>
      <w:r w:rsidR="00CF4BBE" w:rsidRPr="004D7C0D">
        <w:rPr>
          <w:lang w:val="en"/>
        </w:rPr>
        <w:t>registered nurse</w:t>
      </w:r>
      <w:r w:rsidR="00CF4BBE">
        <w:rPr>
          <w:lang w:val="en"/>
        </w:rPr>
        <w:t xml:space="preserve">, </w:t>
      </w:r>
      <w:r w:rsidR="00F47196">
        <w:rPr>
          <w:lang w:val="en"/>
        </w:rPr>
        <w:t xml:space="preserve">midwife, </w:t>
      </w:r>
      <w:r w:rsidR="004374E1">
        <w:rPr>
          <w:lang w:val="en"/>
        </w:rPr>
        <w:t>and/</w:t>
      </w:r>
      <w:r w:rsidR="00CF4BBE" w:rsidRPr="004D7C0D">
        <w:rPr>
          <w:lang w:val="en"/>
        </w:rPr>
        <w:t>or allied health professional work</w:t>
      </w:r>
      <w:r w:rsidR="00344A06">
        <w:rPr>
          <w:lang w:val="en"/>
        </w:rPr>
        <w:t xml:space="preserve"> a combined total of</w:t>
      </w:r>
      <w:r w:rsidR="00CF4BBE" w:rsidRPr="004D7C0D">
        <w:rPr>
          <w:lang w:val="en"/>
        </w:rPr>
        <w:t xml:space="preserve"> at least 12 hours and 40 </w:t>
      </w:r>
      <w:r w:rsidR="00CF4BBE">
        <w:rPr>
          <w:lang w:val="en"/>
        </w:rPr>
        <w:t>minutes per week;</w:t>
      </w:r>
      <w:r w:rsidR="00CF4BBE" w:rsidRPr="004D7C0D">
        <w:rPr>
          <w:lang w:val="en"/>
        </w:rPr>
        <w:t xml:space="preserve"> and</w:t>
      </w:r>
    </w:p>
    <w:p w14:paraId="2DCE8F40" w14:textId="0761BDB9" w:rsidR="00CF4BBE" w:rsidRPr="00164043" w:rsidRDefault="00B903FD" w:rsidP="0043055A">
      <w:pPr>
        <w:pStyle w:val="ListBullet"/>
        <w:rPr>
          <w:lang w:val="en"/>
        </w:rPr>
      </w:pPr>
      <w:r w:rsidRPr="002C0DEF">
        <w:t>$17,171.9</w:t>
      </w:r>
      <w:r w:rsidR="00816E6A">
        <w:t>5</w:t>
      </w:r>
      <w:r>
        <w:t xml:space="preserve"> </w:t>
      </w:r>
      <w:r w:rsidR="00CF4BBE" w:rsidRPr="004D7C0D">
        <w:rPr>
          <w:lang w:val="en"/>
        </w:rPr>
        <w:t xml:space="preserve">per year per SWPE </w:t>
      </w:r>
      <w:r w:rsidR="00CF4BBE">
        <w:rPr>
          <w:lang w:val="en"/>
        </w:rPr>
        <w:t xml:space="preserve">value of 1,000 </w:t>
      </w:r>
      <w:r w:rsidR="00CF4BBE" w:rsidRPr="004D7C0D">
        <w:rPr>
          <w:lang w:val="en"/>
        </w:rPr>
        <w:t>where a</w:t>
      </w:r>
      <w:r w:rsidR="00344A06">
        <w:rPr>
          <w:lang w:val="en"/>
        </w:rPr>
        <w:t xml:space="preserve"> supervised</w:t>
      </w:r>
      <w:r w:rsidR="00CF4BBE" w:rsidRPr="004D7C0D">
        <w:rPr>
          <w:lang w:val="en"/>
        </w:rPr>
        <w:t xml:space="preserve"> enrolled nurse, Aboriginal and Torres Strait Islander Health Worker and/or Aboriginal and Torres Strait Islander Health Practitioner work</w:t>
      </w:r>
      <w:r w:rsidR="00344A06">
        <w:rPr>
          <w:lang w:val="en"/>
        </w:rPr>
        <w:t xml:space="preserve"> a combined total of</w:t>
      </w:r>
      <w:r w:rsidR="00CF4BBE" w:rsidRPr="004D7C0D">
        <w:rPr>
          <w:lang w:val="en"/>
        </w:rPr>
        <w:t xml:space="preserve"> at least 12 hours and 40 minutes per week</w:t>
      </w:r>
      <w:r w:rsidR="00CF4BBE">
        <w:rPr>
          <w:lang w:val="en"/>
        </w:rPr>
        <w:t>.</w:t>
      </w:r>
    </w:p>
    <w:p w14:paraId="14BE14F8" w14:textId="4BB81EF9" w:rsidR="00E31430" w:rsidRDefault="00E31430" w:rsidP="0043055A">
      <w:pPr>
        <w:pStyle w:val="ListBullet"/>
        <w:rPr>
          <w:lang w:val="en"/>
        </w:rPr>
      </w:pPr>
      <w:r w:rsidRPr="006748D1">
        <w:rPr>
          <w:lang w:val="en"/>
        </w:rPr>
        <w:t>Where a practice has not engaged a health professional</w:t>
      </w:r>
      <w:r w:rsidR="00C220B5">
        <w:rPr>
          <w:lang w:val="en"/>
        </w:rPr>
        <w:t>(</w:t>
      </w:r>
      <w:r w:rsidRPr="006748D1">
        <w:rPr>
          <w:lang w:val="en"/>
        </w:rPr>
        <w:t>s</w:t>
      </w:r>
      <w:r w:rsidR="00C220B5">
        <w:rPr>
          <w:lang w:val="en"/>
        </w:rPr>
        <w:t>)</w:t>
      </w:r>
      <w:r w:rsidRPr="006748D1">
        <w:rPr>
          <w:lang w:val="en"/>
        </w:rPr>
        <w:t xml:space="preserve"> for the minimum </w:t>
      </w:r>
      <w:r w:rsidR="002D027E" w:rsidRPr="006748D1">
        <w:rPr>
          <w:lang w:val="en"/>
        </w:rPr>
        <w:t>number</w:t>
      </w:r>
      <w:r w:rsidRPr="006748D1">
        <w:rPr>
          <w:lang w:val="en"/>
        </w:rPr>
        <w:t xml:space="preserve"> of hours to receive the maximum payment</w:t>
      </w:r>
      <w:r w:rsidR="004374E1">
        <w:rPr>
          <w:lang w:val="en"/>
        </w:rPr>
        <w:t xml:space="preserve"> for their SWPE value</w:t>
      </w:r>
      <w:r w:rsidRPr="006748D1">
        <w:rPr>
          <w:lang w:val="en"/>
        </w:rPr>
        <w:t xml:space="preserve">, they may be eligible to receive a proportion of the maximum payment. </w:t>
      </w:r>
    </w:p>
    <w:p w14:paraId="6C1C956B" w14:textId="71891C35" w:rsidR="0028694D" w:rsidRPr="006748D1" w:rsidRDefault="0028694D" w:rsidP="0043055A">
      <w:pPr>
        <w:pStyle w:val="ListBullet"/>
        <w:rPr>
          <w:lang w:val="en"/>
        </w:rPr>
      </w:pPr>
      <w:r>
        <w:t xml:space="preserve">Please note, these amounts </w:t>
      </w:r>
      <w:r w:rsidR="00DA1C8E">
        <w:t xml:space="preserve">have </w:t>
      </w:r>
      <w:r>
        <w:t>increase</w:t>
      </w:r>
      <w:r w:rsidR="004521E1">
        <w:t>d</w:t>
      </w:r>
      <w:r>
        <w:t xml:space="preserve"> </w:t>
      </w:r>
      <w:r w:rsidR="004808F2">
        <w:t xml:space="preserve">from August </w:t>
      </w:r>
      <w:r w:rsidR="00056A0A">
        <w:t xml:space="preserve">2025 </w:t>
      </w:r>
      <w:r>
        <w:t>due to indexation.</w:t>
      </w:r>
    </w:p>
    <w:p w14:paraId="5B371A9A" w14:textId="51B6117F" w:rsidR="00E31430" w:rsidRDefault="00E31430" w:rsidP="00E31430">
      <w:r w:rsidRPr="000161F4">
        <w:t xml:space="preserve">Table </w:t>
      </w:r>
      <w:r w:rsidR="00E86574">
        <w:t>2</w:t>
      </w:r>
      <w:r w:rsidRPr="000161F4">
        <w:t xml:space="preserve"> provides examples of the annual incentive amounts that a practice may be eligible to receive based on the practice SWPE </w:t>
      </w:r>
      <w:r w:rsidR="00344A06">
        <w:t xml:space="preserve">value </w:t>
      </w:r>
      <w:r w:rsidRPr="000161F4">
        <w:t xml:space="preserve">and the minimum hours that must be worked by eligible health professionals to receive the maximum </w:t>
      </w:r>
      <w:r w:rsidR="004374E1">
        <w:t xml:space="preserve">payment </w:t>
      </w:r>
      <w:r w:rsidRPr="000161F4">
        <w:t xml:space="preserve">amount. </w:t>
      </w:r>
    </w:p>
    <w:p w14:paraId="6C09D731" w14:textId="279D159C" w:rsidR="00CF4BBE" w:rsidRDefault="00DB7020" w:rsidP="00DB7020">
      <w:pPr>
        <w:pStyle w:val="Caption"/>
      </w:pPr>
      <w:bookmarkStart w:id="269" w:name="_Toc490491618"/>
      <w:bookmarkStart w:id="270" w:name="_Toc529284555"/>
      <w:bookmarkStart w:id="271" w:name="_Toc529284786"/>
      <w:r>
        <w:t xml:space="preserve">Table </w:t>
      </w:r>
      <w:r>
        <w:fldChar w:fldCharType="begin"/>
      </w:r>
      <w:r>
        <w:instrText xml:space="preserve"> SEQ Table \* ARABIC </w:instrText>
      </w:r>
      <w:r>
        <w:fldChar w:fldCharType="separate"/>
      </w:r>
      <w:r w:rsidR="0098319E">
        <w:rPr>
          <w:noProof/>
        </w:rPr>
        <w:t>2</w:t>
      </w:r>
      <w:r>
        <w:fldChar w:fldCharType="end"/>
      </w:r>
      <w:r w:rsidR="00E31430" w:rsidRPr="00DB7020">
        <w:t>: Indicative annual incentive amounts based on Standardised Whole Patient Equivalent (SWPE) values</w:t>
      </w:r>
      <w:bookmarkEnd w:id="269"/>
      <w:bookmarkEnd w:id="270"/>
      <w:bookmarkEnd w:id="271"/>
    </w:p>
    <w:tbl>
      <w:tblPr>
        <w:tblW w:w="9685" w:type="dxa"/>
        <w:tblInd w:w="-108" w:type="dxa"/>
        <w:tblLook w:val="04A0" w:firstRow="1" w:lastRow="0" w:firstColumn="1" w:lastColumn="0" w:noHBand="0" w:noVBand="1"/>
      </w:tblPr>
      <w:tblGrid>
        <w:gridCol w:w="792"/>
        <w:gridCol w:w="2543"/>
        <w:gridCol w:w="2248"/>
        <w:gridCol w:w="4165"/>
      </w:tblGrid>
      <w:tr w:rsidR="002C0DEF" w:rsidRPr="002C0DEF" w14:paraId="1E4B5CA9" w14:textId="77777777" w:rsidTr="002C0DEF">
        <w:trPr>
          <w:trHeight w:val="287"/>
        </w:trPr>
        <w:tc>
          <w:tcPr>
            <w:tcW w:w="729" w:type="dxa"/>
            <w:noWrap/>
            <w:vAlign w:val="bottom"/>
            <w:hideMark/>
          </w:tcPr>
          <w:p w14:paraId="6A509D33" w14:textId="77777777" w:rsidR="002C0DEF" w:rsidRPr="002C0DEF" w:rsidRDefault="002C0DEF" w:rsidP="002C0DEF"/>
        </w:tc>
        <w:tc>
          <w:tcPr>
            <w:tcW w:w="2543" w:type="dxa"/>
            <w:noWrap/>
            <w:vAlign w:val="bottom"/>
            <w:hideMark/>
          </w:tcPr>
          <w:p w14:paraId="31AB9D9F" w14:textId="77777777" w:rsidR="002C0DEF" w:rsidRPr="002C0DEF" w:rsidRDefault="002C0DEF" w:rsidP="002C0DEF"/>
        </w:tc>
        <w:tc>
          <w:tcPr>
            <w:tcW w:w="2248" w:type="dxa"/>
            <w:noWrap/>
            <w:vAlign w:val="bottom"/>
            <w:hideMark/>
          </w:tcPr>
          <w:p w14:paraId="1FCAAC6A" w14:textId="77777777" w:rsidR="002C0DEF" w:rsidRPr="002C0DEF" w:rsidRDefault="002C0DEF" w:rsidP="002C0DEF"/>
        </w:tc>
        <w:tc>
          <w:tcPr>
            <w:tcW w:w="4165" w:type="dxa"/>
            <w:noWrap/>
            <w:vAlign w:val="bottom"/>
            <w:hideMark/>
          </w:tcPr>
          <w:p w14:paraId="3D451535" w14:textId="77777777" w:rsidR="002C0DEF" w:rsidRPr="002C0DEF" w:rsidRDefault="002C0DEF" w:rsidP="002C0DEF"/>
        </w:tc>
      </w:tr>
      <w:tr w:rsidR="002C0DEF" w:rsidRPr="002C0DEF" w14:paraId="1A96D080" w14:textId="77777777" w:rsidTr="002C0DEF">
        <w:trPr>
          <w:trHeight w:val="277"/>
        </w:trPr>
        <w:tc>
          <w:tcPr>
            <w:tcW w:w="729" w:type="dxa"/>
            <w:tcBorders>
              <w:top w:val="single" w:sz="8" w:space="0" w:color="auto"/>
              <w:left w:val="single" w:sz="8" w:space="0" w:color="auto"/>
              <w:bottom w:val="nil"/>
              <w:right w:val="single" w:sz="8" w:space="0" w:color="auto"/>
            </w:tcBorders>
            <w:vAlign w:val="center"/>
            <w:hideMark/>
          </w:tcPr>
          <w:p w14:paraId="4C2E8108" w14:textId="77777777" w:rsidR="002C0DEF" w:rsidRPr="002C0DEF" w:rsidRDefault="002C0DEF" w:rsidP="002C0DEF">
            <w:pPr>
              <w:rPr>
                <w:b/>
                <w:bCs/>
              </w:rPr>
            </w:pPr>
            <w:r w:rsidRPr="002C0DEF">
              <w:rPr>
                <w:b/>
                <w:bCs/>
              </w:rPr>
              <w:t>SWPE</w:t>
            </w:r>
          </w:p>
        </w:tc>
        <w:tc>
          <w:tcPr>
            <w:tcW w:w="2543" w:type="dxa"/>
            <w:vMerge w:val="restart"/>
            <w:tcBorders>
              <w:top w:val="single" w:sz="8" w:space="0" w:color="auto"/>
              <w:left w:val="single" w:sz="8" w:space="0" w:color="auto"/>
              <w:bottom w:val="single" w:sz="8" w:space="0" w:color="000000"/>
              <w:right w:val="single" w:sz="8" w:space="0" w:color="auto"/>
            </w:tcBorders>
            <w:vAlign w:val="center"/>
            <w:hideMark/>
          </w:tcPr>
          <w:p w14:paraId="2F18EE3E" w14:textId="77777777" w:rsidR="002C0DEF" w:rsidRPr="002C0DEF" w:rsidRDefault="002C0DEF" w:rsidP="002C0DEF">
            <w:pPr>
              <w:rPr>
                <w:b/>
                <w:bCs/>
              </w:rPr>
            </w:pPr>
            <w:r w:rsidRPr="002C0DEF">
              <w:rPr>
                <w:b/>
                <w:bCs/>
              </w:rPr>
              <w:t>Minimum average number of hours per week for full incentive payment</w:t>
            </w:r>
          </w:p>
        </w:tc>
        <w:tc>
          <w:tcPr>
            <w:tcW w:w="2248" w:type="dxa"/>
            <w:vMerge w:val="restart"/>
            <w:tcBorders>
              <w:top w:val="single" w:sz="8" w:space="0" w:color="auto"/>
              <w:left w:val="single" w:sz="8" w:space="0" w:color="auto"/>
              <w:bottom w:val="single" w:sz="8" w:space="0" w:color="000000"/>
              <w:right w:val="single" w:sz="8" w:space="0" w:color="auto"/>
            </w:tcBorders>
            <w:vAlign w:val="center"/>
            <w:hideMark/>
          </w:tcPr>
          <w:p w14:paraId="6A788E4C" w14:textId="77777777" w:rsidR="002C0DEF" w:rsidRPr="002C0DEF" w:rsidRDefault="002C0DEF" w:rsidP="002C0DEF">
            <w:pPr>
              <w:rPr>
                <w:b/>
                <w:bCs/>
              </w:rPr>
            </w:pPr>
            <w:r w:rsidRPr="002C0DEF">
              <w:rPr>
                <w:b/>
                <w:bCs/>
              </w:rPr>
              <w:t>Annual incentive amount for combined nurse practitioner, registered nurse, midwife, and allied health professionals*</w:t>
            </w:r>
          </w:p>
        </w:tc>
        <w:tc>
          <w:tcPr>
            <w:tcW w:w="4165" w:type="dxa"/>
            <w:vMerge w:val="restart"/>
            <w:tcBorders>
              <w:top w:val="single" w:sz="8" w:space="0" w:color="auto"/>
              <w:left w:val="single" w:sz="8" w:space="0" w:color="auto"/>
              <w:bottom w:val="single" w:sz="8" w:space="0" w:color="000000"/>
              <w:right w:val="single" w:sz="8" w:space="0" w:color="auto"/>
            </w:tcBorders>
            <w:vAlign w:val="center"/>
            <w:hideMark/>
          </w:tcPr>
          <w:p w14:paraId="2DF7E848" w14:textId="77777777" w:rsidR="002C0DEF" w:rsidRPr="002C0DEF" w:rsidRDefault="002C0DEF" w:rsidP="002C0DEF">
            <w:pPr>
              <w:rPr>
                <w:b/>
                <w:bCs/>
              </w:rPr>
            </w:pPr>
            <w:r w:rsidRPr="002C0DEF">
              <w:rPr>
                <w:b/>
                <w:bCs/>
              </w:rPr>
              <w:t>Annual incentive amount for combined enrolled nurse, Aboriginal and Torres Strait Islander health worker, or Aboriginal and Torres Strait Islander health practitioners*</w:t>
            </w:r>
          </w:p>
        </w:tc>
      </w:tr>
      <w:tr w:rsidR="002C0DEF" w:rsidRPr="002C0DEF" w14:paraId="2C1BC96B" w14:textId="77777777" w:rsidTr="002C0DEF">
        <w:trPr>
          <w:trHeight w:val="287"/>
        </w:trPr>
        <w:tc>
          <w:tcPr>
            <w:tcW w:w="729" w:type="dxa"/>
            <w:tcBorders>
              <w:top w:val="nil"/>
              <w:left w:val="single" w:sz="8" w:space="0" w:color="auto"/>
              <w:bottom w:val="single" w:sz="8" w:space="0" w:color="auto"/>
              <w:right w:val="single" w:sz="8" w:space="0" w:color="auto"/>
            </w:tcBorders>
            <w:vAlign w:val="center"/>
            <w:hideMark/>
          </w:tcPr>
          <w:p w14:paraId="26C976C6" w14:textId="77777777" w:rsidR="002C0DEF" w:rsidRPr="002C0DEF" w:rsidRDefault="002C0DEF" w:rsidP="002C0DEF">
            <w:pPr>
              <w:rPr>
                <w:b/>
                <w:bCs/>
              </w:rPr>
            </w:pPr>
            <w:r w:rsidRPr="002C0DEF">
              <w:rPr>
                <w:b/>
                <w:bCs/>
              </w:rPr>
              <w:t>value</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DE4D38" w14:textId="77777777" w:rsidR="002C0DEF" w:rsidRPr="002C0DEF" w:rsidRDefault="002C0DEF" w:rsidP="002C0DEF">
            <w:pPr>
              <w:rPr>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45152B" w14:textId="77777777" w:rsidR="002C0DEF" w:rsidRPr="002C0DEF" w:rsidRDefault="002C0DEF" w:rsidP="002C0DEF">
            <w:pPr>
              <w:rPr>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49D275" w14:textId="77777777" w:rsidR="002C0DEF" w:rsidRPr="002C0DEF" w:rsidRDefault="002C0DEF" w:rsidP="002C0DEF">
            <w:pPr>
              <w:rPr>
                <w:b/>
                <w:bCs/>
              </w:rPr>
            </w:pPr>
          </w:p>
        </w:tc>
      </w:tr>
      <w:tr w:rsidR="002C0DEF" w:rsidRPr="002C0DEF" w14:paraId="3B9AE864" w14:textId="77777777" w:rsidTr="002C0DEF">
        <w:trPr>
          <w:trHeight w:val="287"/>
        </w:trPr>
        <w:tc>
          <w:tcPr>
            <w:tcW w:w="729" w:type="dxa"/>
            <w:tcBorders>
              <w:top w:val="nil"/>
              <w:left w:val="single" w:sz="8" w:space="0" w:color="auto"/>
              <w:bottom w:val="single" w:sz="8" w:space="0" w:color="auto"/>
              <w:right w:val="single" w:sz="8" w:space="0" w:color="auto"/>
            </w:tcBorders>
            <w:vAlign w:val="center"/>
            <w:hideMark/>
          </w:tcPr>
          <w:p w14:paraId="410AD9EC" w14:textId="77777777" w:rsidR="002C0DEF" w:rsidRPr="002C0DEF" w:rsidRDefault="002C0DEF" w:rsidP="002C0DEF">
            <w:pPr>
              <w:rPr>
                <w:b/>
                <w:bCs/>
              </w:rPr>
            </w:pPr>
            <w:r w:rsidRPr="002C0DEF">
              <w:rPr>
                <w:b/>
                <w:bCs/>
              </w:rPr>
              <w:t>1000</w:t>
            </w:r>
          </w:p>
        </w:tc>
        <w:tc>
          <w:tcPr>
            <w:tcW w:w="2543" w:type="dxa"/>
            <w:tcBorders>
              <w:top w:val="nil"/>
              <w:left w:val="nil"/>
              <w:bottom w:val="single" w:sz="8" w:space="0" w:color="auto"/>
              <w:right w:val="single" w:sz="8" w:space="0" w:color="auto"/>
            </w:tcBorders>
            <w:vAlign w:val="center"/>
            <w:hideMark/>
          </w:tcPr>
          <w:p w14:paraId="58571A95" w14:textId="77777777" w:rsidR="002C0DEF" w:rsidRPr="002C0DEF" w:rsidRDefault="002C0DEF" w:rsidP="002C0DEF">
            <w:r w:rsidRPr="002C0DEF">
              <w:t xml:space="preserve">12 hours 40 minutes </w:t>
            </w:r>
          </w:p>
        </w:tc>
        <w:tc>
          <w:tcPr>
            <w:tcW w:w="2248" w:type="dxa"/>
            <w:tcBorders>
              <w:top w:val="nil"/>
              <w:left w:val="nil"/>
              <w:bottom w:val="single" w:sz="8" w:space="0" w:color="auto"/>
              <w:right w:val="single" w:sz="8" w:space="0" w:color="auto"/>
            </w:tcBorders>
            <w:vAlign w:val="center"/>
            <w:hideMark/>
          </w:tcPr>
          <w:p w14:paraId="20A3BCE4" w14:textId="627686C1" w:rsidR="002C0DEF" w:rsidRPr="002C0DEF" w:rsidRDefault="002C0DEF" w:rsidP="002C0DEF">
            <w:r w:rsidRPr="002C0DEF">
              <w:t>$34,343.9</w:t>
            </w:r>
            <w:r w:rsidR="00CD4B8C">
              <w:t>0</w:t>
            </w:r>
          </w:p>
        </w:tc>
        <w:tc>
          <w:tcPr>
            <w:tcW w:w="4165" w:type="dxa"/>
            <w:tcBorders>
              <w:top w:val="nil"/>
              <w:left w:val="nil"/>
              <w:bottom w:val="single" w:sz="8" w:space="0" w:color="auto"/>
              <w:right w:val="single" w:sz="8" w:space="0" w:color="auto"/>
            </w:tcBorders>
            <w:vAlign w:val="center"/>
            <w:hideMark/>
          </w:tcPr>
          <w:p w14:paraId="44924CD9" w14:textId="340C10B8" w:rsidR="002C0DEF" w:rsidRPr="002C0DEF" w:rsidRDefault="002C0DEF" w:rsidP="002C0DEF">
            <w:r w:rsidRPr="002C0DEF">
              <w:t>$17,171.9</w:t>
            </w:r>
            <w:r w:rsidR="00816E6A">
              <w:t>5</w:t>
            </w:r>
          </w:p>
        </w:tc>
      </w:tr>
      <w:tr w:rsidR="002C0DEF" w:rsidRPr="002C0DEF" w14:paraId="675C9111" w14:textId="77777777" w:rsidTr="002C0DEF">
        <w:trPr>
          <w:trHeight w:val="287"/>
        </w:trPr>
        <w:tc>
          <w:tcPr>
            <w:tcW w:w="729" w:type="dxa"/>
            <w:tcBorders>
              <w:top w:val="nil"/>
              <w:left w:val="single" w:sz="8" w:space="0" w:color="auto"/>
              <w:bottom w:val="single" w:sz="8" w:space="0" w:color="auto"/>
              <w:right w:val="single" w:sz="8" w:space="0" w:color="auto"/>
            </w:tcBorders>
            <w:vAlign w:val="center"/>
            <w:hideMark/>
          </w:tcPr>
          <w:p w14:paraId="40D209B6" w14:textId="77777777" w:rsidR="002C0DEF" w:rsidRPr="002C0DEF" w:rsidRDefault="002C0DEF" w:rsidP="002C0DEF">
            <w:pPr>
              <w:rPr>
                <w:b/>
                <w:bCs/>
              </w:rPr>
            </w:pPr>
            <w:r w:rsidRPr="002C0DEF">
              <w:rPr>
                <w:b/>
                <w:bCs/>
              </w:rPr>
              <w:t>2000</w:t>
            </w:r>
          </w:p>
        </w:tc>
        <w:tc>
          <w:tcPr>
            <w:tcW w:w="2543" w:type="dxa"/>
            <w:tcBorders>
              <w:top w:val="nil"/>
              <w:left w:val="nil"/>
              <w:bottom w:val="single" w:sz="8" w:space="0" w:color="auto"/>
              <w:right w:val="single" w:sz="8" w:space="0" w:color="auto"/>
            </w:tcBorders>
            <w:vAlign w:val="center"/>
            <w:hideMark/>
          </w:tcPr>
          <w:p w14:paraId="54CB6C99" w14:textId="77777777" w:rsidR="002C0DEF" w:rsidRPr="002C0DEF" w:rsidRDefault="002C0DEF" w:rsidP="002C0DEF">
            <w:r w:rsidRPr="002C0DEF">
              <w:t xml:space="preserve">25 hours 20 minutes </w:t>
            </w:r>
          </w:p>
        </w:tc>
        <w:tc>
          <w:tcPr>
            <w:tcW w:w="2248" w:type="dxa"/>
            <w:tcBorders>
              <w:top w:val="nil"/>
              <w:left w:val="nil"/>
              <w:bottom w:val="single" w:sz="8" w:space="0" w:color="auto"/>
              <w:right w:val="single" w:sz="8" w:space="0" w:color="auto"/>
            </w:tcBorders>
            <w:vAlign w:val="center"/>
            <w:hideMark/>
          </w:tcPr>
          <w:p w14:paraId="1B120F7D" w14:textId="268004F4" w:rsidR="002C0DEF" w:rsidRPr="002C0DEF" w:rsidRDefault="002C0DEF" w:rsidP="002C0DEF">
            <w:r w:rsidRPr="002C0DEF">
              <w:t>$68,687.8</w:t>
            </w:r>
            <w:r w:rsidR="00CD4B8C">
              <w:t>0</w:t>
            </w:r>
          </w:p>
        </w:tc>
        <w:tc>
          <w:tcPr>
            <w:tcW w:w="4165" w:type="dxa"/>
            <w:tcBorders>
              <w:top w:val="nil"/>
              <w:left w:val="nil"/>
              <w:bottom w:val="single" w:sz="8" w:space="0" w:color="auto"/>
              <w:right w:val="single" w:sz="8" w:space="0" w:color="auto"/>
            </w:tcBorders>
            <w:vAlign w:val="center"/>
            <w:hideMark/>
          </w:tcPr>
          <w:p w14:paraId="1EE8E316" w14:textId="235A8BE5" w:rsidR="002C0DEF" w:rsidRPr="002C0DEF" w:rsidRDefault="002C0DEF" w:rsidP="002C0DEF">
            <w:r w:rsidRPr="002C0DEF">
              <w:t>$34,343.9</w:t>
            </w:r>
            <w:r w:rsidR="00CD4B8C">
              <w:t>0</w:t>
            </w:r>
          </w:p>
        </w:tc>
      </w:tr>
      <w:tr w:rsidR="002C0DEF" w:rsidRPr="002C0DEF" w14:paraId="58548A09" w14:textId="77777777" w:rsidTr="002C0DEF">
        <w:trPr>
          <w:trHeight w:val="287"/>
        </w:trPr>
        <w:tc>
          <w:tcPr>
            <w:tcW w:w="729" w:type="dxa"/>
            <w:tcBorders>
              <w:top w:val="nil"/>
              <w:left w:val="single" w:sz="8" w:space="0" w:color="auto"/>
              <w:bottom w:val="single" w:sz="8" w:space="0" w:color="auto"/>
              <w:right w:val="single" w:sz="8" w:space="0" w:color="auto"/>
            </w:tcBorders>
            <w:vAlign w:val="center"/>
            <w:hideMark/>
          </w:tcPr>
          <w:p w14:paraId="65361D5A" w14:textId="77777777" w:rsidR="002C0DEF" w:rsidRPr="002C0DEF" w:rsidRDefault="002C0DEF" w:rsidP="002C0DEF">
            <w:pPr>
              <w:rPr>
                <w:b/>
                <w:bCs/>
              </w:rPr>
            </w:pPr>
            <w:r w:rsidRPr="002C0DEF">
              <w:rPr>
                <w:b/>
                <w:bCs/>
              </w:rPr>
              <w:lastRenderedPageBreak/>
              <w:t>3000</w:t>
            </w:r>
          </w:p>
        </w:tc>
        <w:tc>
          <w:tcPr>
            <w:tcW w:w="2543" w:type="dxa"/>
            <w:tcBorders>
              <w:top w:val="nil"/>
              <w:left w:val="nil"/>
              <w:bottom w:val="single" w:sz="8" w:space="0" w:color="auto"/>
              <w:right w:val="single" w:sz="8" w:space="0" w:color="auto"/>
            </w:tcBorders>
            <w:vAlign w:val="center"/>
            <w:hideMark/>
          </w:tcPr>
          <w:p w14:paraId="68110047" w14:textId="77777777" w:rsidR="002C0DEF" w:rsidRPr="002C0DEF" w:rsidRDefault="002C0DEF" w:rsidP="002C0DEF">
            <w:r w:rsidRPr="002C0DEF">
              <w:t xml:space="preserve">38 hours </w:t>
            </w:r>
          </w:p>
        </w:tc>
        <w:tc>
          <w:tcPr>
            <w:tcW w:w="2248" w:type="dxa"/>
            <w:tcBorders>
              <w:top w:val="nil"/>
              <w:left w:val="nil"/>
              <w:bottom w:val="single" w:sz="8" w:space="0" w:color="auto"/>
              <w:right w:val="single" w:sz="8" w:space="0" w:color="auto"/>
            </w:tcBorders>
            <w:vAlign w:val="center"/>
            <w:hideMark/>
          </w:tcPr>
          <w:p w14:paraId="6F4483EC" w14:textId="59351476" w:rsidR="002C0DEF" w:rsidRPr="002C0DEF" w:rsidRDefault="002C0DEF" w:rsidP="002C0DEF">
            <w:r w:rsidRPr="002C0DEF">
              <w:t>$103,031.7</w:t>
            </w:r>
            <w:r w:rsidR="00CD4B8C">
              <w:t>0</w:t>
            </w:r>
          </w:p>
        </w:tc>
        <w:tc>
          <w:tcPr>
            <w:tcW w:w="4165" w:type="dxa"/>
            <w:tcBorders>
              <w:top w:val="nil"/>
              <w:left w:val="nil"/>
              <w:bottom w:val="single" w:sz="8" w:space="0" w:color="auto"/>
              <w:right w:val="single" w:sz="8" w:space="0" w:color="auto"/>
            </w:tcBorders>
            <w:vAlign w:val="center"/>
            <w:hideMark/>
          </w:tcPr>
          <w:p w14:paraId="3285F6A9" w14:textId="4DEA393C" w:rsidR="002C0DEF" w:rsidRPr="002C0DEF" w:rsidRDefault="002C0DEF" w:rsidP="002C0DEF">
            <w:r w:rsidRPr="002C0DEF">
              <w:t>$51,515.8</w:t>
            </w:r>
            <w:r w:rsidR="00816E6A">
              <w:t>5</w:t>
            </w:r>
          </w:p>
        </w:tc>
      </w:tr>
      <w:tr w:rsidR="002C0DEF" w:rsidRPr="002C0DEF" w14:paraId="1244BD20" w14:textId="77777777" w:rsidTr="002C0DEF">
        <w:trPr>
          <w:trHeight w:val="287"/>
        </w:trPr>
        <w:tc>
          <w:tcPr>
            <w:tcW w:w="729" w:type="dxa"/>
            <w:tcBorders>
              <w:top w:val="nil"/>
              <w:left w:val="single" w:sz="8" w:space="0" w:color="auto"/>
              <w:bottom w:val="single" w:sz="8" w:space="0" w:color="auto"/>
              <w:right w:val="single" w:sz="8" w:space="0" w:color="auto"/>
            </w:tcBorders>
            <w:vAlign w:val="center"/>
            <w:hideMark/>
          </w:tcPr>
          <w:p w14:paraId="3E40508A" w14:textId="77777777" w:rsidR="002C0DEF" w:rsidRPr="002C0DEF" w:rsidRDefault="002C0DEF" w:rsidP="002C0DEF">
            <w:pPr>
              <w:rPr>
                <w:b/>
                <w:bCs/>
              </w:rPr>
            </w:pPr>
            <w:r w:rsidRPr="002C0DEF">
              <w:rPr>
                <w:b/>
                <w:bCs/>
              </w:rPr>
              <w:t>4000</w:t>
            </w:r>
          </w:p>
        </w:tc>
        <w:tc>
          <w:tcPr>
            <w:tcW w:w="2543" w:type="dxa"/>
            <w:tcBorders>
              <w:top w:val="nil"/>
              <w:left w:val="nil"/>
              <w:bottom w:val="single" w:sz="8" w:space="0" w:color="auto"/>
              <w:right w:val="single" w:sz="8" w:space="0" w:color="auto"/>
            </w:tcBorders>
            <w:vAlign w:val="center"/>
            <w:hideMark/>
          </w:tcPr>
          <w:p w14:paraId="445E8CBC" w14:textId="77777777" w:rsidR="002C0DEF" w:rsidRPr="002C0DEF" w:rsidRDefault="002C0DEF" w:rsidP="002C0DEF">
            <w:r w:rsidRPr="002C0DEF">
              <w:t xml:space="preserve">50 hours 40 minutes </w:t>
            </w:r>
          </w:p>
        </w:tc>
        <w:tc>
          <w:tcPr>
            <w:tcW w:w="2248" w:type="dxa"/>
            <w:tcBorders>
              <w:top w:val="nil"/>
              <w:left w:val="nil"/>
              <w:bottom w:val="single" w:sz="8" w:space="0" w:color="auto"/>
              <w:right w:val="single" w:sz="8" w:space="0" w:color="auto"/>
            </w:tcBorders>
            <w:vAlign w:val="center"/>
            <w:hideMark/>
          </w:tcPr>
          <w:p w14:paraId="7A49D086" w14:textId="41C686A7" w:rsidR="002C0DEF" w:rsidRPr="002C0DEF" w:rsidRDefault="002C0DEF" w:rsidP="002C0DEF">
            <w:r w:rsidRPr="002C0DEF">
              <w:t>$137,375.6</w:t>
            </w:r>
            <w:r w:rsidR="00CD4B8C">
              <w:t>0</w:t>
            </w:r>
          </w:p>
        </w:tc>
        <w:tc>
          <w:tcPr>
            <w:tcW w:w="4165" w:type="dxa"/>
            <w:tcBorders>
              <w:top w:val="nil"/>
              <w:left w:val="nil"/>
              <w:bottom w:val="single" w:sz="8" w:space="0" w:color="auto"/>
              <w:right w:val="single" w:sz="8" w:space="0" w:color="auto"/>
            </w:tcBorders>
            <w:vAlign w:val="center"/>
            <w:hideMark/>
          </w:tcPr>
          <w:p w14:paraId="7CD1A8C6" w14:textId="45AC871C" w:rsidR="002C0DEF" w:rsidRPr="002C0DEF" w:rsidRDefault="002C0DEF" w:rsidP="002C0DEF">
            <w:r w:rsidRPr="002C0DEF">
              <w:t>$68,687.8</w:t>
            </w:r>
            <w:r w:rsidR="00CD4B8C">
              <w:t>0</w:t>
            </w:r>
          </w:p>
        </w:tc>
      </w:tr>
    </w:tbl>
    <w:p w14:paraId="04BFB897" w14:textId="6CD43478" w:rsidR="002C0DEF" w:rsidRDefault="002C0DEF" w:rsidP="00BC4F08">
      <w:pPr>
        <w:pStyle w:val="ListParagraph"/>
        <w:numPr>
          <w:ilvl w:val="0"/>
          <w:numId w:val="10"/>
        </w:numPr>
      </w:pPr>
      <w:r>
        <w:t xml:space="preserve">These values are correct as </w:t>
      </w:r>
      <w:proofErr w:type="gramStart"/>
      <w:r>
        <w:t>at</w:t>
      </w:r>
      <w:proofErr w:type="gramEnd"/>
      <w:r>
        <w:t xml:space="preserve"> </w:t>
      </w:r>
      <w:r w:rsidR="00FD3092">
        <w:t>3</w:t>
      </w:r>
      <w:r>
        <w:t xml:space="preserve">1 </w:t>
      </w:r>
      <w:r w:rsidR="009D2B3E">
        <w:t>July</w:t>
      </w:r>
      <w:r>
        <w:t xml:space="preserve"> 2025.</w:t>
      </w:r>
    </w:p>
    <w:p w14:paraId="54F134FC" w14:textId="77777777" w:rsidR="002C0DEF" w:rsidRPr="002C0DEF" w:rsidRDefault="002C0DEF" w:rsidP="00BC4F08"/>
    <w:p w14:paraId="01818FEC" w14:textId="5CD27E3E" w:rsidR="00CF4BBE" w:rsidRPr="007C1621" w:rsidRDefault="00CF4BBE" w:rsidP="00CF4BBE">
      <w:pPr>
        <w:spacing w:before="240"/>
      </w:pPr>
      <w:r w:rsidRPr="007C1621">
        <w:t>The payment can include a combination of components for eligible health professional hours.</w:t>
      </w:r>
      <w:r w:rsidRPr="00A425DD">
        <w:t xml:space="preserve"> If a practice </w:t>
      </w:r>
      <w:r w:rsidR="00A9414B">
        <w:t>engages</w:t>
      </w:r>
      <w:r w:rsidR="00874B21" w:rsidRPr="00A425DD">
        <w:t xml:space="preserve"> </w:t>
      </w:r>
      <w:r w:rsidRPr="00A425DD">
        <w:t>a combination of different eligible health professionals,</w:t>
      </w:r>
      <w:r w:rsidRPr="004D590C">
        <w:t xml:space="preserve"> </w:t>
      </w:r>
      <w:r w:rsidRPr="007C1621">
        <w:t xml:space="preserve">those eligible for the higher incentive of </w:t>
      </w:r>
      <w:r w:rsidR="00CD4B8C" w:rsidRPr="002C0DEF">
        <w:t>$34,343.9</w:t>
      </w:r>
      <w:r w:rsidR="00CD4B8C">
        <w:t xml:space="preserve">0 </w:t>
      </w:r>
      <w:r w:rsidR="00E31430">
        <w:t>per 1</w:t>
      </w:r>
      <w:r w:rsidR="00495CF9">
        <w:t>,</w:t>
      </w:r>
      <w:r w:rsidR="00E31430">
        <w:t xml:space="preserve">000 SWPE value </w:t>
      </w:r>
      <w:r w:rsidRPr="007C1621">
        <w:t>will be calculated first.</w:t>
      </w:r>
    </w:p>
    <w:p w14:paraId="627AF406" w14:textId="63C9D447" w:rsidR="00CF4BBE" w:rsidRPr="007C1621" w:rsidRDefault="00CF4BBE" w:rsidP="00CF4BBE">
      <w:r w:rsidRPr="007C1621">
        <w:t xml:space="preserve">The maximum incentive amount a single practice can receive (prior to a rural loading) is </w:t>
      </w:r>
      <w:r w:rsidR="003A7347">
        <w:t>$</w:t>
      </w:r>
      <w:r w:rsidR="003A7347" w:rsidRPr="003A7347">
        <w:t>34,343.9</w:t>
      </w:r>
      <w:r w:rsidR="003A7347">
        <w:t xml:space="preserve">0 </w:t>
      </w:r>
      <w:r w:rsidRPr="007C1621">
        <w:t xml:space="preserve">per quarter or </w:t>
      </w:r>
      <w:r w:rsidR="003A7347" w:rsidRPr="002C0DEF">
        <w:t>$137,375.6</w:t>
      </w:r>
      <w:r w:rsidR="003A7347">
        <w:t xml:space="preserve">0 </w:t>
      </w:r>
      <w:r w:rsidRPr="007C1621">
        <w:t>per annum. Practices may also be eligible for a rural loading and/or DVA loading.</w:t>
      </w:r>
    </w:p>
    <w:p w14:paraId="21F0793A" w14:textId="50E1A3A7" w:rsidR="00CF4BBE" w:rsidRPr="003D11C3" w:rsidRDefault="00CF4BBE" w:rsidP="00CF4BBE">
      <w:r w:rsidRPr="003D11C3">
        <w:t xml:space="preserve">The following sections outline the calculation of </w:t>
      </w:r>
      <w:hyperlink w:anchor="_5.1_Calculating_the" w:history="1">
        <w:r w:rsidRPr="00D33E09">
          <w:rPr>
            <w:rStyle w:val="Hyperlink"/>
          </w:rPr>
          <w:t>SWPE values</w:t>
        </w:r>
      </w:hyperlink>
      <w:r w:rsidRPr="003D11C3">
        <w:t xml:space="preserve">, </w:t>
      </w:r>
      <w:hyperlink w:anchor="_5.2_Calculating_hours" w:history="1">
        <w:r w:rsidRPr="00D33E09">
          <w:rPr>
            <w:rStyle w:val="Hyperlink"/>
          </w:rPr>
          <w:t>eligible health professional hours</w:t>
        </w:r>
      </w:hyperlink>
      <w:r w:rsidRPr="003D11C3">
        <w:t xml:space="preserve">, </w:t>
      </w:r>
      <w:hyperlink w:anchor="_5.3_Calculating_the" w:history="1">
        <w:r w:rsidRPr="00D33E09">
          <w:rPr>
            <w:rStyle w:val="Hyperlink"/>
          </w:rPr>
          <w:t>rural loadings</w:t>
        </w:r>
      </w:hyperlink>
      <w:r w:rsidRPr="003D11C3">
        <w:t xml:space="preserve"> and </w:t>
      </w:r>
      <w:hyperlink w:anchor="_5.4_Calculating_the" w:history="1">
        <w:r w:rsidRPr="00F76E4A">
          <w:rPr>
            <w:rStyle w:val="Hyperlink"/>
          </w:rPr>
          <w:t>DVA loading</w:t>
        </w:r>
      </w:hyperlink>
      <w:r w:rsidRPr="003D11C3">
        <w:t xml:space="preserve">. For </w:t>
      </w:r>
      <w:r w:rsidR="002D027E" w:rsidRPr="003D11C3">
        <w:t>example,</w:t>
      </w:r>
      <w:r w:rsidRPr="003D11C3">
        <w:t xml:space="preserve"> calculations</w:t>
      </w:r>
      <w:r w:rsidR="006E0199">
        <w:t>,</w:t>
      </w:r>
      <w:r w:rsidR="00A008AC">
        <w:t xml:space="preserve"> </w:t>
      </w:r>
      <w:r w:rsidRPr="003D11C3">
        <w:t xml:space="preserve">see </w:t>
      </w:r>
      <w:hyperlink w:anchor="_6._Example_WIP" w:history="1">
        <w:r w:rsidRPr="00D33E09">
          <w:rPr>
            <w:rStyle w:val="Hyperlink"/>
          </w:rPr>
          <w:t>Section 6</w:t>
        </w:r>
      </w:hyperlink>
      <w:r w:rsidRPr="003D11C3">
        <w:t xml:space="preserve"> ‘WIP </w:t>
      </w:r>
      <w:r w:rsidR="00A008AC">
        <w:t xml:space="preserve">- </w:t>
      </w:r>
      <w:r w:rsidRPr="003D11C3">
        <w:t xml:space="preserve">Practice Stream payment </w:t>
      </w:r>
      <w:proofErr w:type="gramStart"/>
      <w:r w:rsidRPr="003D11C3">
        <w:t>calculations’</w:t>
      </w:r>
      <w:proofErr w:type="gramEnd"/>
      <w:r w:rsidRPr="003D11C3">
        <w:t xml:space="preserve">. </w:t>
      </w:r>
    </w:p>
    <w:p w14:paraId="21676C5B" w14:textId="604DBB7F" w:rsidR="00CF4BBE" w:rsidRPr="00547B5D" w:rsidRDefault="00CF4BBE" w:rsidP="00830756">
      <w:pPr>
        <w:pStyle w:val="Heading2numbered"/>
      </w:pPr>
      <w:bookmarkStart w:id="272" w:name="_5.1_Calculating_the"/>
      <w:bookmarkStart w:id="273" w:name="_Toc529284556"/>
      <w:bookmarkStart w:id="274" w:name="_Toc529284787"/>
      <w:bookmarkStart w:id="275" w:name="_Toc25157856"/>
      <w:bookmarkStart w:id="276" w:name="_Toc142318460"/>
      <w:bookmarkStart w:id="277" w:name="_Toc197682371"/>
      <w:bookmarkEnd w:id="272"/>
      <w:r w:rsidRPr="00547B5D">
        <w:t>Calculating the Standardised Whole Patient Equivalent (SWPE)</w:t>
      </w:r>
      <w:bookmarkEnd w:id="273"/>
      <w:bookmarkEnd w:id="274"/>
      <w:bookmarkEnd w:id="275"/>
      <w:r w:rsidR="00104E07" w:rsidRPr="00547B5D">
        <w:t xml:space="preserve"> </w:t>
      </w:r>
      <w:r w:rsidRPr="00547B5D">
        <w:t>value</w:t>
      </w:r>
      <w:bookmarkEnd w:id="276"/>
      <w:bookmarkEnd w:id="277"/>
    </w:p>
    <w:p w14:paraId="4F93701B" w14:textId="7608D7D2" w:rsidR="00E31430" w:rsidRPr="00A425DD" w:rsidRDefault="00E31430" w:rsidP="00E31430">
      <w:pPr>
        <w:rPr>
          <w:rFonts w:eastAsia="MS Mincho"/>
        </w:rPr>
      </w:pPr>
      <w:r w:rsidRPr="00A425DD">
        <w:t xml:space="preserve">The </w:t>
      </w:r>
      <w:r>
        <w:t xml:space="preserve">SWPE value </w:t>
      </w:r>
      <w:r w:rsidRPr="00A425DD">
        <w:t>is a calculation of practice size</w:t>
      </w:r>
      <w:r w:rsidRPr="00537AFB">
        <w:t>. It is the sum of the fractions of care a practice provides to each of its patients weighted for the age and gender of each patient. As a guide, the average full time general practitioner has a SWPE value of around 1,000 annually.</w:t>
      </w:r>
    </w:p>
    <w:p w14:paraId="07940A5B" w14:textId="7B5011CF" w:rsidR="00CF4BBE" w:rsidRDefault="00CF4BBE" w:rsidP="00CF4BBE">
      <w:r>
        <w:t>Services Australia</w:t>
      </w:r>
      <w:r w:rsidRPr="00A425DD">
        <w:t xml:space="preserve"> will </w:t>
      </w:r>
      <w:r>
        <w:t>work out the</w:t>
      </w:r>
      <w:r w:rsidRPr="00A425DD">
        <w:t xml:space="preserve"> SWPE</w:t>
      </w:r>
      <w:r>
        <w:t xml:space="preserve"> value</w:t>
      </w:r>
      <w:r w:rsidRPr="00A425DD">
        <w:t xml:space="preserve"> </w:t>
      </w:r>
      <w:r>
        <w:t xml:space="preserve">using both </w:t>
      </w:r>
      <w:r w:rsidR="00ED0CD7">
        <w:t xml:space="preserve">eligible </w:t>
      </w:r>
      <w:r>
        <w:t>Medicare</w:t>
      </w:r>
      <w:r w:rsidRPr="00A425DD">
        <w:t xml:space="preserve"> and DVA services provided to patients attending the practice </w:t>
      </w:r>
      <w:r>
        <w:t xml:space="preserve">during the reference period. A </w:t>
      </w:r>
      <w:r w:rsidRPr="00A425DD">
        <w:t>weight</w:t>
      </w:r>
      <w:r>
        <w:t>ing</w:t>
      </w:r>
      <w:r w:rsidRPr="00A425DD">
        <w:t xml:space="preserve"> for the age and gender of each patient</w:t>
      </w:r>
      <w:r>
        <w:t xml:space="preserve"> is then calculated</w:t>
      </w:r>
      <w:r w:rsidRPr="00A425DD">
        <w:t>.</w:t>
      </w:r>
      <w:r>
        <w:t xml:space="preserve"> </w:t>
      </w:r>
      <w:r w:rsidRPr="00CD7A80">
        <w:t xml:space="preserve">The SWPE value is calculated using a rolling historical </w:t>
      </w:r>
      <w:r w:rsidR="005D56D9" w:rsidRPr="00CD7A80">
        <w:t>12-month</w:t>
      </w:r>
      <w:r w:rsidRPr="00CD7A80">
        <w:t xml:space="preserve"> reference period, which starts 16 months before the payment quarter. </w:t>
      </w:r>
    </w:p>
    <w:p w14:paraId="555DFE3A" w14:textId="4C4C8E79" w:rsidR="00CF4BBE" w:rsidRPr="00E662FE" w:rsidRDefault="00ED0CD7" w:rsidP="00CF4BBE">
      <w:r>
        <w:t xml:space="preserve">Eligible </w:t>
      </w:r>
      <w:r w:rsidR="00F63514">
        <w:t>s</w:t>
      </w:r>
      <w:r w:rsidR="00CF4BBE" w:rsidRPr="00E662FE">
        <w:t xml:space="preserve">ervices provided by both GPs and nurse practitioners are included in the SWPE value of a practice. </w:t>
      </w:r>
    </w:p>
    <w:p w14:paraId="64828969" w14:textId="1EC16A68" w:rsidR="00E31430" w:rsidRPr="006E075E" w:rsidRDefault="00E31430" w:rsidP="00E31430">
      <w:pPr>
        <w:rPr>
          <w:lang w:val="en"/>
        </w:rPr>
      </w:pPr>
      <w:r w:rsidRPr="006E075E">
        <w:rPr>
          <w:lang w:val="en"/>
        </w:rPr>
        <w:t xml:space="preserve">If a practitioner uses the provider number of another practitioner when </w:t>
      </w:r>
      <w:r>
        <w:rPr>
          <w:lang w:val="en"/>
        </w:rPr>
        <w:t xml:space="preserve">they bill a service, this is known </w:t>
      </w:r>
      <w:r w:rsidRPr="006E075E">
        <w:rPr>
          <w:lang w:val="en"/>
        </w:rPr>
        <w:t>as a payee provider</w:t>
      </w:r>
      <w:r>
        <w:rPr>
          <w:lang w:val="en"/>
        </w:rPr>
        <w:t xml:space="preserve"> arrangement. For the service to be included in the SWPE value, </w:t>
      </w:r>
      <w:r w:rsidRPr="006E075E">
        <w:rPr>
          <w:lang w:val="en"/>
        </w:rPr>
        <w:t>the payee provider</w:t>
      </w:r>
      <w:r>
        <w:rPr>
          <w:lang w:val="en"/>
        </w:rPr>
        <w:t>’s</w:t>
      </w:r>
      <w:r w:rsidRPr="006E075E">
        <w:rPr>
          <w:lang w:val="en"/>
        </w:rPr>
        <w:t xml:space="preserve"> details must be registered in the </w:t>
      </w:r>
      <w:r w:rsidRPr="006E075E">
        <w:t xml:space="preserve">WIP </w:t>
      </w:r>
      <w:r w:rsidR="00C52C53">
        <w:t>-</w:t>
      </w:r>
      <w:r w:rsidRPr="006E075E">
        <w:t xml:space="preserve"> Practice Stream </w:t>
      </w:r>
      <w:r w:rsidRPr="006E075E">
        <w:rPr>
          <w:lang w:val="en"/>
        </w:rPr>
        <w:t xml:space="preserve">at the practice </w:t>
      </w:r>
      <w:proofErr w:type="gramStart"/>
      <w:r w:rsidRPr="006E075E">
        <w:rPr>
          <w:lang w:val="en"/>
        </w:rPr>
        <w:t>location</w:t>
      </w:r>
      <w:proofErr w:type="gramEnd"/>
      <w:r w:rsidRPr="006E075E">
        <w:rPr>
          <w:lang w:val="en"/>
        </w:rPr>
        <w:t xml:space="preserve"> the service</w:t>
      </w:r>
      <w:r>
        <w:rPr>
          <w:lang w:val="en"/>
        </w:rPr>
        <w:t xml:space="preserve"> is </w:t>
      </w:r>
      <w:r w:rsidRPr="006E075E">
        <w:rPr>
          <w:lang w:val="en"/>
        </w:rPr>
        <w:t>provided</w:t>
      </w:r>
      <w:r>
        <w:rPr>
          <w:lang w:val="en"/>
        </w:rPr>
        <w:t>.</w:t>
      </w:r>
    </w:p>
    <w:p w14:paraId="2E498BAD" w14:textId="56DCB0AE" w:rsidR="00A7164A" w:rsidRPr="00E662FE" w:rsidRDefault="00E31430" w:rsidP="00E31430">
      <w:r w:rsidRPr="00E662FE">
        <w:t xml:space="preserve">When a </w:t>
      </w:r>
      <w:r>
        <w:t>practitioner</w:t>
      </w:r>
      <w:r w:rsidRPr="00E662FE">
        <w:t xml:space="preserve"> joins</w:t>
      </w:r>
      <w:r>
        <w:t xml:space="preserve"> or</w:t>
      </w:r>
      <w:r w:rsidRPr="00E662FE">
        <w:t xml:space="preserve"> leaves</w:t>
      </w:r>
      <w:r>
        <w:t xml:space="preserve"> a practice, or extends</w:t>
      </w:r>
      <w:r w:rsidRPr="00E662FE">
        <w:t xml:space="preserve"> their provider number </w:t>
      </w:r>
      <w:r>
        <w:t xml:space="preserve">at a location, the practice must notify Services Australia. The provider number will be updated or included </w:t>
      </w:r>
      <w:r w:rsidRPr="00E662FE">
        <w:t xml:space="preserve">on </w:t>
      </w:r>
      <w:r>
        <w:t>your</w:t>
      </w:r>
      <w:r w:rsidRPr="00E662FE">
        <w:t xml:space="preserve"> practice profile. The start and end dates of </w:t>
      </w:r>
      <w:r>
        <w:t>the practitioners</w:t>
      </w:r>
      <w:r w:rsidRPr="00E662FE">
        <w:t xml:space="preserve"> </w:t>
      </w:r>
      <w:r>
        <w:t>who work in your</w:t>
      </w:r>
      <w:r w:rsidRPr="00E662FE">
        <w:t xml:space="preserve"> practice determine the services included in the practice’s SWPE </w:t>
      </w:r>
      <w:r>
        <w:t xml:space="preserve">value </w:t>
      </w:r>
      <w:r w:rsidRPr="00E662FE">
        <w:t xml:space="preserve">calculation. </w:t>
      </w:r>
    </w:p>
    <w:p w14:paraId="351E52A8" w14:textId="77777777" w:rsidR="00E31430" w:rsidRPr="00934E73" w:rsidRDefault="00E31430" w:rsidP="00E31430">
      <w:r w:rsidRPr="00934E73">
        <w:lastRenderedPageBreak/>
        <w:t>The SWPE value of a practice is calculated in 3 steps</w:t>
      </w:r>
      <w:r>
        <w:t>:</w:t>
      </w:r>
    </w:p>
    <w:p w14:paraId="1C5984BB"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Calculation of the Whole Patient Equivalent (WPE) of each patient</w:t>
      </w:r>
    </w:p>
    <w:p w14:paraId="3145A95D" w14:textId="77777777" w:rsidR="00CF4BBE" w:rsidRDefault="00CF4BBE" w:rsidP="00CF4BBE">
      <w:r w:rsidRPr="00934E73">
        <w:t>T</w:t>
      </w:r>
      <w:r>
        <w:t xml:space="preserve">he fraction of care provided by the practice </w:t>
      </w:r>
      <w:r w:rsidRPr="00934E73">
        <w:t xml:space="preserve">to each patient </w:t>
      </w:r>
      <w:r>
        <w:t>i</w:t>
      </w:r>
      <w:r w:rsidRPr="00934E73">
        <w:t xml:space="preserve">s calculated. </w:t>
      </w:r>
    </w:p>
    <w:p w14:paraId="587F2DCC" w14:textId="20C0B217" w:rsidR="00CF4BBE" w:rsidRPr="00934E73" w:rsidRDefault="00CF4BBE" w:rsidP="00CF4BBE">
      <w:r w:rsidRPr="008643FC">
        <w:t>The total care for each patient equals one (1.0) and is known as the WPE. The WPE is based on GP and other non-referred consultation items in the MBS and uses the value, rather than the number of consultations per patient.</w:t>
      </w:r>
    </w:p>
    <w:p w14:paraId="220CE339" w14:textId="49C831BA" w:rsidR="00CF4BBE" w:rsidRPr="00934E73" w:rsidRDefault="00CF4BBE" w:rsidP="00CF4BBE">
      <w:r w:rsidRPr="00934E73">
        <w:t xml:space="preserve">For example, in a </w:t>
      </w:r>
      <w:r w:rsidR="002D027E" w:rsidRPr="00934E73">
        <w:t>12-month</w:t>
      </w:r>
      <w:r w:rsidRPr="00934E73">
        <w:t xml:space="preserve"> period, a patient has $100 in MBS benefits at Practice A and $400 at Practice B, a total of $500:</w:t>
      </w:r>
    </w:p>
    <w:p w14:paraId="6375BBB3" w14:textId="77777777" w:rsidR="00CF4BBE" w:rsidRPr="003824E7" w:rsidRDefault="00CF4BBE" w:rsidP="0043055A">
      <w:pPr>
        <w:pStyle w:val="ListBullet"/>
      </w:pPr>
      <w:r w:rsidRPr="003824E7">
        <w:t>Practice A would be assigned with $100 ÷ $500 or 0.2 of the patient’s care.</w:t>
      </w:r>
    </w:p>
    <w:p w14:paraId="36AEB27F" w14:textId="77777777" w:rsidR="00CF4BBE" w:rsidRPr="003824E7" w:rsidRDefault="00CF4BBE" w:rsidP="0043055A">
      <w:pPr>
        <w:pStyle w:val="ListBullet"/>
      </w:pPr>
      <w:r w:rsidRPr="003824E7">
        <w:t>Practice B would be assigned with $400 ÷ $500 or 0.8 of the patient’s care.</w:t>
      </w:r>
    </w:p>
    <w:p w14:paraId="67027E43"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Weighting of the WPE</w:t>
      </w:r>
    </w:p>
    <w:p w14:paraId="65B2BF28" w14:textId="214B57F6" w:rsidR="00CF4BBE" w:rsidRPr="00D00456" w:rsidRDefault="00CF4BBE" w:rsidP="00CF4BBE">
      <w:r w:rsidRPr="008643FC">
        <w:t>The WPE is weighted for the age and gender of each patient to become the SWPE</w:t>
      </w:r>
      <w:r>
        <w:t xml:space="preserve"> value</w:t>
      </w:r>
      <w:r w:rsidRPr="008643FC">
        <w:t xml:space="preserve">. The weighting recognises </w:t>
      </w:r>
      <w:r w:rsidR="006E0199">
        <w:t xml:space="preserve">that </w:t>
      </w:r>
      <w:r w:rsidRPr="008643FC">
        <w:t>people need different amounts of care at different stages in their life and the amount of care differs for males and females. The weighting factors are routinely updated</w:t>
      </w:r>
      <w:r>
        <w:t xml:space="preserve">. </w:t>
      </w:r>
    </w:p>
    <w:p w14:paraId="155C542D" w14:textId="77777777" w:rsidR="00CF4BBE" w:rsidRPr="00435354" w:rsidRDefault="00CF4BBE" w:rsidP="00694D90">
      <w:pPr>
        <w:pStyle w:val="numberedlist0"/>
        <w:numPr>
          <w:ilvl w:val="0"/>
          <w:numId w:val="1"/>
        </w:numPr>
        <w:rPr>
          <w:rFonts w:asciiTheme="minorHAnsi" w:hAnsiTheme="minorHAnsi"/>
          <w:sz w:val="24"/>
        </w:rPr>
      </w:pPr>
      <w:r w:rsidRPr="00435354">
        <w:rPr>
          <w:rFonts w:asciiTheme="minorHAnsi" w:hAnsiTheme="minorHAnsi"/>
          <w:sz w:val="24"/>
        </w:rPr>
        <w:t>Total SWPE</w:t>
      </w:r>
      <w:r>
        <w:rPr>
          <w:rFonts w:asciiTheme="minorHAnsi" w:hAnsiTheme="minorHAnsi"/>
          <w:sz w:val="24"/>
        </w:rPr>
        <w:t xml:space="preserve"> value</w:t>
      </w:r>
    </w:p>
    <w:p w14:paraId="1215F261" w14:textId="77777777" w:rsidR="00CF4BBE" w:rsidRDefault="00CF4BBE" w:rsidP="00CF4BBE">
      <w:r w:rsidRPr="00D00456">
        <w:t xml:space="preserve">The individual SWPE values are added together to determine the </w:t>
      </w:r>
      <w:r>
        <w:t xml:space="preserve">total </w:t>
      </w:r>
      <w:r w:rsidRPr="00D00456">
        <w:t xml:space="preserve">SWPE value of the practice. </w:t>
      </w:r>
    </w:p>
    <w:p w14:paraId="6F003745" w14:textId="77777777" w:rsidR="00CF4BBE" w:rsidRPr="006E075E" w:rsidRDefault="00CF4BBE" w:rsidP="00CF4BBE">
      <w:proofErr w:type="gramStart"/>
      <w:r w:rsidRPr="006E075E">
        <w:t>For the purpose of</w:t>
      </w:r>
      <w:proofErr w:type="gramEnd"/>
      <w:r w:rsidRPr="006E075E">
        <w:t xml:space="preserve"> calculating WIP – Practice Stream payments:</w:t>
      </w:r>
    </w:p>
    <w:p w14:paraId="76554F91" w14:textId="77777777" w:rsidR="00CF4BBE" w:rsidRPr="006E075E" w:rsidRDefault="00CF4BBE" w:rsidP="0043055A">
      <w:pPr>
        <w:pStyle w:val="ListBullet"/>
      </w:pPr>
      <w:r w:rsidRPr="006E075E">
        <w:t>the SWPE values of Aboriginal Medical Services and Aboriginal Community Controlled Health Services will be increased by 50%; and</w:t>
      </w:r>
    </w:p>
    <w:p w14:paraId="04661F04" w14:textId="2C3D21FF" w:rsidR="00C71821" w:rsidRPr="004D590C" w:rsidRDefault="00CF4BBE" w:rsidP="0043055A">
      <w:pPr>
        <w:pStyle w:val="ListBullet"/>
      </w:pPr>
      <w:r w:rsidRPr="006E075E">
        <w:t>a practices SWPE value is capped at a maximum</w:t>
      </w:r>
      <w:r>
        <w:t xml:space="preserve"> of</w:t>
      </w:r>
      <w:r w:rsidRPr="006E075E">
        <w:t xml:space="preserve"> </w:t>
      </w:r>
      <w:r w:rsidR="00C63F1F">
        <w:t>4</w:t>
      </w:r>
      <w:r w:rsidR="00645BF6">
        <w:t>,</w:t>
      </w:r>
      <w:r w:rsidR="00C63F1F">
        <w:t>000</w:t>
      </w:r>
      <w:r w:rsidR="00C63F1F" w:rsidRPr="006E075E">
        <w:t xml:space="preserve"> </w:t>
      </w:r>
      <w:r w:rsidRPr="006E075E">
        <w:t>each quarter.</w:t>
      </w:r>
    </w:p>
    <w:p w14:paraId="752611EE" w14:textId="29793EC8" w:rsidR="00CF4BBE" w:rsidRPr="00D60DD3" w:rsidRDefault="00830756" w:rsidP="00830756">
      <w:pPr>
        <w:pStyle w:val="Heading3numbered"/>
      </w:pPr>
      <w:bookmarkStart w:id="278" w:name="_Toc142318461"/>
      <w:bookmarkStart w:id="279" w:name="_Toc197682372"/>
      <w:r>
        <w:t xml:space="preserve">4.1.1 </w:t>
      </w:r>
      <w:r w:rsidR="00AF0B2F" w:rsidRPr="00D60DD3">
        <w:t>Practices</w:t>
      </w:r>
      <w:r w:rsidR="00E31430" w:rsidRPr="00D60DD3">
        <w:t xml:space="preserve"> with a historical SWPE</w:t>
      </w:r>
      <w:r w:rsidR="00104E07" w:rsidRPr="00D60DD3">
        <w:t xml:space="preserve"> value</w:t>
      </w:r>
      <w:bookmarkEnd w:id="278"/>
      <w:bookmarkEnd w:id="279"/>
    </w:p>
    <w:p w14:paraId="454421D7" w14:textId="77777777" w:rsidR="00E31430" w:rsidRPr="006E075E" w:rsidRDefault="00E31430" w:rsidP="00E31430">
      <w:r w:rsidRPr="001937F5" w:rsidDel="006E075E">
        <w:t xml:space="preserve">Established practices participating in the Practice Incentives Program (PIP) who join the WIP – Practice Stream will have a historical MBS service level that can be used to calculate their SWPE value. </w:t>
      </w:r>
      <w:r w:rsidRPr="001937F5">
        <w:t xml:space="preserve">Practices </w:t>
      </w:r>
      <w:r w:rsidRPr="006E075E">
        <w:t xml:space="preserve">must provide consent to allow usage of their PIP </w:t>
      </w:r>
      <w:r>
        <w:t>information</w:t>
      </w:r>
      <w:r w:rsidRPr="006E075E">
        <w:t xml:space="preserve"> for the purposes of the WIP – Practice Stream. </w:t>
      </w:r>
      <w:r>
        <w:t>PIP consenting practices will have the same practice ID in PIP and WIP – Practice Stream.</w:t>
      </w:r>
    </w:p>
    <w:p w14:paraId="61D309EC" w14:textId="77777777" w:rsidR="00E31430" w:rsidRPr="001937F5" w:rsidRDefault="00E31430" w:rsidP="00E31430">
      <w:r w:rsidRPr="001937F5">
        <w:t>Practices that join the WIP</w:t>
      </w:r>
      <w:r>
        <w:t xml:space="preserve"> </w:t>
      </w:r>
      <w:r w:rsidRPr="001937F5">
        <w:t>-</w:t>
      </w:r>
      <w:r>
        <w:t xml:space="preserve"> </w:t>
      </w:r>
      <w:r w:rsidRPr="001937F5">
        <w:t>Practice Stream as a PIP consenting practice that have been in the PIP for 6 payment quarters or more will be allocated the true SWPE</w:t>
      </w:r>
      <w:r>
        <w:t xml:space="preserve"> value</w:t>
      </w:r>
      <w:r w:rsidRPr="001937F5">
        <w:t>.</w:t>
      </w:r>
      <w:r>
        <w:t xml:space="preserve"> </w:t>
      </w:r>
    </w:p>
    <w:p w14:paraId="7830943F" w14:textId="4E9F3178" w:rsidR="00E31430" w:rsidRDefault="00E31430" w:rsidP="00E31430">
      <w:r w:rsidRPr="001937F5">
        <w:t>Practices that join the WIP – Practice Stream as a PIP consenting practice that have been in the PIP for less than 6 payment quarters will be allocated a default SWPE value of 1</w:t>
      </w:r>
      <w:r w:rsidR="009E0852">
        <w:t>,</w:t>
      </w:r>
      <w:r w:rsidRPr="001937F5">
        <w:t xml:space="preserve">000 for those payment quarters that they were not participating in the PIP. For example, if a </w:t>
      </w:r>
      <w:r w:rsidRPr="001937F5">
        <w:lastRenderedPageBreak/>
        <w:t>practice has been participating in the PIP for 12 months</w:t>
      </w:r>
      <w:r>
        <w:t xml:space="preserve"> before joining the WIP – Practice Stream and 4 </w:t>
      </w:r>
      <w:r w:rsidR="004E7470">
        <w:t>payment quarters have passed during that time</w:t>
      </w:r>
      <w:r w:rsidRPr="001937F5">
        <w:t xml:space="preserve">, </w:t>
      </w:r>
      <w:r>
        <w:t xml:space="preserve">if their true SWPE value is less than 1,000 </w:t>
      </w:r>
      <w:r w:rsidRPr="001937F5">
        <w:t>they will be allocated a SWPE</w:t>
      </w:r>
      <w:r>
        <w:t xml:space="preserve"> value</w:t>
      </w:r>
      <w:r w:rsidRPr="001937F5">
        <w:t xml:space="preserve"> of 1,000 for </w:t>
      </w:r>
      <w:r>
        <w:t>the first</w:t>
      </w:r>
      <w:r w:rsidRPr="001937F5">
        <w:t xml:space="preserve"> 2 payment quarters</w:t>
      </w:r>
      <w:r>
        <w:t xml:space="preserve"> in the WIP – Practice Stream</w:t>
      </w:r>
      <w:r w:rsidRPr="001937F5">
        <w:t xml:space="preserve">. </w:t>
      </w:r>
    </w:p>
    <w:p w14:paraId="238209A2" w14:textId="6E5A410F" w:rsidR="00CF4BBE" w:rsidRPr="00F0217B" w:rsidRDefault="00830756" w:rsidP="00830756">
      <w:pPr>
        <w:pStyle w:val="Heading3numbered"/>
      </w:pPr>
      <w:bookmarkStart w:id="280" w:name="_5.1.2_Practices_without"/>
      <w:bookmarkStart w:id="281" w:name="_Toc452553071"/>
      <w:bookmarkStart w:id="282" w:name="_Toc490491608"/>
      <w:bookmarkStart w:id="283" w:name="_Toc529284789"/>
      <w:bookmarkStart w:id="284" w:name="_Toc25157858"/>
      <w:bookmarkStart w:id="285" w:name="_Toc142318462"/>
      <w:bookmarkStart w:id="286" w:name="_Toc197682373"/>
      <w:bookmarkEnd w:id="280"/>
      <w:r>
        <w:t xml:space="preserve">4.1.2 </w:t>
      </w:r>
      <w:r w:rsidR="00CF4BBE" w:rsidRPr="00F0217B">
        <w:t>Practices without a historical SWPE</w:t>
      </w:r>
      <w:bookmarkEnd w:id="281"/>
      <w:bookmarkEnd w:id="282"/>
      <w:bookmarkEnd w:id="283"/>
      <w:bookmarkEnd w:id="284"/>
      <w:r w:rsidR="00CF4BBE" w:rsidRPr="00F0217B">
        <w:t xml:space="preserve"> value</w:t>
      </w:r>
      <w:bookmarkEnd w:id="285"/>
      <w:bookmarkEnd w:id="286"/>
    </w:p>
    <w:p w14:paraId="0893EB00" w14:textId="6D6985C0" w:rsidR="00E31430" w:rsidRDefault="00E31430" w:rsidP="00E31430">
      <w:r>
        <w:t xml:space="preserve">Newly established practices will not have a historical SWPE value. </w:t>
      </w:r>
    </w:p>
    <w:p w14:paraId="1788FD24" w14:textId="77777777" w:rsidR="00E31430" w:rsidRPr="008F2DD3" w:rsidRDefault="00E31430" w:rsidP="00E31430">
      <w:r w:rsidRPr="008F2DD3">
        <w:t>It takes approximately 6 payment quarters</w:t>
      </w:r>
      <w:r>
        <w:t xml:space="preserve"> (18 months)</w:t>
      </w:r>
      <w:r w:rsidRPr="008F2DD3">
        <w:t xml:space="preserve"> to establish a full SWPE value. </w:t>
      </w:r>
    </w:p>
    <w:p w14:paraId="484A5E5E" w14:textId="6E6F0F63" w:rsidR="00FD5DCE" w:rsidRDefault="00E31430" w:rsidP="00E31430">
      <w:r w:rsidRPr="001E39FF">
        <w:t>When an established practice</w:t>
      </w:r>
      <w:r>
        <w:t>,</w:t>
      </w:r>
      <w:r w:rsidRPr="001E39FF">
        <w:rPr>
          <w:color w:val="FF0000"/>
        </w:rPr>
        <w:t xml:space="preserve"> </w:t>
      </w:r>
      <w:r w:rsidRPr="001E39FF">
        <w:t xml:space="preserve">less than 18 months </w:t>
      </w:r>
      <w:r>
        <w:t xml:space="preserve">old from the time the practice opened, joins the WIP – </w:t>
      </w:r>
      <w:r w:rsidRPr="001E39FF">
        <w:t>Practice Stream its historical MBS service level will be used to calculate its SWPE value. Where the true SWPE value is less than 1,000, a default</w:t>
      </w:r>
      <w:r w:rsidR="00142AC5">
        <w:t xml:space="preserve"> </w:t>
      </w:r>
      <w:r w:rsidRPr="001E39FF">
        <w:t>SWPE value of 1</w:t>
      </w:r>
      <w:r w:rsidR="009E0852">
        <w:t>,</w:t>
      </w:r>
      <w:r w:rsidRPr="001E39FF">
        <w:t xml:space="preserve">000 will be applied </w:t>
      </w:r>
      <w:r>
        <w:t>for 6 payment quarters. This begins from the approval date in WIP – Practice Stream, or if PIP consenting, from the approval date in PIP</w:t>
      </w:r>
      <w:r w:rsidR="0023191A">
        <w:t xml:space="preserve"> if the date is earlier</w:t>
      </w:r>
      <w:r>
        <w:t xml:space="preserve">. When </w:t>
      </w:r>
      <w:r w:rsidRPr="001E39FF">
        <w:t xml:space="preserve">the practice </w:t>
      </w:r>
      <w:r w:rsidRPr="0075205F">
        <w:t>has been established for 18 months</w:t>
      </w:r>
      <w:r w:rsidR="00A47B99">
        <w:t>,</w:t>
      </w:r>
      <w:r w:rsidRPr="0075205F">
        <w:t xml:space="preserve"> the true SWPE</w:t>
      </w:r>
      <w:r>
        <w:t xml:space="preserve"> value</w:t>
      </w:r>
      <w:r w:rsidRPr="0075205F">
        <w:t xml:space="preserve"> will be </w:t>
      </w:r>
      <w:r w:rsidRPr="001E39FF">
        <w:t>applied</w:t>
      </w:r>
      <w:r>
        <w:t>, even if it is less than 1,000</w:t>
      </w:r>
      <w:r w:rsidRPr="00E9544F">
        <w:t xml:space="preserve">. </w:t>
      </w:r>
    </w:p>
    <w:p w14:paraId="71CEABE0" w14:textId="33AE7EFC" w:rsidR="0037788E" w:rsidRDefault="0037788E" w:rsidP="0037788E">
      <w:pPr>
        <w:pStyle w:val="Heading2numbered"/>
      </w:pPr>
      <w:bookmarkStart w:id="287" w:name="_Toc197682374"/>
      <w:r w:rsidRPr="00700C99">
        <w:t xml:space="preserve">Transferring a SWPE </w:t>
      </w:r>
      <w:r>
        <w:t>v</w:t>
      </w:r>
      <w:r w:rsidRPr="00700C99">
        <w:t>alue</w:t>
      </w:r>
      <w:bookmarkEnd w:id="287"/>
    </w:p>
    <w:p w14:paraId="20A4A364" w14:textId="77777777" w:rsidR="0037788E" w:rsidRPr="00D31960" w:rsidRDefault="0037788E" w:rsidP="0037788E">
      <w:r w:rsidRPr="00D31960">
        <w:t>A SWPE</w:t>
      </w:r>
      <w:r>
        <w:t xml:space="preserve"> value can be transferred if the practice</w:t>
      </w:r>
      <w:r w:rsidRPr="00D31960">
        <w:t>:</w:t>
      </w:r>
    </w:p>
    <w:p w14:paraId="671D0646" w14:textId="77777777" w:rsidR="0037788E" w:rsidRPr="00D31960" w:rsidRDefault="0037788E" w:rsidP="0037788E">
      <w:pPr>
        <w:pStyle w:val="ListBullet"/>
      </w:pPr>
      <w:r w:rsidRPr="00D31960">
        <w:t>change</w:t>
      </w:r>
      <w:r>
        <w:t>s</w:t>
      </w:r>
      <w:r w:rsidRPr="00D31960">
        <w:t xml:space="preserve"> ownership</w:t>
      </w:r>
      <w:r>
        <w:t xml:space="preserve"> and accreditation </w:t>
      </w:r>
      <w:proofErr w:type="gramStart"/>
      <w:r>
        <w:t>is</w:t>
      </w:r>
      <w:proofErr w:type="gramEnd"/>
      <w:r>
        <w:t xml:space="preserve"> included in the sale of the </w:t>
      </w:r>
      <w:proofErr w:type="gramStart"/>
      <w:r>
        <w:t>practice;</w:t>
      </w:r>
      <w:proofErr w:type="gramEnd"/>
    </w:p>
    <w:p w14:paraId="5F868830" w14:textId="77777777" w:rsidR="0037788E" w:rsidRPr="00C61001" w:rsidRDefault="0037788E" w:rsidP="0037788E">
      <w:pPr>
        <w:pStyle w:val="ListBullet"/>
      </w:pPr>
      <w:r w:rsidRPr="00C61001">
        <w:t>relocates in the same local area; or</w:t>
      </w:r>
    </w:p>
    <w:p w14:paraId="472394B2" w14:textId="77777777" w:rsidR="0037788E" w:rsidRPr="00C61001" w:rsidRDefault="0037788E" w:rsidP="0037788E">
      <w:pPr>
        <w:pStyle w:val="ListBullet"/>
      </w:pPr>
      <w:r w:rsidRPr="00C61001">
        <w:t xml:space="preserve">amalgamates with </w:t>
      </w:r>
      <w:r>
        <w:t>one</w:t>
      </w:r>
      <w:r w:rsidRPr="00C61001">
        <w:t xml:space="preserve"> or more practices</w:t>
      </w:r>
      <w:r>
        <w:t xml:space="preserve"> in the same local area</w:t>
      </w:r>
      <w:r w:rsidRPr="00C61001">
        <w:t>.</w:t>
      </w:r>
    </w:p>
    <w:p w14:paraId="3B0C42C9" w14:textId="77777777" w:rsidR="0037788E" w:rsidRDefault="0037788E" w:rsidP="0037788E">
      <w:r w:rsidRPr="00D31960">
        <w:t xml:space="preserve">In all other situations practices will need to apply for the </w:t>
      </w:r>
      <w:r>
        <w:t>W</w:t>
      </w:r>
      <w:r w:rsidRPr="00D31960">
        <w:t>IP</w:t>
      </w:r>
      <w:r>
        <w:t xml:space="preserve"> – Practice Stream</w:t>
      </w:r>
      <w:r w:rsidRPr="00D31960">
        <w:t xml:space="preserve"> as a new practice and establish a new SWPE value.</w:t>
      </w:r>
    </w:p>
    <w:p w14:paraId="606AF5DB" w14:textId="77777777" w:rsidR="0037788E" w:rsidRDefault="0037788E" w:rsidP="0037788E">
      <w:r w:rsidRPr="00F92E2F">
        <w:t>In all circumstances practices must continually meet all WIP</w:t>
      </w:r>
      <w:r w:rsidRPr="001937F5">
        <w:t xml:space="preserve"> – </w:t>
      </w:r>
      <w:r>
        <w:t>Practice Stream</w:t>
      </w:r>
      <w:r w:rsidRPr="00F92E2F">
        <w:t xml:space="preserve"> requirements, including accreditation, to remain eligible to </w:t>
      </w:r>
      <w:r>
        <w:t>receive</w:t>
      </w:r>
      <w:r w:rsidRPr="00F92E2F">
        <w:t xml:space="preserve"> payments</w:t>
      </w:r>
      <w:r>
        <w:t>.</w:t>
      </w:r>
    </w:p>
    <w:p w14:paraId="0266AE6D" w14:textId="77777777" w:rsidR="0037788E" w:rsidRDefault="0037788E" w:rsidP="0037788E">
      <w:pPr>
        <w:pStyle w:val="Heading3numbered"/>
      </w:pPr>
      <w:bookmarkStart w:id="288" w:name="_Toc197682375"/>
      <w:r>
        <w:t>4.2.1</w:t>
      </w:r>
      <w:r>
        <w:tab/>
      </w:r>
      <w:r w:rsidRPr="00F0217B">
        <w:t>Practice relocation - transferring a SWPE value</w:t>
      </w:r>
      <w:bookmarkEnd w:id="288"/>
      <w:r w:rsidRPr="00FB329C">
        <w:t xml:space="preserve"> </w:t>
      </w:r>
    </w:p>
    <w:p w14:paraId="383E333C" w14:textId="77777777" w:rsidR="0037788E" w:rsidRPr="0075205F" w:rsidRDefault="0037788E" w:rsidP="0037788E">
      <w:r w:rsidRPr="0075205F">
        <w:t xml:space="preserve">If the practice relocates to a different physical location but is not sold, the SWPE value will transfer to the new physical location. </w:t>
      </w:r>
    </w:p>
    <w:p w14:paraId="45406203" w14:textId="77777777" w:rsidR="0037788E" w:rsidRPr="00CD3B51" w:rsidRDefault="0037788E" w:rsidP="0037788E">
      <w:pPr>
        <w:spacing w:after="120"/>
      </w:pPr>
      <w:r>
        <w:t>The SWPE value can only transfer to the new location if:</w:t>
      </w:r>
    </w:p>
    <w:p w14:paraId="51FCD612" w14:textId="77777777" w:rsidR="0037788E" w:rsidRDefault="0037788E" w:rsidP="0037788E">
      <w:pPr>
        <w:pStyle w:val="ListBullet"/>
      </w:pPr>
      <w:r>
        <w:t>the</w:t>
      </w:r>
      <w:r w:rsidRPr="00D00456">
        <w:t xml:space="preserve"> practice is not operating from the original </w:t>
      </w:r>
      <w:proofErr w:type="gramStart"/>
      <w:r w:rsidRPr="00D00456">
        <w:t>location</w:t>
      </w:r>
      <w:r>
        <w:t>;</w:t>
      </w:r>
      <w:proofErr w:type="gramEnd"/>
      <w:r>
        <w:t xml:space="preserve"> </w:t>
      </w:r>
    </w:p>
    <w:p w14:paraId="6BAD473B" w14:textId="77777777" w:rsidR="0037788E" w:rsidRPr="00D00456" w:rsidRDefault="0037788E" w:rsidP="0037788E">
      <w:pPr>
        <w:pStyle w:val="ListBullet"/>
      </w:pPr>
      <w:r>
        <w:t>the practice relocates within the same local area; and</w:t>
      </w:r>
    </w:p>
    <w:p w14:paraId="71928257" w14:textId="77777777" w:rsidR="0037788E" w:rsidRDefault="0037788E" w:rsidP="0037788E">
      <w:pPr>
        <w:pStyle w:val="ListBullet"/>
      </w:pPr>
      <w:r w:rsidRPr="00D00456">
        <w:t>the patient</w:t>
      </w:r>
      <w:r>
        <w:t>s</w:t>
      </w:r>
      <w:r w:rsidRPr="00D00456">
        <w:t xml:space="preserve"> and all patient records </w:t>
      </w:r>
      <w:r>
        <w:t xml:space="preserve">stay </w:t>
      </w:r>
      <w:r w:rsidRPr="00D00456">
        <w:t>with the relocated practice</w:t>
      </w:r>
      <w:r>
        <w:t>.</w:t>
      </w:r>
    </w:p>
    <w:p w14:paraId="2E053B9E" w14:textId="77777777" w:rsidR="00FD5DCE" w:rsidRDefault="0037788E" w:rsidP="0037788E">
      <w:r w:rsidRPr="00D00456">
        <w:t xml:space="preserve">If the relocated practice does not meet these requirements, the practice will need to apply </w:t>
      </w:r>
      <w:r>
        <w:t xml:space="preserve">for the WIP – Practice Stream </w:t>
      </w:r>
      <w:r w:rsidRPr="00D00456">
        <w:t xml:space="preserve">as a new practice and establish a </w:t>
      </w:r>
      <w:hyperlink w:anchor="_5.1.2_Practices_without" w:history="1">
        <w:r w:rsidRPr="000778EB">
          <w:rPr>
            <w:rStyle w:val="Hyperlink"/>
          </w:rPr>
          <w:t>SWPE value</w:t>
        </w:r>
      </w:hyperlink>
      <w:r w:rsidRPr="000778EB">
        <w:t>.</w:t>
      </w:r>
      <w:r w:rsidRPr="00D00456">
        <w:t xml:space="preserve"> </w:t>
      </w:r>
      <w:r>
        <w:t xml:space="preserve">In these </w:t>
      </w:r>
      <w:r>
        <w:lastRenderedPageBreak/>
        <w:t xml:space="preserve">circumstances, the original practice will not receive a payment for the quarter in which the practice relocation occurs. </w:t>
      </w:r>
    </w:p>
    <w:p w14:paraId="24E518B4" w14:textId="71EB7AB4" w:rsidR="00CF4BBE" w:rsidRPr="00F0217B" w:rsidRDefault="00830756" w:rsidP="00830756">
      <w:pPr>
        <w:pStyle w:val="Heading3numbered"/>
      </w:pPr>
      <w:bookmarkStart w:id="289" w:name="_Toc25157861"/>
      <w:bookmarkStart w:id="290" w:name="_Toc142318465"/>
      <w:bookmarkStart w:id="291" w:name="_Toc197682376"/>
      <w:bookmarkStart w:id="292" w:name="_Toc437932763"/>
      <w:bookmarkStart w:id="293" w:name="_Toc452553075"/>
      <w:bookmarkStart w:id="294" w:name="_Toc490491612"/>
      <w:bookmarkStart w:id="295" w:name="_Toc529284791"/>
      <w:r>
        <w:t>4.2.2</w:t>
      </w:r>
      <w:r>
        <w:tab/>
      </w:r>
      <w:r w:rsidR="00F0217B">
        <w:t>C</w:t>
      </w:r>
      <w:r w:rsidR="00CF4BBE" w:rsidRPr="00F0217B">
        <w:t>hange of ownership - transferring a SWPE value</w:t>
      </w:r>
      <w:bookmarkEnd w:id="289"/>
      <w:bookmarkEnd w:id="290"/>
      <w:bookmarkEnd w:id="291"/>
      <w:r w:rsidR="00CF4BBE" w:rsidRPr="00F0217B">
        <w:t xml:space="preserve"> </w:t>
      </w:r>
      <w:bookmarkEnd w:id="292"/>
      <w:bookmarkEnd w:id="293"/>
      <w:bookmarkEnd w:id="294"/>
      <w:bookmarkEnd w:id="295"/>
    </w:p>
    <w:p w14:paraId="5E788C0B" w14:textId="077465CC" w:rsidR="005F66D0" w:rsidRDefault="005F66D0" w:rsidP="005F66D0">
      <w:r w:rsidRPr="00F92E2F">
        <w:t xml:space="preserve">If </w:t>
      </w:r>
      <w:r>
        <w:t xml:space="preserve">a practice </w:t>
      </w:r>
      <w:r w:rsidRPr="00F92E2F">
        <w:t>change</w:t>
      </w:r>
      <w:r>
        <w:t>s</w:t>
      </w:r>
      <w:r w:rsidRPr="00F92E2F">
        <w:t xml:space="preserve"> ownership, and remains open in the original physical location, the </w:t>
      </w:r>
      <w:r>
        <w:t xml:space="preserve">historical </w:t>
      </w:r>
      <w:r w:rsidRPr="00F92E2F">
        <w:t xml:space="preserve">SWPE value will transfer to the new </w:t>
      </w:r>
      <w:r w:rsidR="00B9270D">
        <w:t xml:space="preserve">practice </w:t>
      </w:r>
      <w:r w:rsidRPr="00F92E2F">
        <w:t>owner</w:t>
      </w:r>
      <w:r w:rsidR="00FF61DB">
        <w:t>(</w:t>
      </w:r>
      <w:r w:rsidRPr="00F92E2F">
        <w:t>s</w:t>
      </w:r>
      <w:r w:rsidR="00FF61DB">
        <w:t>)</w:t>
      </w:r>
      <w:r w:rsidRPr="00F92E2F">
        <w:t xml:space="preserve"> </w:t>
      </w:r>
      <w:r>
        <w:t xml:space="preserve">only </w:t>
      </w:r>
      <w:r w:rsidRPr="00F92E2F">
        <w:t xml:space="preserve">if the accreditation is included in the sale of the practice. </w:t>
      </w:r>
    </w:p>
    <w:p w14:paraId="51A16606" w14:textId="77777777" w:rsidR="005F66D0" w:rsidRDefault="005F66D0" w:rsidP="005F66D0">
      <w:r w:rsidRPr="00C80B27">
        <w:t xml:space="preserve">If accreditation </w:t>
      </w:r>
      <w:r>
        <w:t>is not included in the sale of the</w:t>
      </w:r>
      <w:r w:rsidRPr="00C80B27">
        <w:t xml:space="preserve"> practice, the new owner will need</w:t>
      </w:r>
      <w:r>
        <w:t xml:space="preserve"> to apply for the WIP – Practice Stream as a new practice </w:t>
      </w:r>
      <w:r w:rsidRPr="00D00456">
        <w:t xml:space="preserve">and establish a </w:t>
      </w:r>
      <w:hyperlink w:anchor="_5.1.2_Practices_without" w:history="1">
        <w:r w:rsidRPr="0082699C">
          <w:rPr>
            <w:rStyle w:val="Hyperlink"/>
          </w:rPr>
          <w:t>SWPE value</w:t>
        </w:r>
      </w:hyperlink>
      <w:r w:rsidRPr="00D00456">
        <w:t xml:space="preserve">. </w:t>
      </w:r>
    </w:p>
    <w:p w14:paraId="04E7CADF" w14:textId="3A8892FB" w:rsidR="00CF4BBE" w:rsidRPr="00F0217B" w:rsidRDefault="00830756" w:rsidP="00830756">
      <w:pPr>
        <w:pStyle w:val="Heading3numbered"/>
      </w:pPr>
      <w:bookmarkStart w:id="296" w:name="_Toc452553073"/>
      <w:bookmarkStart w:id="297" w:name="_Toc490491610"/>
      <w:bookmarkStart w:id="298" w:name="_Toc529284792"/>
      <w:bookmarkStart w:id="299" w:name="_Toc25157862"/>
      <w:bookmarkStart w:id="300" w:name="_Toc142318466"/>
      <w:bookmarkStart w:id="301" w:name="_Toc197682377"/>
      <w:r>
        <w:t>4.2.3</w:t>
      </w:r>
      <w:r>
        <w:tab/>
      </w:r>
      <w:r w:rsidR="00CF4BBE" w:rsidRPr="00F0217B">
        <w:t>Practice amalgamation - transferring a SWPE value</w:t>
      </w:r>
      <w:bookmarkEnd w:id="296"/>
      <w:bookmarkEnd w:id="297"/>
      <w:bookmarkEnd w:id="298"/>
      <w:bookmarkEnd w:id="299"/>
      <w:bookmarkEnd w:id="300"/>
      <w:bookmarkEnd w:id="301"/>
    </w:p>
    <w:p w14:paraId="715BF63B" w14:textId="77777777" w:rsidR="00F66069" w:rsidRDefault="00F66069" w:rsidP="00F66069">
      <w:r>
        <w:t xml:space="preserve">If two or more practices </w:t>
      </w:r>
      <w:r w:rsidRPr="009B6D3F">
        <w:t>amalgamate</w:t>
      </w:r>
      <w:r>
        <w:t>, t</w:t>
      </w:r>
      <w:r w:rsidRPr="00D00456">
        <w:t xml:space="preserve">he SWPE value of </w:t>
      </w:r>
      <w:r>
        <w:t>the amalgamated practices will be the sum of the SWPE values for each original practice.</w:t>
      </w:r>
    </w:p>
    <w:p w14:paraId="70022EBD" w14:textId="77777777" w:rsidR="00F66069" w:rsidRDefault="00F66069" w:rsidP="00F66069">
      <w:pPr>
        <w:spacing w:after="120"/>
      </w:pPr>
      <w:r>
        <w:t>The SWPE value can only transfer to the amalgamated location if:</w:t>
      </w:r>
    </w:p>
    <w:p w14:paraId="1EC80BDD" w14:textId="1771EF18" w:rsidR="00F66069" w:rsidRPr="00D00456" w:rsidRDefault="00F66069" w:rsidP="0043055A">
      <w:pPr>
        <w:pStyle w:val="ListBullet"/>
      </w:pPr>
      <w:r>
        <w:t xml:space="preserve">the </w:t>
      </w:r>
      <w:r w:rsidR="00225DA3">
        <w:t xml:space="preserve">amalgamated </w:t>
      </w:r>
      <w:r>
        <w:t xml:space="preserve">practice </w:t>
      </w:r>
      <w:r w:rsidR="00225DA3">
        <w:t xml:space="preserve">is </w:t>
      </w:r>
      <w:r>
        <w:t>within the same local area; and</w:t>
      </w:r>
    </w:p>
    <w:p w14:paraId="7B7BD2DB" w14:textId="77777777" w:rsidR="00F66069" w:rsidRDefault="00F66069" w:rsidP="0043055A">
      <w:pPr>
        <w:pStyle w:val="ListBullet"/>
      </w:pPr>
      <w:r w:rsidRPr="00D00456">
        <w:t>the patient</w:t>
      </w:r>
      <w:r>
        <w:t>s</w:t>
      </w:r>
      <w:r w:rsidRPr="00D00456">
        <w:t xml:space="preserve"> and all patient records </w:t>
      </w:r>
      <w:r>
        <w:t xml:space="preserve">stay </w:t>
      </w:r>
      <w:r w:rsidRPr="00D00456">
        <w:t xml:space="preserve">with the </w:t>
      </w:r>
      <w:r>
        <w:t>amalgamated</w:t>
      </w:r>
      <w:r w:rsidRPr="00D00456">
        <w:t xml:space="preserve"> practice</w:t>
      </w:r>
      <w:r>
        <w:t>.</w:t>
      </w:r>
    </w:p>
    <w:p w14:paraId="037F8C92" w14:textId="3C52FAE1" w:rsidR="00CF4BBE" w:rsidRDefault="00CF4BBE" w:rsidP="00CF4BBE">
      <w:r w:rsidRPr="00D00456">
        <w:t xml:space="preserve">If the amalgamated practice </w:t>
      </w:r>
      <w:r>
        <w:t xml:space="preserve">does </w:t>
      </w:r>
      <w:r w:rsidRPr="00D00456">
        <w:t xml:space="preserve">not meet these requirements, the practice will need to apply </w:t>
      </w:r>
      <w:r>
        <w:t xml:space="preserve">for the WIP – Practice Stream </w:t>
      </w:r>
      <w:r w:rsidRPr="00D00456">
        <w:t xml:space="preserve">as a new practice and establish a </w:t>
      </w:r>
      <w:hyperlink w:anchor="_5.1.2_Practices_without" w:history="1">
        <w:r w:rsidRPr="0082699C">
          <w:rPr>
            <w:rStyle w:val="Hyperlink"/>
          </w:rPr>
          <w:t>SWPE value</w:t>
        </w:r>
      </w:hyperlink>
      <w:r>
        <w:t>.</w:t>
      </w:r>
      <w:r w:rsidRPr="00A0357D">
        <w:t xml:space="preserve"> </w:t>
      </w:r>
    </w:p>
    <w:p w14:paraId="4F405F95" w14:textId="77777777" w:rsidR="00CF4BBE" w:rsidRDefault="00CF4BBE" w:rsidP="00CF4BBE">
      <w:r w:rsidRPr="00D00456">
        <w:t>The closed location(s) will not receive a payment for the quarter in which the practice</w:t>
      </w:r>
      <w:r>
        <w:t>s</w:t>
      </w:r>
      <w:r w:rsidRPr="00D00456">
        <w:t xml:space="preserve"> amalgamat</w:t>
      </w:r>
      <w:r>
        <w:t>e</w:t>
      </w:r>
      <w:r w:rsidRPr="00D00456">
        <w:t>.</w:t>
      </w:r>
    </w:p>
    <w:p w14:paraId="512FC8D2" w14:textId="435AB05F" w:rsidR="00324519" w:rsidRDefault="00CF4BBE" w:rsidP="006748D1">
      <w:pPr>
        <w:rPr>
          <w:rFonts w:asciiTheme="majorHAnsi" w:eastAsiaTheme="majorEastAsia" w:hAnsiTheme="majorHAnsi" w:cstheme="majorBidi"/>
          <w:color w:val="2E74B5" w:themeColor="accent1" w:themeShade="BF"/>
          <w:sz w:val="26"/>
          <w:szCs w:val="26"/>
        </w:rPr>
      </w:pPr>
      <w:r>
        <w:t>I</w:t>
      </w:r>
      <w:r w:rsidRPr="00D00456">
        <w:t xml:space="preserve">f </w:t>
      </w:r>
      <w:r>
        <w:t xml:space="preserve">one </w:t>
      </w:r>
      <w:r w:rsidRPr="00D00456">
        <w:t>or more of the amalgamating practices is outside the local area, the practice originally on site at the</w:t>
      </w:r>
      <w:r>
        <w:t xml:space="preserve"> final location will maintain its SWPE value. </w:t>
      </w:r>
      <w:bookmarkStart w:id="302" w:name="_5.2_Calculating_hours"/>
      <w:bookmarkStart w:id="303" w:name="_Toc529284557"/>
      <w:bookmarkStart w:id="304" w:name="_Toc529284793"/>
      <w:bookmarkStart w:id="305" w:name="_Toc25157863"/>
      <w:bookmarkEnd w:id="302"/>
    </w:p>
    <w:p w14:paraId="4ED0DD39" w14:textId="682DFC28" w:rsidR="00CF4BBE" w:rsidRDefault="00CF4BBE" w:rsidP="00830756">
      <w:pPr>
        <w:pStyle w:val="Heading2numbered"/>
      </w:pPr>
      <w:bookmarkStart w:id="306" w:name="_Toc142318467"/>
      <w:bookmarkStart w:id="307" w:name="_Toc197682378"/>
      <w:r>
        <w:t>Calculating hours worked by eligible health professionals</w:t>
      </w:r>
      <w:bookmarkEnd w:id="303"/>
      <w:bookmarkEnd w:id="304"/>
      <w:bookmarkEnd w:id="305"/>
      <w:bookmarkEnd w:id="306"/>
      <w:bookmarkEnd w:id="307"/>
    </w:p>
    <w:p w14:paraId="615E5031" w14:textId="1ED54252" w:rsidR="00F66069" w:rsidRDefault="00CF4BBE" w:rsidP="00CF4BBE">
      <w:pPr>
        <w:rPr>
          <w:lang w:val="en-US"/>
        </w:rPr>
      </w:pPr>
      <w:proofErr w:type="gramStart"/>
      <w:r w:rsidRPr="00934E73">
        <w:rPr>
          <w:lang w:val="en-US"/>
        </w:rPr>
        <w:t>Practices</w:t>
      </w:r>
      <w:proofErr w:type="gramEnd"/>
      <w:r w:rsidRPr="00934E73">
        <w:rPr>
          <w:lang w:val="en-US"/>
        </w:rPr>
        <w:t xml:space="preserve"> can only claim hours worked by eligible health professionals employed</w:t>
      </w:r>
      <w:r>
        <w:rPr>
          <w:lang w:val="en-US"/>
        </w:rPr>
        <w:t xml:space="preserve"> or </w:t>
      </w:r>
      <w:r w:rsidRPr="00934E73">
        <w:rPr>
          <w:lang w:val="en-US"/>
        </w:rPr>
        <w:t>engaged</w:t>
      </w:r>
      <w:r>
        <w:rPr>
          <w:lang w:val="en-US"/>
        </w:rPr>
        <w:t xml:space="preserve"> by the</w:t>
      </w:r>
      <w:r w:rsidRPr="00934E73">
        <w:rPr>
          <w:lang w:val="en-US"/>
        </w:rPr>
        <w:t xml:space="preserve"> practice</w:t>
      </w:r>
      <w:r w:rsidRPr="001001F1">
        <w:rPr>
          <w:lang w:val="en-US"/>
        </w:rPr>
        <w:t xml:space="preserve">. </w:t>
      </w:r>
    </w:p>
    <w:p w14:paraId="3671E00B" w14:textId="1D1207A7" w:rsidR="00F66069" w:rsidRPr="001001F1" w:rsidRDefault="00F66069" w:rsidP="00CF4BBE">
      <w:r>
        <w:rPr>
          <w:lang w:val="en-US"/>
        </w:rPr>
        <w:t>If eligible health professionals are on paid leave during the quarter, these hours can be included in the practice’s average weekly hours. Where leave is taken at half pay, reported hours must reflect this (i.e. half pay = half the hours).</w:t>
      </w:r>
      <w:r w:rsidRPr="001001F1">
        <w:rPr>
          <w:lang w:val="en-US"/>
        </w:rPr>
        <w:t xml:space="preserve"> </w:t>
      </w:r>
      <w:r w:rsidDel="0045584C">
        <w:rPr>
          <w:lang w:val="en-US"/>
        </w:rPr>
        <w:t xml:space="preserve">Unpaid </w:t>
      </w:r>
      <w:proofErr w:type="gramStart"/>
      <w:r w:rsidDel="0045584C">
        <w:rPr>
          <w:lang w:val="en-US"/>
        </w:rPr>
        <w:t>leave</w:t>
      </w:r>
      <w:r>
        <w:rPr>
          <w:lang w:val="en-US"/>
        </w:rPr>
        <w:t>, or</w:t>
      </w:r>
      <w:proofErr w:type="gramEnd"/>
      <w:r>
        <w:rPr>
          <w:lang w:val="en-US"/>
        </w:rPr>
        <w:t xml:space="preserve"> leave paid out once a health professional ceases working at the practice,</w:t>
      </w:r>
      <w:r w:rsidDel="0045584C">
        <w:rPr>
          <w:lang w:val="en-US"/>
        </w:rPr>
        <w:t xml:space="preserve"> cannot be claimed.</w:t>
      </w:r>
    </w:p>
    <w:p w14:paraId="19BA04F2" w14:textId="09611A60" w:rsidR="00CF4BBE" w:rsidRPr="001001F1" w:rsidRDefault="00CF4BBE" w:rsidP="00CF4BBE">
      <w:r w:rsidRPr="000778EB">
        <w:t xml:space="preserve">Practices need to calculate the </w:t>
      </w:r>
      <w:r w:rsidRPr="006748D1">
        <w:rPr>
          <w:b/>
          <w:bCs/>
        </w:rPr>
        <w:t>average weekly hours</w:t>
      </w:r>
      <w:r w:rsidRPr="000778EB">
        <w:t xml:space="preserve"> worked per quarter for </w:t>
      </w:r>
      <w:r w:rsidRPr="006748D1">
        <w:rPr>
          <w:b/>
          <w:bCs/>
          <w:u w:val="single"/>
        </w:rPr>
        <w:t>each</w:t>
      </w:r>
      <w:r w:rsidRPr="000778EB">
        <w:t xml:space="preserve"> eligible health professional, </w:t>
      </w:r>
      <w:proofErr w:type="gramStart"/>
      <w:r w:rsidRPr="000778EB">
        <w:t>taking into account</w:t>
      </w:r>
      <w:proofErr w:type="gramEnd"/>
      <w:r w:rsidRPr="000778EB">
        <w:t xml:space="preserve"> ineligible services and ineligible activities in Part </w:t>
      </w:r>
      <w:r w:rsidR="00CB497A">
        <w:t>B</w:t>
      </w:r>
      <w:r w:rsidRPr="000778EB">
        <w:t xml:space="preserve">, </w:t>
      </w:r>
      <w:hyperlink w:anchor="_1.3_Eligible_health" w:history="1">
        <w:r w:rsidRPr="00CB497A">
          <w:rPr>
            <w:rStyle w:val="Hyperlink"/>
          </w:rPr>
          <w:t>Section 1.5</w:t>
        </w:r>
      </w:hyperlink>
      <w:r w:rsidRPr="000778EB">
        <w:t xml:space="preserve"> Ineligible services/activities.</w:t>
      </w:r>
    </w:p>
    <w:p w14:paraId="084CE1FB" w14:textId="4C39B191" w:rsidR="00F66069" w:rsidRDefault="00F66069" w:rsidP="00F66069">
      <w:r w:rsidRPr="001001F1">
        <w:t xml:space="preserve">For the WIP – Practice Stream, the number of hours a </w:t>
      </w:r>
      <w:r w:rsidR="00BF2A67" w:rsidRPr="001001F1">
        <w:t>full-time</w:t>
      </w:r>
      <w:r w:rsidRPr="001001F1">
        <w:t xml:space="preserve"> eligible health professional works is equivalent to 38 hours per week. </w:t>
      </w:r>
    </w:p>
    <w:p w14:paraId="088603B3" w14:textId="08EE371A" w:rsidR="00F66069" w:rsidRDefault="00F66069" w:rsidP="00F66069">
      <w:r w:rsidRPr="001001F1">
        <w:lastRenderedPageBreak/>
        <w:t>For eligible health professionals not working full time</w:t>
      </w:r>
      <w:r>
        <w:t>,</w:t>
      </w:r>
      <w:r w:rsidRPr="001001F1">
        <w:t xml:space="preserve"> </w:t>
      </w:r>
      <w:r>
        <w:t xml:space="preserve">average weekly hours </w:t>
      </w:r>
      <w:r w:rsidR="00CD1456">
        <w:t>are</w:t>
      </w:r>
      <w:r>
        <w:t xml:space="preserve"> calculated by dividing </w:t>
      </w:r>
      <w:r w:rsidRPr="001001F1">
        <w:t xml:space="preserve">the sum of </w:t>
      </w:r>
      <w:r>
        <w:t xml:space="preserve">the </w:t>
      </w:r>
      <w:r w:rsidRPr="001001F1">
        <w:t xml:space="preserve">total hours worked by that health professional for the </w:t>
      </w:r>
      <w:hyperlink w:anchor="REFPERIOD" w:history="1">
        <w:r w:rsidRPr="00ED0CD7">
          <w:rPr>
            <w:rStyle w:val="Hyperlink"/>
          </w:rPr>
          <w:t>entire payment quarter</w:t>
        </w:r>
      </w:hyperlink>
      <w:r>
        <w:t xml:space="preserve"> </w:t>
      </w:r>
      <w:r w:rsidRPr="001001F1">
        <w:t xml:space="preserve">by 13 weeks. </w:t>
      </w:r>
    </w:p>
    <w:p w14:paraId="4417F26F" w14:textId="77777777" w:rsidR="00CF4BBE" w:rsidRPr="001A3D57" w:rsidRDefault="00CF4BBE" w:rsidP="00CF4BBE">
      <w:pPr>
        <w:spacing w:after="120"/>
        <w:rPr>
          <w:b/>
        </w:rPr>
      </w:pPr>
      <w:r w:rsidRPr="001A3D57">
        <w:rPr>
          <w:b/>
        </w:rPr>
        <w:t>Example:</w:t>
      </w:r>
    </w:p>
    <w:p w14:paraId="4CE68B48" w14:textId="77777777" w:rsidR="003A35E5" w:rsidRDefault="003A35E5" w:rsidP="003A35E5">
      <w:pPr>
        <w:spacing w:after="0" w:line="240" w:lineRule="auto"/>
      </w:pPr>
      <w:r w:rsidRPr="001001F1">
        <w:t xml:space="preserve">A nurse </w:t>
      </w:r>
      <w:r>
        <w:t xml:space="preserve">is </w:t>
      </w:r>
      <w:r w:rsidRPr="001001F1">
        <w:t>engaged for</w:t>
      </w:r>
      <w:r>
        <w:t>:</w:t>
      </w:r>
    </w:p>
    <w:p w14:paraId="437A17E8" w14:textId="77777777" w:rsidR="003A35E5" w:rsidRDefault="003A35E5" w:rsidP="0043055A">
      <w:pPr>
        <w:pStyle w:val="ListBullet"/>
      </w:pPr>
      <w:r w:rsidRPr="001001F1">
        <w:t>15 hours per week for 4 weeks</w:t>
      </w:r>
      <w:r>
        <w:t>;</w:t>
      </w:r>
      <w:r w:rsidRPr="001001F1">
        <w:t xml:space="preserve"> and </w:t>
      </w:r>
    </w:p>
    <w:p w14:paraId="3DF3F573" w14:textId="77777777" w:rsidR="003A35E5" w:rsidRDefault="003A35E5" w:rsidP="0043055A">
      <w:pPr>
        <w:pStyle w:val="ListBullet"/>
      </w:pPr>
      <w:r w:rsidRPr="001001F1">
        <w:t>20 hours per week for 9 weeks</w:t>
      </w:r>
      <w:r>
        <w:t>.</w:t>
      </w:r>
    </w:p>
    <w:p w14:paraId="5E74295C" w14:textId="77777777" w:rsidR="00764348" w:rsidRDefault="003A35E5" w:rsidP="003A35E5">
      <w:r>
        <w:t>Calculation:</w:t>
      </w:r>
      <w:r w:rsidRPr="001001F1">
        <w:t xml:space="preserve"> </w:t>
      </w:r>
      <w:r>
        <w:t>[</w:t>
      </w:r>
      <w:r w:rsidRPr="001001F1">
        <w:t>(15 x 4) + (20 x 9)</w:t>
      </w:r>
      <w:r>
        <w:t>]</w:t>
      </w:r>
      <w:r w:rsidRPr="001001F1">
        <w:t xml:space="preserve"> </w:t>
      </w:r>
      <w:r w:rsidRPr="001001F1">
        <w:rPr>
          <w:rFonts w:cstheme="minorHAnsi"/>
        </w:rPr>
        <w:t>÷</w:t>
      </w:r>
      <w:r w:rsidRPr="001001F1">
        <w:t xml:space="preserve"> 13</w:t>
      </w:r>
      <w:r>
        <w:t xml:space="preserve"> weeks</w:t>
      </w:r>
      <w:r w:rsidRPr="001001F1">
        <w:t xml:space="preserve"> = 18.46 </w:t>
      </w:r>
      <w:r w:rsidRPr="00D07300">
        <w:rPr>
          <w:b/>
          <w:bCs/>
        </w:rPr>
        <w:t>average weekly hours</w:t>
      </w:r>
      <w:r>
        <w:t xml:space="preserve"> </w:t>
      </w:r>
    </w:p>
    <w:p w14:paraId="531C1245" w14:textId="35F068C7" w:rsidR="003A35E5" w:rsidRDefault="00764348" w:rsidP="003A35E5">
      <w:r>
        <w:t>The minutes must</w:t>
      </w:r>
      <w:r w:rsidR="003A35E5">
        <w:t xml:space="preserve"> be converted </w:t>
      </w:r>
      <w:r>
        <w:t>from the % of the hour to actual minutes</w:t>
      </w:r>
      <w:r w:rsidR="003A35E5" w:rsidRPr="001001F1">
        <w:t>.</w:t>
      </w:r>
      <w:r>
        <w:t xml:space="preserve"> You can do this by taking the decimal place of .46 and multiply this by 60 minutes which </w:t>
      </w:r>
      <w:r w:rsidR="00721CEB">
        <w:t>rounds to</w:t>
      </w:r>
      <w:r>
        <w:t xml:space="preserve"> 28 minutes. </w:t>
      </w:r>
    </w:p>
    <w:p w14:paraId="7555661E" w14:textId="0AF7AD29" w:rsidR="00764348" w:rsidRDefault="00764348" w:rsidP="003A35E5">
      <w:r>
        <w:t>Calculation .46 x 60 = 28</w:t>
      </w:r>
    </w:p>
    <w:p w14:paraId="5ABAC646" w14:textId="7E396C91" w:rsidR="00721CEB" w:rsidRPr="001001F1" w:rsidRDefault="00721CEB" w:rsidP="003A35E5">
      <w:r>
        <w:t>This example would then be reported in your QCS as 18:28</w:t>
      </w:r>
      <w:r w:rsidR="00DA2BD1">
        <w:t xml:space="preserve"> hours and minutes.</w:t>
      </w:r>
    </w:p>
    <w:p w14:paraId="04C84C0A" w14:textId="551EEAD8" w:rsidR="00CF4BBE" w:rsidRPr="001001F1" w:rsidRDefault="00CF4BBE" w:rsidP="00CF4BBE">
      <w:r w:rsidRPr="001001F1">
        <w:rPr>
          <w:lang w:val="en-US"/>
        </w:rPr>
        <w:t xml:space="preserve">Practices must keep documented evidence of the hours worked by each eligible health professional for </w:t>
      </w:r>
      <w:r w:rsidR="003A35E5">
        <w:rPr>
          <w:lang w:val="en-US"/>
        </w:rPr>
        <w:t>compliance</w:t>
      </w:r>
      <w:r w:rsidR="003A35E5" w:rsidRPr="001001F1">
        <w:rPr>
          <w:lang w:val="en-US"/>
        </w:rPr>
        <w:t xml:space="preserve"> </w:t>
      </w:r>
      <w:r w:rsidRPr="001001F1">
        <w:rPr>
          <w:lang w:val="en-US"/>
        </w:rPr>
        <w:t xml:space="preserve">purposes. </w:t>
      </w:r>
    </w:p>
    <w:p w14:paraId="1319E1D8" w14:textId="1E2446F9" w:rsidR="00CF4BBE" w:rsidRPr="00D60DD3" w:rsidRDefault="00C71821" w:rsidP="00830756">
      <w:pPr>
        <w:pStyle w:val="Heading3numbered"/>
      </w:pPr>
      <w:bookmarkStart w:id="308" w:name="_Toc25157864"/>
      <w:bookmarkStart w:id="309" w:name="_Toc142318468"/>
      <w:bookmarkStart w:id="310" w:name="_Toc197682379"/>
      <w:r w:rsidRPr="00D60DD3">
        <w:t>4</w:t>
      </w:r>
      <w:r w:rsidR="00CF4BBE" w:rsidRPr="00D60DD3">
        <w:t>.3.1 Grace periods</w:t>
      </w:r>
      <w:bookmarkEnd w:id="308"/>
      <w:bookmarkEnd w:id="309"/>
      <w:bookmarkEnd w:id="310"/>
      <w:r w:rsidR="00CF4BBE" w:rsidRPr="00D60DD3">
        <w:t xml:space="preserve"> </w:t>
      </w:r>
    </w:p>
    <w:p w14:paraId="62F9D683" w14:textId="70C38483" w:rsidR="00CF4BBE" w:rsidRPr="00BF2B61" w:rsidRDefault="00CF4BBE" w:rsidP="00CF4BBE">
      <w:r w:rsidRPr="00BF2B61">
        <w:t xml:space="preserve">A practice has the following grace periods to replace an eligible health professional that was funded through the WIP – Practice Stream before </w:t>
      </w:r>
      <w:r w:rsidR="003A35E5">
        <w:t>eligibility for the program</w:t>
      </w:r>
      <w:r w:rsidRPr="00BF2B61">
        <w:t xml:space="preserve"> is affected:</w:t>
      </w:r>
    </w:p>
    <w:p w14:paraId="25A73E87" w14:textId="77777777" w:rsidR="00CF4BBE" w:rsidRPr="00BF2B61" w:rsidRDefault="00CF4BBE" w:rsidP="0043055A">
      <w:pPr>
        <w:pStyle w:val="ListBullet"/>
      </w:pPr>
      <w:r w:rsidRPr="00BF2B61">
        <w:t>21 calendar days; or</w:t>
      </w:r>
    </w:p>
    <w:p w14:paraId="1C1679D7" w14:textId="77777777" w:rsidR="00CF4BBE" w:rsidRPr="00BF2B61" w:rsidRDefault="00CF4BBE" w:rsidP="0043055A">
      <w:pPr>
        <w:pStyle w:val="ListBullet"/>
      </w:pPr>
      <w:r w:rsidRPr="00BF2B61">
        <w:t>45 calendar days if the practice is:</w:t>
      </w:r>
    </w:p>
    <w:p w14:paraId="254CFACF" w14:textId="77777777" w:rsidR="00CF4BBE" w:rsidRPr="00BF2B61" w:rsidRDefault="00CF4BBE" w:rsidP="0043055A">
      <w:pPr>
        <w:pStyle w:val="ListBullet2"/>
        <w:rPr>
          <w:lang w:val="en"/>
        </w:rPr>
      </w:pPr>
      <w:r w:rsidRPr="00BF2B61">
        <w:rPr>
          <w:lang w:val="en"/>
        </w:rPr>
        <w:t xml:space="preserve">an Aboriginal Medical </w:t>
      </w:r>
      <w:proofErr w:type="gramStart"/>
      <w:r w:rsidRPr="00BF2B61">
        <w:rPr>
          <w:lang w:val="en"/>
        </w:rPr>
        <w:t>Service;</w:t>
      </w:r>
      <w:proofErr w:type="gramEnd"/>
      <w:r w:rsidRPr="00BF2B61">
        <w:rPr>
          <w:lang w:val="en"/>
        </w:rPr>
        <w:t xml:space="preserve"> </w:t>
      </w:r>
    </w:p>
    <w:p w14:paraId="153E988A" w14:textId="77777777" w:rsidR="00CF4BBE" w:rsidRPr="00BF2B61" w:rsidRDefault="00CF4BBE" w:rsidP="0043055A">
      <w:pPr>
        <w:pStyle w:val="ListBullet2"/>
        <w:rPr>
          <w:lang w:val="en"/>
        </w:rPr>
      </w:pPr>
      <w:r w:rsidRPr="00BF2B61">
        <w:rPr>
          <w:lang w:val="en"/>
        </w:rPr>
        <w:t xml:space="preserve">an Aboriginal Community Controlled Health Service; and/or </w:t>
      </w:r>
    </w:p>
    <w:p w14:paraId="1D6EA899" w14:textId="77777777" w:rsidR="00CF4BBE" w:rsidRPr="00BF2B61" w:rsidRDefault="00CF4BBE" w:rsidP="0043055A">
      <w:pPr>
        <w:pStyle w:val="ListBullet2"/>
        <w:rPr>
          <w:lang w:val="en"/>
        </w:rPr>
      </w:pPr>
      <w:r w:rsidRPr="00BF2B61">
        <w:rPr>
          <w:lang w:val="en"/>
        </w:rPr>
        <w:t xml:space="preserve">eligible to receive a rural loading based on the MMM geographical classification. </w:t>
      </w:r>
    </w:p>
    <w:p w14:paraId="3946AD7B" w14:textId="12BB38A2" w:rsidR="00CF4BBE" w:rsidRPr="00BF2B61" w:rsidRDefault="00CF4BBE" w:rsidP="00CF4BBE">
      <w:r w:rsidRPr="00BF2B61">
        <w:t xml:space="preserve">If a practice can’t replace the eligible health professional within the applicable grace period, the practice must notify </w:t>
      </w:r>
      <w:r>
        <w:t>Services Australia</w:t>
      </w:r>
      <w:r w:rsidRPr="00BF2B61">
        <w:t xml:space="preserve"> of the change in circumstances at least 7 </w:t>
      </w:r>
      <w:r>
        <w:t xml:space="preserve">calendar </w:t>
      </w:r>
      <w:r w:rsidRPr="00BF2B61">
        <w:t>days before the point-in-time.</w:t>
      </w:r>
    </w:p>
    <w:p w14:paraId="677A0E7D" w14:textId="17BF8F6D" w:rsidR="00CF4BBE" w:rsidRPr="00D60DD3" w:rsidRDefault="00C71821" w:rsidP="00830756">
      <w:pPr>
        <w:pStyle w:val="Heading3numbered"/>
      </w:pPr>
      <w:bookmarkStart w:id="311" w:name="_Toc529284794"/>
      <w:bookmarkStart w:id="312" w:name="_Toc25157865"/>
      <w:bookmarkStart w:id="313" w:name="_Toc142318469"/>
      <w:bookmarkStart w:id="314" w:name="_Toc197682380"/>
      <w:r w:rsidRPr="00D60DD3">
        <w:t>4</w:t>
      </w:r>
      <w:r w:rsidR="00CF4BBE" w:rsidRPr="00D60DD3">
        <w:t>.3.2 Calculating hours - amalgamating practices</w:t>
      </w:r>
      <w:bookmarkEnd w:id="311"/>
      <w:bookmarkEnd w:id="312"/>
      <w:bookmarkEnd w:id="313"/>
      <w:bookmarkEnd w:id="314"/>
    </w:p>
    <w:p w14:paraId="508AC433" w14:textId="1E56435E" w:rsidR="00CF4BBE" w:rsidRPr="006A0C41" w:rsidRDefault="00CF4BBE" w:rsidP="00CF4BBE">
      <w:r w:rsidRPr="00755D18">
        <w:t xml:space="preserve">When </w:t>
      </w:r>
      <w:hyperlink w:anchor="Amalgamate" w:history="1">
        <w:r w:rsidRPr="00755D18">
          <w:rPr>
            <w:rStyle w:val="Hyperlink"/>
          </w:rPr>
          <w:t>practices amalgamate</w:t>
        </w:r>
      </w:hyperlink>
      <w:r w:rsidR="00105084">
        <w:rPr>
          <w:rStyle w:val="Hyperlink"/>
        </w:rPr>
        <w:t>,</w:t>
      </w:r>
      <w:r w:rsidRPr="00E65E54">
        <w:rPr>
          <w:color w:val="FF0000"/>
        </w:rPr>
        <w:t xml:space="preserve"> </w:t>
      </w:r>
      <w:r>
        <w:t xml:space="preserve">the closed location(s) will not receive a payment for the quarter in which the practice amalgamation occurs. </w:t>
      </w:r>
    </w:p>
    <w:p w14:paraId="6249AACB" w14:textId="77777777" w:rsidR="00FD5DCE" w:rsidRDefault="00CF4BBE" w:rsidP="00CF4BBE">
      <w:r w:rsidRPr="00BF2B61">
        <w:t xml:space="preserve">The average weekly hours </w:t>
      </w:r>
      <w:r w:rsidRPr="00BF2B61">
        <w:rPr>
          <w:lang w:val="en-US"/>
        </w:rPr>
        <w:t xml:space="preserve">worked by eligible health professionals </w:t>
      </w:r>
      <w:r w:rsidRPr="00BF2B61">
        <w:t xml:space="preserve">at the closed location(s) may be transferred to the newly amalgamated practice for the current payment quarter only (see example calculation below). For subsequent payment quarters, the amalgamated practice at the final location will report the new average weekly hours worked. </w:t>
      </w:r>
    </w:p>
    <w:p w14:paraId="697AFFB6" w14:textId="19CCD665" w:rsidR="00CF4BBE" w:rsidRPr="00BF4E9F" w:rsidRDefault="00CF4BBE" w:rsidP="00CF4BBE">
      <w:pPr>
        <w:spacing w:after="120"/>
        <w:rPr>
          <w:lang w:eastAsia="en-AU"/>
        </w:rPr>
      </w:pPr>
      <w:r w:rsidRPr="00435354">
        <w:rPr>
          <w:b/>
          <w:lang w:eastAsia="en-AU"/>
        </w:rPr>
        <w:lastRenderedPageBreak/>
        <w:t>Example:</w:t>
      </w:r>
    </w:p>
    <w:p w14:paraId="0FB6D2C9" w14:textId="1E20ED73" w:rsidR="003A35E5" w:rsidRPr="00BF2B61" w:rsidRDefault="003A35E5" w:rsidP="003A35E5">
      <w:r w:rsidRPr="00BF2B61">
        <w:t>Practice A and Practice B amalgamate on 6 April</w:t>
      </w:r>
      <w:r>
        <w:t xml:space="preserve"> and Services Australia process the completed </w:t>
      </w:r>
      <w:r w:rsidRPr="001C1AD0">
        <w:t>Practice Incentives Change of practice details</w:t>
      </w:r>
      <w:r>
        <w:t xml:space="preserve"> form (IP005) before the point-in-time date of 30 April</w:t>
      </w:r>
      <w:r w:rsidRPr="00BF2B61">
        <w:t>. Practice A will become the new amalgamated practice and Practice B will close. The standard weekly registered nurse hours are 20 hours in Practice A and 30 hours in Practice B.</w:t>
      </w:r>
    </w:p>
    <w:p w14:paraId="53AEC390" w14:textId="77777777" w:rsidR="00CF4BBE" w:rsidRPr="00BF2B61" w:rsidRDefault="00CF4BBE" w:rsidP="00CF4BBE">
      <w:r w:rsidRPr="00BF2B61">
        <w:t xml:space="preserve">The 30 hours at Practice B (the closing location) is multiplied by 10 (the number of weeks from the beginning of the payment quarter </w:t>
      </w:r>
      <w:r w:rsidRPr="00036C90">
        <w:t>and the date of amalgamation</w:t>
      </w:r>
      <w:r w:rsidRPr="00BF2B61">
        <w:t xml:space="preserve">) and divided by 13 (total weeks in the payment quarter) = 23 average hours per week. </w:t>
      </w:r>
    </w:p>
    <w:p w14:paraId="72915AE1" w14:textId="77777777" w:rsidR="00CF4BBE" w:rsidRPr="00BF2B61" w:rsidRDefault="00CF4BBE" w:rsidP="00CF4BBE">
      <w:r w:rsidRPr="00BF2B61">
        <w:t xml:space="preserve">These 23 hours are added to the 20 hours at Practice A = 43 average weekly hours for the newly amalgamated practice for 1 February to 30 April quarter. </w:t>
      </w:r>
    </w:p>
    <w:p w14:paraId="7BD7E290" w14:textId="77777777" w:rsidR="00FD5DCE" w:rsidRDefault="00CF4BBE" w:rsidP="00CF4BBE">
      <w:r w:rsidRPr="00BF2B61">
        <w:t xml:space="preserve">The new average weekly hours will apply for subsequent quarters. </w:t>
      </w:r>
    </w:p>
    <w:p w14:paraId="50CE97C9" w14:textId="28BD28ED" w:rsidR="00CF4BBE" w:rsidRDefault="00CF4BBE" w:rsidP="00830756">
      <w:pPr>
        <w:pStyle w:val="Heading2numbered"/>
      </w:pPr>
      <w:bookmarkStart w:id="315" w:name="_5.3_Calculating_the"/>
      <w:bookmarkStart w:id="316" w:name="_Toc529284558"/>
      <w:bookmarkStart w:id="317" w:name="_Toc529284795"/>
      <w:bookmarkStart w:id="318" w:name="_Toc25157866"/>
      <w:bookmarkStart w:id="319" w:name="_Toc142318470"/>
      <w:bookmarkStart w:id="320" w:name="_Toc197682381"/>
      <w:bookmarkEnd w:id="315"/>
      <w:r>
        <w:t>Calculating the rural loading payment</w:t>
      </w:r>
      <w:bookmarkEnd w:id="316"/>
      <w:bookmarkEnd w:id="317"/>
      <w:bookmarkEnd w:id="318"/>
      <w:bookmarkEnd w:id="319"/>
      <w:bookmarkEnd w:id="320"/>
    </w:p>
    <w:p w14:paraId="20A1E82B" w14:textId="6B7EBFE5" w:rsidR="00CF4BBE" w:rsidRPr="00F606C0" w:rsidRDefault="00CF4BBE" w:rsidP="00CF4BBE">
      <w:r w:rsidRPr="00F606C0">
        <w:t xml:space="preserve">A rural loading will be applied to the incentive payment for which the </w:t>
      </w:r>
      <w:r w:rsidR="00674B0F">
        <w:t>main</w:t>
      </w:r>
      <w:r w:rsidR="00674B0F" w:rsidRPr="00F606C0">
        <w:t xml:space="preserve"> </w:t>
      </w:r>
      <w:r w:rsidRPr="00F606C0">
        <w:t>practice</w:t>
      </w:r>
      <w:r w:rsidR="00674B0F">
        <w:t xml:space="preserve"> location</w:t>
      </w:r>
      <w:r w:rsidRPr="00F606C0">
        <w:t xml:space="preserve"> is eligible.</w:t>
      </w:r>
    </w:p>
    <w:p w14:paraId="5BEE46E9" w14:textId="62F07926" w:rsidR="002149A8" w:rsidRPr="00554ACC" w:rsidRDefault="00677A21" w:rsidP="00CF4BBE">
      <w:r w:rsidRPr="00554ACC">
        <w:t xml:space="preserve">The rural loading is determined by the </w:t>
      </w:r>
      <w:hyperlink w:anchor="MMM" w:history="1">
        <w:r w:rsidRPr="00554ACC">
          <w:rPr>
            <w:rStyle w:val="Hyperlink"/>
          </w:rPr>
          <w:t>Modified Monash Model</w:t>
        </w:r>
      </w:hyperlink>
      <w:r w:rsidRPr="00554ACC">
        <w:t xml:space="preserve"> (MM</w:t>
      </w:r>
      <w:r w:rsidR="00817740" w:rsidRPr="00554ACC">
        <w:t>M</w:t>
      </w:r>
      <w:r w:rsidRPr="00554ACC">
        <w:t xml:space="preserve">). </w:t>
      </w:r>
      <w:r w:rsidR="002149A8" w:rsidRPr="00554ACC">
        <w:t xml:space="preserve">The </w:t>
      </w:r>
      <w:r w:rsidR="00817740" w:rsidRPr="00554ACC">
        <w:t>Modified Monash (</w:t>
      </w:r>
      <w:r w:rsidR="002149A8" w:rsidRPr="00554ACC">
        <w:t>MM</w:t>
      </w:r>
      <w:r w:rsidR="00817740" w:rsidRPr="00554ACC">
        <w:t>)</w:t>
      </w:r>
      <w:r w:rsidR="002149A8" w:rsidRPr="00554ACC">
        <w:t xml:space="preserve"> classification of a location can be checked using the Health Workforce Locator on the </w:t>
      </w:r>
      <w:hyperlink r:id="rId30" w:history="1">
        <w:proofErr w:type="spellStart"/>
        <w:r w:rsidR="002149A8" w:rsidRPr="00554ACC">
          <w:rPr>
            <w:rStyle w:val="Hyperlink"/>
          </w:rPr>
          <w:t>DoctorConnect</w:t>
        </w:r>
        <w:proofErr w:type="spellEnd"/>
      </w:hyperlink>
      <w:r w:rsidR="002149A8" w:rsidRPr="00554ACC">
        <w:t xml:space="preserve"> website. To confirm a location’s classification, click ‘Start the locator now’ at the bottom of the page; insert the location of practice address into the ‘</w:t>
      </w:r>
      <w:r w:rsidR="00593510" w:rsidRPr="00554ACC">
        <w:t>Street</w:t>
      </w:r>
      <w:r w:rsidR="002149A8" w:rsidRPr="00554ACC">
        <w:t xml:space="preserve"> Address’ field</w:t>
      </w:r>
      <w:r w:rsidR="006C280E" w:rsidRPr="00554ACC">
        <w:t>.</w:t>
      </w:r>
      <w:r w:rsidR="002149A8" w:rsidRPr="00554ACC">
        <w:t xml:space="preserve"> </w:t>
      </w:r>
      <w:r w:rsidR="006C280E" w:rsidRPr="00554ACC" w:rsidDel="006C280E">
        <w:rPr>
          <w:rStyle w:val="CommentReference"/>
        </w:rPr>
        <w:t xml:space="preserve"> </w:t>
      </w:r>
    </w:p>
    <w:p w14:paraId="07FB68FB" w14:textId="00B5C7B5" w:rsidR="00CF4BBE" w:rsidRPr="00F606C0" w:rsidRDefault="00554ACC" w:rsidP="00CF4BBE">
      <w:r>
        <w:t>T</w:t>
      </w:r>
      <w:r w:rsidR="00CF4BBE" w:rsidRPr="00F606C0">
        <w:t xml:space="preserve">he rural loadings per WIP </w:t>
      </w:r>
      <w:r w:rsidR="00593510">
        <w:t>-</w:t>
      </w:r>
      <w:r w:rsidR="00CF4BBE" w:rsidRPr="00F606C0">
        <w:t xml:space="preserve"> Practice Stream incentive </w:t>
      </w:r>
      <w:r w:rsidR="00817740">
        <w:t>is based on the location of your main practice and the MMM file at the point</w:t>
      </w:r>
      <w:r w:rsidR="00593510">
        <w:t>-</w:t>
      </w:r>
      <w:r w:rsidR="00817740">
        <w:t>in</w:t>
      </w:r>
      <w:r w:rsidR="00593510">
        <w:t>-</w:t>
      </w:r>
      <w:r w:rsidR="00817740">
        <w:t xml:space="preserve">time. They </w:t>
      </w:r>
      <w:r w:rsidR="00CF4BBE" w:rsidRPr="00F606C0">
        <w:t xml:space="preserve">are: </w:t>
      </w:r>
    </w:p>
    <w:p w14:paraId="52F725D9" w14:textId="77777777" w:rsidR="00CF4BBE" w:rsidRPr="00F606C0" w:rsidRDefault="00CF4BBE" w:rsidP="0043055A">
      <w:pPr>
        <w:pStyle w:val="ListBullet"/>
      </w:pPr>
      <w:r w:rsidRPr="00F606C0">
        <w:t>0% for MM</w:t>
      </w:r>
      <w:r>
        <w:t xml:space="preserve"> </w:t>
      </w:r>
      <w:proofErr w:type="gramStart"/>
      <w:r w:rsidRPr="00F606C0">
        <w:t>1;</w:t>
      </w:r>
      <w:proofErr w:type="gramEnd"/>
    </w:p>
    <w:p w14:paraId="6E73C64D" w14:textId="77777777" w:rsidR="00CF4BBE" w:rsidRPr="00F606C0" w:rsidRDefault="00CF4BBE" w:rsidP="0043055A">
      <w:pPr>
        <w:pStyle w:val="ListBullet"/>
      </w:pPr>
      <w:r w:rsidRPr="00F606C0">
        <w:t>0% for MM</w:t>
      </w:r>
      <w:r>
        <w:t xml:space="preserve"> </w:t>
      </w:r>
      <w:proofErr w:type="gramStart"/>
      <w:r w:rsidRPr="00F606C0">
        <w:t>2;</w:t>
      </w:r>
      <w:proofErr w:type="gramEnd"/>
    </w:p>
    <w:p w14:paraId="6A8B7B52" w14:textId="6A022DA0" w:rsidR="00CF4BBE" w:rsidRPr="00F606C0" w:rsidRDefault="0082082B" w:rsidP="0043055A">
      <w:pPr>
        <w:pStyle w:val="ListBullet"/>
      </w:pPr>
      <w:r>
        <w:t>30</w:t>
      </w:r>
      <w:r w:rsidR="00CF4BBE" w:rsidRPr="00F606C0">
        <w:t>% for MM</w:t>
      </w:r>
      <w:r w:rsidR="00CF4BBE">
        <w:t xml:space="preserve"> </w:t>
      </w:r>
      <w:proofErr w:type="gramStart"/>
      <w:r w:rsidR="00CF4BBE" w:rsidRPr="00F606C0">
        <w:t>3;</w:t>
      </w:r>
      <w:proofErr w:type="gramEnd"/>
    </w:p>
    <w:p w14:paraId="0406E2AB" w14:textId="709D51C0" w:rsidR="00CF4BBE" w:rsidRPr="00F606C0" w:rsidRDefault="0082082B" w:rsidP="0043055A">
      <w:pPr>
        <w:pStyle w:val="ListBullet"/>
      </w:pPr>
      <w:r>
        <w:t>40</w:t>
      </w:r>
      <w:r w:rsidR="00CF4BBE" w:rsidRPr="00F606C0">
        <w:t>% for MM</w:t>
      </w:r>
      <w:r w:rsidR="00CF4BBE">
        <w:t xml:space="preserve"> </w:t>
      </w:r>
      <w:proofErr w:type="gramStart"/>
      <w:r w:rsidR="00CF4BBE" w:rsidRPr="00F606C0">
        <w:t>4;</w:t>
      </w:r>
      <w:proofErr w:type="gramEnd"/>
    </w:p>
    <w:p w14:paraId="1732607D" w14:textId="5E5631E7" w:rsidR="00CF4BBE" w:rsidRPr="00F606C0" w:rsidRDefault="0082082B" w:rsidP="0043055A">
      <w:pPr>
        <w:pStyle w:val="ListBullet"/>
      </w:pPr>
      <w:r>
        <w:t>40</w:t>
      </w:r>
      <w:r w:rsidR="00CF4BBE" w:rsidRPr="00F606C0">
        <w:t>% for MM</w:t>
      </w:r>
      <w:r w:rsidR="00CF4BBE">
        <w:t xml:space="preserve"> </w:t>
      </w:r>
      <w:proofErr w:type="gramStart"/>
      <w:r w:rsidR="00CF4BBE" w:rsidRPr="00F606C0">
        <w:t>5;</w:t>
      </w:r>
      <w:proofErr w:type="gramEnd"/>
    </w:p>
    <w:p w14:paraId="02AC4EE4" w14:textId="2BC54E33" w:rsidR="00CF4BBE" w:rsidRPr="00F606C0" w:rsidRDefault="0082082B" w:rsidP="0043055A">
      <w:pPr>
        <w:pStyle w:val="ListBullet"/>
      </w:pPr>
      <w:r>
        <w:t>60</w:t>
      </w:r>
      <w:r w:rsidR="00CF4BBE" w:rsidRPr="00F606C0">
        <w:t>% for MM</w:t>
      </w:r>
      <w:r w:rsidR="00CF4BBE">
        <w:t xml:space="preserve"> </w:t>
      </w:r>
      <w:r w:rsidR="00CF4BBE" w:rsidRPr="00F606C0">
        <w:t>6; and</w:t>
      </w:r>
    </w:p>
    <w:p w14:paraId="700CB773" w14:textId="77777777" w:rsidR="006C280E" w:rsidRDefault="0082082B" w:rsidP="006C280E">
      <w:pPr>
        <w:pStyle w:val="ListBullet"/>
      </w:pPr>
      <w:r>
        <w:t>60</w:t>
      </w:r>
      <w:r w:rsidR="00CF4BBE" w:rsidRPr="00F606C0">
        <w:t>% for MM</w:t>
      </w:r>
      <w:r w:rsidR="00CF4BBE">
        <w:t xml:space="preserve"> </w:t>
      </w:r>
      <w:r w:rsidR="00CF4BBE" w:rsidRPr="00F606C0">
        <w:t>7.</w:t>
      </w:r>
      <w:r w:rsidR="006C280E" w:rsidRPr="006C280E">
        <w:rPr>
          <w:highlight w:val="yellow"/>
        </w:rPr>
        <w:t xml:space="preserve"> </w:t>
      </w:r>
    </w:p>
    <w:p w14:paraId="275B2C23" w14:textId="42B4A721" w:rsidR="00CF4BBE" w:rsidRPr="00F606C0" w:rsidRDefault="006C280E" w:rsidP="00554ACC">
      <w:pPr>
        <w:pStyle w:val="ListBullet"/>
        <w:numPr>
          <w:ilvl w:val="0"/>
          <w:numId w:val="0"/>
        </w:numPr>
      </w:pPr>
      <w:r w:rsidRPr="00554ACC">
        <w:t>The rural loadings are based on the Modified Monash Model 2019 for MM classification before 1 April 2025, and Modified Monash Model 2023 from 1 April</w:t>
      </w:r>
      <w:r>
        <w:t xml:space="preserve"> 2025.</w:t>
      </w:r>
    </w:p>
    <w:p w14:paraId="6FB9141B" w14:textId="774EA89E" w:rsidR="00CF4BBE" w:rsidRDefault="00CF4BBE" w:rsidP="00830756">
      <w:pPr>
        <w:pStyle w:val="Heading2numbered"/>
      </w:pPr>
      <w:bookmarkStart w:id="321" w:name="_5.4_Calculating_the"/>
      <w:bookmarkStart w:id="322" w:name="_Toc529284559"/>
      <w:bookmarkStart w:id="323" w:name="_Toc529284796"/>
      <w:bookmarkStart w:id="324" w:name="_Toc25157867"/>
      <w:bookmarkStart w:id="325" w:name="_Toc142318471"/>
      <w:bookmarkStart w:id="326" w:name="_Toc197682382"/>
      <w:bookmarkEnd w:id="321"/>
      <w:r>
        <w:lastRenderedPageBreak/>
        <w:t>Calculating the DVA loading payment</w:t>
      </w:r>
      <w:bookmarkEnd w:id="322"/>
      <w:bookmarkEnd w:id="323"/>
      <w:bookmarkEnd w:id="324"/>
      <w:bookmarkEnd w:id="325"/>
      <w:bookmarkEnd w:id="326"/>
    </w:p>
    <w:p w14:paraId="3086EE23" w14:textId="37999D9D" w:rsidR="00F9726F" w:rsidRPr="0033651F" w:rsidRDefault="00F9726F" w:rsidP="00F9726F">
      <w:pPr>
        <w:rPr>
          <w:lang w:val="en-GB"/>
        </w:rPr>
      </w:pPr>
      <w:r>
        <w:rPr>
          <w:lang w:val="en-GB"/>
        </w:rPr>
        <w:t xml:space="preserve">Practices receiving the </w:t>
      </w:r>
      <w:r>
        <w:t xml:space="preserve">WIP </w:t>
      </w:r>
      <w:r w:rsidR="00E21130">
        <w:t xml:space="preserve">- </w:t>
      </w:r>
      <w:r>
        <w:t xml:space="preserve">Practice Stream </w:t>
      </w:r>
      <w:r w:rsidRPr="0033651F">
        <w:rPr>
          <w:lang w:val="en-GB"/>
        </w:rPr>
        <w:t xml:space="preserve">payment and providing </w:t>
      </w:r>
      <w:r>
        <w:rPr>
          <w:lang w:val="en-GB"/>
        </w:rPr>
        <w:t>eligible general practitioner (G</w:t>
      </w:r>
      <w:r w:rsidRPr="0033651F">
        <w:rPr>
          <w:lang w:val="en-GB"/>
        </w:rPr>
        <w:t>P</w:t>
      </w:r>
      <w:r>
        <w:rPr>
          <w:lang w:val="en-GB"/>
        </w:rPr>
        <w:t>)</w:t>
      </w:r>
      <w:r w:rsidRPr="0033651F">
        <w:rPr>
          <w:lang w:val="en-GB"/>
        </w:rPr>
        <w:t xml:space="preserve"> services to DVA Gold Card holders are eligible for an annual payment for each veteran. </w:t>
      </w:r>
      <w:r>
        <w:rPr>
          <w:lang w:val="en-GB"/>
        </w:rPr>
        <w:t xml:space="preserve">Services Australia will </w:t>
      </w:r>
      <w:r w:rsidRPr="0033651F">
        <w:rPr>
          <w:lang w:val="en-GB"/>
        </w:rPr>
        <w:t>identify these practices and make payments annually in the August quarter.</w:t>
      </w:r>
    </w:p>
    <w:p w14:paraId="436A747B" w14:textId="77777777" w:rsidR="00F9726F" w:rsidRPr="00D00456" w:rsidRDefault="00F9726F" w:rsidP="00F9726F">
      <w:pPr>
        <w:rPr>
          <w:lang w:val="en-GB"/>
        </w:rPr>
      </w:pPr>
      <w:r w:rsidRPr="00D00456">
        <w:rPr>
          <w:lang w:val="en-GB"/>
        </w:rPr>
        <w:t>The DVA loading is based on the number of Gold Card holders who receive an ‘in room’ consultation in an eligible practice each year. An amount is paid for each DVA Gold Card holder, regardless of the practice location, nursing qualifications or the number of nurses in the practice. There is no limit on the number of DVA loadings paid per practice.</w:t>
      </w:r>
    </w:p>
    <w:p w14:paraId="66035C43" w14:textId="77777777" w:rsidR="00F9726F" w:rsidRPr="00D00456" w:rsidRDefault="00F9726F" w:rsidP="00F9726F">
      <w:pPr>
        <w:rPr>
          <w:lang w:val="en-GB"/>
        </w:rPr>
      </w:pPr>
      <w:r w:rsidRPr="005273D7">
        <w:rPr>
          <w:lang w:val="en-GB"/>
        </w:rPr>
        <w:t xml:space="preserve">Services must be provided by a GP or Fellow of the RACGP or </w:t>
      </w:r>
      <w:r w:rsidRPr="00D00456">
        <w:rPr>
          <w:lang w:val="en-GB"/>
        </w:rPr>
        <w:t>Australian College of Rural and Remote Medicine</w:t>
      </w:r>
      <w:r w:rsidRPr="005273D7">
        <w:rPr>
          <w:lang w:val="en-GB"/>
        </w:rPr>
        <w:t>. Non-vocationally registered general practitioners do</w:t>
      </w:r>
      <w:r>
        <w:rPr>
          <w:lang w:val="en-GB"/>
        </w:rPr>
        <w:t xml:space="preserve"> no</w:t>
      </w:r>
      <w:r w:rsidRPr="005273D7">
        <w:rPr>
          <w:lang w:val="en-GB"/>
        </w:rPr>
        <w:t>t meet the definition of GPs for the purposes of the DVA Loading.</w:t>
      </w:r>
    </w:p>
    <w:p w14:paraId="3178C48E" w14:textId="3CD4609B" w:rsidR="00CF4BBE" w:rsidRPr="008610A2" w:rsidRDefault="00CF4BBE" w:rsidP="00CF4BBE">
      <w:pPr>
        <w:rPr>
          <w:lang w:val="en-GB"/>
        </w:rPr>
      </w:pPr>
      <w:r w:rsidRPr="00D00456">
        <w:rPr>
          <w:lang w:val="en-GB"/>
        </w:rPr>
        <w:t>When a DVA Gold Card holder go</w:t>
      </w:r>
      <w:r>
        <w:rPr>
          <w:lang w:val="en-GB"/>
        </w:rPr>
        <w:t>es to more than one</w:t>
      </w:r>
      <w:r w:rsidRPr="00D00456">
        <w:rPr>
          <w:lang w:val="en-GB"/>
        </w:rPr>
        <w:t xml:space="preserve"> practice each year, the DVA loading is shared across the practices based on the percentage of total consultation fees paid. </w:t>
      </w:r>
    </w:p>
    <w:p w14:paraId="01194984" w14:textId="77777777" w:rsidR="00CF4BBE" w:rsidRPr="00435354" w:rsidRDefault="00CF4BBE" w:rsidP="00CF4BBE">
      <w:pPr>
        <w:spacing w:after="120"/>
        <w:rPr>
          <w:rFonts w:cs="HelveticaNeue-LightCond"/>
          <w:b/>
          <w:lang w:val="en-GB"/>
        </w:rPr>
      </w:pPr>
      <w:r w:rsidRPr="00435354">
        <w:rPr>
          <w:b/>
          <w:lang w:val="en-GB"/>
        </w:rPr>
        <w:t>Example</w:t>
      </w:r>
      <w:r>
        <w:rPr>
          <w:b/>
          <w:lang w:val="en-GB"/>
        </w:rPr>
        <w:t>:</w:t>
      </w:r>
    </w:p>
    <w:p w14:paraId="4225FCD5" w14:textId="5C5DF3DF" w:rsidR="00CF4BBE" w:rsidRDefault="00CF4BBE" w:rsidP="00CF4BBE">
      <w:pPr>
        <w:rPr>
          <w:lang w:val="en-GB"/>
        </w:rPr>
      </w:pPr>
      <w:r w:rsidRPr="002C74AF">
        <w:rPr>
          <w:lang w:val="en-GB"/>
        </w:rPr>
        <w:t xml:space="preserve">Mr Smith is a DVA Gold Card Holder and visits </w:t>
      </w:r>
      <w:r>
        <w:rPr>
          <w:lang w:val="en-GB"/>
        </w:rPr>
        <w:t>3</w:t>
      </w:r>
      <w:r w:rsidRPr="002C74AF">
        <w:rPr>
          <w:lang w:val="en-GB"/>
        </w:rPr>
        <w:t xml:space="preserve"> GP practices in a </w:t>
      </w:r>
      <w:r w:rsidR="00BF2A67" w:rsidRPr="002C74AF">
        <w:rPr>
          <w:lang w:val="en-GB"/>
        </w:rPr>
        <w:t>12-month</w:t>
      </w:r>
      <w:r w:rsidRPr="002C74AF">
        <w:rPr>
          <w:lang w:val="en-GB"/>
        </w:rPr>
        <w:t xml:space="preserve"> period,</w:t>
      </w:r>
      <w:r w:rsidR="009F1190">
        <w:rPr>
          <w:lang w:val="en-GB"/>
        </w:rPr>
        <w:t xml:space="preserve"> the total of the eligible consultation fees was $</w:t>
      </w:r>
      <w:r w:rsidR="00BD63DB">
        <w:rPr>
          <w:lang w:val="en-GB"/>
        </w:rPr>
        <w:t>200</w:t>
      </w:r>
      <w:r w:rsidR="009F1190">
        <w:rPr>
          <w:lang w:val="en-GB"/>
        </w:rPr>
        <w:t>.00</w:t>
      </w:r>
      <w:r w:rsidR="009153DB">
        <w:rPr>
          <w:lang w:val="en-GB"/>
        </w:rPr>
        <w:t xml:space="preserve">. </w:t>
      </w:r>
    </w:p>
    <w:p w14:paraId="466153D7" w14:textId="77777777" w:rsidR="00CF4BBE" w:rsidRPr="00FA4D4B" w:rsidRDefault="00CF4BBE" w:rsidP="00FA4D4B">
      <w:pPr>
        <w:pStyle w:val="Caption"/>
      </w:pPr>
      <w:r w:rsidRPr="00FA4D4B">
        <w:t>Example of how the DVA loading is shared across practices</w:t>
      </w:r>
    </w:p>
    <w:tbl>
      <w:tblPr>
        <w:tblStyle w:val="TableGrid"/>
        <w:tblW w:w="5998" w:type="dxa"/>
        <w:tblLook w:val="06A0" w:firstRow="1" w:lastRow="0" w:firstColumn="1" w:lastColumn="0" w:noHBand="1" w:noVBand="1"/>
        <w:tblDescription w:val="Example of how the DVA loading is shared across practices."/>
      </w:tblPr>
      <w:tblGrid>
        <w:gridCol w:w="1174"/>
        <w:gridCol w:w="2219"/>
        <w:gridCol w:w="2605"/>
      </w:tblGrid>
      <w:tr w:rsidR="009F1190" w:rsidRPr="00DB7020" w14:paraId="45452308" w14:textId="77777777" w:rsidTr="00DB7020">
        <w:trPr>
          <w:cnfStyle w:val="100000000000" w:firstRow="1" w:lastRow="0" w:firstColumn="0" w:lastColumn="0" w:oddVBand="0" w:evenVBand="0" w:oddHBand="0" w:evenHBand="0" w:firstRowFirstColumn="0" w:firstRowLastColumn="0" w:lastRowFirstColumn="0" w:lastRowLastColumn="0"/>
          <w:trHeight w:val="825"/>
          <w:tblHeader/>
        </w:trPr>
        <w:tc>
          <w:tcPr>
            <w:cnfStyle w:val="001000000000" w:firstRow="0" w:lastRow="0" w:firstColumn="1" w:lastColumn="0" w:oddVBand="0" w:evenVBand="0" w:oddHBand="0" w:evenHBand="0" w:firstRowFirstColumn="0" w:firstRowLastColumn="0" w:lastRowFirstColumn="0" w:lastRowLastColumn="0"/>
            <w:tcW w:w="1174" w:type="dxa"/>
          </w:tcPr>
          <w:p w14:paraId="1EDA49F5" w14:textId="77777777" w:rsidR="009F1190" w:rsidRPr="00DB7020" w:rsidRDefault="009F1190" w:rsidP="00DB7020">
            <w:r w:rsidRPr="00DB7020">
              <w:t>Practice</w:t>
            </w:r>
          </w:p>
        </w:tc>
        <w:tc>
          <w:tcPr>
            <w:tcW w:w="2219" w:type="dxa"/>
          </w:tcPr>
          <w:p w14:paraId="3753F03B" w14:textId="067F0D84" w:rsidR="009F1190" w:rsidRPr="00DB7020" w:rsidRDefault="003070EB" w:rsidP="00DB7020">
            <w:pPr>
              <w:cnfStyle w:val="100000000000" w:firstRow="1" w:lastRow="0" w:firstColumn="0" w:lastColumn="0" w:oddVBand="0" w:evenVBand="0" w:oddHBand="0" w:evenHBand="0" w:firstRowFirstColumn="0" w:firstRowLastColumn="0" w:lastRowFirstColumn="0" w:lastRowLastColumn="0"/>
            </w:pPr>
            <w:r w:rsidRPr="00DB7020">
              <w:t>C</w:t>
            </w:r>
            <w:r w:rsidR="009F1190" w:rsidRPr="00DB7020">
              <w:t>onsultation Fees pai</w:t>
            </w:r>
            <w:r w:rsidRPr="00DB7020">
              <w:t>d</w:t>
            </w:r>
          </w:p>
        </w:tc>
        <w:tc>
          <w:tcPr>
            <w:tcW w:w="2605" w:type="dxa"/>
          </w:tcPr>
          <w:p w14:paraId="210E865B" w14:textId="77777777" w:rsidR="009F1190" w:rsidRPr="00DB7020" w:rsidRDefault="009F1190" w:rsidP="00DB7020">
            <w:pPr>
              <w:cnfStyle w:val="100000000000" w:firstRow="1" w:lastRow="0" w:firstColumn="0" w:lastColumn="0" w:oddVBand="0" w:evenVBand="0" w:oddHBand="0" w:evenHBand="0" w:firstRowFirstColumn="0" w:firstRowLastColumn="0" w:lastRowFirstColumn="0" w:lastRowLastColumn="0"/>
            </w:pPr>
            <w:r w:rsidRPr="00DB7020">
              <w:t>% Total DVA component</w:t>
            </w:r>
          </w:p>
        </w:tc>
      </w:tr>
      <w:tr w:rsidR="009F1190" w:rsidRPr="00DB7020" w14:paraId="264822C3"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85DB8CF" w14:textId="77777777" w:rsidR="009F1190" w:rsidRPr="00DB7020" w:rsidRDefault="009F1190" w:rsidP="00DB7020">
            <w:r w:rsidRPr="00DB7020">
              <w:t>A</w:t>
            </w:r>
          </w:p>
        </w:tc>
        <w:tc>
          <w:tcPr>
            <w:tcW w:w="2219" w:type="dxa"/>
          </w:tcPr>
          <w:p w14:paraId="0E879AF2" w14:textId="533632A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$120</w:t>
            </w:r>
          </w:p>
        </w:tc>
        <w:tc>
          <w:tcPr>
            <w:tcW w:w="2605" w:type="dxa"/>
          </w:tcPr>
          <w:p w14:paraId="29D688BA" w14:textId="5EB4ACE1"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r>
      <w:tr w:rsidR="009F1190" w:rsidRPr="00DB7020" w14:paraId="2F1CF9D0"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386A5F7E" w14:textId="77777777" w:rsidR="009F1190" w:rsidRPr="00DB7020" w:rsidRDefault="009F1190" w:rsidP="00DB7020">
            <w:r w:rsidRPr="00DB7020">
              <w:t>B</w:t>
            </w:r>
          </w:p>
        </w:tc>
        <w:tc>
          <w:tcPr>
            <w:tcW w:w="2219" w:type="dxa"/>
          </w:tcPr>
          <w:p w14:paraId="63DE37A4" w14:textId="646C16A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$60</w:t>
            </w:r>
          </w:p>
        </w:tc>
        <w:tc>
          <w:tcPr>
            <w:tcW w:w="2605" w:type="dxa"/>
          </w:tcPr>
          <w:p w14:paraId="0C1C2751" w14:textId="31EB8348"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30%</w:t>
            </w:r>
          </w:p>
        </w:tc>
      </w:tr>
      <w:tr w:rsidR="009F1190" w:rsidRPr="00DB7020" w14:paraId="2F7A220A" w14:textId="77777777" w:rsidTr="00DB7020">
        <w:tc>
          <w:tcPr>
            <w:cnfStyle w:val="001000000000" w:firstRow="0" w:lastRow="0" w:firstColumn="1" w:lastColumn="0" w:oddVBand="0" w:evenVBand="0" w:oddHBand="0" w:evenHBand="0" w:firstRowFirstColumn="0" w:firstRowLastColumn="0" w:lastRowFirstColumn="0" w:lastRowLastColumn="0"/>
            <w:tcW w:w="1174" w:type="dxa"/>
          </w:tcPr>
          <w:p w14:paraId="05A85A90" w14:textId="77777777" w:rsidR="009F1190" w:rsidRPr="00DB7020" w:rsidRDefault="009F1190" w:rsidP="00DB7020">
            <w:r w:rsidRPr="00DB7020">
              <w:t>C</w:t>
            </w:r>
          </w:p>
        </w:tc>
        <w:tc>
          <w:tcPr>
            <w:tcW w:w="2219" w:type="dxa"/>
          </w:tcPr>
          <w:p w14:paraId="26A6EA0E" w14:textId="21AD7144"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$20</w:t>
            </w:r>
          </w:p>
        </w:tc>
        <w:tc>
          <w:tcPr>
            <w:tcW w:w="2605" w:type="dxa"/>
          </w:tcPr>
          <w:p w14:paraId="4F4BF16F" w14:textId="0B6F2E03" w:rsidR="009F1190" w:rsidRPr="00DB7020" w:rsidRDefault="00BD63DB" w:rsidP="00DB7020">
            <w:pPr>
              <w:cnfStyle w:val="000000000000" w:firstRow="0" w:lastRow="0" w:firstColumn="0" w:lastColumn="0" w:oddVBand="0" w:evenVBand="0" w:oddHBand="0" w:evenHBand="0" w:firstRowFirstColumn="0" w:firstRowLastColumn="0" w:lastRowFirstColumn="0" w:lastRowLastColumn="0"/>
            </w:pPr>
            <w:r w:rsidRPr="00DB7020">
              <w:t>10%</w:t>
            </w:r>
          </w:p>
        </w:tc>
      </w:tr>
    </w:tbl>
    <w:p w14:paraId="1E2B248A" w14:textId="204EE0D1" w:rsidR="00C71821" w:rsidRPr="0045078A" w:rsidRDefault="00C71821" w:rsidP="00D60DD3">
      <w:pPr>
        <w:pStyle w:val="Heading1numbered"/>
      </w:pPr>
      <w:bookmarkStart w:id="327" w:name="_6._Example_WIP"/>
      <w:bookmarkStart w:id="328" w:name="_Toc142318472"/>
      <w:bookmarkStart w:id="329" w:name="_Toc197682383"/>
      <w:bookmarkStart w:id="330" w:name="_Toc490491621"/>
      <w:bookmarkStart w:id="331" w:name="_Toc25157868"/>
      <w:bookmarkEnd w:id="327"/>
      <w:r>
        <w:t>P</w:t>
      </w:r>
      <w:r w:rsidRPr="00BB1A9B">
        <w:t xml:space="preserve">ractice </w:t>
      </w:r>
      <w:r>
        <w:t>obligations</w:t>
      </w:r>
      <w:bookmarkEnd w:id="328"/>
      <w:bookmarkEnd w:id="329"/>
    </w:p>
    <w:p w14:paraId="7825821E" w14:textId="1B6196F1" w:rsidR="00C71821" w:rsidRPr="00643E95" w:rsidRDefault="00C71821" w:rsidP="00BC4F08">
      <w:pPr>
        <w:pStyle w:val="Heading2numbered"/>
      </w:pPr>
      <w:bookmarkStart w:id="332" w:name="_Toc142318473"/>
      <w:bookmarkStart w:id="333" w:name="_Toc197682384"/>
      <w:r w:rsidRPr="00643E95">
        <w:t>Eligibility for payments</w:t>
      </w:r>
      <w:bookmarkEnd w:id="332"/>
      <w:bookmarkEnd w:id="333"/>
    </w:p>
    <w:p w14:paraId="51FDBDBF" w14:textId="77777777" w:rsidR="00C71821" w:rsidRDefault="00C71821" w:rsidP="00C71821">
      <w:r>
        <w:t>To qualify for payments, practices must:</w:t>
      </w:r>
    </w:p>
    <w:p w14:paraId="225921E7" w14:textId="0BCF3823" w:rsidR="00F2708F" w:rsidRPr="00A44138" w:rsidRDefault="00F2708F" w:rsidP="0043055A">
      <w:pPr>
        <w:pStyle w:val="ListBullet"/>
        <w:rPr>
          <w:lang w:val="en"/>
        </w:rPr>
      </w:pPr>
      <w:r w:rsidRPr="00A44138">
        <w:rPr>
          <w:lang w:val="en"/>
        </w:rPr>
        <w:t xml:space="preserve">submit a </w:t>
      </w:r>
      <w:r w:rsidRPr="00A44138">
        <w:rPr>
          <w:b/>
          <w:lang w:val="en"/>
        </w:rPr>
        <w:t>completed</w:t>
      </w:r>
      <w:r w:rsidRPr="00A44138">
        <w:rPr>
          <w:lang w:val="en"/>
        </w:rPr>
        <w:t xml:space="preserve"> application for the</w:t>
      </w:r>
      <w:r w:rsidRPr="00DB78A4">
        <w:t xml:space="preserve"> </w:t>
      </w:r>
      <w:r>
        <w:t xml:space="preserve">WIP </w:t>
      </w:r>
      <w:r w:rsidR="00593510">
        <w:t xml:space="preserve">- </w:t>
      </w:r>
      <w:r>
        <w:t>Practice Stream</w:t>
      </w:r>
      <w:r w:rsidRPr="00A44138">
        <w:rPr>
          <w:lang w:val="en"/>
        </w:rPr>
        <w:t xml:space="preserve">, including supporting documentation, at least </w:t>
      </w:r>
      <w:r w:rsidRPr="00A44138">
        <w:rPr>
          <w:b/>
          <w:lang w:val="en"/>
        </w:rPr>
        <w:t>7 calendar days</w:t>
      </w:r>
      <w:r w:rsidRPr="00A44138">
        <w:rPr>
          <w:lang w:val="en"/>
        </w:rPr>
        <w:t xml:space="preserve"> before the relevant </w:t>
      </w:r>
      <w:hyperlink w:anchor="_4.2_Payment_quarter" w:history="1">
        <w:r w:rsidRPr="00A44138">
          <w:rPr>
            <w:rStyle w:val="Hyperlink"/>
            <w:lang w:val="en"/>
          </w:rPr>
          <w:t>point-in-time</w:t>
        </w:r>
      </w:hyperlink>
      <w:r w:rsidRPr="00A44138">
        <w:rPr>
          <w:lang w:val="en"/>
        </w:rPr>
        <w:t xml:space="preserve"> </w:t>
      </w:r>
      <w:proofErr w:type="gramStart"/>
      <w:r w:rsidRPr="00A44138">
        <w:rPr>
          <w:lang w:val="en"/>
        </w:rPr>
        <w:t>date</w:t>
      </w:r>
      <w:r>
        <w:t>;</w:t>
      </w:r>
      <w:proofErr w:type="gramEnd"/>
      <w:r w:rsidRPr="00B233DA">
        <w:t xml:space="preserve"> </w:t>
      </w:r>
    </w:p>
    <w:p w14:paraId="50766E50" w14:textId="6C5441B1" w:rsidR="00F2708F" w:rsidRPr="0072328F" w:rsidRDefault="00F2708F" w:rsidP="0043055A">
      <w:pPr>
        <w:pStyle w:val="ListBullet"/>
        <w:rPr>
          <w:lang w:val="en"/>
        </w:rPr>
      </w:pPr>
      <w:r>
        <w:rPr>
          <w:lang w:val="en"/>
        </w:rPr>
        <w:t xml:space="preserve">have their application approved and be eligible for the </w:t>
      </w:r>
      <w:r>
        <w:t xml:space="preserve">WIP </w:t>
      </w:r>
      <w:r w:rsidR="00593510">
        <w:t>-</w:t>
      </w:r>
      <w:r>
        <w:t xml:space="preserve"> Practice Stream </w:t>
      </w:r>
      <w:r>
        <w:rPr>
          <w:lang w:val="en"/>
        </w:rPr>
        <w:t>by the point-in-time date for that payment quarter; and</w:t>
      </w:r>
    </w:p>
    <w:p w14:paraId="6A72D345" w14:textId="24C846C3" w:rsidR="00F2708F" w:rsidRPr="005B12F0" w:rsidRDefault="00F21648" w:rsidP="0043055A">
      <w:pPr>
        <w:pStyle w:val="ListBullet"/>
        <w:rPr>
          <w:lang w:val="en"/>
        </w:rPr>
      </w:pPr>
      <w:r w:rsidRPr="002970A6">
        <w:rPr>
          <w:lang w:val="en"/>
        </w:rPr>
        <w:t xml:space="preserve">meet </w:t>
      </w:r>
      <w:r w:rsidR="00F2708F" w:rsidRPr="002970A6">
        <w:rPr>
          <w:lang w:val="en"/>
        </w:rPr>
        <w:t xml:space="preserve">all eligibility requirements </w:t>
      </w:r>
      <w:r w:rsidRPr="002970A6">
        <w:rPr>
          <w:lang w:val="en"/>
        </w:rPr>
        <w:t>at</w:t>
      </w:r>
      <w:r>
        <w:rPr>
          <w:b/>
          <w:bCs/>
          <w:lang w:val="en"/>
        </w:rPr>
        <w:t xml:space="preserve"> </w:t>
      </w:r>
      <w:r w:rsidR="00F2708F" w:rsidRPr="0099046D">
        <w:rPr>
          <w:lang w:val="en"/>
        </w:rPr>
        <w:t xml:space="preserve">the </w:t>
      </w:r>
      <w:r w:rsidR="00F2708F">
        <w:rPr>
          <w:lang w:val="en"/>
        </w:rPr>
        <w:t xml:space="preserve">relevant </w:t>
      </w:r>
      <w:r w:rsidR="00F2708F" w:rsidRPr="0099046D">
        <w:rPr>
          <w:lang w:val="en"/>
        </w:rPr>
        <w:t>point-in-time date</w:t>
      </w:r>
      <w:r w:rsidR="00F2708F">
        <w:rPr>
          <w:lang w:val="en"/>
        </w:rPr>
        <w:t xml:space="preserve">. </w:t>
      </w:r>
    </w:p>
    <w:p w14:paraId="64725C01" w14:textId="1AE33201" w:rsidR="00C71821" w:rsidRPr="00D60DD3" w:rsidRDefault="00C71821" w:rsidP="00830756">
      <w:pPr>
        <w:pStyle w:val="Heading3numbered"/>
      </w:pPr>
      <w:bookmarkStart w:id="334" w:name="_Toc142318474"/>
      <w:bookmarkStart w:id="335" w:name="_Toc197682385"/>
      <w:r w:rsidRPr="00D60DD3">
        <w:lastRenderedPageBreak/>
        <w:t>5.1.1 Practice obligations</w:t>
      </w:r>
      <w:bookmarkEnd w:id="334"/>
      <w:bookmarkEnd w:id="335"/>
    </w:p>
    <w:p w14:paraId="124075A5" w14:textId="230CF758" w:rsidR="00C71821" w:rsidRPr="00B162B8" w:rsidRDefault="00C71821" w:rsidP="00C71821">
      <w:pPr>
        <w:rPr>
          <w:strike/>
        </w:rPr>
      </w:pPr>
      <w:r>
        <w:t xml:space="preserve">To remain eligible for payments under the WIP </w:t>
      </w:r>
      <w:r w:rsidR="00593510">
        <w:t>-</w:t>
      </w:r>
      <w:r>
        <w:t xml:space="preserve"> Practice Stream practices must</w:t>
      </w:r>
      <w:r w:rsidRPr="00435354">
        <w:t>:</w:t>
      </w:r>
      <w:r w:rsidRPr="00B162B8">
        <w:rPr>
          <w:strike/>
        </w:rPr>
        <w:t xml:space="preserve"> </w:t>
      </w:r>
    </w:p>
    <w:p w14:paraId="5AAE91E8" w14:textId="0ACCC9A0" w:rsidR="00A0199D" w:rsidRPr="007523C7" w:rsidRDefault="00A0199D" w:rsidP="0043055A">
      <w:pPr>
        <w:pStyle w:val="ListBullet"/>
        <w:rPr>
          <w:lang w:val="en"/>
        </w:rPr>
      </w:pPr>
      <w:r w:rsidRPr="007523C7">
        <w:rPr>
          <w:lang w:val="en"/>
        </w:rPr>
        <w:t>confirm and/or update all details in the Quarterly Confirmation Statement (QCS) each quarter</w:t>
      </w:r>
      <w:r>
        <w:rPr>
          <w:lang w:val="en"/>
        </w:rPr>
        <w:t xml:space="preserve"> (refer</w:t>
      </w:r>
      <w:r w:rsidR="006107A0">
        <w:rPr>
          <w:lang w:val="en"/>
        </w:rPr>
        <w:t xml:space="preserve"> to</w:t>
      </w:r>
      <w:r>
        <w:rPr>
          <w:lang w:val="en"/>
        </w:rPr>
        <w:t xml:space="preserve"> </w:t>
      </w:r>
      <w:hyperlink w:anchor="_3.3_Quarterly_Confirmation" w:history="1">
        <w:r w:rsidR="006107A0" w:rsidRPr="006107A0">
          <w:rPr>
            <w:rStyle w:val="Hyperlink"/>
            <w:lang w:val="en"/>
          </w:rPr>
          <w:t>S</w:t>
        </w:r>
        <w:r w:rsidRPr="006107A0">
          <w:rPr>
            <w:rStyle w:val="Hyperlink"/>
            <w:lang w:val="en"/>
          </w:rPr>
          <w:t xml:space="preserve">ection </w:t>
        </w:r>
        <w:r w:rsidR="006107A0" w:rsidRPr="006107A0">
          <w:rPr>
            <w:rStyle w:val="Hyperlink"/>
            <w:lang w:val="en"/>
          </w:rPr>
          <w:t>3</w:t>
        </w:r>
        <w:r w:rsidRPr="006107A0">
          <w:rPr>
            <w:rStyle w:val="Hyperlink"/>
            <w:lang w:val="en"/>
          </w:rPr>
          <w:t>.3</w:t>
        </w:r>
      </w:hyperlink>
      <w:r>
        <w:rPr>
          <w:lang w:val="en"/>
        </w:rPr>
        <w:t xml:space="preserve"> </w:t>
      </w:r>
      <w:r w:rsidR="006107A0">
        <w:rPr>
          <w:lang w:val="en"/>
        </w:rPr>
        <w:t>above</w:t>
      </w:r>
      <w:r>
        <w:rPr>
          <w:lang w:val="en"/>
        </w:rPr>
        <w:t xml:space="preserve">). Payments will be withheld until the QCS is </w:t>
      </w:r>
      <w:proofErr w:type="gramStart"/>
      <w:r>
        <w:rPr>
          <w:lang w:val="en"/>
        </w:rPr>
        <w:t>confirmed</w:t>
      </w:r>
      <w:r w:rsidRPr="007523C7">
        <w:rPr>
          <w:lang w:val="en"/>
        </w:rPr>
        <w:t>;</w:t>
      </w:r>
      <w:proofErr w:type="gramEnd"/>
    </w:p>
    <w:p w14:paraId="7620468C" w14:textId="77777777" w:rsidR="00A0199D" w:rsidRPr="00901D82" w:rsidRDefault="00A0199D" w:rsidP="0043055A">
      <w:pPr>
        <w:pStyle w:val="ListBullet"/>
        <w:rPr>
          <w:lang w:val="en"/>
        </w:rPr>
      </w:pPr>
      <w:r>
        <w:rPr>
          <w:lang w:val="en"/>
        </w:rPr>
        <w:t xml:space="preserve">advise Services Australia about </w:t>
      </w:r>
      <w:r w:rsidRPr="005B12F0">
        <w:rPr>
          <w:lang w:val="en"/>
        </w:rPr>
        <w:t xml:space="preserve">changes to practice arrangements within 7 </w:t>
      </w:r>
      <w:r>
        <w:rPr>
          <w:lang w:val="en"/>
        </w:rPr>
        <w:t xml:space="preserve">calendar </w:t>
      </w:r>
      <w:r w:rsidRPr="005B12F0">
        <w:rPr>
          <w:lang w:val="en"/>
        </w:rPr>
        <w:t xml:space="preserve">days or at least 7 </w:t>
      </w:r>
      <w:r>
        <w:rPr>
          <w:lang w:val="en"/>
        </w:rPr>
        <w:t xml:space="preserve">calendar </w:t>
      </w:r>
      <w:r w:rsidRPr="005B12F0">
        <w:rPr>
          <w:lang w:val="en"/>
        </w:rPr>
        <w:t xml:space="preserve">days before the relevant point-in-time period, whichever date is </w:t>
      </w:r>
      <w:proofErr w:type="gramStart"/>
      <w:r w:rsidRPr="005B12F0">
        <w:rPr>
          <w:lang w:val="en"/>
        </w:rPr>
        <w:t>first</w:t>
      </w:r>
      <w:r>
        <w:rPr>
          <w:lang w:val="en"/>
        </w:rPr>
        <w:t>;</w:t>
      </w:r>
      <w:proofErr w:type="gramEnd"/>
    </w:p>
    <w:p w14:paraId="4F3F5DD2" w14:textId="77777777" w:rsidR="00A0199D" w:rsidRDefault="00A0199D" w:rsidP="0043055A">
      <w:pPr>
        <w:pStyle w:val="ListBullet"/>
        <w:rPr>
          <w:lang w:val="en"/>
        </w:rPr>
      </w:pPr>
      <w:r>
        <w:rPr>
          <w:lang w:val="en"/>
        </w:rPr>
        <w:t xml:space="preserve">remain eligible for the PIP if the practice is a PIP consenting </w:t>
      </w:r>
      <w:proofErr w:type="gramStart"/>
      <w:r>
        <w:rPr>
          <w:lang w:val="en"/>
        </w:rPr>
        <w:t>practice;</w:t>
      </w:r>
      <w:proofErr w:type="gramEnd"/>
    </w:p>
    <w:p w14:paraId="4CFF2FF5" w14:textId="474D4CD0" w:rsidR="00A0199D" w:rsidRPr="00901D82" w:rsidRDefault="00A0199D" w:rsidP="0043055A">
      <w:pPr>
        <w:pStyle w:val="ListBullet"/>
        <w:rPr>
          <w:lang w:val="en"/>
        </w:rPr>
      </w:pPr>
      <w:r w:rsidRPr="005B12F0">
        <w:rPr>
          <w:lang w:val="en"/>
        </w:rPr>
        <w:t>be able to prove its claims for payment</w:t>
      </w:r>
      <w:r w:rsidRPr="007523C7">
        <w:rPr>
          <w:lang w:val="en"/>
        </w:rPr>
        <w:t xml:space="preserve">. For more information on the type of evidence that may be required see </w:t>
      </w:r>
      <w:hyperlink w:anchor="_5.6_Ensuring_the" w:history="1">
        <w:r w:rsidRPr="006107A0">
          <w:rPr>
            <w:rStyle w:val="Hyperlink"/>
          </w:rPr>
          <w:t xml:space="preserve">Section </w:t>
        </w:r>
        <w:r w:rsidR="009A46BA" w:rsidRPr="006107A0">
          <w:rPr>
            <w:rStyle w:val="Hyperlink"/>
            <w:lang w:val="en"/>
          </w:rPr>
          <w:t>5.6</w:t>
        </w:r>
      </w:hyperlink>
      <w:r>
        <w:rPr>
          <w:lang w:val="en"/>
        </w:rPr>
        <w:t xml:space="preserve"> </w:t>
      </w:r>
      <w:r w:rsidRPr="007523C7">
        <w:rPr>
          <w:lang w:val="en"/>
        </w:rPr>
        <w:t>‘</w:t>
      </w:r>
      <w:r>
        <w:rPr>
          <w:lang w:val="en"/>
        </w:rPr>
        <w:t xml:space="preserve">Ensuring the Integrity of the WIP </w:t>
      </w:r>
      <w:r w:rsidR="009A46BA">
        <w:rPr>
          <w:lang w:val="en"/>
        </w:rPr>
        <w:t>-</w:t>
      </w:r>
      <w:r>
        <w:rPr>
          <w:lang w:val="en"/>
        </w:rPr>
        <w:t xml:space="preserve"> Practice Stream</w:t>
      </w:r>
      <w:proofErr w:type="gramStart"/>
      <w:r w:rsidRPr="007523C7">
        <w:rPr>
          <w:lang w:val="en"/>
        </w:rPr>
        <w:t>’;</w:t>
      </w:r>
      <w:proofErr w:type="gramEnd"/>
    </w:p>
    <w:p w14:paraId="74DFAEB4" w14:textId="14AFABAA" w:rsidR="00A0199D" w:rsidRDefault="00A0199D" w:rsidP="0043055A">
      <w:pPr>
        <w:pStyle w:val="ListBullet"/>
        <w:rPr>
          <w:lang w:val="en"/>
        </w:rPr>
      </w:pPr>
      <w:r>
        <w:rPr>
          <w:lang w:val="en"/>
        </w:rPr>
        <w:t>provide accurate information to</w:t>
      </w:r>
      <w:r w:rsidRPr="005B12F0">
        <w:rPr>
          <w:lang w:val="en"/>
        </w:rPr>
        <w:t xml:space="preserve"> Health as part of their </w:t>
      </w:r>
      <w:r>
        <w:rPr>
          <w:lang w:val="en"/>
        </w:rPr>
        <w:t>compliance</w:t>
      </w:r>
      <w:r w:rsidRPr="005B12F0">
        <w:rPr>
          <w:lang w:val="en"/>
        </w:rPr>
        <w:t xml:space="preserve"> program to demonstrate</w:t>
      </w:r>
      <w:r>
        <w:rPr>
          <w:lang w:val="en"/>
        </w:rPr>
        <w:t xml:space="preserve"> the practice meets the </w:t>
      </w:r>
      <w:r>
        <w:t xml:space="preserve">WIP </w:t>
      </w:r>
      <w:r w:rsidR="00593510">
        <w:t>-</w:t>
      </w:r>
      <w:r>
        <w:t xml:space="preserve"> Practice Stream </w:t>
      </w:r>
      <w:r w:rsidRPr="005B12F0">
        <w:rPr>
          <w:lang w:val="en"/>
        </w:rPr>
        <w:t>eligibility requirements</w:t>
      </w:r>
      <w:r>
        <w:rPr>
          <w:lang w:val="en"/>
        </w:rPr>
        <w:t xml:space="preserve">. This </w:t>
      </w:r>
      <w:r w:rsidRPr="005B12F0">
        <w:rPr>
          <w:lang w:val="en"/>
        </w:rPr>
        <w:t>may include</w:t>
      </w:r>
      <w:r>
        <w:rPr>
          <w:lang w:val="en"/>
        </w:rPr>
        <w:t xml:space="preserve"> a certificate of currency for all relevant insurance policies and</w:t>
      </w:r>
      <w:r w:rsidRPr="005B12F0">
        <w:rPr>
          <w:lang w:val="en"/>
        </w:rPr>
        <w:t xml:space="preserve"> timesheets as evidence of hours worked by eligible health professiona</w:t>
      </w:r>
      <w:r>
        <w:rPr>
          <w:lang w:val="en"/>
        </w:rPr>
        <w:t>ls; and</w:t>
      </w:r>
    </w:p>
    <w:p w14:paraId="216CA3B1" w14:textId="30259966" w:rsidR="00A0199D" w:rsidRPr="00F9726F" w:rsidRDefault="00A0199D" w:rsidP="0043055A">
      <w:pPr>
        <w:pStyle w:val="ListBullet"/>
        <w:rPr>
          <w:lang w:val="en"/>
        </w:rPr>
      </w:pPr>
      <w:r>
        <w:rPr>
          <w:lang w:val="en"/>
        </w:rPr>
        <w:t xml:space="preserve">retain </w:t>
      </w:r>
      <w:r w:rsidRPr="005B12F0">
        <w:rPr>
          <w:lang w:val="en"/>
        </w:rPr>
        <w:t>a copy of all do</w:t>
      </w:r>
      <w:r>
        <w:rPr>
          <w:lang w:val="en"/>
        </w:rPr>
        <w:t xml:space="preserve">cumentation relating to the </w:t>
      </w:r>
      <w:r>
        <w:t xml:space="preserve">WIP </w:t>
      </w:r>
      <w:r w:rsidR="00593510">
        <w:t>-</w:t>
      </w:r>
      <w:r>
        <w:t xml:space="preserve"> Practice Stream </w:t>
      </w:r>
      <w:r w:rsidRPr="005B12F0">
        <w:rPr>
          <w:lang w:val="en"/>
        </w:rPr>
        <w:t>requirements for a minimum of 6 years</w:t>
      </w:r>
      <w:r>
        <w:rPr>
          <w:lang w:val="en"/>
        </w:rPr>
        <w:t>.</w:t>
      </w:r>
    </w:p>
    <w:p w14:paraId="1A54360F" w14:textId="340684DB" w:rsidR="00C71821" w:rsidRPr="00643E95" w:rsidRDefault="00C71821" w:rsidP="00BC4F08">
      <w:pPr>
        <w:pStyle w:val="Heading2numbered"/>
      </w:pPr>
      <w:bookmarkStart w:id="336" w:name="_5.2_Changes_to"/>
      <w:bookmarkStart w:id="337" w:name="_Toc142318475"/>
      <w:bookmarkStart w:id="338" w:name="_Toc197682386"/>
      <w:bookmarkEnd w:id="336"/>
      <w:r w:rsidRPr="00643E95">
        <w:t>Changes to practice arrangements</w:t>
      </w:r>
      <w:bookmarkEnd w:id="337"/>
      <w:bookmarkEnd w:id="338"/>
    </w:p>
    <w:p w14:paraId="2BAAAB87" w14:textId="60760853" w:rsidR="00C71821" w:rsidRPr="00C831BA" w:rsidRDefault="00C71821" w:rsidP="00C71821">
      <w:pPr>
        <w:rPr>
          <w:b/>
          <w:bCs/>
          <w:lang w:val="en-US"/>
        </w:rPr>
      </w:pPr>
      <w:r>
        <w:t>Practices must</w:t>
      </w:r>
      <w:r w:rsidRPr="00967FD2">
        <w:t xml:space="preserve"> </w:t>
      </w:r>
      <w:r>
        <w:t>advise</w:t>
      </w:r>
      <w:r w:rsidRPr="00967FD2">
        <w:t xml:space="preserve"> </w:t>
      </w:r>
      <w:r>
        <w:t xml:space="preserve">Services Australia </w:t>
      </w:r>
      <w:r w:rsidRPr="00967FD2">
        <w:t>of any changes to</w:t>
      </w:r>
      <w:r>
        <w:t xml:space="preserve"> </w:t>
      </w:r>
      <w:r w:rsidRPr="00967FD2">
        <w:t>practice arrangements</w:t>
      </w:r>
      <w:r>
        <w:t xml:space="preserve"> within </w:t>
      </w:r>
      <w:r w:rsidR="00593510">
        <w:br/>
      </w:r>
      <w:r w:rsidRPr="00C831BA">
        <w:rPr>
          <w:b/>
          <w:bCs/>
        </w:rPr>
        <w:t>7 calendar days or at least 7 calendar days before the relevant point-in-time period, whichever date is first.</w:t>
      </w:r>
    </w:p>
    <w:p w14:paraId="4D8317DC" w14:textId="77777777" w:rsidR="00C71821" w:rsidRDefault="00C71821" w:rsidP="00C71821">
      <w:pPr>
        <w:rPr>
          <w:lang w:val="en-US"/>
        </w:rPr>
      </w:pPr>
      <w:r>
        <w:rPr>
          <w:lang w:val="en-US"/>
        </w:rPr>
        <w:t>Changes to practice arrangements</w:t>
      </w:r>
      <w:r w:rsidRPr="00241B9B">
        <w:rPr>
          <w:lang w:val="en-US"/>
        </w:rPr>
        <w:t xml:space="preserve"> </w:t>
      </w:r>
      <w:r>
        <w:rPr>
          <w:lang w:val="en-US"/>
        </w:rPr>
        <w:t>include:</w:t>
      </w:r>
    </w:p>
    <w:p w14:paraId="39372724" w14:textId="77777777" w:rsidR="00C71821" w:rsidRPr="007523C7" w:rsidRDefault="00C71821" w:rsidP="0043055A">
      <w:pPr>
        <w:pStyle w:val="ListBullet"/>
      </w:pPr>
      <w:r w:rsidRPr="007523C7">
        <w:t xml:space="preserve">changes to the authorised contact person(s) for the </w:t>
      </w:r>
      <w:proofErr w:type="gramStart"/>
      <w:r w:rsidRPr="007523C7">
        <w:t>practice;</w:t>
      </w:r>
      <w:proofErr w:type="gramEnd"/>
    </w:p>
    <w:p w14:paraId="13E57037" w14:textId="77777777" w:rsidR="00C71821" w:rsidRPr="005F75A9" w:rsidRDefault="00C71821" w:rsidP="0043055A">
      <w:pPr>
        <w:pStyle w:val="ListBullet"/>
      </w:pPr>
      <w:r w:rsidRPr="005F75A9">
        <w:t xml:space="preserve">practitioners leaving or joining the </w:t>
      </w:r>
      <w:proofErr w:type="gramStart"/>
      <w:r w:rsidRPr="005F75A9">
        <w:t>practice;</w:t>
      </w:r>
      <w:proofErr w:type="gramEnd"/>
    </w:p>
    <w:p w14:paraId="640EA32D" w14:textId="0C29045A" w:rsidR="00C71821" w:rsidRPr="00E85DFA" w:rsidRDefault="00C71821" w:rsidP="0043055A">
      <w:pPr>
        <w:pStyle w:val="ListBullet"/>
      </w:pPr>
      <w:r w:rsidRPr="00E85DFA">
        <w:t>changes to the practice’s bank account</w:t>
      </w:r>
      <w:r w:rsidR="00A0199D">
        <w:t xml:space="preserve"> </w:t>
      </w:r>
      <w:proofErr w:type="gramStart"/>
      <w:r w:rsidR="00A0199D">
        <w:t>details</w:t>
      </w:r>
      <w:r w:rsidRPr="00E85DFA">
        <w:t>;</w:t>
      </w:r>
      <w:proofErr w:type="gramEnd"/>
    </w:p>
    <w:p w14:paraId="2096F434" w14:textId="1E1EECE3" w:rsidR="00C71821" w:rsidRPr="005F75A9" w:rsidRDefault="00C71821" w:rsidP="0043055A">
      <w:pPr>
        <w:pStyle w:val="ListBullet"/>
      </w:pPr>
      <w:r w:rsidRPr="00D151A5">
        <w:t xml:space="preserve">changes in accrediting </w:t>
      </w:r>
      <w:r w:rsidRPr="007523C7">
        <w:t xml:space="preserve">agency or accreditation status, such as the practice </w:t>
      </w:r>
      <w:r w:rsidR="00A0199D">
        <w:t xml:space="preserve">achieving </w:t>
      </w:r>
      <w:r w:rsidRPr="007523C7">
        <w:t>accreditation</w:t>
      </w:r>
      <w:r w:rsidRPr="005F75A9">
        <w:t xml:space="preserve"> or the accreditation </w:t>
      </w:r>
      <w:proofErr w:type="gramStart"/>
      <w:r w:rsidRPr="005F75A9">
        <w:t>lapsing;</w:t>
      </w:r>
      <w:proofErr w:type="gramEnd"/>
    </w:p>
    <w:p w14:paraId="5A233639" w14:textId="77777777" w:rsidR="00C71821" w:rsidRPr="00E85DFA" w:rsidRDefault="00C71821" w:rsidP="0043055A">
      <w:pPr>
        <w:pStyle w:val="ListBullet"/>
      </w:pPr>
      <w:r w:rsidRPr="00E85DFA">
        <w:t xml:space="preserve">changes to the practice location, ownership or </w:t>
      </w:r>
      <w:proofErr w:type="gramStart"/>
      <w:r w:rsidRPr="00E85DFA">
        <w:t>amalgamations;</w:t>
      </w:r>
      <w:proofErr w:type="gramEnd"/>
    </w:p>
    <w:p w14:paraId="13E3FF8D" w14:textId="77777777" w:rsidR="00C71821" w:rsidRPr="00D151A5" w:rsidRDefault="00C71821" w:rsidP="0043055A">
      <w:pPr>
        <w:pStyle w:val="ListBullet"/>
      </w:pPr>
      <w:r w:rsidRPr="00D151A5">
        <w:t xml:space="preserve">lapses in the practice’s public liability insurance or an individual practitioner’s professional indemnity </w:t>
      </w:r>
      <w:proofErr w:type="gramStart"/>
      <w:r w:rsidRPr="00D151A5">
        <w:t>cover;</w:t>
      </w:r>
      <w:proofErr w:type="gramEnd"/>
    </w:p>
    <w:p w14:paraId="2BB97585" w14:textId="4AD60A7D" w:rsidR="00A0199D" w:rsidRPr="00E85DFA" w:rsidRDefault="00A0199D" w:rsidP="0043055A">
      <w:pPr>
        <w:pStyle w:val="ListBullet"/>
      </w:pPr>
      <w:r w:rsidRPr="00D151A5">
        <w:t xml:space="preserve">changes in hours worked </w:t>
      </w:r>
      <w:r>
        <w:t>by each eligible health professional or changes to their employment status (to be notified in the QCS</w:t>
      </w:r>
      <w:r w:rsidR="00EF27BA">
        <w:t>)</w:t>
      </w:r>
      <w:r w:rsidRPr="00D151A5" w:rsidDel="00A0199D">
        <w:t xml:space="preserve"> </w:t>
      </w:r>
    </w:p>
    <w:p w14:paraId="312F5D2C" w14:textId="684F1DF0" w:rsidR="00C71821" w:rsidRPr="00D151A5" w:rsidRDefault="00C71821" w:rsidP="0043055A">
      <w:pPr>
        <w:pStyle w:val="ListBullet"/>
      </w:pPr>
      <w:r w:rsidRPr="00D151A5">
        <w:t>changes in provider details; or</w:t>
      </w:r>
    </w:p>
    <w:p w14:paraId="0116203A" w14:textId="77777777" w:rsidR="00C71821" w:rsidRPr="005C2B9D" w:rsidRDefault="00C71821" w:rsidP="0043055A">
      <w:pPr>
        <w:pStyle w:val="ListBullet"/>
      </w:pPr>
      <w:r>
        <w:lastRenderedPageBreak/>
        <w:t xml:space="preserve">any other information that may affect program </w:t>
      </w:r>
      <w:r w:rsidRPr="007523C7">
        <w:t xml:space="preserve">eligibility or claims for payment. </w:t>
      </w:r>
    </w:p>
    <w:p w14:paraId="48DF103C" w14:textId="77777777" w:rsidR="00C71821" w:rsidRDefault="00C71821" w:rsidP="00C71821">
      <w:r>
        <w:t>Changes to the following practice information can only be advised by the current owner(s) of the practice registered with the WIP – Practice Stream:</w:t>
      </w:r>
    </w:p>
    <w:p w14:paraId="307EAC5C" w14:textId="77777777" w:rsidR="00C71821" w:rsidRDefault="00C71821" w:rsidP="0043055A">
      <w:pPr>
        <w:pStyle w:val="ListBullet"/>
      </w:pPr>
      <w:r w:rsidRPr="005C2B9D">
        <w:t xml:space="preserve">authorised contact </w:t>
      </w:r>
      <w:proofErr w:type="gramStart"/>
      <w:r w:rsidRPr="005C2B9D">
        <w:t>person</w:t>
      </w:r>
      <w:r>
        <w:t>;</w:t>
      </w:r>
      <w:proofErr w:type="gramEnd"/>
    </w:p>
    <w:p w14:paraId="06A70D35" w14:textId="77777777" w:rsidR="00C71821" w:rsidRDefault="00C71821" w:rsidP="0043055A">
      <w:pPr>
        <w:pStyle w:val="ListBullet"/>
      </w:pPr>
      <w:r>
        <w:t xml:space="preserve">practice </w:t>
      </w:r>
      <w:proofErr w:type="gramStart"/>
      <w:r w:rsidRPr="005C2B9D">
        <w:t>ownership</w:t>
      </w:r>
      <w:r>
        <w:t>;</w:t>
      </w:r>
      <w:proofErr w:type="gramEnd"/>
    </w:p>
    <w:p w14:paraId="51B25E2E" w14:textId="77777777" w:rsidR="00C71821" w:rsidRDefault="00C71821" w:rsidP="0043055A">
      <w:pPr>
        <w:pStyle w:val="ListBullet"/>
      </w:pPr>
      <w:proofErr w:type="gramStart"/>
      <w:r w:rsidRPr="005C2B9D">
        <w:t>amalgamation</w:t>
      </w:r>
      <w:r>
        <w:t>s;</w:t>
      </w:r>
      <w:proofErr w:type="gramEnd"/>
    </w:p>
    <w:p w14:paraId="42D3DFD4" w14:textId="77777777" w:rsidR="00C71821" w:rsidRDefault="00C71821" w:rsidP="0043055A">
      <w:pPr>
        <w:pStyle w:val="ListBullet"/>
      </w:pPr>
      <w:r w:rsidRPr="005C2B9D">
        <w:t>relocations</w:t>
      </w:r>
      <w:r>
        <w:t>; and</w:t>
      </w:r>
    </w:p>
    <w:p w14:paraId="553EAF0B" w14:textId="77777777" w:rsidR="00C71821" w:rsidRPr="00B01ED7" w:rsidRDefault="00C71821" w:rsidP="0043055A">
      <w:pPr>
        <w:pStyle w:val="ListBullet"/>
      </w:pPr>
      <w:r w:rsidRPr="005C2B9D">
        <w:t>practice closures</w:t>
      </w:r>
      <w:r>
        <w:t xml:space="preserve"> and/or withdrawals.</w:t>
      </w:r>
    </w:p>
    <w:p w14:paraId="60CE0978" w14:textId="77777777" w:rsidR="00C71821" w:rsidRDefault="00C71821" w:rsidP="00C71821">
      <w:r w:rsidRPr="00E559B7">
        <w:t xml:space="preserve">The easiest way to advise </w:t>
      </w:r>
      <w:r>
        <w:t>Services Australia</w:t>
      </w:r>
      <w:r w:rsidRPr="00E559B7">
        <w:t xml:space="preserve"> of changes to practice arrangements is online through </w:t>
      </w:r>
      <w:hyperlink r:id="rId31" w:history="1">
        <w:r w:rsidRPr="00D06BDF">
          <w:rPr>
            <w:rStyle w:val="Hyperlink"/>
            <w:lang w:val="en"/>
          </w:rPr>
          <w:t>HPOS</w:t>
        </w:r>
      </w:hyperlink>
      <w:r w:rsidRPr="00D06BDF">
        <w:rPr>
          <w:lang w:val="en"/>
        </w:rPr>
        <w:t xml:space="preserve"> </w:t>
      </w:r>
      <w:r w:rsidRPr="00E67588">
        <w:t xml:space="preserve">– </w:t>
      </w:r>
      <w:r w:rsidRPr="00E559B7">
        <w:t>most changes made through HPOS are effective immediately and can be made up to, and on, the relevant point-in-time date.</w:t>
      </w:r>
    </w:p>
    <w:p w14:paraId="45947E48" w14:textId="61F445B3" w:rsidR="00B704FE" w:rsidRDefault="00C71821" w:rsidP="0028694D">
      <w:r w:rsidRPr="00E559B7">
        <w:t xml:space="preserve">Practices can also complete the relevant forms on the </w:t>
      </w:r>
      <w:hyperlink r:id="rId32" w:history="1">
        <w:r>
          <w:rPr>
            <w:rStyle w:val="Hyperlink"/>
          </w:rPr>
          <w:t>Services Australia’</w:t>
        </w:r>
        <w:r w:rsidRPr="0042389F">
          <w:rPr>
            <w:rStyle w:val="Hyperlink"/>
          </w:rPr>
          <w:t xml:space="preserve"> website</w:t>
        </w:r>
      </w:hyperlink>
      <w:r w:rsidRPr="00E559B7">
        <w:t xml:space="preserve"> and </w:t>
      </w:r>
      <w:r w:rsidR="0028694D">
        <w:t>submit them to Services Australia as per the instructions on the form</w:t>
      </w:r>
      <w:r w:rsidR="0028694D" w:rsidRPr="00967FD2">
        <w:t xml:space="preserve">at least 7 </w:t>
      </w:r>
      <w:r w:rsidR="0028694D">
        <w:t xml:space="preserve">calendar </w:t>
      </w:r>
      <w:r w:rsidR="0028694D" w:rsidRPr="00967FD2">
        <w:t xml:space="preserve">days before </w:t>
      </w:r>
      <w:r w:rsidR="0028694D">
        <w:t>the relevant point-in-time date.</w:t>
      </w:r>
    </w:p>
    <w:p w14:paraId="5ED1A090" w14:textId="7923A4DD" w:rsidR="00C71821" w:rsidRPr="00B233DA" w:rsidRDefault="00C71821" w:rsidP="00C71821">
      <w:r w:rsidRPr="00B233DA">
        <w:t xml:space="preserve">Practices can </w:t>
      </w:r>
      <w:r w:rsidR="00B704FE">
        <w:t>notify</w:t>
      </w:r>
      <w:r w:rsidR="00B704FE" w:rsidRPr="00B233DA">
        <w:t xml:space="preserve"> </w:t>
      </w:r>
      <w:r>
        <w:t>Services Australia</w:t>
      </w:r>
      <w:r w:rsidRPr="00B233DA">
        <w:t xml:space="preserve"> about minor changes to practice arrangements. The correspondence must be on official practice letter head and </w:t>
      </w:r>
      <w:r w:rsidR="00B704FE">
        <w:t>sent</w:t>
      </w:r>
      <w:r w:rsidR="00B704FE" w:rsidRPr="00B233DA">
        <w:t xml:space="preserve"> </w:t>
      </w:r>
      <w:r w:rsidRPr="00B233DA">
        <w:t xml:space="preserve">to </w:t>
      </w:r>
      <w:hyperlink r:id="rId33" w:anchor="incentiveprogrammes" w:history="1">
        <w:r w:rsidR="00306797">
          <w:rPr>
            <w:rStyle w:val="Hyperlink"/>
          </w:rPr>
          <w:t>Workforce Incentive Program (WIP) – Practice Stream</w:t>
        </w:r>
      </w:hyperlink>
      <w:r w:rsidRPr="00B233DA">
        <w:t xml:space="preserve"> for manual processing at least 7 calendar days before the relevant point-in-time date.</w:t>
      </w:r>
    </w:p>
    <w:p w14:paraId="2B09A070" w14:textId="1CA9340E" w:rsidR="00C71821" w:rsidRPr="00643E95" w:rsidRDefault="00C71821" w:rsidP="00BC4F08">
      <w:pPr>
        <w:pStyle w:val="Heading2numbered"/>
      </w:pPr>
      <w:bookmarkStart w:id="339" w:name="_Toc142318476"/>
      <w:bookmarkStart w:id="340" w:name="_Toc197682387"/>
      <w:r w:rsidRPr="00643E95">
        <w:t>W</w:t>
      </w:r>
      <w:r>
        <w:t>ithdrawing from the p</w:t>
      </w:r>
      <w:r w:rsidRPr="00643E95">
        <w:t>rogram</w:t>
      </w:r>
      <w:bookmarkEnd w:id="339"/>
      <w:bookmarkEnd w:id="340"/>
    </w:p>
    <w:p w14:paraId="2B5CA049" w14:textId="433571D0" w:rsidR="00C71821" w:rsidRPr="00B233DA" w:rsidRDefault="00C71821" w:rsidP="00C71821">
      <w:r w:rsidRPr="00B233DA">
        <w:rPr>
          <w:lang w:val="en-US"/>
        </w:rPr>
        <w:t xml:space="preserve">A practice can withdraw from the </w:t>
      </w:r>
      <w:r w:rsidRPr="00B233DA">
        <w:t xml:space="preserve">WIP </w:t>
      </w:r>
      <w:r w:rsidR="00E21130">
        <w:t>-</w:t>
      </w:r>
      <w:r w:rsidRPr="00B233DA">
        <w:t xml:space="preserve"> Practice Stream </w:t>
      </w:r>
      <w:r w:rsidRPr="00B233DA">
        <w:rPr>
          <w:lang w:val="en-US"/>
        </w:rPr>
        <w:t>at any time</w:t>
      </w:r>
      <w:r>
        <w:rPr>
          <w:lang w:val="en-US"/>
        </w:rPr>
        <w:t xml:space="preserve"> </w:t>
      </w:r>
      <w:r w:rsidRPr="00B233DA">
        <w:t xml:space="preserve">by completing the </w:t>
      </w:r>
      <w:hyperlink r:id="rId34" w:history="1">
        <w:r w:rsidRPr="00EF27BA">
          <w:rPr>
            <w:rStyle w:val="Hyperlink"/>
          </w:rPr>
          <w:t>Practice Incentives Practice closure or withdrawal</w:t>
        </w:r>
        <w:r w:rsidRPr="002429C2">
          <w:rPr>
            <w:rStyle w:val="Hyperlink"/>
          </w:rPr>
          <w:t xml:space="preserve"> form</w:t>
        </w:r>
      </w:hyperlink>
      <w:r w:rsidRPr="00B233DA">
        <w:t xml:space="preserve"> (IP007)</w:t>
      </w:r>
      <w:r w:rsidR="00B704FE">
        <w:t>.</w:t>
      </w:r>
      <w:r w:rsidRPr="00B233DA">
        <w:t xml:space="preserve"> </w:t>
      </w:r>
      <w:r w:rsidR="00EF27BA">
        <w:t xml:space="preserve">This form must be signed by the </w:t>
      </w:r>
      <w:r w:rsidR="00467707">
        <w:t xml:space="preserve">current </w:t>
      </w:r>
      <w:r w:rsidR="00EF27BA">
        <w:t>registered practice owner</w:t>
      </w:r>
      <w:r w:rsidR="00084E5B">
        <w:t>s</w:t>
      </w:r>
      <w:r w:rsidR="00EF27BA">
        <w:t>.</w:t>
      </w:r>
    </w:p>
    <w:p w14:paraId="1B7DE1D2" w14:textId="77777777" w:rsidR="00C71821" w:rsidRPr="00B233DA" w:rsidRDefault="00C71821" w:rsidP="00C71821">
      <w:r w:rsidRPr="00B233DA">
        <w:t xml:space="preserve">Practices need to do this at least 7 </w:t>
      </w:r>
      <w:r>
        <w:t xml:space="preserve">calendar </w:t>
      </w:r>
      <w:r w:rsidRPr="00B233DA">
        <w:t xml:space="preserve">days before the relevant point-in-time date for the quarter in which they no longer want to receive payments. </w:t>
      </w:r>
    </w:p>
    <w:p w14:paraId="2803291B" w14:textId="7457B1FC" w:rsidR="00A0199D" w:rsidRDefault="00A0199D" w:rsidP="00A0199D">
      <w:pPr>
        <w:rPr>
          <w:lang w:val="en-US"/>
        </w:rPr>
      </w:pPr>
      <w:r w:rsidRPr="004C0BD4">
        <w:t xml:space="preserve">Practices that withdraw or are withdrawn from the WIP </w:t>
      </w:r>
      <w:r w:rsidR="00E21130">
        <w:t>-</w:t>
      </w:r>
      <w:r w:rsidRPr="004C0BD4">
        <w:t xml:space="preserve"> Practice Stream </w:t>
      </w:r>
      <w:r w:rsidRPr="004C0BD4">
        <w:rPr>
          <w:lang w:val="en-GB"/>
        </w:rPr>
        <w:t>are not entitled to</w:t>
      </w:r>
      <w:r w:rsidRPr="004C0BD4">
        <w:t xml:space="preserve"> any withheld payments. Practices will need to reapply for the WIP </w:t>
      </w:r>
      <w:r w:rsidR="00E21130">
        <w:t>-</w:t>
      </w:r>
      <w:r w:rsidRPr="004C0BD4">
        <w:t xml:space="preserve"> Practice Stream if they want to re-join the program. These practices will be </w:t>
      </w:r>
      <w:r w:rsidRPr="004C0BD4">
        <w:rPr>
          <w:lang w:val="en-GB"/>
        </w:rPr>
        <w:t xml:space="preserve">assessed </w:t>
      </w:r>
      <w:r w:rsidRPr="004C0BD4">
        <w:t>as new applicants</w:t>
      </w:r>
      <w:r w:rsidRPr="004C0BD4">
        <w:rPr>
          <w:lang w:val="en-GB"/>
        </w:rPr>
        <w:t xml:space="preserve"> and</w:t>
      </w:r>
      <w:r w:rsidRPr="004C0BD4">
        <w:t xml:space="preserve"> must meet all the eligibility requirements to participate.</w:t>
      </w:r>
      <w:r>
        <w:t xml:space="preserve"> </w:t>
      </w:r>
    </w:p>
    <w:p w14:paraId="6D005392" w14:textId="5D6F4ECC" w:rsidR="00C71821" w:rsidRDefault="00C71821" w:rsidP="00BC4F08">
      <w:pPr>
        <w:pStyle w:val="Heading2numbered"/>
      </w:pPr>
      <w:bookmarkStart w:id="341" w:name="_Toc142318477"/>
      <w:bookmarkStart w:id="342" w:name="_Toc197682388"/>
      <w:r w:rsidRPr="00643E95">
        <w:t>Privacy and consent</w:t>
      </w:r>
      <w:bookmarkEnd w:id="341"/>
      <w:bookmarkEnd w:id="342"/>
    </w:p>
    <w:p w14:paraId="614BBFE4" w14:textId="21A28928" w:rsidR="00C71821" w:rsidRPr="0043055A" w:rsidRDefault="00C71821" w:rsidP="0043055A">
      <w:r w:rsidRPr="00410426">
        <w:rPr>
          <w:color w:val="000000" w:themeColor="text1"/>
        </w:rPr>
        <w:t xml:space="preserve">Your personal information is protected by law (including the </w:t>
      </w:r>
      <w:r w:rsidRPr="00410426">
        <w:rPr>
          <w:i/>
          <w:iCs/>
          <w:color w:val="000000" w:themeColor="text1"/>
        </w:rPr>
        <w:t>Privacy Act 1988</w:t>
      </w:r>
      <w:r w:rsidRPr="00410426">
        <w:rPr>
          <w:color w:val="000000" w:themeColor="text1"/>
        </w:rPr>
        <w:t xml:space="preserve">) and is collected by </w:t>
      </w:r>
      <w:r>
        <w:rPr>
          <w:color w:val="000000" w:themeColor="text1"/>
        </w:rPr>
        <w:t>Services Australia</w:t>
      </w:r>
      <w:r w:rsidRPr="00410426">
        <w:rPr>
          <w:color w:val="000000" w:themeColor="text1"/>
        </w:rPr>
        <w:t xml:space="preserve"> for the purposes of </w:t>
      </w:r>
      <w:r>
        <w:rPr>
          <w:color w:val="000000" w:themeColor="text1"/>
        </w:rPr>
        <w:t xml:space="preserve">the </w:t>
      </w:r>
      <w:r w:rsidRPr="00410426">
        <w:rPr>
          <w:color w:val="000000" w:themeColor="text1"/>
        </w:rPr>
        <w:t>Workforce Incentive Program</w:t>
      </w:r>
      <w:r>
        <w:rPr>
          <w:color w:val="000000" w:themeColor="text1"/>
        </w:rPr>
        <w:t xml:space="preserve"> (WIP)</w:t>
      </w:r>
      <w:r w:rsidRPr="00410426">
        <w:rPr>
          <w:color w:val="000000" w:themeColor="text1"/>
        </w:rPr>
        <w:t xml:space="preserve"> – Practice Stream.</w:t>
      </w:r>
    </w:p>
    <w:p w14:paraId="139C6760" w14:textId="00EB4D12" w:rsidR="00B11244" w:rsidRPr="005A6498" w:rsidRDefault="00B11244" w:rsidP="0043055A">
      <w:pPr>
        <w:rPr>
          <w:color w:val="000000" w:themeColor="text1"/>
        </w:rPr>
      </w:pPr>
      <w:r w:rsidRPr="004117ED">
        <w:rPr>
          <w:color w:val="000000" w:themeColor="text1"/>
        </w:rPr>
        <w:lastRenderedPageBreak/>
        <w:t xml:space="preserve">Your personal information will be collected by Services Australia and disclosed to the Australian </w:t>
      </w:r>
      <w:r w:rsidRPr="0043055A">
        <w:t>Government</w:t>
      </w:r>
      <w:r w:rsidRPr="004117ED">
        <w:rPr>
          <w:color w:val="000000" w:themeColor="text1"/>
        </w:rPr>
        <w:t xml:space="preserve"> Department of Health</w:t>
      </w:r>
      <w:r w:rsidR="00F10398">
        <w:rPr>
          <w:color w:val="000000" w:themeColor="text1"/>
        </w:rPr>
        <w:t xml:space="preserve">, Disability and Ageing </w:t>
      </w:r>
      <w:r w:rsidRPr="004117ED">
        <w:rPr>
          <w:color w:val="000000" w:themeColor="text1"/>
        </w:rPr>
        <w:t xml:space="preserve">and the Australian </w:t>
      </w:r>
      <w:r w:rsidRPr="00CA4EED">
        <w:rPr>
          <w:color w:val="000000" w:themeColor="text1"/>
        </w:rPr>
        <w:t xml:space="preserve">Government Department of Veterans’ Affairs to enable those departments to administer aspects of WIP </w:t>
      </w:r>
      <w:r w:rsidR="00183949">
        <w:rPr>
          <w:color w:val="000000" w:themeColor="text1"/>
        </w:rPr>
        <w:t>-</w:t>
      </w:r>
      <w:r w:rsidRPr="00CA4EED">
        <w:rPr>
          <w:color w:val="000000" w:themeColor="text1"/>
        </w:rPr>
        <w:t xml:space="preserve"> Practice Stream. The information may be used for purposes including program monitoring, </w:t>
      </w:r>
      <w:r w:rsidRPr="00B8430E">
        <w:rPr>
          <w:color w:val="000000" w:themeColor="text1"/>
        </w:rPr>
        <w:t xml:space="preserve">evaluation, </w:t>
      </w:r>
      <w:r w:rsidRPr="005A6498">
        <w:rPr>
          <w:color w:val="000000" w:themeColor="text1"/>
        </w:rPr>
        <w:t xml:space="preserve">program compliance, for statistical and research purposes and to inform policy development. </w:t>
      </w:r>
      <w:r w:rsidRPr="001C6630">
        <w:rPr>
          <w:color w:val="000000" w:themeColor="text1"/>
        </w:rPr>
        <w:t>The Department of Health</w:t>
      </w:r>
      <w:r w:rsidR="00DE414B">
        <w:rPr>
          <w:color w:val="000000" w:themeColor="text1"/>
        </w:rPr>
        <w:t xml:space="preserve">, Disability and Ageing </w:t>
      </w:r>
      <w:r w:rsidRPr="001C6630">
        <w:rPr>
          <w:color w:val="000000" w:themeColor="text1"/>
        </w:rPr>
        <w:t xml:space="preserve">and the Department of Veterans’ Affairs may engage third party service providers to assist with these </w:t>
      </w:r>
      <w:r w:rsidR="00590710" w:rsidRPr="001C6630">
        <w:rPr>
          <w:color w:val="000000" w:themeColor="text1"/>
        </w:rPr>
        <w:t>activities</w:t>
      </w:r>
      <w:r w:rsidRPr="001C6630">
        <w:rPr>
          <w:color w:val="000000" w:themeColor="text1"/>
        </w:rPr>
        <w:t>. This means that the relevant departments may</w:t>
      </w:r>
      <w:r w:rsidR="004808F2" w:rsidRPr="001C6630">
        <w:rPr>
          <w:color w:val="000000" w:themeColor="text1"/>
        </w:rPr>
        <w:t>, with your consent,</w:t>
      </w:r>
      <w:r w:rsidRPr="001C6630">
        <w:rPr>
          <w:color w:val="000000" w:themeColor="text1"/>
        </w:rPr>
        <w:t xml:space="preserve"> disclose your personal information to, and collect your personal information from, a</w:t>
      </w:r>
      <w:r w:rsidR="003758C5" w:rsidRPr="001C6630">
        <w:rPr>
          <w:color w:val="000000" w:themeColor="text1"/>
        </w:rPr>
        <w:t>n Australian based</w:t>
      </w:r>
      <w:r w:rsidRPr="001C6630">
        <w:rPr>
          <w:color w:val="000000" w:themeColor="text1"/>
        </w:rPr>
        <w:t xml:space="preserve"> contracted service provider. All </w:t>
      </w:r>
      <w:r w:rsidR="00BF2A67" w:rsidRPr="001C6630">
        <w:rPr>
          <w:color w:val="000000" w:themeColor="text1"/>
        </w:rPr>
        <w:t>third-party</w:t>
      </w:r>
      <w:r w:rsidRPr="001C6630">
        <w:rPr>
          <w:color w:val="000000" w:themeColor="text1"/>
        </w:rPr>
        <w:t xml:space="preserve"> service providers will be subject to strict privacy and security obligations.</w:t>
      </w:r>
      <w:r w:rsidRPr="005A6498">
        <w:rPr>
          <w:color w:val="000000" w:themeColor="text1"/>
        </w:rPr>
        <w:t xml:space="preserve">   </w:t>
      </w:r>
    </w:p>
    <w:p w14:paraId="7A346A1F" w14:textId="1BC6B51D" w:rsidR="00C71821" w:rsidRPr="0043055A" w:rsidRDefault="00C71821" w:rsidP="0043055A">
      <w:r w:rsidRPr="00410426">
        <w:rPr>
          <w:color w:val="000000" w:themeColor="text1"/>
        </w:rPr>
        <w:t xml:space="preserve">Your personal information may be used by </w:t>
      </w:r>
      <w:r>
        <w:rPr>
          <w:color w:val="000000" w:themeColor="text1"/>
        </w:rPr>
        <w:t xml:space="preserve">Services </w:t>
      </w:r>
      <w:r w:rsidR="00BF2A67">
        <w:rPr>
          <w:color w:val="000000" w:themeColor="text1"/>
        </w:rPr>
        <w:t>Australia</w:t>
      </w:r>
      <w:r w:rsidR="00BF2A67" w:rsidRPr="00410426">
        <w:rPr>
          <w:color w:val="000000" w:themeColor="text1"/>
        </w:rPr>
        <w:t xml:space="preserve"> or</w:t>
      </w:r>
      <w:r w:rsidRPr="00410426">
        <w:rPr>
          <w:color w:val="000000" w:themeColor="text1"/>
        </w:rPr>
        <w:t xml:space="preserve"> given to other parties where you have agreed to that, or where it is required or authorised by law (including for the purpose of research or conducting investigations).</w:t>
      </w:r>
    </w:p>
    <w:p w14:paraId="14AC7C0E" w14:textId="7A469BFE" w:rsidR="00C71821" w:rsidRDefault="00C71821" w:rsidP="00C71821">
      <w:pPr>
        <w:rPr>
          <w:highlight w:val="yellow"/>
          <w:lang w:eastAsia="en-AU"/>
        </w:rPr>
      </w:pPr>
      <w:r>
        <w:rPr>
          <w:lang w:val="en-US"/>
        </w:rPr>
        <w:t>More information about the way Services Australia</w:t>
      </w:r>
      <w:r w:rsidRPr="003A5493">
        <w:rPr>
          <w:lang w:val="en-US"/>
        </w:rPr>
        <w:t xml:space="preserve"> manages personal information</w:t>
      </w:r>
      <w:r w:rsidR="000B7A57">
        <w:rPr>
          <w:lang w:val="en-US"/>
        </w:rPr>
        <w:t>, including Services Australia privacy policy</w:t>
      </w:r>
      <w:r w:rsidRPr="003A5493">
        <w:rPr>
          <w:lang w:val="en-US"/>
        </w:rPr>
        <w:t xml:space="preserve"> </w:t>
      </w:r>
      <w:r w:rsidR="00D80315">
        <w:rPr>
          <w:lang w:val="en-US"/>
        </w:rPr>
        <w:t>i</w:t>
      </w:r>
      <w:r w:rsidR="000B7A57">
        <w:rPr>
          <w:lang w:val="en-US"/>
        </w:rPr>
        <w:t xml:space="preserve">s available on their </w:t>
      </w:r>
      <w:hyperlink r:id="rId35" w:history="1">
        <w:r w:rsidR="000B7A57" w:rsidRPr="00D80315">
          <w:rPr>
            <w:rStyle w:val="Hyperlink"/>
            <w:lang w:val="en-US"/>
          </w:rPr>
          <w:t>website</w:t>
        </w:r>
      </w:hyperlink>
      <w:r w:rsidR="000B7A57">
        <w:rPr>
          <w:lang w:val="en-US"/>
        </w:rPr>
        <w:t>.</w:t>
      </w:r>
    </w:p>
    <w:p w14:paraId="381FD437" w14:textId="1586678D" w:rsidR="00C71821" w:rsidRPr="00D60DD3" w:rsidRDefault="00C71821" w:rsidP="00830756">
      <w:pPr>
        <w:pStyle w:val="Heading3numbered"/>
      </w:pPr>
      <w:bookmarkStart w:id="343" w:name="_Toc142318478"/>
      <w:bookmarkStart w:id="344" w:name="_Toc197682389"/>
      <w:r w:rsidRPr="00D60DD3">
        <w:t>5.4.1 PIP consenting practice</w:t>
      </w:r>
      <w:bookmarkEnd w:id="343"/>
      <w:bookmarkEnd w:id="344"/>
    </w:p>
    <w:p w14:paraId="381D257C" w14:textId="42D4E2B6" w:rsidR="00C71821" w:rsidRDefault="00C71821" w:rsidP="00C71821">
      <w:pPr>
        <w:rPr>
          <w:lang w:val="en-US"/>
        </w:rPr>
      </w:pPr>
      <w:r>
        <w:rPr>
          <w:lang w:val="en-US"/>
        </w:rPr>
        <w:t xml:space="preserve">If your practice is applying for the WIP </w:t>
      </w:r>
      <w:r w:rsidR="00593510">
        <w:rPr>
          <w:lang w:val="en-US"/>
        </w:rPr>
        <w:t>-</w:t>
      </w:r>
      <w:r>
        <w:rPr>
          <w:lang w:val="en-US"/>
        </w:rPr>
        <w:t xml:space="preserve"> Practice Stream </w:t>
      </w:r>
      <w:r w:rsidR="00467707">
        <w:rPr>
          <w:lang w:val="en-US"/>
        </w:rPr>
        <w:t xml:space="preserve">and is applying for, or is already approved for, the PIP </w:t>
      </w:r>
      <w:r>
        <w:rPr>
          <w:lang w:val="en-US"/>
        </w:rPr>
        <w:t>you can become a PIP consenting practice.</w:t>
      </w:r>
    </w:p>
    <w:p w14:paraId="5133E847" w14:textId="22CA467A" w:rsidR="00C71821" w:rsidRPr="00574A9D" w:rsidRDefault="00C71821" w:rsidP="00C71821">
      <w:pPr>
        <w:rPr>
          <w:lang w:val="en-US"/>
        </w:rPr>
      </w:pPr>
      <w:r>
        <w:rPr>
          <w:lang w:val="en-US"/>
        </w:rPr>
        <w:t xml:space="preserve">This means you consent to the following </w:t>
      </w:r>
      <w:r w:rsidRPr="00574A9D">
        <w:rPr>
          <w:lang w:val="en-US"/>
        </w:rPr>
        <w:t xml:space="preserve">PIP </w:t>
      </w:r>
      <w:r>
        <w:rPr>
          <w:lang w:val="en-US"/>
        </w:rPr>
        <w:t xml:space="preserve">information being used for the WIP </w:t>
      </w:r>
      <w:r w:rsidR="00593510">
        <w:rPr>
          <w:lang w:val="en-US"/>
        </w:rPr>
        <w:t>-</w:t>
      </w:r>
      <w:r>
        <w:rPr>
          <w:lang w:val="en-US"/>
        </w:rPr>
        <w:t xml:space="preserve"> Practice Stream</w:t>
      </w:r>
      <w:r w:rsidRPr="00574A9D">
        <w:rPr>
          <w:lang w:val="en-US"/>
        </w:rPr>
        <w:t>:</w:t>
      </w:r>
    </w:p>
    <w:p w14:paraId="4F62CAA7" w14:textId="77777777" w:rsidR="00C71821" w:rsidRPr="00574A9D" w:rsidRDefault="00C71821" w:rsidP="0043055A">
      <w:pPr>
        <w:pStyle w:val="ListBullet"/>
        <w:rPr>
          <w:lang w:val="en-US"/>
        </w:rPr>
      </w:pPr>
      <w:r w:rsidRPr="00574A9D">
        <w:rPr>
          <w:lang w:val="en-US"/>
        </w:rPr>
        <w:t xml:space="preserve">practice name and main </w:t>
      </w:r>
      <w:proofErr w:type="gramStart"/>
      <w:r w:rsidRPr="00574A9D">
        <w:rPr>
          <w:lang w:val="en-US"/>
        </w:rPr>
        <w:t>address</w:t>
      </w:r>
      <w:r>
        <w:rPr>
          <w:lang w:val="en-US"/>
        </w:rPr>
        <w:t>;</w:t>
      </w:r>
      <w:proofErr w:type="gramEnd"/>
    </w:p>
    <w:p w14:paraId="1C0540DC" w14:textId="77777777" w:rsidR="00C71821" w:rsidRPr="00574A9D" w:rsidRDefault="00C71821" w:rsidP="0043055A">
      <w:pPr>
        <w:pStyle w:val="ListBullet"/>
        <w:rPr>
          <w:lang w:val="en-US"/>
        </w:rPr>
      </w:pPr>
      <w:r w:rsidRPr="00574A9D">
        <w:rPr>
          <w:lang w:val="en-US"/>
        </w:rPr>
        <w:t xml:space="preserve">eligibility details, such as accreditation, public liability insurance and indemnity </w:t>
      </w:r>
      <w:proofErr w:type="gramStart"/>
      <w:r w:rsidRPr="00574A9D">
        <w:rPr>
          <w:lang w:val="en-US"/>
        </w:rPr>
        <w:t>insurance</w:t>
      </w:r>
      <w:r>
        <w:rPr>
          <w:lang w:val="en-US"/>
        </w:rPr>
        <w:t>;</w:t>
      </w:r>
      <w:proofErr w:type="gramEnd"/>
    </w:p>
    <w:p w14:paraId="109609BF" w14:textId="77777777" w:rsidR="00C71821" w:rsidRPr="00574A9D" w:rsidRDefault="00C71821" w:rsidP="0043055A">
      <w:pPr>
        <w:pStyle w:val="ListBullet"/>
        <w:rPr>
          <w:lang w:val="en-US"/>
        </w:rPr>
      </w:pPr>
      <w:r w:rsidRPr="00574A9D">
        <w:rPr>
          <w:lang w:val="en-US"/>
        </w:rPr>
        <w:t xml:space="preserve">bank account </w:t>
      </w:r>
      <w:proofErr w:type="gramStart"/>
      <w:r w:rsidRPr="00574A9D">
        <w:rPr>
          <w:lang w:val="en-US"/>
        </w:rPr>
        <w:t>details</w:t>
      </w:r>
      <w:r>
        <w:rPr>
          <w:lang w:val="en-US"/>
        </w:rPr>
        <w:t>;</w:t>
      </w:r>
      <w:proofErr w:type="gramEnd"/>
    </w:p>
    <w:p w14:paraId="6700A559" w14:textId="77777777" w:rsidR="00C71821" w:rsidRPr="00574A9D" w:rsidRDefault="00C71821" w:rsidP="0043055A">
      <w:pPr>
        <w:pStyle w:val="ListBullet"/>
        <w:rPr>
          <w:lang w:val="en-US"/>
        </w:rPr>
      </w:pPr>
      <w:r w:rsidRPr="00574A9D">
        <w:rPr>
          <w:lang w:val="en-US"/>
        </w:rPr>
        <w:t xml:space="preserve">contact </w:t>
      </w:r>
      <w:proofErr w:type="gramStart"/>
      <w:r w:rsidRPr="00574A9D">
        <w:rPr>
          <w:lang w:val="en-US"/>
        </w:rPr>
        <w:t>details</w:t>
      </w:r>
      <w:r>
        <w:rPr>
          <w:lang w:val="en-US"/>
        </w:rPr>
        <w:t>;</w:t>
      </w:r>
      <w:proofErr w:type="gramEnd"/>
    </w:p>
    <w:p w14:paraId="1ED433AE" w14:textId="77777777" w:rsidR="00C71821" w:rsidRPr="00574A9D" w:rsidRDefault="00C71821" w:rsidP="0043055A">
      <w:pPr>
        <w:pStyle w:val="ListBullet"/>
        <w:rPr>
          <w:lang w:val="en-US"/>
        </w:rPr>
      </w:pPr>
      <w:r w:rsidRPr="00574A9D">
        <w:rPr>
          <w:lang w:val="en-US"/>
        </w:rPr>
        <w:t xml:space="preserve">location </w:t>
      </w:r>
      <w:proofErr w:type="gramStart"/>
      <w:r w:rsidRPr="00574A9D">
        <w:rPr>
          <w:lang w:val="en-US"/>
        </w:rPr>
        <w:t>details</w:t>
      </w:r>
      <w:r>
        <w:rPr>
          <w:lang w:val="en-US"/>
        </w:rPr>
        <w:t>;</w:t>
      </w:r>
      <w:proofErr w:type="gramEnd"/>
    </w:p>
    <w:p w14:paraId="4DCF66B6" w14:textId="77777777" w:rsidR="00C71821" w:rsidRPr="00574A9D" w:rsidRDefault="00C71821" w:rsidP="0043055A">
      <w:pPr>
        <w:pStyle w:val="ListBullet"/>
        <w:rPr>
          <w:lang w:val="en-US"/>
        </w:rPr>
      </w:pPr>
      <w:r w:rsidRPr="00574A9D">
        <w:rPr>
          <w:lang w:val="en-US"/>
        </w:rPr>
        <w:t xml:space="preserve">ownership </w:t>
      </w:r>
      <w:proofErr w:type="gramStart"/>
      <w:r w:rsidRPr="00574A9D">
        <w:rPr>
          <w:lang w:val="en-US"/>
        </w:rPr>
        <w:t>details</w:t>
      </w:r>
      <w:r>
        <w:rPr>
          <w:lang w:val="en-US"/>
        </w:rPr>
        <w:t>;</w:t>
      </w:r>
      <w:proofErr w:type="gramEnd"/>
    </w:p>
    <w:p w14:paraId="28A43F6B" w14:textId="77777777" w:rsidR="00C71821" w:rsidRPr="00574A9D" w:rsidRDefault="00C71821" w:rsidP="0043055A">
      <w:pPr>
        <w:pStyle w:val="ListBullet"/>
        <w:rPr>
          <w:lang w:val="en-US"/>
        </w:rPr>
      </w:pPr>
      <w:r w:rsidRPr="00FB10C7">
        <w:rPr>
          <w:lang w:val="en-US"/>
        </w:rPr>
        <w:t>general practitioner and nurse practitioner</w:t>
      </w:r>
      <w:r>
        <w:rPr>
          <w:lang w:val="en-US"/>
        </w:rPr>
        <w:t xml:space="preserve"> </w:t>
      </w:r>
      <w:r w:rsidRPr="00574A9D">
        <w:rPr>
          <w:lang w:val="en-US"/>
        </w:rPr>
        <w:t>details</w:t>
      </w:r>
      <w:r>
        <w:rPr>
          <w:lang w:val="en-US"/>
        </w:rPr>
        <w:t>; and</w:t>
      </w:r>
    </w:p>
    <w:p w14:paraId="06574FDB" w14:textId="5A35B665" w:rsidR="00A0199D" w:rsidRPr="00D8377F" w:rsidRDefault="00A0199D" w:rsidP="0043055A">
      <w:pPr>
        <w:pStyle w:val="ListBullet"/>
        <w:rPr>
          <w:rFonts w:ascii="Calibri Light" w:hAnsi="Calibri Light"/>
        </w:rPr>
      </w:pPr>
      <w:r>
        <w:rPr>
          <w:lang w:val="en-US"/>
        </w:rPr>
        <w:t xml:space="preserve">the </w:t>
      </w:r>
      <w:r w:rsidRPr="00574A9D">
        <w:rPr>
          <w:lang w:val="en-US"/>
        </w:rPr>
        <w:t>SWPE</w:t>
      </w:r>
      <w:r>
        <w:rPr>
          <w:lang w:val="en-US"/>
        </w:rPr>
        <w:t xml:space="preserve"> value calculated for the PIP</w:t>
      </w:r>
      <w:r w:rsidRPr="00574A9D">
        <w:rPr>
          <w:lang w:val="en-US"/>
        </w:rPr>
        <w:t xml:space="preserve"> </w:t>
      </w:r>
      <w:r>
        <w:rPr>
          <w:lang w:val="en-US"/>
        </w:rPr>
        <w:t xml:space="preserve">will be used for </w:t>
      </w:r>
      <w:r>
        <w:t xml:space="preserve">WIP – Practice Stream </w:t>
      </w:r>
      <w:r w:rsidRPr="00574A9D">
        <w:rPr>
          <w:lang w:val="en-US"/>
        </w:rPr>
        <w:t>calculations</w:t>
      </w:r>
      <w:r>
        <w:rPr>
          <w:lang w:val="en-US"/>
        </w:rPr>
        <w:t>.</w:t>
      </w:r>
    </w:p>
    <w:p w14:paraId="624110D1" w14:textId="0DD4ADC9" w:rsidR="00306797" w:rsidRDefault="00306797" w:rsidP="0043055A">
      <w:pPr>
        <w:rPr>
          <w:lang w:val="en-US"/>
        </w:rPr>
      </w:pPr>
    </w:p>
    <w:p w14:paraId="48489CBA" w14:textId="47FA23ED" w:rsidR="00A0199D" w:rsidRDefault="00A0199D" w:rsidP="0043055A">
      <w:pPr>
        <w:rPr>
          <w:lang w:val="en-US"/>
        </w:rPr>
      </w:pPr>
      <w:r>
        <w:rPr>
          <w:lang w:val="en-US"/>
        </w:rPr>
        <w:t xml:space="preserve">When you have become a PIP consenting practice your practice IDs will become identical and you will only need to update your practice details once, in your PIP profile. You will not need to make the same updates to your WIP – Practice Stream profile. However, any </w:t>
      </w:r>
      <w:r>
        <w:rPr>
          <w:lang w:val="en-US"/>
        </w:rPr>
        <w:lastRenderedPageBreak/>
        <w:t>updates you make in your WIP – Practice Stream profile will not be reflected in your PIP profile.</w:t>
      </w:r>
    </w:p>
    <w:p w14:paraId="42AD88A1" w14:textId="10FC5132" w:rsidR="00C71821" w:rsidRPr="00643E95" w:rsidRDefault="00C71821" w:rsidP="00BC4F08">
      <w:pPr>
        <w:pStyle w:val="Heading2numbered"/>
      </w:pPr>
      <w:bookmarkStart w:id="345" w:name="_5.5_Rights_of"/>
      <w:bookmarkStart w:id="346" w:name="_Toc142318479"/>
      <w:bookmarkStart w:id="347" w:name="_Toc197682390"/>
      <w:bookmarkEnd w:id="345"/>
      <w:r w:rsidRPr="00643E95">
        <w:t>R</w:t>
      </w:r>
      <w:r>
        <w:t>ights of r</w:t>
      </w:r>
      <w:r w:rsidRPr="00643E95">
        <w:t>eview</w:t>
      </w:r>
      <w:bookmarkEnd w:id="346"/>
      <w:bookmarkEnd w:id="347"/>
    </w:p>
    <w:p w14:paraId="165F6BB2" w14:textId="77777777" w:rsidR="00C71821" w:rsidRPr="0043055A" w:rsidRDefault="00C71821" w:rsidP="0043055A">
      <w:r w:rsidRPr="00574A9D">
        <w:rPr>
          <w:lang w:val="en-US"/>
        </w:rPr>
        <w:t xml:space="preserve">The </w:t>
      </w:r>
      <w:r>
        <w:t xml:space="preserve">WIP – Practice Stream </w:t>
      </w:r>
      <w:r w:rsidRPr="00574A9D">
        <w:rPr>
          <w:lang w:val="en-US"/>
        </w:rPr>
        <w:t xml:space="preserve">has a review of decision (ROD) process. This is separate from reviews </w:t>
      </w:r>
      <w:r w:rsidRPr="0043055A">
        <w:t>relating to program audits.</w:t>
      </w:r>
    </w:p>
    <w:p w14:paraId="65B35205" w14:textId="59A31C54" w:rsidR="00C71821" w:rsidRPr="0043055A" w:rsidRDefault="00C71821" w:rsidP="0043055A">
      <w:r w:rsidRPr="0043055A">
        <w:t xml:space="preserve">Decisions made under the program are based on the published </w:t>
      </w:r>
      <w:r w:rsidR="000B7A57" w:rsidRPr="0043055A">
        <w:t xml:space="preserve">WIP </w:t>
      </w:r>
      <w:r w:rsidR="00084E5B" w:rsidRPr="0043055A">
        <w:t>–</w:t>
      </w:r>
      <w:r w:rsidR="000B7A57" w:rsidRPr="0043055A">
        <w:t xml:space="preserve"> </w:t>
      </w:r>
      <w:r w:rsidR="00084E5B" w:rsidRPr="0043055A">
        <w:t xml:space="preserve">Practice Stream </w:t>
      </w:r>
      <w:r w:rsidRPr="0043055A">
        <w:t>guidelines at the date of the event.</w:t>
      </w:r>
    </w:p>
    <w:p w14:paraId="2B5E7929" w14:textId="77777777" w:rsidR="00C71821" w:rsidRDefault="00C71821" w:rsidP="0043055A">
      <w:pPr>
        <w:rPr>
          <w:lang w:val="en-US"/>
        </w:rPr>
      </w:pPr>
      <w:r w:rsidRPr="0043055A">
        <w:t>The WIP – Practice</w:t>
      </w:r>
      <w:r>
        <w:rPr>
          <w:lang w:val="en-US"/>
        </w:rPr>
        <w:t xml:space="preserve"> Stream ROD process is outlined below:</w:t>
      </w:r>
    </w:p>
    <w:p w14:paraId="74E1790D" w14:textId="6182A1F9" w:rsidR="00A0199D" w:rsidRDefault="00A0199D" w:rsidP="0043055A">
      <w:pPr>
        <w:pStyle w:val="ListBullet"/>
        <w:rPr>
          <w:lang w:val="en-US"/>
        </w:rPr>
      </w:pPr>
      <w:r>
        <w:rPr>
          <w:lang w:val="en-US"/>
        </w:rPr>
        <w:t xml:space="preserve">To request a ROD, the </w:t>
      </w:r>
      <w:proofErr w:type="spellStart"/>
      <w:r w:rsidRPr="002001A4">
        <w:rPr>
          <w:lang w:val="en-US"/>
        </w:rPr>
        <w:t>aut</w:t>
      </w:r>
      <w:r>
        <w:rPr>
          <w:lang w:val="en-US"/>
        </w:rPr>
        <w:t>horised</w:t>
      </w:r>
      <w:proofErr w:type="spellEnd"/>
      <w:r>
        <w:rPr>
          <w:lang w:val="en-US"/>
        </w:rPr>
        <w:t xml:space="preserve"> contact person or </w:t>
      </w:r>
      <w:r w:rsidRPr="002001A4">
        <w:rPr>
          <w:lang w:val="en-US"/>
        </w:rPr>
        <w:t>owner</w:t>
      </w:r>
      <w:r>
        <w:rPr>
          <w:lang w:val="en-US"/>
        </w:rPr>
        <w:t>(</w:t>
      </w:r>
      <w:r w:rsidRPr="002001A4">
        <w:rPr>
          <w:lang w:val="en-US"/>
        </w:rPr>
        <w:t>s</w:t>
      </w:r>
      <w:r>
        <w:rPr>
          <w:lang w:val="en-US"/>
        </w:rPr>
        <w:t>)</w:t>
      </w:r>
      <w:r w:rsidRPr="002001A4">
        <w:rPr>
          <w:lang w:val="en-US"/>
        </w:rPr>
        <w:t xml:space="preserve"> of the practice </w:t>
      </w:r>
      <w:r>
        <w:rPr>
          <w:lang w:val="en-US"/>
        </w:rPr>
        <w:t xml:space="preserve">must write to Services Australia using the </w:t>
      </w:r>
      <w:hyperlink r:id="rId36" w:history="1">
        <w:r w:rsidRPr="002001A4">
          <w:rPr>
            <w:rStyle w:val="Hyperlink"/>
            <w:lang w:val="en-US"/>
          </w:rPr>
          <w:t xml:space="preserve">Practice Incentives </w:t>
        </w:r>
        <w:r>
          <w:rPr>
            <w:rStyle w:val="Hyperlink"/>
            <w:lang w:val="en-US"/>
          </w:rPr>
          <w:t>R</w:t>
        </w:r>
        <w:r w:rsidRPr="002001A4">
          <w:rPr>
            <w:rStyle w:val="Hyperlink"/>
            <w:lang w:val="en-US"/>
          </w:rPr>
          <w:t>eview of decision form (IP027)</w:t>
        </w:r>
      </w:hyperlink>
      <w:r w:rsidRPr="00164043">
        <w:rPr>
          <w:rStyle w:val="Hyperlink"/>
          <w:color w:val="auto"/>
          <w:u w:val="none"/>
          <w:lang w:val="en-US"/>
        </w:rPr>
        <w:t>;</w:t>
      </w:r>
    </w:p>
    <w:p w14:paraId="08EDD13A" w14:textId="44E9416A" w:rsidR="00A0199D" w:rsidRDefault="00A0199D" w:rsidP="0043055A">
      <w:pPr>
        <w:pStyle w:val="ListBullet"/>
        <w:rPr>
          <w:lang w:val="en-US"/>
        </w:rPr>
      </w:pPr>
      <w:r>
        <w:rPr>
          <w:lang w:val="en-US"/>
        </w:rPr>
        <w:t xml:space="preserve">The ROD must be requested </w:t>
      </w:r>
      <w:r w:rsidRPr="00435354">
        <w:rPr>
          <w:u w:val="single"/>
          <w:lang w:val="en-US"/>
        </w:rPr>
        <w:t xml:space="preserve">within 28 </w:t>
      </w:r>
      <w:r>
        <w:rPr>
          <w:u w:val="single"/>
          <w:lang w:val="en-US"/>
        </w:rPr>
        <w:t xml:space="preserve">calendar </w:t>
      </w:r>
      <w:r w:rsidRPr="00435354">
        <w:rPr>
          <w:u w:val="single"/>
          <w:lang w:val="en-US"/>
        </w:rPr>
        <w:t>days</w:t>
      </w:r>
      <w:r w:rsidRPr="00F62323">
        <w:rPr>
          <w:lang w:val="en-US"/>
        </w:rPr>
        <w:t xml:space="preserve"> of receiving </w:t>
      </w:r>
      <w:r>
        <w:rPr>
          <w:lang w:val="en-US"/>
        </w:rPr>
        <w:t xml:space="preserve">the decision from Services </w:t>
      </w:r>
      <w:proofErr w:type="gramStart"/>
      <w:r>
        <w:rPr>
          <w:lang w:val="en-US"/>
        </w:rPr>
        <w:t>Australia;</w:t>
      </w:r>
      <w:proofErr w:type="gramEnd"/>
    </w:p>
    <w:p w14:paraId="268047F5" w14:textId="77777777" w:rsidR="00A0199D" w:rsidRDefault="00A0199D" w:rsidP="0043055A">
      <w:pPr>
        <w:pStyle w:val="ListBullet"/>
      </w:pPr>
      <w:r>
        <w:t xml:space="preserve">The ROD request must </w:t>
      </w:r>
      <w:r w:rsidRPr="003D0B76">
        <w:t>state clearly in writing the r</w:t>
      </w:r>
      <w:r>
        <w:t>eason you do not agree with the</w:t>
      </w:r>
      <w:r w:rsidRPr="003D0B76">
        <w:t xml:space="preserve"> </w:t>
      </w:r>
      <w:proofErr w:type="gramStart"/>
      <w:r w:rsidRPr="003D0B76">
        <w:t>decision</w:t>
      </w:r>
      <w:r>
        <w:t>;</w:t>
      </w:r>
      <w:proofErr w:type="gramEnd"/>
      <w:r w:rsidDel="00893301">
        <w:t xml:space="preserve"> </w:t>
      </w:r>
    </w:p>
    <w:p w14:paraId="22554A16" w14:textId="47F0B56D" w:rsidR="00A0199D" w:rsidRPr="002409B3" w:rsidRDefault="00A0199D" w:rsidP="0043055A">
      <w:pPr>
        <w:pStyle w:val="ListBullet"/>
      </w:pPr>
      <w:r>
        <w:t xml:space="preserve">The decision will be reviewed against the WIP – Practice Stream </w:t>
      </w:r>
      <w:r w:rsidRPr="002409B3">
        <w:rPr>
          <w:lang w:val="en-US"/>
        </w:rPr>
        <w:t>eligibility criteria and/or payment formula</w:t>
      </w:r>
      <w:r>
        <w:rPr>
          <w:lang w:val="en-US"/>
        </w:rPr>
        <w:t xml:space="preserve"> as outlined in </w:t>
      </w:r>
      <w:r w:rsidR="00564A3F">
        <w:rPr>
          <w:lang w:val="en-US"/>
        </w:rPr>
        <w:t>the</w:t>
      </w:r>
      <w:r w:rsidR="00DF3DCA">
        <w:rPr>
          <w:lang w:val="en-US"/>
        </w:rPr>
        <w:t xml:space="preserve"> guidelines </w:t>
      </w:r>
      <w:r w:rsidR="00564A3F">
        <w:rPr>
          <w:lang w:val="en-US"/>
        </w:rPr>
        <w:t xml:space="preserve">that were in force </w:t>
      </w:r>
      <w:r w:rsidR="00DF3DCA">
        <w:rPr>
          <w:lang w:val="en-US"/>
        </w:rPr>
        <w:t xml:space="preserve">at the time of the original </w:t>
      </w:r>
      <w:proofErr w:type="gramStart"/>
      <w:r w:rsidR="00DF3DCA">
        <w:rPr>
          <w:lang w:val="en-US"/>
        </w:rPr>
        <w:t>decision</w:t>
      </w:r>
      <w:r w:rsidRPr="00DF3DCA">
        <w:rPr>
          <w:lang w:val="en-US"/>
        </w:rPr>
        <w:t>;</w:t>
      </w:r>
      <w:proofErr w:type="gramEnd"/>
    </w:p>
    <w:p w14:paraId="3D07FDCB" w14:textId="77777777" w:rsidR="00A0199D" w:rsidRDefault="00A0199D" w:rsidP="0043055A">
      <w:pPr>
        <w:pStyle w:val="ListBullet"/>
        <w:rPr>
          <w:lang w:val="en-US"/>
        </w:rPr>
      </w:pPr>
      <w:r>
        <w:rPr>
          <w:lang w:val="en-US"/>
        </w:rPr>
        <w:t xml:space="preserve">The practice will be advised in writing of the outcome of the </w:t>
      </w:r>
      <w:proofErr w:type="gramStart"/>
      <w:r>
        <w:rPr>
          <w:lang w:val="en-US"/>
        </w:rPr>
        <w:t>ROD;</w:t>
      </w:r>
      <w:proofErr w:type="gramEnd"/>
    </w:p>
    <w:p w14:paraId="76A01961" w14:textId="2E5F31D8" w:rsidR="00A0199D" w:rsidRPr="00A7291A" w:rsidRDefault="00F21648" w:rsidP="0043055A">
      <w:pPr>
        <w:pStyle w:val="ListBullet"/>
        <w:rPr>
          <w:u w:val="single"/>
        </w:rPr>
      </w:pPr>
      <w:r>
        <w:t xml:space="preserve">If a practice is still not satisfied with a decision, </w:t>
      </w:r>
      <w:r w:rsidR="00A0199D" w:rsidRPr="00B029BE">
        <w:t xml:space="preserve">the practice can request </w:t>
      </w:r>
      <w:r w:rsidR="00554ACC" w:rsidRPr="00B029BE">
        <w:t xml:space="preserve">a </w:t>
      </w:r>
      <w:r w:rsidR="00554ACC">
        <w:rPr>
          <w:lang w:val="en-US"/>
        </w:rPr>
        <w:t>Formal</w:t>
      </w:r>
      <w:r w:rsidRPr="002970A6">
        <w:t xml:space="preserve"> Review Committee</w:t>
      </w:r>
      <w:r w:rsidR="00A0199D" w:rsidRPr="00A51531">
        <w:rPr>
          <w:lang w:val="en-US"/>
        </w:rPr>
        <w:t xml:space="preserve"> </w:t>
      </w:r>
      <w:r w:rsidR="00A0199D" w:rsidRPr="000971FA">
        <w:t xml:space="preserve">to reconsider the decision, by submitting </w:t>
      </w:r>
      <w:r w:rsidR="00A0199D" w:rsidRPr="000971FA">
        <w:rPr>
          <w:lang w:val="en-US"/>
        </w:rPr>
        <w:t xml:space="preserve">another Practice Incentives </w:t>
      </w:r>
      <w:r w:rsidR="007E22CF">
        <w:rPr>
          <w:lang w:val="en-US"/>
        </w:rPr>
        <w:t>R</w:t>
      </w:r>
      <w:r w:rsidR="00A0199D" w:rsidRPr="000971FA">
        <w:rPr>
          <w:lang w:val="en-US"/>
        </w:rPr>
        <w:t>eview of decision form (IP027</w:t>
      </w:r>
      <w:proofErr w:type="gramStart"/>
      <w:r w:rsidR="00A0199D" w:rsidRPr="000971FA">
        <w:rPr>
          <w:lang w:val="en-US"/>
        </w:rPr>
        <w:t>)</w:t>
      </w:r>
      <w:r w:rsidR="007037A5">
        <w:rPr>
          <w:lang w:val="en-US"/>
        </w:rPr>
        <w:t>;</w:t>
      </w:r>
      <w:proofErr w:type="gramEnd"/>
      <w:r w:rsidR="00A0199D">
        <w:rPr>
          <w:lang w:val="en-US"/>
        </w:rPr>
        <w:t xml:space="preserve"> </w:t>
      </w:r>
    </w:p>
    <w:p w14:paraId="76FA86C3" w14:textId="77777777" w:rsidR="00A0199D" w:rsidRDefault="00A0199D" w:rsidP="0043055A">
      <w:pPr>
        <w:pStyle w:val="ListBullet"/>
      </w:pPr>
      <w:r w:rsidRPr="002001A4">
        <w:t xml:space="preserve">The practice will be advised in writing of the Formal Review Committee’s </w:t>
      </w:r>
      <w:proofErr w:type="gramStart"/>
      <w:r w:rsidRPr="002001A4">
        <w:t>decision</w:t>
      </w:r>
      <w:r>
        <w:t>;</w:t>
      </w:r>
      <w:proofErr w:type="gramEnd"/>
    </w:p>
    <w:p w14:paraId="0410CFAB" w14:textId="7DE62888" w:rsidR="00A0199D" w:rsidRPr="00CF1798" w:rsidRDefault="00A0199D" w:rsidP="0043055A">
      <w:pPr>
        <w:pStyle w:val="ListBullet"/>
      </w:pPr>
      <w:r w:rsidRPr="002001A4" w:rsidDel="00E86285">
        <w:t xml:space="preserve">The </w:t>
      </w:r>
      <w:r w:rsidR="00F21648" w:rsidRPr="002970A6">
        <w:t>Formal Review Committee</w:t>
      </w:r>
      <w:r w:rsidRPr="002001A4" w:rsidDel="00E86285">
        <w:t xml:space="preserve"> is the last avenue of </w:t>
      </w:r>
      <w:r w:rsidR="00BF2A67" w:rsidRPr="002001A4" w:rsidDel="00E86285">
        <w:t>ap</w:t>
      </w:r>
      <w:r w:rsidR="00BF2A67" w:rsidDel="00E86285">
        <w:t>peal,</w:t>
      </w:r>
      <w:r w:rsidDel="00E86285">
        <w:t xml:space="preserve"> and its decision is final</w:t>
      </w:r>
      <w:r>
        <w:t>; and</w:t>
      </w:r>
    </w:p>
    <w:p w14:paraId="13FB8B18" w14:textId="065E0937" w:rsidR="00A0199D" w:rsidRDefault="00A0199D" w:rsidP="0043055A">
      <w:pPr>
        <w:pStyle w:val="ListBullet"/>
        <w:rPr>
          <w:lang w:val="en-US"/>
        </w:rPr>
      </w:pPr>
      <w:r>
        <w:t xml:space="preserve">Contact </w:t>
      </w:r>
      <w:hyperlink r:id="rId37" w:anchor="incentiveprogrammes" w:history="1">
        <w:r w:rsidR="00306797">
          <w:rPr>
            <w:rStyle w:val="Hyperlink"/>
          </w:rPr>
          <w:t>Workforce Incentive Program – Practice Stream</w:t>
        </w:r>
      </w:hyperlink>
      <w:r w:rsidRPr="00241B9B">
        <w:t xml:space="preserve"> </w:t>
      </w:r>
      <w:r w:rsidRPr="004D3173">
        <w:rPr>
          <w:lang w:val="en-US"/>
        </w:rPr>
        <w:t>to find out more about the formal review process.</w:t>
      </w:r>
    </w:p>
    <w:p w14:paraId="0B4F4A6E" w14:textId="315EAAA5" w:rsidR="00C71821" w:rsidRPr="00643E95" w:rsidRDefault="00906B7D" w:rsidP="00BC4F08">
      <w:pPr>
        <w:pStyle w:val="Heading2numbered"/>
      </w:pPr>
      <w:bookmarkStart w:id="348" w:name="_5.6_Ensuring_the"/>
      <w:bookmarkStart w:id="349" w:name="_Toc142318480"/>
      <w:bookmarkStart w:id="350" w:name="_Toc197682391"/>
      <w:bookmarkEnd w:id="348"/>
      <w:r>
        <w:t>Ensuring the integrity of the WIP-Practice Stream</w:t>
      </w:r>
      <w:bookmarkEnd w:id="349"/>
      <w:bookmarkEnd w:id="350"/>
    </w:p>
    <w:p w14:paraId="50106686" w14:textId="77777777" w:rsidR="00906B7D" w:rsidRDefault="00906B7D" w:rsidP="00906B7D">
      <w:pPr>
        <w:rPr>
          <w:rFonts w:cstheme="minorHAnsi"/>
          <w:iCs/>
        </w:rPr>
      </w:pPr>
      <w:r>
        <w:t xml:space="preserve">Health is responsible for protecting the integrity of the WIP – Practice Stream. </w:t>
      </w:r>
    </w:p>
    <w:p w14:paraId="6F4B0170" w14:textId="4DF7BD21" w:rsidR="00906B7D" w:rsidRPr="00034EAA" w:rsidRDefault="00906B7D" w:rsidP="00906B7D">
      <w:r>
        <w:t>The Australian Government is committed to making sure public funding reaches those who really need it – and is equally committed to making sure funds are not being diverted through fraud. Fraud adds to the cost of programs and services that taxpayers pay for. There are consequences for those caught committing fraud against the Commonwealth. You c</w:t>
      </w:r>
      <w:r w:rsidR="007D757C">
        <w:t>ould</w:t>
      </w:r>
      <w:r>
        <w:t xml:space="preserve"> </w:t>
      </w:r>
      <w:r w:rsidR="007D757C">
        <w:t>ac</w:t>
      </w:r>
      <w:r w:rsidR="00E37BDC">
        <w:t>quire</w:t>
      </w:r>
      <w:r w:rsidR="007D757C">
        <w:t xml:space="preserve"> </w:t>
      </w:r>
      <w:r>
        <w:t>a debt, have your assets seized, a criminal record</w:t>
      </w:r>
      <w:r w:rsidR="0064018D">
        <w:t xml:space="preserve"> and </w:t>
      </w:r>
      <w:r w:rsidR="004D2FE7">
        <w:t>face imprisonment</w:t>
      </w:r>
      <w:r>
        <w:t>.</w:t>
      </w:r>
    </w:p>
    <w:p w14:paraId="2B831854" w14:textId="42F836DE" w:rsidR="00906B7D" w:rsidRPr="00A4041F" w:rsidRDefault="00906B7D" w:rsidP="00906B7D">
      <w:r>
        <w:lastRenderedPageBreak/>
        <w:t>Health conducts compliance activit</w:t>
      </w:r>
      <w:r w:rsidR="0036126A">
        <w:t>ies</w:t>
      </w:r>
      <w:r>
        <w:t>, including a</w:t>
      </w:r>
      <w:r w:rsidRPr="006C47E7">
        <w:t>udits</w:t>
      </w:r>
      <w:r>
        <w:t>,</w:t>
      </w:r>
      <w:r w:rsidRPr="006C47E7">
        <w:t xml:space="preserve"> </w:t>
      </w:r>
      <w:r>
        <w:t xml:space="preserve">to verify that practices are </w:t>
      </w:r>
      <w:r w:rsidRPr="006C47E7">
        <w:t xml:space="preserve">complying with </w:t>
      </w:r>
      <w:r>
        <w:t xml:space="preserve">WIP – Practice Stream </w:t>
      </w:r>
      <w:r w:rsidRPr="006C47E7">
        <w:t xml:space="preserve">eligibility </w:t>
      </w:r>
      <w:r w:rsidRPr="00B029BE">
        <w:t>requirements and claims for</w:t>
      </w:r>
      <w:r>
        <w:t xml:space="preserve"> </w:t>
      </w:r>
      <w:r w:rsidRPr="00A804F6">
        <w:t xml:space="preserve">payments. </w:t>
      </w:r>
      <w:r>
        <w:t xml:space="preserve"> This may </w:t>
      </w:r>
      <w:r w:rsidRPr="006C47E7">
        <w:t>include practice visits or a</w:t>
      </w:r>
      <w:r w:rsidR="006B40A4">
        <w:t xml:space="preserve"> desktop</w:t>
      </w:r>
      <w:r w:rsidRPr="006C47E7">
        <w:t xml:space="preserve"> </w:t>
      </w:r>
      <w:r>
        <w:t>review of practice documents</w:t>
      </w:r>
      <w:r w:rsidRPr="006C47E7">
        <w:t xml:space="preserve">. </w:t>
      </w:r>
    </w:p>
    <w:p w14:paraId="1B5E0EE4" w14:textId="17C54633" w:rsidR="003607C9" w:rsidRDefault="00FE67BC" w:rsidP="00906B7D">
      <w:pPr>
        <w:rPr>
          <w:lang w:val="en-GB"/>
        </w:rPr>
      </w:pPr>
      <w:r>
        <w:rPr>
          <w:lang w:val="en-GB"/>
        </w:rPr>
        <w:t>As a recipient of WIP</w:t>
      </w:r>
      <w:r w:rsidR="00306797">
        <w:rPr>
          <w:lang w:val="en-GB"/>
        </w:rPr>
        <w:t xml:space="preserve"> – </w:t>
      </w:r>
      <w:r>
        <w:rPr>
          <w:lang w:val="en-GB"/>
        </w:rPr>
        <w:t>P</w:t>
      </w:r>
      <w:r w:rsidR="00306797">
        <w:rPr>
          <w:lang w:val="en-GB"/>
        </w:rPr>
        <w:t xml:space="preserve">ractice </w:t>
      </w:r>
      <w:r>
        <w:rPr>
          <w:lang w:val="en-GB"/>
        </w:rPr>
        <w:t>S</w:t>
      </w:r>
      <w:r w:rsidR="00306797">
        <w:rPr>
          <w:lang w:val="en-GB"/>
        </w:rPr>
        <w:t>tream</w:t>
      </w:r>
      <w:r>
        <w:rPr>
          <w:lang w:val="en-GB"/>
        </w:rPr>
        <w:t xml:space="preserve"> payments, </w:t>
      </w:r>
      <w:r w:rsidR="0036126A" w:rsidRPr="00B8430E">
        <w:rPr>
          <w:color w:val="000000" w:themeColor="text1"/>
        </w:rPr>
        <w:t xml:space="preserve">practices may be periodically </w:t>
      </w:r>
      <w:r w:rsidR="0036126A">
        <w:rPr>
          <w:color w:val="000000" w:themeColor="text1"/>
        </w:rPr>
        <w:t>approached</w:t>
      </w:r>
      <w:r w:rsidR="0036126A" w:rsidRPr="00B8430E">
        <w:rPr>
          <w:color w:val="000000" w:themeColor="text1"/>
        </w:rPr>
        <w:t xml:space="preserve"> to provide additional data or information relevant to the program.  The provision of this information is to </w:t>
      </w:r>
      <w:r w:rsidR="00BE75FD" w:rsidRPr="00926202">
        <w:t>support program monitoring, evaluation, compliance, research and to inform policy development</w:t>
      </w:r>
      <w:r w:rsidR="00BE75FD" w:rsidRPr="00926202">
        <w:rPr>
          <w:lang w:val="en-GB"/>
        </w:rPr>
        <w:t>.</w:t>
      </w:r>
    </w:p>
    <w:p w14:paraId="5F49250E" w14:textId="2ED0A502" w:rsidR="00906B7D" w:rsidRPr="00E91F56" w:rsidRDefault="00BE75FD" w:rsidP="00906B7D">
      <w:pPr>
        <w:rPr>
          <w:lang w:val="en-GB"/>
        </w:rPr>
      </w:pPr>
      <w:r>
        <w:rPr>
          <w:lang w:val="en-GB"/>
        </w:rPr>
        <w:t>I</w:t>
      </w:r>
      <w:r w:rsidR="00906B7D" w:rsidRPr="00E91F56">
        <w:rPr>
          <w:lang w:val="en-GB"/>
        </w:rPr>
        <w:t>f requested, practices must be able to provide the following</w:t>
      </w:r>
      <w:r w:rsidR="00906B7D">
        <w:rPr>
          <w:lang w:val="en-GB"/>
        </w:rPr>
        <w:t xml:space="preserve"> </w:t>
      </w:r>
      <w:r w:rsidR="00906B7D" w:rsidRPr="00E91F56">
        <w:rPr>
          <w:lang w:val="en-GB"/>
        </w:rPr>
        <w:t>evidence to support its eligibility and claims for payment:</w:t>
      </w:r>
    </w:p>
    <w:p w14:paraId="141F826C" w14:textId="2B634C9F" w:rsidR="00906B7D" w:rsidRPr="0059230F" w:rsidRDefault="00906B7D" w:rsidP="0043055A">
      <w:pPr>
        <w:pStyle w:val="ListBullet"/>
      </w:pPr>
      <w:r w:rsidRPr="0059230F">
        <w:t xml:space="preserve">evidence of current registration of </w:t>
      </w:r>
      <w:r w:rsidRPr="00E91F56">
        <w:t xml:space="preserve">the </w:t>
      </w:r>
      <w:r w:rsidR="00F21648">
        <w:t>eligible health</w:t>
      </w:r>
      <w:r>
        <w:t xml:space="preserve"> professional</w:t>
      </w:r>
      <w:r w:rsidR="00F21648">
        <w:t>s</w:t>
      </w:r>
      <w:r>
        <w:t xml:space="preserve"> (where applicable</w:t>
      </w:r>
      <w:r w:rsidR="00F21648">
        <w:t>)</w:t>
      </w:r>
      <w:r w:rsidRPr="0059230F">
        <w:t xml:space="preserve"> at the practice</w:t>
      </w:r>
      <w:r>
        <w:t xml:space="preserve"> (</w:t>
      </w:r>
      <w:r w:rsidR="00F21648">
        <w:t xml:space="preserve">see </w:t>
      </w:r>
      <w:hyperlink w:anchor="_1.1_Eligible_general" w:history="1">
        <w:r w:rsidRPr="00CB497A">
          <w:rPr>
            <w:rStyle w:val="Hyperlink"/>
          </w:rPr>
          <w:t>Section 1.</w:t>
        </w:r>
        <w:r w:rsidR="00CB497A" w:rsidRPr="00CB497A">
          <w:rPr>
            <w:rStyle w:val="Hyperlink"/>
          </w:rPr>
          <w:t>1</w:t>
        </w:r>
      </w:hyperlink>
      <w:r w:rsidRPr="00CB497A">
        <w:t xml:space="preserve"> </w:t>
      </w:r>
      <w:r w:rsidR="00CB497A">
        <w:t>‘</w:t>
      </w:r>
      <w:r w:rsidRPr="00CB497A">
        <w:t>Eligible health professionals</w:t>
      </w:r>
      <w:r w:rsidR="00CB497A">
        <w:t>’</w:t>
      </w:r>
      <w:proofErr w:type="gramStart"/>
      <w:r>
        <w:t>);</w:t>
      </w:r>
      <w:proofErr w:type="gramEnd"/>
    </w:p>
    <w:p w14:paraId="17DB3823" w14:textId="77777777" w:rsidR="00906B7D" w:rsidRPr="00E91F56" w:rsidRDefault="00906B7D" w:rsidP="0043055A">
      <w:pPr>
        <w:pStyle w:val="ListBullet"/>
      </w:pPr>
      <w:r w:rsidRPr="00E91F56">
        <w:t xml:space="preserve">for a self-regulated allied health professional, evidence that they are </w:t>
      </w:r>
      <w:r>
        <w:t xml:space="preserve">eligible to be </w:t>
      </w:r>
      <w:r w:rsidRPr="00E91F56">
        <w:t xml:space="preserve">a practising member of their professional </w:t>
      </w:r>
      <w:proofErr w:type="gramStart"/>
      <w:r w:rsidRPr="00E91F56">
        <w:t>association;</w:t>
      </w:r>
      <w:proofErr w:type="gramEnd"/>
    </w:p>
    <w:p w14:paraId="50055475" w14:textId="1B7F4A34" w:rsidR="00906B7D" w:rsidRPr="0059230F" w:rsidRDefault="00906B7D" w:rsidP="0043055A">
      <w:pPr>
        <w:pStyle w:val="ListBullet"/>
      </w:pPr>
      <w:r w:rsidRPr="0059230F">
        <w:t>ev</w:t>
      </w:r>
      <w:r>
        <w:t xml:space="preserve">idence of the hours worked by the eligible nurse, </w:t>
      </w:r>
      <w:r w:rsidR="00F2667A">
        <w:t xml:space="preserve">midwife, </w:t>
      </w:r>
      <w:r>
        <w:t>allied health professional</w:t>
      </w:r>
      <w:r w:rsidRPr="0059230F">
        <w:t>, Aboriginal and Torre</w:t>
      </w:r>
      <w:r>
        <w:t xml:space="preserve">s Strait Islander health worker </w:t>
      </w:r>
      <w:r w:rsidR="001E0C53">
        <w:t xml:space="preserve">or </w:t>
      </w:r>
      <w:r>
        <w:t>health practitioner</w:t>
      </w:r>
      <w:r w:rsidRPr="0059230F">
        <w:t xml:space="preserve"> – for example, time </w:t>
      </w:r>
      <w:proofErr w:type="gramStart"/>
      <w:r w:rsidRPr="0059230F">
        <w:t>sheets</w:t>
      </w:r>
      <w:r>
        <w:t>;</w:t>
      </w:r>
      <w:proofErr w:type="gramEnd"/>
    </w:p>
    <w:p w14:paraId="7785D9C0" w14:textId="78B6BF2A" w:rsidR="00906B7D" w:rsidRPr="0059230F" w:rsidRDefault="00906B7D" w:rsidP="0043055A">
      <w:pPr>
        <w:pStyle w:val="ListBullet"/>
      </w:pPr>
      <w:r w:rsidRPr="0059230F">
        <w:t xml:space="preserve">evidence of documented supervisory arrangements </w:t>
      </w:r>
      <w:r>
        <w:t>of</w:t>
      </w:r>
      <w:r w:rsidRPr="0059230F">
        <w:t xml:space="preserve"> the enrolled nurse</w:t>
      </w:r>
      <w:r>
        <w:t xml:space="preserve"> (</w:t>
      </w:r>
      <w:hyperlink w:anchor="_1.1.1_Enrolled_nurses" w:history="1">
        <w:r w:rsidRPr="00CB497A">
          <w:rPr>
            <w:rStyle w:val="Hyperlink"/>
          </w:rPr>
          <w:t>Section 1.</w:t>
        </w:r>
        <w:r w:rsidR="00CB497A" w:rsidRPr="00CB497A">
          <w:rPr>
            <w:rStyle w:val="Hyperlink"/>
          </w:rPr>
          <w:t>1</w:t>
        </w:r>
        <w:r w:rsidRPr="00CB497A">
          <w:rPr>
            <w:rStyle w:val="Hyperlink"/>
          </w:rPr>
          <w:t>.1</w:t>
        </w:r>
      </w:hyperlink>
      <w:r w:rsidRPr="00CB497A">
        <w:t xml:space="preserve"> </w:t>
      </w:r>
      <w:r w:rsidR="00CB497A">
        <w:t>‘</w:t>
      </w:r>
      <w:r w:rsidRPr="00CB497A">
        <w:t>Enrolled nurses - additional requirements</w:t>
      </w:r>
      <w:r w:rsidR="00CB497A">
        <w:t>’</w:t>
      </w:r>
      <w:proofErr w:type="gramStart"/>
      <w:r>
        <w:t>);</w:t>
      </w:r>
      <w:proofErr w:type="gramEnd"/>
    </w:p>
    <w:p w14:paraId="64FFA55E" w14:textId="7ADDAAAA" w:rsidR="00906B7D" w:rsidRPr="0059230F" w:rsidDel="00CC51E2" w:rsidRDefault="00906B7D" w:rsidP="0043055A">
      <w:pPr>
        <w:pStyle w:val="ListBullet"/>
      </w:pPr>
      <w:r w:rsidRPr="0059230F">
        <w:t>c</w:t>
      </w:r>
      <w:r w:rsidRPr="0059230F" w:rsidDel="00CC51E2">
        <w:t>onfirm</w:t>
      </w:r>
      <w:r w:rsidRPr="0059230F">
        <w:t>ation of</w:t>
      </w:r>
      <w:r w:rsidRPr="0059230F" w:rsidDel="00CC51E2">
        <w:t xml:space="preserve"> details contained in the </w:t>
      </w:r>
      <w:proofErr w:type="gramStart"/>
      <w:r w:rsidR="00D84B00">
        <w:t>QCS</w:t>
      </w:r>
      <w:r>
        <w:t>;</w:t>
      </w:r>
      <w:proofErr w:type="gramEnd"/>
    </w:p>
    <w:p w14:paraId="33D450EE" w14:textId="61902843" w:rsidR="005F5327" w:rsidRPr="0059230F" w:rsidRDefault="00906B7D" w:rsidP="0043055A">
      <w:pPr>
        <w:pStyle w:val="ListBullet"/>
      </w:pPr>
      <w:r w:rsidRPr="00B029BE">
        <w:t xml:space="preserve">copies </w:t>
      </w:r>
      <w:r w:rsidRPr="0059230F">
        <w:t xml:space="preserve">of public liability insurance </w:t>
      </w:r>
      <w:r>
        <w:t>including the amount covered;</w:t>
      </w:r>
      <w:r w:rsidR="00604C80">
        <w:t xml:space="preserve"> and</w:t>
      </w:r>
    </w:p>
    <w:p w14:paraId="6577A8DE" w14:textId="47DB6525" w:rsidR="005F5327" w:rsidRPr="0059230F" w:rsidRDefault="00906B7D" w:rsidP="0043055A">
      <w:pPr>
        <w:pStyle w:val="ListBullet"/>
      </w:pPr>
      <w:r w:rsidRPr="00E91F56">
        <w:t>copies</w:t>
      </w:r>
      <w:r w:rsidRPr="00B029BE">
        <w:t xml:space="preserve"> </w:t>
      </w:r>
      <w:r w:rsidRPr="0059230F">
        <w:t>of professional indemnity insuranc</w:t>
      </w:r>
      <w:r>
        <w:t>e for all general practitioners and eligible health professionals</w:t>
      </w:r>
    </w:p>
    <w:p w14:paraId="22540153" w14:textId="77777777" w:rsidR="00CE7810" w:rsidRDefault="00906B7D" w:rsidP="00906B7D">
      <w:r w:rsidRPr="000F1DC6">
        <w:t>Copies of the evidence should be kept on practice files</w:t>
      </w:r>
      <w:r>
        <w:t xml:space="preserve"> for a </w:t>
      </w:r>
      <w:r w:rsidRPr="006101B9">
        <w:rPr>
          <w:u w:val="single"/>
        </w:rPr>
        <w:t>minimum period of 6 years</w:t>
      </w:r>
      <w:r>
        <w:t xml:space="preserve">. </w:t>
      </w:r>
    </w:p>
    <w:p w14:paraId="44C78C99" w14:textId="532089D1" w:rsidR="00906B7D" w:rsidRDefault="00906B7D" w:rsidP="00906B7D">
      <w:r w:rsidRPr="000F1DC6">
        <w:t xml:space="preserve">If a practitioner leaves a practice and an audit is conducted for a time when that practitioner was at the practice, the practice will still need to provide evidence that the professional indemnity insurance </w:t>
      </w:r>
      <w:r>
        <w:t xml:space="preserve">for the practitioner </w:t>
      </w:r>
      <w:r w:rsidRPr="000F1DC6">
        <w:t>was maintained during their employment.</w:t>
      </w:r>
      <w:r w:rsidRPr="00F56BCC">
        <w:t xml:space="preserve"> </w:t>
      </w:r>
    </w:p>
    <w:p w14:paraId="36699BA1" w14:textId="0622C63B" w:rsidR="00906B7D" w:rsidRDefault="00906B7D" w:rsidP="00906B7D">
      <w:pPr>
        <w:rPr>
          <w:highlight w:val="yellow"/>
          <w:lang w:val="en-GB"/>
        </w:rPr>
      </w:pPr>
      <w:r>
        <w:t>If a practice cannot</w:t>
      </w:r>
      <w:r w:rsidRPr="006C47E7">
        <w:t xml:space="preserve"> provide in</w:t>
      </w:r>
      <w:r>
        <w:t xml:space="preserve">formation to substantiate </w:t>
      </w:r>
      <w:r w:rsidRPr="006C47E7">
        <w:t xml:space="preserve">eligibility and claims for payments, </w:t>
      </w:r>
      <w:r>
        <w:t>previous</w:t>
      </w:r>
      <w:r w:rsidRPr="006C47E7">
        <w:t xml:space="preserve"> </w:t>
      </w:r>
      <w:r>
        <w:t xml:space="preserve">WIP – Practice Stream </w:t>
      </w:r>
      <w:r w:rsidRPr="006C47E7">
        <w:t>payments</w:t>
      </w:r>
      <w:r>
        <w:t>,</w:t>
      </w:r>
      <w:r w:rsidRPr="006C47E7">
        <w:t xml:space="preserve"> for up to 6 years may be recovered. </w:t>
      </w:r>
      <w:r w:rsidRPr="00FB10C7">
        <w:rPr>
          <w:lang w:val="en-GB"/>
        </w:rPr>
        <w:t>If a practice receives PIP payments, these payments may also be recovered if the practice is found to be non</w:t>
      </w:r>
      <w:r>
        <w:rPr>
          <w:lang w:val="en-GB"/>
        </w:rPr>
        <w:t>-</w:t>
      </w:r>
      <w:r w:rsidRPr="00FB10C7">
        <w:rPr>
          <w:lang w:val="en-GB"/>
        </w:rPr>
        <w:t xml:space="preserve">compliant with the eligibility requirements for accreditation, public </w:t>
      </w:r>
      <w:r w:rsidR="00A057CA" w:rsidRPr="00FB10C7">
        <w:rPr>
          <w:lang w:val="en-GB"/>
        </w:rPr>
        <w:t>liability,</w:t>
      </w:r>
      <w:r w:rsidRPr="00FB10C7">
        <w:rPr>
          <w:lang w:val="en-GB"/>
        </w:rPr>
        <w:t xml:space="preserve"> or professional indemnity of the WIP</w:t>
      </w:r>
      <w:r w:rsidRPr="00FB10C7">
        <w:t xml:space="preserve"> – </w:t>
      </w:r>
      <w:r w:rsidRPr="00FB10C7">
        <w:rPr>
          <w:lang w:val="en-GB"/>
        </w:rPr>
        <w:t>Practice Stream.</w:t>
      </w:r>
      <w:r w:rsidRPr="00066959">
        <w:rPr>
          <w:highlight w:val="yellow"/>
          <w:lang w:val="en-GB"/>
        </w:rPr>
        <w:t xml:space="preserve"> </w:t>
      </w:r>
    </w:p>
    <w:p w14:paraId="6822E800" w14:textId="60AAE99C" w:rsidR="00C71821" w:rsidRDefault="00906B7D" w:rsidP="0043055A">
      <w:pPr>
        <w:rPr>
          <w:rStyle w:val="Strong"/>
        </w:rPr>
      </w:pPr>
      <w:r w:rsidRPr="0043055A">
        <w:rPr>
          <w:rStyle w:val="Strong"/>
        </w:rPr>
        <w:t>If a practice is found to be non-compliant with the eligibility criteria and/or program requirements, the practice may be</w:t>
      </w:r>
      <w:r w:rsidR="007516A1" w:rsidRPr="0043055A">
        <w:rPr>
          <w:rStyle w:val="Strong"/>
        </w:rPr>
        <w:t xml:space="preserve"> withdrawn</w:t>
      </w:r>
      <w:r w:rsidRPr="0043055A">
        <w:rPr>
          <w:rStyle w:val="Strong"/>
        </w:rPr>
        <w:t xml:space="preserve"> from the program and will be ineligible to</w:t>
      </w:r>
      <w:r w:rsidR="00E77D24" w:rsidRPr="0043055A">
        <w:rPr>
          <w:rStyle w:val="Strong"/>
        </w:rPr>
        <w:t xml:space="preserve"> receive any withheld or future incentive payments.</w:t>
      </w:r>
    </w:p>
    <w:p w14:paraId="375AF114" w14:textId="77777777" w:rsidR="0037788E" w:rsidRDefault="0037788E" w:rsidP="0037788E">
      <w:pPr>
        <w:pStyle w:val="Heading1numbered"/>
      </w:pPr>
      <w:bookmarkStart w:id="351" w:name="_Toc197682392"/>
      <w:r w:rsidRPr="004C32F0">
        <w:lastRenderedPageBreak/>
        <w:t>Example</w:t>
      </w:r>
      <w:r>
        <w:t xml:space="preserve"> WIP – Practice Stream payment calculations</w:t>
      </w:r>
      <w:bookmarkEnd w:id="351"/>
    </w:p>
    <w:p w14:paraId="36DF5C97" w14:textId="77777777" w:rsidR="0037788E" w:rsidRPr="00E21130" w:rsidRDefault="0037788E" w:rsidP="0037788E">
      <w:pPr>
        <w:rPr>
          <w:rStyle w:val="Strong"/>
          <w:b w:val="0"/>
          <w:bCs w:val="0"/>
        </w:rPr>
      </w:pPr>
      <w:r w:rsidRPr="00E21130">
        <w:rPr>
          <w:rStyle w:val="Strong"/>
          <w:b w:val="0"/>
          <w:bCs w:val="0"/>
        </w:rPr>
        <w:t xml:space="preserve">The following examples are indicative only noting these amounts are indexed. Individual circumstances of practices may result in variations to the scenarios outlined below. </w:t>
      </w:r>
    </w:p>
    <w:p w14:paraId="4819241F" w14:textId="77777777" w:rsidR="0037788E" w:rsidRPr="00D60DD3" w:rsidRDefault="0037788E" w:rsidP="0037788E">
      <w:pPr>
        <w:rPr>
          <w:rStyle w:val="Strong"/>
        </w:rPr>
      </w:pPr>
      <w:r w:rsidRPr="00D60DD3">
        <w:rPr>
          <w:rStyle w:val="Strong"/>
        </w:rPr>
        <w:t>Scenario 1 – Registered nurse</w:t>
      </w:r>
    </w:p>
    <w:p w14:paraId="078B99D9" w14:textId="77777777" w:rsidR="0037788E" w:rsidRDefault="0037788E" w:rsidP="0037788E">
      <w:r w:rsidRPr="00317C49">
        <w:t xml:space="preserve">Practice </w:t>
      </w:r>
      <w:r>
        <w:t xml:space="preserve">A has a SWPE value of 4,000 and employs a registered nurse for an average of 38 hours per week. The practice </w:t>
      </w:r>
      <w:proofErr w:type="gramStart"/>
      <w:r>
        <w:t>is located in</w:t>
      </w:r>
      <w:proofErr w:type="gramEnd"/>
      <w:r>
        <w:t xml:space="preserve"> MM 1 and therefore not entitled to receive a rural loading.</w:t>
      </w:r>
    </w:p>
    <w:p w14:paraId="52C9A94E" w14:textId="5DE2FE54" w:rsidR="00FD5DCE" w:rsidRDefault="0037788E" w:rsidP="0037788E">
      <w:r>
        <w:t xml:space="preserve">Practice A is eligible to receive an incentive </w:t>
      </w:r>
      <w:r w:rsidRPr="00C11292">
        <w:t xml:space="preserve">payment </w:t>
      </w:r>
      <w:r w:rsidRPr="005B3B8A">
        <w:t xml:space="preserve">of </w:t>
      </w:r>
      <w:r w:rsidRPr="00E87A06">
        <w:t>$</w:t>
      </w:r>
      <w:r w:rsidR="00B33EBE">
        <w:t>103,031.70</w:t>
      </w:r>
      <w:r w:rsidRPr="00E87A06">
        <w:t xml:space="preserve"> </w:t>
      </w:r>
      <w:r w:rsidRPr="005B3B8A">
        <w:t xml:space="preserve">per year or </w:t>
      </w:r>
      <w:r w:rsidRPr="00E87A06">
        <w:t>$</w:t>
      </w:r>
      <w:r w:rsidR="00B33EBE">
        <w:t>25,757.93</w:t>
      </w:r>
      <w:r w:rsidRPr="00E87A06">
        <w:t xml:space="preserve"> </w:t>
      </w:r>
      <w:r w:rsidRPr="005B3B8A">
        <w:t>per</w:t>
      </w:r>
      <w:r w:rsidRPr="00C11292">
        <w:t xml:space="preserve"> quarter. </w:t>
      </w:r>
    </w:p>
    <w:bookmarkEnd w:id="330"/>
    <w:bookmarkEnd w:id="331"/>
    <w:p w14:paraId="15BBFDB1" w14:textId="7F61C007" w:rsidR="00CF4BBE" w:rsidRPr="00D60DD3" w:rsidRDefault="00CF4BBE" w:rsidP="00D60DD3">
      <w:pPr>
        <w:rPr>
          <w:rStyle w:val="Strong"/>
        </w:rPr>
      </w:pPr>
      <w:r w:rsidRPr="00D60DD3">
        <w:rPr>
          <w:rStyle w:val="Strong"/>
        </w:rPr>
        <w:t xml:space="preserve">Scenario 2 – Nurse practitioner in a rural area </w:t>
      </w:r>
    </w:p>
    <w:p w14:paraId="68003F9F" w14:textId="03A2ED19" w:rsidR="00CF4BBE" w:rsidRDefault="00CF4BBE" w:rsidP="00CF4BBE">
      <w:r w:rsidRPr="008B6682">
        <w:t xml:space="preserve">Practice B </w:t>
      </w:r>
      <w:r>
        <w:t xml:space="preserve">has a SWPE value of 2,000 and employs a nurse practitioner for </w:t>
      </w:r>
      <w:r w:rsidR="00F13637">
        <w:t xml:space="preserve">an average of </w:t>
      </w:r>
      <w:r>
        <w:t xml:space="preserve">25 hours and 20 minutes per week. The practice </w:t>
      </w:r>
      <w:proofErr w:type="gramStart"/>
      <w:r>
        <w:t>is located in</w:t>
      </w:r>
      <w:proofErr w:type="gramEnd"/>
      <w:r>
        <w:t xml:space="preserve"> MM 5 and is therefore entitled to a rural loading in addition to the incentive payment. </w:t>
      </w:r>
    </w:p>
    <w:p w14:paraId="3A808117" w14:textId="43D6C8A6" w:rsidR="00616170" w:rsidRPr="00C11292" w:rsidRDefault="00616170" w:rsidP="00616170">
      <w:pPr>
        <w:rPr>
          <w:rFonts w:ascii="Calibri" w:hAnsi="Calibri"/>
        </w:rPr>
      </w:pPr>
      <w:r w:rsidRPr="00C11292">
        <w:t>Practice B is eligible to receive an incentive payment of $</w:t>
      </w:r>
      <w:r w:rsidR="00B33EBE">
        <w:t>68,687.80</w:t>
      </w:r>
      <w:r w:rsidRPr="00C11292">
        <w:t xml:space="preserve"> per year plus a rural loading of 40% = $</w:t>
      </w:r>
      <w:r w:rsidR="00B33EBE">
        <w:t>96,162.92</w:t>
      </w:r>
      <w:r w:rsidRPr="00C11292">
        <w:t xml:space="preserve"> per year or $</w:t>
      </w:r>
      <w:r w:rsidR="00B33EBE">
        <w:t>24,040.73</w:t>
      </w:r>
      <w:r w:rsidRPr="00C11292">
        <w:t xml:space="preserve"> per quarter. </w:t>
      </w:r>
    </w:p>
    <w:p w14:paraId="44FB0606" w14:textId="7D4E6994" w:rsidR="00CF4BBE" w:rsidRPr="00D60DD3" w:rsidRDefault="00CF4BBE" w:rsidP="00D60DD3">
      <w:pPr>
        <w:rPr>
          <w:rStyle w:val="Strong"/>
        </w:rPr>
      </w:pPr>
      <w:r w:rsidRPr="00D60DD3">
        <w:rPr>
          <w:rStyle w:val="Strong"/>
        </w:rPr>
        <w:t xml:space="preserve">Scenario 3 – Aboriginal and Torres Strait Islander Health </w:t>
      </w:r>
      <w:r w:rsidR="003F2E4F" w:rsidRPr="00D60DD3">
        <w:rPr>
          <w:rStyle w:val="Strong"/>
        </w:rPr>
        <w:t xml:space="preserve">Workers and </w:t>
      </w:r>
      <w:r w:rsidR="00B725C3" w:rsidRPr="00D60DD3">
        <w:rPr>
          <w:rStyle w:val="Strong"/>
        </w:rPr>
        <w:t xml:space="preserve">Health </w:t>
      </w:r>
      <w:r w:rsidRPr="00D60DD3">
        <w:rPr>
          <w:rStyle w:val="Strong"/>
        </w:rPr>
        <w:t xml:space="preserve">Practitioner </w:t>
      </w:r>
    </w:p>
    <w:p w14:paraId="6D22FFB3" w14:textId="5EB3F1F7" w:rsidR="00CF4BBE" w:rsidRPr="00C11292" w:rsidRDefault="00CF4BBE" w:rsidP="00CF4BBE">
      <w:r w:rsidRPr="00C11292">
        <w:t>Practice C is an Aboriginal Medical Service and therefore its SWPE value of 2</w:t>
      </w:r>
      <w:r w:rsidR="00F13637">
        <w:t>,</w:t>
      </w:r>
      <w:r w:rsidRPr="00C11292">
        <w:t>000 is increased by 50%. The practice employs an Aboriginal and Torres Strait Islander Health Practitioner and two Aboriginal and Torres Strait Islander Health Workers who each work</w:t>
      </w:r>
      <w:r w:rsidR="00F13637">
        <w:t xml:space="preserve"> an average of</w:t>
      </w:r>
      <w:r w:rsidRPr="00C11292">
        <w:t xml:space="preserve"> 38 hours per week. The practice </w:t>
      </w:r>
      <w:proofErr w:type="gramStart"/>
      <w:r w:rsidRPr="00C11292">
        <w:t>is located in</w:t>
      </w:r>
      <w:proofErr w:type="gramEnd"/>
      <w:r w:rsidRPr="00C11292">
        <w:t xml:space="preserve"> MM 2 and therefore not entitled to receive a rural loading.  </w:t>
      </w:r>
    </w:p>
    <w:p w14:paraId="52273D0D" w14:textId="2093C142" w:rsidR="00616170" w:rsidRPr="00C11292" w:rsidRDefault="00616170" w:rsidP="00616170">
      <w:pPr>
        <w:rPr>
          <w:rFonts w:ascii="Calibri" w:hAnsi="Calibri"/>
        </w:rPr>
      </w:pPr>
      <w:r w:rsidRPr="00C11292">
        <w:t>Practice C is eligible to receive $</w:t>
      </w:r>
      <w:r w:rsidR="00E7087F">
        <w:t>51,515.85</w:t>
      </w:r>
      <w:r w:rsidRPr="00C11292">
        <w:t xml:space="preserve"> per year or $</w:t>
      </w:r>
      <w:r w:rsidR="00E7087F">
        <w:t>12,878.96</w:t>
      </w:r>
      <w:r w:rsidRPr="00C11292">
        <w:t xml:space="preserve"> per quarter. </w:t>
      </w:r>
    </w:p>
    <w:p w14:paraId="279FBE26" w14:textId="77777777" w:rsidR="00CF4BBE" w:rsidRPr="00D60DD3" w:rsidRDefault="00CF4BBE" w:rsidP="00D60DD3">
      <w:pPr>
        <w:rPr>
          <w:rStyle w:val="Strong"/>
        </w:rPr>
      </w:pPr>
      <w:r w:rsidRPr="00D60DD3">
        <w:rPr>
          <w:rStyle w:val="Strong"/>
        </w:rPr>
        <w:t>Scenario 4 – Registered nurse and allied health professionals in a rural area</w:t>
      </w:r>
    </w:p>
    <w:p w14:paraId="364E795E" w14:textId="388D07EE" w:rsidR="00CF4BBE" w:rsidRPr="00C11292" w:rsidRDefault="00CF4BBE" w:rsidP="00CF4BBE">
      <w:r w:rsidRPr="00C11292">
        <w:t xml:space="preserve">Practice D has a SWPE value of 3,000 and employs a registered nurse for </w:t>
      </w:r>
      <w:r w:rsidR="00F13637">
        <w:t xml:space="preserve">an average of </w:t>
      </w:r>
      <w:r w:rsidRPr="00C11292">
        <w:t xml:space="preserve">25 hours per week, a psychologist for </w:t>
      </w:r>
      <w:r w:rsidR="00A75660">
        <w:t>an</w:t>
      </w:r>
      <w:r w:rsidR="00F13637">
        <w:t xml:space="preserve"> average of </w:t>
      </w:r>
      <w:r w:rsidRPr="00C11292">
        <w:t xml:space="preserve">8 hours and a pharmacist for </w:t>
      </w:r>
      <w:r w:rsidR="00F13637">
        <w:t xml:space="preserve">an average of </w:t>
      </w:r>
      <w:r w:rsidRPr="00C11292">
        <w:t xml:space="preserve">8 hours. The practice </w:t>
      </w:r>
      <w:proofErr w:type="gramStart"/>
      <w:r w:rsidRPr="00C11292">
        <w:t>is located in</w:t>
      </w:r>
      <w:proofErr w:type="gramEnd"/>
      <w:r w:rsidRPr="00C11292">
        <w:t xml:space="preserve"> MM 6 and is therefore entitled to a rural loading in addition to the incentive payment. </w:t>
      </w:r>
    </w:p>
    <w:p w14:paraId="781C5093" w14:textId="200B7F44" w:rsidR="00C11292" w:rsidRPr="00C11292" w:rsidRDefault="00616170" w:rsidP="00CF4BBE">
      <w:r w:rsidRPr="00C11292">
        <w:t>Practice D is eligible to receive on incentive payment of $</w:t>
      </w:r>
      <w:r w:rsidR="00E7087F">
        <w:t>103,031.70</w:t>
      </w:r>
      <w:r w:rsidRPr="00C11292">
        <w:t xml:space="preserve"> per year (the maximum inc</w:t>
      </w:r>
      <w:r w:rsidRPr="008C401F">
        <w:t>entive amount for an organisation with a SWPE value of 3</w:t>
      </w:r>
      <w:r w:rsidR="00E247C8" w:rsidRPr="008C401F">
        <w:t>,</w:t>
      </w:r>
      <w:r w:rsidRPr="008C401F">
        <w:t>000) plus a rural loading of 60% = $</w:t>
      </w:r>
      <w:r w:rsidR="00E7087F" w:rsidRPr="008C401F">
        <w:t>164,8</w:t>
      </w:r>
      <w:r w:rsidR="00E7087F" w:rsidRPr="003B6D1F">
        <w:t>50.72</w:t>
      </w:r>
      <w:r w:rsidRPr="003B6D1F">
        <w:t xml:space="preserve"> per year or $</w:t>
      </w:r>
      <w:r w:rsidR="00E7087F" w:rsidRPr="003B6D1F">
        <w:t>41,212.68</w:t>
      </w:r>
      <w:r w:rsidRPr="003B6D1F">
        <w:t xml:space="preserve"> per</w:t>
      </w:r>
      <w:r w:rsidRPr="00C11292">
        <w:t xml:space="preserve"> quarter. </w:t>
      </w:r>
    </w:p>
    <w:p w14:paraId="4D08B3D9" w14:textId="25816D62" w:rsidR="00CF4BBE" w:rsidRPr="00D60DD3" w:rsidRDefault="00CF4BBE" w:rsidP="00D60DD3">
      <w:pPr>
        <w:rPr>
          <w:rStyle w:val="Strong"/>
        </w:rPr>
      </w:pPr>
      <w:r w:rsidRPr="00D60DD3">
        <w:rPr>
          <w:rStyle w:val="Strong"/>
        </w:rPr>
        <w:t>Scenario 5 –</w:t>
      </w:r>
      <w:r w:rsidR="005252E8" w:rsidRPr="00D60DD3">
        <w:rPr>
          <w:rStyle w:val="Strong"/>
        </w:rPr>
        <w:t xml:space="preserve"> </w:t>
      </w:r>
      <w:r w:rsidRPr="00D60DD3">
        <w:rPr>
          <w:rStyle w:val="Strong"/>
        </w:rPr>
        <w:t>Nurse practitioner and an enrolled nurse in a rural area</w:t>
      </w:r>
    </w:p>
    <w:p w14:paraId="61E87A33" w14:textId="08856946" w:rsidR="00CF4BBE" w:rsidRPr="008C401F" w:rsidRDefault="00CF4BBE" w:rsidP="00CF4BBE">
      <w:r w:rsidRPr="00C11292">
        <w:lastRenderedPageBreak/>
        <w:t xml:space="preserve">Practice E has a SWPE value of 3,000 and employs a nurse practitioner for </w:t>
      </w:r>
      <w:r w:rsidR="00E247C8">
        <w:t xml:space="preserve">an average of </w:t>
      </w:r>
      <w:r w:rsidRPr="00C11292">
        <w:t xml:space="preserve">19 hours per week and an enrolled nurse for </w:t>
      </w:r>
      <w:r w:rsidR="00E247C8">
        <w:t xml:space="preserve">an average of </w:t>
      </w:r>
      <w:r w:rsidRPr="00C11292">
        <w:t xml:space="preserve">19 hours per week. The practice </w:t>
      </w:r>
      <w:proofErr w:type="gramStart"/>
      <w:r w:rsidRPr="00C11292">
        <w:t>is locate</w:t>
      </w:r>
      <w:r w:rsidRPr="008C401F">
        <w:t>d in</w:t>
      </w:r>
      <w:proofErr w:type="gramEnd"/>
      <w:r w:rsidRPr="008C401F">
        <w:t xml:space="preserve"> MM 3 and is therefore entitled to receive a rural loading in addition to the incentive payment.  </w:t>
      </w:r>
    </w:p>
    <w:p w14:paraId="6995E2F2" w14:textId="50BC0F0E" w:rsidR="00616170" w:rsidRPr="00C11292" w:rsidRDefault="00616170" w:rsidP="00616170">
      <w:pPr>
        <w:rPr>
          <w:rFonts w:ascii="Calibri" w:hAnsi="Calibri"/>
        </w:rPr>
      </w:pPr>
      <w:r w:rsidRPr="008C401F">
        <w:t>Practice E is eligible to receive an incentive payment of $</w:t>
      </w:r>
      <w:r w:rsidR="00C11D74" w:rsidRPr="008C401F">
        <w:t>51,515.85</w:t>
      </w:r>
      <w:r w:rsidRPr="008C401F">
        <w:t xml:space="preserve"> for employing a nurse practitioner + $</w:t>
      </w:r>
      <w:r w:rsidR="00C11D74" w:rsidRPr="008C401F">
        <w:t>25,757.93</w:t>
      </w:r>
      <w:r w:rsidRPr="008C401F">
        <w:t xml:space="preserve"> for employing an enrolled nurse = $</w:t>
      </w:r>
      <w:r w:rsidR="00C11D74" w:rsidRPr="008C401F">
        <w:t>77,273.78</w:t>
      </w:r>
      <w:r w:rsidRPr="008C401F">
        <w:t xml:space="preserve"> per year plus a rural loading of 30% = $</w:t>
      </w:r>
      <w:r w:rsidR="00C11D74" w:rsidRPr="008C401F">
        <w:t>100,455.91</w:t>
      </w:r>
      <w:r w:rsidRPr="008C401F">
        <w:t xml:space="preserve"> per year or $</w:t>
      </w:r>
      <w:r w:rsidR="00C11D74" w:rsidRPr="008C401F">
        <w:t>25,113.98</w:t>
      </w:r>
      <w:r w:rsidRPr="008C401F">
        <w:t xml:space="preserve"> p</w:t>
      </w:r>
      <w:r w:rsidRPr="00C11292">
        <w:t xml:space="preserve">er quarter. </w:t>
      </w:r>
    </w:p>
    <w:p w14:paraId="070DB2F7" w14:textId="77777777" w:rsidR="00CF4BBE" w:rsidRPr="00D60DD3" w:rsidRDefault="00CF4BBE" w:rsidP="00D60DD3">
      <w:pPr>
        <w:rPr>
          <w:rStyle w:val="Strong"/>
        </w:rPr>
      </w:pPr>
      <w:r w:rsidRPr="00D60DD3">
        <w:rPr>
          <w:rStyle w:val="Strong"/>
        </w:rPr>
        <w:t xml:space="preserve">Scenario 6 – A combination of eligible health workers in a rural area </w:t>
      </w:r>
    </w:p>
    <w:p w14:paraId="787A96A0" w14:textId="77777777" w:rsidR="009F1190" w:rsidRPr="005E0E56" w:rsidRDefault="009F1190" w:rsidP="009F1190">
      <w:pPr>
        <w:rPr>
          <w:sz w:val="22"/>
          <w:szCs w:val="22"/>
        </w:rPr>
      </w:pPr>
      <w:r w:rsidRPr="005E0E56">
        <w:t>Practice F has a SWPE value of 6300 which is capped at 4000. The practice employs a registered nurse for an average of 38 hours per week, a physiotherapist for an average of 5 hours per week, a podiatrist for an average of 5 hours per week and an Aboriginal and Torres Strait Islander Health Practitioner for an average of 30 hours per week.</w:t>
      </w:r>
    </w:p>
    <w:p w14:paraId="11F17C4D" w14:textId="0CAC5FF8" w:rsidR="009F1190" w:rsidRPr="005E0E56" w:rsidRDefault="009F1190" w:rsidP="009F1190">
      <w:r w:rsidRPr="005E0E56">
        <w:t xml:space="preserve">The practice </w:t>
      </w:r>
      <w:proofErr w:type="gramStart"/>
      <w:r w:rsidRPr="005E0E56">
        <w:t>is located in</w:t>
      </w:r>
      <w:proofErr w:type="gramEnd"/>
      <w:r w:rsidRPr="005E0E56">
        <w:t xml:space="preserve"> MM 4 and therefore entitled to a rural loading in addition to the incentive payment.</w:t>
      </w:r>
    </w:p>
    <w:p w14:paraId="783A5955" w14:textId="2AA6E049" w:rsidR="009F1190" w:rsidRDefault="009F1190" w:rsidP="009F1190">
      <w:pPr>
        <w:spacing w:line="252" w:lineRule="auto"/>
        <w:rPr>
          <w:color w:val="5B9BD5"/>
          <w:u w:val="single"/>
        </w:rPr>
      </w:pPr>
      <w:r w:rsidRPr="005E0E56">
        <w:t>Pr</w:t>
      </w:r>
      <w:r w:rsidRPr="00B833CF">
        <w:t>actice F is eligible to receive an incentive payment of $</w:t>
      </w:r>
      <w:r w:rsidR="001C33B1" w:rsidRPr="00B833CF">
        <w:t>130,145.31</w:t>
      </w:r>
      <w:r w:rsidRPr="00B833CF">
        <w:t xml:space="preserve"> for engaging the registered nurse and allied health professionals + $</w:t>
      </w:r>
      <w:r w:rsidR="001C33B1" w:rsidRPr="00B833CF">
        <w:t>3,615.15</w:t>
      </w:r>
      <w:r w:rsidRPr="00B833CF">
        <w:t xml:space="preserve"> for engaging the Aboriginal and Torres Strait Islander Health Practitioner = $</w:t>
      </w:r>
      <w:r w:rsidR="004B6771" w:rsidRPr="00B833CF">
        <w:t>133,760.4</w:t>
      </w:r>
      <w:r w:rsidR="00A110CF" w:rsidRPr="00B833CF">
        <w:t>6</w:t>
      </w:r>
      <w:r w:rsidRPr="00B833CF">
        <w:t xml:space="preserve"> per year plus a rural loading of</w:t>
      </w:r>
      <w:r w:rsidRPr="00B833CF">
        <w:rPr>
          <w:color w:val="5B9BD5"/>
        </w:rPr>
        <w:t xml:space="preserve"> </w:t>
      </w:r>
      <w:r w:rsidRPr="00B833CF">
        <w:t>40% = $</w:t>
      </w:r>
      <w:r w:rsidR="004B6771" w:rsidRPr="00B833CF">
        <w:t>187,264.6</w:t>
      </w:r>
      <w:r w:rsidR="00A110CF" w:rsidRPr="00B833CF">
        <w:t>4</w:t>
      </w:r>
      <w:r w:rsidRPr="00B833CF">
        <w:t xml:space="preserve"> per year or $</w:t>
      </w:r>
      <w:r w:rsidR="004B6771" w:rsidRPr="00B833CF">
        <w:t>46,816.16</w:t>
      </w:r>
      <w:r w:rsidRPr="00B833CF">
        <w:t xml:space="preserve"> per qu</w:t>
      </w:r>
      <w:r w:rsidRPr="005E0E56">
        <w:t>arter.</w:t>
      </w:r>
      <w:r>
        <w:t xml:space="preserve"> </w:t>
      </w:r>
    </w:p>
    <w:p w14:paraId="5738AA12" w14:textId="743ABE88" w:rsidR="00CF4BBE" w:rsidRDefault="00CF4BBE" w:rsidP="00D60DD3">
      <w:pPr>
        <w:pStyle w:val="Heading1numbered"/>
      </w:pPr>
      <w:bookmarkStart w:id="352" w:name="_7._Contact_information"/>
      <w:bookmarkStart w:id="353" w:name="_Toc25157869"/>
      <w:bookmarkStart w:id="354" w:name="_Toc142318482"/>
      <w:bookmarkStart w:id="355" w:name="_Toc197682393"/>
      <w:bookmarkEnd w:id="352"/>
      <w:r>
        <w:t>Contact information WIP – Practice Stream</w:t>
      </w:r>
      <w:bookmarkEnd w:id="353"/>
      <w:bookmarkEnd w:id="354"/>
      <w:bookmarkEnd w:id="355"/>
    </w:p>
    <w:p w14:paraId="33E15DD0" w14:textId="22557FA9" w:rsidR="00CF4BBE" w:rsidRDefault="00CF4BBE" w:rsidP="00CF4BBE">
      <w:r w:rsidRPr="004A609F">
        <w:t>For more information</w:t>
      </w:r>
      <w:r w:rsidR="004C1A75">
        <w:t>,</w:t>
      </w:r>
      <w:r w:rsidRPr="004A609F">
        <w:t xml:space="preserve"> contact </w:t>
      </w:r>
      <w:hyperlink r:id="rId38" w:anchor="incentiveprogrammes" w:history="1">
        <w:r w:rsidRPr="00817740">
          <w:rPr>
            <w:rStyle w:val="Hyperlink"/>
          </w:rPr>
          <w:t>Services Australia</w:t>
        </w:r>
      </w:hyperlink>
      <w:r w:rsidRPr="00C142F0">
        <w:t xml:space="preserve">. </w:t>
      </w:r>
      <w:r>
        <w:br w:type="page"/>
      </w:r>
    </w:p>
    <w:p w14:paraId="2B60D08B" w14:textId="58D8243E" w:rsidR="00FF03D7" w:rsidRPr="003C239E" w:rsidRDefault="0009475F" w:rsidP="00FF03D7">
      <w:pPr>
        <w:pStyle w:val="Heading1"/>
        <w:rPr>
          <w:b w:val="0"/>
        </w:rPr>
      </w:pPr>
      <w:bookmarkStart w:id="356" w:name="_Part_C:_WIP"/>
      <w:bookmarkStart w:id="357" w:name="_Part_D:_Glossary"/>
      <w:bookmarkStart w:id="358" w:name="_Toc142318483"/>
      <w:bookmarkStart w:id="359" w:name="_Toc197682394"/>
      <w:bookmarkEnd w:id="57"/>
      <w:bookmarkEnd w:id="58"/>
      <w:bookmarkEnd w:id="356"/>
      <w:bookmarkEnd w:id="357"/>
      <w:r>
        <w:lastRenderedPageBreak/>
        <w:t>Part C</w:t>
      </w:r>
      <w:r w:rsidR="00FF03D7" w:rsidRPr="003C239E">
        <w:t xml:space="preserve">: </w:t>
      </w:r>
      <w:r w:rsidR="0082483D">
        <w:t>Acronyms/</w:t>
      </w:r>
      <w:r w:rsidR="0082483D" w:rsidRPr="003C239E">
        <w:t xml:space="preserve"> </w:t>
      </w:r>
      <w:r w:rsidR="00FF03D7" w:rsidRPr="003C239E">
        <w:t xml:space="preserve">Glossary of </w:t>
      </w:r>
      <w:r w:rsidR="00C22792">
        <w:t>T</w:t>
      </w:r>
      <w:r w:rsidR="00FF03D7" w:rsidRPr="003C239E">
        <w:t>erms</w:t>
      </w:r>
      <w:bookmarkEnd w:id="358"/>
      <w:bookmarkEnd w:id="359"/>
    </w:p>
    <w:p w14:paraId="4CB044AC" w14:textId="782FFB7A" w:rsidR="0082483D" w:rsidRPr="00D60DD3" w:rsidRDefault="0082483D" w:rsidP="00D60DD3">
      <w:pPr>
        <w:pStyle w:val="Heading1"/>
      </w:pPr>
      <w:bookmarkStart w:id="360" w:name="_Toc142318484"/>
      <w:bookmarkStart w:id="361" w:name="_Toc197682395"/>
      <w:r>
        <w:t>List of acronyms</w:t>
      </w:r>
      <w:bookmarkEnd w:id="360"/>
      <w:bookmarkEnd w:id="361"/>
    </w:p>
    <w:p w14:paraId="4AB9ABF5" w14:textId="17F54C8D" w:rsidR="0082483D" w:rsidRDefault="0082483D" w:rsidP="0043055A">
      <w:pPr>
        <w:pStyle w:val="ListBullet"/>
      </w:pPr>
      <w:r w:rsidRPr="003F68E2">
        <w:t>Australian Health Practitioner Regulation Agency (</w:t>
      </w:r>
      <w:proofErr w:type="spellStart"/>
      <w:r w:rsidRPr="003F68E2">
        <w:t>A</w:t>
      </w:r>
      <w:r w:rsidR="00F55783">
        <w:t>hpra</w:t>
      </w:r>
      <w:proofErr w:type="spellEnd"/>
      <w:r w:rsidRPr="003F68E2">
        <w:t>)</w:t>
      </w:r>
    </w:p>
    <w:p w14:paraId="058451CB" w14:textId="6F78B94C" w:rsidR="00445D17" w:rsidRPr="003F68E2" w:rsidRDefault="00C90FA3" w:rsidP="0043055A">
      <w:pPr>
        <w:pStyle w:val="ListBullet"/>
      </w:pPr>
      <w:r w:rsidRPr="00C90FA3">
        <w:t>Australian Commission on Safety and Quality in Health Care (</w:t>
      </w:r>
      <w:r w:rsidR="002C7FA7">
        <w:rPr>
          <w:rFonts w:eastAsia="Times New Roman"/>
          <w:lang w:val="en"/>
        </w:rPr>
        <w:t>ACSQHC)</w:t>
      </w:r>
    </w:p>
    <w:p w14:paraId="2E7A61C7" w14:textId="1023071F" w:rsidR="0082483D" w:rsidRDefault="0082483D" w:rsidP="0043055A">
      <w:pPr>
        <w:pStyle w:val="ListBullet"/>
      </w:pPr>
      <w:r w:rsidRPr="003F68E2">
        <w:t>Department of Health</w:t>
      </w:r>
      <w:r w:rsidR="00DE414B">
        <w:t xml:space="preserve">, Disability and Ageing </w:t>
      </w:r>
      <w:r w:rsidRPr="003F68E2">
        <w:t>(Health)</w:t>
      </w:r>
    </w:p>
    <w:p w14:paraId="01A03F23" w14:textId="77777777" w:rsidR="0082483D" w:rsidRPr="003F68E2" w:rsidRDefault="0082483D" w:rsidP="0043055A">
      <w:pPr>
        <w:pStyle w:val="ListBullet"/>
      </w:pPr>
      <w:r w:rsidRPr="003F68E2">
        <w:t>Department of Veterans’ Affairs (DVA)</w:t>
      </w:r>
    </w:p>
    <w:p w14:paraId="308ECDD6" w14:textId="77777777" w:rsidR="0082483D" w:rsidRDefault="0082483D" w:rsidP="0043055A">
      <w:pPr>
        <w:pStyle w:val="ListBullet"/>
      </w:pPr>
      <w:r>
        <w:t>General practitioner (GP)</w:t>
      </w:r>
    </w:p>
    <w:p w14:paraId="2647345F" w14:textId="77777777" w:rsidR="0082483D" w:rsidRDefault="0082483D" w:rsidP="0043055A">
      <w:pPr>
        <w:pStyle w:val="ListBullet"/>
      </w:pPr>
      <w:r w:rsidRPr="003F68E2">
        <w:t>Health Professional Online Services (HPOS)</w:t>
      </w:r>
    </w:p>
    <w:p w14:paraId="14B0E646" w14:textId="77777777" w:rsidR="0082483D" w:rsidRPr="003F68E2" w:rsidRDefault="0082483D" w:rsidP="0043055A">
      <w:pPr>
        <w:pStyle w:val="ListBullet"/>
      </w:pPr>
      <w:r>
        <w:t>Medical Board of Australia (MBA)</w:t>
      </w:r>
    </w:p>
    <w:p w14:paraId="617EC306" w14:textId="77777777" w:rsidR="0082483D" w:rsidRPr="003F68E2" w:rsidRDefault="0082483D" w:rsidP="0043055A">
      <w:pPr>
        <w:pStyle w:val="ListBullet"/>
      </w:pPr>
      <w:r w:rsidRPr="003F68E2">
        <w:t>Medicare Benefits Schedule (MBS)</w:t>
      </w:r>
    </w:p>
    <w:p w14:paraId="570CB4D7" w14:textId="7662D4AC" w:rsidR="0082483D" w:rsidRDefault="0082483D" w:rsidP="0043055A">
      <w:pPr>
        <w:pStyle w:val="ListBullet"/>
      </w:pPr>
      <w:hyperlink w:anchor="MMM" w:history="1">
        <w:r w:rsidRPr="00546CEE">
          <w:rPr>
            <w:rStyle w:val="Hyperlink"/>
          </w:rPr>
          <w:t>Modified Monash Model</w:t>
        </w:r>
      </w:hyperlink>
      <w:r w:rsidRPr="003F68E2">
        <w:t xml:space="preserve"> (MMM) </w:t>
      </w:r>
    </w:p>
    <w:p w14:paraId="1D827905" w14:textId="77777777" w:rsidR="0082483D" w:rsidRDefault="0082483D" w:rsidP="0043055A">
      <w:pPr>
        <w:pStyle w:val="ListBullet"/>
      </w:pPr>
      <w:r>
        <w:t>Modified Monash (MM) 1-7</w:t>
      </w:r>
    </w:p>
    <w:p w14:paraId="33D0E402" w14:textId="77777777" w:rsidR="003C52CF" w:rsidRDefault="003C52CF" w:rsidP="0043055A">
      <w:pPr>
        <w:pStyle w:val="ListBullet"/>
      </w:pPr>
      <w:r>
        <w:rPr>
          <w:rFonts w:eastAsia="Times New Roman" w:cstheme="minorBidi"/>
          <w:color w:val="000000" w:themeColor="text1"/>
          <w:lang w:val="en" w:eastAsia="en-AU"/>
        </w:rPr>
        <w:t>National General Practice Accreditation (NGPA)</w:t>
      </w:r>
    </w:p>
    <w:p w14:paraId="4D4B8DDA" w14:textId="77777777" w:rsidR="00AA45A2" w:rsidRDefault="00AA45A2" w:rsidP="0043055A">
      <w:pPr>
        <w:pStyle w:val="ListBullet"/>
      </w:pPr>
      <w:r w:rsidRPr="00AA45A2">
        <w:t>National Registration and Accreditation Scheme (NRAS)</w:t>
      </w:r>
    </w:p>
    <w:p w14:paraId="10D66BE7" w14:textId="5D1A195B" w:rsidR="00AC7A75" w:rsidRPr="00AC7A75" w:rsidRDefault="00AC7A75" w:rsidP="0043055A">
      <w:pPr>
        <w:pStyle w:val="ListBullet"/>
      </w:pPr>
      <w:r w:rsidRPr="00AC7A75">
        <w:t>Primary Health Network (PHN)</w:t>
      </w:r>
    </w:p>
    <w:p w14:paraId="3E513FE6" w14:textId="77777777" w:rsidR="005C5D6B" w:rsidRPr="005C5D6B" w:rsidRDefault="005C5D6B" w:rsidP="0043055A">
      <w:pPr>
        <w:pStyle w:val="ListBullet"/>
      </w:pPr>
      <w:r w:rsidRPr="005C5D6B">
        <w:t>Practice Incentives Program (PIP)</w:t>
      </w:r>
    </w:p>
    <w:p w14:paraId="31697149" w14:textId="77777777" w:rsidR="0082483D" w:rsidRDefault="0082483D" w:rsidP="0043055A">
      <w:pPr>
        <w:pStyle w:val="ListBullet"/>
      </w:pPr>
      <w:r w:rsidRPr="003F68E2">
        <w:t>Provider Digital Access (PRODA)</w:t>
      </w:r>
    </w:p>
    <w:p w14:paraId="58AAD47C" w14:textId="77777777" w:rsidR="00AC7A75" w:rsidRPr="00AC7A75" w:rsidRDefault="00AC7A75" w:rsidP="0043055A">
      <w:pPr>
        <w:pStyle w:val="ListBullet"/>
      </w:pPr>
      <w:r w:rsidRPr="00AC7A75">
        <w:t>Quarterly Confirmation Statement (QCS)</w:t>
      </w:r>
    </w:p>
    <w:p w14:paraId="6B8D71A3" w14:textId="77777777" w:rsidR="0082483D" w:rsidRPr="003F68E2" w:rsidRDefault="0082483D" w:rsidP="0043055A">
      <w:pPr>
        <w:pStyle w:val="ListBullet"/>
      </w:pPr>
      <w:r>
        <w:t>Review of D</w:t>
      </w:r>
      <w:r w:rsidRPr="003F68E2">
        <w:t xml:space="preserve">ecision (ROD) </w:t>
      </w:r>
    </w:p>
    <w:p w14:paraId="2C4D7566" w14:textId="77777777" w:rsidR="0082483D" w:rsidRDefault="0082483D" w:rsidP="0043055A">
      <w:pPr>
        <w:pStyle w:val="ListBullet"/>
      </w:pPr>
      <w:r w:rsidRPr="003F68E2">
        <w:t>Royal Australian College of General Practitioners (RACGP)</w:t>
      </w:r>
    </w:p>
    <w:p w14:paraId="329D9535" w14:textId="77777777" w:rsidR="0082483D" w:rsidRPr="00435354" w:rsidRDefault="0082483D" w:rsidP="0043055A">
      <w:pPr>
        <w:pStyle w:val="ListBullet"/>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6ECFF328" w14:textId="496206F9" w:rsidR="00AC7A75" w:rsidRPr="00AC7A75" w:rsidRDefault="00AC7A75" w:rsidP="0043055A">
      <w:pPr>
        <w:pStyle w:val="ListBullet"/>
      </w:pPr>
      <w:r w:rsidRPr="00AC7A75">
        <w:t>Standardised Whole Patient Equivalent (SWPE)</w:t>
      </w:r>
      <w:r>
        <w:t xml:space="preserve"> value</w:t>
      </w:r>
    </w:p>
    <w:p w14:paraId="31AC7C05" w14:textId="77777777" w:rsidR="00AC7A75" w:rsidRPr="00AC7A75" w:rsidRDefault="00AC7A75" w:rsidP="0043055A">
      <w:pPr>
        <w:pStyle w:val="ListBullet"/>
      </w:pPr>
      <w:r w:rsidRPr="00AC7A75">
        <w:t>Whole Patient Equivalent (WPE)</w:t>
      </w:r>
    </w:p>
    <w:p w14:paraId="37A5E0E0" w14:textId="55403851" w:rsidR="00FA4D4B" w:rsidRDefault="0082483D" w:rsidP="0043055A">
      <w:pPr>
        <w:pStyle w:val="ListBullet"/>
      </w:pPr>
      <w:r>
        <w:t>Workforce Incentive Program (WIP)</w:t>
      </w:r>
    </w:p>
    <w:p w14:paraId="1BBD6933" w14:textId="77777777" w:rsidR="00FA4D4B" w:rsidRDefault="00FA4D4B">
      <w:pPr>
        <w:spacing w:after="160"/>
      </w:pPr>
      <w:r>
        <w:br w:type="page"/>
      </w:r>
    </w:p>
    <w:p w14:paraId="536AA701" w14:textId="6C1F3572" w:rsidR="00FF03D7" w:rsidRDefault="00FF03D7" w:rsidP="00C22792">
      <w:pPr>
        <w:pStyle w:val="Heading1"/>
      </w:pPr>
      <w:bookmarkStart w:id="362" w:name="_Glossary_of_Terms"/>
      <w:bookmarkStart w:id="363" w:name="_Toc142318485"/>
      <w:bookmarkStart w:id="364" w:name="_Toc197682396"/>
      <w:bookmarkEnd w:id="362"/>
      <w:r>
        <w:lastRenderedPageBreak/>
        <w:t>G</w:t>
      </w:r>
      <w:r w:rsidR="00C22792">
        <w:t>lossary of Terms</w:t>
      </w:r>
      <w:bookmarkEnd w:id="363"/>
      <w:bookmarkEnd w:id="364"/>
    </w:p>
    <w:p w14:paraId="04524995" w14:textId="46761BD3" w:rsidR="0009475F" w:rsidRPr="0009475F" w:rsidRDefault="0009475F" w:rsidP="0009475F">
      <w:r w:rsidRPr="00F15D28">
        <w:t>The following terms have the meaning given below</w:t>
      </w:r>
      <w:r>
        <w:t xml:space="preserve"> when they are used in the</w:t>
      </w:r>
      <w:r w:rsidRPr="00F15D28">
        <w:t xml:space="preserve"> </w:t>
      </w:r>
      <w:r>
        <w:t>g</w:t>
      </w:r>
      <w:r w:rsidRPr="00F15D28">
        <w:t>uidelines.</w:t>
      </w:r>
      <w:r>
        <w:t xml:space="preserve"> </w:t>
      </w:r>
    </w:p>
    <w:p w14:paraId="2CFA1557" w14:textId="01ED48CC" w:rsidR="00C22792" w:rsidRPr="00C22792" w:rsidRDefault="00C22792" w:rsidP="00F0217B">
      <w:pPr>
        <w:pStyle w:val="Heading2"/>
      </w:pPr>
      <w:bookmarkStart w:id="365" w:name="_General"/>
      <w:bookmarkStart w:id="366" w:name="_Toc197682397"/>
      <w:bookmarkEnd w:id="365"/>
      <w:r>
        <w:t>General</w:t>
      </w:r>
      <w:bookmarkEnd w:id="366"/>
      <w:r>
        <w:t xml:space="preserve"> </w:t>
      </w:r>
    </w:p>
    <w:p w14:paraId="7AC254D8" w14:textId="77777777" w:rsidR="00C0103C" w:rsidRPr="00F15D28" w:rsidRDefault="00C0103C" w:rsidP="00C0103C">
      <w:r w:rsidRPr="004A609F">
        <w:rPr>
          <w:b/>
          <w:i/>
        </w:rPr>
        <w:t>Aboriginal and Torres Strait Islander Health Worker</w:t>
      </w:r>
      <w:r w:rsidRPr="00A93998">
        <w:rPr>
          <w:b/>
          <w:i/>
        </w:rPr>
        <w:t xml:space="preserve"> </w:t>
      </w:r>
      <w:r w:rsidRPr="00A93998">
        <w:t>is</w:t>
      </w:r>
      <w:r w:rsidRPr="00F15D28">
        <w:t xml:space="preserve"> an Aboriginal and Torres Strait Islander person who: </w:t>
      </w:r>
    </w:p>
    <w:p w14:paraId="0C3DDEB4" w14:textId="77777777" w:rsidR="00C0103C" w:rsidRPr="00F15D28" w:rsidRDefault="00C0103C" w:rsidP="0043055A">
      <w:pPr>
        <w:pStyle w:val="ListBullet"/>
      </w:pPr>
      <w:r w:rsidRPr="00F15D28">
        <w:t xml:space="preserve">is employed in an Aboriginal and Torres Strait Islander identified position </w:t>
      </w:r>
      <w:r>
        <w:t xml:space="preserve">by the </w:t>
      </w:r>
      <w:proofErr w:type="gramStart"/>
      <w:r>
        <w:t>practice;</w:t>
      </w:r>
      <w:proofErr w:type="gramEnd"/>
    </w:p>
    <w:p w14:paraId="3C955929" w14:textId="77777777" w:rsidR="00C0103C" w:rsidRPr="00F15D28" w:rsidRDefault="00C0103C" w:rsidP="0043055A">
      <w:pPr>
        <w:pStyle w:val="ListBullet"/>
      </w:pPr>
      <w:r w:rsidRPr="00F15D28">
        <w:t>has undertaken a minimum Certificate III in Aboriginal and/or Torres Strait Islander Primary Health Care</w:t>
      </w:r>
      <w:r>
        <w:t>;</w:t>
      </w:r>
      <w:r w:rsidRPr="00F15D28">
        <w:t xml:space="preserve"> and</w:t>
      </w:r>
    </w:p>
    <w:p w14:paraId="488A5575" w14:textId="77777777" w:rsidR="00C0103C" w:rsidRPr="00F15D28" w:rsidRDefault="00C0103C" w:rsidP="0043055A">
      <w:pPr>
        <w:pStyle w:val="ListBullet"/>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7DFD41FE" w14:textId="77777777" w:rsidR="00C0103C" w:rsidRPr="008C2555" w:rsidRDefault="00C0103C" w:rsidP="00C0103C">
      <w:r w:rsidRPr="00435354">
        <w:rPr>
          <w:b/>
          <w:i/>
        </w:rPr>
        <w:t>Aboriginal and Torres Strait Islander Health Practitioner</w:t>
      </w:r>
      <w:r w:rsidRPr="00A93998">
        <w:rPr>
          <w:b/>
        </w:rPr>
        <w:t xml:space="preserve"> </w:t>
      </w:r>
      <w:r w:rsidRPr="00A93998">
        <w:t>is</w:t>
      </w:r>
      <w:r>
        <w:t xml:space="preserve"> </w:t>
      </w:r>
      <w:r w:rsidRPr="00F15D28">
        <w:t>an Aboriginal and/or Torres Strait Islander person</w:t>
      </w:r>
      <w:r>
        <w:t xml:space="preserve">, 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t xml:space="preserve"> </w:t>
      </w:r>
      <w:hyperlink r:id="rId39" w:history="1">
        <w:r w:rsidRPr="00D54BEE">
          <w:rPr>
            <w:rStyle w:val="Hyperlink"/>
          </w:rPr>
          <w:t>Board’s website</w:t>
        </w:r>
      </w:hyperlink>
      <w:r w:rsidRPr="006E4871">
        <w:rPr>
          <w:color w:val="0070C0"/>
        </w:rPr>
        <w:t>.</w:t>
      </w:r>
    </w:p>
    <w:p w14:paraId="77D99AF7" w14:textId="77777777" w:rsidR="00C0103C" w:rsidRPr="00577727" w:rsidRDefault="00C0103C" w:rsidP="00C0103C">
      <w:r w:rsidRPr="00577727">
        <w:rPr>
          <w:b/>
          <w:i/>
        </w:rPr>
        <w:t xml:space="preserve">Aboriginal Community Controlled Health Service </w:t>
      </w:r>
      <w:r w:rsidRPr="00577727">
        <w:t>is a primary health care service initiated and operated by the local Aboriginal community to deliver holistic, comprehensive and culturally appropriate health care to the community which controls it (through a locally elected Board of Management).</w:t>
      </w:r>
    </w:p>
    <w:p w14:paraId="721AF2EF" w14:textId="586B0702" w:rsidR="00C0103C" w:rsidRDefault="00C0103C" w:rsidP="00C0103C">
      <w:r w:rsidRPr="00577727">
        <w:rPr>
          <w:b/>
          <w:i/>
        </w:rPr>
        <w:t>Aboriginal Medical Service</w:t>
      </w:r>
      <w:r w:rsidRPr="00577727">
        <w:t xml:space="preserve"> is a health service funded principally to provide services to Aboriginal and Torres Strait Islander individuals.</w:t>
      </w:r>
    </w:p>
    <w:p w14:paraId="2419D39F" w14:textId="47E070EA" w:rsidR="00D1711A" w:rsidRPr="000B1888" w:rsidRDefault="00D1711A" w:rsidP="00D1711A">
      <w:r w:rsidRPr="00F15D28">
        <w:rPr>
          <w:b/>
          <w:i/>
        </w:rPr>
        <w:t>Delegate</w:t>
      </w:r>
      <w:r w:rsidRPr="00F15D28">
        <w:t xml:space="preserve"> </w:t>
      </w:r>
      <w:r w:rsidRPr="006A3EDD">
        <w:t xml:space="preserve">is </w:t>
      </w:r>
      <w:r>
        <w:t xml:space="preserve">a person authorised by </w:t>
      </w:r>
      <w:r w:rsidR="008174CA">
        <w:t>Services Australia</w:t>
      </w:r>
      <w:r w:rsidRPr="00C3622B">
        <w:t xml:space="preserve"> or </w:t>
      </w:r>
      <w:r>
        <w:t>the Department of</w:t>
      </w:r>
      <w:r w:rsidRPr="00C3622B">
        <w:t xml:space="preserve"> Health</w:t>
      </w:r>
      <w:r w:rsidR="00DE414B">
        <w:t>, Disability and Ageing</w:t>
      </w:r>
      <w:r w:rsidR="00375120">
        <w:t xml:space="preserve"> </w:t>
      </w:r>
      <w:r w:rsidRPr="006912E5">
        <w:t>to administer the program.</w:t>
      </w:r>
    </w:p>
    <w:p w14:paraId="6EC48C03" w14:textId="1AAF1C59" w:rsidR="00D1711A" w:rsidRDefault="00D1711A" w:rsidP="00D1711A">
      <w:r w:rsidRPr="00F15D28">
        <w:rPr>
          <w:b/>
          <w:i/>
        </w:rPr>
        <w:t>HPOS</w:t>
      </w:r>
      <w:r w:rsidRPr="00F15D28">
        <w:rPr>
          <w:b/>
        </w:rPr>
        <w:t xml:space="preserve"> </w:t>
      </w:r>
      <w:r w:rsidRPr="006912E5">
        <w:t>is</w:t>
      </w:r>
      <w:r w:rsidRPr="00034F2A">
        <w:t xml:space="preserve"> </w:t>
      </w:r>
      <w:r>
        <w:t xml:space="preserve">the </w:t>
      </w:r>
      <w:hyperlink r:id="rId40" w:history="1">
        <w:r w:rsidRPr="00034F2A">
          <w:rPr>
            <w:rStyle w:val="Hyperlink"/>
          </w:rPr>
          <w:t>Health Professional Online Services</w:t>
        </w:r>
      </w:hyperlink>
      <w:r w:rsidRPr="00F15D28">
        <w:t xml:space="preserve">. </w:t>
      </w:r>
      <w:r w:rsidRPr="00352162">
        <w:t xml:space="preserve">This is an online system where </w:t>
      </w:r>
      <w:r w:rsidR="00C55804">
        <w:t xml:space="preserve">health </w:t>
      </w:r>
      <w:r w:rsidRPr="00352162">
        <w:t xml:space="preserve">practitioners can do business online with </w:t>
      </w:r>
      <w:r w:rsidR="008174CA">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t xml:space="preserve"> </w:t>
      </w:r>
    </w:p>
    <w:p w14:paraId="0747F80D" w14:textId="79752BEC"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 The schedule is part of a wider Medicare Benefits Scheme managed by Health and </w:t>
      </w:r>
      <w:r w:rsidRPr="00D93517">
        <w:t xml:space="preserve">administered by </w:t>
      </w:r>
      <w:r w:rsidR="008174CA">
        <w:t>Services Australia</w:t>
      </w:r>
      <w:r w:rsidRPr="00D93517">
        <w:rPr>
          <w:i/>
        </w:rPr>
        <w:t>.</w:t>
      </w:r>
    </w:p>
    <w:p w14:paraId="6F03ACF6" w14:textId="1F2305B5" w:rsidR="00D1711A" w:rsidRDefault="00D1711A" w:rsidP="003C239E">
      <w:r w:rsidRPr="002E4B67">
        <w:rPr>
          <w:b/>
          <w:i/>
        </w:rPr>
        <w:t>Medicare Provider Number</w:t>
      </w:r>
      <w:r w:rsidRPr="002E4B67">
        <w:t xml:space="preserve"> is a unique number that </w:t>
      </w:r>
      <w:r w:rsidR="008174CA">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lastRenderedPageBreak/>
        <w:t xml:space="preserve">Medical practitioner </w:t>
      </w:r>
      <w:r>
        <w:t xml:space="preserve">is a person who is registered under the </w:t>
      </w:r>
      <w:r>
        <w:rPr>
          <w:i/>
        </w:rPr>
        <w:t>Health Practitioner Regulation National Law Act 2009</w:t>
      </w:r>
      <w:r>
        <w:t xml:space="preserve"> in the medical profession.</w:t>
      </w:r>
    </w:p>
    <w:p w14:paraId="4DBA28C0" w14:textId="03D42B5B" w:rsidR="003C239E" w:rsidRDefault="00C81AF4" w:rsidP="003C239E">
      <w:bookmarkStart w:id="367" w:name="MMM"/>
      <w:r w:rsidRPr="00F0410B">
        <w:rPr>
          <w:b/>
          <w:i/>
        </w:rPr>
        <w:t xml:space="preserve">Modified Monash Model </w:t>
      </w:r>
      <w:bookmarkEnd w:id="367"/>
      <w:r w:rsidRPr="00F0410B">
        <w:rPr>
          <w:b/>
          <w:i/>
        </w:rPr>
        <w:t>(MMM)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w:t>
      </w:r>
      <w:r w:rsidR="00786FE9">
        <w:t>2023</w:t>
      </w:r>
      <w:r>
        <w:t>.</w:t>
      </w:r>
    </w:p>
    <w:p w14:paraId="4988475C" w14:textId="2BE424FE" w:rsidR="00225083" w:rsidRPr="00C37D71" w:rsidRDefault="00225083" w:rsidP="00F0217B">
      <w:pPr>
        <w:pStyle w:val="Heading2"/>
      </w:pPr>
      <w:bookmarkStart w:id="368" w:name="_WIP_–_Doctor"/>
      <w:bookmarkStart w:id="369" w:name="_Toc25157873"/>
      <w:bookmarkStart w:id="370" w:name="_Toc197682398"/>
      <w:bookmarkEnd w:id="368"/>
      <w:r>
        <w:t>WIP – Practice Stream</w:t>
      </w:r>
      <w:bookmarkEnd w:id="369"/>
      <w:bookmarkEnd w:id="370"/>
    </w:p>
    <w:p w14:paraId="0C266619" w14:textId="77777777" w:rsidR="00225083" w:rsidRDefault="00225083" w:rsidP="00225083">
      <w:pPr>
        <w:rPr>
          <w:i/>
          <w:iCs/>
        </w:rPr>
      </w:pPr>
      <w:r w:rsidRPr="00F15D28">
        <w:rPr>
          <w:b/>
          <w:i/>
        </w:rPr>
        <w:t xml:space="preserve">Accreditation </w:t>
      </w:r>
      <w:r>
        <w:t>is</w:t>
      </w:r>
      <w:r w:rsidRPr="00F15D28">
        <w:rPr>
          <w:b/>
          <w:i/>
        </w:rPr>
        <w:t xml:space="preserve"> </w:t>
      </w:r>
      <w:r w:rsidRPr="00AB7179">
        <w:rPr>
          <w:lang w:val="en-US"/>
        </w:rPr>
        <w:t xml:space="preserve">the independent recognition that a practice is a general practice in accordance with the requirements </w:t>
      </w:r>
      <w:r w:rsidRPr="00F15D28">
        <w:rPr>
          <w:lang w:val="en-US"/>
        </w:rPr>
        <w:t>of the Royal Australian College of General Practitioner</w:t>
      </w:r>
      <w:r>
        <w:rPr>
          <w:lang w:val="en-US"/>
        </w:rPr>
        <w:t>s</w:t>
      </w:r>
      <w:r w:rsidRPr="00F15D28">
        <w:rPr>
          <w:lang w:val="en-US"/>
        </w:rPr>
        <w:t xml:space="preserve"> (RACGP) </w:t>
      </w:r>
      <w:hyperlink r:id="rId41" w:history="1">
        <w:r w:rsidRPr="000778EB">
          <w:rPr>
            <w:rStyle w:val="Hyperlink"/>
            <w:i/>
            <w:iCs/>
          </w:rPr>
          <w:t>Standards for general practices</w:t>
        </w:r>
      </w:hyperlink>
      <w:r w:rsidRPr="000778EB">
        <w:rPr>
          <w:i/>
          <w:iCs/>
        </w:rPr>
        <w:t>.</w:t>
      </w:r>
      <w:r w:rsidRPr="00F15D28">
        <w:rPr>
          <w:i/>
          <w:iCs/>
        </w:rPr>
        <w:t xml:space="preserve"> </w:t>
      </w:r>
    </w:p>
    <w:p w14:paraId="3827801C" w14:textId="77777777" w:rsidR="00225083" w:rsidRDefault="00225083" w:rsidP="00225083">
      <w:r w:rsidRPr="00F15D28">
        <w:rPr>
          <w:b/>
          <w:i/>
        </w:rPr>
        <w:t>After-hours</w:t>
      </w:r>
      <w:r>
        <w:rPr>
          <w:b/>
          <w:i/>
        </w:rPr>
        <w:t xml:space="preserve"> s</w:t>
      </w:r>
      <w:r w:rsidRPr="00F15D28">
        <w:rPr>
          <w:b/>
          <w:i/>
        </w:rPr>
        <w:t xml:space="preserve">ervice </w:t>
      </w:r>
      <w:r w:rsidRPr="006912E5">
        <w:t>is</w:t>
      </w:r>
      <w:r>
        <w:rPr>
          <w:i/>
        </w:rPr>
        <w:t xml:space="preserve"> </w:t>
      </w:r>
      <w:r>
        <w:t>defined by</w:t>
      </w:r>
      <w:r w:rsidRPr="00F15D28">
        <w:t xml:space="preserve"> the current RACGP </w:t>
      </w:r>
      <w:r w:rsidRPr="00F15D28">
        <w:rPr>
          <w:i/>
        </w:rPr>
        <w:t xml:space="preserve">Standard for general practices </w:t>
      </w:r>
      <w:r w:rsidRPr="00F15D28">
        <w:t xml:space="preserve">as a service that provides care outside the normal </w:t>
      </w:r>
      <w:r>
        <w:t xml:space="preserve">opening </w:t>
      </w:r>
      <w:r w:rsidRPr="00F15D28">
        <w:t xml:space="preserve">hours of a general practice, </w:t>
      </w:r>
      <w:r>
        <w:t xml:space="preserve">regardless of </w:t>
      </w:r>
      <w:r w:rsidRPr="00F15D28">
        <w:t xml:space="preserve">whether that service deputises for other general practices, or the care is provided </w:t>
      </w:r>
      <w:r w:rsidRPr="006E0A3D">
        <w:t>physically</w:t>
      </w:r>
      <w:r>
        <w:rPr>
          <w:color w:val="FF0000"/>
        </w:rPr>
        <w:t xml:space="preserve"> </w:t>
      </w:r>
      <w:r w:rsidRPr="00F15D28">
        <w:t>in or outside of the clinic. After-</w:t>
      </w:r>
      <w:r>
        <w:t>h</w:t>
      </w:r>
      <w:r w:rsidRPr="00F15D28">
        <w:t xml:space="preserve">ours </w:t>
      </w:r>
      <w:r>
        <w:t>s</w:t>
      </w:r>
      <w:r w:rsidRPr="00F15D28">
        <w:t xml:space="preserve">ervices are </w:t>
      </w:r>
      <w:r w:rsidRPr="00F15D28">
        <w:rPr>
          <w:b/>
          <w:bCs/>
        </w:rPr>
        <w:t>not</w:t>
      </w:r>
      <w:r w:rsidRPr="00F15D28">
        <w:t xml:space="preserve"> eligible for </w:t>
      </w:r>
      <w:r>
        <w:t xml:space="preserve">the WIP – Practice Stream. </w:t>
      </w:r>
    </w:p>
    <w:p w14:paraId="059B986D" w14:textId="77777777" w:rsidR="004A6E20" w:rsidRPr="00172759" w:rsidRDefault="004A6E20" w:rsidP="004A6E20">
      <w:pPr>
        <w:rPr>
          <w:rFonts w:cstheme="minorHAnsi"/>
        </w:rPr>
      </w:pPr>
      <w:r w:rsidRPr="00172759">
        <w:rPr>
          <w:b/>
          <w:i/>
        </w:rPr>
        <w:t>Allied health professional</w:t>
      </w:r>
      <w:r w:rsidRPr="00172759">
        <w:rPr>
          <w:b/>
        </w:rPr>
        <w:t xml:space="preserve"> </w:t>
      </w:r>
      <w:r w:rsidRPr="00172759">
        <w:t xml:space="preserve">is a person who holds nationally accredited tertiary qualifications (of at least </w:t>
      </w:r>
      <w:hyperlink r:id="rId42" w:tgtFrame="_blank" w:history="1">
        <w:r w:rsidRPr="00172759">
          <w:t>Australian Qualifications Framework</w:t>
        </w:r>
      </w:hyperlink>
      <w:r w:rsidRPr="00172759">
        <w:t xml:space="preserve"> Level 7 or equivalent), enabling eligibility for membership of their national self-regulating professional association or registration with their national boa</w:t>
      </w:r>
      <w:r>
        <w:t>rd. Allied health p</w:t>
      </w:r>
      <w:r w:rsidRPr="00172759">
        <w:t>rofessionals are qualified to apply their skills to retain, restore or gain optimal physical, sensory, psychological, cognitive, social and cultural function of clients, groups and populations.</w:t>
      </w:r>
    </w:p>
    <w:p w14:paraId="36CC94CF" w14:textId="77777777" w:rsidR="00225083" w:rsidRDefault="00225083" w:rsidP="00225083">
      <w:r w:rsidRPr="00F15D28">
        <w:rPr>
          <w:b/>
          <w:i/>
        </w:rPr>
        <w:t xml:space="preserve">Amalgamation </w:t>
      </w:r>
      <w:r>
        <w:t>means</w:t>
      </w:r>
      <w:r w:rsidRPr="00F15D28">
        <w:rPr>
          <w:i/>
        </w:rPr>
        <w:t xml:space="preserve"> </w:t>
      </w:r>
      <w:r>
        <w:t>two</w:t>
      </w:r>
      <w:r w:rsidRPr="00F15D28">
        <w:t xml:space="preserve"> or more practices coming together into </w:t>
      </w:r>
      <w:r>
        <w:t>one</w:t>
      </w:r>
      <w:r w:rsidRPr="00F15D28">
        <w:t xml:space="preserve"> common location and sharing access to all patient records, belonging to each of the previously individual practices</w:t>
      </w:r>
      <w:r>
        <w:t xml:space="preserve">. The </w:t>
      </w:r>
      <w:r w:rsidRPr="00F15D28">
        <w:t>remaining original location(s)</w:t>
      </w:r>
      <w:r>
        <w:t xml:space="preserve"> will close</w:t>
      </w:r>
      <w:r w:rsidRPr="00F15D28">
        <w:t>.</w:t>
      </w:r>
    </w:p>
    <w:p w14:paraId="6175952D" w14:textId="570BEE44" w:rsidR="00225083" w:rsidRPr="00302F3F" w:rsidRDefault="00225083" w:rsidP="00225083">
      <w:pPr>
        <w:rPr>
          <w:b/>
          <w:i/>
        </w:rPr>
      </w:pPr>
      <w:r w:rsidRPr="00A059F6">
        <w:rPr>
          <w:b/>
          <w:i/>
        </w:rPr>
        <w:t>Applicant</w:t>
      </w:r>
      <w:r w:rsidRPr="00784D1E">
        <w:rPr>
          <w:b/>
        </w:rPr>
        <w:t xml:space="preserve"> </w:t>
      </w:r>
      <w:r w:rsidRPr="00CB36DB">
        <w:t>u</w:t>
      </w:r>
      <w:r w:rsidRPr="008D3284">
        <w:t xml:space="preserve">nder </w:t>
      </w:r>
      <w:r w:rsidRPr="00A059F6">
        <w:t>the</w:t>
      </w:r>
      <w:r w:rsidRPr="00A059F6">
        <w:rPr>
          <w:i/>
        </w:rPr>
        <w:t xml:space="preserve"> </w:t>
      </w:r>
      <w:r w:rsidRPr="00A059F6">
        <w:t>WIP – Practice Stream is the practice applying as named on the WIP – Practice Stream application</w:t>
      </w:r>
      <w:r w:rsidRPr="00F15D28">
        <w:t xml:space="preserve">. </w:t>
      </w:r>
    </w:p>
    <w:p w14:paraId="76E8C03A" w14:textId="77777777" w:rsidR="00225083" w:rsidRDefault="00225083" w:rsidP="00225083">
      <w:r>
        <w:rPr>
          <w:b/>
          <w:bCs/>
          <w:i/>
          <w:iCs/>
        </w:rPr>
        <w:t>Authorised c</w:t>
      </w:r>
      <w:r w:rsidRPr="00F15D28">
        <w:rPr>
          <w:b/>
          <w:bCs/>
          <w:i/>
          <w:iCs/>
        </w:rPr>
        <w:t>ontact</w:t>
      </w:r>
      <w:r w:rsidRPr="00F15D28">
        <w:rPr>
          <w:i/>
          <w:iCs/>
        </w:rPr>
        <w:t xml:space="preserve"> </w:t>
      </w:r>
      <w:r>
        <w:rPr>
          <w:b/>
          <w:bCs/>
          <w:i/>
          <w:iCs/>
        </w:rPr>
        <w:t>p</w:t>
      </w:r>
      <w:r w:rsidRPr="00F15D28">
        <w:rPr>
          <w:b/>
          <w:bCs/>
          <w:i/>
          <w:iCs/>
        </w:rPr>
        <w:t>erson(s)</w:t>
      </w:r>
      <w:r w:rsidRPr="00F15D28">
        <w:rPr>
          <w:i/>
          <w:iCs/>
        </w:rPr>
        <w:t xml:space="preserve"> </w:t>
      </w:r>
      <w:r>
        <w:rPr>
          <w:iCs/>
        </w:rPr>
        <w:t>is</w:t>
      </w:r>
      <w:r w:rsidRPr="00F15D28">
        <w:t xml:space="preserve"> a person the practice owner(s) </w:t>
      </w:r>
      <w:r>
        <w:t xml:space="preserve">nominates </w:t>
      </w:r>
      <w:r w:rsidRPr="00F15D28">
        <w:t xml:space="preserve">to act on behalf of the practice in relation to the </w:t>
      </w:r>
      <w:r w:rsidRPr="00A059F6">
        <w:t xml:space="preserve">WIP – Practice Stream. </w:t>
      </w:r>
    </w:p>
    <w:p w14:paraId="5A236BF4" w14:textId="08589169" w:rsidR="00225083" w:rsidRPr="00F60779" w:rsidRDefault="00225083" w:rsidP="00225083">
      <w:pPr>
        <w:rPr>
          <w:b/>
          <w:i/>
        </w:rPr>
      </w:pPr>
      <w:r w:rsidRPr="00F60779">
        <w:rPr>
          <w:b/>
          <w:i/>
        </w:rPr>
        <w:t>Closed practice</w:t>
      </w:r>
      <w:r w:rsidRPr="00F60779">
        <w:rPr>
          <w:i/>
        </w:rPr>
        <w:t xml:space="preserve"> </w:t>
      </w:r>
      <w:r w:rsidRPr="003C239E">
        <w:t>is when all registered medical practitioners stop providing face to face medical or health services to patients at the main location registered in the</w:t>
      </w:r>
      <w:r>
        <w:rPr>
          <w:i/>
        </w:rPr>
        <w:t xml:space="preserve"> </w:t>
      </w:r>
      <w:r>
        <w:t>WIP – Practice Stream</w:t>
      </w:r>
      <w:r>
        <w:rPr>
          <w:i/>
        </w:rPr>
        <w:t>.</w:t>
      </w:r>
    </w:p>
    <w:p w14:paraId="1BF14549" w14:textId="48CF18CC" w:rsidR="00225083" w:rsidRPr="00F0410B" w:rsidRDefault="00225083" w:rsidP="00225083">
      <w:pPr>
        <w:rPr>
          <w:lang w:val="en-US"/>
        </w:rPr>
      </w:pPr>
      <w:r w:rsidRPr="00F15D28">
        <w:rPr>
          <w:b/>
          <w:i/>
          <w:lang w:val="en-US"/>
        </w:rPr>
        <w:t>Direct supervision</w:t>
      </w:r>
      <w:r w:rsidRPr="00F15D28">
        <w:rPr>
          <w:lang w:val="en-US"/>
        </w:rPr>
        <w:t xml:space="preserve"> </w:t>
      </w:r>
      <w:r>
        <w:rPr>
          <w:lang w:val="en-US"/>
        </w:rPr>
        <w:t>is when a registered n</w:t>
      </w:r>
      <w:r w:rsidRPr="00F15D28">
        <w:rPr>
          <w:lang w:val="en-US"/>
        </w:rPr>
        <w:t xml:space="preserve">urse is </w:t>
      </w:r>
      <w:r w:rsidR="00BA2635" w:rsidRPr="00F15D28">
        <w:rPr>
          <w:lang w:val="en-US"/>
        </w:rPr>
        <w:t>present</w:t>
      </w:r>
      <w:r w:rsidRPr="00F15D28">
        <w:rPr>
          <w:lang w:val="en-US"/>
        </w:rPr>
        <w:t>, and personally observes, work</w:t>
      </w:r>
      <w:r>
        <w:rPr>
          <w:lang w:val="en-US"/>
        </w:rPr>
        <w:t>s with, guides and directs an enrolled n</w:t>
      </w:r>
      <w:r w:rsidRPr="00F15D28">
        <w:rPr>
          <w:lang w:val="en-US"/>
        </w:rPr>
        <w:t>urse</w:t>
      </w:r>
      <w:r>
        <w:rPr>
          <w:lang w:val="en-US"/>
        </w:rPr>
        <w:t xml:space="preserve"> </w:t>
      </w:r>
      <w:r w:rsidRPr="00577727">
        <w:rPr>
          <w:lang w:val="en-US"/>
        </w:rPr>
        <w:t>(</w:t>
      </w:r>
      <w:hyperlink w:anchor="_1.1_Eligible_general" w:history="1">
        <w:r w:rsidR="00CB497A" w:rsidRPr="00CB497A">
          <w:rPr>
            <w:rStyle w:val="Hyperlink"/>
            <w:lang w:val="en-US"/>
          </w:rPr>
          <w:t xml:space="preserve">Section </w:t>
        </w:r>
        <w:r w:rsidRPr="00CB497A">
          <w:rPr>
            <w:rStyle w:val="Hyperlink"/>
            <w:lang w:val="en-US"/>
          </w:rPr>
          <w:t>1.</w:t>
        </w:r>
        <w:r w:rsidR="00CB497A" w:rsidRPr="00CB497A">
          <w:rPr>
            <w:rStyle w:val="Hyperlink"/>
            <w:lang w:val="en-US"/>
          </w:rPr>
          <w:t>1</w:t>
        </w:r>
      </w:hyperlink>
      <w:r w:rsidRPr="00CB497A">
        <w:rPr>
          <w:lang w:val="en-US"/>
        </w:rPr>
        <w:t xml:space="preserve"> </w:t>
      </w:r>
      <w:r w:rsidR="00CB497A">
        <w:rPr>
          <w:lang w:val="en-US"/>
        </w:rPr>
        <w:t>‘</w:t>
      </w:r>
      <w:r w:rsidRPr="00CB497A">
        <w:rPr>
          <w:lang w:val="en-US"/>
        </w:rPr>
        <w:t>Eligible health professionals</w:t>
      </w:r>
      <w:r w:rsidR="00CB497A">
        <w:rPr>
          <w:lang w:val="en-US"/>
        </w:rPr>
        <w:t>’</w:t>
      </w:r>
      <w:r>
        <w:rPr>
          <w:lang w:val="en-US"/>
        </w:rPr>
        <w:t>)</w:t>
      </w:r>
      <w:r w:rsidR="00DC4B06">
        <w:rPr>
          <w:lang w:val="en-US"/>
        </w:rPr>
        <w:t>.</w:t>
      </w:r>
    </w:p>
    <w:p w14:paraId="11FBCC9A" w14:textId="2B3F8164" w:rsidR="00225083" w:rsidRPr="000778EB" w:rsidRDefault="00225083" w:rsidP="00225083">
      <w:r w:rsidRPr="00F15D28">
        <w:rPr>
          <w:b/>
          <w:i/>
        </w:rPr>
        <w:t>E</w:t>
      </w:r>
      <w:r>
        <w:rPr>
          <w:b/>
          <w:i/>
        </w:rPr>
        <w:t>ligible health p</w:t>
      </w:r>
      <w:r w:rsidRPr="00F15D28">
        <w:rPr>
          <w:b/>
          <w:i/>
        </w:rPr>
        <w:t>rofessional</w:t>
      </w:r>
      <w:r w:rsidRPr="00F15D28">
        <w:rPr>
          <w:b/>
        </w:rPr>
        <w:t xml:space="preserve"> </w:t>
      </w:r>
      <w:r>
        <w:t xml:space="preserve">under the WIP – Practice Stream is a nurse practitioner, registered nurse, enrolled </w:t>
      </w:r>
      <w:r w:rsidRPr="009E1A67">
        <w:t>nurse,</w:t>
      </w:r>
      <w:r w:rsidR="005D27E9">
        <w:t xml:space="preserve"> midwife,</w:t>
      </w:r>
      <w:r w:rsidRPr="009E1A67">
        <w:t xml:space="preserve"> Aboriginal and Torres Strait Islander Health </w:t>
      </w:r>
      <w:r w:rsidRPr="009E1A67">
        <w:lastRenderedPageBreak/>
        <w:t xml:space="preserve">Worker, Aboriginal and Torres Strait Islander Health Practitioner and an allied health professional listed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rPr>
          <w:color w:val="FF0000"/>
        </w:rPr>
        <w:t xml:space="preserve"> </w:t>
      </w:r>
      <w:r w:rsidRPr="000778EB">
        <w:t>of the Guidelines and that:</w:t>
      </w:r>
    </w:p>
    <w:p w14:paraId="03E4E393" w14:textId="77777777" w:rsidR="00225083" w:rsidRPr="000778EB" w:rsidRDefault="00225083" w:rsidP="00FA4D4B">
      <w:pPr>
        <w:pStyle w:val="ListBullet"/>
      </w:pPr>
      <w:r w:rsidRPr="000778EB">
        <w:t xml:space="preserve">is employed, engaged or otherwise retained by the practice for their time that is not supported by other funding </w:t>
      </w:r>
      <w:r w:rsidRPr="009D17F3">
        <w:t>or direct billing of MBS items</w:t>
      </w:r>
      <w:r w:rsidRPr="001F3BB0">
        <w:t>;</w:t>
      </w:r>
      <w:r w:rsidRPr="000778EB">
        <w:t xml:space="preserve"> and</w:t>
      </w:r>
    </w:p>
    <w:p w14:paraId="7EFB37A5" w14:textId="6AD25469" w:rsidR="00225083" w:rsidRPr="000778EB" w:rsidRDefault="00225083" w:rsidP="00FA4D4B">
      <w:pPr>
        <w:pStyle w:val="ListBullet"/>
      </w:pPr>
      <w:r w:rsidRPr="000778EB">
        <w:t xml:space="preserve">meets the eligibility requirements in Part </w:t>
      </w:r>
      <w:r w:rsidR="00CB497A">
        <w:t>B</w:t>
      </w:r>
      <w:r w:rsidRPr="000778EB">
        <w:t xml:space="preserve">, </w:t>
      </w:r>
      <w:hyperlink w:anchor="_1.1_Eligible_general" w:history="1">
        <w:r w:rsidRPr="00CB497A">
          <w:rPr>
            <w:rStyle w:val="Hyperlink"/>
          </w:rPr>
          <w:t>Section 1.</w:t>
        </w:r>
        <w:r w:rsidR="00CB497A" w:rsidRPr="00CB497A">
          <w:rPr>
            <w:rStyle w:val="Hyperlink"/>
          </w:rPr>
          <w:t>1</w:t>
        </w:r>
      </w:hyperlink>
      <w:r w:rsidRPr="000778EB">
        <w:t xml:space="preserve"> ‘Eligible Health Professional’.</w:t>
      </w:r>
    </w:p>
    <w:p w14:paraId="1DE6CEAF" w14:textId="76A0DB87" w:rsidR="00B37E04" w:rsidRDefault="00B37E04" w:rsidP="00B37E04">
      <w:bookmarkStart w:id="371" w:name="EMBS"/>
      <w:r>
        <w:rPr>
          <w:b/>
          <w:i/>
        </w:rPr>
        <w:t>Eligible Medicare Services</w:t>
      </w:r>
      <w:r>
        <w:rPr>
          <w:i/>
        </w:rPr>
        <w:t xml:space="preserve"> </w:t>
      </w:r>
      <w:bookmarkEnd w:id="371"/>
      <w:r>
        <w:t xml:space="preserve">under the WIP – Practice Stream payment calculation are </w:t>
      </w:r>
      <w:r w:rsidRPr="008643FC">
        <w:t>GP and other non-referred consultation items in the MBS</w:t>
      </w:r>
      <w:r w:rsidR="00DC4B06">
        <w:t>.</w:t>
      </w:r>
    </w:p>
    <w:p w14:paraId="0692AC75" w14:textId="7FC09645" w:rsidR="00225083" w:rsidRPr="00B438EB" w:rsidRDefault="00225083" w:rsidP="00225083">
      <w:pPr>
        <w:rPr>
          <w:rFonts w:cstheme="minorHAnsi"/>
          <w:lang w:val="en-US"/>
        </w:rPr>
      </w:pPr>
      <w:r w:rsidRPr="00B438EB">
        <w:rPr>
          <w:rFonts w:cstheme="minorHAnsi"/>
          <w:b/>
          <w:i/>
        </w:rPr>
        <w:t>Enrolled nurse</w:t>
      </w:r>
      <w:r w:rsidRPr="00B438EB">
        <w:rPr>
          <w:rFonts w:cstheme="minorHAnsi"/>
          <w:b/>
        </w:rPr>
        <w:t xml:space="preserve"> </w:t>
      </w:r>
      <w:r w:rsidRPr="00B438EB">
        <w:rPr>
          <w:rFonts w:cstheme="minorHAnsi"/>
        </w:rPr>
        <w:t xml:space="preserve">is a person who is registered with the </w:t>
      </w:r>
      <w:r w:rsidRPr="00B438EB">
        <w:rPr>
          <w:rFonts w:eastAsia="Calibri" w:cstheme="minorHAnsi"/>
        </w:rPr>
        <w:t>Nursing and Midwifery Board of Australia (</w:t>
      </w:r>
      <w:r w:rsidRPr="00B438EB">
        <w:rPr>
          <w:rFonts w:cstheme="minorHAnsi"/>
        </w:rPr>
        <w:t xml:space="preserve">NMBA) and meets the board’s registration standards to practise as an enrolled nurse in Australia. An enrolled nurse works with the registered nurse as part of the health care team and demonstrates competence in the provision of person-centred care. Core practice requires an enrolled nurse to work under the direct or indirect supervision of the registered nurse. </w:t>
      </w:r>
      <w:r w:rsidRPr="00B438EB">
        <w:rPr>
          <w:rFonts w:cstheme="minorHAnsi"/>
          <w:lang w:val="en-US"/>
        </w:rPr>
        <w:t xml:space="preserve">For more information read the </w:t>
      </w:r>
      <w:hyperlink r:id="rId43" w:history="1">
        <w:r w:rsidRPr="00B438EB">
          <w:rPr>
            <w:rStyle w:val="Hyperlink"/>
            <w:rFonts w:cstheme="minorHAnsi"/>
            <w:lang w:val="en-US"/>
          </w:rPr>
          <w:t>enrolled nurse standards and factsheet</w:t>
        </w:r>
      </w:hyperlink>
      <w:r w:rsidRPr="00B438EB">
        <w:rPr>
          <w:rFonts w:cstheme="minorHAnsi"/>
          <w:lang w:val="en-US"/>
        </w:rPr>
        <w:t xml:space="preserve"> on the </w:t>
      </w:r>
      <w:r w:rsidRPr="00B438EB">
        <w:rPr>
          <w:rFonts w:cstheme="minorHAnsi"/>
          <w:u w:color="0000FF"/>
          <w:lang w:val="en-US"/>
        </w:rPr>
        <w:t>NMBA website</w:t>
      </w:r>
      <w:r w:rsidRPr="00B438EB">
        <w:rPr>
          <w:rFonts w:cstheme="minorHAnsi"/>
          <w:lang w:val="en-US"/>
        </w:rPr>
        <w:t xml:space="preserve">. </w:t>
      </w:r>
    </w:p>
    <w:p w14:paraId="43EEAD31" w14:textId="662D504A" w:rsidR="00225083" w:rsidRPr="0021413B" w:rsidRDefault="00225083" w:rsidP="00225083">
      <w:pPr>
        <w:rPr>
          <w:i/>
        </w:rPr>
      </w:pPr>
      <w:r w:rsidRPr="00D93517">
        <w:rPr>
          <w:i/>
        </w:rPr>
        <w:t xml:space="preserve">The </w:t>
      </w:r>
      <w:r w:rsidRPr="00D93517">
        <w:rPr>
          <w:b/>
          <w:i/>
        </w:rPr>
        <w:t xml:space="preserve">Formal Review Committee </w:t>
      </w:r>
      <w:r w:rsidRPr="00D93517">
        <w:t xml:space="preserve">under the WIP – Practice Stream consists of </w:t>
      </w:r>
      <w:r w:rsidR="000A6D21">
        <w:t xml:space="preserve">the Department of </w:t>
      </w:r>
      <w:r w:rsidRPr="00D93517">
        <w:t>Health</w:t>
      </w:r>
      <w:r w:rsidR="00DE414B">
        <w:t xml:space="preserve">, Disability and Ageing and </w:t>
      </w:r>
      <w:r w:rsidR="000A6D21">
        <w:t>Services Australia</w:t>
      </w:r>
      <w:r w:rsidRPr="00D93517">
        <w:t xml:space="preserve"> delegates and is convened when a practice requests a review of decision (ROD) outcome to be reconsidered. The Formal Review Committee is the last avenue of </w:t>
      </w:r>
      <w:r w:rsidR="00EF7DAE" w:rsidRPr="00D93517">
        <w:t>appeal,</w:t>
      </w:r>
      <w:r w:rsidRPr="00D93517">
        <w:t xml:space="preserve"> and its decision is final. See Part </w:t>
      </w:r>
      <w:r w:rsidR="00C46C3A">
        <w:t>B</w:t>
      </w:r>
      <w:r w:rsidRPr="00D93517">
        <w:t xml:space="preserve">, </w:t>
      </w:r>
      <w:hyperlink w:anchor="_5.5_Rights_of" w:history="1">
        <w:r w:rsidRPr="00C46C3A">
          <w:rPr>
            <w:rStyle w:val="Hyperlink"/>
          </w:rPr>
          <w:t xml:space="preserve">Section </w:t>
        </w:r>
        <w:r w:rsidR="00C46C3A" w:rsidRPr="00C46C3A">
          <w:rPr>
            <w:rStyle w:val="Hyperlink"/>
          </w:rPr>
          <w:t>5</w:t>
        </w:r>
        <w:r w:rsidRPr="00C46C3A">
          <w:rPr>
            <w:rStyle w:val="Hyperlink"/>
          </w:rPr>
          <w:t>.5</w:t>
        </w:r>
      </w:hyperlink>
      <w:r>
        <w:t xml:space="preserve"> </w:t>
      </w:r>
      <w:r w:rsidR="00C46C3A">
        <w:t>‘</w:t>
      </w:r>
      <w:r w:rsidRPr="0021413B">
        <w:t>Rights of Review</w:t>
      </w:r>
      <w:r w:rsidR="00C46C3A">
        <w:t>’</w:t>
      </w:r>
      <w:r w:rsidRPr="0021413B">
        <w:t xml:space="preserve"> for more information on the ROD</w:t>
      </w:r>
      <w:r>
        <w:t xml:space="preserve"> </w:t>
      </w:r>
      <w:r w:rsidRPr="0021413B">
        <w:t>process for the WIP – Practice Stream.</w:t>
      </w:r>
      <w:r w:rsidR="00B438EB">
        <w:t xml:space="preserve"> </w:t>
      </w:r>
    </w:p>
    <w:p w14:paraId="3676FC7B" w14:textId="0EE74E17" w:rsidR="00225083" w:rsidRDefault="00225083" w:rsidP="00225083">
      <w:r>
        <w:rPr>
          <w:b/>
          <w:i/>
        </w:rPr>
        <w:t>General p</w:t>
      </w:r>
      <w:r w:rsidRPr="00F15D28">
        <w:rPr>
          <w:b/>
          <w:i/>
        </w:rPr>
        <w:t xml:space="preserve">ractice </w:t>
      </w:r>
      <w:r w:rsidRPr="006912E5">
        <w:t>is defined by</w:t>
      </w:r>
      <w:r w:rsidRPr="00F15D28">
        <w:rPr>
          <w:b/>
          <w:i/>
        </w:rPr>
        <w:t xml:space="preserve"> </w:t>
      </w:r>
      <w:r w:rsidRPr="00F15D28">
        <w:t xml:space="preserve">the RACGP </w:t>
      </w:r>
      <w:r w:rsidRPr="00F15D28">
        <w:rPr>
          <w:i/>
        </w:rPr>
        <w:t xml:space="preserve">Standards for general practices </w:t>
      </w:r>
      <w:r w:rsidRPr="00F15D28">
        <w:t xml:space="preserve">as the </w:t>
      </w:r>
      <w:r w:rsidR="005B437F" w:rsidRPr="005B437F">
        <w:t>provision of patient-centred, continuing, comprehensive, coordinated primary care to individuals, families and communities</w:t>
      </w:r>
      <w:r w:rsidR="005B437F">
        <w:t>.</w:t>
      </w:r>
      <w:r w:rsidR="005B437F" w:rsidRPr="00FA4D4B">
        <w:t xml:space="preserve"> </w:t>
      </w:r>
      <w:r w:rsidR="00BA5B8F" w:rsidRPr="00FA4D4B">
        <w:t xml:space="preserve">More than 50 per cent of the practice’s general practitioners’ clinical time (i.e. collectively), and more than 50 per cent of services for which Medicare benefits are claimed or could be claimed (from the practice) are in general practice. </w:t>
      </w:r>
      <w:r>
        <w:t xml:space="preserve">For the purposes of </w:t>
      </w:r>
      <w:r w:rsidRPr="004B04A6">
        <w:t xml:space="preserve">the WIP – Practice Stream, </w:t>
      </w:r>
      <w:r w:rsidRPr="00F15D28">
        <w:t>a general practice incl</w:t>
      </w:r>
      <w:r>
        <w:t>udes Aboriginal Medical Services</w:t>
      </w:r>
      <w:r w:rsidRPr="00F15D28">
        <w:t xml:space="preserve"> and Aboriginal Comm</w:t>
      </w:r>
      <w:r>
        <w:t>unity Controlled Health Services</w:t>
      </w:r>
      <w:r w:rsidRPr="00F15D28">
        <w:t xml:space="preserve">. </w:t>
      </w:r>
    </w:p>
    <w:p w14:paraId="67123A01" w14:textId="77777777" w:rsidR="00333D35" w:rsidRDefault="00225083" w:rsidP="00225083">
      <w:r w:rsidRPr="008D0FE3">
        <w:rPr>
          <w:b/>
          <w:i/>
        </w:rPr>
        <w:t xml:space="preserve">General practitioner </w:t>
      </w:r>
      <w:r w:rsidRPr="008D0FE3">
        <w:t>is a general practitioner and/or non-specialist medical practitioner</w:t>
      </w:r>
      <w:r w:rsidR="003C34CA">
        <w:t>-</w:t>
      </w:r>
      <w:r w:rsidRPr="008D0FE3">
        <w:t xml:space="preserve"> </w:t>
      </w:r>
      <w:r w:rsidR="003C34CA" w:rsidRPr="00FA4D4B">
        <w:t xml:space="preserve">other medical practitioner - who provides non-referred services but is not a GP. </w:t>
      </w:r>
      <w:r w:rsidRPr="008D0FE3">
        <w:t>GPs include</w:t>
      </w:r>
      <w:r w:rsidR="00223676">
        <w:t>:</w:t>
      </w:r>
    </w:p>
    <w:p w14:paraId="5DB31B8D" w14:textId="77777777" w:rsidR="00333D35" w:rsidRDefault="00225083" w:rsidP="0043055A">
      <w:pPr>
        <w:pStyle w:val="ListBullet"/>
      </w:pPr>
      <w:r w:rsidRPr="008D0FE3">
        <w:t xml:space="preserve">Fellows of the Royal Australian College of General Practitioners and the Australian College of Rural and Remote Medicine, </w:t>
      </w:r>
      <w:r w:rsidR="00333D35">
        <w:t>and</w:t>
      </w:r>
    </w:p>
    <w:p w14:paraId="0DC0BFB2" w14:textId="738558F8" w:rsidR="00225083" w:rsidRPr="00F15D28" w:rsidRDefault="00225083" w:rsidP="0043055A">
      <w:pPr>
        <w:pStyle w:val="ListBullet"/>
      </w:pPr>
      <w:r w:rsidRPr="008D0FE3">
        <w:t>vocationally registered general practitioners and medical practitioners undertaking approved training.</w:t>
      </w:r>
      <w:r w:rsidRPr="00F15D28">
        <w:t xml:space="preserve"> </w:t>
      </w:r>
    </w:p>
    <w:p w14:paraId="3686CE4E" w14:textId="77777777" w:rsidR="00225083" w:rsidRPr="00F15D28" w:rsidRDefault="00225083" w:rsidP="00225083">
      <w:r w:rsidRPr="00F15D28">
        <w:rPr>
          <w:b/>
          <w:i/>
        </w:rPr>
        <w:t xml:space="preserve">Hours worked </w:t>
      </w:r>
      <w:r>
        <w:t xml:space="preserve">under the WIP – Practice Stream is </w:t>
      </w:r>
      <w:r w:rsidRPr="00F15D28">
        <w:t xml:space="preserve">the </w:t>
      </w:r>
      <w:r w:rsidRPr="00D52D71">
        <w:rPr>
          <w:rFonts w:cstheme="minorHAnsi"/>
        </w:rPr>
        <w:t>actual average weekly</w:t>
      </w:r>
      <w:r w:rsidRPr="002E3B40">
        <w:rPr>
          <w:rFonts w:ascii="Arial" w:hAnsi="Arial" w:cs="Arial"/>
          <w:sz w:val="22"/>
          <w:szCs w:val="22"/>
        </w:rPr>
        <w:t xml:space="preserve"> </w:t>
      </w:r>
      <w:r w:rsidRPr="00F15D28">
        <w:t xml:space="preserve">hours worked </w:t>
      </w:r>
      <w:r w:rsidRPr="0021413B">
        <w:t>by</w:t>
      </w:r>
      <w:r w:rsidRPr="004B04A6">
        <w:t xml:space="preserve"> </w:t>
      </w:r>
      <w:r w:rsidRPr="00F15D28">
        <w:t xml:space="preserve">an eligible health professional. </w:t>
      </w:r>
    </w:p>
    <w:p w14:paraId="6CA55A7A" w14:textId="48C5D455" w:rsidR="00225083" w:rsidRDefault="00225083" w:rsidP="00225083">
      <w:r w:rsidRPr="00F15D28">
        <w:rPr>
          <w:b/>
          <w:i/>
          <w:lang w:val="en-US"/>
        </w:rPr>
        <w:t xml:space="preserve">Indirect supervision </w:t>
      </w:r>
      <w:r>
        <w:rPr>
          <w:lang w:val="en-US"/>
        </w:rPr>
        <w:t xml:space="preserve">is when </w:t>
      </w:r>
      <w:r w:rsidRPr="00117A6C">
        <w:rPr>
          <w:lang w:val="en-US"/>
        </w:rPr>
        <w:t>a registered nurse does</w:t>
      </w:r>
      <w:r w:rsidRPr="00F15D28">
        <w:rPr>
          <w:lang w:val="en-US"/>
        </w:rPr>
        <w:t xml:space="preserve"> not constantly observe the activities of an </w:t>
      </w:r>
      <w:r>
        <w:rPr>
          <w:lang w:val="en-US"/>
        </w:rPr>
        <w:t>e</w:t>
      </w:r>
      <w:r w:rsidRPr="00F15D28">
        <w:rPr>
          <w:lang w:val="en-US"/>
        </w:rPr>
        <w:t xml:space="preserve">nrolled </w:t>
      </w:r>
      <w:r>
        <w:rPr>
          <w:lang w:val="en-US"/>
        </w:rPr>
        <w:t>n</w:t>
      </w:r>
      <w:r w:rsidRPr="00F15D28">
        <w:rPr>
          <w:lang w:val="en-US"/>
        </w:rPr>
        <w:t xml:space="preserve">urse. In situations where the </w:t>
      </w:r>
      <w:r>
        <w:rPr>
          <w:lang w:val="en-US"/>
        </w:rPr>
        <w:t>r</w:t>
      </w:r>
      <w:r w:rsidRPr="00F15D28">
        <w:rPr>
          <w:lang w:val="en-US"/>
        </w:rPr>
        <w:t xml:space="preserve">egistered </w:t>
      </w:r>
      <w:r>
        <w:rPr>
          <w:lang w:val="en-US"/>
        </w:rPr>
        <w:t>nurse and the enrolled n</w:t>
      </w:r>
      <w:r w:rsidRPr="00F15D28">
        <w:rPr>
          <w:lang w:val="en-US"/>
        </w:rPr>
        <w:t xml:space="preserve">urse are not </w:t>
      </w:r>
      <w:r w:rsidRPr="00F15D28">
        <w:rPr>
          <w:lang w:val="en-US"/>
        </w:rPr>
        <w:lastRenderedPageBreak/>
        <w:t xml:space="preserve">employed at the same </w:t>
      </w:r>
      <w:proofErr w:type="spellStart"/>
      <w:r w:rsidRPr="00F15D28">
        <w:rPr>
          <w:lang w:val="en-US"/>
        </w:rPr>
        <w:t>organisation</w:t>
      </w:r>
      <w:proofErr w:type="spellEnd"/>
      <w:r w:rsidRPr="00F15D28">
        <w:rPr>
          <w:lang w:val="en-US"/>
        </w:rPr>
        <w:t>, clearly documented arrangements must be in place regarding su</w:t>
      </w:r>
      <w:r>
        <w:rPr>
          <w:lang w:val="en-US"/>
        </w:rPr>
        <w:t>pervision arrangements and the registered n</w:t>
      </w:r>
      <w:r w:rsidRPr="00F15D28">
        <w:rPr>
          <w:lang w:val="en-US"/>
        </w:rPr>
        <w:t xml:space="preserve">urse must be available for reasonable access. </w:t>
      </w:r>
      <w:r w:rsidRPr="006912E5">
        <w:t xml:space="preserve">For more information read the </w:t>
      </w:r>
      <w:hyperlink r:id="rId44" w:history="1">
        <w:r w:rsidRPr="000778EB">
          <w:rPr>
            <w:rStyle w:val="Hyperlink"/>
          </w:rPr>
          <w:t>enrolled nurse standards and factsheet</w:t>
        </w:r>
      </w:hyperlink>
      <w:r w:rsidRPr="006912E5">
        <w:t xml:space="preserve"> on the NMBA website.</w:t>
      </w:r>
    </w:p>
    <w:p w14:paraId="1E8CF9DA" w14:textId="61673C5E" w:rsidR="00225083" w:rsidRDefault="00225083" w:rsidP="00225083">
      <w:r w:rsidRPr="00F15D28">
        <w:rPr>
          <w:b/>
          <w:i/>
        </w:rPr>
        <w:t>Local Area</w:t>
      </w:r>
      <w:r w:rsidRPr="00F15D28">
        <w:t xml:space="preserve"> is defined by Health</w:t>
      </w:r>
      <w:r w:rsidR="009C622C">
        <w:t xml:space="preserve"> or Services Australia</w:t>
      </w:r>
      <w:r w:rsidRPr="00F15D28">
        <w:t xml:space="preserve"> on a case-by-case basis according to factors such as physical distance, rurality and practice distribution.</w:t>
      </w:r>
    </w:p>
    <w:p w14:paraId="2159D9AB" w14:textId="7C92D903" w:rsidR="00225083" w:rsidRDefault="00225083" w:rsidP="00225083">
      <w:r>
        <w:rPr>
          <w:b/>
          <w:i/>
        </w:rPr>
        <w:t>Medical deputising s</w:t>
      </w:r>
      <w:r w:rsidRPr="00F15D28">
        <w:rPr>
          <w:b/>
          <w:i/>
        </w:rPr>
        <w:t xml:space="preserve">ervices </w:t>
      </w:r>
      <w:r>
        <w:t xml:space="preserve">is </w:t>
      </w:r>
      <w:r w:rsidRPr="00F15D28">
        <w:t xml:space="preserve">the RACGP </w:t>
      </w:r>
      <w:r w:rsidRPr="00F15D28">
        <w:rPr>
          <w:i/>
        </w:rPr>
        <w:t xml:space="preserve">Standards for general practice </w:t>
      </w:r>
      <w:r w:rsidRPr="00F15D28">
        <w:t xml:space="preserve">definition as organisations which directly arrange for medical practitioners to provide </w:t>
      </w:r>
      <w:r w:rsidR="00EF7DAE" w:rsidRPr="00F15D28">
        <w:t>after-hours</w:t>
      </w:r>
      <w:r w:rsidRPr="00F15D28">
        <w:t xml:space="preserve"> </w:t>
      </w:r>
      <w:r>
        <w:t>services to patients of practice p</w:t>
      </w:r>
      <w:r w:rsidRPr="00F15D28">
        <w:t>rincipals during the absence of, and at the request o</w:t>
      </w:r>
      <w:r>
        <w:t>f, the practice p</w:t>
      </w:r>
      <w:r w:rsidRPr="00F15D28">
        <w:t xml:space="preserve">rincipals. </w:t>
      </w:r>
      <w:r>
        <w:t>Medical deputising s</w:t>
      </w:r>
      <w:r w:rsidRPr="00F15D28">
        <w:t xml:space="preserve">ervices are </w:t>
      </w:r>
      <w:r w:rsidRPr="00F15D28">
        <w:rPr>
          <w:b/>
          <w:bCs/>
        </w:rPr>
        <w:t>not</w:t>
      </w:r>
      <w:r w:rsidRPr="00F15D28">
        <w:t xml:space="preserve"> eligible for </w:t>
      </w:r>
      <w:r w:rsidRPr="00AE6D9D">
        <w:t xml:space="preserve">the WIP-Practice Stream. </w:t>
      </w:r>
    </w:p>
    <w:p w14:paraId="0F0034D0" w14:textId="2D056840" w:rsidR="00225083" w:rsidRDefault="005D27E9" w:rsidP="00225083">
      <w:r w:rsidRPr="002970A6">
        <w:rPr>
          <w:b/>
          <w:bCs/>
          <w:i/>
          <w:iCs/>
        </w:rPr>
        <w:t>Midwife</w:t>
      </w:r>
      <w:r w:rsidR="00B0241E">
        <w:rPr>
          <w:b/>
          <w:bCs/>
          <w:i/>
          <w:iCs/>
        </w:rPr>
        <w:t xml:space="preserve"> </w:t>
      </w:r>
      <w:r w:rsidR="00B0241E">
        <w:t>is</w:t>
      </w:r>
      <w:r w:rsidR="00B0241E" w:rsidRPr="00F15D28">
        <w:t xml:space="preserve"> </w:t>
      </w:r>
      <w:r w:rsidR="00A60C4D">
        <w:t>a health professional</w:t>
      </w:r>
      <w:r w:rsidR="00B0241E" w:rsidRPr="0062696E">
        <w:t xml:space="preserve"> </w:t>
      </w:r>
      <w:r w:rsidR="00A60C4D">
        <w:t>registered</w:t>
      </w:r>
      <w:r w:rsidR="00B0241E" w:rsidRPr="00F15D28">
        <w:t xml:space="preserve"> </w:t>
      </w:r>
      <w:r w:rsidR="00B0241E">
        <w:t>to practi</w:t>
      </w:r>
      <w:r w:rsidR="00A60C4D">
        <w:t>c</w:t>
      </w:r>
      <w:r w:rsidR="00B0241E">
        <w:t xml:space="preserve">e </w:t>
      </w:r>
      <w:r w:rsidR="00B0241E" w:rsidRPr="00F15D28">
        <w:t xml:space="preserve">as a </w:t>
      </w:r>
      <w:r w:rsidR="00B0241E">
        <w:t>midwife</w:t>
      </w:r>
      <w:r w:rsidR="00B0241E" w:rsidRPr="00F15D28">
        <w:t xml:space="preserve"> </w:t>
      </w:r>
      <w:r w:rsidR="00B0241E">
        <w:t xml:space="preserve">from </w:t>
      </w:r>
      <w:r w:rsidR="00B0241E" w:rsidRPr="00F15D28">
        <w:t>the</w:t>
      </w:r>
      <w:r w:rsidR="005D617E">
        <w:t xml:space="preserve"> </w:t>
      </w:r>
      <w:r w:rsidR="005D617E" w:rsidRPr="00B438EB">
        <w:rPr>
          <w:rFonts w:eastAsia="Calibri" w:cstheme="minorHAnsi"/>
        </w:rPr>
        <w:t>Nursing and Midwifery Board of Australia</w:t>
      </w:r>
      <w:r w:rsidR="00B0241E" w:rsidRPr="00F15D28">
        <w:t xml:space="preserve"> </w:t>
      </w:r>
      <w:r w:rsidR="005D617E">
        <w:t>(</w:t>
      </w:r>
      <w:r w:rsidR="00B0241E">
        <w:t>NMBA</w:t>
      </w:r>
      <w:r w:rsidR="005D617E">
        <w:t>)</w:t>
      </w:r>
      <w:r w:rsidR="00B0241E" w:rsidRPr="004267E0">
        <w:t xml:space="preserve">. Registration requirements and standards for practice for </w:t>
      </w:r>
      <w:r w:rsidR="00B0241E">
        <w:t>midwives</w:t>
      </w:r>
      <w:r w:rsidR="00B0241E" w:rsidRPr="004267E0">
        <w:t xml:space="preserve"> are on the </w:t>
      </w:r>
      <w:r w:rsidR="00554ACC">
        <w:t>website. Normal</w:t>
      </w:r>
      <w:r w:rsidR="00225083">
        <w:rPr>
          <w:b/>
          <w:i/>
        </w:rPr>
        <w:t xml:space="preserve"> opening</w:t>
      </w:r>
      <w:r w:rsidR="00225083" w:rsidRPr="00F15D28">
        <w:rPr>
          <w:b/>
          <w:i/>
        </w:rPr>
        <w:t xml:space="preserve"> hours </w:t>
      </w:r>
      <w:r w:rsidR="00225083">
        <w:t>are</w:t>
      </w:r>
      <w:r w:rsidR="00225083" w:rsidRPr="00034F2A">
        <w:t xml:space="preserve"> </w:t>
      </w:r>
      <w:r w:rsidR="00225083" w:rsidRPr="00F15D28">
        <w:t xml:space="preserve">the advertised opening hours of the general practice. </w:t>
      </w:r>
    </w:p>
    <w:p w14:paraId="15F6D22D" w14:textId="77777777" w:rsidR="00225083" w:rsidRPr="00F0410B" w:rsidRDefault="00225083" w:rsidP="00225083">
      <w:r>
        <w:rPr>
          <w:b/>
          <w:i/>
        </w:rPr>
        <w:t xml:space="preserve">Nurse </w:t>
      </w:r>
      <w:proofErr w:type="gramStart"/>
      <w:r w:rsidRPr="00F632EF">
        <w:t>is someone</w:t>
      </w:r>
      <w:r>
        <w:rPr>
          <w:b/>
          <w:i/>
        </w:rPr>
        <w:t xml:space="preserve"> </w:t>
      </w:r>
      <w:r w:rsidRPr="00F632EF">
        <w:t>who is</w:t>
      </w:r>
      <w:proofErr w:type="gramEnd"/>
      <w:r w:rsidRPr="00F632EF">
        <w:t xml:space="preserve"> a nurse practitioner, registered nurse or enrolled nurse that meets the minimum qualifications set out in the </w:t>
      </w:r>
      <w:hyperlink w:anchor="_7._Glossary_of" w:history="1">
        <w:r w:rsidRPr="00F632EF">
          <w:t>glossary</w:t>
        </w:r>
      </w:hyperlink>
      <w:r w:rsidRPr="00F632EF">
        <w:t xml:space="preserve"> for that type of nurse.</w:t>
      </w:r>
    </w:p>
    <w:p w14:paraId="38E9CE2E" w14:textId="1CEB61A2" w:rsidR="00225083" w:rsidRPr="008C2555" w:rsidRDefault="00225083" w:rsidP="00225083">
      <w:bookmarkStart w:id="372" w:name="_Hlk202277557"/>
      <w:r>
        <w:rPr>
          <w:b/>
          <w:i/>
        </w:rPr>
        <w:t>Nurse p</w:t>
      </w:r>
      <w:r w:rsidRPr="00F15D28">
        <w:rPr>
          <w:b/>
          <w:i/>
        </w:rPr>
        <w:t xml:space="preserve">ractitioner </w:t>
      </w:r>
      <w:proofErr w:type="gramStart"/>
      <w:r>
        <w:t>is</w:t>
      </w:r>
      <w:r w:rsidRPr="00F15D28">
        <w:t xml:space="preserve"> someone who </w:t>
      </w:r>
      <w:r w:rsidRPr="0062696E">
        <w:t>is</w:t>
      </w:r>
      <w:proofErr w:type="gramEnd"/>
      <w:r w:rsidRPr="0062696E">
        <w:t xml:space="preserve"> a registered nurse </w:t>
      </w:r>
      <w:r>
        <w:t xml:space="preserve">with </w:t>
      </w:r>
      <w:r w:rsidRPr="00F15D28">
        <w:t>endorse</w:t>
      </w:r>
      <w:r>
        <w:t>ment</w:t>
      </w:r>
      <w:r w:rsidRPr="00F15D28">
        <w:t xml:space="preserve"> </w:t>
      </w:r>
      <w:r>
        <w:t xml:space="preserve">to practise </w:t>
      </w:r>
      <w:r w:rsidRPr="00F15D28">
        <w:t xml:space="preserve">as a nurse practitioner </w:t>
      </w:r>
      <w:r>
        <w:t xml:space="preserve">from </w:t>
      </w:r>
      <w:r w:rsidRPr="00F15D28">
        <w:t xml:space="preserve">the </w:t>
      </w:r>
      <w:r>
        <w:t>NMBA</w:t>
      </w:r>
      <w:r w:rsidRPr="004267E0">
        <w:t xml:space="preserve">. Registration requirements and standards for practice for nurse practitioners are on the </w:t>
      </w:r>
      <w:hyperlink r:id="rId45" w:history="1">
        <w:r w:rsidRPr="000778EB">
          <w:rPr>
            <w:rStyle w:val="Hyperlink"/>
          </w:rPr>
          <w:t>NMBA website.</w:t>
        </w:r>
      </w:hyperlink>
    </w:p>
    <w:bookmarkEnd w:id="372"/>
    <w:p w14:paraId="7C979FA3" w14:textId="5F43BDB0" w:rsidR="00225083" w:rsidRDefault="00225083" w:rsidP="00225083">
      <w:r w:rsidRPr="004653FF">
        <w:rPr>
          <w:b/>
          <w:i/>
        </w:rPr>
        <w:t>Open practice</w:t>
      </w:r>
      <w:r w:rsidRPr="00344790">
        <w:t xml:space="preserve"> is when one or more registered medical practitioners provide face to face medical or health services to patients at the main location registered in the WIP – Practice Stream. Practices can apply in writing for an exemption if exceptional circumstances, such as natural disasters, cause the practice to close for </w:t>
      </w:r>
      <w:r w:rsidR="00AC5E37" w:rsidRPr="00344790">
        <w:t>a period</w:t>
      </w:r>
      <w:r w:rsidRPr="00344790">
        <w:t xml:space="preserve">. </w:t>
      </w:r>
    </w:p>
    <w:p w14:paraId="09320885" w14:textId="38868CDF" w:rsidR="00B83EFC" w:rsidRPr="002970A6" w:rsidRDefault="00B83EFC" w:rsidP="00225083">
      <w:r w:rsidRPr="002970A6">
        <w:rPr>
          <w:b/>
          <w:bCs/>
          <w:i/>
          <w:iCs/>
        </w:rPr>
        <w:t>Paramedic</w:t>
      </w:r>
      <w:r w:rsidR="00D5367D">
        <w:rPr>
          <w:b/>
          <w:bCs/>
          <w:i/>
          <w:iCs/>
        </w:rPr>
        <w:t xml:space="preserve"> </w:t>
      </w:r>
      <w:proofErr w:type="gramStart"/>
      <w:r w:rsidR="00D5367D" w:rsidRPr="002970A6">
        <w:t>is someone who</w:t>
      </w:r>
      <w:r w:rsidR="00406C7D" w:rsidRPr="00406C7D">
        <w:t xml:space="preserve"> </w:t>
      </w:r>
      <w:r w:rsidR="00406C7D" w:rsidRPr="002970A6">
        <w:t>is</w:t>
      </w:r>
      <w:proofErr w:type="gramEnd"/>
      <w:r w:rsidR="00406C7D" w:rsidRPr="002970A6">
        <w:t xml:space="preserve"> registered with the Paramedicine Board of Australia via </w:t>
      </w:r>
      <w:r w:rsidR="005D617E">
        <w:t>t</w:t>
      </w:r>
      <w:r w:rsidR="005D617E" w:rsidRPr="005D617E">
        <w:t xml:space="preserve">he Australian Health Practitioner Regulation Agency </w:t>
      </w:r>
      <w:r w:rsidR="005D617E">
        <w:t>(</w:t>
      </w:r>
      <w:proofErr w:type="spellStart"/>
      <w:r w:rsidR="00406C7D" w:rsidRPr="002970A6">
        <w:t>A</w:t>
      </w:r>
      <w:r w:rsidR="00F55783">
        <w:t>hpra</w:t>
      </w:r>
      <w:proofErr w:type="spellEnd"/>
      <w:r w:rsidR="005D617E">
        <w:t>)</w:t>
      </w:r>
      <w:r w:rsidR="00406C7D">
        <w:t xml:space="preserve">. </w:t>
      </w:r>
    </w:p>
    <w:p w14:paraId="5FD423C1" w14:textId="34E88DD2" w:rsidR="00225083" w:rsidRPr="008D62E9" w:rsidRDefault="00225083" w:rsidP="00225083">
      <w:r w:rsidRPr="002E4B67">
        <w:rPr>
          <w:b/>
          <w:i/>
        </w:rPr>
        <w:t>Payment Quarters</w:t>
      </w:r>
      <w:r w:rsidRPr="002E4B67">
        <w:rPr>
          <w:b/>
        </w:rPr>
        <w:t xml:space="preserve"> </w:t>
      </w:r>
      <w:r w:rsidRPr="003C239E">
        <w:t>under the WIP – Practice Stream</w:t>
      </w:r>
      <w:r w:rsidRPr="008D62E9">
        <w:t xml:space="preserve"> are the prescribed time periods below </w:t>
      </w:r>
      <w:r w:rsidRPr="002E4B67">
        <w:t xml:space="preserve">where hours worked by health professionals at the practice are measured </w:t>
      </w:r>
      <w:r w:rsidRPr="008D62E9">
        <w:t xml:space="preserve">for the calculation of WIP – Practice Stream quarterly payments. See Part </w:t>
      </w:r>
      <w:r w:rsidR="00C46C3A">
        <w:t>B</w:t>
      </w:r>
      <w:r w:rsidRPr="008D62E9">
        <w:t xml:space="preserve">, </w:t>
      </w:r>
      <w:hyperlink w:anchor="_3.2_Payment_quarters" w:history="1">
        <w:r w:rsidRPr="00C46C3A">
          <w:rPr>
            <w:rStyle w:val="Hyperlink"/>
          </w:rPr>
          <w:t xml:space="preserve">Section </w:t>
        </w:r>
        <w:r w:rsidR="00C46C3A" w:rsidRPr="00C46C3A">
          <w:rPr>
            <w:rStyle w:val="Hyperlink"/>
          </w:rPr>
          <w:t>3</w:t>
        </w:r>
        <w:r w:rsidRPr="00C46C3A">
          <w:rPr>
            <w:rStyle w:val="Hyperlink"/>
          </w:rPr>
          <w:t>.2</w:t>
        </w:r>
      </w:hyperlink>
      <w:r>
        <w:rPr>
          <w:color w:val="FF0000"/>
        </w:rPr>
        <w:t xml:space="preserve"> </w:t>
      </w:r>
      <w:r w:rsidRPr="008D62E9">
        <w:t xml:space="preserve">‘Payment quarters – important dates’ for more information. </w:t>
      </w:r>
    </w:p>
    <w:p w14:paraId="686C808C" w14:textId="77777777" w:rsidR="00225083" w:rsidRPr="008D62E9" w:rsidRDefault="00225083" w:rsidP="00225083">
      <w:r w:rsidRPr="008D62E9">
        <w:t>February Quarter – November, December, January</w:t>
      </w:r>
    </w:p>
    <w:p w14:paraId="258C681B" w14:textId="77777777" w:rsidR="00225083" w:rsidRPr="008D62E9" w:rsidRDefault="00225083" w:rsidP="00225083">
      <w:r w:rsidRPr="008D62E9">
        <w:t>May Quarter</w:t>
      </w:r>
      <w:r>
        <w:t xml:space="preserve"> </w:t>
      </w:r>
      <w:r w:rsidRPr="008D62E9">
        <w:t>– February, March, April</w:t>
      </w:r>
    </w:p>
    <w:p w14:paraId="1682A735" w14:textId="77777777" w:rsidR="00225083" w:rsidRPr="008D62E9" w:rsidRDefault="00225083" w:rsidP="00225083">
      <w:r w:rsidRPr="008D62E9">
        <w:t>August Quarter – May, June, July</w:t>
      </w:r>
    </w:p>
    <w:p w14:paraId="2D55561A" w14:textId="77777777" w:rsidR="00225083" w:rsidRPr="008D62E9" w:rsidRDefault="00225083" w:rsidP="00225083">
      <w:r w:rsidRPr="008D62E9">
        <w:t>November Quarter – August, September, October</w:t>
      </w:r>
    </w:p>
    <w:p w14:paraId="3DD4DF9D" w14:textId="1CC6BBE6" w:rsidR="00225083" w:rsidRPr="00F15D28" w:rsidRDefault="00225083" w:rsidP="00225083">
      <w:r w:rsidRPr="00F15D28">
        <w:rPr>
          <w:b/>
          <w:i/>
        </w:rPr>
        <w:lastRenderedPageBreak/>
        <w:t>PIP</w:t>
      </w:r>
      <w:r w:rsidRPr="00F15D28">
        <w:t xml:space="preserve"> </w:t>
      </w:r>
      <w:r w:rsidRPr="006912E5">
        <w:t>is</w:t>
      </w:r>
      <w:r w:rsidRPr="00F15D28">
        <w:t xml:space="preserve"> the Practice Incentives Program </w:t>
      </w:r>
      <w:r w:rsidRPr="008D62E9">
        <w:t xml:space="preserve">administered by </w:t>
      </w:r>
      <w:r w:rsidR="000A6D21">
        <w:t>Services Australia</w:t>
      </w:r>
      <w:r w:rsidRPr="008D62E9">
        <w:t xml:space="preserve"> on behalf of </w:t>
      </w:r>
      <w:r w:rsidR="00DC4B06">
        <w:t>t</w:t>
      </w:r>
      <w:r w:rsidR="000A6D21">
        <w:t xml:space="preserve">he Department of </w:t>
      </w:r>
      <w:r w:rsidRPr="008D62E9">
        <w:t>Health</w:t>
      </w:r>
      <w:r w:rsidR="00DE414B">
        <w:t>, Disability and Ageing.</w:t>
      </w:r>
    </w:p>
    <w:p w14:paraId="2A935E68" w14:textId="77777777" w:rsidR="00225083" w:rsidRDefault="00225083" w:rsidP="00225083">
      <w:r w:rsidRPr="00F15D28">
        <w:rPr>
          <w:b/>
          <w:i/>
        </w:rPr>
        <w:t>PIP consenting practice</w:t>
      </w:r>
      <w:r w:rsidRPr="00D93517">
        <w:rPr>
          <w:b/>
          <w:i/>
        </w:rPr>
        <w:t xml:space="preserve"> </w:t>
      </w:r>
      <w:r w:rsidRPr="00D93517">
        <w:t xml:space="preserve">is a practice participating in the PIP that has consented to PIP information being used for the purposes of the WIP – Practice Stream. </w:t>
      </w:r>
    </w:p>
    <w:p w14:paraId="7299837C" w14:textId="77777777" w:rsidR="00225083" w:rsidRPr="00F15D28" w:rsidRDefault="00225083" w:rsidP="00225083">
      <w:r w:rsidRPr="00F15D28">
        <w:rPr>
          <w:b/>
          <w:i/>
        </w:rPr>
        <w:t>Point</w:t>
      </w:r>
      <w:r>
        <w:rPr>
          <w:b/>
          <w:i/>
        </w:rPr>
        <w:t>-</w:t>
      </w:r>
      <w:r w:rsidRPr="00F15D28">
        <w:rPr>
          <w:b/>
          <w:i/>
        </w:rPr>
        <w:t>in</w:t>
      </w:r>
      <w:r>
        <w:rPr>
          <w:b/>
          <w:i/>
        </w:rPr>
        <w:t>-</w:t>
      </w:r>
      <w:r w:rsidRPr="00F15D28">
        <w:rPr>
          <w:b/>
          <w:i/>
        </w:rPr>
        <w:t xml:space="preserve">time </w:t>
      </w:r>
      <w:r w:rsidRPr="006912E5">
        <w:t xml:space="preserve">is </w:t>
      </w:r>
      <w:r w:rsidRPr="00034F2A">
        <w:t>the</w:t>
      </w:r>
      <w:r w:rsidRPr="00F15D28">
        <w:t xml:space="preserve"> last day o</w:t>
      </w:r>
      <w:r>
        <w:t xml:space="preserve">f the month before </w:t>
      </w:r>
      <w:r w:rsidRPr="00D93517">
        <w:t xml:space="preserve">the next WIP – Practice Stream payment </w:t>
      </w:r>
      <w:r w:rsidRPr="00F15D28">
        <w:t>quarter.</w:t>
      </w:r>
    </w:p>
    <w:p w14:paraId="065625BC" w14:textId="523724BB" w:rsidR="00225083" w:rsidRPr="006912E5" w:rsidRDefault="00225083" w:rsidP="00225083">
      <w:r w:rsidRPr="00F15D28">
        <w:rPr>
          <w:b/>
          <w:i/>
        </w:rPr>
        <w:t xml:space="preserve">Practice </w:t>
      </w:r>
      <w:r w:rsidRPr="006912E5">
        <w:t xml:space="preserve">is an approved medical practice participating in </w:t>
      </w:r>
      <w:r w:rsidRPr="00D93517">
        <w:t>the WIP</w:t>
      </w:r>
      <w:r>
        <w:t xml:space="preserve"> </w:t>
      </w:r>
      <w:r w:rsidRPr="0013737C">
        <w:t>–</w:t>
      </w:r>
      <w:r>
        <w:t xml:space="preserve"> </w:t>
      </w:r>
      <w:r w:rsidRPr="00D93517">
        <w:t>Practice Stream</w:t>
      </w:r>
      <w:r w:rsidR="00543C0F">
        <w:t>.</w:t>
      </w:r>
    </w:p>
    <w:p w14:paraId="31F2502D" w14:textId="77777777" w:rsidR="00225083" w:rsidRPr="00F15D28" w:rsidRDefault="00225083" w:rsidP="00225083">
      <w:r>
        <w:rPr>
          <w:b/>
          <w:i/>
        </w:rPr>
        <w:t>Practice b</w:t>
      </w:r>
      <w:r w:rsidRPr="00F15D28">
        <w:rPr>
          <w:b/>
          <w:i/>
        </w:rPr>
        <w:t xml:space="preserve">ranch </w:t>
      </w:r>
      <w:r w:rsidRPr="006912E5">
        <w:t>is</w:t>
      </w:r>
      <w:r w:rsidRPr="00F15D28">
        <w:t xml:space="preserve"> an additional practice location.</w:t>
      </w:r>
    </w:p>
    <w:p w14:paraId="37FA8EA3" w14:textId="77777777" w:rsidR="00225083" w:rsidRDefault="00225083" w:rsidP="00225083">
      <w:r w:rsidRPr="0013737C">
        <w:rPr>
          <w:b/>
          <w:i/>
        </w:rPr>
        <w:t xml:space="preserve">Practice location </w:t>
      </w:r>
      <w:r w:rsidRPr="0013737C">
        <w:t>is any location where a medical practitioner and/or eligible health professional has been providing services and billing the MBS.</w:t>
      </w:r>
    </w:p>
    <w:p w14:paraId="223ED736" w14:textId="775429A7" w:rsidR="00225083" w:rsidRPr="002E4B67" w:rsidRDefault="00225083" w:rsidP="00225083">
      <w:r w:rsidRPr="00F15D28">
        <w:rPr>
          <w:b/>
          <w:i/>
        </w:rPr>
        <w:t xml:space="preserve">Quarterly </w:t>
      </w:r>
      <w:r>
        <w:rPr>
          <w:b/>
          <w:i/>
        </w:rPr>
        <w:t>C</w:t>
      </w:r>
      <w:r w:rsidRPr="00F15D28">
        <w:rPr>
          <w:b/>
          <w:i/>
        </w:rPr>
        <w:t xml:space="preserve">onfirmation </w:t>
      </w:r>
      <w:r>
        <w:rPr>
          <w:b/>
          <w:i/>
        </w:rPr>
        <w:t>S</w:t>
      </w:r>
      <w:r w:rsidRPr="00F15D28">
        <w:rPr>
          <w:b/>
          <w:i/>
        </w:rPr>
        <w:t>tatement</w:t>
      </w:r>
      <w:r>
        <w:rPr>
          <w:b/>
          <w:i/>
        </w:rPr>
        <w:t xml:space="preserve"> (QCS)</w:t>
      </w:r>
      <w:r w:rsidRPr="003A3770">
        <w:t xml:space="preserve"> is a statement provided to all practices registered for the </w:t>
      </w:r>
      <w:r w:rsidRPr="0013737C">
        <w:t xml:space="preserve">WIP – </w:t>
      </w:r>
      <w:r w:rsidRPr="003A3770">
        <w:t xml:space="preserve">Practice Stream. The QCS confirms practices’ </w:t>
      </w:r>
      <w:r>
        <w:t xml:space="preserve">details and </w:t>
      </w:r>
      <w:r w:rsidRPr="003A3770">
        <w:t>activity for the calculation of a payment under the WIP</w:t>
      </w:r>
      <w:r>
        <w:t xml:space="preserve"> – </w:t>
      </w:r>
      <w:r w:rsidRPr="003A3770">
        <w:t xml:space="preserve">Practice Stream. To qualify for each quarterly payment, practices must confirm or change the details in the QCS and submit the QCS to </w:t>
      </w:r>
      <w:r w:rsidR="000A6D21">
        <w:t>Services Australia</w:t>
      </w:r>
      <w:r w:rsidRPr="002E4B67">
        <w:t xml:space="preserve">. </w:t>
      </w:r>
    </w:p>
    <w:p w14:paraId="5FD2FDD8" w14:textId="77777777" w:rsidR="00225083" w:rsidRDefault="00225083" w:rsidP="00225083">
      <w:r>
        <w:rPr>
          <w:b/>
          <w:i/>
        </w:rPr>
        <w:t>Registered n</w:t>
      </w:r>
      <w:r w:rsidRPr="00F15D28">
        <w:rPr>
          <w:b/>
          <w:i/>
        </w:rPr>
        <w:t>urse</w:t>
      </w:r>
      <w:r w:rsidRPr="00F15D28">
        <w:rPr>
          <w:b/>
        </w:rPr>
        <w:t xml:space="preserve"> </w:t>
      </w:r>
      <w:r w:rsidRPr="006912E5">
        <w:t>is</w:t>
      </w:r>
      <w:r w:rsidRPr="00E448A9">
        <w:t xml:space="preserve"> </w:t>
      </w:r>
      <w:r w:rsidRPr="00F15D28">
        <w:t>a person who is registered with the</w:t>
      </w:r>
      <w:r>
        <w:t xml:space="preserve"> NMBA </w:t>
      </w:r>
      <w:r w:rsidRPr="00F15D28">
        <w:t>and meets</w:t>
      </w:r>
      <w:r>
        <w:t xml:space="preserve"> the B</w:t>
      </w:r>
      <w:r w:rsidRPr="00F15D28">
        <w:t xml:space="preserve">oard’s registration standards </w:t>
      </w:r>
      <w:r>
        <w:t xml:space="preserve">to practise as a registered nurse </w:t>
      </w:r>
      <w:r w:rsidRPr="00F15D28">
        <w:t>in Australia</w:t>
      </w:r>
      <w:r w:rsidRPr="003A6E29">
        <w:t>. Registration requirements and professional standards for registered nurses are on the</w:t>
      </w:r>
      <w:r>
        <w:t xml:space="preserve"> </w:t>
      </w:r>
      <w:hyperlink r:id="rId46" w:history="1">
        <w:r w:rsidRPr="00560716">
          <w:rPr>
            <w:rStyle w:val="Hyperlink"/>
          </w:rPr>
          <w:t>NMBA website</w:t>
        </w:r>
      </w:hyperlink>
      <w:r w:rsidRPr="003A6E29">
        <w:t>.</w:t>
      </w:r>
    </w:p>
    <w:p w14:paraId="3C612F65" w14:textId="77777777" w:rsidR="00225083" w:rsidRDefault="00225083" w:rsidP="00225083">
      <w:pPr>
        <w:spacing w:before="240" w:after="100" w:afterAutospacing="1"/>
      </w:pPr>
      <w:r w:rsidRPr="004653FF">
        <w:rPr>
          <w:b/>
          <w:i/>
        </w:rPr>
        <w:t xml:space="preserve">Relocation </w:t>
      </w:r>
      <w:r>
        <w:t>means when the practice’s physical location has changed and is established as a place of business at the new premises.</w:t>
      </w:r>
    </w:p>
    <w:p w14:paraId="77640D0E" w14:textId="77777777" w:rsidR="00225083" w:rsidRDefault="00225083" w:rsidP="00225083">
      <w:pPr>
        <w:spacing w:before="240" w:after="100" w:afterAutospacing="1"/>
      </w:pPr>
      <w:r>
        <w:t>The following requirements must be met:</w:t>
      </w:r>
    </w:p>
    <w:p w14:paraId="5455CA58" w14:textId="7AC732FC" w:rsidR="00225083" w:rsidRPr="00B55212" w:rsidRDefault="00225083" w:rsidP="0043055A">
      <w:pPr>
        <w:pStyle w:val="ListBullet"/>
      </w:pPr>
      <w:r w:rsidRPr="00B55212">
        <w:t>Current accreditation is transferred to the new premises and accredit</w:t>
      </w:r>
      <w:r>
        <w:t>ation status is retained under t</w:t>
      </w:r>
      <w:r w:rsidRPr="00B55212">
        <w:t xml:space="preserve">he National General Practice Accreditation Scheme’s (The NGPA Scheme) </w:t>
      </w:r>
      <w:r>
        <w:t xml:space="preserve">advisory on </w:t>
      </w:r>
      <w:r w:rsidRPr="00B55212">
        <w:t>‘</w:t>
      </w:r>
      <w:hyperlink r:id="rId47" w:history="1">
        <w:r w:rsidR="00694D90" w:rsidRPr="006716B3">
          <w:rPr>
            <w:rStyle w:val="Hyperlink"/>
            <w:color w:val="2E74B5" w:themeColor="accent1" w:themeShade="BF"/>
          </w:rPr>
          <w:t>Assessment following relocation of physical premises by an accredited general practice</w:t>
        </w:r>
      </w:hyperlink>
      <w:r>
        <w:t>’</w:t>
      </w:r>
      <w:r w:rsidRPr="00B55212">
        <w:t xml:space="preserve">. More information is on the </w:t>
      </w:r>
      <w:hyperlink r:id="rId48" w:history="1">
        <w:r w:rsidRPr="006716B3">
          <w:rPr>
            <w:rStyle w:val="Hyperlink"/>
            <w:color w:val="2E74B5" w:themeColor="accent1" w:themeShade="BF"/>
            <w:lang w:val="en"/>
          </w:rPr>
          <w:t>Australian Commission on Safety and Quality in Health Care</w:t>
        </w:r>
      </w:hyperlink>
      <w:r w:rsidRPr="00B55212">
        <w:rPr>
          <w:lang w:val="en"/>
        </w:rPr>
        <w:t xml:space="preserve"> (ACSQHC) </w:t>
      </w:r>
      <w:r w:rsidRPr="00B55212">
        <w:t>website.</w:t>
      </w:r>
    </w:p>
    <w:p w14:paraId="7A408056" w14:textId="77777777" w:rsidR="00225083" w:rsidRPr="0004668D" w:rsidRDefault="00225083" w:rsidP="0043055A">
      <w:pPr>
        <w:pStyle w:val="ListBullet"/>
      </w:pPr>
      <w:r w:rsidRPr="0004668D">
        <w:t>All current practitioners must obtain a new provider number associated with the new premises</w:t>
      </w:r>
      <w:r>
        <w:t>; and</w:t>
      </w:r>
    </w:p>
    <w:p w14:paraId="17885270" w14:textId="77777777" w:rsidR="00225083" w:rsidRDefault="00225083" w:rsidP="0043055A">
      <w:pPr>
        <w:pStyle w:val="ListBullet"/>
      </w:pPr>
      <w:r w:rsidRPr="0004668D">
        <w:t>The old location is no longer operating as a medical practice</w:t>
      </w:r>
    </w:p>
    <w:p w14:paraId="63CF5B71" w14:textId="79923C47" w:rsidR="00225083" w:rsidRPr="0004668D" w:rsidRDefault="00225083" w:rsidP="00225083">
      <w:pPr>
        <w:spacing w:before="240"/>
      </w:pPr>
      <w:r>
        <w:t>Practices can relocate to any location regardless of distance, however if the practice wishes to transfer the historical SWPE value it must relocate within the same local area as the original location (</w:t>
      </w:r>
      <w:hyperlink w:anchor="_4.2.1_Practice_relocation" w:history="1">
        <w:r w:rsidR="00C46C3A" w:rsidRPr="00C46C3A">
          <w:rPr>
            <w:rStyle w:val="Hyperlink"/>
          </w:rPr>
          <w:t>Section 4</w:t>
        </w:r>
        <w:r w:rsidRPr="00C46C3A">
          <w:rPr>
            <w:rStyle w:val="Hyperlink"/>
          </w:rPr>
          <w:t>.2.1</w:t>
        </w:r>
      </w:hyperlink>
      <w:r w:rsidRPr="00C46C3A">
        <w:t xml:space="preserve"> </w:t>
      </w:r>
      <w:r w:rsidR="00C46C3A">
        <w:t>‘</w:t>
      </w:r>
      <w:r w:rsidRPr="00C46C3A">
        <w:t>Practice relocation - transferring a SWPE value</w:t>
      </w:r>
      <w:r w:rsidR="00C46C3A">
        <w:t>’</w:t>
      </w:r>
      <w:r>
        <w:t>).</w:t>
      </w:r>
    </w:p>
    <w:p w14:paraId="24F3E634" w14:textId="77777777" w:rsidR="00225083" w:rsidRDefault="00225083" w:rsidP="00225083">
      <w:pPr>
        <w:spacing w:before="240"/>
      </w:pPr>
      <w:r w:rsidRPr="00435354">
        <w:rPr>
          <w:b/>
          <w:i/>
        </w:rPr>
        <w:lastRenderedPageBreak/>
        <w:t xml:space="preserve">The Royal Australian College of General Practitioners (RACGP) </w:t>
      </w:r>
      <w:hyperlink r:id="rId49" w:history="1">
        <w:r w:rsidRPr="0018078F">
          <w:rPr>
            <w:rStyle w:val="Hyperlink"/>
            <w:b/>
            <w:i/>
          </w:rPr>
          <w:t>Standards for general practices</w:t>
        </w:r>
      </w:hyperlink>
      <w:r w:rsidRPr="00F15D28">
        <w:t xml:space="preserve"> are the standards against which general practices are assessed fo</w:t>
      </w:r>
      <w:r>
        <w:t xml:space="preserve">r accreditation by </w:t>
      </w:r>
      <w:r w:rsidRPr="00F54591">
        <w:t xml:space="preserve">an approved accrediting agency. </w:t>
      </w:r>
    </w:p>
    <w:p w14:paraId="3BD31ECD" w14:textId="0496E081" w:rsidR="00225083" w:rsidRDefault="00225083" w:rsidP="00225083">
      <w:pPr>
        <w:spacing w:before="240"/>
      </w:pPr>
      <w:r w:rsidRPr="00F15D28">
        <w:rPr>
          <w:b/>
          <w:i/>
        </w:rPr>
        <w:t>Standard</w:t>
      </w:r>
      <w:r>
        <w:rPr>
          <w:b/>
          <w:i/>
        </w:rPr>
        <w:t>ised</w:t>
      </w:r>
      <w:r w:rsidRPr="00F15D28">
        <w:rPr>
          <w:b/>
          <w:i/>
        </w:rPr>
        <w:t xml:space="preserve"> Whole Patient Equivalent (SWPE)</w:t>
      </w:r>
      <w:r w:rsidR="000A6D21">
        <w:rPr>
          <w:b/>
          <w:i/>
        </w:rPr>
        <w:t xml:space="preserve"> value</w:t>
      </w:r>
      <w:r w:rsidRPr="00F15D28">
        <w:rPr>
          <w:i/>
        </w:rPr>
        <w:t xml:space="preserve"> </w:t>
      </w:r>
      <w:r w:rsidRPr="00F15D28">
        <w:t xml:space="preserve">is </w:t>
      </w:r>
      <w:r>
        <w:t xml:space="preserve">used in the calculation of the </w:t>
      </w:r>
      <w:r w:rsidRPr="0021413B">
        <w:t xml:space="preserve">WIP – Practice Stream </w:t>
      </w:r>
      <w:r w:rsidRPr="00F15D28">
        <w:t xml:space="preserve">payment amounts. It is the sum of the fractions of care a practice provides to each of its patients weighted for the age and gender of each patient. As a guide, the average full time </w:t>
      </w:r>
      <w:r>
        <w:t>g</w:t>
      </w:r>
      <w:r w:rsidRPr="00F15D28">
        <w:t xml:space="preserve">eneral </w:t>
      </w:r>
      <w:r>
        <w:t>p</w:t>
      </w:r>
      <w:r w:rsidRPr="00F15D28">
        <w:t>ractitioner has a SWPE value of around 1</w:t>
      </w:r>
      <w:r>
        <w:t>,</w:t>
      </w:r>
      <w:r w:rsidRPr="00F15D28">
        <w:t>000 annually.</w:t>
      </w:r>
    </w:p>
    <w:p w14:paraId="428F105D" w14:textId="048FB74F" w:rsidR="006C6688" w:rsidRPr="005119A7" w:rsidRDefault="00225083" w:rsidP="00B438EB">
      <w:pPr>
        <w:spacing w:before="240"/>
      </w:pPr>
      <w:r w:rsidRPr="004267E0">
        <w:rPr>
          <w:b/>
          <w:i/>
        </w:rPr>
        <w:t>Unique Identifier</w:t>
      </w:r>
      <w:r w:rsidRPr="004267E0">
        <w:t xml:space="preserve"> </w:t>
      </w:r>
      <w:r w:rsidR="00B7141F">
        <w:t>is</w:t>
      </w:r>
      <w:r>
        <w:t xml:space="preserve"> the </w:t>
      </w:r>
      <w:hyperlink r:id="rId50" w:history="1">
        <w:r w:rsidRPr="004267E0">
          <w:rPr>
            <w:rStyle w:val="Hyperlink"/>
            <w:rFonts w:cstheme="minorHAnsi"/>
            <w:color w:val="auto"/>
            <w:u w:val="none"/>
          </w:rPr>
          <w:t>Australian Health Practitioner Regulation Agency</w:t>
        </w:r>
      </w:hyperlink>
      <w:r w:rsidRPr="004267E0">
        <w:t xml:space="preserve"> (</w:t>
      </w:r>
      <w:proofErr w:type="spellStart"/>
      <w:r w:rsidR="005859CC" w:rsidRPr="004267E0">
        <w:t>A</w:t>
      </w:r>
      <w:r w:rsidR="005859CC">
        <w:t>hpra</w:t>
      </w:r>
      <w:proofErr w:type="spellEnd"/>
      <w:r w:rsidRPr="004267E0">
        <w:t>) ID</w:t>
      </w:r>
      <w:r>
        <w:t xml:space="preserve"> </w:t>
      </w:r>
      <w:r w:rsidRPr="004267E0">
        <w:t>for</w:t>
      </w:r>
      <w:r w:rsidRPr="004267E0">
        <w:rPr>
          <w:b/>
        </w:rPr>
        <w:t xml:space="preserve"> </w:t>
      </w:r>
      <w:r w:rsidRPr="004267E0">
        <w:t xml:space="preserve">eligible health professionals required to be registered </w:t>
      </w:r>
      <w:r>
        <w:t xml:space="preserve">under </w:t>
      </w:r>
      <w:proofErr w:type="spellStart"/>
      <w:r>
        <w:t>A</w:t>
      </w:r>
      <w:r w:rsidR="005859CC">
        <w:t>hpra</w:t>
      </w:r>
      <w:proofErr w:type="spellEnd"/>
      <w:r>
        <w:t xml:space="preserve"> </w:t>
      </w:r>
      <w:r w:rsidRPr="004267E0">
        <w:t xml:space="preserve">– these are available on the </w:t>
      </w:r>
      <w:hyperlink r:id="rId51" w:history="1">
        <w:proofErr w:type="spellStart"/>
        <w:r w:rsidRPr="00BB1BD6">
          <w:rPr>
            <w:rStyle w:val="Hyperlink"/>
            <w:rFonts w:cstheme="minorHAnsi"/>
          </w:rPr>
          <w:t>A</w:t>
        </w:r>
        <w:r w:rsidR="005859CC">
          <w:rPr>
            <w:rStyle w:val="Hyperlink"/>
            <w:rFonts w:cstheme="minorHAnsi"/>
          </w:rPr>
          <w:t>hpra</w:t>
        </w:r>
        <w:proofErr w:type="spellEnd"/>
        <w:r w:rsidRPr="00BB1BD6">
          <w:rPr>
            <w:rStyle w:val="Hyperlink"/>
            <w:rFonts w:cstheme="minorHAnsi"/>
          </w:rPr>
          <w:t xml:space="preserve"> website</w:t>
        </w:r>
      </w:hyperlink>
      <w:r>
        <w:t>.</w:t>
      </w:r>
      <w:r w:rsidRPr="004267E0">
        <w:t xml:space="preserve"> </w:t>
      </w:r>
      <w:r>
        <w:t>If</w:t>
      </w:r>
      <w:r w:rsidRPr="004267E0">
        <w:t xml:space="preserve"> eligible health professionals are not required to be registered </w:t>
      </w:r>
      <w:r>
        <w:t xml:space="preserve">under </w:t>
      </w:r>
      <w:proofErr w:type="spellStart"/>
      <w:r>
        <w:t>A</w:t>
      </w:r>
      <w:r w:rsidR="00F55783">
        <w:t>hpra</w:t>
      </w:r>
      <w:proofErr w:type="spellEnd"/>
      <w:r>
        <w:t xml:space="preserve"> </w:t>
      </w:r>
      <w:r w:rsidRPr="004267E0">
        <w:t xml:space="preserve">the </w:t>
      </w:r>
      <w:r w:rsidRPr="005A3144">
        <w:rPr>
          <w:rFonts w:cstheme="minorHAnsi"/>
        </w:rPr>
        <w:t>Healthcare Provider Identifier – Individual</w:t>
      </w:r>
      <w:r w:rsidRPr="000A05AB">
        <w:t xml:space="preserve"> </w:t>
      </w:r>
      <w:r w:rsidRPr="004267E0">
        <w:t>(HPI-I),</w:t>
      </w:r>
      <w:r>
        <w:t xml:space="preserve"> may be used,</w:t>
      </w:r>
      <w:r w:rsidRPr="004267E0">
        <w:t xml:space="preserve"> where available. </w:t>
      </w:r>
    </w:p>
    <w:sectPr w:rsidR="006C6688" w:rsidRPr="005119A7" w:rsidSect="00547B5D">
      <w:footerReference w:type="default" r:id="rId5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DB91" w14:textId="77777777" w:rsidR="00922629" w:rsidRDefault="00922629" w:rsidP="002F14A8">
      <w:r>
        <w:separator/>
      </w:r>
    </w:p>
  </w:endnote>
  <w:endnote w:type="continuationSeparator" w:id="0">
    <w:p w14:paraId="049F9640" w14:textId="77777777" w:rsidR="00922629" w:rsidRDefault="00922629" w:rsidP="002F14A8">
      <w:r>
        <w:continuationSeparator/>
      </w:r>
    </w:p>
  </w:endnote>
  <w:endnote w:type="continuationNotice" w:id="1">
    <w:p w14:paraId="1C14F298" w14:textId="77777777" w:rsidR="00922629" w:rsidRDefault="0092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Neue-Light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155992"/>
      <w:docPartObj>
        <w:docPartGallery w:val="Page Numbers (Bottom of Page)"/>
        <w:docPartUnique/>
      </w:docPartObj>
    </w:sdtPr>
    <w:sdtEndPr>
      <w:rPr>
        <w:noProof/>
      </w:rPr>
    </w:sdtEndPr>
    <w:sdtContent>
      <w:p w14:paraId="580781E8" w14:textId="390002E6" w:rsidR="003F1EA8" w:rsidRDefault="003F1EA8">
        <w:pPr>
          <w:pStyle w:val="Footer"/>
        </w:pPr>
        <w:r>
          <w:fldChar w:fldCharType="begin"/>
        </w:r>
        <w:r>
          <w:instrText xml:space="preserve"> PAGE   \* MERGEFORMAT </w:instrText>
        </w:r>
        <w:r>
          <w:fldChar w:fldCharType="separate"/>
        </w:r>
        <w:r w:rsidR="00722B08">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DF6F" w14:textId="6888FF7F" w:rsidR="003F1EA8" w:rsidRPr="00FD5DCE" w:rsidRDefault="00811DAC" w:rsidP="00FD5DCE">
    <w:pPr>
      <w:pStyle w:val="Footer"/>
      <w:rPr>
        <w:sz w:val="22"/>
      </w:rPr>
    </w:pPr>
    <w:r>
      <w:rPr>
        <w:sz w:val="22"/>
      </w:rPr>
      <w:t>Updated</w:t>
    </w:r>
    <w:r w:rsidR="003F1EA8" w:rsidRPr="00130A86">
      <w:rPr>
        <w:sz w:val="22"/>
      </w:rPr>
      <w:t xml:space="preserve"> </w:t>
    </w:r>
    <w:r w:rsidR="00E5436C">
      <w:rPr>
        <w:sz w:val="22"/>
      </w:rPr>
      <w:t xml:space="preserve">1 </w:t>
    </w:r>
    <w:r w:rsidR="00634148">
      <w:rPr>
        <w:sz w:val="22"/>
      </w:rPr>
      <w:t xml:space="preserve">July </w:t>
    </w:r>
    <w:r w:rsidR="00E5436C">
      <w:rPr>
        <w:sz w:val="22"/>
      </w:rPr>
      <w:t>202</w:t>
    </w:r>
    <w:r w:rsidR="00235CD1">
      <w:rPr>
        <w:sz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6574"/>
      <w:docPartObj>
        <w:docPartGallery w:val="Page Numbers (Bottom of Page)"/>
        <w:docPartUnique/>
      </w:docPartObj>
    </w:sdtPr>
    <w:sdtEndPr>
      <w:rPr>
        <w:noProof/>
      </w:rPr>
    </w:sdtEndPr>
    <w:sdtContent>
      <w:p w14:paraId="7E9755A1" w14:textId="468260CB" w:rsidR="003F1EA8" w:rsidRDefault="003F1EA8" w:rsidP="0091176B">
        <w:pPr>
          <w:pStyle w:val="Footer"/>
        </w:pPr>
        <w:r>
          <w:fldChar w:fldCharType="begin"/>
        </w:r>
        <w:r>
          <w:instrText xml:space="preserve"> PAGE   \* MERGEFORMAT </w:instrText>
        </w:r>
        <w:r>
          <w:fldChar w:fldCharType="separate"/>
        </w:r>
        <w:r w:rsidR="00722B08">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9E54E" w14:textId="77777777" w:rsidR="00922629" w:rsidRDefault="00922629" w:rsidP="002F14A8">
      <w:r>
        <w:separator/>
      </w:r>
    </w:p>
  </w:footnote>
  <w:footnote w:type="continuationSeparator" w:id="0">
    <w:p w14:paraId="21E6D502" w14:textId="77777777" w:rsidR="00922629" w:rsidRDefault="00922629" w:rsidP="002F14A8">
      <w:r>
        <w:continuationSeparator/>
      </w:r>
    </w:p>
  </w:footnote>
  <w:footnote w:type="continuationNotice" w:id="1">
    <w:p w14:paraId="52BBC902" w14:textId="77777777" w:rsidR="00922629" w:rsidRDefault="00922629">
      <w:pPr>
        <w:spacing w:after="0" w:line="240" w:lineRule="auto"/>
      </w:pPr>
    </w:p>
  </w:footnote>
  <w:footnote w:id="2">
    <w:p w14:paraId="717931FE" w14:textId="049F91C3" w:rsidR="00B30561" w:rsidRDefault="00B30561" w:rsidP="00B30561">
      <w:pPr>
        <w:pStyle w:val="FootnoteText"/>
      </w:pPr>
      <w:r>
        <w:rPr>
          <w:rStyle w:val="FootnoteReference"/>
        </w:rPr>
        <w:footnoteRef/>
      </w:r>
      <w:r>
        <w:t xml:space="preserve"> </w:t>
      </w:r>
      <w:r w:rsidR="008C2AA6">
        <w:t xml:space="preserve">Includes registered nurses </w:t>
      </w:r>
      <w:r w:rsidR="00FA1569">
        <w:t>training to be nurse practitioners.</w:t>
      </w:r>
    </w:p>
  </w:footnote>
  <w:footnote w:id="3">
    <w:p w14:paraId="0B84CB4F" w14:textId="2977B64B" w:rsidR="003F1EA8" w:rsidRDefault="003F1EA8" w:rsidP="00C71821">
      <w:pPr>
        <w:pStyle w:val="FootnoteText"/>
      </w:pPr>
      <w:r>
        <w:rPr>
          <w:rStyle w:val="FootnoteReference"/>
        </w:rPr>
        <w:footnoteRef/>
      </w:r>
      <w:r>
        <w:t xml:space="preserve"> Additional requirements apply to the engagement of enrolled nurses see </w:t>
      </w:r>
      <w:hyperlink w:anchor="_1.1.1_Enrolled_nurses" w:history="1">
        <w:r w:rsidRPr="00CB497A">
          <w:rPr>
            <w:rStyle w:val="Hyperlink"/>
          </w:rPr>
          <w:t>Section 1.1.1</w:t>
        </w:r>
      </w:hyperlink>
      <w:r>
        <w:t xml:space="preserve"> ‘Enrolled nurses – additional requirements’.</w:t>
      </w:r>
    </w:p>
  </w:footnote>
  <w:footnote w:id="4">
    <w:p w14:paraId="00784E93" w14:textId="10E6C91B" w:rsidR="003F1EA8" w:rsidRDefault="003F1EA8" w:rsidP="00C71821">
      <w:pPr>
        <w:pStyle w:val="FootnoteText"/>
      </w:pPr>
      <w:r>
        <w:rPr>
          <w:rStyle w:val="FootnoteReference"/>
        </w:rPr>
        <w:footnoteRef/>
      </w:r>
      <w:r>
        <w:t xml:space="preserve"> Additional conditions apply to the engagement of a pharmacist see </w:t>
      </w:r>
      <w:hyperlink w:anchor="_1.1.2_Pharmacists_-" w:history="1">
        <w:r w:rsidRPr="00CB497A">
          <w:rPr>
            <w:rStyle w:val="Hyperlink"/>
          </w:rPr>
          <w:t>Section 1.1.2</w:t>
        </w:r>
      </w:hyperlink>
      <w:r>
        <w:t xml:space="preserve"> ‘Pharmacists – additional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CCC7E1E"/>
    <w:lvl w:ilvl="0">
      <w:start w:val="1"/>
      <w:numFmt w:val="bullet"/>
      <w:pStyle w:val="ListBullet2"/>
      <w:lvlText w:val="-"/>
      <w:lvlJc w:val="left"/>
      <w:pPr>
        <w:ind w:left="643" w:hanging="360"/>
      </w:pPr>
      <w:rPr>
        <w:rFonts w:ascii="Courier New" w:hAnsi="Courier New" w:hint="default"/>
        <w:u w:color="FFC000" w:themeColor="accent4"/>
      </w:rPr>
    </w:lvl>
  </w:abstractNum>
  <w:abstractNum w:abstractNumId="1" w15:restartNumberingAfterBreak="0">
    <w:nsid w:val="FFFFFF89"/>
    <w:multiLevelType w:val="singleLevel"/>
    <w:tmpl w:val="D20C9A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AB3330"/>
    <w:multiLevelType w:val="hybridMultilevel"/>
    <w:tmpl w:val="EBA0F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192CFC"/>
    <w:multiLevelType w:val="hybridMultilevel"/>
    <w:tmpl w:val="0114A91E"/>
    <w:lvl w:ilvl="0" w:tplc="7A8CBA02">
      <w:start w:val="1"/>
      <w:numFmt w:val="bullet"/>
      <w:lvlText w:val=""/>
      <w:lvlJc w:val="left"/>
      <w:pPr>
        <w:ind w:left="1480" w:hanging="360"/>
      </w:pPr>
      <w:rPr>
        <w:rFonts w:ascii="Symbol" w:hAnsi="Symbol"/>
      </w:rPr>
    </w:lvl>
    <w:lvl w:ilvl="1" w:tplc="66DA0E58">
      <w:start w:val="1"/>
      <w:numFmt w:val="bullet"/>
      <w:lvlText w:val=""/>
      <w:lvlJc w:val="left"/>
      <w:pPr>
        <w:ind w:left="1480" w:hanging="360"/>
      </w:pPr>
      <w:rPr>
        <w:rFonts w:ascii="Symbol" w:hAnsi="Symbol"/>
      </w:rPr>
    </w:lvl>
    <w:lvl w:ilvl="2" w:tplc="9434FBCE">
      <w:start w:val="1"/>
      <w:numFmt w:val="bullet"/>
      <w:lvlText w:val=""/>
      <w:lvlJc w:val="left"/>
      <w:pPr>
        <w:ind w:left="1480" w:hanging="360"/>
      </w:pPr>
      <w:rPr>
        <w:rFonts w:ascii="Symbol" w:hAnsi="Symbol"/>
      </w:rPr>
    </w:lvl>
    <w:lvl w:ilvl="3" w:tplc="9C8E9F88">
      <w:start w:val="1"/>
      <w:numFmt w:val="bullet"/>
      <w:lvlText w:val=""/>
      <w:lvlJc w:val="left"/>
      <w:pPr>
        <w:ind w:left="1480" w:hanging="360"/>
      </w:pPr>
      <w:rPr>
        <w:rFonts w:ascii="Symbol" w:hAnsi="Symbol"/>
      </w:rPr>
    </w:lvl>
    <w:lvl w:ilvl="4" w:tplc="B0A05AB2">
      <w:start w:val="1"/>
      <w:numFmt w:val="bullet"/>
      <w:lvlText w:val=""/>
      <w:lvlJc w:val="left"/>
      <w:pPr>
        <w:ind w:left="1480" w:hanging="360"/>
      </w:pPr>
      <w:rPr>
        <w:rFonts w:ascii="Symbol" w:hAnsi="Symbol"/>
      </w:rPr>
    </w:lvl>
    <w:lvl w:ilvl="5" w:tplc="F6A84C1E">
      <w:start w:val="1"/>
      <w:numFmt w:val="bullet"/>
      <w:lvlText w:val=""/>
      <w:lvlJc w:val="left"/>
      <w:pPr>
        <w:ind w:left="1480" w:hanging="360"/>
      </w:pPr>
      <w:rPr>
        <w:rFonts w:ascii="Symbol" w:hAnsi="Symbol"/>
      </w:rPr>
    </w:lvl>
    <w:lvl w:ilvl="6" w:tplc="A874D51A">
      <w:start w:val="1"/>
      <w:numFmt w:val="bullet"/>
      <w:lvlText w:val=""/>
      <w:lvlJc w:val="left"/>
      <w:pPr>
        <w:ind w:left="1480" w:hanging="360"/>
      </w:pPr>
      <w:rPr>
        <w:rFonts w:ascii="Symbol" w:hAnsi="Symbol"/>
      </w:rPr>
    </w:lvl>
    <w:lvl w:ilvl="7" w:tplc="F9C0D76A">
      <w:start w:val="1"/>
      <w:numFmt w:val="bullet"/>
      <w:lvlText w:val=""/>
      <w:lvlJc w:val="left"/>
      <w:pPr>
        <w:ind w:left="1480" w:hanging="360"/>
      </w:pPr>
      <w:rPr>
        <w:rFonts w:ascii="Symbol" w:hAnsi="Symbol"/>
      </w:rPr>
    </w:lvl>
    <w:lvl w:ilvl="8" w:tplc="93DCDE5E">
      <w:start w:val="1"/>
      <w:numFmt w:val="bullet"/>
      <w:lvlText w:val=""/>
      <w:lvlJc w:val="left"/>
      <w:pPr>
        <w:ind w:left="1480" w:hanging="360"/>
      </w:pPr>
      <w:rPr>
        <w:rFonts w:ascii="Symbol" w:hAnsi="Symbol"/>
      </w:rPr>
    </w:lvl>
  </w:abstractNum>
  <w:abstractNum w:abstractNumId="4"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860ADC"/>
    <w:multiLevelType w:val="multilevel"/>
    <w:tmpl w:val="5C44FB7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E464D05"/>
    <w:multiLevelType w:val="hybridMultilevel"/>
    <w:tmpl w:val="E4FE62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12A07A8"/>
    <w:multiLevelType w:val="multilevel"/>
    <w:tmpl w:val="47BC4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9214C1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7655727">
    <w:abstractNumId w:val="6"/>
  </w:num>
  <w:num w:numId="2" w16cid:durableId="1321931636">
    <w:abstractNumId w:val="4"/>
  </w:num>
  <w:num w:numId="3" w16cid:durableId="685718102">
    <w:abstractNumId w:val="1"/>
  </w:num>
  <w:num w:numId="4" w16cid:durableId="444428565">
    <w:abstractNumId w:val="0"/>
  </w:num>
  <w:num w:numId="5" w16cid:durableId="663044715">
    <w:abstractNumId w:val="5"/>
  </w:num>
  <w:num w:numId="6" w16cid:durableId="111900379">
    <w:abstractNumId w:val="5"/>
    <w:lvlOverride w:ilvl="0">
      <w:startOverride w:val="1"/>
    </w:lvlOverride>
  </w:num>
  <w:num w:numId="7" w16cid:durableId="39594919">
    <w:abstractNumId w:val="7"/>
  </w:num>
  <w:num w:numId="8" w16cid:durableId="1811048637">
    <w:abstractNumId w:val="8"/>
  </w:num>
  <w:num w:numId="9" w16cid:durableId="657463775">
    <w:abstractNumId w:val="3"/>
  </w:num>
  <w:num w:numId="10" w16cid:durableId="2009480148">
    <w:abstractNumId w:val="2"/>
  </w:num>
  <w:num w:numId="11" w16cid:durableId="2127390134">
    <w:abstractNumId w:val="5"/>
  </w:num>
  <w:num w:numId="12" w16cid:durableId="1834222838">
    <w:abstractNumId w:val="5"/>
  </w:num>
  <w:num w:numId="13" w16cid:durableId="12056759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2810"/>
    <w:rsid w:val="00003135"/>
    <w:rsid w:val="000039A6"/>
    <w:rsid w:val="00004274"/>
    <w:rsid w:val="000049D4"/>
    <w:rsid w:val="00004AA8"/>
    <w:rsid w:val="0000555E"/>
    <w:rsid w:val="00005937"/>
    <w:rsid w:val="00010F4C"/>
    <w:rsid w:val="00011C4E"/>
    <w:rsid w:val="0001205D"/>
    <w:rsid w:val="000120DC"/>
    <w:rsid w:val="00012484"/>
    <w:rsid w:val="0001293F"/>
    <w:rsid w:val="00012BEB"/>
    <w:rsid w:val="000131A0"/>
    <w:rsid w:val="00014F1D"/>
    <w:rsid w:val="0001538B"/>
    <w:rsid w:val="00015441"/>
    <w:rsid w:val="00015531"/>
    <w:rsid w:val="000161F4"/>
    <w:rsid w:val="00016B03"/>
    <w:rsid w:val="00017AF1"/>
    <w:rsid w:val="00017C56"/>
    <w:rsid w:val="00017C9F"/>
    <w:rsid w:val="000203BB"/>
    <w:rsid w:val="00020861"/>
    <w:rsid w:val="00020CE8"/>
    <w:rsid w:val="0002284B"/>
    <w:rsid w:val="00024807"/>
    <w:rsid w:val="00024F73"/>
    <w:rsid w:val="0002579E"/>
    <w:rsid w:val="00026242"/>
    <w:rsid w:val="00027B15"/>
    <w:rsid w:val="00027D3C"/>
    <w:rsid w:val="000302C4"/>
    <w:rsid w:val="000306C3"/>
    <w:rsid w:val="0003104D"/>
    <w:rsid w:val="00031250"/>
    <w:rsid w:val="000322C4"/>
    <w:rsid w:val="000330D5"/>
    <w:rsid w:val="00033958"/>
    <w:rsid w:val="00035283"/>
    <w:rsid w:val="000358F3"/>
    <w:rsid w:val="00035F05"/>
    <w:rsid w:val="00036C90"/>
    <w:rsid w:val="00036CD6"/>
    <w:rsid w:val="000371AF"/>
    <w:rsid w:val="000400F3"/>
    <w:rsid w:val="0004093A"/>
    <w:rsid w:val="000410B5"/>
    <w:rsid w:val="00041BAA"/>
    <w:rsid w:val="0004310E"/>
    <w:rsid w:val="00043761"/>
    <w:rsid w:val="00043D6D"/>
    <w:rsid w:val="000453FD"/>
    <w:rsid w:val="000457E2"/>
    <w:rsid w:val="0004687A"/>
    <w:rsid w:val="00054AFE"/>
    <w:rsid w:val="00054C13"/>
    <w:rsid w:val="00054CFB"/>
    <w:rsid w:val="00056A0A"/>
    <w:rsid w:val="00060323"/>
    <w:rsid w:val="00061D83"/>
    <w:rsid w:val="00061FF2"/>
    <w:rsid w:val="00062A19"/>
    <w:rsid w:val="00063B32"/>
    <w:rsid w:val="00063F60"/>
    <w:rsid w:val="00064252"/>
    <w:rsid w:val="00064473"/>
    <w:rsid w:val="000646DE"/>
    <w:rsid w:val="00064C53"/>
    <w:rsid w:val="00064FF8"/>
    <w:rsid w:val="0006542E"/>
    <w:rsid w:val="00065976"/>
    <w:rsid w:val="000660A0"/>
    <w:rsid w:val="00066391"/>
    <w:rsid w:val="00066959"/>
    <w:rsid w:val="00066BF9"/>
    <w:rsid w:val="00067111"/>
    <w:rsid w:val="0006713A"/>
    <w:rsid w:val="00067379"/>
    <w:rsid w:val="00067EBF"/>
    <w:rsid w:val="00070D0D"/>
    <w:rsid w:val="000715DF"/>
    <w:rsid w:val="0007243B"/>
    <w:rsid w:val="0007299B"/>
    <w:rsid w:val="0007497A"/>
    <w:rsid w:val="000763AF"/>
    <w:rsid w:val="000778EB"/>
    <w:rsid w:val="00080C84"/>
    <w:rsid w:val="00080D41"/>
    <w:rsid w:val="0008144E"/>
    <w:rsid w:val="0008171C"/>
    <w:rsid w:val="0008187D"/>
    <w:rsid w:val="00083756"/>
    <w:rsid w:val="00084E5B"/>
    <w:rsid w:val="00085703"/>
    <w:rsid w:val="00085B76"/>
    <w:rsid w:val="000861B8"/>
    <w:rsid w:val="00090D26"/>
    <w:rsid w:val="00091C17"/>
    <w:rsid w:val="00092BA3"/>
    <w:rsid w:val="000934C8"/>
    <w:rsid w:val="0009454C"/>
    <w:rsid w:val="0009475F"/>
    <w:rsid w:val="000971FA"/>
    <w:rsid w:val="00097212"/>
    <w:rsid w:val="000A01EE"/>
    <w:rsid w:val="000A05AB"/>
    <w:rsid w:val="000A11C3"/>
    <w:rsid w:val="000A152A"/>
    <w:rsid w:val="000A212C"/>
    <w:rsid w:val="000A3113"/>
    <w:rsid w:val="000A4321"/>
    <w:rsid w:val="000A58F4"/>
    <w:rsid w:val="000A6604"/>
    <w:rsid w:val="000A6D21"/>
    <w:rsid w:val="000A728A"/>
    <w:rsid w:val="000A78D7"/>
    <w:rsid w:val="000B01FD"/>
    <w:rsid w:val="000B0967"/>
    <w:rsid w:val="000B1015"/>
    <w:rsid w:val="000B192C"/>
    <w:rsid w:val="000B1E8C"/>
    <w:rsid w:val="000B5532"/>
    <w:rsid w:val="000B69F9"/>
    <w:rsid w:val="000B6BEE"/>
    <w:rsid w:val="000B7A57"/>
    <w:rsid w:val="000C0310"/>
    <w:rsid w:val="000C0852"/>
    <w:rsid w:val="000C1BD6"/>
    <w:rsid w:val="000C333E"/>
    <w:rsid w:val="000C5A8D"/>
    <w:rsid w:val="000C6DF0"/>
    <w:rsid w:val="000C6FC3"/>
    <w:rsid w:val="000C73BF"/>
    <w:rsid w:val="000C7CA3"/>
    <w:rsid w:val="000D0740"/>
    <w:rsid w:val="000D0AB2"/>
    <w:rsid w:val="000D1465"/>
    <w:rsid w:val="000D3C6F"/>
    <w:rsid w:val="000D40C3"/>
    <w:rsid w:val="000D4859"/>
    <w:rsid w:val="000D48BA"/>
    <w:rsid w:val="000D4918"/>
    <w:rsid w:val="000D50A8"/>
    <w:rsid w:val="000D63BD"/>
    <w:rsid w:val="000D6925"/>
    <w:rsid w:val="000D78D8"/>
    <w:rsid w:val="000D7C42"/>
    <w:rsid w:val="000E1254"/>
    <w:rsid w:val="000E14BF"/>
    <w:rsid w:val="000E2A09"/>
    <w:rsid w:val="000E3C13"/>
    <w:rsid w:val="000E410B"/>
    <w:rsid w:val="000E4442"/>
    <w:rsid w:val="000E4BD8"/>
    <w:rsid w:val="000E5F23"/>
    <w:rsid w:val="000E664D"/>
    <w:rsid w:val="000E6879"/>
    <w:rsid w:val="000F0F77"/>
    <w:rsid w:val="000F1822"/>
    <w:rsid w:val="000F1B37"/>
    <w:rsid w:val="000F1DC6"/>
    <w:rsid w:val="000F2F25"/>
    <w:rsid w:val="000F41BC"/>
    <w:rsid w:val="000F48F9"/>
    <w:rsid w:val="000F5711"/>
    <w:rsid w:val="000F643A"/>
    <w:rsid w:val="000F6573"/>
    <w:rsid w:val="000F796B"/>
    <w:rsid w:val="001001F1"/>
    <w:rsid w:val="00101516"/>
    <w:rsid w:val="001019BE"/>
    <w:rsid w:val="00101C8D"/>
    <w:rsid w:val="00103AF9"/>
    <w:rsid w:val="0010454B"/>
    <w:rsid w:val="00104E07"/>
    <w:rsid w:val="00105084"/>
    <w:rsid w:val="001061FB"/>
    <w:rsid w:val="00107572"/>
    <w:rsid w:val="00107F65"/>
    <w:rsid w:val="00107FE6"/>
    <w:rsid w:val="00110803"/>
    <w:rsid w:val="00110845"/>
    <w:rsid w:val="0011105F"/>
    <w:rsid w:val="00111912"/>
    <w:rsid w:val="00112759"/>
    <w:rsid w:val="00113296"/>
    <w:rsid w:val="00116DDB"/>
    <w:rsid w:val="00117116"/>
    <w:rsid w:val="00117A6C"/>
    <w:rsid w:val="00120431"/>
    <w:rsid w:val="001208C9"/>
    <w:rsid w:val="0012257E"/>
    <w:rsid w:val="00123713"/>
    <w:rsid w:val="00125C23"/>
    <w:rsid w:val="00125D85"/>
    <w:rsid w:val="001262C8"/>
    <w:rsid w:val="00127377"/>
    <w:rsid w:val="001305C7"/>
    <w:rsid w:val="00130A86"/>
    <w:rsid w:val="00131A5A"/>
    <w:rsid w:val="00131D4E"/>
    <w:rsid w:val="00131D89"/>
    <w:rsid w:val="0013487D"/>
    <w:rsid w:val="00134F66"/>
    <w:rsid w:val="00135AE2"/>
    <w:rsid w:val="0013737C"/>
    <w:rsid w:val="00137E42"/>
    <w:rsid w:val="00141778"/>
    <w:rsid w:val="001419D6"/>
    <w:rsid w:val="00141FAD"/>
    <w:rsid w:val="00142AC5"/>
    <w:rsid w:val="00142BCE"/>
    <w:rsid w:val="00145B86"/>
    <w:rsid w:val="00146827"/>
    <w:rsid w:val="001471DE"/>
    <w:rsid w:val="001472B5"/>
    <w:rsid w:val="00147DE9"/>
    <w:rsid w:val="00150807"/>
    <w:rsid w:val="00152097"/>
    <w:rsid w:val="00152913"/>
    <w:rsid w:val="0016012E"/>
    <w:rsid w:val="00160B17"/>
    <w:rsid w:val="00160B90"/>
    <w:rsid w:val="001616EE"/>
    <w:rsid w:val="00161B68"/>
    <w:rsid w:val="001620DC"/>
    <w:rsid w:val="001624F1"/>
    <w:rsid w:val="001629BC"/>
    <w:rsid w:val="00162A73"/>
    <w:rsid w:val="00164043"/>
    <w:rsid w:val="001654FC"/>
    <w:rsid w:val="00165F2F"/>
    <w:rsid w:val="0016604B"/>
    <w:rsid w:val="00166F15"/>
    <w:rsid w:val="001678B8"/>
    <w:rsid w:val="00170FFB"/>
    <w:rsid w:val="0017105A"/>
    <w:rsid w:val="0017202C"/>
    <w:rsid w:val="00172759"/>
    <w:rsid w:val="00172A4A"/>
    <w:rsid w:val="00172BF2"/>
    <w:rsid w:val="001740DE"/>
    <w:rsid w:val="0017522B"/>
    <w:rsid w:val="00176258"/>
    <w:rsid w:val="00176AB7"/>
    <w:rsid w:val="00176C25"/>
    <w:rsid w:val="00177118"/>
    <w:rsid w:val="00177608"/>
    <w:rsid w:val="001776C5"/>
    <w:rsid w:val="00177769"/>
    <w:rsid w:val="00177793"/>
    <w:rsid w:val="0018078F"/>
    <w:rsid w:val="00181714"/>
    <w:rsid w:val="00182081"/>
    <w:rsid w:val="001836F4"/>
    <w:rsid w:val="00183949"/>
    <w:rsid w:val="00185732"/>
    <w:rsid w:val="00186E9D"/>
    <w:rsid w:val="001872FD"/>
    <w:rsid w:val="00191710"/>
    <w:rsid w:val="001918F3"/>
    <w:rsid w:val="00191D90"/>
    <w:rsid w:val="001924A2"/>
    <w:rsid w:val="00192BBB"/>
    <w:rsid w:val="001932D8"/>
    <w:rsid w:val="001937F5"/>
    <w:rsid w:val="001943B8"/>
    <w:rsid w:val="001945B8"/>
    <w:rsid w:val="0019784C"/>
    <w:rsid w:val="001A046D"/>
    <w:rsid w:val="001A13D3"/>
    <w:rsid w:val="001A17EE"/>
    <w:rsid w:val="001A258D"/>
    <w:rsid w:val="001A3D57"/>
    <w:rsid w:val="001A4D84"/>
    <w:rsid w:val="001A50D6"/>
    <w:rsid w:val="001A53FB"/>
    <w:rsid w:val="001A5738"/>
    <w:rsid w:val="001A59E5"/>
    <w:rsid w:val="001A5DA0"/>
    <w:rsid w:val="001B0D18"/>
    <w:rsid w:val="001B25E3"/>
    <w:rsid w:val="001B4480"/>
    <w:rsid w:val="001B4D3C"/>
    <w:rsid w:val="001B4D6C"/>
    <w:rsid w:val="001B519C"/>
    <w:rsid w:val="001B52AF"/>
    <w:rsid w:val="001B6E49"/>
    <w:rsid w:val="001B6E68"/>
    <w:rsid w:val="001C0306"/>
    <w:rsid w:val="001C0646"/>
    <w:rsid w:val="001C10A1"/>
    <w:rsid w:val="001C1A27"/>
    <w:rsid w:val="001C1AD0"/>
    <w:rsid w:val="001C1C6F"/>
    <w:rsid w:val="001C22CB"/>
    <w:rsid w:val="001C23E0"/>
    <w:rsid w:val="001C2DE5"/>
    <w:rsid w:val="001C3321"/>
    <w:rsid w:val="001C33B1"/>
    <w:rsid w:val="001C3E1F"/>
    <w:rsid w:val="001C41B4"/>
    <w:rsid w:val="001C4FBA"/>
    <w:rsid w:val="001C5886"/>
    <w:rsid w:val="001C64CF"/>
    <w:rsid w:val="001C6630"/>
    <w:rsid w:val="001D0DDF"/>
    <w:rsid w:val="001D28BE"/>
    <w:rsid w:val="001D2E1B"/>
    <w:rsid w:val="001D3B6E"/>
    <w:rsid w:val="001D4C1A"/>
    <w:rsid w:val="001D4EEB"/>
    <w:rsid w:val="001D4FB6"/>
    <w:rsid w:val="001D59C7"/>
    <w:rsid w:val="001D60A2"/>
    <w:rsid w:val="001D6854"/>
    <w:rsid w:val="001D6A28"/>
    <w:rsid w:val="001D7C10"/>
    <w:rsid w:val="001E0C53"/>
    <w:rsid w:val="001E39FF"/>
    <w:rsid w:val="001E3EE4"/>
    <w:rsid w:val="001E578F"/>
    <w:rsid w:val="001E5859"/>
    <w:rsid w:val="001E70BC"/>
    <w:rsid w:val="001E7E69"/>
    <w:rsid w:val="001F08B4"/>
    <w:rsid w:val="001F0B26"/>
    <w:rsid w:val="001F2FE4"/>
    <w:rsid w:val="001F3BB0"/>
    <w:rsid w:val="001F411C"/>
    <w:rsid w:val="001F5C23"/>
    <w:rsid w:val="001F660C"/>
    <w:rsid w:val="001F7546"/>
    <w:rsid w:val="001F7907"/>
    <w:rsid w:val="002001A4"/>
    <w:rsid w:val="0020044D"/>
    <w:rsid w:val="00201F27"/>
    <w:rsid w:val="002023A5"/>
    <w:rsid w:val="0020283E"/>
    <w:rsid w:val="002029AD"/>
    <w:rsid w:val="00203178"/>
    <w:rsid w:val="00203600"/>
    <w:rsid w:val="00203A1C"/>
    <w:rsid w:val="0020711F"/>
    <w:rsid w:val="00210129"/>
    <w:rsid w:val="002102C8"/>
    <w:rsid w:val="00210B5A"/>
    <w:rsid w:val="002113CF"/>
    <w:rsid w:val="0021156C"/>
    <w:rsid w:val="00211AAF"/>
    <w:rsid w:val="0021242F"/>
    <w:rsid w:val="00212E59"/>
    <w:rsid w:val="00212F10"/>
    <w:rsid w:val="00213B32"/>
    <w:rsid w:val="0021413B"/>
    <w:rsid w:val="00214935"/>
    <w:rsid w:val="002149A8"/>
    <w:rsid w:val="002149AB"/>
    <w:rsid w:val="00216160"/>
    <w:rsid w:val="002164A8"/>
    <w:rsid w:val="00216ECD"/>
    <w:rsid w:val="002173A3"/>
    <w:rsid w:val="0021767A"/>
    <w:rsid w:val="00220DAC"/>
    <w:rsid w:val="0022159E"/>
    <w:rsid w:val="002216C2"/>
    <w:rsid w:val="00221D54"/>
    <w:rsid w:val="0022249F"/>
    <w:rsid w:val="00223676"/>
    <w:rsid w:val="002246B4"/>
    <w:rsid w:val="00225083"/>
    <w:rsid w:val="002258B7"/>
    <w:rsid w:val="00225DA3"/>
    <w:rsid w:val="00227B30"/>
    <w:rsid w:val="00227BB0"/>
    <w:rsid w:val="00230079"/>
    <w:rsid w:val="00230EB0"/>
    <w:rsid w:val="0023191A"/>
    <w:rsid w:val="00231CE4"/>
    <w:rsid w:val="002320D4"/>
    <w:rsid w:val="00233294"/>
    <w:rsid w:val="002334DB"/>
    <w:rsid w:val="00234A58"/>
    <w:rsid w:val="00235CD1"/>
    <w:rsid w:val="002370F9"/>
    <w:rsid w:val="002371D7"/>
    <w:rsid w:val="002400E4"/>
    <w:rsid w:val="002403B5"/>
    <w:rsid w:val="002409B3"/>
    <w:rsid w:val="00241B6A"/>
    <w:rsid w:val="00241B9B"/>
    <w:rsid w:val="00242397"/>
    <w:rsid w:val="002429C2"/>
    <w:rsid w:val="002432FC"/>
    <w:rsid w:val="0024374C"/>
    <w:rsid w:val="00245891"/>
    <w:rsid w:val="0025162F"/>
    <w:rsid w:val="00251A90"/>
    <w:rsid w:val="0025487A"/>
    <w:rsid w:val="00254BBC"/>
    <w:rsid w:val="00255081"/>
    <w:rsid w:val="002553E0"/>
    <w:rsid w:val="00256555"/>
    <w:rsid w:val="0025667C"/>
    <w:rsid w:val="00256978"/>
    <w:rsid w:val="00257109"/>
    <w:rsid w:val="00257CB8"/>
    <w:rsid w:val="00261E5E"/>
    <w:rsid w:val="00262018"/>
    <w:rsid w:val="00263BC9"/>
    <w:rsid w:val="00264391"/>
    <w:rsid w:val="002655EA"/>
    <w:rsid w:val="002673B8"/>
    <w:rsid w:val="00267444"/>
    <w:rsid w:val="002675D4"/>
    <w:rsid w:val="002704FE"/>
    <w:rsid w:val="00270FF3"/>
    <w:rsid w:val="002710BF"/>
    <w:rsid w:val="00271715"/>
    <w:rsid w:val="0027227B"/>
    <w:rsid w:val="002724BC"/>
    <w:rsid w:val="00274091"/>
    <w:rsid w:val="00276AD2"/>
    <w:rsid w:val="00280050"/>
    <w:rsid w:val="00280087"/>
    <w:rsid w:val="00280AD4"/>
    <w:rsid w:val="00280E69"/>
    <w:rsid w:val="00281243"/>
    <w:rsid w:val="002813F9"/>
    <w:rsid w:val="002818A2"/>
    <w:rsid w:val="002831DE"/>
    <w:rsid w:val="0028439D"/>
    <w:rsid w:val="00284441"/>
    <w:rsid w:val="002849FF"/>
    <w:rsid w:val="00284D4F"/>
    <w:rsid w:val="00284D96"/>
    <w:rsid w:val="0028694D"/>
    <w:rsid w:val="00287D36"/>
    <w:rsid w:val="002905B8"/>
    <w:rsid w:val="00290F04"/>
    <w:rsid w:val="002913ED"/>
    <w:rsid w:val="002917A3"/>
    <w:rsid w:val="00292713"/>
    <w:rsid w:val="00292816"/>
    <w:rsid w:val="00292C22"/>
    <w:rsid w:val="0029655A"/>
    <w:rsid w:val="00296FD6"/>
    <w:rsid w:val="002970A6"/>
    <w:rsid w:val="002971EC"/>
    <w:rsid w:val="002A1E7B"/>
    <w:rsid w:val="002A21B8"/>
    <w:rsid w:val="002A25D1"/>
    <w:rsid w:val="002A3C0D"/>
    <w:rsid w:val="002A3C33"/>
    <w:rsid w:val="002A4384"/>
    <w:rsid w:val="002A4CD2"/>
    <w:rsid w:val="002A51F3"/>
    <w:rsid w:val="002A5C56"/>
    <w:rsid w:val="002A5C95"/>
    <w:rsid w:val="002A5E60"/>
    <w:rsid w:val="002A6EB5"/>
    <w:rsid w:val="002B0683"/>
    <w:rsid w:val="002B1354"/>
    <w:rsid w:val="002B1556"/>
    <w:rsid w:val="002B19A0"/>
    <w:rsid w:val="002B1FED"/>
    <w:rsid w:val="002B2DEC"/>
    <w:rsid w:val="002B3382"/>
    <w:rsid w:val="002B5CBC"/>
    <w:rsid w:val="002B7D5E"/>
    <w:rsid w:val="002B7EAF"/>
    <w:rsid w:val="002C0DEF"/>
    <w:rsid w:val="002C17C1"/>
    <w:rsid w:val="002C2570"/>
    <w:rsid w:val="002C261C"/>
    <w:rsid w:val="002C3E4D"/>
    <w:rsid w:val="002C3FEC"/>
    <w:rsid w:val="002C4B25"/>
    <w:rsid w:val="002C4FDD"/>
    <w:rsid w:val="002C586A"/>
    <w:rsid w:val="002C59F1"/>
    <w:rsid w:val="002C5B0C"/>
    <w:rsid w:val="002C5B22"/>
    <w:rsid w:val="002C69F7"/>
    <w:rsid w:val="002C7FA7"/>
    <w:rsid w:val="002D027E"/>
    <w:rsid w:val="002D0D1E"/>
    <w:rsid w:val="002D15FE"/>
    <w:rsid w:val="002D3244"/>
    <w:rsid w:val="002D55A2"/>
    <w:rsid w:val="002D62D7"/>
    <w:rsid w:val="002D64B6"/>
    <w:rsid w:val="002D7EC8"/>
    <w:rsid w:val="002D7FBD"/>
    <w:rsid w:val="002E0C14"/>
    <w:rsid w:val="002E1092"/>
    <w:rsid w:val="002E1679"/>
    <w:rsid w:val="002E24F9"/>
    <w:rsid w:val="002E2B41"/>
    <w:rsid w:val="002E2BE6"/>
    <w:rsid w:val="002E4767"/>
    <w:rsid w:val="002E4B67"/>
    <w:rsid w:val="002E4BCE"/>
    <w:rsid w:val="002E555E"/>
    <w:rsid w:val="002E5787"/>
    <w:rsid w:val="002E5901"/>
    <w:rsid w:val="002E6D79"/>
    <w:rsid w:val="002E74CF"/>
    <w:rsid w:val="002E7555"/>
    <w:rsid w:val="002E7EB5"/>
    <w:rsid w:val="002F14A8"/>
    <w:rsid w:val="002F5CEE"/>
    <w:rsid w:val="002F5DDC"/>
    <w:rsid w:val="002F6A22"/>
    <w:rsid w:val="002F6D15"/>
    <w:rsid w:val="002F7F13"/>
    <w:rsid w:val="003006B5"/>
    <w:rsid w:val="003009E1"/>
    <w:rsid w:val="00300DE0"/>
    <w:rsid w:val="00302F3F"/>
    <w:rsid w:val="00303AB6"/>
    <w:rsid w:val="00303E2E"/>
    <w:rsid w:val="00304493"/>
    <w:rsid w:val="003057DF"/>
    <w:rsid w:val="0030672A"/>
    <w:rsid w:val="00306797"/>
    <w:rsid w:val="00306C9E"/>
    <w:rsid w:val="003070EB"/>
    <w:rsid w:val="003077BD"/>
    <w:rsid w:val="00307DF5"/>
    <w:rsid w:val="00310CC4"/>
    <w:rsid w:val="00310F5A"/>
    <w:rsid w:val="00312063"/>
    <w:rsid w:val="00313ADD"/>
    <w:rsid w:val="00314B76"/>
    <w:rsid w:val="0031517A"/>
    <w:rsid w:val="00315D62"/>
    <w:rsid w:val="003160AB"/>
    <w:rsid w:val="0031660D"/>
    <w:rsid w:val="00316DB9"/>
    <w:rsid w:val="00316E70"/>
    <w:rsid w:val="00321DA1"/>
    <w:rsid w:val="003220A6"/>
    <w:rsid w:val="003229F3"/>
    <w:rsid w:val="00323144"/>
    <w:rsid w:val="00323A77"/>
    <w:rsid w:val="0032441A"/>
    <w:rsid w:val="0032445C"/>
    <w:rsid w:val="00324519"/>
    <w:rsid w:val="003269D1"/>
    <w:rsid w:val="00327359"/>
    <w:rsid w:val="003279B5"/>
    <w:rsid w:val="00327BC4"/>
    <w:rsid w:val="003302FB"/>
    <w:rsid w:val="00331076"/>
    <w:rsid w:val="00331DEB"/>
    <w:rsid w:val="00333D35"/>
    <w:rsid w:val="00336CEB"/>
    <w:rsid w:val="0033793B"/>
    <w:rsid w:val="00342096"/>
    <w:rsid w:val="003432F6"/>
    <w:rsid w:val="003436C8"/>
    <w:rsid w:val="00343CAE"/>
    <w:rsid w:val="00343E35"/>
    <w:rsid w:val="00344790"/>
    <w:rsid w:val="00344A06"/>
    <w:rsid w:val="00344B16"/>
    <w:rsid w:val="00346870"/>
    <w:rsid w:val="00346F20"/>
    <w:rsid w:val="0035051D"/>
    <w:rsid w:val="00350712"/>
    <w:rsid w:val="00351E7E"/>
    <w:rsid w:val="00352162"/>
    <w:rsid w:val="0035246F"/>
    <w:rsid w:val="00353571"/>
    <w:rsid w:val="0035376D"/>
    <w:rsid w:val="00354A75"/>
    <w:rsid w:val="00354E55"/>
    <w:rsid w:val="00357339"/>
    <w:rsid w:val="003607C9"/>
    <w:rsid w:val="0036126A"/>
    <w:rsid w:val="00362674"/>
    <w:rsid w:val="003630EE"/>
    <w:rsid w:val="003636D0"/>
    <w:rsid w:val="00363870"/>
    <w:rsid w:val="00363FF8"/>
    <w:rsid w:val="00365427"/>
    <w:rsid w:val="00366A68"/>
    <w:rsid w:val="00367973"/>
    <w:rsid w:val="003710BA"/>
    <w:rsid w:val="003717E7"/>
    <w:rsid w:val="00371D06"/>
    <w:rsid w:val="00372706"/>
    <w:rsid w:val="00373264"/>
    <w:rsid w:val="003737B8"/>
    <w:rsid w:val="00374A1D"/>
    <w:rsid w:val="00375120"/>
    <w:rsid w:val="003755F3"/>
    <w:rsid w:val="003758C5"/>
    <w:rsid w:val="0037591E"/>
    <w:rsid w:val="00375AA2"/>
    <w:rsid w:val="00376399"/>
    <w:rsid w:val="0037679C"/>
    <w:rsid w:val="003774B0"/>
    <w:rsid w:val="0037788E"/>
    <w:rsid w:val="00381278"/>
    <w:rsid w:val="0038168D"/>
    <w:rsid w:val="00381750"/>
    <w:rsid w:val="00381AFE"/>
    <w:rsid w:val="003824E7"/>
    <w:rsid w:val="0038314F"/>
    <w:rsid w:val="0038317B"/>
    <w:rsid w:val="003834DE"/>
    <w:rsid w:val="003841C2"/>
    <w:rsid w:val="00385100"/>
    <w:rsid w:val="00386306"/>
    <w:rsid w:val="0038727C"/>
    <w:rsid w:val="00387A7F"/>
    <w:rsid w:val="00387E14"/>
    <w:rsid w:val="00390570"/>
    <w:rsid w:val="00390D7E"/>
    <w:rsid w:val="003916B9"/>
    <w:rsid w:val="0039191B"/>
    <w:rsid w:val="003935E7"/>
    <w:rsid w:val="00393FE6"/>
    <w:rsid w:val="00394209"/>
    <w:rsid w:val="00394A6B"/>
    <w:rsid w:val="00394BEF"/>
    <w:rsid w:val="00394CD9"/>
    <w:rsid w:val="003953BF"/>
    <w:rsid w:val="00395567"/>
    <w:rsid w:val="00396028"/>
    <w:rsid w:val="00396F70"/>
    <w:rsid w:val="003977D4"/>
    <w:rsid w:val="003A043C"/>
    <w:rsid w:val="003A0576"/>
    <w:rsid w:val="003A0729"/>
    <w:rsid w:val="003A1476"/>
    <w:rsid w:val="003A246F"/>
    <w:rsid w:val="003A273A"/>
    <w:rsid w:val="003A35E5"/>
    <w:rsid w:val="003A3770"/>
    <w:rsid w:val="003A4C85"/>
    <w:rsid w:val="003A5493"/>
    <w:rsid w:val="003A6CB3"/>
    <w:rsid w:val="003A6E29"/>
    <w:rsid w:val="003A7347"/>
    <w:rsid w:val="003B1FFE"/>
    <w:rsid w:val="003B2D11"/>
    <w:rsid w:val="003B428C"/>
    <w:rsid w:val="003B538A"/>
    <w:rsid w:val="003B5F9D"/>
    <w:rsid w:val="003B6364"/>
    <w:rsid w:val="003B651A"/>
    <w:rsid w:val="003B6D1F"/>
    <w:rsid w:val="003B77D0"/>
    <w:rsid w:val="003C0850"/>
    <w:rsid w:val="003C108A"/>
    <w:rsid w:val="003C239E"/>
    <w:rsid w:val="003C32FF"/>
    <w:rsid w:val="003C34CA"/>
    <w:rsid w:val="003C52CF"/>
    <w:rsid w:val="003C63AD"/>
    <w:rsid w:val="003C68D2"/>
    <w:rsid w:val="003C6BEC"/>
    <w:rsid w:val="003D0E0C"/>
    <w:rsid w:val="003D119A"/>
    <w:rsid w:val="003D11C3"/>
    <w:rsid w:val="003D1F3C"/>
    <w:rsid w:val="003D226B"/>
    <w:rsid w:val="003D22AC"/>
    <w:rsid w:val="003D24E6"/>
    <w:rsid w:val="003D2859"/>
    <w:rsid w:val="003D427B"/>
    <w:rsid w:val="003D45CB"/>
    <w:rsid w:val="003D6B5E"/>
    <w:rsid w:val="003D777F"/>
    <w:rsid w:val="003E0287"/>
    <w:rsid w:val="003E0E27"/>
    <w:rsid w:val="003E37A6"/>
    <w:rsid w:val="003E5025"/>
    <w:rsid w:val="003E5096"/>
    <w:rsid w:val="003E6195"/>
    <w:rsid w:val="003E68C9"/>
    <w:rsid w:val="003E75BF"/>
    <w:rsid w:val="003F013D"/>
    <w:rsid w:val="003F03CF"/>
    <w:rsid w:val="003F1EA8"/>
    <w:rsid w:val="003F1F04"/>
    <w:rsid w:val="003F2927"/>
    <w:rsid w:val="003F2E4F"/>
    <w:rsid w:val="003F3423"/>
    <w:rsid w:val="003F42E8"/>
    <w:rsid w:val="003F4817"/>
    <w:rsid w:val="003F68E2"/>
    <w:rsid w:val="003F6E24"/>
    <w:rsid w:val="003F7356"/>
    <w:rsid w:val="003F7EFB"/>
    <w:rsid w:val="004007D5"/>
    <w:rsid w:val="004008DA"/>
    <w:rsid w:val="00401179"/>
    <w:rsid w:val="00402471"/>
    <w:rsid w:val="00402B7E"/>
    <w:rsid w:val="0040340C"/>
    <w:rsid w:val="00403B99"/>
    <w:rsid w:val="004048E8"/>
    <w:rsid w:val="0040686C"/>
    <w:rsid w:val="00406B3F"/>
    <w:rsid w:val="00406C7D"/>
    <w:rsid w:val="004104E7"/>
    <w:rsid w:val="00410B57"/>
    <w:rsid w:val="004113F8"/>
    <w:rsid w:val="00412CB4"/>
    <w:rsid w:val="00413804"/>
    <w:rsid w:val="00414015"/>
    <w:rsid w:val="00414EFD"/>
    <w:rsid w:val="00415A2B"/>
    <w:rsid w:val="00416349"/>
    <w:rsid w:val="004172D0"/>
    <w:rsid w:val="00417433"/>
    <w:rsid w:val="0041749D"/>
    <w:rsid w:val="00417C2D"/>
    <w:rsid w:val="00417DDA"/>
    <w:rsid w:val="00417FA3"/>
    <w:rsid w:val="0042010A"/>
    <w:rsid w:val="004208FF"/>
    <w:rsid w:val="00420DBD"/>
    <w:rsid w:val="00421482"/>
    <w:rsid w:val="00421AD1"/>
    <w:rsid w:val="004223F2"/>
    <w:rsid w:val="0042327D"/>
    <w:rsid w:val="0042363C"/>
    <w:rsid w:val="0042389F"/>
    <w:rsid w:val="00425584"/>
    <w:rsid w:val="004260E2"/>
    <w:rsid w:val="004267E0"/>
    <w:rsid w:val="004270EC"/>
    <w:rsid w:val="00427337"/>
    <w:rsid w:val="0043055A"/>
    <w:rsid w:val="004308AB"/>
    <w:rsid w:val="0043095F"/>
    <w:rsid w:val="004311AE"/>
    <w:rsid w:val="00431790"/>
    <w:rsid w:val="004321F4"/>
    <w:rsid w:val="00432A28"/>
    <w:rsid w:val="00432A60"/>
    <w:rsid w:val="004336E6"/>
    <w:rsid w:val="00433793"/>
    <w:rsid w:val="00435354"/>
    <w:rsid w:val="004353E3"/>
    <w:rsid w:val="004358C5"/>
    <w:rsid w:val="00435BE9"/>
    <w:rsid w:val="00436AFF"/>
    <w:rsid w:val="00437244"/>
    <w:rsid w:val="004374E1"/>
    <w:rsid w:val="0044002A"/>
    <w:rsid w:val="0044174E"/>
    <w:rsid w:val="004421AD"/>
    <w:rsid w:val="00442942"/>
    <w:rsid w:val="00443223"/>
    <w:rsid w:val="0044520B"/>
    <w:rsid w:val="00445314"/>
    <w:rsid w:val="0044538B"/>
    <w:rsid w:val="004453A0"/>
    <w:rsid w:val="00445D17"/>
    <w:rsid w:val="004465A3"/>
    <w:rsid w:val="00447318"/>
    <w:rsid w:val="0045078A"/>
    <w:rsid w:val="00451337"/>
    <w:rsid w:val="00451E29"/>
    <w:rsid w:val="004521E1"/>
    <w:rsid w:val="00453BCA"/>
    <w:rsid w:val="00453C5F"/>
    <w:rsid w:val="00454B11"/>
    <w:rsid w:val="00454FE1"/>
    <w:rsid w:val="004561DD"/>
    <w:rsid w:val="00456625"/>
    <w:rsid w:val="004627B0"/>
    <w:rsid w:val="004636C1"/>
    <w:rsid w:val="0046370A"/>
    <w:rsid w:val="00464B88"/>
    <w:rsid w:val="004653FF"/>
    <w:rsid w:val="00466379"/>
    <w:rsid w:val="00466E5C"/>
    <w:rsid w:val="00467707"/>
    <w:rsid w:val="0046772A"/>
    <w:rsid w:val="00472736"/>
    <w:rsid w:val="00473233"/>
    <w:rsid w:val="00475017"/>
    <w:rsid w:val="00475A82"/>
    <w:rsid w:val="0047681C"/>
    <w:rsid w:val="004771DF"/>
    <w:rsid w:val="004775E5"/>
    <w:rsid w:val="0047783C"/>
    <w:rsid w:val="004800B0"/>
    <w:rsid w:val="004808F2"/>
    <w:rsid w:val="00480ED3"/>
    <w:rsid w:val="004812C7"/>
    <w:rsid w:val="00481541"/>
    <w:rsid w:val="0048204A"/>
    <w:rsid w:val="00486308"/>
    <w:rsid w:val="00486EC4"/>
    <w:rsid w:val="00486EDE"/>
    <w:rsid w:val="00487283"/>
    <w:rsid w:val="004909BB"/>
    <w:rsid w:val="004914EC"/>
    <w:rsid w:val="004926A9"/>
    <w:rsid w:val="00495CF9"/>
    <w:rsid w:val="004968EF"/>
    <w:rsid w:val="00496E72"/>
    <w:rsid w:val="004A27EC"/>
    <w:rsid w:val="004A2825"/>
    <w:rsid w:val="004A31BC"/>
    <w:rsid w:val="004A3715"/>
    <w:rsid w:val="004A37B8"/>
    <w:rsid w:val="004A4E43"/>
    <w:rsid w:val="004A6228"/>
    <w:rsid w:val="004A6733"/>
    <w:rsid w:val="004A6CE2"/>
    <w:rsid w:val="004A6E20"/>
    <w:rsid w:val="004A7124"/>
    <w:rsid w:val="004B04A6"/>
    <w:rsid w:val="004B0CCF"/>
    <w:rsid w:val="004B20CA"/>
    <w:rsid w:val="004B2858"/>
    <w:rsid w:val="004B3D0E"/>
    <w:rsid w:val="004B3D2F"/>
    <w:rsid w:val="004B40F3"/>
    <w:rsid w:val="004B5019"/>
    <w:rsid w:val="004B6771"/>
    <w:rsid w:val="004B6BA1"/>
    <w:rsid w:val="004B7D60"/>
    <w:rsid w:val="004C1289"/>
    <w:rsid w:val="004C1A75"/>
    <w:rsid w:val="004C1C9D"/>
    <w:rsid w:val="004C3648"/>
    <w:rsid w:val="004C4C54"/>
    <w:rsid w:val="004C5AF5"/>
    <w:rsid w:val="004C5D82"/>
    <w:rsid w:val="004C7124"/>
    <w:rsid w:val="004C7604"/>
    <w:rsid w:val="004C7632"/>
    <w:rsid w:val="004D15CE"/>
    <w:rsid w:val="004D2FE7"/>
    <w:rsid w:val="004D3173"/>
    <w:rsid w:val="004D3B0F"/>
    <w:rsid w:val="004D4CB2"/>
    <w:rsid w:val="004D5210"/>
    <w:rsid w:val="004D590C"/>
    <w:rsid w:val="004D5FC3"/>
    <w:rsid w:val="004D619F"/>
    <w:rsid w:val="004D61FA"/>
    <w:rsid w:val="004D672F"/>
    <w:rsid w:val="004D6A00"/>
    <w:rsid w:val="004D7BF3"/>
    <w:rsid w:val="004D7C0D"/>
    <w:rsid w:val="004D7E84"/>
    <w:rsid w:val="004E186C"/>
    <w:rsid w:val="004E1CA6"/>
    <w:rsid w:val="004E2B4E"/>
    <w:rsid w:val="004E64AC"/>
    <w:rsid w:val="004E7075"/>
    <w:rsid w:val="004E70BB"/>
    <w:rsid w:val="004E7470"/>
    <w:rsid w:val="004F0E16"/>
    <w:rsid w:val="004F11A4"/>
    <w:rsid w:val="004F12E9"/>
    <w:rsid w:val="004F18B2"/>
    <w:rsid w:val="004F1CCC"/>
    <w:rsid w:val="004F2DF9"/>
    <w:rsid w:val="004F30DF"/>
    <w:rsid w:val="004F5AB4"/>
    <w:rsid w:val="004F64F3"/>
    <w:rsid w:val="005000ED"/>
    <w:rsid w:val="0050282D"/>
    <w:rsid w:val="00506177"/>
    <w:rsid w:val="005069B7"/>
    <w:rsid w:val="00510FDD"/>
    <w:rsid w:val="00511487"/>
    <w:rsid w:val="005119A7"/>
    <w:rsid w:val="005119E2"/>
    <w:rsid w:val="00512029"/>
    <w:rsid w:val="00513DD4"/>
    <w:rsid w:val="00513FF3"/>
    <w:rsid w:val="00514EF2"/>
    <w:rsid w:val="0051523A"/>
    <w:rsid w:val="00515D0D"/>
    <w:rsid w:val="00516685"/>
    <w:rsid w:val="00516CB2"/>
    <w:rsid w:val="00517F54"/>
    <w:rsid w:val="00520F4E"/>
    <w:rsid w:val="00521185"/>
    <w:rsid w:val="0052142D"/>
    <w:rsid w:val="005252E8"/>
    <w:rsid w:val="00525FD1"/>
    <w:rsid w:val="0052648D"/>
    <w:rsid w:val="005266AB"/>
    <w:rsid w:val="00527B54"/>
    <w:rsid w:val="00527DBD"/>
    <w:rsid w:val="00530C45"/>
    <w:rsid w:val="005321FD"/>
    <w:rsid w:val="005323D9"/>
    <w:rsid w:val="005327CB"/>
    <w:rsid w:val="00532C34"/>
    <w:rsid w:val="00536570"/>
    <w:rsid w:val="00536723"/>
    <w:rsid w:val="00543375"/>
    <w:rsid w:val="005439C8"/>
    <w:rsid w:val="00543A0A"/>
    <w:rsid w:val="00543C0F"/>
    <w:rsid w:val="005468F1"/>
    <w:rsid w:val="00546CEE"/>
    <w:rsid w:val="00547B5D"/>
    <w:rsid w:val="00550E1E"/>
    <w:rsid w:val="00550E34"/>
    <w:rsid w:val="00552906"/>
    <w:rsid w:val="005541F7"/>
    <w:rsid w:val="005543E1"/>
    <w:rsid w:val="00554468"/>
    <w:rsid w:val="00554ACC"/>
    <w:rsid w:val="00554DF7"/>
    <w:rsid w:val="00554F7A"/>
    <w:rsid w:val="005565C0"/>
    <w:rsid w:val="005566ED"/>
    <w:rsid w:val="00556F25"/>
    <w:rsid w:val="00557517"/>
    <w:rsid w:val="00560716"/>
    <w:rsid w:val="005616CB"/>
    <w:rsid w:val="00564A3F"/>
    <w:rsid w:val="00566D69"/>
    <w:rsid w:val="00570CE8"/>
    <w:rsid w:val="00570D64"/>
    <w:rsid w:val="00570E08"/>
    <w:rsid w:val="00571ACD"/>
    <w:rsid w:val="00572108"/>
    <w:rsid w:val="00574A82"/>
    <w:rsid w:val="00574A9D"/>
    <w:rsid w:val="005752AE"/>
    <w:rsid w:val="00575745"/>
    <w:rsid w:val="00575802"/>
    <w:rsid w:val="00577727"/>
    <w:rsid w:val="00577C19"/>
    <w:rsid w:val="0058007E"/>
    <w:rsid w:val="00580EFB"/>
    <w:rsid w:val="00581087"/>
    <w:rsid w:val="0058185F"/>
    <w:rsid w:val="0058233D"/>
    <w:rsid w:val="00583567"/>
    <w:rsid w:val="005842BF"/>
    <w:rsid w:val="00584639"/>
    <w:rsid w:val="005854DF"/>
    <w:rsid w:val="0058590C"/>
    <w:rsid w:val="005859CC"/>
    <w:rsid w:val="00585EB2"/>
    <w:rsid w:val="00587032"/>
    <w:rsid w:val="00587432"/>
    <w:rsid w:val="0058770B"/>
    <w:rsid w:val="005877ED"/>
    <w:rsid w:val="00587B95"/>
    <w:rsid w:val="005904A9"/>
    <w:rsid w:val="00590710"/>
    <w:rsid w:val="00591D60"/>
    <w:rsid w:val="0059230F"/>
    <w:rsid w:val="005928B5"/>
    <w:rsid w:val="00592BA3"/>
    <w:rsid w:val="00592EDD"/>
    <w:rsid w:val="00593510"/>
    <w:rsid w:val="005935B4"/>
    <w:rsid w:val="005939FC"/>
    <w:rsid w:val="0059472A"/>
    <w:rsid w:val="00594C8A"/>
    <w:rsid w:val="005951DF"/>
    <w:rsid w:val="005956E7"/>
    <w:rsid w:val="00596347"/>
    <w:rsid w:val="00596703"/>
    <w:rsid w:val="00596DE8"/>
    <w:rsid w:val="005976EF"/>
    <w:rsid w:val="00597BDF"/>
    <w:rsid w:val="005A04A9"/>
    <w:rsid w:val="005A0E97"/>
    <w:rsid w:val="005A0F07"/>
    <w:rsid w:val="005A15ED"/>
    <w:rsid w:val="005A2DBC"/>
    <w:rsid w:val="005A3144"/>
    <w:rsid w:val="005A321C"/>
    <w:rsid w:val="005A32EB"/>
    <w:rsid w:val="005A3E06"/>
    <w:rsid w:val="005B0F6E"/>
    <w:rsid w:val="005B12F0"/>
    <w:rsid w:val="005B1478"/>
    <w:rsid w:val="005B3B8A"/>
    <w:rsid w:val="005B437F"/>
    <w:rsid w:val="005B647C"/>
    <w:rsid w:val="005B7B84"/>
    <w:rsid w:val="005C1672"/>
    <w:rsid w:val="005C18D6"/>
    <w:rsid w:val="005C2B9D"/>
    <w:rsid w:val="005C2C39"/>
    <w:rsid w:val="005C505E"/>
    <w:rsid w:val="005C551E"/>
    <w:rsid w:val="005C556E"/>
    <w:rsid w:val="005C57A1"/>
    <w:rsid w:val="005C5D6B"/>
    <w:rsid w:val="005C6031"/>
    <w:rsid w:val="005C7FFD"/>
    <w:rsid w:val="005D0211"/>
    <w:rsid w:val="005D111E"/>
    <w:rsid w:val="005D11EF"/>
    <w:rsid w:val="005D16D0"/>
    <w:rsid w:val="005D23FC"/>
    <w:rsid w:val="005D27E9"/>
    <w:rsid w:val="005D2CAD"/>
    <w:rsid w:val="005D38F9"/>
    <w:rsid w:val="005D3DB0"/>
    <w:rsid w:val="005D4191"/>
    <w:rsid w:val="005D4F6B"/>
    <w:rsid w:val="005D56D9"/>
    <w:rsid w:val="005D617E"/>
    <w:rsid w:val="005D6ADA"/>
    <w:rsid w:val="005D725A"/>
    <w:rsid w:val="005D7981"/>
    <w:rsid w:val="005E1376"/>
    <w:rsid w:val="005E1EEC"/>
    <w:rsid w:val="005E2443"/>
    <w:rsid w:val="005E33D1"/>
    <w:rsid w:val="005E493E"/>
    <w:rsid w:val="005E4C7C"/>
    <w:rsid w:val="005E50F5"/>
    <w:rsid w:val="005E5567"/>
    <w:rsid w:val="005E577A"/>
    <w:rsid w:val="005E587A"/>
    <w:rsid w:val="005E5EA1"/>
    <w:rsid w:val="005E7E52"/>
    <w:rsid w:val="005F10AC"/>
    <w:rsid w:val="005F18CD"/>
    <w:rsid w:val="005F29C0"/>
    <w:rsid w:val="005F45E8"/>
    <w:rsid w:val="005F5327"/>
    <w:rsid w:val="005F66D0"/>
    <w:rsid w:val="005F75A9"/>
    <w:rsid w:val="005F7CB1"/>
    <w:rsid w:val="005F7D94"/>
    <w:rsid w:val="005F7FD7"/>
    <w:rsid w:val="006006F9"/>
    <w:rsid w:val="00600A7E"/>
    <w:rsid w:val="006011A6"/>
    <w:rsid w:val="00601C5C"/>
    <w:rsid w:val="0060252D"/>
    <w:rsid w:val="0060299C"/>
    <w:rsid w:val="00603804"/>
    <w:rsid w:val="00603B22"/>
    <w:rsid w:val="00604C80"/>
    <w:rsid w:val="00605185"/>
    <w:rsid w:val="006054DF"/>
    <w:rsid w:val="00606B62"/>
    <w:rsid w:val="006107A0"/>
    <w:rsid w:val="00611304"/>
    <w:rsid w:val="006113FC"/>
    <w:rsid w:val="0061324F"/>
    <w:rsid w:val="006148FE"/>
    <w:rsid w:val="00616170"/>
    <w:rsid w:val="006169F5"/>
    <w:rsid w:val="0062286E"/>
    <w:rsid w:val="00622FCF"/>
    <w:rsid w:val="00623BB1"/>
    <w:rsid w:val="006240EF"/>
    <w:rsid w:val="00624CC3"/>
    <w:rsid w:val="006256E6"/>
    <w:rsid w:val="00625A09"/>
    <w:rsid w:val="0062696E"/>
    <w:rsid w:val="00627161"/>
    <w:rsid w:val="00627958"/>
    <w:rsid w:val="00627D61"/>
    <w:rsid w:val="0063020B"/>
    <w:rsid w:val="006311B0"/>
    <w:rsid w:val="00631C00"/>
    <w:rsid w:val="006321C3"/>
    <w:rsid w:val="00632A3D"/>
    <w:rsid w:val="006335F8"/>
    <w:rsid w:val="00633AA7"/>
    <w:rsid w:val="00633B2C"/>
    <w:rsid w:val="00634148"/>
    <w:rsid w:val="00634543"/>
    <w:rsid w:val="00635277"/>
    <w:rsid w:val="006355BE"/>
    <w:rsid w:val="00635997"/>
    <w:rsid w:val="00635B99"/>
    <w:rsid w:val="00636A76"/>
    <w:rsid w:val="0064018D"/>
    <w:rsid w:val="00640A87"/>
    <w:rsid w:val="00640B58"/>
    <w:rsid w:val="00641777"/>
    <w:rsid w:val="00641E8F"/>
    <w:rsid w:val="006427CA"/>
    <w:rsid w:val="0064358E"/>
    <w:rsid w:val="00643E95"/>
    <w:rsid w:val="00644603"/>
    <w:rsid w:val="00645BF6"/>
    <w:rsid w:val="0064724F"/>
    <w:rsid w:val="00650B49"/>
    <w:rsid w:val="00650DF4"/>
    <w:rsid w:val="00651851"/>
    <w:rsid w:val="006525DE"/>
    <w:rsid w:val="0065266D"/>
    <w:rsid w:val="00652A4F"/>
    <w:rsid w:val="00652DB7"/>
    <w:rsid w:val="00652F41"/>
    <w:rsid w:val="0065405B"/>
    <w:rsid w:val="00654F7F"/>
    <w:rsid w:val="0065503D"/>
    <w:rsid w:val="00655993"/>
    <w:rsid w:val="006559B1"/>
    <w:rsid w:val="00655D5E"/>
    <w:rsid w:val="00656F86"/>
    <w:rsid w:val="00656FD3"/>
    <w:rsid w:val="00657E17"/>
    <w:rsid w:val="00660838"/>
    <w:rsid w:val="00660BF9"/>
    <w:rsid w:val="00661D18"/>
    <w:rsid w:val="006622FF"/>
    <w:rsid w:val="00662E21"/>
    <w:rsid w:val="00663525"/>
    <w:rsid w:val="00663EFC"/>
    <w:rsid w:val="00663F5B"/>
    <w:rsid w:val="00665153"/>
    <w:rsid w:val="00666506"/>
    <w:rsid w:val="00666861"/>
    <w:rsid w:val="00666871"/>
    <w:rsid w:val="006716B3"/>
    <w:rsid w:val="006721DB"/>
    <w:rsid w:val="00674709"/>
    <w:rsid w:val="006748D1"/>
    <w:rsid w:val="0067493E"/>
    <w:rsid w:val="00674B0F"/>
    <w:rsid w:val="00674D03"/>
    <w:rsid w:val="00674EBF"/>
    <w:rsid w:val="0067562C"/>
    <w:rsid w:val="00676142"/>
    <w:rsid w:val="0067676A"/>
    <w:rsid w:val="0067759A"/>
    <w:rsid w:val="00677A21"/>
    <w:rsid w:val="0068189F"/>
    <w:rsid w:val="00683188"/>
    <w:rsid w:val="00684F99"/>
    <w:rsid w:val="00685222"/>
    <w:rsid w:val="00686D1E"/>
    <w:rsid w:val="0068748C"/>
    <w:rsid w:val="00687E17"/>
    <w:rsid w:val="006904C5"/>
    <w:rsid w:val="006909C0"/>
    <w:rsid w:val="00691124"/>
    <w:rsid w:val="00691753"/>
    <w:rsid w:val="00691ED0"/>
    <w:rsid w:val="00692E67"/>
    <w:rsid w:val="006944A8"/>
    <w:rsid w:val="00694D90"/>
    <w:rsid w:val="00695975"/>
    <w:rsid w:val="00697649"/>
    <w:rsid w:val="006A0C41"/>
    <w:rsid w:val="006A216D"/>
    <w:rsid w:val="006A6A89"/>
    <w:rsid w:val="006A7052"/>
    <w:rsid w:val="006A70C2"/>
    <w:rsid w:val="006B0D69"/>
    <w:rsid w:val="006B0F4A"/>
    <w:rsid w:val="006B28A1"/>
    <w:rsid w:val="006B40A4"/>
    <w:rsid w:val="006B64BC"/>
    <w:rsid w:val="006B695A"/>
    <w:rsid w:val="006B7038"/>
    <w:rsid w:val="006B72AC"/>
    <w:rsid w:val="006C0933"/>
    <w:rsid w:val="006C280E"/>
    <w:rsid w:val="006C284B"/>
    <w:rsid w:val="006C2853"/>
    <w:rsid w:val="006C2FEF"/>
    <w:rsid w:val="006C41DF"/>
    <w:rsid w:val="006C47E7"/>
    <w:rsid w:val="006C54AB"/>
    <w:rsid w:val="006C5AAA"/>
    <w:rsid w:val="006C6688"/>
    <w:rsid w:val="006D3F6D"/>
    <w:rsid w:val="006D62B5"/>
    <w:rsid w:val="006E0199"/>
    <w:rsid w:val="006E02E7"/>
    <w:rsid w:val="006E034F"/>
    <w:rsid w:val="006E075E"/>
    <w:rsid w:val="006E0A3D"/>
    <w:rsid w:val="006E0F54"/>
    <w:rsid w:val="006E17F5"/>
    <w:rsid w:val="006E1920"/>
    <w:rsid w:val="006E23B9"/>
    <w:rsid w:val="006E2A1C"/>
    <w:rsid w:val="006E3D41"/>
    <w:rsid w:val="006E4871"/>
    <w:rsid w:val="006E5F9F"/>
    <w:rsid w:val="006E6F19"/>
    <w:rsid w:val="006E7740"/>
    <w:rsid w:val="006F084A"/>
    <w:rsid w:val="006F0A2C"/>
    <w:rsid w:val="006F214D"/>
    <w:rsid w:val="006F244B"/>
    <w:rsid w:val="006F290B"/>
    <w:rsid w:val="006F38A4"/>
    <w:rsid w:val="006F3C17"/>
    <w:rsid w:val="006F3EBE"/>
    <w:rsid w:val="006F4140"/>
    <w:rsid w:val="006F539A"/>
    <w:rsid w:val="006F5CED"/>
    <w:rsid w:val="006F7246"/>
    <w:rsid w:val="00700C30"/>
    <w:rsid w:val="00700C99"/>
    <w:rsid w:val="0070147A"/>
    <w:rsid w:val="00702B30"/>
    <w:rsid w:val="007037A5"/>
    <w:rsid w:val="00703F53"/>
    <w:rsid w:val="00704425"/>
    <w:rsid w:val="00705656"/>
    <w:rsid w:val="00706AA8"/>
    <w:rsid w:val="00706BBA"/>
    <w:rsid w:val="00707E8B"/>
    <w:rsid w:val="00707EF0"/>
    <w:rsid w:val="00712757"/>
    <w:rsid w:val="00713456"/>
    <w:rsid w:val="0071394B"/>
    <w:rsid w:val="00714CC9"/>
    <w:rsid w:val="007151BD"/>
    <w:rsid w:val="0071656F"/>
    <w:rsid w:val="00717436"/>
    <w:rsid w:val="007176A1"/>
    <w:rsid w:val="007179AD"/>
    <w:rsid w:val="007203C5"/>
    <w:rsid w:val="00721CEB"/>
    <w:rsid w:val="00722B08"/>
    <w:rsid w:val="0072328F"/>
    <w:rsid w:val="00723693"/>
    <w:rsid w:val="00723EBF"/>
    <w:rsid w:val="007250B6"/>
    <w:rsid w:val="00725598"/>
    <w:rsid w:val="007266C4"/>
    <w:rsid w:val="00727536"/>
    <w:rsid w:val="007277FD"/>
    <w:rsid w:val="007317B8"/>
    <w:rsid w:val="007349CC"/>
    <w:rsid w:val="00734CDB"/>
    <w:rsid w:val="0073578C"/>
    <w:rsid w:val="00735DAE"/>
    <w:rsid w:val="00736050"/>
    <w:rsid w:val="007367D4"/>
    <w:rsid w:val="007409C7"/>
    <w:rsid w:val="0074147A"/>
    <w:rsid w:val="00742158"/>
    <w:rsid w:val="00742C2C"/>
    <w:rsid w:val="00742D7E"/>
    <w:rsid w:val="00746203"/>
    <w:rsid w:val="007462BD"/>
    <w:rsid w:val="0074768D"/>
    <w:rsid w:val="00750605"/>
    <w:rsid w:val="007516A1"/>
    <w:rsid w:val="007516DD"/>
    <w:rsid w:val="0075174C"/>
    <w:rsid w:val="0075205F"/>
    <w:rsid w:val="00752068"/>
    <w:rsid w:val="007520CC"/>
    <w:rsid w:val="007523C7"/>
    <w:rsid w:val="007524EF"/>
    <w:rsid w:val="0075274E"/>
    <w:rsid w:val="00753045"/>
    <w:rsid w:val="0075328A"/>
    <w:rsid w:val="007532F6"/>
    <w:rsid w:val="00754926"/>
    <w:rsid w:val="00755D18"/>
    <w:rsid w:val="0075747B"/>
    <w:rsid w:val="00757ACE"/>
    <w:rsid w:val="00757FEA"/>
    <w:rsid w:val="00760DAA"/>
    <w:rsid w:val="00760FCB"/>
    <w:rsid w:val="00761C4C"/>
    <w:rsid w:val="0076258A"/>
    <w:rsid w:val="00764348"/>
    <w:rsid w:val="00764A39"/>
    <w:rsid w:val="00764B7E"/>
    <w:rsid w:val="00764D2F"/>
    <w:rsid w:val="00765654"/>
    <w:rsid w:val="007676C2"/>
    <w:rsid w:val="00767BC4"/>
    <w:rsid w:val="00767F2A"/>
    <w:rsid w:val="007707C3"/>
    <w:rsid w:val="0077081F"/>
    <w:rsid w:val="00771030"/>
    <w:rsid w:val="00771992"/>
    <w:rsid w:val="00771F07"/>
    <w:rsid w:val="007725C2"/>
    <w:rsid w:val="00772FAD"/>
    <w:rsid w:val="00773F38"/>
    <w:rsid w:val="00774B00"/>
    <w:rsid w:val="00776660"/>
    <w:rsid w:val="00776D19"/>
    <w:rsid w:val="00781C1E"/>
    <w:rsid w:val="00783243"/>
    <w:rsid w:val="0078351C"/>
    <w:rsid w:val="00783B1C"/>
    <w:rsid w:val="00784523"/>
    <w:rsid w:val="00784D1E"/>
    <w:rsid w:val="00785128"/>
    <w:rsid w:val="00785143"/>
    <w:rsid w:val="0078560C"/>
    <w:rsid w:val="00786EF4"/>
    <w:rsid w:val="00786FE9"/>
    <w:rsid w:val="00787DF7"/>
    <w:rsid w:val="00787F5F"/>
    <w:rsid w:val="00790402"/>
    <w:rsid w:val="00791315"/>
    <w:rsid w:val="00791F51"/>
    <w:rsid w:val="007920FD"/>
    <w:rsid w:val="007923EB"/>
    <w:rsid w:val="00793AE3"/>
    <w:rsid w:val="007952EF"/>
    <w:rsid w:val="007952F6"/>
    <w:rsid w:val="0079544F"/>
    <w:rsid w:val="007957F7"/>
    <w:rsid w:val="00796085"/>
    <w:rsid w:val="0079634C"/>
    <w:rsid w:val="00796E3E"/>
    <w:rsid w:val="00796EC3"/>
    <w:rsid w:val="007971B2"/>
    <w:rsid w:val="00797CCA"/>
    <w:rsid w:val="007A0795"/>
    <w:rsid w:val="007A0AF7"/>
    <w:rsid w:val="007A1711"/>
    <w:rsid w:val="007A26CA"/>
    <w:rsid w:val="007A3461"/>
    <w:rsid w:val="007A3DBD"/>
    <w:rsid w:val="007A4385"/>
    <w:rsid w:val="007A4C63"/>
    <w:rsid w:val="007A5119"/>
    <w:rsid w:val="007A75F2"/>
    <w:rsid w:val="007A7D42"/>
    <w:rsid w:val="007B02E8"/>
    <w:rsid w:val="007B15F5"/>
    <w:rsid w:val="007B194B"/>
    <w:rsid w:val="007B1B47"/>
    <w:rsid w:val="007B27E2"/>
    <w:rsid w:val="007B3B14"/>
    <w:rsid w:val="007B43FD"/>
    <w:rsid w:val="007B5506"/>
    <w:rsid w:val="007B65BA"/>
    <w:rsid w:val="007B7057"/>
    <w:rsid w:val="007B755C"/>
    <w:rsid w:val="007C1621"/>
    <w:rsid w:val="007C1839"/>
    <w:rsid w:val="007C223F"/>
    <w:rsid w:val="007C3396"/>
    <w:rsid w:val="007C3D53"/>
    <w:rsid w:val="007C5AF9"/>
    <w:rsid w:val="007C63C8"/>
    <w:rsid w:val="007C7100"/>
    <w:rsid w:val="007D0538"/>
    <w:rsid w:val="007D2D9E"/>
    <w:rsid w:val="007D3858"/>
    <w:rsid w:val="007D4947"/>
    <w:rsid w:val="007D613A"/>
    <w:rsid w:val="007D757C"/>
    <w:rsid w:val="007D75F8"/>
    <w:rsid w:val="007E13B0"/>
    <w:rsid w:val="007E1D52"/>
    <w:rsid w:val="007E1FA1"/>
    <w:rsid w:val="007E22CF"/>
    <w:rsid w:val="007E24EF"/>
    <w:rsid w:val="007E3208"/>
    <w:rsid w:val="007E3C71"/>
    <w:rsid w:val="007E46FB"/>
    <w:rsid w:val="007E4AC5"/>
    <w:rsid w:val="007E5E73"/>
    <w:rsid w:val="007F01FE"/>
    <w:rsid w:val="007F0215"/>
    <w:rsid w:val="007F047E"/>
    <w:rsid w:val="007F0823"/>
    <w:rsid w:val="007F12CA"/>
    <w:rsid w:val="007F26AF"/>
    <w:rsid w:val="007F4DF6"/>
    <w:rsid w:val="007F5B16"/>
    <w:rsid w:val="00801202"/>
    <w:rsid w:val="00803E69"/>
    <w:rsid w:val="008043E0"/>
    <w:rsid w:val="00804791"/>
    <w:rsid w:val="008047F3"/>
    <w:rsid w:val="008048DE"/>
    <w:rsid w:val="008060CA"/>
    <w:rsid w:val="008063BB"/>
    <w:rsid w:val="00806897"/>
    <w:rsid w:val="00810073"/>
    <w:rsid w:val="008118AF"/>
    <w:rsid w:val="00811DAC"/>
    <w:rsid w:val="00813190"/>
    <w:rsid w:val="00813699"/>
    <w:rsid w:val="00813F2C"/>
    <w:rsid w:val="00813FEE"/>
    <w:rsid w:val="00814558"/>
    <w:rsid w:val="00815AE7"/>
    <w:rsid w:val="008160C9"/>
    <w:rsid w:val="008161F9"/>
    <w:rsid w:val="00816892"/>
    <w:rsid w:val="00816E6A"/>
    <w:rsid w:val="008174CA"/>
    <w:rsid w:val="00817740"/>
    <w:rsid w:val="00817B74"/>
    <w:rsid w:val="0082082B"/>
    <w:rsid w:val="00820F18"/>
    <w:rsid w:val="0082103C"/>
    <w:rsid w:val="00821365"/>
    <w:rsid w:val="00821606"/>
    <w:rsid w:val="00821854"/>
    <w:rsid w:val="00821919"/>
    <w:rsid w:val="008223EA"/>
    <w:rsid w:val="00823288"/>
    <w:rsid w:val="00824170"/>
    <w:rsid w:val="0082483D"/>
    <w:rsid w:val="00825F01"/>
    <w:rsid w:val="00826180"/>
    <w:rsid w:val="0082699C"/>
    <w:rsid w:val="008273FE"/>
    <w:rsid w:val="00830756"/>
    <w:rsid w:val="008350B1"/>
    <w:rsid w:val="00835C27"/>
    <w:rsid w:val="00836017"/>
    <w:rsid w:val="008362A3"/>
    <w:rsid w:val="00836DE6"/>
    <w:rsid w:val="008379A0"/>
    <w:rsid w:val="00840FA3"/>
    <w:rsid w:val="0084127E"/>
    <w:rsid w:val="0084205F"/>
    <w:rsid w:val="00844B38"/>
    <w:rsid w:val="00845498"/>
    <w:rsid w:val="008459C3"/>
    <w:rsid w:val="00846B4F"/>
    <w:rsid w:val="008475FD"/>
    <w:rsid w:val="008502CE"/>
    <w:rsid w:val="0085109D"/>
    <w:rsid w:val="00851216"/>
    <w:rsid w:val="0085240B"/>
    <w:rsid w:val="00853B2D"/>
    <w:rsid w:val="00853F17"/>
    <w:rsid w:val="0085688B"/>
    <w:rsid w:val="00856B4B"/>
    <w:rsid w:val="00857022"/>
    <w:rsid w:val="00857226"/>
    <w:rsid w:val="00860F2A"/>
    <w:rsid w:val="00861038"/>
    <w:rsid w:val="00862D56"/>
    <w:rsid w:val="0086322B"/>
    <w:rsid w:val="008643FC"/>
    <w:rsid w:val="00864AFC"/>
    <w:rsid w:val="00865DF5"/>
    <w:rsid w:val="008664E4"/>
    <w:rsid w:val="00867DE2"/>
    <w:rsid w:val="00867F36"/>
    <w:rsid w:val="008701C3"/>
    <w:rsid w:val="00870EDE"/>
    <w:rsid w:val="008711F1"/>
    <w:rsid w:val="00874B21"/>
    <w:rsid w:val="008812DA"/>
    <w:rsid w:val="00881B9E"/>
    <w:rsid w:val="00881C7D"/>
    <w:rsid w:val="00883809"/>
    <w:rsid w:val="00883ACA"/>
    <w:rsid w:val="00885BBB"/>
    <w:rsid w:val="0088612B"/>
    <w:rsid w:val="00887489"/>
    <w:rsid w:val="008874A0"/>
    <w:rsid w:val="00891A45"/>
    <w:rsid w:val="00892528"/>
    <w:rsid w:val="008927DA"/>
    <w:rsid w:val="008929AD"/>
    <w:rsid w:val="008934B0"/>
    <w:rsid w:val="00893B4C"/>
    <w:rsid w:val="00894B45"/>
    <w:rsid w:val="00894B53"/>
    <w:rsid w:val="00895066"/>
    <w:rsid w:val="0089534A"/>
    <w:rsid w:val="008953DC"/>
    <w:rsid w:val="008962B3"/>
    <w:rsid w:val="0089742A"/>
    <w:rsid w:val="00897B7D"/>
    <w:rsid w:val="00897F67"/>
    <w:rsid w:val="008A00F4"/>
    <w:rsid w:val="008A040E"/>
    <w:rsid w:val="008A04A6"/>
    <w:rsid w:val="008A181D"/>
    <w:rsid w:val="008A1F3E"/>
    <w:rsid w:val="008A23CF"/>
    <w:rsid w:val="008A42D9"/>
    <w:rsid w:val="008A4488"/>
    <w:rsid w:val="008A4A11"/>
    <w:rsid w:val="008A50DE"/>
    <w:rsid w:val="008A5B38"/>
    <w:rsid w:val="008A6A0E"/>
    <w:rsid w:val="008A7CA3"/>
    <w:rsid w:val="008B056F"/>
    <w:rsid w:val="008B1A1D"/>
    <w:rsid w:val="008B26E3"/>
    <w:rsid w:val="008B2DB8"/>
    <w:rsid w:val="008B2F22"/>
    <w:rsid w:val="008B3886"/>
    <w:rsid w:val="008B3F29"/>
    <w:rsid w:val="008B4145"/>
    <w:rsid w:val="008B648C"/>
    <w:rsid w:val="008B676B"/>
    <w:rsid w:val="008B69F9"/>
    <w:rsid w:val="008B6BF6"/>
    <w:rsid w:val="008B6D81"/>
    <w:rsid w:val="008B7260"/>
    <w:rsid w:val="008B78F7"/>
    <w:rsid w:val="008C027F"/>
    <w:rsid w:val="008C108D"/>
    <w:rsid w:val="008C24D8"/>
    <w:rsid w:val="008C2555"/>
    <w:rsid w:val="008C291B"/>
    <w:rsid w:val="008C2AA6"/>
    <w:rsid w:val="008C33CA"/>
    <w:rsid w:val="008C401F"/>
    <w:rsid w:val="008C6542"/>
    <w:rsid w:val="008C7C74"/>
    <w:rsid w:val="008C7F3A"/>
    <w:rsid w:val="008D0D35"/>
    <w:rsid w:val="008D0FE3"/>
    <w:rsid w:val="008D1198"/>
    <w:rsid w:val="008D12C5"/>
    <w:rsid w:val="008D2BEF"/>
    <w:rsid w:val="008D3284"/>
    <w:rsid w:val="008D36C8"/>
    <w:rsid w:val="008D3E92"/>
    <w:rsid w:val="008D48EE"/>
    <w:rsid w:val="008D4D0E"/>
    <w:rsid w:val="008D50BC"/>
    <w:rsid w:val="008D5A64"/>
    <w:rsid w:val="008D62E9"/>
    <w:rsid w:val="008D7265"/>
    <w:rsid w:val="008D779F"/>
    <w:rsid w:val="008E0679"/>
    <w:rsid w:val="008E17A4"/>
    <w:rsid w:val="008E1AF5"/>
    <w:rsid w:val="008E3504"/>
    <w:rsid w:val="008E6610"/>
    <w:rsid w:val="008E6B5E"/>
    <w:rsid w:val="008E709F"/>
    <w:rsid w:val="008E7450"/>
    <w:rsid w:val="008E7DD5"/>
    <w:rsid w:val="008F10B2"/>
    <w:rsid w:val="008F2262"/>
    <w:rsid w:val="008F241C"/>
    <w:rsid w:val="008F2DD3"/>
    <w:rsid w:val="008F4766"/>
    <w:rsid w:val="008F4896"/>
    <w:rsid w:val="008F6354"/>
    <w:rsid w:val="0090092C"/>
    <w:rsid w:val="00901D82"/>
    <w:rsid w:val="009034A5"/>
    <w:rsid w:val="0090447F"/>
    <w:rsid w:val="00905D64"/>
    <w:rsid w:val="00906B7D"/>
    <w:rsid w:val="00907FF9"/>
    <w:rsid w:val="00910444"/>
    <w:rsid w:val="0091176B"/>
    <w:rsid w:val="00911F42"/>
    <w:rsid w:val="00912C08"/>
    <w:rsid w:val="0091404E"/>
    <w:rsid w:val="0091514A"/>
    <w:rsid w:val="00915365"/>
    <w:rsid w:val="009153DB"/>
    <w:rsid w:val="0091789F"/>
    <w:rsid w:val="00920455"/>
    <w:rsid w:val="00920E4B"/>
    <w:rsid w:val="00920F32"/>
    <w:rsid w:val="00922629"/>
    <w:rsid w:val="00923427"/>
    <w:rsid w:val="00924683"/>
    <w:rsid w:val="0092560A"/>
    <w:rsid w:val="0092594D"/>
    <w:rsid w:val="00925ABD"/>
    <w:rsid w:val="00925D2D"/>
    <w:rsid w:val="00925E4C"/>
    <w:rsid w:val="00926202"/>
    <w:rsid w:val="009307BD"/>
    <w:rsid w:val="00931A8D"/>
    <w:rsid w:val="0093249D"/>
    <w:rsid w:val="0093324C"/>
    <w:rsid w:val="00933B56"/>
    <w:rsid w:val="00934592"/>
    <w:rsid w:val="00934E73"/>
    <w:rsid w:val="0093536A"/>
    <w:rsid w:val="00936623"/>
    <w:rsid w:val="0093664C"/>
    <w:rsid w:val="00936CAE"/>
    <w:rsid w:val="009403B6"/>
    <w:rsid w:val="0094240A"/>
    <w:rsid w:val="00942930"/>
    <w:rsid w:val="00943288"/>
    <w:rsid w:val="00945613"/>
    <w:rsid w:val="00945706"/>
    <w:rsid w:val="00945A4D"/>
    <w:rsid w:val="00947626"/>
    <w:rsid w:val="009476C6"/>
    <w:rsid w:val="009518D0"/>
    <w:rsid w:val="00951B56"/>
    <w:rsid w:val="00951F19"/>
    <w:rsid w:val="00951FAF"/>
    <w:rsid w:val="0095234E"/>
    <w:rsid w:val="00952D9E"/>
    <w:rsid w:val="009544E9"/>
    <w:rsid w:val="009547FF"/>
    <w:rsid w:val="00955CA2"/>
    <w:rsid w:val="00956939"/>
    <w:rsid w:val="00957627"/>
    <w:rsid w:val="009578B6"/>
    <w:rsid w:val="0096077D"/>
    <w:rsid w:val="00960848"/>
    <w:rsid w:val="00962203"/>
    <w:rsid w:val="00962904"/>
    <w:rsid w:val="00962F88"/>
    <w:rsid w:val="0096364E"/>
    <w:rsid w:val="00964212"/>
    <w:rsid w:val="009654FE"/>
    <w:rsid w:val="00965EC6"/>
    <w:rsid w:val="009667ED"/>
    <w:rsid w:val="00966CA3"/>
    <w:rsid w:val="009703B0"/>
    <w:rsid w:val="009719A7"/>
    <w:rsid w:val="0097300C"/>
    <w:rsid w:val="009731ED"/>
    <w:rsid w:val="00973953"/>
    <w:rsid w:val="00973F65"/>
    <w:rsid w:val="00974C38"/>
    <w:rsid w:val="00975D05"/>
    <w:rsid w:val="00976101"/>
    <w:rsid w:val="00976550"/>
    <w:rsid w:val="0097685D"/>
    <w:rsid w:val="009776F9"/>
    <w:rsid w:val="00980154"/>
    <w:rsid w:val="0098050D"/>
    <w:rsid w:val="00980A87"/>
    <w:rsid w:val="00982114"/>
    <w:rsid w:val="00982A40"/>
    <w:rsid w:val="0098319E"/>
    <w:rsid w:val="009846EC"/>
    <w:rsid w:val="00984887"/>
    <w:rsid w:val="00985A9F"/>
    <w:rsid w:val="0098676B"/>
    <w:rsid w:val="0098778D"/>
    <w:rsid w:val="00987C8B"/>
    <w:rsid w:val="0099046D"/>
    <w:rsid w:val="0099091F"/>
    <w:rsid w:val="0099146D"/>
    <w:rsid w:val="009920F0"/>
    <w:rsid w:val="00994354"/>
    <w:rsid w:val="00994708"/>
    <w:rsid w:val="00995233"/>
    <w:rsid w:val="00995991"/>
    <w:rsid w:val="00995A64"/>
    <w:rsid w:val="00997C3B"/>
    <w:rsid w:val="009A0E10"/>
    <w:rsid w:val="009A17E6"/>
    <w:rsid w:val="009A276A"/>
    <w:rsid w:val="009A46BA"/>
    <w:rsid w:val="009A4779"/>
    <w:rsid w:val="009A48DD"/>
    <w:rsid w:val="009A4BCB"/>
    <w:rsid w:val="009A51C1"/>
    <w:rsid w:val="009A7551"/>
    <w:rsid w:val="009B0686"/>
    <w:rsid w:val="009B0B32"/>
    <w:rsid w:val="009B0DCA"/>
    <w:rsid w:val="009B0FEB"/>
    <w:rsid w:val="009B19BE"/>
    <w:rsid w:val="009B1D19"/>
    <w:rsid w:val="009B2E80"/>
    <w:rsid w:val="009B332F"/>
    <w:rsid w:val="009B376A"/>
    <w:rsid w:val="009B44E1"/>
    <w:rsid w:val="009B4DAD"/>
    <w:rsid w:val="009B4E1F"/>
    <w:rsid w:val="009B4E55"/>
    <w:rsid w:val="009B5855"/>
    <w:rsid w:val="009B6D3F"/>
    <w:rsid w:val="009C0A7C"/>
    <w:rsid w:val="009C11E3"/>
    <w:rsid w:val="009C1CE1"/>
    <w:rsid w:val="009C27D3"/>
    <w:rsid w:val="009C3564"/>
    <w:rsid w:val="009C4601"/>
    <w:rsid w:val="009C622C"/>
    <w:rsid w:val="009C6D60"/>
    <w:rsid w:val="009C700D"/>
    <w:rsid w:val="009D01B1"/>
    <w:rsid w:val="009D062B"/>
    <w:rsid w:val="009D130C"/>
    <w:rsid w:val="009D13FA"/>
    <w:rsid w:val="009D17F3"/>
    <w:rsid w:val="009D1F35"/>
    <w:rsid w:val="009D2B3E"/>
    <w:rsid w:val="009D3632"/>
    <w:rsid w:val="009D47FE"/>
    <w:rsid w:val="009D6470"/>
    <w:rsid w:val="009D7360"/>
    <w:rsid w:val="009D74B1"/>
    <w:rsid w:val="009D7C64"/>
    <w:rsid w:val="009E0852"/>
    <w:rsid w:val="009E09D7"/>
    <w:rsid w:val="009E1A67"/>
    <w:rsid w:val="009E1AA0"/>
    <w:rsid w:val="009E1FBF"/>
    <w:rsid w:val="009E2048"/>
    <w:rsid w:val="009E2FEF"/>
    <w:rsid w:val="009E35D3"/>
    <w:rsid w:val="009E394A"/>
    <w:rsid w:val="009E4084"/>
    <w:rsid w:val="009F01F4"/>
    <w:rsid w:val="009F051C"/>
    <w:rsid w:val="009F07F9"/>
    <w:rsid w:val="009F0FF4"/>
    <w:rsid w:val="009F1190"/>
    <w:rsid w:val="009F2B91"/>
    <w:rsid w:val="009F2D9B"/>
    <w:rsid w:val="009F4163"/>
    <w:rsid w:val="009F50B3"/>
    <w:rsid w:val="009F6612"/>
    <w:rsid w:val="009F7CFF"/>
    <w:rsid w:val="00A008AC"/>
    <w:rsid w:val="00A00A74"/>
    <w:rsid w:val="00A00C35"/>
    <w:rsid w:val="00A017F8"/>
    <w:rsid w:val="00A0199D"/>
    <w:rsid w:val="00A0222C"/>
    <w:rsid w:val="00A0251D"/>
    <w:rsid w:val="00A02532"/>
    <w:rsid w:val="00A0291F"/>
    <w:rsid w:val="00A02EE6"/>
    <w:rsid w:val="00A03250"/>
    <w:rsid w:val="00A0357D"/>
    <w:rsid w:val="00A03DB6"/>
    <w:rsid w:val="00A040FE"/>
    <w:rsid w:val="00A04B87"/>
    <w:rsid w:val="00A04D10"/>
    <w:rsid w:val="00A055FE"/>
    <w:rsid w:val="00A057CA"/>
    <w:rsid w:val="00A059F6"/>
    <w:rsid w:val="00A067D3"/>
    <w:rsid w:val="00A110CF"/>
    <w:rsid w:val="00A11502"/>
    <w:rsid w:val="00A11940"/>
    <w:rsid w:val="00A11FF5"/>
    <w:rsid w:val="00A1340F"/>
    <w:rsid w:val="00A13E0F"/>
    <w:rsid w:val="00A17634"/>
    <w:rsid w:val="00A20A20"/>
    <w:rsid w:val="00A20BCB"/>
    <w:rsid w:val="00A21F4A"/>
    <w:rsid w:val="00A22756"/>
    <w:rsid w:val="00A22B9A"/>
    <w:rsid w:val="00A22B9F"/>
    <w:rsid w:val="00A23869"/>
    <w:rsid w:val="00A23AC4"/>
    <w:rsid w:val="00A24892"/>
    <w:rsid w:val="00A24B52"/>
    <w:rsid w:val="00A258A2"/>
    <w:rsid w:val="00A302F0"/>
    <w:rsid w:val="00A31214"/>
    <w:rsid w:val="00A31642"/>
    <w:rsid w:val="00A31B8E"/>
    <w:rsid w:val="00A321D0"/>
    <w:rsid w:val="00A333AB"/>
    <w:rsid w:val="00A33CEE"/>
    <w:rsid w:val="00A3423C"/>
    <w:rsid w:val="00A35194"/>
    <w:rsid w:val="00A353FE"/>
    <w:rsid w:val="00A35A08"/>
    <w:rsid w:val="00A37E8D"/>
    <w:rsid w:val="00A409D2"/>
    <w:rsid w:val="00A425DD"/>
    <w:rsid w:val="00A42992"/>
    <w:rsid w:val="00A42D34"/>
    <w:rsid w:val="00A43942"/>
    <w:rsid w:val="00A443E2"/>
    <w:rsid w:val="00A44AF9"/>
    <w:rsid w:val="00A45DFB"/>
    <w:rsid w:val="00A47B99"/>
    <w:rsid w:val="00A50BF6"/>
    <w:rsid w:val="00A52484"/>
    <w:rsid w:val="00A54946"/>
    <w:rsid w:val="00A54AAF"/>
    <w:rsid w:val="00A55059"/>
    <w:rsid w:val="00A57171"/>
    <w:rsid w:val="00A57740"/>
    <w:rsid w:val="00A578EB"/>
    <w:rsid w:val="00A57E56"/>
    <w:rsid w:val="00A57E9A"/>
    <w:rsid w:val="00A60C4D"/>
    <w:rsid w:val="00A62B0A"/>
    <w:rsid w:val="00A62B8B"/>
    <w:rsid w:val="00A64186"/>
    <w:rsid w:val="00A649E8"/>
    <w:rsid w:val="00A66037"/>
    <w:rsid w:val="00A66E2C"/>
    <w:rsid w:val="00A7164A"/>
    <w:rsid w:val="00A721EC"/>
    <w:rsid w:val="00A72A72"/>
    <w:rsid w:val="00A7331B"/>
    <w:rsid w:val="00A73702"/>
    <w:rsid w:val="00A747F2"/>
    <w:rsid w:val="00A75660"/>
    <w:rsid w:val="00A76375"/>
    <w:rsid w:val="00A77CEE"/>
    <w:rsid w:val="00A804F6"/>
    <w:rsid w:val="00A80C96"/>
    <w:rsid w:val="00A82BBB"/>
    <w:rsid w:val="00A8343C"/>
    <w:rsid w:val="00A83B1A"/>
    <w:rsid w:val="00A83D09"/>
    <w:rsid w:val="00A84B11"/>
    <w:rsid w:val="00A850A7"/>
    <w:rsid w:val="00A862DF"/>
    <w:rsid w:val="00A86B9A"/>
    <w:rsid w:val="00A87860"/>
    <w:rsid w:val="00A87C33"/>
    <w:rsid w:val="00A90EF9"/>
    <w:rsid w:val="00A91348"/>
    <w:rsid w:val="00A92C53"/>
    <w:rsid w:val="00A9414B"/>
    <w:rsid w:val="00A94B55"/>
    <w:rsid w:val="00A9527D"/>
    <w:rsid w:val="00A956BC"/>
    <w:rsid w:val="00A96981"/>
    <w:rsid w:val="00A96C30"/>
    <w:rsid w:val="00AA1580"/>
    <w:rsid w:val="00AA179D"/>
    <w:rsid w:val="00AA1C4F"/>
    <w:rsid w:val="00AA30D3"/>
    <w:rsid w:val="00AA33F2"/>
    <w:rsid w:val="00AA44CF"/>
    <w:rsid w:val="00AA45A2"/>
    <w:rsid w:val="00AA4F21"/>
    <w:rsid w:val="00AA5CA3"/>
    <w:rsid w:val="00AB01E7"/>
    <w:rsid w:val="00AB0E61"/>
    <w:rsid w:val="00AB1CF5"/>
    <w:rsid w:val="00AB20CA"/>
    <w:rsid w:val="00AB2D7C"/>
    <w:rsid w:val="00AB44D0"/>
    <w:rsid w:val="00AB4865"/>
    <w:rsid w:val="00AB70F2"/>
    <w:rsid w:val="00AB7179"/>
    <w:rsid w:val="00AC3B15"/>
    <w:rsid w:val="00AC4A10"/>
    <w:rsid w:val="00AC5E37"/>
    <w:rsid w:val="00AC7A3C"/>
    <w:rsid w:val="00AC7A75"/>
    <w:rsid w:val="00AC7A7C"/>
    <w:rsid w:val="00AD025B"/>
    <w:rsid w:val="00AD4BF8"/>
    <w:rsid w:val="00AD500A"/>
    <w:rsid w:val="00AD74A5"/>
    <w:rsid w:val="00AD7F15"/>
    <w:rsid w:val="00AE1DA2"/>
    <w:rsid w:val="00AE215D"/>
    <w:rsid w:val="00AE2177"/>
    <w:rsid w:val="00AE2569"/>
    <w:rsid w:val="00AE2CBB"/>
    <w:rsid w:val="00AE37DF"/>
    <w:rsid w:val="00AE3E88"/>
    <w:rsid w:val="00AE405F"/>
    <w:rsid w:val="00AE5551"/>
    <w:rsid w:val="00AE6B43"/>
    <w:rsid w:val="00AE6D9D"/>
    <w:rsid w:val="00AE6EF8"/>
    <w:rsid w:val="00AE71EB"/>
    <w:rsid w:val="00AE77F5"/>
    <w:rsid w:val="00AF05CD"/>
    <w:rsid w:val="00AF0710"/>
    <w:rsid w:val="00AF0B2F"/>
    <w:rsid w:val="00AF109C"/>
    <w:rsid w:val="00AF141B"/>
    <w:rsid w:val="00AF38D6"/>
    <w:rsid w:val="00AF4966"/>
    <w:rsid w:val="00AF4C19"/>
    <w:rsid w:val="00B00639"/>
    <w:rsid w:val="00B01ED7"/>
    <w:rsid w:val="00B0241E"/>
    <w:rsid w:val="00B027A7"/>
    <w:rsid w:val="00B029BE"/>
    <w:rsid w:val="00B03C04"/>
    <w:rsid w:val="00B03F2B"/>
    <w:rsid w:val="00B04CC9"/>
    <w:rsid w:val="00B063EA"/>
    <w:rsid w:val="00B10D08"/>
    <w:rsid w:val="00B11244"/>
    <w:rsid w:val="00B11EC8"/>
    <w:rsid w:val="00B12914"/>
    <w:rsid w:val="00B1485D"/>
    <w:rsid w:val="00B162B8"/>
    <w:rsid w:val="00B165E9"/>
    <w:rsid w:val="00B16816"/>
    <w:rsid w:val="00B1681B"/>
    <w:rsid w:val="00B168DB"/>
    <w:rsid w:val="00B171C1"/>
    <w:rsid w:val="00B1786A"/>
    <w:rsid w:val="00B2049E"/>
    <w:rsid w:val="00B20C04"/>
    <w:rsid w:val="00B20FE6"/>
    <w:rsid w:val="00B2159C"/>
    <w:rsid w:val="00B21E4D"/>
    <w:rsid w:val="00B21FBF"/>
    <w:rsid w:val="00B2263C"/>
    <w:rsid w:val="00B233DA"/>
    <w:rsid w:val="00B23875"/>
    <w:rsid w:val="00B248B3"/>
    <w:rsid w:val="00B24EFE"/>
    <w:rsid w:val="00B26697"/>
    <w:rsid w:val="00B266D4"/>
    <w:rsid w:val="00B274E8"/>
    <w:rsid w:val="00B30561"/>
    <w:rsid w:val="00B3391E"/>
    <w:rsid w:val="00B33EBE"/>
    <w:rsid w:val="00B34E73"/>
    <w:rsid w:val="00B35D1D"/>
    <w:rsid w:val="00B365E1"/>
    <w:rsid w:val="00B37D38"/>
    <w:rsid w:val="00B37E04"/>
    <w:rsid w:val="00B400EA"/>
    <w:rsid w:val="00B4083A"/>
    <w:rsid w:val="00B41672"/>
    <w:rsid w:val="00B425A3"/>
    <w:rsid w:val="00B438EB"/>
    <w:rsid w:val="00B43DBA"/>
    <w:rsid w:val="00B45244"/>
    <w:rsid w:val="00B46A23"/>
    <w:rsid w:val="00B50526"/>
    <w:rsid w:val="00B508F5"/>
    <w:rsid w:val="00B51100"/>
    <w:rsid w:val="00B5162C"/>
    <w:rsid w:val="00B5178B"/>
    <w:rsid w:val="00B51967"/>
    <w:rsid w:val="00B51C16"/>
    <w:rsid w:val="00B520B8"/>
    <w:rsid w:val="00B5304E"/>
    <w:rsid w:val="00B55212"/>
    <w:rsid w:val="00B5529E"/>
    <w:rsid w:val="00B605B9"/>
    <w:rsid w:val="00B61F74"/>
    <w:rsid w:val="00B625FD"/>
    <w:rsid w:val="00B6287C"/>
    <w:rsid w:val="00B63D36"/>
    <w:rsid w:val="00B63E92"/>
    <w:rsid w:val="00B658A9"/>
    <w:rsid w:val="00B662E2"/>
    <w:rsid w:val="00B67C77"/>
    <w:rsid w:val="00B67C7F"/>
    <w:rsid w:val="00B704FE"/>
    <w:rsid w:val="00B70711"/>
    <w:rsid w:val="00B70D08"/>
    <w:rsid w:val="00B71185"/>
    <w:rsid w:val="00B7141F"/>
    <w:rsid w:val="00B7157F"/>
    <w:rsid w:val="00B725C3"/>
    <w:rsid w:val="00B72B23"/>
    <w:rsid w:val="00B73427"/>
    <w:rsid w:val="00B73475"/>
    <w:rsid w:val="00B73A05"/>
    <w:rsid w:val="00B74505"/>
    <w:rsid w:val="00B74E28"/>
    <w:rsid w:val="00B75C7F"/>
    <w:rsid w:val="00B764B6"/>
    <w:rsid w:val="00B771F9"/>
    <w:rsid w:val="00B7741F"/>
    <w:rsid w:val="00B83068"/>
    <w:rsid w:val="00B833CF"/>
    <w:rsid w:val="00B83EFC"/>
    <w:rsid w:val="00B8443D"/>
    <w:rsid w:val="00B85CA5"/>
    <w:rsid w:val="00B863FF"/>
    <w:rsid w:val="00B878DF"/>
    <w:rsid w:val="00B903FD"/>
    <w:rsid w:val="00B911D7"/>
    <w:rsid w:val="00B91D22"/>
    <w:rsid w:val="00B91FA3"/>
    <w:rsid w:val="00B920F4"/>
    <w:rsid w:val="00B9270D"/>
    <w:rsid w:val="00B929F0"/>
    <w:rsid w:val="00B92CEA"/>
    <w:rsid w:val="00B94E07"/>
    <w:rsid w:val="00B94FD5"/>
    <w:rsid w:val="00BA0925"/>
    <w:rsid w:val="00BA133F"/>
    <w:rsid w:val="00BA1440"/>
    <w:rsid w:val="00BA2635"/>
    <w:rsid w:val="00BA310B"/>
    <w:rsid w:val="00BA320E"/>
    <w:rsid w:val="00BA33E6"/>
    <w:rsid w:val="00BA413B"/>
    <w:rsid w:val="00BA4B54"/>
    <w:rsid w:val="00BA4EEE"/>
    <w:rsid w:val="00BA5B8F"/>
    <w:rsid w:val="00BA60F9"/>
    <w:rsid w:val="00BA6456"/>
    <w:rsid w:val="00BA6A21"/>
    <w:rsid w:val="00BB03BA"/>
    <w:rsid w:val="00BB0FB6"/>
    <w:rsid w:val="00BB1A9B"/>
    <w:rsid w:val="00BB1BD6"/>
    <w:rsid w:val="00BB2094"/>
    <w:rsid w:val="00BB3325"/>
    <w:rsid w:val="00BB3B89"/>
    <w:rsid w:val="00BB4450"/>
    <w:rsid w:val="00BB7507"/>
    <w:rsid w:val="00BC0FC2"/>
    <w:rsid w:val="00BC165C"/>
    <w:rsid w:val="00BC363B"/>
    <w:rsid w:val="00BC40FB"/>
    <w:rsid w:val="00BC4F08"/>
    <w:rsid w:val="00BC551F"/>
    <w:rsid w:val="00BC5A0F"/>
    <w:rsid w:val="00BC70A9"/>
    <w:rsid w:val="00BC796F"/>
    <w:rsid w:val="00BD06A8"/>
    <w:rsid w:val="00BD07C4"/>
    <w:rsid w:val="00BD22D6"/>
    <w:rsid w:val="00BD27CC"/>
    <w:rsid w:val="00BD28D4"/>
    <w:rsid w:val="00BD3FC8"/>
    <w:rsid w:val="00BD4F05"/>
    <w:rsid w:val="00BD51E2"/>
    <w:rsid w:val="00BD558E"/>
    <w:rsid w:val="00BD63DB"/>
    <w:rsid w:val="00BE2A36"/>
    <w:rsid w:val="00BE2BE8"/>
    <w:rsid w:val="00BE30B1"/>
    <w:rsid w:val="00BE3A51"/>
    <w:rsid w:val="00BE3C0C"/>
    <w:rsid w:val="00BE3F9E"/>
    <w:rsid w:val="00BE4E50"/>
    <w:rsid w:val="00BE62A0"/>
    <w:rsid w:val="00BE6706"/>
    <w:rsid w:val="00BE75FD"/>
    <w:rsid w:val="00BE76A4"/>
    <w:rsid w:val="00BF0D2F"/>
    <w:rsid w:val="00BF1657"/>
    <w:rsid w:val="00BF255F"/>
    <w:rsid w:val="00BF2A67"/>
    <w:rsid w:val="00BF2B61"/>
    <w:rsid w:val="00BF331D"/>
    <w:rsid w:val="00BF450D"/>
    <w:rsid w:val="00BF4E9F"/>
    <w:rsid w:val="00C0090A"/>
    <w:rsid w:val="00C00C52"/>
    <w:rsid w:val="00C00F89"/>
    <w:rsid w:val="00C0103C"/>
    <w:rsid w:val="00C01BC0"/>
    <w:rsid w:val="00C02B70"/>
    <w:rsid w:val="00C02D31"/>
    <w:rsid w:val="00C03896"/>
    <w:rsid w:val="00C03F04"/>
    <w:rsid w:val="00C04A39"/>
    <w:rsid w:val="00C04F02"/>
    <w:rsid w:val="00C050A9"/>
    <w:rsid w:val="00C05345"/>
    <w:rsid w:val="00C05BEA"/>
    <w:rsid w:val="00C07FA3"/>
    <w:rsid w:val="00C10A44"/>
    <w:rsid w:val="00C11156"/>
    <w:rsid w:val="00C1122C"/>
    <w:rsid w:val="00C11292"/>
    <w:rsid w:val="00C115BA"/>
    <w:rsid w:val="00C11D74"/>
    <w:rsid w:val="00C11EE9"/>
    <w:rsid w:val="00C12465"/>
    <w:rsid w:val="00C130AA"/>
    <w:rsid w:val="00C14121"/>
    <w:rsid w:val="00C149DB"/>
    <w:rsid w:val="00C14E31"/>
    <w:rsid w:val="00C155A7"/>
    <w:rsid w:val="00C15B0E"/>
    <w:rsid w:val="00C15B7E"/>
    <w:rsid w:val="00C177A7"/>
    <w:rsid w:val="00C20525"/>
    <w:rsid w:val="00C20BE2"/>
    <w:rsid w:val="00C220B5"/>
    <w:rsid w:val="00C22539"/>
    <w:rsid w:val="00C22792"/>
    <w:rsid w:val="00C22906"/>
    <w:rsid w:val="00C22B36"/>
    <w:rsid w:val="00C2350E"/>
    <w:rsid w:val="00C23AFB"/>
    <w:rsid w:val="00C2492F"/>
    <w:rsid w:val="00C25BB4"/>
    <w:rsid w:val="00C2719C"/>
    <w:rsid w:val="00C27FD0"/>
    <w:rsid w:val="00C30024"/>
    <w:rsid w:val="00C3049D"/>
    <w:rsid w:val="00C3111F"/>
    <w:rsid w:val="00C315AE"/>
    <w:rsid w:val="00C3197C"/>
    <w:rsid w:val="00C31EB2"/>
    <w:rsid w:val="00C31EF9"/>
    <w:rsid w:val="00C32A55"/>
    <w:rsid w:val="00C3327E"/>
    <w:rsid w:val="00C342F3"/>
    <w:rsid w:val="00C3503B"/>
    <w:rsid w:val="00C354E1"/>
    <w:rsid w:val="00C3573D"/>
    <w:rsid w:val="00C35A16"/>
    <w:rsid w:val="00C361B1"/>
    <w:rsid w:val="00C3622B"/>
    <w:rsid w:val="00C36473"/>
    <w:rsid w:val="00C36D5F"/>
    <w:rsid w:val="00C3728D"/>
    <w:rsid w:val="00C37723"/>
    <w:rsid w:val="00C37D71"/>
    <w:rsid w:val="00C4311F"/>
    <w:rsid w:val="00C45152"/>
    <w:rsid w:val="00C45868"/>
    <w:rsid w:val="00C459E4"/>
    <w:rsid w:val="00C45A4B"/>
    <w:rsid w:val="00C45F8E"/>
    <w:rsid w:val="00C46C3A"/>
    <w:rsid w:val="00C47666"/>
    <w:rsid w:val="00C50075"/>
    <w:rsid w:val="00C513FD"/>
    <w:rsid w:val="00C51452"/>
    <w:rsid w:val="00C516F6"/>
    <w:rsid w:val="00C51D0A"/>
    <w:rsid w:val="00C51D4A"/>
    <w:rsid w:val="00C51E16"/>
    <w:rsid w:val="00C52071"/>
    <w:rsid w:val="00C5217E"/>
    <w:rsid w:val="00C52761"/>
    <w:rsid w:val="00C52C53"/>
    <w:rsid w:val="00C5326D"/>
    <w:rsid w:val="00C54D64"/>
    <w:rsid w:val="00C55060"/>
    <w:rsid w:val="00C55804"/>
    <w:rsid w:val="00C55B73"/>
    <w:rsid w:val="00C56B7D"/>
    <w:rsid w:val="00C5739D"/>
    <w:rsid w:val="00C57B0C"/>
    <w:rsid w:val="00C606CB"/>
    <w:rsid w:val="00C609C3"/>
    <w:rsid w:val="00C61001"/>
    <w:rsid w:val="00C61333"/>
    <w:rsid w:val="00C6163B"/>
    <w:rsid w:val="00C6259D"/>
    <w:rsid w:val="00C62C73"/>
    <w:rsid w:val="00C63F1F"/>
    <w:rsid w:val="00C640FC"/>
    <w:rsid w:val="00C64AEF"/>
    <w:rsid w:val="00C64C60"/>
    <w:rsid w:val="00C64C68"/>
    <w:rsid w:val="00C6540D"/>
    <w:rsid w:val="00C661E5"/>
    <w:rsid w:val="00C6766B"/>
    <w:rsid w:val="00C6766D"/>
    <w:rsid w:val="00C67E4E"/>
    <w:rsid w:val="00C70AB5"/>
    <w:rsid w:val="00C71821"/>
    <w:rsid w:val="00C728DC"/>
    <w:rsid w:val="00C72913"/>
    <w:rsid w:val="00C73D22"/>
    <w:rsid w:val="00C744AF"/>
    <w:rsid w:val="00C778BD"/>
    <w:rsid w:val="00C779C3"/>
    <w:rsid w:val="00C80052"/>
    <w:rsid w:val="00C80581"/>
    <w:rsid w:val="00C80E24"/>
    <w:rsid w:val="00C80E9B"/>
    <w:rsid w:val="00C81AF4"/>
    <w:rsid w:val="00C81DA6"/>
    <w:rsid w:val="00C82DA3"/>
    <w:rsid w:val="00C831BA"/>
    <w:rsid w:val="00C8344E"/>
    <w:rsid w:val="00C8365C"/>
    <w:rsid w:val="00C83902"/>
    <w:rsid w:val="00C83E40"/>
    <w:rsid w:val="00C84E73"/>
    <w:rsid w:val="00C86D1F"/>
    <w:rsid w:val="00C86F9E"/>
    <w:rsid w:val="00C90402"/>
    <w:rsid w:val="00C90FA3"/>
    <w:rsid w:val="00C91993"/>
    <w:rsid w:val="00C91CC8"/>
    <w:rsid w:val="00C9374F"/>
    <w:rsid w:val="00C93BF3"/>
    <w:rsid w:val="00C94F89"/>
    <w:rsid w:val="00C95479"/>
    <w:rsid w:val="00C9586A"/>
    <w:rsid w:val="00C96E89"/>
    <w:rsid w:val="00CA0A7A"/>
    <w:rsid w:val="00CA138F"/>
    <w:rsid w:val="00CA22AB"/>
    <w:rsid w:val="00CA23CD"/>
    <w:rsid w:val="00CA24FF"/>
    <w:rsid w:val="00CA27D8"/>
    <w:rsid w:val="00CA361D"/>
    <w:rsid w:val="00CA4C17"/>
    <w:rsid w:val="00CA4E9A"/>
    <w:rsid w:val="00CA68E1"/>
    <w:rsid w:val="00CA7C9D"/>
    <w:rsid w:val="00CB0089"/>
    <w:rsid w:val="00CB0360"/>
    <w:rsid w:val="00CB07AF"/>
    <w:rsid w:val="00CB09A3"/>
    <w:rsid w:val="00CB1A78"/>
    <w:rsid w:val="00CB1D80"/>
    <w:rsid w:val="00CB29F6"/>
    <w:rsid w:val="00CB36DB"/>
    <w:rsid w:val="00CB4021"/>
    <w:rsid w:val="00CB436A"/>
    <w:rsid w:val="00CB4799"/>
    <w:rsid w:val="00CB497A"/>
    <w:rsid w:val="00CB603D"/>
    <w:rsid w:val="00CB65AD"/>
    <w:rsid w:val="00CB7B39"/>
    <w:rsid w:val="00CC1210"/>
    <w:rsid w:val="00CC14FF"/>
    <w:rsid w:val="00CC2A23"/>
    <w:rsid w:val="00CC5457"/>
    <w:rsid w:val="00CC5495"/>
    <w:rsid w:val="00CD1456"/>
    <w:rsid w:val="00CD1E0A"/>
    <w:rsid w:val="00CD1EE2"/>
    <w:rsid w:val="00CD380C"/>
    <w:rsid w:val="00CD3B51"/>
    <w:rsid w:val="00CD4B8C"/>
    <w:rsid w:val="00CD4CED"/>
    <w:rsid w:val="00CD558E"/>
    <w:rsid w:val="00CD5A14"/>
    <w:rsid w:val="00CD5ADA"/>
    <w:rsid w:val="00CD6DD7"/>
    <w:rsid w:val="00CD746C"/>
    <w:rsid w:val="00CD7A80"/>
    <w:rsid w:val="00CD7B16"/>
    <w:rsid w:val="00CE293D"/>
    <w:rsid w:val="00CE2B06"/>
    <w:rsid w:val="00CE441C"/>
    <w:rsid w:val="00CE467F"/>
    <w:rsid w:val="00CE49AA"/>
    <w:rsid w:val="00CE5D04"/>
    <w:rsid w:val="00CE5F0D"/>
    <w:rsid w:val="00CE653C"/>
    <w:rsid w:val="00CE7810"/>
    <w:rsid w:val="00CE7E99"/>
    <w:rsid w:val="00CF14B0"/>
    <w:rsid w:val="00CF1798"/>
    <w:rsid w:val="00CF2775"/>
    <w:rsid w:val="00CF2DE7"/>
    <w:rsid w:val="00CF3FBF"/>
    <w:rsid w:val="00CF405A"/>
    <w:rsid w:val="00CF4BBE"/>
    <w:rsid w:val="00CF7892"/>
    <w:rsid w:val="00CF7EDE"/>
    <w:rsid w:val="00D006E7"/>
    <w:rsid w:val="00D00791"/>
    <w:rsid w:val="00D007FF"/>
    <w:rsid w:val="00D01642"/>
    <w:rsid w:val="00D020C3"/>
    <w:rsid w:val="00D0258D"/>
    <w:rsid w:val="00D033DE"/>
    <w:rsid w:val="00D05B71"/>
    <w:rsid w:val="00D06BDF"/>
    <w:rsid w:val="00D0723F"/>
    <w:rsid w:val="00D073AD"/>
    <w:rsid w:val="00D07AEE"/>
    <w:rsid w:val="00D07B4F"/>
    <w:rsid w:val="00D10CD6"/>
    <w:rsid w:val="00D1173B"/>
    <w:rsid w:val="00D138C4"/>
    <w:rsid w:val="00D13AED"/>
    <w:rsid w:val="00D1402A"/>
    <w:rsid w:val="00D1423A"/>
    <w:rsid w:val="00D14374"/>
    <w:rsid w:val="00D14520"/>
    <w:rsid w:val="00D151A5"/>
    <w:rsid w:val="00D156E1"/>
    <w:rsid w:val="00D165F9"/>
    <w:rsid w:val="00D16B21"/>
    <w:rsid w:val="00D1711A"/>
    <w:rsid w:val="00D17206"/>
    <w:rsid w:val="00D21907"/>
    <w:rsid w:val="00D2197F"/>
    <w:rsid w:val="00D22049"/>
    <w:rsid w:val="00D22D09"/>
    <w:rsid w:val="00D240BF"/>
    <w:rsid w:val="00D2425D"/>
    <w:rsid w:val="00D245C1"/>
    <w:rsid w:val="00D25C96"/>
    <w:rsid w:val="00D25FBE"/>
    <w:rsid w:val="00D26DAA"/>
    <w:rsid w:val="00D27286"/>
    <w:rsid w:val="00D27558"/>
    <w:rsid w:val="00D276A9"/>
    <w:rsid w:val="00D306EB"/>
    <w:rsid w:val="00D31960"/>
    <w:rsid w:val="00D31F51"/>
    <w:rsid w:val="00D329AE"/>
    <w:rsid w:val="00D33E09"/>
    <w:rsid w:val="00D343A7"/>
    <w:rsid w:val="00D3460D"/>
    <w:rsid w:val="00D365E3"/>
    <w:rsid w:val="00D375BE"/>
    <w:rsid w:val="00D37969"/>
    <w:rsid w:val="00D4091C"/>
    <w:rsid w:val="00D416DA"/>
    <w:rsid w:val="00D43A9D"/>
    <w:rsid w:val="00D4457C"/>
    <w:rsid w:val="00D450BB"/>
    <w:rsid w:val="00D45A73"/>
    <w:rsid w:val="00D45F14"/>
    <w:rsid w:val="00D4742C"/>
    <w:rsid w:val="00D479E3"/>
    <w:rsid w:val="00D50B92"/>
    <w:rsid w:val="00D516FF"/>
    <w:rsid w:val="00D51CFD"/>
    <w:rsid w:val="00D52847"/>
    <w:rsid w:val="00D52D71"/>
    <w:rsid w:val="00D5344D"/>
    <w:rsid w:val="00D5367D"/>
    <w:rsid w:val="00D54679"/>
    <w:rsid w:val="00D54BEE"/>
    <w:rsid w:val="00D55AB8"/>
    <w:rsid w:val="00D55D69"/>
    <w:rsid w:val="00D55EA7"/>
    <w:rsid w:val="00D6089A"/>
    <w:rsid w:val="00D60DD3"/>
    <w:rsid w:val="00D6146F"/>
    <w:rsid w:val="00D61DB6"/>
    <w:rsid w:val="00D62556"/>
    <w:rsid w:val="00D62792"/>
    <w:rsid w:val="00D63503"/>
    <w:rsid w:val="00D637EB"/>
    <w:rsid w:val="00D645DE"/>
    <w:rsid w:val="00D64EB8"/>
    <w:rsid w:val="00D66F61"/>
    <w:rsid w:val="00D67356"/>
    <w:rsid w:val="00D67DDD"/>
    <w:rsid w:val="00D70766"/>
    <w:rsid w:val="00D70E89"/>
    <w:rsid w:val="00D713CE"/>
    <w:rsid w:val="00D718CA"/>
    <w:rsid w:val="00D71D6D"/>
    <w:rsid w:val="00D74A78"/>
    <w:rsid w:val="00D75B73"/>
    <w:rsid w:val="00D76011"/>
    <w:rsid w:val="00D772B4"/>
    <w:rsid w:val="00D80315"/>
    <w:rsid w:val="00D81D42"/>
    <w:rsid w:val="00D82217"/>
    <w:rsid w:val="00D82E9E"/>
    <w:rsid w:val="00D835F1"/>
    <w:rsid w:val="00D83669"/>
    <w:rsid w:val="00D8377F"/>
    <w:rsid w:val="00D84B00"/>
    <w:rsid w:val="00D84F22"/>
    <w:rsid w:val="00D85AD4"/>
    <w:rsid w:val="00D8662E"/>
    <w:rsid w:val="00D86A75"/>
    <w:rsid w:val="00D86CED"/>
    <w:rsid w:val="00D86E3C"/>
    <w:rsid w:val="00D919CB"/>
    <w:rsid w:val="00D928F5"/>
    <w:rsid w:val="00D92DDC"/>
    <w:rsid w:val="00D92F9E"/>
    <w:rsid w:val="00D93517"/>
    <w:rsid w:val="00D938D3"/>
    <w:rsid w:val="00D93A2A"/>
    <w:rsid w:val="00D94322"/>
    <w:rsid w:val="00D94841"/>
    <w:rsid w:val="00D95AB0"/>
    <w:rsid w:val="00D95E49"/>
    <w:rsid w:val="00D96266"/>
    <w:rsid w:val="00D9662D"/>
    <w:rsid w:val="00D96891"/>
    <w:rsid w:val="00D96E4C"/>
    <w:rsid w:val="00DA0673"/>
    <w:rsid w:val="00DA0823"/>
    <w:rsid w:val="00DA1C8E"/>
    <w:rsid w:val="00DA1E12"/>
    <w:rsid w:val="00DA2BD1"/>
    <w:rsid w:val="00DA356D"/>
    <w:rsid w:val="00DA3858"/>
    <w:rsid w:val="00DA3CD0"/>
    <w:rsid w:val="00DA501B"/>
    <w:rsid w:val="00DA6498"/>
    <w:rsid w:val="00DA6C72"/>
    <w:rsid w:val="00DA77A0"/>
    <w:rsid w:val="00DB04A4"/>
    <w:rsid w:val="00DB1339"/>
    <w:rsid w:val="00DB159B"/>
    <w:rsid w:val="00DB1AE6"/>
    <w:rsid w:val="00DB2CD0"/>
    <w:rsid w:val="00DB2D07"/>
    <w:rsid w:val="00DB47E7"/>
    <w:rsid w:val="00DB5532"/>
    <w:rsid w:val="00DB7020"/>
    <w:rsid w:val="00DB7489"/>
    <w:rsid w:val="00DB78A4"/>
    <w:rsid w:val="00DB7943"/>
    <w:rsid w:val="00DC0630"/>
    <w:rsid w:val="00DC1126"/>
    <w:rsid w:val="00DC4690"/>
    <w:rsid w:val="00DC4B06"/>
    <w:rsid w:val="00DC5C4C"/>
    <w:rsid w:val="00DD0516"/>
    <w:rsid w:val="00DD0C23"/>
    <w:rsid w:val="00DD0CC5"/>
    <w:rsid w:val="00DD0F45"/>
    <w:rsid w:val="00DD176B"/>
    <w:rsid w:val="00DD1929"/>
    <w:rsid w:val="00DD1BCA"/>
    <w:rsid w:val="00DD1D15"/>
    <w:rsid w:val="00DD28D9"/>
    <w:rsid w:val="00DD2FAE"/>
    <w:rsid w:val="00DD32C7"/>
    <w:rsid w:val="00DD3487"/>
    <w:rsid w:val="00DD3A0C"/>
    <w:rsid w:val="00DD3B93"/>
    <w:rsid w:val="00DD3E3B"/>
    <w:rsid w:val="00DD4C0C"/>
    <w:rsid w:val="00DD5293"/>
    <w:rsid w:val="00DD564A"/>
    <w:rsid w:val="00DD6BAF"/>
    <w:rsid w:val="00DD7035"/>
    <w:rsid w:val="00DE236A"/>
    <w:rsid w:val="00DE414B"/>
    <w:rsid w:val="00DF09A0"/>
    <w:rsid w:val="00DF0DE1"/>
    <w:rsid w:val="00DF1514"/>
    <w:rsid w:val="00DF22A8"/>
    <w:rsid w:val="00DF28AC"/>
    <w:rsid w:val="00DF38E1"/>
    <w:rsid w:val="00DF3DCA"/>
    <w:rsid w:val="00DF48CB"/>
    <w:rsid w:val="00DF58B6"/>
    <w:rsid w:val="00DF64F7"/>
    <w:rsid w:val="00DF6943"/>
    <w:rsid w:val="00E00579"/>
    <w:rsid w:val="00E0092B"/>
    <w:rsid w:val="00E014AA"/>
    <w:rsid w:val="00E034E3"/>
    <w:rsid w:val="00E03AC6"/>
    <w:rsid w:val="00E042A4"/>
    <w:rsid w:val="00E061C4"/>
    <w:rsid w:val="00E064DD"/>
    <w:rsid w:val="00E06B73"/>
    <w:rsid w:val="00E070FC"/>
    <w:rsid w:val="00E07295"/>
    <w:rsid w:val="00E074EA"/>
    <w:rsid w:val="00E0760D"/>
    <w:rsid w:val="00E100B6"/>
    <w:rsid w:val="00E116C2"/>
    <w:rsid w:val="00E117AD"/>
    <w:rsid w:val="00E11FD9"/>
    <w:rsid w:val="00E14400"/>
    <w:rsid w:val="00E146A6"/>
    <w:rsid w:val="00E14803"/>
    <w:rsid w:val="00E1530A"/>
    <w:rsid w:val="00E15A5E"/>
    <w:rsid w:val="00E168C1"/>
    <w:rsid w:val="00E169A8"/>
    <w:rsid w:val="00E16C06"/>
    <w:rsid w:val="00E172CC"/>
    <w:rsid w:val="00E21130"/>
    <w:rsid w:val="00E229FF"/>
    <w:rsid w:val="00E235AF"/>
    <w:rsid w:val="00E247C8"/>
    <w:rsid w:val="00E24880"/>
    <w:rsid w:val="00E252A1"/>
    <w:rsid w:val="00E25A1A"/>
    <w:rsid w:val="00E27F7B"/>
    <w:rsid w:val="00E30FA2"/>
    <w:rsid w:val="00E31430"/>
    <w:rsid w:val="00E32198"/>
    <w:rsid w:val="00E327DF"/>
    <w:rsid w:val="00E337CF"/>
    <w:rsid w:val="00E33FBD"/>
    <w:rsid w:val="00E3597D"/>
    <w:rsid w:val="00E35A3D"/>
    <w:rsid w:val="00E35FA8"/>
    <w:rsid w:val="00E37BDC"/>
    <w:rsid w:val="00E37C95"/>
    <w:rsid w:val="00E40B39"/>
    <w:rsid w:val="00E41F31"/>
    <w:rsid w:val="00E4232B"/>
    <w:rsid w:val="00E4293F"/>
    <w:rsid w:val="00E4361C"/>
    <w:rsid w:val="00E43E60"/>
    <w:rsid w:val="00E46829"/>
    <w:rsid w:val="00E46842"/>
    <w:rsid w:val="00E4726D"/>
    <w:rsid w:val="00E47457"/>
    <w:rsid w:val="00E5150D"/>
    <w:rsid w:val="00E52489"/>
    <w:rsid w:val="00E52778"/>
    <w:rsid w:val="00E5436C"/>
    <w:rsid w:val="00E544F8"/>
    <w:rsid w:val="00E559B7"/>
    <w:rsid w:val="00E60374"/>
    <w:rsid w:val="00E60699"/>
    <w:rsid w:val="00E609B4"/>
    <w:rsid w:val="00E61008"/>
    <w:rsid w:val="00E6141C"/>
    <w:rsid w:val="00E62EB0"/>
    <w:rsid w:val="00E63E2C"/>
    <w:rsid w:val="00E63EC6"/>
    <w:rsid w:val="00E642FA"/>
    <w:rsid w:val="00E64366"/>
    <w:rsid w:val="00E64994"/>
    <w:rsid w:val="00E6593E"/>
    <w:rsid w:val="00E65E54"/>
    <w:rsid w:val="00E662FE"/>
    <w:rsid w:val="00E67588"/>
    <w:rsid w:val="00E67AEB"/>
    <w:rsid w:val="00E7061D"/>
    <w:rsid w:val="00E7087F"/>
    <w:rsid w:val="00E70E57"/>
    <w:rsid w:val="00E714AC"/>
    <w:rsid w:val="00E729A3"/>
    <w:rsid w:val="00E72B2A"/>
    <w:rsid w:val="00E7403E"/>
    <w:rsid w:val="00E74253"/>
    <w:rsid w:val="00E74699"/>
    <w:rsid w:val="00E752C5"/>
    <w:rsid w:val="00E75F22"/>
    <w:rsid w:val="00E76B1D"/>
    <w:rsid w:val="00E76D0E"/>
    <w:rsid w:val="00E775B6"/>
    <w:rsid w:val="00E77BF6"/>
    <w:rsid w:val="00E77D24"/>
    <w:rsid w:val="00E8136D"/>
    <w:rsid w:val="00E814DA"/>
    <w:rsid w:val="00E81789"/>
    <w:rsid w:val="00E817DB"/>
    <w:rsid w:val="00E82013"/>
    <w:rsid w:val="00E82E32"/>
    <w:rsid w:val="00E842D4"/>
    <w:rsid w:val="00E84F76"/>
    <w:rsid w:val="00E85BEF"/>
    <w:rsid w:val="00E85DFA"/>
    <w:rsid w:val="00E86574"/>
    <w:rsid w:val="00E87151"/>
    <w:rsid w:val="00E875A3"/>
    <w:rsid w:val="00E87A06"/>
    <w:rsid w:val="00E87F73"/>
    <w:rsid w:val="00E905C9"/>
    <w:rsid w:val="00E91BDC"/>
    <w:rsid w:val="00E91F56"/>
    <w:rsid w:val="00E936AA"/>
    <w:rsid w:val="00E9544F"/>
    <w:rsid w:val="00E95712"/>
    <w:rsid w:val="00E95D1C"/>
    <w:rsid w:val="00E96684"/>
    <w:rsid w:val="00EA0C84"/>
    <w:rsid w:val="00EA0C91"/>
    <w:rsid w:val="00EA0E9D"/>
    <w:rsid w:val="00EA2B4F"/>
    <w:rsid w:val="00EA3E1A"/>
    <w:rsid w:val="00EA412C"/>
    <w:rsid w:val="00EA4604"/>
    <w:rsid w:val="00EA467B"/>
    <w:rsid w:val="00EA46F7"/>
    <w:rsid w:val="00EA53B9"/>
    <w:rsid w:val="00EA58BE"/>
    <w:rsid w:val="00EA61AF"/>
    <w:rsid w:val="00EA6913"/>
    <w:rsid w:val="00EB0A2A"/>
    <w:rsid w:val="00EB0E3A"/>
    <w:rsid w:val="00EB134A"/>
    <w:rsid w:val="00EB209A"/>
    <w:rsid w:val="00EB3A1E"/>
    <w:rsid w:val="00EB4010"/>
    <w:rsid w:val="00EB437D"/>
    <w:rsid w:val="00EB4DBE"/>
    <w:rsid w:val="00EB534F"/>
    <w:rsid w:val="00EB6E69"/>
    <w:rsid w:val="00EB6F3C"/>
    <w:rsid w:val="00EB71F9"/>
    <w:rsid w:val="00EB7A82"/>
    <w:rsid w:val="00EC0BD0"/>
    <w:rsid w:val="00EC11CB"/>
    <w:rsid w:val="00EC2C68"/>
    <w:rsid w:val="00EC4D11"/>
    <w:rsid w:val="00EC4DD2"/>
    <w:rsid w:val="00EC5632"/>
    <w:rsid w:val="00EC5D98"/>
    <w:rsid w:val="00EC5DFE"/>
    <w:rsid w:val="00EC61CE"/>
    <w:rsid w:val="00EC641C"/>
    <w:rsid w:val="00EC6E0A"/>
    <w:rsid w:val="00EC76E5"/>
    <w:rsid w:val="00EC7793"/>
    <w:rsid w:val="00EC7E9C"/>
    <w:rsid w:val="00ED0CD7"/>
    <w:rsid w:val="00ED0DE7"/>
    <w:rsid w:val="00ED2F4E"/>
    <w:rsid w:val="00ED3B64"/>
    <w:rsid w:val="00ED3DB1"/>
    <w:rsid w:val="00ED417C"/>
    <w:rsid w:val="00ED7F80"/>
    <w:rsid w:val="00EE0B0B"/>
    <w:rsid w:val="00EE0DCF"/>
    <w:rsid w:val="00EE1027"/>
    <w:rsid w:val="00EE157F"/>
    <w:rsid w:val="00EE2654"/>
    <w:rsid w:val="00EE2DD0"/>
    <w:rsid w:val="00EE30A1"/>
    <w:rsid w:val="00EE43B5"/>
    <w:rsid w:val="00EE4842"/>
    <w:rsid w:val="00EE5AD4"/>
    <w:rsid w:val="00EE62A4"/>
    <w:rsid w:val="00EE67AC"/>
    <w:rsid w:val="00EE6B2C"/>
    <w:rsid w:val="00EE7EB1"/>
    <w:rsid w:val="00EF119F"/>
    <w:rsid w:val="00EF2178"/>
    <w:rsid w:val="00EF27BA"/>
    <w:rsid w:val="00EF29A8"/>
    <w:rsid w:val="00EF2AA4"/>
    <w:rsid w:val="00EF3399"/>
    <w:rsid w:val="00EF39D7"/>
    <w:rsid w:val="00EF3D08"/>
    <w:rsid w:val="00EF6568"/>
    <w:rsid w:val="00EF7489"/>
    <w:rsid w:val="00EF75BF"/>
    <w:rsid w:val="00EF7DAE"/>
    <w:rsid w:val="00F00497"/>
    <w:rsid w:val="00F0130F"/>
    <w:rsid w:val="00F0140C"/>
    <w:rsid w:val="00F0217B"/>
    <w:rsid w:val="00F02E1F"/>
    <w:rsid w:val="00F031EE"/>
    <w:rsid w:val="00F037F3"/>
    <w:rsid w:val="00F03C11"/>
    <w:rsid w:val="00F0410B"/>
    <w:rsid w:val="00F06006"/>
    <w:rsid w:val="00F060A6"/>
    <w:rsid w:val="00F067C2"/>
    <w:rsid w:val="00F068D6"/>
    <w:rsid w:val="00F06C55"/>
    <w:rsid w:val="00F07550"/>
    <w:rsid w:val="00F075E4"/>
    <w:rsid w:val="00F10398"/>
    <w:rsid w:val="00F11190"/>
    <w:rsid w:val="00F115B8"/>
    <w:rsid w:val="00F1193B"/>
    <w:rsid w:val="00F11E80"/>
    <w:rsid w:val="00F12279"/>
    <w:rsid w:val="00F12381"/>
    <w:rsid w:val="00F1343A"/>
    <w:rsid w:val="00F13637"/>
    <w:rsid w:val="00F13C92"/>
    <w:rsid w:val="00F149F7"/>
    <w:rsid w:val="00F14D6C"/>
    <w:rsid w:val="00F14FC8"/>
    <w:rsid w:val="00F15190"/>
    <w:rsid w:val="00F15C46"/>
    <w:rsid w:val="00F1692F"/>
    <w:rsid w:val="00F1714C"/>
    <w:rsid w:val="00F2022B"/>
    <w:rsid w:val="00F2072E"/>
    <w:rsid w:val="00F21648"/>
    <w:rsid w:val="00F21D05"/>
    <w:rsid w:val="00F228BD"/>
    <w:rsid w:val="00F22A16"/>
    <w:rsid w:val="00F22F7E"/>
    <w:rsid w:val="00F2350E"/>
    <w:rsid w:val="00F23540"/>
    <w:rsid w:val="00F24228"/>
    <w:rsid w:val="00F24C1A"/>
    <w:rsid w:val="00F25A65"/>
    <w:rsid w:val="00F2641B"/>
    <w:rsid w:val="00F2667A"/>
    <w:rsid w:val="00F26C0A"/>
    <w:rsid w:val="00F2708F"/>
    <w:rsid w:val="00F27AF5"/>
    <w:rsid w:val="00F30682"/>
    <w:rsid w:val="00F3195D"/>
    <w:rsid w:val="00F31C9C"/>
    <w:rsid w:val="00F324F1"/>
    <w:rsid w:val="00F338EE"/>
    <w:rsid w:val="00F340FD"/>
    <w:rsid w:val="00F34999"/>
    <w:rsid w:val="00F361F4"/>
    <w:rsid w:val="00F37650"/>
    <w:rsid w:val="00F411F3"/>
    <w:rsid w:val="00F429F3"/>
    <w:rsid w:val="00F438FF"/>
    <w:rsid w:val="00F44F02"/>
    <w:rsid w:val="00F4634C"/>
    <w:rsid w:val="00F47196"/>
    <w:rsid w:val="00F476FE"/>
    <w:rsid w:val="00F502F6"/>
    <w:rsid w:val="00F50404"/>
    <w:rsid w:val="00F51141"/>
    <w:rsid w:val="00F53E80"/>
    <w:rsid w:val="00F54591"/>
    <w:rsid w:val="00F55560"/>
    <w:rsid w:val="00F55783"/>
    <w:rsid w:val="00F57615"/>
    <w:rsid w:val="00F5784E"/>
    <w:rsid w:val="00F60486"/>
    <w:rsid w:val="00F606C0"/>
    <w:rsid w:val="00F60779"/>
    <w:rsid w:val="00F62273"/>
    <w:rsid w:val="00F622EF"/>
    <w:rsid w:val="00F62323"/>
    <w:rsid w:val="00F62C92"/>
    <w:rsid w:val="00F63514"/>
    <w:rsid w:val="00F644A5"/>
    <w:rsid w:val="00F656FF"/>
    <w:rsid w:val="00F66069"/>
    <w:rsid w:val="00F6640B"/>
    <w:rsid w:val="00F666BE"/>
    <w:rsid w:val="00F6748A"/>
    <w:rsid w:val="00F7017B"/>
    <w:rsid w:val="00F71E65"/>
    <w:rsid w:val="00F72CA5"/>
    <w:rsid w:val="00F72CCD"/>
    <w:rsid w:val="00F7306F"/>
    <w:rsid w:val="00F73318"/>
    <w:rsid w:val="00F7356B"/>
    <w:rsid w:val="00F735AE"/>
    <w:rsid w:val="00F73693"/>
    <w:rsid w:val="00F75255"/>
    <w:rsid w:val="00F76E4A"/>
    <w:rsid w:val="00F805A9"/>
    <w:rsid w:val="00F80A75"/>
    <w:rsid w:val="00F80C42"/>
    <w:rsid w:val="00F81503"/>
    <w:rsid w:val="00F81936"/>
    <w:rsid w:val="00F83622"/>
    <w:rsid w:val="00F841F2"/>
    <w:rsid w:val="00F9097A"/>
    <w:rsid w:val="00F90BF9"/>
    <w:rsid w:val="00F9104C"/>
    <w:rsid w:val="00F92610"/>
    <w:rsid w:val="00F9299E"/>
    <w:rsid w:val="00F92E2F"/>
    <w:rsid w:val="00F9360A"/>
    <w:rsid w:val="00F938F6"/>
    <w:rsid w:val="00F938FB"/>
    <w:rsid w:val="00F93EC1"/>
    <w:rsid w:val="00F942C7"/>
    <w:rsid w:val="00F95CC9"/>
    <w:rsid w:val="00F9632F"/>
    <w:rsid w:val="00F963E2"/>
    <w:rsid w:val="00F9686A"/>
    <w:rsid w:val="00F96CD1"/>
    <w:rsid w:val="00F96EBE"/>
    <w:rsid w:val="00F9726F"/>
    <w:rsid w:val="00F97C8E"/>
    <w:rsid w:val="00FA1483"/>
    <w:rsid w:val="00FA1569"/>
    <w:rsid w:val="00FA1BFD"/>
    <w:rsid w:val="00FA2912"/>
    <w:rsid w:val="00FA2942"/>
    <w:rsid w:val="00FA3186"/>
    <w:rsid w:val="00FA38AA"/>
    <w:rsid w:val="00FA3BE5"/>
    <w:rsid w:val="00FA444B"/>
    <w:rsid w:val="00FA4D20"/>
    <w:rsid w:val="00FA4D4B"/>
    <w:rsid w:val="00FA4DA5"/>
    <w:rsid w:val="00FA5488"/>
    <w:rsid w:val="00FA5693"/>
    <w:rsid w:val="00FA58A0"/>
    <w:rsid w:val="00FA7205"/>
    <w:rsid w:val="00FB10B7"/>
    <w:rsid w:val="00FB10C7"/>
    <w:rsid w:val="00FB159F"/>
    <w:rsid w:val="00FB22F9"/>
    <w:rsid w:val="00FB329C"/>
    <w:rsid w:val="00FB35C8"/>
    <w:rsid w:val="00FB390F"/>
    <w:rsid w:val="00FB3B9B"/>
    <w:rsid w:val="00FB413B"/>
    <w:rsid w:val="00FB4966"/>
    <w:rsid w:val="00FB6ABB"/>
    <w:rsid w:val="00FB6CC4"/>
    <w:rsid w:val="00FC0F77"/>
    <w:rsid w:val="00FC21AC"/>
    <w:rsid w:val="00FC2CE7"/>
    <w:rsid w:val="00FC3060"/>
    <w:rsid w:val="00FC32E4"/>
    <w:rsid w:val="00FC4091"/>
    <w:rsid w:val="00FC42A3"/>
    <w:rsid w:val="00FC4692"/>
    <w:rsid w:val="00FC4850"/>
    <w:rsid w:val="00FC5ED8"/>
    <w:rsid w:val="00FC7550"/>
    <w:rsid w:val="00FC77C6"/>
    <w:rsid w:val="00FC7B83"/>
    <w:rsid w:val="00FD03B8"/>
    <w:rsid w:val="00FD0829"/>
    <w:rsid w:val="00FD1DEC"/>
    <w:rsid w:val="00FD2678"/>
    <w:rsid w:val="00FD3092"/>
    <w:rsid w:val="00FD3758"/>
    <w:rsid w:val="00FD4A31"/>
    <w:rsid w:val="00FD541C"/>
    <w:rsid w:val="00FD5DCE"/>
    <w:rsid w:val="00FD6CED"/>
    <w:rsid w:val="00FD6F7A"/>
    <w:rsid w:val="00FD6FE3"/>
    <w:rsid w:val="00FE0311"/>
    <w:rsid w:val="00FE043E"/>
    <w:rsid w:val="00FE08E8"/>
    <w:rsid w:val="00FE0E8E"/>
    <w:rsid w:val="00FE110B"/>
    <w:rsid w:val="00FE137F"/>
    <w:rsid w:val="00FE1C4A"/>
    <w:rsid w:val="00FE2136"/>
    <w:rsid w:val="00FE2349"/>
    <w:rsid w:val="00FE297E"/>
    <w:rsid w:val="00FE33D0"/>
    <w:rsid w:val="00FE3574"/>
    <w:rsid w:val="00FE4F25"/>
    <w:rsid w:val="00FE50C8"/>
    <w:rsid w:val="00FE67BB"/>
    <w:rsid w:val="00FE67BC"/>
    <w:rsid w:val="00FE6D35"/>
    <w:rsid w:val="00FE7685"/>
    <w:rsid w:val="00FF0376"/>
    <w:rsid w:val="00FF03D7"/>
    <w:rsid w:val="00FF0C19"/>
    <w:rsid w:val="00FF0FB1"/>
    <w:rsid w:val="00FF16B0"/>
    <w:rsid w:val="00FF2884"/>
    <w:rsid w:val="00FF3CAB"/>
    <w:rsid w:val="00FF4001"/>
    <w:rsid w:val="00FF515E"/>
    <w:rsid w:val="00FF5392"/>
    <w:rsid w:val="00FF57E8"/>
    <w:rsid w:val="00FF61DB"/>
    <w:rsid w:val="00FF6224"/>
    <w:rsid w:val="0798F7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docId w15:val="{980182FC-1027-4900-91F9-1E5466B4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23"/>
    <w:pPr>
      <w:spacing w:after="240"/>
    </w:pPr>
    <w:rPr>
      <w:rFonts w:asciiTheme="minorHAnsi" w:hAnsiTheme="minorHAnsi"/>
    </w:rPr>
  </w:style>
  <w:style w:type="paragraph" w:styleId="Heading1">
    <w:name w:val="heading 1"/>
    <w:next w:val="Normal"/>
    <w:link w:val="Heading1Char"/>
    <w:uiPriority w:val="9"/>
    <w:qFormat/>
    <w:rsid w:val="00F0217B"/>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Heading1"/>
    <w:next w:val="Normal"/>
    <w:link w:val="Heading2Char"/>
    <w:uiPriority w:val="9"/>
    <w:unhideWhenUsed/>
    <w:qFormat/>
    <w:rsid w:val="00F0217B"/>
    <w:pPr>
      <w:spacing w:after="120"/>
      <w:outlineLvl w:val="1"/>
    </w:pPr>
    <w:rPr>
      <w:b w:val="0"/>
      <w:sz w:val="26"/>
      <w:szCs w:val="26"/>
    </w:rPr>
  </w:style>
  <w:style w:type="paragraph" w:styleId="Heading3">
    <w:name w:val="heading 3"/>
    <w:basedOn w:val="Heading2"/>
    <w:next w:val="Normal"/>
    <w:link w:val="Heading3Char"/>
    <w:uiPriority w:val="9"/>
    <w:unhideWhenUsed/>
    <w:qFormat/>
    <w:rsid w:val="00D60DD3"/>
    <w:pPr>
      <w:spacing w:line="240" w:lineRule="auto"/>
      <w:outlineLvl w:val="2"/>
    </w:pPr>
    <w:rPr>
      <w:b/>
      <w:color w:val="auto"/>
    </w:rPr>
  </w:style>
  <w:style w:type="paragraph" w:styleId="Heading4">
    <w:name w:val="heading 4"/>
    <w:basedOn w:val="Heading3"/>
    <w:next w:val="Normal"/>
    <w:link w:val="Heading4Char"/>
    <w:uiPriority w:val="9"/>
    <w:unhideWhenUsed/>
    <w:qFormat/>
    <w:rsid w:val="00547B5D"/>
    <w:pPr>
      <w:spacing w:before="120"/>
      <w:outlineLvl w:val="3"/>
    </w:pPr>
    <w:rPr>
      <w:iCs/>
      <w:sz w:val="24"/>
    </w:rPr>
  </w:style>
  <w:style w:type="paragraph" w:styleId="Heading5">
    <w:name w:val="heading 5"/>
    <w:basedOn w:val="Normal"/>
    <w:next w:val="Normal"/>
    <w:link w:val="Heading5Char"/>
    <w:uiPriority w:val="9"/>
    <w:unhideWhenUsed/>
    <w:qFormat/>
    <w:rsid w:val="00F0217B"/>
    <w:pPr>
      <w:keepNext/>
      <w:keepLines/>
      <w:spacing w:before="12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uiPriority w:val="9"/>
    <w:semiHidden/>
    <w:unhideWhenUsed/>
    <w:qFormat/>
    <w:rsid w:val="0035071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5071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071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71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7B"/>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F021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0DD3"/>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rsid w:val="00547B5D"/>
    <w:rPr>
      <w:rFonts w:asciiTheme="majorHAnsi" w:eastAsiaTheme="majorEastAsia" w:hAnsiTheme="majorHAnsi" w:cstheme="majorBidi"/>
      <w:b/>
      <w:iCs/>
      <w:szCs w:val="26"/>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character" w:customStyle="1" w:styleId="Heading6Char">
    <w:name w:val="Heading 6 Char"/>
    <w:basedOn w:val="DefaultParagraphFont"/>
    <w:link w:val="Heading6"/>
    <w:uiPriority w:val="9"/>
    <w:semiHidden/>
    <w:rsid w:val="003507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50712"/>
    <w:rPr>
      <w:rFonts w:asciiTheme="majorHAnsi" w:eastAsiaTheme="majorEastAsia" w:hAnsiTheme="majorHAnsi" w:cstheme="majorBidi"/>
      <w:i/>
      <w:iCs/>
      <w:color w:val="1F4D78" w:themeColor="accent1" w:themeShade="7F"/>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character" w:customStyle="1" w:styleId="Heading8Char">
    <w:name w:val="Heading 8 Char"/>
    <w:basedOn w:val="DefaultParagraphFont"/>
    <w:link w:val="Heading8"/>
    <w:uiPriority w:val="9"/>
    <w:semiHidden/>
    <w:rsid w:val="003507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71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qFormat/>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styleId="ListParagraph">
    <w:name w:val="List Paragraph"/>
    <w:basedOn w:val="Normal"/>
    <w:uiPriority w:val="34"/>
    <w:qFormat/>
    <w:rsid w:val="00547B5D"/>
    <w:pPr>
      <w:ind w:left="720"/>
      <w:contextualSpacing/>
    </w:p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Heading1numbered">
    <w:name w:val="Heading 1 (numbered)"/>
    <w:basedOn w:val="Heading1"/>
    <w:link w:val="Heading1numberedChar"/>
    <w:qFormat/>
    <w:rsid w:val="005565C0"/>
    <w:pPr>
      <w:numPr>
        <w:numId w:val="5"/>
      </w:numPr>
    </w:pPr>
    <w:rPr>
      <w:b w:val="0"/>
    </w:rPr>
  </w:style>
  <w:style w:type="paragraph" w:customStyle="1" w:styleId="numberedlist0">
    <w:name w:val="numbered list"/>
    <w:basedOn w:val="Normal"/>
    <w:rsid w:val="00FA4D4B"/>
    <w:pPr>
      <w:widowControl w:val="0"/>
      <w:tabs>
        <w:tab w:val="left" w:pos="240"/>
      </w:tabs>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000000"/>
      <w:sz w:val="20"/>
      <w:szCs w:val="20"/>
      <w:lang w:val="en-GB"/>
    </w:rPr>
  </w:style>
  <w:style w:type="paragraph" w:styleId="TOCHeading">
    <w:name w:val="TOC Heading"/>
    <w:basedOn w:val="Heading1"/>
    <w:next w:val="Normal"/>
    <w:uiPriority w:val="39"/>
    <w:unhideWhenUsed/>
    <w:qFormat/>
    <w:rsid w:val="00E46829"/>
    <w:pPr>
      <w:outlineLvl w:val="9"/>
    </w:pPr>
    <w:rPr>
      <w:lang w:val="en-US"/>
    </w:rPr>
  </w:style>
  <w:style w:type="paragraph" w:styleId="TOC1">
    <w:name w:val="toc 1"/>
    <w:basedOn w:val="Normal"/>
    <w:next w:val="Normal"/>
    <w:autoRedefine/>
    <w:uiPriority w:val="39"/>
    <w:unhideWhenUsed/>
    <w:rsid w:val="00E064DD"/>
    <w:pPr>
      <w:tabs>
        <w:tab w:val="right" w:leader="dot" w:pos="9016"/>
      </w:tabs>
      <w:spacing w:after="100"/>
    </w:pPr>
    <w:rPr>
      <w:noProof/>
    </w:rPr>
  </w:style>
  <w:style w:type="paragraph" w:styleId="TOC3">
    <w:name w:val="toc 3"/>
    <w:basedOn w:val="Normal"/>
    <w:next w:val="Normal"/>
    <w:autoRedefine/>
    <w:uiPriority w:val="39"/>
    <w:unhideWhenUsed/>
    <w:rsid w:val="00E46829"/>
    <w:pPr>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DB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1620DC"/>
    <w:pPr>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781C1E"/>
    <w:pPr>
      <w:spacing w:before="720" w:after="120" w:line="288" w:lineRule="auto"/>
      <w:ind w:left="624" w:right="624"/>
      <w:jc w:val="center"/>
    </w:pPr>
    <w:rPr>
      <w:rFonts w:asciiTheme="minorHAnsi" w:eastAsiaTheme="majorEastAsia" w:hAnsiTheme="minorHAnsi" w:cstheme="majorBidi"/>
      <w:b/>
      <w:spacing w:val="5"/>
      <w:sz w:val="64"/>
      <w:szCs w:val="72"/>
      <w:lang w:val="en"/>
    </w:rPr>
  </w:style>
  <w:style w:type="character" w:customStyle="1" w:styleId="TitleChar">
    <w:name w:val="Title Char"/>
    <w:basedOn w:val="DefaultParagraphFont"/>
    <w:link w:val="Title"/>
    <w:uiPriority w:val="10"/>
    <w:rsid w:val="00781C1E"/>
    <w:rPr>
      <w:rFonts w:asciiTheme="minorHAnsi" w:eastAsiaTheme="majorEastAsia" w:hAnsiTheme="minorHAnsi" w:cstheme="majorBidi"/>
      <w:b/>
      <w:spacing w:val="5"/>
      <w:sz w:val="64"/>
      <w:szCs w:val="72"/>
      <w:lang w:val="en"/>
    </w:rPr>
  </w:style>
  <w:style w:type="paragraph" w:styleId="Caption">
    <w:name w:val="caption"/>
    <w:basedOn w:val="Normal"/>
    <w:next w:val="Normal"/>
    <w:uiPriority w:val="35"/>
    <w:unhideWhenUsed/>
    <w:qFormat/>
    <w:rsid w:val="00DB7020"/>
    <w:pPr>
      <w:keepNext/>
      <w:spacing w:after="200" w:line="240" w:lineRule="auto"/>
    </w:pPr>
    <w:rPr>
      <w:b/>
      <w:iCs/>
      <w:sz w:val="22"/>
      <w:szCs w:val="18"/>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Tableheadings">
    <w:name w:val="Table headings"/>
    <w:basedOn w:val="Normal"/>
    <w:link w:val="TableheadingsChar"/>
    <w:qFormat/>
    <w:rsid w:val="00FA4D4B"/>
    <w:pPr>
      <w:spacing w:before="60" w:after="60" w:line="240" w:lineRule="auto"/>
    </w:pPr>
    <w:rPr>
      <w:rFonts w:eastAsia="Times New Roman" w:cstheme="minorHAnsi"/>
      <w:b/>
      <w:szCs w:val="22"/>
      <w:lang w:val="en" w:eastAsia="en-AU"/>
    </w:rPr>
  </w:style>
  <w:style w:type="character" w:customStyle="1" w:styleId="TableheadingsChar">
    <w:name w:val="Table headings Char"/>
    <w:basedOn w:val="DefaultParagraphFont"/>
    <w:link w:val="Tableheadings"/>
    <w:rsid w:val="00FA4D4B"/>
    <w:rPr>
      <w:rFonts w:asciiTheme="minorHAnsi" w:eastAsia="Times New Roman" w:hAnsiTheme="minorHAnsi" w:cstheme="minorHAnsi"/>
      <w:b/>
      <w:szCs w:val="22"/>
      <w:lang w:val="en" w:eastAsia="en-AU"/>
    </w:rPr>
  </w:style>
  <w:style w:type="paragraph" w:customStyle="1" w:styleId="Numberedlist">
    <w:name w:val="Numbered list"/>
    <w:basedOn w:val="Normal"/>
    <w:link w:val="NumberedlistChar"/>
    <w:qFormat/>
    <w:rsid w:val="00FA4D4B"/>
    <w:pPr>
      <w:numPr>
        <w:numId w:val="2"/>
      </w:numPr>
      <w:spacing w:after="120"/>
    </w:pPr>
  </w:style>
  <w:style w:type="character" w:customStyle="1" w:styleId="NumberedlistChar">
    <w:name w:val="Numbered list Char"/>
    <w:basedOn w:val="DefaultParagraphFont"/>
    <w:link w:val="Numberedlist"/>
    <w:rsid w:val="00FA4D4B"/>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customStyle="1" w:styleId="UnresolvedMention1">
    <w:name w:val="Unresolved Mention1"/>
    <w:basedOn w:val="DefaultParagraphFont"/>
    <w:uiPriority w:val="99"/>
    <w:unhideWhenUsed/>
    <w:rsid w:val="00C2492F"/>
    <w:rPr>
      <w:color w:val="605E5C"/>
      <w:shd w:val="clear" w:color="auto" w:fill="E1DFDD"/>
    </w:rPr>
  </w:style>
  <w:style w:type="character" w:styleId="UnresolvedMention">
    <w:name w:val="Unresolved Mention"/>
    <w:basedOn w:val="DefaultParagraphFont"/>
    <w:uiPriority w:val="99"/>
    <w:semiHidden/>
    <w:unhideWhenUsed/>
    <w:rsid w:val="00554468"/>
    <w:rPr>
      <w:color w:val="605E5C"/>
      <w:shd w:val="clear" w:color="auto" w:fill="E1DFDD"/>
    </w:rPr>
  </w:style>
  <w:style w:type="paragraph" w:styleId="Subtitle">
    <w:name w:val="Subtitle"/>
    <w:basedOn w:val="Normal"/>
    <w:next w:val="Normal"/>
    <w:link w:val="SubtitleChar"/>
    <w:uiPriority w:val="11"/>
    <w:qFormat/>
    <w:rsid w:val="00781C1E"/>
    <w:pPr>
      <w:numPr>
        <w:ilvl w:val="1"/>
      </w:numPr>
      <w:spacing w:after="160"/>
      <w:jc w:val="cente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81C1E"/>
    <w:rPr>
      <w:rFonts w:asciiTheme="minorHAnsi" w:eastAsiaTheme="minorEastAsia" w:hAnsiTheme="minorHAnsi" w:cstheme="minorBidi"/>
      <w:color w:val="5A5A5A" w:themeColor="text1" w:themeTint="A5"/>
      <w:spacing w:val="15"/>
      <w:sz w:val="22"/>
      <w:szCs w:val="22"/>
    </w:rPr>
  </w:style>
  <w:style w:type="character" w:customStyle="1" w:styleId="Heading1numberedChar">
    <w:name w:val="Heading 1 (numbered) Char"/>
    <w:basedOn w:val="Heading1Char"/>
    <w:link w:val="Heading1numbered"/>
    <w:rsid w:val="005565C0"/>
    <w:rPr>
      <w:rFonts w:asciiTheme="majorHAnsi" w:eastAsiaTheme="majorEastAsia" w:hAnsiTheme="majorHAnsi" w:cstheme="majorBidi"/>
      <w:b w:val="0"/>
      <w:color w:val="2E74B5" w:themeColor="accent1" w:themeShade="BF"/>
      <w:sz w:val="32"/>
      <w:szCs w:val="32"/>
    </w:rPr>
  </w:style>
  <w:style w:type="paragraph" w:styleId="ListBullet">
    <w:name w:val="List Bullet"/>
    <w:basedOn w:val="Normal"/>
    <w:uiPriority w:val="99"/>
    <w:unhideWhenUsed/>
    <w:rsid w:val="005565C0"/>
    <w:pPr>
      <w:numPr>
        <w:numId w:val="3"/>
      </w:numPr>
      <w:spacing w:after="120"/>
    </w:pPr>
  </w:style>
  <w:style w:type="paragraph" w:styleId="ListBullet2">
    <w:name w:val="List Bullet 2"/>
    <w:basedOn w:val="Normal"/>
    <w:uiPriority w:val="99"/>
    <w:unhideWhenUsed/>
    <w:rsid w:val="005565C0"/>
    <w:pPr>
      <w:numPr>
        <w:numId w:val="4"/>
      </w:numPr>
      <w:spacing w:after="120"/>
      <w:ind w:left="851" w:hanging="454"/>
    </w:pPr>
  </w:style>
  <w:style w:type="character" w:styleId="Strong">
    <w:name w:val="Strong"/>
    <w:basedOn w:val="DefaultParagraphFont"/>
    <w:uiPriority w:val="22"/>
    <w:qFormat/>
    <w:rsid w:val="0043055A"/>
    <w:rPr>
      <w:rFonts w:asciiTheme="minorHAnsi" w:hAnsiTheme="minorHAnsi"/>
      <w:b/>
      <w:bCs/>
      <w:sz w:val="24"/>
    </w:rPr>
  </w:style>
  <w:style w:type="paragraph" w:customStyle="1" w:styleId="Heading2numbered">
    <w:name w:val="Heading 2 (numbered)"/>
    <w:basedOn w:val="Heading1numbered"/>
    <w:link w:val="Heading2numberedChar"/>
    <w:qFormat/>
    <w:rsid w:val="00830756"/>
    <w:pPr>
      <w:numPr>
        <w:ilvl w:val="1"/>
      </w:numPr>
      <w:outlineLvl w:val="1"/>
    </w:pPr>
  </w:style>
  <w:style w:type="character" w:customStyle="1" w:styleId="Heading2numberedChar">
    <w:name w:val="Heading 2 (numbered) Char"/>
    <w:basedOn w:val="Heading1numberedChar"/>
    <w:link w:val="Heading2numbered"/>
    <w:rsid w:val="00830756"/>
    <w:rPr>
      <w:rFonts w:asciiTheme="majorHAnsi" w:eastAsiaTheme="majorEastAsia" w:hAnsiTheme="majorHAnsi" w:cstheme="majorBidi"/>
      <w:b w:val="0"/>
      <w:color w:val="2E74B5" w:themeColor="accent1" w:themeShade="BF"/>
      <w:sz w:val="32"/>
      <w:szCs w:val="32"/>
    </w:rPr>
  </w:style>
  <w:style w:type="paragraph" w:customStyle="1" w:styleId="Heading3numbered">
    <w:name w:val="Heading 3 (numbered)"/>
    <w:basedOn w:val="Heading2numbered"/>
    <w:link w:val="Heading3numberedChar"/>
    <w:qFormat/>
    <w:rsid w:val="00830756"/>
    <w:pPr>
      <w:numPr>
        <w:ilvl w:val="0"/>
        <w:numId w:val="0"/>
      </w:numPr>
      <w:outlineLvl w:val="2"/>
    </w:pPr>
    <w:rPr>
      <w:sz w:val="24"/>
    </w:rPr>
  </w:style>
  <w:style w:type="character" w:customStyle="1" w:styleId="Heading3numberedChar">
    <w:name w:val="Heading 3 (numbered) Char"/>
    <w:basedOn w:val="DefaultParagraphFont"/>
    <w:link w:val="Heading3numbered"/>
    <w:rsid w:val="00830756"/>
    <w:rPr>
      <w:rFonts w:asciiTheme="majorHAnsi" w:eastAsiaTheme="majorEastAsia" w:hAnsiTheme="majorHAnsi" w:cstheme="majorBidi"/>
      <w:color w:val="2E74B5" w:themeColor="accent1" w:themeShade="BF"/>
      <w:szCs w:val="32"/>
    </w:rPr>
  </w:style>
  <w:style w:type="character" w:customStyle="1" w:styleId="Heading5Char">
    <w:name w:val="Heading 5 Char"/>
    <w:basedOn w:val="DefaultParagraphFont"/>
    <w:link w:val="Heading5"/>
    <w:uiPriority w:val="9"/>
    <w:rsid w:val="00DB7020"/>
    <w:rPr>
      <w:rFonts w:asciiTheme="majorHAnsi" w:eastAsiaTheme="majorEastAsia" w:hAnsiTheme="majorHAnsi" w:cstheme="majorBidi"/>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7041">
      <w:bodyDiv w:val="1"/>
      <w:marLeft w:val="0"/>
      <w:marRight w:val="0"/>
      <w:marTop w:val="0"/>
      <w:marBottom w:val="0"/>
      <w:divBdr>
        <w:top w:val="none" w:sz="0" w:space="0" w:color="auto"/>
        <w:left w:val="none" w:sz="0" w:space="0" w:color="auto"/>
        <w:bottom w:val="none" w:sz="0" w:space="0" w:color="auto"/>
        <w:right w:val="none" w:sz="0" w:space="0" w:color="auto"/>
      </w:divBdr>
    </w:div>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67848319">
      <w:bodyDiv w:val="1"/>
      <w:marLeft w:val="0"/>
      <w:marRight w:val="0"/>
      <w:marTop w:val="0"/>
      <w:marBottom w:val="0"/>
      <w:divBdr>
        <w:top w:val="none" w:sz="0" w:space="0" w:color="auto"/>
        <w:left w:val="none" w:sz="0" w:space="0" w:color="auto"/>
        <w:bottom w:val="none" w:sz="0" w:space="0" w:color="auto"/>
        <w:right w:val="none" w:sz="0" w:space="0" w:color="auto"/>
      </w:divBdr>
    </w:div>
    <w:div w:id="10381412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05413699">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337391055">
      <w:bodyDiv w:val="1"/>
      <w:marLeft w:val="0"/>
      <w:marRight w:val="0"/>
      <w:marTop w:val="0"/>
      <w:marBottom w:val="0"/>
      <w:divBdr>
        <w:top w:val="none" w:sz="0" w:space="0" w:color="auto"/>
        <w:left w:val="none" w:sz="0" w:space="0" w:color="auto"/>
        <w:bottom w:val="none" w:sz="0" w:space="0" w:color="auto"/>
        <w:right w:val="none" w:sz="0" w:space="0" w:color="auto"/>
      </w:divBdr>
    </w:div>
    <w:div w:id="392706234">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756948">
      <w:bodyDiv w:val="1"/>
      <w:marLeft w:val="0"/>
      <w:marRight w:val="0"/>
      <w:marTop w:val="0"/>
      <w:marBottom w:val="0"/>
      <w:divBdr>
        <w:top w:val="none" w:sz="0" w:space="0" w:color="auto"/>
        <w:left w:val="none" w:sz="0" w:space="0" w:color="auto"/>
        <w:bottom w:val="none" w:sz="0" w:space="0" w:color="auto"/>
        <w:right w:val="none" w:sz="0" w:space="0" w:color="auto"/>
      </w:divBdr>
    </w:div>
    <w:div w:id="607469145">
      <w:bodyDiv w:val="1"/>
      <w:marLeft w:val="0"/>
      <w:marRight w:val="0"/>
      <w:marTop w:val="0"/>
      <w:marBottom w:val="0"/>
      <w:divBdr>
        <w:top w:val="none" w:sz="0" w:space="0" w:color="auto"/>
        <w:left w:val="none" w:sz="0" w:space="0" w:color="auto"/>
        <w:bottom w:val="none" w:sz="0" w:space="0" w:color="auto"/>
        <w:right w:val="none" w:sz="0" w:space="0" w:color="auto"/>
      </w:divBdr>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04600302">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787040751">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3952891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267185">
      <w:bodyDiv w:val="1"/>
      <w:marLeft w:val="0"/>
      <w:marRight w:val="0"/>
      <w:marTop w:val="0"/>
      <w:marBottom w:val="0"/>
      <w:divBdr>
        <w:top w:val="none" w:sz="0" w:space="0" w:color="auto"/>
        <w:left w:val="none" w:sz="0" w:space="0" w:color="auto"/>
        <w:bottom w:val="none" w:sz="0" w:space="0" w:color="auto"/>
        <w:right w:val="none" w:sz="0" w:space="0" w:color="auto"/>
      </w:divBdr>
    </w:div>
    <w:div w:id="1093933808">
      <w:bodyDiv w:val="1"/>
      <w:marLeft w:val="0"/>
      <w:marRight w:val="0"/>
      <w:marTop w:val="0"/>
      <w:marBottom w:val="0"/>
      <w:divBdr>
        <w:top w:val="none" w:sz="0" w:space="0" w:color="auto"/>
        <w:left w:val="none" w:sz="0" w:space="0" w:color="auto"/>
        <w:bottom w:val="none" w:sz="0" w:space="0" w:color="auto"/>
        <w:right w:val="none" w:sz="0" w:space="0" w:color="auto"/>
      </w:divBdr>
    </w:div>
    <w:div w:id="1400440606">
      <w:bodyDiv w:val="1"/>
      <w:marLeft w:val="0"/>
      <w:marRight w:val="0"/>
      <w:marTop w:val="0"/>
      <w:marBottom w:val="0"/>
      <w:divBdr>
        <w:top w:val="none" w:sz="0" w:space="0" w:color="auto"/>
        <w:left w:val="none" w:sz="0" w:space="0" w:color="auto"/>
        <w:bottom w:val="none" w:sz="0" w:space="0" w:color="auto"/>
        <w:right w:val="none" w:sz="0" w:space="0" w:color="auto"/>
      </w:divBdr>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495611565">
      <w:bodyDiv w:val="1"/>
      <w:marLeft w:val="0"/>
      <w:marRight w:val="0"/>
      <w:marTop w:val="0"/>
      <w:marBottom w:val="0"/>
      <w:divBdr>
        <w:top w:val="none" w:sz="0" w:space="0" w:color="auto"/>
        <w:left w:val="none" w:sz="0" w:space="0" w:color="auto"/>
        <w:bottom w:val="none" w:sz="0" w:space="0" w:color="auto"/>
        <w:right w:val="none" w:sz="0" w:space="0" w:color="auto"/>
      </w:divBdr>
    </w:div>
    <w:div w:id="1519007107">
      <w:bodyDiv w:val="1"/>
      <w:marLeft w:val="0"/>
      <w:marRight w:val="0"/>
      <w:marTop w:val="0"/>
      <w:marBottom w:val="0"/>
      <w:divBdr>
        <w:top w:val="none" w:sz="0" w:space="0" w:color="auto"/>
        <w:left w:val="none" w:sz="0" w:space="0" w:color="auto"/>
        <w:bottom w:val="none" w:sz="0" w:space="0" w:color="auto"/>
        <w:right w:val="none" w:sz="0" w:space="0" w:color="auto"/>
      </w:divBdr>
    </w:div>
    <w:div w:id="1536388938">
      <w:bodyDiv w:val="1"/>
      <w:marLeft w:val="0"/>
      <w:marRight w:val="0"/>
      <w:marTop w:val="0"/>
      <w:marBottom w:val="0"/>
      <w:divBdr>
        <w:top w:val="none" w:sz="0" w:space="0" w:color="auto"/>
        <w:left w:val="none" w:sz="0" w:space="0" w:color="auto"/>
        <w:bottom w:val="none" w:sz="0" w:space="0" w:color="auto"/>
        <w:right w:val="none" w:sz="0" w:space="0" w:color="auto"/>
      </w:divBdr>
    </w:div>
    <w:div w:id="1567564633">
      <w:bodyDiv w:val="1"/>
      <w:marLeft w:val="0"/>
      <w:marRight w:val="0"/>
      <w:marTop w:val="0"/>
      <w:marBottom w:val="0"/>
      <w:divBdr>
        <w:top w:val="none" w:sz="0" w:space="0" w:color="auto"/>
        <w:left w:val="none" w:sz="0" w:space="0" w:color="auto"/>
        <w:bottom w:val="none" w:sz="0" w:space="0" w:color="auto"/>
        <w:right w:val="none" w:sz="0" w:space="0" w:color="auto"/>
      </w:divBdr>
    </w:div>
    <w:div w:id="159353983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869847">
      <w:bodyDiv w:val="1"/>
      <w:marLeft w:val="0"/>
      <w:marRight w:val="0"/>
      <w:marTop w:val="0"/>
      <w:marBottom w:val="0"/>
      <w:divBdr>
        <w:top w:val="none" w:sz="0" w:space="0" w:color="auto"/>
        <w:left w:val="none" w:sz="0" w:space="0" w:color="auto"/>
        <w:bottom w:val="none" w:sz="0" w:space="0" w:color="auto"/>
        <w:right w:val="none" w:sz="0" w:space="0" w:color="auto"/>
      </w:divBdr>
    </w:div>
    <w:div w:id="1673532609">
      <w:bodyDiv w:val="1"/>
      <w:marLeft w:val="0"/>
      <w:marRight w:val="0"/>
      <w:marTop w:val="0"/>
      <w:marBottom w:val="0"/>
      <w:divBdr>
        <w:top w:val="none" w:sz="0" w:space="0" w:color="auto"/>
        <w:left w:val="none" w:sz="0" w:space="0" w:color="auto"/>
        <w:bottom w:val="none" w:sz="0" w:space="0" w:color="auto"/>
        <w:right w:val="none" w:sz="0" w:space="0" w:color="auto"/>
      </w:divBdr>
    </w:div>
    <w:div w:id="1789884485">
      <w:bodyDiv w:val="1"/>
      <w:marLeft w:val="0"/>
      <w:marRight w:val="0"/>
      <w:marTop w:val="0"/>
      <w:marBottom w:val="0"/>
      <w:divBdr>
        <w:top w:val="none" w:sz="0" w:space="0" w:color="auto"/>
        <w:left w:val="none" w:sz="0" w:space="0" w:color="auto"/>
        <w:bottom w:val="none" w:sz="0" w:space="0" w:color="auto"/>
        <w:right w:val="none" w:sz="0" w:space="0" w:color="auto"/>
      </w:divBdr>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 w:id="1980306526">
      <w:bodyDiv w:val="1"/>
      <w:marLeft w:val="0"/>
      <w:marRight w:val="0"/>
      <w:marTop w:val="0"/>
      <w:marBottom w:val="0"/>
      <w:divBdr>
        <w:top w:val="none" w:sz="0" w:space="0" w:color="auto"/>
        <w:left w:val="none" w:sz="0" w:space="0" w:color="auto"/>
        <w:bottom w:val="none" w:sz="0" w:space="0" w:color="auto"/>
        <w:right w:val="none" w:sz="0" w:space="0" w:color="auto"/>
      </w:divBdr>
    </w:div>
    <w:div w:id="2028362311">
      <w:bodyDiv w:val="1"/>
      <w:marLeft w:val="0"/>
      <w:marRight w:val="0"/>
      <w:marTop w:val="0"/>
      <w:marBottom w:val="0"/>
      <w:divBdr>
        <w:top w:val="none" w:sz="0" w:space="0" w:color="auto"/>
        <w:left w:val="none" w:sz="0" w:space="0" w:color="auto"/>
        <w:bottom w:val="none" w:sz="0" w:space="0" w:color="auto"/>
        <w:right w:val="none" w:sz="0" w:space="0" w:color="auto"/>
      </w:divBdr>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afetyandquality.gov.au/our-work/accreditation/national-general-practice-accreditation-scheme" TargetMode="External"/><Relationship Id="rId26" Type="http://schemas.openxmlformats.org/officeDocument/2006/relationships/hyperlink" Target="https://www.humanservices.gov.au/organisations/health-professionals/services/medicare/hpos" TargetMode="External"/><Relationship Id="rId39" Type="http://schemas.openxmlformats.org/officeDocument/2006/relationships/hyperlink" Target="https://www.atsihealthpracticeboard.gov.au/" TargetMode="External"/><Relationship Id="rId3" Type="http://schemas.openxmlformats.org/officeDocument/2006/relationships/customXml" Target="../customXml/item3.xml"/><Relationship Id="rId21" Type="http://schemas.openxmlformats.org/officeDocument/2006/relationships/hyperlink" Target="https://www.safetyandquality.gov.au/newsroom/national-standards-updates/advisory-gp2401-assessment-following-relocation-physical-premises-accredited-general-practice" TargetMode="External"/><Relationship Id="rId34" Type="http://schemas.openxmlformats.org/officeDocument/2006/relationships/hyperlink" Target="https://www.humanservices.gov.au/organisations/health-professionals/forms/ip007" TargetMode="External"/><Relationship Id="rId42" Type="http://schemas.openxmlformats.org/officeDocument/2006/relationships/hyperlink" Target="https://www.aqf.edu.au/" TargetMode="External"/><Relationship Id="rId47" Type="http://schemas.openxmlformats.org/officeDocument/2006/relationships/hyperlink" Target="https://www.safetyandquality.gov.au/newsroom/national-standards-updates/advisory-gp2401-assessment-following-relocation-physical-premises-accredited-general-practice" TargetMode="External"/><Relationship Id="rId50" Type="http://schemas.openxmlformats.org/officeDocument/2006/relationships/hyperlink" Target="https://www.ahpr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acgp.org.au/running-a-practice/practice-standards/standards-5th-edition/standards-for-general-practices-5th-ed" TargetMode="External"/><Relationship Id="rId25" Type="http://schemas.openxmlformats.org/officeDocument/2006/relationships/hyperlink" Target="https://www.humanservices.gov.au/organisations/health-professionals/services/medicare/proda" TargetMode="External"/><Relationship Id="rId33" Type="http://schemas.openxmlformats.org/officeDocument/2006/relationships/hyperlink" Target="https://www.humanservices.gov.au/organisations/health-professionals/health-professionals-contact-information" TargetMode="External"/><Relationship Id="rId38" Type="http://schemas.openxmlformats.org/officeDocument/2006/relationships/hyperlink" Target="https://www.servicesaustralia.gov.au/health-professionals-contact-information?context=20" TargetMode="External"/><Relationship Id="rId46" Type="http://schemas.openxmlformats.org/officeDocument/2006/relationships/hyperlink" Target="https://www.nursingmidwiferyboard.gov.au/codes-guidelines-statements/professional-standards.aspx" TargetMode="External"/><Relationship Id="rId2" Type="http://schemas.openxmlformats.org/officeDocument/2006/relationships/customXml" Target="../customXml/item2.xml"/><Relationship Id="rId16" Type="http://schemas.openxmlformats.org/officeDocument/2006/relationships/hyperlink" Target="https://www.fairwork.gov.au/starting-employment/types-of-employees" TargetMode="External"/><Relationship Id="rId20" Type="http://schemas.openxmlformats.org/officeDocument/2006/relationships/hyperlink" Target="https://www.safetyandquality.gov.au/our-work/accreditation/national-general-practice-accreditation-scheme" TargetMode="External"/><Relationship Id="rId29" Type="http://schemas.openxmlformats.org/officeDocument/2006/relationships/hyperlink" Target="https://www.humanservices.gov.au/organisations/health-professionals/health-professionals-contact-information" TargetMode="External"/><Relationship Id="rId41" Type="http://schemas.openxmlformats.org/officeDocument/2006/relationships/hyperlink" Target="https://www.racgp.org.au/running-a-practice/practice-standards/standards-5th-edition/standards-for-general-practices-5th-e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umanservices.gov.au/organisations/health-professionals/services/medicare/hpos" TargetMode="External"/><Relationship Id="rId32" Type="http://schemas.openxmlformats.org/officeDocument/2006/relationships/hyperlink" Target="https://www.humanservices.gov.au/organisations/health-professionals/services/medicare/practice-nurse-incentive-program" TargetMode="External"/><Relationship Id="rId37" Type="http://schemas.openxmlformats.org/officeDocument/2006/relationships/hyperlink" Target="https://www.servicesaustralia.gov.au/organisations/health-professionals/health-professionals-contact-information" TargetMode="External"/><Relationship Id="rId40" Type="http://schemas.openxmlformats.org/officeDocument/2006/relationships/hyperlink" Target="https://www.humanservices.gov.au/health-professionals/services/medicare/hpos" TargetMode="External"/><Relationship Id="rId45" Type="http://schemas.openxmlformats.org/officeDocument/2006/relationships/hyperlink" Target="https://www.nursingmidwiferyboard.gov.au/codes-guidelines-statements/professional-standards.aspx"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gov.au/phn" TargetMode="External"/><Relationship Id="rId23" Type="http://schemas.openxmlformats.org/officeDocument/2006/relationships/hyperlink" Target="https://www.humanservices.gov.au/organisations/health-professionals/forms/ip001" TargetMode="External"/><Relationship Id="rId28" Type="http://schemas.openxmlformats.org/officeDocument/2006/relationships/hyperlink" Target="https://www.servicesaustralia.gov.au/organisations/health-professionals/forms/ip008" TargetMode="External"/><Relationship Id="rId36" Type="http://schemas.openxmlformats.org/officeDocument/2006/relationships/hyperlink" Target="https://www.servicesaustralia.gov.au/organisations/health-professionals/forms/ip027" TargetMode="External"/><Relationship Id="rId49" Type="http://schemas.openxmlformats.org/officeDocument/2006/relationships/hyperlink" Target="https://www.racgp.org.au/running-a-practice/practice-standards/standards-5th-edition/standards-for-general-practices-5th-ed" TargetMode="External"/><Relationship Id="rId10" Type="http://schemas.openxmlformats.org/officeDocument/2006/relationships/endnotes" Target="endnotes.xml"/><Relationship Id="rId19" Type="http://schemas.openxmlformats.org/officeDocument/2006/relationships/hyperlink" Target="https://www.safetyandquality.gov.au/our-work/accreditation/national-general-practice-accreditation-scheme" TargetMode="External"/><Relationship Id="rId31" Type="http://schemas.openxmlformats.org/officeDocument/2006/relationships/hyperlink" Target="https://www.humanservices.gov.au/organisations/health-professionals/services/medicare/hpos" TargetMode="External"/><Relationship Id="rId44" Type="http://schemas.openxmlformats.org/officeDocument/2006/relationships/hyperlink" Target="http://www.nursingmidwiferyboard.gov.au/Codes-Guidelines-Statements/Professional-standards.aspx"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midwiferyboard.gov.au/codes-guidelines-statements/professional-standards.aspx" TargetMode="External"/><Relationship Id="rId22" Type="http://schemas.openxmlformats.org/officeDocument/2006/relationships/hyperlink" Target="https://www.humanservices.gov.au/organisations/health-professionals/services/medicare/hpos" TargetMode="External"/><Relationship Id="rId27" Type="http://schemas.openxmlformats.org/officeDocument/2006/relationships/hyperlink" Target="https://www.safetyandquality.gov.au/our-work/primary-care/national-general-practice-accreditation-scheme" TargetMode="External"/><Relationship Id="rId30" Type="http://schemas.openxmlformats.org/officeDocument/2006/relationships/hyperlink" Target="http://www.health.gov.au/DoctorConnect" TargetMode="External"/><Relationship Id="rId35" Type="http://schemas.openxmlformats.org/officeDocument/2006/relationships/hyperlink" Target="http://www.servicesaustralia.gov.au/privacy" TargetMode="External"/><Relationship Id="rId43" Type="http://schemas.openxmlformats.org/officeDocument/2006/relationships/hyperlink" Target="https://www.nursingmidwiferyboard.gov.au/codes-guidelines-statements/professional-standards.aspx" TargetMode="External"/><Relationship Id="rId48" Type="http://schemas.openxmlformats.org/officeDocument/2006/relationships/hyperlink" Target="https://www.safetyandquality.gov.au/" TargetMode="External"/><Relationship Id="rId8" Type="http://schemas.openxmlformats.org/officeDocument/2006/relationships/webSettings" Target="webSettings.xml"/><Relationship Id="rId51" Type="http://schemas.openxmlformats.org/officeDocument/2006/relationships/hyperlink" Target="https://www.ahpr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5E989-FB4F-4102-96E6-1A75581BF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91E7E-0532-47E7-AEB8-95AC2D2FEC24}">
  <ds:schemaRefs>
    <ds:schemaRef ds:uri="http://schemas.microsoft.com/sharepoint/v3/contenttype/forms"/>
  </ds:schemaRefs>
</ds:datastoreItem>
</file>

<file path=customXml/itemProps3.xml><?xml version="1.0" encoding="utf-8"?>
<ds:datastoreItem xmlns:ds="http://schemas.openxmlformats.org/officeDocument/2006/customXml" ds:itemID="{43FD461D-16C5-4B6E-8253-B0CF3795EC16}">
  <ds:schemaRefs>
    <ds:schemaRef ds:uri="http://schemas.openxmlformats.org/officeDocument/2006/bibliography"/>
  </ds:schemaRefs>
</ds:datastoreItem>
</file>

<file path=customXml/itemProps4.xml><?xml version="1.0" encoding="utf-8"?>
<ds:datastoreItem xmlns:ds="http://schemas.openxmlformats.org/officeDocument/2006/customXml" ds:itemID="{AE683C0E-77BF-44C3-9990-9595D90D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13537</Words>
  <Characters>77166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Workforce Incentive Program Practice Stream Guidelines – May 2025</vt:lpstr>
    </vt:vector>
  </TitlesOfParts>
  <Company/>
  <LinksUpToDate>false</LinksUpToDate>
  <CharactersWithSpaces>90522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Practice Stream Guidelines 2025</dc:title>
  <dc:subject>Workforce Incentive Program</dc:subject>
  <dc:creator>Australian Government Department of Health, Disability and Ageing</dc:creator>
  <cp:keywords>Health workforce; Workforce Incentive Program</cp:keywords>
  <dc:description/>
  <cp:lastModifiedBy>MASCHKE, Elvia</cp:lastModifiedBy>
  <cp:revision>2</cp:revision>
  <cp:lastPrinted>2025-05-12T05:41:00Z</cp:lastPrinted>
  <dcterms:created xsi:type="dcterms:W3CDTF">2025-07-25T06:06:00Z</dcterms:created>
  <dcterms:modified xsi:type="dcterms:W3CDTF">2025-07-25T06:06:00Z</dcterms:modified>
</cp:coreProperties>
</file>