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8A1A7" w14:textId="77777777" w:rsidR="005316BE" w:rsidRDefault="00CF553B" w:rsidP="00537B50">
      <w:pPr>
        <w:spacing w:before="0" w:after="0"/>
        <w:ind w:left="-850"/>
      </w:pPr>
      <w:r>
        <w:rPr>
          <w:noProof/>
        </w:rPr>
        <w:drawing>
          <wp:inline distT="0" distB="0" distL="0" distR="0" wp14:anchorId="293EDCA8" wp14:editId="21923FB1">
            <wp:extent cx="7541998" cy="1436353"/>
            <wp:effectExtent l="0" t="0" r="1905" b="0"/>
            <wp:docPr id="1" name="Picture 1" descr="Australian Government -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- Department of Social Service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2147" w14:textId="77777777" w:rsidR="00C80192" w:rsidRPr="005109A6" w:rsidRDefault="00136B5E" w:rsidP="00373A27">
      <w:pPr>
        <w:pStyle w:val="Heading1"/>
      </w:pPr>
      <w:r>
        <w:t xml:space="preserve">Factsheet </w:t>
      </w:r>
      <w:r w:rsidR="00ED75AF">
        <w:t>–</w:t>
      </w:r>
      <w:r>
        <w:t xml:space="preserve"> </w:t>
      </w:r>
      <w:r w:rsidR="003759AB">
        <w:t>What’s New and What’s Different</w:t>
      </w:r>
    </w:p>
    <w:p w14:paraId="76DE8B90" w14:textId="757A3A61" w:rsidR="005109A6" w:rsidRPr="00136B5E" w:rsidRDefault="00A30FA4" w:rsidP="00373A27">
      <w:pPr>
        <w:pStyle w:val="Heading2"/>
      </w:pPr>
      <w:r w:rsidRPr="00136B5E">
        <w:t xml:space="preserve">Disability Services and Inclusion </w:t>
      </w:r>
      <w:r w:rsidR="004E5CE9">
        <w:t>Act</w:t>
      </w:r>
      <w:r w:rsidRPr="00136B5E">
        <w:t xml:space="preserve"> 2023 </w:t>
      </w:r>
    </w:p>
    <w:p w14:paraId="529D0D5F" w14:textId="77777777" w:rsidR="00A30FA4" w:rsidRPr="00453627" w:rsidRDefault="00453627" w:rsidP="00F21F37">
      <w:pPr>
        <w:spacing w:after="120"/>
      </w:pPr>
      <w:r>
        <w:t xml:space="preserve">This fact sheet sets out </w:t>
      </w:r>
      <w:r w:rsidR="0016490F">
        <w:t xml:space="preserve">the differences between the previous </w:t>
      </w:r>
      <w:r w:rsidR="0016490F" w:rsidRPr="00F21F37">
        <w:rPr>
          <w:i/>
        </w:rPr>
        <w:t>Disability Services Act 1986</w:t>
      </w:r>
      <w:r w:rsidR="00F21F37">
        <w:t xml:space="preserve"> (DSA)</w:t>
      </w:r>
      <w:r w:rsidR="0016490F">
        <w:t xml:space="preserve"> and the new </w:t>
      </w:r>
      <w:r w:rsidR="0016490F" w:rsidRPr="00F21F37">
        <w:rPr>
          <w:i/>
        </w:rPr>
        <w:t>Disability Services and Inclusion Act 2023</w:t>
      </w:r>
      <w:r w:rsidR="00F21F37">
        <w:t xml:space="preserve"> (DSI Act)</w:t>
      </w:r>
      <w:r w:rsidR="0016490F">
        <w:t xml:space="preserve">. </w:t>
      </w:r>
    </w:p>
    <w:tbl>
      <w:tblPr>
        <w:tblStyle w:val="TableGrid"/>
        <w:tblpPr w:leftFromText="180" w:rightFromText="180" w:vertAnchor="text" w:tblpY="1"/>
        <w:tblOverlap w:val="never"/>
        <w:tblW w:w="10205" w:type="dxa"/>
        <w:tblInd w:w="0" w:type="dxa"/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3855"/>
        <w:gridCol w:w="4309"/>
      </w:tblGrid>
      <w:tr w:rsidR="00E23657" w:rsidRPr="0003453C" w14:paraId="3BB2AD7C" w14:textId="77777777" w:rsidTr="004E5CE9">
        <w:trPr>
          <w:tblHeader/>
        </w:trPr>
        <w:tc>
          <w:tcPr>
            <w:tcW w:w="2041" w:type="dxa"/>
            <w:vAlign w:val="center"/>
          </w:tcPr>
          <w:p w14:paraId="6E16CB4D" w14:textId="77777777" w:rsidR="00191DAC" w:rsidRPr="00373A27" w:rsidRDefault="00F21F37" w:rsidP="004E5CE9">
            <w:pPr>
              <w:spacing w:before="0" w:after="120"/>
              <w:rPr>
                <w:rFonts w:asciiTheme="majorHAnsi" w:hAnsiTheme="majorHAnsi"/>
                <w:sz w:val="32"/>
                <w:szCs w:val="32"/>
              </w:rPr>
            </w:pPr>
            <w:r w:rsidRPr="00373A27"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r w:rsidR="00EA4013" w:rsidRPr="00373A27">
              <w:rPr>
                <w:rFonts w:asciiTheme="majorHAnsi" w:hAnsiTheme="majorHAnsi"/>
                <w:sz w:val="32"/>
                <w:szCs w:val="32"/>
              </w:rPr>
              <w:t>Subject</w:t>
            </w:r>
          </w:p>
        </w:tc>
        <w:tc>
          <w:tcPr>
            <w:tcW w:w="3855" w:type="dxa"/>
            <w:vAlign w:val="center"/>
          </w:tcPr>
          <w:p w14:paraId="7B824859" w14:textId="77777777" w:rsidR="00191DAC" w:rsidRPr="00373A27" w:rsidRDefault="00F21F37" w:rsidP="004E5CE9">
            <w:pPr>
              <w:spacing w:before="0" w:after="120"/>
              <w:rPr>
                <w:rFonts w:asciiTheme="majorHAnsi" w:hAnsiTheme="majorHAnsi"/>
                <w:sz w:val="32"/>
                <w:szCs w:val="32"/>
              </w:rPr>
            </w:pPr>
            <w:r w:rsidRPr="00373A27"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r w:rsidR="00191DAC" w:rsidRPr="00373A27">
              <w:rPr>
                <w:rFonts w:asciiTheme="majorHAnsi" w:hAnsiTheme="majorHAnsi"/>
                <w:sz w:val="32"/>
                <w:szCs w:val="32"/>
              </w:rPr>
              <w:t xml:space="preserve">Previous </w:t>
            </w:r>
            <w:r w:rsidR="005144A9" w:rsidRPr="00373A27">
              <w:rPr>
                <w:rFonts w:asciiTheme="majorHAnsi" w:hAnsiTheme="majorHAnsi"/>
                <w:sz w:val="32"/>
                <w:szCs w:val="32"/>
              </w:rPr>
              <w:t>arrangements</w:t>
            </w:r>
          </w:p>
        </w:tc>
        <w:tc>
          <w:tcPr>
            <w:tcW w:w="4309" w:type="dxa"/>
            <w:vAlign w:val="center"/>
          </w:tcPr>
          <w:p w14:paraId="501E7671" w14:textId="77777777" w:rsidR="00191DAC" w:rsidRPr="00373A27" w:rsidRDefault="00F21F37" w:rsidP="004E5CE9">
            <w:pPr>
              <w:spacing w:before="0" w:after="120"/>
              <w:rPr>
                <w:rFonts w:asciiTheme="majorHAnsi" w:hAnsiTheme="majorHAnsi"/>
                <w:sz w:val="32"/>
                <w:szCs w:val="32"/>
              </w:rPr>
            </w:pPr>
            <w:r w:rsidRPr="00373A27"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r w:rsidR="00EA4013" w:rsidRPr="00373A27">
              <w:rPr>
                <w:rFonts w:asciiTheme="majorHAnsi" w:hAnsiTheme="majorHAnsi"/>
                <w:sz w:val="32"/>
                <w:szCs w:val="32"/>
              </w:rPr>
              <w:t>DSI</w:t>
            </w:r>
            <w:r w:rsidR="00B90B6F" w:rsidRPr="00373A27">
              <w:rPr>
                <w:rFonts w:asciiTheme="majorHAnsi" w:hAnsiTheme="majorHAnsi"/>
                <w:sz w:val="32"/>
                <w:szCs w:val="32"/>
              </w:rPr>
              <w:t> </w:t>
            </w:r>
            <w:r w:rsidR="005144A9" w:rsidRPr="00373A27">
              <w:rPr>
                <w:rFonts w:asciiTheme="majorHAnsi" w:hAnsiTheme="majorHAnsi"/>
                <w:sz w:val="32"/>
                <w:szCs w:val="32"/>
              </w:rPr>
              <w:t>Act</w:t>
            </w:r>
          </w:p>
        </w:tc>
      </w:tr>
      <w:tr w:rsidR="004F78DA" w:rsidRPr="0003453C" w14:paraId="59F4C04B" w14:textId="77777777" w:rsidTr="004E5CE9">
        <w:tc>
          <w:tcPr>
            <w:tcW w:w="2041" w:type="dxa"/>
            <w:shd w:val="clear" w:color="auto" w:fill="auto"/>
          </w:tcPr>
          <w:p w14:paraId="29C61BD5" w14:textId="6411D9E6" w:rsidR="004F78DA" w:rsidRPr="00F21F37" w:rsidRDefault="004F78DA" w:rsidP="004E5CE9">
            <w:pPr>
              <w:spacing w:before="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Definition of Disability </w:t>
            </w:r>
          </w:p>
        </w:tc>
        <w:tc>
          <w:tcPr>
            <w:tcW w:w="3855" w:type="dxa"/>
            <w:shd w:val="clear" w:color="auto" w:fill="auto"/>
          </w:tcPr>
          <w:p w14:paraId="302673B3" w14:textId="2B6F3295" w:rsidR="004F78DA" w:rsidRPr="0003453C" w:rsidRDefault="00DA5C69" w:rsidP="004E5CE9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The DSA included</w:t>
            </w:r>
            <w:r w:rsidR="00894C7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 defined target group </w:t>
            </w:r>
          </w:p>
        </w:tc>
        <w:tc>
          <w:tcPr>
            <w:tcW w:w="4309" w:type="dxa"/>
            <w:shd w:val="clear" w:color="auto" w:fill="auto"/>
          </w:tcPr>
          <w:p w14:paraId="4E317224" w14:textId="7B308F3D" w:rsidR="004F78DA" w:rsidRPr="0003453C" w:rsidRDefault="004F78DA" w:rsidP="004E5CE9">
            <w:pPr>
              <w:spacing w:before="0" w:after="12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 definition has not been included </w:t>
            </w:r>
            <w:r w:rsidR="00DA5C6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in the DSI Act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as to not limit </w:t>
            </w:r>
            <w:r w:rsidR="00DA5C69">
              <w:rPr>
                <w:rFonts w:asciiTheme="minorHAnsi" w:eastAsiaTheme="minorHAnsi" w:hAnsiTheme="minorHAnsi" w:cstheme="minorHAnsi"/>
                <w:sz w:val="22"/>
                <w:szCs w:val="22"/>
              </w:rPr>
              <w:t>who is who is able to access supports and services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. Specific programs may still define a target group</w:t>
            </w:r>
            <w:r w:rsidR="00DA5C6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E23657" w:rsidRPr="0003453C" w14:paraId="37A51569" w14:textId="77777777" w:rsidTr="004E5CE9">
        <w:tc>
          <w:tcPr>
            <w:tcW w:w="2041" w:type="dxa"/>
          </w:tcPr>
          <w:p w14:paraId="50B63F1E" w14:textId="77777777" w:rsidR="00191DAC" w:rsidRPr="00F21F37" w:rsidRDefault="004678E2" w:rsidP="004E5CE9">
            <w:pPr>
              <w:spacing w:before="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F37">
              <w:rPr>
                <w:rFonts w:asciiTheme="minorHAnsi" w:hAnsiTheme="minorHAnsi" w:cstheme="minorHAnsi"/>
                <w:b/>
                <w:sz w:val="22"/>
                <w:szCs w:val="22"/>
              </w:rPr>
              <w:t>Eligible activities</w:t>
            </w:r>
          </w:p>
        </w:tc>
        <w:tc>
          <w:tcPr>
            <w:tcW w:w="3855" w:type="dxa"/>
          </w:tcPr>
          <w:p w14:paraId="7AA05044" w14:textId="29285808" w:rsidR="004678E2" w:rsidRPr="0003453C" w:rsidRDefault="005144A9" w:rsidP="004E5CE9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The DSA provided for </w:t>
            </w:r>
            <w:r w:rsidR="00E23657">
              <w:rPr>
                <w:rFonts w:asciiTheme="minorHAnsi" w:eastAsiaTheme="minorHAnsi" w:hAnsiTheme="minorHAnsi" w:cstheme="minorHAnsi"/>
                <w:sz w:val="22"/>
                <w:szCs w:val="22"/>
              </w:rPr>
              <w:t>services</w:t>
            </w:r>
            <w:r w:rsidR="004678E2"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relating to</w:t>
            </w: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:</w:t>
            </w:r>
            <w:r w:rsidR="004678E2"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</w:p>
          <w:p w14:paraId="73342FE5" w14:textId="77777777" w:rsidR="004678E2" w:rsidRPr="0003453C" w:rsidRDefault="004678E2" w:rsidP="004E5CE9">
            <w:pPr>
              <w:pStyle w:val="ListParagraph"/>
              <w:numPr>
                <w:ilvl w:val="0"/>
                <w:numId w:val="63"/>
              </w:numPr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Advocacy</w:t>
            </w:r>
          </w:p>
          <w:p w14:paraId="341E5350" w14:textId="77777777" w:rsidR="004678E2" w:rsidRPr="0003453C" w:rsidRDefault="004678E2" w:rsidP="004E5CE9">
            <w:pPr>
              <w:pStyle w:val="ListParagraph"/>
              <w:numPr>
                <w:ilvl w:val="0"/>
                <w:numId w:val="63"/>
              </w:numPr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Employment </w:t>
            </w:r>
          </w:p>
          <w:p w14:paraId="0A6EE5EE" w14:textId="77777777" w:rsidR="00787AE1" w:rsidRPr="00D95A6D" w:rsidRDefault="004678E2" w:rsidP="004E5CE9">
            <w:pPr>
              <w:pStyle w:val="ListParagraph"/>
              <w:numPr>
                <w:ilvl w:val="0"/>
                <w:numId w:val="63"/>
              </w:numPr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Print services</w:t>
            </w:r>
          </w:p>
          <w:p w14:paraId="12C2153C" w14:textId="2A7ED881" w:rsidR="005144A9" w:rsidRPr="00D95A6D" w:rsidRDefault="00787AE1" w:rsidP="004E5CE9">
            <w:pPr>
              <w:pStyle w:val="ListParagraph"/>
              <w:numPr>
                <w:ilvl w:val="0"/>
                <w:numId w:val="63"/>
              </w:numPr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Other activities approved by the Minister</w:t>
            </w:r>
            <w:r w:rsidR="004678E2"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09" w:type="dxa"/>
          </w:tcPr>
          <w:p w14:paraId="3AB5683A" w14:textId="77777777" w:rsidR="004678E2" w:rsidRPr="0003453C" w:rsidRDefault="004678E2" w:rsidP="004E5CE9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Supports</w:t>
            </w:r>
            <w:r w:rsidR="00E2365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and services</w:t>
            </w: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relating to</w:t>
            </w:r>
            <w:r w:rsidR="00B90B6F"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:</w:t>
            </w:r>
          </w:p>
          <w:p w14:paraId="5C6C5335" w14:textId="77777777" w:rsidR="004678E2" w:rsidRPr="0003453C" w:rsidRDefault="004678E2" w:rsidP="004E5CE9">
            <w:pPr>
              <w:pStyle w:val="ListParagraph"/>
              <w:numPr>
                <w:ilvl w:val="0"/>
                <w:numId w:val="62"/>
              </w:num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Accessibility</w:t>
            </w:r>
          </w:p>
          <w:p w14:paraId="42C105CD" w14:textId="77777777" w:rsidR="004678E2" w:rsidRPr="0003453C" w:rsidRDefault="004678E2" w:rsidP="004E5CE9">
            <w:pPr>
              <w:pStyle w:val="ListParagraph"/>
              <w:numPr>
                <w:ilvl w:val="0"/>
                <w:numId w:val="62"/>
              </w:num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Accommodation</w:t>
            </w:r>
          </w:p>
          <w:p w14:paraId="02085262" w14:textId="77777777" w:rsidR="004678E2" w:rsidRPr="0003453C" w:rsidRDefault="004678E2" w:rsidP="004E5CE9">
            <w:pPr>
              <w:pStyle w:val="ListParagraph"/>
              <w:numPr>
                <w:ilvl w:val="0"/>
                <w:numId w:val="62"/>
              </w:num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Advocacy</w:t>
            </w:r>
          </w:p>
          <w:p w14:paraId="144D22F7" w14:textId="77777777" w:rsidR="004678E2" w:rsidRPr="0003453C" w:rsidRDefault="004678E2" w:rsidP="004E5CE9">
            <w:pPr>
              <w:pStyle w:val="ListParagraph"/>
              <w:numPr>
                <w:ilvl w:val="0"/>
                <w:numId w:val="62"/>
              </w:num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Capacity</w:t>
            </w:r>
          </w:p>
          <w:p w14:paraId="6E431B65" w14:textId="77777777" w:rsidR="004678E2" w:rsidRPr="0003453C" w:rsidRDefault="004678E2" w:rsidP="004E5CE9">
            <w:pPr>
              <w:pStyle w:val="ListParagraph"/>
              <w:numPr>
                <w:ilvl w:val="0"/>
                <w:numId w:val="62"/>
              </w:num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Carer</w:t>
            </w:r>
            <w:r w:rsidR="00E23657">
              <w:rPr>
                <w:rFonts w:asciiTheme="minorHAnsi" w:eastAsiaTheme="minorHAnsi" w:hAnsiTheme="minorHAnsi" w:cstheme="minorHAnsi"/>
                <w:sz w:val="22"/>
                <w:szCs w:val="22"/>
              </w:rPr>
              <w:t>s</w:t>
            </w:r>
          </w:p>
          <w:p w14:paraId="1F7EF558" w14:textId="77777777" w:rsidR="004678E2" w:rsidRPr="0003453C" w:rsidRDefault="004678E2" w:rsidP="004E5CE9">
            <w:pPr>
              <w:pStyle w:val="ListParagraph"/>
              <w:numPr>
                <w:ilvl w:val="0"/>
                <w:numId w:val="62"/>
              </w:num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Community inclusion</w:t>
            </w:r>
          </w:p>
          <w:p w14:paraId="6496E9FD" w14:textId="77777777" w:rsidR="004678E2" w:rsidRPr="0003453C" w:rsidRDefault="004678E2" w:rsidP="004E5CE9">
            <w:pPr>
              <w:pStyle w:val="ListParagraph"/>
              <w:numPr>
                <w:ilvl w:val="0"/>
                <w:numId w:val="62"/>
              </w:num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Counselling</w:t>
            </w:r>
          </w:p>
          <w:p w14:paraId="0C9B7185" w14:textId="77777777" w:rsidR="004678E2" w:rsidRPr="0003453C" w:rsidRDefault="004678E2" w:rsidP="004E5CE9">
            <w:pPr>
              <w:pStyle w:val="ListParagraph"/>
              <w:numPr>
                <w:ilvl w:val="0"/>
                <w:numId w:val="62"/>
              </w:num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Education</w:t>
            </w:r>
          </w:p>
          <w:p w14:paraId="425EB04A" w14:textId="77777777" w:rsidR="004678E2" w:rsidRPr="0003453C" w:rsidRDefault="004678E2" w:rsidP="004E5CE9">
            <w:pPr>
              <w:pStyle w:val="ListParagraph"/>
              <w:numPr>
                <w:ilvl w:val="0"/>
                <w:numId w:val="62"/>
              </w:num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Employment</w:t>
            </w:r>
          </w:p>
          <w:p w14:paraId="459DF0D5" w14:textId="77777777" w:rsidR="004678E2" w:rsidRPr="0003453C" w:rsidRDefault="004678E2" w:rsidP="004E5CE9">
            <w:pPr>
              <w:pStyle w:val="ListParagraph"/>
              <w:numPr>
                <w:ilvl w:val="0"/>
                <w:numId w:val="62"/>
              </w:num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Independent living</w:t>
            </w:r>
          </w:p>
          <w:p w14:paraId="572CEF13" w14:textId="77777777" w:rsidR="004678E2" w:rsidRPr="0003453C" w:rsidRDefault="004678E2" w:rsidP="004E5CE9">
            <w:pPr>
              <w:pStyle w:val="ListParagraph"/>
              <w:numPr>
                <w:ilvl w:val="0"/>
                <w:numId w:val="62"/>
              </w:num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Information</w:t>
            </w:r>
          </w:p>
          <w:p w14:paraId="71DC819E" w14:textId="77777777" w:rsidR="004678E2" w:rsidRPr="0003453C" w:rsidRDefault="004678E2" w:rsidP="004E5CE9">
            <w:pPr>
              <w:pStyle w:val="ListParagraph"/>
              <w:numPr>
                <w:ilvl w:val="0"/>
                <w:numId w:val="62"/>
              </w:num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Recreation</w:t>
            </w:r>
          </w:p>
          <w:p w14:paraId="336582CF" w14:textId="77777777" w:rsidR="004678E2" w:rsidRPr="0003453C" w:rsidRDefault="004678E2" w:rsidP="004E5CE9">
            <w:pPr>
              <w:pStyle w:val="ListParagraph"/>
              <w:numPr>
                <w:ilvl w:val="0"/>
                <w:numId w:val="62"/>
              </w:num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Respite supports and services</w:t>
            </w:r>
          </w:p>
          <w:p w14:paraId="58581524" w14:textId="77777777" w:rsidR="00191DAC" w:rsidRPr="0003453C" w:rsidRDefault="004678E2" w:rsidP="004E5CE9">
            <w:pPr>
              <w:pStyle w:val="ListParagraph"/>
              <w:numPr>
                <w:ilvl w:val="0"/>
                <w:numId w:val="62"/>
              </w:num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Research and evaluation </w:t>
            </w:r>
          </w:p>
          <w:p w14:paraId="462FED08" w14:textId="77777777" w:rsidR="004678E2" w:rsidRPr="0003453C" w:rsidRDefault="004678E2" w:rsidP="004E5CE9">
            <w:pPr>
              <w:pStyle w:val="ListParagraph"/>
              <w:numPr>
                <w:ilvl w:val="0"/>
                <w:numId w:val="62"/>
              </w:num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Other activities approved by the Minister</w:t>
            </w:r>
            <w:r w:rsidR="00787AE1">
              <w:rPr>
                <w:rFonts w:asciiTheme="minorHAnsi" w:eastAsia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94C7C" w:rsidRPr="0003453C" w14:paraId="18D34112" w14:textId="77777777" w:rsidTr="004E5CE9">
        <w:trPr>
          <w:cantSplit/>
        </w:trPr>
        <w:tc>
          <w:tcPr>
            <w:tcW w:w="2041" w:type="dxa"/>
          </w:tcPr>
          <w:p w14:paraId="3936BAAB" w14:textId="4BA3DEF0" w:rsidR="00894C7C" w:rsidRPr="00F21F37" w:rsidRDefault="00894C7C" w:rsidP="004E5CE9">
            <w:pPr>
              <w:spacing w:before="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Funding arrangements </w:t>
            </w:r>
          </w:p>
        </w:tc>
        <w:tc>
          <w:tcPr>
            <w:tcW w:w="3855" w:type="dxa"/>
          </w:tcPr>
          <w:p w14:paraId="03A40931" w14:textId="3E862426" w:rsidR="00894C7C" w:rsidRPr="0003453C" w:rsidRDefault="00894C7C" w:rsidP="004E5CE9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Grant funding only </w:t>
            </w:r>
          </w:p>
        </w:tc>
        <w:tc>
          <w:tcPr>
            <w:tcW w:w="4309" w:type="dxa"/>
          </w:tcPr>
          <w:p w14:paraId="470152D3" w14:textId="4EE4906F" w:rsidR="00894C7C" w:rsidRPr="00D95A6D" w:rsidRDefault="00252BE1" w:rsidP="004E5CE9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</w:rPr>
            </w:pPr>
            <w:r w:rsidRPr="0063083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Funding can be arranged via grants, procurement </w:t>
            </w:r>
            <w:r w:rsidR="009142E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or other types of funding arrangements </w:t>
            </w:r>
          </w:p>
        </w:tc>
      </w:tr>
      <w:tr w:rsidR="00252BE1" w:rsidRPr="0003453C" w14:paraId="590AA2CD" w14:textId="77777777" w:rsidTr="004E5CE9">
        <w:trPr>
          <w:cantSplit/>
        </w:trPr>
        <w:tc>
          <w:tcPr>
            <w:tcW w:w="2041" w:type="dxa"/>
          </w:tcPr>
          <w:p w14:paraId="7F1E93F2" w14:textId="2B8DB83D" w:rsidR="00252BE1" w:rsidRDefault="00252BE1" w:rsidP="004E5CE9">
            <w:pPr>
              <w:spacing w:before="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International Obligations </w:t>
            </w:r>
          </w:p>
        </w:tc>
        <w:tc>
          <w:tcPr>
            <w:tcW w:w="3855" w:type="dxa"/>
          </w:tcPr>
          <w:p w14:paraId="531EB24F" w14:textId="2C70E183" w:rsidR="00252BE1" w:rsidRDefault="00252BE1" w:rsidP="004E5CE9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The DSA did not reference any international obligations </w:t>
            </w:r>
          </w:p>
        </w:tc>
        <w:tc>
          <w:tcPr>
            <w:tcW w:w="4309" w:type="dxa"/>
          </w:tcPr>
          <w:p w14:paraId="5BAB633B" w14:textId="598D32EC" w:rsidR="00252BE1" w:rsidRPr="0063083A" w:rsidRDefault="009142E7" w:rsidP="004E5CE9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</w:rPr>
            </w:pPr>
            <w:r w:rsidRPr="00D95A6D">
              <w:rPr>
                <w:rFonts w:asciiTheme="minorHAnsi" w:eastAsiaTheme="minorHAnsi" w:hAnsiTheme="minorHAnsi" w:cstheme="minorHAnsi"/>
                <w:sz w:val="22"/>
                <w:szCs w:val="22"/>
              </w:rPr>
              <w:t>The</w:t>
            </w:r>
            <w:r w:rsidR="0063083A" w:rsidRPr="0063083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objects of the Act</w:t>
            </w:r>
            <w:r w:rsidR="0063083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include in conjunction with other laws, </w:t>
            </w:r>
            <w:r w:rsidR="00DA5C6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to </w:t>
            </w:r>
            <w:r w:rsidR="0063083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give effect to the Convention on the Rights of Persons with Disability and give effect other international obligations that Australia has as a party to. </w:t>
            </w:r>
          </w:p>
        </w:tc>
      </w:tr>
      <w:tr w:rsidR="00E23657" w:rsidRPr="0003453C" w14:paraId="72E1963D" w14:textId="77777777" w:rsidTr="004E5CE9">
        <w:trPr>
          <w:cantSplit/>
        </w:trPr>
        <w:tc>
          <w:tcPr>
            <w:tcW w:w="2041" w:type="dxa"/>
          </w:tcPr>
          <w:p w14:paraId="53333E40" w14:textId="77777777" w:rsidR="00191DAC" w:rsidRPr="00F21F37" w:rsidRDefault="00B90B6F" w:rsidP="004E5CE9">
            <w:pPr>
              <w:spacing w:before="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F37">
              <w:rPr>
                <w:rFonts w:asciiTheme="minorHAnsi" w:hAnsiTheme="minorHAnsi" w:cstheme="minorHAnsi"/>
                <w:b/>
                <w:sz w:val="22"/>
                <w:szCs w:val="22"/>
              </w:rPr>
              <w:t>Regulatory oversight</w:t>
            </w:r>
          </w:p>
        </w:tc>
        <w:tc>
          <w:tcPr>
            <w:tcW w:w="3855" w:type="dxa"/>
          </w:tcPr>
          <w:p w14:paraId="6FE806AC" w14:textId="77777777" w:rsidR="00191DAC" w:rsidRPr="0003453C" w:rsidRDefault="005144A9" w:rsidP="004E5CE9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The DSA established an automatic requirement for </w:t>
            </w:r>
            <w:r w:rsidR="00B90B6F"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all </w:t>
            </w: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advocacy and </w:t>
            </w: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lastRenderedPageBreak/>
              <w:t>employment providers to obt</w:t>
            </w:r>
            <w:r w:rsidR="00B90B6F"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ain a certificate of compliance, regardless of services provided.</w:t>
            </w:r>
          </w:p>
          <w:p w14:paraId="3354E421" w14:textId="4DAF2049" w:rsidR="005144A9" w:rsidRPr="0003453C" w:rsidRDefault="005144A9" w:rsidP="004E5CE9">
            <w:pPr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FF(SP) providers were subject to </w:t>
            </w:r>
            <w:r w:rsidR="00B90B6F"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compliance requirement</w:t>
            </w:r>
            <w:r w:rsidR="0047391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as stated under their grant agreements terms and conditions and in operational guidelines</w:t>
            </w:r>
            <w:r w:rsidR="00B90B6F"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, </w:t>
            </w:r>
            <w:r w:rsidR="0047391F">
              <w:rPr>
                <w:rFonts w:asciiTheme="minorHAnsi" w:eastAsiaTheme="minorHAnsi" w:hAnsiTheme="minorHAnsi" w:cstheme="minorHAnsi"/>
                <w:sz w:val="22"/>
                <w:szCs w:val="22"/>
              </w:rPr>
              <w:t>which was inconsistent and less clear to people accessing services</w:t>
            </w:r>
            <w:r w:rsidR="00B90B6F"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09" w:type="dxa"/>
          </w:tcPr>
          <w:p w14:paraId="5AC09257" w14:textId="77777777" w:rsidR="00B90B6F" w:rsidRPr="0003453C" w:rsidRDefault="00B90B6F" w:rsidP="004E5CE9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lastRenderedPageBreak/>
              <w:t>The DSI Act establishes consistent requirements for all funded providers.</w:t>
            </w:r>
          </w:p>
          <w:p w14:paraId="28BAF0F8" w14:textId="77777777" w:rsidR="00B90B6F" w:rsidRPr="0003453C" w:rsidRDefault="00B90B6F" w:rsidP="004E5CE9">
            <w:pPr>
              <w:pStyle w:val="ListParagraph"/>
              <w:numPr>
                <w:ilvl w:val="0"/>
                <w:numId w:val="64"/>
              </w:num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lastRenderedPageBreak/>
              <w:t>Providers are</w:t>
            </w:r>
            <w:r w:rsidR="004D78E8"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only</w:t>
            </w: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required to hold </w:t>
            </w:r>
            <w:r w:rsidR="004D78E8"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a certificate of compliance if they deliver a ‘regulated activity’</w:t>
            </w:r>
          </w:p>
          <w:p w14:paraId="26BB1A02" w14:textId="102C617D" w:rsidR="00191DAC" w:rsidRPr="00D95A6D" w:rsidRDefault="004D78E8" w:rsidP="004E5CE9">
            <w:pPr>
              <w:pStyle w:val="ListParagraph"/>
              <w:numPr>
                <w:ilvl w:val="0"/>
                <w:numId w:val="64"/>
              </w:num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 ‘regulated activity’ is one which involves </w:t>
            </w:r>
            <w:r w:rsidR="00F55FE6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delivery of higher-risk or complex supports, one that is delivered by persons undertaking the activity through substantial one-on-one contact or that involves regular engagement over a prolonged period. </w:t>
            </w:r>
          </w:p>
        </w:tc>
      </w:tr>
      <w:tr w:rsidR="00E23657" w:rsidRPr="0003453C" w14:paraId="26B8E56C" w14:textId="77777777" w:rsidTr="004E5CE9">
        <w:tc>
          <w:tcPr>
            <w:tcW w:w="2041" w:type="dxa"/>
          </w:tcPr>
          <w:p w14:paraId="534DA85B" w14:textId="77777777" w:rsidR="00B90B6F" w:rsidRPr="00F21F37" w:rsidRDefault="00B90B6F" w:rsidP="004E5CE9">
            <w:pPr>
              <w:spacing w:before="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F3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Compliance standard</w:t>
            </w:r>
            <w:r w:rsidR="00E23657" w:rsidRPr="00F21F37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3855" w:type="dxa"/>
          </w:tcPr>
          <w:p w14:paraId="6540912F" w14:textId="77777777" w:rsidR="00B90B6F" w:rsidRPr="0003453C" w:rsidRDefault="004D78E8" w:rsidP="004E5CE9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All providers under the DSA </w:t>
            </w:r>
            <w:r w:rsidR="0047391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requiring certification </w:t>
            </w: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were required to comply with the National Standards for Disability Services, no matter what other </w:t>
            </w:r>
            <w:r w:rsidR="00323F00">
              <w:rPr>
                <w:rFonts w:asciiTheme="minorHAnsi" w:eastAsiaTheme="minorHAnsi" w:hAnsiTheme="minorHAnsi" w:cstheme="minorHAnsi"/>
                <w:sz w:val="22"/>
                <w:szCs w:val="22"/>
              </w:rPr>
              <w:t>standards they met.</w:t>
            </w:r>
          </w:p>
        </w:tc>
        <w:tc>
          <w:tcPr>
            <w:tcW w:w="4309" w:type="dxa"/>
          </w:tcPr>
          <w:p w14:paraId="790EA804" w14:textId="77777777" w:rsidR="004D78E8" w:rsidRPr="0003453C" w:rsidRDefault="0047391F" w:rsidP="004E5CE9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All programs are assessed if they are requiring certification. </w:t>
            </w:r>
            <w:r w:rsidR="004D78E8"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Only regulated activities are required to comply with the National Standards for Disability Services.</w:t>
            </w:r>
          </w:p>
          <w:p w14:paraId="42508987" w14:textId="77777777" w:rsidR="004D78E8" w:rsidRPr="0003453C" w:rsidRDefault="004D78E8" w:rsidP="004E5CE9">
            <w:pPr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Alternative standards can be recognised, potentially reducing the regulatory burden for providers who are already subject to comparable compliance standards</w:t>
            </w:r>
            <w:r w:rsidRPr="000345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23657" w:rsidRPr="0003453C" w14:paraId="7D9FE2D2" w14:textId="77777777" w:rsidTr="004E5CE9">
        <w:tc>
          <w:tcPr>
            <w:tcW w:w="2041" w:type="dxa"/>
          </w:tcPr>
          <w:p w14:paraId="1E4630DC" w14:textId="77777777" w:rsidR="00191DAC" w:rsidRPr="00F21F37" w:rsidRDefault="00453627" w:rsidP="004E5CE9">
            <w:pPr>
              <w:spacing w:before="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F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Code of Conduct </w:t>
            </w:r>
          </w:p>
        </w:tc>
        <w:tc>
          <w:tcPr>
            <w:tcW w:w="3855" w:type="dxa"/>
          </w:tcPr>
          <w:p w14:paraId="05CD2C7C" w14:textId="5FB65496" w:rsidR="00191DAC" w:rsidRPr="0003453C" w:rsidRDefault="004D78E8" w:rsidP="004E5CE9">
            <w:pPr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Expectations around conduct were established separately for each program and </w:t>
            </w:r>
            <w:r w:rsidR="00787AE1">
              <w:rPr>
                <w:rFonts w:asciiTheme="minorHAnsi" w:eastAsiaTheme="minorHAnsi" w:hAnsiTheme="minorHAnsi" w:cstheme="minorHAnsi"/>
                <w:sz w:val="22"/>
                <w:szCs w:val="22"/>
              </w:rPr>
              <w:t>contained</w:t>
            </w:r>
            <w:r w:rsidR="00787AE1"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in grant agreements and operational guidelines</w:t>
            </w:r>
            <w:r w:rsidR="00787AE1">
              <w:rPr>
                <w:rFonts w:asciiTheme="minorHAnsi" w:eastAsia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09" w:type="dxa"/>
          </w:tcPr>
          <w:p w14:paraId="2B304C3E" w14:textId="77777777" w:rsidR="009276E7" w:rsidRDefault="00453627" w:rsidP="004E5CE9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All providers are required to comply with the Code of Conduct</w:t>
            </w:r>
            <w:r w:rsidR="009276E7">
              <w:rPr>
                <w:rFonts w:asciiTheme="minorHAnsi" w:eastAsiaTheme="minorHAnsi" w:hAnsiTheme="minorHAnsi" w:cstheme="minorHAnsi"/>
                <w:sz w:val="22"/>
                <w:szCs w:val="22"/>
              </w:rPr>
              <w:t>, which mirrors the NDIS Code of Conduct</w:t>
            </w: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.</w:t>
            </w:r>
          </w:p>
          <w:p w14:paraId="76E9AD07" w14:textId="77777777" w:rsidR="00191DAC" w:rsidRPr="0003453C" w:rsidRDefault="00453627" w:rsidP="004E5CE9">
            <w:pPr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Breaching the Code of Conduct </w:t>
            </w:r>
            <w:r w:rsidR="0003453C"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can </w:t>
            </w:r>
            <w:r w:rsidRPr="0003453C">
              <w:rPr>
                <w:rFonts w:asciiTheme="minorHAnsi" w:eastAsiaTheme="minorHAnsi" w:hAnsiTheme="minorHAnsi" w:cstheme="minorHAnsi"/>
                <w:sz w:val="22"/>
                <w:szCs w:val="22"/>
              </w:rPr>
              <w:t>form a basis for varying or terminating an agreement, or imposing additional conditions on the provider.</w:t>
            </w:r>
          </w:p>
        </w:tc>
      </w:tr>
      <w:tr w:rsidR="00E23657" w:rsidRPr="0003453C" w14:paraId="27EC7393" w14:textId="77777777" w:rsidTr="004E5CE9">
        <w:tc>
          <w:tcPr>
            <w:tcW w:w="2041" w:type="dxa"/>
          </w:tcPr>
          <w:p w14:paraId="79CD8719" w14:textId="77777777" w:rsidR="00191DAC" w:rsidRPr="00F21F37" w:rsidRDefault="00453627" w:rsidP="004E5CE9">
            <w:pPr>
              <w:spacing w:before="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F37">
              <w:rPr>
                <w:rFonts w:asciiTheme="minorHAnsi" w:hAnsiTheme="minorHAnsi" w:cstheme="minorHAnsi"/>
                <w:b/>
                <w:sz w:val="22"/>
                <w:szCs w:val="22"/>
              </w:rPr>
              <w:t>Complaints management system</w:t>
            </w:r>
          </w:p>
        </w:tc>
        <w:tc>
          <w:tcPr>
            <w:tcW w:w="3855" w:type="dxa"/>
          </w:tcPr>
          <w:p w14:paraId="5CC4D12D" w14:textId="77777777" w:rsidR="00191DAC" w:rsidRPr="0003453C" w:rsidRDefault="009276E7" w:rsidP="004E5CE9">
            <w:pPr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legislative requirement. Individual programs each had their own requirements.</w:t>
            </w:r>
            <w:r w:rsidR="00EA4013" w:rsidRPr="000345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09" w:type="dxa"/>
          </w:tcPr>
          <w:p w14:paraId="0599985F" w14:textId="78963047" w:rsidR="009276E7" w:rsidRDefault="00453627" w:rsidP="004E5CE9">
            <w:pPr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hAnsiTheme="minorHAnsi" w:cstheme="minorHAnsi"/>
                <w:sz w:val="22"/>
                <w:szCs w:val="22"/>
              </w:rPr>
              <w:t xml:space="preserve">All providers are required to </w:t>
            </w:r>
            <w:r w:rsidR="009276E7">
              <w:rPr>
                <w:rFonts w:asciiTheme="minorHAnsi" w:hAnsiTheme="minorHAnsi" w:cstheme="minorHAnsi"/>
                <w:sz w:val="22"/>
                <w:szCs w:val="22"/>
              </w:rPr>
              <w:t>have</w:t>
            </w:r>
            <w:r w:rsidRPr="0003453C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9276E7">
              <w:rPr>
                <w:rFonts w:asciiTheme="minorHAnsi" w:hAnsiTheme="minorHAnsi" w:cstheme="minorHAnsi"/>
                <w:sz w:val="22"/>
                <w:szCs w:val="22"/>
              </w:rPr>
              <w:t>n appropriate</w:t>
            </w:r>
            <w:r w:rsidRPr="0003453C">
              <w:rPr>
                <w:rFonts w:asciiTheme="minorHAnsi" w:hAnsiTheme="minorHAnsi" w:cstheme="minorHAnsi"/>
                <w:sz w:val="22"/>
                <w:szCs w:val="22"/>
              </w:rPr>
              <w:t xml:space="preserve"> complaints management system.</w:t>
            </w:r>
          </w:p>
          <w:p w14:paraId="70773300" w14:textId="34C6FBF2" w:rsidR="00191DAC" w:rsidRPr="0003453C" w:rsidRDefault="00323F00" w:rsidP="004E5CE9">
            <w:pPr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Providers </w:t>
            </w:r>
            <w:r w:rsidR="00787AE1">
              <w:rPr>
                <w:rFonts w:asciiTheme="minorHAnsi" w:hAnsiTheme="minorHAnsi" w:cstheme="minorHAnsi"/>
                <w:sz w:val="22"/>
                <w:szCs w:val="22"/>
              </w:rPr>
              <w:t>are required to report to the Department of Social Services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7AE1">
              <w:rPr>
                <w:rFonts w:asciiTheme="minorHAnsi" w:hAnsiTheme="minorHAnsi" w:cstheme="minorHAnsi"/>
                <w:sz w:val="22"/>
                <w:szCs w:val="22"/>
              </w:rPr>
              <w:t xml:space="preserve">if any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complaints relate to alleged breaches of the Code of Conduct</w:t>
            </w:r>
            <w:r w:rsidR="0047391F">
              <w:rPr>
                <w:rFonts w:asciiTheme="minorHAnsi" w:hAnsiTheme="minorHAnsi" w:cstheme="minorHAnsi"/>
                <w:sz w:val="22"/>
                <w:szCs w:val="22"/>
              </w:rPr>
              <w:t>, including where they have dealt with those complaints themselves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3453C" w:rsidDel="00323F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3627" w:rsidRPr="000345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23657" w:rsidRPr="0003453C" w14:paraId="7E0481AC" w14:textId="77777777" w:rsidTr="004E5CE9">
        <w:tc>
          <w:tcPr>
            <w:tcW w:w="2041" w:type="dxa"/>
            <w:shd w:val="clear" w:color="auto" w:fill="auto"/>
          </w:tcPr>
          <w:p w14:paraId="351A8986" w14:textId="77777777" w:rsidR="00191DAC" w:rsidRPr="00F21F37" w:rsidRDefault="00453627" w:rsidP="004E5CE9">
            <w:pPr>
              <w:spacing w:before="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1F37">
              <w:rPr>
                <w:rFonts w:asciiTheme="minorHAnsi" w:hAnsiTheme="minorHAnsi" w:cstheme="minorHAnsi"/>
                <w:b/>
                <w:sz w:val="22"/>
                <w:szCs w:val="22"/>
              </w:rPr>
              <w:t>Incident management system</w:t>
            </w:r>
          </w:p>
        </w:tc>
        <w:tc>
          <w:tcPr>
            <w:tcW w:w="3855" w:type="dxa"/>
            <w:shd w:val="clear" w:color="auto" w:fill="auto"/>
          </w:tcPr>
          <w:p w14:paraId="561A9938" w14:textId="77777777" w:rsidR="00191DAC" w:rsidRPr="0003453C" w:rsidRDefault="009276E7" w:rsidP="004E5CE9">
            <w:pPr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legislative requirement. Individual programs each had their own requirements.</w:t>
            </w:r>
            <w:r w:rsidRPr="000345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09" w:type="dxa"/>
            <w:shd w:val="clear" w:color="auto" w:fill="auto"/>
          </w:tcPr>
          <w:p w14:paraId="5574D461" w14:textId="77777777" w:rsidR="00191DAC" w:rsidRPr="0003453C" w:rsidRDefault="00453627" w:rsidP="004E5CE9">
            <w:pPr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453C">
              <w:rPr>
                <w:rFonts w:asciiTheme="minorHAnsi" w:hAnsiTheme="minorHAnsi" w:cstheme="minorHAnsi"/>
                <w:sz w:val="22"/>
                <w:szCs w:val="22"/>
              </w:rPr>
              <w:t xml:space="preserve">All providers are required to </w:t>
            </w:r>
            <w:r w:rsidR="009276E7">
              <w:rPr>
                <w:rFonts w:asciiTheme="minorHAnsi" w:hAnsiTheme="minorHAnsi" w:cstheme="minorHAnsi"/>
                <w:sz w:val="22"/>
                <w:szCs w:val="22"/>
              </w:rPr>
              <w:t>have</w:t>
            </w:r>
            <w:r w:rsidRPr="0003453C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9276E7">
              <w:rPr>
                <w:rFonts w:asciiTheme="minorHAnsi" w:hAnsiTheme="minorHAnsi" w:cstheme="minorHAnsi"/>
                <w:sz w:val="22"/>
                <w:szCs w:val="22"/>
              </w:rPr>
              <w:t>n appropriate</w:t>
            </w:r>
            <w:r w:rsidRPr="0003453C">
              <w:rPr>
                <w:rFonts w:asciiTheme="minorHAnsi" w:hAnsiTheme="minorHAnsi" w:cstheme="minorHAnsi"/>
                <w:sz w:val="22"/>
                <w:szCs w:val="22"/>
              </w:rPr>
              <w:t xml:space="preserve"> incident management system of appropriate size.</w:t>
            </w:r>
          </w:p>
        </w:tc>
      </w:tr>
    </w:tbl>
    <w:p w14:paraId="28B37E12" w14:textId="77777777" w:rsidR="004E5CE9" w:rsidRDefault="004E5CE9" w:rsidP="003243B0"/>
    <w:p w14:paraId="0DEFAE08" w14:textId="3D9C1A8E" w:rsidR="009559C2" w:rsidRDefault="009559C2" w:rsidP="00373A27">
      <w:pPr>
        <w:pStyle w:val="Heading2"/>
      </w:pPr>
      <w:r w:rsidRPr="00E1145C">
        <w:t>Additional Resources</w:t>
      </w:r>
    </w:p>
    <w:p w14:paraId="3FCCA766" w14:textId="46F845D7" w:rsidR="006535B0" w:rsidRPr="004649E2" w:rsidRDefault="004E5CE9" w:rsidP="004E5CE9">
      <w:pPr>
        <w:pStyle w:val="ListBullet"/>
        <w:numPr>
          <w:ilvl w:val="0"/>
          <w:numId w:val="0"/>
        </w:numPr>
      </w:pPr>
      <w:r>
        <w:t xml:space="preserve">Please visit </w:t>
      </w:r>
      <w:hyperlink r:id="rId9" w:history="1">
        <w:r w:rsidRPr="00066092">
          <w:rPr>
            <w:rStyle w:val="Hyperlink"/>
          </w:rPr>
          <w:t>www.dss.gov.au/dsi-act</w:t>
        </w:r>
      </w:hyperlink>
      <w:r>
        <w:t xml:space="preserve"> for further information about the new Act.</w:t>
      </w:r>
    </w:p>
    <w:sectPr w:rsidR="006535B0" w:rsidRPr="004649E2" w:rsidSect="00D87F42">
      <w:headerReference w:type="first" r:id="rId10"/>
      <w:pgSz w:w="11906" w:h="16838" w:code="9"/>
      <w:pgMar w:top="1112" w:right="851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B1BD1" w14:textId="77777777" w:rsidR="00937956" w:rsidRDefault="00937956">
      <w:r>
        <w:separator/>
      </w:r>
    </w:p>
  </w:endnote>
  <w:endnote w:type="continuationSeparator" w:id="0">
    <w:p w14:paraId="5BF93CFB" w14:textId="77777777" w:rsidR="00937956" w:rsidRDefault="0093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B264E" w14:textId="77777777" w:rsidR="00937956" w:rsidRDefault="00937956">
      <w:r>
        <w:separator/>
      </w:r>
    </w:p>
  </w:footnote>
  <w:footnote w:type="continuationSeparator" w:id="0">
    <w:p w14:paraId="0DB14AD4" w14:textId="77777777" w:rsidR="00937956" w:rsidRDefault="0093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D0CD6" w14:textId="77777777" w:rsidR="00E85A47" w:rsidRDefault="00E8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9EEA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B4006"/>
    <w:multiLevelType w:val="hybridMultilevel"/>
    <w:tmpl w:val="E2545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F628A"/>
    <w:multiLevelType w:val="hybridMultilevel"/>
    <w:tmpl w:val="4868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C96C9F"/>
    <w:multiLevelType w:val="hybridMultilevel"/>
    <w:tmpl w:val="DB90C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74589">
    <w:abstractNumId w:val="0"/>
  </w:num>
  <w:num w:numId="2" w16cid:durableId="579563837">
    <w:abstractNumId w:val="37"/>
  </w:num>
  <w:num w:numId="3" w16cid:durableId="648479899">
    <w:abstractNumId w:val="39"/>
  </w:num>
  <w:num w:numId="4" w16cid:durableId="310066020">
    <w:abstractNumId w:val="12"/>
  </w:num>
  <w:num w:numId="5" w16cid:durableId="1060135812">
    <w:abstractNumId w:val="16"/>
  </w:num>
  <w:num w:numId="6" w16cid:durableId="1665863566">
    <w:abstractNumId w:val="60"/>
  </w:num>
  <w:num w:numId="7" w16cid:durableId="1418333285">
    <w:abstractNumId w:val="47"/>
  </w:num>
  <w:num w:numId="8" w16cid:durableId="1264387155">
    <w:abstractNumId w:val="52"/>
  </w:num>
  <w:num w:numId="9" w16cid:durableId="822965917">
    <w:abstractNumId w:val="7"/>
  </w:num>
  <w:num w:numId="10" w16cid:durableId="768623355">
    <w:abstractNumId w:val="59"/>
  </w:num>
  <w:num w:numId="11" w16cid:durableId="607204082">
    <w:abstractNumId w:val="17"/>
  </w:num>
  <w:num w:numId="12" w16cid:durableId="124737664">
    <w:abstractNumId w:val="43"/>
  </w:num>
  <w:num w:numId="13" w16cid:durableId="1591431616">
    <w:abstractNumId w:val="54"/>
  </w:num>
  <w:num w:numId="14" w16cid:durableId="205879211">
    <w:abstractNumId w:val="36"/>
  </w:num>
  <w:num w:numId="15" w16cid:durableId="313997361">
    <w:abstractNumId w:val="3"/>
  </w:num>
  <w:num w:numId="16" w16cid:durableId="671758297">
    <w:abstractNumId w:val="13"/>
  </w:num>
  <w:num w:numId="17" w16cid:durableId="747578870">
    <w:abstractNumId w:val="58"/>
  </w:num>
  <w:num w:numId="18" w16cid:durableId="1393651959">
    <w:abstractNumId w:val="51"/>
  </w:num>
  <w:num w:numId="19" w16cid:durableId="186990409">
    <w:abstractNumId w:val="14"/>
  </w:num>
  <w:num w:numId="20" w16cid:durableId="509876119">
    <w:abstractNumId w:val="2"/>
  </w:num>
  <w:num w:numId="21" w16cid:durableId="1240212694">
    <w:abstractNumId w:val="5"/>
  </w:num>
  <w:num w:numId="22" w16cid:durableId="354430737">
    <w:abstractNumId w:val="22"/>
  </w:num>
  <w:num w:numId="23" w16cid:durableId="329212344">
    <w:abstractNumId w:val="18"/>
  </w:num>
  <w:num w:numId="24" w16cid:durableId="671297757">
    <w:abstractNumId w:val="62"/>
  </w:num>
  <w:num w:numId="25" w16cid:durableId="1745373551">
    <w:abstractNumId w:val="35"/>
  </w:num>
  <w:num w:numId="26" w16cid:durableId="1423408102">
    <w:abstractNumId w:val="40"/>
  </w:num>
  <w:num w:numId="27" w16cid:durableId="666329477">
    <w:abstractNumId w:val="21"/>
  </w:num>
  <w:num w:numId="28" w16cid:durableId="1601134182">
    <w:abstractNumId w:val="61"/>
  </w:num>
  <w:num w:numId="29" w16cid:durableId="481046016">
    <w:abstractNumId w:val="50"/>
  </w:num>
  <w:num w:numId="30" w16cid:durableId="1485123153">
    <w:abstractNumId w:val="27"/>
  </w:num>
  <w:num w:numId="31" w16cid:durableId="876897618">
    <w:abstractNumId w:val="46"/>
  </w:num>
  <w:num w:numId="32" w16cid:durableId="495847446">
    <w:abstractNumId w:val="55"/>
  </w:num>
  <w:num w:numId="33" w16cid:durableId="1339430406">
    <w:abstractNumId w:val="57"/>
  </w:num>
  <w:num w:numId="34" w16cid:durableId="1985115041">
    <w:abstractNumId w:val="4"/>
  </w:num>
  <w:num w:numId="35" w16cid:durableId="296692631">
    <w:abstractNumId w:val="25"/>
  </w:num>
  <w:num w:numId="36" w16cid:durableId="148451321">
    <w:abstractNumId w:val="49"/>
  </w:num>
  <w:num w:numId="37" w16cid:durableId="1697265971">
    <w:abstractNumId w:val="8"/>
  </w:num>
  <w:num w:numId="38" w16cid:durableId="1491141651">
    <w:abstractNumId w:val="30"/>
  </w:num>
  <w:num w:numId="39" w16cid:durableId="1098327471">
    <w:abstractNumId w:val="24"/>
  </w:num>
  <w:num w:numId="40" w16cid:durableId="1182473630">
    <w:abstractNumId w:val="34"/>
  </w:num>
  <w:num w:numId="41" w16cid:durableId="1038244274">
    <w:abstractNumId w:val="38"/>
  </w:num>
  <w:num w:numId="42" w16cid:durableId="432015548">
    <w:abstractNumId w:val="23"/>
  </w:num>
  <w:num w:numId="43" w16cid:durableId="1029451405">
    <w:abstractNumId w:val="15"/>
  </w:num>
  <w:num w:numId="44" w16cid:durableId="1880781612">
    <w:abstractNumId w:val="42"/>
  </w:num>
  <w:num w:numId="45" w16cid:durableId="185606268">
    <w:abstractNumId w:val="48"/>
  </w:num>
  <w:num w:numId="46" w16cid:durableId="1892837060">
    <w:abstractNumId w:val="33"/>
  </w:num>
  <w:num w:numId="47" w16cid:durableId="1523082532">
    <w:abstractNumId w:val="31"/>
  </w:num>
  <w:num w:numId="48" w16cid:durableId="1507133079">
    <w:abstractNumId w:val="1"/>
  </w:num>
  <w:num w:numId="49" w16cid:durableId="99033178">
    <w:abstractNumId w:val="44"/>
  </w:num>
  <w:num w:numId="50" w16cid:durableId="1215510865">
    <w:abstractNumId w:val="56"/>
  </w:num>
  <w:num w:numId="51" w16cid:durableId="452866024">
    <w:abstractNumId w:val="41"/>
  </w:num>
  <w:num w:numId="52" w16cid:durableId="1533377029">
    <w:abstractNumId w:val="9"/>
  </w:num>
  <w:num w:numId="53" w16cid:durableId="377433156">
    <w:abstractNumId w:val="53"/>
  </w:num>
  <w:num w:numId="54" w16cid:durableId="1503425272">
    <w:abstractNumId w:val="26"/>
  </w:num>
  <w:num w:numId="55" w16cid:durableId="669721519">
    <w:abstractNumId w:val="19"/>
  </w:num>
  <w:num w:numId="56" w16cid:durableId="1071659800">
    <w:abstractNumId w:val="29"/>
  </w:num>
  <w:num w:numId="57" w16cid:durableId="429086521">
    <w:abstractNumId w:val="28"/>
  </w:num>
  <w:num w:numId="58" w16cid:durableId="303505652">
    <w:abstractNumId w:val="11"/>
  </w:num>
  <w:num w:numId="59" w16cid:durableId="463742213">
    <w:abstractNumId w:val="37"/>
  </w:num>
  <w:num w:numId="60" w16cid:durableId="1943685935">
    <w:abstractNumId w:val="6"/>
  </w:num>
  <w:num w:numId="61" w16cid:durableId="353849667">
    <w:abstractNumId w:val="32"/>
  </w:num>
  <w:num w:numId="62" w16cid:durableId="315650056">
    <w:abstractNumId w:val="45"/>
  </w:num>
  <w:num w:numId="63" w16cid:durableId="515272954">
    <w:abstractNumId w:val="20"/>
  </w:num>
  <w:num w:numId="64" w16cid:durableId="1049525425">
    <w:abstractNumId w:val="1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D4"/>
    <w:rsid w:val="00002C18"/>
    <w:rsid w:val="00010549"/>
    <w:rsid w:val="00012F84"/>
    <w:rsid w:val="00013DE7"/>
    <w:rsid w:val="00013F99"/>
    <w:rsid w:val="00025376"/>
    <w:rsid w:val="00027B26"/>
    <w:rsid w:val="0003104E"/>
    <w:rsid w:val="00031195"/>
    <w:rsid w:val="00032861"/>
    <w:rsid w:val="0003453C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71AC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5E56"/>
    <w:rsid w:val="000A669D"/>
    <w:rsid w:val="000A66A8"/>
    <w:rsid w:val="000B47C9"/>
    <w:rsid w:val="000B7E6F"/>
    <w:rsid w:val="000C014D"/>
    <w:rsid w:val="000D0178"/>
    <w:rsid w:val="000D075B"/>
    <w:rsid w:val="000D4703"/>
    <w:rsid w:val="000D693C"/>
    <w:rsid w:val="000E12D4"/>
    <w:rsid w:val="000E41B0"/>
    <w:rsid w:val="00104669"/>
    <w:rsid w:val="00110028"/>
    <w:rsid w:val="0011449B"/>
    <w:rsid w:val="00116EDF"/>
    <w:rsid w:val="00123BB3"/>
    <w:rsid w:val="00124B26"/>
    <w:rsid w:val="00130C4E"/>
    <w:rsid w:val="00131B54"/>
    <w:rsid w:val="001354B7"/>
    <w:rsid w:val="001365C8"/>
    <w:rsid w:val="00136B5E"/>
    <w:rsid w:val="001404FA"/>
    <w:rsid w:val="001413C5"/>
    <w:rsid w:val="00142956"/>
    <w:rsid w:val="00143502"/>
    <w:rsid w:val="00144494"/>
    <w:rsid w:val="00144868"/>
    <w:rsid w:val="00157709"/>
    <w:rsid w:val="0016490F"/>
    <w:rsid w:val="00167330"/>
    <w:rsid w:val="00167CF4"/>
    <w:rsid w:val="00185F6A"/>
    <w:rsid w:val="00191DAC"/>
    <w:rsid w:val="001943DD"/>
    <w:rsid w:val="00195374"/>
    <w:rsid w:val="001A127F"/>
    <w:rsid w:val="001A1F53"/>
    <w:rsid w:val="001A3CA4"/>
    <w:rsid w:val="001A3EA4"/>
    <w:rsid w:val="001B3AEC"/>
    <w:rsid w:val="001B5000"/>
    <w:rsid w:val="001B6F28"/>
    <w:rsid w:val="001D0BFF"/>
    <w:rsid w:val="001D4585"/>
    <w:rsid w:val="001D5D54"/>
    <w:rsid w:val="001E41C8"/>
    <w:rsid w:val="001F3AD7"/>
    <w:rsid w:val="001F45EB"/>
    <w:rsid w:val="00207630"/>
    <w:rsid w:val="00213082"/>
    <w:rsid w:val="0021714E"/>
    <w:rsid w:val="00222187"/>
    <w:rsid w:val="00222C8D"/>
    <w:rsid w:val="00222E33"/>
    <w:rsid w:val="00227B95"/>
    <w:rsid w:val="002349B5"/>
    <w:rsid w:val="0023523A"/>
    <w:rsid w:val="002353DF"/>
    <w:rsid w:val="00235F71"/>
    <w:rsid w:val="0025272A"/>
    <w:rsid w:val="00252BE1"/>
    <w:rsid w:val="00257F2E"/>
    <w:rsid w:val="00271922"/>
    <w:rsid w:val="0027204E"/>
    <w:rsid w:val="00273412"/>
    <w:rsid w:val="00274ACF"/>
    <w:rsid w:val="00285F1B"/>
    <w:rsid w:val="00295831"/>
    <w:rsid w:val="00296F1B"/>
    <w:rsid w:val="002A6DF5"/>
    <w:rsid w:val="002D00B0"/>
    <w:rsid w:val="002D2E16"/>
    <w:rsid w:val="002D3977"/>
    <w:rsid w:val="002F19EF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3F00"/>
    <w:rsid w:val="003243B0"/>
    <w:rsid w:val="00325F44"/>
    <w:rsid w:val="00326976"/>
    <w:rsid w:val="003311D7"/>
    <w:rsid w:val="003325FC"/>
    <w:rsid w:val="00332B8B"/>
    <w:rsid w:val="00342476"/>
    <w:rsid w:val="00347104"/>
    <w:rsid w:val="003500F2"/>
    <w:rsid w:val="0035213F"/>
    <w:rsid w:val="003555D2"/>
    <w:rsid w:val="00363DF3"/>
    <w:rsid w:val="003656B1"/>
    <w:rsid w:val="0037056B"/>
    <w:rsid w:val="00373A27"/>
    <w:rsid w:val="003759AB"/>
    <w:rsid w:val="00377173"/>
    <w:rsid w:val="003774DA"/>
    <w:rsid w:val="0038503A"/>
    <w:rsid w:val="00392557"/>
    <w:rsid w:val="003945C0"/>
    <w:rsid w:val="003A06C2"/>
    <w:rsid w:val="003B6D2E"/>
    <w:rsid w:val="003C430D"/>
    <w:rsid w:val="003C7404"/>
    <w:rsid w:val="003D3C5A"/>
    <w:rsid w:val="003D404A"/>
    <w:rsid w:val="003E6FDA"/>
    <w:rsid w:val="003F3072"/>
    <w:rsid w:val="00401A2A"/>
    <w:rsid w:val="004103D7"/>
    <w:rsid w:val="0041307C"/>
    <w:rsid w:val="004167B4"/>
    <w:rsid w:val="00430D7E"/>
    <w:rsid w:val="00433B04"/>
    <w:rsid w:val="00440BD3"/>
    <w:rsid w:val="00446F93"/>
    <w:rsid w:val="00453627"/>
    <w:rsid w:val="004649E2"/>
    <w:rsid w:val="00464E8C"/>
    <w:rsid w:val="00466D36"/>
    <w:rsid w:val="00467185"/>
    <w:rsid w:val="004678E2"/>
    <w:rsid w:val="0047050C"/>
    <w:rsid w:val="0047391F"/>
    <w:rsid w:val="00475504"/>
    <w:rsid w:val="00480F21"/>
    <w:rsid w:val="00484FED"/>
    <w:rsid w:val="00494939"/>
    <w:rsid w:val="00495AF1"/>
    <w:rsid w:val="004D44E8"/>
    <w:rsid w:val="004D78E8"/>
    <w:rsid w:val="004E5CE9"/>
    <w:rsid w:val="004F775C"/>
    <w:rsid w:val="004F77BF"/>
    <w:rsid w:val="004F78DA"/>
    <w:rsid w:val="005015E4"/>
    <w:rsid w:val="0050291D"/>
    <w:rsid w:val="0050697E"/>
    <w:rsid w:val="005109A6"/>
    <w:rsid w:val="005144A9"/>
    <w:rsid w:val="00517091"/>
    <w:rsid w:val="00524B3C"/>
    <w:rsid w:val="005300B9"/>
    <w:rsid w:val="005315A9"/>
    <w:rsid w:val="005316BE"/>
    <w:rsid w:val="00532B56"/>
    <w:rsid w:val="00537B50"/>
    <w:rsid w:val="00540AD0"/>
    <w:rsid w:val="00541C34"/>
    <w:rsid w:val="0054322A"/>
    <w:rsid w:val="00543923"/>
    <w:rsid w:val="005519C9"/>
    <w:rsid w:val="005523D1"/>
    <w:rsid w:val="00554A9C"/>
    <w:rsid w:val="00557624"/>
    <w:rsid w:val="0056023E"/>
    <w:rsid w:val="005658EF"/>
    <w:rsid w:val="005822A3"/>
    <w:rsid w:val="0059070B"/>
    <w:rsid w:val="00594445"/>
    <w:rsid w:val="005B1225"/>
    <w:rsid w:val="005C09F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4329"/>
    <w:rsid w:val="005F6BD6"/>
    <w:rsid w:val="00601C99"/>
    <w:rsid w:val="00607597"/>
    <w:rsid w:val="006255E4"/>
    <w:rsid w:val="0063083A"/>
    <w:rsid w:val="006325E2"/>
    <w:rsid w:val="006330B0"/>
    <w:rsid w:val="00641020"/>
    <w:rsid w:val="006410C1"/>
    <w:rsid w:val="00643F4D"/>
    <w:rsid w:val="00647F05"/>
    <w:rsid w:val="006530EF"/>
    <w:rsid w:val="006535B0"/>
    <w:rsid w:val="00654D06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85FA3"/>
    <w:rsid w:val="0069174B"/>
    <w:rsid w:val="00692C37"/>
    <w:rsid w:val="00693FA1"/>
    <w:rsid w:val="006B05E3"/>
    <w:rsid w:val="006B09BC"/>
    <w:rsid w:val="006B42A0"/>
    <w:rsid w:val="006B4E59"/>
    <w:rsid w:val="006C3402"/>
    <w:rsid w:val="006C3622"/>
    <w:rsid w:val="006C395C"/>
    <w:rsid w:val="006C45D4"/>
    <w:rsid w:val="006E1F3C"/>
    <w:rsid w:val="006E6073"/>
    <w:rsid w:val="006F7300"/>
    <w:rsid w:val="00703C09"/>
    <w:rsid w:val="0070493B"/>
    <w:rsid w:val="00712300"/>
    <w:rsid w:val="00720739"/>
    <w:rsid w:val="00721695"/>
    <w:rsid w:val="007242B4"/>
    <w:rsid w:val="00725FB2"/>
    <w:rsid w:val="0073061E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4D44"/>
    <w:rsid w:val="00767B7E"/>
    <w:rsid w:val="007746A9"/>
    <w:rsid w:val="00785465"/>
    <w:rsid w:val="00787656"/>
    <w:rsid w:val="00787AE1"/>
    <w:rsid w:val="007A67EA"/>
    <w:rsid w:val="007B15AF"/>
    <w:rsid w:val="007B7E83"/>
    <w:rsid w:val="007C1631"/>
    <w:rsid w:val="007C636F"/>
    <w:rsid w:val="007D0E8F"/>
    <w:rsid w:val="007D0EF8"/>
    <w:rsid w:val="007D39EB"/>
    <w:rsid w:val="00800A4D"/>
    <w:rsid w:val="008131E7"/>
    <w:rsid w:val="00813711"/>
    <w:rsid w:val="00814279"/>
    <w:rsid w:val="008263C2"/>
    <w:rsid w:val="00842959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65EA9"/>
    <w:rsid w:val="00871D4F"/>
    <w:rsid w:val="00874FB3"/>
    <w:rsid w:val="00880BE3"/>
    <w:rsid w:val="00882588"/>
    <w:rsid w:val="0089101B"/>
    <w:rsid w:val="00894C7C"/>
    <w:rsid w:val="00895792"/>
    <w:rsid w:val="008A3738"/>
    <w:rsid w:val="008A384C"/>
    <w:rsid w:val="008A6981"/>
    <w:rsid w:val="008B645B"/>
    <w:rsid w:val="008B67B8"/>
    <w:rsid w:val="008B774D"/>
    <w:rsid w:val="008C123E"/>
    <w:rsid w:val="008C3ED0"/>
    <w:rsid w:val="008C5585"/>
    <w:rsid w:val="008C5E94"/>
    <w:rsid w:val="008D4E4B"/>
    <w:rsid w:val="008E6E9D"/>
    <w:rsid w:val="008F1897"/>
    <w:rsid w:val="008F4774"/>
    <w:rsid w:val="008F68F7"/>
    <w:rsid w:val="008F7480"/>
    <w:rsid w:val="009037B6"/>
    <w:rsid w:val="00906CBE"/>
    <w:rsid w:val="00906FFA"/>
    <w:rsid w:val="009100D3"/>
    <w:rsid w:val="00910384"/>
    <w:rsid w:val="009139C0"/>
    <w:rsid w:val="009142E7"/>
    <w:rsid w:val="009161C8"/>
    <w:rsid w:val="009164AD"/>
    <w:rsid w:val="00922289"/>
    <w:rsid w:val="0092394E"/>
    <w:rsid w:val="009276E7"/>
    <w:rsid w:val="00936F46"/>
    <w:rsid w:val="00937956"/>
    <w:rsid w:val="0094271E"/>
    <w:rsid w:val="00943142"/>
    <w:rsid w:val="00943A29"/>
    <w:rsid w:val="0095197E"/>
    <w:rsid w:val="00952AB2"/>
    <w:rsid w:val="009551E0"/>
    <w:rsid w:val="00955801"/>
    <w:rsid w:val="009559C2"/>
    <w:rsid w:val="0095654E"/>
    <w:rsid w:val="00956F3C"/>
    <w:rsid w:val="0095779B"/>
    <w:rsid w:val="0096485D"/>
    <w:rsid w:val="009900F0"/>
    <w:rsid w:val="00991769"/>
    <w:rsid w:val="00994E9F"/>
    <w:rsid w:val="00996931"/>
    <w:rsid w:val="009A0F18"/>
    <w:rsid w:val="009A4CD8"/>
    <w:rsid w:val="009A6AFA"/>
    <w:rsid w:val="009B3ED1"/>
    <w:rsid w:val="009C07EC"/>
    <w:rsid w:val="009C206F"/>
    <w:rsid w:val="009C433C"/>
    <w:rsid w:val="009C48FF"/>
    <w:rsid w:val="009D28B7"/>
    <w:rsid w:val="009D7E1A"/>
    <w:rsid w:val="009E2162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0FA4"/>
    <w:rsid w:val="00A34A74"/>
    <w:rsid w:val="00A35351"/>
    <w:rsid w:val="00A42ADE"/>
    <w:rsid w:val="00A50909"/>
    <w:rsid w:val="00A60693"/>
    <w:rsid w:val="00A67728"/>
    <w:rsid w:val="00A81A4F"/>
    <w:rsid w:val="00A82E14"/>
    <w:rsid w:val="00A901E9"/>
    <w:rsid w:val="00A9762C"/>
    <w:rsid w:val="00AA4067"/>
    <w:rsid w:val="00AB1A5B"/>
    <w:rsid w:val="00AB6B82"/>
    <w:rsid w:val="00AC0A54"/>
    <w:rsid w:val="00AC125E"/>
    <w:rsid w:val="00AC45DF"/>
    <w:rsid w:val="00AC474D"/>
    <w:rsid w:val="00AC4DFD"/>
    <w:rsid w:val="00AC58FD"/>
    <w:rsid w:val="00AC60CD"/>
    <w:rsid w:val="00AD60E6"/>
    <w:rsid w:val="00AD793A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40D26"/>
    <w:rsid w:val="00B4451B"/>
    <w:rsid w:val="00B51316"/>
    <w:rsid w:val="00B60D0F"/>
    <w:rsid w:val="00B67419"/>
    <w:rsid w:val="00B72D62"/>
    <w:rsid w:val="00B76920"/>
    <w:rsid w:val="00B8180E"/>
    <w:rsid w:val="00B843C8"/>
    <w:rsid w:val="00B90B6F"/>
    <w:rsid w:val="00B951E2"/>
    <w:rsid w:val="00B96F37"/>
    <w:rsid w:val="00BA607C"/>
    <w:rsid w:val="00BB3462"/>
    <w:rsid w:val="00BB3E2A"/>
    <w:rsid w:val="00BC16F5"/>
    <w:rsid w:val="00BC287D"/>
    <w:rsid w:val="00BC4A76"/>
    <w:rsid w:val="00BD32E5"/>
    <w:rsid w:val="00BD7ADD"/>
    <w:rsid w:val="00BE41C3"/>
    <w:rsid w:val="00BE6767"/>
    <w:rsid w:val="00BE68D7"/>
    <w:rsid w:val="00BF0784"/>
    <w:rsid w:val="00BF7763"/>
    <w:rsid w:val="00C02ED3"/>
    <w:rsid w:val="00C04D5E"/>
    <w:rsid w:val="00C24EA2"/>
    <w:rsid w:val="00C24F70"/>
    <w:rsid w:val="00C25D5B"/>
    <w:rsid w:val="00C325C4"/>
    <w:rsid w:val="00C33479"/>
    <w:rsid w:val="00C47BA2"/>
    <w:rsid w:val="00C612DC"/>
    <w:rsid w:val="00C622CB"/>
    <w:rsid w:val="00C64D15"/>
    <w:rsid w:val="00C7046F"/>
    <w:rsid w:val="00C74F74"/>
    <w:rsid w:val="00C7554B"/>
    <w:rsid w:val="00C80192"/>
    <w:rsid w:val="00C83E31"/>
    <w:rsid w:val="00C916A4"/>
    <w:rsid w:val="00CA2A52"/>
    <w:rsid w:val="00CA2B15"/>
    <w:rsid w:val="00CA6490"/>
    <w:rsid w:val="00CB05BE"/>
    <w:rsid w:val="00CB5744"/>
    <w:rsid w:val="00CB7022"/>
    <w:rsid w:val="00CC45BA"/>
    <w:rsid w:val="00CD1937"/>
    <w:rsid w:val="00CD42D4"/>
    <w:rsid w:val="00CE214C"/>
    <w:rsid w:val="00CE6858"/>
    <w:rsid w:val="00CF50BE"/>
    <w:rsid w:val="00CF553B"/>
    <w:rsid w:val="00CF6A52"/>
    <w:rsid w:val="00D03583"/>
    <w:rsid w:val="00D117B4"/>
    <w:rsid w:val="00D16258"/>
    <w:rsid w:val="00D169F7"/>
    <w:rsid w:val="00D21382"/>
    <w:rsid w:val="00D26D01"/>
    <w:rsid w:val="00D33DA3"/>
    <w:rsid w:val="00D45D9D"/>
    <w:rsid w:val="00D4723B"/>
    <w:rsid w:val="00D55EE8"/>
    <w:rsid w:val="00D5785A"/>
    <w:rsid w:val="00D611D8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5A6D"/>
    <w:rsid w:val="00D97047"/>
    <w:rsid w:val="00D97108"/>
    <w:rsid w:val="00DA5C69"/>
    <w:rsid w:val="00DC5665"/>
    <w:rsid w:val="00DD46FC"/>
    <w:rsid w:val="00DD4F44"/>
    <w:rsid w:val="00DD5D8B"/>
    <w:rsid w:val="00DE0F9E"/>
    <w:rsid w:val="00DE5D76"/>
    <w:rsid w:val="00E01E5C"/>
    <w:rsid w:val="00E04C8D"/>
    <w:rsid w:val="00E1145C"/>
    <w:rsid w:val="00E128D8"/>
    <w:rsid w:val="00E23657"/>
    <w:rsid w:val="00E30D45"/>
    <w:rsid w:val="00E40996"/>
    <w:rsid w:val="00E42FE4"/>
    <w:rsid w:val="00E43BB2"/>
    <w:rsid w:val="00E46FAA"/>
    <w:rsid w:val="00E50FB5"/>
    <w:rsid w:val="00E5750B"/>
    <w:rsid w:val="00E60E2E"/>
    <w:rsid w:val="00E63A24"/>
    <w:rsid w:val="00E67913"/>
    <w:rsid w:val="00E708AC"/>
    <w:rsid w:val="00E71A2D"/>
    <w:rsid w:val="00E80591"/>
    <w:rsid w:val="00E80A07"/>
    <w:rsid w:val="00E85A47"/>
    <w:rsid w:val="00E8698A"/>
    <w:rsid w:val="00E923F2"/>
    <w:rsid w:val="00EA31CC"/>
    <w:rsid w:val="00EA4013"/>
    <w:rsid w:val="00EB14DF"/>
    <w:rsid w:val="00EB2B64"/>
    <w:rsid w:val="00EB3A07"/>
    <w:rsid w:val="00EB4143"/>
    <w:rsid w:val="00EB4728"/>
    <w:rsid w:val="00EC207A"/>
    <w:rsid w:val="00EC3F31"/>
    <w:rsid w:val="00ED3C91"/>
    <w:rsid w:val="00ED4112"/>
    <w:rsid w:val="00ED75AF"/>
    <w:rsid w:val="00EF1347"/>
    <w:rsid w:val="00EF2BEB"/>
    <w:rsid w:val="00F01129"/>
    <w:rsid w:val="00F03D93"/>
    <w:rsid w:val="00F03D9E"/>
    <w:rsid w:val="00F21F37"/>
    <w:rsid w:val="00F227BF"/>
    <w:rsid w:val="00F374B2"/>
    <w:rsid w:val="00F40AFC"/>
    <w:rsid w:val="00F4730E"/>
    <w:rsid w:val="00F50A92"/>
    <w:rsid w:val="00F53F24"/>
    <w:rsid w:val="00F55FE6"/>
    <w:rsid w:val="00F63341"/>
    <w:rsid w:val="00F73727"/>
    <w:rsid w:val="00F7536E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37EA"/>
    <w:rsid w:val="00FB420B"/>
    <w:rsid w:val="00FC1C5F"/>
    <w:rsid w:val="00FC5A4D"/>
    <w:rsid w:val="00FC5C0C"/>
    <w:rsid w:val="00FC64EF"/>
    <w:rsid w:val="00FD2673"/>
    <w:rsid w:val="00FE22FA"/>
    <w:rsid w:val="00FE26C9"/>
    <w:rsid w:val="00FE2A29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EA5B06F"/>
  <w15:docId w15:val="{B237320A-F53C-474D-9268-8281ADAA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2"/>
    <w:qFormat/>
    <w:rsid w:val="00373A27"/>
    <w:pPr>
      <w:spacing w:before="120" w:after="120"/>
    </w:pPr>
    <w:rPr>
      <w:sz w:val="44"/>
    </w:rPr>
  </w:style>
  <w:style w:type="paragraph" w:styleId="Heading2">
    <w:name w:val="heading 2"/>
    <w:basedOn w:val="Subtitle"/>
    <w:next w:val="Normal"/>
    <w:link w:val="Heading2Char"/>
    <w:uiPriority w:val="2"/>
    <w:qFormat/>
    <w:rsid w:val="00373A27"/>
    <w:pPr>
      <w:spacing w:before="120" w:after="24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5F4329"/>
    <w:pPr>
      <w:spacing w:before="240" w:line="240" w:lineRule="auto"/>
      <w:contextualSpacing/>
      <w:outlineLvl w:val="0"/>
    </w:pPr>
    <w:rPr>
      <w:rFonts w:ascii="Georgia" w:hAnsi="Georgia" w:cs="Arial"/>
      <w:bCs/>
      <w:color w:val="500778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qFormat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5F4329"/>
    <w:pPr>
      <w:spacing w:before="120" w:after="120"/>
      <w:ind w:left="397"/>
      <w:contextualSpacing/>
    </w:pPr>
    <w:rPr>
      <w:rFonts w:ascii="Georgia" w:hAnsi="Georgia" w:cs="Arial"/>
      <w:bCs/>
      <w:iCs/>
      <w:color w:val="50077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373A27"/>
    <w:rPr>
      <w:rFonts w:asciiTheme="majorHAnsi" w:eastAsiaTheme="majorEastAsia" w:hAnsiTheme="majorHAnsi" w:cstheme="majorBidi"/>
      <w:iCs/>
      <w:color w:val="000000" w:themeColor="text1"/>
      <w:spacing w:val="4"/>
      <w:sz w:val="32"/>
      <w:szCs w:val="24"/>
    </w:rPr>
  </w:style>
  <w:style w:type="character" w:customStyle="1" w:styleId="PullouttextChar">
    <w:name w:val="Pullout text Char"/>
    <w:basedOn w:val="Heading2Char"/>
    <w:link w:val="Pullouttext"/>
    <w:uiPriority w:val="3"/>
    <w:rsid w:val="005F4329"/>
    <w:rPr>
      <w:rFonts w:ascii="Georgia" w:eastAsiaTheme="majorEastAsia" w:hAnsi="Georgia" w:cs="Arial"/>
      <w:bCs w:val="0"/>
      <w:iCs/>
      <w:color w:val="500778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373A27"/>
    <w:rPr>
      <w:rFonts w:ascii="Georgia" w:hAnsi="Georgia" w:cs="Arial"/>
      <w:bCs/>
      <w:color w:val="500778"/>
      <w:kern w:val="28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5F4329"/>
    <w:rPr>
      <w:rFonts w:ascii="Georgia" w:hAnsi="Georgia" w:cs="Arial"/>
      <w:bCs/>
      <w:color w:val="500778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BE"/>
    <w:rPr>
      <w:rFonts w:ascii="Tahoma" w:hAnsi="Tahoma" w:cs="Tahoma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rsid w:val="00C80192"/>
    <w:pPr>
      <w:ind w:left="720"/>
      <w:contextualSpacing/>
    </w:pPr>
  </w:style>
  <w:style w:type="table" w:customStyle="1" w:styleId="DSSDatatablestyle">
    <w:name w:val="DSS Data table style"/>
    <w:basedOn w:val="TableNormal"/>
    <w:uiPriority w:val="99"/>
    <w:rsid w:val="0011449B"/>
    <w:rPr>
      <w:rFonts w:ascii="Arial" w:eastAsiaTheme="minorHAnsi" w:hAnsi="Arial" w:cstheme="minorBidi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CommentReference">
    <w:name w:val="annotation reference"/>
    <w:basedOn w:val="DefaultParagraphFont"/>
    <w:semiHidden/>
    <w:unhideWhenUsed/>
    <w:rsid w:val="007049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4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493B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4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493B"/>
    <w:rPr>
      <w:rFonts w:ascii="Arial" w:hAnsi="Arial"/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ss.gov.au/dsi-ac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Purple.dotm" TargetMode="External"/></Relationships>
</file>

<file path=word/theme/theme1.xml><?xml version="1.0" encoding="utf-8"?>
<a:theme xmlns:a="http://schemas.openxmlformats.org/drawingml/2006/main" name="Office Theme">
  <a:themeElements>
    <a:clrScheme name="DSS purp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00778"/>
      </a:accent1>
      <a:accent2>
        <a:srgbClr val="D40C7D"/>
      </a:accent2>
      <a:accent3>
        <a:srgbClr val="F9B5C4"/>
      </a:accent3>
      <a:accent4>
        <a:srgbClr val="500778"/>
      </a:accent4>
      <a:accent5>
        <a:srgbClr val="D40C7D"/>
      </a:accent5>
      <a:accent6>
        <a:srgbClr val="F9B5C4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2613-4876-4E3B-8D59-7D79128C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Purple</Template>
  <TotalTime>0</TotalTime>
  <Pages>2</Pages>
  <Words>541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– What’s New and What’s Different</dc:title>
  <dc:creator>LESTER, Hannah</dc:creator>
  <cp:keywords>[SEC=OFFICIAL]</cp:keywords>
  <cp:lastModifiedBy>WILKS, Jennifer</cp:lastModifiedBy>
  <cp:revision>3</cp:revision>
  <cp:lastPrinted>2014-08-12T05:56:00Z</cp:lastPrinted>
  <dcterms:created xsi:type="dcterms:W3CDTF">2024-08-06T00:37:00Z</dcterms:created>
  <dcterms:modified xsi:type="dcterms:W3CDTF">2024-08-14T06:09:00Z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32B08EF2F5CC4F74826C0E6AADBD930D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383CFCBDA48E65697370E70224C516BFEC01D2AE</vt:lpwstr>
  </property>
  <property fmtid="{D5CDD505-2E9C-101B-9397-08002B2CF9AE}" pid="11" name="PM_OriginationTimeStamp">
    <vt:lpwstr>2023-12-21T06:33:50Z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A7C596696230DE81170DCF4003016EF6</vt:lpwstr>
  </property>
  <property fmtid="{D5CDD505-2E9C-101B-9397-08002B2CF9AE}" pid="21" name="PM_Hash_Salt">
    <vt:lpwstr>CABD5B7868F2DA44A0A911C8352D5A01</vt:lpwstr>
  </property>
  <property fmtid="{D5CDD505-2E9C-101B-9397-08002B2CF9AE}" pid="22" name="PM_Hash_SHA1">
    <vt:lpwstr>E58D53C53A849BF7AFF3813EB17F17362867EDC2</vt:lpwstr>
  </property>
  <property fmtid="{D5CDD505-2E9C-101B-9397-08002B2CF9AE}" pid="23" name="PM_OriginatorUserAccountName_SHA256">
    <vt:lpwstr>3561913AC37C35B862AB7E4549EF28192F371F9EE41E289E7F6869858BB86F28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HMAC">
    <vt:lpwstr>v=2022.1;a=SHA256;h=393A37E09863ECFC9F3BBCD9B627B9275D1D8B49A6997EB44E173CF9C42F39DB</vt:lpwstr>
  </property>
  <property fmtid="{D5CDD505-2E9C-101B-9397-08002B2CF9AE}" pid="28" name="MSIP_Label_eb34d90b-fc41-464d-af60-f74d721d0790_SetDate">
    <vt:lpwstr>2023-12-21T06:33:50Z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4637615e44b5400f99985aed1f40e39a</vt:lpwstr>
  </property>
  <property fmtid="{D5CDD505-2E9C-101B-9397-08002B2CF9AE}" pid="35" name="PMUuid">
    <vt:lpwstr>v=2022.2;d=gov.au;g=46DD6D7C-8107-577B-BC6E-F348953B2E44</vt:lpwstr>
  </property>
</Properties>
</file>