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B1A1" w14:textId="3AB86761" w:rsidR="008E4B7A" w:rsidRPr="00FC3ECB" w:rsidRDefault="008E4B7A" w:rsidP="00F8730F">
      <w:pPr>
        <w:pStyle w:val="Heading1"/>
      </w:pPr>
      <w:r w:rsidRPr="00FC3ECB">
        <w:t xml:space="preserve">Supporting evaluation and </w:t>
      </w:r>
      <w:r w:rsidRPr="00F8730F">
        <w:t>implementation</w:t>
      </w:r>
      <w:r w:rsidRPr="00FC3ECB">
        <w:t xml:space="preserve"> </w:t>
      </w:r>
      <w:r w:rsidR="00134C2B">
        <w:t>research</w:t>
      </w:r>
      <w:r w:rsidR="00134C2B" w:rsidRPr="00FC3ECB">
        <w:t xml:space="preserve"> </w:t>
      </w:r>
      <w:r w:rsidRPr="00FC3ECB">
        <w:t>through the Medical Research Future Fund (MRFF)</w:t>
      </w:r>
      <w:r w:rsidR="006F229A">
        <w:t xml:space="preserve"> – consultation report</w:t>
      </w:r>
    </w:p>
    <w:p w14:paraId="3710D2EF" w14:textId="002D8E0D" w:rsidR="00F77599" w:rsidRPr="00FC3ECB" w:rsidRDefault="00A92D8A" w:rsidP="00F8730F">
      <w:pPr>
        <w:pStyle w:val="Heading2"/>
      </w:pPr>
      <w:bookmarkStart w:id="0" w:name="_Hlk111731167"/>
      <w:bookmarkStart w:id="1" w:name="_Hlk103174947"/>
      <w:r w:rsidRPr="00F8730F">
        <w:t>Context</w:t>
      </w:r>
    </w:p>
    <w:bookmarkEnd w:id="0"/>
    <w:p w14:paraId="71975670" w14:textId="511B150C" w:rsidR="00F64DA1" w:rsidRPr="00FC3ECB" w:rsidRDefault="00F64DA1" w:rsidP="00957811">
      <w:pPr>
        <w:pStyle w:val="List"/>
      </w:pPr>
      <w:r w:rsidRPr="00FC3ECB">
        <w:t xml:space="preserve">Translation of research findings into health policy and practice is a key </w:t>
      </w:r>
      <w:r w:rsidRPr="00957811">
        <w:t>measure</w:t>
      </w:r>
      <w:r w:rsidRPr="00FC3ECB">
        <w:t xml:space="preserve"> of success for the MRFF, and it is important to understand factors</w:t>
      </w:r>
      <w:r w:rsidR="00C576AB">
        <w:t>, methods and models</w:t>
      </w:r>
      <w:r w:rsidRPr="00FC3ECB">
        <w:t xml:space="preserve"> that promote the uptake of new evidence to optimise performance in this measure.</w:t>
      </w:r>
    </w:p>
    <w:p w14:paraId="55DBF668" w14:textId="68BCFA5A" w:rsidR="00F64DA1" w:rsidRPr="00FC3ECB" w:rsidRDefault="00F64DA1" w:rsidP="00957811">
      <w:pPr>
        <w:pStyle w:val="List"/>
      </w:pPr>
      <w:r w:rsidRPr="00FC3ECB">
        <w:t>The Department of Health</w:t>
      </w:r>
      <w:r w:rsidR="00F2258C" w:rsidRPr="00FC3ECB">
        <w:t>, Disability and</w:t>
      </w:r>
      <w:r w:rsidRPr="00FC3ECB">
        <w:t xml:space="preserve"> Age</w:t>
      </w:r>
      <w:r w:rsidR="00F2258C" w:rsidRPr="00FC3ECB">
        <w:t>ing</w:t>
      </w:r>
      <w:r w:rsidRPr="00FC3ECB">
        <w:t xml:space="preserve"> (department) piloted a grant opportunity model for prospective evaluation that aimed to uncover barriers and facilitators to research translation and encourage MRFF grantees to think about the full path to translation from early on in their projects.</w:t>
      </w:r>
    </w:p>
    <w:p w14:paraId="7288C706" w14:textId="1F4ABD31" w:rsidR="00F64DA1" w:rsidRPr="00FC3ECB" w:rsidRDefault="00F271AC" w:rsidP="00957811">
      <w:pPr>
        <w:pStyle w:val="List"/>
      </w:pPr>
      <w:r>
        <w:t xml:space="preserve">While work on these </w:t>
      </w:r>
      <w:r w:rsidR="00AC3960">
        <w:t xml:space="preserve">pilot </w:t>
      </w:r>
      <w:r>
        <w:t xml:space="preserve">projects is underway and </w:t>
      </w:r>
      <w:r w:rsidR="00A72B7D">
        <w:t>outcomes are pending, the department is exploring additional models to achieve these aims, that could</w:t>
      </w:r>
      <w:r w:rsidR="002037A6">
        <w:t xml:space="preserve"> either complement the pilot</w:t>
      </w:r>
      <w:r w:rsidR="00667C6A">
        <w:t xml:space="preserve"> model</w:t>
      </w:r>
      <w:r w:rsidR="002037A6">
        <w:t xml:space="preserve"> or</w:t>
      </w:r>
      <w:r w:rsidR="00A72B7D">
        <w:t xml:space="preserve"> address any gaps identified, e.g. </w:t>
      </w:r>
      <w:r w:rsidR="0017135F">
        <w:t>the</w:t>
      </w:r>
      <w:r w:rsidR="00F64DA1" w:rsidRPr="00FC3ECB">
        <w:t xml:space="preserve"> timing and heterogeneity in the projects being evaluated.</w:t>
      </w:r>
    </w:p>
    <w:p w14:paraId="044829D1" w14:textId="3A28A198" w:rsidR="00F64DA1" w:rsidRPr="00FC3ECB" w:rsidRDefault="00F64DA1" w:rsidP="00ED7E0C">
      <w:pPr>
        <w:pStyle w:val="List"/>
        <w:spacing w:after="220"/>
      </w:pPr>
      <w:r w:rsidRPr="00FC3ECB">
        <w:t xml:space="preserve">The department held meetings with external experts to consider alternative funding models and received </w:t>
      </w:r>
      <w:r w:rsidR="00C35A23">
        <w:t>advice</w:t>
      </w:r>
      <w:r w:rsidRPr="00FC3ECB">
        <w:t xml:space="preserve"> to foster evaluation and implementation research through in-built components to funded MRFF projects, or standalone small or larger-scale </w:t>
      </w:r>
      <w:r w:rsidR="002035DC">
        <w:t xml:space="preserve">evaluation or </w:t>
      </w:r>
      <w:r w:rsidRPr="00FC3ECB">
        <w:t xml:space="preserve">implementation </w:t>
      </w:r>
      <w:r w:rsidR="00134C2B">
        <w:t>research</w:t>
      </w:r>
      <w:r w:rsidR="00134C2B" w:rsidRPr="00FC3ECB">
        <w:t xml:space="preserve"> </w:t>
      </w:r>
      <w:r w:rsidRPr="00FC3ECB">
        <w:t>projects.</w:t>
      </w:r>
    </w:p>
    <w:p w14:paraId="69B6FD74" w14:textId="331E0538" w:rsidR="00F80C1E" w:rsidRPr="00FC3ECB" w:rsidRDefault="00F64DA1" w:rsidP="00474878">
      <w:r w:rsidRPr="00FC3ECB">
        <w:t>These consultations centred discussion on three possible models for supporting evaluation and implementation research (Figure 1):</w:t>
      </w:r>
    </w:p>
    <w:p w14:paraId="2D61F1D1" w14:textId="43BC9126" w:rsidR="00F64DA1" w:rsidRPr="00FC3ECB" w:rsidRDefault="00F64DA1" w:rsidP="00957811">
      <w:pPr>
        <w:pStyle w:val="List"/>
      </w:pPr>
      <w:r w:rsidRPr="00957811">
        <w:rPr>
          <w:rStyle w:val="Strong"/>
        </w:rPr>
        <w:t>Model 1</w:t>
      </w:r>
      <w:r w:rsidRPr="00FC3ECB">
        <w:t xml:space="preserve"> – A grantee in a separate stream is funded to prospectively evaluate all other projects within the same grant opportunity (used in the</w:t>
      </w:r>
      <w:r w:rsidR="003E2AE3">
        <w:t xml:space="preserve"> 2022</w:t>
      </w:r>
      <w:r w:rsidRPr="00FC3ECB">
        <w:t xml:space="preserve"> Clinician Researchers and </w:t>
      </w:r>
      <w:r w:rsidR="003E2AE3">
        <w:t xml:space="preserve">2022 </w:t>
      </w:r>
      <w:r w:rsidRPr="00FC3ECB">
        <w:t>Rapid Applied Research Translation initiatives)</w:t>
      </w:r>
    </w:p>
    <w:p w14:paraId="2186B5D8" w14:textId="0DED81B4" w:rsidR="00F64DA1" w:rsidRPr="00FC3ECB" w:rsidRDefault="00F64DA1" w:rsidP="00957811">
      <w:pPr>
        <w:pStyle w:val="List"/>
      </w:pPr>
      <w:r w:rsidRPr="00957811">
        <w:rPr>
          <w:rStyle w:val="Strong"/>
        </w:rPr>
        <w:t>Model 2</w:t>
      </w:r>
      <w:r w:rsidRPr="00FC3ECB">
        <w:t xml:space="preserve"> – All projects funded by a grant opportunity must integrate an evaluation or implementation </w:t>
      </w:r>
      <w:r w:rsidR="0094633C">
        <w:t>research</w:t>
      </w:r>
      <w:r w:rsidR="0094633C" w:rsidRPr="00FC3ECB">
        <w:t xml:space="preserve"> </w:t>
      </w:r>
      <w:r w:rsidRPr="00FC3ECB">
        <w:t xml:space="preserve">component into their research design </w:t>
      </w:r>
    </w:p>
    <w:p w14:paraId="305CC17F" w14:textId="1B76904F" w:rsidR="00F21B47" w:rsidRPr="003C7290" w:rsidRDefault="00F64DA1" w:rsidP="00ED7E0C">
      <w:pPr>
        <w:pStyle w:val="List"/>
        <w:spacing w:after="220"/>
      </w:pPr>
      <w:r w:rsidRPr="00957811">
        <w:rPr>
          <w:rStyle w:val="Strong"/>
        </w:rPr>
        <w:t>Model 3</w:t>
      </w:r>
      <w:r w:rsidRPr="00FC3ECB">
        <w:t xml:space="preserve"> – A dedicated stream within a grant opportunity that funds evaluation or implementation research. It does not need to be connected to the other projects funded under the same grant opportunity</w:t>
      </w:r>
      <w:r w:rsidR="0094633C">
        <w:t>.</w:t>
      </w:r>
    </w:p>
    <w:p w14:paraId="6F26B8D3" w14:textId="66C77699" w:rsidR="007B48F1" w:rsidRPr="007B48F1" w:rsidRDefault="00BE5132" w:rsidP="00474878">
      <w:r>
        <w:t xml:space="preserve">These models </w:t>
      </w:r>
      <w:r w:rsidR="00C015F7">
        <w:t>encompass</w:t>
      </w:r>
      <w:r w:rsidR="00134C2B">
        <w:t xml:space="preserve"> evaluation of research at all stages from design to outcomes</w:t>
      </w:r>
      <w:r w:rsidR="002B6C29">
        <w:t xml:space="preserve"> and impacts</w:t>
      </w:r>
      <w:r w:rsidR="00FE400A">
        <w:rPr>
          <w:rStyle w:val="FootnoteReference"/>
          <w:rFonts w:cstheme="minorHAnsi"/>
        </w:rPr>
        <w:footnoteReference w:id="2"/>
      </w:r>
      <w:r w:rsidR="00134C2B">
        <w:t xml:space="preserve">, as well as research </w:t>
      </w:r>
      <w:r w:rsidR="002B6C29">
        <w:t>focussed on</w:t>
      </w:r>
      <w:r w:rsidR="00134C2B">
        <w:t xml:space="preserve"> the </w:t>
      </w:r>
      <w:r w:rsidR="00C015F7">
        <w:t xml:space="preserve">latter stage of </w:t>
      </w:r>
      <w:r w:rsidR="00134C2B">
        <w:t>implementation of research findings into health impacts</w:t>
      </w:r>
      <w:r w:rsidR="00CC7130">
        <w:rPr>
          <w:rStyle w:val="FootnoteReference"/>
          <w:rFonts w:cstheme="minorHAnsi"/>
        </w:rPr>
        <w:footnoteReference w:id="3"/>
      </w:r>
      <w:r w:rsidR="00CC7130">
        <w:t>, to the</w:t>
      </w:r>
      <w:r w:rsidR="002B6C29">
        <w:t xml:space="preserve"> fostering </w:t>
      </w:r>
      <w:r w:rsidR="00CC7130">
        <w:t xml:space="preserve">of </w:t>
      </w:r>
      <w:r w:rsidR="002B6C29">
        <w:t>implementation science as a discipline</w:t>
      </w:r>
      <w:r w:rsidR="00134C2B">
        <w:t>.</w:t>
      </w:r>
      <w:r w:rsidR="00FE400A">
        <w:t xml:space="preserve"> </w:t>
      </w:r>
      <w:r w:rsidR="00CC7130">
        <w:t xml:space="preserve">All are </w:t>
      </w:r>
      <w:r w:rsidR="0084711D">
        <w:t>aimed</w:t>
      </w:r>
      <w:r w:rsidR="00CC7130">
        <w:t xml:space="preserve"> towards</w:t>
      </w:r>
      <w:r w:rsidR="00FE400A">
        <w:t xml:space="preserve"> promot</w:t>
      </w:r>
      <w:r w:rsidR="00CC7130">
        <w:t>ing</w:t>
      </w:r>
      <w:r w:rsidR="00FE400A">
        <w:t xml:space="preserve"> the successful </w:t>
      </w:r>
      <w:r w:rsidR="002B6C29">
        <w:t xml:space="preserve">translation of MRFF-funded projects, </w:t>
      </w:r>
      <w:r w:rsidR="00CC7130">
        <w:t xml:space="preserve">in pursuit of </w:t>
      </w:r>
      <w:hyperlink r:id="rId13" w:history="1">
        <w:r w:rsidR="002B6C29" w:rsidRPr="002B6C29">
          <w:rPr>
            <w:rStyle w:val="Hyperlink"/>
            <w:rFonts w:cstheme="minorHAnsi"/>
          </w:rPr>
          <w:t>MRFF priorities</w:t>
        </w:r>
      </w:hyperlink>
      <w:r w:rsidR="002B6C29">
        <w:t xml:space="preserve"> </w:t>
      </w:r>
      <w:r w:rsidR="00CC7130">
        <w:t>regarding</w:t>
      </w:r>
      <w:r w:rsidR="00425E64">
        <w:t xml:space="preserve"> effective and high value care, </w:t>
      </w:r>
      <w:r w:rsidR="002B6C29">
        <w:t xml:space="preserve">and </w:t>
      </w:r>
      <w:r w:rsidR="00C015F7">
        <w:t>m</w:t>
      </w:r>
      <w:r w:rsidR="002B6C29">
        <w:t xml:space="preserve">easures of </w:t>
      </w:r>
      <w:r w:rsidR="00C015F7">
        <w:t>s</w:t>
      </w:r>
      <w:r w:rsidR="002B6C29">
        <w:t xml:space="preserve">uccess as outlined in the </w:t>
      </w:r>
      <w:hyperlink r:id="rId14" w:history="1">
        <w:r w:rsidR="002B6C29" w:rsidRPr="002B6C29">
          <w:rPr>
            <w:rStyle w:val="Hyperlink"/>
            <w:rFonts w:cstheme="minorHAnsi"/>
          </w:rPr>
          <w:t>MRFF Monitoring, evaluation and learning strategy</w:t>
        </w:r>
      </w:hyperlink>
      <w:r w:rsidR="002B6C29">
        <w:t>.</w:t>
      </w:r>
    </w:p>
    <w:p w14:paraId="7B307CA6" w14:textId="12ED636E" w:rsidR="008B3AEA" w:rsidRPr="00FC3ECB" w:rsidRDefault="00B10B36" w:rsidP="00ED7E0C">
      <w:pPr>
        <w:jc w:val="center"/>
      </w:pPr>
      <w:r>
        <w:rPr>
          <w:noProof/>
        </w:rPr>
        <w:lastRenderedPageBreak/>
        <w:drawing>
          <wp:inline distT="0" distB="0" distL="0" distR="0" wp14:anchorId="380C1E7F" wp14:editId="1FDDA2BF">
            <wp:extent cx="3609975" cy="3105150"/>
            <wp:effectExtent l="0" t="0" r="9525" b="0"/>
            <wp:docPr id="1088303631" name="Picture 2" descr="Conceptual diagram of the 3 potential options: 1 - a project is funded to prospectively evaluate all other projects funded under the same grant opportunity, 2 - all projects funded by the grant opportunity must integrate an evaluation or implementation research component in their research design, 3 - a dedicated stream within a grant opportunity funds evaluation or implementation research. It does not need to be connected to the other projects funded under the same grant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03631" name="Picture 2" descr="Conceptual diagram of the 3 potential options: 1 - a project is funded to prospectively evaluate all other projects funded under the same grant opportunity, 2 - all projects funded by the grant opportunity must integrate an evaluation or implementation research component in their research design, 3 - a dedicated stream within a grant opportunity funds evaluation or implementation research. It does not need to be connected to the other projects funded under the same grant opportunity."/>
                    <pic:cNvPicPr/>
                  </pic:nvPicPr>
                  <pic:blipFill rotWithShape="1">
                    <a:blip r:embed="rId15">
                      <a:extLst>
                        <a:ext uri="{28A0092B-C50C-407E-A947-70E740481C1C}">
                          <a14:useLocalDpi xmlns:a14="http://schemas.microsoft.com/office/drawing/2010/main" val="0"/>
                        </a:ext>
                      </a:extLst>
                    </a:blip>
                    <a:srcRect l="10116" t="7194" r="30898" b="2601"/>
                    <a:stretch/>
                  </pic:blipFill>
                  <pic:spPr bwMode="auto">
                    <a:xfrm>
                      <a:off x="0" y="0"/>
                      <a:ext cx="3609975" cy="3105150"/>
                    </a:xfrm>
                    <a:prstGeom prst="rect">
                      <a:avLst/>
                    </a:prstGeom>
                    <a:ln>
                      <a:noFill/>
                    </a:ln>
                    <a:extLst>
                      <a:ext uri="{53640926-AAD7-44D8-BBD7-CCE9431645EC}">
                        <a14:shadowObscured xmlns:a14="http://schemas.microsoft.com/office/drawing/2010/main"/>
                      </a:ext>
                    </a:extLst>
                  </pic:spPr>
                </pic:pic>
              </a:graphicData>
            </a:graphic>
          </wp:inline>
        </w:drawing>
      </w:r>
    </w:p>
    <w:p w14:paraId="55CC12BA" w14:textId="4F876B71" w:rsidR="004603C4" w:rsidRPr="00FC3ECB" w:rsidRDefault="008B3AEA" w:rsidP="003C7290">
      <w:pPr>
        <w:pStyle w:val="Caption"/>
        <w:spacing w:after="0"/>
        <w:rPr>
          <w:rFonts w:cstheme="minorHAnsi"/>
          <w:color w:val="auto"/>
        </w:rPr>
      </w:pPr>
      <w:r w:rsidRPr="00FC3ECB">
        <w:rPr>
          <w:rFonts w:cstheme="minorHAnsi"/>
          <w:b/>
          <w:bCs/>
          <w:color w:val="auto"/>
        </w:rPr>
        <w:t xml:space="preserve">Figure </w:t>
      </w:r>
      <w:r w:rsidRPr="00FC3ECB">
        <w:rPr>
          <w:rFonts w:cstheme="minorHAnsi"/>
          <w:b/>
          <w:bCs/>
          <w:color w:val="auto"/>
        </w:rPr>
        <w:fldChar w:fldCharType="begin"/>
      </w:r>
      <w:r w:rsidRPr="00FC3ECB">
        <w:rPr>
          <w:rFonts w:cstheme="minorHAnsi"/>
          <w:b/>
          <w:bCs/>
          <w:color w:val="auto"/>
        </w:rPr>
        <w:instrText xml:space="preserve"> SEQ Figure \* ARABIC </w:instrText>
      </w:r>
      <w:r w:rsidRPr="00FC3ECB">
        <w:rPr>
          <w:rFonts w:cstheme="minorHAnsi"/>
          <w:b/>
          <w:bCs/>
          <w:color w:val="auto"/>
        </w:rPr>
        <w:fldChar w:fldCharType="separate"/>
      </w:r>
      <w:r w:rsidR="007E0C3D">
        <w:rPr>
          <w:rFonts w:cstheme="minorHAnsi"/>
          <w:b/>
          <w:bCs/>
          <w:noProof/>
          <w:color w:val="auto"/>
        </w:rPr>
        <w:t>1</w:t>
      </w:r>
      <w:r w:rsidRPr="00FC3ECB">
        <w:rPr>
          <w:rFonts w:cstheme="minorHAnsi"/>
          <w:b/>
          <w:bCs/>
          <w:color w:val="auto"/>
        </w:rPr>
        <w:fldChar w:fldCharType="end"/>
      </w:r>
      <w:r w:rsidR="00FF2339" w:rsidRPr="00FC3ECB">
        <w:rPr>
          <w:rFonts w:cstheme="minorHAnsi"/>
          <w:color w:val="auto"/>
        </w:rPr>
        <w:t>:</w:t>
      </w:r>
      <w:r w:rsidRPr="00FC3ECB">
        <w:rPr>
          <w:rFonts w:cstheme="minorHAnsi"/>
          <w:color w:val="auto"/>
        </w:rPr>
        <w:t xml:space="preserve"> Basic conceptual diagram for the 3 potential options (models) by which evaluation and implementation </w:t>
      </w:r>
      <w:r w:rsidR="00425E64">
        <w:rPr>
          <w:rFonts w:cstheme="minorHAnsi"/>
          <w:color w:val="auto"/>
        </w:rPr>
        <w:t>research</w:t>
      </w:r>
      <w:r w:rsidR="00425E64" w:rsidRPr="00FC3ECB">
        <w:rPr>
          <w:rFonts w:cstheme="minorHAnsi"/>
          <w:color w:val="auto"/>
        </w:rPr>
        <w:t xml:space="preserve"> </w:t>
      </w:r>
      <w:r w:rsidRPr="00FC3ECB">
        <w:rPr>
          <w:rFonts w:cstheme="minorHAnsi"/>
          <w:color w:val="auto"/>
        </w:rPr>
        <w:t>could be better supported by MRFF funding programs. These options were not prescriptive and were presented to stimulate discussion; element</w:t>
      </w:r>
      <w:r w:rsidR="00767D96" w:rsidRPr="00FC3ECB">
        <w:rPr>
          <w:rFonts w:cstheme="minorHAnsi"/>
          <w:color w:val="auto"/>
        </w:rPr>
        <w:t>s of each option may be incorporated in different ways across different MRFF initiatives.</w:t>
      </w:r>
    </w:p>
    <w:bookmarkEnd w:id="1"/>
    <w:p w14:paraId="40B67041" w14:textId="51A4662B" w:rsidR="00627FA9" w:rsidRPr="00FC3ECB" w:rsidRDefault="00EB7AD7" w:rsidP="00ED7E0C">
      <w:pPr>
        <w:pStyle w:val="Heading2"/>
      </w:pPr>
      <w:r w:rsidRPr="00FC3ECB">
        <w:t>Key findings from consultations</w:t>
      </w:r>
    </w:p>
    <w:p w14:paraId="747C3AD4" w14:textId="0DE75053" w:rsidR="00064BB1" w:rsidRPr="00FC3ECB" w:rsidRDefault="00064BB1" w:rsidP="00474878">
      <w:r w:rsidRPr="00FC3ECB">
        <w:t>The consultations took the form of a series of small roundtables in September 2024, conducted by the Health and Medical Research Office to seek expert views on how the MRFF can better encourage prospective evaluation among researchers and better support implementation of research into health policy, practice and systems. The roundtables included 12 experts in health evaluation and economics, health technology assessment, implementation science, with experience across research as well as state and federal public sectors.</w:t>
      </w:r>
    </w:p>
    <w:p w14:paraId="5CE9CADA" w14:textId="7E014947" w:rsidR="00064BB1" w:rsidRPr="00FC3ECB" w:rsidRDefault="00064BB1" w:rsidP="00474878">
      <w:r w:rsidRPr="00FC3ECB">
        <w:t>Stakeholders gave the broadest support to Model 3 as the best option for supporting implementation science. This is because Model 3 supports: (a) large-scale collaborative partnerships that can achieve systems change; and (b) smaller-scale projects for translating evidence into practice at the hospital/single local health district level. There was some support for Model 2 as it enables thinking about implementation earlier in the research pipeline compared to Model 3. Model 1 (the current model) was the most divisive, yet stakeholders acknowledged that it had positive advantages and could work in the right context.</w:t>
      </w:r>
    </w:p>
    <w:tbl>
      <w:tblPr>
        <w:tblStyle w:val="TableGrid1"/>
        <w:tblW w:w="0" w:type="auto"/>
        <w:tblLook w:val="04A0" w:firstRow="1" w:lastRow="0" w:firstColumn="1" w:lastColumn="0" w:noHBand="0" w:noVBand="1"/>
        <w:tblCaption w:val="Project progress table."/>
        <w:tblDescription w:val="This table has blank cells for user input."/>
      </w:tblPr>
      <w:tblGrid>
        <w:gridCol w:w="2207"/>
        <w:gridCol w:w="3602"/>
        <w:gridCol w:w="3809"/>
      </w:tblGrid>
      <w:tr w:rsidR="003B42AE" w:rsidRPr="00FC3ECB" w14:paraId="752363F8" w14:textId="77777777" w:rsidTr="003C7290">
        <w:trPr>
          <w:cantSplit/>
          <w:tblHeader/>
        </w:trPr>
        <w:tc>
          <w:tcPr>
            <w:tcW w:w="0" w:type="auto"/>
            <w:tcBorders>
              <w:top w:val="single" w:sz="12" w:space="0" w:color="auto"/>
              <w:left w:val="single" w:sz="12" w:space="0" w:color="auto"/>
              <w:bottom w:val="single" w:sz="12" w:space="0" w:color="auto"/>
            </w:tcBorders>
            <w:shd w:val="clear" w:color="auto" w:fill="D9D9D9"/>
            <w:tcMar>
              <w:top w:w="28" w:type="dxa"/>
              <w:bottom w:w="28" w:type="dxa"/>
            </w:tcMar>
          </w:tcPr>
          <w:p w14:paraId="744E2FE9" w14:textId="442AAC4B" w:rsidR="003B42AE" w:rsidRPr="00FC3ECB" w:rsidRDefault="003B42AE" w:rsidP="003B42AE">
            <w:pPr>
              <w:spacing w:before="40" w:after="40" w:line="240" w:lineRule="auto"/>
              <w:rPr>
                <w:rFonts w:asciiTheme="minorHAnsi" w:hAnsiTheme="minorHAnsi" w:cstheme="minorHAnsi"/>
                <w:b/>
                <w:sz w:val="18"/>
                <w:szCs w:val="18"/>
              </w:rPr>
            </w:pPr>
            <w:r w:rsidRPr="00FC3ECB">
              <w:rPr>
                <w:rFonts w:asciiTheme="minorHAnsi" w:hAnsiTheme="minorHAnsi" w:cstheme="minorHAnsi"/>
                <w:b/>
                <w:bCs/>
                <w:sz w:val="18"/>
                <w:szCs w:val="18"/>
              </w:rPr>
              <w:lastRenderedPageBreak/>
              <w:t>Model</w:t>
            </w:r>
          </w:p>
        </w:tc>
        <w:tc>
          <w:tcPr>
            <w:tcW w:w="0" w:type="auto"/>
            <w:tcBorders>
              <w:top w:val="single" w:sz="12" w:space="0" w:color="auto"/>
              <w:bottom w:val="single" w:sz="12" w:space="0" w:color="auto"/>
            </w:tcBorders>
            <w:shd w:val="clear" w:color="auto" w:fill="D9D9D9"/>
            <w:tcMar>
              <w:top w:w="28" w:type="dxa"/>
              <w:bottom w:w="28" w:type="dxa"/>
            </w:tcMar>
          </w:tcPr>
          <w:p w14:paraId="7690E471" w14:textId="7E1B5DA4" w:rsidR="003B42AE" w:rsidRPr="00FC3ECB" w:rsidRDefault="002C5259" w:rsidP="003B42AE">
            <w:pPr>
              <w:spacing w:before="40" w:after="40" w:line="240" w:lineRule="auto"/>
              <w:rPr>
                <w:rFonts w:asciiTheme="minorHAnsi" w:hAnsiTheme="minorHAnsi" w:cstheme="minorHAnsi"/>
                <w:b/>
                <w:sz w:val="18"/>
                <w:szCs w:val="18"/>
              </w:rPr>
            </w:pPr>
            <w:r>
              <w:rPr>
                <w:rFonts w:asciiTheme="minorHAnsi" w:hAnsiTheme="minorHAnsi" w:cstheme="minorHAnsi"/>
                <w:b/>
                <w:sz w:val="18"/>
                <w:szCs w:val="18"/>
              </w:rPr>
              <w:t>Advantages</w:t>
            </w:r>
          </w:p>
        </w:tc>
        <w:tc>
          <w:tcPr>
            <w:tcW w:w="0" w:type="auto"/>
            <w:tcBorders>
              <w:top w:val="single" w:sz="12" w:space="0" w:color="auto"/>
              <w:bottom w:val="single" w:sz="12" w:space="0" w:color="auto"/>
            </w:tcBorders>
            <w:shd w:val="clear" w:color="auto" w:fill="D9D9D9"/>
            <w:tcMar>
              <w:top w:w="28" w:type="dxa"/>
              <w:bottom w:w="28" w:type="dxa"/>
            </w:tcMar>
          </w:tcPr>
          <w:p w14:paraId="2F98CB59" w14:textId="6B2D4273" w:rsidR="003B42AE" w:rsidRPr="00FC3ECB" w:rsidRDefault="003B42AE" w:rsidP="003B42AE">
            <w:pPr>
              <w:spacing w:before="40" w:after="40" w:line="240" w:lineRule="auto"/>
              <w:rPr>
                <w:rFonts w:asciiTheme="minorHAnsi" w:hAnsiTheme="minorHAnsi" w:cstheme="minorHAnsi"/>
                <w:b/>
                <w:sz w:val="18"/>
                <w:szCs w:val="18"/>
              </w:rPr>
            </w:pPr>
            <w:r w:rsidRPr="00FC3ECB">
              <w:rPr>
                <w:rFonts w:asciiTheme="minorHAnsi" w:hAnsiTheme="minorHAnsi" w:cstheme="minorHAnsi"/>
                <w:b/>
                <w:bCs/>
                <w:sz w:val="18"/>
                <w:szCs w:val="18"/>
              </w:rPr>
              <w:t>Caveats</w:t>
            </w:r>
          </w:p>
        </w:tc>
      </w:tr>
      <w:tr w:rsidR="003B42AE" w:rsidRPr="00FC3ECB" w14:paraId="183744CB" w14:textId="77777777" w:rsidTr="003C7290">
        <w:trPr>
          <w:cantSplit/>
          <w:tblHeader/>
        </w:trPr>
        <w:tc>
          <w:tcPr>
            <w:tcW w:w="0" w:type="auto"/>
            <w:tcBorders>
              <w:top w:val="single" w:sz="12" w:space="0" w:color="auto"/>
              <w:left w:val="single" w:sz="12" w:space="0" w:color="auto"/>
            </w:tcBorders>
            <w:tcMar>
              <w:top w:w="28" w:type="dxa"/>
              <w:bottom w:w="28" w:type="dxa"/>
            </w:tcMar>
          </w:tcPr>
          <w:p w14:paraId="69BF13A8" w14:textId="5BD7D9BC" w:rsidR="003B42AE" w:rsidRPr="00FC3ECB" w:rsidRDefault="003B42AE" w:rsidP="00E91F6A">
            <w:pPr>
              <w:spacing w:line="240" w:lineRule="auto"/>
              <w:rPr>
                <w:rFonts w:asciiTheme="minorHAnsi" w:hAnsiTheme="minorHAnsi" w:cstheme="minorHAnsi"/>
                <w:sz w:val="18"/>
                <w:szCs w:val="18"/>
              </w:rPr>
            </w:pPr>
            <w:r w:rsidRPr="00FC3ECB">
              <w:rPr>
                <w:rFonts w:asciiTheme="minorHAnsi" w:hAnsiTheme="minorHAnsi" w:cstheme="minorHAnsi"/>
                <w:b/>
                <w:bCs/>
                <w:sz w:val="18"/>
                <w:szCs w:val="18"/>
              </w:rPr>
              <w:t>Model 1:</w:t>
            </w:r>
            <w:r w:rsidRPr="00FC3ECB">
              <w:rPr>
                <w:rFonts w:asciiTheme="minorHAnsi" w:hAnsiTheme="minorHAnsi" w:cstheme="minorHAnsi"/>
                <w:sz w:val="18"/>
                <w:szCs w:val="18"/>
              </w:rPr>
              <w:t xml:space="preserve"> prospective evaluation stream (used in Stream 3 of the Rapid Applied Research Translation and Clinician Researchers initiatives)</w:t>
            </w:r>
          </w:p>
        </w:tc>
        <w:tc>
          <w:tcPr>
            <w:tcW w:w="0" w:type="auto"/>
            <w:tcBorders>
              <w:top w:val="single" w:sz="12" w:space="0" w:color="auto"/>
            </w:tcBorders>
            <w:tcMar>
              <w:top w:w="28" w:type="dxa"/>
              <w:bottom w:w="28" w:type="dxa"/>
            </w:tcMar>
          </w:tcPr>
          <w:p w14:paraId="680E6DA9" w14:textId="77777777" w:rsidR="003B42AE" w:rsidRPr="00FC3ECB" w:rsidRDefault="003B42AE" w:rsidP="003B42AE">
            <w:pPr>
              <w:pStyle w:val="ListParagraph"/>
              <w:numPr>
                <w:ilvl w:val="0"/>
                <w:numId w:val="18"/>
              </w:numPr>
              <w:spacing w:after="0" w:line="240" w:lineRule="auto"/>
              <w:ind w:left="457"/>
              <w:rPr>
                <w:rFonts w:asciiTheme="minorHAnsi" w:hAnsiTheme="minorHAnsi" w:cstheme="minorHAnsi"/>
                <w:sz w:val="18"/>
                <w:szCs w:val="18"/>
              </w:rPr>
            </w:pPr>
            <w:r w:rsidRPr="00FC3ECB">
              <w:rPr>
                <w:rFonts w:asciiTheme="minorHAnsi" w:hAnsiTheme="minorHAnsi" w:cstheme="minorHAnsi"/>
                <w:sz w:val="18"/>
                <w:szCs w:val="18"/>
              </w:rPr>
              <w:t>Model 1 deploys an independent evaluator to facilitate funded projects to think about translation as early as possible.</w:t>
            </w:r>
          </w:p>
          <w:p w14:paraId="0C91E435" w14:textId="77777777" w:rsidR="003B42AE" w:rsidRPr="00FC3ECB" w:rsidRDefault="003B42AE" w:rsidP="003B42AE">
            <w:pPr>
              <w:pStyle w:val="ListParagraph"/>
              <w:numPr>
                <w:ilvl w:val="0"/>
                <w:numId w:val="18"/>
              </w:numPr>
              <w:spacing w:after="0" w:line="240" w:lineRule="auto"/>
              <w:ind w:left="457"/>
              <w:rPr>
                <w:rFonts w:asciiTheme="minorHAnsi" w:hAnsiTheme="minorHAnsi" w:cstheme="minorHAnsi"/>
                <w:sz w:val="18"/>
                <w:szCs w:val="18"/>
              </w:rPr>
            </w:pPr>
            <w:r w:rsidRPr="00FC3ECB">
              <w:rPr>
                <w:rFonts w:asciiTheme="minorHAnsi" w:hAnsiTheme="minorHAnsi" w:cstheme="minorHAnsi"/>
                <w:sz w:val="18"/>
                <w:szCs w:val="18"/>
              </w:rPr>
              <w:t>The main advantage of Model 1 is in having one evaluator synthesising similarities and differences across diverse projects to pinpoint common success factors.</w:t>
            </w:r>
          </w:p>
          <w:p w14:paraId="4D37FFC7" w14:textId="36E3F02C" w:rsidR="00C03772" w:rsidRPr="00FC3ECB" w:rsidRDefault="003B42AE" w:rsidP="003B42AE">
            <w:pPr>
              <w:pStyle w:val="ListParagraph"/>
              <w:numPr>
                <w:ilvl w:val="0"/>
                <w:numId w:val="18"/>
              </w:numPr>
              <w:spacing w:after="0" w:line="240" w:lineRule="auto"/>
              <w:ind w:left="457"/>
              <w:rPr>
                <w:rFonts w:asciiTheme="minorHAnsi" w:hAnsiTheme="minorHAnsi" w:cstheme="minorHAnsi"/>
                <w:sz w:val="18"/>
                <w:szCs w:val="18"/>
              </w:rPr>
            </w:pPr>
            <w:r w:rsidRPr="00FC3ECB">
              <w:rPr>
                <w:rFonts w:asciiTheme="minorHAnsi" w:hAnsiTheme="minorHAnsi" w:cstheme="minorHAnsi"/>
                <w:sz w:val="18"/>
                <w:szCs w:val="18"/>
              </w:rPr>
              <w:t xml:space="preserve">Model 1 tries to yield information about why projects hit barriers or fail, which tends to be buried because research </w:t>
            </w:r>
            <w:r w:rsidR="00726839">
              <w:rPr>
                <w:rFonts w:asciiTheme="minorHAnsi" w:hAnsiTheme="minorHAnsi" w:cstheme="minorHAnsi"/>
                <w:sz w:val="18"/>
                <w:szCs w:val="18"/>
              </w:rPr>
              <w:t>culture</w:t>
            </w:r>
            <w:r w:rsidR="00726839" w:rsidRPr="00FC3ECB">
              <w:rPr>
                <w:rFonts w:asciiTheme="minorHAnsi" w:hAnsiTheme="minorHAnsi" w:cstheme="minorHAnsi"/>
                <w:sz w:val="18"/>
                <w:szCs w:val="18"/>
              </w:rPr>
              <w:t xml:space="preserve"> </w:t>
            </w:r>
            <w:r w:rsidRPr="00FC3ECB">
              <w:rPr>
                <w:rFonts w:asciiTheme="minorHAnsi" w:hAnsiTheme="minorHAnsi" w:cstheme="minorHAnsi"/>
                <w:sz w:val="18"/>
                <w:szCs w:val="18"/>
              </w:rPr>
              <w:t>is critical</w:t>
            </w:r>
            <w:r w:rsidR="00726839">
              <w:rPr>
                <w:rFonts w:asciiTheme="minorHAnsi" w:hAnsiTheme="minorHAnsi" w:cstheme="minorHAnsi"/>
                <w:sz w:val="18"/>
                <w:szCs w:val="18"/>
              </w:rPr>
              <w:t xml:space="preserve"> by nature</w:t>
            </w:r>
            <w:r w:rsidRPr="00FC3ECB">
              <w:rPr>
                <w:rFonts w:asciiTheme="minorHAnsi" w:hAnsiTheme="minorHAnsi" w:cstheme="minorHAnsi"/>
                <w:sz w:val="18"/>
                <w:szCs w:val="18"/>
              </w:rPr>
              <w:t xml:space="preserve"> and</w:t>
            </w:r>
            <w:r w:rsidR="00726839">
              <w:rPr>
                <w:rFonts w:asciiTheme="minorHAnsi" w:hAnsiTheme="minorHAnsi" w:cstheme="minorHAnsi"/>
                <w:sz w:val="18"/>
                <w:szCs w:val="18"/>
              </w:rPr>
              <w:t xml:space="preserve"> often</w:t>
            </w:r>
            <w:r w:rsidRPr="00FC3ECB">
              <w:rPr>
                <w:rFonts w:asciiTheme="minorHAnsi" w:hAnsiTheme="minorHAnsi" w:cstheme="minorHAnsi"/>
                <w:sz w:val="18"/>
                <w:szCs w:val="18"/>
              </w:rPr>
              <w:t xml:space="preserve"> lacks transparency.</w:t>
            </w:r>
          </w:p>
          <w:p w14:paraId="626209E4" w14:textId="7AA2BB2D" w:rsidR="003B42AE" w:rsidRPr="00FC3ECB" w:rsidRDefault="003B42AE" w:rsidP="003B42AE">
            <w:pPr>
              <w:pStyle w:val="ListParagraph"/>
              <w:numPr>
                <w:ilvl w:val="0"/>
                <w:numId w:val="18"/>
              </w:numPr>
              <w:spacing w:after="0" w:line="240" w:lineRule="auto"/>
              <w:ind w:left="457"/>
              <w:rPr>
                <w:rFonts w:asciiTheme="minorHAnsi" w:hAnsiTheme="minorHAnsi" w:cstheme="minorHAnsi"/>
                <w:sz w:val="18"/>
                <w:szCs w:val="18"/>
              </w:rPr>
            </w:pPr>
            <w:r w:rsidRPr="00FC3ECB">
              <w:rPr>
                <w:rFonts w:asciiTheme="minorHAnsi" w:hAnsiTheme="minorHAnsi" w:cstheme="minorHAnsi"/>
                <w:sz w:val="18"/>
                <w:szCs w:val="18"/>
              </w:rPr>
              <w:t>Model 1 could work well for some topics (similar to external evaluations for health technology assessment)</w:t>
            </w:r>
            <w:r w:rsidR="003B3E5B">
              <w:rPr>
                <w:rFonts w:asciiTheme="minorHAnsi" w:hAnsiTheme="minorHAnsi" w:cstheme="minorHAnsi"/>
                <w:sz w:val="18"/>
                <w:szCs w:val="18"/>
              </w:rPr>
              <w:t>.</w:t>
            </w:r>
          </w:p>
        </w:tc>
        <w:tc>
          <w:tcPr>
            <w:tcW w:w="0" w:type="auto"/>
            <w:tcBorders>
              <w:top w:val="single" w:sz="12" w:space="0" w:color="auto"/>
            </w:tcBorders>
            <w:tcMar>
              <w:top w:w="28" w:type="dxa"/>
              <w:bottom w:w="28" w:type="dxa"/>
            </w:tcMar>
          </w:tcPr>
          <w:p w14:paraId="6AE9CD47" w14:textId="503C4414" w:rsidR="003B42AE" w:rsidRPr="00FC3ECB" w:rsidRDefault="003B42AE" w:rsidP="003B42AE">
            <w:pPr>
              <w:pStyle w:val="ListParagraph"/>
              <w:numPr>
                <w:ilvl w:val="0"/>
                <w:numId w:val="18"/>
              </w:numPr>
              <w:spacing w:after="0" w:line="240" w:lineRule="auto"/>
              <w:ind w:left="458"/>
              <w:rPr>
                <w:rFonts w:asciiTheme="minorHAnsi" w:hAnsiTheme="minorHAnsi" w:cstheme="minorHAnsi"/>
                <w:sz w:val="18"/>
                <w:szCs w:val="18"/>
              </w:rPr>
            </w:pPr>
            <w:r w:rsidRPr="00FC3ECB">
              <w:rPr>
                <w:rFonts w:asciiTheme="minorHAnsi" w:hAnsiTheme="minorHAnsi" w:cstheme="minorHAnsi"/>
                <w:sz w:val="18"/>
                <w:szCs w:val="18"/>
              </w:rPr>
              <w:t>Evaluator must establish partnerships with funded projects early on. Otherwise, it is more like ‘an auditing role’ with an evaluator ‘scrutinising someone else’s work</w:t>
            </w:r>
            <w:r w:rsidR="003B3E5B">
              <w:rPr>
                <w:rFonts w:asciiTheme="minorHAnsi" w:hAnsiTheme="minorHAnsi" w:cstheme="minorHAnsi"/>
                <w:sz w:val="18"/>
                <w:szCs w:val="18"/>
              </w:rPr>
              <w:t>.</w:t>
            </w:r>
            <w:r w:rsidRPr="00FC3ECB">
              <w:rPr>
                <w:rFonts w:asciiTheme="minorHAnsi" w:hAnsiTheme="minorHAnsi" w:cstheme="minorHAnsi"/>
                <w:sz w:val="18"/>
                <w:szCs w:val="18"/>
              </w:rPr>
              <w:t>’</w:t>
            </w:r>
          </w:p>
          <w:p w14:paraId="26751521" w14:textId="77777777" w:rsidR="003B42AE" w:rsidRPr="00FC3ECB" w:rsidRDefault="003B42AE" w:rsidP="003B42AE">
            <w:pPr>
              <w:pStyle w:val="ListParagraph"/>
              <w:numPr>
                <w:ilvl w:val="0"/>
                <w:numId w:val="18"/>
              </w:numPr>
              <w:spacing w:after="0" w:line="240" w:lineRule="auto"/>
              <w:ind w:left="458"/>
              <w:rPr>
                <w:rFonts w:asciiTheme="minorHAnsi" w:hAnsiTheme="minorHAnsi" w:cstheme="minorHAnsi"/>
                <w:sz w:val="18"/>
                <w:szCs w:val="18"/>
              </w:rPr>
            </w:pPr>
            <w:r w:rsidRPr="00FC3ECB">
              <w:rPr>
                <w:rFonts w:asciiTheme="minorHAnsi" w:hAnsiTheme="minorHAnsi" w:cstheme="minorHAnsi"/>
                <w:sz w:val="18"/>
                <w:szCs w:val="18"/>
              </w:rPr>
              <w:t>Model 1 may be challenging if the evaluator does not have content or methodological expertise.</w:t>
            </w:r>
          </w:p>
          <w:p w14:paraId="68A6FC64" w14:textId="4882924E" w:rsidR="000B1495" w:rsidRDefault="003B42AE" w:rsidP="003B42AE">
            <w:pPr>
              <w:pStyle w:val="ListParagraph"/>
              <w:numPr>
                <w:ilvl w:val="0"/>
                <w:numId w:val="18"/>
              </w:numPr>
              <w:spacing w:after="0" w:line="240" w:lineRule="auto"/>
              <w:ind w:left="458"/>
              <w:rPr>
                <w:rFonts w:asciiTheme="minorHAnsi" w:hAnsiTheme="minorHAnsi" w:cstheme="minorHAnsi"/>
                <w:sz w:val="18"/>
                <w:szCs w:val="18"/>
              </w:rPr>
            </w:pPr>
            <w:r w:rsidRPr="00FC3ECB">
              <w:rPr>
                <w:rFonts w:asciiTheme="minorHAnsi" w:hAnsiTheme="minorHAnsi" w:cstheme="minorHAnsi"/>
                <w:sz w:val="18"/>
                <w:szCs w:val="18"/>
              </w:rPr>
              <w:t xml:space="preserve">Stakeholders </w:t>
            </w:r>
            <w:r w:rsidR="008915BA">
              <w:rPr>
                <w:rFonts w:asciiTheme="minorHAnsi" w:hAnsiTheme="minorHAnsi" w:cstheme="minorHAnsi"/>
                <w:sz w:val="18"/>
                <w:szCs w:val="18"/>
              </w:rPr>
              <w:t>we</w:t>
            </w:r>
            <w:r w:rsidRPr="00FC3ECB">
              <w:rPr>
                <w:rFonts w:asciiTheme="minorHAnsi" w:hAnsiTheme="minorHAnsi" w:cstheme="minorHAnsi"/>
                <w:sz w:val="18"/>
                <w:szCs w:val="18"/>
              </w:rPr>
              <w:t xml:space="preserve">re divided on whether Model 1 meets the stated intent of gathering evidence of the factors </w:t>
            </w:r>
            <w:r w:rsidR="008915BA">
              <w:rPr>
                <w:rFonts w:asciiTheme="minorHAnsi" w:hAnsiTheme="minorHAnsi" w:cstheme="minorHAnsi"/>
                <w:sz w:val="18"/>
                <w:szCs w:val="18"/>
              </w:rPr>
              <w:t xml:space="preserve">that </w:t>
            </w:r>
            <w:r w:rsidRPr="00FC3ECB">
              <w:rPr>
                <w:rFonts w:asciiTheme="minorHAnsi" w:hAnsiTheme="minorHAnsi" w:cstheme="minorHAnsi"/>
                <w:sz w:val="18"/>
                <w:szCs w:val="18"/>
              </w:rPr>
              <w:t>promote the integration of new evidence in healthcare practice.</w:t>
            </w:r>
          </w:p>
          <w:p w14:paraId="66226550" w14:textId="307DE42A" w:rsidR="003B42AE" w:rsidRPr="000B1495" w:rsidRDefault="003B42AE" w:rsidP="003B42AE">
            <w:pPr>
              <w:pStyle w:val="ListParagraph"/>
              <w:numPr>
                <w:ilvl w:val="0"/>
                <w:numId w:val="18"/>
              </w:numPr>
              <w:spacing w:after="0" w:line="240" w:lineRule="auto"/>
              <w:ind w:left="458"/>
              <w:rPr>
                <w:rFonts w:asciiTheme="minorHAnsi" w:hAnsiTheme="minorHAnsi" w:cstheme="minorHAnsi"/>
                <w:sz w:val="18"/>
                <w:szCs w:val="18"/>
              </w:rPr>
            </w:pPr>
            <w:r w:rsidRPr="000B1495">
              <w:rPr>
                <w:rFonts w:asciiTheme="minorHAnsi" w:hAnsiTheme="minorHAnsi" w:cstheme="minorHAnsi"/>
                <w:sz w:val="18"/>
                <w:szCs w:val="18"/>
              </w:rPr>
              <w:t>As Model 1 is being piloted, it is too early to tell whether funded projects will engage with the evaluator and produce the intended evidence.</w:t>
            </w:r>
          </w:p>
        </w:tc>
      </w:tr>
      <w:tr w:rsidR="001A009E" w:rsidRPr="00FC3ECB" w14:paraId="6D800606" w14:textId="77777777" w:rsidTr="003C7290">
        <w:trPr>
          <w:cantSplit/>
          <w:tblHeader/>
        </w:trPr>
        <w:tc>
          <w:tcPr>
            <w:tcW w:w="0" w:type="auto"/>
            <w:tcBorders>
              <w:top w:val="single" w:sz="12" w:space="0" w:color="auto"/>
              <w:left w:val="single" w:sz="12" w:space="0" w:color="auto"/>
            </w:tcBorders>
            <w:tcMar>
              <w:top w:w="28" w:type="dxa"/>
              <w:bottom w:w="28" w:type="dxa"/>
            </w:tcMar>
          </w:tcPr>
          <w:p w14:paraId="2F946A59" w14:textId="6CDA43BA" w:rsidR="001A009E" w:rsidRPr="00FC3ECB" w:rsidRDefault="001A009E" w:rsidP="00E1698B">
            <w:pPr>
              <w:spacing w:line="276" w:lineRule="auto"/>
              <w:rPr>
                <w:rFonts w:asciiTheme="minorHAnsi" w:hAnsiTheme="minorHAnsi" w:cstheme="minorHAnsi"/>
                <w:b/>
                <w:bCs/>
                <w:sz w:val="18"/>
                <w:szCs w:val="18"/>
              </w:rPr>
            </w:pPr>
            <w:r w:rsidRPr="00FC3ECB">
              <w:rPr>
                <w:rFonts w:asciiTheme="minorHAnsi" w:hAnsiTheme="minorHAnsi" w:cstheme="minorHAnsi"/>
                <w:b/>
                <w:bCs/>
                <w:sz w:val="18"/>
                <w:szCs w:val="18"/>
              </w:rPr>
              <w:t xml:space="preserve">Model 2: </w:t>
            </w:r>
            <w:r w:rsidRPr="00FC3ECB">
              <w:rPr>
                <w:rFonts w:asciiTheme="minorHAnsi" w:hAnsiTheme="minorHAnsi" w:cstheme="minorHAnsi"/>
                <w:sz w:val="18"/>
                <w:szCs w:val="18"/>
              </w:rPr>
              <w:t>No separate prospective evaluation stream; all projects funded must incorporate prospective evaluation or implementation research</w:t>
            </w:r>
          </w:p>
        </w:tc>
        <w:tc>
          <w:tcPr>
            <w:tcW w:w="0" w:type="auto"/>
            <w:tcBorders>
              <w:top w:val="single" w:sz="12" w:space="0" w:color="auto"/>
            </w:tcBorders>
            <w:tcMar>
              <w:top w:w="28" w:type="dxa"/>
              <w:bottom w:w="28" w:type="dxa"/>
            </w:tcMar>
          </w:tcPr>
          <w:p w14:paraId="0142A10A" w14:textId="4EC9AAF1" w:rsidR="001A009E" w:rsidRPr="00FC3ECB" w:rsidRDefault="001A009E" w:rsidP="001A009E">
            <w:pPr>
              <w:pStyle w:val="ListParagraph"/>
              <w:numPr>
                <w:ilvl w:val="0"/>
                <w:numId w:val="20"/>
              </w:numPr>
              <w:spacing w:after="0" w:line="240" w:lineRule="auto"/>
              <w:ind w:left="457"/>
              <w:rPr>
                <w:rFonts w:asciiTheme="minorHAnsi" w:hAnsiTheme="minorHAnsi" w:cstheme="minorHAnsi"/>
                <w:sz w:val="18"/>
                <w:szCs w:val="18"/>
              </w:rPr>
            </w:pPr>
            <w:r w:rsidRPr="00FC3ECB">
              <w:rPr>
                <w:rFonts w:asciiTheme="minorHAnsi" w:hAnsiTheme="minorHAnsi" w:cstheme="minorHAnsi"/>
                <w:sz w:val="18"/>
                <w:szCs w:val="18"/>
              </w:rPr>
              <w:t>Model 2 provides points of difference with Model 3 as it enables researchers to do early implementation work, even at the lab stage (e</w:t>
            </w:r>
            <w:r w:rsidR="009A253B">
              <w:rPr>
                <w:rFonts w:asciiTheme="minorHAnsi" w:hAnsiTheme="minorHAnsi" w:cstheme="minorHAnsi"/>
                <w:sz w:val="18"/>
                <w:szCs w:val="18"/>
              </w:rPr>
              <w:t>.</w:t>
            </w:r>
            <w:r w:rsidRPr="00FC3ECB">
              <w:rPr>
                <w:rFonts w:asciiTheme="minorHAnsi" w:hAnsiTheme="minorHAnsi" w:cstheme="minorHAnsi"/>
                <w:sz w:val="18"/>
                <w:szCs w:val="18"/>
              </w:rPr>
              <w:t>g. process evaluation to get critical information that informs implementation strategies down the track).</w:t>
            </w:r>
          </w:p>
          <w:p w14:paraId="6BC09506" w14:textId="02C8D8AB" w:rsidR="001A009E" w:rsidRPr="00FC3ECB" w:rsidRDefault="001A009E" w:rsidP="001A009E">
            <w:pPr>
              <w:pStyle w:val="ListParagraph"/>
              <w:numPr>
                <w:ilvl w:val="0"/>
                <w:numId w:val="18"/>
              </w:numPr>
              <w:spacing w:after="0" w:line="240" w:lineRule="auto"/>
              <w:ind w:left="457"/>
              <w:rPr>
                <w:rFonts w:asciiTheme="minorHAnsi" w:hAnsiTheme="minorHAnsi" w:cstheme="minorHAnsi"/>
                <w:sz w:val="18"/>
                <w:szCs w:val="18"/>
              </w:rPr>
            </w:pPr>
            <w:r w:rsidRPr="00FC3ECB">
              <w:rPr>
                <w:rFonts w:asciiTheme="minorHAnsi" w:hAnsiTheme="minorHAnsi" w:cstheme="minorHAnsi"/>
                <w:sz w:val="18"/>
                <w:szCs w:val="18"/>
              </w:rPr>
              <w:t>Model 2 has the advantage of nested studies and alongside evaluation within the actual content of the project.</w:t>
            </w:r>
          </w:p>
        </w:tc>
        <w:tc>
          <w:tcPr>
            <w:tcW w:w="0" w:type="auto"/>
            <w:tcBorders>
              <w:top w:val="single" w:sz="12" w:space="0" w:color="auto"/>
            </w:tcBorders>
            <w:tcMar>
              <w:top w:w="28" w:type="dxa"/>
              <w:bottom w:w="28" w:type="dxa"/>
            </w:tcMar>
          </w:tcPr>
          <w:p w14:paraId="582411E7" w14:textId="77777777" w:rsidR="001A009E" w:rsidRPr="00FC3ECB" w:rsidRDefault="001A009E" w:rsidP="001A009E">
            <w:pPr>
              <w:pStyle w:val="ListParagraph"/>
              <w:numPr>
                <w:ilvl w:val="0"/>
                <w:numId w:val="20"/>
              </w:numPr>
              <w:spacing w:after="0" w:line="240" w:lineRule="auto"/>
              <w:ind w:left="458"/>
              <w:rPr>
                <w:rFonts w:asciiTheme="minorHAnsi" w:hAnsiTheme="minorHAnsi" w:cstheme="minorHAnsi"/>
                <w:sz w:val="18"/>
                <w:szCs w:val="18"/>
              </w:rPr>
            </w:pPr>
            <w:r w:rsidRPr="00FC3ECB">
              <w:rPr>
                <w:rFonts w:asciiTheme="minorHAnsi" w:hAnsiTheme="minorHAnsi" w:cstheme="minorHAnsi"/>
                <w:sz w:val="18"/>
                <w:szCs w:val="18"/>
              </w:rPr>
              <w:t>Some stakeholders think Model 2 imposes too much on researchers to both test an intervention and work on its implementation and evaluation</w:t>
            </w:r>
          </w:p>
          <w:p w14:paraId="5621E5F7" w14:textId="6E2CC3A7" w:rsidR="001A009E" w:rsidRPr="00FC3ECB" w:rsidRDefault="001A009E" w:rsidP="001A009E">
            <w:pPr>
              <w:pStyle w:val="ListParagraph"/>
              <w:numPr>
                <w:ilvl w:val="0"/>
                <w:numId w:val="18"/>
              </w:numPr>
              <w:spacing w:after="0" w:line="240" w:lineRule="auto"/>
              <w:ind w:left="458"/>
              <w:rPr>
                <w:rFonts w:asciiTheme="minorHAnsi" w:hAnsiTheme="minorHAnsi" w:cstheme="minorHAnsi"/>
                <w:sz w:val="18"/>
                <w:szCs w:val="18"/>
              </w:rPr>
            </w:pPr>
            <w:r w:rsidRPr="00FC3ECB">
              <w:rPr>
                <w:rFonts w:asciiTheme="minorHAnsi" w:hAnsiTheme="minorHAnsi" w:cstheme="minorHAnsi"/>
                <w:sz w:val="18"/>
                <w:szCs w:val="18"/>
              </w:rPr>
              <w:t xml:space="preserve">Relevant evaluation expertise must be properly factored into grant applications. </w:t>
            </w:r>
            <w:r w:rsidR="00726839">
              <w:rPr>
                <w:rFonts w:asciiTheme="minorHAnsi" w:hAnsiTheme="minorHAnsi" w:cstheme="minorHAnsi"/>
                <w:sz w:val="18"/>
                <w:szCs w:val="18"/>
              </w:rPr>
              <w:t>Some have experience difficulty</w:t>
            </w:r>
            <w:r w:rsidRPr="00FC3ECB">
              <w:rPr>
                <w:rFonts w:asciiTheme="minorHAnsi" w:hAnsiTheme="minorHAnsi" w:cstheme="minorHAnsi"/>
                <w:sz w:val="18"/>
                <w:szCs w:val="18"/>
              </w:rPr>
              <w:t xml:space="preserve"> recruit</w:t>
            </w:r>
            <w:r w:rsidR="00726839">
              <w:rPr>
                <w:rFonts w:asciiTheme="minorHAnsi" w:hAnsiTheme="minorHAnsi" w:cstheme="minorHAnsi"/>
                <w:sz w:val="18"/>
                <w:szCs w:val="18"/>
              </w:rPr>
              <w:t>ing</w:t>
            </w:r>
            <w:r w:rsidRPr="00FC3ECB">
              <w:rPr>
                <w:rFonts w:asciiTheme="minorHAnsi" w:hAnsiTheme="minorHAnsi" w:cstheme="minorHAnsi"/>
                <w:sz w:val="18"/>
                <w:szCs w:val="18"/>
              </w:rPr>
              <w:t xml:space="preserve"> people with the right expertise.</w:t>
            </w:r>
          </w:p>
        </w:tc>
      </w:tr>
      <w:tr w:rsidR="001A009E" w:rsidRPr="00FC3ECB" w14:paraId="405FAFDA" w14:textId="77777777" w:rsidTr="003C7290">
        <w:trPr>
          <w:cantSplit/>
        </w:trPr>
        <w:tc>
          <w:tcPr>
            <w:tcW w:w="0" w:type="auto"/>
            <w:tcBorders>
              <w:top w:val="single" w:sz="12" w:space="0" w:color="auto"/>
              <w:left w:val="single" w:sz="12" w:space="0" w:color="auto"/>
            </w:tcBorders>
            <w:tcMar>
              <w:top w:w="28" w:type="dxa"/>
              <w:bottom w:w="28" w:type="dxa"/>
            </w:tcMar>
          </w:tcPr>
          <w:p w14:paraId="73C72303" w14:textId="79AD2B6A" w:rsidR="001A009E" w:rsidRPr="00FC3ECB" w:rsidRDefault="001A009E" w:rsidP="001A009E">
            <w:pPr>
              <w:spacing w:after="0" w:line="240" w:lineRule="auto"/>
              <w:rPr>
                <w:rFonts w:asciiTheme="minorHAnsi" w:hAnsiTheme="minorHAnsi" w:cstheme="minorHAnsi"/>
                <w:color w:val="000000" w:themeColor="text1"/>
                <w:sz w:val="18"/>
                <w:szCs w:val="18"/>
              </w:rPr>
            </w:pPr>
            <w:r w:rsidRPr="00FC3ECB">
              <w:rPr>
                <w:rFonts w:asciiTheme="minorHAnsi" w:hAnsiTheme="minorHAnsi" w:cstheme="minorHAnsi"/>
                <w:b/>
                <w:bCs/>
                <w:sz w:val="18"/>
                <w:szCs w:val="18"/>
              </w:rPr>
              <w:t>Model 3:</w:t>
            </w:r>
            <w:r w:rsidRPr="00FC3ECB">
              <w:rPr>
                <w:rFonts w:asciiTheme="minorHAnsi" w:hAnsiTheme="minorHAnsi" w:cstheme="minorHAnsi"/>
                <w:sz w:val="18"/>
                <w:szCs w:val="18"/>
              </w:rPr>
              <w:t xml:space="preserve"> Dedicated stream for evaluation and implementation </w:t>
            </w:r>
            <w:r w:rsidR="00FB0952">
              <w:rPr>
                <w:rFonts w:asciiTheme="minorHAnsi" w:hAnsiTheme="minorHAnsi" w:cstheme="minorHAnsi"/>
                <w:sz w:val="18"/>
                <w:szCs w:val="18"/>
              </w:rPr>
              <w:t>research</w:t>
            </w:r>
            <w:r w:rsidRPr="00FC3ECB">
              <w:rPr>
                <w:rFonts w:asciiTheme="minorHAnsi" w:hAnsiTheme="minorHAnsi" w:cstheme="minorHAnsi"/>
                <w:sz w:val="18"/>
                <w:szCs w:val="18"/>
              </w:rPr>
              <w:t xml:space="preserve"> (does not involve projects funded in other streams)</w:t>
            </w:r>
          </w:p>
        </w:tc>
        <w:tc>
          <w:tcPr>
            <w:tcW w:w="0" w:type="auto"/>
            <w:tcBorders>
              <w:top w:val="single" w:sz="12" w:space="0" w:color="auto"/>
            </w:tcBorders>
            <w:tcMar>
              <w:top w:w="28" w:type="dxa"/>
              <w:bottom w:w="28" w:type="dxa"/>
            </w:tcMar>
          </w:tcPr>
          <w:p w14:paraId="0180D222" w14:textId="465ACBF7" w:rsidR="001A009E" w:rsidRPr="00FC3ECB" w:rsidRDefault="001A009E" w:rsidP="001A009E">
            <w:pPr>
              <w:pStyle w:val="ListParagraph"/>
              <w:numPr>
                <w:ilvl w:val="0"/>
                <w:numId w:val="19"/>
              </w:numPr>
              <w:spacing w:after="0" w:line="240" w:lineRule="auto"/>
              <w:ind w:left="464"/>
              <w:rPr>
                <w:rFonts w:asciiTheme="minorHAnsi" w:hAnsiTheme="minorHAnsi" w:cstheme="minorHAnsi"/>
                <w:sz w:val="18"/>
                <w:szCs w:val="18"/>
              </w:rPr>
            </w:pPr>
            <w:r w:rsidRPr="00FC3ECB">
              <w:rPr>
                <w:rFonts w:asciiTheme="minorHAnsi" w:hAnsiTheme="minorHAnsi" w:cstheme="minorHAnsi"/>
                <w:sz w:val="18"/>
                <w:szCs w:val="18"/>
              </w:rPr>
              <w:t>Model 3 is the most conducive to the formation of broad partnerships between researchers, clinicians, local health districts and policymakers for systems change.</w:t>
            </w:r>
          </w:p>
          <w:p w14:paraId="460A11DB" w14:textId="77777777" w:rsidR="001A009E" w:rsidRPr="00FC3ECB" w:rsidRDefault="001A009E" w:rsidP="001A009E">
            <w:pPr>
              <w:pStyle w:val="ListParagraph"/>
              <w:numPr>
                <w:ilvl w:val="0"/>
                <w:numId w:val="19"/>
              </w:numPr>
              <w:spacing w:after="0" w:line="240" w:lineRule="auto"/>
              <w:ind w:left="464"/>
              <w:rPr>
                <w:rFonts w:asciiTheme="minorHAnsi" w:hAnsiTheme="minorHAnsi" w:cstheme="minorHAnsi"/>
                <w:sz w:val="18"/>
                <w:szCs w:val="18"/>
              </w:rPr>
            </w:pPr>
            <w:r w:rsidRPr="00FC3ECB">
              <w:rPr>
                <w:rFonts w:asciiTheme="minorHAnsi" w:hAnsiTheme="minorHAnsi" w:cstheme="minorHAnsi"/>
                <w:sz w:val="18"/>
                <w:szCs w:val="18"/>
              </w:rPr>
              <w:t>Model 3 supports small-scale projects that translate evidence into practice.</w:t>
            </w:r>
          </w:p>
          <w:p w14:paraId="0B5BDE8C" w14:textId="77777777" w:rsidR="001A009E" w:rsidRPr="00FC3ECB" w:rsidRDefault="001A009E" w:rsidP="001A009E">
            <w:pPr>
              <w:pStyle w:val="ListParagraph"/>
              <w:numPr>
                <w:ilvl w:val="0"/>
                <w:numId w:val="19"/>
              </w:numPr>
              <w:spacing w:after="0" w:line="240" w:lineRule="auto"/>
              <w:ind w:left="464"/>
              <w:rPr>
                <w:rFonts w:asciiTheme="minorHAnsi" w:hAnsiTheme="minorHAnsi" w:cstheme="minorHAnsi"/>
                <w:sz w:val="18"/>
                <w:szCs w:val="18"/>
              </w:rPr>
            </w:pPr>
            <w:r w:rsidRPr="00FC3ECB">
              <w:rPr>
                <w:rFonts w:asciiTheme="minorHAnsi" w:hAnsiTheme="minorHAnsi" w:cstheme="minorHAnsi"/>
                <w:sz w:val="18"/>
                <w:szCs w:val="18"/>
              </w:rPr>
              <w:t>Model 3 is ideal for supporting implementation science as a broad umbrella covering many activities.</w:t>
            </w:r>
          </w:p>
          <w:p w14:paraId="5C64C927" w14:textId="77777777" w:rsidR="00334737" w:rsidRPr="00FC3ECB" w:rsidRDefault="001A009E" w:rsidP="001A009E">
            <w:pPr>
              <w:pStyle w:val="ListParagraph"/>
              <w:numPr>
                <w:ilvl w:val="0"/>
                <w:numId w:val="19"/>
              </w:numPr>
              <w:spacing w:after="0" w:line="240" w:lineRule="auto"/>
              <w:ind w:left="464"/>
              <w:rPr>
                <w:rFonts w:asciiTheme="minorHAnsi" w:hAnsiTheme="minorHAnsi" w:cstheme="minorHAnsi"/>
                <w:sz w:val="18"/>
                <w:szCs w:val="18"/>
              </w:rPr>
            </w:pPr>
            <w:r w:rsidRPr="00FC3ECB">
              <w:rPr>
                <w:rFonts w:asciiTheme="minorHAnsi" w:hAnsiTheme="minorHAnsi" w:cstheme="minorHAnsi"/>
                <w:sz w:val="18"/>
                <w:szCs w:val="18"/>
              </w:rPr>
              <w:t>Model 3 is the most flexible because it is not tied to other projects.</w:t>
            </w:r>
          </w:p>
          <w:p w14:paraId="39971E01" w14:textId="0F2B2B9C" w:rsidR="001A009E" w:rsidRPr="00FC3ECB" w:rsidRDefault="001A009E" w:rsidP="001A009E">
            <w:pPr>
              <w:pStyle w:val="ListParagraph"/>
              <w:numPr>
                <w:ilvl w:val="0"/>
                <w:numId w:val="19"/>
              </w:numPr>
              <w:spacing w:after="0" w:line="240" w:lineRule="auto"/>
              <w:ind w:left="464"/>
              <w:rPr>
                <w:rFonts w:asciiTheme="minorHAnsi" w:hAnsiTheme="minorHAnsi" w:cstheme="minorHAnsi"/>
                <w:sz w:val="18"/>
                <w:szCs w:val="18"/>
              </w:rPr>
            </w:pPr>
            <w:r w:rsidRPr="00FC3ECB">
              <w:rPr>
                <w:rFonts w:asciiTheme="minorHAnsi" w:hAnsiTheme="minorHAnsi" w:cstheme="minorHAnsi"/>
                <w:sz w:val="18"/>
                <w:szCs w:val="18"/>
              </w:rPr>
              <w:t>Implementation science introduces nuances into study designs that is believed to place them at a disadvantage compared to other research projects (e</w:t>
            </w:r>
            <w:r w:rsidR="005E7FB8">
              <w:rPr>
                <w:rFonts w:asciiTheme="minorHAnsi" w:hAnsiTheme="minorHAnsi" w:cstheme="minorHAnsi"/>
                <w:sz w:val="18"/>
                <w:szCs w:val="18"/>
              </w:rPr>
              <w:t>.</w:t>
            </w:r>
            <w:r w:rsidRPr="00FC3ECB">
              <w:rPr>
                <w:rFonts w:asciiTheme="minorHAnsi" w:hAnsiTheme="minorHAnsi" w:cstheme="minorHAnsi"/>
                <w:sz w:val="18"/>
                <w:szCs w:val="18"/>
              </w:rPr>
              <w:t>g. Randomised Control Trials). A separate implementation science stream ensures these projects are competing on a level playing field.</w:t>
            </w:r>
          </w:p>
        </w:tc>
        <w:tc>
          <w:tcPr>
            <w:tcW w:w="0" w:type="auto"/>
            <w:tcBorders>
              <w:top w:val="single" w:sz="12" w:space="0" w:color="auto"/>
            </w:tcBorders>
            <w:tcMar>
              <w:top w:w="28" w:type="dxa"/>
              <w:bottom w:w="28" w:type="dxa"/>
            </w:tcMar>
          </w:tcPr>
          <w:p w14:paraId="4241EF41" w14:textId="173CD03D" w:rsidR="001A009E" w:rsidRPr="00FC3ECB" w:rsidRDefault="001A009E" w:rsidP="001A009E">
            <w:pPr>
              <w:pStyle w:val="ListParagraph"/>
              <w:numPr>
                <w:ilvl w:val="0"/>
                <w:numId w:val="19"/>
              </w:numPr>
              <w:spacing w:after="0" w:line="240" w:lineRule="auto"/>
              <w:ind w:left="465"/>
              <w:rPr>
                <w:rFonts w:asciiTheme="minorHAnsi" w:hAnsiTheme="minorHAnsi" w:cstheme="minorHAnsi"/>
                <w:sz w:val="18"/>
                <w:szCs w:val="18"/>
              </w:rPr>
            </w:pPr>
            <w:r w:rsidRPr="00FC3ECB">
              <w:rPr>
                <w:rFonts w:asciiTheme="minorHAnsi" w:hAnsiTheme="minorHAnsi" w:cstheme="minorHAnsi"/>
                <w:sz w:val="18"/>
                <w:szCs w:val="18"/>
              </w:rPr>
              <w:t>Assumes that evidence already exists ready for implementation, unlike Model</w:t>
            </w:r>
            <w:r w:rsidR="00726839">
              <w:rPr>
                <w:rFonts w:asciiTheme="minorHAnsi" w:hAnsiTheme="minorHAnsi" w:cstheme="minorHAnsi"/>
                <w:sz w:val="18"/>
                <w:szCs w:val="18"/>
              </w:rPr>
              <w:t xml:space="preserve"> 1 or</w:t>
            </w:r>
            <w:r w:rsidRPr="00FC3ECB">
              <w:rPr>
                <w:rFonts w:asciiTheme="minorHAnsi" w:hAnsiTheme="minorHAnsi" w:cstheme="minorHAnsi"/>
                <w:sz w:val="18"/>
                <w:szCs w:val="18"/>
              </w:rPr>
              <w:t xml:space="preserve"> 2. </w:t>
            </w:r>
          </w:p>
          <w:p w14:paraId="7566E633" w14:textId="02AFA0EE" w:rsidR="001A009E" w:rsidRPr="00FC3ECB" w:rsidRDefault="00726839" w:rsidP="00E91F6A">
            <w:pPr>
              <w:pStyle w:val="ListParagraph"/>
              <w:numPr>
                <w:ilvl w:val="0"/>
                <w:numId w:val="19"/>
              </w:numPr>
              <w:spacing w:after="0" w:line="240" w:lineRule="auto"/>
              <w:ind w:left="465"/>
              <w:rPr>
                <w:rFonts w:asciiTheme="minorHAnsi" w:hAnsiTheme="minorHAnsi" w:cstheme="minorHAnsi"/>
                <w:sz w:val="18"/>
                <w:szCs w:val="18"/>
              </w:rPr>
            </w:pPr>
            <w:r>
              <w:rPr>
                <w:rFonts w:asciiTheme="minorHAnsi" w:hAnsiTheme="minorHAnsi" w:cstheme="minorHAnsi"/>
                <w:sz w:val="18"/>
                <w:szCs w:val="18"/>
              </w:rPr>
              <w:t>Absence of direct engagement with funded research (potentially, though not necessarily), removes the opportunity to prospectively optimise the investment pipeline.  Necessitates that this evidence is aligned to, and/or already integrated within the funding and evaluation processes of the wider research system.</w:t>
            </w:r>
          </w:p>
        </w:tc>
      </w:tr>
    </w:tbl>
    <w:p w14:paraId="418EC7AB" w14:textId="77777777" w:rsidR="00ED7E0C" w:rsidRDefault="00ED7E0C">
      <w:pPr>
        <w:rPr>
          <w:rFonts w:cstheme="minorHAnsi"/>
        </w:rPr>
      </w:pPr>
      <w:r>
        <w:rPr>
          <w:rFonts w:cstheme="minorHAnsi"/>
        </w:rPr>
        <w:br w:type="page"/>
      </w:r>
    </w:p>
    <w:p w14:paraId="06F4DCD4" w14:textId="1ABB3280" w:rsidR="000E076B" w:rsidRPr="00FC3ECB" w:rsidRDefault="000E076B" w:rsidP="00474878">
      <w:r w:rsidRPr="00FC3ECB">
        <w:lastRenderedPageBreak/>
        <w:t>Outside of the discussion on funding models, the experts consulted also provided the following implementation advice:</w:t>
      </w:r>
    </w:p>
    <w:p w14:paraId="7AC8610B" w14:textId="0E5EDF71" w:rsidR="000E076B" w:rsidRPr="00FC3ECB" w:rsidRDefault="000E076B" w:rsidP="00ED7E0C">
      <w:pPr>
        <w:pStyle w:val="List"/>
      </w:pPr>
      <w:r w:rsidRPr="00FC3ECB">
        <w:t>Australia has a small research community with limited capacity. The model that will be most conducive to success is one that is more collaborative. It should bring people together to share capacity and knowledge.</w:t>
      </w:r>
    </w:p>
    <w:p w14:paraId="743FCD64" w14:textId="77777777" w:rsidR="000E076B" w:rsidRPr="00FC3ECB" w:rsidRDefault="000E076B" w:rsidP="00ED7E0C">
      <w:pPr>
        <w:pStyle w:val="List"/>
      </w:pPr>
      <w:r w:rsidRPr="00FC3ECB">
        <w:t>All groups saw a need for better translation planning and suggested we could build prospective evaluation principles into grant assessment criteria, to be applied widely across the MRFF.</w:t>
      </w:r>
    </w:p>
    <w:p w14:paraId="4EB772D5" w14:textId="68AE9DA8" w:rsidR="000E076B" w:rsidRPr="00FC3ECB" w:rsidRDefault="000E076B" w:rsidP="00ED7E0C">
      <w:pPr>
        <w:pStyle w:val="List"/>
      </w:pPr>
      <w:r w:rsidRPr="00FC3ECB">
        <w:t>For MRFF Initiatives that fund later-stage research translation, policy areas should consider piloting a dedicated stream for large-scale implementation studies conducted by collaborative partnerships (e.g. multiple local health districts, state-wide, national).</w:t>
      </w:r>
    </w:p>
    <w:p w14:paraId="6EBD38CE" w14:textId="77777777" w:rsidR="000E076B" w:rsidRPr="00FC3ECB" w:rsidRDefault="000E076B" w:rsidP="00ED7E0C">
      <w:pPr>
        <w:pStyle w:val="List"/>
      </w:pPr>
      <w:r w:rsidRPr="00FC3ECB">
        <w:t>Care should be taken not to be overly prescriptive by specifying methods (e.g. randomised control/other trials), as a wide range of methods exist that suit different fields of research or stages of implementation and to allow for innovative approaches.</w:t>
      </w:r>
    </w:p>
    <w:p w14:paraId="6C393876" w14:textId="77777777" w:rsidR="000E076B" w:rsidRPr="00FC3ECB" w:rsidRDefault="000E076B" w:rsidP="00ED7E0C">
      <w:pPr>
        <w:pStyle w:val="List"/>
      </w:pPr>
      <w:r w:rsidRPr="00FC3ECB">
        <w:t>Projects funded under the proposed models must have team members with implementation science expertise, as well as the appropriate mix of skills (e.g. scientific, project management, research translation). There is a need for capacity and capability uplift in Australia and it would be beneficial to consider funding a training component.</w:t>
      </w:r>
    </w:p>
    <w:p w14:paraId="6A37E9FF" w14:textId="77777777" w:rsidR="000E076B" w:rsidRPr="00FC3ECB" w:rsidRDefault="000E076B" w:rsidP="00ED7E0C">
      <w:pPr>
        <w:pStyle w:val="List"/>
      </w:pPr>
      <w:r w:rsidRPr="00FC3ECB">
        <w:t>It would be beneficial to provide additional material to Grant Assessment Committees on implementation science methodology, as they may lack the necessary expertise to review such grants.</w:t>
      </w:r>
    </w:p>
    <w:p w14:paraId="0C5B2B58" w14:textId="0F0660A6" w:rsidR="00512C53" w:rsidRPr="00726839" w:rsidRDefault="00026297" w:rsidP="00ED7E0C">
      <w:pPr>
        <w:pStyle w:val="List"/>
      </w:pPr>
      <w:r>
        <w:t>There was s</w:t>
      </w:r>
      <w:r w:rsidR="00620D4B">
        <w:t>upport for d</w:t>
      </w:r>
      <w:r w:rsidR="004D6DF2">
        <w:t>epartment-</w:t>
      </w:r>
      <w:r w:rsidR="00DC4D05">
        <w:t>led</w:t>
      </w:r>
      <w:r w:rsidR="004D6DF2">
        <w:t xml:space="preserve"> work </w:t>
      </w:r>
      <w:r w:rsidR="00DC4D05">
        <w:t>to</w:t>
      </w:r>
      <w:r w:rsidR="00831D3B">
        <w:t xml:space="preserve"> </w:t>
      </w:r>
      <w:r w:rsidR="00831D3B" w:rsidRPr="00831D3B">
        <w:t>facilitate the research translation and impact of</w:t>
      </w:r>
      <w:r w:rsidR="001645E2">
        <w:t xml:space="preserve"> MRFF grants that are relevant to</w:t>
      </w:r>
      <w:r>
        <w:t xml:space="preserve"> the</w:t>
      </w:r>
      <w:r w:rsidR="00831D3B" w:rsidRPr="00831D3B">
        <w:t xml:space="preserve"> </w:t>
      </w:r>
      <w:r w:rsidR="007A3311">
        <w:t>Health Technology Assessment</w:t>
      </w:r>
      <w:r>
        <w:t xml:space="preserve"> Committee</w:t>
      </w:r>
      <w:r w:rsidR="00620D4B">
        <w:t>.</w:t>
      </w:r>
    </w:p>
    <w:p w14:paraId="0276D42C" w14:textId="34F8F0DF" w:rsidR="00BF3C00" w:rsidRPr="00FC3ECB" w:rsidRDefault="00093A72" w:rsidP="00ED7E0C">
      <w:pPr>
        <w:pStyle w:val="Heading2"/>
      </w:pPr>
      <w:r w:rsidRPr="00FC3ECB">
        <w:t>Conclusions</w:t>
      </w:r>
    </w:p>
    <w:p w14:paraId="1DD3F393" w14:textId="1D810FA7" w:rsidR="00867844" w:rsidRPr="00FC3ECB" w:rsidRDefault="00867844" w:rsidP="00474878">
      <w:r w:rsidRPr="00FC3ECB">
        <w:t xml:space="preserve">Ultimately, there is no one-size-fits-all for supporting evaluation and implementation </w:t>
      </w:r>
      <w:r w:rsidR="002B6C29">
        <w:t>research</w:t>
      </w:r>
      <w:r w:rsidRPr="00FC3ECB">
        <w:t>. Any support must be tailored to the specific context and characteristics of each MRFF Initiative (</w:t>
      </w:r>
      <w:r w:rsidR="00D349AA">
        <w:t>e.g.</w:t>
      </w:r>
      <w:r w:rsidRPr="00FC3ECB">
        <w:t xml:space="preserve"> stage of research pipeline, target cohort of researchers) (Figure 2).</w:t>
      </w:r>
    </w:p>
    <w:p w14:paraId="1C64A875" w14:textId="3E9818C6" w:rsidR="00BF3C00" w:rsidRPr="00FC3ECB" w:rsidRDefault="00867844" w:rsidP="00474878">
      <w:r w:rsidRPr="00FC3ECB">
        <w:t>The department will consider these findings in future, not just for the initiatives currently piloting Model 1, but for the MRFF more broadly.</w:t>
      </w:r>
      <w:r w:rsidR="005178B4">
        <w:t xml:space="preserve"> The department will also continue to examine </w:t>
      </w:r>
      <w:r w:rsidR="00CF3A8D">
        <w:t>and improve</w:t>
      </w:r>
      <w:r w:rsidR="007F5CEA">
        <w:t xml:space="preserve"> </w:t>
      </w:r>
      <w:r w:rsidR="008C517C">
        <w:t>current efforts</w:t>
      </w:r>
      <w:r w:rsidR="00CF3A8D">
        <w:t xml:space="preserve"> </w:t>
      </w:r>
      <w:r w:rsidR="007F5CEA">
        <w:t xml:space="preserve">to facilitate more </w:t>
      </w:r>
      <w:r w:rsidR="00CF3A8D">
        <w:t>effective translation</w:t>
      </w:r>
      <w:r w:rsidR="007F5CEA">
        <w:t xml:space="preserve"> and impact of MRFF</w:t>
      </w:r>
      <w:r w:rsidR="000069EB">
        <w:t>-</w:t>
      </w:r>
      <w:r w:rsidR="007F5CEA">
        <w:t>funded research</w:t>
      </w:r>
      <w:r w:rsidR="00DB44FD">
        <w:t xml:space="preserve">, e.g. </w:t>
      </w:r>
      <w:r w:rsidR="001B437F">
        <w:t xml:space="preserve">dedicated funding driven by </w:t>
      </w:r>
      <w:r w:rsidR="00D956F6">
        <w:t>Health Technology Assessment needs under the Preventive and Public Health Research initiative,</w:t>
      </w:r>
      <w:r w:rsidR="000F6160">
        <w:t xml:space="preserve"> </w:t>
      </w:r>
      <w:r w:rsidR="00456483">
        <w:t>ongoing engagement with</w:t>
      </w:r>
      <w:r w:rsidR="000F6160">
        <w:t xml:space="preserve"> </w:t>
      </w:r>
      <w:r w:rsidR="0081058B">
        <w:t xml:space="preserve">the </w:t>
      </w:r>
      <w:r w:rsidR="005A4255" w:rsidRPr="005A4255">
        <w:t>National Health Technology Assessment Chairs Committee</w:t>
      </w:r>
      <w:r w:rsidR="005A4255">
        <w:t xml:space="preserve"> and</w:t>
      </w:r>
      <w:r w:rsidR="00456483">
        <w:t xml:space="preserve"> </w:t>
      </w:r>
      <w:r w:rsidR="00D857BF">
        <w:t xml:space="preserve">fostering of </w:t>
      </w:r>
      <w:r w:rsidR="00456483">
        <w:t xml:space="preserve">early engagement </w:t>
      </w:r>
      <w:r w:rsidR="004C77C4">
        <w:t>between grantees and</w:t>
      </w:r>
      <w:r w:rsidR="00456483">
        <w:t xml:space="preserve"> relevant policymakers, consumers, end-users and other stakeholders</w:t>
      </w:r>
      <w:r w:rsidR="004C77C4">
        <w:t xml:space="preserve"> of research</w:t>
      </w:r>
      <w:r w:rsidR="007F5CEA">
        <w:t>.</w:t>
      </w:r>
    </w:p>
    <w:p w14:paraId="4399525A" w14:textId="0B1EDA9D" w:rsidR="00B13D0F" w:rsidRPr="00FC3ECB" w:rsidRDefault="00FB0952" w:rsidP="00B13D0F">
      <w:pPr>
        <w:keepNext/>
        <w:spacing w:after="240"/>
        <w:jc w:val="center"/>
        <w:rPr>
          <w:rFonts w:cstheme="minorHAnsi"/>
        </w:rPr>
      </w:pPr>
      <w:r>
        <w:rPr>
          <w:rFonts w:cstheme="minorHAnsi"/>
          <w:noProof/>
        </w:rPr>
        <w:lastRenderedPageBreak/>
        <w:drawing>
          <wp:inline distT="0" distB="0" distL="0" distR="0" wp14:anchorId="39B579B3" wp14:editId="377F7114">
            <wp:extent cx="6120130" cy="3442335"/>
            <wp:effectExtent l="0" t="0" r="0" b="5715"/>
            <wp:docPr id="1267919101" name="Picture 1" descr="Example gran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19101" name="Picture 1" descr="Example grant model"/>
                    <pic:cNvPicPr/>
                  </pic:nvPicPr>
                  <pic:blipFill>
                    <a:blip r:embed="rId16">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07ED0170" w14:textId="15FA84FF" w:rsidR="00763575" w:rsidRPr="00FC3ECB" w:rsidRDefault="00B13D0F" w:rsidP="00B13D0F">
      <w:pPr>
        <w:pStyle w:val="Caption"/>
        <w:rPr>
          <w:rFonts w:cstheme="minorHAnsi"/>
          <w:color w:val="auto"/>
        </w:rPr>
      </w:pPr>
      <w:r w:rsidRPr="00FC3ECB">
        <w:rPr>
          <w:rFonts w:cstheme="minorHAnsi"/>
          <w:b/>
          <w:bCs/>
          <w:color w:val="auto"/>
        </w:rPr>
        <w:t xml:space="preserve">Figure </w:t>
      </w:r>
      <w:r w:rsidRPr="00FC3ECB">
        <w:rPr>
          <w:rFonts w:cstheme="minorHAnsi"/>
          <w:b/>
          <w:bCs/>
          <w:color w:val="auto"/>
        </w:rPr>
        <w:fldChar w:fldCharType="begin"/>
      </w:r>
      <w:r w:rsidRPr="00FC3ECB">
        <w:rPr>
          <w:rFonts w:cstheme="minorHAnsi"/>
          <w:b/>
          <w:bCs/>
          <w:color w:val="auto"/>
        </w:rPr>
        <w:instrText xml:space="preserve"> SEQ Figure \* ARABIC </w:instrText>
      </w:r>
      <w:r w:rsidRPr="00FC3ECB">
        <w:rPr>
          <w:rFonts w:cstheme="minorHAnsi"/>
          <w:b/>
          <w:bCs/>
          <w:color w:val="auto"/>
        </w:rPr>
        <w:fldChar w:fldCharType="separate"/>
      </w:r>
      <w:r w:rsidR="007E0C3D">
        <w:rPr>
          <w:rFonts w:cstheme="minorHAnsi"/>
          <w:b/>
          <w:bCs/>
          <w:noProof/>
          <w:color w:val="auto"/>
        </w:rPr>
        <w:t>2</w:t>
      </w:r>
      <w:r w:rsidRPr="00FC3ECB">
        <w:rPr>
          <w:rFonts w:cstheme="minorHAnsi"/>
          <w:b/>
          <w:bCs/>
          <w:color w:val="auto"/>
        </w:rPr>
        <w:fldChar w:fldCharType="end"/>
      </w:r>
      <w:r w:rsidR="003577B3">
        <w:rPr>
          <w:rFonts w:cstheme="minorHAnsi"/>
          <w:b/>
          <w:bCs/>
          <w:color w:val="auto"/>
        </w:rPr>
        <w:t>:</w:t>
      </w:r>
      <w:r w:rsidRPr="00FC3ECB">
        <w:rPr>
          <w:rFonts w:cstheme="minorHAnsi"/>
          <w:color w:val="auto"/>
        </w:rPr>
        <w:t xml:space="preserve"> An example of how the proposed grant models could support evaluation and implementation </w:t>
      </w:r>
      <w:r w:rsidR="002B6C29">
        <w:rPr>
          <w:rFonts w:cstheme="minorHAnsi"/>
          <w:color w:val="auto"/>
        </w:rPr>
        <w:t>research</w:t>
      </w:r>
      <w:r w:rsidR="002B6C29" w:rsidRPr="00FC3ECB">
        <w:rPr>
          <w:rFonts w:cstheme="minorHAnsi"/>
          <w:color w:val="auto"/>
        </w:rPr>
        <w:t xml:space="preserve"> </w:t>
      </w:r>
      <w:r w:rsidRPr="00FC3ECB">
        <w:rPr>
          <w:rFonts w:cstheme="minorHAnsi"/>
          <w:color w:val="auto"/>
        </w:rPr>
        <w:t>along the research pipeline.</w:t>
      </w:r>
      <w:r w:rsidR="00A03E76">
        <w:rPr>
          <w:rFonts w:cstheme="minorHAnsi"/>
          <w:color w:val="auto"/>
        </w:rPr>
        <w:t xml:space="preserve"> LHD refers to local health district.</w:t>
      </w:r>
      <w:r w:rsidR="0027292E">
        <w:rPr>
          <w:rFonts w:cstheme="minorHAnsi"/>
          <w:color w:val="auto"/>
        </w:rPr>
        <w:t xml:space="preserve"> EMCR refers to early-to-mid-career researchers. </w:t>
      </w:r>
      <w:r w:rsidR="00FE400A">
        <w:rPr>
          <w:rFonts w:cstheme="minorHAnsi"/>
          <w:color w:val="auto"/>
        </w:rPr>
        <w:t>It is acknowledged that research translation pathways are often non-linear and complex.</w:t>
      </w:r>
    </w:p>
    <w:sectPr w:rsidR="00763575" w:rsidRPr="00FC3ECB" w:rsidSect="006E0C40">
      <w:headerReference w:type="default" r:id="rId17"/>
      <w:footerReference w:type="default" r:id="rId18"/>
      <w:type w:val="continuous"/>
      <w:pgSz w:w="11906" w:h="16838" w:code="9"/>
      <w:pgMar w:top="1440"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8D88E" w14:textId="77777777" w:rsidR="002212BA" w:rsidRDefault="002212BA" w:rsidP="00DE3635">
      <w:pPr>
        <w:spacing w:after="0" w:line="240" w:lineRule="auto"/>
      </w:pPr>
      <w:r>
        <w:separator/>
      </w:r>
    </w:p>
  </w:endnote>
  <w:endnote w:type="continuationSeparator" w:id="0">
    <w:p w14:paraId="37A09097" w14:textId="77777777" w:rsidR="002212BA" w:rsidRDefault="002212BA" w:rsidP="00DE3635">
      <w:pPr>
        <w:spacing w:after="0" w:line="240" w:lineRule="auto"/>
      </w:pPr>
      <w:r>
        <w:continuationSeparator/>
      </w:r>
    </w:p>
  </w:endnote>
  <w:endnote w:type="continuationNotice" w:id="1">
    <w:p w14:paraId="62B01E86" w14:textId="77777777" w:rsidR="002212BA" w:rsidRDefault="00221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6CF8" w14:textId="2E10ED24" w:rsidR="006E0C40" w:rsidRPr="00502F54" w:rsidRDefault="002D6AC1" w:rsidP="000F171E">
    <w:pPr>
      <w:pStyle w:val="Footer"/>
      <w:tabs>
        <w:tab w:val="clear" w:pos="9026"/>
        <w:tab w:val="right" w:pos="9638"/>
      </w:tabs>
      <w:spacing w:after="180"/>
      <w:rPr>
        <w:rFonts w:ascii="Arial" w:hAnsi="Arial" w:cs="Arial"/>
        <w:color w:val="595959" w:themeColor="text1" w:themeTint="A6"/>
        <w:sz w:val="18"/>
      </w:rPr>
    </w:pPr>
    <w:r w:rsidRPr="00502F54">
      <w:rPr>
        <w:rFonts w:ascii="Arial" w:hAnsi="Arial" w:cs="Arial"/>
        <w:color w:val="595959" w:themeColor="text1" w:themeTint="A6"/>
        <w:sz w:val="18"/>
      </w:rPr>
      <w:fldChar w:fldCharType="begin"/>
    </w:r>
    <w:r w:rsidRPr="00502F54">
      <w:rPr>
        <w:rFonts w:ascii="Arial" w:hAnsi="Arial" w:cs="Arial"/>
        <w:color w:val="595959" w:themeColor="text1" w:themeTint="A6"/>
        <w:sz w:val="18"/>
      </w:rPr>
      <w:instrText xml:space="preserve"> PAGE   \* MERGEFORMAT </w:instrText>
    </w:r>
    <w:r w:rsidRPr="00502F54">
      <w:rPr>
        <w:rFonts w:ascii="Arial" w:hAnsi="Arial" w:cs="Arial"/>
        <w:color w:val="595959" w:themeColor="text1" w:themeTint="A6"/>
        <w:sz w:val="18"/>
      </w:rPr>
      <w:fldChar w:fldCharType="separate"/>
    </w:r>
    <w:r w:rsidRPr="00502F54">
      <w:rPr>
        <w:rFonts w:ascii="Arial" w:hAnsi="Arial" w:cs="Arial"/>
        <w:noProof/>
        <w:color w:val="595959" w:themeColor="text1" w:themeTint="A6"/>
        <w:sz w:val="18"/>
      </w:rPr>
      <w:t>1</w:t>
    </w:r>
    <w:r w:rsidRPr="00502F54">
      <w:rPr>
        <w:rFonts w:ascii="Arial" w:hAnsi="Arial" w:cs="Arial"/>
        <w:noProof/>
        <w:color w:val="595959" w:themeColor="text1" w:themeTint="A6"/>
        <w:sz w:val="18"/>
      </w:rPr>
      <w:fldChar w:fldCharType="end"/>
    </w:r>
    <w:r w:rsidRPr="00502F54">
      <w:rPr>
        <w:rFonts w:ascii="Arial" w:hAnsi="Arial" w:cs="Arial"/>
        <w:noProof/>
        <w:color w:val="595959" w:themeColor="text1" w:themeTint="A6"/>
        <w:sz w:val="18"/>
      </w:rPr>
      <w:tab/>
    </w:r>
    <w:r w:rsidRPr="00502F54">
      <w:rPr>
        <w:rFonts w:ascii="Arial" w:hAnsi="Arial" w:cs="Arial"/>
        <w:noProof/>
        <w:color w:val="595959" w:themeColor="text1" w:themeTint="A6"/>
        <w:sz w:val="18"/>
      </w:rPr>
      <w:tab/>
    </w:r>
    <w:r w:rsidRPr="00502F54">
      <w:rPr>
        <w:rFonts w:ascii="Arial" w:hAnsi="Arial" w:cs="Arial"/>
        <w:color w:val="595959" w:themeColor="text1" w:themeTint="A6"/>
        <w:sz w:val="18"/>
      </w:rPr>
      <w:t xml:space="preserv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6930F" w14:textId="77777777" w:rsidR="002212BA" w:rsidRDefault="002212BA" w:rsidP="00DE3635">
      <w:pPr>
        <w:spacing w:after="0" w:line="240" w:lineRule="auto"/>
      </w:pPr>
      <w:r>
        <w:separator/>
      </w:r>
    </w:p>
  </w:footnote>
  <w:footnote w:type="continuationSeparator" w:id="0">
    <w:p w14:paraId="5070240B" w14:textId="77777777" w:rsidR="002212BA" w:rsidRDefault="002212BA" w:rsidP="00DE3635">
      <w:pPr>
        <w:spacing w:after="0" w:line="240" w:lineRule="auto"/>
      </w:pPr>
      <w:r>
        <w:continuationSeparator/>
      </w:r>
    </w:p>
  </w:footnote>
  <w:footnote w:type="continuationNotice" w:id="1">
    <w:p w14:paraId="673B6FC5" w14:textId="77777777" w:rsidR="002212BA" w:rsidRDefault="002212BA">
      <w:pPr>
        <w:spacing w:after="0" w:line="240" w:lineRule="auto"/>
      </w:pPr>
    </w:p>
  </w:footnote>
  <w:footnote w:id="2">
    <w:p w14:paraId="63FF81C1" w14:textId="20E2F921" w:rsidR="00FE400A" w:rsidRDefault="00FE400A" w:rsidP="00FE400A">
      <w:pPr>
        <w:pStyle w:val="FootnoteText"/>
      </w:pPr>
      <w:r>
        <w:rPr>
          <w:rStyle w:val="FootnoteReference"/>
        </w:rPr>
        <w:footnoteRef/>
      </w:r>
      <w:r>
        <w:t xml:space="preserve"> </w:t>
      </w:r>
      <w:r w:rsidR="002B6C29" w:rsidRPr="00DC7A56">
        <w:rPr>
          <w:b/>
          <w:bCs/>
        </w:rPr>
        <w:t>E</w:t>
      </w:r>
      <w:r w:rsidRPr="00DC7A56">
        <w:rPr>
          <w:b/>
          <w:bCs/>
        </w:rPr>
        <w:t>valuation</w:t>
      </w:r>
      <w:r w:rsidR="002B6C29">
        <w:t xml:space="preserve"> is defined as</w:t>
      </w:r>
      <w:r>
        <w:t xml:space="preserve"> </w:t>
      </w:r>
      <w:r w:rsidR="002B6C29">
        <w:t>“</w:t>
      </w:r>
      <w:r>
        <w:t>the systematic collection of information about the activities, characteristics, and outcomes of a program, service, policy, or process, in order to make judgments about the program/</w:t>
      </w:r>
      <w:r w:rsidR="003C78BA">
        <w:t>process, improve</w:t>
      </w:r>
      <w:r>
        <w:t xml:space="preserve"> effectiveness</w:t>
      </w:r>
      <w:r w:rsidR="003C78BA">
        <w:t>,</w:t>
      </w:r>
      <w:r>
        <w:t xml:space="preserve"> and/or inform decisions about future development</w:t>
      </w:r>
      <w:r w:rsidR="00AD7DD1">
        <w:t>.</w:t>
      </w:r>
      <w:r w:rsidR="002B6C29">
        <w:t>”</w:t>
      </w:r>
      <w:r>
        <w:t xml:space="preserve"> (Bowen, S. </w:t>
      </w:r>
      <w:r w:rsidRPr="007B48F1">
        <w:t>A Guide to Evaluation in Health Research</w:t>
      </w:r>
      <w:r>
        <w:t>. Canadian Institutes of Health Research.</w:t>
      </w:r>
      <w:r w:rsidR="00FC3944">
        <w:t xml:space="preserve"> Available at:</w:t>
      </w:r>
      <w:r>
        <w:t xml:space="preserve"> </w:t>
      </w:r>
      <w:hyperlink r:id="rId1" w:history="1">
        <w:r w:rsidRPr="00490D00">
          <w:rPr>
            <w:rStyle w:val="Hyperlink"/>
          </w:rPr>
          <w:t>https://cihr-irsc.gc.ca/e/45336.html</w:t>
        </w:r>
      </w:hyperlink>
      <w:r>
        <w:t>).</w:t>
      </w:r>
    </w:p>
  </w:footnote>
  <w:footnote w:id="3">
    <w:p w14:paraId="0DB770E4" w14:textId="31572E9C" w:rsidR="00CC7130" w:rsidRDefault="00CC7130" w:rsidP="00CC7130">
      <w:pPr>
        <w:pStyle w:val="FootnoteText"/>
      </w:pPr>
      <w:r>
        <w:rPr>
          <w:rStyle w:val="FootnoteReference"/>
        </w:rPr>
        <w:footnoteRef/>
      </w:r>
      <w:r>
        <w:t xml:space="preserve"> </w:t>
      </w:r>
      <w:r w:rsidRPr="00C35E05">
        <w:rPr>
          <w:b/>
          <w:bCs/>
        </w:rPr>
        <w:t>Implementation research</w:t>
      </w:r>
      <w:r>
        <w:t xml:space="preserve"> </w:t>
      </w:r>
      <w:r w:rsidR="00FC3944" w:rsidRPr="00FC3944">
        <w:t xml:space="preserve">is </w:t>
      </w:r>
      <w:r w:rsidR="003C78BA">
        <w:t xml:space="preserve">defined as </w:t>
      </w:r>
      <w:r w:rsidR="00FC3944">
        <w:t>“</w:t>
      </w:r>
      <w:r w:rsidR="00FC3944" w:rsidRPr="00FC3944">
        <w:t>the scientific study of methods to promote the integration of research findings and evidence-based interventions into healthcare policy and practice</w:t>
      </w:r>
      <w:r w:rsidR="003C78BA">
        <w:t>.</w:t>
      </w:r>
      <w:r w:rsidR="00FC3944">
        <w:t>” (</w:t>
      </w:r>
      <w:r w:rsidR="00C31AB5">
        <w:t>Dissemination and Implementation Research in Health (R01).</w:t>
      </w:r>
      <w:r w:rsidR="00C31AB5" w:rsidRPr="00C31AB5">
        <w:t xml:space="preserve"> </w:t>
      </w:r>
      <w:r w:rsidR="00C31AB5" w:rsidRPr="00FC3944">
        <w:t>Program announcement number PAR-10-038.</w:t>
      </w:r>
      <w:r w:rsidR="00C31AB5">
        <w:t xml:space="preserve"> </w:t>
      </w:r>
      <w:r w:rsidR="00FC3944" w:rsidRPr="00FC3944">
        <w:t>US Dep</w:t>
      </w:r>
      <w:r w:rsidR="003C78BA">
        <w:t>artment</w:t>
      </w:r>
      <w:r w:rsidR="00FC3944" w:rsidRPr="00FC3944">
        <w:t xml:space="preserve"> of Health and Human Services. Available at: </w:t>
      </w:r>
      <w:hyperlink r:id="rId2" w:tgtFrame="_blank" w:history="1">
        <w:r w:rsidR="00FC3944" w:rsidRPr="00FC3944">
          <w:rPr>
            <w:rStyle w:val="Hyperlink"/>
          </w:rPr>
          <w:t>http://grants.nih.gov/grants/guide/pa-files/PAR-10-038.html</w:t>
        </w:r>
      </w:hyperlink>
      <w:r w:rsidR="00FC394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E986" w14:textId="52432970" w:rsidR="006E0C40" w:rsidRPr="00ED7E0C" w:rsidRDefault="006E0C40" w:rsidP="00ED7E0C">
    <w:pPr>
      <w:pStyle w:val="Header"/>
      <w:spacing w:after="440"/>
      <w:rPr>
        <w:b/>
        <w:noProof/>
      </w:rPr>
    </w:pPr>
    <w:r>
      <w:rPr>
        <w:noProof/>
        <w:lang w:eastAsia="en-AU"/>
      </w:rPr>
      <w:drawing>
        <wp:anchor distT="0" distB="0" distL="114300" distR="114300" simplePos="0" relativeHeight="251659264" behindDoc="0" locked="0" layoutInCell="1" allowOverlap="1" wp14:anchorId="064264EB" wp14:editId="62B106EC">
          <wp:simplePos x="0" y="0"/>
          <wp:positionH relativeFrom="margin">
            <wp:posOffset>2456551</wp:posOffset>
          </wp:positionH>
          <wp:positionV relativeFrom="paragraph">
            <wp:posOffset>306070</wp:posOffset>
          </wp:positionV>
          <wp:extent cx="3321050" cy="710865"/>
          <wp:effectExtent l="0" t="0" r="0" b="0"/>
          <wp:wrapNone/>
          <wp:docPr id="12" name="Picture 12"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l Research Future Fu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1050" cy="710865"/>
                  </a:xfrm>
                  <a:prstGeom prst="rect">
                    <a:avLst/>
                  </a:prstGeom>
                </pic:spPr>
              </pic:pic>
            </a:graphicData>
          </a:graphic>
        </wp:anchor>
      </w:drawing>
    </w:r>
    <w:r w:rsidR="00B30C47" w:rsidRPr="00B30C47">
      <w:rPr>
        <w:b/>
        <w:noProof/>
      </w:rPr>
      <w:drawing>
        <wp:inline distT="0" distB="0" distL="0" distR="0" wp14:anchorId="7AD6B5FE" wp14:editId="24081CDA">
          <wp:extent cx="2241556" cy="838200"/>
          <wp:effectExtent l="0" t="0" r="0" b="5080"/>
          <wp:docPr id="1227070637" name="Picture 3"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70637" name="Picture 3" descr="Australian Government Department of Health, Disability and Ageing c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1556"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52FC0E"/>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1" w15:restartNumberingAfterBreak="0">
    <w:nsid w:val="12BD1923"/>
    <w:multiLevelType w:val="hybridMultilevel"/>
    <w:tmpl w:val="EE386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964D74"/>
    <w:multiLevelType w:val="hybridMultilevel"/>
    <w:tmpl w:val="4962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4A3955"/>
    <w:multiLevelType w:val="hybridMultilevel"/>
    <w:tmpl w:val="69487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04517E"/>
    <w:multiLevelType w:val="hybridMultilevel"/>
    <w:tmpl w:val="25E64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5D7C5E"/>
    <w:multiLevelType w:val="hybridMultilevel"/>
    <w:tmpl w:val="3B52131A"/>
    <w:lvl w:ilvl="0" w:tplc="0C090001">
      <w:start w:val="1"/>
      <w:numFmt w:val="bullet"/>
      <w:lvlText w:val=""/>
      <w:lvlJc w:val="left"/>
      <w:pPr>
        <w:ind w:left="1206" w:hanging="360"/>
      </w:pPr>
      <w:rPr>
        <w:rFonts w:ascii="Symbol" w:hAnsi="Symbol" w:hint="default"/>
      </w:rPr>
    </w:lvl>
    <w:lvl w:ilvl="1" w:tplc="0C090003">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6" w15:restartNumberingAfterBreak="0">
    <w:nsid w:val="4D852090"/>
    <w:multiLevelType w:val="hybridMultilevel"/>
    <w:tmpl w:val="79E6F376"/>
    <w:lvl w:ilvl="0" w:tplc="82C4044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33653F"/>
    <w:multiLevelType w:val="hybridMultilevel"/>
    <w:tmpl w:val="6DE8D36A"/>
    <w:lvl w:ilvl="0" w:tplc="270424D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0E77FD"/>
    <w:multiLevelType w:val="hybridMultilevel"/>
    <w:tmpl w:val="333E49E0"/>
    <w:lvl w:ilvl="0" w:tplc="756669CA">
      <w:start w:val="1"/>
      <w:numFmt w:val="decimal"/>
      <w:lvlText w:val="%1."/>
      <w:lvlJc w:val="left"/>
      <w:pPr>
        <w:ind w:left="360" w:hanging="360"/>
      </w:pPr>
      <w:rPr>
        <w:rFonts w:hint="default"/>
        <w: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CE61FBA"/>
    <w:multiLevelType w:val="hybridMultilevel"/>
    <w:tmpl w:val="751A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550A69"/>
    <w:multiLevelType w:val="hybridMultilevel"/>
    <w:tmpl w:val="25D6D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1BE646F"/>
    <w:multiLevelType w:val="hybridMultilevel"/>
    <w:tmpl w:val="C7467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B01FA0"/>
    <w:multiLevelType w:val="multilevel"/>
    <w:tmpl w:val="1B38AEE4"/>
    <w:lvl w:ilvl="0">
      <w:start w:val="1"/>
      <w:numFmt w:val="decimal"/>
      <w:pStyle w:val="ListNumber4"/>
      <w:lvlText w:val="%1."/>
      <w:lvlJc w:val="left"/>
      <w:pPr>
        <w:ind w:left="720" w:hanging="720"/>
      </w:pPr>
      <w:rPr>
        <w:rFonts w:ascii="Times New Roman" w:hAnsi="Times New Roman" w:cs="Times New Roman" w:hint="default"/>
        <w:b/>
        <w:i w:val="0"/>
        <w:color w:val="auto"/>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408378F"/>
    <w:multiLevelType w:val="hybridMultilevel"/>
    <w:tmpl w:val="7D52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3110486">
    <w:abstractNumId w:val="12"/>
  </w:num>
  <w:num w:numId="2" w16cid:durableId="999506039">
    <w:abstractNumId w:val="8"/>
  </w:num>
  <w:num w:numId="3" w16cid:durableId="1876652977">
    <w:abstractNumId w:val="5"/>
  </w:num>
  <w:num w:numId="4" w16cid:durableId="1281642930">
    <w:abstractNumId w:val="10"/>
  </w:num>
  <w:num w:numId="5" w16cid:durableId="1507787044">
    <w:abstractNumId w:val="0"/>
  </w:num>
  <w:num w:numId="6" w16cid:durableId="1746950353">
    <w:abstractNumId w:val="12"/>
  </w:num>
  <w:num w:numId="7" w16cid:durableId="334654848">
    <w:abstractNumId w:val="12"/>
  </w:num>
  <w:num w:numId="8" w16cid:durableId="741948093">
    <w:abstractNumId w:val="12"/>
  </w:num>
  <w:num w:numId="9" w16cid:durableId="553078201">
    <w:abstractNumId w:val="12"/>
  </w:num>
  <w:num w:numId="10" w16cid:durableId="2126658436">
    <w:abstractNumId w:val="12"/>
  </w:num>
  <w:num w:numId="11" w16cid:durableId="854223951">
    <w:abstractNumId w:val="12"/>
  </w:num>
  <w:num w:numId="12" w16cid:durableId="1652324937">
    <w:abstractNumId w:val="12"/>
  </w:num>
  <w:num w:numId="13" w16cid:durableId="47805772">
    <w:abstractNumId w:val="12"/>
  </w:num>
  <w:num w:numId="14" w16cid:durableId="808286322">
    <w:abstractNumId w:val="7"/>
  </w:num>
  <w:num w:numId="15" w16cid:durableId="302733324">
    <w:abstractNumId w:val="2"/>
  </w:num>
  <w:num w:numId="16" w16cid:durableId="132645859">
    <w:abstractNumId w:val="4"/>
  </w:num>
  <w:num w:numId="17" w16cid:durableId="713041350">
    <w:abstractNumId w:val="6"/>
  </w:num>
  <w:num w:numId="18" w16cid:durableId="1596860381">
    <w:abstractNumId w:val="11"/>
  </w:num>
  <w:num w:numId="19" w16cid:durableId="459107324">
    <w:abstractNumId w:val="13"/>
  </w:num>
  <w:num w:numId="20" w16cid:durableId="1191724318">
    <w:abstractNumId w:val="9"/>
  </w:num>
  <w:num w:numId="21" w16cid:durableId="1079249267">
    <w:abstractNumId w:val="3"/>
  </w:num>
  <w:num w:numId="22" w16cid:durableId="171831166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66"/>
    <w:rsid w:val="000046C6"/>
    <w:rsid w:val="00005D82"/>
    <w:rsid w:val="000069EB"/>
    <w:rsid w:val="00012248"/>
    <w:rsid w:val="00012D12"/>
    <w:rsid w:val="000134B9"/>
    <w:rsid w:val="00021FED"/>
    <w:rsid w:val="00026297"/>
    <w:rsid w:val="000339D1"/>
    <w:rsid w:val="00037666"/>
    <w:rsid w:val="00047FD2"/>
    <w:rsid w:val="00055108"/>
    <w:rsid w:val="00063ED9"/>
    <w:rsid w:val="00064BB1"/>
    <w:rsid w:val="000652F9"/>
    <w:rsid w:val="000662AF"/>
    <w:rsid w:val="00076B73"/>
    <w:rsid w:val="000828BD"/>
    <w:rsid w:val="0008411B"/>
    <w:rsid w:val="00086B45"/>
    <w:rsid w:val="00093A72"/>
    <w:rsid w:val="00093D45"/>
    <w:rsid w:val="000942F1"/>
    <w:rsid w:val="0009731A"/>
    <w:rsid w:val="000A467A"/>
    <w:rsid w:val="000A618C"/>
    <w:rsid w:val="000A6C52"/>
    <w:rsid w:val="000A7881"/>
    <w:rsid w:val="000B0241"/>
    <w:rsid w:val="000B1495"/>
    <w:rsid w:val="000B6781"/>
    <w:rsid w:val="000B68EF"/>
    <w:rsid w:val="000C0C49"/>
    <w:rsid w:val="000C0D0A"/>
    <w:rsid w:val="000C2A65"/>
    <w:rsid w:val="000C4266"/>
    <w:rsid w:val="000C5A82"/>
    <w:rsid w:val="000D3B09"/>
    <w:rsid w:val="000D4473"/>
    <w:rsid w:val="000D5F14"/>
    <w:rsid w:val="000D616A"/>
    <w:rsid w:val="000E076B"/>
    <w:rsid w:val="000E2B67"/>
    <w:rsid w:val="000E46E0"/>
    <w:rsid w:val="000E4F5B"/>
    <w:rsid w:val="000E630B"/>
    <w:rsid w:val="000F14C1"/>
    <w:rsid w:val="000F171E"/>
    <w:rsid w:val="000F6160"/>
    <w:rsid w:val="0010407E"/>
    <w:rsid w:val="0011341F"/>
    <w:rsid w:val="00120132"/>
    <w:rsid w:val="0012131D"/>
    <w:rsid w:val="00121FDE"/>
    <w:rsid w:val="00125015"/>
    <w:rsid w:val="00126B95"/>
    <w:rsid w:val="001312A1"/>
    <w:rsid w:val="00134C2B"/>
    <w:rsid w:val="0014446C"/>
    <w:rsid w:val="00144AF9"/>
    <w:rsid w:val="0014698A"/>
    <w:rsid w:val="00150112"/>
    <w:rsid w:val="00150929"/>
    <w:rsid w:val="00154851"/>
    <w:rsid w:val="001552DC"/>
    <w:rsid w:val="001640C7"/>
    <w:rsid w:val="001645E2"/>
    <w:rsid w:val="0017135F"/>
    <w:rsid w:val="00172FF5"/>
    <w:rsid w:val="0017386C"/>
    <w:rsid w:val="00174082"/>
    <w:rsid w:val="00174B3A"/>
    <w:rsid w:val="001750BF"/>
    <w:rsid w:val="00183AC2"/>
    <w:rsid w:val="001848CA"/>
    <w:rsid w:val="0018550A"/>
    <w:rsid w:val="00190EA0"/>
    <w:rsid w:val="001A009E"/>
    <w:rsid w:val="001A1163"/>
    <w:rsid w:val="001A1CF1"/>
    <w:rsid w:val="001A3D84"/>
    <w:rsid w:val="001A4C3E"/>
    <w:rsid w:val="001A5C44"/>
    <w:rsid w:val="001B1C06"/>
    <w:rsid w:val="001B437F"/>
    <w:rsid w:val="001B6B41"/>
    <w:rsid w:val="001C386D"/>
    <w:rsid w:val="001C516C"/>
    <w:rsid w:val="001C5667"/>
    <w:rsid w:val="001C6D3A"/>
    <w:rsid w:val="001D5AB6"/>
    <w:rsid w:val="001D6C45"/>
    <w:rsid w:val="001D7549"/>
    <w:rsid w:val="001D7E04"/>
    <w:rsid w:val="001E384F"/>
    <w:rsid w:val="001F02A5"/>
    <w:rsid w:val="001F50C0"/>
    <w:rsid w:val="002035DC"/>
    <w:rsid w:val="002037A6"/>
    <w:rsid w:val="00204291"/>
    <w:rsid w:val="002052DC"/>
    <w:rsid w:val="00214233"/>
    <w:rsid w:val="00216D59"/>
    <w:rsid w:val="00221062"/>
    <w:rsid w:val="002212BA"/>
    <w:rsid w:val="00227C13"/>
    <w:rsid w:val="0023046D"/>
    <w:rsid w:val="002316FF"/>
    <w:rsid w:val="0023416D"/>
    <w:rsid w:val="002348D9"/>
    <w:rsid w:val="002357F5"/>
    <w:rsid w:val="00237807"/>
    <w:rsid w:val="00240BDF"/>
    <w:rsid w:val="00247BAA"/>
    <w:rsid w:val="00247C67"/>
    <w:rsid w:val="00265689"/>
    <w:rsid w:val="002660E6"/>
    <w:rsid w:val="0027292E"/>
    <w:rsid w:val="00280FAD"/>
    <w:rsid w:val="002810DB"/>
    <w:rsid w:val="00281526"/>
    <w:rsid w:val="0028777E"/>
    <w:rsid w:val="00290169"/>
    <w:rsid w:val="00290647"/>
    <w:rsid w:val="002935F3"/>
    <w:rsid w:val="00296F4A"/>
    <w:rsid w:val="002B0F13"/>
    <w:rsid w:val="002B1C99"/>
    <w:rsid w:val="002B2BBC"/>
    <w:rsid w:val="002B3073"/>
    <w:rsid w:val="002B4311"/>
    <w:rsid w:val="002B6C29"/>
    <w:rsid w:val="002C39B1"/>
    <w:rsid w:val="002C3E00"/>
    <w:rsid w:val="002C5259"/>
    <w:rsid w:val="002C6A0E"/>
    <w:rsid w:val="002C7DBB"/>
    <w:rsid w:val="002D492B"/>
    <w:rsid w:val="002D5C5E"/>
    <w:rsid w:val="002D6AC1"/>
    <w:rsid w:val="002D7A8D"/>
    <w:rsid w:val="002E14BA"/>
    <w:rsid w:val="002E2459"/>
    <w:rsid w:val="002E6150"/>
    <w:rsid w:val="002F0B8C"/>
    <w:rsid w:val="002F14A5"/>
    <w:rsid w:val="002F2AD8"/>
    <w:rsid w:val="002F6C50"/>
    <w:rsid w:val="002F6E87"/>
    <w:rsid w:val="003019C0"/>
    <w:rsid w:val="00304687"/>
    <w:rsid w:val="00310A7C"/>
    <w:rsid w:val="00311A3E"/>
    <w:rsid w:val="00311FAB"/>
    <w:rsid w:val="003125F0"/>
    <w:rsid w:val="00313DB9"/>
    <w:rsid w:val="00322C72"/>
    <w:rsid w:val="0032399E"/>
    <w:rsid w:val="003274A5"/>
    <w:rsid w:val="00330EF6"/>
    <w:rsid w:val="00331DEE"/>
    <w:rsid w:val="003340F6"/>
    <w:rsid w:val="00334737"/>
    <w:rsid w:val="003373C6"/>
    <w:rsid w:val="00341705"/>
    <w:rsid w:val="00344E6B"/>
    <w:rsid w:val="00345649"/>
    <w:rsid w:val="003461C5"/>
    <w:rsid w:val="00346752"/>
    <w:rsid w:val="00347B01"/>
    <w:rsid w:val="00351FC3"/>
    <w:rsid w:val="00352742"/>
    <w:rsid w:val="003536B8"/>
    <w:rsid w:val="00354C1D"/>
    <w:rsid w:val="0035589F"/>
    <w:rsid w:val="003564CB"/>
    <w:rsid w:val="003576BF"/>
    <w:rsid w:val="003577B3"/>
    <w:rsid w:val="003721F5"/>
    <w:rsid w:val="003734C0"/>
    <w:rsid w:val="00374EDE"/>
    <w:rsid w:val="00375310"/>
    <w:rsid w:val="003804BC"/>
    <w:rsid w:val="0038547D"/>
    <w:rsid w:val="00396663"/>
    <w:rsid w:val="00396867"/>
    <w:rsid w:val="003970B1"/>
    <w:rsid w:val="003A37F3"/>
    <w:rsid w:val="003A6D45"/>
    <w:rsid w:val="003B1BC5"/>
    <w:rsid w:val="003B3E5B"/>
    <w:rsid w:val="003B3FA9"/>
    <w:rsid w:val="003B42AE"/>
    <w:rsid w:val="003C629F"/>
    <w:rsid w:val="003C7290"/>
    <w:rsid w:val="003C78BA"/>
    <w:rsid w:val="003D4570"/>
    <w:rsid w:val="003E1D92"/>
    <w:rsid w:val="003E2426"/>
    <w:rsid w:val="003E2AE3"/>
    <w:rsid w:val="003E35B8"/>
    <w:rsid w:val="003E3AB8"/>
    <w:rsid w:val="003F7778"/>
    <w:rsid w:val="0040318F"/>
    <w:rsid w:val="00403C40"/>
    <w:rsid w:val="00406D70"/>
    <w:rsid w:val="00407570"/>
    <w:rsid w:val="0041291F"/>
    <w:rsid w:val="00412A5C"/>
    <w:rsid w:val="004159DF"/>
    <w:rsid w:val="00415FD5"/>
    <w:rsid w:val="00421852"/>
    <w:rsid w:val="00422032"/>
    <w:rsid w:val="004242DE"/>
    <w:rsid w:val="004251C0"/>
    <w:rsid w:val="0042566A"/>
    <w:rsid w:val="00425C0A"/>
    <w:rsid w:val="00425E64"/>
    <w:rsid w:val="004301D3"/>
    <w:rsid w:val="004310F2"/>
    <w:rsid w:val="00434625"/>
    <w:rsid w:val="00437D8C"/>
    <w:rsid w:val="0044356F"/>
    <w:rsid w:val="00450032"/>
    <w:rsid w:val="00450681"/>
    <w:rsid w:val="004521A9"/>
    <w:rsid w:val="00456483"/>
    <w:rsid w:val="004603C4"/>
    <w:rsid w:val="00474878"/>
    <w:rsid w:val="00477CCC"/>
    <w:rsid w:val="00480282"/>
    <w:rsid w:val="004825AB"/>
    <w:rsid w:val="00485D9C"/>
    <w:rsid w:val="004915B4"/>
    <w:rsid w:val="00493A58"/>
    <w:rsid w:val="00495121"/>
    <w:rsid w:val="004A0A93"/>
    <w:rsid w:val="004A0D57"/>
    <w:rsid w:val="004B4AAF"/>
    <w:rsid w:val="004C2CA0"/>
    <w:rsid w:val="004C76A1"/>
    <w:rsid w:val="004C77C4"/>
    <w:rsid w:val="004D172C"/>
    <w:rsid w:val="004D2941"/>
    <w:rsid w:val="004D29CF"/>
    <w:rsid w:val="004D3FD6"/>
    <w:rsid w:val="004D49C8"/>
    <w:rsid w:val="004D6DF2"/>
    <w:rsid w:val="004D7A06"/>
    <w:rsid w:val="004E52DE"/>
    <w:rsid w:val="004F58BD"/>
    <w:rsid w:val="004F6A59"/>
    <w:rsid w:val="004F7E81"/>
    <w:rsid w:val="00502F54"/>
    <w:rsid w:val="0050386F"/>
    <w:rsid w:val="005073D2"/>
    <w:rsid w:val="005114B0"/>
    <w:rsid w:val="00512C53"/>
    <w:rsid w:val="005178B4"/>
    <w:rsid w:val="00532C1B"/>
    <w:rsid w:val="00533D86"/>
    <w:rsid w:val="005347CE"/>
    <w:rsid w:val="00540CCF"/>
    <w:rsid w:val="005437EB"/>
    <w:rsid w:val="00551271"/>
    <w:rsid w:val="00553AE5"/>
    <w:rsid w:val="00561E3A"/>
    <w:rsid w:val="005675A5"/>
    <w:rsid w:val="00571081"/>
    <w:rsid w:val="00572419"/>
    <w:rsid w:val="00573912"/>
    <w:rsid w:val="00574012"/>
    <w:rsid w:val="00584713"/>
    <w:rsid w:val="005924A9"/>
    <w:rsid w:val="005938BC"/>
    <w:rsid w:val="005957A2"/>
    <w:rsid w:val="005A4255"/>
    <w:rsid w:val="005A579E"/>
    <w:rsid w:val="005A74C6"/>
    <w:rsid w:val="005A7F9A"/>
    <w:rsid w:val="005B2ABB"/>
    <w:rsid w:val="005B45F2"/>
    <w:rsid w:val="005B671E"/>
    <w:rsid w:val="005C0B2A"/>
    <w:rsid w:val="005C2A6F"/>
    <w:rsid w:val="005C31AD"/>
    <w:rsid w:val="005C5926"/>
    <w:rsid w:val="005C76D3"/>
    <w:rsid w:val="005D2B36"/>
    <w:rsid w:val="005D3CDD"/>
    <w:rsid w:val="005D487C"/>
    <w:rsid w:val="005D576F"/>
    <w:rsid w:val="005E1FF2"/>
    <w:rsid w:val="005E5554"/>
    <w:rsid w:val="005E61A5"/>
    <w:rsid w:val="005E676E"/>
    <w:rsid w:val="005E7FB8"/>
    <w:rsid w:val="005F6DAE"/>
    <w:rsid w:val="0060086C"/>
    <w:rsid w:val="00603F03"/>
    <w:rsid w:val="00606275"/>
    <w:rsid w:val="006072D3"/>
    <w:rsid w:val="006126B6"/>
    <w:rsid w:val="00614A6A"/>
    <w:rsid w:val="00620A14"/>
    <w:rsid w:val="00620D4B"/>
    <w:rsid w:val="006230FA"/>
    <w:rsid w:val="00626BC9"/>
    <w:rsid w:val="00626DDC"/>
    <w:rsid w:val="00627FA9"/>
    <w:rsid w:val="00632700"/>
    <w:rsid w:val="006401AC"/>
    <w:rsid w:val="00640619"/>
    <w:rsid w:val="00643A00"/>
    <w:rsid w:val="00647C82"/>
    <w:rsid w:val="00654A41"/>
    <w:rsid w:val="00660102"/>
    <w:rsid w:val="00664B95"/>
    <w:rsid w:val="00667C6A"/>
    <w:rsid w:val="00672210"/>
    <w:rsid w:val="00672599"/>
    <w:rsid w:val="00672840"/>
    <w:rsid w:val="00673CCA"/>
    <w:rsid w:val="00675B04"/>
    <w:rsid w:val="00676CC8"/>
    <w:rsid w:val="00680C38"/>
    <w:rsid w:val="00692556"/>
    <w:rsid w:val="0069272E"/>
    <w:rsid w:val="00694759"/>
    <w:rsid w:val="00695344"/>
    <w:rsid w:val="006B524A"/>
    <w:rsid w:val="006C1923"/>
    <w:rsid w:val="006C4362"/>
    <w:rsid w:val="006D0836"/>
    <w:rsid w:val="006D0BAE"/>
    <w:rsid w:val="006D1548"/>
    <w:rsid w:val="006D15E6"/>
    <w:rsid w:val="006D2A69"/>
    <w:rsid w:val="006D4B61"/>
    <w:rsid w:val="006E0C40"/>
    <w:rsid w:val="006F229A"/>
    <w:rsid w:val="006F3DCE"/>
    <w:rsid w:val="007123D3"/>
    <w:rsid w:val="00713A57"/>
    <w:rsid w:val="007142D6"/>
    <w:rsid w:val="007152FB"/>
    <w:rsid w:val="00715AB9"/>
    <w:rsid w:val="00721CF3"/>
    <w:rsid w:val="00726839"/>
    <w:rsid w:val="007405B3"/>
    <w:rsid w:val="007447C2"/>
    <w:rsid w:val="00745147"/>
    <w:rsid w:val="00752132"/>
    <w:rsid w:val="00755382"/>
    <w:rsid w:val="007563BA"/>
    <w:rsid w:val="00761242"/>
    <w:rsid w:val="00763575"/>
    <w:rsid w:val="00767D96"/>
    <w:rsid w:val="007809FD"/>
    <w:rsid w:val="00781EA4"/>
    <w:rsid w:val="00782936"/>
    <w:rsid w:val="0078609D"/>
    <w:rsid w:val="00790D5F"/>
    <w:rsid w:val="0079632A"/>
    <w:rsid w:val="00797B28"/>
    <w:rsid w:val="007A158D"/>
    <w:rsid w:val="007A264E"/>
    <w:rsid w:val="007A3311"/>
    <w:rsid w:val="007B0A31"/>
    <w:rsid w:val="007B23F4"/>
    <w:rsid w:val="007B48F1"/>
    <w:rsid w:val="007B55AD"/>
    <w:rsid w:val="007C490B"/>
    <w:rsid w:val="007D3739"/>
    <w:rsid w:val="007D41CC"/>
    <w:rsid w:val="007D7F48"/>
    <w:rsid w:val="007E0C3D"/>
    <w:rsid w:val="007E1DBC"/>
    <w:rsid w:val="007E5DDB"/>
    <w:rsid w:val="007F007B"/>
    <w:rsid w:val="007F226B"/>
    <w:rsid w:val="007F516B"/>
    <w:rsid w:val="007F5CEA"/>
    <w:rsid w:val="00804D74"/>
    <w:rsid w:val="00804E0B"/>
    <w:rsid w:val="008066E2"/>
    <w:rsid w:val="0081058B"/>
    <w:rsid w:val="00810961"/>
    <w:rsid w:val="00811522"/>
    <w:rsid w:val="008117C1"/>
    <w:rsid w:val="00814052"/>
    <w:rsid w:val="00814CFF"/>
    <w:rsid w:val="00826F64"/>
    <w:rsid w:val="00827E5B"/>
    <w:rsid w:val="00830AF5"/>
    <w:rsid w:val="00831430"/>
    <w:rsid w:val="00831B7E"/>
    <w:rsid w:val="00831D3B"/>
    <w:rsid w:val="00831FC2"/>
    <w:rsid w:val="008325F2"/>
    <w:rsid w:val="00833439"/>
    <w:rsid w:val="00835010"/>
    <w:rsid w:val="00840AA0"/>
    <w:rsid w:val="0084711D"/>
    <w:rsid w:val="008473A1"/>
    <w:rsid w:val="00847641"/>
    <w:rsid w:val="00852041"/>
    <w:rsid w:val="0085227F"/>
    <w:rsid w:val="00856F7F"/>
    <w:rsid w:val="00867844"/>
    <w:rsid w:val="00875631"/>
    <w:rsid w:val="0087676B"/>
    <w:rsid w:val="00876D8B"/>
    <w:rsid w:val="0087704E"/>
    <w:rsid w:val="008778DC"/>
    <w:rsid w:val="00880A47"/>
    <w:rsid w:val="008811D2"/>
    <w:rsid w:val="008915BA"/>
    <w:rsid w:val="008926A8"/>
    <w:rsid w:val="00894371"/>
    <w:rsid w:val="008A0213"/>
    <w:rsid w:val="008A5DF9"/>
    <w:rsid w:val="008B27D8"/>
    <w:rsid w:val="008B2BD9"/>
    <w:rsid w:val="008B3AEA"/>
    <w:rsid w:val="008B64A1"/>
    <w:rsid w:val="008C517C"/>
    <w:rsid w:val="008C7E91"/>
    <w:rsid w:val="008D0F02"/>
    <w:rsid w:val="008D1DED"/>
    <w:rsid w:val="008D3041"/>
    <w:rsid w:val="008D404C"/>
    <w:rsid w:val="008D5815"/>
    <w:rsid w:val="008E1979"/>
    <w:rsid w:val="008E1BD4"/>
    <w:rsid w:val="008E2FEA"/>
    <w:rsid w:val="008E4952"/>
    <w:rsid w:val="008E4B7A"/>
    <w:rsid w:val="008F1AFF"/>
    <w:rsid w:val="008F5C87"/>
    <w:rsid w:val="009002F0"/>
    <w:rsid w:val="0090269C"/>
    <w:rsid w:val="00903724"/>
    <w:rsid w:val="00905156"/>
    <w:rsid w:val="00907B33"/>
    <w:rsid w:val="009171FF"/>
    <w:rsid w:val="00930563"/>
    <w:rsid w:val="009354AD"/>
    <w:rsid w:val="0093627C"/>
    <w:rsid w:val="00940767"/>
    <w:rsid w:val="0094465E"/>
    <w:rsid w:val="00945AD5"/>
    <w:rsid w:val="0094633C"/>
    <w:rsid w:val="00957811"/>
    <w:rsid w:val="00960D15"/>
    <w:rsid w:val="00964EAB"/>
    <w:rsid w:val="00965203"/>
    <w:rsid w:val="00965FAE"/>
    <w:rsid w:val="0097164E"/>
    <w:rsid w:val="00971A7F"/>
    <w:rsid w:val="00973C49"/>
    <w:rsid w:val="009840BA"/>
    <w:rsid w:val="00984631"/>
    <w:rsid w:val="0098520B"/>
    <w:rsid w:val="00987DDD"/>
    <w:rsid w:val="00993A73"/>
    <w:rsid w:val="009978F5"/>
    <w:rsid w:val="009A0F15"/>
    <w:rsid w:val="009A253B"/>
    <w:rsid w:val="009A3435"/>
    <w:rsid w:val="009A3F8B"/>
    <w:rsid w:val="009A4239"/>
    <w:rsid w:val="009A65C0"/>
    <w:rsid w:val="009B2C5D"/>
    <w:rsid w:val="009B678B"/>
    <w:rsid w:val="009C2DF3"/>
    <w:rsid w:val="009C2ECF"/>
    <w:rsid w:val="009C468F"/>
    <w:rsid w:val="009C55E7"/>
    <w:rsid w:val="009D3316"/>
    <w:rsid w:val="009D3C05"/>
    <w:rsid w:val="009D6F0E"/>
    <w:rsid w:val="009E331A"/>
    <w:rsid w:val="009F18BA"/>
    <w:rsid w:val="009F3FAD"/>
    <w:rsid w:val="009F5F69"/>
    <w:rsid w:val="009F6377"/>
    <w:rsid w:val="00A006AD"/>
    <w:rsid w:val="00A01003"/>
    <w:rsid w:val="00A01A7E"/>
    <w:rsid w:val="00A027B5"/>
    <w:rsid w:val="00A02DB3"/>
    <w:rsid w:val="00A03E76"/>
    <w:rsid w:val="00A052F6"/>
    <w:rsid w:val="00A068EA"/>
    <w:rsid w:val="00A10292"/>
    <w:rsid w:val="00A1740E"/>
    <w:rsid w:val="00A22F1E"/>
    <w:rsid w:val="00A256DC"/>
    <w:rsid w:val="00A25FFC"/>
    <w:rsid w:val="00A2617F"/>
    <w:rsid w:val="00A3023D"/>
    <w:rsid w:val="00A337FD"/>
    <w:rsid w:val="00A37275"/>
    <w:rsid w:val="00A4059C"/>
    <w:rsid w:val="00A43A81"/>
    <w:rsid w:val="00A443F5"/>
    <w:rsid w:val="00A5391E"/>
    <w:rsid w:val="00A55EBD"/>
    <w:rsid w:val="00A561AB"/>
    <w:rsid w:val="00A62B7E"/>
    <w:rsid w:val="00A66A4D"/>
    <w:rsid w:val="00A72B7D"/>
    <w:rsid w:val="00A75A15"/>
    <w:rsid w:val="00A830E4"/>
    <w:rsid w:val="00A86172"/>
    <w:rsid w:val="00A912A9"/>
    <w:rsid w:val="00A92D8A"/>
    <w:rsid w:val="00A92F95"/>
    <w:rsid w:val="00A9348E"/>
    <w:rsid w:val="00A9547E"/>
    <w:rsid w:val="00A970B0"/>
    <w:rsid w:val="00AA0796"/>
    <w:rsid w:val="00AA1CCA"/>
    <w:rsid w:val="00AA2CB6"/>
    <w:rsid w:val="00AB0891"/>
    <w:rsid w:val="00AB32F2"/>
    <w:rsid w:val="00AB5536"/>
    <w:rsid w:val="00AB6194"/>
    <w:rsid w:val="00AC0B91"/>
    <w:rsid w:val="00AC26F5"/>
    <w:rsid w:val="00AC3960"/>
    <w:rsid w:val="00AD2C1F"/>
    <w:rsid w:val="00AD3E8F"/>
    <w:rsid w:val="00AD5D10"/>
    <w:rsid w:val="00AD7DD1"/>
    <w:rsid w:val="00AE2D5F"/>
    <w:rsid w:val="00AE5F82"/>
    <w:rsid w:val="00AE797D"/>
    <w:rsid w:val="00AF3F8C"/>
    <w:rsid w:val="00B10B36"/>
    <w:rsid w:val="00B130AF"/>
    <w:rsid w:val="00B13D0F"/>
    <w:rsid w:val="00B170CD"/>
    <w:rsid w:val="00B30C47"/>
    <w:rsid w:val="00B35117"/>
    <w:rsid w:val="00B362CC"/>
    <w:rsid w:val="00B46BAB"/>
    <w:rsid w:val="00B51D7A"/>
    <w:rsid w:val="00B5288B"/>
    <w:rsid w:val="00B54FB2"/>
    <w:rsid w:val="00B61620"/>
    <w:rsid w:val="00B618CF"/>
    <w:rsid w:val="00B61D34"/>
    <w:rsid w:val="00B65772"/>
    <w:rsid w:val="00B67E65"/>
    <w:rsid w:val="00B70A6E"/>
    <w:rsid w:val="00B752E6"/>
    <w:rsid w:val="00B83955"/>
    <w:rsid w:val="00B92E62"/>
    <w:rsid w:val="00BA0E3F"/>
    <w:rsid w:val="00BA387A"/>
    <w:rsid w:val="00BA76CD"/>
    <w:rsid w:val="00BA7FC6"/>
    <w:rsid w:val="00BB2E26"/>
    <w:rsid w:val="00BB39AB"/>
    <w:rsid w:val="00BB5CD9"/>
    <w:rsid w:val="00BC51BF"/>
    <w:rsid w:val="00BD09F4"/>
    <w:rsid w:val="00BD1CED"/>
    <w:rsid w:val="00BD248D"/>
    <w:rsid w:val="00BD2BAC"/>
    <w:rsid w:val="00BD345B"/>
    <w:rsid w:val="00BE181C"/>
    <w:rsid w:val="00BE41FB"/>
    <w:rsid w:val="00BE4B89"/>
    <w:rsid w:val="00BE4E93"/>
    <w:rsid w:val="00BE5132"/>
    <w:rsid w:val="00BE6B28"/>
    <w:rsid w:val="00BE7C75"/>
    <w:rsid w:val="00BF3C00"/>
    <w:rsid w:val="00BF569D"/>
    <w:rsid w:val="00C015F7"/>
    <w:rsid w:val="00C03772"/>
    <w:rsid w:val="00C03990"/>
    <w:rsid w:val="00C1339A"/>
    <w:rsid w:val="00C165B0"/>
    <w:rsid w:val="00C170D8"/>
    <w:rsid w:val="00C255B8"/>
    <w:rsid w:val="00C263FA"/>
    <w:rsid w:val="00C266D4"/>
    <w:rsid w:val="00C31AB5"/>
    <w:rsid w:val="00C34F9C"/>
    <w:rsid w:val="00C35A23"/>
    <w:rsid w:val="00C36307"/>
    <w:rsid w:val="00C456DD"/>
    <w:rsid w:val="00C46452"/>
    <w:rsid w:val="00C558C0"/>
    <w:rsid w:val="00C576AB"/>
    <w:rsid w:val="00C71062"/>
    <w:rsid w:val="00C76738"/>
    <w:rsid w:val="00C8068F"/>
    <w:rsid w:val="00C8225E"/>
    <w:rsid w:val="00C8379C"/>
    <w:rsid w:val="00C8401C"/>
    <w:rsid w:val="00C861B7"/>
    <w:rsid w:val="00C91BDA"/>
    <w:rsid w:val="00C924ED"/>
    <w:rsid w:val="00CA5EC4"/>
    <w:rsid w:val="00CA6444"/>
    <w:rsid w:val="00CC1B5C"/>
    <w:rsid w:val="00CC5FFA"/>
    <w:rsid w:val="00CC65D6"/>
    <w:rsid w:val="00CC7130"/>
    <w:rsid w:val="00CC7CB9"/>
    <w:rsid w:val="00CD3789"/>
    <w:rsid w:val="00CD45BC"/>
    <w:rsid w:val="00CD5758"/>
    <w:rsid w:val="00CE1E70"/>
    <w:rsid w:val="00CE7BE4"/>
    <w:rsid w:val="00CF3A8D"/>
    <w:rsid w:val="00D11CED"/>
    <w:rsid w:val="00D14C87"/>
    <w:rsid w:val="00D220A3"/>
    <w:rsid w:val="00D24FD9"/>
    <w:rsid w:val="00D3064A"/>
    <w:rsid w:val="00D317E4"/>
    <w:rsid w:val="00D349AA"/>
    <w:rsid w:val="00D416C3"/>
    <w:rsid w:val="00D41AF3"/>
    <w:rsid w:val="00D42022"/>
    <w:rsid w:val="00D438C8"/>
    <w:rsid w:val="00D43AFC"/>
    <w:rsid w:val="00D44E04"/>
    <w:rsid w:val="00D46173"/>
    <w:rsid w:val="00D50579"/>
    <w:rsid w:val="00D520AC"/>
    <w:rsid w:val="00D528C4"/>
    <w:rsid w:val="00D55AF9"/>
    <w:rsid w:val="00D62863"/>
    <w:rsid w:val="00D63141"/>
    <w:rsid w:val="00D63FB0"/>
    <w:rsid w:val="00D63FEA"/>
    <w:rsid w:val="00D672C7"/>
    <w:rsid w:val="00D75AB9"/>
    <w:rsid w:val="00D77273"/>
    <w:rsid w:val="00D82919"/>
    <w:rsid w:val="00D857BF"/>
    <w:rsid w:val="00D867CC"/>
    <w:rsid w:val="00D86FCF"/>
    <w:rsid w:val="00D903AA"/>
    <w:rsid w:val="00D91619"/>
    <w:rsid w:val="00D92598"/>
    <w:rsid w:val="00D93CD1"/>
    <w:rsid w:val="00D93D69"/>
    <w:rsid w:val="00D956F6"/>
    <w:rsid w:val="00DA0A68"/>
    <w:rsid w:val="00DA6805"/>
    <w:rsid w:val="00DB2EDF"/>
    <w:rsid w:val="00DB44FD"/>
    <w:rsid w:val="00DB548F"/>
    <w:rsid w:val="00DC4552"/>
    <w:rsid w:val="00DC4D05"/>
    <w:rsid w:val="00DC7A56"/>
    <w:rsid w:val="00DD2EA0"/>
    <w:rsid w:val="00DD6DE0"/>
    <w:rsid w:val="00DE0FD7"/>
    <w:rsid w:val="00DE3635"/>
    <w:rsid w:val="00DF1933"/>
    <w:rsid w:val="00DF22E0"/>
    <w:rsid w:val="00DF609E"/>
    <w:rsid w:val="00DF742F"/>
    <w:rsid w:val="00E03C6F"/>
    <w:rsid w:val="00E1698B"/>
    <w:rsid w:val="00E17E2A"/>
    <w:rsid w:val="00E244CA"/>
    <w:rsid w:val="00E4418F"/>
    <w:rsid w:val="00E51D41"/>
    <w:rsid w:val="00E52A2B"/>
    <w:rsid w:val="00E53D1B"/>
    <w:rsid w:val="00E56A2E"/>
    <w:rsid w:val="00E6062B"/>
    <w:rsid w:val="00E60B1E"/>
    <w:rsid w:val="00E61B9D"/>
    <w:rsid w:val="00E62346"/>
    <w:rsid w:val="00E62BE7"/>
    <w:rsid w:val="00E6487F"/>
    <w:rsid w:val="00E6550F"/>
    <w:rsid w:val="00E66F1C"/>
    <w:rsid w:val="00E76008"/>
    <w:rsid w:val="00E8012A"/>
    <w:rsid w:val="00E847B0"/>
    <w:rsid w:val="00E850E3"/>
    <w:rsid w:val="00E91E16"/>
    <w:rsid w:val="00E91F6A"/>
    <w:rsid w:val="00E93082"/>
    <w:rsid w:val="00E948BB"/>
    <w:rsid w:val="00EA1CA4"/>
    <w:rsid w:val="00EB09AE"/>
    <w:rsid w:val="00EB0B51"/>
    <w:rsid w:val="00EB54DF"/>
    <w:rsid w:val="00EB7AD7"/>
    <w:rsid w:val="00EC035B"/>
    <w:rsid w:val="00EC0FF9"/>
    <w:rsid w:val="00EC4C5A"/>
    <w:rsid w:val="00ED7E0C"/>
    <w:rsid w:val="00EE03FA"/>
    <w:rsid w:val="00EE384A"/>
    <w:rsid w:val="00EE552A"/>
    <w:rsid w:val="00EF23E9"/>
    <w:rsid w:val="00EF3BAC"/>
    <w:rsid w:val="00EF4056"/>
    <w:rsid w:val="00F01038"/>
    <w:rsid w:val="00F05368"/>
    <w:rsid w:val="00F07A5A"/>
    <w:rsid w:val="00F101BE"/>
    <w:rsid w:val="00F10451"/>
    <w:rsid w:val="00F1180A"/>
    <w:rsid w:val="00F122BA"/>
    <w:rsid w:val="00F139B8"/>
    <w:rsid w:val="00F145B0"/>
    <w:rsid w:val="00F209BA"/>
    <w:rsid w:val="00F20D22"/>
    <w:rsid w:val="00F21B47"/>
    <w:rsid w:val="00F21C02"/>
    <w:rsid w:val="00F2258C"/>
    <w:rsid w:val="00F271AC"/>
    <w:rsid w:val="00F34436"/>
    <w:rsid w:val="00F355BC"/>
    <w:rsid w:val="00F46E13"/>
    <w:rsid w:val="00F47A10"/>
    <w:rsid w:val="00F500CD"/>
    <w:rsid w:val="00F50A60"/>
    <w:rsid w:val="00F531A7"/>
    <w:rsid w:val="00F5614C"/>
    <w:rsid w:val="00F61E10"/>
    <w:rsid w:val="00F629C7"/>
    <w:rsid w:val="00F64DA1"/>
    <w:rsid w:val="00F662CA"/>
    <w:rsid w:val="00F77599"/>
    <w:rsid w:val="00F80C1E"/>
    <w:rsid w:val="00F8171C"/>
    <w:rsid w:val="00F8181D"/>
    <w:rsid w:val="00F86850"/>
    <w:rsid w:val="00F8730F"/>
    <w:rsid w:val="00F87AD0"/>
    <w:rsid w:val="00F958A5"/>
    <w:rsid w:val="00F977B0"/>
    <w:rsid w:val="00FA3579"/>
    <w:rsid w:val="00FA53D3"/>
    <w:rsid w:val="00FA727D"/>
    <w:rsid w:val="00FB016E"/>
    <w:rsid w:val="00FB0952"/>
    <w:rsid w:val="00FB1B0B"/>
    <w:rsid w:val="00FB28F6"/>
    <w:rsid w:val="00FB4272"/>
    <w:rsid w:val="00FB4504"/>
    <w:rsid w:val="00FB4A52"/>
    <w:rsid w:val="00FB53F5"/>
    <w:rsid w:val="00FB5CB3"/>
    <w:rsid w:val="00FC3944"/>
    <w:rsid w:val="00FC3ECB"/>
    <w:rsid w:val="00FC47CD"/>
    <w:rsid w:val="00FD162F"/>
    <w:rsid w:val="00FD19B2"/>
    <w:rsid w:val="00FD1DA1"/>
    <w:rsid w:val="00FD752B"/>
    <w:rsid w:val="00FD76A5"/>
    <w:rsid w:val="00FE041A"/>
    <w:rsid w:val="00FE400A"/>
    <w:rsid w:val="00FE699C"/>
    <w:rsid w:val="00FE6D62"/>
    <w:rsid w:val="00FF23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B889"/>
  <w15:chartTrackingRefBased/>
  <w15:docId w15:val="{FFECCEC9-BD78-4F43-8A83-E0D1E158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E8F"/>
  </w:style>
  <w:style w:type="paragraph" w:styleId="Heading1">
    <w:name w:val="heading 1"/>
    <w:basedOn w:val="Normal"/>
    <w:next w:val="Normal"/>
    <w:link w:val="Heading1Char"/>
    <w:uiPriority w:val="9"/>
    <w:qFormat/>
    <w:rsid w:val="00F8730F"/>
    <w:pPr>
      <w:spacing w:after="120"/>
      <w:jc w:val="center"/>
      <w:outlineLvl w:val="0"/>
    </w:pPr>
    <w:rPr>
      <w:rFonts w:cstheme="minorHAnsi"/>
      <w:b/>
      <w:color w:val="000000" w:themeColor="text1"/>
      <w:sz w:val="36"/>
      <w:szCs w:val="28"/>
    </w:rPr>
  </w:style>
  <w:style w:type="paragraph" w:styleId="Heading2">
    <w:name w:val="heading 2"/>
    <w:basedOn w:val="Normal"/>
    <w:next w:val="Normal"/>
    <w:link w:val="Heading2Char"/>
    <w:uiPriority w:val="9"/>
    <w:unhideWhenUsed/>
    <w:qFormat/>
    <w:rsid w:val="00F8730F"/>
    <w:pPr>
      <w:spacing w:before="240"/>
      <w:outlineLvl w:val="1"/>
    </w:pPr>
    <w:rPr>
      <w:rFonts w:cstheme="minorHAns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7666"/>
    <w:rPr>
      <w:color w:val="808080"/>
    </w:rPr>
  </w:style>
  <w:style w:type="paragraph" w:styleId="ListParagraph">
    <w:name w:val="List Paragraph"/>
    <w:aliases w:val="Recommendation,List Paragraph1,List Paragraph11"/>
    <w:basedOn w:val="Normal"/>
    <w:link w:val="ListParagraphChar"/>
    <w:uiPriority w:val="34"/>
    <w:qFormat/>
    <w:rsid w:val="001C516C"/>
    <w:pPr>
      <w:ind w:left="720"/>
      <w:contextualSpacing/>
    </w:pPr>
  </w:style>
  <w:style w:type="paragraph" w:styleId="BalloonText">
    <w:name w:val="Balloon Text"/>
    <w:basedOn w:val="Normal"/>
    <w:link w:val="BalloonTextChar"/>
    <w:uiPriority w:val="99"/>
    <w:semiHidden/>
    <w:unhideWhenUsed/>
    <w:rsid w:val="00403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18F"/>
    <w:rPr>
      <w:rFonts w:ascii="Segoe UI" w:hAnsi="Segoe UI" w:cs="Segoe UI"/>
      <w:sz w:val="18"/>
      <w:szCs w:val="18"/>
    </w:rPr>
  </w:style>
  <w:style w:type="character" w:styleId="CommentReference">
    <w:name w:val="annotation reference"/>
    <w:basedOn w:val="DefaultParagraphFont"/>
    <w:uiPriority w:val="99"/>
    <w:semiHidden/>
    <w:unhideWhenUsed/>
    <w:rsid w:val="005A7F9A"/>
    <w:rPr>
      <w:sz w:val="16"/>
      <w:szCs w:val="16"/>
    </w:rPr>
  </w:style>
  <w:style w:type="paragraph" w:styleId="CommentText">
    <w:name w:val="annotation text"/>
    <w:basedOn w:val="Normal"/>
    <w:link w:val="CommentTextChar"/>
    <w:uiPriority w:val="99"/>
    <w:unhideWhenUsed/>
    <w:rsid w:val="005A7F9A"/>
    <w:pPr>
      <w:spacing w:line="240" w:lineRule="auto"/>
    </w:pPr>
    <w:rPr>
      <w:sz w:val="20"/>
      <w:szCs w:val="20"/>
    </w:rPr>
  </w:style>
  <w:style w:type="character" w:customStyle="1" w:styleId="CommentTextChar">
    <w:name w:val="Comment Text Char"/>
    <w:basedOn w:val="DefaultParagraphFont"/>
    <w:link w:val="CommentText"/>
    <w:uiPriority w:val="99"/>
    <w:rsid w:val="005A7F9A"/>
    <w:rPr>
      <w:sz w:val="20"/>
      <w:szCs w:val="20"/>
    </w:rPr>
  </w:style>
  <w:style w:type="paragraph" w:styleId="CommentSubject">
    <w:name w:val="annotation subject"/>
    <w:basedOn w:val="CommentText"/>
    <w:next w:val="CommentText"/>
    <w:link w:val="CommentSubjectChar"/>
    <w:uiPriority w:val="99"/>
    <w:semiHidden/>
    <w:unhideWhenUsed/>
    <w:rsid w:val="005A7F9A"/>
    <w:rPr>
      <w:b/>
      <w:bCs/>
    </w:rPr>
  </w:style>
  <w:style w:type="character" w:customStyle="1" w:styleId="CommentSubjectChar">
    <w:name w:val="Comment Subject Char"/>
    <w:basedOn w:val="CommentTextChar"/>
    <w:link w:val="CommentSubject"/>
    <w:uiPriority w:val="99"/>
    <w:semiHidden/>
    <w:rsid w:val="005A7F9A"/>
    <w:rPr>
      <w:b/>
      <w:bCs/>
      <w:sz w:val="20"/>
      <w:szCs w:val="20"/>
    </w:rPr>
  </w:style>
  <w:style w:type="paragraph" w:styleId="Revision">
    <w:name w:val="Revision"/>
    <w:hidden/>
    <w:uiPriority w:val="99"/>
    <w:semiHidden/>
    <w:rsid w:val="005A7F9A"/>
    <w:pPr>
      <w:spacing w:after="0" w:line="240" w:lineRule="auto"/>
    </w:pPr>
  </w:style>
  <w:style w:type="character" w:customStyle="1" w:styleId="ListParagraphChar">
    <w:name w:val="List Paragraph Char"/>
    <w:aliases w:val="Recommendation Char,List Paragraph1 Char,List Paragraph11 Char"/>
    <w:basedOn w:val="DefaultParagraphFont"/>
    <w:link w:val="ListParagraph"/>
    <w:uiPriority w:val="34"/>
    <w:locked/>
    <w:rsid w:val="00AE2D5F"/>
  </w:style>
  <w:style w:type="paragraph" w:styleId="Header">
    <w:name w:val="header"/>
    <w:basedOn w:val="Normal"/>
    <w:link w:val="HeaderChar"/>
    <w:uiPriority w:val="99"/>
    <w:unhideWhenUsed/>
    <w:rsid w:val="00DE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635"/>
  </w:style>
  <w:style w:type="paragraph" w:styleId="Footer">
    <w:name w:val="footer"/>
    <w:basedOn w:val="Normal"/>
    <w:link w:val="FooterChar"/>
    <w:uiPriority w:val="99"/>
    <w:unhideWhenUsed/>
    <w:rsid w:val="00DE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635"/>
  </w:style>
  <w:style w:type="paragraph" w:styleId="ListNumber4">
    <w:name w:val="List Number 4"/>
    <w:basedOn w:val="Normal"/>
    <w:unhideWhenUsed/>
    <w:rsid w:val="003B1BC5"/>
    <w:pPr>
      <w:numPr>
        <w:numId w:val="1"/>
      </w:numPr>
      <w:spacing w:before="120" w:after="120" w:line="280" w:lineRule="atLeast"/>
    </w:pPr>
    <w:rPr>
      <w:rFonts w:ascii="Arial" w:eastAsia="Times New Roman" w:hAnsi="Arial" w:cs="Times New Roman"/>
      <w:sz w:val="20"/>
    </w:rPr>
  </w:style>
  <w:style w:type="paragraph" w:styleId="NormalIndent">
    <w:name w:val="Normal Indent"/>
    <w:basedOn w:val="Normal"/>
    <w:qFormat/>
    <w:rsid w:val="00627FA9"/>
    <w:pPr>
      <w:spacing w:before="40" w:after="120" w:line="280" w:lineRule="atLeast"/>
      <w:ind w:left="720"/>
    </w:pPr>
    <w:rPr>
      <w:rFonts w:ascii="Arial" w:eastAsia="Times New Roman" w:hAnsi="Arial" w:cs="Angsana New"/>
      <w:sz w:val="20"/>
      <w:lang w:eastAsia="zh-CN" w:bidi="th-TH"/>
    </w:rPr>
  </w:style>
  <w:style w:type="table" w:customStyle="1" w:styleId="TableGrid1">
    <w:name w:val="Table Grid1"/>
    <w:basedOn w:val="TableNormal"/>
    <w:next w:val="TableGrid"/>
    <w:uiPriority w:val="59"/>
    <w:rsid w:val="00627FA9"/>
    <w:pPr>
      <w:spacing w:after="120" w:line="3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730F"/>
    <w:rPr>
      <w:rFonts w:cstheme="minorHAnsi"/>
      <w:b/>
      <w:color w:val="000000" w:themeColor="text1"/>
      <w:sz w:val="36"/>
      <w:szCs w:val="28"/>
    </w:rPr>
  </w:style>
  <w:style w:type="character" w:styleId="Hyperlink">
    <w:name w:val="Hyperlink"/>
    <w:basedOn w:val="DefaultParagraphFont"/>
    <w:uiPriority w:val="99"/>
    <w:unhideWhenUsed/>
    <w:rsid w:val="00A027B5"/>
    <w:rPr>
      <w:color w:val="0563C1" w:themeColor="hyperlink"/>
      <w:u w:val="single"/>
    </w:rPr>
  </w:style>
  <w:style w:type="paragraph" w:customStyle="1" w:styleId="Default">
    <w:name w:val="Default"/>
    <w:rsid w:val="0049512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1341F"/>
    <w:rPr>
      <w:color w:val="954F72" w:themeColor="followedHyperlink"/>
      <w:u w:val="single"/>
    </w:rPr>
  </w:style>
  <w:style w:type="character" w:styleId="UnresolvedMention">
    <w:name w:val="Unresolved Mention"/>
    <w:basedOn w:val="DefaultParagraphFont"/>
    <w:uiPriority w:val="99"/>
    <w:semiHidden/>
    <w:unhideWhenUsed/>
    <w:rsid w:val="00632700"/>
    <w:rPr>
      <w:color w:val="605E5C"/>
      <w:shd w:val="clear" w:color="auto" w:fill="E1DFDD"/>
    </w:rPr>
  </w:style>
  <w:style w:type="character" w:customStyle="1" w:styleId="Style6">
    <w:name w:val="Style6"/>
    <w:basedOn w:val="DefaultParagraphFont"/>
    <w:uiPriority w:val="1"/>
    <w:rsid w:val="00BE181C"/>
    <w:rPr>
      <w:rFonts w:ascii="Arial" w:hAnsi="Arial"/>
      <w:b/>
      <w:sz w:val="22"/>
    </w:rPr>
  </w:style>
  <w:style w:type="paragraph" w:styleId="ListBullet3">
    <w:name w:val="List Bullet 3"/>
    <w:basedOn w:val="Normal"/>
    <w:uiPriority w:val="99"/>
    <w:unhideWhenUsed/>
    <w:rsid w:val="00FD162F"/>
    <w:pPr>
      <w:numPr>
        <w:numId w:val="5"/>
      </w:numPr>
      <w:spacing w:before="60" w:after="60" w:line="280" w:lineRule="atLeast"/>
    </w:pPr>
    <w:rPr>
      <w:rFonts w:ascii="Arial" w:eastAsia="Times New Roman" w:hAnsi="Arial" w:cs="Times New Roman"/>
      <w:sz w:val="20"/>
    </w:rPr>
  </w:style>
  <w:style w:type="paragraph" w:styleId="Caption">
    <w:name w:val="caption"/>
    <w:basedOn w:val="Normal"/>
    <w:next w:val="Normal"/>
    <w:uiPriority w:val="35"/>
    <w:unhideWhenUsed/>
    <w:qFormat/>
    <w:rsid w:val="008B3AEA"/>
    <w:pPr>
      <w:spacing w:after="200" w:line="240" w:lineRule="auto"/>
    </w:pPr>
    <w:rPr>
      <w:i/>
      <w:iCs/>
      <w:color w:val="44546A" w:themeColor="text2"/>
      <w:sz w:val="18"/>
      <w:szCs w:val="18"/>
    </w:rPr>
  </w:style>
  <w:style w:type="paragraph" w:styleId="NormalWeb">
    <w:name w:val="Normal (Web)"/>
    <w:basedOn w:val="Normal"/>
    <w:uiPriority w:val="99"/>
    <w:semiHidden/>
    <w:unhideWhenUsed/>
    <w:rsid w:val="00B30C4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B48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8F1"/>
    <w:rPr>
      <w:sz w:val="20"/>
      <w:szCs w:val="20"/>
    </w:rPr>
  </w:style>
  <w:style w:type="character" w:styleId="FootnoteReference">
    <w:name w:val="footnote reference"/>
    <w:basedOn w:val="DefaultParagraphFont"/>
    <w:uiPriority w:val="99"/>
    <w:semiHidden/>
    <w:unhideWhenUsed/>
    <w:rsid w:val="007B48F1"/>
    <w:rPr>
      <w:vertAlign w:val="superscript"/>
    </w:rPr>
  </w:style>
  <w:style w:type="character" w:customStyle="1" w:styleId="Heading2Char">
    <w:name w:val="Heading 2 Char"/>
    <w:basedOn w:val="DefaultParagraphFont"/>
    <w:link w:val="Heading2"/>
    <w:uiPriority w:val="9"/>
    <w:rsid w:val="00F8730F"/>
    <w:rPr>
      <w:rFonts w:cstheme="minorHAnsi"/>
      <w:b/>
      <w:color w:val="000000" w:themeColor="text1"/>
      <w:sz w:val="28"/>
    </w:rPr>
  </w:style>
  <w:style w:type="paragraph" w:styleId="List">
    <w:name w:val="List"/>
    <w:basedOn w:val="ListParagraph"/>
    <w:uiPriority w:val="99"/>
    <w:unhideWhenUsed/>
    <w:rsid w:val="00957811"/>
    <w:pPr>
      <w:numPr>
        <w:numId w:val="17"/>
      </w:numPr>
      <w:spacing w:after="0"/>
      <w:jc w:val="both"/>
    </w:pPr>
    <w:rPr>
      <w:rFonts w:cstheme="minorHAnsi"/>
    </w:rPr>
  </w:style>
  <w:style w:type="character" w:styleId="Strong">
    <w:name w:val="Strong"/>
    <w:basedOn w:val="DefaultParagraphFont"/>
    <w:uiPriority w:val="22"/>
    <w:qFormat/>
    <w:rsid w:val="00957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07161">
      <w:bodyDiv w:val="1"/>
      <w:marLeft w:val="0"/>
      <w:marRight w:val="0"/>
      <w:marTop w:val="0"/>
      <w:marBottom w:val="0"/>
      <w:divBdr>
        <w:top w:val="none" w:sz="0" w:space="0" w:color="auto"/>
        <w:left w:val="none" w:sz="0" w:space="0" w:color="auto"/>
        <w:bottom w:val="none" w:sz="0" w:space="0" w:color="auto"/>
        <w:right w:val="none" w:sz="0" w:space="0" w:color="auto"/>
      </w:divBdr>
    </w:div>
    <w:div w:id="330449273">
      <w:bodyDiv w:val="1"/>
      <w:marLeft w:val="0"/>
      <w:marRight w:val="0"/>
      <w:marTop w:val="0"/>
      <w:marBottom w:val="0"/>
      <w:divBdr>
        <w:top w:val="none" w:sz="0" w:space="0" w:color="auto"/>
        <w:left w:val="none" w:sz="0" w:space="0" w:color="auto"/>
        <w:bottom w:val="none" w:sz="0" w:space="0" w:color="auto"/>
        <w:right w:val="none" w:sz="0" w:space="0" w:color="auto"/>
      </w:divBdr>
    </w:div>
    <w:div w:id="420612644">
      <w:bodyDiv w:val="1"/>
      <w:marLeft w:val="0"/>
      <w:marRight w:val="0"/>
      <w:marTop w:val="0"/>
      <w:marBottom w:val="0"/>
      <w:divBdr>
        <w:top w:val="none" w:sz="0" w:space="0" w:color="auto"/>
        <w:left w:val="none" w:sz="0" w:space="0" w:color="auto"/>
        <w:bottom w:val="none" w:sz="0" w:space="0" w:color="auto"/>
        <w:right w:val="none" w:sz="0" w:space="0" w:color="auto"/>
      </w:divBdr>
    </w:div>
    <w:div w:id="723483023">
      <w:bodyDiv w:val="1"/>
      <w:marLeft w:val="0"/>
      <w:marRight w:val="0"/>
      <w:marTop w:val="0"/>
      <w:marBottom w:val="0"/>
      <w:divBdr>
        <w:top w:val="none" w:sz="0" w:space="0" w:color="auto"/>
        <w:left w:val="none" w:sz="0" w:space="0" w:color="auto"/>
        <w:bottom w:val="none" w:sz="0" w:space="0" w:color="auto"/>
        <w:right w:val="none" w:sz="0" w:space="0" w:color="auto"/>
      </w:divBdr>
    </w:div>
    <w:div w:id="1095319021">
      <w:bodyDiv w:val="1"/>
      <w:marLeft w:val="0"/>
      <w:marRight w:val="0"/>
      <w:marTop w:val="0"/>
      <w:marBottom w:val="0"/>
      <w:divBdr>
        <w:top w:val="none" w:sz="0" w:space="0" w:color="auto"/>
        <w:left w:val="none" w:sz="0" w:space="0" w:color="auto"/>
        <w:bottom w:val="none" w:sz="0" w:space="0" w:color="auto"/>
        <w:right w:val="none" w:sz="0" w:space="0" w:color="auto"/>
      </w:divBdr>
    </w:div>
    <w:div w:id="1168524807">
      <w:bodyDiv w:val="1"/>
      <w:marLeft w:val="0"/>
      <w:marRight w:val="0"/>
      <w:marTop w:val="0"/>
      <w:marBottom w:val="0"/>
      <w:divBdr>
        <w:top w:val="none" w:sz="0" w:space="0" w:color="auto"/>
        <w:left w:val="none" w:sz="0" w:space="0" w:color="auto"/>
        <w:bottom w:val="none" w:sz="0" w:space="0" w:color="auto"/>
        <w:right w:val="none" w:sz="0" w:space="0" w:color="auto"/>
      </w:divBdr>
    </w:div>
    <w:div w:id="1654335575">
      <w:bodyDiv w:val="1"/>
      <w:marLeft w:val="0"/>
      <w:marRight w:val="0"/>
      <w:marTop w:val="0"/>
      <w:marBottom w:val="0"/>
      <w:divBdr>
        <w:top w:val="none" w:sz="0" w:space="0" w:color="auto"/>
        <w:left w:val="none" w:sz="0" w:space="0" w:color="auto"/>
        <w:bottom w:val="none" w:sz="0" w:space="0" w:color="auto"/>
        <w:right w:val="none" w:sz="0" w:space="0" w:color="auto"/>
      </w:divBdr>
    </w:div>
    <w:div w:id="1688874027">
      <w:bodyDiv w:val="1"/>
      <w:marLeft w:val="0"/>
      <w:marRight w:val="0"/>
      <w:marTop w:val="0"/>
      <w:marBottom w:val="0"/>
      <w:divBdr>
        <w:top w:val="none" w:sz="0" w:space="0" w:color="auto"/>
        <w:left w:val="none" w:sz="0" w:space="0" w:color="auto"/>
        <w:bottom w:val="none" w:sz="0" w:space="0" w:color="auto"/>
        <w:right w:val="none" w:sz="0" w:space="0" w:color="auto"/>
      </w:divBdr>
    </w:div>
    <w:div w:id="1697079130">
      <w:bodyDiv w:val="1"/>
      <w:marLeft w:val="0"/>
      <w:marRight w:val="0"/>
      <w:marTop w:val="0"/>
      <w:marBottom w:val="0"/>
      <w:divBdr>
        <w:top w:val="none" w:sz="0" w:space="0" w:color="auto"/>
        <w:left w:val="none" w:sz="0" w:space="0" w:color="auto"/>
        <w:bottom w:val="none" w:sz="0" w:space="0" w:color="auto"/>
        <w:right w:val="none" w:sz="0" w:space="0" w:color="auto"/>
      </w:divBdr>
      <w:divsChild>
        <w:div w:id="344134925">
          <w:marLeft w:val="0"/>
          <w:marRight w:val="0"/>
          <w:marTop w:val="0"/>
          <w:marBottom w:val="0"/>
          <w:divBdr>
            <w:top w:val="none" w:sz="0" w:space="0" w:color="auto"/>
            <w:left w:val="none" w:sz="0" w:space="0" w:color="auto"/>
            <w:bottom w:val="none" w:sz="0" w:space="0" w:color="auto"/>
            <w:right w:val="none" w:sz="0" w:space="0" w:color="auto"/>
          </w:divBdr>
        </w:div>
      </w:divsChild>
    </w:div>
    <w:div w:id="1938443839">
      <w:bodyDiv w:val="1"/>
      <w:marLeft w:val="0"/>
      <w:marRight w:val="0"/>
      <w:marTop w:val="0"/>
      <w:marBottom w:val="0"/>
      <w:divBdr>
        <w:top w:val="none" w:sz="0" w:space="0" w:color="auto"/>
        <w:left w:val="none" w:sz="0" w:space="0" w:color="auto"/>
        <w:bottom w:val="none" w:sz="0" w:space="0" w:color="auto"/>
        <w:right w:val="none" w:sz="0" w:space="0" w:color="auto"/>
      </w:divBdr>
    </w:div>
    <w:div w:id="20636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ealth.gov.au/our-work/mrff/about/strategy-and-priorit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ealth.gov.au/resources/publications/mrff-monitoring-evaluation-and-learning-strategy?language=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grants.nih.gov/grants/guide/pa-files/PAR-10-038.html" TargetMode="External"/><Relationship Id="rId1" Type="http://schemas.openxmlformats.org/officeDocument/2006/relationships/hyperlink" Target="https://cihr-irsc.gc.ca/e/45336.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2022-08-26T00:00:00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B032CA63FAC5488E4BC8314EAF47A3" ma:contentTypeVersion="14" ma:contentTypeDescription="Create a new document." ma:contentTypeScope="" ma:versionID="32856a67ca54623d2e859b82ecb0c1ee">
  <xsd:schema xmlns:xsd="http://www.w3.org/2001/XMLSchema" xmlns:xs="http://www.w3.org/2001/XMLSchema" xmlns:p="http://schemas.microsoft.com/office/2006/metadata/properties" xmlns:ns2="01965ef5-a97e-4964-a2d3-1bcc9cde0909" xmlns:ns3="ef8499da-f70f-48c9-a6de-e578977a26c0" targetNamespace="http://schemas.microsoft.com/office/2006/metadata/properties" ma:root="true" ma:fieldsID="8be299f00e196fd1feb915dcc1380a66" ns2:_="" ns3:_="">
    <xsd:import namespace="01965ef5-a97e-4964-a2d3-1bcc9cde0909"/>
    <xsd:import namespace="ef8499da-f70f-48c9-a6de-e578977a26c0"/>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65ef5-a97e-4964-a2d3-1bcc9cde0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8f2f095-2296-49ea-b94b-9e51b4df0e21}"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8499da-f70f-48c9-a6de-e578977a26c0" xsi:nil="true"/>
    <lcf76f155ced4ddcb4097134ff3c332f xmlns="01965ef5-a97e-4964-a2d3-1bcc9cde0909">
      <Terms xmlns="http://schemas.microsoft.com/office/infopath/2007/PartnerControls"/>
    </lcf76f155ced4ddcb4097134ff3c332f>
    <_dlc_DocId xmlns="ef8499da-f70f-48c9-a6de-e578977a26c0">5JVSV56FMS3J-703067425-13096</_dlc_DocId>
    <_dlc_DocIdUrl xmlns="ef8499da-f70f-48c9-a6de-e578977a26c0">
      <Url>https://nhmrc.sharepoint.com/sites/pstawardmrff/_layouts/15/DocIdRedir.aspx?ID=5JVSV56FMS3J-703067425-13096</Url>
      <Description>5JVSV56FMS3J-703067425-13096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88263-FB08-460B-B383-63312706F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65ef5-a97e-4964-a2d3-1bcc9cde0909"/>
    <ds:schemaRef ds:uri="ef8499da-f70f-48c9-a6de-e578977a2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746BC-9DDE-40A9-A300-7FB65D4ABDD4}">
  <ds:schemaRefs>
    <ds:schemaRef ds:uri="http://schemas.openxmlformats.org/officeDocument/2006/bibliography"/>
  </ds:schemaRefs>
</ds:datastoreItem>
</file>

<file path=customXml/itemProps4.xml><?xml version="1.0" encoding="utf-8"?>
<ds:datastoreItem xmlns:ds="http://schemas.openxmlformats.org/officeDocument/2006/customXml" ds:itemID="{935B255D-88F0-4D62-B34E-71F4B9E677E9}">
  <ds:schemaRefs>
    <ds:schemaRef ds:uri="http://schemas.microsoft.com/office/2006/metadata/properties"/>
    <ds:schemaRef ds:uri="http://schemas.microsoft.com/office/infopath/2007/PartnerControls"/>
    <ds:schemaRef ds:uri="ef8499da-f70f-48c9-a6de-e578977a26c0"/>
    <ds:schemaRef ds:uri="01965ef5-a97e-4964-a2d3-1bcc9cde0909"/>
  </ds:schemaRefs>
</ds:datastoreItem>
</file>

<file path=customXml/itemProps5.xml><?xml version="1.0" encoding="utf-8"?>
<ds:datastoreItem xmlns:ds="http://schemas.openxmlformats.org/officeDocument/2006/customXml" ds:itemID="{9FA962F6-6BF4-4778-B25C-A77342F4577B}">
  <ds:schemaRefs>
    <ds:schemaRef ds:uri="http://schemas.microsoft.com/sharepoint/v3/contenttype/forms"/>
  </ds:schemaRefs>
</ds:datastoreItem>
</file>

<file path=customXml/itemProps6.xml><?xml version="1.0" encoding="utf-8"?>
<ds:datastoreItem xmlns:ds="http://schemas.openxmlformats.org/officeDocument/2006/customXml" ds:itemID="{2C87ED17-A735-44A5-8412-EB6EA9C13B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5</Pages>
  <Words>1527</Words>
  <Characters>9028</Characters>
  <Application>Microsoft Office Word</Application>
  <DocSecurity>0</DocSecurity>
  <Lines>196</Lines>
  <Paragraphs>62</Paragraphs>
  <ScaleCrop>false</ScaleCrop>
  <HeadingPairs>
    <vt:vector size="2" baseType="variant">
      <vt:variant>
        <vt:lpstr>Title</vt:lpstr>
      </vt:variant>
      <vt:variant>
        <vt:i4>1</vt:i4>
      </vt:variant>
    </vt:vector>
  </HeadingPairs>
  <TitlesOfParts>
    <vt:vector size="1" baseType="lpstr">
      <vt:lpstr>Supporting evaluation and implementation research through the Medical Research Future Fund</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evaluation and implementation research through the Medical Research Future Fund</dc:title>
  <dc:subject>Medical Research Future Fund</dc:subject>
  <dc:creator>Australian Government Department of Health, Disability and Ageing</dc:creator>
  <cp:keywords>Medical Research Future Fund; MRFF</cp:keywords>
  <dc:description/>
  <cp:lastModifiedBy>MASCHKE, Elvia</cp:lastModifiedBy>
  <cp:revision>20</cp:revision>
  <cp:lastPrinted>2025-07-24T01:40:00Z</cp:lastPrinted>
  <dcterms:created xsi:type="dcterms:W3CDTF">2025-05-21T04:24:00Z</dcterms:created>
  <dcterms:modified xsi:type="dcterms:W3CDTF">2025-07-31T07:02:00Z</dcterms:modified>
  <cp:contentStatus>5</cp:contentStatus>
</cp:coreProperties>
</file>