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7A4F8" w14:textId="01C10877" w:rsidR="008D2C8E" w:rsidRPr="003A2AF6" w:rsidRDefault="00B3164C" w:rsidP="008D2C8E">
      <w:pPr>
        <w:pStyle w:val="Heading1"/>
        <w:spacing w:before="0" w:after="0"/>
        <w:rPr>
          <w:sz w:val="40"/>
          <w:szCs w:val="40"/>
        </w:rPr>
      </w:pPr>
      <w:r>
        <w:rPr>
          <w:noProof/>
          <w:lang w:val="en-US"/>
        </w:rPr>
        <w:drawing>
          <wp:anchor distT="0" distB="0" distL="114300" distR="114300" simplePos="0" relativeHeight="251659264" behindDoc="0" locked="0" layoutInCell="1" allowOverlap="1" wp14:anchorId="656E75CD" wp14:editId="5F3D2AF7">
            <wp:simplePos x="0" y="0"/>
            <wp:positionH relativeFrom="page">
              <wp:posOffset>35059</wp:posOffset>
            </wp:positionH>
            <wp:positionV relativeFrom="page">
              <wp:align>top</wp:align>
            </wp:positionV>
            <wp:extent cx="7558363" cy="2112411"/>
            <wp:effectExtent l="0" t="0" r="508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D2C8E">
        <w:rPr>
          <w:sz w:val="40"/>
          <w:szCs w:val="40"/>
        </w:rPr>
        <w:t xml:space="preserve">Quarterly </w:t>
      </w:r>
      <w:r w:rsidR="008D2C8E" w:rsidRPr="003A2AF6">
        <w:rPr>
          <w:sz w:val="40"/>
          <w:szCs w:val="40"/>
        </w:rPr>
        <w:t xml:space="preserve">Financial Report </w:t>
      </w:r>
    </w:p>
    <w:p w14:paraId="250D795C" w14:textId="456BA842" w:rsidR="008D2C8E" w:rsidRDefault="008D2C8E" w:rsidP="003A0908">
      <w:pPr>
        <w:pStyle w:val="Heading1"/>
        <w:spacing w:before="0" w:after="0"/>
      </w:pPr>
      <w:r>
        <w:rPr>
          <w:sz w:val="40"/>
          <w:szCs w:val="40"/>
        </w:rPr>
        <w:t>Guide to Accruals Recording</w:t>
      </w:r>
      <w:r w:rsidRPr="003A2AF6">
        <w:rPr>
          <w:sz w:val="40"/>
          <w:szCs w:val="40"/>
        </w:rPr>
        <w:t xml:space="preserve"> </w:t>
      </w:r>
      <w:r>
        <w:rPr>
          <w:sz w:val="40"/>
          <w:szCs w:val="40"/>
        </w:rPr>
        <w:t>for Invoices</w:t>
      </w:r>
    </w:p>
    <w:p w14:paraId="0D6DF167" w14:textId="23CCF26D" w:rsidR="008D2C8E" w:rsidRPr="008664B7" w:rsidRDefault="008D2C8E" w:rsidP="008664B7">
      <w:pPr>
        <w:pStyle w:val="Heading3"/>
        <w:rPr>
          <w:rStyle w:val="normaltextrun"/>
        </w:rPr>
        <w:sectPr w:rsidR="008D2C8E" w:rsidRPr="008664B7" w:rsidSect="008D2C8E">
          <w:headerReference w:type="first" r:id="rId12"/>
          <w:pgSz w:w="11906" w:h="16838" w:code="9"/>
          <w:pgMar w:top="1440" w:right="851" w:bottom="568" w:left="851" w:header="1701" w:footer="709" w:gutter="0"/>
          <w:cols w:space="708"/>
          <w:titlePg/>
          <w:docGrid w:linePitch="360"/>
        </w:sectPr>
      </w:pPr>
      <w:r w:rsidRPr="00ED7A60">
        <w:t>Use this guide to assist in accurate recording of invoices in the Quarterly Financial Report (QFR):</w:t>
      </w:r>
    </w:p>
    <w:p w14:paraId="5C9029CE" w14:textId="3EFFBBCC" w:rsidR="008C3B95" w:rsidRPr="008664B7" w:rsidRDefault="00606715" w:rsidP="003A0908">
      <w:pPr>
        <w:pStyle w:val="Heading4"/>
        <w:numPr>
          <w:ilvl w:val="0"/>
          <w:numId w:val="29"/>
        </w:numPr>
        <w:spacing w:before="0" w:after="0" w:line="240" w:lineRule="auto"/>
        <w:ind w:left="357"/>
        <w:rPr>
          <w:rStyle w:val="normaltextrun"/>
        </w:rPr>
      </w:pPr>
      <w:r w:rsidRPr="008664B7">
        <w:rPr>
          <w:rStyle w:val="normaltextrun"/>
        </w:rPr>
        <w:t xml:space="preserve">Recognise invoices in the correct reporting </w:t>
      </w:r>
      <w:r w:rsidR="00EF2666" w:rsidRPr="008664B7">
        <w:rPr>
          <w:rStyle w:val="normaltextrun"/>
        </w:rPr>
        <w:t>quarter</w:t>
      </w:r>
    </w:p>
    <w:p w14:paraId="6CD8AFBA" w14:textId="053D3DC7" w:rsidR="00CA3BC5" w:rsidRPr="00397070" w:rsidRDefault="00B45CC9" w:rsidP="003A0908">
      <w:pPr>
        <w:pStyle w:val="paragraph"/>
        <w:spacing w:before="0" w:beforeAutospacing="0" w:after="0" w:afterAutospacing="0"/>
        <w:ind w:left="357"/>
        <w:textAlignment w:val="baseline"/>
        <w:rPr>
          <w:rFonts w:ascii="Arial" w:eastAsiaTheme="majorEastAsia" w:hAnsi="Arial" w:cs="Arial"/>
          <w:sz w:val="22"/>
          <w:szCs w:val="22"/>
        </w:rPr>
      </w:pPr>
      <w:r w:rsidRPr="00397070">
        <w:rPr>
          <w:rFonts w:ascii="Arial" w:hAnsi="Arial" w:cs="Arial"/>
          <w:sz w:val="22"/>
          <w:szCs w:val="22"/>
        </w:rPr>
        <w:t xml:space="preserve">Ensure that invoices recognise the same </w:t>
      </w:r>
      <w:r w:rsidR="008318B6" w:rsidRPr="00397070">
        <w:rPr>
          <w:rFonts w:ascii="Arial" w:hAnsi="Arial" w:cs="Arial"/>
          <w:sz w:val="22"/>
          <w:szCs w:val="22"/>
        </w:rPr>
        <w:t xml:space="preserve">reporting </w:t>
      </w:r>
      <w:r w:rsidR="009E7FD8" w:rsidRPr="00397070">
        <w:rPr>
          <w:rFonts w:ascii="Arial" w:hAnsi="Arial" w:cs="Arial"/>
          <w:sz w:val="22"/>
          <w:szCs w:val="22"/>
        </w:rPr>
        <w:t>quarter</w:t>
      </w:r>
      <w:r w:rsidRPr="00397070">
        <w:rPr>
          <w:rFonts w:ascii="Arial" w:hAnsi="Arial" w:cs="Arial"/>
          <w:sz w:val="22"/>
          <w:szCs w:val="22"/>
        </w:rPr>
        <w:t xml:space="preserve"> th</w:t>
      </w:r>
      <w:r w:rsidR="00606715" w:rsidRPr="00397070">
        <w:rPr>
          <w:rFonts w:ascii="Arial" w:hAnsi="Arial" w:cs="Arial"/>
          <w:sz w:val="22"/>
          <w:szCs w:val="22"/>
        </w:rPr>
        <w:t>at</w:t>
      </w:r>
      <w:r w:rsidRPr="00397070">
        <w:rPr>
          <w:rFonts w:ascii="Arial" w:hAnsi="Arial" w:cs="Arial"/>
          <w:sz w:val="22"/>
          <w:szCs w:val="22"/>
        </w:rPr>
        <w:t xml:space="preserve"> expenditure was incurred, </w:t>
      </w:r>
      <w:r w:rsidR="00FE52FC">
        <w:rPr>
          <w:rFonts w:ascii="Arial" w:hAnsi="Arial" w:cs="Arial"/>
          <w:sz w:val="22"/>
          <w:szCs w:val="22"/>
        </w:rPr>
        <w:t xml:space="preserve">and not </w:t>
      </w:r>
      <w:r w:rsidRPr="00397070">
        <w:rPr>
          <w:rFonts w:ascii="Arial" w:hAnsi="Arial" w:cs="Arial"/>
          <w:sz w:val="22"/>
          <w:szCs w:val="22"/>
        </w:rPr>
        <w:t>includ</w:t>
      </w:r>
      <w:r w:rsidR="00FE52FC">
        <w:rPr>
          <w:rFonts w:ascii="Arial" w:hAnsi="Arial" w:cs="Arial"/>
          <w:sz w:val="22"/>
          <w:szCs w:val="22"/>
        </w:rPr>
        <w:t>e</w:t>
      </w:r>
      <w:r w:rsidRPr="00397070">
        <w:rPr>
          <w:rFonts w:ascii="Arial" w:hAnsi="Arial" w:cs="Arial"/>
          <w:sz w:val="22"/>
          <w:szCs w:val="22"/>
        </w:rPr>
        <w:t xml:space="preserve"> accruals for invoices not received in the </w:t>
      </w:r>
      <w:r w:rsidR="000809F6" w:rsidRPr="00397070">
        <w:rPr>
          <w:rFonts w:ascii="Arial" w:hAnsi="Arial" w:cs="Arial"/>
          <w:sz w:val="22"/>
          <w:szCs w:val="22"/>
        </w:rPr>
        <w:t>quarter</w:t>
      </w:r>
      <w:r w:rsidRPr="00397070">
        <w:rPr>
          <w:rFonts w:ascii="Arial" w:hAnsi="Arial" w:cs="Arial"/>
          <w:sz w:val="22"/>
          <w:szCs w:val="22"/>
        </w:rPr>
        <w:t>.</w:t>
      </w:r>
      <w:r w:rsidR="000A381A" w:rsidRPr="00397070">
        <w:rPr>
          <w:rFonts w:ascii="Arial" w:hAnsi="Arial" w:cs="Arial"/>
          <w:sz w:val="22"/>
          <w:szCs w:val="22"/>
        </w:rPr>
        <w:t xml:space="preserve"> For example, if services were delivered </w:t>
      </w:r>
      <w:r w:rsidR="00AC71CF" w:rsidRPr="00397070">
        <w:rPr>
          <w:rFonts w:ascii="Arial" w:hAnsi="Arial" w:cs="Arial"/>
          <w:sz w:val="22"/>
          <w:szCs w:val="22"/>
        </w:rPr>
        <w:t xml:space="preserve">during </w:t>
      </w:r>
      <w:r w:rsidR="000A381A" w:rsidRPr="00397070">
        <w:rPr>
          <w:rFonts w:ascii="Arial" w:hAnsi="Arial" w:cs="Arial"/>
          <w:sz w:val="22"/>
          <w:szCs w:val="22"/>
        </w:rPr>
        <w:t xml:space="preserve">Q1 and the </w:t>
      </w:r>
      <w:r w:rsidR="00313E9A" w:rsidRPr="00397070">
        <w:rPr>
          <w:rFonts w:ascii="Arial" w:hAnsi="Arial" w:cs="Arial"/>
          <w:sz w:val="22"/>
          <w:szCs w:val="22"/>
        </w:rPr>
        <w:t>invoice was paid in Q2, the expenditure should be attributed to Q1</w:t>
      </w:r>
      <w:r w:rsidR="00A90FAB" w:rsidRPr="00397070">
        <w:rPr>
          <w:rFonts w:ascii="Arial" w:hAnsi="Arial" w:cs="Arial"/>
          <w:sz w:val="22"/>
          <w:szCs w:val="22"/>
        </w:rPr>
        <w:t xml:space="preserve"> and not recognised in Q2. </w:t>
      </w:r>
    </w:p>
    <w:p w14:paraId="42C1090F" w14:textId="7DB3C3CB" w:rsidR="00775812" w:rsidRPr="00397070" w:rsidRDefault="007531CF" w:rsidP="00D41F19">
      <w:pPr>
        <w:pStyle w:val="paragraph"/>
        <w:numPr>
          <w:ilvl w:val="0"/>
          <w:numId w:val="28"/>
        </w:numPr>
        <w:spacing w:before="240" w:beforeAutospacing="0" w:after="60" w:afterAutospacing="0"/>
        <w:ind w:left="357" w:hanging="357"/>
        <w:textAlignment w:val="baseline"/>
        <w:rPr>
          <w:rFonts w:ascii="Arial" w:eastAsiaTheme="majorEastAsia" w:hAnsi="Arial" w:cs="Arial"/>
          <w:sz w:val="22"/>
          <w:szCs w:val="22"/>
        </w:rPr>
      </w:pPr>
      <w:r w:rsidRPr="008664B7">
        <w:rPr>
          <w:rStyle w:val="Heading4Char"/>
        </w:rPr>
        <w:t xml:space="preserve">Estimate </w:t>
      </w:r>
      <w:r w:rsidR="00A90FAB" w:rsidRPr="008664B7">
        <w:rPr>
          <w:rStyle w:val="Heading4Char"/>
        </w:rPr>
        <w:t>accruals for late invoices</w:t>
      </w:r>
      <w:r w:rsidR="008C3B95">
        <w:rPr>
          <w:rStyle w:val="normaltextrun"/>
          <w:rFonts w:ascii="Arial" w:eastAsiaTheme="majorEastAsia" w:hAnsi="Arial" w:cs="Arial"/>
          <w:b/>
          <w:sz w:val="22"/>
          <w:szCs w:val="22"/>
        </w:rPr>
        <w:br/>
      </w:r>
      <w:r w:rsidR="00E83C18" w:rsidRPr="00397070">
        <w:rPr>
          <w:rStyle w:val="normaltextrun"/>
          <w:rFonts w:ascii="Arial" w:eastAsiaTheme="majorEastAsia" w:hAnsi="Arial" w:cs="Arial"/>
          <w:sz w:val="22"/>
          <w:szCs w:val="22"/>
        </w:rPr>
        <w:t>Where invoices are late,</w:t>
      </w:r>
      <w:r w:rsidRPr="00397070">
        <w:rPr>
          <w:rStyle w:val="normaltextrun"/>
          <w:rFonts w:ascii="Arial" w:eastAsiaTheme="majorEastAsia" w:hAnsi="Arial" w:cs="Arial"/>
          <w:sz w:val="22"/>
          <w:szCs w:val="22"/>
        </w:rPr>
        <w:t xml:space="preserve"> </w:t>
      </w:r>
      <w:r w:rsidRPr="00397070">
        <w:rPr>
          <w:rFonts w:ascii="Arial" w:hAnsi="Arial" w:cs="Arial"/>
          <w:sz w:val="22"/>
          <w:szCs w:val="22"/>
        </w:rPr>
        <w:t>estimate the amount to be accrued</w:t>
      </w:r>
      <w:r w:rsidR="004C1513">
        <w:rPr>
          <w:rFonts w:ascii="Arial" w:hAnsi="Arial" w:cs="Arial"/>
          <w:sz w:val="22"/>
          <w:szCs w:val="22"/>
        </w:rPr>
        <w:t xml:space="preserve"> for the reporting quarter</w:t>
      </w:r>
      <w:r w:rsidR="00DD3432" w:rsidRPr="00397070">
        <w:rPr>
          <w:rFonts w:ascii="Arial" w:hAnsi="Arial" w:cs="Arial"/>
          <w:sz w:val="22"/>
          <w:szCs w:val="22"/>
        </w:rPr>
        <w:t xml:space="preserve">. This could </w:t>
      </w:r>
      <w:r w:rsidR="00DA3862" w:rsidRPr="00397070">
        <w:rPr>
          <w:rFonts w:ascii="Arial" w:hAnsi="Arial" w:cs="Arial"/>
          <w:sz w:val="22"/>
          <w:szCs w:val="22"/>
        </w:rPr>
        <w:t>be</w:t>
      </w:r>
      <w:r w:rsidRPr="00397070">
        <w:rPr>
          <w:rFonts w:ascii="Arial" w:hAnsi="Arial" w:cs="Arial"/>
          <w:sz w:val="22"/>
          <w:szCs w:val="22"/>
        </w:rPr>
        <w:t xml:space="preserve"> based on</w:t>
      </w:r>
      <w:r w:rsidR="00775812" w:rsidRPr="00397070">
        <w:rPr>
          <w:rFonts w:ascii="Arial" w:hAnsi="Arial" w:cs="Arial"/>
          <w:sz w:val="22"/>
          <w:szCs w:val="22"/>
        </w:rPr>
        <w:t>:</w:t>
      </w:r>
    </w:p>
    <w:p w14:paraId="1C199B40" w14:textId="701BB4CC" w:rsidR="00CF7C5D" w:rsidRPr="00397070" w:rsidRDefault="00055D0E" w:rsidP="00D41F19">
      <w:pPr>
        <w:pStyle w:val="paragraph"/>
        <w:numPr>
          <w:ilvl w:val="1"/>
          <w:numId w:val="28"/>
        </w:numPr>
        <w:spacing w:before="0" w:beforeAutospacing="0" w:after="0" w:afterAutospacing="0"/>
        <w:ind w:left="709"/>
        <w:textAlignment w:val="baseline"/>
        <w:rPr>
          <w:rFonts w:ascii="Arial" w:eastAsiaTheme="majorEastAsia" w:hAnsi="Arial" w:cs="Arial"/>
          <w:sz w:val="22"/>
          <w:szCs w:val="22"/>
        </w:rPr>
      </w:pPr>
      <w:r w:rsidRPr="00397070">
        <w:rPr>
          <w:rFonts w:ascii="Arial" w:hAnsi="Arial" w:cs="Arial"/>
          <w:sz w:val="22"/>
          <w:szCs w:val="22"/>
        </w:rPr>
        <w:t>W</w:t>
      </w:r>
      <w:r w:rsidR="00C91F8C" w:rsidRPr="00397070">
        <w:rPr>
          <w:rFonts w:ascii="Arial" w:hAnsi="Arial" w:cs="Arial"/>
          <w:sz w:val="22"/>
          <w:szCs w:val="22"/>
        </w:rPr>
        <w:t xml:space="preserve">orked hours from </w:t>
      </w:r>
      <w:r w:rsidR="00F06704" w:rsidRPr="00397070">
        <w:rPr>
          <w:rFonts w:ascii="Arial" w:hAnsi="Arial" w:cs="Arial"/>
          <w:sz w:val="22"/>
          <w:szCs w:val="22"/>
        </w:rPr>
        <w:t>payroll</w:t>
      </w:r>
      <w:r w:rsidRPr="00397070">
        <w:rPr>
          <w:rFonts w:ascii="Arial" w:hAnsi="Arial" w:cs="Arial"/>
          <w:sz w:val="22"/>
          <w:szCs w:val="22"/>
        </w:rPr>
        <w:t xml:space="preserve"> or </w:t>
      </w:r>
      <w:r w:rsidR="005C1ADB" w:rsidRPr="00397070">
        <w:rPr>
          <w:rFonts w:ascii="Arial" w:hAnsi="Arial" w:cs="Arial"/>
          <w:sz w:val="22"/>
          <w:szCs w:val="22"/>
        </w:rPr>
        <w:t xml:space="preserve">timesheet </w:t>
      </w:r>
      <w:r w:rsidR="00C91F8C" w:rsidRPr="00397070">
        <w:rPr>
          <w:rFonts w:ascii="Arial" w:hAnsi="Arial" w:cs="Arial"/>
          <w:sz w:val="22"/>
          <w:szCs w:val="22"/>
        </w:rPr>
        <w:t xml:space="preserve">data </w:t>
      </w:r>
      <w:r w:rsidR="00AD34C6" w:rsidRPr="00397070">
        <w:rPr>
          <w:rFonts w:ascii="Arial" w:hAnsi="Arial" w:cs="Arial"/>
          <w:sz w:val="22"/>
          <w:szCs w:val="22"/>
        </w:rPr>
        <w:t>multiplied</w:t>
      </w:r>
      <w:r w:rsidRPr="00397070">
        <w:rPr>
          <w:rFonts w:ascii="Arial" w:hAnsi="Arial" w:cs="Arial"/>
          <w:sz w:val="22"/>
          <w:szCs w:val="22"/>
        </w:rPr>
        <w:t xml:space="preserve"> by an expected hourly rate </w:t>
      </w:r>
      <w:r w:rsidR="00AD34C6" w:rsidRPr="00397070">
        <w:rPr>
          <w:rFonts w:ascii="Arial" w:hAnsi="Arial" w:cs="Arial"/>
          <w:sz w:val="22"/>
          <w:szCs w:val="22"/>
        </w:rPr>
        <w:t xml:space="preserve">for each occupation. </w:t>
      </w:r>
    </w:p>
    <w:p w14:paraId="432FEA22" w14:textId="616A653B" w:rsidR="00546F48" w:rsidRPr="00397070" w:rsidRDefault="00CF7C5D" w:rsidP="00D41F19">
      <w:pPr>
        <w:pStyle w:val="paragraph"/>
        <w:numPr>
          <w:ilvl w:val="1"/>
          <w:numId w:val="28"/>
        </w:numPr>
        <w:spacing w:before="0" w:beforeAutospacing="0" w:after="0" w:afterAutospacing="0"/>
        <w:ind w:left="709"/>
        <w:textAlignment w:val="baseline"/>
        <w:rPr>
          <w:rFonts w:ascii="Arial" w:eastAsiaTheme="majorEastAsia" w:hAnsi="Arial" w:cs="Arial"/>
          <w:sz w:val="22"/>
          <w:szCs w:val="22"/>
        </w:rPr>
      </w:pPr>
      <w:r w:rsidRPr="00397070">
        <w:rPr>
          <w:rFonts w:ascii="Arial" w:hAnsi="Arial" w:cs="Arial"/>
          <w:sz w:val="22"/>
          <w:szCs w:val="22"/>
        </w:rPr>
        <w:t xml:space="preserve">Where </w:t>
      </w:r>
      <w:r w:rsidR="00EF5A12" w:rsidRPr="00397070">
        <w:rPr>
          <w:rFonts w:ascii="Arial" w:hAnsi="Arial" w:cs="Arial"/>
          <w:sz w:val="22"/>
          <w:szCs w:val="22"/>
        </w:rPr>
        <w:t xml:space="preserve">agency </w:t>
      </w:r>
      <w:r w:rsidR="007C2883" w:rsidRPr="00397070">
        <w:rPr>
          <w:rFonts w:ascii="Arial" w:hAnsi="Arial" w:cs="Arial"/>
          <w:sz w:val="22"/>
          <w:szCs w:val="22"/>
        </w:rPr>
        <w:t xml:space="preserve">expenditure is relatively consistent over time, the </w:t>
      </w:r>
      <w:r w:rsidR="00546F48" w:rsidRPr="00397070">
        <w:rPr>
          <w:rFonts w:ascii="Arial" w:hAnsi="Arial" w:cs="Arial"/>
          <w:sz w:val="22"/>
          <w:szCs w:val="22"/>
        </w:rPr>
        <w:t xml:space="preserve">expenditure from the </w:t>
      </w:r>
      <w:r w:rsidR="007544D0" w:rsidRPr="00397070">
        <w:rPr>
          <w:rFonts w:ascii="Arial" w:hAnsi="Arial" w:cs="Arial"/>
          <w:sz w:val="22"/>
          <w:szCs w:val="22"/>
        </w:rPr>
        <w:t>prior quarter</w:t>
      </w:r>
      <w:r w:rsidR="00546F48" w:rsidRPr="00397070">
        <w:rPr>
          <w:rFonts w:ascii="Arial" w:hAnsi="Arial" w:cs="Arial"/>
          <w:sz w:val="22"/>
          <w:szCs w:val="22"/>
        </w:rPr>
        <w:t xml:space="preserve"> or an average over time</w:t>
      </w:r>
      <w:r w:rsidR="00DA7268">
        <w:rPr>
          <w:rFonts w:ascii="Arial" w:hAnsi="Arial" w:cs="Arial"/>
          <w:sz w:val="22"/>
          <w:szCs w:val="22"/>
        </w:rPr>
        <w:t>.</w:t>
      </w:r>
      <w:r w:rsidR="00546F48" w:rsidRPr="00397070">
        <w:rPr>
          <w:rFonts w:ascii="Arial" w:hAnsi="Arial" w:cs="Arial"/>
          <w:sz w:val="22"/>
          <w:szCs w:val="22"/>
        </w:rPr>
        <w:t xml:space="preserve"> </w:t>
      </w:r>
    </w:p>
    <w:p w14:paraId="6573EF92" w14:textId="4712DC9B" w:rsidR="007531CF" w:rsidRPr="00397070" w:rsidRDefault="00DA3862" w:rsidP="00D41F19">
      <w:pPr>
        <w:pStyle w:val="paragraph"/>
        <w:spacing w:before="120" w:beforeAutospacing="0" w:after="0" w:afterAutospacing="0"/>
        <w:ind w:left="357"/>
        <w:textAlignment w:val="baseline"/>
        <w:rPr>
          <w:rFonts w:ascii="Arial" w:eastAsiaTheme="majorEastAsia" w:hAnsi="Arial" w:cs="Arial"/>
          <w:sz w:val="22"/>
          <w:szCs w:val="22"/>
        </w:rPr>
      </w:pPr>
      <w:r w:rsidRPr="00397070">
        <w:rPr>
          <w:rFonts w:ascii="Arial" w:hAnsi="Arial" w:cs="Arial"/>
          <w:sz w:val="22"/>
          <w:szCs w:val="22"/>
        </w:rPr>
        <w:t>I</w:t>
      </w:r>
      <w:r w:rsidR="0012277A" w:rsidRPr="00397070">
        <w:rPr>
          <w:rFonts w:ascii="Arial" w:hAnsi="Arial" w:cs="Arial"/>
          <w:sz w:val="22"/>
          <w:szCs w:val="22"/>
        </w:rPr>
        <w:t>nformed</w:t>
      </w:r>
      <w:r w:rsidR="00420354" w:rsidRPr="00397070">
        <w:rPr>
          <w:rFonts w:ascii="Arial" w:hAnsi="Arial" w:cs="Arial"/>
          <w:sz w:val="22"/>
          <w:szCs w:val="22"/>
        </w:rPr>
        <w:t xml:space="preserve"> management judgement</w:t>
      </w:r>
      <w:r w:rsidR="0012277A" w:rsidRPr="00397070">
        <w:rPr>
          <w:rFonts w:ascii="Arial" w:hAnsi="Arial" w:cs="Arial"/>
          <w:sz w:val="22"/>
          <w:szCs w:val="22"/>
        </w:rPr>
        <w:t xml:space="preserve"> m</w:t>
      </w:r>
      <w:r w:rsidR="003C7EDC" w:rsidRPr="00397070">
        <w:rPr>
          <w:rFonts w:ascii="Arial" w:hAnsi="Arial" w:cs="Arial"/>
          <w:sz w:val="22"/>
          <w:szCs w:val="22"/>
        </w:rPr>
        <w:t xml:space="preserve">ay also be required when </w:t>
      </w:r>
      <w:r w:rsidR="009B47CE" w:rsidRPr="00397070">
        <w:rPr>
          <w:rFonts w:ascii="Arial" w:hAnsi="Arial" w:cs="Arial"/>
          <w:sz w:val="22"/>
          <w:szCs w:val="22"/>
        </w:rPr>
        <w:t xml:space="preserve">determining the accrual amounts. </w:t>
      </w:r>
    </w:p>
    <w:p w14:paraId="6BC022C6" w14:textId="04B3EC1C" w:rsidR="00561D2B" w:rsidRPr="00397070" w:rsidRDefault="002C5C3D" w:rsidP="00D41F19">
      <w:pPr>
        <w:pStyle w:val="paragraph"/>
        <w:numPr>
          <w:ilvl w:val="0"/>
          <w:numId w:val="28"/>
        </w:numPr>
        <w:spacing w:before="240" w:beforeAutospacing="0" w:after="60" w:afterAutospacing="0"/>
        <w:ind w:left="357" w:hanging="357"/>
        <w:textAlignment w:val="baseline"/>
        <w:rPr>
          <w:rFonts w:ascii="Arial" w:eastAsiaTheme="majorEastAsia" w:hAnsi="Arial" w:cs="Arial"/>
          <w:sz w:val="22"/>
          <w:szCs w:val="22"/>
        </w:rPr>
      </w:pPr>
      <w:r w:rsidRPr="008664B7">
        <w:rPr>
          <w:rStyle w:val="Heading4Char"/>
        </w:rPr>
        <w:t xml:space="preserve">Recording </w:t>
      </w:r>
      <w:r w:rsidR="005514ED" w:rsidRPr="008664B7">
        <w:rPr>
          <w:rStyle w:val="Heading4Char"/>
        </w:rPr>
        <w:t>Accruals</w:t>
      </w:r>
      <w:r w:rsidR="00C44DD3">
        <w:rPr>
          <w:rStyle w:val="normaltextrun"/>
          <w:rFonts w:ascii="Arial" w:eastAsiaTheme="majorEastAsia" w:hAnsi="Arial" w:cs="Arial"/>
          <w:b/>
          <w:sz w:val="22"/>
          <w:szCs w:val="22"/>
        </w:rPr>
        <w:br/>
      </w:r>
      <w:r w:rsidR="005514ED" w:rsidRPr="00397070">
        <w:rPr>
          <w:rFonts w:ascii="Arial" w:hAnsi="Arial" w:cs="Arial"/>
          <w:sz w:val="22"/>
          <w:szCs w:val="22"/>
        </w:rPr>
        <w:t xml:space="preserve">Create journal entries to record the accruals in </w:t>
      </w:r>
      <w:r w:rsidR="00CB38B3" w:rsidRPr="00397070">
        <w:rPr>
          <w:rFonts w:ascii="Arial" w:hAnsi="Arial" w:cs="Arial"/>
          <w:sz w:val="22"/>
          <w:szCs w:val="22"/>
        </w:rPr>
        <w:t xml:space="preserve">your </w:t>
      </w:r>
      <w:r w:rsidR="005514ED" w:rsidRPr="00397070">
        <w:rPr>
          <w:rFonts w:ascii="Arial" w:hAnsi="Arial" w:cs="Arial"/>
          <w:sz w:val="22"/>
          <w:szCs w:val="22"/>
        </w:rPr>
        <w:t xml:space="preserve">accounting system. For expenses, debit the appropriate expense account and credit an accrued liabilities account. </w:t>
      </w:r>
    </w:p>
    <w:p w14:paraId="26E0E576" w14:textId="2F61C046" w:rsidR="006B6DCD" w:rsidRPr="00397070" w:rsidRDefault="00033600" w:rsidP="00D41F19">
      <w:pPr>
        <w:pStyle w:val="paragraph"/>
        <w:numPr>
          <w:ilvl w:val="0"/>
          <w:numId w:val="28"/>
        </w:numPr>
        <w:spacing w:before="240" w:beforeAutospacing="0" w:after="60" w:afterAutospacing="0"/>
        <w:ind w:left="357" w:hanging="357"/>
        <w:textAlignment w:val="baseline"/>
        <w:rPr>
          <w:rFonts w:ascii="Arial" w:eastAsiaTheme="majorEastAsia" w:hAnsi="Arial" w:cs="Arial"/>
          <w:b/>
          <w:bCs/>
          <w:sz w:val="22"/>
          <w:szCs w:val="22"/>
          <w:lang w:eastAsia="en-US"/>
        </w:rPr>
      </w:pPr>
      <w:r w:rsidRPr="008664B7">
        <w:rPr>
          <w:rStyle w:val="Heading4Char"/>
        </w:rPr>
        <w:t>Accrual Adjustments</w:t>
      </w:r>
      <w:r w:rsidR="00C44DD3">
        <w:rPr>
          <w:rFonts w:ascii="Arial" w:eastAsiaTheme="majorEastAsia" w:hAnsi="Arial" w:cs="Arial"/>
          <w:b/>
          <w:sz w:val="22"/>
          <w:szCs w:val="22"/>
        </w:rPr>
        <w:br/>
      </w:r>
      <w:r w:rsidR="00335B37" w:rsidRPr="00397070">
        <w:rPr>
          <w:rFonts w:ascii="Arial" w:eastAsiaTheme="majorEastAsia" w:hAnsi="Arial" w:cs="Arial"/>
          <w:sz w:val="22"/>
          <w:szCs w:val="22"/>
        </w:rPr>
        <w:t>E</w:t>
      </w:r>
      <w:r w:rsidR="00DE0591" w:rsidRPr="00397070">
        <w:rPr>
          <w:rFonts w:ascii="Arial" w:eastAsiaTheme="majorEastAsia" w:hAnsi="Arial" w:cs="Arial"/>
          <w:sz w:val="22"/>
          <w:szCs w:val="22"/>
        </w:rPr>
        <w:t xml:space="preserve">xclude </w:t>
      </w:r>
      <w:r w:rsidR="0086005D" w:rsidRPr="00397070">
        <w:rPr>
          <w:rFonts w:ascii="Arial" w:eastAsiaTheme="majorEastAsia" w:hAnsi="Arial" w:cs="Arial"/>
          <w:sz w:val="22"/>
          <w:szCs w:val="22"/>
        </w:rPr>
        <w:t xml:space="preserve">accrual adjustments which relate to the prior </w:t>
      </w:r>
      <w:r w:rsidR="00161D5C" w:rsidRPr="00397070">
        <w:rPr>
          <w:rFonts w:ascii="Arial" w:eastAsiaTheme="majorEastAsia" w:hAnsi="Arial" w:cs="Arial"/>
          <w:sz w:val="22"/>
          <w:szCs w:val="22"/>
        </w:rPr>
        <w:t>quarter</w:t>
      </w:r>
      <w:r w:rsidR="00682E63" w:rsidRPr="00397070">
        <w:rPr>
          <w:rFonts w:ascii="Arial" w:eastAsiaTheme="majorEastAsia" w:hAnsi="Arial" w:cs="Arial"/>
          <w:sz w:val="22"/>
          <w:szCs w:val="22"/>
        </w:rPr>
        <w:t>s</w:t>
      </w:r>
      <w:r w:rsidR="0086005D" w:rsidRPr="00397070">
        <w:rPr>
          <w:rFonts w:ascii="Arial" w:eastAsiaTheme="majorEastAsia" w:hAnsi="Arial" w:cs="Arial"/>
          <w:sz w:val="22"/>
          <w:szCs w:val="22"/>
        </w:rPr>
        <w:t xml:space="preserve"> and ensure that hours and expenditure </w:t>
      </w:r>
      <w:r w:rsidR="005273CC" w:rsidRPr="00397070">
        <w:rPr>
          <w:rFonts w:ascii="Arial" w:eastAsiaTheme="majorEastAsia" w:hAnsi="Arial" w:cs="Arial"/>
          <w:sz w:val="22"/>
          <w:szCs w:val="22"/>
        </w:rPr>
        <w:t xml:space="preserve">relate to the same </w:t>
      </w:r>
      <w:r w:rsidR="00503EC8">
        <w:rPr>
          <w:rFonts w:ascii="Arial" w:eastAsiaTheme="majorEastAsia" w:hAnsi="Arial" w:cs="Arial"/>
          <w:sz w:val="22"/>
          <w:szCs w:val="22"/>
        </w:rPr>
        <w:t>and correct</w:t>
      </w:r>
      <w:r w:rsidR="00503EC8" w:rsidRPr="00397070">
        <w:rPr>
          <w:rFonts w:ascii="Arial" w:eastAsiaTheme="majorEastAsia" w:hAnsi="Arial" w:cs="Arial"/>
          <w:sz w:val="22"/>
          <w:szCs w:val="22"/>
        </w:rPr>
        <w:t xml:space="preserve"> </w:t>
      </w:r>
      <w:r w:rsidR="005273CC" w:rsidRPr="00397070">
        <w:rPr>
          <w:rFonts w:ascii="Arial" w:eastAsiaTheme="majorEastAsia" w:hAnsi="Arial" w:cs="Arial"/>
          <w:sz w:val="22"/>
          <w:szCs w:val="22"/>
        </w:rPr>
        <w:t>reporting quarter</w:t>
      </w:r>
      <w:r w:rsidR="005A5076" w:rsidRPr="00397070">
        <w:rPr>
          <w:rFonts w:ascii="Arial" w:eastAsiaTheme="majorEastAsia" w:hAnsi="Arial" w:cs="Arial"/>
          <w:sz w:val="22"/>
          <w:szCs w:val="22"/>
        </w:rPr>
        <w:t>.</w:t>
      </w:r>
    </w:p>
    <w:p w14:paraId="562F52D0" w14:textId="45C37B78" w:rsidR="006B6DCD" w:rsidRPr="003A0908" w:rsidRDefault="006B6DCD" w:rsidP="00D41F19">
      <w:pPr>
        <w:pStyle w:val="paragraph"/>
        <w:numPr>
          <w:ilvl w:val="0"/>
          <w:numId w:val="28"/>
        </w:numPr>
        <w:spacing w:before="240" w:beforeAutospacing="0" w:after="60" w:afterAutospacing="0"/>
        <w:ind w:left="357" w:hanging="357"/>
        <w:textAlignment w:val="baseline"/>
        <w:rPr>
          <w:rStyle w:val="normaltextrun"/>
          <w:rFonts w:ascii="Arial" w:eastAsiaTheme="majorEastAsia" w:hAnsi="Arial" w:cs="Arial"/>
          <w:b/>
          <w:bCs/>
          <w:sz w:val="22"/>
          <w:szCs w:val="22"/>
          <w:lang w:eastAsia="en-US"/>
        </w:rPr>
      </w:pPr>
      <w:r w:rsidRPr="008664B7">
        <w:rPr>
          <w:rStyle w:val="Heading4Char"/>
        </w:rPr>
        <w:t xml:space="preserve">Document the </w:t>
      </w:r>
      <w:r w:rsidR="000E1886" w:rsidRPr="008664B7">
        <w:rPr>
          <w:rStyle w:val="Heading4Char"/>
        </w:rPr>
        <w:t>justification for accrual</w:t>
      </w:r>
      <w:r w:rsidRPr="00397070">
        <w:rPr>
          <w:rStyle w:val="normaltextrun"/>
          <w:rFonts w:ascii="Arial" w:eastAsiaTheme="majorEastAsia" w:hAnsi="Arial" w:cs="Arial"/>
          <w:sz w:val="22"/>
          <w:szCs w:val="22"/>
        </w:rPr>
        <w:t xml:space="preserve"> Maintain thorough documentation to support the rationale behind the accruals, including calculations and assumptions. This documentation is essential for audit purposes and for future reference.</w:t>
      </w:r>
    </w:p>
    <w:p w14:paraId="27A12DE0" w14:textId="77777777" w:rsidR="003A0908" w:rsidRPr="008F5916" w:rsidRDefault="003A0908" w:rsidP="003A0908">
      <w:pPr>
        <w:pStyle w:val="paragraph"/>
        <w:spacing w:before="240" w:beforeAutospacing="0" w:after="60" w:afterAutospacing="0"/>
        <w:textAlignment w:val="baseline"/>
        <w:rPr>
          <w:rStyle w:val="normaltextrun"/>
          <w:rFonts w:ascii="Arial" w:eastAsiaTheme="majorEastAsia" w:hAnsi="Arial" w:cs="Arial"/>
          <w:b/>
          <w:bCs/>
          <w:sz w:val="22"/>
          <w:szCs w:val="22"/>
          <w:lang w:eastAsia="en-US"/>
        </w:rPr>
      </w:pPr>
    </w:p>
    <w:p w14:paraId="0C37FE5F" w14:textId="7764790A" w:rsidR="00764429" w:rsidRPr="00397070" w:rsidRDefault="00764429" w:rsidP="00FD025B">
      <w:pPr>
        <w:pStyle w:val="paragraph"/>
        <w:numPr>
          <w:ilvl w:val="0"/>
          <w:numId w:val="28"/>
        </w:numPr>
        <w:spacing w:before="80" w:beforeAutospacing="0" w:after="60" w:afterAutospacing="0"/>
        <w:ind w:left="357" w:hanging="357"/>
        <w:textAlignment w:val="baseline"/>
        <w:rPr>
          <w:rFonts w:ascii="Arial" w:eastAsiaTheme="majorEastAsia" w:hAnsi="Arial" w:cs="Arial"/>
          <w:sz w:val="22"/>
          <w:szCs w:val="22"/>
        </w:rPr>
      </w:pPr>
      <w:r w:rsidRPr="008664B7">
        <w:rPr>
          <w:rStyle w:val="Heading4Char"/>
        </w:rPr>
        <w:t>Review and Adjust</w:t>
      </w:r>
      <w:r w:rsidR="00B50FD3">
        <w:rPr>
          <w:rStyle w:val="normaltextrun"/>
          <w:rFonts w:ascii="Arial" w:eastAsiaTheme="majorEastAsia" w:hAnsi="Arial" w:cs="Arial"/>
          <w:b/>
          <w:sz w:val="22"/>
          <w:szCs w:val="22"/>
        </w:rPr>
        <w:br/>
      </w:r>
      <w:r w:rsidRPr="00397070">
        <w:rPr>
          <w:rFonts w:ascii="Arial" w:hAnsi="Arial" w:cs="Arial"/>
          <w:sz w:val="22"/>
          <w:szCs w:val="22"/>
        </w:rPr>
        <w:t xml:space="preserve">Periodically review and adjust </w:t>
      </w:r>
      <w:r w:rsidR="00583189" w:rsidRPr="00397070">
        <w:rPr>
          <w:rFonts w:ascii="Arial" w:hAnsi="Arial" w:cs="Arial"/>
          <w:sz w:val="22"/>
          <w:szCs w:val="22"/>
        </w:rPr>
        <w:t>standing</w:t>
      </w:r>
      <w:r w:rsidR="00482F67" w:rsidRPr="00397070">
        <w:rPr>
          <w:rFonts w:ascii="Arial" w:hAnsi="Arial" w:cs="Arial"/>
          <w:sz w:val="22"/>
          <w:szCs w:val="22"/>
        </w:rPr>
        <w:t xml:space="preserve"> </w:t>
      </w:r>
      <w:r w:rsidRPr="00397070">
        <w:rPr>
          <w:rFonts w:ascii="Arial" w:hAnsi="Arial" w:cs="Arial"/>
          <w:sz w:val="22"/>
          <w:szCs w:val="22"/>
        </w:rPr>
        <w:t xml:space="preserve">accruals to reflect any changes in circumstances or new information. This ensures that the </w:t>
      </w:r>
      <w:r w:rsidR="007E79C2" w:rsidRPr="00397070">
        <w:rPr>
          <w:rFonts w:ascii="Arial" w:hAnsi="Arial" w:cs="Arial"/>
          <w:sz w:val="22"/>
          <w:szCs w:val="22"/>
        </w:rPr>
        <w:t>data and information</w:t>
      </w:r>
      <w:r w:rsidRPr="00397070">
        <w:rPr>
          <w:rFonts w:ascii="Arial" w:hAnsi="Arial" w:cs="Arial"/>
          <w:sz w:val="22"/>
          <w:szCs w:val="22"/>
        </w:rPr>
        <w:t xml:space="preserve"> remain</w:t>
      </w:r>
      <w:r w:rsidR="00F70BC4" w:rsidRPr="00397070">
        <w:rPr>
          <w:rFonts w:ascii="Arial" w:hAnsi="Arial" w:cs="Arial"/>
          <w:sz w:val="22"/>
          <w:szCs w:val="22"/>
        </w:rPr>
        <w:t>s</w:t>
      </w:r>
      <w:r w:rsidRPr="00397070">
        <w:rPr>
          <w:rFonts w:ascii="Arial" w:hAnsi="Arial" w:cs="Arial"/>
          <w:sz w:val="22"/>
          <w:szCs w:val="22"/>
        </w:rPr>
        <w:t xml:space="preserve"> accurate and up</w:t>
      </w:r>
      <w:r w:rsidR="00E60E8B" w:rsidRPr="00397070">
        <w:rPr>
          <w:rFonts w:ascii="Arial" w:hAnsi="Arial" w:cs="Arial"/>
          <w:sz w:val="22"/>
          <w:szCs w:val="22"/>
        </w:rPr>
        <w:t xml:space="preserve"> </w:t>
      </w:r>
      <w:r w:rsidRPr="00397070">
        <w:rPr>
          <w:rFonts w:ascii="Arial" w:hAnsi="Arial" w:cs="Arial"/>
          <w:sz w:val="22"/>
          <w:szCs w:val="22"/>
        </w:rPr>
        <w:t>to</w:t>
      </w:r>
      <w:r w:rsidR="00E60E8B" w:rsidRPr="00397070">
        <w:rPr>
          <w:rFonts w:ascii="Arial" w:hAnsi="Arial" w:cs="Arial"/>
          <w:sz w:val="22"/>
          <w:szCs w:val="22"/>
        </w:rPr>
        <w:t xml:space="preserve"> </w:t>
      </w:r>
      <w:r w:rsidRPr="00397070">
        <w:rPr>
          <w:rFonts w:ascii="Arial" w:hAnsi="Arial" w:cs="Arial"/>
          <w:sz w:val="22"/>
          <w:szCs w:val="22"/>
        </w:rPr>
        <w:t>date.</w:t>
      </w:r>
    </w:p>
    <w:p w14:paraId="0E924EB8" w14:textId="251A0A04" w:rsidR="00D14D6D" w:rsidRPr="00397070" w:rsidRDefault="00764429" w:rsidP="00D41F19">
      <w:pPr>
        <w:pStyle w:val="paragraph"/>
        <w:numPr>
          <w:ilvl w:val="0"/>
          <w:numId w:val="28"/>
        </w:numPr>
        <w:spacing w:before="240" w:beforeAutospacing="0" w:after="60" w:afterAutospacing="0"/>
        <w:ind w:left="357" w:hanging="357"/>
        <w:textAlignment w:val="baseline"/>
        <w:rPr>
          <w:rStyle w:val="normaltextrun"/>
          <w:rFonts w:ascii="Arial" w:eastAsiaTheme="majorEastAsia" w:hAnsi="Arial" w:cs="Arial"/>
          <w:sz w:val="22"/>
          <w:szCs w:val="22"/>
        </w:rPr>
      </w:pPr>
      <w:r w:rsidRPr="008664B7">
        <w:rPr>
          <w:rStyle w:val="Heading4Char"/>
        </w:rPr>
        <w:t>Compliance and Controls</w:t>
      </w:r>
      <w:r w:rsidR="000E3470">
        <w:rPr>
          <w:rStyle w:val="normaltextrun"/>
          <w:rFonts w:ascii="Arial" w:eastAsiaTheme="majorEastAsia" w:hAnsi="Arial" w:cs="Arial"/>
          <w:b/>
          <w:sz w:val="22"/>
          <w:szCs w:val="22"/>
        </w:rPr>
        <w:br/>
      </w:r>
      <w:r w:rsidRPr="00397070">
        <w:rPr>
          <w:rStyle w:val="normaltextrun"/>
          <w:rFonts w:ascii="Arial" w:eastAsiaTheme="majorEastAsia" w:hAnsi="Arial" w:cs="Arial"/>
          <w:sz w:val="22"/>
          <w:szCs w:val="22"/>
        </w:rPr>
        <w:t>Ensure that accruals comply with relevant accounting standards and regulations. Implement strong internal controls to prevent errors in the accrual process.</w:t>
      </w:r>
    </w:p>
    <w:p w14:paraId="6B193A20" w14:textId="216C52B4" w:rsidR="00A93F63" w:rsidRPr="008664B7" w:rsidRDefault="00506340" w:rsidP="008664B7">
      <w:pPr>
        <w:pStyle w:val="Heading3"/>
        <w:rPr>
          <w:rStyle w:val="normaltextrun"/>
        </w:rPr>
      </w:pPr>
      <w:r w:rsidRPr="008664B7">
        <w:rPr>
          <w:rStyle w:val="normaltextrun"/>
        </w:rPr>
        <w:t>Tips for common issues</w:t>
      </w:r>
    </w:p>
    <w:p w14:paraId="7D0C8387" w14:textId="17F9757C" w:rsidR="000933BD" w:rsidRPr="00397070" w:rsidRDefault="000933BD" w:rsidP="00D41F19">
      <w:pPr>
        <w:pStyle w:val="paragraph"/>
        <w:numPr>
          <w:ilvl w:val="0"/>
          <w:numId w:val="28"/>
        </w:numPr>
        <w:spacing w:before="120" w:beforeAutospacing="0" w:after="60" w:afterAutospacing="0"/>
        <w:ind w:left="357" w:hanging="357"/>
        <w:textAlignment w:val="baseline"/>
        <w:rPr>
          <w:rStyle w:val="normaltextrun"/>
          <w:rFonts w:ascii="Arial" w:eastAsiaTheme="majorEastAsia" w:hAnsi="Arial" w:cs="Arial"/>
          <w:sz w:val="22"/>
          <w:szCs w:val="22"/>
        </w:rPr>
      </w:pPr>
      <w:r w:rsidRPr="008664B7">
        <w:rPr>
          <w:rStyle w:val="Heading4Char"/>
        </w:rPr>
        <w:t>Invoices not</w:t>
      </w:r>
      <w:r w:rsidR="008A3327" w:rsidRPr="008664B7">
        <w:rPr>
          <w:rStyle w:val="Heading4Char"/>
        </w:rPr>
        <w:t xml:space="preserve"> billed in the required quarter</w:t>
      </w:r>
      <w:r w:rsidR="00390B5F">
        <w:rPr>
          <w:rStyle w:val="normaltextrun"/>
          <w:rFonts w:ascii="Arial" w:eastAsiaTheme="majorEastAsia" w:hAnsi="Arial" w:cs="Arial"/>
          <w:b/>
          <w:sz w:val="22"/>
          <w:szCs w:val="22"/>
        </w:rPr>
        <w:br/>
      </w:r>
      <w:r w:rsidR="00A8069A">
        <w:rPr>
          <w:rStyle w:val="normaltextrun"/>
          <w:rFonts w:ascii="Arial" w:eastAsiaTheme="majorEastAsia" w:hAnsi="Arial" w:cs="Arial"/>
          <w:sz w:val="22"/>
          <w:szCs w:val="22"/>
        </w:rPr>
        <w:t xml:space="preserve">Agency invoices received late or after the relevant reporting quarter must be reported in the quarter when the expenditure occurred, not when the invoice was received. If agency invoices are late, providers should estimate expenditure using recorded hours, in line with the estimation techniques noted above. </w:t>
      </w:r>
    </w:p>
    <w:p w14:paraId="5B297F93" w14:textId="0AC16B60" w:rsidR="0087799D" w:rsidRPr="00397070" w:rsidRDefault="007C4547" w:rsidP="00D41F19">
      <w:pPr>
        <w:pStyle w:val="paragraph"/>
        <w:numPr>
          <w:ilvl w:val="0"/>
          <w:numId w:val="28"/>
        </w:numPr>
        <w:spacing w:before="240" w:beforeAutospacing="0" w:after="60" w:afterAutospacing="0"/>
        <w:ind w:left="357" w:hanging="357"/>
        <w:textAlignment w:val="baseline"/>
        <w:rPr>
          <w:rStyle w:val="normaltextrun"/>
          <w:rFonts w:eastAsiaTheme="majorEastAsia"/>
          <w:sz w:val="22"/>
          <w:szCs w:val="22"/>
        </w:rPr>
      </w:pPr>
      <w:r w:rsidRPr="008664B7">
        <w:rPr>
          <w:rStyle w:val="Heading4Char"/>
        </w:rPr>
        <w:t xml:space="preserve">Labour hours and expenditure </w:t>
      </w:r>
      <w:r w:rsidR="00065078" w:rsidRPr="008664B7">
        <w:rPr>
          <w:rStyle w:val="Heading4Char"/>
        </w:rPr>
        <w:t>based on internal pay cycles</w:t>
      </w:r>
      <w:r w:rsidR="0052646A">
        <w:rPr>
          <w:rStyle w:val="normaltextrun"/>
          <w:rFonts w:ascii="Arial" w:eastAsiaTheme="majorEastAsia" w:hAnsi="Arial" w:cs="Arial"/>
          <w:b/>
          <w:sz w:val="22"/>
          <w:szCs w:val="22"/>
        </w:rPr>
        <w:br/>
      </w:r>
      <w:r w:rsidR="00B60DB4" w:rsidRPr="00397070">
        <w:rPr>
          <w:rStyle w:val="normaltextrun"/>
          <w:rFonts w:ascii="Arial" w:eastAsiaTheme="majorEastAsia" w:hAnsi="Arial" w:cs="Arial"/>
          <w:sz w:val="22"/>
          <w:szCs w:val="22"/>
        </w:rPr>
        <w:t xml:space="preserve">Internal pay cycles often do not match </w:t>
      </w:r>
      <w:r w:rsidR="004734F0" w:rsidRPr="00397070">
        <w:rPr>
          <w:rStyle w:val="normaltextrun"/>
          <w:rFonts w:ascii="Arial" w:eastAsiaTheme="majorEastAsia" w:hAnsi="Arial" w:cs="Arial"/>
          <w:sz w:val="22"/>
          <w:szCs w:val="22"/>
        </w:rPr>
        <w:t xml:space="preserve">with the QFR reporting </w:t>
      </w:r>
      <w:r w:rsidR="00174F86">
        <w:rPr>
          <w:rStyle w:val="normaltextrun"/>
          <w:rFonts w:ascii="Arial" w:eastAsiaTheme="majorEastAsia" w:hAnsi="Arial" w:cs="Arial"/>
          <w:sz w:val="22"/>
          <w:szCs w:val="22"/>
        </w:rPr>
        <w:t>period</w:t>
      </w:r>
      <w:r w:rsidR="000F55E2" w:rsidRPr="00397070">
        <w:rPr>
          <w:rStyle w:val="normaltextrun"/>
          <w:rFonts w:ascii="Arial" w:eastAsiaTheme="majorEastAsia" w:hAnsi="Arial" w:cs="Arial"/>
          <w:sz w:val="22"/>
          <w:szCs w:val="22"/>
        </w:rPr>
        <w:t xml:space="preserve"> </w:t>
      </w:r>
      <w:r w:rsidR="002A002A" w:rsidRPr="00397070">
        <w:rPr>
          <w:rStyle w:val="normaltextrun"/>
          <w:rFonts w:ascii="Arial" w:eastAsiaTheme="majorEastAsia" w:hAnsi="Arial" w:cs="Arial"/>
          <w:sz w:val="22"/>
          <w:szCs w:val="22"/>
        </w:rPr>
        <w:t xml:space="preserve">(i.e. full three months per quarter) </w:t>
      </w:r>
      <w:r w:rsidR="003F3AD3" w:rsidRPr="00397070">
        <w:rPr>
          <w:rStyle w:val="normaltextrun"/>
          <w:rFonts w:ascii="Arial" w:eastAsiaTheme="majorEastAsia" w:hAnsi="Arial" w:cs="Arial"/>
          <w:sz w:val="22"/>
          <w:szCs w:val="22"/>
        </w:rPr>
        <w:t xml:space="preserve">and </w:t>
      </w:r>
      <w:r w:rsidR="0077076C" w:rsidRPr="00397070">
        <w:rPr>
          <w:rStyle w:val="normaltextrun"/>
          <w:rFonts w:ascii="Arial" w:eastAsiaTheme="majorEastAsia" w:hAnsi="Arial" w:cs="Arial"/>
          <w:sz w:val="22"/>
          <w:szCs w:val="22"/>
        </w:rPr>
        <w:t>wages are paid</w:t>
      </w:r>
      <w:r w:rsidR="0006127B" w:rsidRPr="00397070">
        <w:rPr>
          <w:rStyle w:val="normaltextrun"/>
          <w:rFonts w:ascii="Arial" w:eastAsiaTheme="majorEastAsia" w:hAnsi="Arial" w:cs="Arial"/>
          <w:sz w:val="22"/>
          <w:szCs w:val="22"/>
        </w:rPr>
        <w:t xml:space="preserve"> based on these pay cycles rather than </w:t>
      </w:r>
      <w:r w:rsidR="00431F98" w:rsidRPr="00397070">
        <w:rPr>
          <w:rStyle w:val="normaltextrun"/>
          <w:rFonts w:ascii="Arial" w:eastAsiaTheme="majorEastAsia" w:hAnsi="Arial" w:cs="Arial"/>
          <w:sz w:val="22"/>
          <w:szCs w:val="22"/>
        </w:rPr>
        <w:t>accruing hours an</w:t>
      </w:r>
      <w:r w:rsidR="00D56A46" w:rsidRPr="00397070">
        <w:rPr>
          <w:rStyle w:val="normaltextrun"/>
          <w:rFonts w:ascii="Arial" w:eastAsiaTheme="majorEastAsia" w:hAnsi="Arial" w:cs="Arial"/>
          <w:sz w:val="22"/>
          <w:szCs w:val="22"/>
        </w:rPr>
        <w:t xml:space="preserve">d expenditure </w:t>
      </w:r>
      <w:r w:rsidR="00AE0EB0" w:rsidRPr="00397070">
        <w:rPr>
          <w:rStyle w:val="normaltextrun"/>
          <w:rFonts w:ascii="Arial" w:eastAsiaTheme="majorEastAsia" w:hAnsi="Arial" w:cs="Arial"/>
          <w:sz w:val="22"/>
          <w:szCs w:val="22"/>
        </w:rPr>
        <w:t>when</w:t>
      </w:r>
      <w:r w:rsidR="00923528" w:rsidRPr="00397070">
        <w:rPr>
          <w:rStyle w:val="normaltextrun"/>
          <w:rFonts w:ascii="Arial" w:eastAsiaTheme="majorEastAsia" w:hAnsi="Arial" w:cs="Arial"/>
          <w:sz w:val="22"/>
          <w:szCs w:val="22"/>
        </w:rPr>
        <w:t xml:space="preserve"> they were incurred. </w:t>
      </w:r>
      <w:r w:rsidR="007B3027" w:rsidRPr="00397070">
        <w:rPr>
          <w:rStyle w:val="normaltextrun"/>
          <w:rFonts w:ascii="Arial" w:eastAsiaTheme="majorEastAsia" w:hAnsi="Arial" w:cs="Arial"/>
          <w:sz w:val="22"/>
          <w:szCs w:val="22"/>
        </w:rPr>
        <w:t>If a pay period straddle</w:t>
      </w:r>
      <w:r w:rsidR="3DD0F6DE" w:rsidRPr="00397070">
        <w:rPr>
          <w:rStyle w:val="normaltextrun"/>
          <w:rFonts w:ascii="Arial" w:eastAsiaTheme="majorEastAsia" w:hAnsi="Arial" w:cs="Arial"/>
          <w:sz w:val="22"/>
          <w:szCs w:val="22"/>
        </w:rPr>
        <w:t>s</w:t>
      </w:r>
      <w:r w:rsidR="007B3027" w:rsidRPr="00397070">
        <w:rPr>
          <w:rStyle w:val="normaltextrun"/>
          <w:rFonts w:ascii="Arial" w:eastAsiaTheme="majorEastAsia" w:hAnsi="Arial" w:cs="Arial"/>
          <w:sz w:val="22"/>
          <w:szCs w:val="22"/>
        </w:rPr>
        <w:t xml:space="preserve"> </w:t>
      </w:r>
      <w:r w:rsidR="00674D91" w:rsidRPr="00397070">
        <w:rPr>
          <w:rStyle w:val="normaltextrun"/>
          <w:rFonts w:ascii="Arial" w:eastAsiaTheme="majorEastAsia" w:hAnsi="Arial" w:cs="Arial"/>
          <w:sz w:val="22"/>
          <w:szCs w:val="22"/>
        </w:rPr>
        <w:t>a quarter-end</w:t>
      </w:r>
      <w:r w:rsidR="006A6E2E" w:rsidRPr="00397070">
        <w:rPr>
          <w:rStyle w:val="normaltextrun"/>
          <w:rFonts w:ascii="Arial" w:eastAsiaTheme="majorEastAsia" w:hAnsi="Arial" w:cs="Arial"/>
          <w:sz w:val="22"/>
          <w:szCs w:val="22"/>
        </w:rPr>
        <w:t xml:space="preserve">, ensure the </w:t>
      </w:r>
      <w:r w:rsidR="00010CD3">
        <w:rPr>
          <w:rStyle w:val="normaltextrun"/>
          <w:rFonts w:ascii="Arial" w:eastAsiaTheme="majorEastAsia" w:hAnsi="Arial" w:cs="Arial"/>
          <w:sz w:val="22"/>
          <w:szCs w:val="22"/>
        </w:rPr>
        <w:t>correct</w:t>
      </w:r>
      <w:r w:rsidR="00010CD3" w:rsidRPr="00397070">
        <w:rPr>
          <w:rStyle w:val="normaltextrun"/>
          <w:rFonts w:ascii="Arial" w:eastAsiaTheme="majorEastAsia" w:hAnsi="Arial" w:cs="Arial"/>
          <w:sz w:val="22"/>
          <w:szCs w:val="22"/>
        </w:rPr>
        <w:t xml:space="preserve"> </w:t>
      </w:r>
      <w:r w:rsidR="006A6E2E" w:rsidRPr="00397070">
        <w:rPr>
          <w:rStyle w:val="normaltextrun"/>
          <w:rFonts w:ascii="Arial" w:eastAsiaTheme="majorEastAsia" w:hAnsi="Arial" w:cs="Arial"/>
          <w:sz w:val="22"/>
          <w:szCs w:val="22"/>
        </w:rPr>
        <w:t xml:space="preserve">number of working days </w:t>
      </w:r>
      <w:r w:rsidR="671364DC" w:rsidRPr="00397070">
        <w:rPr>
          <w:rStyle w:val="normaltextrun"/>
          <w:rFonts w:ascii="Arial" w:eastAsiaTheme="majorEastAsia" w:hAnsi="Arial" w:cs="Arial"/>
          <w:sz w:val="22"/>
          <w:szCs w:val="22"/>
        </w:rPr>
        <w:t xml:space="preserve">are included </w:t>
      </w:r>
      <w:r w:rsidR="00010CD3">
        <w:rPr>
          <w:rStyle w:val="normaltextrun"/>
          <w:rFonts w:ascii="Arial" w:eastAsiaTheme="majorEastAsia" w:hAnsi="Arial" w:cs="Arial"/>
          <w:sz w:val="22"/>
          <w:szCs w:val="22"/>
        </w:rPr>
        <w:t>for</w:t>
      </w:r>
      <w:r w:rsidR="00010CD3" w:rsidRPr="00397070">
        <w:rPr>
          <w:rStyle w:val="normaltextrun"/>
          <w:rFonts w:ascii="Arial" w:eastAsiaTheme="majorEastAsia" w:hAnsi="Arial" w:cs="Arial"/>
          <w:sz w:val="22"/>
          <w:szCs w:val="22"/>
        </w:rPr>
        <w:t xml:space="preserve"> </w:t>
      </w:r>
      <w:r w:rsidR="671364DC" w:rsidRPr="00397070">
        <w:rPr>
          <w:rStyle w:val="normaltextrun"/>
          <w:rFonts w:ascii="Arial" w:eastAsiaTheme="majorEastAsia" w:hAnsi="Arial" w:cs="Arial"/>
          <w:sz w:val="22"/>
          <w:szCs w:val="22"/>
        </w:rPr>
        <w:t>the</w:t>
      </w:r>
      <w:r w:rsidR="006A6E2E" w:rsidRPr="00397070">
        <w:rPr>
          <w:rStyle w:val="normaltextrun"/>
          <w:rFonts w:ascii="Arial" w:eastAsiaTheme="majorEastAsia" w:hAnsi="Arial" w:cs="Arial"/>
          <w:sz w:val="22"/>
          <w:szCs w:val="22"/>
        </w:rPr>
        <w:t xml:space="preserve"> </w:t>
      </w:r>
      <w:r w:rsidR="00D82273" w:rsidRPr="00397070">
        <w:rPr>
          <w:rStyle w:val="normaltextrun"/>
          <w:rFonts w:ascii="Arial" w:eastAsiaTheme="majorEastAsia" w:hAnsi="Arial" w:cs="Arial"/>
          <w:sz w:val="22"/>
          <w:szCs w:val="22"/>
        </w:rPr>
        <w:t>quarter being reported</w:t>
      </w:r>
      <w:r w:rsidR="006A6E2E" w:rsidRPr="00397070">
        <w:rPr>
          <w:rStyle w:val="normaltextrun"/>
          <w:rFonts w:ascii="Arial" w:eastAsiaTheme="majorEastAsia" w:hAnsi="Arial" w:cs="Arial"/>
          <w:sz w:val="22"/>
          <w:szCs w:val="22"/>
        </w:rPr>
        <w:t>.</w:t>
      </w:r>
    </w:p>
    <w:sectPr w:rsidR="0087799D" w:rsidRPr="00397070" w:rsidSect="008D2C8E">
      <w:type w:val="continuous"/>
      <w:pgSz w:w="11906" w:h="16838" w:code="9"/>
      <w:pgMar w:top="1440" w:right="851" w:bottom="568" w:left="851" w:header="1701" w:footer="709"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CDAA3" w14:textId="77777777" w:rsidR="00BB704E" w:rsidRDefault="00BB704E" w:rsidP="0076491B">
      <w:pPr>
        <w:spacing w:before="0" w:after="0" w:line="240" w:lineRule="auto"/>
      </w:pPr>
      <w:r>
        <w:separator/>
      </w:r>
    </w:p>
  </w:endnote>
  <w:endnote w:type="continuationSeparator" w:id="0">
    <w:p w14:paraId="7C4BFBE0" w14:textId="77777777" w:rsidR="00BB704E" w:rsidRDefault="00BB704E" w:rsidP="0076491B">
      <w:pPr>
        <w:spacing w:before="0" w:after="0" w:line="240" w:lineRule="auto"/>
      </w:pPr>
      <w:r>
        <w:continuationSeparator/>
      </w:r>
    </w:p>
  </w:endnote>
  <w:endnote w:type="continuationNotice" w:id="1">
    <w:p w14:paraId="5B4E0B22" w14:textId="77777777" w:rsidR="00BB704E" w:rsidRDefault="00BB704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76B8E" w14:textId="77777777" w:rsidR="00BB704E" w:rsidRDefault="00BB704E" w:rsidP="0076491B">
      <w:pPr>
        <w:spacing w:before="0" w:after="0" w:line="240" w:lineRule="auto"/>
      </w:pPr>
      <w:r>
        <w:separator/>
      </w:r>
    </w:p>
  </w:footnote>
  <w:footnote w:type="continuationSeparator" w:id="0">
    <w:p w14:paraId="32D438DC" w14:textId="77777777" w:rsidR="00BB704E" w:rsidRDefault="00BB704E" w:rsidP="0076491B">
      <w:pPr>
        <w:spacing w:before="0" w:after="0" w:line="240" w:lineRule="auto"/>
      </w:pPr>
      <w:r>
        <w:continuationSeparator/>
      </w:r>
    </w:p>
  </w:footnote>
  <w:footnote w:type="continuationNotice" w:id="1">
    <w:p w14:paraId="237CCA28" w14:textId="77777777" w:rsidR="00BB704E" w:rsidRDefault="00BB704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FADC8" w14:textId="411581BF" w:rsidR="0076491B" w:rsidRPr="008D2C8E" w:rsidRDefault="0076491B" w:rsidP="008D2C8E">
    <w:pPr>
      <w:pStyle w:val="Heading1"/>
      <w:spacing w:before="0" w:after="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5A11A76"/>
    <w:multiLevelType w:val="hybridMultilevel"/>
    <w:tmpl w:val="B4DE2524"/>
    <w:lvl w:ilvl="0" w:tplc="7D4408FE">
      <w:start w:val="1"/>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C1895"/>
    <w:multiLevelType w:val="hybridMultilevel"/>
    <w:tmpl w:val="846EE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245CE"/>
    <w:multiLevelType w:val="multilevel"/>
    <w:tmpl w:val="6608A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82B2A"/>
    <w:multiLevelType w:val="hybridMultilevel"/>
    <w:tmpl w:val="2B7EDD5E"/>
    <w:lvl w:ilvl="0" w:tplc="232A78C6">
      <w:start w:val="1"/>
      <w:numFmt w:val="bullet"/>
      <w:lvlText w:val="•"/>
      <w:lvlJc w:val="left"/>
      <w:pPr>
        <w:ind w:left="720" w:hanging="360"/>
      </w:pPr>
      <w:rPr>
        <w:rFonts w:ascii="Arial" w:hAnsi="Arial" w:cs="Arial"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A5D8C"/>
    <w:multiLevelType w:val="hybridMultilevel"/>
    <w:tmpl w:val="6BC4C49C"/>
    <w:lvl w:ilvl="0" w:tplc="1E28445A">
      <w:start w:val="1"/>
      <w:numFmt w:val="bullet"/>
      <w:pStyle w:val="Style1subheading"/>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0"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586A97"/>
    <w:multiLevelType w:val="hybridMultilevel"/>
    <w:tmpl w:val="DBFA83F4"/>
    <w:lvl w:ilvl="0" w:tplc="7D4408FE">
      <w:start w:val="1"/>
      <w:numFmt w:val="bullet"/>
      <w:lvlText w:val="□"/>
      <w:lvlJc w:val="left"/>
      <w:pPr>
        <w:ind w:left="720" w:hanging="360"/>
      </w:pPr>
      <w:rPr>
        <w:rFonts w:ascii="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4941D76"/>
    <w:multiLevelType w:val="multilevel"/>
    <w:tmpl w:val="E290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F80164"/>
    <w:multiLevelType w:val="multilevel"/>
    <w:tmpl w:val="DA58183C"/>
    <w:lvl w:ilvl="0">
      <w:start w:val="1"/>
      <w:numFmt w:val="bullet"/>
      <w:lvlText w:val="□"/>
      <w:lvlJc w:val="left"/>
      <w:pPr>
        <w:tabs>
          <w:tab w:val="num" w:pos="-579"/>
        </w:tabs>
        <w:ind w:left="-579" w:hanging="360"/>
      </w:pPr>
      <w:rPr>
        <w:rFonts w:ascii="Times New Roman" w:hAnsi="Times New Roman" w:cs="Times New Roman" w:hint="default"/>
        <w:sz w:val="20"/>
      </w:rPr>
    </w:lvl>
    <w:lvl w:ilvl="1">
      <w:start w:val="1"/>
      <w:numFmt w:val="bullet"/>
      <w:lvlText w:val="□"/>
      <w:lvlJc w:val="left"/>
      <w:pPr>
        <w:ind w:left="141" w:hanging="360"/>
      </w:pPr>
      <w:rPr>
        <w:rFonts w:ascii="Times New Roman" w:hAnsi="Times New Roman" w:cs="Times New Roman" w:hint="default"/>
      </w:rPr>
    </w:lvl>
    <w:lvl w:ilvl="2">
      <w:start w:val="1"/>
      <w:numFmt w:val="bullet"/>
      <w:lvlText w:val=""/>
      <w:lvlJc w:val="left"/>
      <w:pPr>
        <w:tabs>
          <w:tab w:val="num" w:pos="861"/>
        </w:tabs>
        <w:ind w:left="861" w:hanging="360"/>
      </w:pPr>
      <w:rPr>
        <w:rFonts w:ascii="Symbol" w:hAnsi="Symbol" w:hint="default"/>
        <w:sz w:val="20"/>
      </w:rPr>
    </w:lvl>
    <w:lvl w:ilvl="3" w:tentative="1">
      <w:start w:val="1"/>
      <w:numFmt w:val="bullet"/>
      <w:lvlText w:val=""/>
      <w:lvlJc w:val="left"/>
      <w:pPr>
        <w:tabs>
          <w:tab w:val="num" w:pos="1581"/>
        </w:tabs>
        <w:ind w:left="1581" w:hanging="360"/>
      </w:pPr>
      <w:rPr>
        <w:rFonts w:ascii="Symbol" w:hAnsi="Symbol" w:hint="default"/>
        <w:sz w:val="20"/>
      </w:rPr>
    </w:lvl>
    <w:lvl w:ilvl="4" w:tentative="1">
      <w:start w:val="1"/>
      <w:numFmt w:val="bullet"/>
      <w:lvlText w:val=""/>
      <w:lvlJc w:val="left"/>
      <w:pPr>
        <w:tabs>
          <w:tab w:val="num" w:pos="2301"/>
        </w:tabs>
        <w:ind w:left="2301" w:hanging="360"/>
      </w:pPr>
      <w:rPr>
        <w:rFonts w:ascii="Symbol" w:hAnsi="Symbol" w:hint="default"/>
        <w:sz w:val="20"/>
      </w:rPr>
    </w:lvl>
    <w:lvl w:ilvl="5" w:tentative="1">
      <w:start w:val="1"/>
      <w:numFmt w:val="bullet"/>
      <w:lvlText w:val=""/>
      <w:lvlJc w:val="left"/>
      <w:pPr>
        <w:tabs>
          <w:tab w:val="num" w:pos="3021"/>
        </w:tabs>
        <w:ind w:left="3021" w:hanging="360"/>
      </w:pPr>
      <w:rPr>
        <w:rFonts w:ascii="Symbol" w:hAnsi="Symbol" w:hint="default"/>
        <w:sz w:val="20"/>
      </w:rPr>
    </w:lvl>
    <w:lvl w:ilvl="6" w:tentative="1">
      <w:start w:val="1"/>
      <w:numFmt w:val="bullet"/>
      <w:lvlText w:val=""/>
      <w:lvlJc w:val="left"/>
      <w:pPr>
        <w:tabs>
          <w:tab w:val="num" w:pos="3741"/>
        </w:tabs>
        <w:ind w:left="3741" w:hanging="360"/>
      </w:pPr>
      <w:rPr>
        <w:rFonts w:ascii="Symbol" w:hAnsi="Symbol" w:hint="default"/>
        <w:sz w:val="20"/>
      </w:rPr>
    </w:lvl>
    <w:lvl w:ilvl="7" w:tentative="1">
      <w:start w:val="1"/>
      <w:numFmt w:val="bullet"/>
      <w:lvlText w:val=""/>
      <w:lvlJc w:val="left"/>
      <w:pPr>
        <w:tabs>
          <w:tab w:val="num" w:pos="4461"/>
        </w:tabs>
        <w:ind w:left="4461" w:hanging="360"/>
      </w:pPr>
      <w:rPr>
        <w:rFonts w:ascii="Symbol" w:hAnsi="Symbol" w:hint="default"/>
        <w:sz w:val="20"/>
      </w:rPr>
    </w:lvl>
    <w:lvl w:ilvl="8" w:tentative="1">
      <w:start w:val="1"/>
      <w:numFmt w:val="bullet"/>
      <w:lvlText w:val=""/>
      <w:lvlJc w:val="left"/>
      <w:pPr>
        <w:tabs>
          <w:tab w:val="num" w:pos="5181"/>
        </w:tabs>
        <w:ind w:left="5181" w:hanging="360"/>
      </w:pPr>
      <w:rPr>
        <w:rFonts w:ascii="Symbol" w:hAnsi="Symbol" w:hint="default"/>
        <w:sz w:val="20"/>
      </w:rPr>
    </w:lvl>
  </w:abstractNum>
  <w:abstractNum w:abstractNumId="17"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8"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806D00"/>
    <w:multiLevelType w:val="hybridMultilevel"/>
    <w:tmpl w:val="78FCC5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3"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8CF282B"/>
    <w:multiLevelType w:val="hybridMultilevel"/>
    <w:tmpl w:val="0186E5B6"/>
    <w:lvl w:ilvl="0" w:tplc="0C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6"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6296236">
    <w:abstractNumId w:val="27"/>
  </w:num>
  <w:num w:numId="2" w16cid:durableId="683433683">
    <w:abstractNumId w:val="8"/>
  </w:num>
  <w:num w:numId="3" w16cid:durableId="1420180794">
    <w:abstractNumId w:val="25"/>
  </w:num>
  <w:num w:numId="4" w16cid:durableId="1246039568">
    <w:abstractNumId w:val="26"/>
  </w:num>
  <w:num w:numId="5" w16cid:durableId="267347656">
    <w:abstractNumId w:val="13"/>
  </w:num>
  <w:num w:numId="6" w16cid:durableId="25374810">
    <w:abstractNumId w:val="4"/>
  </w:num>
  <w:num w:numId="7" w16cid:durableId="625046029">
    <w:abstractNumId w:val="21"/>
  </w:num>
  <w:num w:numId="8" w16cid:durableId="1449200200">
    <w:abstractNumId w:val="19"/>
  </w:num>
  <w:num w:numId="9" w16cid:durableId="1750693769">
    <w:abstractNumId w:val="23"/>
  </w:num>
  <w:num w:numId="10" w16cid:durableId="1674184251">
    <w:abstractNumId w:val="0"/>
  </w:num>
  <w:num w:numId="11" w16cid:durableId="916329882">
    <w:abstractNumId w:val="28"/>
  </w:num>
  <w:num w:numId="12" w16cid:durableId="204635734">
    <w:abstractNumId w:val="10"/>
  </w:num>
  <w:num w:numId="13" w16cid:durableId="724648498">
    <w:abstractNumId w:val="18"/>
  </w:num>
  <w:num w:numId="14" w16cid:durableId="1327127999">
    <w:abstractNumId w:val="2"/>
  </w:num>
  <w:num w:numId="15" w16cid:durableId="992297739">
    <w:abstractNumId w:val="12"/>
  </w:num>
  <w:num w:numId="16" w16cid:durableId="492064502">
    <w:abstractNumId w:val="14"/>
  </w:num>
  <w:num w:numId="17" w16cid:durableId="2132284160">
    <w:abstractNumId w:val="22"/>
  </w:num>
  <w:num w:numId="18" w16cid:durableId="207648081">
    <w:abstractNumId w:val="17"/>
  </w:num>
  <w:num w:numId="19" w16cid:durableId="2052995730">
    <w:abstractNumId w:val="9"/>
  </w:num>
  <w:num w:numId="20" w16cid:durableId="2128042078">
    <w:abstractNumId w:val="16"/>
  </w:num>
  <w:num w:numId="21" w16cid:durableId="1581863965">
    <w:abstractNumId w:val="15"/>
  </w:num>
  <w:num w:numId="22" w16cid:durableId="472674129">
    <w:abstractNumId w:val="11"/>
  </w:num>
  <w:num w:numId="23" w16cid:durableId="1979264833">
    <w:abstractNumId w:val="1"/>
  </w:num>
  <w:num w:numId="24" w16cid:durableId="1010639295">
    <w:abstractNumId w:val="5"/>
  </w:num>
  <w:num w:numId="25" w16cid:durableId="1857765902">
    <w:abstractNumId w:val="20"/>
  </w:num>
  <w:num w:numId="26" w16cid:durableId="871651193">
    <w:abstractNumId w:val="24"/>
  </w:num>
  <w:num w:numId="27" w16cid:durableId="2137530280">
    <w:abstractNumId w:val="6"/>
  </w:num>
  <w:num w:numId="28" w16cid:durableId="1715808332">
    <w:abstractNumId w:val="7"/>
  </w:num>
  <w:num w:numId="29" w16cid:durableId="21239608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4E"/>
    <w:rsid w:val="00001BEB"/>
    <w:rsid w:val="00002A8F"/>
    <w:rsid w:val="00004994"/>
    <w:rsid w:val="00010CD3"/>
    <w:rsid w:val="0001231C"/>
    <w:rsid w:val="000135EA"/>
    <w:rsid w:val="00013792"/>
    <w:rsid w:val="00014BE4"/>
    <w:rsid w:val="00016FDC"/>
    <w:rsid w:val="00017FE1"/>
    <w:rsid w:val="00033600"/>
    <w:rsid w:val="00035DE3"/>
    <w:rsid w:val="000409F6"/>
    <w:rsid w:val="000464B6"/>
    <w:rsid w:val="0005333E"/>
    <w:rsid w:val="00054E22"/>
    <w:rsid w:val="00054F7C"/>
    <w:rsid w:val="00055D0E"/>
    <w:rsid w:val="00060A26"/>
    <w:rsid w:val="0006127B"/>
    <w:rsid w:val="00065078"/>
    <w:rsid w:val="00072AEF"/>
    <w:rsid w:val="00072F87"/>
    <w:rsid w:val="0007336B"/>
    <w:rsid w:val="0007421C"/>
    <w:rsid w:val="000809F6"/>
    <w:rsid w:val="0009302F"/>
    <w:rsid w:val="000933BD"/>
    <w:rsid w:val="00097F84"/>
    <w:rsid w:val="000A381A"/>
    <w:rsid w:val="000A468B"/>
    <w:rsid w:val="000B355F"/>
    <w:rsid w:val="000B76BB"/>
    <w:rsid w:val="000C1E8D"/>
    <w:rsid w:val="000C31CA"/>
    <w:rsid w:val="000C4C32"/>
    <w:rsid w:val="000C61DC"/>
    <w:rsid w:val="000D09DC"/>
    <w:rsid w:val="000D78D2"/>
    <w:rsid w:val="000E1886"/>
    <w:rsid w:val="000E3470"/>
    <w:rsid w:val="000F55E2"/>
    <w:rsid w:val="00104349"/>
    <w:rsid w:val="00107BC0"/>
    <w:rsid w:val="001116B6"/>
    <w:rsid w:val="00122750"/>
    <w:rsid w:val="0012277A"/>
    <w:rsid w:val="001310D6"/>
    <w:rsid w:val="00133841"/>
    <w:rsid w:val="0013695E"/>
    <w:rsid w:val="0014037B"/>
    <w:rsid w:val="00140589"/>
    <w:rsid w:val="00140652"/>
    <w:rsid w:val="0015749B"/>
    <w:rsid w:val="00160ADD"/>
    <w:rsid w:val="00161D5C"/>
    <w:rsid w:val="001667C2"/>
    <w:rsid w:val="00167BD2"/>
    <w:rsid w:val="00167E99"/>
    <w:rsid w:val="00172C22"/>
    <w:rsid w:val="00174F86"/>
    <w:rsid w:val="00176765"/>
    <w:rsid w:val="00180859"/>
    <w:rsid w:val="001848DC"/>
    <w:rsid w:val="00184A94"/>
    <w:rsid w:val="0018537B"/>
    <w:rsid w:val="0018592C"/>
    <w:rsid w:val="00192994"/>
    <w:rsid w:val="001A29DA"/>
    <w:rsid w:val="001A3E4A"/>
    <w:rsid w:val="001B5036"/>
    <w:rsid w:val="001B6729"/>
    <w:rsid w:val="001B6864"/>
    <w:rsid w:val="001C02F5"/>
    <w:rsid w:val="001C09F8"/>
    <w:rsid w:val="001C1440"/>
    <w:rsid w:val="001C46AA"/>
    <w:rsid w:val="001C7F7E"/>
    <w:rsid w:val="001D2319"/>
    <w:rsid w:val="001D2758"/>
    <w:rsid w:val="001E09BD"/>
    <w:rsid w:val="001E191A"/>
    <w:rsid w:val="001E74EB"/>
    <w:rsid w:val="001F073D"/>
    <w:rsid w:val="001F2CCA"/>
    <w:rsid w:val="0020097E"/>
    <w:rsid w:val="00201BA5"/>
    <w:rsid w:val="002158DA"/>
    <w:rsid w:val="00234D00"/>
    <w:rsid w:val="00235C67"/>
    <w:rsid w:val="0023750A"/>
    <w:rsid w:val="00237F92"/>
    <w:rsid w:val="00245264"/>
    <w:rsid w:val="0024641F"/>
    <w:rsid w:val="0025325A"/>
    <w:rsid w:val="0025678C"/>
    <w:rsid w:val="0026327E"/>
    <w:rsid w:val="002730A6"/>
    <w:rsid w:val="00273174"/>
    <w:rsid w:val="00273AE8"/>
    <w:rsid w:val="00274626"/>
    <w:rsid w:val="00280218"/>
    <w:rsid w:val="00291408"/>
    <w:rsid w:val="00291DE5"/>
    <w:rsid w:val="002920F4"/>
    <w:rsid w:val="002A002A"/>
    <w:rsid w:val="002A66C8"/>
    <w:rsid w:val="002C18DD"/>
    <w:rsid w:val="002C2D46"/>
    <w:rsid w:val="002C39AB"/>
    <w:rsid w:val="002C4A9A"/>
    <w:rsid w:val="002C5C3D"/>
    <w:rsid w:val="002C7F61"/>
    <w:rsid w:val="002D637F"/>
    <w:rsid w:val="002E7258"/>
    <w:rsid w:val="002F0E00"/>
    <w:rsid w:val="002F10A2"/>
    <w:rsid w:val="002F7F4B"/>
    <w:rsid w:val="00301563"/>
    <w:rsid w:val="0030305A"/>
    <w:rsid w:val="0030374B"/>
    <w:rsid w:val="00303BC1"/>
    <w:rsid w:val="00303F6E"/>
    <w:rsid w:val="003063DE"/>
    <w:rsid w:val="00310A61"/>
    <w:rsid w:val="00313E9A"/>
    <w:rsid w:val="00316E4E"/>
    <w:rsid w:val="003235AF"/>
    <w:rsid w:val="00335B37"/>
    <w:rsid w:val="00340633"/>
    <w:rsid w:val="00343774"/>
    <w:rsid w:val="00360B34"/>
    <w:rsid w:val="003619F4"/>
    <w:rsid w:val="00383CF2"/>
    <w:rsid w:val="00384CD3"/>
    <w:rsid w:val="00385E24"/>
    <w:rsid w:val="00390342"/>
    <w:rsid w:val="00390860"/>
    <w:rsid w:val="00390B5F"/>
    <w:rsid w:val="003926D7"/>
    <w:rsid w:val="00397070"/>
    <w:rsid w:val="00397CAA"/>
    <w:rsid w:val="00397D14"/>
    <w:rsid w:val="003A0908"/>
    <w:rsid w:val="003A1BB3"/>
    <w:rsid w:val="003A1DD2"/>
    <w:rsid w:val="003A2AF6"/>
    <w:rsid w:val="003B7461"/>
    <w:rsid w:val="003C05B1"/>
    <w:rsid w:val="003C7EDC"/>
    <w:rsid w:val="003D3C63"/>
    <w:rsid w:val="003D62EC"/>
    <w:rsid w:val="003E02E7"/>
    <w:rsid w:val="003E38F2"/>
    <w:rsid w:val="003E49AB"/>
    <w:rsid w:val="003E4B21"/>
    <w:rsid w:val="003E4D49"/>
    <w:rsid w:val="003E52D0"/>
    <w:rsid w:val="003F3AD3"/>
    <w:rsid w:val="00405EEC"/>
    <w:rsid w:val="0040692C"/>
    <w:rsid w:val="0041093D"/>
    <w:rsid w:val="00416606"/>
    <w:rsid w:val="00420354"/>
    <w:rsid w:val="00422631"/>
    <w:rsid w:val="00423F79"/>
    <w:rsid w:val="00426083"/>
    <w:rsid w:val="00431F98"/>
    <w:rsid w:val="00433D10"/>
    <w:rsid w:val="004345FD"/>
    <w:rsid w:val="0044025C"/>
    <w:rsid w:val="004455CE"/>
    <w:rsid w:val="00450968"/>
    <w:rsid w:val="004557A0"/>
    <w:rsid w:val="00456398"/>
    <w:rsid w:val="0046102C"/>
    <w:rsid w:val="00464260"/>
    <w:rsid w:val="004734F0"/>
    <w:rsid w:val="00477FCC"/>
    <w:rsid w:val="00482F67"/>
    <w:rsid w:val="004849CE"/>
    <w:rsid w:val="004862B7"/>
    <w:rsid w:val="00497069"/>
    <w:rsid w:val="004A06DA"/>
    <w:rsid w:val="004A5690"/>
    <w:rsid w:val="004B104B"/>
    <w:rsid w:val="004B4291"/>
    <w:rsid w:val="004B6B06"/>
    <w:rsid w:val="004B7F5F"/>
    <w:rsid w:val="004C11EB"/>
    <w:rsid w:val="004C1513"/>
    <w:rsid w:val="004C57BB"/>
    <w:rsid w:val="004C6A3F"/>
    <w:rsid w:val="004D0249"/>
    <w:rsid w:val="004D1815"/>
    <w:rsid w:val="004D4100"/>
    <w:rsid w:val="004D56FB"/>
    <w:rsid w:val="004D7C5F"/>
    <w:rsid w:val="004E16E3"/>
    <w:rsid w:val="004E3CDC"/>
    <w:rsid w:val="004E4D08"/>
    <w:rsid w:val="004E659C"/>
    <w:rsid w:val="004F1BC8"/>
    <w:rsid w:val="004F7E50"/>
    <w:rsid w:val="00500518"/>
    <w:rsid w:val="005033F9"/>
    <w:rsid w:val="005035B6"/>
    <w:rsid w:val="00503EC8"/>
    <w:rsid w:val="00506340"/>
    <w:rsid w:val="00506C27"/>
    <w:rsid w:val="00506FCF"/>
    <w:rsid w:val="00507354"/>
    <w:rsid w:val="00514138"/>
    <w:rsid w:val="00521E19"/>
    <w:rsid w:val="0052646A"/>
    <w:rsid w:val="005273CC"/>
    <w:rsid w:val="0053169C"/>
    <w:rsid w:val="0054287E"/>
    <w:rsid w:val="005430B8"/>
    <w:rsid w:val="0054638D"/>
    <w:rsid w:val="00546F48"/>
    <w:rsid w:val="005514ED"/>
    <w:rsid w:val="00553119"/>
    <w:rsid w:val="00556D6B"/>
    <w:rsid w:val="00561D2B"/>
    <w:rsid w:val="00561F8D"/>
    <w:rsid w:val="005664C3"/>
    <w:rsid w:val="00567266"/>
    <w:rsid w:val="00570C94"/>
    <w:rsid w:val="005714D4"/>
    <w:rsid w:val="005726BD"/>
    <w:rsid w:val="00575627"/>
    <w:rsid w:val="00575C52"/>
    <w:rsid w:val="00577EB3"/>
    <w:rsid w:val="00580632"/>
    <w:rsid w:val="00582302"/>
    <w:rsid w:val="00583189"/>
    <w:rsid w:val="00584FAE"/>
    <w:rsid w:val="005911C0"/>
    <w:rsid w:val="00592E7E"/>
    <w:rsid w:val="0059697E"/>
    <w:rsid w:val="005974D4"/>
    <w:rsid w:val="005A5076"/>
    <w:rsid w:val="005A558C"/>
    <w:rsid w:val="005A6EDD"/>
    <w:rsid w:val="005B22DC"/>
    <w:rsid w:val="005B343F"/>
    <w:rsid w:val="005B4872"/>
    <w:rsid w:val="005B550A"/>
    <w:rsid w:val="005C0B3A"/>
    <w:rsid w:val="005C1ADB"/>
    <w:rsid w:val="005C74FF"/>
    <w:rsid w:val="005C7DA1"/>
    <w:rsid w:val="005E0DD6"/>
    <w:rsid w:val="005E4703"/>
    <w:rsid w:val="005F3060"/>
    <w:rsid w:val="00606715"/>
    <w:rsid w:val="00606EFF"/>
    <w:rsid w:val="00614D76"/>
    <w:rsid w:val="0061646C"/>
    <w:rsid w:val="006229AF"/>
    <w:rsid w:val="00626E75"/>
    <w:rsid w:val="00632981"/>
    <w:rsid w:val="00633DB4"/>
    <w:rsid w:val="00634D0C"/>
    <w:rsid w:val="0065053D"/>
    <w:rsid w:val="00651016"/>
    <w:rsid w:val="00651881"/>
    <w:rsid w:val="006567C5"/>
    <w:rsid w:val="00663B30"/>
    <w:rsid w:val="006721E8"/>
    <w:rsid w:val="00674D91"/>
    <w:rsid w:val="00682E63"/>
    <w:rsid w:val="006848AA"/>
    <w:rsid w:val="0069550F"/>
    <w:rsid w:val="0069624D"/>
    <w:rsid w:val="0069642C"/>
    <w:rsid w:val="006A1906"/>
    <w:rsid w:val="006A365A"/>
    <w:rsid w:val="006A4D0E"/>
    <w:rsid w:val="006A6E2E"/>
    <w:rsid w:val="006B453F"/>
    <w:rsid w:val="006B48D7"/>
    <w:rsid w:val="006B6A11"/>
    <w:rsid w:val="006B6DCD"/>
    <w:rsid w:val="006C07D3"/>
    <w:rsid w:val="006C4F09"/>
    <w:rsid w:val="006C5135"/>
    <w:rsid w:val="006D1F6B"/>
    <w:rsid w:val="006D3919"/>
    <w:rsid w:val="006D4886"/>
    <w:rsid w:val="006D4B8F"/>
    <w:rsid w:val="006D6781"/>
    <w:rsid w:val="006E2BF9"/>
    <w:rsid w:val="006E437E"/>
    <w:rsid w:val="006F383F"/>
    <w:rsid w:val="006F77EA"/>
    <w:rsid w:val="00700287"/>
    <w:rsid w:val="0070112B"/>
    <w:rsid w:val="00703804"/>
    <w:rsid w:val="00706E16"/>
    <w:rsid w:val="00712738"/>
    <w:rsid w:val="00717DF0"/>
    <w:rsid w:val="00722B14"/>
    <w:rsid w:val="007232CE"/>
    <w:rsid w:val="00726939"/>
    <w:rsid w:val="00733D4B"/>
    <w:rsid w:val="007414E5"/>
    <w:rsid w:val="00741C57"/>
    <w:rsid w:val="007531CF"/>
    <w:rsid w:val="007544D0"/>
    <w:rsid w:val="0076068B"/>
    <w:rsid w:val="0076130B"/>
    <w:rsid w:val="00764429"/>
    <w:rsid w:val="0076491B"/>
    <w:rsid w:val="0076771A"/>
    <w:rsid w:val="0077076C"/>
    <w:rsid w:val="00771B7B"/>
    <w:rsid w:val="0077419E"/>
    <w:rsid w:val="00775812"/>
    <w:rsid w:val="00787770"/>
    <w:rsid w:val="007909E9"/>
    <w:rsid w:val="00791076"/>
    <w:rsid w:val="00793B1F"/>
    <w:rsid w:val="007B2E57"/>
    <w:rsid w:val="007B3027"/>
    <w:rsid w:val="007B58C6"/>
    <w:rsid w:val="007C1A0E"/>
    <w:rsid w:val="007C1B01"/>
    <w:rsid w:val="007C2883"/>
    <w:rsid w:val="007C4547"/>
    <w:rsid w:val="007C5892"/>
    <w:rsid w:val="007C6326"/>
    <w:rsid w:val="007C6E89"/>
    <w:rsid w:val="007D680C"/>
    <w:rsid w:val="007E444A"/>
    <w:rsid w:val="007E79C2"/>
    <w:rsid w:val="007F09F6"/>
    <w:rsid w:val="007F2145"/>
    <w:rsid w:val="007F5F42"/>
    <w:rsid w:val="007F6EF8"/>
    <w:rsid w:val="008003C0"/>
    <w:rsid w:val="00801348"/>
    <w:rsid w:val="0080614F"/>
    <w:rsid w:val="00807BF5"/>
    <w:rsid w:val="008165CB"/>
    <w:rsid w:val="00816BFE"/>
    <w:rsid w:val="00822490"/>
    <w:rsid w:val="008255F7"/>
    <w:rsid w:val="008318B6"/>
    <w:rsid w:val="00831A27"/>
    <w:rsid w:val="00843BCD"/>
    <w:rsid w:val="00844F2C"/>
    <w:rsid w:val="00850CC2"/>
    <w:rsid w:val="008526E6"/>
    <w:rsid w:val="0086005D"/>
    <w:rsid w:val="00861FC9"/>
    <w:rsid w:val="0086337C"/>
    <w:rsid w:val="008664B7"/>
    <w:rsid w:val="00866F26"/>
    <w:rsid w:val="00872523"/>
    <w:rsid w:val="008737BD"/>
    <w:rsid w:val="0087799D"/>
    <w:rsid w:val="00880715"/>
    <w:rsid w:val="008812DF"/>
    <w:rsid w:val="0088676F"/>
    <w:rsid w:val="0089107F"/>
    <w:rsid w:val="00892468"/>
    <w:rsid w:val="00892FF1"/>
    <w:rsid w:val="008A3327"/>
    <w:rsid w:val="008A4E05"/>
    <w:rsid w:val="008A6299"/>
    <w:rsid w:val="008A696B"/>
    <w:rsid w:val="008B53D9"/>
    <w:rsid w:val="008B5CA5"/>
    <w:rsid w:val="008B7445"/>
    <w:rsid w:val="008C3B95"/>
    <w:rsid w:val="008C69AF"/>
    <w:rsid w:val="008C7BAB"/>
    <w:rsid w:val="008D2C8E"/>
    <w:rsid w:val="008E1ADA"/>
    <w:rsid w:val="008E5D3C"/>
    <w:rsid w:val="008E7975"/>
    <w:rsid w:val="008F467F"/>
    <w:rsid w:val="008F5916"/>
    <w:rsid w:val="00901386"/>
    <w:rsid w:val="009071D5"/>
    <w:rsid w:val="009071E3"/>
    <w:rsid w:val="0091224E"/>
    <w:rsid w:val="00916102"/>
    <w:rsid w:val="00922EA1"/>
    <w:rsid w:val="00923528"/>
    <w:rsid w:val="00924516"/>
    <w:rsid w:val="009346B6"/>
    <w:rsid w:val="00934CB1"/>
    <w:rsid w:val="00947641"/>
    <w:rsid w:val="00961126"/>
    <w:rsid w:val="00970A25"/>
    <w:rsid w:val="009721F5"/>
    <w:rsid w:val="009732A3"/>
    <w:rsid w:val="009741F4"/>
    <w:rsid w:val="009845D1"/>
    <w:rsid w:val="00984D4E"/>
    <w:rsid w:val="009879EA"/>
    <w:rsid w:val="00987C43"/>
    <w:rsid w:val="00991537"/>
    <w:rsid w:val="009A0ED1"/>
    <w:rsid w:val="009A6039"/>
    <w:rsid w:val="009B161C"/>
    <w:rsid w:val="009B2828"/>
    <w:rsid w:val="009B47CE"/>
    <w:rsid w:val="009C172F"/>
    <w:rsid w:val="009C2870"/>
    <w:rsid w:val="009D455D"/>
    <w:rsid w:val="009D4F5A"/>
    <w:rsid w:val="009E4A30"/>
    <w:rsid w:val="009E4DD2"/>
    <w:rsid w:val="009E6783"/>
    <w:rsid w:val="009E71DE"/>
    <w:rsid w:val="009E7FD8"/>
    <w:rsid w:val="009F00B7"/>
    <w:rsid w:val="009F20E3"/>
    <w:rsid w:val="009F658C"/>
    <w:rsid w:val="009F6F95"/>
    <w:rsid w:val="009F7C19"/>
    <w:rsid w:val="00A02CB7"/>
    <w:rsid w:val="00A117A5"/>
    <w:rsid w:val="00A162F2"/>
    <w:rsid w:val="00A17187"/>
    <w:rsid w:val="00A20313"/>
    <w:rsid w:val="00A20654"/>
    <w:rsid w:val="00A21295"/>
    <w:rsid w:val="00A23269"/>
    <w:rsid w:val="00A23C0E"/>
    <w:rsid w:val="00A24BE0"/>
    <w:rsid w:val="00A250A1"/>
    <w:rsid w:val="00A2690E"/>
    <w:rsid w:val="00A33057"/>
    <w:rsid w:val="00A42B66"/>
    <w:rsid w:val="00A54B43"/>
    <w:rsid w:val="00A54B99"/>
    <w:rsid w:val="00A54BD9"/>
    <w:rsid w:val="00A679FE"/>
    <w:rsid w:val="00A67E13"/>
    <w:rsid w:val="00A70A89"/>
    <w:rsid w:val="00A764D8"/>
    <w:rsid w:val="00A8069A"/>
    <w:rsid w:val="00A80923"/>
    <w:rsid w:val="00A846D4"/>
    <w:rsid w:val="00A90FAB"/>
    <w:rsid w:val="00A91E84"/>
    <w:rsid w:val="00A93F63"/>
    <w:rsid w:val="00AA24C3"/>
    <w:rsid w:val="00AA30DA"/>
    <w:rsid w:val="00AA3FB8"/>
    <w:rsid w:val="00AA48C9"/>
    <w:rsid w:val="00AA508F"/>
    <w:rsid w:val="00AA584B"/>
    <w:rsid w:val="00AA5B5C"/>
    <w:rsid w:val="00AB69C5"/>
    <w:rsid w:val="00AC04A6"/>
    <w:rsid w:val="00AC24B3"/>
    <w:rsid w:val="00AC71CF"/>
    <w:rsid w:val="00AD0AE3"/>
    <w:rsid w:val="00AD34C6"/>
    <w:rsid w:val="00AD5F38"/>
    <w:rsid w:val="00AE0EB0"/>
    <w:rsid w:val="00AE4AA7"/>
    <w:rsid w:val="00AE537A"/>
    <w:rsid w:val="00AE69EA"/>
    <w:rsid w:val="00AF3EEB"/>
    <w:rsid w:val="00AF5893"/>
    <w:rsid w:val="00AF6DC0"/>
    <w:rsid w:val="00B00C50"/>
    <w:rsid w:val="00B12E13"/>
    <w:rsid w:val="00B17A51"/>
    <w:rsid w:val="00B2762A"/>
    <w:rsid w:val="00B305CE"/>
    <w:rsid w:val="00B3164C"/>
    <w:rsid w:val="00B357FC"/>
    <w:rsid w:val="00B3668C"/>
    <w:rsid w:val="00B434E4"/>
    <w:rsid w:val="00B44E3B"/>
    <w:rsid w:val="00B45562"/>
    <w:rsid w:val="00B45CC9"/>
    <w:rsid w:val="00B46892"/>
    <w:rsid w:val="00B4722D"/>
    <w:rsid w:val="00B50FD3"/>
    <w:rsid w:val="00B52D1B"/>
    <w:rsid w:val="00B570BD"/>
    <w:rsid w:val="00B60DB4"/>
    <w:rsid w:val="00B62474"/>
    <w:rsid w:val="00B64C69"/>
    <w:rsid w:val="00B70E46"/>
    <w:rsid w:val="00B77701"/>
    <w:rsid w:val="00B868E4"/>
    <w:rsid w:val="00B91B91"/>
    <w:rsid w:val="00B938A8"/>
    <w:rsid w:val="00B93A99"/>
    <w:rsid w:val="00BA5CDC"/>
    <w:rsid w:val="00BB11AA"/>
    <w:rsid w:val="00BB704E"/>
    <w:rsid w:val="00BC1223"/>
    <w:rsid w:val="00BC3A0F"/>
    <w:rsid w:val="00BD1F3B"/>
    <w:rsid w:val="00BD35FD"/>
    <w:rsid w:val="00BD577C"/>
    <w:rsid w:val="00BE4A3A"/>
    <w:rsid w:val="00BF0C4D"/>
    <w:rsid w:val="00BF527C"/>
    <w:rsid w:val="00C00A72"/>
    <w:rsid w:val="00C0443D"/>
    <w:rsid w:val="00C04951"/>
    <w:rsid w:val="00C074CB"/>
    <w:rsid w:val="00C114A6"/>
    <w:rsid w:val="00C139A1"/>
    <w:rsid w:val="00C22F85"/>
    <w:rsid w:val="00C26298"/>
    <w:rsid w:val="00C44DD3"/>
    <w:rsid w:val="00C45D59"/>
    <w:rsid w:val="00C46331"/>
    <w:rsid w:val="00C54ECA"/>
    <w:rsid w:val="00C57813"/>
    <w:rsid w:val="00C60DA6"/>
    <w:rsid w:val="00C655C8"/>
    <w:rsid w:val="00C66511"/>
    <w:rsid w:val="00C675F9"/>
    <w:rsid w:val="00C753D3"/>
    <w:rsid w:val="00C76B54"/>
    <w:rsid w:val="00C77C28"/>
    <w:rsid w:val="00C83A41"/>
    <w:rsid w:val="00C854FA"/>
    <w:rsid w:val="00C907DA"/>
    <w:rsid w:val="00C9187A"/>
    <w:rsid w:val="00C91F8C"/>
    <w:rsid w:val="00C97530"/>
    <w:rsid w:val="00CA0CFC"/>
    <w:rsid w:val="00CA2B46"/>
    <w:rsid w:val="00CA3BC5"/>
    <w:rsid w:val="00CA4805"/>
    <w:rsid w:val="00CB2F21"/>
    <w:rsid w:val="00CB38B3"/>
    <w:rsid w:val="00CB4936"/>
    <w:rsid w:val="00CB5650"/>
    <w:rsid w:val="00CC1139"/>
    <w:rsid w:val="00CC4DEF"/>
    <w:rsid w:val="00CC4F6C"/>
    <w:rsid w:val="00CD221A"/>
    <w:rsid w:val="00CD36EA"/>
    <w:rsid w:val="00CE1206"/>
    <w:rsid w:val="00CE12B9"/>
    <w:rsid w:val="00CE1E37"/>
    <w:rsid w:val="00CE45BE"/>
    <w:rsid w:val="00CE4E4A"/>
    <w:rsid w:val="00CF183A"/>
    <w:rsid w:val="00CF7C5D"/>
    <w:rsid w:val="00D01989"/>
    <w:rsid w:val="00D02ECC"/>
    <w:rsid w:val="00D12DF5"/>
    <w:rsid w:val="00D14843"/>
    <w:rsid w:val="00D14BB1"/>
    <w:rsid w:val="00D14D6D"/>
    <w:rsid w:val="00D153DE"/>
    <w:rsid w:val="00D25541"/>
    <w:rsid w:val="00D32635"/>
    <w:rsid w:val="00D3583F"/>
    <w:rsid w:val="00D36ED8"/>
    <w:rsid w:val="00D41316"/>
    <w:rsid w:val="00D415E3"/>
    <w:rsid w:val="00D41F19"/>
    <w:rsid w:val="00D43CA2"/>
    <w:rsid w:val="00D43E6F"/>
    <w:rsid w:val="00D516AD"/>
    <w:rsid w:val="00D56A46"/>
    <w:rsid w:val="00D64300"/>
    <w:rsid w:val="00D71189"/>
    <w:rsid w:val="00D82273"/>
    <w:rsid w:val="00D97EF9"/>
    <w:rsid w:val="00DA0155"/>
    <w:rsid w:val="00DA3862"/>
    <w:rsid w:val="00DA6FD2"/>
    <w:rsid w:val="00DA7268"/>
    <w:rsid w:val="00DB03E1"/>
    <w:rsid w:val="00DB336A"/>
    <w:rsid w:val="00DC4364"/>
    <w:rsid w:val="00DC7724"/>
    <w:rsid w:val="00DD2841"/>
    <w:rsid w:val="00DD2C5C"/>
    <w:rsid w:val="00DD3432"/>
    <w:rsid w:val="00DD5439"/>
    <w:rsid w:val="00DD6322"/>
    <w:rsid w:val="00DE0591"/>
    <w:rsid w:val="00E04181"/>
    <w:rsid w:val="00E05CB8"/>
    <w:rsid w:val="00E0695C"/>
    <w:rsid w:val="00E12D14"/>
    <w:rsid w:val="00E13D1D"/>
    <w:rsid w:val="00E13E65"/>
    <w:rsid w:val="00E1425B"/>
    <w:rsid w:val="00E24EA2"/>
    <w:rsid w:val="00E30C99"/>
    <w:rsid w:val="00E42850"/>
    <w:rsid w:val="00E448A2"/>
    <w:rsid w:val="00E530F4"/>
    <w:rsid w:val="00E5410B"/>
    <w:rsid w:val="00E60E8B"/>
    <w:rsid w:val="00E63FDA"/>
    <w:rsid w:val="00E7054A"/>
    <w:rsid w:val="00E71E59"/>
    <w:rsid w:val="00E74268"/>
    <w:rsid w:val="00E75097"/>
    <w:rsid w:val="00E7699E"/>
    <w:rsid w:val="00E76D5B"/>
    <w:rsid w:val="00E80615"/>
    <w:rsid w:val="00E83C18"/>
    <w:rsid w:val="00E87248"/>
    <w:rsid w:val="00E91AC1"/>
    <w:rsid w:val="00E91CEE"/>
    <w:rsid w:val="00EA06B3"/>
    <w:rsid w:val="00EA5AEB"/>
    <w:rsid w:val="00EB1AD3"/>
    <w:rsid w:val="00EB3715"/>
    <w:rsid w:val="00EC32EF"/>
    <w:rsid w:val="00EC4573"/>
    <w:rsid w:val="00EC4807"/>
    <w:rsid w:val="00ED0C22"/>
    <w:rsid w:val="00ED2A00"/>
    <w:rsid w:val="00ED50B1"/>
    <w:rsid w:val="00ED7A60"/>
    <w:rsid w:val="00EE159C"/>
    <w:rsid w:val="00EE1806"/>
    <w:rsid w:val="00EF2666"/>
    <w:rsid w:val="00EF5A12"/>
    <w:rsid w:val="00EF5FD1"/>
    <w:rsid w:val="00EF68A7"/>
    <w:rsid w:val="00EF6DDF"/>
    <w:rsid w:val="00F02425"/>
    <w:rsid w:val="00F026D5"/>
    <w:rsid w:val="00F042D8"/>
    <w:rsid w:val="00F06704"/>
    <w:rsid w:val="00F076C6"/>
    <w:rsid w:val="00F14961"/>
    <w:rsid w:val="00F16CA1"/>
    <w:rsid w:val="00F21FE5"/>
    <w:rsid w:val="00F25831"/>
    <w:rsid w:val="00F26AAD"/>
    <w:rsid w:val="00F31E2E"/>
    <w:rsid w:val="00F45A54"/>
    <w:rsid w:val="00F54599"/>
    <w:rsid w:val="00F54A08"/>
    <w:rsid w:val="00F56589"/>
    <w:rsid w:val="00F6054E"/>
    <w:rsid w:val="00F61326"/>
    <w:rsid w:val="00F64B60"/>
    <w:rsid w:val="00F70BC4"/>
    <w:rsid w:val="00F710FD"/>
    <w:rsid w:val="00F75CA2"/>
    <w:rsid w:val="00F7720E"/>
    <w:rsid w:val="00F82B18"/>
    <w:rsid w:val="00F90399"/>
    <w:rsid w:val="00F957BC"/>
    <w:rsid w:val="00FA173C"/>
    <w:rsid w:val="00FA1A73"/>
    <w:rsid w:val="00FA427E"/>
    <w:rsid w:val="00FA4D8C"/>
    <w:rsid w:val="00FB14E7"/>
    <w:rsid w:val="00FB2A3A"/>
    <w:rsid w:val="00FB56AE"/>
    <w:rsid w:val="00FB68D5"/>
    <w:rsid w:val="00FB7D5A"/>
    <w:rsid w:val="00FC345C"/>
    <w:rsid w:val="00FD025B"/>
    <w:rsid w:val="00FE505B"/>
    <w:rsid w:val="00FE52FC"/>
    <w:rsid w:val="00FF2EDA"/>
    <w:rsid w:val="00FF656D"/>
    <w:rsid w:val="08BFD18D"/>
    <w:rsid w:val="20E3FEF2"/>
    <w:rsid w:val="2F0B11E9"/>
    <w:rsid w:val="330F9E35"/>
    <w:rsid w:val="3D90D61B"/>
    <w:rsid w:val="3DD0F6DE"/>
    <w:rsid w:val="47C0C4B7"/>
    <w:rsid w:val="48E8CEB2"/>
    <w:rsid w:val="4A2D207E"/>
    <w:rsid w:val="56F625BA"/>
    <w:rsid w:val="62229C13"/>
    <w:rsid w:val="671364DC"/>
    <w:rsid w:val="692AC660"/>
    <w:rsid w:val="7C1A5E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21C33"/>
  <w15:chartTrackingRefBased/>
  <w15:docId w15:val="{BDEE6000-8EFF-4E9E-A3DD-8F28D7FC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87A"/>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422631"/>
    <w:pPr>
      <w:keepNext/>
      <w:keepLines/>
      <w:spacing w:before="240"/>
      <w:outlineLvl w:val="1"/>
    </w:pPr>
    <w:rPr>
      <w:rFonts w:eastAsiaTheme="majorEastAsia" w:cstheme="majorBidi"/>
      <w:b/>
      <w:color w:val="1E1544" w:themeColor="text1"/>
      <w:sz w:val="32"/>
      <w:szCs w:val="26"/>
    </w:rPr>
  </w:style>
  <w:style w:type="paragraph" w:styleId="Heading3">
    <w:name w:val="heading 3"/>
    <w:basedOn w:val="Heading2"/>
    <w:next w:val="Normal"/>
    <w:link w:val="Heading3Char"/>
    <w:uiPriority w:val="9"/>
    <w:unhideWhenUsed/>
    <w:qFormat/>
    <w:rsid w:val="0076491B"/>
    <w:pPr>
      <w:outlineLvl w:val="2"/>
    </w:pPr>
    <w:rPr>
      <w:sz w:val="28"/>
      <w:szCs w:val="24"/>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422631"/>
    <w:rPr>
      <w:rFonts w:ascii="Arial" w:eastAsiaTheme="majorEastAsia" w:hAnsi="Arial" w:cstheme="majorBidi"/>
      <w:b/>
      <w:color w:val="1E1544" w:themeColor="text1"/>
      <w:sz w:val="32"/>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76491B"/>
    <w:rPr>
      <w:rFonts w:ascii="Arial" w:eastAsiaTheme="majorEastAsia" w:hAnsi="Arial" w:cstheme="majorBidi"/>
      <w:b/>
      <w:color w:val="1E1544" w:themeColor="text1"/>
      <w:sz w:val="28"/>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E91CEE"/>
    <w:rPr>
      <w:color w:val="1E1545" w:themeColor="hyperlink"/>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customStyle="1" w:styleId="paragraph">
    <w:name w:val="paragraph"/>
    <w:basedOn w:val="Normal"/>
    <w:link w:val="paragraphChar"/>
    <w:rsid w:val="007414E5"/>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7414E5"/>
  </w:style>
  <w:style w:type="character" w:customStyle="1" w:styleId="eop">
    <w:name w:val="eop"/>
    <w:basedOn w:val="DefaultParagraphFont"/>
    <w:rsid w:val="007414E5"/>
  </w:style>
  <w:style w:type="character" w:styleId="CommentReference">
    <w:name w:val="annotation reference"/>
    <w:basedOn w:val="DefaultParagraphFont"/>
    <w:uiPriority w:val="99"/>
    <w:semiHidden/>
    <w:unhideWhenUsed/>
    <w:rsid w:val="004345FD"/>
    <w:rPr>
      <w:sz w:val="16"/>
      <w:szCs w:val="16"/>
    </w:rPr>
  </w:style>
  <w:style w:type="paragraph" w:styleId="CommentText">
    <w:name w:val="annotation text"/>
    <w:basedOn w:val="Normal"/>
    <w:link w:val="CommentTextChar"/>
    <w:uiPriority w:val="99"/>
    <w:unhideWhenUsed/>
    <w:rsid w:val="004345FD"/>
    <w:pPr>
      <w:spacing w:line="240" w:lineRule="auto"/>
    </w:pPr>
    <w:rPr>
      <w:sz w:val="20"/>
      <w:szCs w:val="20"/>
    </w:rPr>
  </w:style>
  <w:style w:type="character" w:customStyle="1" w:styleId="CommentTextChar">
    <w:name w:val="Comment Text Char"/>
    <w:basedOn w:val="DefaultParagraphFont"/>
    <w:link w:val="CommentText"/>
    <w:uiPriority w:val="99"/>
    <w:rsid w:val="004345F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345FD"/>
    <w:rPr>
      <w:b/>
      <w:bCs/>
    </w:rPr>
  </w:style>
  <w:style w:type="character" w:customStyle="1" w:styleId="CommentSubjectChar">
    <w:name w:val="Comment Subject Char"/>
    <w:basedOn w:val="CommentTextChar"/>
    <w:link w:val="CommentSubject"/>
    <w:uiPriority w:val="99"/>
    <w:semiHidden/>
    <w:rsid w:val="004345FD"/>
    <w:rPr>
      <w:rFonts w:ascii="Arial" w:hAnsi="Arial"/>
      <w:b/>
      <w:bCs/>
      <w:sz w:val="20"/>
      <w:szCs w:val="20"/>
    </w:rPr>
  </w:style>
  <w:style w:type="paragraph" w:styleId="Revision">
    <w:name w:val="Revision"/>
    <w:hidden/>
    <w:uiPriority w:val="99"/>
    <w:semiHidden/>
    <w:rsid w:val="006A365A"/>
    <w:rPr>
      <w:rFonts w:ascii="Arial" w:hAnsi="Arial"/>
    </w:rPr>
  </w:style>
  <w:style w:type="character" w:styleId="FollowedHyperlink">
    <w:name w:val="FollowedHyperlink"/>
    <w:basedOn w:val="DefaultParagraphFont"/>
    <w:uiPriority w:val="99"/>
    <w:semiHidden/>
    <w:unhideWhenUsed/>
    <w:rsid w:val="008737BD"/>
    <w:rPr>
      <w:color w:val="6D6D70" w:themeColor="followedHyperlink"/>
      <w:u w:val="single"/>
    </w:rPr>
  </w:style>
  <w:style w:type="character" w:styleId="Mention">
    <w:name w:val="Mention"/>
    <w:basedOn w:val="DefaultParagraphFont"/>
    <w:uiPriority w:val="99"/>
    <w:unhideWhenUsed/>
    <w:rsid w:val="00F710FD"/>
    <w:rPr>
      <w:color w:val="2B579A"/>
      <w:shd w:val="clear" w:color="auto" w:fill="E1DFDD"/>
    </w:rPr>
  </w:style>
  <w:style w:type="paragraph" w:customStyle="1" w:styleId="Style1subheading">
    <w:name w:val="Style1 sub heading"/>
    <w:basedOn w:val="paragraph"/>
    <w:link w:val="Style1subheadingChar"/>
    <w:qFormat/>
    <w:rsid w:val="003D3C63"/>
    <w:pPr>
      <w:numPr>
        <w:numId w:val="28"/>
      </w:numPr>
      <w:spacing w:before="0" w:beforeAutospacing="0" w:after="60" w:afterAutospacing="0"/>
      <w:ind w:left="357" w:hanging="357"/>
      <w:textAlignment w:val="baseline"/>
    </w:pPr>
    <w:rPr>
      <w:rFonts w:ascii="Arial" w:eastAsiaTheme="majorEastAsia" w:hAnsi="Arial" w:cs="Arial"/>
      <w:b/>
      <w:sz w:val="22"/>
      <w:szCs w:val="22"/>
    </w:rPr>
  </w:style>
  <w:style w:type="character" w:customStyle="1" w:styleId="paragraphChar">
    <w:name w:val="paragraph Char"/>
    <w:basedOn w:val="DefaultParagraphFont"/>
    <w:link w:val="paragraph"/>
    <w:rsid w:val="003D3C63"/>
    <w:rPr>
      <w:rFonts w:ascii="Times New Roman" w:eastAsia="Times New Roman" w:hAnsi="Times New Roman" w:cs="Times New Roman"/>
      <w:lang w:eastAsia="en-AU"/>
    </w:rPr>
  </w:style>
  <w:style w:type="character" w:customStyle="1" w:styleId="Style1subheadingChar">
    <w:name w:val="Style1 sub heading Char"/>
    <w:basedOn w:val="paragraphChar"/>
    <w:link w:val="Style1subheading"/>
    <w:rsid w:val="003D3C63"/>
    <w:rPr>
      <w:rFonts w:ascii="Arial" w:eastAsiaTheme="majorEastAsia" w:hAnsi="Arial" w:cs="Arial"/>
      <w:b/>
      <w:sz w:val="22"/>
      <w:szCs w:val="22"/>
      <w:lang w:eastAsia="en-AU"/>
    </w:rPr>
  </w:style>
  <w:style w:type="paragraph" w:customStyle="1" w:styleId="Sub1">
    <w:name w:val="Sub 1"/>
    <w:basedOn w:val="Style1subheading"/>
    <w:link w:val="Sub1Char"/>
    <w:autoRedefine/>
    <w:qFormat/>
    <w:rsid w:val="005C7DA1"/>
  </w:style>
  <w:style w:type="character" w:customStyle="1" w:styleId="Sub1Char">
    <w:name w:val="Sub 1 Char"/>
    <w:basedOn w:val="Style1subheadingChar"/>
    <w:link w:val="Sub1"/>
    <w:rsid w:val="005C7DA1"/>
    <w:rPr>
      <w:rFonts w:ascii="Arial" w:eastAsiaTheme="majorEastAsia" w:hAnsi="Arial" w:cs="Arial"/>
      <w:b/>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428623626">
      <w:bodyDiv w:val="1"/>
      <w:marLeft w:val="0"/>
      <w:marRight w:val="0"/>
      <w:marTop w:val="0"/>
      <w:marBottom w:val="0"/>
      <w:divBdr>
        <w:top w:val="none" w:sz="0" w:space="0" w:color="auto"/>
        <w:left w:val="none" w:sz="0" w:space="0" w:color="auto"/>
        <w:bottom w:val="none" w:sz="0" w:space="0" w:color="auto"/>
        <w:right w:val="none" w:sz="0" w:space="0" w:color="auto"/>
      </w:divBdr>
    </w:div>
    <w:div w:id="1222254235">
      <w:bodyDiv w:val="1"/>
      <w:marLeft w:val="0"/>
      <w:marRight w:val="0"/>
      <w:marTop w:val="0"/>
      <w:marBottom w:val="0"/>
      <w:divBdr>
        <w:top w:val="none" w:sz="0" w:space="0" w:color="auto"/>
        <w:left w:val="none" w:sz="0" w:space="0" w:color="auto"/>
        <w:bottom w:val="none" w:sz="0" w:space="0" w:color="auto"/>
        <w:right w:val="none" w:sz="0" w:space="0" w:color="auto"/>
      </w:divBdr>
    </w:div>
    <w:div w:id="158676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OPLA\OneDrive%20-%20Department%20of%20Health\Desktop\ACFR%20Checklis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344f6c-33c4-4639-9c4a-e760d75a1222" xsi:nil="true"/>
    <lcf76f155ced4ddcb4097134ff3c332f xmlns="02622428-b056-4156-8618-9b4665fa4c5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10F25F82DC70E46BECCBAC5959F994A" ma:contentTypeVersion="12" ma:contentTypeDescription="Create a new document." ma:contentTypeScope="" ma:versionID="15782d6cd9cafa1e5944cba969d84aaa">
  <xsd:schema xmlns:xsd="http://www.w3.org/2001/XMLSchema" xmlns:xs="http://www.w3.org/2001/XMLSchema" xmlns:p="http://schemas.microsoft.com/office/2006/metadata/properties" xmlns:ns2="02622428-b056-4156-8618-9b4665fa4c5e" xmlns:ns3="7e344f6c-33c4-4639-9c4a-e760d75a1222" targetNamespace="http://schemas.microsoft.com/office/2006/metadata/properties" ma:root="true" ma:fieldsID="3ff77c6a8d6be0eb84b167bc4e9124ba" ns2:_="" ns3:_="">
    <xsd:import namespace="02622428-b056-4156-8618-9b4665fa4c5e"/>
    <xsd:import namespace="7e344f6c-33c4-4639-9c4a-e760d75a12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22428-b056-4156-8618-9b4665fa4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44f6c-33c4-4639-9c4a-e760d75a12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ffd8411-f726-4cac-a696-9c73f2a8f04a}" ma:internalName="TaxCatchAll" ma:showField="CatchAllData" ma:web="7e344f6c-33c4-4639-9c4a-e760d75a1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E2362-356C-4CDA-9392-C485AD76B771}">
  <ds:schemaRefs>
    <ds:schemaRef ds:uri="7e344f6c-33c4-4639-9c4a-e760d75a1222"/>
    <ds:schemaRef ds:uri="http://schemas.openxmlformats.org/package/2006/metadata/core-properties"/>
    <ds:schemaRef ds:uri="http://purl.org/dc/terms/"/>
    <ds:schemaRef ds:uri="02622428-b056-4156-8618-9b4665fa4c5e"/>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2482C8F-E0B2-481F-A178-9FE4AA0C5F6D}">
  <ds:schemaRefs>
    <ds:schemaRef ds:uri="http://schemas.microsoft.com/sharepoint/v3/contenttype/forms"/>
  </ds:schemaRefs>
</ds:datastoreItem>
</file>

<file path=customXml/itemProps3.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4.xml><?xml version="1.0" encoding="utf-8"?>
<ds:datastoreItem xmlns:ds="http://schemas.openxmlformats.org/officeDocument/2006/customXml" ds:itemID="{F1705DD8-2B98-4BB1-80BF-0C8BA9EB2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22428-b056-4156-8618-9b4665fa4c5e"/>
    <ds:schemaRef ds:uri="7e344f6c-33c4-4639-9c4a-e760d75a1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ACFR Checklist.dotx</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Aged care report</vt:lpstr>
    </vt:vector>
  </TitlesOfParts>
  <Company/>
  <LinksUpToDate>false</LinksUpToDate>
  <CharactersWithSpaces>2751</CharactersWithSpaces>
  <SharedDoc>false</SharedDoc>
  <HLinks>
    <vt:vector size="60" baseType="variant">
      <vt:variant>
        <vt:i4>5701753</vt:i4>
      </vt:variant>
      <vt:variant>
        <vt:i4>27</vt:i4>
      </vt:variant>
      <vt:variant>
        <vt:i4>0</vt:i4>
      </vt:variant>
      <vt:variant>
        <vt:i4>5</vt:i4>
      </vt:variant>
      <vt:variant>
        <vt:lpwstr>mailto:Jarrod.Bowd@health.gov.au</vt:lpwstr>
      </vt:variant>
      <vt:variant>
        <vt:lpwstr/>
      </vt:variant>
      <vt:variant>
        <vt:i4>524322</vt:i4>
      </vt:variant>
      <vt:variant>
        <vt:i4>24</vt:i4>
      </vt:variant>
      <vt:variant>
        <vt:i4>0</vt:i4>
      </vt:variant>
      <vt:variant>
        <vt:i4>5</vt:i4>
      </vt:variant>
      <vt:variant>
        <vt:lpwstr>mailto:Samantha.EBDON@Health.gov.au</vt:lpwstr>
      </vt:variant>
      <vt:variant>
        <vt:lpwstr/>
      </vt:variant>
      <vt:variant>
        <vt:i4>5963898</vt:i4>
      </vt:variant>
      <vt:variant>
        <vt:i4>21</vt:i4>
      </vt:variant>
      <vt:variant>
        <vt:i4>0</vt:i4>
      </vt:variant>
      <vt:variant>
        <vt:i4>5</vt:i4>
      </vt:variant>
      <vt:variant>
        <vt:lpwstr>mailto:Alexandra.ATIP@Health.gov.au</vt:lpwstr>
      </vt:variant>
      <vt:variant>
        <vt:lpwstr/>
      </vt:variant>
      <vt:variant>
        <vt:i4>524322</vt:i4>
      </vt:variant>
      <vt:variant>
        <vt:i4>18</vt:i4>
      </vt:variant>
      <vt:variant>
        <vt:i4>0</vt:i4>
      </vt:variant>
      <vt:variant>
        <vt:i4>5</vt:i4>
      </vt:variant>
      <vt:variant>
        <vt:lpwstr>mailto:Samantha.EBDON@Health.gov.au</vt:lpwstr>
      </vt:variant>
      <vt:variant>
        <vt:lpwstr/>
      </vt:variant>
      <vt:variant>
        <vt:i4>5963898</vt:i4>
      </vt:variant>
      <vt:variant>
        <vt:i4>15</vt:i4>
      </vt:variant>
      <vt:variant>
        <vt:i4>0</vt:i4>
      </vt:variant>
      <vt:variant>
        <vt:i4>5</vt:i4>
      </vt:variant>
      <vt:variant>
        <vt:lpwstr>mailto:Alexandra.ATIP@Health.gov.au</vt:lpwstr>
      </vt:variant>
      <vt:variant>
        <vt:lpwstr/>
      </vt:variant>
      <vt:variant>
        <vt:i4>5701753</vt:i4>
      </vt:variant>
      <vt:variant>
        <vt:i4>12</vt:i4>
      </vt:variant>
      <vt:variant>
        <vt:i4>0</vt:i4>
      </vt:variant>
      <vt:variant>
        <vt:i4>5</vt:i4>
      </vt:variant>
      <vt:variant>
        <vt:lpwstr>mailto:Jarrod.Bowd@health.gov.au</vt:lpwstr>
      </vt:variant>
      <vt:variant>
        <vt:lpwstr/>
      </vt:variant>
      <vt:variant>
        <vt:i4>5963898</vt:i4>
      </vt:variant>
      <vt:variant>
        <vt:i4>9</vt:i4>
      </vt:variant>
      <vt:variant>
        <vt:i4>0</vt:i4>
      </vt:variant>
      <vt:variant>
        <vt:i4>5</vt:i4>
      </vt:variant>
      <vt:variant>
        <vt:lpwstr>mailto:Alexandra.ATIP@Health.gov.au</vt:lpwstr>
      </vt:variant>
      <vt:variant>
        <vt:lpwstr/>
      </vt:variant>
      <vt:variant>
        <vt:i4>524322</vt:i4>
      </vt:variant>
      <vt:variant>
        <vt:i4>6</vt:i4>
      </vt:variant>
      <vt:variant>
        <vt:i4>0</vt:i4>
      </vt:variant>
      <vt:variant>
        <vt:i4>5</vt:i4>
      </vt:variant>
      <vt:variant>
        <vt:lpwstr>mailto:Samantha.EBDON@Health.gov.au</vt:lpwstr>
      </vt:variant>
      <vt:variant>
        <vt:lpwstr/>
      </vt:variant>
      <vt:variant>
        <vt:i4>5963898</vt:i4>
      </vt:variant>
      <vt:variant>
        <vt:i4>3</vt:i4>
      </vt:variant>
      <vt:variant>
        <vt:i4>0</vt:i4>
      </vt:variant>
      <vt:variant>
        <vt:i4>5</vt:i4>
      </vt:variant>
      <vt:variant>
        <vt:lpwstr>mailto:Alexandra.ATIP@Health.gov.au</vt:lpwstr>
      </vt:variant>
      <vt:variant>
        <vt:lpwstr/>
      </vt:variant>
      <vt:variant>
        <vt:i4>5701753</vt:i4>
      </vt:variant>
      <vt:variant>
        <vt:i4>0</vt:i4>
      </vt:variant>
      <vt:variant>
        <vt:i4>0</vt:i4>
      </vt:variant>
      <vt:variant>
        <vt:i4>5</vt:i4>
      </vt:variant>
      <vt:variant>
        <vt:lpwstr>mailto:Jarrod.Bowd@health.gov.au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report</dc:title>
  <dc:subject>QFR Accruals Guide</dc:subject>
  <dc:creator>Australian Goverment Department of Health, Disability and Ageing</dc:creator>
  <cp:keywords>Aged Care, Senior Australians</cp:keywords>
  <dc:description/>
  <cp:revision>3</cp:revision>
  <dcterms:created xsi:type="dcterms:W3CDTF">2025-07-03T00:46:00Z</dcterms:created>
  <dcterms:modified xsi:type="dcterms:W3CDTF">2025-07-08T04:34:00Z</dcterms:modified>
</cp:coreProperties>
</file>