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FD88" w14:textId="138A396D" w:rsidR="001269AE" w:rsidRDefault="00115333" w:rsidP="00734C4D">
      <w:pPr>
        <w:pStyle w:val="Title"/>
      </w:pPr>
      <w:r>
        <w:t>Prescribed</w:t>
      </w:r>
      <w:r w:rsidR="001269AE">
        <w:t xml:space="preserve"> List Compliance Strategy</w:t>
      </w:r>
    </w:p>
    <w:p w14:paraId="78FE22F8" w14:textId="3236C66A" w:rsidR="001269AE" w:rsidRPr="000E7FF8" w:rsidRDefault="001269AE" w:rsidP="000E7FF8">
      <w:pPr>
        <w:pStyle w:val="Subtitle"/>
      </w:pPr>
      <w:r w:rsidRPr="000E7FF8">
        <w:t xml:space="preserve">Safeguarding the </w:t>
      </w:r>
      <w:r w:rsidR="00115333">
        <w:t>Prescribed</w:t>
      </w:r>
      <w:r w:rsidRPr="000E7FF8">
        <w:t xml:space="preserve"> List</w:t>
      </w:r>
    </w:p>
    <w:p w14:paraId="7626116A" w14:textId="3AF48B47" w:rsidR="00751A23" w:rsidRDefault="00751A23"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p>
    <w:p w14:paraId="3991F29F" w14:textId="77777777" w:rsidR="001269AE" w:rsidRPr="000E7FF8" w:rsidRDefault="001269AE" w:rsidP="000A7092">
      <w:pPr>
        <w:rPr>
          <w:rStyle w:val="Strong"/>
        </w:rPr>
      </w:pPr>
      <w:r w:rsidRPr="000E7FF8">
        <w:rPr>
          <w:rStyle w:val="Strong"/>
        </w:rPr>
        <w:lastRenderedPageBreak/>
        <w:t>Copyright</w:t>
      </w:r>
    </w:p>
    <w:p w14:paraId="2F158C37" w14:textId="2700EA8E" w:rsidR="001269AE" w:rsidRPr="000E7FF8" w:rsidRDefault="001269AE" w:rsidP="000A7092">
      <w:r w:rsidRPr="000E7FF8">
        <w:t>© 2022 Commonwealth of Australia as represented by the Department of Health</w:t>
      </w:r>
      <w:r w:rsidR="00BE6C8C">
        <w:t>, Disability and Ageing</w:t>
      </w:r>
      <w:r w:rsidR="002A61CE">
        <w:t>.</w:t>
      </w:r>
    </w:p>
    <w:p w14:paraId="68B0D446" w14:textId="2868F390" w:rsidR="001269AE" w:rsidRPr="000E7FF8" w:rsidRDefault="001269AE" w:rsidP="000A7092">
      <w:r w:rsidRPr="000E7FF8">
        <w:t>This work is copyright. You may copy, print, download, display and reproduce the whole or part of this work in unaltered form for your own personal use or, if you are part of an organisation, for internal use in your organisation, but only if you or your organisation:</w:t>
      </w:r>
    </w:p>
    <w:p w14:paraId="62CC6768" w14:textId="30092CD6" w:rsidR="001269AE" w:rsidRPr="000E7FF8" w:rsidRDefault="001269AE" w:rsidP="000A7092">
      <w:pPr>
        <w:pStyle w:val="ListNumber2"/>
      </w:pPr>
      <w:r w:rsidRPr="000E7FF8">
        <w:t>do not use the copy or reproduc</w:t>
      </w:r>
      <w:r w:rsidR="00522B5D">
        <w:t>e</w:t>
      </w:r>
      <w:r w:rsidRPr="000E7FF8">
        <w:t xml:space="preserve"> for any commercial purpose; and</w:t>
      </w:r>
    </w:p>
    <w:p w14:paraId="56A7E2C9" w14:textId="0DCBB3CB" w:rsidR="001269AE" w:rsidRPr="000E7FF8" w:rsidRDefault="00522B5D" w:rsidP="000A7092">
      <w:pPr>
        <w:pStyle w:val="ListNumber2"/>
      </w:pPr>
      <w:r>
        <w:t>keep</w:t>
      </w:r>
      <w:r w:rsidR="001269AE" w:rsidRPr="000E7FF8">
        <w:t xml:space="preserve"> this copyright notice and all disclaimer notices as part of that copy or reproduction.</w:t>
      </w:r>
    </w:p>
    <w:p w14:paraId="01B42957" w14:textId="77777777" w:rsidR="001269AE" w:rsidRPr="000E7FF8" w:rsidRDefault="001269AE" w:rsidP="000A7092">
      <w:r w:rsidRPr="000E7FF8">
        <w:t xml:space="preserve">Apart from rights as permitted by the </w:t>
      </w:r>
      <w:r w:rsidRPr="009B717D">
        <w:rPr>
          <w:rStyle w:val="Emphasis"/>
        </w:rPr>
        <w:t>Copyright Act 1968</w:t>
      </w:r>
      <w:r w:rsidRPr="000E7FF8">
        <w:t xml:space="preserve"> (Cth) or allowed by this copyright notice, all other rights are reserved, including (but not limited to) all commercial rights.</w:t>
      </w:r>
    </w:p>
    <w:p w14:paraId="77A2ACCB" w14:textId="2C464176" w:rsidR="001269AE" w:rsidRPr="000E7FF8" w:rsidRDefault="001269AE" w:rsidP="000A7092">
      <w:r w:rsidRPr="000E7FF8">
        <w:t>Requests and inquiries concerning reproduction and other rights to use are to be sent to the Communication Branch, Department of Health</w:t>
      </w:r>
      <w:r w:rsidR="00BE6C8C">
        <w:t>, Disability and Ageing</w:t>
      </w:r>
      <w:r w:rsidRPr="000E7FF8">
        <w:t xml:space="preserve">, GPO Box 9848, Canberra ACT 2601, or </w:t>
      </w:r>
      <w:r w:rsidR="00522B5D">
        <w:t>by</w:t>
      </w:r>
      <w:r w:rsidRPr="000E7FF8">
        <w:t xml:space="preserve"> e-mail to </w:t>
      </w:r>
      <w:hyperlink r:id="rId12" w:history="1">
        <w:r w:rsidRPr="000E7FF8">
          <w:rPr>
            <w:rStyle w:val="Hyperlink"/>
          </w:rPr>
          <w:t>copyright@health.gov.au</w:t>
        </w:r>
      </w:hyperlink>
      <w:r w:rsidRPr="000E7FF8">
        <w:t xml:space="preserve"> </w:t>
      </w:r>
    </w:p>
    <w:p w14:paraId="36CBDECF" w14:textId="02162285" w:rsidR="001269AE" w:rsidRPr="000E7FF8" w:rsidRDefault="001269AE" w:rsidP="000A7092">
      <w:pPr>
        <w:rPr>
          <w:rStyle w:val="Strong"/>
        </w:rPr>
      </w:pPr>
      <w:r w:rsidRPr="000E7FF8">
        <w:rPr>
          <w:rStyle w:val="Strong"/>
        </w:rPr>
        <w:t xml:space="preserve">This document is intended to </w:t>
      </w:r>
      <w:r w:rsidR="00522B5D">
        <w:rPr>
          <w:rStyle w:val="Strong"/>
        </w:rPr>
        <w:t>give</w:t>
      </w:r>
      <w:r w:rsidRPr="000E7FF8">
        <w:rPr>
          <w:rStyle w:val="Strong"/>
        </w:rPr>
        <w:t xml:space="preserve"> </w:t>
      </w:r>
      <w:r w:rsidR="00522B5D">
        <w:rPr>
          <w:rStyle w:val="Strong"/>
        </w:rPr>
        <w:t>extra</w:t>
      </w:r>
      <w:r w:rsidRPr="000E7FF8">
        <w:rPr>
          <w:rStyle w:val="Strong"/>
        </w:rPr>
        <w:t xml:space="preserve"> guidance to stakeholders about the approach we take to compliance</w:t>
      </w:r>
      <w:r w:rsidR="00D57383" w:rsidRPr="000E7FF8">
        <w:rPr>
          <w:rStyle w:val="Strong"/>
        </w:rPr>
        <w:t>, assurance</w:t>
      </w:r>
      <w:r w:rsidRPr="000E7FF8">
        <w:rPr>
          <w:rStyle w:val="Strong"/>
        </w:rPr>
        <w:t xml:space="preserve"> and enforcement activities</w:t>
      </w:r>
      <w:r w:rsidR="00D57383" w:rsidRPr="000E7FF8">
        <w:rPr>
          <w:rStyle w:val="Strong"/>
        </w:rPr>
        <w:t xml:space="preserve"> in support of the </w:t>
      </w:r>
      <w:r w:rsidR="00115333">
        <w:rPr>
          <w:rStyle w:val="Strong"/>
        </w:rPr>
        <w:t>Prescribed</w:t>
      </w:r>
      <w:r w:rsidR="00D57383" w:rsidRPr="000E7FF8">
        <w:rPr>
          <w:rStyle w:val="Strong"/>
        </w:rPr>
        <w:t xml:space="preserve"> List program</w:t>
      </w:r>
      <w:r w:rsidRPr="000E7FF8">
        <w:rPr>
          <w:rStyle w:val="Strong"/>
        </w:rPr>
        <w:t xml:space="preserve">. These functions are carried out </w:t>
      </w:r>
      <w:r w:rsidR="00D170F3" w:rsidRPr="00BE6C8C">
        <w:rPr>
          <w:rStyle w:val="Strong"/>
        </w:rPr>
        <w:t>according to</w:t>
      </w:r>
      <w:r w:rsidRPr="00BE6C8C">
        <w:rPr>
          <w:rStyle w:val="Strong"/>
        </w:rPr>
        <w:t xml:space="preserve"> </w:t>
      </w:r>
      <w:r w:rsidRPr="000E7FF8">
        <w:rPr>
          <w:rStyle w:val="Strong"/>
        </w:rPr>
        <w:t>statutory requirements and this strategy cannot override those requirements. It does not constitute legal advice.</w:t>
      </w:r>
    </w:p>
    <w:p w14:paraId="462F8DBB" w14:textId="77777777" w:rsidR="001269AE" w:rsidRPr="005F0456" w:rsidRDefault="001269AE" w:rsidP="000A7092">
      <w:pPr>
        <w:sectPr w:rsidR="001269AE" w:rsidRPr="005F0456" w:rsidSect="00B15133">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sdt>
      <w:sdtPr>
        <w:id w:val="-680277373"/>
        <w:docPartObj>
          <w:docPartGallery w:val="Table of Contents"/>
          <w:docPartUnique/>
        </w:docPartObj>
      </w:sdtPr>
      <w:sdtEndPr>
        <w:rPr>
          <w:rFonts w:eastAsia="HelveticaNeueLTStd-Lt"/>
          <w:b w:val="0"/>
          <w:color w:val="auto"/>
          <w:sz w:val="21"/>
        </w:rPr>
      </w:sdtEndPr>
      <w:sdtContent>
        <w:p w14:paraId="295D134E" w14:textId="77777777" w:rsidR="001269AE" w:rsidRDefault="001269AE" w:rsidP="005F0456">
          <w:pPr>
            <w:pStyle w:val="TOCHeading"/>
          </w:pPr>
          <w:r>
            <w:t>Contents</w:t>
          </w:r>
        </w:p>
        <w:p w14:paraId="7B460129" w14:textId="5F71F679" w:rsidR="005F0456" w:rsidRPr="005F0456" w:rsidRDefault="001269AE" w:rsidP="000A7092">
          <w:pPr>
            <w:pStyle w:val="TOC1"/>
          </w:pPr>
          <w:r w:rsidRPr="005F0456">
            <w:fldChar w:fldCharType="begin"/>
          </w:r>
          <w:r w:rsidRPr="005F0456">
            <w:instrText xml:space="preserve"> TOC \o "1-3" \h \z \u </w:instrText>
          </w:r>
          <w:r w:rsidRPr="005F0456">
            <w:fldChar w:fldCharType="separate"/>
          </w:r>
          <w:hyperlink w:anchor="_Toc203750740" w:history="1">
            <w:r w:rsidR="005F0456" w:rsidRPr="00B623A0">
              <w:rPr>
                <w:rStyle w:val="Hyperlink"/>
              </w:rPr>
              <w:t>Introduction</w:t>
            </w:r>
            <w:r w:rsidR="005F0456">
              <w:rPr>
                <w:webHidden/>
              </w:rPr>
              <w:tab/>
            </w:r>
            <w:r w:rsidR="005F0456">
              <w:rPr>
                <w:webHidden/>
              </w:rPr>
              <w:fldChar w:fldCharType="begin"/>
            </w:r>
            <w:r w:rsidR="005F0456">
              <w:rPr>
                <w:webHidden/>
              </w:rPr>
              <w:instrText xml:space="preserve"> PAGEREF _Toc203750740 \h </w:instrText>
            </w:r>
            <w:r w:rsidR="005F0456">
              <w:rPr>
                <w:webHidden/>
              </w:rPr>
            </w:r>
            <w:r w:rsidR="005F0456">
              <w:rPr>
                <w:webHidden/>
              </w:rPr>
              <w:fldChar w:fldCharType="separate"/>
            </w:r>
            <w:r w:rsidR="005F0456">
              <w:rPr>
                <w:webHidden/>
              </w:rPr>
              <w:t>1</w:t>
            </w:r>
            <w:r w:rsidR="005F0456">
              <w:rPr>
                <w:webHidden/>
              </w:rPr>
              <w:fldChar w:fldCharType="end"/>
            </w:r>
          </w:hyperlink>
        </w:p>
        <w:p w14:paraId="47A77908" w14:textId="43A3F0B2" w:rsidR="005F0456" w:rsidRPr="005F0456" w:rsidRDefault="005F0456" w:rsidP="000A7092">
          <w:pPr>
            <w:pStyle w:val="TOC1"/>
          </w:pPr>
          <w:hyperlink w:anchor="_Toc203750741" w:history="1">
            <w:r w:rsidRPr="00B623A0">
              <w:rPr>
                <w:rStyle w:val="Hyperlink"/>
              </w:rPr>
              <w:t>Prescribed List Compliance</w:t>
            </w:r>
            <w:r>
              <w:rPr>
                <w:webHidden/>
              </w:rPr>
              <w:tab/>
            </w:r>
            <w:r>
              <w:rPr>
                <w:webHidden/>
              </w:rPr>
              <w:fldChar w:fldCharType="begin"/>
            </w:r>
            <w:r>
              <w:rPr>
                <w:webHidden/>
              </w:rPr>
              <w:instrText xml:space="preserve"> PAGEREF _Toc203750741 \h </w:instrText>
            </w:r>
            <w:r>
              <w:rPr>
                <w:webHidden/>
              </w:rPr>
            </w:r>
            <w:r>
              <w:rPr>
                <w:webHidden/>
              </w:rPr>
              <w:fldChar w:fldCharType="separate"/>
            </w:r>
            <w:r>
              <w:rPr>
                <w:webHidden/>
              </w:rPr>
              <w:t>2</w:t>
            </w:r>
            <w:r>
              <w:rPr>
                <w:webHidden/>
              </w:rPr>
              <w:fldChar w:fldCharType="end"/>
            </w:r>
          </w:hyperlink>
        </w:p>
        <w:p w14:paraId="7EDAFA8C" w14:textId="23D96567" w:rsidR="005F0456" w:rsidRPr="005F0456" w:rsidRDefault="005F0456" w:rsidP="000A7092">
          <w:pPr>
            <w:pStyle w:val="TOC1"/>
          </w:pPr>
          <w:hyperlink w:anchor="_Toc203750742" w:history="1">
            <w:r w:rsidRPr="00B623A0">
              <w:rPr>
                <w:rStyle w:val="Hyperlink"/>
              </w:rPr>
              <w:t>Purpose</w:t>
            </w:r>
            <w:r>
              <w:rPr>
                <w:webHidden/>
              </w:rPr>
              <w:tab/>
            </w:r>
            <w:r>
              <w:rPr>
                <w:webHidden/>
              </w:rPr>
              <w:fldChar w:fldCharType="begin"/>
            </w:r>
            <w:r>
              <w:rPr>
                <w:webHidden/>
              </w:rPr>
              <w:instrText xml:space="preserve"> PAGEREF _Toc203750742 \h </w:instrText>
            </w:r>
            <w:r>
              <w:rPr>
                <w:webHidden/>
              </w:rPr>
            </w:r>
            <w:r>
              <w:rPr>
                <w:webHidden/>
              </w:rPr>
              <w:fldChar w:fldCharType="separate"/>
            </w:r>
            <w:r>
              <w:rPr>
                <w:webHidden/>
              </w:rPr>
              <w:t>2</w:t>
            </w:r>
            <w:r>
              <w:rPr>
                <w:webHidden/>
              </w:rPr>
              <w:fldChar w:fldCharType="end"/>
            </w:r>
          </w:hyperlink>
        </w:p>
        <w:p w14:paraId="31CADA7A" w14:textId="79E8A8CF" w:rsidR="005F0456" w:rsidRPr="005F0456" w:rsidRDefault="005F0456" w:rsidP="000A7092">
          <w:pPr>
            <w:pStyle w:val="TOC1"/>
          </w:pPr>
          <w:hyperlink w:anchor="_Toc203750743" w:history="1">
            <w:r w:rsidRPr="00B623A0">
              <w:rPr>
                <w:rStyle w:val="Hyperlink"/>
              </w:rPr>
              <w:t>Principles of regulator best practice</w:t>
            </w:r>
            <w:r>
              <w:rPr>
                <w:webHidden/>
              </w:rPr>
              <w:tab/>
            </w:r>
            <w:r>
              <w:rPr>
                <w:webHidden/>
              </w:rPr>
              <w:fldChar w:fldCharType="begin"/>
            </w:r>
            <w:r>
              <w:rPr>
                <w:webHidden/>
              </w:rPr>
              <w:instrText xml:space="preserve"> PAGEREF _Toc203750743 \h </w:instrText>
            </w:r>
            <w:r>
              <w:rPr>
                <w:webHidden/>
              </w:rPr>
            </w:r>
            <w:r>
              <w:rPr>
                <w:webHidden/>
              </w:rPr>
              <w:fldChar w:fldCharType="separate"/>
            </w:r>
            <w:r>
              <w:rPr>
                <w:webHidden/>
              </w:rPr>
              <w:t>3</w:t>
            </w:r>
            <w:r>
              <w:rPr>
                <w:webHidden/>
              </w:rPr>
              <w:fldChar w:fldCharType="end"/>
            </w:r>
          </w:hyperlink>
        </w:p>
        <w:p w14:paraId="4E2C397C" w14:textId="5AFF0565" w:rsidR="005F0456" w:rsidRPr="005F0456" w:rsidRDefault="005F0456" w:rsidP="000A7092">
          <w:pPr>
            <w:pStyle w:val="TOC1"/>
          </w:pPr>
          <w:hyperlink w:anchor="_Toc203750744" w:history="1">
            <w:r w:rsidRPr="00B623A0">
              <w:rPr>
                <w:rStyle w:val="Hyperlink"/>
              </w:rPr>
              <w:t>Compliance priorities</w:t>
            </w:r>
            <w:r>
              <w:rPr>
                <w:webHidden/>
              </w:rPr>
              <w:tab/>
            </w:r>
            <w:r>
              <w:rPr>
                <w:webHidden/>
              </w:rPr>
              <w:fldChar w:fldCharType="begin"/>
            </w:r>
            <w:r>
              <w:rPr>
                <w:webHidden/>
              </w:rPr>
              <w:instrText xml:space="preserve"> PAGEREF _Toc203750744 \h </w:instrText>
            </w:r>
            <w:r>
              <w:rPr>
                <w:webHidden/>
              </w:rPr>
            </w:r>
            <w:r>
              <w:rPr>
                <w:webHidden/>
              </w:rPr>
              <w:fldChar w:fldCharType="separate"/>
            </w:r>
            <w:r>
              <w:rPr>
                <w:webHidden/>
              </w:rPr>
              <w:t>3</w:t>
            </w:r>
            <w:r>
              <w:rPr>
                <w:webHidden/>
              </w:rPr>
              <w:fldChar w:fldCharType="end"/>
            </w:r>
          </w:hyperlink>
        </w:p>
        <w:p w14:paraId="11A6289C" w14:textId="7B3BFD55" w:rsidR="005F0456" w:rsidRPr="005F0456" w:rsidRDefault="005F0456" w:rsidP="000A7092">
          <w:pPr>
            <w:pStyle w:val="TOC1"/>
          </w:pPr>
          <w:hyperlink w:anchor="_Toc203750745" w:history="1">
            <w:r w:rsidRPr="00B623A0">
              <w:rPr>
                <w:rStyle w:val="Hyperlink"/>
              </w:rPr>
              <w:t>How to comply with your obligations</w:t>
            </w:r>
            <w:r>
              <w:rPr>
                <w:webHidden/>
              </w:rPr>
              <w:tab/>
            </w:r>
            <w:r>
              <w:rPr>
                <w:webHidden/>
              </w:rPr>
              <w:fldChar w:fldCharType="begin"/>
            </w:r>
            <w:r>
              <w:rPr>
                <w:webHidden/>
              </w:rPr>
              <w:instrText xml:space="preserve"> PAGEREF _Toc203750745 \h </w:instrText>
            </w:r>
            <w:r>
              <w:rPr>
                <w:webHidden/>
              </w:rPr>
            </w:r>
            <w:r>
              <w:rPr>
                <w:webHidden/>
              </w:rPr>
              <w:fldChar w:fldCharType="separate"/>
            </w:r>
            <w:r>
              <w:rPr>
                <w:webHidden/>
              </w:rPr>
              <w:t>4</w:t>
            </w:r>
            <w:r>
              <w:rPr>
                <w:webHidden/>
              </w:rPr>
              <w:fldChar w:fldCharType="end"/>
            </w:r>
          </w:hyperlink>
        </w:p>
        <w:p w14:paraId="2E70A4FE" w14:textId="0607F28B" w:rsidR="005F0456" w:rsidRPr="005F0456" w:rsidRDefault="005F0456" w:rsidP="000A7092">
          <w:pPr>
            <w:pStyle w:val="TOC1"/>
          </w:pPr>
          <w:hyperlink w:anchor="_Toc203750746" w:history="1">
            <w:r w:rsidRPr="00B623A0">
              <w:rPr>
                <w:rStyle w:val="Hyperlink"/>
              </w:rPr>
              <w:t>Compliance Approach</w:t>
            </w:r>
            <w:r>
              <w:rPr>
                <w:webHidden/>
              </w:rPr>
              <w:tab/>
            </w:r>
            <w:r>
              <w:rPr>
                <w:webHidden/>
              </w:rPr>
              <w:fldChar w:fldCharType="begin"/>
            </w:r>
            <w:r>
              <w:rPr>
                <w:webHidden/>
              </w:rPr>
              <w:instrText xml:space="preserve"> PAGEREF _Toc203750746 \h </w:instrText>
            </w:r>
            <w:r>
              <w:rPr>
                <w:webHidden/>
              </w:rPr>
            </w:r>
            <w:r>
              <w:rPr>
                <w:webHidden/>
              </w:rPr>
              <w:fldChar w:fldCharType="separate"/>
            </w:r>
            <w:r>
              <w:rPr>
                <w:webHidden/>
              </w:rPr>
              <w:t>5</w:t>
            </w:r>
            <w:r>
              <w:rPr>
                <w:webHidden/>
              </w:rPr>
              <w:fldChar w:fldCharType="end"/>
            </w:r>
          </w:hyperlink>
        </w:p>
        <w:p w14:paraId="32766038" w14:textId="40E0A8E7" w:rsidR="005F0456" w:rsidRPr="005F0456" w:rsidRDefault="005F0456" w:rsidP="000A7092">
          <w:pPr>
            <w:pStyle w:val="TOC2"/>
          </w:pPr>
          <w:hyperlink w:anchor="_Toc203750747" w:history="1">
            <w:r w:rsidRPr="00B623A0">
              <w:rPr>
                <w:rStyle w:val="Hyperlink"/>
              </w:rPr>
              <w:t>Tiers of non-compliance</w:t>
            </w:r>
            <w:r>
              <w:rPr>
                <w:webHidden/>
              </w:rPr>
              <w:tab/>
            </w:r>
            <w:r>
              <w:rPr>
                <w:webHidden/>
              </w:rPr>
              <w:fldChar w:fldCharType="begin"/>
            </w:r>
            <w:r>
              <w:rPr>
                <w:webHidden/>
              </w:rPr>
              <w:instrText xml:space="preserve"> PAGEREF _Toc203750747 \h </w:instrText>
            </w:r>
            <w:r>
              <w:rPr>
                <w:webHidden/>
              </w:rPr>
            </w:r>
            <w:r>
              <w:rPr>
                <w:webHidden/>
              </w:rPr>
              <w:fldChar w:fldCharType="separate"/>
            </w:r>
            <w:r>
              <w:rPr>
                <w:webHidden/>
              </w:rPr>
              <w:t>5</w:t>
            </w:r>
            <w:r>
              <w:rPr>
                <w:webHidden/>
              </w:rPr>
              <w:fldChar w:fldCharType="end"/>
            </w:r>
          </w:hyperlink>
        </w:p>
        <w:p w14:paraId="025603D0" w14:textId="429C7DCC" w:rsidR="005F0456" w:rsidRPr="005F0456" w:rsidRDefault="005F0456" w:rsidP="000A7092">
          <w:pPr>
            <w:pStyle w:val="TOC2"/>
          </w:pPr>
          <w:hyperlink w:anchor="_Toc203750748" w:history="1">
            <w:r w:rsidRPr="00B623A0">
              <w:rPr>
                <w:rStyle w:val="Hyperlink"/>
              </w:rPr>
              <w:t>Responsive enforcement model</w:t>
            </w:r>
            <w:r>
              <w:rPr>
                <w:webHidden/>
              </w:rPr>
              <w:tab/>
            </w:r>
            <w:r>
              <w:rPr>
                <w:webHidden/>
              </w:rPr>
              <w:fldChar w:fldCharType="begin"/>
            </w:r>
            <w:r>
              <w:rPr>
                <w:webHidden/>
              </w:rPr>
              <w:instrText xml:space="preserve"> PAGEREF _Toc203750748 \h </w:instrText>
            </w:r>
            <w:r>
              <w:rPr>
                <w:webHidden/>
              </w:rPr>
            </w:r>
            <w:r>
              <w:rPr>
                <w:webHidden/>
              </w:rPr>
              <w:fldChar w:fldCharType="separate"/>
            </w:r>
            <w:r>
              <w:rPr>
                <w:webHidden/>
              </w:rPr>
              <w:t>6</w:t>
            </w:r>
            <w:r>
              <w:rPr>
                <w:webHidden/>
              </w:rPr>
              <w:fldChar w:fldCharType="end"/>
            </w:r>
          </w:hyperlink>
        </w:p>
        <w:p w14:paraId="38DCF045" w14:textId="2A3C9FAC" w:rsidR="005F0456" w:rsidRPr="005F0456" w:rsidRDefault="005F0456" w:rsidP="000A7092">
          <w:pPr>
            <w:pStyle w:val="TOC1"/>
          </w:pPr>
          <w:hyperlink w:anchor="_Toc203750749" w:history="1">
            <w:r w:rsidRPr="00B623A0">
              <w:rPr>
                <w:rStyle w:val="Hyperlink"/>
              </w:rPr>
              <w:t>Identifying Non-Compliance</w:t>
            </w:r>
            <w:r>
              <w:rPr>
                <w:webHidden/>
              </w:rPr>
              <w:tab/>
            </w:r>
            <w:r>
              <w:rPr>
                <w:webHidden/>
              </w:rPr>
              <w:fldChar w:fldCharType="begin"/>
            </w:r>
            <w:r>
              <w:rPr>
                <w:webHidden/>
              </w:rPr>
              <w:instrText xml:space="preserve"> PAGEREF _Toc203750749 \h </w:instrText>
            </w:r>
            <w:r>
              <w:rPr>
                <w:webHidden/>
              </w:rPr>
            </w:r>
            <w:r>
              <w:rPr>
                <w:webHidden/>
              </w:rPr>
              <w:fldChar w:fldCharType="separate"/>
            </w:r>
            <w:r>
              <w:rPr>
                <w:webHidden/>
              </w:rPr>
              <w:t>8</w:t>
            </w:r>
            <w:r>
              <w:rPr>
                <w:webHidden/>
              </w:rPr>
              <w:fldChar w:fldCharType="end"/>
            </w:r>
          </w:hyperlink>
        </w:p>
        <w:p w14:paraId="0EFA5945" w14:textId="2B68480F" w:rsidR="005F0456" w:rsidRPr="005F0456" w:rsidRDefault="005F0456" w:rsidP="000A7092">
          <w:pPr>
            <w:pStyle w:val="TOC2"/>
          </w:pPr>
          <w:hyperlink w:anchor="_Toc203750750" w:history="1">
            <w:r w:rsidRPr="00B623A0">
              <w:rPr>
                <w:rStyle w:val="Hyperlink"/>
              </w:rPr>
              <w:t>Tip off and complaints</w:t>
            </w:r>
            <w:r>
              <w:rPr>
                <w:webHidden/>
              </w:rPr>
              <w:tab/>
            </w:r>
            <w:r>
              <w:rPr>
                <w:webHidden/>
              </w:rPr>
              <w:fldChar w:fldCharType="begin"/>
            </w:r>
            <w:r>
              <w:rPr>
                <w:webHidden/>
              </w:rPr>
              <w:instrText xml:space="preserve"> PAGEREF _Toc203750750 \h </w:instrText>
            </w:r>
            <w:r>
              <w:rPr>
                <w:webHidden/>
              </w:rPr>
            </w:r>
            <w:r>
              <w:rPr>
                <w:webHidden/>
              </w:rPr>
              <w:fldChar w:fldCharType="separate"/>
            </w:r>
            <w:r>
              <w:rPr>
                <w:webHidden/>
              </w:rPr>
              <w:t>8</w:t>
            </w:r>
            <w:r>
              <w:rPr>
                <w:webHidden/>
              </w:rPr>
              <w:fldChar w:fldCharType="end"/>
            </w:r>
          </w:hyperlink>
        </w:p>
        <w:p w14:paraId="353F5A26" w14:textId="46107C83" w:rsidR="005F0456" w:rsidRPr="005F0456" w:rsidRDefault="005F0456" w:rsidP="000A7092">
          <w:pPr>
            <w:pStyle w:val="TOC2"/>
          </w:pPr>
          <w:hyperlink w:anchor="_Toc203750751" w:history="1">
            <w:r w:rsidRPr="00B623A0">
              <w:rPr>
                <w:rStyle w:val="Hyperlink"/>
              </w:rPr>
              <w:t>Data analysis</w:t>
            </w:r>
            <w:r>
              <w:rPr>
                <w:webHidden/>
              </w:rPr>
              <w:tab/>
            </w:r>
            <w:r>
              <w:rPr>
                <w:webHidden/>
              </w:rPr>
              <w:fldChar w:fldCharType="begin"/>
            </w:r>
            <w:r>
              <w:rPr>
                <w:webHidden/>
              </w:rPr>
              <w:instrText xml:space="preserve"> PAGEREF _Toc203750751 \h </w:instrText>
            </w:r>
            <w:r>
              <w:rPr>
                <w:webHidden/>
              </w:rPr>
            </w:r>
            <w:r>
              <w:rPr>
                <w:webHidden/>
              </w:rPr>
              <w:fldChar w:fldCharType="separate"/>
            </w:r>
            <w:r>
              <w:rPr>
                <w:webHidden/>
              </w:rPr>
              <w:t>8</w:t>
            </w:r>
            <w:r>
              <w:rPr>
                <w:webHidden/>
              </w:rPr>
              <w:fldChar w:fldCharType="end"/>
            </w:r>
          </w:hyperlink>
        </w:p>
        <w:p w14:paraId="5A72327A" w14:textId="0AA187F0" w:rsidR="005F0456" w:rsidRPr="005F0456" w:rsidRDefault="005F0456" w:rsidP="000A7092">
          <w:pPr>
            <w:pStyle w:val="TOC2"/>
          </w:pPr>
          <w:hyperlink w:anchor="_Toc203750752" w:history="1">
            <w:r w:rsidRPr="00B623A0">
              <w:rPr>
                <w:rStyle w:val="Hyperlink"/>
              </w:rPr>
              <w:t>Referrals to and from other agencies</w:t>
            </w:r>
            <w:r>
              <w:rPr>
                <w:webHidden/>
              </w:rPr>
              <w:tab/>
            </w:r>
            <w:r>
              <w:rPr>
                <w:webHidden/>
              </w:rPr>
              <w:fldChar w:fldCharType="begin"/>
            </w:r>
            <w:r>
              <w:rPr>
                <w:webHidden/>
              </w:rPr>
              <w:instrText xml:space="preserve"> PAGEREF _Toc203750752 \h </w:instrText>
            </w:r>
            <w:r>
              <w:rPr>
                <w:webHidden/>
              </w:rPr>
            </w:r>
            <w:r>
              <w:rPr>
                <w:webHidden/>
              </w:rPr>
              <w:fldChar w:fldCharType="separate"/>
            </w:r>
            <w:r>
              <w:rPr>
                <w:webHidden/>
              </w:rPr>
              <w:t>8</w:t>
            </w:r>
            <w:r>
              <w:rPr>
                <w:webHidden/>
              </w:rPr>
              <w:fldChar w:fldCharType="end"/>
            </w:r>
          </w:hyperlink>
        </w:p>
        <w:p w14:paraId="6A0767E1" w14:textId="133117F0" w:rsidR="005F0456" w:rsidRPr="005F0456" w:rsidRDefault="005F0456" w:rsidP="000A7092">
          <w:pPr>
            <w:pStyle w:val="TOC1"/>
          </w:pPr>
          <w:hyperlink w:anchor="_Toc203750753" w:history="1">
            <w:r w:rsidRPr="00B623A0">
              <w:rPr>
                <w:rStyle w:val="Hyperlink"/>
              </w:rPr>
              <w:t>Compliance Activities</w:t>
            </w:r>
            <w:r>
              <w:rPr>
                <w:webHidden/>
              </w:rPr>
              <w:tab/>
            </w:r>
            <w:r>
              <w:rPr>
                <w:webHidden/>
              </w:rPr>
              <w:fldChar w:fldCharType="begin"/>
            </w:r>
            <w:r>
              <w:rPr>
                <w:webHidden/>
              </w:rPr>
              <w:instrText xml:space="preserve"> PAGEREF _Toc203750753 \h </w:instrText>
            </w:r>
            <w:r>
              <w:rPr>
                <w:webHidden/>
              </w:rPr>
            </w:r>
            <w:r>
              <w:rPr>
                <w:webHidden/>
              </w:rPr>
              <w:fldChar w:fldCharType="separate"/>
            </w:r>
            <w:r>
              <w:rPr>
                <w:webHidden/>
              </w:rPr>
              <w:t>9</w:t>
            </w:r>
            <w:r>
              <w:rPr>
                <w:webHidden/>
              </w:rPr>
              <w:fldChar w:fldCharType="end"/>
            </w:r>
          </w:hyperlink>
        </w:p>
        <w:p w14:paraId="392922B7" w14:textId="0C9F1C25" w:rsidR="005F0456" w:rsidRPr="005F0456" w:rsidRDefault="005F0456" w:rsidP="000A7092">
          <w:pPr>
            <w:pStyle w:val="TOC2"/>
          </w:pPr>
          <w:hyperlink w:anchor="_Toc203750754" w:history="1">
            <w:r w:rsidRPr="00B623A0">
              <w:rPr>
                <w:rStyle w:val="Hyperlink"/>
              </w:rPr>
              <w:t>Corrective actions</w:t>
            </w:r>
            <w:r>
              <w:rPr>
                <w:webHidden/>
              </w:rPr>
              <w:tab/>
            </w:r>
            <w:r>
              <w:rPr>
                <w:webHidden/>
              </w:rPr>
              <w:fldChar w:fldCharType="begin"/>
            </w:r>
            <w:r>
              <w:rPr>
                <w:webHidden/>
              </w:rPr>
              <w:instrText xml:space="preserve"> PAGEREF _Toc203750754 \h </w:instrText>
            </w:r>
            <w:r>
              <w:rPr>
                <w:webHidden/>
              </w:rPr>
            </w:r>
            <w:r>
              <w:rPr>
                <w:webHidden/>
              </w:rPr>
              <w:fldChar w:fldCharType="separate"/>
            </w:r>
            <w:r>
              <w:rPr>
                <w:webHidden/>
              </w:rPr>
              <w:t>9</w:t>
            </w:r>
            <w:r>
              <w:rPr>
                <w:webHidden/>
              </w:rPr>
              <w:fldChar w:fldCharType="end"/>
            </w:r>
          </w:hyperlink>
        </w:p>
        <w:p w14:paraId="7A25A99B" w14:textId="0F097756" w:rsidR="005F0456" w:rsidRPr="005F0456" w:rsidRDefault="005F0456" w:rsidP="000A7092">
          <w:pPr>
            <w:pStyle w:val="TOC2"/>
          </w:pPr>
          <w:hyperlink w:anchor="_Toc203750755" w:history="1">
            <w:r w:rsidRPr="00B623A0">
              <w:rPr>
                <w:rStyle w:val="Hyperlink"/>
              </w:rPr>
              <w:t>Legislative instruments</w:t>
            </w:r>
            <w:r>
              <w:rPr>
                <w:webHidden/>
              </w:rPr>
              <w:tab/>
            </w:r>
            <w:r>
              <w:rPr>
                <w:webHidden/>
              </w:rPr>
              <w:fldChar w:fldCharType="begin"/>
            </w:r>
            <w:r>
              <w:rPr>
                <w:webHidden/>
              </w:rPr>
              <w:instrText xml:space="preserve"> PAGEREF _Toc203750755 \h </w:instrText>
            </w:r>
            <w:r>
              <w:rPr>
                <w:webHidden/>
              </w:rPr>
            </w:r>
            <w:r>
              <w:rPr>
                <w:webHidden/>
              </w:rPr>
              <w:fldChar w:fldCharType="separate"/>
            </w:r>
            <w:r>
              <w:rPr>
                <w:webHidden/>
              </w:rPr>
              <w:t>10</w:t>
            </w:r>
            <w:r>
              <w:rPr>
                <w:webHidden/>
              </w:rPr>
              <w:fldChar w:fldCharType="end"/>
            </w:r>
          </w:hyperlink>
        </w:p>
        <w:p w14:paraId="11E8AB6D" w14:textId="103127E3" w:rsidR="005F0456" w:rsidRPr="005F0456" w:rsidRDefault="005F0456" w:rsidP="000A7092">
          <w:pPr>
            <w:pStyle w:val="TOC1"/>
          </w:pPr>
          <w:hyperlink w:anchor="_Toc203750756" w:history="1">
            <w:r w:rsidRPr="00B623A0">
              <w:rPr>
                <w:rStyle w:val="Hyperlink"/>
              </w:rPr>
              <w:t>Our Responsibilities</w:t>
            </w:r>
            <w:r>
              <w:rPr>
                <w:webHidden/>
              </w:rPr>
              <w:tab/>
            </w:r>
            <w:r>
              <w:rPr>
                <w:webHidden/>
              </w:rPr>
              <w:fldChar w:fldCharType="begin"/>
            </w:r>
            <w:r>
              <w:rPr>
                <w:webHidden/>
              </w:rPr>
              <w:instrText xml:space="preserve"> PAGEREF _Toc203750756 \h </w:instrText>
            </w:r>
            <w:r>
              <w:rPr>
                <w:webHidden/>
              </w:rPr>
            </w:r>
            <w:r>
              <w:rPr>
                <w:webHidden/>
              </w:rPr>
              <w:fldChar w:fldCharType="separate"/>
            </w:r>
            <w:r>
              <w:rPr>
                <w:webHidden/>
              </w:rPr>
              <w:t>11</w:t>
            </w:r>
            <w:r>
              <w:rPr>
                <w:webHidden/>
              </w:rPr>
              <w:fldChar w:fldCharType="end"/>
            </w:r>
          </w:hyperlink>
        </w:p>
        <w:p w14:paraId="260541DA" w14:textId="54137BB5" w:rsidR="005F0456" w:rsidRPr="005F0456" w:rsidRDefault="005F0456" w:rsidP="000A7092">
          <w:pPr>
            <w:pStyle w:val="TOC2"/>
          </w:pPr>
          <w:hyperlink w:anchor="_Toc203750757" w:history="1">
            <w:r w:rsidRPr="00B623A0">
              <w:rPr>
                <w:rStyle w:val="Hyperlink"/>
              </w:rPr>
              <w:t>Principles underpinning the compliance activities</w:t>
            </w:r>
            <w:r>
              <w:rPr>
                <w:webHidden/>
              </w:rPr>
              <w:tab/>
            </w:r>
            <w:r>
              <w:rPr>
                <w:webHidden/>
              </w:rPr>
              <w:fldChar w:fldCharType="begin"/>
            </w:r>
            <w:r>
              <w:rPr>
                <w:webHidden/>
              </w:rPr>
              <w:instrText xml:space="preserve"> PAGEREF _Toc203750757 \h </w:instrText>
            </w:r>
            <w:r>
              <w:rPr>
                <w:webHidden/>
              </w:rPr>
            </w:r>
            <w:r>
              <w:rPr>
                <w:webHidden/>
              </w:rPr>
              <w:fldChar w:fldCharType="separate"/>
            </w:r>
            <w:r>
              <w:rPr>
                <w:webHidden/>
              </w:rPr>
              <w:t>11</w:t>
            </w:r>
            <w:r>
              <w:rPr>
                <w:webHidden/>
              </w:rPr>
              <w:fldChar w:fldCharType="end"/>
            </w:r>
          </w:hyperlink>
        </w:p>
        <w:p w14:paraId="32BC0616" w14:textId="195E2438" w:rsidR="005F0456" w:rsidRPr="005F0456" w:rsidRDefault="005F0456" w:rsidP="000A7092">
          <w:pPr>
            <w:pStyle w:val="TOC2"/>
          </w:pPr>
          <w:hyperlink w:anchor="_Toc203750758" w:history="1">
            <w:r w:rsidRPr="00B623A0">
              <w:rPr>
                <w:rStyle w:val="Hyperlink"/>
              </w:rPr>
              <w:t>Conduct and Values</w:t>
            </w:r>
            <w:r>
              <w:rPr>
                <w:webHidden/>
              </w:rPr>
              <w:tab/>
            </w:r>
            <w:r>
              <w:rPr>
                <w:webHidden/>
              </w:rPr>
              <w:fldChar w:fldCharType="begin"/>
            </w:r>
            <w:r>
              <w:rPr>
                <w:webHidden/>
              </w:rPr>
              <w:instrText xml:space="preserve"> PAGEREF _Toc203750758 \h </w:instrText>
            </w:r>
            <w:r>
              <w:rPr>
                <w:webHidden/>
              </w:rPr>
            </w:r>
            <w:r>
              <w:rPr>
                <w:webHidden/>
              </w:rPr>
              <w:fldChar w:fldCharType="separate"/>
            </w:r>
            <w:r>
              <w:rPr>
                <w:webHidden/>
              </w:rPr>
              <w:t>12</w:t>
            </w:r>
            <w:r>
              <w:rPr>
                <w:webHidden/>
              </w:rPr>
              <w:fldChar w:fldCharType="end"/>
            </w:r>
          </w:hyperlink>
        </w:p>
        <w:p w14:paraId="7242552D" w14:textId="0AD0A9BA" w:rsidR="005F0456" w:rsidRPr="005F0456" w:rsidRDefault="005F0456" w:rsidP="000A7092">
          <w:pPr>
            <w:pStyle w:val="TOC2"/>
          </w:pPr>
          <w:hyperlink w:anchor="_Toc203750759" w:history="1">
            <w:r w:rsidRPr="00B623A0">
              <w:rPr>
                <w:rStyle w:val="Hyperlink"/>
              </w:rPr>
              <w:t>Procedural Fairness</w:t>
            </w:r>
            <w:r>
              <w:rPr>
                <w:webHidden/>
              </w:rPr>
              <w:tab/>
            </w:r>
            <w:r>
              <w:rPr>
                <w:webHidden/>
              </w:rPr>
              <w:fldChar w:fldCharType="begin"/>
            </w:r>
            <w:r>
              <w:rPr>
                <w:webHidden/>
              </w:rPr>
              <w:instrText xml:space="preserve"> PAGEREF _Toc203750759 \h </w:instrText>
            </w:r>
            <w:r>
              <w:rPr>
                <w:webHidden/>
              </w:rPr>
            </w:r>
            <w:r>
              <w:rPr>
                <w:webHidden/>
              </w:rPr>
              <w:fldChar w:fldCharType="separate"/>
            </w:r>
            <w:r>
              <w:rPr>
                <w:webHidden/>
              </w:rPr>
              <w:t>12</w:t>
            </w:r>
            <w:r>
              <w:rPr>
                <w:webHidden/>
              </w:rPr>
              <w:fldChar w:fldCharType="end"/>
            </w:r>
          </w:hyperlink>
        </w:p>
        <w:p w14:paraId="75CAA1B8" w14:textId="122A0C06" w:rsidR="005F0456" w:rsidRPr="005F0456" w:rsidRDefault="005F0456" w:rsidP="000A7092">
          <w:pPr>
            <w:pStyle w:val="TOC2"/>
          </w:pPr>
          <w:hyperlink w:anchor="_Toc203750760" w:history="1">
            <w:r w:rsidRPr="00B623A0">
              <w:rPr>
                <w:rStyle w:val="Hyperlink"/>
              </w:rPr>
              <w:t>Privacy</w:t>
            </w:r>
            <w:r>
              <w:rPr>
                <w:webHidden/>
              </w:rPr>
              <w:tab/>
            </w:r>
            <w:r>
              <w:rPr>
                <w:webHidden/>
              </w:rPr>
              <w:fldChar w:fldCharType="begin"/>
            </w:r>
            <w:r>
              <w:rPr>
                <w:webHidden/>
              </w:rPr>
              <w:instrText xml:space="preserve"> PAGEREF _Toc203750760 \h </w:instrText>
            </w:r>
            <w:r>
              <w:rPr>
                <w:webHidden/>
              </w:rPr>
            </w:r>
            <w:r>
              <w:rPr>
                <w:webHidden/>
              </w:rPr>
              <w:fldChar w:fldCharType="separate"/>
            </w:r>
            <w:r>
              <w:rPr>
                <w:webHidden/>
              </w:rPr>
              <w:t>12</w:t>
            </w:r>
            <w:r>
              <w:rPr>
                <w:webHidden/>
              </w:rPr>
              <w:fldChar w:fldCharType="end"/>
            </w:r>
          </w:hyperlink>
        </w:p>
        <w:p w14:paraId="79AB1224" w14:textId="04BEF5C2" w:rsidR="005F0456" w:rsidRPr="005F0456" w:rsidRDefault="005F0456" w:rsidP="000A7092">
          <w:pPr>
            <w:pStyle w:val="TOC1"/>
          </w:pPr>
          <w:hyperlink w:anchor="_Toc203750761" w:history="1">
            <w:r w:rsidRPr="00B623A0">
              <w:rPr>
                <w:rStyle w:val="Hyperlink"/>
              </w:rPr>
              <w:t>How to Report Non-Compliance</w:t>
            </w:r>
            <w:r>
              <w:rPr>
                <w:webHidden/>
              </w:rPr>
              <w:tab/>
            </w:r>
            <w:r>
              <w:rPr>
                <w:webHidden/>
              </w:rPr>
              <w:fldChar w:fldCharType="begin"/>
            </w:r>
            <w:r>
              <w:rPr>
                <w:webHidden/>
              </w:rPr>
              <w:instrText xml:space="preserve"> PAGEREF _Toc203750761 \h </w:instrText>
            </w:r>
            <w:r>
              <w:rPr>
                <w:webHidden/>
              </w:rPr>
            </w:r>
            <w:r>
              <w:rPr>
                <w:webHidden/>
              </w:rPr>
              <w:fldChar w:fldCharType="separate"/>
            </w:r>
            <w:r>
              <w:rPr>
                <w:webHidden/>
              </w:rPr>
              <w:t>13</w:t>
            </w:r>
            <w:r>
              <w:rPr>
                <w:webHidden/>
              </w:rPr>
              <w:fldChar w:fldCharType="end"/>
            </w:r>
          </w:hyperlink>
        </w:p>
        <w:p w14:paraId="32E3EA7C" w14:textId="45C6813F" w:rsidR="005F0456" w:rsidRPr="005F0456" w:rsidRDefault="005F0456" w:rsidP="000A7092">
          <w:pPr>
            <w:pStyle w:val="TOC1"/>
          </w:pPr>
          <w:hyperlink w:anchor="_Toc203750762" w:history="1">
            <w:r w:rsidRPr="00B623A0">
              <w:rPr>
                <w:rStyle w:val="Hyperlink"/>
              </w:rPr>
              <w:t>Additional information and resources</w:t>
            </w:r>
            <w:r>
              <w:rPr>
                <w:webHidden/>
              </w:rPr>
              <w:tab/>
            </w:r>
            <w:r>
              <w:rPr>
                <w:webHidden/>
              </w:rPr>
              <w:fldChar w:fldCharType="begin"/>
            </w:r>
            <w:r>
              <w:rPr>
                <w:webHidden/>
              </w:rPr>
              <w:instrText xml:space="preserve"> PAGEREF _Toc203750762 \h </w:instrText>
            </w:r>
            <w:r>
              <w:rPr>
                <w:webHidden/>
              </w:rPr>
            </w:r>
            <w:r>
              <w:rPr>
                <w:webHidden/>
              </w:rPr>
              <w:fldChar w:fldCharType="separate"/>
            </w:r>
            <w:r>
              <w:rPr>
                <w:webHidden/>
              </w:rPr>
              <w:t>13</w:t>
            </w:r>
            <w:r>
              <w:rPr>
                <w:webHidden/>
              </w:rPr>
              <w:fldChar w:fldCharType="end"/>
            </w:r>
          </w:hyperlink>
        </w:p>
        <w:p w14:paraId="777B71CB" w14:textId="6CA7772D" w:rsidR="001269AE" w:rsidRPr="003E2A3A" w:rsidRDefault="001269AE" w:rsidP="000A7092">
          <w:r w:rsidRPr="005F0456">
            <w:fldChar w:fldCharType="end"/>
          </w:r>
        </w:p>
      </w:sdtContent>
    </w:sdt>
    <w:p w14:paraId="55C9732E" w14:textId="77777777" w:rsidR="001269AE" w:rsidRPr="005F0456" w:rsidRDefault="001269AE" w:rsidP="000A7092"/>
    <w:p w14:paraId="2C547E0F" w14:textId="77777777" w:rsidR="001269AE" w:rsidRPr="005F0456" w:rsidRDefault="001269AE" w:rsidP="000A7092">
      <w:pPr>
        <w:sectPr w:rsidR="001269AE" w:rsidRPr="005F0456" w:rsidSect="00B15133">
          <w:pgSz w:w="11906" w:h="16838"/>
          <w:pgMar w:top="1701" w:right="1418" w:bottom="1418" w:left="1418" w:header="709" w:footer="709" w:gutter="0"/>
          <w:pgNumType w:fmt="lowerRoman"/>
          <w:cols w:space="708"/>
          <w:docGrid w:linePitch="360"/>
        </w:sectPr>
      </w:pPr>
    </w:p>
    <w:p w14:paraId="4074D0D4" w14:textId="125CEDE8" w:rsidR="001269AE" w:rsidRPr="003E2A3A" w:rsidRDefault="001269AE" w:rsidP="003E2A3A">
      <w:pPr>
        <w:pStyle w:val="Heading1"/>
      </w:pPr>
      <w:bookmarkStart w:id="0" w:name="_Toc203750740"/>
      <w:r>
        <w:lastRenderedPageBreak/>
        <w:t>Introduction</w:t>
      </w:r>
      <w:bookmarkEnd w:id="0"/>
    </w:p>
    <w:p w14:paraId="5C7C2483" w14:textId="70C5BB53" w:rsidR="001269AE" w:rsidRPr="00734C4D" w:rsidRDefault="001269AE" w:rsidP="000A7092">
      <w:r w:rsidRPr="00734C4D">
        <w:t>The Australian health system operates under a mixed model of private and public health care with private health insurance (PHI) and private hospitals playing an important role. Australians with PHI may choose to receive treatment as private patients in either private or public hospitals. For privately insured patients with appropriate health cover, private health insurers are required to pay set benefits for medical device</w:t>
      </w:r>
      <w:r w:rsidR="00D57383" w:rsidRPr="00734C4D">
        <w:t xml:space="preserve"> and </w:t>
      </w:r>
      <w:r w:rsidR="00E86AAF">
        <w:t>human tissue products</w:t>
      </w:r>
      <w:r w:rsidRPr="00734C4D">
        <w:t xml:space="preserve"> when they are provided in prescribed circumstances.</w:t>
      </w:r>
    </w:p>
    <w:p w14:paraId="2191AB14" w14:textId="4AF19F43" w:rsidR="001269AE" w:rsidRPr="00734C4D" w:rsidRDefault="001269AE" w:rsidP="000A7092">
      <w:r w:rsidRPr="00734C4D">
        <w:t xml:space="preserve">The </w:t>
      </w:r>
      <w:r w:rsidRPr="005F0456">
        <w:rPr>
          <w:rStyle w:val="Emphasis"/>
        </w:rPr>
        <w:t>Private Health Insurance (</w:t>
      </w:r>
      <w:r w:rsidR="006B0908" w:rsidRPr="005F0456">
        <w:rPr>
          <w:rStyle w:val="Emphasis"/>
        </w:rPr>
        <w:t>Medical Devices and Human Tissue Products</w:t>
      </w:r>
      <w:r w:rsidRPr="005F0456">
        <w:rPr>
          <w:rStyle w:val="Emphasis"/>
        </w:rPr>
        <w:t>) Rules</w:t>
      </w:r>
      <w:r w:rsidRPr="00734C4D">
        <w:t xml:space="preserve"> is a legislative instrument made under </w:t>
      </w:r>
      <w:r w:rsidR="00EF6F03" w:rsidRPr="00C83BED">
        <w:t>the</w:t>
      </w:r>
      <w:r w:rsidR="00EF6F03" w:rsidRPr="005F0456">
        <w:rPr>
          <w:rStyle w:val="Emphasis"/>
        </w:rPr>
        <w:t xml:space="preserve"> </w:t>
      </w:r>
      <w:r w:rsidRPr="005F0456">
        <w:rPr>
          <w:rStyle w:val="Emphasis"/>
        </w:rPr>
        <w:t>Private Health Insurance Act 2007</w:t>
      </w:r>
      <w:r w:rsidRPr="00734C4D">
        <w:t xml:space="preserve">. The Schedule of the </w:t>
      </w:r>
      <w:r w:rsidRPr="005F0456">
        <w:rPr>
          <w:rStyle w:val="Emphasis"/>
        </w:rPr>
        <w:t>Private Health Insurance (</w:t>
      </w:r>
      <w:r w:rsidR="004B6E9B" w:rsidRPr="005F0456">
        <w:rPr>
          <w:rStyle w:val="Emphasis"/>
        </w:rPr>
        <w:t>Medical Devices and Human Tissue Products</w:t>
      </w:r>
      <w:r w:rsidRPr="005F0456">
        <w:rPr>
          <w:rStyle w:val="Emphasis"/>
        </w:rPr>
        <w:t>) Rules</w:t>
      </w:r>
      <w:r w:rsidRPr="00734C4D">
        <w:t xml:space="preserve"> is known as the </w:t>
      </w:r>
      <w:r w:rsidR="00115333">
        <w:t>Prescribed</w:t>
      </w:r>
      <w:r w:rsidRPr="00734C4D">
        <w:t xml:space="preserve"> List (PL).</w:t>
      </w:r>
    </w:p>
    <w:p w14:paraId="6C5CF0E9" w14:textId="33B74D23" w:rsidR="001269AE" w:rsidRPr="00734C4D" w:rsidRDefault="001269AE" w:rsidP="000A7092">
      <w:r w:rsidRPr="00734C4D">
        <w:t>The PL</w:t>
      </w:r>
      <w:r w:rsidR="00B97ADB" w:rsidRPr="00734C4D">
        <w:t xml:space="preserve"> </w:t>
      </w:r>
      <w:r w:rsidR="00007FF1">
        <w:t xml:space="preserve">was </w:t>
      </w:r>
      <w:r w:rsidRPr="00734C4D">
        <w:t xml:space="preserve">established in 1985 </w:t>
      </w:r>
      <w:r w:rsidR="00007FF1">
        <w:t xml:space="preserve">and </w:t>
      </w:r>
      <w:r w:rsidRPr="00734C4D">
        <w:t xml:space="preserve">sets the minimum </w:t>
      </w:r>
      <w:r w:rsidR="003649E6" w:rsidRPr="00734C4D">
        <w:t>benefit</w:t>
      </w:r>
      <w:r w:rsidRPr="00734C4D">
        <w:t xml:space="preserve"> private health insurers must pay to hospitals for a surgically implanted </w:t>
      </w:r>
      <w:r w:rsidR="00FF42D5">
        <w:t>medical device or human tissue product</w:t>
      </w:r>
      <w:r w:rsidRPr="00734C4D">
        <w:t xml:space="preserve"> received by a private patient in a privately insured episode of hospital treatment. Examples of </w:t>
      </w:r>
      <w:r w:rsidR="0084409F">
        <w:t>m</w:t>
      </w:r>
      <w:r w:rsidR="006177C3">
        <w:t xml:space="preserve">edical </w:t>
      </w:r>
      <w:r w:rsidR="0084409F">
        <w:t>d</w:t>
      </w:r>
      <w:r w:rsidR="006177C3">
        <w:t xml:space="preserve">evices and </w:t>
      </w:r>
      <w:r w:rsidR="0084409F">
        <w:t>h</w:t>
      </w:r>
      <w:r w:rsidR="006177C3">
        <w:t xml:space="preserve">uman </w:t>
      </w:r>
      <w:r w:rsidR="0084409F">
        <w:t>t</w:t>
      </w:r>
      <w:r w:rsidR="006177C3">
        <w:t xml:space="preserve">issue </w:t>
      </w:r>
      <w:r w:rsidR="0084409F">
        <w:t>p</w:t>
      </w:r>
      <w:r w:rsidR="006177C3">
        <w:t>roducts</w:t>
      </w:r>
      <w:r w:rsidR="006177C3" w:rsidRPr="00734C4D">
        <w:t xml:space="preserve"> </w:t>
      </w:r>
      <w:r w:rsidRPr="00734C4D">
        <w:t xml:space="preserve">are joint replacement devices </w:t>
      </w:r>
      <w:r w:rsidR="00D57383" w:rsidRPr="00734C4D">
        <w:t xml:space="preserve">– </w:t>
      </w:r>
      <w:r w:rsidRPr="00734C4D">
        <w:t>for hips and knees</w:t>
      </w:r>
      <w:r w:rsidR="00D57383" w:rsidRPr="00734C4D">
        <w:t>;</w:t>
      </w:r>
      <w:r w:rsidRPr="00734C4D">
        <w:t xml:space="preserve"> cardiac implantable electronic devices</w:t>
      </w:r>
      <w:r w:rsidR="00D57383" w:rsidRPr="00734C4D">
        <w:t xml:space="preserve"> –</w:t>
      </w:r>
      <w:r w:rsidRPr="00734C4D">
        <w:t xml:space="preserve"> such as pacemakers</w:t>
      </w:r>
      <w:r w:rsidR="00D57383" w:rsidRPr="00734C4D">
        <w:t>;</w:t>
      </w:r>
      <w:r w:rsidRPr="00734C4D">
        <w:t xml:space="preserve"> and human tissue items</w:t>
      </w:r>
      <w:r w:rsidR="00D57383" w:rsidRPr="00734C4D">
        <w:t xml:space="preserve"> –</w:t>
      </w:r>
      <w:r w:rsidRPr="00734C4D">
        <w:t xml:space="preserve"> like bone or bone fragments.</w:t>
      </w:r>
    </w:p>
    <w:p w14:paraId="449301E5" w14:textId="346208B7" w:rsidR="001269AE" w:rsidRPr="00734C4D" w:rsidRDefault="001269AE" w:rsidP="000A7092">
      <w:r w:rsidRPr="00734C4D">
        <w:t xml:space="preserve">Increasing medical costs, increasing </w:t>
      </w:r>
      <w:r w:rsidR="00AE2467">
        <w:t>use</w:t>
      </w:r>
      <w:r w:rsidRPr="00734C4D">
        <w:t xml:space="preserve"> of health services (particularly by older people and people with chronic disease) and declining participation rates (particularly by younger Australians) is challenging the affordability and long-term sustainability of the PHI sector. The Australian Government (the Government) recognises the important role that medical devices play in the health of Australian patients and the need to maintain a stable, sustainable and innovative medical device</w:t>
      </w:r>
      <w:r w:rsidR="00226146">
        <w:t xml:space="preserve"> </w:t>
      </w:r>
      <w:r w:rsidRPr="00734C4D">
        <w:t>sector.</w:t>
      </w:r>
    </w:p>
    <w:p w14:paraId="241474A1" w14:textId="4EBC858E" w:rsidR="00114F01" w:rsidRDefault="00114F01" w:rsidP="000A7092">
      <w:r>
        <w:t>In 2023-24, nearly 3.3 million medical devices and human tissue products on the PL were supplied at a cost – to private health insurers – of about $2.1 billion.</w:t>
      </w:r>
      <w:r w:rsidR="005F1C3A">
        <w:t xml:space="preserve"> Expenditure on medical devices and human tissue products accounts for 13.3% of PHI hospital benefits paid annually.  The cost of medical devices and human tissue products on the PL has been identified as a factor in the rising cost of health insurance premiums for consumers.</w:t>
      </w:r>
    </w:p>
    <w:p w14:paraId="1B7BD868" w14:textId="405B9794" w:rsidR="001269AE" w:rsidRPr="00734C4D" w:rsidRDefault="001C6B95" w:rsidP="000A7092">
      <w:r>
        <w:t>T</w:t>
      </w:r>
      <w:r w:rsidR="001269AE" w:rsidRPr="00734C4D">
        <w:t xml:space="preserve">he Government is committed to ensuring privately </w:t>
      </w:r>
      <w:r w:rsidR="00E86AAF">
        <w:t>i</w:t>
      </w:r>
      <w:r w:rsidR="001269AE" w:rsidRPr="00734C4D">
        <w:t xml:space="preserve">nsured patients have access to safe, clinically appropriate and cost-effective </w:t>
      </w:r>
      <w:r w:rsidR="009F5354">
        <w:t>medical devices and human tissue products</w:t>
      </w:r>
      <w:r w:rsidR="001269AE" w:rsidRPr="00734C4D">
        <w:t xml:space="preserve">, chosen by their clinicians. The Therapeutic Goods Administration (TGA) is responsible for regulating the quality, safety and </w:t>
      </w:r>
      <w:r w:rsidR="00C34C41" w:rsidRPr="00734C4D">
        <w:t xml:space="preserve">performance </w:t>
      </w:r>
      <w:r w:rsidR="001269AE" w:rsidRPr="00734C4D">
        <w:t>of medical devices in Australia.</w:t>
      </w:r>
      <w:r w:rsidR="00D7089E" w:rsidRPr="00734C4D">
        <w:t xml:space="preserve"> </w:t>
      </w:r>
      <w:r w:rsidR="001269AE" w:rsidRPr="00734C4D">
        <w:t>The Minister for Health</w:t>
      </w:r>
      <w:r w:rsidR="006B33E2">
        <w:t>, Disability and Ageing</w:t>
      </w:r>
      <w:r w:rsidR="009A1760" w:rsidRPr="00734C4D">
        <w:t xml:space="preserve">, </w:t>
      </w:r>
      <w:r w:rsidR="001269AE" w:rsidRPr="00734C4D">
        <w:t>and the Department of Health</w:t>
      </w:r>
      <w:r w:rsidR="006B33E2">
        <w:t>, Disability and Ageing</w:t>
      </w:r>
      <w:r w:rsidR="001269AE" w:rsidRPr="00734C4D">
        <w:t xml:space="preserve"> (the </w:t>
      </w:r>
      <w:r w:rsidR="00976379">
        <w:t>d</w:t>
      </w:r>
      <w:r w:rsidR="001269AE" w:rsidRPr="00734C4D">
        <w:t xml:space="preserve">epartment) may take advice on the </w:t>
      </w:r>
      <w:r w:rsidR="00C34C41" w:rsidRPr="00734C4D">
        <w:t xml:space="preserve">comparative </w:t>
      </w:r>
      <w:r w:rsidR="001269AE" w:rsidRPr="00734C4D">
        <w:t xml:space="preserve">clinical </w:t>
      </w:r>
      <w:r w:rsidR="00C34C41" w:rsidRPr="00734C4D">
        <w:t xml:space="preserve">effectiveness </w:t>
      </w:r>
      <w:r w:rsidR="001269AE" w:rsidRPr="00734C4D">
        <w:t xml:space="preserve">and cost-effectiveness of </w:t>
      </w:r>
      <w:r w:rsidR="009F5354">
        <w:t>medical devices and human tissue products</w:t>
      </w:r>
      <w:r w:rsidR="009F5354" w:rsidRPr="00734C4D">
        <w:t xml:space="preserve"> </w:t>
      </w:r>
      <w:r w:rsidR="001269AE" w:rsidRPr="00734C4D">
        <w:t xml:space="preserve">from the </w:t>
      </w:r>
      <w:r w:rsidR="00FE0C40">
        <w:t>Medical Device</w:t>
      </w:r>
      <w:r w:rsidR="004B1F33">
        <w:t>s</w:t>
      </w:r>
      <w:r w:rsidR="00FE0C40">
        <w:t xml:space="preserve"> and Human Tissue Advisory Committee</w:t>
      </w:r>
      <w:r w:rsidR="001269AE" w:rsidRPr="00734C4D">
        <w:t xml:space="preserve"> (</w:t>
      </w:r>
      <w:r w:rsidR="00FE0C40">
        <w:t>MDHTAC</w:t>
      </w:r>
      <w:r w:rsidR="001269AE" w:rsidRPr="00734C4D">
        <w:t xml:space="preserve">), </w:t>
      </w:r>
      <w:r w:rsidR="005A7066">
        <w:t>before</w:t>
      </w:r>
      <w:r w:rsidR="001269AE" w:rsidRPr="00734C4D">
        <w:t xml:space="preserve"> the</w:t>
      </w:r>
      <w:r w:rsidR="00E86AAF">
        <w:t xml:space="preserve"> devices are </w:t>
      </w:r>
      <w:r w:rsidR="001269AE" w:rsidRPr="00734C4D">
        <w:t>list</w:t>
      </w:r>
      <w:r w:rsidR="00E86AAF">
        <w:t>ed</w:t>
      </w:r>
      <w:r w:rsidR="001269AE" w:rsidRPr="00734C4D">
        <w:t xml:space="preserve"> on the PL. The arrangements for including products on the PL help to ensure that benefits paid by </w:t>
      </w:r>
      <w:r w:rsidR="00226146">
        <w:t xml:space="preserve">private health </w:t>
      </w:r>
      <w:r w:rsidR="001269AE" w:rsidRPr="00734C4D">
        <w:t xml:space="preserve">insurers are relative to </w:t>
      </w:r>
      <w:r w:rsidR="00E86AAF">
        <w:t>the clinical effectiveness of the device.</w:t>
      </w:r>
      <w:r w:rsidR="001269AE" w:rsidRPr="00734C4D">
        <w:t xml:space="preserve"> It is an avenue for reimbursement, in that the benefit shown on the PL is the </w:t>
      </w:r>
      <w:r w:rsidR="00995D2F" w:rsidRPr="00734C4D">
        <w:t xml:space="preserve">minimum </w:t>
      </w:r>
      <w:r w:rsidR="001269AE" w:rsidRPr="00734C4D">
        <w:t xml:space="preserve">amount payable by </w:t>
      </w:r>
      <w:r w:rsidR="00226146">
        <w:t xml:space="preserve">private health </w:t>
      </w:r>
      <w:r w:rsidR="001269AE" w:rsidRPr="00734C4D">
        <w:t>insurers for th</w:t>
      </w:r>
      <w:r w:rsidR="001161B8">
        <w:t>e medical devices and human tissue products</w:t>
      </w:r>
      <w:r w:rsidR="001269AE" w:rsidRPr="00734C4D">
        <w:t>.</w:t>
      </w:r>
    </w:p>
    <w:p w14:paraId="7929CA18" w14:textId="77777777" w:rsidR="001269AE" w:rsidRPr="005F0456" w:rsidRDefault="001269AE" w:rsidP="000A7092">
      <w:pPr>
        <w:sectPr w:rsidR="001269AE" w:rsidRPr="005F0456" w:rsidSect="00766336">
          <w:footerReference w:type="default" r:id="rId19"/>
          <w:type w:val="oddPage"/>
          <w:pgSz w:w="11906" w:h="16838"/>
          <w:pgMar w:top="1701" w:right="1418" w:bottom="1418" w:left="1418" w:header="709" w:footer="709" w:gutter="0"/>
          <w:pgNumType w:start="1"/>
          <w:cols w:space="708"/>
          <w:docGrid w:linePitch="360"/>
        </w:sectPr>
      </w:pPr>
    </w:p>
    <w:p w14:paraId="533B0363" w14:textId="13A05644" w:rsidR="001269AE" w:rsidRPr="00D7089E" w:rsidRDefault="00115333" w:rsidP="00D7089E">
      <w:pPr>
        <w:pStyle w:val="Heading1"/>
      </w:pPr>
      <w:bookmarkStart w:id="1" w:name="_Toc203750741"/>
      <w:r>
        <w:lastRenderedPageBreak/>
        <w:t>Prescribed</w:t>
      </w:r>
      <w:r w:rsidR="001269AE" w:rsidRPr="00D7089E">
        <w:t xml:space="preserve"> List Compliance</w:t>
      </w:r>
      <w:bookmarkEnd w:id="1"/>
    </w:p>
    <w:p w14:paraId="19FDD2CC" w14:textId="30D9FD49" w:rsidR="001269AE" w:rsidRPr="00734C4D" w:rsidRDefault="001269AE" w:rsidP="000A7092">
      <w:r w:rsidRPr="00734C4D">
        <w:t>The Government, the public, and health professionals expect that medical device companies (sponsors), private hospitals and private health insurers</w:t>
      </w:r>
      <w:r w:rsidR="00CC4172" w:rsidRPr="00734C4D">
        <w:t xml:space="preserve"> </w:t>
      </w:r>
      <w:r w:rsidRPr="00734C4D">
        <w:t xml:space="preserve">understand and adhere to legislated rules and </w:t>
      </w:r>
      <w:r w:rsidR="00C34C41" w:rsidRPr="00734C4D">
        <w:t xml:space="preserve">policy </w:t>
      </w:r>
      <w:r w:rsidRPr="00734C4D">
        <w:t>requirements that govern the settings of the PL.</w:t>
      </w:r>
    </w:p>
    <w:p w14:paraId="398C89D1" w14:textId="47391A16" w:rsidR="001269AE" w:rsidRPr="00734C4D" w:rsidRDefault="001269AE" w:rsidP="000A7092">
      <w:r w:rsidRPr="00734C4D">
        <w:t>These rules include listing criteria along with clinical and cost-effectiveness assessments for listing products (medical device</w:t>
      </w:r>
      <w:r w:rsidR="00C91015" w:rsidRPr="00734C4D">
        <w:t xml:space="preserve"> and </w:t>
      </w:r>
      <w:r w:rsidR="00E86AAF">
        <w:t>human tissue products</w:t>
      </w:r>
      <w:r w:rsidRPr="00734C4D">
        <w:t>) on the PL. This helps ensure that every product is considered in the same way, and that the recommendations for listing are consistent, fair and equitable, thus ensuring privately insured patients have access to clinically appropriate</w:t>
      </w:r>
      <w:r w:rsidR="00B640F1" w:rsidRPr="00734C4D">
        <w:t xml:space="preserve"> and</w:t>
      </w:r>
      <w:r w:rsidRPr="00734C4D">
        <w:t xml:space="preserve"> </w:t>
      </w:r>
      <w:r w:rsidR="00007761" w:rsidRPr="00734C4D">
        <w:t>cost-effective</w:t>
      </w:r>
      <w:r w:rsidRPr="00734C4D">
        <w:t xml:space="preserve"> </w:t>
      </w:r>
      <w:r w:rsidR="0081545A">
        <w:t>medical devices and human tissue products</w:t>
      </w:r>
      <w:r w:rsidRPr="00734C4D">
        <w:t>.</w:t>
      </w:r>
    </w:p>
    <w:p w14:paraId="413FE0CA" w14:textId="664519DC" w:rsidR="00AC40EB" w:rsidRPr="00734C4D" w:rsidRDefault="00AC40EB" w:rsidP="000A7092">
      <w:bookmarkStart w:id="2" w:name="_Hlk131595623"/>
      <w:r w:rsidRPr="00734C4D">
        <w:t xml:space="preserve">The </w:t>
      </w:r>
      <w:r w:rsidR="00976379">
        <w:t>d</w:t>
      </w:r>
      <w:r w:rsidRPr="00734C4D">
        <w:t>epartment recognises that most stakeholders maintain high standards and adhere to their obligations. Measures that all stakeholders are responsible for include:</w:t>
      </w:r>
    </w:p>
    <w:p w14:paraId="4A9F6B84" w14:textId="3F39F0A0" w:rsidR="00AC40EB" w:rsidRPr="000E7FF8" w:rsidRDefault="00AC40EB" w:rsidP="000A7092">
      <w:pPr>
        <w:pStyle w:val="ListBullet"/>
      </w:pPr>
      <w:r w:rsidRPr="000E7FF8">
        <w:t xml:space="preserve">educating themselves about the rules and requirements, using the range of services and resources provided by the </w:t>
      </w:r>
      <w:r w:rsidR="00976379">
        <w:t>d</w:t>
      </w:r>
      <w:r w:rsidRPr="000E7FF8">
        <w:t>epartment</w:t>
      </w:r>
    </w:p>
    <w:p w14:paraId="60EC8164" w14:textId="10F386EC" w:rsidR="00AC40EB" w:rsidRPr="000E7FF8" w:rsidRDefault="00AC40EB" w:rsidP="000A7092">
      <w:pPr>
        <w:pStyle w:val="ListBullet"/>
      </w:pPr>
      <w:r w:rsidRPr="000E7FF8">
        <w:t xml:space="preserve">providing fair access to </w:t>
      </w:r>
      <w:r w:rsidR="00924911">
        <w:t xml:space="preserve">medical </w:t>
      </w:r>
      <w:r w:rsidRPr="000E7FF8">
        <w:t xml:space="preserve">devices </w:t>
      </w:r>
      <w:r w:rsidR="00924911">
        <w:t xml:space="preserve">and human tissue products </w:t>
      </w:r>
      <w:r w:rsidRPr="000E7FF8">
        <w:t>listed on the PL</w:t>
      </w:r>
    </w:p>
    <w:p w14:paraId="6C2CBC62" w14:textId="1E7D5659" w:rsidR="00AC40EB" w:rsidRPr="000E7FF8" w:rsidRDefault="00AC40EB" w:rsidP="000A7092">
      <w:pPr>
        <w:pStyle w:val="ListBullet"/>
      </w:pPr>
      <w:r w:rsidRPr="000E7FF8">
        <w:t xml:space="preserve">retaining oversight of regulatory requirements, approvals, benefit </w:t>
      </w:r>
      <w:r w:rsidR="00607F7B">
        <w:t>setting</w:t>
      </w:r>
      <w:r w:rsidRPr="000E7FF8">
        <w:t>, usage and clinical effectiveness, and remediating any errors or anomalies</w:t>
      </w:r>
    </w:p>
    <w:p w14:paraId="0B43DA64" w14:textId="517F9170" w:rsidR="00AC40EB" w:rsidRPr="000E7FF8" w:rsidRDefault="00AC40EB" w:rsidP="000A7092">
      <w:pPr>
        <w:pStyle w:val="ListBullet"/>
      </w:pPr>
      <w:r w:rsidRPr="000E7FF8">
        <w:t xml:space="preserve">contacting the </w:t>
      </w:r>
      <w:r w:rsidR="00976379">
        <w:t>d</w:t>
      </w:r>
      <w:r w:rsidRPr="000E7FF8">
        <w:t xml:space="preserve">epartment if they make or discover errors or anomalies with the listed medical devices and </w:t>
      </w:r>
      <w:r w:rsidR="002C5D1B">
        <w:t>human tissue products</w:t>
      </w:r>
    </w:p>
    <w:p w14:paraId="2524BC41" w14:textId="49664868" w:rsidR="00AC40EB" w:rsidRPr="000E7FF8" w:rsidRDefault="005A7066" w:rsidP="000A7092">
      <w:r w:rsidRPr="00AA1B40">
        <w:t>Extra</w:t>
      </w:r>
      <w:r w:rsidR="00AC40EB" w:rsidRPr="00AA1B40">
        <w:t xml:space="preserve"> responsibilities for medical device companies (sponsors) include:</w:t>
      </w:r>
    </w:p>
    <w:p w14:paraId="0D56C615" w14:textId="77777777" w:rsidR="00AC40EB" w:rsidRPr="008F4AF9" w:rsidRDefault="00AC40EB" w:rsidP="000A7092">
      <w:pPr>
        <w:pStyle w:val="ListBullet"/>
      </w:pPr>
      <w:r w:rsidRPr="008F4AF9">
        <w:t xml:space="preserve">presenting medical devices for listing that have been included on the Australian Register of Therapeutic Goods (ARTG) </w:t>
      </w:r>
    </w:p>
    <w:p w14:paraId="54F9DD82" w14:textId="10B02592" w:rsidR="00AC40EB" w:rsidRPr="008F4AF9" w:rsidRDefault="00AC40EB" w:rsidP="000A7092">
      <w:pPr>
        <w:pStyle w:val="ListBullet"/>
      </w:pPr>
      <w:r w:rsidRPr="008F4AF9">
        <w:t>ensuring that listing applications are for eligible medical devices</w:t>
      </w:r>
    </w:p>
    <w:p w14:paraId="509DFF98" w14:textId="6BDD185B" w:rsidR="004665F8" w:rsidRPr="000E7FF8" w:rsidRDefault="004665F8" w:rsidP="000A7092">
      <w:pPr>
        <w:pStyle w:val="ListBullet"/>
      </w:pPr>
      <w:r>
        <w:t>provision of accurate information</w:t>
      </w:r>
    </w:p>
    <w:p w14:paraId="10B3A1D1" w14:textId="19855868" w:rsidR="00AC40EB" w:rsidRPr="00734C4D" w:rsidRDefault="00AC40EB" w:rsidP="000A7092">
      <w:pPr>
        <w:pStyle w:val="ListBullet"/>
      </w:pPr>
      <w:r w:rsidRPr="00734C4D">
        <w:t>creating and retaining clinical, cost and administrative records as they relate to medical</w:t>
      </w:r>
      <w:r w:rsidR="001E40DB">
        <w:t xml:space="preserve"> </w:t>
      </w:r>
      <w:r w:rsidRPr="00734C4D">
        <w:t>devices at the time of the application for listing, and throughout the time the product is listed.</w:t>
      </w:r>
    </w:p>
    <w:p w14:paraId="359B4207" w14:textId="4AA495B3" w:rsidR="00AC40EB" w:rsidRPr="000E7FF8" w:rsidRDefault="00AC40EB" w:rsidP="000A7092">
      <w:r w:rsidRPr="000E7FF8">
        <w:t xml:space="preserve">Private health insurers also have the responsibility of ensuring that payments are processed in a timely </w:t>
      </w:r>
      <w:r w:rsidR="000627C8">
        <w:t>way</w:t>
      </w:r>
      <w:r w:rsidRPr="000E7FF8">
        <w:t>.</w:t>
      </w:r>
    </w:p>
    <w:p w14:paraId="6A87E381" w14:textId="77777777" w:rsidR="001269AE" w:rsidRDefault="001269AE" w:rsidP="008669E7">
      <w:pPr>
        <w:pStyle w:val="Heading1"/>
      </w:pPr>
      <w:bookmarkStart w:id="3" w:name="_Toc203750742"/>
      <w:bookmarkEnd w:id="2"/>
      <w:r>
        <w:t>Purpose</w:t>
      </w:r>
      <w:bookmarkEnd w:id="3"/>
    </w:p>
    <w:p w14:paraId="74EF4E8E" w14:textId="6B979AE4" w:rsidR="00C91015" w:rsidRPr="00734C4D" w:rsidRDefault="001269AE" w:rsidP="000A7092">
      <w:r w:rsidRPr="00734C4D">
        <w:t xml:space="preserve">The </w:t>
      </w:r>
      <w:r w:rsidR="00115333">
        <w:t>Prescribed</w:t>
      </w:r>
      <w:r w:rsidRPr="00734C4D">
        <w:t xml:space="preserve"> List Compliance Strategy (the Strategy) identifies the principles which govern the </w:t>
      </w:r>
      <w:r w:rsidR="00976379">
        <w:t>d</w:t>
      </w:r>
      <w:r w:rsidRPr="00734C4D">
        <w:t>epartment’s compliance</w:t>
      </w:r>
      <w:r w:rsidR="00C91015" w:rsidRPr="00734C4D">
        <w:t>, assurance</w:t>
      </w:r>
      <w:r w:rsidRPr="00734C4D">
        <w:t xml:space="preserve"> and enforcement functions, and </w:t>
      </w:r>
      <w:r w:rsidR="00B640F1" w:rsidRPr="00734C4D">
        <w:t xml:space="preserve">the </w:t>
      </w:r>
      <w:r w:rsidRPr="00734C4D">
        <w:t>associated priorities</w:t>
      </w:r>
      <w:r w:rsidR="00C91015" w:rsidRPr="00734C4D">
        <w:t xml:space="preserve"> in support of the PL</w:t>
      </w:r>
      <w:r w:rsidRPr="00734C4D">
        <w:t xml:space="preserve">. </w:t>
      </w:r>
      <w:r w:rsidR="00C91015" w:rsidRPr="00734C4D">
        <w:t xml:space="preserve">It aligns with the </w:t>
      </w:r>
      <w:r w:rsidR="001E40DB" w:rsidRPr="00C83BED">
        <w:t xml:space="preserve">department's </w:t>
      </w:r>
      <w:hyperlink r:id="rId20" w:history="1">
        <w:r w:rsidR="001E40DB" w:rsidRPr="001E40DB">
          <w:rPr>
            <w:rStyle w:val="Hyperlink"/>
          </w:rPr>
          <w:t>Corporate Plan</w:t>
        </w:r>
      </w:hyperlink>
      <w:r w:rsidR="001C6B95">
        <w:t xml:space="preserve"> </w:t>
      </w:r>
      <w:r w:rsidR="00C91015" w:rsidRPr="00734C4D">
        <w:t xml:space="preserve">and </w:t>
      </w:r>
      <w:hyperlink r:id="rId21" w:history="1">
        <w:r w:rsidR="00F67A37" w:rsidRPr="00734C4D">
          <w:rPr>
            <w:rStyle w:val="Hyperlink"/>
          </w:rPr>
          <w:t>Fraud and Corruption Control Plan</w:t>
        </w:r>
      </w:hyperlink>
      <w:r w:rsidR="00C91015" w:rsidRPr="00734C4D">
        <w:t>.</w:t>
      </w:r>
    </w:p>
    <w:p w14:paraId="63EB2019" w14:textId="07367CB7" w:rsidR="00343B3A" w:rsidRPr="00734C4D" w:rsidRDefault="00343B3A" w:rsidP="000A7092">
      <w:r w:rsidRPr="001C6B95">
        <w:t>The Strategy</w:t>
      </w:r>
      <w:r w:rsidR="00B640F1" w:rsidRPr="001C6B95">
        <w:t xml:space="preserve"> </w:t>
      </w:r>
      <w:r w:rsidRPr="001C6B95">
        <w:t xml:space="preserve">also sets out the compliance obligations in the context of the </w:t>
      </w:r>
      <w:r w:rsidR="00F67A37" w:rsidRPr="001C6B95">
        <w:t>legislative instruments</w:t>
      </w:r>
      <w:r w:rsidRPr="001C6B95">
        <w:t xml:space="preserve">, and the steps the </w:t>
      </w:r>
      <w:r w:rsidR="00976379" w:rsidRPr="001C6B95">
        <w:t>d</w:t>
      </w:r>
      <w:r w:rsidRPr="001C6B95">
        <w:t>epartment may take where there are concerns about</w:t>
      </w:r>
      <w:r w:rsidR="00995D2F" w:rsidRPr="001C6B95">
        <w:t xml:space="preserve"> </w:t>
      </w:r>
      <w:r w:rsidRPr="001C6B95">
        <w:t>non-complian</w:t>
      </w:r>
      <w:r w:rsidR="00995D2F" w:rsidRPr="001C6B95">
        <w:t>t</w:t>
      </w:r>
      <w:r w:rsidR="00A50D3F" w:rsidRPr="001C6B95">
        <w:t xml:space="preserve"> activities</w:t>
      </w:r>
      <w:r w:rsidRPr="001C6B95">
        <w:t>.</w:t>
      </w:r>
    </w:p>
    <w:p w14:paraId="51D7C68E" w14:textId="78FCDF22" w:rsidR="000B75EC" w:rsidRPr="00734C4D" w:rsidRDefault="00C91015" w:rsidP="000A7092">
      <w:r w:rsidRPr="00734C4D">
        <w:t xml:space="preserve">The Strategy is applicable to all stakeholders participating in the PL </w:t>
      </w:r>
      <w:r w:rsidR="009801AF" w:rsidRPr="00734C4D">
        <w:t xml:space="preserve">(PL stakeholders) </w:t>
      </w:r>
      <w:r w:rsidR="00DF4A5B" w:rsidRPr="00734C4D">
        <w:t xml:space="preserve">arrangements </w:t>
      </w:r>
      <w:r w:rsidRPr="00734C4D">
        <w:t xml:space="preserve">– such as </w:t>
      </w:r>
      <w:r w:rsidR="00976379">
        <w:t>h</w:t>
      </w:r>
      <w:r w:rsidRPr="00734C4D">
        <w:t xml:space="preserve">ospitals and </w:t>
      </w:r>
      <w:r w:rsidR="00976379">
        <w:t>d</w:t>
      </w:r>
      <w:r w:rsidRPr="00734C4D">
        <w:t xml:space="preserve">ay </w:t>
      </w:r>
      <w:r w:rsidR="00A06C8E">
        <w:t>c</w:t>
      </w:r>
      <w:r w:rsidRPr="00734C4D">
        <w:t xml:space="preserve">linics, </w:t>
      </w:r>
      <w:r w:rsidR="00343B3A" w:rsidRPr="00734C4D">
        <w:t>c</w:t>
      </w:r>
      <w:r w:rsidRPr="00734C4D">
        <w:t xml:space="preserve">linicians, </w:t>
      </w:r>
      <w:r w:rsidR="00BB512B" w:rsidRPr="00734C4D">
        <w:t xml:space="preserve">sponsors </w:t>
      </w:r>
      <w:r w:rsidRPr="00734C4D">
        <w:t xml:space="preserve">of medical device and </w:t>
      </w:r>
      <w:r w:rsidR="00995D2F" w:rsidRPr="00734C4D">
        <w:t>human tissue products</w:t>
      </w:r>
      <w:r w:rsidRPr="00734C4D">
        <w:t>, and private health insurers.</w:t>
      </w:r>
    </w:p>
    <w:p w14:paraId="6C56ADD4" w14:textId="77777777" w:rsidR="001269AE" w:rsidRDefault="001269AE" w:rsidP="008669E7">
      <w:pPr>
        <w:pStyle w:val="Heading1"/>
      </w:pPr>
      <w:bookmarkStart w:id="4" w:name="_Toc203750743"/>
      <w:r>
        <w:lastRenderedPageBreak/>
        <w:t>Principles of regulator best practice</w:t>
      </w:r>
      <w:bookmarkEnd w:id="4"/>
    </w:p>
    <w:p w14:paraId="54578AE3" w14:textId="7D7F6CE5" w:rsidR="001269AE" w:rsidRPr="00734C4D" w:rsidRDefault="001269AE" w:rsidP="000A7092">
      <w:r w:rsidRPr="00734C4D">
        <w:t xml:space="preserve">The Strategy guides </w:t>
      </w:r>
      <w:r w:rsidR="00DF4A5B" w:rsidRPr="00734C4D">
        <w:t xml:space="preserve">the </w:t>
      </w:r>
      <w:r w:rsidR="00374223">
        <w:t>d</w:t>
      </w:r>
      <w:r w:rsidR="00DF4A5B" w:rsidRPr="00734C4D">
        <w:t>epartment</w:t>
      </w:r>
      <w:r w:rsidRPr="00734C4D">
        <w:t xml:space="preserve"> to monitor and enforce compliance</w:t>
      </w:r>
      <w:r w:rsidR="00F67A37" w:rsidRPr="00734C4D">
        <w:t xml:space="preserve"> and assurance </w:t>
      </w:r>
      <w:r w:rsidRPr="00734C4D">
        <w:t xml:space="preserve">through </w:t>
      </w:r>
      <w:r w:rsidR="00F67A37" w:rsidRPr="00734C4D">
        <w:t>these key</w:t>
      </w:r>
      <w:r w:rsidRPr="00734C4D">
        <w:t xml:space="preserve"> principles.</w:t>
      </w:r>
      <w:r w:rsidR="00DF4A5B" w:rsidRPr="007D1BC8">
        <w:rPr>
          <w:vertAlign w:val="superscript"/>
        </w:rPr>
        <w:footnoteReference w:id="2"/>
      </w:r>
    </w:p>
    <w:p w14:paraId="3D77FD75" w14:textId="43E57D6A" w:rsidR="001269AE" w:rsidRPr="00AD4CB7" w:rsidRDefault="001269AE" w:rsidP="000A7092">
      <w:pPr>
        <w:pStyle w:val="ListBullet"/>
      </w:pPr>
      <w:r w:rsidRPr="00734C4D">
        <w:rPr>
          <w:rStyle w:val="Strong"/>
        </w:rPr>
        <w:t>Continuous improvement and building trust</w:t>
      </w:r>
      <w:r w:rsidR="00AD4CB7" w:rsidRPr="00734C4D">
        <w:rPr>
          <w:rStyle w:val="Strong"/>
        </w:rPr>
        <w:t xml:space="preserve"> </w:t>
      </w:r>
      <w:r w:rsidR="00AD4CB7" w:rsidRPr="00AD4CB7">
        <w:t>–</w:t>
      </w:r>
      <w:r w:rsidR="00AD4CB7" w:rsidRPr="00734C4D">
        <w:rPr>
          <w:rStyle w:val="Strong"/>
        </w:rPr>
        <w:t xml:space="preserve"> </w:t>
      </w:r>
      <w:r w:rsidRPr="00AD4CB7">
        <w:t xml:space="preserve">adopt a whole-of-system perspective, continuously improving </w:t>
      </w:r>
      <w:r w:rsidR="00050D9F">
        <w:t xml:space="preserve">our </w:t>
      </w:r>
      <w:r w:rsidRPr="00AD4CB7">
        <w:t xml:space="preserve">performance, capability and culture to build trust and confidence in </w:t>
      </w:r>
      <w:r w:rsidR="00050D9F">
        <w:t>the department’s</w:t>
      </w:r>
      <w:r w:rsidRPr="00AD4CB7">
        <w:t xml:space="preserve"> regulatory settings.</w:t>
      </w:r>
    </w:p>
    <w:p w14:paraId="3F4346EC" w14:textId="7F7AD3F1" w:rsidR="001269AE" w:rsidRPr="00AD4CB7" w:rsidRDefault="001269AE" w:rsidP="000A7092">
      <w:pPr>
        <w:pStyle w:val="ListBullet"/>
      </w:pPr>
      <w:r w:rsidRPr="00734C4D">
        <w:rPr>
          <w:rStyle w:val="Strong"/>
        </w:rPr>
        <w:t>Risk based and data driven</w:t>
      </w:r>
      <w:r w:rsidR="00AD4CB7" w:rsidRPr="00734C4D">
        <w:rPr>
          <w:rStyle w:val="Strong"/>
        </w:rPr>
        <w:t xml:space="preserve"> </w:t>
      </w:r>
      <w:r w:rsidR="00AD4CB7" w:rsidRPr="00AD4CB7">
        <w:t>–</w:t>
      </w:r>
      <w:r w:rsidR="00AD4CB7" w:rsidRPr="00734C4D">
        <w:rPr>
          <w:rStyle w:val="Strong"/>
        </w:rPr>
        <w:t xml:space="preserve"> </w:t>
      </w:r>
      <w:r w:rsidRPr="00AD4CB7">
        <w:t xml:space="preserve">manage risks proportionately and maintain essential safeguards while minimising regulatory </w:t>
      </w:r>
      <w:r w:rsidR="00CC7B2A" w:rsidRPr="00AD4CB7">
        <w:t>burden and</w:t>
      </w:r>
      <w:r w:rsidRPr="00AD4CB7">
        <w:t xml:space="preserve"> leveraging data and digital technology to support those they regulate to comply and grow.</w:t>
      </w:r>
    </w:p>
    <w:p w14:paraId="1304A846" w14:textId="4F21EDA1" w:rsidR="001269AE" w:rsidRPr="00AD4CB7" w:rsidRDefault="001269AE" w:rsidP="000A7092">
      <w:pPr>
        <w:pStyle w:val="ListBullet"/>
      </w:pPr>
      <w:r w:rsidRPr="00734C4D">
        <w:rPr>
          <w:rStyle w:val="Strong"/>
        </w:rPr>
        <w:t>Collaboration and engagement</w:t>
      </w:r>
      <w:r w:rsidR="00AD4CB7" w:rsidRPr="00734C4D">
        <w:rPr>
          <w:rStyle w:val="Strong"/>
        </w:rPr>
        <w:t xml:space="preserve"> </w:t>
      </w:r>
      <w:r w:rsidR="00AD4CB7" w:rsidRPr="00AD4CB7">
        <w:t>–</w:t>
      </w:r>
      <w:r w:rsidR="00AD4CB7" w:rsidRPr="00734C4D">
        <w:rPr>
          <w:rStyle w:val="Strong"/>
        </w:rPr>
        <w:t xml:space="preserve"> </w:t>
      </w:r>
      <w:r w:rsidR="009E4BB0" w:rsidRPr="00AD4CB7">
        <w:t xml:space="preserve">be </w:t>
      </w:r>
      <w:r w:rsidRPr="00AD4CB7">
        <w:t>transparent and responsive communicators</w:t>
      </w:r>
      <w:r w:rsidR="00374223">
        <w:t xml:space="preserve"> and engage with our stakeholders in a</w:t>
      </w:r>
      <w:r w:rsidR="00A06C8E">
        <w:t xml:space="preserve"> </w:t>
      </w:r>
      <w:r w:rsidRPr="00AD4CB7">
        <w:t>collaborative way.</w:t>
      </w:r>
    </w:p>
    <w:p w14:paraId="1C4BF85C" w14:textId="6600B88C" w:rsidR="001269AE" w:rsidRPr="00734C4D" w:rsidRDefault="001269AE" w:rsidP="000A7092">
      <w:r w:rsidRPr="00734C4D">
        <w:t xml:space="preserve">The </w:t>
      </w:r>
      <w:r w:rsidR="00A06C8E">
        <w:t>d</w:t>
      </w:r>
      <w:r w:rsidR="009E4BB0" w:rsidRPr="00734C4D">
        <w:t>epartment</w:t>
      </w:r>
      <w:r w:rsidRPr="00734C4D">
        <w:t xml:space="preserve"> is committed to a stewardship approach to </w:t>
      </w:r>
      <w:r w:rsidR="008B29F0" w:rsidRPr="00734C4D">
        <w:t>the administration of the PL</w:t>
      </w:r>
      <w:r w:rsidR="00B640F1" w:rsidRPr="00734C4D">
        <w:t>.</w:t>
      </w:r>
      <w:r w:rsidR="00995D2F" w:rsidRPr="00734C4D">
        <w:t xml:space="preserve"> The approach </w:t>
      </w:r>
      <w:r w:rsidR="00B640F1" w:rsidRPr="00734C4D">
        <w:t xml:space="preserve">is designed to be </w:t>
      </w:r>
      <w:r w:rsidRPr="00734C4D">
        <w:t xml:space="preserve">fit-for-purpose, </w:t>
      </w:r>
      <w:r w:rsidR="00995D2F" w:rsidRPr="00734C4D">
        <w:t xml:space="preserve">features </w:t>
      </w:r>
      <w:r w:rsidRPr="00734C4D">
        <w:t>periodic monitor</w:t>
      </w:r>
      <w:r w:rsidR="00995D2F" w:rsidRPr="00734C4D">
        <w:t>ing</w:t>
      </w:r>
      <w:r w:rsidR="00B640F1" w:rsidRPr="00734C4D">
        <w:t>,</w:t>
      </w:r>
      <w:r w:rsidRPr="00734C4D">
        <w:t xml:space="preserve"> and </w:t>
      </w:r>
      <w:r w:rsidR="00995D2F" w:rsidRPr="00734C4D">
        <w:t xml:space="preserve">is </w:t>
      </w:r>
      <w:r w:rsidRPr="00734C4D">
        <w:t xml:space="preserve">implemented in a way that </w:t>
      </w:r>
      <w:r w:rsidR="00995D2F" w:rsidRPr="00734C4D">
        <w:t xml:space="preserve">it </w:t>
      </w:r>
      <w:r w:rsidRPr="00734C4D">
        <w:t xml:space="preserve">safeguards </w:t>
      </w:r>
      <w:r w:rsidR="00B640F1" w:rsidRPr="00734C4D">
        <w:t xml:space="preserve">the integrity of the PL </w:t>
      </w:r>
      <w:r w:rsidRPr="00734C4D">
        <w:t xml:space="preserve">while </w:t>
      </w:r>
      <w:r w:rsidR="00995D2F" w:rsidRPr="00734C4D">
        <w:t xml:space="preserve">minimising </w:t>
      </w:r>
      <w:r w:rsidRPr="00734C4D">
        <w:t>the regulatory burden.</w:t>
      </w:r>
    </w:p>
    <w:p w14:paraId="298396C6" w14:textId="74FBB95E" w:rsidR="001269AE" w:rsidRDefault="001269AE" w:rsidP="001269AE">
      <w:pPr>
        <w:pStyle w:val="Heading1"/>
      </w:pPr>
      <w:bookmarkStart w:id="5" w:name="_Hlk95480386"/>
      <w:bookmarkStart w:id="6" w:name="_Toc203750744"/>
      <w:r>
        <w:t xml:space="preserve">Compliance </w:t>
      </w:r>
      <w:r w:rsidR="00AD4CB7">
        <w:t>p</w:t>
      </w:r>
      <w:r>
        <w:t>riorities</w:t>
      </w:r>
      <w:bookmarkEnd w:id="6"/>
    </w:p>
    <w:p w14:paraId="52A4175E" w14:textId="58B84252" w:rsidR="00315AF9" w:rsidRPr="005F0456" w:rsidRDefault="00315AF9" w:rsidP="000A7092">
      <w:r w:rsidRPr="005F0456">
        <w:t>Four areas of priority that seek to safeguard the integrity of the PL are:</w:t>
      </w:r>
    </w:p>
    <w:p w14:paraId="4EA040A7" w14:textId="3BEE17F7" w:rsidR="006F6DC6" w:rsidRPr="005F0456" w:rsidRDefault="000A5B4C" w:rsidP="000A7092">
      <w:pPr>
        <w:pStyle w:val="ListBullet"/>
      </w:pPr>
      <w:r w:rsidRPr="005F0456">
        <w:t>Proactive a</w:t>
      </w:r>
      <w:r w:rsidR="001C6B95" w:rsidRPr="005F0456">
        <w:t>nalysis</w:t>
      </w:r>
      <w:r w:rsidRPr="005F0456">
        <w:t xml:space="preserve"> – using data to identify anomalous</w:t>
      </w:r>
      <w:r w:rsidR="003F4BD3" w:rsidRPr="005F0456">
        <w:t xml:space="preserve"> claiming</w:t>
      </w:r>
      <w:r w:rsidRPr="005F0456">
        <w:t xml:space="preserve"> behaviour</w:t>
      </w:r>
    </w:p>
    <w:p w14:paraId="7E58BB89" w14:textId="1CB45EA9" w:rsidR="00315AF9" w:rsidRPr="005F0456" w:rsidRDefault="00315AF9" w:rsidP="000A7092">
      <w:pPr>
        <w:pStyle w:val="ListBullet"/>
      </w:pPr>
      <w:r w:rsidRPr="005F0456">
        <w:t>Appropriate benefit claiming – ensuring stakeholders accurately claim and reimburse benefits as required</w:t>
      </w:r>
    </w:p>
    <w:p w14:paraId="2F7DB0D8" w14:textId="48A01835" w:rsidR="006F6DC6" w:rsidRPr="005F0456" w:rsidRDefault="00845C49" w:rsidP="000A7092">
      <w:pPr>
        <w:pStyle w:val="ListBullet"/>
      </w:pPr>
      <w:r w:rsidRPr="005F0456">
        <w:t xml:space="preserve">Education – using education to clarify requirements and </w:t>
      </w:r>
      <w:r w:rsidR="006F6DC6" w:rsidRPr="005F0456">
        <w:t>reiterate stakeholder responsibilities</w:t>
      </w:r>
    </w:p>
    <w:p w14:paraId="03972AA5" w14:textId="5694CA35" w:rsidR="00315AF9" w:rsidRPr="000E7FF8" w:rsidRDefault="00FD0075" w:rsidP="000A7092">
      <w:pPr>
        <w:pStyle w:val="ListBullet"/>
      </w:pPr>
      <w:r w:rsidRPr="005F0456">
        <w:t xml:space="preserve">Conditions – identifying areas where conditions can assist in the correct usage of devices and minimise claiming </w:t>
      </w:r>
      <w:proofErr w:type="spellStart"/>
      <w:r w:rsidR="00226146" w:rsidRPr="005F0456">
        <w:t>anomolies</w:t>
      </w:r>
      <w:proofErr w:type="spellEnd"/>
    </w:p>
    <w:p w14:paraId="1516C164" w14:textId="6FCF0E94" w:rsidR="001269AE" w:rsidRPr="00734C4D" w:rsidRDefault="001269AE" w:rsidP="000A7092">
      <w:r w:rsidRPr="00734C4D">
        <w:t>In taking actions to encourage, strengthen and enforce compliance with the PL system</w:t>
      </w:r>
      <w:r w:rsidR="00E678D0" w:rsidRPr="00734C4D">
        <w:t xml:space="preserve"> </w:t>
      </w:r>
      <w:r w:rsidRPr="00734C4D">
        <w:t xml:space="preserve">and in alignment with the </w:t>
      </w:r>
      <w:r w:rsidR="00976379">
        <w:t>d</w:t>
      </w:r>
      <w:r w:rsidRPr="00734C4D">
        <w:t>epartment’s compliance principles and legislative requirements</w:t>
      </w:r>
      <w:r w:rsidR="008239B8">
        <w:t>,</w:t>
      </w:r>
      <w:r w:rsidRPr="00734C4D">
        <w:t xml:space="preserve"> the </w:t>
      </w:r>
      <w:r w:rsidR="00976379">
        <w:t>d</w:t>
      </w:r>
      <w:r w:rsidRPr="00734C4D">
        <w:t>epartment will always prioritise the interests of patients and the integrity of the private health benefits system.</w:t>
      </w:r>
      <w:r w:rsidR="00AF369E" w:rsidRPr="00734C4D">
        <w:t xml:space="preserve"> </w:t>
      </w:r>
      <w:r w:rsidRPr="00734C4D">
        <w:t xml:space="preserve">This includes </w:t>
      </w:r>
      <w:r w:rsidRPr="00734C4D">
        <w:rPr>
          <w:rStyle w:val="Strong"/>
        </w:rPr>
        <w:t xml:space="preserve">prioritising action to address </w:t>
      </w:r>
      <w:r w:rsidR="009F37FD" w:rsidRPr="00734C4D">
        <w:rPr>
          <w:rStyle w:val="Strong"/>
        </w:rPr>
        <w:t xml:space="preserve">types of non-compliant </w:t>
      </w:r>
      <w:r w:rsidRPr="00734C4D">
        <w:rPr>
          <w:rStyle w:val="Strong"/>
        </w:rPr>
        <w:t>practices</w:t>
      </w:r>
      <w:r w:rsidRPr="00734C4D">
        <w:t xml:space="preserve"> that:</w:t>
      </w:r>
    </w:p>
    <w:p w14:paraId="2505D3D9" w14:textId="539675BB" w:rsidR="001269AE" w:rsidRPr="00734C4D" w:rsidRDefault="001269AE" w:rsidP="000A7092">
      <w:pPr>
        <w:pStyle w:val="ListBullet"/>
      </w:pPr>
      <w:r w:rsidRPr="00734C4D">
        <w:t>distort the benefit settings</w:t>
      </w:r>
    </w:p>
    <w:p w14:paraId="01235258" w14:textId="5BE3D8B2" w:rsidR="001269AE" w:rsidRPr="00734C4D" w:rsidRDefault="008D28EB" w:rsidP="000A7092">
      <w:pPr>
        <w:pStyle w:val="ListBullet"/>
      </w:pPr>
      <w:r>
        <w:t>create</w:t>
      </w:r>
      <w:r w:rsidR="001269AE" w:rsidRPr="00734C4D">
        <w:t xml:space="preserve"> benchmark benefit</w:t>
      </w:r>
      <w:r w:rsidR="00226146">
        <w:t>s</w:t>
      </w:r>
      <w:r w:rsidR="001269AE" w:rsidRPr="00734C4D">
        <w:t xml:space="preserve"> for discontinued or dormant devices (</w:t>
      </w:r>
      <w:r w:rsidR="00AF369E" w:rsidRPr="00734C4D">
        <w:t>such as</w:t>
      </w:r>
      <w:r w:rsidR="001269AE" w:rsidRPr="00734C4D">
        <w:t xml:space="preserve"> product substitution)</w:t>
      </w:r>
    </w:p>
    <w:p w14:paraId="431A9EC2" w14:textId="58DF3533" w:rsidR="001269AE" w:rsidRPr="00734C4D" w:rsidRDefault="001269AE" w:rsidP="000A7092">
      <w:pPr>
        <w:pStyle w:val="ListBullet"/>
      </w:pPr>
      <w:r w:rsidRPr="00734C4D">
        <w:t>support fraudulent listing</w:t>
      </w:r>
    </w:p>
    <w:p w14:paraId="6F49596F" w14:textId="2CD5C4BD" w:rsidR="001269AE" w:rsidRPr="002A61CE" w:rsidRDefault="008D28EB" w:rsidP="000A7092">
      <w:pPr>
        <w:pStyle w:val="ListBullet"/>
      </w:pPr>
      <w:r w:rsidRPr="002A61CE">
        <w:t>lead to</w:t>
      </w:r>
      <w:r w:rsidR="001269AE" w:rsidRPr="002A61CE">
        <w:t xml:space="preserve"> unfair listing arrangements (</w:t>
      </w:r>
      <w:r w:rsidR="00AF369E" w:rsidRPr="002A61CE">
        <w:t>for example,</w:t>
      </w:r>
      <w:r w:rsidR="001269AE" w:rsidRPr="002A61CE">
        <w:t xml:space="preserve"> applying incorrect grouping)</w:t>
      </w:r>
    </w:p>
    <w:p w14:paraId="45741373" w14:textId="3B97920F" w:rsidR="001269AE" w:rsidRPr="002A61CE" w:rsidRDefault="00DE1C8E" w:rsidP="000A7092">
      <w:pPr>
        <w:pStyle w:val="ListBullet"/>
      </w:pPr>
      <w:r w:rsidRPr="002A61CE">
        <w:t>show</w:t>
      </w:r>
      <w:r w:rsidR="001269AE" w:rsidRPr="002A61CE">
        <w:t xml:space="preserve"> repeated or wilful non-compliance</w:t>
      </w:r>
    </w:p>
    <w:p w14:paraId="111AEB89" w14:textId="668FD2C2" w:rsidR="001269AE" w:rsidRPr="00734C4D" w:rsidRDefault="001269AE" w:rsidP="000A7092">
      <w:pPr>
        <w:pStyle w:val="ListBullet"/>
      </w:pPr>
      <w:r w:rsidRPr="002A61CE">
        <w:t>retai</w:t>
      </w:r>
      <w:r w:rsidRPr="00734C4D">
        <w:t xml:space="preserve">n device listings on the PL for products that are no longer active on the </w:t>
      </w:r>
      <w:r w:rsidR="00FC2474" w:rsidRPr="00734C4D">
        <w:t>Australian Register of Therapeutic Goods (ARTG)</w:t>
      </w:r>
    </w:p>
    <w:p w14:paraId="2D55DC3A" w14:textId="69076C5E" w:rsidR="008F6E53" w:rsidRPr="00734C4D" w:rsidRDefault="00607F7B" w:rsidP="000A7092">
      <w:pPr>
        <w:pStyle w:val="ListBullet"/>
      </w:pPr>
      <w:r>
        <w:t>make</w:t>
      </w:r>
      <w:r w:rsidR="006A572B" w:rsidRPr="00734C4D">
        <w:t xml:space="preserve"> false or misleading claims </w:t>
      </w:r>
    </w:p>
    <w:p w14:paraId="6C5D48AB" w14:textId="5A4266EE" w:rsidR="008F6E53" w:rsidRPr="00734C4D" w:rsidRDefault="008F6E53" w:rsidP="000A7092">
      <w:pPr>
        <w:pStyle w:val="ListBullet"/>
      </w:pPr>
      <w:r w:rsidRPr="00734C4D">
        <w:t xml:space="preserve">reject </w:t>
      </w:r>
      <w:r w:rsidR="00E1500D">
        <w:t xml:space="preserve">or refuse legitimate benefit </w:t>
      </w:r>
      <w:r w:rsidRPr="00734C4D">
        <w:t>claims for devices listed on the PL</w:t>
      </w:r>
      <w:r w:rsidR="003B6B5B">
        <w:t xml:space="preserve"> </w:t>
      </w:r>
    </w:p>
    <w:p w14:paraId="3D4CC9AF" w14:textId="7C37E754" w:rsidR="006A572B" w:rsidRDefault="008F6E53" w:rsidP="000A7092">
      <w:pPr>
        <w:pStyle w:val="ListBullet"/>
      </w:pPr>
      <w:r w:rsidRPr="00734C4D">
        <w:t xml:space="preserve">process </w:t>
      </w:r>
      <w:r w:rsidR="00E1500D">
        <w:t xml:space="preserve">a benefit reimbursement </w:t>
      </w:r>
      <w:r w:rsidRPr="00734C4D">
        <w:t>for less than the PL benefit</w:t>
      </w:r>
      <w:r w:rsidR="00E1500D">
        <w:t xml:space="preserve"> for the listed product</w:t>
      </w:r>
    </w:p>
    <w:p w14:paraId="70B944CE" w14:textId="0C2B9E23" w:rsidR="002E6F38" w:rsidRDefault="00A06C8E" w:rsidP="000A7092">
      <w:pPr>
        <w:pStyle w:val="ListBullet"/>
      </w:pPr>
      <w:r>
        <w:t>result in u</w:t>
      </w:r>
      <w:r w:rsidR="002E6F38">
        <w:t xml:space="preserve">ndue delays in processing </w:t>
      </w:r>
      <w:r w:rsidR="00E1500D">
        <w:t xml:space="preserve">benefit reimbursement </w:t>
      </w:r>
      <w:r w:rsidR="00B02835">
        <w:t>claims</w:t>
      </w:r>
    </w:p>
    <w:p w14:paraId="3BD31F3A" w14:textId="77487545" w:rsidR="00640F7F" w:rsidRPr="00734C4D" w:rsidRDefault="00A06C8E" w:rsidP="000A7092">
      <w:pPr>
        <w:pStyle w:val="ListBullet"/>
      </w:pPr>
      <w:r>
        <w:lastRenderedPageBreak/>
        <w:t>a</w:t>
      </w:r>
      <w:r w:rsidR="00640F7F">
        <w:t>ctivities that don’t adhere to the requirements of PL conditions of listing</w:t>
      </w:r>
    </w:p>
    <w:bookmarkEnd w:id="5"/>
    <w:p w14:paraId="3E804D8F" w14:textId="0E07BF2F" w:rsidR="001269AE" w:rsidRPr="000E7FF8" w:rsidRDefault="008B29F0" w:rsidP="000A7092">
      <w:r w:rsidRPr="000E7FF8">
        <w:t>The Strategy and supporting activities focus</w:t>
      </w:r>
      <w:r w:rsidR="001269AE" w:rsidRPr="000E7FF8">
        <w:t xml:space="preserve"> on providing guidance and information that is relevant, clear, concise and easily accessible to help regulated </w:t>
      </w:r>
      <w:r w:rsidR="009801AF" w:rsidRPr="000E7FF8">
        <w:t xml:space="preserve">PL </w:t>
      </w:r>
      <w:r w:rsidR="007B1ACF" w:rsidRPr="000E7FF8">
        <w:t>stakeholders</w:t>
      </w:r>
      <w:r w:rsidR="001269AE" w:rsidRPr="000E7FF8">
        <w:t xml:space="preserve"> understand their obligations and responsibilities</w:t>
      </w:r>
      <w:r w:rsidR="007048BD">
        <w:t>,</w:t>
      </w:r>
      <w:r w:rsidR="007B1ACF" w:rsidRPr="000E7FF8">
        <w:t xml:space="preserve"> and </w:t>
      </w:r>
      <w:r w:rsidR="001269AE" w:rsidRPr="000E7FF8">
        <w:t>to encourage voluntary compliance.</w:t>
      </w:r>
    </w:p>
    <w:p w14:paraId="5B2C44AF" w14:textId="18B46F2B" w:rsidR="001269AE" w:rsidRPr="00486B6E" w:rsidRDefault="001269AE" w:rsidP="008669E7">
      <w:pPr>
        <w:pStyle w:val="Heading1"/>
      </w:pPr>
      <w:bookmarkStart w:id="7" w:name="_Toc203750745"/>
      <w:r w:rsidRPr="00486B6E">
        <w:t>How to comply with your obligations</w:t>
      </w:r>
      <w:bookmarkEnd w:id="7"/>
    </w:p>
    <w:p w14:paraId="4C53D054" w14:textId="1A4B88FD" w:rsidR="001269AE" w:rsidRPr="00734C4D" w:rsidRDefault="001269AE" w:rsidP="000A7092">
      <w:r w:rsidRPr="00734C4D">
        <w:t xml:space="preserve">Meeting compliance requirements is the responsibility of </w:t>
      </w:r>
      <w:r w:rsidR="00AD4CB7" w:rsidRPr="00734C4D">
        <w:t xml:space="preserve">PL </w:t>
      </w:r>
      <w:r w:rsidR="00486B6E" w:rsidRPr="00734C4D">
        <w:t>stakeholders</w:t>
      </w:r>
      <w:r w:rsidRPr="00734C4D">
        <w:t xml:space="preserve">. Most non-compliance is inadvertent, and </w:t>
      </w:r>
      <w:r w:rsidR="009801AF" w:rsidRPr="00734C4D">
        <w:t xml:space="preserve">the </w:t>
      </w:r>
      <w:r w:rsidR="00976379">
        <w:t>d</w:t>
      </w:r>
      <w:r w:rsidR="009801AF" w:rsidRPr="00734C4D">
        <w:t>epartment</w:t>
      </w:r>
      <w:r w:rsidRPr="00734C4D">
        <w:t xml:space="preserve"> will work with </w:t>
      </w:r>
      <w:r w:rsidR="000B75EC" w:rsidRPr="00734C4D">
        <w:t>stakeholders</w:t>
      </w:r>
      <w:r w:rsidRPr="00734C4D">
        <w:t xml:space="preserve"> to resolve any issues, initially on an informal basis. You can help </w:t>
      </w:r>
      <w:r w:rsidR="009801AF" w:rsidRPr="00734C4D">
        <w:t xml:space="preserve">the </w:t>
      </w:r>
      <w:r w:rsidR="00976379">
        <w:t>d</w:t>
      </w:r>
      <w:r w:rsidR="009801AF" w:rsidRPr="00734C4D">
        <w:t>epartment</w:t>
      </w:r>
      <w:r w:rsidRPr="00734C4D">
        <w:t xml:space="preserve"> by:</w:t>
      </w:r>
    </w:p>
    <w:p w14:paraId="466C0FCA" w14:textId="1550C004" w:rsidR="001269AE" w:rsidRPr="00734C4D" w:rsidRDefault="001269AE" w:rsidP="000A7092">
      <w:pPr>
        <w:pStyle w:val="ListBullet"/>
      </w:pPr>
      <w:r w:rsidRPr="00347CFC">
        <w:rPr>
          <w:rStyle w:val="Strong"/>
        </w:rPr>
        <w:t>Understanding your responsibilities</w:t>
      </w:r>
      <w:r w:rsidRPr="00734C4D">
        <w:t xml:space="preserve"> </w:t>
      </w:r>
      <w:r w:rsidR="000B75EC" w:rsidRPr="00734C4D">
        <w:t>–</w:t>
      </w:r>
      <w:r w:rsidRPr="00734C4D">
        <w:t xml:space="preserve"> we </w:t>
      </w:r>
      <w:r w:rsidR="00AD4CB7" w:rsidRPr="00734C4D">
        <w:t xml:space="preserve">will </w:t>
      </w:r>
      <w:r w:rsidRPr="00734C4D">
        <w:t>provide a range of educational resources to help you meet your legal obligations by targeting our compliance activities to the type of non-compliance identified.</w:t>
      </w:r>
    </w:p>
    <w:p w14:paraId="3AA69A17" w14:textId="00D81612" w:rsidR="001269AE" w:rsidRPr="00734C4D" w:rsidRDefault="001269AE" w:rsidP="000A7092">
      <w:pPr>
        <w:pStyle w:val="ListBullet"/>
      </w:pPr>
      <w:r w:rsidRPr="00347CFC">
        <w:rPr>
          <w:rStyle w:val="Strong"/>
        </w:rPr>
        <w:t>Being proactive</w:t>
      </w:r>
      <w:r w:rsidRPr="00734C4D">
        <w:t xml:space="preserve"> </w:t>
      </w:r>
      <w:r w:rsidR="000B75EC" w:rsidRPr="00734C4D">
        <w:t>–</w:t>
      </w:r>
      <w:r w:rsidRPr="00734C4D">
        <w:t xml:space="preserve"> let us know as soon as you discover that you have made an incorrect listing or application.</w:t>
      </w:r>
    </w:p>
    <w:p w14:paraId="4CF9DF26" w14:textId="7E60CCB6" w:rsidR="001269AE" w:rsidRPr="00734C4D" w:rsidRDefault="001269AE" w:rsidP="000A7092">
      <w:pPr>
        <w:pStyle w:val="ListBullet"/>
      </w:pPr>
      <w:r w:rsidRPr="00347CFC">
        <w:rPr>
          <w:rStyle w:val="Strong"/>
        </w:rPr>
        <w:t>Notify us</w:t>
      </w:r>
      <w:r w:rsidRPr="00734C4D">
        <w:t xml:space="preserve"> </w:t>
      </w:r>
      <w:r w:rsidR="000B75EC" w:rsidRPr="00734C4D">
        <w:t>–</w:t>
      </w:r>
      <w:r w:rsidRPr="00734C4D">
        <w:t xml:space="preserve"> it is important that you tell us if you have any concerns about </w:t>
      </w:r>
      <w:r w:rsidR="009F37FD" w:rsidRPr="00734C4D">
        <w:t xml:space="preserve">suspected non-compliant </w:t>
      </w:r>
      <w:r w:rsidRPr="00734C4D">
        <w:t>behaviour</w:t>
      </w:r>
      <w:r w:rsidR="009F37FD" w:rsidRPr="00734C4D">
        <w:t xml:space="preserve"> or actual </w:t>
      </w:r>
      <w:r w:rsidR="00AD4CB7" w:rsidRPr="00734C4D">
        <w:t xml:space="preserve">non-compliance including </w:t>
      </w:r>
      <w:r w:rsidRPr="00734C4D">
        <w:t xml:space="preserve">fraud. Any information you can give assists us to </w:t>
      </w:r>
      <w:r w:rsidR="00DE1C8E">
        <w:t>act</w:t>
      </w:r>
      <w:r w:rsidRPr="00734C4D">
        <w:t xml:space="preserve"> to ensure the integrity of PL settings. </w:t>
      </w:r>
      <w:r w:rsidR="00AD4CB7" w:rsidRPr="00734C4D">
        <w:t xml:space="preserve">You can </w:t>
      </w:r>
      <w:r w:rsidR="00695FC0">
        <w:t xml:space="preserve">choose to </w:t>
      </w:r>
      <w:r w:rsidR="00AD4CB7" w:rsidRPr="00734C4D">
        <w:t>remain anonymous.</w:t>
      </w:r>
    </w:p>
    <w:p w14:paraId="30E2899B" w14:textId="4024BFF9" w:rsidR="00C17E4A" w:rsidRPr="00734C4D" w:rsidRDefault="009801AF" w:rsidP="000A7092">
      <w:r w:rsidRPr="00734C4D">
        <w:t xml:space="preserve">PL </w:t>
      </w:r>
      <w:r w:rsidR="00C17E4A" w:rsidRPr="00734C4D">
        <w:t xml:space="preserve">stakeholders will be expected to </w:t>
      </w:r>
      <w:r w:rsidR="0086566D">
        <w:t>remain</w:t>
      </w:r>
      <w:r w:rsidR="0086566D" w:rsidRPr="00734C4D">
        <w:t xml:space="preserve"> </w:t>
      </w:r>
      <w:r w:rsidR="00DF788D" w:rsidRPr="00734C4D">
        <w:t>informed</w:t>
      </w:r>
      <w:r w:rsidR="001D7489">
        <w:t xml:space="preserve"> </w:t>
      </w:r>
      <w:r w:rsidR="00DF788D" w:rsidRPr="00734C4D">
        <w:t xml:space="preserve">and </w:t>
      </w:r>
      <w:r w:rsidR="00C17E4A" w:rsidRPr="00734C4D">
        <w:t xml:space="preserve">comply with the </w:t>
      </w:r>
      <w:r w:rsidR="00251E03" w:rsidRPr="00734C4D">
        <w:t>L</w:t>
      </w:r>
      <w:r w:rsidR="00C17E4A" w:rsidRPr="00734C4D">
        <w:t>egislation</w:t>
      </w:r>
      <w:r w:rsidR="00251E03" w:rsidRPr="00734C4D">
        <w:t>, Rules and Guide</w:t>
      </w:r>
      <w:r w:rsidR="00C17E4A" w:rsidRPr="00734C4D">
        <w:t xml:space="preserve"> </w:t>
      </w:r>
      <w:r w:rsidR="00DF788D" w:rsidRPr="00734C4D">
        <w:t>supporting the PL</w:t>
      </w:r>
      <w:r w:rsidR="00C17E4A" w:rsidRPr="00734C4D">
        <w:t xml:space="preserve">. Periodic reviews and amendments of the legislative </w:t>
      </w:r>
      <w:r w:rsidR="00DF4A5B" w:rsidRPr="00734C4D">
        <w:t>instruments</w:t>
      </w:r>
      <w:r w:rsidR="00C17E4A" w:rsidRPr="00734C4D">
        <w:t xml:space="preserve"> are undertaken to ensure the continued relevance and effectiveness of the PL program.</w:t>
      </w:r>
    </w:p>
    <w:p w14:paraId="055E7CF0" w14:textId="00658C6C" w:rsidR="001269AE" w:rsidRPr="00734C4D" w:rsidRDefault="00E67332" w:rsidP="000A7092">
      <w:r w:rsidRPr="00734C4D">
        <w:t>Further</w:t>
      </w:r>
      <w:r w:rsidR="001D7489">
        <w:t>,</w:t>
      </w:r>
      <w:r w:rsidR="00DF4A5B" w:rsidRPr="00734C4D">
        <w:t xml:space="preserve"> the </w:t>
      </w:r>
      <w:r w:rsidR="00976379">
        <w:t>d</w:t>
      </w:r>
      <w:r w:rsidR="001269AE" w:rsidRPr="00734C4D">
        <w:t xml:space="preserve">epartment </w:t>
      </w:r>
      <w:r w:rsidRPr="00734C4D">
        <w:t>will</w:t>
      </w:r>
      <w:r w:rsidR="00DF4A5B" w:rsidRPr="00734C4D">
        <w:t xml:space="preserve"> engage with </w:t>
      </w:r>
      <w:r w:rsidR="001269AE" w:rsidRPr="00734C4D">
        <w:t>medical technology and industry peak bodies, medical colleges and private health insurance industry peak bodies</w:t>
      </w:r>
      <w:r w:rsidRPr="00734C4D">
        <w:t xml:space="preserve"> to</w:t>
      </w:r>
      <w:r w:rsidR="001269AE" w:rsidRPr="00734C4D">
        <w:t xml:space="preserve"> support better PL compliance outcomes through program design, policy development and PL</w:t>
      </w:r>
      <w:r w:rsidR="00174A50" w:rsidRPr="00734C4D">
        <w:t> </w:t>
      </w:r>
      <w:r w:rsidR="001269AE" w:rsidRPr="00734C4D">
        <w:t>system improvements.</w:t>
      </w:r>
    </w:p>
    <w:p w14:paraId="7369AD68" w14:textId="77777777" w:rsidR="004B7F39" w:rsidRPr="000E7FF8" w:rsidRDefault="004B7F39" w:rsidP="000A7092">
      <w:r>
        <w:br w:type="page"/>
      </w:r>
    </w:p>
    <w:p w14:paraId="4465AAF2" w14:textId="3975B33B" w:rsidR="001269AE" w:rsidRDefault="001269AE" w:rsidP="001269AE">
      <w:pPr>
        <w:pStyle w:val="Heading1"/>
      </w:pPr>
      <w:bookmarkStart w:id="8" w:name="_Toc203750746"/>
      <w:r>
        <w:lastRenderedPageBreak/>
        <w:t>Compliance Approach</w:t>
      </w:r>
      <w:bookmarkEnd w:id="8"/>
    </w:p>
    <w:p w14:paraId="62F0765E" w14:textId="3DC1C5D0" w:rsidR="00DF788D" w:rsidRPr="00734C4D" w:rsidRDefault="001269AE" w:rsidP="000A7092">
      <w:r w:rsidRPr="00734C4D">
        <w:t xml:space="preserve">The </w:t>
      </w:r>
      <w:r w:rsidR="00374223">
        <w:t>d</w:t>
      </w:r>
      <w:r w:rsidRPr="00734C4D">
        <w:t xml:space="preserve">epartment will monitor the </w:t>
      </w:r>
      <w:r w:rsidR="00DF788D" w:rsidRPr="00734C4D">
        <w:t xml:space="preserve">behaviours </w:t>
      </w:r>
      <w:r w:rsidR="002F0F34" w:rsidRPr="00734C4D">
        <w:t xml:space="preserve">of PL stakeholders </w:t>
      </w:r>
      <w:r w:rsidR="00DF788D" w:rsidRPr="00734C4D">
        <w:t xml:space="preserve">and </w:t>
      </w:r>
      <w:r w:rsidR="002F0F34" w:rsidRPr="00734C4D">
        <w:t xml:space="preserve">the </w:t>
      </w:r>
      <w:r w:rsidR="00DF788D" w:rsidRPr="00734C4D">
        <w:t>operations</w:t>
      </w:r>
      <w:r w:rsidRPr="00734C4D">
        <w:t xml:space="preserve"> of the PL for compliance </w:t>
      </w:r>
      <w:r w:rsidR="00E1500D">
        <w:t>with</w:t>
      </w:r>
      <w:r w:rsidRPr="00734C4D">
        <w:t xml:space="preserve"> the established listing requirements</w:t>
      </w:r>
      <w:r w:rsidR="00635CD6" w:rsidRPr="00734C4D">
        <w:t>.</w:t>
      </w:r>
      <w:r w:rsidR="00DF788D" w:rsidRPr="007D1BC8">
        <w:rPr>
          <w:vertAlign w:val="superscript"/>
        </w:rPr>
        <w:footnoteReference w:id="3"/>
      </w:r>
      <w:r w:rsidRPr="007D1BC8">
        <w:rPr>
          <w:vertAlign w:val="superscript"/>
        </w:rPr>
        <w:t xml:space="preserve"> </w:t>
      </w:r>
      <w:r w:rsidRPr="00734C4D">
        <w:t>This is to ensure that the regulated benefit</w:t>
      </w:r>
      <w:r w:rsidR="00A31C5E">
        <w:t>s</w:t>
      </w:r>
      <w:r w:rsidRPr="00734C4D">
        <w:t xml:space="preserve"> and the use of the devices continue to meet the regulatory requirements and controls throughout the period the product is listed on the PL.</w:t>
      </w:r>
    </w:p>
    <w:p w14:paraId="0B5BD365" w14:textId="1B058465" w:rsidR="001269AE" w:rsidRPr="00734C4D" w:rsidRDefault="00635CD6" w:rsidP="000A7092">
      <w:r w:rsidRPr="00734C4D">
        <w:t>T</w:t>
      </w:r>
      <w:r w:rsidR="001269AE" w:rsidRPr="00734C4D">
        <w:t xml:space="preserve">hese monitoring activities </w:t>
      </w:r>
      <w:r w:rsidR="00A9435E" w:rsidRPr="00734C4D">
        <w:t>include post</w:t>
      </w:r>
      <w:r w:rsidR="0016323D" w:rsidRPr="00734C4D">
        <w:t>-</w:t>
      </w:r>
      <w:r w:rsidR="00A9435E" w:rsidRPr="00734C4D">
        <w:t xml:space="preserve">listing review processes, which </w:t>
      </w:r>
      <w:r w:rsidR="00A31C5E">
        <w:t xml:space="preserve">include </w:t>
      </w:r>
      <w:r w:rsidRPr="00734C4D">
        <w:t xml:space="preserve">device </w:t>
      </w:r>
      <w:r w:rsidR="001269AE" w:rsidRPr="00734C4D">
        <w:t>utilisation reviews</w:t>
      </w:r>
      <w:r w:rsidR="00A31C5E">
        <w:t xml:space="preserve"> as well as other Health Technology Assessment (HTA) style rev</w:t>
      </w:r>
      <w:r w:rsidR="008239B8">
        <w:t>i</w:t>
      </w:r>
      <w:r w:rsidR="00A31C5E">
        <w:t>ews</w:t>
      </w:r>
      <w:r w:rsidR="00A9435E" w:rsidRPr="00734C4D">
        <w:t>. Post</w:t>
      </w:r>
      <w:r w:rsidR="0016323D" w:rsidRPr="00734C4D">
        <w:t>-</w:t>
      </w:r>
      <w:r w:rsidR="00A9435E" w:rsidRPr="00734C4D">
        <w:t xml:space="preserve">listing processes </w:t>
      </w:r>
      <w:r w:rsidR="001269AE" w:rsidRPr="00734C4D">
        <w:t>include:</w:t>
      </w:r>
    </w:p>
    <w:p w14:paraId="5CC9761F" w14:textId="38E0A33B" w:rsidR="001269AE" w:rsidRPr="003E2A3A" w:rsidRDefault="003A5F08" w:rsidP="000A7092">
      <w:pPr>
        <w:pStyle w:val="ListBullet"/>
      </w:pPr>
      <w:r w:rsidRPr="003E2A3A">
        <w:t>Reviewing and a</w:t>
      </w:r>
      <w:r w:rsidR="001269AE" w:rsidRPr="003E2A3A">
        <w:t xml:space="preserve">ssessing reports of problems/concerns with the </w:t>
      </w:r>
      <w:r w:rsidR="0069165F" w:rsidRPr="003E2A3A">
        <w:t>use</w:t>
      </w:r>
      <w:r w:rsidR="001269AE" w:rsidRPr="003E2A3A">
        <w:t xml:space="preserve"> of medical devices listed on the PL</w:t>
      </w:r>
      <w:r w:rsidR="00635CD6" w:rsidRPr="003E2A3A">
        <w:t xml:space="preserve">. For example, </w:t>
      </w:r>
      <w:r w:rsidR="001269AE" w:rsidRPr="003E2A3A">
        <w:t xml:space="preserve">significant increases in volumes and expenditure, </w:t>
      </w:r>
      <w:r w:rsidR="00A9435E" w:rsidRPr="003E2A3A">
        <w:t>concerning utilisation patterns of</w:t>
      </w:r>
      <w:r w:rsidR="001269AE" w:rsidRPr="003E2A3A">
        <w:t xml:space="preserve"> device</w:t>
      </w:r>
      <w:r w:rsidR="00A9435E" w:rsidRPr="003E2A3A">
        <w:t>s</w:t>
      </w:r>
      <w:r w:rsidR="00E67332" w:rsidRPr="003E2A3A">
        <w:t>.</w:t>
      </w:r>
    </w:p>
    <w:p w14:paraId="37C57873" w14:textId="010B108D" w:rsidR="001269AE" w:rsidRPr="003E2A3A" w:rsidRDefault="001269AE" w:rsidP="000A7092">
      <w:pPr>
        <w:pStyle w:val="ListBullet"/>
      </w:pPr>
      <w:r w:rsidRPr="003E2A3A">
        <w:t xml:space="preserve">Checking evidence that medical devices continue to meet the requirements established at the point of listing – including a focus on </w:t>
      </w:r>
      <w:r w:rsidR="00A9435E" w:rsidRPr="003E2A3A">
        <w:t xml:space="preserve">comparative clinical effectiveness and cost effectiveness, </w:t>
      </w:r>
      <w:r w:rsidR="008669E7" w:rsidRPr="003E2A3A">
        <w:t>out-of-pocket</w:t>
      </w:r>
      <w:r w:rsidRPr="003E2A3A">
        <w:t xml:space="preserve"> </w:t>
      </w:r>
      <w:r w:rsidR="00EA6839" w:rsidRPr="003E2A3A">
        <w:t>costs</w:t>
      </w:r>
      <w:r w:rsidRPr="003E2A3A">
        <w:t>, approved usage, eligibility (scope and definition)</w:t>
      </w:r>
      <w:r w:rsidR="00635CD6" w:rsidRPr="003E2A3A">
        <w:t>.</w:t>
      </w:r>
    </w:p>
    <w:p w14:paraId="2DAAB0EA" w14:textId="1F3A0828" w:rsidR="001269AE" w:rsidRPr="003E2A3A" w:rsidRDefault="001269AE" w:rsidP="000A7092">
      <w:pPr>
        <w:pStyle w:val="ListBullet"/>
      </w:pPr>
      <w:r w:rsidRPr="003E2A3A">
        <w:t xml:space="preserve">Undertaking periodic reference pricing activities to maintain </w:t>
      </w:r>
      <w:r w:rsidR="00A9435E" w:rsidRPr="003E2A3A">
        <w:t>alignment</w:t>
      </w:r>
      <w:r w:rsidRPr="003E2A3A">
        <w:t xml:space="preserve"> between public </w:t>
      </w:r>
      <w:r w:rsidR="00B479FA" w:rsidRPr="003E2A3A">
        <w:t xml:space="preserve">prices </w:t>
      </w:r>
      <w:r w:rsidRPr="003E2A3A">
        <w:t xml:space="preserve">and private </w:t>
      </w:r>
      <w:r w:rsidR="00B479FA" w:rsidRPr="003E2A3A">
        <w:t>benefits</w:t>
      </w:r>
      <w:r w:rsidRPr="003E2A3A">
        <w:t xml:space="preserve"> that underpins the PL </w:t>
      </w:r>
      <w:r w:rsidR="00B479FA" w:rsidRPr="003E2A3A">
        <w:t>settings</w:t>
      </w:r>
      <w:r w:rsidRPr="003E2A3A">
        <w:t>.</w:t>
      </w:r>
    </w:p>
    <w:p w14:paraId="0851D262" w14:textId="0C0FB4BE" w:rsidR="001269AE" w:rsidRPr="003E2A3A" w:rsidRDefault="001269AE" w:rsidP="000A7092">
      <w:r w:rsidRPr="003E2A3A">
        <w:t xml:space="preserve">The </w:t>
      </w:r>
      <w:r w:rsidR="00976379" w:rsidRPr="003E2A3A">
        <w:t>d</w:t>
      </w:r>
      <w:r w:rsidRPr="003E2A3A">
        <w:t>epartment will ensure resources and effort</w:t>
      </w:r>
      <w:r w:rsidR="000B6EE1">
        <w:t>s</w:t>
      </w:r>
      <w:r w:rsidRPr="003E2A3A">
        <w:t xml:space="preserve"> are prioritised based on the seriousness and scale of compliance concerns. This allows for a responsive and proportionate approach to compliance utilising the </w:t>
      </w:r>
      <w:r w:rsidR="00B479FA" w:rsidRPr="003E2A3A">
        <w:t>r</w:t>
      </w:r>
      <w:r w:rsidRPr="003E2A3A">
        <w:t xml:space="preserve">ange of tools and powers available to the </w:t>
      </w:r>
      <w:r w:rsidR="00976379" w:rsidRPr="003E2A3A">
        <w:t>d</w:t>
      </w:r>
      <w:r w:rsidRPr="003E2A3A">
        <w:t>epartment.</w:t>
      </w:r>
    </w:p>
    <w:p w14:paraId="4600B71E" w14:textId="7A98F245" w:rsidR="001269AE" w:rsidRPr="00734C4D" w:rsidRDefault="001269AE" w:rsidP="000A7092">
      <w:r w:rsidRPr="00734C4D">
        <w:t xml:space="preserve">A range of compliance and enforcement tools will be employed to address </w:t>
      </w:r>
      <w:r w:rsidR="00D663C9" w:rsidRPr="00734C4D">
        <w:t>suspected</w:t>
      </w:r>
      <w:r w:rsidRPr="00734C4D">
        <w:t xml:space="preserve"> non-compliance, either individually or in combination, and to encourage compliance with the regulatory and legislative requirements.</w:t>
      </w:r>
    </w:p>
    <w:p w14:paraId="7A4A8B73" w14:textId="113DD778" w:rsidR="006A5A53" w:rsidRDefault="006A5A53" w:rsidP="003E2A3A">
      <w:pPr>
        <w:pStyle w:val="Heading2"/>
      </w:pPr>
      <w:bookmarkStart w:id="9" w:name="_Toc203750747"/>
      <w:r w:rsidRPr="006A5A53">
        <w:t>Tiers of non-compliance</w:t>
      </w:r>
      <w:bookmarkEnd w:id="9"/>
    </w:p>
    <w:p w14:paraId="49EE515A" w14:textId="06F9A014" w:rsidR="009C35B0" w:rsidRPr="00734C4D" w:rsidRDefault="009C35B0" w:rsidP="000A7092">
      <w:r w:rsidRPr="00734C4D">
        <w:t xml:space="preserve">The degree of non-compliance will be assessed according to the risk posed to the intended outcomes of the PL and </w:t>
      </w:r>
      <w:r w:rsidR="00174A50" w:rsidRPr="00734C4D">
        <w:t>its</w:t>
      </w:r>
      <w:r w:rsidRPr="00734C4D">
        <w:t xml:space="preserve"> program, with compliance attention given to key risk factors informed by the compliance principles:</w:t>
      </w:r>
    </w:p>
    <w:p w14:paraId="37C7DA05" w14:textId="24BF34B1" w:rsidR="005F1FC0" w:rsidRPr="000E7FF8" w:rsidRDefault="005F1FC0" w:rsidP="000A7092">
      <w:pPr>
        <w:pStyle w:val="ListBullet"/>
      </w:pPr>
      <w:r w:rsidRPr="000E7FF8">
        <w:rPr>
          <w:rStyle w:val="Strong"/>
        </w:rPr>
        <w:t xml:space="preserve">The nature of the </w:t>
      </w:r>
      <w:r w:rsidR="00B479FA">
        <w:rPr>
          <w:rStyle w:val="Strong"/>
        </w:rPr>
        <w:t>non-compliance</w:t>
      </w:r>
      <w:r w:rsidRPr="005F0456">
        <w:t xml:space="preserve"> –</w:t>
      </w:r>
      <w:r>
        <w:t xml:space="preserve"> </w:t>
      </w:r>
      <w:r w:rsidRPr="000E7FF8">
        <w:t>whether the non-compliance is limited to an administrative contravention as opposed to a contravention that indicates risk to patient safety</w:t>
      </w:r>
    </w:p>
    <w:p w14:paraId="6FCFCD6E" w14:textId="44377556" w:rsidR="005F1FC0" w:rsidRPr="003E2A3A" w:rsidRDefault="005F1FC0" w:rsidP="000A7092">
      <w:pPr>
        <w:pStyle w:val="ListBullet"/>
        <w:rPr>
          <w:rStyle w:val="Strong"/>
        </w:rPr>
      </w:pPr>
      <w:r w:rsidRPr="003E2A3A">
        <w:rPr>
          <w:rStyle w:val="Strong"/>
        </w:rPr>
        <w:t xml:space="preserve">The volume of </w:t>
      </w:r>
      <w:r w:rsidR="00B479FA" w:rsidRPr="003E2A3A">
        <w:rPr>
          <w:rStyle w:val="Strong"/>
        </w:rPr>
        <w:t>non-compliance activit</w:t>
      </w:r>
      <w:r w:rsidR="00976379" w:rsidRPr="003E2A3A">
        <w:rPr>
          <w:rStyle w:val="Strong"/>
        </w:rPr>
        <w:t>i</w:t>
      </w:r>
      <w:r w:rsidR="00B479FA" w:rsidRPr="003E2A3A">
        <w:rPr>
          <w:rStyle w:val="Strong"/>
        </w:rPr>
        <w:t>es</w:t>
      </w:r>
    </w:p>
    <w:p w14:paraId="46606FB2" w14:textId="41AB553E" w:rsidR="005F1FC0" w:rsidRPr="000E7FF8" w:rsidRDefault="005F1FC0" w:rsidP="000A7092">
      <w:pPr>
        <w:pStyle w:val="ListBullet"/>
      </w:pPr>
      <w:r w:rsidRPr="000E7FF8">
        <w:t xml:space="preserve">Whether the PL stakeholder has </w:t>
      </w:r>
      <w:r w:rsidRPr="003E2A3A">
        <w:rPr>
          <w:rStyle w:val="Strong"/>
        </w:rPr>
        <w:t>demonstrated previous non-compliances</w:t>
      </w:r>
    </w:p>
    <w:p w14:paraId="14ABF6CE" w14:textId="1F82F1FF" w:rsidR="005F1FC0" w:rsidRPr="000E7FF8" w:rsidRDefault="005F1FC0" w:rsidP="000A7092">
      <w:pPr>
        <w:pStyle w:val="ListBullet"/>
      </w:pPr>
      <w:r w:rsidRPr="000E7FF8">
        <w:t xml:space="preserve">Indicators of </w:t>
      </w:r>
      <w:r w:rsidRPr="000E7FF8">
        <w:rPr>
          <w:rStyle w:val="Strong"/>
        </w:rPr>
        <w:t xml:space="preserve">deliberateness of the </w:t>
      </w:r>
      <w:r w:rsidR="00B479FA">
        <w:rPr>
          <w:rStyle w:val="Strong"/>
        </w:rPr>
        <w:t>non-compliance</w:t>
      </w:r>
    </w:p>
    <w:p w14:paraId="68923AED" w14:textId="1DEE8EDB" w:rsidR="005F1FC0" w:rsidRPr="00067F37" w:rsidRDefault="005F1FC0" w:rsidP="000A7092">
      <w:pPr>
        <w:pStyle w:val="ListBullet"/>
      </w:pPr>
      <w:r w:rsidRPr="000E7FF8">
        <w:t xml:space="preserve">Whether the PL stakeholder indicates and demonstrates </w:t>
      </w:r>
      <w:r w:rsidRPr="000E7FF8">
        <w:rPr>
          <w:rStyle w:val="Strong"/>
        </w:rPr>
        <w:t>a willingness to return to compliance</w:t>
      </w:r>
      <w:r w:rsidR="009C35B0" w:rsidRPr="000E7FF8">
        <w:t>. This</w:t>
      </w:r>
      <w:r w:rsidRPr="000E7FF8">
        <w:t xml:space="preserve"> is particularly relevant in distinguishing between the more serious tiers of non-</w:t>
      </w:r>
      <w:r w:rsidRPr="00067F37">
        <w:t>compliance (</w:t>
      </w:r>
      <w:r w:rsidR="00616C81" w:rsidRPr="00067F37">
        <w:t xml:space="preserve">such as </w:t>
      </w:r>
      <w:r w:rsidRPr="00067F37">
        <w:t>whether the PL stakeholder is taking a high adversarial approach or blatantly disregarding the need to return to compliance).</w:t>
      </w:r>
    </w:p>
    <w:p w14:paraId="38FA1BC6" w14:textId="3CAEFE22" w:rsidR="005F1FC0" w:rsidRPr="005F0456" w:rsidRDefault="009C35B0" w:rsidP="000A7092">
      <w:r w:rsidRPr="005F0456">
        <w:t>The</w:t>
      </w:r>
      <w:r w:rsidR="002F2599" w:rsidRPr="005F0456">
        <w:t>se</w:t>
      </w:r>
      <w:r w:rsidRPr="005F0456">
        <w:t xml:space="preserve"> tiers of non-compliance are </w:t>
      </w:r>
      <w:r w:rsidR="005F1FC0" w:rsidRPr="005F0456">
        <w:t xml:space="preserve">not </w:t>
      </w:r>
      <w:r w:rsidR="002F2599" w:rsidRPr="005F0456">
        <w:t xml:space="preserve">intended to be exhaustive, </w:t>
      </w:r>
      <w:r w:rsidR="005F1FC0" w:rsidRPr="005F0456">
        <w:t xml:space="preserve">there is </w:t>
      </w:r>
      <w:r w:rsidR="002F2599" w:rsidRPr="005F0456">
        <w:t xml:space="preserve">an </w:t>
      </w:r>
      <w:r w:rsidR="005F1FC0" w:rsidRPr="005F0456">
        <w:t>inherent</w:t>
      </w:r>
      <w:r w:rsidR="002F2599" w:rsidRPr="005F0456">
        <w:t xml:space="preserve"> need to </w:t>
      </w:r>
      <w:r w:rsidR="005F1FC0" w:rsidRPr="005F0456">
        <w:t xml:space="preserve">exercise </w:t>
      </w:r>
      <w:r w:rsidRPr="005F0456">
        <w:t xml:space="preserve">professional </w:t>
      </w:r>
      <w:r w:rsidR="005F1FC0" w:rsidRPr="005F0456">
        <w:t>judgement in assessing the tier of non-compliance</w:t>
      </w:r>
      <w:r w:rsidR="002F2599" w:rsidRPr="005F0456">
        <w:t xml:space="preserve"> on its merits</w:t>
      </w:r>
      <w:r w:rsidR="005F1FC0" w:rsidRPr="005F0456">
        <w:t>.</w:t>
      </w:r>
      <w:r w:rsidR="002F2599" w:rsidRPr="005F0456">
        <w:t xml:space="preserve"> </w:t>
      </w:r>
      <w:r w:rsidR="009B0868" w:rsidRPr="005F0456">
        <w:t>Table 1 outlines the</w:t>
      </w:r>
      <w:r w:rsidR="002F2599" w:rsidRPr="005F0456">
        <w:t>se</w:t>
      </w:r>
      <w:r w:rsidR="009B0868" w:rsidRPr="005F0456">
        <w:t xml:space="preserve"> </w:t>
      </w:r>
      <w:r w:rsidR="005F1FC0" w:rsidRPr="005F0456">
        <w:t>tiers of non-compliance</w:t>
      </w:r>
      <w:r w:rsidR="002F2599" w:rsidRPr="005F0456">
        <w:t xml:space="preserve"> along with the likely indicators</w:t>
      </w:r>
      <w:r w:rsidR="005F1FC0" w:rsidRPr="005F0456">
        <w:t>.</w:t>
      </w:r>
    </w:p>
    <w:p w14:paraId="7D81136B" w14:textId="658B4F92" w:rsidR="009B0868" w:rsidRPr="000E7FF8" w:rsidRDefault="000E7FF8" w:rsidP="000A7092">
      <w:pPr>
        <w:pStyle w:val="Caption"/>
      </w:pPr>
      <w:r>
        <w:lastRenderedPageBreak/>
        <w:t xml:space="preserve">Table </w:t>
      </w:r>
      <w:fldSimple w:instr=" SEQ Table \* ARABIC ">
        <w:r w:rsidR="000767B8">
          <w:rPr>
            <w:noProof/>
          </w:rPr>
          <w:t>1</w:t>
        </w:r>
      </w:fldSimple>
      <w:r w:rsidR="00BA11E5" w:rsidRPr="005F0456">
        <w:t>:</w:t>
      </w:r>
      <w:r w:rsidR="009B0868" w:rsidRPr="005F0456">
        <w:t xml:space="preserve"> Tiers of non-compliance against the PL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bottom w:w="57" w:type="dxa"/>
        </w:tblCellMar>
        <w:tblLook w:val="04A0" w:firstRow="1" w:lastRow="0" w:firstColumn="1" w:lastColumn="0" w:noHBand="0" w:noVBand="1"/>
        <w:tblCaption w:val="Tiers of non-compliance against the PL"/>
        <w:tblDescription w:val="This table identifies the different levels of compliance - from the most compliant to the least compliant.  Categories include voluntary compliance, minor non-compliance, medium non-compliance, high non-compliance and extreme non-compliance."/>
      </w:tblPr>
      <w:tblGrid>
        <w:gridCol w:w="2395"/>
        <w:gridCol w:w="6621"/>
      </w:tblGrid>
      <w:tr w:rsidR="005F1FC0" w:rsidRPr="000A1B0F" w14:paraId="596D7EE4" w14:textId="77777777" w:rsidTr="009B0868">
        <w:trPr>
          <w:tblHeader/>
        </w:trPr>
        <w:tc>
          <w:tcPr>
            <w:tcW w:w="2395" w:type="dxa"/>
            <w:shd w:val="clear" w:color="auto" w:fill="002060"/>
            <w:vAlign w:val="center"/>
          </w:tcPr>
          <w:p w14:paraId="73BF53DC" w14:textId="77777777" w:rsidR="005F1FC0" w:rsidRPr="000A1B0F" w:rsidRDefault="005F1FC0" w:rsidP="000A7092">
            <w:r>
              <w:t>Tier of</w:t>
            </w:r>
            <w:r w:rsidRPr="000A1B0F">
              <w:t xml:space="preserve"> non-compliance</w:t>
            </w:r>
          </w:p>
        </w:tc>
        <w:tc>
          <w:tcPr>
            <w:tcW w:w="6621" w:type="dxa"/>
            <w:shd w:val="clear" w:color="auto" w:fill="002060"/>
            <w:vAlign w:val="center"/>
          </w:tcPr>
          <w:p w14:paraId="0E010D72" w14:textId="77777777" w:rsidR="005F1FC0" w:rsidRPr="000A1B0F" w:rsidRDefault="005F1FC0" w:rsidP="000A7092">
            <w:r>
              <w:t>Indicators</w:t>
            </w:r>
          </w:p>
        </w:tc>
      </w:tr>
      <w:tr w:rsidR="005F1FC0" w:rsidRPr="000A1B0F" w14:paraId="375C6F14" w14:textId="77777777" w:rsidTr="009B0868">
        <w:tc>
          <w:tcPr>
            <w:tcW w:w="2395" w:type="dxa"/>
            <w:shd w:val="clear" w:color="auto" w:fill="auto"/>
            <w:vAlign w:val="center"/>
          </w:tcPr>
          <w:p w14:paraId="58A9DEAC" w14:textId="77777777" w:rsidR="005F1FC0" w:rsidRPr="000E7FF8" w:rsidRDefault="005F1FC0" w:rsidP="000A7092">
            <w:r w:rsidRPr="000E7FF8">
              <w:t>Voluntary compliance</w:t>
            </w:r>
          </w:p>
        </w:tc>
        <w:tc>
          <w:tcPr>
            <w:tcW w:w="6621" w:type="dxa"/>
            <w:shd w:val="clear" w:color="auto" w:fill="F2F2F2" w:themeFill="background1" w:themeFillShade="F2"/>
            <w:vAlign w:val="center"/>
          </w:tcPr>
          <w:p w14:paraId="07D05144" w14:textId="439F51A7" w:rsidR="005F1FC0" w:rsidRPr="003E2A3A" w:rsidRDefault="00FD6B23" w:rsidP="000A7092">
            <w:pPr>
              <w:pStyle w:val="ListBullet"/>
            </w:pPr>
            <w:r>
              <w:t>PL stakeholder</w:t>
            </w:r>
            <w:r w:rsidR="005F1FC0" w:rsidRPr="00FD6B23">
              <w:t xml:space="preserve"> is complian</w:t>
            </w:r>
            <w:r>
              <w:t>t</w:t>
            </w:r>
            <w:r w:rsidR="005F1FC0" w:rsidRPr="00FD6B23">
              <w:t xml:space="preserve"> </w:t>
            </w:r>
            <w:r>
              <w:t xml:space="preserve">with the </w:t>
            </w:r>
            <w:r w:rsidR="004E1D69">
              <w:t>Act and MDHTP</w:t>
            </w:r>
            <w:r>
              <w:t xml:space="preserve"> Rules</w:t>
            </w:r>
          </w:p>
          <w:p w14:paraId="5DCA5CF1" w14:textId="34BF602C" w:rsidR="005F1FC0" w:rsidRPr="00FD6B23" w:rsidRDefault="005F1FC0" w:rsidP="000A7092">
            <w:pPr>
              <w:pStyle w:val="ListBullet"/>
            </w:pPr>
            <w:r w:rsidRPr="003E2A3A">
              <w:t xml:space="preserve">Likely due to good understanding of </w:t>
            </w:r>
            <w:r w:rsidR="004E1D69">
              <w:t xml:space="preserve">the MDHTP </w:t>
            </w:r>
            <w:r w:rsidRPr="003E2A3A">
              <w:t>Rules</w:t>
            </w:r>
            <w:r w:rsidR="00FD6B23" w:rsidRPr="003E2A3A">
              <w:t xml:space="preserve"> and </w:t>
            </w:r>
            <w:r w:rsidR="00976379" w:rsidRPr="003E2A3A">
              <w:t xml:space="preserve">PL </w:t>
            </w:r>
            <w:r w:rsidR="00FD6B23" w:rsidRPr="003E2A3A">
              <w:t>Guide</w:t>
            </w:r>
            <w:r w:rsidRPr="003E2A3A">
              <w:t>, good procedures to support compliance; and/or previous compliance review or enforcement response.</w:t>
            </w:r>
          </w:p>
        </w:tc>
      </w:tr>
      <w:tr w:rsidR="005F1FC0" w:rsidRPr="000A1B0F" w14:paraId="6678EF2D" w14:textId="77777777" w:rsidTr="006634A8">
        <w:tc>
          <w:tcPr>
            <w:tcW w:w="2395" w:type="dxa"/>
            <w:shd w:val="clear" w:color="auto" w:fill="7FCFFF" w:themeFill="accent3" w:themeFillTint="66"/>
            <w:vAlign w:val="center"/>
          </w:tcPr>
          <w:p w14:paraId="7B7F654E" w14:textId="77777777" w:rsidR="005F1FC0" w:rsidRPr="000E7FF8" w:rsidRDefault="005F1FC0" w:rsidP="000A7092">
            <w:r w:rsidRPr="000E7FF8">
              <w:t>Minor non-compliance</w:t>
            </w:r>
          </w:p>
        </w:tc>
        <w:tc>
          <w:tcPr>
            <w:tcW w:w="6621" w:type="dxa"/>
            <w:shd w:val="clear" w:color="auto" w:fill="F2F2F2" w:themeFill="background1" w:themeFillShade="F2"/>
            <w:vAlign w:val="center"/>
          </w:tcPr>
          <w:p w14:paraId="615E6821" w14:textId="32691933" w:rsidR="005F1FC0" w:rsidRPr="003E2A3A" w:rsidRDefault="005F1FC0" w:rsidP="000A7092">
            <w:pPr>
              <w:pStyle w:val="ListBullet"/>
            </w:pPr>
            <w:r w:rsidRPr="00FD6B23">
              <w:t>Non-compliance is administrati</w:t>
            </w:r>
            <w:r w:rsidRPr="003E2A3A">
              <w:t>ve in nature or does not indicate improper delivery of service</w:t>
            </w:r>
          </w:p>
          <w:p w14:paraId="7DCDB17F" w14:textId="5E67096A" w:rsidR="005F1FC0" w:rsidRPr="003E2A3A" w:rsidRDefault="005F1FC0" w:rsidP="000A7092">
            <w:pPr>
              <w:pStyle w:val="ListBullet"/>
            </w:pPr>
            <w:r w:rsidRPr="003E2A3A">
              <w:t>Non-compliance identified is low</w:t>
            </w:r>
            <w:r w:rsidR="009801AF" w:rsidRPr="003E2A3A">
              <w:t xml:space="preserve"> </w:t>
            </w:r>
            <w:r w:rsidRPr="003E2A3A">
              <w:t>in volume</w:t>
            </w:r>
            <w:r w:rsidR="00ED2338">
              <w:t xml:space="preserve"> or value</w:t>
            </w:r>
          </w:p>
          <w:p w14:paraId="571F4A79" w14:textId="5407BC2D" w:rsidR="005F1FC0" w:rsidRPr="00FD6B23" w:rsidRDefault="00FD6B23" w:rsidP="000A7092">
            <w:pPr>
              <w:pStyle w:val="ListBullet"/>
            </w:pPr>
            <w:r w:rsidRPr="003E2A3A">
              <w:t xml:space="preserve">PL stakeholder </w:t>
            </w:r>
            <w:r w:rsidR="005F1FC0" w:rsidRPr="003E2A3A">
              <w:t>has not had previous issues with compliance</w:t>
            </w:r>
          </w:p>
        </w:tc>
      </w:tr>
      <w:tr w:rsidR="005F1FC0" w:rsidRPr="000A1B0F" w14:paraId="37A09501" w14:textId="77777777" w:rsidTr="006634A8">
        <w:tc>
          <w:tcPr>
            <w:tcW w:w="2395" w:type="dxa"/>
            <w:shd w:val="clear" w:color="auto" w:fill="3FB7FF" w:themeFill="accent3" w:themeFillTint="99"/>
            <w:vAlign w:val="center"/>
          </w:tcPr>
          <w:p w14:paraId="487C8EC7" w14:textId="77777777" w:rsidR="005F1FC0" w:rsidRPr="000E7FF8" w:rsidRDefault="005F1FC0" w:rsidP="000A7092">
            <w:r w:rsidRPr="000E7FF8">
              <w:t>Medium non-compliance</w:t>
            </w:r>
          </w:p>
        </w:tc>
        <w:tc>
          <w:tcPr>
            <w:tcW w:w="6621" w:type="dxa"/>
            <w:shd w:val="clear" w:color="auto" w:fill="F2F2F2" w:themeFill="background1" w:themeFillShade="F2"/>
            <w:vAlign w:val="center"/>
          </w:tcPr>
          <w:p w14:paraId="6D7E44AD" w14:textId="4DF85D4E" w:rsidR="005F1FC0" w:rsidRPr="00FD6B23" w:rsidRDefault="005F1FC0" w:rsidP="000A7092">
            <w:pPr>
              <w:pStyle w:val="ListBullet"/>
            </w:pPr>
            <w:r w:rsidRPr="00FD6B23">
              <w:t>Non-compliance is not merely administrative in nature, and may indicate improper delivery of service</w:t>
            </w:r>
          </w:p>
          <w:p w14:paraId="201D9FA1" w14:textId="616A38AF" w:rsidR="005F1FC0" w:rsidRPr="00FD6B23" w:rsidRDefault="005F1FC0" w:rsidP="000A7092">
            <w:pPr>
              <w:pStyle w:val="ListBullet"/>
            </w:pPr>
            <w:r w:rsidRPr="00FD6B23">
              <w:t xml:space="preserve">Non-compliance identified is low to </w:t>
            </w:r>
            <w:r w:rsidR="009801AF">
              <w:t>medium</w:t>
            </w:r>
            <w:r w:rsidRPr="00FD6B23">
              <w:t xml:space="preserve"> in volume</w:t>
            </w:r>
            <w:r w:rsidR="00ED2338">
              <w:t xml:space="preserve"> or value</w:t>
            </w:r>
          </w:p>
          <w:p w14:paraId="2B81A3DA" w14:textId="77777777" w:rsidR="005F1FC0" w:rsidRPr="00FD6B23" w:rsidRDefault="005F1FC0" w:rsidP="000A7092">
            <w:pPr>
              <w:pStyle w:val="ListBullet"/>
            </w:pPr>
            <w:r w:rsidRPr="00FD6B23">
              <w:t>Evidence suggests the non-compliance may be deliberate or intended</w:t>
            </w:r>
          </w:p>
          <w:p w14:paraId="2777BD29" w14:textId="4DD78BA8" w:rsidR="005F1FC0" w:rsidRPr="00FD6B23" w:rsidRDefault="00FD6B23" w:rsidP="000A7092">
            <w:pPr>
              <w:pStyle w:val="ListBullet"/>
            </w:pPr>
            <w:r>
              <w:t>PL stakeholder</w:t>
            </w:r>
            <w:r w:rsidRPr="00FD6B23">
              <w:t xml:space="preserve"> </w:t>
            </w:r>
            <w:r w:rsidR="005F1FC0" w:rsidRPr="00FD6B23">
              <w:t>may have had previous issues with compliance</w:t>
            </w:r>
          </w:p>
        </w:tc>
      </w:tr>
      <w:tr w:rsidR="005F1FC0" w:rsidRPr="000A1B0F" w14:paraId="653482FD" w14:textId="77777777" w:rsidTr="006634A8">
        <w:tc>
          <w:tcPr>
            <w:tcW w:w="2395" w:type="dxa"/>
            <w:shd w:val="clear" w:color="auto" w:fill="00598F" w:themeFill="accent3" w:themeFillShade="BF"/>
            <w:vAlign w:val="center"/>
          </w:tcPr>
          <w:p w14:paraId="2681094D" w14:textId="77777777" w:rsidR="005F1FC0" w:rsidRPr="000E7FF8" w:rsidRDefault="005F1FC0" w:rsidP="000A7092">
            <w:r w:rsidRPr="000E7FF8">
              <w:t>High non-compliance</w:t>
            </w:r>
          </w:p>
        </w:tc>
        <w:tc>
          <w:tcPr>
            <w:tcW w:w="6621" w:type="dxa"/>
            <w:shd w:val="clear" w:color="auto" w:fill="F2F2F2" w:themeFill="background1" w:themeFillShade="F2"/>
            <w:vAlign w:val="center"/>
          </w:tcPr>
          <w:p w14:paraId="3F4EA2D1" w14:textId="0F4075BB" w:rsidR="005F1FC0" w:rsidRPr="00FD6B23" w:rsidRDefault="005F1FC0" w:rsidP="000A7092">
            <w:pPr>
              <w:pStyle w:val="ListBullet"/>
            </w:pPr>
            <w:r w:rsidRPr="00FD6B23">
              <w:t>Non-compliance is not merely administrative in nature, and likely indicates improper delivery of service</w:t>
            </w:r>
          </w:p>
          <w:p w14:paraId="46C90F95" w14:textId="1655B84A" w:rsidR="005F1FC0" w:rsidRPr="00FD6B23" w:rsidRDefault="005F1FC0" w:rsidP="000A7092">
            <w:pPr>
              <w:pStyle w:val="ListBullet"/>
            </w:pPr>
            <w:r w:rsidRPr="00FD6B23">
              <w:t>Non-compliance identified is medium to high in volume</w:t>
            </w:r>
            <w:r w:rsidR="00ED2338">
              <w:t xml:space="preserve"> or value</w:t>
            </w:r>
          </w:p>
          <w:p w14:paraId="2A6790EF" w14:textId="77777777" w:rsidR="005F1FC0" w:rsidRPr="00FD6B23" w:rsidRDefault="005F1FC0" w:rsidP="000A7092">
            <w:pPr>
              <w:pStyle w:val="ListBullet"/>
            </w:pPr>
            <w:r w:rsidRPr="00FD6B23">
              <w:t>Evidence suggests the non-compliance may be deliberate or intended</w:t>
            </w:r>
          </w:p>
          <w:p w14:paraId="622FF771" w14:textId="0927E3C8" w:rsidR="005F1FC0" w:rsidRPr="00FD6B23" w:rsidRDefault="009C42AC" w:rsidP="000A7092">
            <w:pPr>
              <w:pStyle w:val="ListBullet"/>
            </w:pPr>
            <w:r>
              <w:t>PL stakeholder</w:t>
            </w:r>
            <w:r w:rsidR="005F1FC0" w:rsidRPr="00FD6B23">
              <w:t xml:space="preserve"> has had previous issues with compliance</w:t>
            </w:r>
          </w:p>
        </w:tc>
      </w:tr>
      <w:tr w:rsidR="005F1FC0" w:rsidRPr="000A1B0F" w14:paraId="4D364008" w14:textId="77777777" w:rsidTr="006634A8">
        <w:trPr>
          <w:trHeight w:val="1338"/>
        </w:trPr>
        <w:tc>
          <w:tcPr>
            <w:tcW w:w="2395" w:type="dxa"/>
            <w:shd w:val="clear" w:color="auto" w:fill="003C5F" w:themeFill="accent3" w:themeFillShade="80"/>
            <w:vAlign w:val="center"/>
          </w:tcPr>
          <w:p w14:paraId="2A92150E" w14:textId="77777777" w:rsidR="005F1FC0" w:rsidRPr="000A7092" w:rsidRDefault="005F1FC0" w:rsidP="000A7092">
            <w:r w:rsidRPr="000A7092">
              <w:t>Extreme non-compliance</w:t>
            </w:r>
          </w:p>
        </w:tc>
        <w:tc>
          <w:tcPr>
            <w:tcW w:w="6621" w:type="dxa"/>
            <w:shd w:val="clear" w:color="auto" w:fill="F2F2F2" w:themeFill="background1" w:themeFillShade="F2"/>
            <w:vAlign w:val="center"/>
          </w:tcPr>
          <w:p w14:paraId="413E7834" w14:textId="2F3AEF75" w:rsidR="005F1FC0" w:rsidRPr="00E801FC" w:rsidRDefault="005F1FC0" w:rsidP="000A7092">
            <w:pPr>
              <w:pStyle w:val="ListBullet"/>
            </w:pPr>
            <w:r w:rsidRPr="00E801FC">
              <w:t>Non-compliance indicates improper delivery of service</w:t>
            </w:r>
          </w:p>
          <w:p w14:paraId="14962C9F" w14:textId="6AE4E5EF" w:rsidR="005F1FC0" w:rsidRPr="00E801FC" w:rsidRDefault="005F1FC0" w:rsidP="000A7092">
            <w:pPr>
              <w:pStyle w:val="ListBullet"/>
            </w:pPr>
            <w:r w:rsidRPr="00E801FC">
              <w:t xml:space="preserve">Non-compliance identified is </w:t>
            </w:r>
            <w:r w:rsidR="009801AF">
              <w:t>high</w:t>
            </w:r>
            <w:r w:rsidRPr="00E801FC">
              <w:t xml:space="preserve"> in volume</w:t>
            </w:r>
            <w:r w:rsidR="00ED2338">
              <w:t xml:space="preserve"> or value</w:t>
            </w:r>
          </w:p>
          <w:p w14:paraId="603A9F69" w14:textId="77777777" w:rsidR="005F1FC0" w:rsidRPr="00E801FC" w:rsidRDefault="005F1FC0" w:rsidP="000A7092">
            <w:pPr>
              <w:pStyle w:val="ListBullet"/>
            </w:pPr>
            <w:r w:rsidRPr="00E801FC">
              <w:t>Evidence suggests the non-compliance is likely to be deliberate or intended</w:t>
            </w:r>
          </w:p>
          <w:p w14:paraId="44025C35" w14:textId="101420D4" w:rsidR="005F1FC0" w:rsidRPr="00E801FC" w:rsidRDefault="00FD6B23" w:rsidP="000A7092">
            <w:pPr>
              <w:pStyle w:val="ListBullet"/>
            </w:pPr>
            <w:r>
              <w:t>PL stakeholder</w:t>
            </w:r>
            <w:r w:rsidRPr="00FD6B23">
              <w:t xml:space="preserve"> </w:t>
            </w:r>
            <w:r w:rsidR="005F1FC0" w:rsidRPr="00E801FC">
              <w:t>has had previous issues with compliance</w:t>
            </w:r>
          </w:p>
          <w:p w14:paraId="299827A9" w14:textId="1BE95B7D" w:rsidR="005F1FC0" w:rsidRPr="00E801FC" w:rsidRDefault="00FD6B23" w:rsidP="000A7092">
            <w:pPr>
              <w:pStyle w:val="ListBullet"/>
            </w:pPr>
            <w:r>
              <w:t>PL stakeholder</w:t>
            </w:r>
            <w:r w:rsidRPr="00FD6B23">
              <w:t xml:space="preserve"> </w:t>
            </w:r>
            <w:r w:rsidR="005F1FC0" w:rsidRPr="00E801FC">
              <w:t>has not demonstrated motivation to return to compliance</w:t>
            </w:r>
            <w:r w:rsidR="00BB64D8">
              <w:t xml:space="preserve"> in a timely</w:t>
            </w:r>
            <w:r w:rsidR="004E1D69">
              <w:t xml:space="preserve"> manner</w:t>
            </w:r>
          </w:p>
        </w:tc>
      </w:tr>
    </w:tbl>
    <w:p w14:paraId="65F55B05" w14:textId="13C26F84" w:rsidR="005F1FC0" w:rsidRPr="00E86059" w:rsidRDefault="00E86059" w:rsidP="00E86059">
      <w:pPr>
        <w:pStyle w:val="Heading2"/>
      </w:pPr>
      <w:bookmarkStart w:id="10" w:name="_Toc203750748"/>
      <w:r w:rsidRPr="00E86059">
        <w:t>Responsive enforcement model</w:t>
      </w:r>
      <w:bookmarkEnd w:id="10"/>
    </w:p>
    <w:p w14:paraId="3ED60865" w14:textId="21110736" w:rsidR="006E74D0" w:rsidRPr="000E7FF8" w:rsidRDefault="006E74D0" w:rsidP="000A7092">
      <w:r w:rsidRPr="000E7FF8">
        <w:t xml:space="preserve">A responsive enforcement approach will be used, which describes a principles-based way in which </w:t>
      </w:r>
      <w:r w:rsidR="009801AF" w:rsidRPr="000E7FF8">
        <w:t xml:space="preserve">the </w:t>
      </w:r>
      <w:r w:rsidR="00976379">
        <w:t>d</w:t>
      </w:r>
      <w:r w:rsidR="009801AF" w:rsidRPr="000E7FF8">
        <w:t>epartment (</w:t>
      </w:r>
      <w:r w:rsidRPr="000E7FF8">
        <w:t>a</w:t>
      </w:r>
      <w:r w:rsidR="009801AF" w:rsidRPr="000E7FF8">
        <w:t>s the</w:t>
      </w:r>
      <w:r w:rsidRPr="000E7FF8">
        <w:t xml:space="preserve"> </w:t>
      </w:r>
      <w:r w:rsidR="00B479FA">
        <w:t>regulator</w:t>
      </w:r>
      <w:r w:rsidR="009801AF" w:rsidRPr="000E7FF8">
        <w:t>)</w:t>
      </w:r>
      <w:r w:rsidRPr="000E7FF8">
        <w:t xml:space="preserve"> uses a hierarchy of enforcement interventions to respond to non-compliances in a proportionate manner – having considered the degree of non-compliance and the broader compliance behaviours of the industry.</w:t>
      </w:r>
    </w:p>
    <w:p w14:paraId="4FA90917" w14:textId="77777777" w:rsidR="002F2599" w:rsidRPr="000E7FF8" w:rsidRDefault="00E41E08" w:rsidP="000A7092">
      <w:r w:rsidRPr="000E7FF8">
        <w:t>K</w:t>
      </w:r>
      <w:r w:rsidR="006E74D0" w:rsidRPr="000E7FF8">
        <w:t>ey principles underpinning th</w:t>
      </w:r>
      <w:r w:rsidRPr="000E7FF8">
        <w:t>e</w:t>
      </w:r>
      <w:r w:rsidR="006E74D0" w:rsidRPr="000E7FF8">
        <w:t xml:space="preserve"> responsive enforcement approach include:</w:t>
      </w:r>
    </w:p>
    <w:p w14:paraId="2C882078" w14:textId="6C4B51FE" w:rsidR="002F2599" w:rsidRDefault="006E74D0" w:rsidP="000A7092">
      <w:pPr>
        <w:pStyle w:val="ListBullet"/>
      </w:pPr>
      <w:r w:rsidRPr="000B75EC">
        <w:t xml:space="preserve">using a hierarchy of interventions to influence </w:t>
      </w:r>
      <w:r>
        <w:t>PL stakeholder</w:t>
      </w:r>
      <w:r w:rsidRPr="000B75EC">
        <w:t xml:space="preserve"> behaviour</w:t>
      </w:r>
    </w:p>
    <w:p w14:paraId="340CDA31" w14:textId="4D25671A" w:rsidR="006E74D0" w:rsidRPr="000B75EC" w:rsidRDefault="006E74D0" w:rsidP="000A7092">
      <w:pPr>
        <w:pStyle w:val="ListBullet"/>
      </w:pPr>
      <w:r w:rsidRPr="000B75EC">
        <w:t>proportionality between identified non-compliance and the enforcement response.</w:t>
      </w:r>
    </w:p>
    <w:p w14:paraId="0D1AFA99" w14:textId="6DAC4F6C" w:rsidR="00E41E08" w:rsidRPr="000E7FF8" w:rsidRDefault="00E41E08" w:rsidP="000A7092">
      <w:r w:rsidRPr="000E7FF8">
        <w:lastRenderedPageBreak/>
        <w:t xml:space="preserve">This responsive enforcement approach </w:t>
      </w:r>
      <w:r w:rsidR="002F2599" w:rsidRPr="000E7FF8">
        <w:t xml:space="preserve">is </w:t>
      </w:r>
      <w:r w:rsidRPr="000E7FF8">
        <w:t>consistent with current compliance enforcement better practices, with a focus on increasing education about the PL program and the existence of the compliance monitoring function to support achievement of the compliance objectives.</w:t>
      </w:r>
    </w:p>
    <w:p w14:paraId="6C1B58EC" w14:textId="77777777" w:rsidR="006E74D0" w:rsidRPr="000E7FF8" w:rsidRDefault="006E74D0" w:rsidP="000A7092">
      <w:r w:rsidRPr="000E7FF8">
        <w:t>Use of a responsive enforcement approach is accepted as better practice in most compliance and enforcement settings, as it has the benefits of:</w:t>
      </w:r>
    </w:p>
    <w:p w14:paraId="702F4EBE" w14:textId="77777777" w:rsidR="006E74D0" w:rsidRPr="000B75EC" w:rsidRDefault="006E74D0" w:rsidP="000A7092">
      <w:pPr>
        <w:pStyle w:val="ListBullet"/>
      </w:pPr>
      <w:r w:rsidRPr="000B75EC">
        <w:t>enabling compliance enforcement versatility</w:t>
      </w:r>
    </w:p>
    <w:p w14:paraId="61ECB659" w14:textId="0A34B47D" w:rsidR="006E74D0" w:rsidRPr="000B75EC" w:rsidRDefault="006E74D0" w:rsidP="000A7092">
      <w:pPr>
        <w:pStyle w:val="ListBullet"/>
      </w:pPr>
      <w:r w:rsidRPr="000B75EC">
        <w:t>being able to reach further with fewer resources</w:t>
      </w:r>
    </w:p>
    <w:p w14:paraId="511C60C1" w14:textId="066FD793" w:rsidR="006E74D0" w:rsidRPr="000B75EC" w:rsidRDefault="006E74D0" w:rsidP="000A7092">
      <w:pPr>
        <w:pStyle w:val="ListBullet"/>
      </w:pPr>
      <w:r w:rsidRPr="000B75EC">
        <w:t>targeting resources a</w:t>
      </w:r>
      <w:r w:rsidR="00B05079">
        <w:t>t</w:t>
      </w:r>
      <w:r w:rsidRPr="000B75EC">
        <w:t xml:space="preserve"> more complex enforcement activity to more serious tiers of non-compliance</w:t>
      </w:r>
    </w:p>
    <w:p w14:paraId="48B89F95" w14:textId="317499B2" w:rsidR="006E74D0" w:rsidRPr="000B75EC" w:rsidRDefault="006E74D0" w:rsidP="000A7092">
      <w:pPr>
        <w:pStyle w:val="ListBullet"/>
      </w:pPr>
      <w:r w:rsidRPr="000B75EC">
        <w:t>incorporating both deterrent and more cooperative approaches to encourage compliance in a ‘socially intelligent’ way.</w:t>
      </w:r>
    </w:p>
    <w:p w14:paraId="2A16FA03" w14:textId="2D82DD52" w:rsidR="00ED2338" w:rsidRPr="005F0456" w:rsidRDefault="00E86059" w:rsidP="000A7092">
      <w:r w:rsidRPr="00734C4D">
        <w:t xml:space="preserve">Against each of the tiers of non-compliance, particular enforcement activities will demonstrate a more proportionate and appropriate response. With reference to the enforcement responses available to the </w:t>
      </w:r>
      <w:r w:rsidR="00976379">
        <w:t>d</w:t>
      </w:r>
      <w:r w:rsidRPr="00734C4D">
        <w:t xml:space="preserve">epartment, </w:t>
      </w:r>
      <w:r w:rsidR="002F2599" w:rsidRPr="009B717D">
        <w:t xml:space="preserve">Table 2 </w:t>
      </w:r>
      <w:r w:rsidR="002F2599" w:rsidRPr="00734C4D">
        <w:t xml:space="preserve">outlines the </w:t>
      </w:r>
      <w:r w:rsidR="0037739A" w:rsidRPr="00734C4D">
        <w:t>PL compliance</w:t>
      </w:r>
      <w:r w:rsidRPr="00734C4D">
        <w:t xml:space="preserve"> enforcement model.</w:t>
      </w:r>
    </w:p>
    <w:p w14:paraId="762D9D1C" w14:textId="20A9B87B" w:rsidR="00ED2338" w:rsidRDefault="00ED2338" w:rsidP="000A7092">
      <w:pPr>
        <w:pStyle w:val="Caption"/>
      </w:pPr>
      <w:r w:rsidRPr="00584431">
        <w:t xml:space="preserve">Table 2: PL compliance enforcement </w:t>
      </w:r>
      <w:r w:rsidRPr="005F0456">
        <w:t>model</w:t>
      </w:r>
    </w:p>
    <w:tbl>
      <w:tblPr>
        <w:tblStyle w:val="TableGrid"/>
        <w:tblW w:w="500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28" w:type="dxa"/>
          <w:bottom w:w="57" w:type="dxa"/>
          <w:right w:w="28" w:type="dxa"/>
        </w:tblCellMar>
        <w:tblLook w:val="04A0" w:firstRow="1" w:lastRow="0" w:firstColumn="1" w:lastColumn="0" w:noHBand="0" w:noVBand="1"/>
        <w:tblCaption w:val="PL Compliance Enforcement Model"/>
        <w:tblDescription w:val="This table describes the types of PL compliance enforcement actitivity against each tier of non-compliance."/>
      </w:tblPr>
      <w:tblGrid>
        <w:gridCol w:w="1175"/>
        <w:gridCol w:w="1219"/>
        <w:gridCol w:w="1277"/>
        <w:gridCol w:w="1279"/>
        <w:gridCol w:w="1277"/>
        <w:gridCol w:w="1271"/>
        <w:gridCol w:w="1558"/>
      </w:tblGrid>
      <w:tr w:rsidR="00563AD0" w:rsidRPr="000E7FF8" w14:paraId="4F1FE802" w14:textId="77777777" w:rsidTr="00C83BED">
        <w:trPr>
          <w:trHeight w:val="567"/>
        </w:trPr>
        <w:tc>
          <w:tcPr>
            <w:tcW w:w="649" w:type="pct"/>
            <w:shd w:val="clear" w:color="auto" w:fill="002060"/>
            <w:vAlign w:val="center"/>
          </w:tcPr>
          <w:p w14:paraId="41067C74" w14:textId="77777777" w:rsidR="00563AD0" w:rsidRPr="000E7FF8" w:rsidRDefault="00563AD0" w:rsidP="000A7092">
            <w:r w:rsidRPr="000E7FF8">
              <w:t>Tier of non-compliance</w:t>
            </w:r>
          </w:p>
        </w:tc>
        <w:tc>
          <w:tcPr>
            <w:tcW w:w="4351" w:type="pct"/>
            <w:gridSpan w:val="6"/>
            <w:shd w:val="clear" w:color="auto" w:fill="002060"/>
            <w:vAlign w:val="center"/>
          </w:tcPr>
          <w:p w14:paraId="30E15252" w14:textId="77777777" w:rsidR="00563AD0" w:rsidRPr="000E7FF8" w:rsidRDefault="00563AD0" w:rsidP="000A7092">
            <w:r w:rsidRPr="000E7FF8">
              <w:t>Type of PL compliance enforcement activity</w:t>
            </w:r>
          </w:p>
        </w:tc>
      </w:tr>
      <w:tr w:rsidR="0049782D" w:rsidRPr="000E7FF8" w14:paraId="3D81FD77" w14:textId="77777777" w:rsidTr="00C83BED">
        <w:trPr>
          <w:trHeight w:val="680"/>
        </w:trPr>
        <w:tc>
          <w:tcPr>
            <w:tcW w:w="649" w:type="pct"/>
            <w:shd w:val="clear" w:color="auto" w:fill="auto"/>
            <w:vAlign w:val="center"/>
          </w:tcPr>
          <w:p w14:paraId="161474DD" w14:textId="77777777" w:rsidR="00563AD0" w:rsidRPr="000E7FF8" w:rsidRDefault="00563AD0" w:rsidP="000A7092">
            <w:r w:rsidRPr="000E7FF8">
              <w:t>Voluntary compliance</w:t>
            </w:r>
          </w:p>
        </w:tc>
        <w:tc>
          <w:tcPr>
            <w:tcW w:w="673" w:type="pct"/>
            <w:vMerge w:val="restart"/>
            <w:shd w:val="clear" w:color="auto" w:fill="D9D9D9" w:themeFill="background1" w:themeFillShade="D9"/>
            <w:vAlign w:val="center"/>
          </w:tcPr>
          <w:p w14:paraId="29D3F77C" w14:textId="77777777" w:rsidR="00563AD0" w:rsidRPr="000E7FF8" w:rsidRDefault="00563AD0" w:rsidP="000A7092">
            <w:r w:rsidRPr="000E7FF8">
              <w:t>Education and guidance</w:t>
            </w:r>
          </w:p>
        </w:tc>
        <w:tc>
          <w:tcPr>
            <w:tcW w:w="3678" w:type="pct"/>
            <w:gridSpan w:val="5"/>
            <w:shd w:val="clear" w:color="auto" w:fill="F2F2F2" w:themeFill="background1" w:themeFillShade="F2"/>
          </w:tcPr>
          <w:p w14:paraId="43CA288A" w14:textId="77777777" w:rsidR="00563AD0" w:rsidRPr="000E7FF8" w:rsidRDefault="00563AD0" w:rsidP="000A7092"/>
        </w:tc>
      </w:tr>
      <w:tr w:rsidR="0049782D" w:rsidRPr="000E7FF8" w14:paraId="0C130CA3" w14:textId="77777777" w:rsidTr="00C83BED">
        <w:trPr>
          <w:trHeight w:val="680"/>
        </w:trPr>
        <w:tc>
          <w:tcPr>
            <w:tcW w:w="649" w:type="pct"/>
            <w:shd w:val="clear" w:color="auto" w:fill="BFE7FF" w:themeFill="accent3" w:themeFillTint="33"/>
            <w:vAlign w:val="center"/>
          </w:tcPr>
          <w:p w14:paraId="3EE59513" w14:textId="77777777" w:rsidR="00563AD0" w:rsidRPr="000E7FF8" w:rsidRDefault="00563AD0" w:rsidP="000A7092">
            <w:r w:rsidRPr="000E7FF8">
              <w:t>Minor non-compliance</w:t>
            </w:r>
          </w:p>
        </w:tc>
        <w:tc>
          <w:tcPr>
            <w:tcW w:w="673" w:type="pct"/>
            <w:vMerge/>
            <w:shd w:val="clear" w:color="auto" w:fill="D9D9D9" w:themeFill="background1" w:themeFillShade="D9"/>
          </w:tcPr>
          <w:p w14:paraId="0894C163" w14:textId="77777777" w:rsidR="00563AD0" w:rsidRPr="000E7FF8" w:rsidRDefault="00563AD0" w:rsidP="000A7092"/>
        </w:tc>
        <w:tc>
          <w:tcPr>
            <w:tcW w:w="705" w:type="pct"/>
            <w:vMerge w:val="restart"/>
            <w:shd w:val="clear" w:color="auto" w:fill="D9D9D9" w:themeFill="background1" w:themeFillShade="D9"/>
            <w:vAlign w:val="center"/>
          </w:tcPr>
          <w:p w14:paraId="4DCBB161" w14:textId="77777777" w:rsidR="00563AD0" w:rsidRPr="000E7FF8" w:rsidRDefault="00563AD0" w:rsidP="000A7092">
            <w:r w:rsidRPr="000E7FF8">
              <w:t>Caution / warning</w:t>
            </w:r>
          </w:p>
        </w:tc>
        <w:tc>
          <w:tcPr>
            <w:tcW w:w="2973" w:type="pct"/>
            <w:gridSpan w:val="4"/>
            <w:shd w:val="clear" w:color="auto" w:fill="F2F2F2" w:themeFill="background1" w:themeFillShade="F2"/>
            <w:vAlign w:val="center"/>
          </w:tcPr>
          <w:p w14:paraId="1A60BBD8" w14:textId="77777777" w:rsidR="00563AD0" w:rsidRPr="000E7FF8" w:rsidRDefault="00563AD0" w:rsidP="000A7092"/>
        </w:tc>
      </w:tr>
      <w:tr w:rsidR="0049782D" w:rsidRPr="000E7FF8" w14:paraId="2D5D0F01" w14:textId="77777777" w:rsidTr="00C83BED">
        <w:trPr>
          <w:trHeight w:val="680"/>
        </w:trPr>
        <w:tc>
          <w:tcPr>
            <w:tcW w:w="649" w:type="pct"/>
            <w:vMerge w:val="restart"/>
            <w:shd w:val="clear" w:color="auto" w:fill="7FCFFF" w:themeFill="accent3" w:themeFillTint="66"/>
            <w:vAlign w:val="center"/>
          </w:tcPr>
          <w:p w14:paraId="51D88169" w14:textId="77777777" w:rsidR="00563AD0" w:rsidRPr="000E7FF8" w:rsidRDefault="00563AD0" w:rsidP="000A7092">
            <w:r w:rsidRPr="000E7FF8">
              <w:t>Medium non-compliance</w:t>
            </w:r>
          </w:p>
        </w:tc>
        <w:tc>
          <w:tcPr>
            <w:tcW w:w="673" w:type="pct"/>
            <w:vMerge/>
            <w:shd w:val="clear" w:color="auto" w:fill="D9D9D9" w:themeFill="background1" w:themeFillShade="D9"/>
          </w:tcPr>
          <w:p w14:paraId="79E97BD2" w14:textId="77777777" w:rsidR="00563AD0" w:rsidRPr="000E7FF8" w:rsidRDefault="00563AD0" w:rsidP="000A7092"/>
        </w:tc>
        <w:tc>
          <w:tcPr>
            <w:tcW w:w="705" w:type="pct"/>
            <w:vMerge/>
            <w:shd w:val="clear" w:color="auto" w:fill="D9D9D9" w:themeFill="background1" w:themeFillShade="D9"/>
          </w:tcPr>
          <w:p w14:paraId="0D402FF6" w14:textId="77777777" w:rsidR="00563AD0" w:rsidRPr="000E7FF8" w:rsidRDefault="00563AD0" w:rsidP="000A7092"/>
        </w:tc>
        <w:tc>
          <w:tcPr>
            <w:tcW w:w="706" w:type="pct"/>
            <w:vMerge w:val="restart"/>
            <w:shd w:val="clear" w:color="auto" w:fill="D9D9D9" w:themeFill="background1" w:themeFillShade="D9"/>
            <w:vAlign w:val="center"/>
          </w:tcPr>
          <w:p w14:paraId="727CAFD4" w14:textId="627873DD" w:rsidR="00563AD0" w:rsidRPr="000E7FF8" w:rsidRDefault="00563AD0" w:rsidP="000A7092">
            <w:r w:rsidRPr="000E7FF8">
              <w:t>Require</w:t>
            </w:r>
            <w:r w:rsidR="00400DC7">
              <w:t>d</w:t>
            </w:r>
            <w:r w:rsidRPr="000E7FF8">
              <w:t xml:space="preserve"> corrective action</w:t>
            </w:r>
          </w:p>
        </w:tc>
        <w:tc>
          <w:tcPr>
            <w:tcW w:w="705" w:type="pct"/>
            <w:vMerge w:val="restart"/>
            <w:shd w:val="clear" w:color="auto" w:fill="D9D9D9" w:themeFill="background1" w:themeFillShade="D9"/>
            <w:vAlign w:val="center"/>
          </w:tcPr>
          <w:p w14:paraId="34725273" w14:textId="4A77D129" w:rsidR="00563AD0" w:rsidRPr="000E7FF8" w:rsidRDefault="00400DC7" w:rsidP="000A7092">
            <w:r>
              <w:t xml:space="preserve">Targeted </w:t>
            </w:r>
            <w:r w:rsidRPr="000E7FF8">
              <w:t>focused</w:t>
            </w:r>
            <w:r w:rsidR="00563AD0" w:rsidRPr="000E7FF8">
              <w:t xml:space="preserve"> monitoring</w:t>
            </w:r>
          </w:p>
        </w:tc>
        <w:tc>
          <w:tcPr>
            <w:tcW w:w="1562" w:type="pct"/>
            <w:gridSpan w:val="2"/>
            <w:shd w:val="clear" w:color="auto" w:fill="F2F2F2" w:themeFill="background1" w:themeFillShade="F2"/>
          </w:tcPr>
          <w:p w14:paraId="20D1D820" w14:textId="5EBB26CC" w:rsidR="00563AD0" w:rsidRPr="000E7FF8" w:rsidRDefault="00563AD0" w:rsidP="000A7092"/>
        </w:tc>
      </w:tr>
      <w:tr w:rsidR="0049782D" w:rsidRPr="000E7FF8" w14:paraId="4FCC7548" w14:textId="77777777" w:rsidTr="00C83BED">
        <w:trPr>
          <w:trHeight w:val="680"/>
        </w:trPr>
        <w:tc>
          <w:tcPr>
            <w:tcW w:w="649" w:type="pct"/>
            <w:vMerge/>
            <w:shd w:val="clear" w:color="auto" w:fill="3FB7FF" w:themeFill="accent3" w:themeFillTint="99"/>
            <w:vAlign w:val="center"/>
          </w:tcPr>
          <w:p w14:paraId="661568DC" w14:textId="77777777" w:rsidR="0049782D" w:rsidRPr="000E7FF8" w:rsidRDefault="0049782D" w:rsidP="000A7092"/>
        </w:tc>
        <w:tc>
          <w:tcPr>
            <w:tcW w:w="673" w:type="pct"/>
            <w:vMerge/>
            <w:shd w:val="clear" w:color="auto" w:fill="D9D9D9" w:themeFill="background1" w:themeFillShade="D9"/>
          </w:tcPr>
          <w:p w14:paraId="5E64B568" w14:textId="77777777" w:rsidR="0049782D" w:rsidRPr="000E7FF8" w:rsidRDefault="0049782D" w:rsidP="000A7092"/>
        </w:tc>
        <w:tc>
          <w:tcPr>
            <w:tcW w:w="705" w:type="pct"/>
            <w:vMerge/>
            <w:shd w:val="clear" w:color="auto" w:fill="D9D9D9" w:themeFill="background1" w:themeFillShade="D9"/>
          </w:tcPr>
          <w:p w14:paraId="58904FCA" w14:textId="77777777" w:rsidR="0049782D" w:rsidRPr="000E7FF8" w:rsidRDefault="0049782D" w:rsidP="000A7092"/>
        </w:tc>
        <w:tc>
          <w:tcPr>
            <w:tcW w:w="706" w:type="pct"/>
            <w:vMerge/>
            <w:shd w:val="clear" w:color="auto" w:fill="D9D9D9" w:themeFill="background1" w:themeFillShade="D9"/>
          </w:tcPr>
          <w:p w14:paraId="3351DFA3" w14:textId="77777777" w:rsidR="0049782D" w:rsidRPr="000E7FF8" w:rsidRDefault="0049782D" w:rsidP="000A7092"/>
        </w:tc>
        <w:tc>
          <w:tcPr>
            <w:tcW w:w="705" w:type="pct"/>
            <w:vMerge/>
            <w:shd w:val="clear" w:color="auto" w:fill="D9D9D9" w:themeFill="background1" w:themeFillShade="D9"/>
          </w:tcPr>
          <w:p w14:paraId="66FD2F3A" w14:textId="77777777" w:rsidR="0049782D" w:rsidRPr="000E7FF8" w:rsidRDefault="0049782D" w:rsidP="000A7092"/>
        </w:tc>
        <w:tc>
          <w:tcPr>
            <w:tcW w:w="1562" w:type="pct"/>
            <w:gridSpan w:val="2"/>
            <w:shd w:val="clear" w:color="auto" w:fill="F2F2F2" w:themeFill="background1" w:themeFillShade="F2"/>
          </w:tcPr>
          <w:p w14:paraId="0259F303" w14:textId="77777777" w:rsidR="0049782D" w:rsidRPr="000E7FF8" w:rsidRDefault="0049782D" w:rsidP="000A7092"/>
        </w:tc>
      </w:tr>
      <w:tr w:rsidR="0049782D" w:rsidRPr="000E7FF8" w14:paraId="15391D0D" w14:textId="77777777" w:rsidTr="0049782D">
        <w:trPr>
          <w:trHeight w:val="680"/>
        </w:trPr>
        <w:tc>
          <w:tcPr>
            <w:tcW w:w="649" w:type="pct"/>
            <w:shd w:val="clear" w:color="auto" w:fill="00598F" w:themeFill="accent3" w:themeFillShade="BF"/>
            <w:vAlign w:val="center"/>
          </w:tcPr>
          <w:p w14:paraId="71BC3807" w14:textId="77777777" w:rsidR="0049782D" w:rsidRPr="000E7FF8" w:rsidRDefault="0049782D" w:rsidP="000A7092">
            <w:r w:rsidRPr="00511B2D">
              <w:t>High non-compliance</w:t>
            </w:r>
          </w:p>
        </w:tc>
        <w:tc>
          <w:tcPr>
            <w:tcW w:w="673" w:type="pct"/>
            <w:shd w:val="clear" w:color="auto" w:fill="F2F2F2" w:themeFill="background1" w:themeFillShade="F2"/>
          </w:tcPr>
          <w:p w14:paraId="5CBE5276" w14:textId="77777777" w:rsidR="0049782D" w:rsidRPr="000E7FF8" w:rsidRDefault="0049782D" w:rsidP="000A7092"/>
        </w:tc>
        <w:tc>
          <w:tcPr>
            <w:tcW w:w="705" w:type="pct"/>
            <w:vMerge/>
            <w:shd w:val="clear" w:color="auto" w:fill="D9D9D9" w:themeFill="background1" w:themeFillShade="D9"/>
          </w:tcPr>
          <w:p w14:paraId="0C6E64B1" w14:textId="77777777" w:rsidR="0049782D" w:rsidRPr="000E7FF8" w:rsidRDefault="0049782D" w:rsidP="000A7092"/>
        </w:tc>
        <w:tc>
          <w:tcPr>
            <w:tcW w:w="706" w:type="pct"/>
            <w:vMerge/>
            <w:shd w:val="clear" w:color="auto" w:fill="D9D9D9" w:themeFill="background1" w:themeFillShade="D9"/>
          </w:tcPr>
          <w:p w14:paraId="02199C64" w14:textId="77777777" w:rsidR="0049782D" w:rsidRPr="000E7FF8" w:rsidRDefault="0049782D" w:rsidP="000A7092"/>
        </w:tc>
        <w:tc>
          <w:tcPr>
            <w:tcW w:w="705" w:type="pct"/>
            <w:vMerge/>
            <w:shd w:val="clear" w:color="auto" w:fill="D9D9D9" w:themeFill="background1" w:themeFillShade="D9"/>
          </w:tcPr>
          <w:p w14:paraId="2B9163BF" w14:textId="77777777" w:rsidR="0049782D" w:rsidRPr="000E7FF8" w:rsidRDefault="0049782D" w:rsidP="000A7092"/>
        </w:tc>
        <w:tc>
          <w:tcPr>
            <w:tcW w:w="702" w:type="pct"/>
            <w:vMerge w:val="restart"/>
            <w:shd w:val="clear" w:color="auto" w:fill="D9D9D9" w:themeFill="background1" w:themeFillShade="D9"/>
            <w:vAlign w:val="center"/>
          </w:tcPr>
          <w:p w14:paraId="7392A469" w14:textId="77777777" w:rsidR="0049782D" w:rsidRPr="000E7FF8" w:rsidRDefault="0049782D" w:rsidP="000A7092">
            <w:r w:rsidRPr="000E7FF8">
              <w:t>Civil proceeding</w:t>
            </w:r>
          </w:p>
        </w:tc>
        <w:tc>
          <w:tcPr>
            <w:tcW w:w="860" w:type="pct"/>
            <w:shd w:val="clear" w:color="auto" w:fill="F2F2F2" w:themeFill="background1" w:themeFillShade="F2"/>
            <w:vAlign w:val="center"/>
          </w:tcPr>
          <w:p w14:paraId="5BBA4D6C" w14:textId="77777777" w:rsidR="0049782D" w:rsidRPr="000E7FF8" w:rsidRDefault="0049782D" w:rsidP="000A7092"/>
        </w:tc>
      </w:tr>
      <w:tr w:rsidR="0049782D" w:rsidRPr="000E7FF8" w14:paraId="1F9E94FE" w14:textId="77777777" w:rsidTr="0049782D">
        <w:trPr>
          <w:trHeight w:val="680"/>
        </w:trPr>
        <w:tc>
          <w:tcPr>
            <w:tcW w:w="649" w:type="pct"/>
            <w:shd w:val="clear" w:color="auto" w:fill="003C5F" w:themeFill="accent3" w:themeFillShade="80"/>
            <w:vAlign w:val="center"/>
          </w:tcPr>
          <w:p w14:paraId="4B1C3604" w14:textId="77777777" w:rsidR="0049782D" w:rsidRPr="000A7092" w:rsidRDefault="0049782D" w:rsidP="000A7092">
            <w:r w:rsidRPr="000A7092">
              <w:t>Extreme non-compliance</w:t>
            </w:r>
          </w:p>
        </w:tc>
        <w:tc>
          <w:tcPr>
            <w:tcW w:w="1378" w:type="pct"/>
            <w:gridSpan w:val="2"/>
            <w:shd w:val="clear" w:color="auto" w:fill="F2F2F2" w:themeFill="background1" w:themeFillShade="F2"/>
          </w:tcPr>
          <w:p w14:paraId="14511D6F" w14:textId="77777777" w:rsidR="0049782D" w:rsidRPr="000E7FF8" w:rsidRDefault="0049782D" w:rsidP="000A7092"/>
        </w:tc>
        <w:tc>
          <w:tcPr>
            <w:tcW w:w="706" w:type="pct"/>
            <w:vMerge/>
            <w:shd w:val="clear" w:color="auto" w:fill="D9D9D9" w:themeFill="background1" w:themeFillShade="D9"/>
          </w:tcPr>
          <w:p w14:paraId="06E2E6F9" w14:textId="77777777" w:rsidR="0049782D" w:rsidRPr="000E7FF8" w:rsidRDefault="0049782D" w:rsidP="000A7092"/>
        </w:tc>
        <w:tc>
          <w:tcPr>
            <w:tcW w:w="705" w:type="pct"/>
            <w:vMerge/>
            <w:shd w:val="clear" w:color="auto" w:fill="D9D9D9" w:themeFill="background1" w:themeFillShade="D9"/>
          </w:tcPr>
          <w:p w14:paraId="49C3820C" w14:textId="77777777" w:rsidR="0049782D" w:rsidRPr="000E7FF8" w:rsidRDefault="0049782D" w:rsidP="000A7092"/>
        </w:tc>
        <w:tc>
          <w:tcPr>
            <w:tcW w:w="702" w:type="pct"/>
            <w:vMerge/>
            <w:shd w:val="clear" w:color="auto" w:fill="D9D9D9" w:themeFill="background1" w:themeFillShade="D9"/>
          </w:tcPr>
          <w:p w14:paraId="51CC625B" w14:textId="77777777" w:rsidR="0049782D" w:rsidRPr="000E7FF8" w:rsidRDefault="0049782D" w:rsidP="000A7092"/>
        </w:tc>
        <w:tc>
          <w:tcPr>
            <w:tcW w:w="860" w:type="pct"/>
            <w:shd w:val="clear" w:color="auto" w:fill="D9D9D9" w:themeFill="background1" w:themeFillShade="D9"/>
            <w:vAlign w:val="center"/>
          </w:tcPr>
          <w:p w14:paraId="28E62177" w14:textId="77777777" w:rsidR="0049782D" w:rsidRPr="000E7FF8" w:rsidRDefault="0049782D" w:rsidP="000A7092">
            <w:r w:rsidRPr="000E7FF8">
              <w:t>Criminal prosecution</w:t>
            </w:r>
          </w:p>
        </w:tc>
      </w:tr>
    </w:tbl>
    <w:p w14:paraId="579CC15D" w14:textId="37410AB4" w:rsidR="0037739A" w:rsidRPr="00734C4D" w:rsidRDefault="0037739A" w:rsidP="000A7092">
      <w:r w:rsidRPr="00734C4D">
        <w:t>The PL compliance enforcement model demonstrates versatility and incorporates both deterrent and more cooperative approaches to support and encourage compliance.</w:t>
      </w:r>
    </w:p>
    <w:p w14:paraId="483BD0AB" w14:textId="002B8F48" w:rsidR="00E86059" w:rsidRPr="00734C4D" w:rsidRDefault="00E86059" w:rsidP="000A7092">
      <w:r w:rsidRPr="00734C4D">
        <w:t xml:space="preserve">The above enforcement model results in the following </w:t>
      </w:r>
      <w:r w:rsidR="0037739A" w:rsidRPr="00347CFC">
        <w:rPr>
          <w:rStyle w:val="Strong"/>
        </w:rPr>
        <w:t>PL compliance</w:t>
      </w:r>
      <w:r w:rsidR="0037739A" w:rsidRPr="00734C4D">
        <w:t xml:space="preserve"> </w:t>
      </w:r>
      <w:r w:rsidRPr="00734C4D">
        <w:t>enforcement pyramid</w:t>
      </w:r>
      <w:r w:rsidR="00C966D0" w:rsidRPr="00734C4D">
        <w:t xml:space="preserve"> (Figure </w:t>
      </w:r>
      <w:r w:rsidR="00174A50" w:rsidRPr="00734C4D">
        <w:t>1</w:t>
      </w:r>
      <w:r w:rsidR="00C966D0" w:rsidRPr="00734C4D">
        <w:t>)</w:t>
      </w:r>
      <w:r w:rsidRPr="00734C4D">
        <w:t xml:space="preserve">. The rungs represent not only the potential escalation between different enforcement mechanisms (starting at the base, and moving up to the apex), but also the </w:t>
      </w:r>
      <w:r w:rsidR="00B05079">
        <w:t xml:space="preserve">indicative </w:t>
      </w:r>
      <w:r w:rsidRPr="00734C4D">
        <w:t>response mechanisms – with most activities at the wide base and becoming less used as we move up the narrow rungs of the apex.</w:t>
      </w:r>
    </w:p>
    <w:p w14:paraId="5272EC92" w14:textId="74EAC5FD" w:rsidR="009F37FD" w:rsidRDefault="00E86059" w:rsidP="000A7092">
      <w:r w:rsidRPr="00734C4D">
        <w:t>The preference is to start and have</w:t>
      </w:r>
      <w:r w:rsidR="009B717D">
        <w:t xml:space="preserve"> most of the actions</w:t>
      </w:r>
      <w:r w:rsidRPr="00734C4D">
        <w:t xml:space="preserve"> at the bottom of the pyramid. This starting point is presumptive and will be overridden if the risk or conduct being responded to is disproportionately egregious, or in the case the lower strategies fail. In these cases, responses further up the pyramid will be preferred.</w:t>
      </w:r>
    </w:p>
    <w:p w14:paraId="469C3C94" w14:textId="30A17D46" w:rsidR="00192154" w:rsidRPr="00734C4D" w:rsidRDefault="000E7FF8" w:rsidP="000A7092">
      <w:pPr>
        <w:pStyle w:val="Caption"/>
      </w:pPr>
      <w:r>
        <w:lastRenderedPageBreak/>
        <w:t xml:space="preserve">Figure </w:t>
      </w:r>
      <w:fldSimple w:instr=" SEQ Figure \* ARABIC ">
        <w:r w:rsidR="000767B8">
          <w:rPr>
            <w:noProof/>
          </w:rPr>
          <w:t>1</w:t>
        </w:r>
      </w:fldSimple>
      <w:r w:rsidR="0097347A" w:rsidRPr="0097347A">
        <w:rPr>
          <w:noProof/>
        </w:rPr>
        <w:t>: PL compliance enforcement pyramid</w:t>
      </w:r>
    </w:p>
    <w:p w14:paraId="619017AD" w14:textId="5AF28573" w:rsidR="00563AD0" w:rsidRDefault="0049782D" w:rsidP="000A7092">
      <w:r w:rsidRPr="005F0456">
        <mc:AlternateContent>
          <mc:Choice Requires="wps">
            <w:drawing>
              <wp:anchor distT="0" distB="0" distL="114300" distR="114300" simplePos="0" relativeHeight="251683840" behindDoc="0" locked="0" layoutInCell="1" allowOverlap="1" wp14:anchorId="2814608C" wp14:editId="3D4DB282">
                <wp:simplePos x="0" y="0"/>
                <wp:positionH relativeFrom="column">
                  <wp:posOffset>3147695</wp:posOffset>
                </wp:positionH>
                <wp:positionV relativeFrom="paragraph">
                  <wp:posOffset>331470</wp:posOffset>
                </wp:positionV>
                <wp:extent cx="568960" cy="0"/>
                <wp:effectExtent l="0" t="0" r="0" b="0"/>
                <wp:wrapNone/>
                <wp:docPr id="740499276" name="Straight Connector 7404992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8960" cy="0"/>
                        </a:xfrm>
                        <a:prstGeom prst="line">
                          <a:avLst/>
                        </a:prstGeom>
                        <a:noFill/>
                        <a:ln w="19050" cap="flat" cmpd="sng" algn="ctr">
                          <a:solidFill>
                            <a:srgbClr val="3F4A7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457319" id="Straight Connector 740499276" o:spid="_x0000_s1026" alt="&quot;&quot;"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5pt,26.1pt" to="292.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" strokecolor="#3f4a75" strokeweight="1.5pt"/>
            </w:pict>
          </mc:Fallback>
        </mc:AlternateContent>
      </w:r>
      <w:r w:rsidRPr="005F0456">
        <mc:AlternateContent>
          <mc:Choice Requires="wps">
            <w:drawing>
              <wp:anchor distT="0" distB="0" distL="114300" distR="114300" simplePos="0" relativeHeight="251685888" behindDoc="0" locked="0" layoutInCell="1" allowOverlap="1" wp14:anchorId="0805A568" wp14:editId="39A03A30">
                <wp:simplePos x="0" y="0"/>
                <wp:positionH relativeFrom="column">
                  <wp:posOffset>3366770</wp:posOffset>
                </wp:positionH>
                <wp:positionV relativeFrom="paragraph">
                  <wp:posOffset>665480</wp:posOffset>
                </wp:positionV>
                <wp:extent cx="360000" cy="0"/>
                <wp:effectExtent l="0" t="0" r="0" b="0"/>
                <wp:wrapNone/>
                <wp:docPr id="2081812730" name="Straight Connector 20818127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00" cy="0"/>
                        </a:xfrm>
                        <a:prstGeom prst="line">
                          <a:avLst/>
                        </a:prstGeom>
                        <a:noFill/>
                        <a:ln w="19050" cap="flat" cmpd="sng" algn="ctr">
                          <a:solidFill>
                            <a:srgbClr val="3F4A7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85AE8" id="Straight Connector 2081812730" o:spid="_x0000_s1026" alt="&quot;&quot;"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1pt,52.4pt" to="293.4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" strokecolor="#3f4a75" strokeweight="1.5pt"/>
            </w:pict>
          </mc:Fallback>
        </mc:AlternateContent>
      </w:r>
      <w:r w:rsidRPr="005F0456">
        <mc:AlternateContent>
          <mc:Choice Requires="wps">
            <w:drawing>
              <wp:anchor distT="45720" distB="45720" distL="114300" distR="114300" simplePos="0" relativeHeight="251681792" behindDoc="0" locked="0" layoutInCell="1" allowOverlap="1" wp14:anchorId="6612E2B0" wp14:editId="0DED5B7D">
                <wp:simplePos x="0" y="0"/>
                <wp:positionH relativeFrom="margin">
                  <wp:posOffset>3652520</wp:posOffset>
                </wp:positionH>
                <wp:positionV relativeFrom="paragraph">
                  <wp:posOffset>455930</wp:posOffset>
                </wp:positionV>
                <wp:extent cx="1610360" cy="333375"/>
                <wp:effectExtent l="0" t="0" r="8890" b="9525"/>
                <wp:wrapNone/>
                <wp:docPr id="3125276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33375"/>
                        </a:xfrm>
                        <a:prstGeom prst="rect">
                          <a:avLst/>
                        </a:prstGeom>
                        <a:solidFill>
                          <a:srgbClr val="FFFFFF"/>
                        </a:solidFill>
                        <a:ln w="9525">
                          <a:noFill/>
                          <a:miter lim="800000"/>
                          <a:headEnd/>
                          <a:tailEnd/>
                        </a:ln>
                      </wps:spPr>
                      <wps:txbx>
                        <w:txbxContent>
                          <w:p w14:paraId="3D3B9D19" w14:textId="77777777" w:rsidR="00921851" w:rsidRPr="0049782D" w:rsidRDefault="00921851" w:rsidP="000A7092">
                            <w:r w:rsidRPr="0049782D">
                              <w:t>Civil proceeding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2E2B0" id="_x0000_t202" coordsize="21600,21600" o:spt="202" path="m,l,21600r21600,l21600,xe">
                <v:stroke joinstyle="miter"/>
                <v:path gradientshapeok="t" o:connecttype="rect"/>
              </v:shapetype>
              <v:shape id="Text Box 2" o:spid="_x0000_s1026" type="#_x0000_t202" alt="&quot;&quot;" style="position:absolute;margin-left:287.6pt;margin-top:35.9pt;width:126.8pt;height:26.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" stroked="f">
                <v:textbox>
                  <w:txbxContent>
                    <w:p w14:paraId="3D3B9D19" w14:textId="77777777" w:rsidR="00921851" w:rsidRPr="0049782D" w:rsidRDefault="00921851" w:rsidP="000A7092">
                      <w:r w:rsidRPr="0049782D">
                        <w:t>Civil proceeding</w:t>
                      </w:r>
                    </w:p>
                  </w:txbxContent>
                </v:textbox>
                <w10:wrap anchorx="margin"/>
              </v:shape>
            </w:pict>
          </mc:Fallback>
        </mc:AlternateContent>
      </w:r>
      <w:r w:rsidR="00921851" w:rsidRPr="007A25C4">
        <w:rPr>
          <w:noProof/>
        </w:rPr>
        <mc:AlternateContent>
          <mc:Choice Requires="wps">
            <w:drawing>
              <wp:anchor distT="45720" distB="45720" distL="114300" distR="114300" simplePos="0" relativeHeight="251679744" behindDoc="0" locked="0" layoutInCell="1" allowOverlap="1" wp14:anchorId="5F52DC18" wp14:editId="16D5E9CC">
                <wp:simplePos x="0" y="0"/>
                <wp:positionH relativeFrom="margin">
                  <wp:posOffset>3663950</wp:posOffset>
                </wp:positionH>
                <wp:positionV relativeFrom="paragraph">
                  <wp:posOffset>124460</wp:posOffset>
                </wp:positionV>
                <wp:extent cx="1610360" cy="381000"/>
                <wp:effectExtent l="0" t="0" r="8890" b="0"/>
                <wp:wrapNone/>
                <wp:docPr id="6994034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381000"/>
                        </a:xfrm>
                        <a:prstGeom prst="rect">
                          <a:avLst/>
                        </a:prstGeom>
                        <a:solidFill>
                          <a:srgbClr val="FFFFFF"/>
                        </a:solidFill>
                        <a:ln w="9525">
                          <a:noFill/>
                          <a:miter lim="800000"/>
                          <a:headEnd/>
                          <a:tailEnd/>
                        </a:ln>
                      </wps:spPr>
                      <wps:txbx>
                        <w:txbxContent>
                          <w:p w14:paraId="6D85D4E1" w14:textId="77777777" w:rsidR="00921851" w:rsidRPr="0049782D" w:rsidRDefault="00921851" w:rsidP="000A7092">
                            <w:r w:rsidRPr="0049782D">
                              <w:t>Criminal prosecution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2DC18" id="_x0000_s1027" type="#_x0000_t202" alt="&quot;&quot;" style="position:absolute;margin-left:288.5pt;margin-top:9.8pt;width:126.8pt;height:30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" stroked="f">
                <v:textbox>
                  <w:txbxContent>
                    <w:p w14:paraId="6D85D4E1" w14:textId="77777777" w:rsidR="00921851" w:rsidRPr="0049782D" w:rsidRDefault="00921851" w:rsidP="000A7092">
                      <w:r w:rsidRPr="0049782D">
                        <w:t>Criminal prosecution</w:t>
                      </w:r>
                    </w:p>
                  </w:txbxContent>
                </v:textbox>
                <w10:wrap anchorx="margin"/>
              </v:shape>
            </w:pict>
          </mc:Fallback>
        </mc:AlternateContent>
      </w:r>
      <w:r w:rsidR="00563AD0">
        <w:rPr>
          <w:noProof/>
        </w:rPr>
        <w:drawing>
          <wp:inline distT="0" distB="0" distL="0" distR="0" wp14:anchorId="1447AA10" wp14:editId="061B3AB3">
            <wp:extent cx="533991" cy="3652189"/>
            <wp:effectExtent l="0" t="0" r="0" b="5715"/>
            <wp:docPr id="677979918" name="Picture 677979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2"/>
                    <a:stretch>
                      <a:fillRect/>
                    </a:stretch>
                  </pic:blipFill>
                  <pic:spPr>
                    <a:xfrm>
                      <a:off x="0" y="0"/>
                      <a:ext cx="615505" cy="4209699"/>
                    </a:xfrm>
                    <a:prstGeom prst="rect">
                      <a:avLst/>
                    </a:prstGeom>
                  </pic:spPr>
                </pic:pic>
              </a:graphicData>
            </a:graphic>
          </wp:inline>
        </w:drawing>
      </w:r>
      <w:r w:rsidR="00563AD0" w:rsidRPr="007A25C4">
        <w:rPr>
          <w:noProof/>
        </w:rPr>
        <w:drawing>
          <wp:inline distT="0" distB="0" distL="0" distR="0" wp14:anchorId="17DBC895" wp14:editId="414E7349">
            <wp:extent cx="4872251" cy="3648217"/>
            <wp:effectExtent l="0" t="0" r="24130" b="9525"/>
            <wp:docPr id="399027946" name="Diagram 399027946" descr="Figure 1 displays the PL compliance enforcement pyramid, with highest compliance risk at the top.  From the top down, the pyramid shows criminal prosecution, civil proceeding, delist, referral to other agencies, enhanced or focused monitoring, required corrective action, caution and warnings and education and guidan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1356379" w14:textId="193C5249" w:rsidR="001269AE" w:rsidRPr="00734C4D" w:rsidRDefault="001269AE" w:rsidP="00734C4D">
      <w:pPr>
        <w:pStyle w:val="Heading1"/>
      </w:pPr>
      <w:bookmarkStart w:id="11" w:name="_Toc203750749"/>
      <w:r w:rsidRPr="00734C4D">
        <w:t>Identifying Non-Compliance</w:t>
      </w:r>
      <w:bookmarkEnd w:id="11"/>
    </w:p>
    <w:p w14:paraId="4835E5FC" w14:textId="62BF9676" w:rsidR="001269AE" w:rsidRPr="00734C4D" w:rsidRDefault="001269AE" w:rsidP="000A7092">
      <w:r w:rsidRPr="00734C4D">
        <w:t xml:space="preserve">Information about </w:t>
      </w:r>
      <w:r w:rsidR="006C7736" w:rsidRPr="00734C4D">
        <w:t>suspected</w:t>
      </w:r>
      <w:r w:rsidRPr="00734C4D">
        <w:t xml:space="preserve"> non-compliance is received from a range of sources including tip-offs or complaints, data analysis and referrals from other </w:t>
      </w:r>
      <w:r w:rsidR="00E01A2F" w:rsidRPr="00734C4D">
        <w:t xml:space="preserve">stakeholders and </w:t>
      </w:r>
      <w:r w:rsidRPr="00734C4D">
        <w:t>agencies.</w:t>
      </w:r>
    </w:p>
    <w:p w14:paraId="3B1FBF26" w14:textId="43381B04" w:rsidR="001269AE" w:rsidRPr="00734C4D" w:rsidRDefault="001269AE" w:rsidP="003E2A3A">
      <w:pPr>
        <w:pStyle w:val="Heading2"/>
      </w:pPr>
      <w:bookmarkStart w:id="12" w:name="_Toc203750750"/>
      <w:r w:rsidRPr="00734C4D">
        <w:t>Tip off</w:t>
      </w:r>
      <w:r w:rsidR="00F37B5C" w:rsidRPr="00734C4D">
        <w:t xml:space="preserve"> and </w:t>
      </w:r>
      <w:r w:rsidRPr="00734C4D">
        <w:t>complaints</w:t>
      </w:r>
      <w:bookmarkEnd w:id="12"/>
    </w:p>
    <w:p w14:paraId="4BF4DADD" w14:textId="684747F3" w:rsidR="001269AE" w:rsidRPr="00734C4D" w:rsidRDefault="001269AE" w:rsidP="000A7092">
      <w:r w:rsidRPr="00734C4D">
        <w:t>When a complaint is received</w:t>
      </w:r>
      <w:r w:rsidR="00A523F3" w:rsidRPr="00734C4D">
        <w:t>,</w:t>
      </w:r>
      <w:r w:rsidRPr="00734C4D">
        <w:t xml:space="preserve"> it is reviewed and </w:t>
      </w:r>
      <w:r w:rsidR="006C7736" w:rsidRPr="00734C4D">
        <w:t>assessed</w:t>
      </w:r>
      <w:r w:rsidRPr="00734C4D">
        <w:t xml:space="preserve">. Any recommendations are notified to the relevant parties. Depending on the outcome of the </w:t>
      </w:r>
      <w:r w:rsidR="006C7736" w:rsidRPr="00734C4D">
        <w:t>assessment</w:t>
      </w:r>
      <w:r w:rsidRPr="00734C4D">
        <w:t xml:space="preserve"> there may be recommendations for </w:t>
      </w:r>
      <w:r w:rsidR="00004FB9" w:rsidRPr="00734C4D">
        <w:t xml:space="preserve">corrective actions and </w:t>
      </w:r>
      <w:r w:rsidRPr="00734C4D">
        <w:t xml:space="preserve">compliance </w:t>
      </w:r>
      <w:r w:rsidR="00004FB9" w:rsidRPr="00734C4D">
        <w:t>activities</w:t>
      </w:r>
      <w:r w:rsidRPr="00734C4D">
        <w:t>.</w:t>
      </w:r>
    </w:p>
    <w:p w14:paraId="0B7D23C2" w14:textId="4A575035" w:rsidR="001269AE" w:rsidRPr="00734C4D" w:rsidRDefault="001269AE" w:rsidP="003E2A3A">
      <w:pPr>
        <w:pStyle w:val="Heading2"/>
      </w:pPr>
      <w:bookmarkStart w:id="13" w:name="_Toc203750751"/>
      <w:r w:rsidRPr="00734C4D">
        <w:t xml:space="preserve">Data </w:t>
      </w:r>
      <w:r w:rsidR="00976379">
        <w:t>a</w:t>
      </w:r>
      <w:r w:rsidRPr="00734C4D">
        <w:t>nalysis</w:t>
      </w:r>
      <w:bookmarkEnd w:id="13"/>
    </w:p>
    <w:p w14:paraId="104DDAD3" w14:textId="59A9097C" w:rsidR="00BC3DE4" w:rsidRDefault="00BC3DE4" w:rsidP="000A7092">
      <w:r>
        <w:t>Data analysis will be used to identify anomalous or suboptimal utilisation patterns that may indicate compliance risks and non-compliant behaviour, providing a more proactive and independently driven approach to identifying compliance risks.</w:t>
      </w:r>
    </w:p>
    <w:p w14:paraId="7C75082C" w14:textId="1DF28969" w:rsidR="00BC3DE4" w:rsidRDefault="001640D1" w:rsidP="000A7092">
      <w:r>
        <w:t xml:space="preserve">It </w:t>
      </w:r>
      <w:r w:rsidR="00BC3DE4">
        <w:t xml:space="preserve">will be carried out by the PL Compliance team using a variety of sources of available data to analyse and verify ongoing device usage and benefits claimed.  </w:t>
      </w:r>
      <w:r>
        <w:t xml:space="preserve">Areas to target for analysis could be identified through </w:t>
      </w:r>
      <w:r w:rsidR="004536DE">
        <w:t xml:space="preserve">engagement with </w:t>
      </w:r>
      <w:r>
        <w:t>stakeholder</w:t>
      </w:r>
      <w:r w:rsidR="004536DE">
        <w:t>s</w:t>
      </w:r>
      <w:r>
        <w:t xml:space="preserve">, sudden </w:t>
      </w:r>
      <w:r w:rsidR="004536DE">
        <w:t>changes</w:t>
      </w:r>
      <w:r>
        <w:t xml:space="preserve"> in the usage of </w:t>
      </w:r>
      <w:proofErr w:type="gramStart"/>
      <w:r>
        <w:t>particular devices</w:t>
      </w:r>
      <w:proofErr w:type="gramEnd"/>
      <w:r w:rsidR="00E60233">
        <w:t xml:space="preserve"> or </w:t>
      </w:r>
      <w:r w:rsidR="004536DE">
        <w:t xml:space="preserve">stakeholders and </w:t>
      </w:r>
      <w:r w:rsidR="00E60233">
        <w:t xml:space="preserve">devices related to issues </w:t>
      </w:r>
      <w:r w:rsidR="004536DE">
        <w:t xml:space="preserve">reported to </w:t>
      </w:r>
      <w:r w:rsidR="00E60233">
        <w:t>the PL Compliance area.</w:t>
      </w:r>
    </w:p>
    <w:p w14:paraId="7E0F1074" w14:textId="0D13113F" w:rsidR="001269AE" w:rsidRPr="00734C4D" w:rsidRDefault="001269AE" w:rsidP="003E2A3A">
      <w:pPr>
        <w:pStyle w:val="Heading2"/>
      </w:pPr>
      <w:bookmarkStart w:id="14" w:name="_Toc203750752"/>
      <w:r w:rsidRPr="00734C4D">
        <w:t xml:space="preserve">Referrals to and from other </w:t>
      </w:r>
      <w:r w:rsidR="00976379">
        <w:t>a</w:t>
      </w:r>
      <w:r w:rsidRPr="00734C4D">
        <w:t>gencies</w:t>
      </w:r>
      <w:bookmarkEnd w:id="14"/>
    </w:p>
    <w:p w14:paraId="73313F6B" w14:textId="036A6268" w:rsidR="007815E0" w:rsidRPr="00734C4D" w:rsidRDefault="001269AE" w:rsidP="000A7092">
      <w:r w:rsidRPr="00734C4D">
        <w:t xml:space="preserve">From time to time, </w:t>
      </w:r>
      <w:r w:rsidR="00847FC0" w:rsidRPr="00734C4D">
        <w:t xml:space="preserve">medical devices may be suspended or cancelled from the ARTG. This may be voluntary or </w:t>
      </w:r>
      <w:r w:rsidR="0029223E">
        <w:t xml:space="preserve">because of </w:t>
      </w:r>
      <w:r w:rsidRPr="00734C4D">
        <w:t xml:space="preserve">regulatory action </w:t>
      </w:r>
      <w:r w:rsidR="00847FC0" w:rsidRPr="00734C4D">
        <w:t>from TGA, for a range of</w:t>
      </w:r>
      <w:r w:rsidRPr="00734C4D">
        <w:t xml:space="preserve"> reasons including manufacturer recalls, reported safety issues, counterfeit medical devices and reported adverse clinical events. The </w:t>
      </w:r>
      <w:r w:rsidR="00847FC0" w:rsidRPr="00734C4D">
        <w:t>PL</w:t>
      </w:r>
      <w:r w:rsidR="00295F96" w:rsidRPr="00734C4D">
        <w:t xml:space="preserve"> Delegate</w:t>
      </w:r>
      <w:r w:rsidR="00847FC0" w:rsidRPr="00734C4D">
        <w:t xml:space="preserve"> may</w:t>
      </w:r>
      <w:r w:rsidRPr="00734C4D">
        <w:t xml:space="preserve"> seek input from the TGA on the extent of the is</w:t>
      </w:r>
      <w:r w:rsidR="00A523F3" w:rsidRPr="00734C4D">
        <w:t>s</w:t>
      </w:r>
      <w:r w:rsidRPr="00734C4D">
        <w:t>ues and reasons for their action</w:t>
      </w:r>
      <w:r w:rsidR="00E67332" w:rsidRPr="00734C4D">
        <w:t>.</w:t>
      </w:r>
    </w:p>
    <w:p w14:paraId="04D6CAEE" w14:textId="4AD0462E" w:rsidR="00847FC0" w:rsidRPr="00734C4D" w:rsidRDefault="00847FC0" w:rsidP="000A7092">
      <w:r w:rsidRPr="00734C4D">
        <w:lastRenderedPageBreak/>
        <w:t xml:space="preserve">It is the sponsor’s responsibility to advise the </w:t>
      </w:r>
      <w:r w:rsidR="00295F96" w:rsidRPr="00734C4D">
        <w:t xml:space="preserve">PL </w:t>
      </w:r>
      <w:r w:rsidR="00E67332" w:rsidRPr="00734C4D">
        <w:t xml:space="preserve">Administration Section (PLAS) </w:t>
      </w:r>
      <w:r w:rsidRPr="00734C4D">
        <w:t xml:space="preserve">and complete the administrative requirements </w:t>
      </w:r>
      <w:r w:rsidR="009E61BF" w:rsidRPr="00734C4D">
        <w:t xml:space="preserve">for </w:t>
      </w:r>
      <w:r w:rsidRPr="00734C4D">
        <w:t xml:space="preserve">removal from the PL as soon as a </w:t>
      </w:r>
      <w:r w:rsidR="009E61BF" w:rsidRPr="00734C4D">
        <w:t xml:space="preserve">sponsor’s </w:t>
      </w:r>
      <w:r w:rsidRPr="00734C4D">
        <w:t>device is no longer included on the ARTG</w:t>
      </w:r>
      <w:r w:rsidR="00996C3C">
        <w:t xml:space="preserve"> </w:t>
      </w:r>
    </w:p>
    <w:p w14:paraId="0B8FCB39" w14:textId="4347FFD8" w:rsidR="001269AE" w:rsidRPr="00734C4D" w:rsidRDefault="001269AE" w:rsidP="000A7092">
      <w:r w:rsidRPr="00734C4D">
        <w:t xml:space="preserve">Where the </w:t>
      </w:r>
      <w:r w:rsidR="00976379">
        <w:t>d</w:t>
      </w:r>
      <w:r w:rsidRPr="00734C4D">
        <w:t>epartment identifies behaviour</w:t>
      </w:r>
      <w:r w:rsidR="007815E0" w:rsidRPr="007D1BC8">
        <w:rPr>
          <w:vertAlign w:val="superscript"/>
        </w:rPr>
        <w:footnoteReference w:id="4"/>
      </w:r>
      <w:r w:rsidRPr="007D1BC8">
        <w:rPr>
          <w:vertAlign w:val="superscript"/>
        </w:rPr>
        <w:t xml:space="preserve"> </w:t>
      </w:r>
      <w:r w:rsidR="007815E0" w:rsidRPr="00734C4D">
        <w:t xml:space="preserve">for a device listed on the PL </w:t>
      </w:r>
      <w:r w:rsidRPr="00734C4D">
        <w:t>that suggests there are anti-competitive practices related to the use and application of the PL, it may make a referral to the relevant regulator</w:t>
      </w:r>
      <w:r w:rsidR="001B2693" w:rsidRPr="00734C4D">
        <w:t>s,</w:t>
      </w:r>
      <w:r w:rsidRPr="00734C4D">
        <w:t xml:space="preserve"> such as</w:t>
      </w:r>
      <w:r w:rsidR="00174A50" w:rsidRPr="00734C4D">
        <w:t xml:space="preserve"> </w:t>
      </w:r>
      <w:r w:rsidR="001B2693" w:rsidRPr="00734C4D">
        <w:t xml:space="preserve">Australian Prudential Regulation Authority (APRA) and </w:t>
      </w:r>
      <w:r w:rsidRPr="00734C4D">
        <w:t>the Australian Competition and Consumer Commission (ACCC).</w:t>
      </w:r>
    </w:p>
    <w:p w14:paraId="62D939D3" w14:textId="77777777" w:rsidR="001269AE" w:rsidRDefault="001269AE" w:rsidP="001269AE">
      <w:pPr>
        <w:pStyle w:val="Heading1"/>
      </w:pPr>
      <w:bookmarkStart w:id="15" w:name="_Toc203750753"/>
      <w:r>
        <w:t>Compliance Activities</w:t>
      </w:r>
      <w:bookmarkEnd w:id="15"/>
    </w:p>
    <w:p w14:paraId="2C1A3238" w14:textId="24575C27" w:rsidR="00EE0125" w:rsidRPr="00734C4D" w:rsidRDefault="002B524C" w:rsidP="000A7092">
      <w:r w:rsidRPr="00734C4D">
        <w:t xml:space="preserve">The </w:t>
      </w:r>
      <w:r>
        <w:t>Prescribed</w:t>
      </w:r>
      <w:r w:rsidRPr="00734C4D">
        <w:t xml:space="preserve"> List program</w:t>
      </w:r>
      <w:r w:rsidR="00235E70" w:rsidRPr="00734C4D">
        <w:t xml:space="preserve"> has a range of options </w:t>
      </w:r>
      <w:r w:rsidR="009E3861">
        <w:t>aimed at</w:t>
      </w:r>
      <w:r w:rsidR="00EE0125" w:rsidRPr="00734C4D">
        <w:t xml:space="preserve"> promot</w:t>
      </w:r>
      <w:r w:rsidR="009E3861">
        <w:t>ing</w:t>
      </w:r>
      <w:r w:rsidR="00EE0125" w:rsidRPr="00734C4D">
        <w:t xml:space="preserve"> compliance. These can span from provision of education and guidance to facilitat</w:t>
      </w:r>
      <w:r w:rsidR="009E3861">
        <w:t>e</w:t>
      </w:r>
      <w:r w:rsidR="00EE0125" w:rsidRPr="00734C4D">
        <w:t xml:space="preserve"> compliance</w:t>
      </w:r>
      <w:r w:rsidR="009E3861">
        <w:t>,</w:t>
      </w:r>
      <w:r w:rsidR="00EE0125" w:rsidRPr="00734C4D">
        <w:t xml:space="preserve"> through </w:t>
      </w:r>
      <w:r w:rsidR="009E3861">
        <w:t xml:space="preserve">to </w:t>
      </w:r>
      <w:r w:rsidR="00EE0125" w:rsidRPr="00734C4D">
        <w:t>various legal avenues including civil and criminal responses to identified non-compliance.</w:t>
      </w:r>
    </w:p>
    <w:p w14:paraId="50007491" w14:textId="1AC307A3" w:rsidR="00E41E08" w:rsidRPr="00734C4D" w:rsidRDefault="00E41E08" w:rsidP="000A7092">
      <w:r w:rsidRPr="00734C4D">
        <w:t>Compliance actions are strategies put in place to ensure PL stakeholder</w:t>
      </w:r>
      <w:r w:rsidR="00847FC0" w:rsidRPr="00734C4D">
        <w:t>s</w:t>
      </w:r>
      <w:r w:rsidRPr="00734C4D">
        <w:t xml:space="preserve"> address identified non-compliance with the listing requirements.</w:t>
      </w:r>
    </w:p>
    <w:p w14:paraId="175B0535" w14:textId="6BC2E154" w:rsidR="001269AE" w:rsidRPr="00734C4D" w:rsidRDefault="001269AE" w:rsidP="000A7092">
      <w:r w:rsidRPr="00734C4D">
        <w:t xml:space="preserve">The </w:t>
      </w:r>
      <w:r w:rsidR="00976379">
        <w:t>d</w:t>
      </w:r>
      <w:r w:rsidRPr="00734C4D">
        <w:t xml:space="preserve">epartment recognises that non-compliance </w:t>
      </w:r>
      <w:r w:rsidR="00235E70" w:rsidRPr="00734C4D">
        <w:t xml:space="preserve">can be </w:t>
      </w:r>
      <w:r w:rsidRPr="00734C4D">
        <w:t xml:space="preserve">inadvertent and works with </w:t>
      </w:r>
      <w:r w:rsidR="00F4330B" w:rsidRPr="00734C4D">
        <w:t>PL stakeholders</w:t>
      </w:r>
      <w:r w:rsidRPr="00734C4D">
        <w:t xml:space="preserve"> to resolve issues and promote complian</w:t>
      </w:r>
      <w:r w:rsidR="008B7168" w:rsidRPr="00734C4D">
        <w:t>t</w:t>
      </w:r>
      <w:r w:rsidRPr="00734C4D">
        <w:t xml:space="preserve"> practices. Compliance activities are targeted to the type of non-compliance identified. This allows for a responsive, proportionate and a </w:t>
      </w:r>
      <w:r w:rsidR="00A523F3" w:rsidRPr="00734C4D">
        <w:t>risk-based</w:t>
      </w:r>
      <w:r w:rsidRPr="00734C4D">
        <w:t xml:space="preserve"> approach to addressing compliance concerns.</w:t>
      </w:r>
    </w:p>
    <w:p w14:paraId="46001A6A" w14:textId="73DFB729" w:rsidR="001269AE" w:rsidRPr="00734C4D" w:rsidRDefault="001269AE" w:rsidP="000A7092">
      <w:r w:rsidRPr="00734C4D">
        <w:t xml:space="preserve">The types of compliance actions required will depend on the nature of the non-compliance, its severity and frequency, and the </w:t>
      </w:r>
      <w:r w:rsidR="00F4330B" w:rsidRPr="00734C4D">
        <w:t>PL stakeholder’s</w:t>
      </w:r>
      <w:r w:rsidRPr="00734C4D">
        <w:t xml:space="preserve"> willingness to comply and to address the issues. Where a </w:t>
      </w:r>
      <w:r w:rsidR="00F4330B" w:rsidRPr="00734C4D">
        <w:t>PL stakeholder</w:t>
      </w:r>
      <w:r w:rsidRPr="00734C4D">
        <w:t xml:space="preserve"> is willing to comply and needs minimal support, the level of compliance monitoring or compliance action needed is </w:t>
      </w:r>
      <w:r w:rsidR="00F4330B" w:rsidRPr="00734C4D">
        <w:t>LOW</w:t>
      </w:r>
      <w:r w:rsidRPr="00734C4D">
        <w:t xml:space="preserve">. However, where there is an unwillingness to comply and/or a </w:t>
      </w:r>
      <w:r w:rsidR="00F4330B" w:rsidRPr="00734C4D">
        <w:t>PL stakeholder</w:t>
      </w:r>
      <w:r w:rsidRPr="00734C4D">
        <w:t xml:space="preserve"> needs significant support to comply, the level of compliance monitoring and action will be </w:t>
      </w:r>
      <w:r w:rsidR="00F4330B" w:rsidRPr="00734C4D">
        <w:t>HIGH</w:t>
      </w:r>
      <w:r w:rsidRPr="00734C4D">
        <w:t>.</w:t>
      </w:r>
    </w:p>
    <w:p w14:paraId="0D02413B" w14:textId="781E270C" w:rsidR="001269AE" w:rsidRDefault="00CD6DB7" w:rsidP="001269AE">
      <w:pPr>
        <w:pStyle w:val="Heading2"/>
      </w:pPr>
      <w:bookmarkStart w:id="16" w:name="_Toc203750754"/>
      <w:r>
        <w:t>Corrective actions</w:t>
      </w:r>
      <w:bookmarkEnd w:id="16"/>
    </w:p>
    <w:p w14:paraId="0779E234" w14:textId="49D631FC" w:rsidR="001269AE" w:rsidRPr="00734C4D" w:rsidRDefault="00235E70" w:rsidP="000A7092">
      <w:r w:rsidRPr="00734C4D">
        <w:t>The first step a</w:t>
      </w:r>
      <w:r w:rsidR="00E41E08" w:rsidRPr="00734C4D">
        <w:t>fter identifying non-compliance is</w:t>
      </w:r>
      <w:r w:rsidRPr="00734C4D">
        <w:t xml:space="preserve">, in most instances, </w:t>
      </w:r>
      <w:r w:rsidR="00E41E08" w:rsidRPr="00734C4D">
        <w:t xml:space="preserve">to give the PL stakeholder an opportunity to respond and outline how they propose to address the non-compliance. The PL stakeholder will be contacted in writing and/or by phone to discuss the issues and options to address the non-compliance. </w:t>
      </w:r>
      <w:r w:rsidR="00DB04DF" w:rsidRPr="00734C4D">
        <w:t>In this instance</w:t>
      </w:r>
      <w:r w:rsidR="007E0F1F">
        <w:t>,</w:t>
      </w:r>
      <w:r w:rsidR="00DB04DF" w:rsidRPr="00734C4D">
        <w:t xml:space="preserve"> the </w:t>
      </w:r>
      <w:r w:rsidR="0097347A" w:rsidRPr="00734C4D">
        <w:t>PL stakeholder</w:t>
      </w:r>
      <w:r w:rsidR="00DB04DF" w:rsidRPr="00734C4D">
        <w:t xml:space="preserve"> is </w:t>
      </w:r>
      <w:r w:rsidR="001269AE" w:rsidRPr="00734C4D">
        <w:t xml:space="preserve">encouraged to reflect on how </w:t>
      </w:r>
      <w:r w:rsidR="0097347A" w:rsidRPr="00734C4D">
        <w:t>they</w:t>
      </w:r>
      <w:r w:rsidR="001269AE" w:rsidRPr="00734C4D">
        <w:t xml:space="preserve"> are complying with the rules and requirements for the PL and </w:t>
      </w:r>
      <w:r w:rsidR="009B0601">
        <w:t xml:space="preserve">make </w:t>
      </w:r>
      <w:r w:rsidR="001269AE" w:rsidRPr="00734C4D">
        <w:t>change</w:t>
      </w:r>
      <w:r w:rsidR="009B0601">
        <w:t>s</w:t>
      </w:r>
      <w:r w:rsidR="001269AE" w:rsidRPr="00734C4D">
        <w:t xml:space="preserve"> if required. </w:t>
      </w:r>
      <w:r w:rsidR="0097347A" w:rsidRPr="00734C4D">
        <w:t>They</w:t>
      </w:r>
      <w:r w:rsidR="001269AE" w:rsidRPr="00734C4D">
        <w:t xml:space="preserve"> may also be requested to review records and voluntarily review and re-assess any non-compliant activity that </w:t>
      </w:r>
      <w:r w:rsidR="0097347A" w:rsidRPr="00734C4D">
        <w:t>they</w:t>
      </w:r>
      <w:r w:rsidR="001269AE" w:rsidRPr="00734C4D">
        <w:t xml:space="preserve"> identify.</w:t>
      </w:r>
    </w:p>
    <w:p w14:paraId="144A4A78" w14:textId="3FC73BE9" w:rsidR="00DB04DF" w:rsidRPr="00734C4D" w:rsidRDefault="00DB04DF" w:rsidP="000A7092">
      <w:r w:rsidRPr="00734C4D">
        <w:t xml:space="preserve">If the PL stakeholder demonstrates an understanding of the problem and a willingness to act, this approach can deliver positive </w:t>
      </w:r>
      <w:r w:rsidR="007E0F1F" w:rsidRPr="00734C4D">
        <w:t>results,</w:t>
      </w:r>
      <w:r w:rsidRPr="00734C4D">
        <w:t xml:space="preserve"> and no further compliance action may be required.</w:t>
      </w:r>
    </w:p>
    <w:p w14:paraId="122022FB" w14:textId="26C99A25" w:rsidR="001269AE" w:rsidRPr="000A7092" w:rsidRDefault="001269AE" w:rsidP="000A7092">
      <w:r w:rsidRPr="00734C4D">
        <w:t xml:space="preserve">The </w:t>
      </w:r>
      <w:r w:rsidR="00976379">
        <w:t>d</w:t>
      </w:r>
      <w:r w:rsidRPr="00734C4D">
        <w:t xml:space="preserve">epartment will undertake </w:t>
      </w:r>
      <w:r w:rsidR="00BE59BE" w:rsidRPr="00734C4D">
        <w:t>assurance</w:t>
      </w:r>
      <w:r w:rsidR="0061194C" w:rsidRPr="00734C4D">
        <w:t xml:space="preserve">, </w:t>
      </w:r>
      <w:r w:rsidR="003A5F08" w:rsidRPr="00734C4D">
        <w:t>assessments</w:t>
      </w:r>
      <w:r w:rsidR="0061194C" w:rsidRPr="00734C4D">
        <w:t xml:space="preserve">, </w:t>
      </w:r>
      <w:r w:rsidR="00BE59BE" w:rsidRPr="00734C4D">
        <w:t xml:space="preserve">and </w:t>
      </w:r>
      <w:r w:rsidR="00235E70" w:rsidRPr="00734C4D">
        <w:t>desktop</w:t>
      </w:r>
      <w:r w:rsidR="00BE59BE" w:rsidRPr="00734C4D">
        <w:t xml:space="preserve"> activities</w:t>
      </w:r>
      <w:r w:rsidR="00DB2E7F" w:rsidRPr="00734C4D">
        <w:t>.</w:t>
      </w:r>
      <w:r w:rsidR="00BE59BE" w:rsidRPr="00734C4D">
        <w:t xml:space="preserve"> </w:t>
      </w:r>
      <w:r w:rsidR="00CD6DB7" w:rsidRPr="00734C4D">
        <w:t>The</w:t>
      </w:r>
      <w:r w:rsidRPr="00734C4D">
        <w:t xml:space="preserve"> process is usually commenced with a request for information from the </w:t>
      </w:r>
      <w:r w:rsidR="00E01A2F" w:rsidRPr="00734C4D">
        <w:t xml:space="preserve">PL stakeholder </w:t>
      </w:r>
      <w:r w:rsidRPr="00734C4D">
        <w:t xml:space="preserve">to assist in determining whether the rules and requirements for that listing are met. Where it is identified that there is a breach of the regulatory requirements, </w:t>
      </w:r>
      <w:r w:rsidR="00CD6DB7" w:rsidRPr="00734C4D">
        <w:t xml:space="preserve">the </w:t>
      </w:r>
      <w:r w:rsidR="00976379">
        <w:t>d</w:t>
      </w:r>
      <w:r w:rsidR="00CD6DB7" w:rsidRPr="00734C4D">
        <w:t>epartment</w:t>
      </w:r>
      <w:r w:rsidRPr="00734C4D">
        <w:t xml:space="preserve"> </w:t>
      </w:r>
      <w:r w:rsidR="00CD6DB7" w:rsidRPr="00734C4D">
        <w:t>will seek corrective action</w:t>
      </w:r>
      <w:r w:rsidR="001A4D18">
        <w:t xml:space="preserve"> to be undertaken by the stakeholder</w:t>
      </w:r>
      <w:r w:rsidR="00CD6DB7" w:rsidRPr="00734C4D">
        <w:t xml:space="preserve">. </w:t>
      </w:r>
      <w:r w:rsidRPr="00734C4D">
        <w:t xml:space="preserve">If the </w:t>
      </w:r>
      <w:r w:rsidR="00CD6DB7" w:rsidRPr="00734C4D">
        <w:t>PL stakeholder</w:t>
      </w:r>
      <w:r w:rsidRPr="00734C4D">
        <w:t xml:space="preserve"> does not </w:t>
      </w:r>
      <w:r w:rsidR="00CD6DB7" w:rsidRPr="00734C4D">
        <w:t>respond accordingly</w:t>
      </w:r>
      <w:r w:rsidRPr="00734C4D">
        <w:t xml:space="preserve"> the </w:t>
      </w:r>
      <w:r w:rsidR="00976379">
        <w:t>d</w:t>
      </w:r>
      <w:r w:rsidRPr="00734C4D">
        <w:t>epartment may take further action such as</w:t>
      </w:r>
      <w:r w:rsidR="009B0601">
        <w:t xml:space="preserve"> </w:t>
      </w:r>
      <w:r w:rsidR="009B0601" w:rsidRPr="00E815B7">
        <w:t>applying conditions to the listing</w:t>
      </w:r>
      <w:r w:rsidR="001A4D18" w:rsidRPr="00C83BED">
        <w:t>, focused monitoring</w:t>
      </w:r>
      <w:r w:rsidR="00E815B7" w:rsidRPr="00C83BED">
        <w:t>,</w:t>
      </w:r>
      <w:r w:rsidR="009B0601" w:rsidRPr="00E815B7">
        <w:t xml:space="preserve"> or </w:t>
      </w:r>
      <w:r w:rsidR="001A4D18" w:rsidRPr="00C83BED">
        <w:t xml:space="preserve">in extreme circumstances, </w:t>
      </w:r>
      <w:r w:rsidRPr="00E815B7">
        <w:t xml:space="preserve">delisting the </w:t>
      </w:r>
      <w:r w:rsidR="001C6B95">
        <w:t xml:space="preserve">device or </w:t>
      </w:r>
      <w:r w:rsidRPr="00E815B7">
        <w:t>product from the PL.</w:t>
      </w:r>
    </w:p>
    <w:p w14:paraId="497086BC" w14:textId="5033A57E" w:rsidR="001269AE" w:rsidRPr="00734C4D" w:rsidRDefault="00DB2E7F" w:rsidP="000A7092">
      <w:r w:rsidRPr="00734C4D">
        <w:t>While the</w:t>
      </w:r>
      <w:r w:rsidR="001269AE" w:rsidRPr="00734C4D">
        <w:t xml:space="preserve"> </w:t>
      </w:r>
      <w:r w:rsidR="00876A75" w:rsidRPr="00734C4D">
        <w:t>focus</w:t>
      </w:r>
      <w:r w:rsidR="001269AE" w:rsidRPr="00734C4D">
        <w:t xml:space="preserve"> is to work with </w:t>
      </w:r>
      <w:r w:rsidRPr="00734C4D">
        <w:t>stakeholders</w:t>
      </w:r>
      <w:r w:rsidR="001269AE" w:rsidRPr="00734C4D">
        <w:t xml:space="preserve"> to reduce the need for serious compliance action, in some circumstances compliance objectives cannot be met through education or by assisting </w:t>
      </w:r>
      <w:r w:rsidRPr="00734C4D">
        <w:t>stakeholders</w:t>
      </w:r>
      <w:r w:rsidR="001269AE" w:rsidRPr="00734C4D">
        <w:t xml:space="preserve"> to comply. </w:t>
      </w:r>
      <w:r w:rsidR="009B0601">
        <w:t xml:space="preserve">This might be where </w:t>
      </w:r>
      <w:r w:rsidRPr="00734C4D">
        <w:t>the</w:t>
      </w:r>
      <w:r w:rsidR="001269AE" w:rsidRPr="00734C4D">
        <w:t xml:space="preserve"> </w:t>
      </w:r>
      <w:r w:rsidRPr="00734C4D">
        <w:t>PL stakeholder</w:t>
      </w:r>
      <w:r w:rsidR="001269AE" w:rsidRPr="00734C4D">
        <w:t>:</w:t>
      </w:r>
    </w:p>
    <w:p w14:paraId="7CEDB93A" w14:textId="77777777" w:rsidR="001269AE" w:rsidRPr="00294249" w:rsidRDefault="001269AE" w:rsidP="000A7092">
      <w:pPr>
        <w:pStyle w:val="ListBullet"/>
      </w:pPr>
      <w:r w:rsidRPr="00294249">
        <w:lastRenderedPageBreak/>
        <w:t>has a history, or there is evidence of, systemic non-compliance</w:t>
      </w:r>
    </w:p>
    <w:p w14:paraId="46E7EB98" w14:textId="77777777" w:rsidR="001269AE" w:rsidRPr="00294249" w:rsidRDefault="001269AE" w:rsidP="000A7092">
      <w:pPr>
        <w:pStyle w:val="ListBullet"/>
      </w:pPr>
      <w:r w:rsidRPr="00294249">
        <w:t>is acting in a fraudulent way</w:t>
      </w:r>
    </w:p>
    <w:p w14:paraId="4A45F412" w14:textId="77777777" w:rsidR="001269AE" w:rsidRPr="00294249" w:rsidRDefault="001269AE" w:rsidP="000A7092">
      <w:pPr>
        <w:pStyle w:val="ListBullet"/>
      </w:pPr>
      <w:r w:rsidRPr="00294249">
        <w:t>has failed to provide complete, true and accurate information and/or documents</w:t>
      </w:r>
    </w:p>
    <w:p w14:paraId="78B125CF" w14:textId="76CF5B31" w:rsidR="001269AE" w:rsidRPr="00294249" w:rsidRDefault="001269AE" w:rsidP="000A7092">
      <w:pPr>
        <w:pStyle w:val="ListBullet"/>
      </w:pPr>
      <w:r w:rsidRPr="00294249">
        <w:t xml:space="preserve">has failed to respond to attempts to </w:t>
      </w:r>
      <w:r w:rsidR="00876A75">
        <w:t>address</w:t>
      </w:r>
      <w:r w:rsidRPr="00294249">
        <w:t xml:space="preserve"> compliance </w:t>
      </w:r>
      <w:r w:rsidR="00876A75">
        <w:t>issue</w:t>
      </w:r>
      <w:r w:rsidR="009F49C3">
        <w:t>s</w:t>
      </w:r>
    </w:p>
    <w:p w14:paraId="3F047D25" w14:textId="77777777" w:rsidR="001269AE" w:rsidRPr="00294249" w:rsidRDefault="001269AE" w:rsidP="000A7092">
      <w:pPr>
        <w:pStyle w:val="ListBullet"/>
      </w:pPr>
      <w:r w:rsidRPr="00294249">
        <w:t>is unable to address their non-compliance.</w:t>
      </w:r>
    </w:p>
    <w:p w14:paraId="2A41D387" w14:textId="063273C0" w:rsidR="001269AE" w:rsidRPr="00734C4D" w:rsidRDefault="001269AE" w:rsidP="000A7092">
      <w:r w:rsidRPr="00734C4D">
        <w:t xml:space="preserve">In these circumstances the action taken will be proportionate to the </w:t>
      </w:r>
      <w:r w:rsidR="009B0601">
        <w:t xml:space="preserve">risk and consequence of </w:t>
      </w:r>
      <w:r w:rsidRPr="00734C4D">
        <w:t xml:space="preserve">behaviours exhibited and be aligned with any legislative requirements. </w:t>
      </w:r>
      <w:r w:rsidR="009B0601">
        <w:t xml:space="preserve">Where the risk and consequence of </w:t>
      </w:r>
      <w:r w:rsidR="00A47D52" w:rsidRPr="00734C4D">
        <w:t>non-compliance</w:t>
      </w:r>
      <w:r w:rsidR="009B0601">
        <w:t xml:space="preserve"> is considered high</w:t>
      </w:r>
      <w:r w:rsidR="00973277">
        <w:t xml:space="preserve"> or extreme</w:t>
      </w:r>
      <w:r w:rsidR="00A47D52" w:rsidRPr="00734C4D">
        <w:t>, civil proceedings and prosecution may be undertaken.</w:t>
      </w:r>
    </w:p>
    <w:p w14:paraId="60B9DB7A" w14:textId="0AFE967D" w:rsidR="002F2DBB" w:rsidRPr="002F2DBB" w:rsidRDefault="00FC2474" w:rsidP="002F2DBB">
      <w:pPr>
        <w:pStyle w:val="Heading2"/>
      </w:pPr>
      <w:bookmarkStart w:id="17" w:name="_Toc203750755"/>
      <w:r>
        <w:t>Legislative instruments</w:t>
      </w:r>
      <w:bookmarkEnd w:id="17"/>
    </w:p>
    <w:p w14:paraId="715A9186" w14:textId="5EFC10AD" w:rsidR="00EE0125" w:rsidRDefault="00EE0125" w:rsidP="000A7092">
      <w:r w:rsidRPr="00734C4D">
        <w:t xml:space="preserve">Participating </w:t>
      </w:r>
      <w:r w:rsidR="00BE7E9B" w:rsidRPr="00734C4D">
        <w:t xml:space="preserve">PL </w:t>
      </w:r>
      <w:r w:rsidRPr="00734C4D">
        <w:t xml:space="preserve">stakeholders should make themselves </w:t>
      </w:r>
      <w:r w:rsidR="004020FF">
        <w:t>familiar with</w:t>
      </w:r>
      <w:r w:rsidRPr="00734C4D">
        <w:t xml:space="preserve"> legal instruments</w:t>
      </w:r>
      <w:r w:rsidR="006D00A7" w:rsidRPr="003B5F5F">
        <w:rPr>
          <w:vertAlign w:val="superscript"/>
        </w:rPr>
        <w:footnoteReference w:id="5"/>
      </w:r>
      <w:r w:rsidR="00BC7478" w:rsidRPr="003B5F5F">
        <w:rPr>
          <w:vertAlign w:val="superscript"/>
        </w:rPr>
        <w:t xml:space="preserve"> </w:t>
      </w:r>
      <w:r w:rsidR="00BC7478" w:rsidRPr="00734C4D">
        <w:t>relevant to the PL, including but not limited to:</w:t>
      </w:r>
    </w:p>
    <w:p w14:paraId="21530601" w14:textId="4AF4EDEA" w:rsidR="00952504" w:rsidRDefault="00E815B7" w:rsidP="000A7092">
      <w:pPr>
        <w:pStyle w:val="ListNumber"/>
      </w:pPr>
      <w:r w:rsidRPr="005F0456">
        <w:rPr>
          <w:rStyle w:val="Strong"/>
        </w:rPr>
        <w:t>PL Legislation</w:t>
      </w:r>
      <w:r>
        <w:t xml:space="preserve">: </w:t>
      </w:r>
      <w:r w:rsidR="004020FF">
        <w:t>Private Health Insurance Act 2007</w:t>
      </w:r>
      <w:r w:rsidR="000877FF">
        <w:t xml:space="preserve"> (the Act)</w:t>
      </w:r>
    </w:p>
    <w:p w14:paraId="747231AE" w14:textId="43C5E2BE" w:rsidR="000432A5" w:rsidRPr="005F0456" w:rsidRDefault="0007490A" w:rsidP="000A7092">
      <w:r w:rsidRPr="005F0456">
        <w:t xml:space="preserve">The Act governs private health insurance and </w:t>
      </w:r>
      <w:r w:rsidR="00226146" w:rsidRPr="005F0456">
        <w:t xml:space="preserve">private </w:t>
      </w:r>
      <w:r w:rsidRPr="005F0456">
        <w:t xml:space="preserve">health insurers in Australia. It ensures that the operations of </w:t>
      </w:r>
      <w:r w:rsidR="00226146" w:rsidRPr="005F0456">
        <w:t xml:space="preserve">private </w:t>
      </w:r>
      <w:r w:rsidRPr="005F0456">
        <w:t>health insurers are carried out in the best interests of Australians paying for private health insurance and authorises the Minister to make determinations and policies on how private health insurance is delivered to Australians and establishes the legal framework for the Prescribed List.</w:t>
      </w:r>
    </w:p>
    <w:p w14:paraId="1450A014" w14:textId="70E1F587" w:rsidR="004020FF" w:rsidRDefault="00E815B7" w:rsidP="000A7092">
      <w:pPr>
        <w:pStyle w:val="ListNumber"/>
      </w:pPr>
      <w:r w:rsidRPr="000A7092">
        <w:rPr>
          <w:rStyle w:val="Strong"/>
        </w:rPr>
        <w:t>PL Legislation</w:t>
      </w:r>
      <w:r>
        <w:t xml:space="preserve">: </w:t>
      </w:r>
      <w:r w:rsidR="004020FF">
        <w:t>Private Health Insurance (Medical Devices and Human Tissue Products) Rules</w:t>
      </w:r>
      <w:r w:rsidR="00C43FD3">
        <w:t xml:space="preserve"> (the Rules)</w:t>
      </w:r>
    </w:p>
    <w:p w14:paraId="27EB6E42" w14:textId="2C8EF646" w:rsidR="0007490A" w:rsidRPr="005F0456" w:rsidRDefault="00C43FD3" w:rsidP="000A7092">
      <w:r w:rsidRPr="005F0456">
        <w:t>Subordinate legislation to the Act, the Rules are made under Chapter 3 of the Act and are administered by the department and set out:</w:t>
      </w:r>
    </w:p>
    <w:p w14:paraId="6CF15E54" w14:textId="556B8616" w:rsidR="00C43FD3" w:rsidRPr="005F0456" w:rsidRDefault="00C43FD3" w:rsidP="000A7092">
      <w:pPr>
        <w:pStyle w:val="ListBullet"/>
      </w:pPr>
      <w:r w:rsidRPr="00C43FD3">
        <w:t xml:space="preserve">the benefits </w:t>
      </w:r>
      <w:r w:rsidRPr="005F0456">
        <w:t xml:space="preserve">that </w:t>
      </w:r>
      <w:r w:rsidR="00226146" w:rsidRPr="005F0456">
        <w:t xml:space="preserve">private health </w:t>
      </w:r>
      <w:r w:rsidRPr="005F0456">
        <w:t xml:space="preserve">insurers must pay to hospitals for listed devices or products </w:t>
      </w:r>
    </w:p>
    <w:p w14:paraId="02BCB9CD" w14:textId="77777777" w:rsidR="00C43FD3" w:rsidRPr="005F0456" w:rsidRDefault="00C43FD3" w:rsidP="000A7092">
      <w:pPr>
        <w:pStyle w:val="ListBullet"/>
      </w:pPr>
      <w:r w:rsidRPr="005F0456">
        <w:t>the criteria and requirements to list a device or product on the Prescribed List</w:t>
      </w:r>
    </w:p>
    <w:p w14:paraId="1D309590" w14:textId="77777777" w:rsidR="00C43FD3" w:rsidRPr="00C43FD3" w:rsidRDefault="00C43FD3" w:rsidP="000A7092">
      <w:pPr>
        <w:pStyle w:val="ListBullet"/>
      </w:pPr>
      <w:r w:rsidRPr="005F0456">
        <w:t>tables of itemised</w:t>
      </w:r>
      <w:r w:rsidRPr="00C43FD3">
        <w:t xml:space="preserve"> devices and products that form the Prescribed List (Schedule 1)</w:t>
      </w:r>
    </w:p>
    <w:p w14:paraId="2302FA94" w14:textId="140E3A71" w:rsidR="00633FA2" w:rsidRPr="00734C4D" w:rsidRDefault="00884591" w:rsidP="000A7092">
      <w:pPr>
        <w:pStyle w:val="ListNumber"/>
      </w:pPr>
      <w:r w:rsidRPr="00347CFC">
        <w:rPr>
          <w:rStyle w:val="Strong"/>
        </w:rPr>
        <w:t>TG</w:t>
      </w:r>
      <w:r w:rsidR="00CF1AC2" w:rsidRPr="00347CFC">
        <w:rPr>
          <w:rStyle w:val="Strong"/>
        </w:rPr>
        <w:t>A</w:t>
      </w:r>
      <w:r w:rsidRPr="00347CFC">
        <w:rPr>
          <w:rStyle w:val="Strong"/>
        </w:rPr>
        <w:t xml:space="preserve"> legislation</w:t>
      </w:r>
      <w:r w:rsidRPr="00734C4D">
        <w:t xml:space="preserve">: </w:t>
      </w:r>
      <w:r w:rsidR="00A47D52" w:rsidRPr="00734C4D">
        <w:t xml:space="preserve">The </w:t>
      </w:r>
      <w:r w:rsidR="00A47D52" w:rsidRPr="00734C4D">
        <w:rPr>
          <w:rStyle w:val="Emphasis"/>
        </w:rPr>
        <w:t>Therapeutic Goods Act</w:t>
      </w:r>
      <w:r w:rsidR="00437BBB" w:rsidRPr="00734C4D">
        <w:rPr>
          <w:rStyle w:val="FootnoteReference"/>
        </w:rPr>
        <w:footnoteReference w:id="6"/>
      </w:r>
      <w:r w:rsidR="00A47D52" w:rsidRPr="00734C4D">
        <w:t xml:space="preserve">, </w:t>
      </w:r>
      <w:r w:rsidRPr="00734C4D">
        <w:t xml:space="preserve">Medical Device </w:t>
      </w:r>
      <w:r w:rsidR="00A47D52" w:rsidRPr="00734C4D">
        <w:t xml:space="preserve">Regulations and </w:t>
      </w:r>
      <w:r w:rsidRPr="00734C4D">
        <w:t xml:space="preserve">other instruments </w:t>
      </w:r>
      <w:r w:rsidR="00A47D52" w:rsidRPr="00734C4D">
        <w:t xml:space="preserve">set out the requirements for </w:t>
      </w:r>
      <w:r w:rsidRPr="00734C4D">
        <w:t xml:space="preserve">conformity assessment, </w:t>
      </w:r>
      <w:r w:rsidR="00A47D52" w:rsidRPr="00734C4D">
        <w:t xml:space="preserve">inclusion of </w:t>
      </w:r>
      <w:r w:rsidRPr="00734C4D">
        <w:t>medical devices</w:t>
      </w:r>
      <w:r w:rsidR="00A47D52" w:rsidRPr="00734C4D">
        <w:t xml:space="preserve"> in the Australian Register of Therapeutic Goods</w:t>
      </w:r>
      <w:r w:rsidR="00437BBB" w:rsidRPr="00734C4D">
        <w:t xml:space="preserve"> (ARTG)</w:t>
      </w:r>
      <w:r w:rsidR="00A47D52" w:rsidRPr="00734C4D">
        <w:t xml:space="preserve">, </w:t>
      </w:r>
      <w:r w:rsidRPr="00734C4D">
        <w:t>and compliance with the essential principles. It also addresses</w:t>
      </w:r>
      <w:r w:rsidR="00A47D52" w:rsidRPr="00734C4D">
        <w:t xml:space="preserve"> advertising, labelling</w:t>
      </w:r>
      <w:r w:rsidR="00CF1AC2" w:rsidRPr="00734C4D">
        <w:t xml:space="preserve">, and </w:t>
      </w:r>
      <w:r w:rsidR="00A47D52" w:rsidRPr="00734C4D">
        <w:t>product appearance</w:t>
      </w:r>
      <w:r w:rsidR="00CF1AC2" w:rsidRPr="00734C4D">
        <w:t>.</w:t>
      </w:r>
    </w:p>
    <w:p w14:paraId="0CBFFE0D" w14:textId="2A7ED683" w:rsidR="00E01A2F" w:rsidRDefault="00437BBB" w:rsidP="000A7092">
      <w:pPr>
        <w:pStyle w:val="ListBullet"/>
      </w:pPr>
      <w:r w:rsidRPr="00F67A05">
        <w:t xml:space="preserve">Part 5-1 of </w:t>
      </w:r>
      <w:r w:rsidRPr="005F0456">
        <w:t>the</w:t>
      </w:r>
      <w:r w:rsidRPr="00F67A05">
        <w:t xml:space="preserve"> Act provides the regulatory framework in relation to advertisements about therapeutic goods in the public domain. </w:t>
      </w:r>
      <w:r w:rsidR="00E01A2F" w:rsidRPr="00F67A05">
        <w:t xml:space="preserve">The </w:t>
      </w:r>
      <w:r w:rsidR="00E01A2F" w:rsidRPr="00734C4D">
        <w:rPr>
          <w:rStyle w:val="Emphasis"/>
        </w:rPr>
        <w:t>Therapeutic Goods Advertising Code</w:t>
      </w:r>
      <w:r w:rsidR="00E01A2F" w:rsidRPr="00734C4D">
        <w:rPr>
          <w:rStyle w:val="FootnoteReference"/>
        </w:rPr>
        <w:footnoteReference w:id="7"/>
      </w:r>
      <w:r w:rsidR="00E01A2F" w:rsidRPr="00F67A05">
        <w:t xml:space="preserve"> prescribes the minimum requirements for the lawful advertising of therapeutic goods to Australian consumers. It ensures the marketing and advertising of therapeutic goods (including devices) is </w:t>
      </w:r>
      <w:r w:rsidR="00FB74C7">
        <w:t>carried out</w:t>
      </w:r>
      <w:r w:rsidR="00E01A2F" w:rsidRPr="00F67A05">
        <w:t xml:space="preserve"> in a way that promotes the quality use of the product, is socially responsible and does not mislead or deceive the consumer.</w:t>
      </w:r>
    </w:p>
    <w:p w14:paraId="7033EADF" w14:textId="00E4BD13" w:rsidR="002F2DBB" w:rsidRDefault="000F38BB" w:rsidP="000A7092">
      <w:pPr>
        <w:pStyle w:val="ListNumber"/>
      </w:pPr>
      <w:r w:rsidRPr="00734C4D">
        <w:rPr>
          <w:rStyle w:val="Strong"/>
        </w:rPr>
        <w:t>Consumer law:</w:t>
      </w:r>
      <w:r w:rsidR="00317592">
        <w:t xml:space="preserve"> </w:t>
      </w:r>
      <w:r w:rsidR="002F2DBB" w:rsidRPr="00EE0125">
        <w:t xml:space="preserve">The Australian Consumer Law (ACL) in Schedule 2 of the </w:t>
      </w:r>
      <w:r w:rsidR="002F2DBB" w:rsidRPr="00734C4D">
        <w:rPr>
          <w:rStyle w:val="Emphasis"/>
        </w:rPr>
        <w:t>Competition and Consumer Act 2010</w:t>
      </w:r>
      <w:r w:rsidR="002F2DBB" w:rsidRPr="00EE0125">
        <w:t xml:space="preserve"> (Cth) is likely to apply. Specifically, section 18(1) of the ACL provides that a </w:t>
      </w:r>
      <w:r w:rsidR="002F2DBB" w:rsidRPr="00734C4D">
        <w:rPr>
          <w:rStyle w:val="Emphasis"/>
        </w:rPr>
        <w:t>“person must not, in trade or commerce, engage in conduct that is misleading or deceptive or is likely to mislead or deceive.”</w:t>
      </w:r>
      <w:r w:rsidR="002F2DBB" w:rsidRPr="00EE0125">
        <w:t xml:space="preserve"> As providing information in connection with </w:t>
      </w:r>
      <w:r w:rsidR="00A47D52">
        <w:t xml:space="preserve">the </w:t>
      </w:r>
      <w:r w:rsidR="00A47D52">
        <w:lastRenderedPageBreak/>
        <w:t>listed device on the PL</w:t>
      </w:r>
      <w:r w:rsidR="002F2DBB" w:rsidRPr="00EE0125">
        <w:t xml:space="preserve">, any misleading or deceptive conduct in relation to </w:t>
      </w:r>
      <w:r w:rsidR="00A47D52" w:rsidRPr="00EE0125">
        <w:t>trade or commerce</w:t>
      </w:r>
      <w:r w:rsidR="00A47D52">
        <w:t xml:space="preserve"> </w:t>
      </w:r>
      <w:r w:rsidR="002F2DBB" w:rsidRPr="00EE0125">
        <w:t xml:space="preserve">will invoke the application of the ACL. </w:t>
      </w:r>
      <w:r w:rsidR="00D663C9">
        <w:t>Suspected</w:t>
      </w:r>
      <w:r w:rsidR="002F2DBB" w:rsidRPr="00EE0125">
        <w:t xml:space="preserve"> non-compliances or in breach of the Australian Consumer Law (ACL) in </w:t>
      </w:r>
      <w:r w:rsidR="002F2DBB" w:rsidRPr="00734C4D">
        <w:rPr>
          <w:rStyle w:val="Emphasis"/>
        </w:rPr>
        <w:t xml:space="preserve">Section 18 of the Competition and Consumer Act 2010 </w:t>
      </w:r>
      <w:r w:rsidR="002F2DBB" w:rsidRPr="00EE0125">
        <w:t>may be referred on to the Australian Competition and Consumer Commission</w:t>
      </w:r>
      <w:r w:rsidR="00A47D52">
        <w:t xml:space="preserve"> (ACCC)</w:t>
      </w:r>
      <w:r w:rsidR="002F2DBB" w:rsidRPr="00EE0125">
        <w:t>.</w:t>
      </w:r>
    </w:p>
    <w:p w14:paraId="4A14385F" w14:textId="18C1B197" w:rsidR="00317592" w:rsidRDefault="00317592" w:rsidP="000A7092">
      <w:pPr>
        <w:pStyle w:val="ListBullet"/>
      </w:pPr>
      <w:r w:rsidRPr="003E2A3A">
        <w:t>The ACL</w:t>
      </w:r>
      <w:r>
        <w:t xml:space="preserve"> </w:t>
      </w:r>
      <w:r w:rsidRPr="005F0456">
        <w:t>confers</w:t>
      </w:r>
      <w:r w:rsidRPr="00317592">
        <w:t xml:space="preserve"> the ability for the </w:t>
      </w:r>
      <w:r w:rsidR="00976379">
        <w:t>d</w:t>
      </w:r>
      <w:r w:rsidRPr="00317592">
        <w:t xml:space="preserve">epartment to seek remedies for loss or damage arising from a </w:t>
      </w:r>
      <w:r>
        <w:t>PL stakeholders</w:t>
      </w:r>
      <w:r w:rsidRPr="00317592">
        <w:t xml:space="preserve"> deceptive or misleading conduct</w:t>
      </w:r>
      <w:r>
        <w:t>.</w:t>
      </w:r>
    </w:p>
    <w:p w14:paraId="01FBCC80" w14:textId="0040468E" w:rsidR="00317592" w:rsidRPr="003E2A3A" w:rsidRDefault="00317592" w:rsidP="000A7092">
      <w:pPr>
        <w:pStyle w:val="ListBullet2"/>
      </w:pPr>
      <w:r w:rsidRPr="003E2A3A">
        <w:t>Section 232 of the ACL states that a court may grant an injunction (restraint).</w:t>
      </w:r>
    </w:p>
    <w:p w14:paraId="3CDF6252" w14:textId="0B3953C4" w:rsidR="00317592" w:rsidRPr="003E2A3A" w:rsidRDefault="00317592" w:rsidP="000A7092">
      <w:pPr>
        <w:pStyle w:val="ListBullet2"/>
      </w:pPr>
      <w:r w:rsidRPr="003E2A3A">
        <w:t xml:space="preserve">Section 236 of the ACL states that a person may make a claim to recover the amount of loss or damage suffered. There is a </w:t>
      </w:r>
      <w:proofErr w:type="gramStart"/>
      <w:r w:rsidR="003B5F5F" w:rsidRPr="003E2A3A">
        <w:t>six</w:t>
      </w:r>
      <w:r w:rsidRPr="003E2A3A">
        <w:t xml:space="preserve"> year</w:t>
      </w:r>
      <w:proofErr w:type="gramEnd"/>
      <w:r w:rsidRPr="003E2A3A">
        <w:t xml:space="preserve"> limit on such a claim.</w:t>
      </w:r>
    </w:p>
    <w:p w14:paraId="2A48217D" w14:textId="24E85822" w:rsidR="00317592" w:rsidRPr="003E2A3A" w:rsidRDefault="00317592" w:rsidP="000A7092">
      <w:pPr>
        <w:pStyle w:val="ListBullet2"/>
      </w:pPr>
      <w:r w:rsidRPr="003E2A3A">
        <w:t>Sections 237 and 242 of the ACL states that the court may make such orders as it deems appropriate.</w:t>
      </w:r>
    </w:p>
    <w:p w14:paraId="58551040" w14:textId="38AE776F" w:rsidR="002F2DBB" w:rsidRPr="00317592" w:rsidRDefault="002F2DBB" w:rsidP="000A7092">
      <w:pPr>
        <w:pStyle w:val="ListNumber"/>
      </w:pPr>
      <w:r w:rsidRPr="00EE0125">
        <w:t xml:space="preserve">The </w:t>
      </w:r>
      <w:r w:rsidRPr="00734C4D">
        <w:rPr>
          <w:rStyle w:val="Emphasis"/>
        </w:rPr>
        <w:t xml:space="preserve">Criminal Code Act 1995 </w:t>
      </w:r>
      <w:r w:rsidRPr="00EE0125">
        <w:t xml:space="preserve">(Cth) (the Criminal Code) may apply to prosecute a </w:t>
      </w:r>
      <w:r w:rsidR="00CA3614">
        <w:t>PL stakeholder</w:t>
      </w:r>
      <w:r w:rsidRPr="00EE0125">
        <w:t xml:space="preserve"> that has provided misleading or false information to the </w:t>
      </w:r>
      <w:r w:rsidR="00976379">
        <w:t>d</w:t>
      </w:r>
      <w:r w:rsidRPr="00EE0125">
        <w:t xml:space="preserve">epartment under </w:t>
      </w:r>
      <w:r w:rsidRPr="00734C4D">
        <w:rPr>
          <w:rStyle w:val="Emphasis"/>
        </w:rPr>
        <w:t>s 137.1 of the Criminal Code.</w:t>
      </w:r>
    </w:p>
    <w:p w14:paraId="457450C6" w14:textId="3F388BBF" w:rsidR="00317592" w:rsidRDefault="00317592" w:rsidP="000A7092">
      <w:pPr>
        <w:pStyle w:val="ListBullet"/>
      </w:pPr>
      <w:r w:rsidRPr="00317592">
        <w:t xml:space="preserve">Under s 137.1, a </w:t>
      </w:r>
      <w:r>
        <w:t>PL stakeholder</w:t>
      </w:r>
      <w:r w:rsidRPr="00317592">
        <w:t xml:space="preserve"> commits an offence if they give false or misleading information (or omits any matter or thing without which the information is misleading) to a Commonwealth entity (being the Department).</w:t>
      </w:r>
    </w:p>
    <w:p w14:paraId="7755FF1E" w14:textId="37EAFF31" w:rsidR="00317592" w:rsidRDefault="00317592" w:rsidP="000A7092">
      <w:pPr>
        <w:pStyle w:val="ListBullet"/>
      </w:pPr>
      <w:r w:rsidRPr="00317592">
        <w:t xml:space="preserve">Under s 137.1(2), the </w:t>
      </w:r>
      <w:r>
        <w:t>PL stakeholder</w:t>
      </w:r>
      <w:r w:rsidRPr="00317592">
        <w:t xml:space="preserve"> has the evidential burden of proving that the information is not false or misleading in a </w:t>
      </w:r>
      <w:proofErr w:type="gramStart"/>
      <w:r w:rsidRPr="00317592">
        <w:t>material particular</w:t>
      </w:r>
      <w:proofErr w:type="gramEnd"/>
      <w:r w:rsidRPr="00317592">
        <w:t>.</w:t>
      </w:r>
    </w:p>
    <w:p w14:paraId="18AB191D" w14:textId="3A730703" w:rsidR="001269AE" w:rsidRDefault="001269AE" w:rsidP="001269AE">
      <w:pPr>
        <w:pStyle w:val="Heading1"/>
      </w:pPr>
      <w:bookmarkStart w:id="18" w:name="_Toc203750756"/>
      <w:r>
        <w:t>Our Responsibilities</w:t>
      </w:r>
      <w:bookmarkEnd w:id="18"/>
    </w:p>
    <w:p w14:paraId="76EF3816" w14:textId="350D744F" w:rsidR="001269AE" w:rsidRDefault="005F174F" w:rsidP="001269AE">
      <w:pPr>
        <w:pStyle w:val="Heading2"/>
      </w:pPr>
      <w:bookmarkStart w:id="19" w:name="_Toc203750757"/>
      <w:r>
        <w:t>P</w:t>
      </w:r>
      <w:r w:rsidR="001269AE">
        <w:t>rinciples</w:t>
      </w:r>
      <w:r>
        <w:t xml:space="preserve"> underpinning the compliance activities</w:t>
      </w:r>
      <w:bookmarkEnd w:id="19"/>
    </w:p>
    <w:p w14:paraId="1BE5FA49" w14:textId="2804D0F4" w:rsidR="002C3D4A" w:rsidRPr="000E7FF8" w:rsidRDefault="002C3D4A" w:rsidP="000A7092">
      <w:r w:rsidRPr="000E7FF8">
        <w:t xml:space="preserve">Principles underpinning the approach to guide compliance activities in relation to </w:t>
      </w:r>
      <w:r w:rsidR="00115333">
        <w:t>Prescribed</w:t>
      </w:r>
      <w:r w:rsidRPr="000E7FF8">
        <w:t xml:space="preserve"> List are:</w:t>
      </w:r>
    </w:p>
    <w:p w14:paraId="052B73B7" w14:textId="2111B414" w:rsidR="002C3D4A" w:rsidRPr="00DE7298" w:rsidRDefault="002C3D4A" w:rsidP="000A7092">
      <w:pPr>
        <w:pStyle w:val="ListBullet"/>
      </w:pPr>
      <w:r w:rsidRPr="00734C4D">
        <w:rPr>
          <w:rStyle w:val="Strong"/>
        </w:rPr>
        <w:t>Risk based decision making</w:t>
      </w:r>
      <w:r w:rsidRPr="00DE7298">
        <w:t xml:space="preserve"> – Risks are identified, </w:t>
      </w:r>
      <w:r w:rsidR="00FB74C7" w:rsidRPr="00DE7298">
        <w:t>evaluated,</w:t>
      </w:r>
      <w:r w:rsidRPr="00DE7298">
        <w:t xml:space="preserve"> and monitored. Risks are assessed on their likelihood and potential consequences. Compliance activities are implemented to control risks</w:t>
      </w:r>
      <w:r w:rsidR="00DE7298">
        <w:t>.</w:t>
      </w:r>
    </w:p>
    <w:p w14:paraId="6F02EB13" w14:textId="4E787F08" w:rsidR="002C3D4A" w:rsidRPr="00DE7298" w:rsidRDefault="002C3D4A" w:rsidP="000A7092">
      <w:pPr>
        <w:pStyle w:val="ListBullet"/>
      </w:pPr>
      <w:r w:rsidRPr="00734C4D">
        <w:rPr>
          <w:rStyle w:val="Strong"/>
        </w:rPr>
        <w:t>Adopt a proportionate approach to non-compliance</w:t>
      </w:r>
      <w:r w:rsidRPr="00DE7298">
        <w:t xml:space="preserve"> – </w:t>
      </w:r>
      <w:r w:rsidR="00FB74C7">
        <w:t xml:space="preserve">If a </w:t>
      </w:r>
      <w:r w:rsidRPr="00DE7298">
        <w:t xml:space="preserve">non-compliance is identified, the information available will be assessed and a reasonable response will be implemented based on the severity of the issues identified and the PL </w:t>
      </w:r>
      <w:r w:rsidR="00DE7298" w:rsidRPr="00DE7298">
        <w:t>stakeholder’s</w:t>
      </w:r>
      <w:r w:rsidRPr="00DE7298">
        <w:t xml:space="preserve"> willingness to comply</w:t>
      </w:r>
      <w:r w:rsidR="00DE7298">
        <w:t>.</w:t>
      </w:r>
    </w:p>
    <w:p w14:paraId="5E012F90" w14:textId="024D412D" w:rsidR="002C3D4A" w:rsidRPr="00DE7298" w:rsidRDefault="002C3D4A" w:rsidP="000A7092">
      <w:pPr>
        <w:pStyle w:val="ListBullet"/>
      </w:pPr>
      <w:r w:rsidRPr="00734C4D">
        <w:rPr>
          <w:rStyle w:val="Strong"/>
        </w:rPr>
        <w:t>Impartiality/fairness</w:t>
      </w:r>
      <w:r w:rsidRPr="00DE7298">
        <w:t xml:space="preserve"> – Focus on being impartial and objective, ensuring that if any non</w:t>
      </w:r>
      <w:r w:rsidR="00A35524">
        <w:t> </w:t>
      </w:r>
      <w:r w:rsidRPr="00DE7298">
        <w:t>-</w:t>
      </w:r>
      <w:r w:rsidR="00A35524">
        <w:t> </w:t>
      </w:r>
      <w:r w:rsidRPr="00DE7298">
        <w:t>compliance is identified, an opportunity to respond will be provided</w:t>
      </w:r>
      <w:r w:rsidR="00DE7298">
        <w:t>.</w:t>
      </w:r>
    </w:p>
    <w:p w14:paraId="6E8A844C" w14:textId="5BAA3559" w:rsidR="002C3D4A" w:rsidRPr="00DE7298" w:rsidRDefault="002C3D4A" w:rsidP="000A7092">
      <w:pPr>
        <w:pStyle w:val="ListBullet"/>
      </w:pPr>
      <w:r w:rsidRPr="00734C4D">
        <w:rPr>
          <w:rStyle w:val="Strong"/>
        </w:rPr>
        <w:t>Act consistently</w:t>
      </w:r>
      <w:r w:rsidRPr="00DE7298">
        <w:t xml:space="preserve"> – Ensure a consistent approach, including how procedures and actions are applied</w:t>
      </w:r>
      <w:r w:rsidR="00DE7298">
        <w:t>.</w:t>
      </w:r>
    </w:p>
    <w:p w14:paraId="53024168" w14:textId="77777777" w:rsidR="002C3D4A" w:rsidRPr="00DE7298" w:rsidRDefault="002C3D4A" w:rsidP="000A7092">
      <w:pPr>
        <w:pStyle w:val="ListBullet"/>
      </w:pPr>
      <w:r w:rsidRPr="00734C4D">
        <w:rPr>
          <w:rStyle w:val="Strong"/>
        </w:rPr>
        <w:t>Transparency</w:t>
      </w:r>
      <w:r w:rsidRPr="00DE7298">
        <w:t xml:space="preserve"> – Communicating with PL stakeholders to provide a clear understanding of the approach to compliance.</w:t>
      </w:r>
    </w:p>
    <w:p w14:paraId="18941EE8" w14:textId="32486CB1" w:rsidR="002C3D4A" w:rsidRPr="00DE7298" w:rsidRDefault="002C3D4A" w:rsidP="000A7092">
      <w:pPr>
        <w:pStyle w:val="ListBullet"/>
      </w:pPr>
      <w:r w:rsidRPr="00734C4D">
        <w:rPr>
          <w:rStyle w:val="Strong"/>
        </w:rPr>
        <w:t>Accountability</w:t>
      </w:r>
      <w:r w:rsidRPr="00DE7298">
        <w:t xml:space="preserve"> – Compliance activities are consistent with the service delivery obligations</w:t>
      </w:r>
      <w:r w:rsidR="00A35524">
        <w:t>,</w:t>
      </w:r>
      <w:r w:rsidRPr="00DE7298">
        <w:t xml:space="preserve"> including all referenced standards and guidelines. Decisions are appropriately and accurately </w:t>
      </w:r>
      <w:r w:rsidR="00E01A2F" w:rsidRPr="00DE7298">
        <w:t>documented and</w:t>
      </w:r>
      <w:r w:rsidRPr="00DE7298">
        <w:t xml:space="preserve"> escalated/referred as </w:t>
      </w:r>
      <w:r w:rsidR="00FB74C7">
        <w:t>needed</w:t>
      </w:r>
      <w:r w:rsidR="00DE7298">
        <w:t>.</w:t>
      </w:r>
    </w:p>
    <w:p w14:paraId="447A6D32" w14:textId="51C21D68" w:rsidR="002C3D4A" w:rsidRPr="00DE7298" w:rsidRDefault="002C3D4A" w:rsidP="000A7092">
      <w:pPr>
        <w:pStyle w:val="ListBullet"/>
      </w:pPr>
      <w:r w:rsidRPr="00734C4D">
        <w:rPr>
          <w:rStyle w:val="Strong"/>
        </w:rPr>
        <w:t>Respond in a timely manner</w:t>
      </w:r>
      <w:r w:rsidRPr="00DE7298">
        <w:t xml:space="preserve"> – All compliance cases and compliance activities will be undertaken in a timely way, noting that timing is dependent on the type of </w:t>
      </w:r>
      <w:r w:rsidR="00721D30">
        <w:t>assessment</w:t>
      </w:r>
      <w:r w:rsidRPr="00DE7298">
        <w:t>, the complexity of issues identified and responses</w:t>
      </w:r>
      <w:r w:rsidR="00DE7298">
        <w:t>.</w:t>
      </w:r>
    </w:p>
    <w:p w14:paraId="460F0FE0" w14:textId="77777777" w:rsidR="001269AE" w:rsidRPr="005943E8" w:rsidRDefault="001269AE" w:rsidP="001269AE">
      <w:pPr>
        <w:pStyle w:val="Heading2"/>
      </w:pPr>
      <w:bookmarkStart w:id="20" w:name="_Toc82699870"/>
      <w:bookmarkStart w:id="21" w:name="_Toc203750758"/>
      <w:r w:rsidRPr="005943E8">
        <w:lastRenderedPageBreak/>
        <w:t>Conduct and Values</w:t>
      </w:r>
      <w:bookmarkEnd w:id="20"/>
      <w:bookmarkEnd w:id="21"/>
    </w:p>
    <w:p w14:paraId="4AE0CEB4" w14:textId="6AAFA87A" w:rsidR="001269AE" w:rsidRPr="00734C4D" w:rsidRDefault="001269AE" w:rsidP="000A7092">
      <w:r w:rsidRPr="00734C4D">
        <w:t xml:space="preserve">The </w:t>
      </w:r>
      <w:r w:rsidR="00F76DCD">
        <w:t>d</w:t>
      </w:r>
      <w:r w:rsidRPr="00734C4D">
        <w:t xml:space="preserve">epartment upholds and complies with the APS Code of Conduct and APS Values that are set out in the </w:t>
      </w:r>
      <w:r w:rsidRPr="005F0456">
        <w:rPr>
          <w:rStyle w:val="Emphasis"/>
        </w:rPr>
        <w:t>Public Service Act 1999</w:t>
      </w:r>
      <w:r w:rsidRPr="00734C4D">
        <w:t xml:space="preserve">. </w:t>
      </w:r>
      <w:r w:rsidR="00F76DCD">
        <w:t>Regardless of</w:t>
      </w:r>
      <w:r w:rsidRPr="00734C4D">
        <w:t xml:space="preserve"> </w:t>
      </w:r>
      <w:r w:rsidR="00F76DCD">
        <w:t>the reason</w:t>
      </w:r>
      <w:r w:rsidRPr="00734C4D">
        <w:t xml:space="preserve"> you are contacted by our staff, you can always expect:</w:t>
      </w:r>
    </w:p>
    <w:p w14:paraId="2D66B06D" w14:textId="77777777" w:rsidR="001269AE" w:rsidRPr="000E7FF8" w:rsidRDefault="001269AE" w:rsidP="000A7092">
      <w:pPr>
        <w:pStyle w:val="ListBullet"/>
      </w:pPr>
      <w:r w:rsidRPr="000E7FF8">
        <w:t>to be treated with respect</w:t>
      </w:r>
    </w:p>
    <w:p w14:paraId="578B01B0" w14:textId="77777777" w:rsidR="001269AE" w:rsidRPr="000E7FF8" w:rsidRDefault="001269AE" w:rsidP="000A7092">
      <w:pPr>
        <w:pStyle w:val="ListBullet"/>
      </w:pPr>
      <w:r w:rsidRPr="000E7FF8">
        <w:t>to be given quality information</w:t>
      </w:r>
    </w:p>
    <w:p w14:paraId="0ACCB0B5" w14:textId="77777777" w:rsidR="001269AE" w:rsidRPr="000E7FF8" w:rsidRDefault="001269AE" w:rsidP="000A7092">
      <w:pPr>
        <w:pStyle w:val="ListBullet"/>
      </w:pPr>
      <w:r w:rsidRPr="000E7FF8">
        <w:t>fair and transparent service</w:t>
      </w:r>
    </w:p>
    <w:p w14:paraId="69A3B537" w14:textId="77777777" w:rsidR="001269AE" w:rsidRPr="000E7FF8" w:rsidRDefault="001269AE" w:rsidP="000A7092">
      <w:pPr>
        <w:pStyle w:val="ListBullet"/>
      </w:pPr>
      <w:r w:rsidRPr="000E7FF8">
        <w:t>genuine consultation</w:t>
      </w:r>
    </w:p>
    <w:p w14:paraId="486BF84A" w14:textId="1314B564" w:rsidR="001269AE" w:rsidRPr="000E7FF8" w:rsidRDefault="001269AE" w:rsidP="000A7092">
      <w:pPr>
        <w:pStyle w:val="ListBullet"/>
      </w:pPr>
      <w:r w:rsidRPr="000E7FF8">
        <w:t>efficiency in the conduct of our processes.</w:t>
      </w:r>
    </w:p>
    <w:p w14:paraId="71210BA4" w14:textId="22470CE6" w:rsidR="001269AE" w:rsidRPr="005943E8" w:rsidRDefault="001269AE" w:rsidP="001269AE">
      <w:pPr>
        <w:pStyle w:val="Heading2"/>
      </w:pPr>
      <w:bookmarkStart w:id="22" w:name="_Toc82699871"/>
      <w:bookmarkStart w:id="23" w:name="_Toc203750759"/>
      <w:r w:rsidRPr="005943E8">
        <w:t>Procedural Fairness</w:t>
      </w:r>
      <w:bookmarkEnd w:id="22"/>
      <w:bookmarkEnd w:id="23"/>
    </w:p>
    <w:p w14:paraId="1BC88DD6" w14:textId="6B4A0BF9" w:rsidR="001269AE" w:rsidRPr="00734C4D" w:rsidRDefault="00B563BE" w:rsidP="000A7092">
      <w:r>
        <w:t>Where a</w:t>
      </w:r>
      <w:r w:rsidR="001269AE" w:rsidRPr="00734C4D">
        <w:t xml:space="preserve"> matter escalate</w:t>
      </w:r>
      <w:r>
        <w:t>s</w:t>
      </w:r>
      <w:r w:rsidR="001269AE" w:rsidRPr="00734C4D">
        <w:t xml:space="preserve"> to a point of an administrative law decision, the </w:t>
      </w:r>
      <w:r w:rsidR="00976379">
        <w:t>d</w:t>
      </w:r>
      <w:r w:rsidR="001269AE" w:rsidRPr="00734C4D">
        <w:t>epartment will ensure procedural fairness by:</w:t>
      </w:r>
    </w:p>
    <w:p w14:paraId="77F61CEF" w14:textId="77777777" w:rsidR="001269AE" w:rsidRPr="000E7FF8" w:rsidRDefault="001269AE" w:rsidP="000A7092">
      <w:pPr>
        <w:pStyle w:val="ListBullet"/>
      </w:pPr>
      <w:r w:rsidRPr="000E7FF8">
        <w:t>avoiding actual and perceived conflicts of interest and act in an impartial and objective manner</w:t>
      </w:r>
    </w:p>
    <w:p w14:paraId="37C106FE" w14:textId="77777777" w:rsidR="001269AE" w:rsidRPr="000E7FF8" w:rsidRDefault="001269AE" w:rsidP="000A7092">
      <w:pPr>
        <w:pStyle w:val="ListBullet"/>
      </w:pPr>
      <w:r w:rsidRPr="000E7FF8">
        <w:t>affording a person or organisation a reasonable opportunity to be heard and/or respond to the case before making an adverse decision affecting their interests.</w:t>
      </w:r>
    </w:p>
    <w:p w14:paraId="03361605" w14:textId="77777777" w:rsidR="001269AE" w:rsidRPr="00734C4D" w:rsidRDefault="001269AE" w:rsidP="000A7092">
      <w:r w:rsidRPr="00734C4D">
        <w:t>This supports decisions that are fair, reasonable and made without bias.</w:t>
      </w:r>
    </w:p>
    <w:p w14:paraId="4CF765D4" w14:textId="77777777" w:rsidR="001269AE" w:rsidRPr="005943E8" w:rsidRDefault="001269AE" w:rsidP="001269AE">
      <w:pPr>
        <w:pStyle w:val="Heading2"/>
      </w:pPr>
      <w:bookmarkStart w:id="24" w:name="_Toc82699872"/>
      <w:bookmarkStart w:id="25" w:name="_Toc203750760"/>
      <w:r w:rsidRPr="005943E8">
        <w:t>Privacy</w:t>
      </w:r>
      <w:bookmarkEnd w:id="24"/>
      <w:bookmarkEnd w:id="25"/>
    </w:p>
    <w:p w14:paraId="4A0A4FB5" w14:textId="4BBD121A" w:rsidR="001269AE" w:rsidRPr="000A7092" w:rsidRDefault="001269AE" w:rsidP="000A7092">
      <w:r w:rsidRPr="000A7092">
        <w:t xml:space="preserve">Your personal information will be handled in a way that protects your privacy in line with the </w:t>
      </w:r>
      <w:r w:rsidRPr="005F0456">
        <w:rPr>
          <w:rStyle w:val="Emphasis"/>
        </w:rPr>
        <w:t>Privacy Act 1988 (</w:t>
      </w:r>
      <w:proofErr w:type="spellStart"/>
      <w:r w:rsidRPr="005F0456">
        <w:rPr>
          <w:rStyle w:val="Emphasis"/>
        </w:rPr>
        <w:t>Cth</w:t>
      </w:r>
      <w:proofErr w:type="spellEnd"/>
      <w:r w:rsidRPr="005F0456">
        <w:rPr>
          <w:rStyle w:val="Emphasis"/>
        </w:rPr>
        <w:t xml:space="preserve">) </w:t>
      </w:r>
      <w:r w:rsidRPr="000A7092">
        <w:t xml:space="preserve">(Privacy Act). This includes the </w:t>
      </w:r>
      <w:r w:rsidRPr="005F0456">
        <w:rPr>
          <w:rStyle w:val="Emphasis"/>
        </w:rPr>
        <w:t>Australian Privacy Principles</w:t>
      </w:r>
      <w:r w:rsidRPr="000A7092">
        <w:t xml:space="preserve"> (APPs) and the </w:t>
      </w:r>
      <w:r w:rsidRPr="005F0456">
        <w:rPr>
          <w:rStyle w:val="Emphasis"/>
        </w:rPr>
        <w:t>Australian Government Agencies Privacy Code</w:t>
      </w:r>
      <w:r w:rsidRPr="000A7092">
        <w:t xml:space="preserve">. The </w:t>
      </w:r>
      <w:r w:rsidR="00F76DCD" w:rsidRPr="000A7092">
        <w:t xml:space="preserve">department’s </w:t>
      </w:r>
      <w:hyperlink r:id="rId28" w:history="1">
        <w:r w:rsidR="00F76DCD" w:rsidRPr="005F0456">
          <w:rPr>
            <w:rStyle w:val="Hyperlink"/>
          </w:rPr>
          <w:t>Privacy Policy</w:t>
        </w:r>
      </w:hyperlink>
      <w:r w:rsidR="00F76DCD" w:rsidRPr="000A7092">
        <w:t xml:space="preserve"> </w:t>
      </w:r>
      <w:r w:rsidRPr="000A7092">
        <w:t xml:space="preserve">can be found on our </w:t>
      </w:r>
      <w:hyperlink r:id="rId29">
        <w:r w:rsidRPr="005F0456">
          <w:rPr>
            <w:rStyle w:val="Hyperlink"/>
          </w:rPr>
          <w:t>website</w:t>
        </w:r>
      </w:hyperlink>
      <w:r w:rsidRPr="000A7092">
        <w:t>.</w:t>
      </w:r>
    </w:p>
    <w:p w14:paraId="08A0AD7F" w14:textId="74AA37A0" w:rsidR="001269AE" w:rsidRPr="00294249" w:rsidRDefault="001269AE" w:rsidP="000A7092">
      <w:r w:rsidRPr="00294249">
        <w:t xml:space="preserve">In addition, the </w:t>
      </w:r>
      <w:r w:rsidRPr="00734C4D">
        <w:rPr>
          <w:rStyle w:val="Emphasis"/>
        </w:rPr>
        <w:t>Private Health Insurance Act 2007</w:t>
      </w:r>
      <w:r w:rsidRPr="00294249">
        <w:t xml:space="preserve"> contain</w:t>
      </w:r>
      <w:r w:rsidR="00B563BE">
        <w:t>s</w:t>
      </w:r>
      <w:r w:rsidRPr="00294249">
        <w:t xml:space="preserve"> a range of secrecy provisions that further protect your sensitive information </w:t>
      </w:r>
      <w:r w:rsidR="00B563BE">
        <w:t xml:space="preserve">that may be used </w:t>
      </w:r>
      <w:r w:rsidRPr="00294249">
        <w:t xml:space="preserve">when undertaking our compliance and enforcement </w:t>
      </w:r>
      <w:r w:rsidR="00B563BE">
        <w:t>activities</w:t>
      </w:r>
      <w:r w:rsidRPr="00294249">
        <w:t>.</w:t>
      </w:r>
    </w:p>
    <w:p w14:paraId="172C9357" w14:textId="694025A7" w:rsidR="001269AE" w:rsidRPr="00294249" w:rsidRDefault="001269AE" w:rsidP="000A7092">
      <w:r w:rsidRPr="00294249">
        <w:t xml:space="preserve">The data and information sharing provisions </w:t>
      </w:r>
      <w:r w:rsidR="006E6FDE">
        <w:t>allow</w:t>
      </w:r>
      <w:r w:rsidRPr="00294249">
        <w:t xml:space="preserve"> </w:t>
      </w:r>
      <w:r w:rsidR="00B563BE">
        <w:t xml:space="preserve">for </w:t>
      </w:r>
      <w:r w:rsidRPr="00294249">
        <w:t xml:space="preserve">a strong evidence base </w:t>
      </w:r>
      <w:r w:rsidR="00B563BE">
        <w:t xml:space="preserve">that underpins </w:t>
      </w:r>
      <w:r w:rsidRPr="00294249">
        <w:t xml:space="preserve">decisions </w:t>
      </w:r>
      <w:r w:rsidR="00B563BE">
        <w:t xml:space="preserve">and supports </w:t>
      </w:r>
      <w:r w:rsidRPr="00294249">
        <w:t>PL assessment, listing activities, post-listing reviews, compliance activities and continuous improvement activities.</w:t>
      </w:r>
    </w:p>
    <w:p w14:paraId="3F7C7738" w14:textId="0E7B1025" w:rsidR="001269AE" w:rsidRDefault="001269AE" w:rsidP="000A7092">
      <w:r w:rsidRPr="00294249">
        <w:t xml:space="preserve">The </w:t>
      </w:r>
      <w:r w:rsidR="00976379">
        <w:t>d</w:t>
      </w:r>
      <w:r w:rsidRPr="00294249">
        <w:t xml:space="preserve">epartment </w:t>
      </w:r>
      <w:r w:rsidR="00B563BE">
        <w:t xml:space="preserve">is committed to </w:t>
      </w:r>
      <w:r w:rsidRPr="00294249">
        <w:t xml:space="preserve">ensuring strong security and privacy protections </w:t>
      </w:r>
      <w:r w:rsidR="006E6FDE">
        <w:t>about</w:t>
      </w:r>
      <w:r w:rsidRPr="00294249">
        <w:t xml:space="preserve"> data and information sharing arrangements.</w:t>
      </w:r>
    </w:p>
    <w:p w14:paraId="5DBEFDDE" w14:textId="77777777" w:rsidR="009F37FD" w:rsidRPr="000E7FF8" w:rsidRDefault="009F37FD" w:rsidP="000A7092">
      <w:r>
        <w:br w:type="page"/>
      </w:r>
    </w:p>
    <w:p w14:paraId="24F6809A" w14:textId="312B1B31" w:rsidR="001269AE" w:rsidRDefault="001269AE" w:rsidP="001269AE">
      <w:pPr>
        <w:pStyle w:val="Heading1"/>
      </w:pPr>
      <w:bookmarkStart w:id="26" w:name="_Toc203750761"/>
      <w:r>
        <w:lastRenderedPageBreak/>
        <w:t>How to Report Non-Compliance</w:t>
      </w:r>
      <w:bookmarkEnd w:id="26"/>
    </w:p>
    <w:p w14:paraId="1FB064F2" w14:textId="4463A64C" w:rsidR="001269AE" w:rsidRPr="00294249" w:rsidRDefault="001269AE" w:rsidP="000A7092">
      <w:r w:rsidRPr="00294249">
        <w:t xml:space="preserve">The </w:t>
      </w:r>
      <w:r w:rsidR="00F76DCD">
        <w:t>d</w:t>
      </w:r>
      <w:r w:rsidRPr="00294249">
        <w:t xml:space="preserve">epartment is committed to preventing fraud and other </w:t>
      </w:r>
      <w:r w:rsidR="009F37FD">
        <w:t xml:space="preserve">non-compliant </w:t>
      </w:r>
      <w:r w:rsidRPr="00294249">
        <w:t xml:space="preserve">practices that pose risks to the PL settings. Specific concerns relating to </w:t>
      </w:r>
      <w:r w:rsidR="00B563BE">
        <w:t>the PL settings or stakeholder behaviour</w:t>
      </w:r>
      <w:r w:rsidRPr="00294249">
        <w:t xml:space="preserve"> or a PL device </w:t>
      </w:r>
      <w:r w:rsidR="00B563BE">
        <w:t xml:space="preserve">can be sent to </w:t>
      </w:r>
      <w:r w:rsidRPr="00294249">
        <w:t xml:space="preserve">the </w:t>
      </w:r>
      <w:r w:rsidRPr="0056701D">
        <w:t>email:</w:t>
      </w:r>
      <w:r w:rsidR="00BE7E9B" w:rsidRPr="0056701D">
        <w:t xml:space="preserve"> </w:t>
      </w:r>
      <w:hyperlink r:id="rId30" w:history="1">
        <w:r w:rsidR="00054E03" w:rsidRPr="005F0456">
          <w:rPr>
            <w:rStyle w:val="Hyperlink"/>
          </w:rPr>
          <w:t>prescribedlist.compliance@health.gov.au</w:t>
        </w:r>
      </w:hyperlink>
    </w:p>
    <w:p w14:paraId="4D1D58F4" w14:textId="38B9F90B" w:rsidR="001269AE" w:rsidRDefault="00C451E4" w:rsidP="001269AE">
      <w:pPr>
        <w:pStyle w:val="Heading1"/>
      </w:pPr>
      <w:bookmarkStart w:id="27" w:name="_Toc203750762"/>
      <w:r>
        <w:t>Additional information and r</w:t>
      </w:r>
      <w:r w:rsidR="001269AE">
        <w:t>esources</w:t>
      </w:r>
      <w:bookmarkEnd w:id="27"/>
    </w:p>
    <w:p w14:paraId="79EA5597" w14:textId="77777777" w:rsidR="001269AE" w:rsidRPr="005F0456" w:rsidRDefault="001269AE" w:rsidP="000A7092">
      <w:r w:rsidRPr="005F0456">
        <w:t>Other relevant resources include:</w:t>
      </w:r>
    </w:p>
    <w:p w14:paraId="332544FD" w14:textId="06EB9A85" w:rsidR="007C5833" w:rsidRPr="005F0456" w:rsidRDefault="007C5833" w:rsidP="000A7092">
      <w:pPr>
        <w:pStyle w:val="ListBullet"/>
        <w:rPr>
          <w:rStyle w:val="Hyperlink"/>
        </w:rPr>
      </w:pPr>
      <w:hyperlink r:id="rId31" w:history="1">
        <w:r w:rsidRPr="005F0456">
          <w:rPr>
            <w:rStyle w:val="Hyperlink"/>
          </w:rPr>
          <w:t>Overview of the Prescribed List</w:t>
        </w:r>
      </w:hyperlink>
    </w:p>
    <w:p w14:paraId="6A21C692" w14:textId="310F526A" w:rsidR="00C96738" w:rsidRPr="005F0456" w:rsidRDefault="007C5833" w:rsidP="000A7092">
      <w:pPr>
        <w:pStyle w:val="ListBullet"/>
        <w:rPr>
          <w:rStyle w:val="Hyperlink"/>
        </w:rPr>
      </w:pPr>
      <w:hyperlink r:id="rId32" w:history="1">
        <w:r w:rsidRPr="005F0456">
          <w:rPr>
            <w:rStyle w:val="Hyperlink"/>
          </w:rPr>
          <w:t>The Prescribed List</w:t>
        </w:r>
      </w:hyperlink>
    </w:p>
    <w:p w14:paraId="63068967" w14:textId="479CEC4B" w:rsidR="001269AE" w:rsidRPr="005F0456" w:rsidRDefault="001269AE" w:rsidP="000A7092">
      <w:pPr>
        <w:pStyle w:val="ListBullet"/>
        <w:rPr>
          <w:rStyle w:val="Hyperlink"/>
        </w:rPr>
      </w:pPr>
      <w:hyperlink r:id="rId33" w:history="1">
        <w:r w:rsidRPr="005F0456">
          <w:rPr>
            <w:rStyle w:val="Hyperlink"/>
          </w:rPr>
          <w:t>Regulation and compliance</w:t>
        </w:r>
      </w:hyperlink>
    </w:p>
    <w:p w14:paraId="0CD21CDF" w14:textId="2415142D" w:rsidR="001269AE" w:rsidRPr="000A7092" w:rsidRDefault="005F0456" w:rsidP="000A7092">
      <w:pPr>
        <w:pStyle w:val="ListBullet"/>
      </w:pPr>
      <w:hyperlink r:id="rId34" w:history="1">
        <w:r w:rsidR="001269AE" w:rsidRPr="005F0456">
          <w:rPr>
            <w:rStyle w:val="Hyperlink"/>
          </w:rPr>
          <w:t xml:space="preserve">The </w:t>
        </w:r>
        <w:r w:rsidR="005C002F" w:rsidRPr="005F0456">
          <w:rPr>
            <w:rStyle w:val="Hyperlink"/>
          </w:rPr>
          <w:t>Prescribed</w:t>
        </w:r>
        <w:r w:rsidR="001269AE" w:rsidRPr="005F0456">
          <w:rPr>
            <w:rStyle w:val="Hyperlink"/>
          </w:rPr>
          <w:t xml:space="preserve"> List reforms</w:t>
        </w:r>
      </w:hyperlink>
    </w:p>
    <w:p w14:paraId="73AA526D" w14:textId="4CEE87C3" w:rsidR="001269AE" w:rsidRPr="000A7092" w:rsidRDefault="005F0456" w:rsidP="000A7092">
      <w:pPr>
        <w:pStyle w:val="ListBullet"/>
      </w:pPr>
      <w:hyperlink r:id="rId35" w:history="1">
        <w:r w:rsidR="005C002F" w:rsidRPr="005F0456">
          <w:rPr>
            <w:rStyle w:val="Hyperlink"/>
          </w:rPr>
          <w:t>Prescribed</w:t>
        </w:r>
        <w:r w:rsidR="001269AE" w:rsidRPr="005F0456">
          <w:rPr>
            <w:rStyle w:val="Hyperlink"/>
          </w:rPr>
          <w:t xml:space="preserve"> List Guide</w:t>
        </w:r>
      </w:hyperlink>
    </w:p>
    <w:p w14:paraId="2F89891E" w14:textId="4F7CD418" w:rsidR="00B30457" w:rsidRPr="005F0456" w:rsidRDefault="00B30457" w:rsidP="000A7092">
      <w:pPr>
        <w:pStyle w:val="ListBullet"/>
        <w:rPr>
          <w:rStyle w:val="Hyperlink"/>
        </w:rPr>
      </w:pPr>
      <w:hyperlink r:id="rId36" w:history="1">
        <w:r w:rsidRPr="005F0456">
          <w:rPr>
            <w:rStyle w:val="Hyperlink"/>
          </w:rPr>
          <w:t>Post-listing review framework</w:t>
        </w:r>
      </w:hyperlink>
    </w:p>
    <w:p w14:paraId="2D3C3690" w14:textId="35060F71" w:rsidR="00B30457" w:rsidRDefault="00C451E4" w:rsidP="000A7092">
      <w:pPr>
        <w:pStyle w:val="ListBullet"/>
      </w:pPr>
      <w:r w:rsidRPr="00B30457">
        <w:t>For</w:t>
      </w:r>
      <w:r>
        <w:t xml:space="preserve"> the legislation relevant to medical devices and human tissue products, refer to the </w:t>
      </w:r>
      <w:hyperlink r:id="rId37" w:history="1">
        <w:r w:rsidRPr="00B30457">
          <w:rPr>
            <w:rStyle w:val="Hyperlink"/>
          </w:rPr>
          <w:t>Federal Register of Legislation</w:t>
        </w:r>
      </w:hyperlink>
      <w:r>
        <w:t>:</w:t>
      </w:r>
    </w:p>
    <w:p w14:paraId="3BBFD8E4" w14:textId="5E08A439" w:rsidR="00C451E4" w:rsidRPr="005F0456" w:rsidRDefault="00C451E4" w:rsidP="000A7092">
      <w:pPr>
        <w:pStyle w:val="ListBullet2"/>
      </w:pPr>
      <w:hyperlink r:id="rId38" w:history="1">
        <w:r w:rsidRPr="005F0456">
          <w:rPr>
            <w:rStyle w:val="Hyperlink"/>
          </w:rPr>
          <w:t>Private Health Insurance Act 2007</w:t>
        </w:r>
      </w:hyperlink>
    </w:p>
    <w:p w14:paraId="5A183668" w14:textId="01797F5D" w:rsidR="00C451E4" w:rsidRPr="005F0456" w:rsidRDefault="00C451E4" w:rsidP="000A7092">
      <w:pPr>
        <w:pStyle w:val="ListBullet2"/>
      </w:pPr>
      <w:hyperlink r:id="rId39" w:history="1">
        <w:r w:rsidRPr="005F0456">
          <w:rPr>
            <w:rStyle w:val="Hyperlink"/>
          </w:rPr>
          <w:t>Private Health Insurance (Medical Devices and Human Tissue Products) Rules</w:t>
        </w:r>
      </w:hyperlink>
    </w:p>
    <w:p w14:paraId="276A5B75" w14:textId="1B9D6477" w:rsidR="00FE0901" w:rsidRPr="00B30457" w:rsidRDefault="00C96738" w:rsidP="000A7092">
      <w:pPr>
        <w:pStyle w:val="ListBullet"/>
      </w:pPr>
      <w:hyperlink r:id="rId40" w:history="1">
        <w:r w:rsidRPr="00B30457">
          <w:rPr>
            <w:rStyle w:val="Hyperlink"/>
          </w:rPr>
          <w:t xml:space="preserve">Overview of </w:t>
        </w:r>
        <w:r w:rsidR="00FE0901" w:rsidRPr="005F0456">
          <w:rPr>
            <w:rStyle w:val="Hyperlink"/>
          </w:rPr>
          <w:t>Private health insurance</w:t>
        </w:r>
      </w:hyperlink>
      <w:r w:rsidR="00C203FB" w:rsidRPr="00B30457">
        <w:t xml:space="preserve"> </w:t>
      </w:r>
    </w:p>
    <w:p w14:paraId="35128074" w14:textId="02CE3BCF" w:rsidR="00A03C4E" w:rsidRPr="00C83BED" w:rsidRDefault="00A03C4E" w:rsidP="000A7092">
      <w:pPr>
        <w:pStyle w:val="ListBullet"/>
      </w:pPr>
      <w:hyperlink r:id="rId41" w:history="1">
        <w:r w:rsidRPr="00B30457">
          <w:rPr>
            <w:rStyle w:val="Hyperlink"/>
          </w:rPr>
          <w:t>Australian Register of Therapeutic Goods (ARTG)</w:t>
        </w:r>
      </w:hyperlink>
    </w:p>
    <w:p w14:paraId="76C097E5" w14:textId="5B57E029" w:rsidR="00C96738" w:rsidRPr="00B30457" w:rsidRDefault="00C96738" w:rsidP="000A7092">
      <w:pPr>
        <w:pStyle w:val="ListBullet"/>
      </w:pPr>
      <w:hyperlink r:id="rId42" w:history="1">
        <w:r w:rsidRPr="00C83BED">
          <w:rPr>
            <w:rStyle w:val="Hyperlink"/>
          </w:rPr>
          <w:t>M</w:t>
        </w:r>
        <w:r w:rsidR="00C451E4" w:rsidRPr="00C83BED">
          <w:rPr>
            <w:rStyle w:val="Hyperlink"/>
          </w:rPr>
          <w:t>edicare Benefits Schedule</w:t>
        </w:r>
        <w:r w:rsidRPr="00C83BED">
          <w:rPr>
            <w:rStyle w:val="Hyperlink"/>
          </w:rPr>
          <w:t xml:space="preserve"> Online</w:t>
        </w:r>
      </w:hyperlink>
    </w:p>
    <w:p w14:paraId="20FF6515" w14:textId="77777777" w:rsidR="00FE0901" w:rsidRPr="00734C4D" w:rsidRDefault="00FE0901" w:rsidP="000A7092">
      <w:pPr>
        <w:pStyle w:val="URL"/>
      </w:pPr>
      <w:r w:rsidRPr="00734C4D">
        <w:t>Health.gov.au</w:t>
      </w:r>
    </w:p>
    <w:p w14:paraId="5A1A623A" w14:textId="2FAC2F60" w:rsidR="0051242B" w:rsidRPr="00734C4D" w:rsidRDefault="00FE0901" w:rsidP="000A7092">
      <w:r w:rsidRPr="00734C4D">
        <w:t xml:space="preserve">All information in this publication is correct as of </w:t>
      </w:r>
      <w:r w:rsidR="007D697E">
        <w:t>July</w:t>
      </w:r>
      <w:r w:rsidR="00C203FB">
        <w:t xml:space="preserve"> 2025</w:t>
      </w:r>
      <w:r w:rsidRPr="00734C4D">
        <w:t>.</w:t>
      </w:r>
    </w:p>
    <w:sectPr w:rsidR="0051242B" w:rsidRPr="00734C4D" w:rsidSect="00A74345">
      <w:headerReference w:type="default" r:id="rId43"/>
      <w:footerReference w:type="default" r:id="rId4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C782" w14:textId="77777777" w:rsidR="00622B56" w:rsidRDefault="00622B56" w:rsidP="000A7092">
      <w:r>
        <w:separator/>
      </w:r>
    </w:p>
    <w:p w14:paraId="71E58FE1" w14:textId="77777777" w:rsidR="00622B56" w:rsidRDefault="00622B56" w:rsidP="000A7092"/>
  </w:endnote>
  <w:endnote w:type="continuationSeparator" w:id="0">
    <w:p w14:paraId="00916EFE" w14:textId="77777777" w:rsidR="00622B56" w:rsidRDefault="00622B56" w:rsidP="000A7092">
      <w:r>
        <w:continuationSeparator/>
      </w:r>
    </w:p>
    <w:p w14:paraId="665BB7E0" w14:textId="77777777" w:rsidR="00622B56" w:rsidRDefault="00622B56" w:rsidP="000A7092"/>
  </w:endnote>
  <w:endnote w:type="continuationNotice" w:id="1">
    <w:p w14:paraId="7D5BD8D1" w14:textId="77777777" w:rsidR="00622B56" w:rsidRDefault="00622B56" w:rsidP="000A7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29FD" w14:textId="77777777" w:rsidR="00E67332" w:rsidRDefault="00E67332" w:rsidP="00B15133">
    <w:pPr>
      <w:pStyle w:val="Footer"/>
    </w:pPr>
    <w:r>
      <w:fldChar w:fldCharType="begin"/>
    </w:r>
    <w:r>
      <w:instrText xml:space="preserve"> PAGE   \* MERGEFORMAT </w:instrText>
    </w:r>
    <w:r>
      <w:fldChar w:fldCharType="separate"/>
    </w:r>
    <w:r>
      <w:rPr>
        <w:noProof/>
      </w:rPr>
      <w:t>4</w:t>
    </w:r>
    <w:r>
      <w:rPr>
        <w:noProof/>
      </w:rPr>
      <w:fldChar w:fldCharType="end"/>
    </w:r>
    <w:r w:rsidRPr="000D56E4">
      <w:tab/>
    </w:r>
    <w:r>
      <w:t>Prostheses List Compliance Strategy – 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71242845" w14:textId="42EC03D8" w:rsidR="00E67332" w:rsidRDefault="00565724" w:rsidP="00B15133">
        <w:pPr>
          <w:pStyle w:val="Footer"/>
        </w:pPr>
        <w:r>
          <w:t>Prescribed</w:t>
        </w:r>
        <w:r w:rsidR="00E67332">
          <w:t xml:space="preserve"> List Compliance Strategy | </w:t>
        </w:r>
        <w:r w:rsidR="00F02506">
          <w:t>July</w:t>
        </w:r>
        <w:r w:rsidR="00EF6F03">
          <w:rPr>
            <w:color w:val="000000" w:themeColor="text1"/>
          </w:rPr>
          <w:t xml:space="preserve"> 2025</w:t>
        </w:r>
        <w:r w:rsidR="00FB73EB">
          <w:rPr>
            <w:color w:val="000000" w:themeColor="text1"/>
          </w:rPr>
          <w:t xml:space="preserve"> </w:t>
        </w:r>
        <w:r w:rsidR="00E67332">
          <w:tab/>
        </w:r>
        <w:r w:rsidR="00E67332">
          <w:fldChar w:fldCharType="begin"/>
        </w:r>
        <w:r w:rsidR="00E67332">
          <w:instrText xml:space="preserve"> PAGE   \* MERGEFORMAT </w:instrText>
        </w:r>
        <w:r w:rsidR="00E67332">
          <w:fldChar w:fldCharType="separate"/>
        </w:r>
        <w:r w:rsidR="00E67332">
          <w:rPr>
            <w:noProof/>
          </w:rPr>
          <w:t>3</w:t>
        </w:r>
        <w:r w:rsidR="00E67332">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45585D55" w14:textId="77777777" w:rsidR="00E67332" w:rsidRDefault="00E67332" w:rsidP="00B15133">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477413"/>
      <w:docPartObj>
        <w:docPartGallery w:val="Page Numbers (Bottom of Page)"/>
        <w:docPartUnique/>
      </w:docPartObj>
    </w:sdtPr>
    <w:sdtEndPr>
      <w:rPr>
        <w:noProof/>
      </w:rPr>
    </w:sdtEndPr>
    <w:sdtContent>
      <w:p w14:paraId="7F4FFB6B" w14:textId="5D185743" w:rsidR="00766336" w:rsidRDefault="00565724" w:rsidP="00B15133">
        <w:pPr>
          <w:pStyle w:val="Footer"/>
        </w:pPr>
        <w:r>
          <w:t xml:space="preserve">Prescribed </w:t>
        </w:r>
        <w:r w:rsidR="00766336">
          <w:t>List Compliance Strategy |</w:t>
        </w:r>
        <w:r w:rsidR="002B5FF3">
          <w:rPr>
            <w:color w:val="000000" w:themeColor="text1"/>
          </w:rPr>
          <w:t xml:space="preserve"> </w:t>
        </w:r>
        <w:r w:rsidR="00F02506">
          <w:rPr>
            <w:color w:val="000000" w:themeColor="text1"/>
          </w:rPr>
          <w:t>July</w:t>
        </w:r>
        <w:r w:rsidR="000741FF">
          <w:rPr>
            <w:color w:val="000000" w:themeColor="text1"/>
          </w:rPr>
          <w:t xml:space="preserve"> </w:t>
        </w:r>
        <w:r w:rsidR="00F1494A">
          <w:rPr>
            <w:color w:val="000000" w:themeColor="text1"/>
          </w:rPr>
          <w:t>202</w:t>
        </w:r>
        <w:r w:rsidR="000741FF">
          <w:rPr>
            <w:color w:val="000000" w:themeColor="text1"/>
          </w:rPr>
          <w:t>5</w:t>
        </w:r>
        <w:r w:rsidR="00766336">
          <w:tab/>
        </w:r>
        <w:r w:rsidR="00766336">
          <w:fldChar w:fldCharType="begin"/>
        </w:r>
        <w:r w:rsidR="00766336">
          <w:instrText xml:space="preserve"> PAGE   \* MERGEFORMAT </w:instrText>
        </w:r>
        <w:r w:rsidR="00766336">
          <w:fldChar w:fldCharType="separate"/>
        </w:r>
        <w:r w:rsidR="00766336">
          <w:rPr>
            <w:noProof/>
          </w:rPr>
          <w:t>3</w:t>
        </w:r>
        <w:r w:rsidR="00766336">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A6C9F" w14:textId="712B094D" w:rsidR="00E67332" w:rsidRPr="00751A23" w:rsidRDefault="009331B6" w:rsidP="00934368">
    <w:pPr>
      <w:pStyle w:val="Footer"/>
    </w:pPr>
    <w:r>
      <w:t>Prescribed</w:t>
    </w:r>
    <w:r w:rsidR="00E67332">
      <w:t xml:space="preserve"> List Compliance Strategy | </w:t>
    </w:r>
    <w:r w:rsidR="00607786">
      <w:rPr>
        <w:color w:val="000000" w:themeColor="text1"/>
      </w:rPr>
      <w:t>Ju</w:t>
    </w:r>
    <w:r w:rsidR="00780491">
      <w:rPr>
        <w:color w:val="000000" w:themeColor="text1"/>
      </w:rPr>
      <w:t>ly</w:t>
    </w:r>
    <w:r w:rsidR="00604896">
      <w:rPr>
        <w:color w:val="000000" w:themeColor="text1"/>
      </w:rPr>
      <w:t xml:space="preserve"> </w:t>
    </w:r>
    <w:r w:rsidR="00E67332">
      <w:rPr>
        <w:color w:val="000000" w:themeColor="text1"/>
      </w:rPr>
      <w:t>202</w:t>
    </w:r>
    <w:r w:rsidR="00027A7A">
      <w:rPr>
        <w:color w:val="000000" w:themeColor="text1"/>
      </w:rPr>
      <w:t>5</w:t>
    </w:r>
    <w:sdt>
      <w:sdtPr>
        <w:id w:val="-443848716"/>
        <w:docPartObj>
          <w:docPartGallery w:val="Page Numbers (Bottom of Page)"/>
          <w:docPartUnique/>
        </w:docPartObj>
      </w:sdtPr>
      <w:sdtEndPr>
        <w:rPr>
          <w:noProof/>
        </w:rPr>
      </w:sdtEndPr>
      <w:sdtContent>
        <w:r w:rsidR="00E67332">
          <w:tab/>
        </w:r>
        <w:r w:rsidR="00E67332" w:rsidRPr="006043C7">
          <w:fldChar w:fldCharType="begin"/>
        </w:r>
        <w:r w:rsidR="00E67332" w:rsidRPr="006043C7">
          <w:instrText xml:space="preserve"> PAGE   \* MERGEFORMAT </w:instrText>
        </w:r>
        <w:r w:rsidR="00E67332" w:rsidRPr="006043C7">
          <w:fldChar w:fldCharType="separate"/>
        </w:r>
        <w:r w:rsidR="00E67332">
          <w:rPr>
            <w:noProof/>
          </w:rPr>
          <w:t>2</w:t>
        </w:r>
        <w:r w:rsidR="00E67332"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5A34" w14:textId="77777777" w:rsidR="00622B56" w:rsidRDefault="00622B56" w:rsidP="000A7092">
      <w:r>
        <w:separator/>
      </w:r>
    </w:p>
  </w:footnote>
  <w:footnote w:type="continuationSeparator" w:id="0">
    <w:p w14:paraId="6DA28FEA" w14:textId="77777777" w:rsidR="00622B56" w:rsidRDefault="00622B56" w:rsidP="000A7092">
      <w:r>
        <w:continuationSeparator/>
      </w:r>
    </w:p>
    <w:p w14:paraId="1077E7E4" w14:textId="77777777" w:rsidR="00622B56" w:rsidRDefault="00622B56" w:rsidP="000A7092"/>
  </w:footnote>
  <w:footnote w:type="continuationNotice" w:id="1">
    <w:p w14:paraId="3D803E79" w14:textId="77777777" w:rsidR="00622B56" w:rsidRDefault="00622B56" w:rsidP="000A7092"/>
  </w:footnote>
  <w:footnote w:id="2">
    <w:p w14:paraId="7D8B2345" w14:textId="6B9029A2" w:rsidR="00E67332" w:rsidRPr="00974FFF" w:rsidRDefault="00E67332" w:rsidP="00DF4A5B">
      <w:pPr>
        <w:pStyle w:val="FootnoteText"/>
        <w:ind w:left="142" w:hanging="142"/>
      </w:pPr>
      <w:r>
        <w:rPr>
          <w:rStyle w:val="FootnoteReference"/>
        </w:rPr>
        <w:footnoteRef/>
      </w:r>
      <w:r>
        <w:t xml:space="preserve"> </w:t>
      </w:r>
      <w:r>
        <w:rPr>
          <w:sz w:val="18"/>
          <w:szCs w:val="18"/>
        </w:rPr>
        <w:t>The Department of Health</w:t>
      </w:r>
      <w:r w:rsidR="006B33E2">
        <w:rPr>
          <w:sz w:val="18"/>
          <w:szCs w:val="18"/>
        </w:rPr>
        <w:t>, Disability and Ageing</w:t>
      </w:r>
      <w:r>
        <w:rPr>
          <w:sz w:val="18"/>
          <w:szCs w:val="18"/>
        </w:rPr>
        <w:t xml:space="preserve"> is the regulator of listed devices on the PL through several mechanisms, including but not limited to the Therapeutic Goods Administration (TGA) and the Delegate of the PL.</w:t>
      </w:r>
    </w:p>
  </w:footnote>
  <w:footnote w:id="3">
    <w:p w14:paraId="5CB62996" w14:textId="7FDB3F56" w:rsidR="00E67332" w:rsidRPr="00DF788D" w:rsidRDefault="00E67332">
      <w:pPr>
        <w:pStyle w:val="FootnoteText"/>
        <w:rPr>
          <w:sz w:val="18"/>
          <w:szCs w:val="18"/>
        </w:rPr>
      </w:pPr>
      <w:r>
        <w:rPr>
          <w:rStyle w:val="FootnoteReference"/>
        </w:rPr>
        <w:footnoteRef/>
      </w:r>
      <w:r>
        <w:t xml:space="preserve"> </w:t>
      </w:r>
      <w:r>
        <w:rPr>
          <w:sz w:val="18"/>
          <w:szCs w:val="18"/>
        </w:rPr>
        <w:t>Listing requirements are outlined in the</w:t>
      </w:r>
      <w:r w:rsidR="00F34701">
        <w:rPr>
          <w:sz w:val="18"/>
          <w:szCs w:val="18"/>
        </w:rPr>
        <w:t xml:space="preserve"> </w:t>
      </w:r>
      <w:hyperlink r:id="rId1" w:history="1">
        <w:r w:rsidR="00F34701" w:rsidRPr="00F34701">
          <w:rPr>
            <w:rStyle w:val="Hyperlink"/>
            <w:sz w:val="18"/>
            <w:szCs w:val="18"/>
          </w:rPr>
          <w:t>Private Health Insurance (Medical Devices and Human Tissue Products) Rules</w:t>
        </w:r>
      </w:hyperlink>
      <w:r>
        <w:rPr>
          <w:sz w:val="18"/>
          <w:szCs w:val="18"/>
        </w:rPr>
        <w:t xml:space="preserve"> and the </w:t>
      </w:r>
      <w:hyperlink r:id="rId2" w:history="1">
        <w:r w:rsidRPr="0049017D">
          <w:rPr>
            <w:rStyle w:val="Hyperlink"/>
            <w:sz w:val="18"/>
            <w:szCs w:val="18"/>
          </w:rPr>
          <w:t>PL Guide</w:t>
        </w:r>
      </w:hyperlink>
      <w:r>
        <w:rPr>
          <w:sz w:val="18"/>
          <w:szCs w:val="18"/>
        </w:rPr>
        <w:t>.</w:t>
      </w:r>
    </w:p>
  </w:footnote>
  <w:footnote w:id="4">
    <w:p w14:paraId="62F622D4" w14:textId="2CC4669E" w:rsidR="00E67332" w:rsidRPr="007815E0" w:rsidRDefault="00E67332" w:rsidP="001B2693">
      <w:pPr>
        <w:pStyle w:val="FootnoteText"/>
        <w:ind w:left="142" w:hanging="142"/>
        <w:rPr>
          <w:sz w:val="18"/>
          <w:szCs w:val="18"/>
        </w:rPr>
      </w:pPr>
      <w:r>
        <w:rPr>
          <w:rStyle w:val="FootnoteReference"/>
        </w:rPr>
        <w:footnoteRef/>
      </w:r>
      <w:r>
        <w:t xml:space="preserve"> </w:t>
      </w:r>
      <w:r>
        <w:rPr>
          <w:sz w:val="18"/>
          <w:szCs w:val="18"/>
        </w:rPr>
        <w:t>Behaviour includes communications (verbal or written), marketing and commercial practices that are misleading (real or perceived) from the intent of the PL.</w:t>
      </w:r>
    </w:p>
  </w:footnote>
  <w:footnote w:id="5">
    <w:p w14:paraId="41464B91" w14:textId="1919D475" w:rsidR="00E67332" w:rsidRPr="00BA11E5" w:rsidRDefault="00E67332" w:rsidP="006D00A7">
      <w:pPr>
        <w:pStyle w:val="FootnoteText"/>
        <w:ind w:left="142" w:hanging="142"/>
        <w:rPr>
          <w:sz w:val="18"/>
          <w:szCs w:val="18"/>
        </w:rPr>
      </w:pPr>
      <w:r>
        <w:rPr>
          <w:rStyle w:val="FootnoteReference"/>
        </w:rPr>
        <w:footnoteRef/>
      </w:r>
      <w:r>
        <w:t xml:space="preserve"> </w:t>
      </w:r>
      <w:r w:rsidRPr="00BA11E5">
        <w:rPr>
          <w:sz w:val="18"/>
          <w:szCs w:val="18"/>
        </w:rPr>
        <w:t xml:space="preserve">Copies of the legislation can be obtained from the Commonwealth of Australia Law website, available from </w:t>
      </w:r>
      <w:r w:rsidR="00F76DCD">
        <w:rPr>
          <w:sz w:val="18"/>
          <w:szCs w:val="18"/>
        </w:rPr>
        <w:t xml:space="preserve">       </w:t>
      </w:r>
      <w:r w:rsidRPr="00BA11E5">
        <w:rPr>
          <w:sz w:val="18"/>
          <w:szCs w:val="18"/>
        </w:rPr>
        <w:t xml:space="preserve">&lt; </w:t>
      </w:r>
      <w:hyperlink r:id="rId3" w:history="1">
        <w:r w:rsidR="00C203FB" w:rsidRPr="00C203FB">
          <w:rPr>
            <w:rStyle w:val="Hyperlink"/>
          </w:rPr>
          <w:t>Federal Register of Legislation - Home Page</w:t>
        </w:r>
      </w:hyperlink>
      <w:r w:rsidRPr="00BA11E5">
        <w:rPr>
          <w:sz w:val="18"/>
          <w:szCs w:val="18"/>
        </w:rPr>
        <w:t xml:space="preserve"> &gt;.</w:t>
      </w:r>
    </w:p>
  </w:footnote>
  <w:footnote w:id="6">
    <w:p w14:paraId="09579911" w14:textId="11EDF509" w:rsidR="00E67332" w:rsidRPr="00BA11E5" w:rsidRDefault="00E67332" w:rsidP="00437BBB">
      <w:pPr>
        <w:pStyle w:val="FootnoteText"/>
        <w:ind w:left="142" w:hanging="142"/>
        <w:rPr>
          <w:sz w:val="18"/>
          <w:szCs w:val="18"/>
        </w:rPr>
      </w:pPr>
      <w:r w:rsidRPr="00BA11E5">
        <w:rPr>
          <w:rStyle w:val="FootnoteReference"/>
          <w:sz w:val="18"/>
          <w:szCs w:val="18"/>
        </w:rPr>
        <w:footnoteRef/>
      </w:r>
      <w:r w:rsidRPr="00BA11E5">
        <w:rPr>
          <w:sz w:val="18"/>
          <w:szCs w:val="18"/>
        </w:rPr>
        <w:t xml:space="preserve"> The </w:t>
      </w:r>
      <w:r w:rsidRPr="00BA11E5">
        <w:rPr>
          <w:i/>
          <w:iCs/>
          <w:sz w:val="18"/>
          <w:szCs w:val="18"/>
        </w:rPr>
        <w:t>Therapeutic Goods Act 1989</w:t>
      </w:r>
      <w:r w:rsidRPr="00BA11E5">
        <w:rPr>
          <w:sz w:val="18"/>
          <w:szCs w:val="18"/>
        </w:rPr>
        <w:t xml:space="preserve"> sets out the legal requirements for the import, export, manufacture and supply of therapeutic goods (including devices) in Australia.</w:t>
      </w:r>
    </w:p>
  </w:footnote>
  <w:footnote w:id="7">
    <w:p w14:paraId="14377D75" w14:textId="0B69C5AF" w:rsidR="00E67332" w:rsidRPr="00BA11E5" w:rsidRDefault="00E67332" w:rsidP="00E01A2F">
      <w:pPr>
        <w:pStyle w:val="FootnoteText"/>
        <w:ind w:left="142" w:hanging="142"/>
        <w:rPr>
          <w:sz w:val="18"/>
          <w:szCs w:val="18"/>
        </w:rPr>
      </w:pPr>
      <w:r w:rsidRPr="00BA11E5">
        <w:rPr>
          <w:rStyle w:val="FootnoteReference"/>
          <w:sz w:val="18"/>
          <w:szCs w:val="18"/>
        </w:rPr>
        <w:footnoteRef/>
      </w:r>
      <w:r w:rsidRPr="00BA11E5">
        <w:rPr>
          <w:sz w:val="18"/>
          <w:szCs w:val="18"/>
        </w:rPr>
        <w:t xml:space="preserve"> The 2021 Code has been prepared with an overarching objective of greater ease of reading for easier application of the advertising rules, while still meeting the requirements for a legal instrument prepared under the </w:t>
      </w:r>
      <w:r w:rsidRPr="00BA11E5">
        <w:rPr>
          <w:i/>
          <w:iCs/>
          <w:sz w:val="18"/>
          <w:szCs w:val="18"/>
        </w:rPr>
        <w:t>Therapeutic Goods Act 1989</w:t>
      </w:r>
      <w:r w:rsidRPr="00BA11E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EEA9" w14:textId="5B81E612" w:rsidR="00E67332" w:rsidRDefault="00615689" w:rsidP="00934368">
    <w:pPr>
      <w:pStyle w:val="Header"/>
    </w:pPr>
    <w:r>
      <w:rPr>
        <w:noProof/>
      </w:rPr>
      <w:drawing>
        <wp:anchor distT="0" distB="0" distL="114300" distR="114300" simplePos="0" relativeHeight="251659264" behindDoc="0" locked="0" layoutInCell="1" allowOverlap="1" wp14:anchorId="373BCF19" wp14:editId="71B0016E">
          <wp:simplePos x="0" y="0"/>
          <wp:positionH relativeFrom="column">
            <wp:posOffset>-605155</wp:posOffset>
          </wp:positionH>
          <wp:positionV relativeFrom="paragraph">
            <wp:posOffset>-282575</wp:posOffset>
          </wp:positionV>
          <wp:extent cx="3619500" cy="847725"/>
          <wp:effectExtent l="0" t="0" r="0" b="9525"/>
          <wp:wrapNone/>
          <wp:docPr id="1807526924"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26924" name="Picture 1" descr="Australian Government Department of Health, Disability and Ageing crest"/>
                  <pic:cNvPicPr/>
                </pic:nvPicPr>
                <pic:blipFill>
                  <a:blip r:embed="rId1">
                    <a:extLst>
                      <a:ext uri="{28A0092B-C50C-407E-A947-70E740481C1C}">
                        <a14:useLocalDpi xmlns:a14="http://schemas.microsoft.com/office/drawing/2010/main" val="0"/>
                      </a:ext>
                    </a:extLst>
                  </a:blip>
                  <a:stretch>
                    <a:fillRect/>
                  </a:stretch>
                </pic:blipFill>
                <pic:spPr>
                  <a:xfrm>
                    <a:off x="0" y="0"/>
                    <a:ext cx="3619500" cy="847725"/>
                  </a:xfrm>
                  <a:prstGeom prst="rect">
                    <a:avLst/>
                  </a:prstGeom>
                </pic:spPr>
              </pic:pic>
            </a:graphicData>
          </a:graphic>
        </wp:anchor>
      </w:drawing>
    </w:r>
    <w:r>
      <w:rPr>
        <w:noProof/>
        <w:lang w:eastAsia="en-AU"/>
      </w:rPr>
      <w:t xml:space="preserve"> </w:t>
    </w:r>
    <w:r w:rsidR="00E67332">
      <w:rPr>
        <w:noProof/>
        <w:lang w:eastAsia="en-AU"/>
      </w:rPr>
      <w:drawing>
        <wp:anchor distT="0" distB="0" distL="114300" distR="114300" simplePos="0" relativeHeight="251658240" behindDoc="1" locked="0" layoutInCell="1" allowOverlap="1" wp14:anchorId="272E1F8F" wp14:editId="4B1FCAB2">
          <wp:simplePos x="0" y="0"/>
          <wp:positionH relativeFrom="page">
            <wp:posOffset>0</wp:posOffset>
          </wp:positionH>
          <wp:positionV relativeFrom="page">
            <wp:posOffset>1066800</wp:posOffset>
          </wp:positionV>
          <wp:extent cx="7558860" cy="9625330"/>
          <wp:effectExtent l="0" t="0" r="444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t="9978"/>
                  <a:stretch/>
                </pic:blipFill>
                <pic:spPr bwMode="auto">
                  <a:xfrm>
                    <a:off x="0" y="0"/>
                    <a:ext cx="7559245" cy="96258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8314" w14:textId="77777777" w:rsidR="00E67332" w:rsidRDefault="00E67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9E08" w14:textId="77777777" w:rsidR="00E67332" w:rsidRDefault="00E67332" w:rsidP="008E0C77">
    <w:pPr>
      <w:pStyle w:val="Headertext"/>
      <w:spacing w:after="18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B2B9" w14:textId="77777777" w:rsidR="00E67332" w:rsidRDefault="00E673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C2FE" w14:textId="77777777" w:rsidR="00E67332" w:rsidRDefault="00E67332"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F8E7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A8134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7C43A8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F7C06D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8E2C4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CEBDC2"/>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FFFFFF89"/>
    <w:multiLevelType w:val="singleLevel"/>
    <w:tmpl w:val="2914729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94ECE"/>
    <w:multiLevelType w:val="hybridMultilevel"/>
    <w:tmpl w:val="DB366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68431A2"/>
    <w:lvl w:ilvl="0" w:tplc="7E34080E">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3943D25"/>
    <w:multiLevelType w:val="hybridMultilevel"/>
    <w:tmpl w:val="DB480056"/>
    <w:lvl w:ilvl="0" w:tplc="0C09000F">
      <w:start w:val="1"/>
      <w:numFmt w:val="decimal"/>
      <w:lvlText w:val="%1."/>
      <w:lvlJc w:val="left"/>
      <w:pPr>
        <w:ind w:left="720" w:hanging="360"/>
      </w:pPr>
      <w:rPr>
        <w:rFonts w:ascii="Times New Roman" w:hAnsi="Times New Roman"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F94A82"/>
    <w:multiLevelType w:val="hybridMultilevel"/>
    <w:tmpl w:val="F5C8C0CE"/>
    <w:lvl w:ilvl="0" w:tplc="0C090005">
      <w:start w:val="1"/>
      <w:numFmt w:val="bullet"/>
      <w:lvlText w:val=""/>
      <w:lvlJc w:val="left"/>
      <w:pPr>
        <w:ind w:left="607" w:hanging="360"/>
      </w:pPr>
      <w:rPr>
        <w:rFonts w:ascii="Wingdings" w:hAnsi="Wingdings"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4" w15:restartNumberingAfterBreak="0">
    <w:nsid w:val="1A810A4A"/>
    <w:multiLevelType w:val="hybridMultilevel"/>
    <w:tmpl w:val="EECE1B1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71797"/>
    <w:multiLevelType w:val="multilevel"/>
    <w:tmpl w:val="586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57C53"/>
    <w:multiLevelType w:val="hybridMultilevel"/>
    <w:tmpl w:val="B4FCB81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8" w15:restartNumberingAfterBreak="0">
    <w:nsid w:val="238E34C1"/>
    <w:multiLevelType w:val="hybridMultilevel"/>
    <w:tmpl w:val="1BDADB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7850BE"/>
    <w:multiLevelType w:val="hybridMultilevel"/>
    <w:tmpl w:val="98383530"/>
    <w:lvl w:ilvl="0" w:tplc="0C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AC0612"/>
    <w:multiLevelType w:val="hybridMultilevel"/>
    <w:tmpl w:val="2E04C768"/>
    <w:lvl w:ilvl="0" w:tplc="E96C518A">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D960FD4"/>
    <w:multiLevelType w:val="multilevel"/>
    <w:tmpl w:val="C29A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337CD"/>
    <w:multiLevelType w:val="hybridMultilevel"/>
    <w:tmpl w:val="01F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CD50FD"/>
    <w:multiLevelType w:val="hybridMultilevel"/>
    <w:tmpl w:val="6B864FA6"/>
    <w:lvl w:ilvl="0" w:tplc="5BF6572A">
      <w:start w:val="1"/>
      <w:numFmt w:val="lowerLetter"/>
      <w:pStyle w:val="ListNumber2"/>
      <w:lvlText w:val="%1)"/>
      <w:lvlJc w:val="left"/>
      <w:pPr>
        <w:ind w:left="1080" w:hanging="360"/>
      </w:pPr>
      <w:rPr>
        <w:rFonts w:ascii="Arial" w:hAnsi="Arial" w:hint="default"/>
        <w:b w:val="0"/>
        <w:i w:val="0"/>
        <w:color w:val="auto"/>
        <w:sz w:val="2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3D002E"/>
    <w:multiLevelType w:val="hybridMultilevel"/>
    <w:tmpl w:val="3BD6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BA253B"/>
    <w:multiLevelType w:val="multilevel"/>
    <w:tmpl w:val="E824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756026B"/>
    <w:multiLevelType w:val="multilevel"/>
    <w:tmpl w:val="C53C16E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193F72"/>
    <w:multiLevelType w:val="hybridMultilevel"/>
    <w:tmpl w:val="8DCE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EC23BC"/>
    <w:multiLevelType w:val="hybridMultilevel"/>
    <w:tmpl w:val="24CC21EA"/>
    <w:lvl w:ilvl="0" w:tplc="0C090005">
      <w:start w:val="1"/>
      <w:numFmt w:val="bullet"/>
      <w:lvlText w:val=""/>
      <w:lvlJc w:val="left"/>
      <w:pPr>
        <w:ind w:left="1080" w:hanging="360"/>
      </w:pPr>
      <w:rPr>
        <w:rFonts w:ascii="Wingdings" w:hAnsi="Wingdings" w:hint="default"/>
        <w:b w:val="0"/>
        <w:i w:val="0"/>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B0009A"/>
    <w:multiLevelType w:val="hybridMultilevel"/>
    <w:tmpl w:val="63DEA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C90D3D"/>
    <w:multiLevelType w:val="hybridMultilevel"/>
    <w:tmpl w:val="213EA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560902"/>
    <w:multiLevelType w:val="hybridMultilevel"/>
    <w:tmpl w:val="8A78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893017"/>
    <w:multiLevelType w:val="hybridMultilevel"/>
    <w:tmpl w:val="546C4AE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4305E"/>
    <w:multiLevelType w:val="hybridMultilevel"/>
    <w:tmpl w:val="73CCD456"/>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9" w15:restartNumberingAfterBreak="0">
    <w:nsid w:val="74617CD3"/>
    <w:multiLevelType w:val="hybridMultilevel"/>
    <w:tmpl w:val="00A4F502"/>
    <w:lvl w:ilvl="0" w:tplc="1A42C716">
      <w:numFmt w:val="bullet"/>
      <w:lvlText w:val="-"/>
      <w:lvlJc w:val="left"/>
      <w:pPr>
        <w:ind w:left="926" w:hanging="360"/>
      </w:pPr>
      <w:rPr>
        <w:rFonts w:ascii="Yu Mincho Light" w:eastAsia="Yu Mincho Light" w:hAnsi="Yu Mincho Light" w:hint="eastAsia"/>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40" w15:restartNumberingAfterBreak="0">
    <w:nsid w:val="7C6E551C"/>
    <w:multiLevelType w:val="hybridMultilevel"/>
    <w:tmpl w:val="A026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9355077">
    <w:abstractNumId w:val="7"/>
  </w:num>
  <w:num w:numId="2" w16cid:durableId="1065294141">
    <w:abstractNumId w:val="32"/>
  </w:num>
  <w:num w:numId="3" w16cid:durableId="1380014867">
    <w:abstractNumId w:val="37"/>
  </w:num>
  <w:num w:numId="4" w16cid:durableId="341931661">
    <w:abstractNumId w:val="8"/>
  </w:num>
  <w:num w:numId="5" w16cid:durableId="1171137899">
    <w:abstractNumId w:val="8"/>
    <w:lvlOverride w:ilvl="0">
      <w:startOverride w:val="1"/>
    </w:lvlOverride>
  </w:num>
  <w:num w:numId="6" w16cid:durableId="339552416">
    <w:abstractNumId w:val="9"/>
  </w:num>
  <w:num w:numId="7" w16cid:durableId="28455946">
    <w:abstractNumId w:val="26"/>
  </w:num>
  <w:num w:numId="8" w16cid:durableId="2101561959">
    <w:abstractNumId w:val="36"/>
  </w:num>
  <w:num w:numId="9" w16cid:durableId="1514294677">
    <w:abstractNumId w:val="5"/>
  </w:num>
  <w:num w:numId="10" w16cid:durableId="908879669">
    <w:abstractNumId w:val="4"/>
  </w:num>
  <w:num w:numId="11" w16cid:durableId="184178911">
    <w:abstractNumId w:val="3"/>
  </w:num>
  <w:num w:numId="12" w16cid:durableId="258371765">
    <w:abstractNumId w:val="2"/>
  </w:num>
  <w:num w:numId="13" w16cid:durableId="1664044166">
    <w:abstractNumId w:val="6"/>
  </w:num>
  <w:num w:numId="14" w16cid:durableId="1497379991">
    <w:abstractNumId w:val="1"/>
  </w:num>
  <w:num w:numId="15" w16cid:durableId="1673490408">
    <w:abstractNumId w:val="0"/>
  </w:num>
  <w:num w:numId="16" w16cid:durableId="1688484395">
    <w:abstractNumId w:val="42"/>
  </w:num>
  <w:num w:numId="17" w16cid:durableId="1462966488">
    <w:abstractNumId w:val="11"/>
  </w:num>
  <w:num w:numId="18" w16cid:durableId="1365516088">
    <w:abstractNumId w:val="15"/>
  </w:num>
  <w:num w:numId="19" w16cid:durableId="1760246578">
    <w:abstractNumId w:val="23"/>
  </w:num>
  <w:num w:numId="20" w16cid:durableId="596795849">
    <w:abstractNumId w:val="11"/>
  </w:num>
  <w:num w:numId="21" w16cid:durableId="459568666">
    <w:abstractNumId w:val="23"/>
  </w:num>
  <w:num w:numId="22" w16cid:durableId="1918637782">
    <w:abstractNumId w:val="42"/>
  </w:num>
  <w:num w:numId="23" w16cid:durableId="1801803529">
    <w:abstractNumId w:val="32"/>
  </w:num>
  <w:num w:numId="24" w16cid:durableId="1744452098">
    <w:abstractNumId w:val="37"/>
  </w:num>
  <w:num w:numId="25" w16cid:durableId="1118061548">
    <w:abstractNumId w:val="8"/>
  </w:num>
  <w:num w:numId="26" w16cid:durableId="2012027837">
    <w:abstractNumId w:val="30"/>
  </w:num>
  <w:num w:numId="27" w16cid:durableId="1383867813">
    <w:abstractNumId w:val="41"/>
  </w:num>
  <w:num w:numId="28" w16cid:durableId="1495418003">
    <w:abstractNumId w:val="40"/>
  </w:num>
  <w:num w:numId="29" w16cid:durableId="605501553">
    <w:abstractNumId w:val="34"/>
  </w:num>
  <w:num w:numId="30" w16cid:durableId="1342389108">
    <w:abstractNumId w:val="22"/>
  </w:num>
  <w:num w:numId="31" w16cid:durableId="323171765">
    <w:abstractNumId w:val="31"/>
  </w:num>
  <w:num w:numId="32" w16cid:durableId="453717382">
    <w:abstractNumId w:val="20"/>
  </w:num>
  <w:num w:numId="33" w16cid:durableId="84419572">
    <w:abstractNumId w:val="10"/>
  </w:num>
  <w:num w:numId="34" w16cid:durableId="1929999526">
    <w:abstractNumId w:val="27"/>
  </w:num>
  <w:num w:numId="35" w16cid:durableId="418528943">
    <w:abstractNumId w:val="18"/>
  </w:num>
  <w:num w:numId="36" w16cid:durableId="1598517718">
    <w:abstractNumId w:val="11"/>
  </w:num>
  <w:num w:numId="37" w16cid:durableId="746731808">
    <w:abstractNumId w:val="11"/>
  </w:num>
  <w:num w:numId="38" w16cid:durableId="851839121">
    <w:abstractNumId w:val="29"/>
  </w:num>
  <w:num w:numId="39" w16cid:durableId="1635210445">
    <w:abstractNumId w:val="17"/>
  </w:num>
  <w:num w:numId="40" w16cid:durableId="460727947">
    <w:abstractNumId w:val="14"/>
  </w:num>
  <w:num w:numId="41" w16cid:durableId="2063207303">
    <w:abstractNumId w:val="38"/>
  </w:num>
  <w:num w:numId="42" w16cid:durableId="1297755709">
    <w:abstractNumId w:val="35"/>
  </w:num>
  <w:num w:numId="43" w16cid:durableId="551190001">
    <w:abstractNumId w:val="13"/>
  </w:num>
  <w:num w:numId="44" w16cid:durableId="1943146170">
    <w:abstractNumId w:val="11"/>
  </w:num>
  <w:num w:numId="45" w16cid:durableId="484442550">
    <w:abstractNumId w:val="33"/>
  </w:num>
  <w:num w:numId="46" w16cid:durableId="1845314224">
    <w:abstractNumId w:val="6"/>
    <w:lvlOverride w:ilvl="0">
      <w:startOverride w:val="1"/>
    </w:lvlOverride>
  </w:num>
  <w:num w:numId="47" w16cid:durableId="1075854633">
    <w:abstractNumId w:val="6"/>
  </w:num>
  <w:num w:numId="48" w16cid:durableId="1881701008">
    <w:abstractNumId w:val="28"/>
  </w:num>
  <w:num w:numId="49" w16cid:durableId="803888677">
    <w:abstractNumId w:val="11"/>
  </w:num>
  <w:num w:numId="50" w16cid:durableId="1676416756">
    <w:abstractNumId w:val="11"/>
  </w:num>
  <w:num w:numId="51" w16cid:durableId="766927395">
    <w:abstractNumId w:val="39"/>
  </w:num>
  <w:num w:numId="52" w16cid:durableId="227692891">
    <w:abstractNumId w:val="11"/>
  </w:num>
  <w:num w:numId="53" w16cid:durableId="1531576528">
    <w:abstractNumId w:val="11"/>
  </w:num>
  <w:num w:numId="54" w16cid:durableId="606735198">
    <w:abstractNumId w:val="21"/>
  </w:num>
  <w:num w:numId="55" w16cid:durableId="1255241671">
    <w:abstractNumId w:val="12"/>
  </w:num>
  <w:num w:numId="56" w16cid:durableId="1593707469">
    <w:abstractNumId w:val="25"/>
  </w:num>
  <w:num w:numId="57" w16cid:durableId="1287926702">
    <w:abstractNumId w:val="19"/>
  </w:num>
  <w:num w:numId="58" w16cid:durableId="567964323">
    <w:abstractNumId w:val="24"/>
  </w:num>
  <w:num w:numId="59" w16cid:durableId="1038315830">
    <w:abstractNumId w:val="16"/>
  </w:num>
  <w:num w:numId="60" w16cid:durableId="26957155">
    <w:abstractNumId w:val="11"/>
  </w:num>
  <w:num w:numId="61" w16cid:durableId="1764064154">
    <w:abstractNumId w:val="11"/>
  </w:num>
  <w:num w:numId="62" w16cid:durableId="243807647">
    <w:abstractNumId w:val="11"/>
  </w:num>
  <w:num w:numId="63" w16cid:durableId="1529833380">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AE"/>
    <w:rsid w:val="00001F41"/>
    <w:rsid w:val="00003743"/>
    <w:rsid w:val="000044A1"/>
    <w:rsid w:val="000047B4"/>
    <w:rsid w:val="00004FB9"/>
    <w:rsid w:val="00005712"/>
    <w:rsid w:val="00007272"/>
    <w:rsid w:val="00007761"/>
    <w:rsid w:val="00007FD8"/>
    <w:rsid w:val="00007FF1"/>
    <w:rsid w:val="00010192"/>
    <w:rsid w:val="000117F8"/>
    <w:rsid w:val="00017D60"/>
    <w:rsid w:val="00020533"/>
    <w:rsid w:val="00020F3C"/>
    <w:rsid w:val="00024234"/>
    <w:rsid w:val="0002458A"/>
    <w:rsid w:val="00026139"/>
    <w:rsid w:val="00027071"/>
    <w:rsid w:val="00027601"/>
    <w:rsid w:val="00027A7A"/>
    <w:rsid w:val="00031B98"/>
    <w:rsid w:val="00031F46"/>
    <w:rsid w:val="00032368"/>
    <w:rsid w:val="00033321"/>
    <w:rsid w:val="000338E5"/>
    <w:rsid w:val="00033ECC"/>
    <w:rsid w:val="0003422F"/>
    <w:rsid w:val="00035156"/>
    <w:rsid w:val="00042EDE"/>
    <w:rsid w:val="000432A5"/>
    <w:rsid w:val="000446B7"/>
    <w:rsid w:val="00046FF0"/>
    <w:rsid w:val="00050176"/>
    <w:rsid w:val="00050D9F"/>
    <w:rsid w:val="00054E03"/>
    <w:rsid w:val="000627C8"/>
    <w:rsid w:val="00062B65"/>
    <w:rsid w:val="00067456"/>
    <w:rsid w:val="00067F37"/>
    <w:rsid w:val="00071506"/>
    <w:rsid w:val="0007154F"/>
    <w:rsid w:val="00073C55"/>
    <w:rsid w:val="000741FF"/>
    <w:rsid w:val="0007490A"/>
    <w:rsid w:val="000760F1"/>
    <w:rsid w:val="000767B8"/>
    <w:rsid w:val="00081AB1"/>
    <w:rsid w:val="000877FF"/>
    <w:rsid w:val="00090316"/>
    <w:rsid w:val="00093981"/>
    <w:rsid w:val="00093CD9"/>
    <w:rsid w:val="000A5B4C"/>
    <w:rsid w:val="000A7092"/>
    <w:rsid w:val="000B067A"/>
    <w:rsid w:val="000B1540"/>
    <w:rsid w:val="000B33FD"/>
    <w:rsid w:val="000B4471"/>
    <w:rsid w:val="000B4ABA"/>
    <w:rsid w:val="000B6EE1"/>
    <w:rsid w:val="000B75EC"/>
    <w:rsid w:val="000C26B5"/>
    <w:rsid w:val="000C4B16"/>
    <w:rsid w:val="000C50C3"/>
    <w:rsid w:val="000D21F6"/>
    <w:rsid w:val="000D42C3"/>
    <w:rsid w:val="000D4500"/>
    <w:rsid w:val="000D5E62"/>
    <w:rsid w:val="000D7AEA"/>
    <w:rsid w:val="000E01A9"/>
    <w:rsid w:val="000E2C66"/>
    <w:rsid w:val="000E6E7D"/>
    <w:rsid w:val="000E7925"/>
    <w:rsid w:val="000E7FF8"/>
    <w:rsid w:val="000F123C"/>
    <w:rsid w:val="000F2FED"/>
    <w:rsid w:val="000F38BB"/>
    <w:rsid w:val="0010616D"/>
    <w:rsid w:val="00110478"/>
    <w:rsid w:val="00113ADB"/>
    <w:rsid w:val="00114F01"/>
    <w:rsid w:val="00115333"/>
    <w:rsid w:val="001161B8"/>
    <w:rsid w:val="00116D0D"/>
    <w:rsid w:val="0011711B"/>
    <w:rsid w:val="00117F8A"/>
    <w:rsid w:val="00121B9B"/>
    <w:rsid w:val="00122ADC"/>
    <w:rsid w:val="00122FE1"/>
    <w:rsid w:val="001243C1"/>
    <w:rsid w:val="001269AE"/>
    <w:rsid w:val="00130F59"/>
    <w:rsid w:val="00133EC0"/>
    <w:rsid w:val="001402DE"/>
    <w:rsid w:val="00141CE5"/>
    <w:rsid w:val="00144908"/>
    <w:rsid w:val="00156008"/>
    <w:rsid w:val="001571C7"/>
    <w:rsid w:val="00160F45"/>
    <w:rsid w:val="00161094"/>
    <w:rsid w:val="0016323D"/>
    <w:rsid w:val="001640D1"/>
    <w:rsid w:val="00171AFE"/>
    <w:rsid w:val="00172A55"/>
    <w:rsid w:val="00172D46"/>
    <w:rsid w:val="00174A50"/>
    <w:rsid w:val="001758CD"/>
    <w:rsid w:val="0017665C"/>
    <w:rsid w:val="00177AD2"/>
    <w:rsid w:val="001815A8"/>
    <w:rsid w:val="001840FA"/>
    <w:rsid w:val="00185896"/>
    <w:rsid w:val="00190079"/>
    <w:rsid w:val="00191AB4"/>
    <w:rsid w:val="00192154"/>
    <w:rsid w:val="0019622E"/>
    <w:rsid w:val="001966A7"/>
    <w:rsid w:val="001A4627"/>
    <w:rsid w:val="001A4979"/>
    <w:rsid w:val="001A4D18"/>
    <w:rsid w:val="001B15D3"/>
    <w:rsid w:val="001B2693"/>
    <w:rsid w:val="001B3443"/>
    <w:rsid w:val="001C0326"/>
    <w:rsid w:val="001C192F"/>
    <w:rsid w:val="001C3C42"/>
    <w:rsid w:val="001C6B95"/>
    <w:rsid w:val="001D103B"/>
    <w:rsid w:val="001D2DA6"/>
    <w:rsid w:val="001D352E"/>
    <w:rsid w:val="001D7489"/>
    <w:rsid w:val="001D7869"/>
    <w:rsid w:val="001E40DB"/>
    <w:rsid w:val="001E4780"/>
    <w:rsid w:val="001F2F78"/>
    <w:rsid w:val="002026CD"/>
    <w:rsid w:val="002033FC"/>
    <w:rsid w:val="002044BB"/>
    <w:rsid w:val="0020594A"/>
    <w:rsid w:val="00206346"/>
    <w:rsid w:val="00207854"/>
    <w:rsid w:val="00210B09"/>
    <w:rsid w:val="00210C9E"/>
    <w:rsid w:val="00211840"/>
    <w:rsid w:val="00220456"/>
    <w:rsid w:val="00220E5F"/>
    <w:rsid w:val="002212B5"/>
    <w:rsid w:val="00226146"/>
    <w:rsid w:val="00226668"/>
    <w:rsid w:val="002335F9"/>
    <w:rsid w:val="00233809"/>
    <w:rsid w:val="00235E70"/>
    <w:rsid w:val="00240046"/>
    <w:rsid w:val="002476CA"/>
    <w:rsid w:val="0024797F"/>
    <w:rsid w:val="0025119E"/>
    <w:rsid w:val="00251269"/>
    <w:rsid w:val="00251E03"/>
    <w:rsid w:val="002535C0"/>
    <w:rsid w:val="002542D3"/>
    <w:rsid w:val="002579FE"/>
    <w:rsid w:val="0026311C"/>
    <w:rsid w:val="0026668C"/>
    <w:rsid w:val="00266AC1"/>
    <w:rsid w:val="002674F5"/>
    <w:rsid w:val="0027178C"/>
    <w:rsid w:val="002719FA"/>
    <w:rsid w:val="00272668"/>
    <w:rsid w:val="0027330B"/>
    <w:rsid w:val="00274547"/>
    <w:rsid w:val="00274E5D"/>
    <w:rsid w:val="002803AD"/>
    <w:rsid w:val="00282052"/>
    <w:rsid w:val="0028519E"/>
    <w:rsid w:val="0028568E"/>
    <w:rsid w:val="002856A5"/>
    <w:rsid w:val="002872ED"/>
    <w:rsid w:val="00287619"/>
    <w:rsid w:val="002905C2"/>
    <w:rsid w:val="00291922"/>
    <w:rsid w:val="0029223E"/>
    <w:rsid w:val="00294C9C"/>
    <w:rsid w:val="00295AF2"/>
    <w:rsid w:val="00295C91"/>
    <w:rsid w:val="00295F96"/>
    <w:rsid w:val="00297151"/>
    <w:rsid w:val="002A0910"/>
    <w:rsid w:val="002A54F9"/>
    <w:rsid w:val="002A61CE"/>
    <w:rsid w:val="002B20E6"/>
    <w:rsid w:val="002B42A3"/>
    <w:rsid w:val="002B524C"/>
    <w:rsid w:val="002B5FF3"/>
    <w:rsid w:val="002C0CDD"/>
    <w:rsid w:val="002C3D4A"/>
    <w:rsid w:val="002C5D1B"/>
    <w:rsid w:val="002D0390"/>
    <w:rsid w:val="002D15D8"/>
    <w:rsid w:val="002D3841"/>
    <w:rsid w:val="002E0D2E"/>
    <w:rsid w:val="002E1A1D"/>
    <w:rsid w:val="002E4081"/>
    <w:rsid w:val="002E5B78"/>
    <w:rsid w:val="002E6F38"/>
    <w:rsid w:val="002F0F34"/>
    <w:rsid w:val="002F2599"/>
    <w:rsid w:val="002F2DBB"/>
    <w:rsid w:val="002F3AE3"/>
    <w:rsid w:val="002F5104"/>
    <w:rsid w:val="0030464B"/>
    <w:rsid w:val="0030786C"/>
    <w:rsid w:val="003116BE"/>
    <w:rsid w:val="00315AF9"/>
    <w:rsid w:val="00317592"/>
    <w:rsid w:val="003233DE"/>
    <w:rsid w:val="0032466B"/>
    <w:rsid w:val="00327B44"/>
    <w:rsid w:val="003330EB"/>
    <w:rsid w:val="003339CE"/>
    <w:rsid w:val="00334B7E"/>
    <w:rsid w:val="00336605"/>
    <w:rsid w:val="003405DB"/>
    <w:rsid w:val="003415FD"/>
    <w:rsid w:val="003429F0"/>
    <w:rsid w:val="00343B3A"/>
    <w:rsid w:val="00343C87"/>
    <w:rsid w:val="00347CFC"/>
    <w:rsid w:val="0035097A"/>
    <w:rsid w:val="003540A4"/>
    <w:rsid w:val="00360E4E"/>
    <w:rsid w:val="003649E6"/>
    <w:rsid w:val="00370AAA"/>
    <w:rsid w:val="00373978"/>
    <w:rsid w:val="00374223"/>
    <w:rsid w:val="00375345"/>
    <w:rsid w:val="00375F77"/>
    <w:rsid w:val="0037739A"/>
    <w:rsid w:val="00377A78"/>
    <w:rsid w:val="0038096E"/>
    <w:rsid w:val="00381BBE"/>
    <w:rsid w:val="00382903"/>
    <w:rsid w:val="003846FF"/>
    <w:rsid w:val="00385AD4"/>
    <w:rsid w:val="00387924"/>
    <w:rsid w:val="0039384D"/>
    <w:rsid w:val="00393D82"/>
    <w:rsid w:val="00395C23"/>
    <w:rsid w:val="003A2E4F"/>
    <w:rsid w:val="003A4438"/>
    <w:rsid w:val="003A48D5"/>
    <w:rsid w:val="003A5013"/>
    <w:rsid w:val="003A5078"/>
    <w:rsid w:val="003A5F08"/>
    <w:rsid w:val="003A62DD"/>
    <w:rsid w:val="003A7507"/>
    <w:rsid w:val="003A775A"/>
    <w:rsid w:val="003B0DAB"/>
    <w:rsid w:val="003B151A"/>
    <w:rsid w:val="003B213A"/>
    <w:rsid w:val="003B43AD"/>
    <w:rsid w:val="003B5816"/>
    <w:rsid w:val="003B5F5F"/>
    <w:rsid w:val="003B6B5B"/>
    <w:rsid w:val="003C0FEC"/>
    <w:rsid w:val="003C15B8"/>
    <w:rsid w:val="003C2AC8"/>
    <w:rsid w:val="003C46A6"/>
    <w:rsid w:val="003D17F9"/>
    <w:rsid w:val="003D2D88"/>
    <w:rsid w:val="003D41EA"/>
    <w:rsid w:val="003D44EB"/>
    <w:rsid w:val="003D4850"/>
    <w:rsid w:val="003D4E46"/>
    <w:rsid w:val="003D535A"/>
    <w:rsid w:val="003D5A30"/>
    <w:rsid w:val="003D66E2"/>
    <w:rsid w:val="003E2A3A"/>
    <w:rsid w:val="003E3E1D"/>
    <w:rsid w:val="003E5265"/>
    <w:rsid w:val="003F0955"/>
    <w:rsid w:val="003F4BD3"/>
    <w:rsid w:val="003F60D5"/>
    <w:rsid w:val="003F6FE1"/>
    <w:rsid w:val="003F7280"/>
    <w:rsid w:val="00400DC7"/>
    <w:rsid w:val="00400F00"/>
    <w:rsid w:val="004020FF"/>
    <w:rsid w:val="00404F8B"/>
    <w:rsid w:val="00405256"/>
    <w:rsid w:val="00410031"/>
    <w:rsid w:val="004115A2"/>
    <w:rsid w:val="00415C81"/>
    <w:rsid w:val="00416731"/>
    <w:rsid w:val="00426B38"/>
    <w:rsid w:val="00432378"/>
    <w:rsid w:val="00433367"/>
    <w:rsid w:val="00434B81"/>
    <w:rsid w:val="00437BBB"/>
    <w:rsid w:val="00440D65"/>
    <w:rsid w:val="004435E6"/>
    <w:rsid w:val="00443D46"/>
    <w:rsid w:val="00447E31"/>
    <w:rsid w:val="004536DE"/>
    <w:rsid w:val="00453923"/>
    <w:rsid w:val="00454B9B"/>
    <w:rsid w:val="00457858"/>
    <w:rsid w:val="00460B0B"/>
    <w:rsid w:val="00461023"/>
    <w:rsid w:val="00462FAC"/>
    <w:rsid w:val="00464631"/>
    <w:rsid w:val="00464B79"/>
    <w:rsid w:val="004665F8"/>
    <w:rsid w:val="00467BBF"/>
    <w:rsid w:val="004735D5"/>
    <w:rsid w:val="004764B8"/>
    <w:rsid w:val="004867E2"/>
    <w:rsid w:val="00486B6E"/>
    <w:rsid w:val="0049017D"/>
    <w:rsid w:val="004929A9"/>
    <w:rsid w:val="0049782D"/>
    <w:rsid w:val="004A09A3"/>
    <w:rsid w:val="004A1AEC"/>
    <w:rsid w:val="004A2B46"/>
    <w:rsid w:val="004B1F33"/>
    <w:rsid w:val="004B2BB8"/>
    <w:rsid w:val="004B6E9B"/>
    <w:rsid w:val="004B7F39"/>
    <w:rsid w:val="004C1222"/>
    <w:rsid w:val="004C2FEC"/>
    <w:rsid w:val="004C6BCF"/>
    <w:rsid w:val="004D58BF"/>
    <w:rsid w:val="004D7E19"/>
    <w:rsid w:val="004E1D69"/>
    <w:rsid w:val="004E4335"/>
    <w:rsid w:val="004E5ACF"/>
    <w:rsid w:val="004E7634"/>
    <w:rsid w:val="004F09AA"/>
    <w:rsid w:val="004F13EE"/>
    <w:rsid w:val="004F2022"/>
    <w:rsid w:val="004F7C05"/>
    <w:rsid w:val="00501C94"/>
    <w:rsid w:val="00506432"/>
    <w:rsid w:val="0050797F"/>
    <w:rsid w:val="00511015"/>
    <w:rsid w:val="00511B2D"/>
    <w:rsid w:val="0051242B"/>
    <w:rsid w:val="0052051D"/>
    <w:rsid w:val="00522B5D"/>
    <w:rsid w:val="00522F6C"/>
    <w:rsid w:val="005305DB"/>
    <w:rsid w:val="00530B14"/>
    <w:rsid w:val="00544EBA"/>
    <w:rsid w:val="00545EE6"/>
    <w:rsid w:val="005473F3"/>
    <w:rsid w:val="00553142"/>
    <w:rsid w:val="005550E7"/>
    <w:rsid w:val="005564FB"/>
    <w:rsid w:val="005569F8"/>
    <w:rsid w:val="005572C7"/>
    <w:rsid w:val="00563AD0"/>
    <w:rsid w:val="005641EC"/>
    <w:rsid w:val="005650ED"/>
    <w:rsid w:val="00565724"/>
    <w:rsid w:val="0056701D"/>
    <w:rsid w:val="00575754"/>
    <w:rsid w:val="0057596E"/>
    <w:rsid w:val="005765BD"/>
    <w:rsid w:val="00577A0F"/>
    <w:rsid w:val="00580EF6"/>
    <w:rsid w:val="00591E20"/>
    <w:rsid w:val="00595408"/>
    <w:rsid w:val="00595E84"/>
    <w:rsid w:val="00597D79"/>
    <w:rsid w:val="005A0C59"/>
    <w:rsid w:val="005A46AB"/>
    <w:rsid w:val="005A48EB"/>
    <w:rsid w:val="005A6CFB"/>
    <w:rsid w:val="005A7066"/>
    <w:rsid w:val="005B072A"/>
    <w:rsid w:val="005B4D28"/>
    <w:rsid w:val="005B7087"/>
    <w:rsid w:val="005B7567"/>
    <w:rsid w:val="005C002F"/>
    <w:rsid w:val="005C2F6E"/>
    <w:rsid w:val="005C5AEB"/>
    <w:rsid w:val="005E0A3F"/>
    <w:rsid w:val="005E6883"/>
    <w:rsid w:val="005E772F"/>
    <w:rsid w:val="005F0456"/>
    <w:rsid w:val="005F174F"/>
    <w:rsid w:val="005F1C3A"/>
    <w:rsid w:val="005F1FC0"/>
    <w:rsid w:val="005F4ECA"/>
    <w:rsid w:val="005F7A72"/>
    <w:rsid w:val="006041BE"/>
    <w:rsid w:val="006043C7"/>
    <w:rsid w:val="00604896"/>
    <w:rsid w:val="00607786"/>
    <w:rsid w:val="00607F7B"/>
    <w:rsid w:val="0061194C"/>
    <w:rsid w:val="00613C3B"/>
    <w:rsid w:val="00615689"/>
    <w:rsid w:val="00616C81"/>
    <w:rsid w:val="006177C3"/>
    <w:rsid w:val="00622B56"/>
    <w:rsid w:val="00624B52"/>
    <w:rsid w:val="0063124A"/>
    <w:rsid w:val="00631DF4"/>
    <w:rsid w:val="00633FA2"/>
    <w:rsid w:val="00634175"/>
    <w:rsid w:val="00635CD6"/>
    <w:rsid w:val="006408AC"/>
    <w:rsid w:val="00640F7F"/>
    <w:rsid w:val="00643967"/>
    <w:rsid w:val="00644817"/>
    <w:rsid w:val="00650413"/>
    <w:rsid w:val="006511B6"/>
    <w:rsid w:val="00651DED"/>
    <w:rsid w:val="00652742"/>
    <w:rsid w:val="0065447C"/>
    <w:rsid w:val="006553BE"/>
    <w:rsid w:val="00657CA7"/>
    <w:rsid w:val="00657FF8"/>
    <w:rsid w:val="006627A8"/>
    <w:rsid w:val="006634A8"/>
    <w:rsid w:val="00665611"/>
    <w:rsid w:val="00670D99"/>
    <w:rsid w:val="00670E2B"/>
    <w:rsid w:val="00672743"/>
    <w:rsid w:val="006734BB"/>
    <w:rsid w:val="00681A34"/>
    <w:rsid w:val="006821EB"/>
    <w:rsid w:val="0069165F"/>
    <w:rsid w:val="00695FC0"/>
    <w:rsid w:val="006A572B"/>
    <w:rsid w:val="006A5A53"/>
    <w:rsid w:val="006B0908"/>
    <w:rsid w:val="006B1A5A"/>
    <w:rsid w:val="006B2286"/>
    <w:rsid w:val="006B33E2"/>
    <w:rsid w:val="006B56BB"/>
    <w:rsid w:val="006C1514"/>
    <w:rsid w:val="006C2B8C"/>
    <w:rsid w:val="006C7736"/>
    <w:rsid w:val="006C77A8"/>
    <w:rsid w:val="006D00A7"/>
    <w:rsid w:val="006D4098"/>
    <w:rsid w:val="006D7681"/>
    <w:rsid w:val="006D7B2E"/>
    <w:rsid w:val="006E02EA"/>
    <w:rsid w:val="006E0968"/>
    <w:rsid w:val="006E2AF6"/>
    <w:rsid w:val="006E5968"/>
    <w:rsid w:val="006E6FDE"/>
    <w:rsid w:val="006E74D0"/>
    <w:rsid w:val="006F6DC6"/>
    <w:rsid w:val="00700423"/>
    <w:rsid w:val="00700F76"/>
    <w:rsid w:val="00701275"/>
    <w:rsid w:val="007048BD"/>
    <w:rsid w:val="00707F56"/>
    <w:rsid w:val="007110B3"/>
    <w:rsid w:val="00711EBC"/>
    <w:rsid w:val="007128EE"/>
    <w:rsid w:val="00713558"/>
    <w:rsid w:val="00720D08"/>
    <w:rsid w:val="00721D30"/>
    <w:rsid w:val="007226DC"/>
    <w:rsid w:val="007263B9"/>
    <w:rsid w:val="007334F8"/>
    <w:rsid w:val="007339CD"/>
    <w:rsid w:val="00734C4D"/>
    <w:rsid w:val="007359D8"/>
    <w:rsid w:val="00735AE0"/>
    <w:rsid w:val="007362D4"/>
    <w:rsid w:val="0074204C"/>
    <w:rsid w:val="00751A23"/>
    <w:rsid w:val="00753512"/>
    <w:rsid w:val="00766336"/>
    <w:rsid w:val="0076672A"/>
    <w:rsid w:val="00772A00"/>
    <w:rsid w:val="00775E45"/>
    <w:rsid w:val="00776E74"/>
    <w:rsid w:val="007770DF"/>
    <w:rsid w:val="00780491"/>
    <w:rsid w:val="007815E0"/>
    <w:rsid w:val="00785169"/>
    <w:rsid w:val="0078741C"/>
    <w:rsid w:val="00790AFF"/>
    <w:rsid w:val="007929C1"/>
    <w:rsid w:val="007954AB"/>
    <w:rsid w:val="00797DC5"/>
    <w:rsid w:val="007A14C5"/>
    <w:rsid w:val="007A3E38"/>
    <w:rsid w:val="007A4A10"/>
    <w:rsid w:val="007B1760"/>
    <w:rsid w:val="007B1ACF"/>
    <w:rsid w:val="007B3D03"/>
    <w:rsid w:val="007B74E1"/>
    <w:rsid w:val="007C5833"/>
    <w:rsid w:val="007C6D9C"/>
    <w:rsid w:val="007C7DDB"/>
    <w:rsid w:val="007D1BC8"/>
    <w:rsid w:val="007D2CC7"/>
    <w:rsid w:val="007D2F49"/>
    <w:rsid w:val="007D673D"/>
    <w:rsid w:val="007D697E"/>
    <w:rsid w:val="007E0F1F"/>
    <w:rsid w:val="007E2888"/>
    <w:rsid w:val="007F2220"/>
    <w:rsid w:val="007F4B3E"/>
    <w:rsid w:val="007F588A"/>
    <w:rsid w:val="00803C9C"/>
    <w:rsid w:val="00804197"/>
    <w:rsid w:val="008127AF"/>
    <w:rsid w:val="00812B46"/>
    <w:rsid w:val="0081545A"/>
    <w:rsid w:val="00815700"/>
    <w:rsid w:val="00816698"/>
    <w:rsid w:val="00817B70"/>
    <w:rsid w:val="008239B8"/>
    <w:rsid w:val="008264EB"/>
    <w:rsid w:val="00826B8F"/>
    <w:rsid w:val="00831E8A"/>
    <w:rsid w:val="00835C76"/>
    <w:rsid w:val="00843049"/>
    <w:rsid w:val="0084409F"/>
    <w:rsid w:val="00845C49"/>
    <w:rsid w:val="00847FC0"/>
    <w:rsid w:val="0085209B"/>
    <w:rsid w:val="00856B66"/>
    <w:rsid w:val="00861A5F"/>
    <w:rsid w:val="008644AD"/>
    <w:rsid w:val="0086566D"/>
    <w:rsid w:val="00865735"/>
    <w:rsid w:val="00865DDB"/>
    <w:rsid w:val="008669E7"/>
    <w:rsid w:val="00867538"/>
    <w:rsid w:val="00871A87"/>
    <w:rsid w:val="00872A17"/>
    <w:rsid w:val="00873D90"/>
    <w:rsid w:val="00873FC8"/>
    <w:rsid w:val="008742FD"/>
    <w:rsid w:val="0087520B"/>
    <w:rsid w:val="0087680E"/>
    <w:rsid w:val="00876A75"/>
    <w:rsid w:val="00883494"/>
    <w:rsid w:val="00884591"/>
    <w:rsid w:val="0088469C"/>
    <w:rsid w:val="00884C63"/>
    <w:rsid w:val="00885908"/>
    <w:rsid w:val="008864B7"/>
    <w:rsid w:val="0089677E"/>
    <w:rsid w:val="00896E8C"/>
    <w:rsid w:val="008A270D"/>
    <w:rsid w:val="008A7438"/>
    <w:rsid w:val="008B1334"/>
    <w:rsid w:val="008B29F0"/>
    <w:rsid w:val="008B4A04"/>
    <w:rsid w:val="008B7168"/>
    <w:rsid w:val="008C0278"/>
    <w:rsid w:val="008C24E9"/>
    <w:rsid w:val="008D0285"/>
    <w:rsid w:val="008D0533"/>
    <w:rsid w:val="008D0B8D"/>
    <w:rsid w:val="008D28EB"/>
    <w:rsid w:val="008D42CB"/>
    <w:rsid w:val="008D48C9"/>
    <w:rsid w:val="008D5B79"/>
    <w:rsid w:val="008D6381"/>
    <w:rsid w:val="008E0C77"/>
    <w:rsid w:val="008E625F"/>
    <w:rsid w:val="008F264D"/>
    <w:rsid w:val="008F4AF9"/>
    <w:rsid w:val="008F6E53"/>
    <w:rsid w:val="008F71E3"/>
    <w:rsid w:val="009074E1"/>
    <w:rsid w:val="009112F7"/>
    <w:rsid w:val="009122AF"/>
    <w:rsid w:val="009127BC"/>
    <w:rsid w:val="00912D54"/>
    <w:rsid w:val="0091389F"/>
    <w:rsid w:val="009160D7"/>
    <w:rsid w:val="009208F7"/>
    <w:rsid w:val="00921851"/>
    <w:rsid w:val="00922517"/>
    <w:rsid w:val="00922722"/>
    <w:rsid w:val="00922E94"/>
    <w:rsid w:val="00924911"/>
    <w:rsid w:val="009261E6"/>
    <w:rsid w:val="009268E1"/>
    <w:rsid w:val="009331B6"/>
    <w:rsid w:val="00934368"/>
    <w:rsid w:val="00936721"/>
    <w:rsid w:val="00936757"/>
    <w:rsid w:val="00945E7F"/>
    <w:rsid w:val="00952398"/>
    <w:rsid w:val="00952504"/>
    <w:rsid w:val="009557C1"/>
    <w:rsid w:val="00960D6E"/>
    <w:rsid w:val="009669E5"/>
    <w:rsid w:val="00966F12"/>
    <w:rsid w:val="00972BC1"/>
    <w:rsid w:val="00973277"/>
    <w:rsid w:val="0097347A"/>
    <w:rsid w:val="00974B59"/>
    <w:rsid w:val="00974FFF"/>
    <w:rsid w:val="00976379"/>
    <w:rsid w:val="009801AF"/>
    <w:rsid w:val="0098340B"/>
    <w:rsid w:val="00986830"/>
    <w:rsid w:val="009924C3"/>
    <w:rsid w:val="00993102"/>
    <w:rsid w:val="00995D2F"/>
    <w:rsid w:val="00996C3C"/>
    <w:rsid w:val="00996DF5"/>
    <w:rsid w:val="009A1760"/>
    <w:rsid w:val="009A6885"/>
    <w:rsid w:val="009A783E"/>
    <w:rsid w:val="009B0601"/>
    <w:rsid w:val="009B0868"/>
    <w:rsid w:val="009B717D"/>
    <w:rsid w:val="009C0999"/>
    <w:rsid w:val="009C35B0"/>
    <w:rsid w:val="009C42AC"/>
    <w:rsid w:val="009C4988"/>
    <w:rsid w:val="009C4A39"/>
    <w:rsid w:val="009C6F10"/>
    <w:rsid w:val="009D148F"/>
    <w:rsid w:val="009D3D70"/>
    <w:rsid w:val="009E26BE"/>
    <w:rsid w:val="009E3861"/>
    <w:rsid w:val="009E4275"/>
    <w:rsid w:val="009E4BB0"/>
    <w:rsid w:val="009E61BF"/>
    <w:rsid w:val="009E6F7E"/>
    <w:rsid w:val="009E7A57"/>
    <w:rsid w:val="009F37FD"/>
    <w:rsid w:val="009F49C3"/>
    <w:rsid w:val="009F4F6A"/>
    <w:rsid w:val="009F5354"/>
    <w:rsid w:val="00A036DB"/>
    <w:rsid w:val="00A03C4E"/>
    <w:rsid w:val="00A04084"/>
    <w:rsid w:val="00A06C8E"/>
    <w:rsid w:val="00A16E36"/>
    <w:rsid w:val="00A20A86"/>
    <w:rsid w:val="00A21928"/>
    <w:rsid w:val="00A24961"/>
    <w:rsid w:val="00A24B10"/>
    <w:rsid w:val="00A30E9B"/>
    <w:rsid w:val="00A31C5E"/>
    <w:rsid w:val="00A35524"/>
    <w:rsid w:val="00A40208"/>
    <w:rsid w:val="00A4512D"/>
    <w:rsid w:val="00A47D52"/>
    <w:rsid w:val="00A50244"/>
    <w:rsid w:val="00A50D3F"/>
    <w:rsid w:val="00A523F3"/>
    <w:rsid w:val="00A56F17"/>
    <w:rsid w:val="00A627D7"/>
    <w:rsid w:val="00A656C7"/>
    <w:rsid w:val="00A705AF"/>
    <w:rsid w:val="00A72454"/>
    <w:rsid w:val="00A72E74"/>
    <w:rsid w:val="00A74345"/>
    <w:rsid w:val="00A77696"/>
    <w:rsid w:val="00A80557"/>
    <w:rsid w:val="00A81D33"/>
    <w:rsid w:val="00A917A2"/>
    <w:rsid w:val="00A930AE"/>
    <w:rsid w:val="00A9435E"/>
    <w:rsid w:val="00AA1A95"/>
    <w:rsid w:val="00AA1B40"/>
    <w:rsid w:val="00AA260F"/>
    <w:rsid w:val="00AB1EE7"/>
    <w:rsid w:val="00AB3487"/>
    <w:rsid w:val="00AB4B37"/>
    <w:rsid w:val="00AB5762"/>
    <w:rsid w:val="00AC2679"/>
    <w:rsid w:val="00AC40EB"/>
    <w:rsid w:val="00AC4BE4"/>
    <w:rsid w:val="00AC6BF9"/>
    <w:rsid w:val="00AD05E6"/>
    <w:rsid w:val="00AD0D3F"/>
    <w:rsid w:val="00AD1C5A"/>
    <w:rsid w:val="00AD4CB7"/>
    <w:rsid w:val="00AE1D7D"/>
    <w:rsid w:val="00AE2467"/>
    <w:rsid w:val="00AE2A8B"/>
    <w:rsid w:val="00AE3F64"/>
    <w:rsid w:val="00AF301A"/>
    <w:rsid w:val="00AF369E"/>
    <w:rsid w:val="00AF7386"/>
    <w:rsid w:val="00AF7934"/>
    <w:rsid w:val="00B00B81"/>
    <w:rsid w:val="00B02835"/>
    <w:rsid w:val="00B03EE9"/>
    <w:rsid w:val="00B04580"/>
    <w:rsid w:val="00B04B09"/>
    <w:rsid w:val="00B04B53"/>
    <w:rsid w:val="00B05079"/>
    <w:rsid w:val="00B06432"/>
    <w:rsid w:val="00B139DB"/>
    <w:rsid w:val="00B15133"/>
    <w:rsid w:val="00B16A51"/>
    <w:rsid w:val="00B16F88"/>
    <w:rsid w:val="00B2467C"/>
    <w:rsid w:val="00B25440"/>
    <w:rsid w:val="00B27441"/>
    <w:rsid w:val="00B30457"/>
    <w:rsid w:val="00B32222"/>
    <w:rsid w:val="00B33DF5"/>
    <w:rsid w:val="00B34F52"/>
    <w:rsid w:val="00B35AF3"/>
    <w:rsid w:val="00B3618D"/>
    <w:rsid w:val="00B36233"/>
    <w:rsid w:val="00B42851"/>
    <w:rsid w:val="00B45045"/>
    <w:rsid w:val="00B45AC7"/>
    <w:rsid w:val="00B45F84"/>
    <w:rsid w:val="00B47401"/>
    <w:rsid w:val="00B479FA"/>
    <w:rsid w:val="00B5372F"/>
    <w:rsid w:val="00B5633A"/>
    <w:rsid w:val="00B563BE"/>
    <w:rsid w:val="00B56AE7"/>
    <w:rsid w:val="00B61129"/>
    <w:rsid w:val="00B640F1"/>
    <w:rsid w:val="00B67E7F"/>
    <w:rsid w:val="00B701F4"/>
    <w:rsid w:val="00B7553D"/>
    <w:rsid w:val="00B75A04"/>
    <w:rsid w:val="00B839B2"/>
    <w:rsid w:val="00B94252"/>
    <w:rsid w:val="00B942DD"/>
    <w:rsid w:val="00B9715A"/>
    <w:rsid w:val="00B97ADB"/>
    <w:rsid w:val="00BA11E5"/>
    <w:rsid w:val="00BA14BE"/>
    <w:rsid w:val="00BA176D"/>
    <w:rsid w:val="00BA2732"/>
    <w:rsid w:val="00BA293D"/>
    <w:rsid w:val="00BA49BC"/>
    <w:rsid w:val="00BA56B7"/>
    <w:rsid w:val="00BA7704"/>
    <w:rsid w:val="00BA7A1E"/>
    <w:rsid w:val="00BA7CA9"/>
    <w:rsid w:val="00BB2D2D"/>
    <w:rsid w:val="00BB2F6C"/>
    <w:rsid w:val="00BB3875"/>
    <w:rsid w:val="00BB512B"/>
    <w:rsid w:val="00BB5860"/>
    <w:rsid w:val="00BB64D8"/>
    <w:rsid w:val="00BB6AAD"/>
    <w:rsid w:val="00BC0B32"/>
    <w:rsid w:val="00BC3DE4"/>
    <w:rsid w:val="00BC4A19"/>
    <w:rsid w:val="00BC4E6D"/>
    <w:rsid w:val="00BC7478"/>
    <w:rsid w:val="00BD0617"/>
    <w:rsid w:val="00BD2E9B"/>
    <w:rsid w:val="00BE59BE"/>
    <w:rsid w:val="00BE6C8C"/>
    <w:rsid w:val="00BE7E9B"/>
    <w:rsid w:val="00BF466D"/>
    <w:rsid w:val="00BF7AD7"/>
    <w:rsid w:val="00C00930"/>
    <w:rsid w:val="00C060AD"/>
    <w:rsid w:val="00C0670D"/>
    <w:rsid w:val="00C113BF"/>
    <w:rsid w:val="00C17E4A"/>
    <w:rsid w:val="00C203FB"/>
    <w:rsid w:val="00C2176E"/>
    <w:rsid w:val="00C23430"/>
    <w:rsid w:val="00C27A3B"/>
    <w:rsid w:val="00C27D67"/>
    <w:rsid w:val="00C34C41"/>
    <w:rsid w:val="00C34C7A"/>
    <w:rsid w:val="00C40329"/>
    <w:rsid w:val="00C432E8"/>
    <w:rsid w:val="00C43FD3"/>
    <w:rsid w:val="00C44625"/>
    <w:rsid w:val="00C451E4"/>
    <w:rsid w:val="00C4627B"/>
    <w:rsid w:val="00C4631F"/>
    <w:rsid w:val="00C50E16"/>
    <w:rsid w:val="00C5210E"/>
    <w:rsid w:val="00C55258"/>
    <w:rsid w:val="00C55727"/>
    <w:rsid w:val="00C55982"/>
    <w:rsid w:val="00C57E17"/>
    <w:rsid w:val="00C82EEB"/>
    <w:rsid w:val="00C83BED"/>
    <w:rsid w:val="00C91015"/>
    <w:rsid w:val="00C91B82"/>
    <w:rsid w:val="00C966D0"/>
    <w:rsid w:val="00C96738"/>
    <w:rsid w:val="00C971DC"/>
    <w:rsid w:val="00CA16B7"/>
    <w:rsid w:val="00CA3614"/>
    <w:rsid w:val="00CA3F54"/>
    <w:rsid w:val="00CA4BE3"/>
    <w:rsid w:val="00CA62AE"/>
    <w:rsid w:val="00CA70F1"/>
    <w:rsid w:val="00CB5B1A"/>
    <w:rsid w:val="00CC220B"/>
    <w:rsid w:val="00CC4172"/>
    <w:rsid w:val="00CC5C43"/>
    <w:rsid w:val="00CC68E1"/>
    <w:rsid w:val="00CC7B2A"/>
    <w:rsid w:val="00CD02AE"/>
    <w:rsid w:val="00CD2A4F"/>
    <w:rsid w:val="00CD44AF"/>
    <w:rsid w:val="00CD6DB7"/>
    <w:rsid w:val="00CE03CA"/>
    <w:rsid w:val="00CE22F1"/>
    <w:rsid w:val="00CE2489"/>
    <w:rsid w:val="00CE50F2"/>
    <w:rsid w:val="00CE62A3"/>
    <w:rsid w:val="00CE6502"/>
    <w:rsid w:val="00CF12C0"/>
    <w:rsid w:val="00CF1AC2"/>
    <w:rsid w:val="00CF1F36"/>
    <w:rsid w:val="00CF4909"/>
    <w:rsid w:val="00CF7D3C"/>
    <w:rsid w:val="00D03933"/>
    <w:rsid w:val="00D147EB"/>
    <w:rsid w:val="00D170F3"/>
    <w:rsid w:val="00D26E78"/>
    <w:rsid w:val="00D34667"/>
    <w:rsid w:val="00D401E1"/>
    <w:rsid w:val="00D408B4"/>
    <w:rsid w:val="00D423B1"/>
    <w:rsid w:val="00D45D94"/>
    <w:rsid w:val="00D5116A"/>
    <w:rsid w:val="00D524C8"/>
    <w:rsid w:val="00D57383"/>
    <w:rsid w:val="00D60E25"/>
    <w:rsid w:val="00D663C9"/>
    <w:rsid w:val="00D7089E"/>
    <w:rsid w:val="00D70E24"/>
    <w:rsid w:val="00D712DC"/>
    <w:rsid w:val="00D72B61"/>
    <w:rsid w:val="00D91473"/>
    <w:rsid w:val="00D93929"/>
    <w:rsid w:val="00DA033A"/>
    <w:rsid w:val="00DA3D1D"/>
    <w:rsid w:val="00DB0138"/>
    <w:rsid w:val="00DB04DF"/>
    <w:rsid w:val="00DB2E7F"/>
    <w:rsid w:val="00DB6286"/>
    <w:rsid w:val="00DB645F"/>
    <w:rsid w:val="00DB76E9"/>
    <w:rsid w:val="00DC0A67"/>
    <w:rsid w:val="00DC1D5E"/>
    <w:rsid w:val="00DC1F32"/>
    <w:rsid w:val="00DC2313"/>
    <w:rsid w:val="00DC5220"/>
    <w:rsid w:val="00DC7910"/>
    <w:rsid w:val="00DD2061"/>
    <w:rsid w:val="00DD7DAB"/>
    <w:rsid w:val="00DE08C4"/>
    <w:rsid w:val="00DE11FC"/>
    <w:rsid w:val="00DE1C8E"/>
    <w:rsid w:val="00DE3355"/>
    <w:rsid w:val="00DE4DBA"/>
    <w:rsid w:val="00DE7298"/>
    <w:rsid w:val="00DF2050"/>
    <w:rsid w:val="00DF486F"/>
    <w:rsid w:val="00DF4A5B"/>
    <w:rsid w:val="00DF5B5B"/>
    <w:rsid w:val="00DF5EB0"/>
    <w:rsid w:val="00DF7001"/>
    <w:rsid w:val="00DF7619"/>
    <w:rsid w:val="00DF788D"/>
    <w:rsid w:val="00E01A2F"/>
    <w:rsid w:val="00E042D8"/>
    <w:rsid w:val="00E06D02"/>
    <w:rsid w:val="00E07587"/>
    <w:rsid w:val="00E07EE7"/>
    <w:rsid w:val="00E1103B"/>
    <w:rsid w:val="00E115B3"/>
    <w:rsid w:val="00E1500D"/>
    <w:rsid w:val="00E17B44"/>
    <w:rsid w:val="00E27FEA"/>
    <w:rsid w:val="00E4086F"/>
    <w:rsid w:val="00E41E08"/>
    <w:rsid w:val="00E4327E"/>
    <w:rsid w:val="00E43B3C"/>
    <w:rsid w:val="00E50188"/>
    <w:rsid w:val="00E515CB"/>
    <w:rsid w:val="00E51816"/>
    <w:rsid w:val="00E52260"/>
    <w:rsid w:val="00E556AF"/>
    <w:rsid w:val="00E60233"/>
    <w:rsid w:val="00E62E39"/>
    <w:rsid w:val="00E639B6"/>
    <w:rsid w:val="00E6434B"/>
    <w:rsid w:val="00E6463D"/>
    <w:rsid w:val="00E67332"/>
    <w:rsid w:val="00E678D0"/>
    <w:rsid w:val="00E72337"/>
    <w:rsid w:val="00E72589"/>
    <w:rsid w:val="00E7281B"/>
    <w:rsid w:val="00E72E9B"/>
    <w:rsid w:val="00E75A20"/>
    <w:rsid w:val="00E80D69"/>
    <w:rsid w:val="00E815B7"/>
    <w:rsid w:val="00E849DA"/>
    <w:rsid w:val="00E85618"/>
    <w:rsid w:val="00E86059"/>
    <w:rsid w:val="00E86AAF"/>
    <w:rsid w:val="00E90F7E"/>
    <w:rsid w:val="00E92EC4"/>
    <w:rsid w:val="00E9462E"/>
    <w:rsid w:val="00EA04DA"/>
    <w:rsid w:val="00EA470E"/>
    <w:rsid w:val="00EA47A7"/>
    <w:rsid w:val="00EA57EB"/>
    <w:rsid w:val="00EA6839"/>
    <w:rsid w:val="00EB3226"/>
    <w:rsid w:val="00EB32F2"/>
    <w:rsid w:val="00EB4807"/>
    <w:rsid w:val="00EB70E5"/>
    <w:rsid w:val="00EC213A"/>
    <w:rsid w:val="00EC6603"/>
    <w:rsid w:val="00EC7744"/>
    <w:rsid w:val="00ED035A"/>
    <w:rsid w:val="00ED0DAD"/>
    <w:rsid w:val="00ED0F46"/>
    <w:rsid w:val="00ED2338"/>
    <w:rsid w:val="00ED2373"/>
    <w:rsid w:val="00ED2757"/>
    <w:rsid w:val="00EE0125"/>
    <w:rsid w:val="00EE3E8A"/>
    <w:rsid w:val="00EF6ECA"/>
    <w:rsid w:val="00EF6F03"/>
    <w:rsid w:val="00F024E1"/>
    <w:rsid w:val="00F02506"/>
    <w:rsid w:val="00F049F6"/>
    <w:rsid w:val="00F06C10"/>
    <w:rsid w:val="00F079A8"/>
    <w:rsid w:val="00F1096F"/>
    <w:rsid w:val="00F12589"/>
    <w:rsid w:val="00F12595"/>
    <w:rsid w:val="00F134D9"/>
    <w:rsid w:val="00F1403D"/>
    <w:rsid w:val="00F1463F"/>
    <w:rsid w:val="00F1494A"/>
    <w:rsid w:val="00F21302"/>
    <w:rsid w:val="00F222DA"/>
    <w:rsid w:val="00F23734"/>
    <w:rsid w:val="00F27F9C"/>
    <w:rsid w:val="00F321DE"/>
    <w:rsid w:val="00F33777"/>
    <w:rsid w:val="00F34701"/>
    <w:rsid w:val="00F36CBD"/>
    <w:rsid w:val="00F37B5C"/>
    <w:rsid w:val="00F40648"/>
    <w:rsid w:val="00F4330B"/>
    <w:rsid w:val="00F47DA2"/>
    <w:rsid w:val="00F519FC"/>
    <w:rsid w:val="00F54DDD"/>
    <w:rsid w:val="00F6239D"/>
    <w:rsid w:val="00F66199"/>
    <w:rsid w:val="00F67A05"/>
    <w:rsid w:val="00F67A37"/>
    <w:rsid w:val="00F715D2"/>
    <w:rsid w:val="00F7274F"/>
    <w:rsid w:val="00F75FE7"/>
    <w:rsid w:val="00F76DCD"/>
    <w:rsid w:val="00F76FA8"/>
    <w:rsid w:val="00F93F08"/>
    <w:rsid w:val="00F940F6"/>
    <w:rsid w:val="00F94CED"/>
    <w:rsid w:val="00FA02A2"/>
    <w:rsid w:val="00FA2CEE"/>
    <w:rsid w:val="00FA318C"/>
    <w:rsid w:val="00FB6F92"/>
    <w:rsid w:val="00FB73EB"/>
    <w:rsid w:val="00FB74C7"/>
    <w:rsid w:val="00FC026E"/>
    <w:rsid w:val="00FC2474"/>
    <w:rsid w:val="00FC2CD2"/>
    <w:rsid w:val="00FC4736"/>
    <w:rsid w:val="00FC5124"/>
    <w:rsid w:val="00FD0075"/>
    <w:rsid w:val="00FD4731"/>
    <w:rsid w:val="00FD6B23"/>
    <w:rsid w:val="00FE0901"/>
    <w:rsid w:val="00FE0C40"/>
    <w:rsid w:val="00FF011B"/>
    <w:rsid w:val="00FF0AB0"/>
    <w:rsid w:val="00FF28AC"/>
    <w:rsid w:val="00FF42D5"/>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AECB1"/>
  <w15:docId w15:val="{E54F4EC6-A257-4DE4-B717-00EB0DE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7092"/>
    <w:pPr>
      <w:spacing w:before="120" w:after="120"/>
    </w:pPr>
    <w:rPr>
      <w:rFonts w:ascii="Arial" w:eastAsia="HelveticaNeueLTStd-Lt" w:hAnsi="Arial"/>
      <w:sz w:val="21"/>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0456"/>
    <w:rPr>
      <w:rFonts w:ascii="Arial" w:eastAsia="HelveticaNeueLTStd-Lt" w:hAnsi="Arial"/>
      <w:i/>
      <w:iCs/>
      <w:sz w:val="21"/>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0E7FF8"/>
    <w:pPr>
      <w:numPr>
        <w:numId w:val="21"/>
      </w:numPr>
      <w:ind w:left="641" w:hanging="357"/>
    </w:pPr>
  </w:style>
  <w:style w:type="paragraph" w:styleId="ListBullet">
    <w:name w:val="List Bullet"/>
    <w:basedOn w:val="Normal"/>
    <w:qFormat/>
    <w:rsid w:val="000A7092"/>
    <w:pPr>
      <w:numPr>
        <w:numId w:val="20"/>
      </w:numPr>
      <w:tabs>
        <w:tab w:val="left" w:pos="340"/>
        <w:tab w:val="left" w:pos="680"/>
      </w:tabs>
      <w:spacing w:before="60" w:after="60"/>
    </w:pPr>
  </w:style>
  <w:style w:type="paragraph" w:styleId="ListNumber3">
    <w:name w:val="List Number 3"/>
    <w:aliases w:val="List Third Level"/>
    <w:basedOn w:val="ListNumber2"/>
    <w:rsid w:val="00BF7AD7"/>
    <w:pPr>
      <w:numPr>
        <w:numId w:val="23"/>
      </w:numPr>
      <w:tabs>
        <w:tab w:val="num" w:pos="1440"/>
      </w:tabs>
    </w:pPr>
    <w:rPr>
      <w:rFonts w:eastAsia="Cambria"/>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uiPriority w:val="59"/>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5F0456"/>
    <w:rPr>
      <w:rFonts w:eastAsia="HelveticaNeueLTStd-Lt"/>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uiPriority w:val="99"/>
    <w:rsid w:val="00BF7AD7"/>
    <w:rPr>
      <w:rFonts w:ascii="Arial" w:hAnsi="Arial"/>
      <w:lang w:eastAsia="en-US"/>
    </w:rPr>
  </w:style>
  <w:style w:type="character" w:customStyle="1" w:styleId="FootnoteTextChar">
    <w:name w:val="Footnote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rsid w:val="00347CFC"/>
    <w:pPr>
      <w:keepNext/>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734C4D"/>
    <w:pPr>
      <w:spacing w:before="4920"/>
      <w:jc w:val="center"/>
    </w:pPr>
    <w:rPr>
      <w:b/>
      <w:bCs/>
      <w:sz w:val="24"/>
      <w:szCs w:val="20"/>
    </w:rPr>
  </w:style>
  <w:style w:type="paragraph" w:customStyle="1" w:styleId="Paragraphtext">
    <w:name w:val="Paragraph text"/>
    <w:basedOn w:val="Normal"/>
    <w:qFormat/>
    <w:rsid w:val="001269AE"/>
    <w:pPr>
      <w:spacing w:after="60"/>
    </w:pPr>
    <w:rPr>
      <w:color w:val="000000" w:themeColor="text1"/>
    </w:rPr>
  </w:style>
  <w:style w:type="paragraph" w:styleId="TOCHeading">
    <w:name w:val="TOC Heading"/>
    <w:basedOn w:val="Heading1"/>
    <w:next w:val="Normal"/>
    <w:uiPriority w:val="39"/>
    <w:unhideWhenUsed/>
    <w:qFormat/>
    <w:rsid w:val="005F0456"/>
    <w:pPr>
      <w:keepLines/>
      <w:spacing w:after="0" w:line="259" w:lineRule="auto"/>
      <w:outlineLvl w:val="9"/>
    </w:pPr>
    <w:rPr>
      <w:rFonts w:cs="Times New Roman"/>
      <w:bCs w:val="0"/>
      <w:color w:val="3F4A75" w:themeColor="text2"/>
      <w:kern w:val="0"/>
      <w:sz w:val="28"/>
      <w:szCs w:val="24"/>
    </w:rPr>
  </w:style>
  <w:style w:type="paragraph" w:styleId="TOC1">
    <w:name w:val="toc 1"/>
    <w:basedOn w:val="Normal"/>
    <w:next w:val="Normal"/>
    <w:autoRedefine/>
    <w:uiPriority w:val="39"/>
    <w:unhideWhenUsed/>
    <w:rsid w:val="005F0456"/>
    <w:pPr>
      <w:tabs>
        <w:tab w:val="right" w:leader="dot" w:pos="9060"/>
      </w:tabs>
      <w:spacing w:after="100"/>
    </w:pPr>
    <w:rPr>
      <w:rFonts w:asciiTheme="minorHAnsi" w:eastAsiaTheme="minorEastAsia" w:hAnsiTheme="minorHAnsi" w:cstheme="minorBidi"/>
      <w:noProof/>
      <w:kern w:val="2"/>
      <w:sz w:val="24"/>
      <w:lang w:eastAsia="ja-JP"/>
      <w14:ligatures w14:val="standardContextual"/>
    </w:rPr>
  </w:style>
  <w:style w:type="paragraph" w:styleId="TOC2">
    <w:name w:val="toc 2"/>
    <w:basedOn w:val="Normal"/>
    <w:next w:val="Normal"/>
    <w:autoRedefine/>
    <w:uiPriority w:val="39"/>
    <w:unhideWhenUsed/>
    <w:rsid w:val="005F0456"/>
    <w:pPr>
      <w:tabs>
        <w:tab w:val="right" w:leader="dot" w:pos="9060"/>
      </w:tabs>
      <w:spacing w:after="100"/>
      <w:ind w:left="220"/>
    </w:pPr>
    <w:rPr>
      <w:rFonts w:asciiTheme="minorHAnsi" w:eastAsiaTheme="minorEastAsia" w:hAnsiTheme="minorHAnsi" w:cstheme="minorBidi"/>
      <w:noProof/>
      <w:kern w:val="2"/>
      <w:sz w:val="24"/>
      <w:lang w:eastAsia="ja-JP"/>
      <w14:ligatures w14:val="standardContextual"/>
    </w:rPr>
  </w:style>
  <w:style w:type="paragraph" w:styleId="TOC3">
    <w:name w:val="toc 3"/>
    <w:basedOn w:val="Normal"/>
    <w:next w:val="Normal"/>
    <w:autoRedefine/>
    <w:uiPriority w:val="39"/>
    <w:unhideWhenUsed/>
    <w:rsid w:val="001269AE"/>
    <w:pPr>
      <w:spacing w:after="100"/>
      <w:ind w:left="440"/>
    </w:pPr>
  </w:style>
  <w:style w:type="character" w:styleId="FootnoteReference">
    <w:name w:val="footnote reference"/>
    <w:basedOn w:val="DefaultParagraphFont"/>
    <w:uiPriority w:val="99"/>
    <w:unhideWhenUsed/>
    <w:rsid w:val="002F2DBB"/>
    <w:rPr>
      <w:vertAlign w:val="superscript"/>
    </w:rPr>
  </w:style>
  <w:style w:type="character" w:styleId="UnresolvedMention">
    <w:name w:val="Unresolved Mention"/>
    <w:basedOn w:val="DefaultParagraphFont"/>
    <w:uiPriority w:val="99"/>
    <w:semiHidden/>
    <w:unhideWhenUsed/>
    <w:rsid w:val="0049017D"/>
    <w:rPr>
      <w:color w:val="605E5C"/>
      <w:shd w:val="clear" w:color="auto" w:fill="E1DFDD"/>
    </w:rPr>
  </w:style>
  <w:style w:type="character" w:styleId="CommentReference">
    <w:name w:val="annotation reference"/>
    <w:basedOn w:val="DefaultParagraphFont"/>
    <w:semiHidden/>
    <w:unhideWhenUsed/>
    <w:rsid w:val="00C34C41"/>
    <w:rPr>
      <w:sz w:val="16"/>
      <w:szCs w:val="16"/>
    </w:rPr>
  </w:style>
  <w:style w:type="paragraph" w:styleId="CommentText">
    <w:name w:val="annotation text"/>
    <w:basedOn w:val="Normal"/>
    <w:link w:val="CommentTextChar"/>
    <w:unhideWhenUsed/>
    <w:rsid w:val="00C34C41"/>
    <w:rPr>
      <w:sz w:val="20"/>
      <w:szCs w:val="20"/>
    </w:rPr>
  </w:style>
  <w:style w:type="character" w:customStyle="1" w:styleId="CommentTextChar">
    <w:name w:val="Comment Text Char"/>
    <w:basedOn w:val="DefaultParagraphFont"/>
    <w:link w:val="CommentText"/>
    <w:rsid w:val="00C34C41"/>
    <w:rPr>
      <w:rFonts w:ascii="Arial" w:hAnsi="Arial"/>
      <w:lang w:eastAsia="en-US"/>
    </w:rPr>
  </w:style>
  <w:style w:type="paragraph" w:styleId="CommentSubject">
    <w:name w:val="annotation subject"/>
    <w:basedOn w:val="CommentText"/>
    <w:next w:val="CommentText"/>
    <w:link w:val="CommentSubjectChar"/>
    <w:semiHidden/>
    <w:unhideWhenUsed/>
    <w:rsid w:val="00C34C41"/>
    <w:rPr>
      <w:b/>
      <w:bCs/>
    </w:rPr>
  </w:style>
  <w:style w:type="character" w:customStyle="1" w:styleId="CommentSubjectChar">
    <w:name w:val="Comment Subject Char"/>
    <w:basedOn w:val="CommentTextChar"/>
    <w:link w:val="CommentSubject"/>
    <w:semiHidden/>
    <w:rsid w:val="00C34C41"/>
    <w:rPr>
      <w:rFonts w:ascii="Arial" w:hAnsi="Arial"/>
      <w:b/>
      <w:bCs/>
      <w:lang w:eastAsia="en-US"/>
    </w:rPr>
  </w:style>
  <w:style w:type="character" w:styleId="FollowedHyperlink">
    <w:name w:val="FollowedHyperlink"/>
    <w:basedOn w:val="DefaultParagraphFont"/>
    <w:semiHidden/>
    <w:unhideWhenUsed/>
    <w:rsid w:val="00FE0901"/>
    <w:rPr>
      <w:color w:val="800080" w:themeColor="followedHyperlink"/>
      <w:u w:val="single"/>
    </w:rPr>
  </w:style>
  <w:style w:type="paragraph" w:styleId="ListBullet3">
    <w:name w:val="List Bullet 3"/>
    <w:basedOn w:val="Normal"/>
    <w:unhideWhenUsed/>
    <w:rsid w:val="00734C4D"/>
    <w:pPr>
      <w:numPr>
        <w:numId w:val="10"/>
      </w:numPr>
      <w:ind w:left="1208" w:hanging="357"/>
      <w:contextualSpacing/>
    </w:pPr>
  </w:style>
  <w:style w:type="paragraph" w:styleId="ListNumber">
    <w:name w:val="List Number"/>
    <w:basedOn w:val="Normal"/>
    <w:rsid w:val="00734C4D"/>
    <w:pPr>
      <w:numPr>
        <w:numId w:val="47"/>
      </w:numPr>
    </w:pPr>
  </w:style>
  <w:style w:type="paragraph" w:styleId="ListParagraph">
    <w:name w:val="List Paragraph"/>
    <w:basedOn w:val="Normal"/>
    <w:uiPriority w:val="34"/>
    <w:qFormat/>
    <w:rsid w:val="00DE1C8E"/>
    <w:pPr>
      <w:ind w:left="720"/>
      <w:contextualSpacing/>
    </w:pPr>
  </w:style>
  <w:style w:type="paragraph" w:styleId="Revision">
    <w:name w:val="Revision"/>
    <w:hidden/>
    <w:uiPriority w:val="99"/>
    <w:semiHidden/>
    <w:rsid w:val="00816698"/>
    <w:rPr>
      <w:rFonts w:ascii="Arial" w:hAnsi="Arial"/>
      <w:sz w:val="21"/>
      <w:szCs w:val="24"/>
      <w:lang w:eastAsia="en-US"/>
    </w:rPr>
  </w:style>
  <w:style w:type="character" w:styleId="HTMLCite">
    <w:name w:val="HTML Cite"/>
    <w:basedOn w:val="DefaultParagraphFont"/>
    <w:uiPriority w:val="99"/>
    <w:semiHidden/>
    <w:unhideWhenUsed/>
    <w:rsid w:val="00A21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8490">
      <w:bodyDiv w:val="1"/>
      <w:marLeft w:val="0"/>
      <w:marRight w:val="0"/>
      <w:marTop w:val="0"/>
      <w:marBottom w:val="0"/>
      <w:divBdr>
        <w:top w:val="none" w:sz="0" w:space="0" w:color="auto"/>
        <w:left w:val="none" w:sz="0" w:space="0" w:color="auto"/>
        <w:bottom w:val="none" w:sz="0" w:space="0" w:color="auto"/>
        <w:right w:val="none" w:sz="0" w:space="0" w:color="auto"/>
      </w:divBdr>
      <w:divsChild>
        <w:div w:id="1809401117">
          <w:marLeft w:val="0"/>
          <w:marRight w:val="0"/>
          <w:marTop w:val="0"/>
          <w:marBottom w:val="0"/>
          <w:divBdr>
            <w:top w:val="none" w:sz="0" w:space="0" w:color="auto"/>
            <w:left w:val="none" w:sz="0" w:space="0" w:color="auto"/>
            <w:bottom w:val="none" w:sz="0" w:space="0" w:color="auto"/>
            <w:right w:val="none" w:sz="0" w:space="0" w:color="auto"/>
          </w:divBdr>
        </w:div>
      </w:divsChild>
    </w:div>
    <w:div w:id="300813731">
      <w:bodyDiv w:val="1"/>
      <w:marLeft w:val="0"/>
      <w:marRight w:val="0"/>
      <w:marTop w:val="0"/>
      <w:marBottom w:val="0"/>
      <w:divBdr>
        <w:top w:val="none" w:sz="0" w:space="0" w:color="auto"/>
        <w:left w:val="none" w:sz="0" w:space="0" w:color="auto"/>
        <w:bottom w:val="none" w:sz="0" w:space="0" w:color="auto"/>
        <w:right w:val="none" w:sz="0" w:space="0" w:color="auto"/>
      </w:divBdr>
      <w:divsChild>
        <w:div w:id="410933079">
          <w:marLeft w:val="288"/>
          <w:marRight w:val="0"/>
          <w:marTop w:val="60"/>
          <w:marBottom w:val="60"/>
          <w:divBdr>
            <w:top w:val="none" w:sz="0" w:space="0" w:color="auto"/>
            <w:left w:val="none" w:sz="0" w:space="0" w:color="auto"/>
            <w:bottom w:val="none" w:sz="0" w:space="0" w:color="auto"/>
            <w:right w:val="none" w:sz="0" w:space="0" w:color="auto"/>
          </w:divBdr>
        </w:div>
        <w:div w:id="513999906">
          <w:marLeft w:val="288"/>
          <w:marRight w:val="0"/>
          <w:marTop w:val="60"/>
          <w:marBottom w:val="60"/>
          <w:divBdr>
            <w:top w:val="none" w:sz="0" w:space="0" w:color="auto"/>
            <w:left w:val="none" w:sz="0" w:space="0" w:color="auto"/>
            <w:bottom w:val="none" w:sz="0" w:space="0" w:color="auto"/>
            <w:right w:val="none" w:sz="0" w:space="0" w:color="auto"/>
          </w:divBdr>
        </w:div>
        <w:div w:id="568661156">
          <w:marLeft w:val="288"/>
          <w:marRight w:val="0"/>
          <w:marTop w:val="60"/>
          <w:marBottom w:val="60"/>
          <w:divBdr>
            <w:top w:val="none" w:sz="0" w:space="0" w:color="auto"/>
            <w:left w:val="none" w:sz="0" w:space="0" w:color="auto"/>
            <w:bottom w:val="none" w:sz="0" w:space="0" w:color="auto"/>
            <w:right w:val="none" w:sz="0" w:space="0" w:color="auto"/>
          </w:divBdr>
        </w:div>
        <w:div w:id="574584057">
          <w:marLeft w:val="288"/>
          <w:marRight w:val="0"/>
          <w:marTop w:val="60"/>
          <w:marBottom w:val="60"/>
          <w:divBdr>
            <w:top w:val="none" w:sz="0" w:space="0" w:color="auto"/>
            <w:left w:val="none" w:sz="0" w:space="0" w:color="auto"/>
            <w:bottom w:val="none" w:sz="0" w:space="0" w:color="auto"/>
            <w:right w:val="none" w:sz="0" w:space="0" w:color="auto"/>
          </w:divBdr>
        </w:div>
        <w:div w:id="720330053">
          <w:marLeft w:val="288"/>
          <w:marRight w:val="0"/>
          <w:marTop w:val="60"/>
          <w:marBottom w:val="60"/>
          <w:divBdr>
            <w:top w:val="none" w:sz="0" w:space="0" w:color="auto"/>
            <w:left w:val="none" w:sz="0" w:space="0" w:color="auto"/>
            <w:bottom w:val="none" w:sz="0" w:space="0" w:color="auto"/>
            <w:right w:val="none" w:sz="0" w:space="0" w:color="auto"/>
          </w:divBdr>
        </w:div>
        <w:div w:id="1434090896">
          <w:marLeft w:val="288"/>
          <w:marRight w:val="0"/>
          <w:marTop w:val="60"/>
          <w:marBottom w:val="60"/>
          <w:divBdr>
            <w:top w:val="none" w:sz="0" w:space="0" w:color="auto"/>
            <w:left w:val="none" w:sz="0" w:space="0" w:color="auto"/>
            <w:bottom w:val="none" w:sz="0" w:space="0" w:color="auto"/>
            <w:right w:val="none" w:sz="0" w:space="0" w:color="auto"/>
          </w:divBdr>
        </w:div>
        <w:div w:id="1660842227">
          <w:marLeft w:val="288"/>
          <w:marRight w:val="0"/>
          <w:marTop w:val="60"/>
          <w:marBottom w:val="60"/>
          <w:divBdr>
            <w:top w:val="none" w:sz="0" w:space="0" w:color="auto"/>
            <w:left w:val="none" w:sz="0" w:space="0" w:color="auto"/>
            <w:bottom w:val="none" w:sz="0" w:space="0" w:color="auto"/>
            <w:right w:val="none" w:sz="0" w:space="0" w:color="auto"/>
          </w:divBdr>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7580073">
      <w:bodyDiv w:val="1"/>
      <w:marLeft w:val="0"/>
      <w:marRight w:val="0"/>
      <w:marTop w:val="0"/>
      <w:marBottom w:val="0"/>
      <w:divBdr>
        <w:top w:val="none" w:sz="0" w:space="0" w:color="auto"/>
        <w:left w:val="none" w:sz="0" w:space="0" w:color="auto"/>
        <w:bottom w:val="none" w:sz="0" w:space="0" w:color="auto"/>
        <w:right w:val="none" w:sz="0" w:space="0" w:color="auto"/>
      </w:divBdr>
      <w:divsChild>
        <w:div w:id="374499920">
          <w:marLeft w:val="0"/>
          <w:marRight w:val="0"/>
          <w:marTop w:val="0"/>
          <w:marBottom w:val="0"/>
          <w:divBdr>
            <w:top w:val="none" w:sz="0" w:space="0" w:color="auto"/>
            <w:left w:val="none" w:sz="0" w:space="0" w:color="auto"/>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47804378">
      <w:bodyDiv w:val="1"/>
      <w:marLeft w:val="0"/>
      <w:marRight w:val="0"/>
      <w:marTop w:val="0"/>
      <w:marBottom w:val="0"/>
      <w:divBdr>
        <w:top w:val="none" w:sz="0" w:space="0" w:color="auto"/>
        <w:left w:val="none" w:sz="0" w:space="0" w:color="auto"/>
        <w:bottom w:val="none" w:sz="0" w:space="0" w:color="auto"/>
        <w:right w:val="none" w:sz="0" w:space="0" w:color="auto"/>
      </w:divBdr>
    </w:div>
    <w:div w:id="1073308873">
      <w:bodyDiv w:val="1"/>
      <w:marLeft w:val="0"/>
      <w:marRight w:val="0"/>
      <w:marTop w:val="0"/>
      <w:marBottom w:val="0"/>
      <w:divBdr>
        <w:top w:val="none" w:sz="0" w:space="0" w:color="auto"/>
        <w:left w:val="none" w:sz="0" w:space="0" w:color="auto"/>
        <w:bottom w:val="none" w:sz="0" w:space="0" w:color="auto"/>
        <w:right w:val="none" w:sz="0" w:space="0" w:color="auto"/>
      </w:divBdr>
    </w:div>
    <w:div w:id="113694880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321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diagramColors" Target="diagrams/colors1.xml"/><Relationship Id="rId39" Type="http://schemas.openxmlformats.org/officeDocument/2006/relationships/hyperlink" Target="https://www.legislation.gov.au/F2025L00198/latest/text" TargetMode="External"/><Relationship Id="rId3" Type="http://schemas.openxmlformats.org/officeDocument/2006/relationships/customXml" Target="../customXml/item3.xml"/><Relationship Id="rId21" Type="http://schemas.openxmlformats.org/officeDocument/2006/relationships/hyperlink" Target="https://www.health.gov.au/resources/publications/fraud-and-corruption-control-plan-2023-25?language=en" TargetMode="External"/><Relationship Id="rId34" Type="http://schemas.openxmlformats.org/officeDocument/2006/relationships/hyperlink" Target="https://www.health.gov.au/our-work/the-prescribed-list/reforms" TargetMode="External"/><Relationship Id="rId42" Type="http://schemas.openxmlformats.org/officeDocument/2006/relationships/hyperlink" Target="https://www9.health.gov.au/mbs/search.cfm" TargetMode="Externa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hyperlink" Target="https://www.health.gov.au/about-us/what-we-do/regulation-and-compliance" TargetMode="External"/><Relationship Id="rId38" Type="http://schemas.openxmlformats.org/officeDocument/2006/relationships/hyperlink" Target="https://www.legislation.gov.au/C2007A00031/2023-07-01/tex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about-us/corporate-reporting/corporate-plan" TargetMode="External"/><Relationship Id="rId29" Type="http://schemas.openxmlformats.org/officeDocument/2006/relationships/hyperlink" Target="https://www.health.gov.au/resources/publications/privacy-policy" TargetMode="External"/><Relationship Id="rId41" Type="http://schemas.openxmlformats.org/officeDocument/2006/relationships/hyperlink" Target="https://compliance.health.gov.au/art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Layout" Target="diagrams/layout1.xml"/><Relationship Id="rId32" Type="http://schemas.openxmlformats.org/officeDocument/2006/relationships/hyperlink" Target="https://www.health.gov.au/resources/publications/prescribed-list-of-medical-devices-and-human-tissue-products?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health.gov.au/health-topics/private-health-insuran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hyperlink" Target="https://www.health.gov.au/resources/publications/privacy-policy" TargetMode="External"/><Relationship Id="rId36" Type="http://schemas.openxmlformats.org/officeDocument/2006/relationships/hyperlink" Target="https://www.health.gov.au/resources/publications/prescribed-list-post-listing-review-framework?language=e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gov.au/our-work/prescribed-list"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3.png"/><Relationship Id="rId27" Type="http://schemas.microsoft.com/office/2007/relationships/diagramDrawing" Target="diagrams/drawing1.xml"/><Relationship Id="rId30" Type="http://schemas.openxmlformats.org/officeDocument/2006/relationships/hyperlink" Target="mailto:prescribedlist.compliance@health.gov.au" TargetMode="External"/><Relationship Id="rId35" Type="http://schemas.openxmlformats.org/officeDocument/2006/relationships/hyperlink" Target="https://www.health.gov.au/resources/publications/prescribed-list-of-medical-devices-and-human-tissue-products-guide-draft" TargetMode="Externa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 TargetMode="External"/><Relationship Id="rId2" Type="http://schemas.openxmlformats.org/officeDocument/2006/relationships/hyperlink" Target="https://www.health.gov.au/resources/publications/prescribed-list-of-medical-devices-and-human-tissue-products-guide-draft" TargetMode="External"/><Relationship Id="rId1" Type="http://schemas.openxmlformats.org/officeDocument/2006/relationships/hyperlink" Target="https://www.legislation.gov.au/F2025L00198/latest/te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06433-3BAA-40E1-AAED-CD0F896FDED0}" type="doc">
      <dgm:prSet loTypeId="urn:microsoft.com/office/officeart/2005/8/layout/pyramid1" loCatId="pyramid" qsTypeId="urn:microsoft.com/office/officeart/2005/8/quickstyle/simple1" qsCatId="simple" csTypeId="urn:microsoft.com/office/officeart/2005/8/colors/accent3_5" csCatId="accent3" phldr="1"/>
      <dgm:spPr/>
    </dgm:pt>
    <dgm:pt modelId="{262939C6-0A25-4450-BD0C-972DB4DB96B5}">
      <dgm:prSet custT="1"/>
      <dgm:spPr>
        <a:xfrm>
          <a:off x="2200494" y="0"/>
          <a:ext cx="471262" cy="352869"/>
        </a:xfrm>
        <a:prstGeom prst="trapezoid">
          <a:avLst>
            <a:gd name="adj" fmla="val 66776"/>
          </a:avLst>
        </a:prstGeom>
        <a:solidFill>
          <a:srgbClr val="EE2C3B">
            <a:alpha val="89804"/>
          </a:srgbClr>
        </a:solidFill>
        <a:ln w="12700" cap="flat" cmpd="sng" algn="ctr">
          <a:solidFill>
            <a:schemeClr val="accent1"/>
          </a:solidFill>
          <a:prstDash val="solid"/>
        </a:ln>
        <a:effectLst/>
      </dgm:spPr>
      <dgm:t>
        <a:bodyPr/>
        <a:lstStyle/>
        <a:p>
          <a:pPr>
            <a:buNone/>
          </a:pPr>
          <a:r>
            <a:rPr lang="en-AU" sz="900" b="1">
              <a:solidFill>
                <a:sysClr val="window" lastClr="FFFFFF"/>
              </a:solidFill>
              <a:latin typeface="Calibri"/>
              <a:ea typeface="+mn-ea"/>
              <a:cs typeface="+mn-cs"/>
            </a:rPr>
            <a:t> </a:t>
          </a:r>
        </a:p>
      </dgm:t>
    </dgm:pt>
    <dgm:pt modelId="{DBE35F2B-E571-43C7-9351-956B531A2A39}" type="sibTrans" cxnId="{F6DB4C91-4A57-41BB-8FF2-E0528A1862E2}">
      <dgm:prSet/>
      <dgm:spPr/>
      <dgm:t>
        <a:bodyPr/>
        <a:lstStyle/>
        <a:p>
          <a:endParaRPr lang="en-AU"/>
        </a:p>
      </dgm:t>
    </dgm:pt>
    <dgm:pt modelId="{50530892-AC1B-4748-A138-62154C1C1F30}" type="parTrans" cxnId="{F6DB4C91-4A57-41BB-8FF2-E0528A1862E2}">
      <dgm:prSet/>
      <dgm:spPr/>
      <dgm:t>
        <a:bodyPr/>
        <a:lstStyle/>
        <a:p>
          <a:endParaRPr lang="en-AU"/>
        </a:p>
      </dgm:t>
    </dgm:pt>
    <dgm:pt modelId="{987FEDFA-EA46-4A1C-A6F4-8907D7158A01}">
      <dgm:prSet custT="1"/>
      <dgm:spPr>
        <a:xfrm>
          <a:off x="2049869" y="352869"/>
          <a:ext cx="772512" cy="225568"/>
        </a:xfrm>
        <a:prstGeom prst="trapezoid">
          <a:avLst>
            <a:gd name="adj" fmla="val 66776"/>
          </a:avLst>
        </a:prstGeom>
        <a:solidFill>
          <a:srgbClr val="E4D31D">
            <a:alpha val="89804"/>
          </a:srgbClr>
        </a:solidFill>
        <a:ln w="12700" cap="flat" cmpd="sng" algn="ctr">
          <a:solidFill>
            <a:schemeClr val="accent1"/>
          </a:solidFill>
          <a:prstDash val="solid"/>
        </a:ln>
        <a:effectLst/>
      </dgm:spPr>
      <dgm:t>
        <a:bodyPr/>
        <a:lstStyle/>
        <a:p>
          <a:pPr>
            <a:buNone/>
          </a:pPr>
          <a:r>
            <a:rPr lang="en-AU" sz="900" b="1">
              <a:solidFill>
                <a:sysClr val="window" lastClr="FFFFFF"/>
              </a:solidFill>
              <a:latin typeface="Calibri"/>
              <a:ea typeface="+mn-ea"/>
              <a:cs typeface="+mn-cs"/>
            </a:rPr>
            <a:t> </a:t>
          </a:r>
        </a:p>
      </dgm:t>
    </dgm:pt>
    <dgm:pt modelId="{724FBE7A-3462-4DE0-8B77-10FFA52D2C8F}" type="sibTrans" cxnId="{EF75B2B0-7BD3-41F2-B048-755DE305612D}">
      <dgm:prSet/>
      <dgm:spPr/>
      <dgm:t>
        <a:bodyPr/>
        <a:lstStyle/>
        <a:p>
          <a:endParaRPr lang="en-AU"/>
        </a:p>
      </dgm:t>
    </dgm:pt>
    <dgm:pt modelId="{4FFF47F5-9113-41D6-A5A2-92F1BADB940E}" type="parTrans" cxnId="{EF75B2B0-7BD3-41F2-B048-755DE305612D}">
      <dgm:prSet/>
      <dgm:spPr/>
      <dgm:t>
        <a:bodyPr/>
        <a:lstStyle/>
        <a:p>
          <a:endParaRPr lang="en-AU"/>
        </a:p>
      </dgm:t>
    </dgm:pt>
    <dgm:pt modelId="{95B736BE-A9FC-457F-A9D1-1C4D6B3B0248}">
      <dgm:prSet custT="1"/>
      <dgm:spPr>
        <a:xfrm>
          <a:off x="1490326" y="931306"/>
          <a:ext cx="1891597" cy="484563"/>
        </a:xfrm>
        <a:prstGeom prst="trapezoid">
          <a:avLst>
            <a:gd name="adj" fmla="val 66776"/>
          </a:avLst>
        </a:prstGeom>
        <a:solidFill>
          <a:srgbClr val="1D437F"/>
        </a:solidFill>
        <a:ln w="12700" cap="flat" cmpd="sng" algn="ctr">
          <a:solidFill>
            <a:schemeClr val="accent1"/>
          </a:solidFill>
          <a:prstDash val="solid"/>
        </a:ln>
        <a:effectLst/>
      </dgm:spPr>
      <dgm:t>
        <a:bodyPr/>
        <a:lstStyle/>
        <a:p>
          <a:pPr algn="ctr">
            <a:buNone/>
          </a:pPr>
          <a:r>
            <a:rPr lang="en-AU" sz="1000" b="1">
              <a:solidFill>
                <a:schemeClr val="bg1"/>
              </a:solidFill>
              <a:latin typeface="Calibri"/>
              <a:ea typeface="+mn-ea"/>
              <a:cs typeface="+mn-cs"/>
            </a:rPr>
            <a:t>Targeted focused monitoring</a:t>
          </a:r>
        </a:p>
      </dgm:t>
    </dgm:pt>
    <dgm:pt modelId="{6093BD20-8EF1-41B3-9440-A17F87F3A397}" type="sibTrans" cxnId="{70B0F212-0A8B-44CE-9BE5-236AAC35B3E2}">
      <dgm:prSet/>
      <dgm:spPr/>
      <dgm:t>
        <a:bodyPr/>
        <a:lstStyle/>
        <a:p>
          <a:endParaRPr lang="en-AU"/>
        </a:p>
      </dgm:t>
    </dgm:pt>
    <dgm:pt modelId="{D09D663A-7D36-4704-94E4-5D3FE995F000}" type="parTrans" cxnId="{70B0F212-0A8B-44CE-9BE5-236AAC35B3E2}">
      <dgm:prSet/>
      <dgm:spPr/>
      <dgm:t>
        <a:bodyPr/>
        <a:lstStyle/>
        <a:p>
          <a:endParaRPr lang="en-AU"/>
        </a:p>
      </dgm:t>
    </dgm:pt>
    <dgm:pt modelId="{5F137B27-1EEC-405A-B688-7ACA85DA8AAB}">
      <dgm:prSet phldrT="[Text]" custT="1"/>
      <dgm:spPr>
        <a:xfrm>
          <a:off x="1205104" y="1415870"/>
          <a:ext cx="2462042" cy="423725"/>
        </a:xfrm>
        <a:prstGeom prst="trapezoid">
          <a:avLst>
            <a:gd name="adj" fmla="val 66776"/>
          </a:avLst>
        </a:prstGeom>
        <a:solidFill>
          <a:srgbClr val="1390CF"/>
        </a:solidFill>
        <a:ln w="12700" cap="flat" cmpd="sng" algn="ctr">
          <a:solidFill>
            <a:schemeClr val="accent1"/>
          </a:solidFill>
          <a:prstDash val="solid"/>
        </a:ln>
        <a:effectLst/>
      </dgm:spPr>
      <dgm:t>
        <a:bodyPr/>
        <a:lstStyle/>
        <a:p>
          <a:pPr>
            <a:buNone/>
          </a:pPr>
          <a:r>
            <a:rPr lang="en-AU" sz="1100" b="1">
              <a:solidFill>
                <a:schemeClr val="bg1"/>
              </a:solidFill>
              <a:latin typeface="Calibri"/>
              <a:ea typeface="+mn-ea"/>
              <a:cs typeface="+mn-cs"/>
            </a:rPr>
            <a:t>Required corrective action</a:t>
          </a:r>
        </a:p>
      </dgm:t>
    </dgm:pt>
    <dgm:pt modelId="{125C154C-F6D5-47AA-BCC2-5C97ADF033BC}" type="sibTrans" cxnId="{50C12A5F-BD0F-434D-846A-36091EB3A972}">
      <dgm:prSet/>
      <dgm:spPr/>
      <dgm:t>
        <a:bodyPr/>
        <a:lstStyle/>
        <a:p>
          <a:endParaRPr lang="en-AU"/>
        </a:p>
      </dgm:t>
    </dgm:pt>
    <dgm:pt modelId="{3CD322B8-B608-4A5A-865D-9961B727A965}" type="parTrans" cxnId="{50C12A5F-BD0F-434D-846A-36091EB3A972}">
      <dgm:prSet/>
      <dgm:spPr/>
      <dgm:t>
        <a:bodyPr/>
        <a:lstStyle/>
        <a:p>
          <a:endParaRPr lang="en-AU"/>
        </a:p>
      </dgm:t>
    </dgm:pt>
    <dgm:pt modelId="{D077A56F-7F6F-4DB3-9C57-F77B73A86985}">
      <dgm:prSet custT="1"/>
      <dgm:spPr>
        <a:xfrm>
          <a:off x="511852" y="2341838"/>
          <a:ext cx="3848546" cy="539854"/>
        </a:xfrm>
        <a:prstGeom prst="trapezoid">
          <a:avLst>
            <a:gd name="adj" fmla="val 66776"/>
          </a:avLst>
        </a:prstGeom>
        <a:solidFill>
          <a:srgbClr val="B3DEF2">
            <a:alpha val="57255"/>
          </a:srgbClr>
        </a:solidFill>
        <a:ln w="12700" cap="flat" cmpd="sng" algn="ctr">
          <a:solidFill>
            <a:schemeClr val="accent1"/>
          </a:solidFill>
          <a:prstDash val="solid"/>
        </a:ln>
        <a:effectLst/>
      </dgm:spPr>
      <dgm:t>
        <a:bodyPr/>
        <a:lstStyle/>
        <a:p>
          <a:pPr>
            <a:buNone/>
          </a:pPr>
          <a:r>
            <a:rPr lang="en-AU" sz="1100" b="1">
              <a:solidFill>
                <a:sysClr val="windowText" lastClr="000000">
                  <a:hueOff val="0"/>
                  <a:satOff val="0"/>
                  <a:lumOff val="0"/>
                  <a:alphaOff val="0"/>
                </a:sysClr>
              </a:solidFill>
              <a:latin typeface="Calibri"/>
              <a:ea typeface="+mn-ea"/>
              <a:cs typeface="+mn-cs"/>
            </a:rPr>
            <a:t>Caution / Warning</a:t>
          </a:r>
        </a:p>
      </dgm:t>
    </dgm:pt>
    <dgm:pt modelId="{CF2729F6-4523-4E2A-8609-049FFD7CDD5C}" type="sibTrans" cxnId="{F2938563-543C-4A94-A549-2B0D3D898A39}">
      <dgm:prSet/>
      <dgm:spPr/>
      <dgm:t>
        <a:bodyPr/>
        <a:lstStyle/>
        <a:p>
          <a:endParaRPr lang="en-AU"/>
        </a:p>
      </dgm:t>
    </dgm:pt>
    <dgm:pt modelId="{35C6999E-B36D-4F01-9D09-DF1EA08C6D6A}" type="parTrans" cxnId="{F2938563-543C-4A94-A549-2B0D3D898A39}">
      <dgm:prSet/>
      <dgm:spPr/>
      <dgm:t>
        <a:bodyPr/>
        <a:lstStyle/>
        <a:p>
          <a:endParaRPr lang="en-AU"/>
        </a:p>
      </dgm:t>
    </dgm:pt>
    <dgm:pt modelId="{032C50CB-3839-4546-A2F3-A3F4039B3926}">
      <dgm:prSet phldrT="[Text]" custT="1"/>
      <dgm:spPr>
        <a:xfrm>
          <a:off x="0" y="2881693"/>
          <a:ext cx="4872251" cy="766523"/>
        </a:xfrm>
        <a:prstGeom prst="trapezoid">
          <a:avLst>
            <a:gd name="adj" fmla="val 66776"/>
          </a:avLst>
        </a:prstGeom>
        <a:solidFill>
          <a:srgbClr val="E6E6E6">
            <a:alpha val="49804"/>
          </a:srgbClr>
        </a:solidFill>
        <a:ln w="12700" cap="flat" cmpd="sng" algn="ctr">
          <a:solidFill>
            <a:schemeClr val="accent1"/>
          </a:solidFill>
          <a:prstDash val="solid"/>
        </a:ln>
        <a:effectLst/>
      </dgm:spPr>
      <dgm:t>
        <a:bodyPr/>
        <a:lstStyle/>
        <a:p>
          <a:pPr>
            <a:buNone/>
          </a:pPr>
          <a:r>
            <a:rPr lang="en-AU" sz="1100" b="1">
              <a:solidFill>
                <a:sysClr val="windowText" lastClr="000000">
                  <a:hueOff val="0"/>
                  <a:satOff val="0"/>
                  <a:lumOff val="0"/>
                  <a:alphaOff val="0"/>
                </a:sysClr>
              </a:solidFill>
              <a:latin typeface="Calibri"/>
              <a:ea typeface="+mn-ea"/>
              <a:cs typeface="+mn-cs"/>
            </a:rPr>
            <a:t>Education and Guidance </a:t>
          </a:r>
        </a:p>
      </dgm:t>
    </dgm:pt>
    <dgm:pt modelId="{7A2AECBD-B0D8-4FEB-A032-19115930E10A}" type="sibTrans" cxnId="{E8608AEA-FDFD-4BB9-94C4-CA2D9376D01D}">
      <dgm:prSet/>
      <dgm:spPr/>
      <dgm:t>
        <a:bodyPr/>
        <a:lstStyle/>
        <a:p>
          <a:endParaRPr lang="en-AU"/>
        </a:p>
      </dgm:t>
    </dgm:pt>
    <dgm:pt modelId="{F31C19EE-128C-4045-A744-08E2976D8D3C}" type="parTrans" cxnId="{E8608AEA-FDFD-4BB9-94C4-CA2D9376D01D}">
      <dgm:prSet/>
      <dgm:spPr/>
      <dgm:t>
        <a:bodyPr/>
        <a:lstStyle/>
        <a:p>
          <a:endParaRPr lang="en-AU"/>
        </a:p>
      </dgm:t>
    </dgm:pt>
    <dgm:pt modelId="{221DA90C-F53B-4D52-A507-CAAE1D5E816F}" type="pres">
      <dgm:prSet presAssocID="{C6E06433-3BAA-40E1-AAED-CD0F896FDED0}" presName="Name0" presStyleCnt="0">
        <dgm:presLayoutVars>
          <dgm:dir/>
          <dgm:animLvl val="lvl"/>
          <dgm:resizeHandles val="exact"/>
        </dgm:presLayoutVars>
      </dgm:prSet>
      <dgm:spPr/>
    </dgm:pt>
    <dgm:pt modelId="{98DC4999-548F-4483-914D-2B150D0B67E0}" type="pres">
      <dgm:prSet presAssocID="{262939C6-0A25-4450-BD0C-972DB4DB96B5}" presName="Name8" presStyleCnt="0"/>
      <dgm:spPr/>
    </dgm:pt>
    <dgm:pt modelId="{C2484A27-E930-44E2-A93C-35A4C7A5721D}" type="pres">
      <dgm:prSet presAssocID="{262939C6-0A25-4450-BD0C-972DB4DB96B5}" presName="level" presStyleLbl="node1" presStyleIdx="0" presStyleCnt="6">
        <dgm:presLayoutVars>
          <dgm:chMax val="1"/>
          <dgm:bulletEnabled val="1"/>
        </dgm:presLayoutVars>
      </dgm:prSet>
      <dgm:spPr/>
    </dgm:pt>
    <dgm:pt modelId="{060058EB-8845-4677-920E-A03216F822CB}" type="pres">
      <dgm:prSet presAssocID="{262939C6-0A25-4450-BD0C-972DB4DB96B5}" presName="levelTx" presStyleLbl="revTx" presStyleIdx="0" presStyleCnt="0">
        <dgm:presLayoutVars>
          <dgm:chMax val="1"/>
          <dgm:bulletEnabled val="1"/>
        </dgm:presLayoutVars>
      </dgm:prSet>
      <dgm:spPr/>
    </dgm:pt>
    <dgm:pt modelId="{9C21E0A5-B389-42E7-8E4B-57C7F197D875}" type="pres">
      <dgm:prSet presAssocID="{987FEDFA-EA46-4A1C-A6F4-8907D7158A01}" presName="Name8" presStyleCnt="0"/>
      <dgm:spPr/>
    </dgm:pt>
    <dgm:pt modelId="{1D482AA7-FE4A-4F14-8032-51AE71D16156}" type="pres">
      <dgm:prSet presAssocID="{987FEDFA-EA46-4A1C-A6F4-8907D7158A01}" presName="level" presStyleLbl="node1" presStyleIdx="1" presStyleCnt="6" custScaleY="63924">
        <dgm:presLayoutVars>
          <dgm:chMax val="1"/>
          <dgm:bulletEnabled val="1"/>
        </dgm:presLayoutVars>
      </dgm:prSet>
      <dgm:spPr/>
    </dgm:pt>
    <dgm:pt modelId="{2846608A-430A-4BC4-8431-416ACD24930C}" type="pres">
      <dgm:prSet presAssocID="{987FEDFA-EA46-4A1C-A6F4-8907D7158A01}" presName="levelTx" presStyleLbl="revTx" presStyleIdx="0" presStyleCnt="0">
        <dgm:presLayoutVars>
          <dgm:chMax val="1"/>
          <dgm:bulletEnabled val="1"/>
        </dgm:presLayoutVars>
      </dgm:prSet>
      <dgm:spPr/>
    </dgm:pt>
    <dgm:pt modelId="{F711AA07-F827-48B0-95C3-3AD7EBFA3FAF}" type="pres">
      <dgm:prSet presAssocID="{95B736BE-A9FC-457F-A9D1-1C4D6B3B0248}" presName="Name8" presStyleCnt="0"/>
      <dgm:spPr/>
    </dgm:pt>
    <dgm:pt modelId="{2458D0B2-124B-4DF7-8867-DFE87A89C2ED}" type="pres">
      <dgm:prSet presAssocID="{95B736BE-A9FC-457F-A9D1-1C4D6B3B0248}" presName="level" presStyleLbl="node1" presStyleIdx="2" presStyleCnt="6" custScaleX="100036" custScaleY="104889">
        <dgm:presLayoutVars>
          <dgm:chMax val="1"/>
          <dgm:bulletEnabled val="1"/>
        </dgm:presLayoutVars>
      </dgm:prSet>
      <dgm:spPr/>
    </dgm:pt>
    <dgm:pt modelId="{C2C7B3C9-4966-4B8D-A124-00B7F7557120}" type="pres">
      <dgm:prSet presAssocID="{95B736BE-A9FC-457F-A9D1-1C4D6B3B0248}" presName="levelTx" presStyleLbl="revTx" presStyleIdx="0" presStyleCnt="0">
        <dgm:presLayoutVars>
          <dgm:chMax val="1"/>
          <dgm:bulletEnabled val="1"/>
        </dgm:presLayoutVars>
      </dgm:prSet>
      <dgm:spPr/>
    </dgm:pt>
    <dgm:pt modelId="{A018A9E0-A2F3-4F28-8B7F-28FBFFA37232}" type="pres">
      <dgm:prSet presAssocID="{5F137B27-1EEC-405A-B688-7ACA85DA8AAB}" presName="Name8" presStyleCnt="0"/>
      <dgm:spPr/>
    </dgm:pt>
    <dgm:pt modelId="{57183AC0-054F-4F21-9908-7A27BC11072C}" type="pres">
      <dgm:prSet presAssocID="{5F137B27-1EEC-405A-B688-7ACA85DA8AAB}" presName="level" presStyleLbl="node1" presStyleIdx="3" presStyleCnt="6" custScaleX="100213" custScaleY="120080">
        <dgm:presLayoutVars>
          <dgm:chMax val="1"/>
          <dgm:bulletEnabled val="1"/>
        </dgm:presLayoutVars>
      </dgm:prSet>
      <dgm:spPr/>
    </dgm:pt>
    <dgm:pt modelId="{11BE82CB-29A6-4DD5-97BC-CDB01685EC4A}" type="pres">
      <dgm:prSet presAssocID="{5F137B27-1EEC-405A-B688-7ACA85DA8AAB}" presName="levelTx" presStyleLbl="revTx" presStyleIdx="0" presStyleCnt="0">
        <dgm:presLayoutVars>
          <dgm:chMax val="1"/>
          <dgm:bulletEnabled val="1"/>
        </dgm:presLayoutVars>
      </dgm:prSet>
      <dgm:spPr/>
    </dgm:pt>
    <dgm:pt modelId="{6358C491-9FD7-4D59-A5FF-5AC3412567A5}" type="pres">
      <dgm:prSet presAssocID="{D077A56F-7F6F-4DB3-9C57-F77B73A86985}" presName="Name8" presStyleCnt="0"/>
      <dgm:spPr/>
    </dgm:pt>
    <dgm:pt modelId="{7047EF10-F08E-48BD-9566-ACA582830FC0}" type="pres">
      <dgm:prSet presAssocID="{D077A56F-7F6F-4DB3-9C57-F77B73A86985}" presName="level" presStyleLbl="node1" presStyleIdx="4" presStyleCnt="6" custScaleY="152990">
        <dgm:presLayoutVars>
          <dgm:chMax val="1"/>
          <dgm:bulletEnabled val="1"/>
        </dgm:presLayoutVars>
      </dgm:prSet>
      <dgm:spPr/>
    </dgm:pt>
    <dgm:pt modelId="{C2FF2F96-2395-4B67-B82F-AFE5413D1EF9}" type="pres">
      <dgm:prSet presAssocID="{D077A56F-7F6F-4DB3-9C57-F77B73A86985}" presName="levelTx" presStyleLbl="revTx" presStyleIdx="0" presStyleCnt="0">
        <dgm:presLayoutVars>
          <dgm:chMax val="1"/>
          <dgm:bulletEnabled val="1"/>
        </dgm:presLayoutVars>
      </dgm:prSet>
      <dgm:spPr/>
    </dgm:pt>
    <dgm:pt modelId="{06418019-7455-463C-9A27-4EA6467F4310}" type="pres">
      <dgm:prSet presAssocID="{032C50CB-3839-4546-A2F3-A3F4039B3926}" presName="Name8" presStyleCnt="0"/>
      <dgm:spPr/>
    </dgm:pt>
    <dgm:pt modelId="{1254B281-7BA8-4CB6-909B-403B87849F92}" type="pres">
      <dgm:prSet presAssocID="{032C50CB-3839-4546-A2F3-A3F4039B3926}" presName="level" presStyleLbl="node1" presStyleIdx="5" presStyleCnt="6" custScaleY="217226" custLinFactNeighborY="19338">
        <dgm:presLayoutVars>
          <dgm:chMax val="1"/>
          <dgm:bulletEnabled val="1"/>
        </dgm:presLayoutVars>
      </dgm:prSet>
      <dgm:spPr/>
    </dgm:pt>
    <dgm:pt modelId="{0E00E5AC-4D4C-4838-9FBC-0DE63A8D9243}" type="pres">
      <dgm:prSet presAssocID="{032C50CB-3839-4546-A2F3-A3F4039B3926}" presName="levelTx" presStyleLbl="revTx" presStyleIdx="0" presStyleCnt="0">
        <dgm:presLayoutVars>
          <dgm:chMax val="1"/>
          <dgm:bulletEnabled val="1"/>
        </dgm:presLayoutVars>
      </dgm:prSet>
      <dgm:spPr/>
    </dgm:pt>
  </dgm:ptLst>
  <dgm:cxnLst>
    <dgm:cxn modelId="{E7C62A10-7040-4666-9B3E-A075EBAF5787}" type="presOf" srcId="{987FEDFA-EA46-4A1C-A6F4-8907D7158A01}" destId="{1D482AA7-FE4A-4F14-8032-51AE71D16156}" srcOrd="0" destOrd="0" presId="urn:microsoft.com/office/officeart/2005/8/layout/pyramid1"/>
    <dgm:cxn modelId="{70B0F212-0A8B-44CE-9BE5-236AAC35B3E2}" srcId="{C6E06433-3BAA-40E1-AAED-CD0F896FDED0}" destId="{95B736BE-A9FC-457F-A9D1-1C4D6B3B0248}" srcOrd="2" destOrd="0" parTransId="{D09D663A-7D36-4704-94E4-5D3FE995F000}" sibTransId="{6093BD20-8EF1-41B3-9440-A17F87F3A397}"/>
    <dgm:cxn modelId="{17C39916-09B1-428B-BDB6-ACE1AB3D6A37}" type="presOf" srcId="{95B736BE-A9FC-457F-A9D1-1C4D6B3B0248}" destId="{2458D0B2-124B-4DF7-8867-DFE87A89C2ED}" srcOrd="0" destOrd="0" presId="urn:microsoft.com/office/officeart/2005/8/layout/pyramid1"/>
    <dgm:cxn modelId="{483FA71D-DADE-4D90-8934-941DBBD5C5E2}" type="presOf" srcId="{C6E06433-3BAA-40E1-AAED-CD0F896FDED0}" destId="{221DA90C-F53B-4D52-A507-CAAE1D5E816F}" srcOrd="0" destOrd="0" presId="urn:microsoft.com/office/officeart/2005/8/layout/pyramid1"/>
    <dgm:cxn modelId="{98CE611F-FC59-4CF7-8C19-94B002428517}" type="presOf" srcId="{987FEDFA-EA46-4A1C-A6F4-8907D7158A01}" destId="{2846608A-430A-4BC4-8431-416ACD24930C}" srcOrd="1" destOrd="0" presId="urn:microsoft.com/office/officeart/2005/8/layout/pyramid1"/>
    <dgm:cxn modelId="{EFE2801F-77C4-43E1-ABAF-60A8F3D05311}" type="presOf" srcId="{D077A56F-7F6F-4DB3-9C57-F77B73A86985}" destId="{C2FF2F96-2395-4B67-B82F-AFE5413D1EF9}" srcOrd="1" destOrd="0" presId="urn:microsoft.com/office/officeart/2005/8/layout/pyramid1"/>
    <dgm:cxn modelId="{50C12A5F-BD0F-434D-846A-36091EB3A972}" srcId="{C6E06433-3BAA-40E1-AAED-CD0F896FDED0}" destId="{5F137B27-1EEC-405A-B688-7ACA85DA8AAB}" srcOrd="3" destOrd="0" parTransId="{3CD322B8-B608-4A5A-865D-9961B727A965}" sibTransId="{125C154C-F6D5-47AA-BCC2-5C97ADF033BC}"/>
    <dgm:cxn modelId="{F2938563-543C-4A94-A549-2B0D3D898A39}" srcId="{C6E06433-3BAA-40E1-AAED-CD0F896FDED0}" destId="{D077A56F-7F6F-4DB3-9C57-F77B73A86985}" srcOrd="4" destOrd="0" parTransId="{35C6999E-B36D-4F01-9D09-DF1EA08C6D6A}" sibTransId="{CF2729F6-4523-4E2A-8609-049FFD7CDD5C}"/>
    <dgm:cxn modelId="{E4675F45-5CF4-4AAB-B33E-6EF513E65CA2}" type="presOf" srcId="{5F137B27-1EEC-405A-B688-7ACA85DA8AAB}" destId="{57183AC0-054F-4F21-9908-7A27BC11072C}" srcOrd="0" destOrd="0" presId="urn:microsoft.com/office/officeart/2005/8/layout/pyramid1"/>
    <dgm:cxn modelId="{50B36B6C-B0F6-4C23-8484-12C790CA06B6}" type="presOf" srcId="{95B736BE-A9FC-457F-A9D1-1C4D6B3B0248}" destId="{C2C7B3C9-4966-4B8D-A124-00B7F7557120}" srcOrd="1" destOrd="0" presId="urn:microsoft.com/office/officeart/2005/8/layout/pyramid1"/>
    <dgm:cxn modelId="{E97CF14F-ACBC-4918-AC10-7388BE682CB1}" type="presOf" srcId="{262939C6-0A25-4450-BD0C-972DB4DB96B5}" destId="{060058EB-8845-4677-920E-A03216F822CB}" srcOrd="1" destOrd="0" presId="urn:microsoft.com/office/officeart/2005/8/layout/pyramid1"/>
    <dgm:cxn modelId="{1E8DC584-ECFA-4B99-BFDF-959D3A70E2D8}" type="presOf" srcId="{032C50CB-3839-4546-A2F3-A3F4039B3926}" destId="{1254B281-7BA8-4CB6-909B-403B87849F92}" srcOrd="0" destOrd="0" presId="urn:microsoft.com/office/officeart/2005/8/layout/pyramid1"/>
    <dgm:cxn modelId="{D1698689-0F2E-483C-ACDB-E840503BEE5D}" type="presOf" srcId="{032C50CB-3839-4546-A2F3-A3F4039B3926}" destId="{0E00E5AC-4D4C-4838-9FBC-0DE63A8D9243}" srcOrd="1" destOrd="0" presId="urn:microsoft.com/office/officeart/2005/8/layout/pyramid1"/>
    <dgm:cxn modelId="{71B70490-A13B-4DEF-9CF8-4C86637733B5}" type="presOf" srcId="{262939C6-0A25-4450-BD0C-972DB4DB96B5}" destId="{C2484A27-E930-44E2-A93C-35A4C7A5721D}" srcOrd="0" destOrd="0" presId="urn:microsoft.com/office/officeart/2005/8/layout/pyramid1"/>
    <dgm:cxn modelId="{F6DB4C91-4A57-41BB-8FF2-E0528A1862E2}" srcId="{C6E06433-3BAA-40E1-AAED-CD0F896FDED0}" destId="{262939C6-0A25-4450-BD0C-972DB4DB96B5}" srcOrd="0" destOrd="0" parTransId="{50530892-AC1B-4748-A138-62154C1C1F30}" sibTransId="{DBE35F2B-E571-43C7-9351-956B531A2A39}"/>
    <dgm:cxn modelId="{D951AC9B-BAD3-44FA-86F5-C51CA07766A6}" type="presOf" srcId="{D077A56F-7F6F-4DB3-9C57-F77B73A86985}" destId="{7047EF10-F08E-48BD-9566-ACA582830FC0}" srcOrd="0" destOrd="0" presId="urn:microsoft.com/office/officeart/2005/8/layout/pyramid1"/>
    <dgm:cxn modelId="{EF75B2B0-7BD3-41F2-B048-755DE305612D}" srcId="{C6E06433-3BAA-40E1-AAED-CD0F896FDED0}" destId="{987FEDFA-EA46-4A1C-A6F4-8907D7158A01}" srcOrd="1" destOrd="0" parTransId="{4FFF47F5-9113-41D6-A5A2-92F1BADB940E}" sibTransId="{724FBE7A-3462-4DE0-8B77-10FFA52D2C8F}"/>
    <dgm:cxn modelId="{7FABB8C1-21A6-4DD2-9220-6D70E4472D80}" type="presOf" srcId="{5F137B27-1EEC-405A-B688-7ACA85DA8AAB}" destId="{11BE82CB-29A6-4DD5-97BC-CDB01685EC4A}" srcOrd="1" destOrd="0" presId="urn:microsoft.com/office/officeart/2005/8/layout/pyramid1"/>
    <dgm:cxn modelId="{E8608AEA-FDFD-4BB9-94C4-CA2D9376D01D}" srcId="{C6E06433-3BAA-40E1-AAED-CD0F896FDED0}" destId="{032C50CB-3839-4546-A2F3-A3F4039B3926}" srcOrd="5" destOrd="0" parTransId="{F31C19EE-128C-4045-A744-08E2976D8D3C}" sibTransId="{7A2AECBD-B0D8-4FEB-A032-19115930E10A}"/>
    <dgm:cxn modelId="{37F4B28B-F9C7-40E5-A009-A62DC4AB6E8A}" type="presParOf" srcId="{221DA90C-F53B-4D52-A507-CAAE1D5E816F}" destId="{98DC4999-548F-4483-914D-2B150D0B67E0}" srcOrd="0" destOrd="0" presId="urn:microsoft.com/office/officeart/2005/8/layout/pyramid1"/>
    <dgm:cxn modelId="{6CFAF7BF-D6C7-4933-AFDC-09202F3D00F0}" type="presParOf" srcId="{98DC4999-548F-4483-914D-2B150D0B67E0}" destId="{C2484A27-E930-44E2-A93C-35A4C7A5721D}" srcOrd="0" destOrd="0" presId="urn:microsoft.com/office/officeart/2005/8/layout/pyramid1"/>
    <dgm:cxn modelId="{B2513896-4137-4265-8949-71537F6D201B}" type="presParOf" srcId="{98DC4999-548F-4483-914D-2B150D0B67E0}" destId="{060058EB-8845-4677-920E-A03216F822CB}" srcOrd="1" destOrd="0" presId="urn:microsoft.com/office/officeart/2005/8/layout/pyramid1"/>
    <dgm:cxn modelId="{FAAE0C19-BC9A-4531-86AC-6B9B3E7D91D5}" type="presParOf" srcId="{221DA90C-F53B-4D52-A507-CAAE1D5E816F}" destId="{9C21E0A5-B389-42E7-8E4B-57C7F197D875}" srcOrd="1" destOrd="0" presId="urn:microsoft.com/office/officeart/2005/8/layout/pyramid1"/>
    <dgm:cxn modelId="{6349CD5F-E3C1-43EC-A287-D7B53D8A7F26}" type="presParOf" srcId="{9C21E0A5-B389-42E7-8E4B-57C7F197D875}" destId="{1D482AA7-FE4A-4F14-8032-51AE71D16156}" srcOrd="0" destOrd="0" presId="urn:microsoft.com/office/officeart/2005/8/layout/pyramid1"/>
    <dgm:cxn modelId="{8548A6AB-B3B0-4DF0-AC6F-460B076D5B64}" type="presParOf" srcId="{9C21E0A5-B389-42E7-8E4B-57C7F197D875}" destId="{2846608A-430A-4BC4-8431-416ACD24930C}" srcOrd="1" destOrd="0" presId="urn:microsoft.com/office/officeart/2005/8/layout/pyramid1"/>
    <dgm:cxn modelId="{B6EDE6B7-B49C-429B-B7BC-AB69B58765C3}" type="presParOf" srcId="{221DA90C-F53B-4D52-A507-CAAE1D5E816F}" destId="{F711AA07-F827-48B0-95C3-3AD7EBFA3FAF}" srcOrd="2" destOrd="0" presId="urn:microsoft.com/office/officeart/2005/8/layout/pyramid1"/>
    <dgm:cxn modelId="{C9445547-5F20-4048-9B3E-E78F28F19F2F}" type="presParOf" srcId="{F711AA07-F827-48B0-95C3-3AD7EBFA3FAF}" destId="{2458D0B2-124B-4DF7-8867-DFE87A89C2ED}" srcOrd="0" destOrd="0" presId="urn:microsoft.com/office/officeart/2005/8/layout/pyramid1"/>
    <dgm:cxn modelId="{89F82520-A977-4A07-ABF1-B986AD995FB1}" type="presParOf" srcId="{F711AA07-F827-48B0-95C3-3AD7EBFA3FAF}" destId="{C2C7B3C9-4966-4B8D-A124-00B7F7557120}" srcOrd="1" destOrd="0" presId="urn:microsoft.com/office/officeart/2005/8/layout/pyramid1"/>
    <dgm:cxn modelId="{3AC7DCCC-7E04-4838-B120-FF2BEC0CD8E6}" type="presParOf" srcId="{221DA90C-F53B-4D52-A507-CAAE1D5E816F}" destId="{A018A9E0-A2F3-4F28-8B7F-28FBFFA37232}" srcOrd="3" destOrd="0" presId="urn:microsoft.com/office/officeart/2005/8/layout/pyramid1"/>
    <dgm:cxn modelId="{2E4D09CB-BE1E-462E-9EB9-E397BF8BA61E}" type="presParOf" srcId="{A018A9E0-A2F3-4F28-8B7F-28FBFFA37232}" destId="{57183AC0-054F-4F21-9908-7A27BC11072C}" srcOrd="0" destOrd="0" presId="urn:microsoft.com/office/officeart/2005/8/layout/pyramid1"/>
    <dgm:cxn modelId="{D95CC708-A208-403E-A9A6-ECC7FD91F73A}" type="presParOf" srcId="{A018A9E0-A2F3-4F28-8B7F-28FBFFA37232}" destId="{11BE82CB-29A6-4DD5-97BC-CDB01685EC4A}" srcOrd="1" destOrd="0" presId="urn:microsoft.com/office/officeart/2005/8/layout/pyramid1"/>
    <dgm:cxn modelId="{EED9D343-1BA3-40EB-BC8B-54ADD20C759D}" type="presParOf" srcId="{221DA90C-F53B-4D52-A507-CAAE1D5E816F}" destId="{6358C491-9FD7-4D59-A5FF-5AC3412567A5}" srcOrd="4" destOrd="0" presId="urn:microsoft.com/office/officeart/2005/8/layout/pyramid1"/>
    <dgm:cxn modelId="{709D07F1-7F14-432D-8196-AC5285D56A3D}" type="presParOf" srcId="{6358C491-9FD7-4D59-A5FF-5AC3412567A5}" destId="{7047EF10-F08E-48BD-9566-ACA582830FC0}" srcOrd="0" destOrd="0" presId="urn:microsoft.com/office/officeart/2005/8/layout/pyramid1"/>
    <dgm:cxn modelId="{928D9B0F-102F-4FC4-897C-77F06A97DAD1}" type="presParOf" srcId="{6358C491-9FD7-4D59-A5FF-5AC3412567A5}" destId="{C2FF2F96-2395-4B67-B82F-AFE5413D1EF9}" srcOrd="1" destOrd="0" presId="urn:microsoft.com/office/officeart/2005/8/layout/pyramid1"/>
    <dgm:cxn modelId="{FCABE2B5-8367-4C23-8708-A20FFF65B2DA}" type="presParOf" srcId="{221DA90C-F53B-4D52-A507-CAAE1D5E816F}" destId="{06418019-7455-463C-9A27-4EA6467F4310}" srcOrd="5" destOrd="0" presId="urn:microsoft.com/office/officeart/2005/8/layout/pyramid1"/>
    <dgm:cxn modelId="{95480305-73C8-4FFC-9075-86DB67460A4F}" type="presParOf" srcId="{06418019-7455-463C-9A27-4EA6467F4310}" destId="{1254B281-7BA8-4CB6-909B-403B87849F92}" srcOrd="0" destOrd="0" presId="urn:microsoft.com/office/officeart/2005/8/layout/pyramid1"/>
    <dgm:cxn modelId="{2C5351E7-DB45-47B8-B30C-F5F62CE8EFCB}" type="presParOf" srcId="{06418019-7455-463C-9A27-4EA6467F4310}" destId="{0E00E5AC-4D4C-4838-9FBC-0DE63A8D9243}" srcOrd="1" destOrd="0" presId="urn:microsoft.com/office/officeart/2005/8/layout/pyramid1"/>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84A27-E930-44E2-A93C-35A4C7A5721D}">
      <dsp:nvSpPr>
        <dsp:cNvPr id="0" name=""/>
        <dsp:cNvSpPr/>
      </dsp:nvSpPr>
      <dsp:spPr>
        <a:xfrm>
          <a:off x="2115206" y="0"/>
          <a:ext cx="641838" cy="480591"/>
        </a:xfrm>
        <a:prstGeom prst="trapezoid">
          <a:avLst>
            <a:gd name="adj" fmla="val 66776"/>
          </a:avLst>
        </a:prstGeom>
        <a:solidFill>
          <a:srgbClr val="EE2C3B">
            <a:alpha val="89804"/>
          </a:srgb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Calibri"/>
              <a:ea typeface="+mn-ea"/>
              <a:cs typeface="+mn-cs"/>
            </a:rPr>
            <a:t> </a:t>
          </a:r>
        </a:p>
      </dsp:txBody>
      <dsp:txXfrm>
        <a:off x="2329152" y="160197"/>
        <a:ext cx="213946" cy="320394"/>
      </dsp:txXfrm>
    </dsp:sp>
    <dsp:sp modelId="{1D482AA7-FE4A-4F14-8032-51AE71D16156}">
      <dsp:nvSpPr>
        <dsp:cNvPr id="0" name=""/>
        <dsp:cNvSpPr/>
      </dsp:nvSpPr>
      <dsp:spPr>
        <a:xfrm>
          <a:off x="1910062" y="480591"/>
          <a:ext cx="1052126" cy="307213"/>
        </a:xfrm>
        <a:prstGeom prst="trapezoid">
          <a:avLst>
            <a:gd name="adj" fmla="val 66776"/>
          </a:avLst>
        </a:prstGeom>
        <a:solidFill>
          <a:srgbClr val="E4D31D">
            <a:alpha val="89804"/>
          </a:srgb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Calibri"/>
              <a:ea typeface="+mn-ea"/>
              <a:cs typeface="+mn-cs"/>
            </a:rPr>
            <a:t> </a:t>
          </a:r>
        </a:p>
      </dsp:txBody>
      <dsp:txXfrm>
        <a:off x="2230947" y="542028"/>
        <a:ext cx="410356" cy="245776"/>
      </dsp:txXfrm>
    </dsp:sp>
    <dsp:sp modelId="{2458D0B2-124B-4DF7-8867-DFE87A89C2ED}">
      <dsp:nvSpPr>
        <dsp:cNvPr id="0" name=""/>
        <dsp:cNvSpPr/>
      </dsp:nvSpPr>
      <dsp:spPr>
        <a:xfrm>
          <a:off x="1573142" y="787805"/>
          <a:ext cx="1725965" cy="504088"/>
        </a:xfrm>
        <a:prstGeom prst="trapezoid">
          <a:avLst>
            <a:gd name="adj" fmla="val 66776"/>
          </a:avLst>
        </a:prstGeom>
        <a:solidFill>
          <a:srgbClr val="1D437F"/>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bg1"/>
              </a:solidFill>
              <a:latin typeface="Calibri"/>
              <a:ea typeface="+mn-ea"/>
              <a:cs typeface="+mn-cs"/>
            </a:rPr>
            <a:t>Targeted focused monitoring</a:t>
          </a:r>
        </a:p>
      </dsp:txBody>
      <dsp:txXfrm>
        <a:off x="2099593" y="888637"/>
        <a:ext cx="673063" cy="403256"/>
      </dsp:txXfrm>
    </dsp:sp>
    <dsp:sp modelId="{57183AC0-054F-4F21-9908-7A27BC11072C}">
      <dsp:nvSpPr>
        <dsp:cNvPr id="0" name=""/>
        <dsp:cNvSpPr/>
      </dsp:nvSpPr>
      <dsp:spPr>
        <a:xfrm>
          <a:off x="1185435" y="1291893"/>
          <a:ext cx="2501380" cy="577094"/>
        </a:xfrm>
        <a:prstGeom prst="trapezoid">
          <a:avLst>
            <a:gd name="adj" fmla="val 66776"/>
          </a:avLst>
        </a:prstGeom>
        <a:solidFill>
          <a:srgbClr val="1390CF"/>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bg1"/>
              </a:solidFill>
              <a:latin typeface="Calibri"/>
              <a:ea typeface="+mn-ea"/>
              <a:cs typeface="+mn-cs"/>
            </a:rPr>
            <a:t>Required corrective action</a:t>
          </a:r>
        </a:p>
      </dsp:txBody>
      <dsp:txXfrm>
        <a:off x="1880083" y="1383079"/>
        <a:ext cx="1112083" cy="485908"/>
      </dsp:txXfrm>
    </dsp:sp>
    <dsp:sp modelId="{7047EF10-F08E-48BD-9566-ACA582830FC0}">
      <dsp:nvSpPr>
        <dsp:cNvPr id="0" name=""/>
        <dsp:cNvSpPr/>
      </dsp:nvSpPr>
      <dsp:spPr>
        <a:xfrm>
          <a:off x="697119" y="1868988"/>
          <a:ext cx="3478011" cy="735257"/>
        </a:xfrm>
        <a:prstGeom prst="trapezoid">
          <a:avLst>
            <a:gd name="adj" fmla="val 66776"/>
          </a:avLst>
        </a:prstGeom>
        <a:solidFill>
          <a:srgbClr val="B3DEF2">
            <a:alpha val="57255"/>
          </a:srgb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hueOff val="0"/>
                  <a:satOff val="0"/>
                  <a:lumOff val="0"/>
                  <a:alphaOff val="0"/>
                </a:sysClr>
              </a:solidFill>
              <a:latin typeface="Calibri"/>
              <a:ea typeface="+mn-ea"/>
              <a:cs typeface="+mn-cs"/>
            </a:rPr>
            <a:t>Caution / Warning</a:t>
          </a:r>
        </a:p>
      </dsp:txBody>
      <dsp:txXfrm>
        <a:off x="1633088" y="1975442"/>
        <a:ext cx="1606073" cy="628803"/>
      </dsp:txXfrm>
    </dsp:sp>
    <dsp:sp modelId="{1254B281-7BA8-4CB6-909B-403B87849F92}">
      <dsp:nvSpPr>
        <dsp:cNvPr id="0" name=""/>
        <dsp:cNvSpPr/>
      </dsp:nvSpPr>
      <dsp:spPr>
        <a:xfrm>
          <a:off x="0" y="2604246"/>
          <a:ext cx="4872251" cy="1043970"/>
        </a:xfrm>
        <a:prstGeom prst="trapezoid">
          <a:avLst>
            <a:gd name="adj" fmla="val 66776"/>
          </a:avLst>
        </a:prstGeom>
        <a:solidFill>
          <a:srgbClr val="E6E6E6">
            <a:alpha val="49804"/>
          </a:srgb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b="1" kern="1200">
              <a:solidFill>
                <a:sysClr val="windowText" lastClr="000000">
                  <a:hueOff val="0"/>
                  <a:satOff val="0"/>
                  <a:lumOff val="0"/>
                  <a:alphaOff val="0"/>
                </a:sysClr>
              </a:solidFill>
              <a:latin typeface="Calibri"/>
              <a:ea typeface="+mn-ea"/>
              <a:cs typeface="+mn-cs"/>
            </a:rPr>
            <a:t>Education and Guidance </a:t>
          </a:r>
        </a:p>
      </dsp:txBody>
      <dsp:txXfrm>
        <a:off x="1317391" y="2757447"/>
        <a:ext cx="2237467" cy="89076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9D03F9F3-A85E-4480-B4CF-65447CD2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5278</Words>
  <Characters>30777</Characters>
  <Application>Microsoft Office Word</Application>
  <DocSecurity>0</DocSecurity>
  <Lines>603</Lines>
  <Paragraphs>321</Paragraphs>
  <ScaleCrop>false</ScaleCrop>
  <HeadingPairs>
    <vt:vector size="2" baseType="variant">
      <vt:variant>
        <vt:lpstr>Title</vt:lpstr>
      </vt:variant>
      <vt:variant>
        <vt:i4>1</vt:i4>
      </vt:variant>
    </vt:vector>
  </HeadingPairs>
  <TitlesOfParts>
    <vt:vector size="1" baseType="lpstr">
      <vt:lpstr>Proscribed List Compliance Strategy – Safeguarding the Prescribed List</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Proscribed List Compliance Strategy – Safeguarding the Prescribed List</dc:title>
  <dc:subject>Private health insurance</dc:subject>
  <dc:creator>Australian Government Department of Health , Disability and Ageing</dc:creator>
  <cp:keywords>Prostheses List; Medical devices; Private health insurance</cp:keywords>
  <dc:description/>
  <cp:lastModifiedBy>MASCHKE, Elvia</cp:lastModifiedBy>
  <cp:revision>7</cp:revision>
  <cp:lastPrinted>2025-07-16T01:56:00Z</cp:lastPrinted>
  <dcterms:created xsi:type="dcterms:W3CDTF">2025-07-16T01:55:00Z</dcterms:created>
  <dcterms:modified xsi:type="dcterms:W3CDTF">2025-07-18T07:07:00Z</dcterms:modified>
</cp:coreProperties>
</file>