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325E5" w14:textId="77777777" w:rsidR="002E0FDC" w:rsidRDefault="008F62EF">
      <w:pPr>
        <w:spacing w:before="0" w:after="0" w:line="360" w:lineRule="auto"/>
        <w:ind w:left="-850"/>
      </w:pPr>
      <w:r>
        <w:rPr>
          <w:noProof/>
          <w:lang w:val="en-US"/>
        </w:rPr>
        <w:drawing>
          <wp:inline distT="0" distB="0" distL="0" distR="0" wp14:anchorId="30689F6D" wp14:editId="6545AD38">
            <wp:extent cx="7541998" cy="1436353"/>
            <wp:effectExtent l="0" t="0" r="0" b="0"/>
            <wp:docPr id="2" name="image1.jpg" descr="Australian Government - Department of Social Services"/>
            <wp:cNvGraphicFramePr/>
            <a:graphic xmlns:a="http://schemas.openxmlformats.org/drawingml/2006/main">
              <a:graphicData uri="http://schemas.openxmlformats.org/drawingml/2006/picture">
                <pic:pic xmlns:pic="http://schemas.openxmlformats.org/drawingml/2006/picture">
                  <pic:nvPicPr>
                    <pic:cNvPr id="2" name="image1.jpg" descr="Australian Government - Department of Social Services"/>
                    <pic:cNvPicPr preferRelativeResize="0"/>
                  </pic:nvPicPr>
                  <pic:blipFill>
                    <a:blip r:embed="rId12"/>
                    <a:srcRect/>
                    <a:stretch>
                      <a:fillRect/>
                    </a:stretch>
                  </pic:blipFill>
                  <pic:spPr>
                    <a:xfrm>
                      <a:off x="0" y="0"/>
                      <a:ext cx="7541998" cy="1436353"/>
                    </a:xfrm>
                    <a:prstGeom prst="rect">
                      <a:avLst/>
                    </a:prstGeom>
                    <a:ln/>
                  </pic:spPr>
                </pic:pic>
              </a:graphicData>
            </a:graphic>
          </wp:inline>
        </w:drawing>
      </w:r>
    </w:p>
    <w:p w14:paraId="2641A0D4" w14:textId="77777777" w:rsidR="002E0FDC" w:rsidRDefault="008F62EF">
      <w:pPr>
        <w:pBdr>
          <w:top w:val="nil"/>
          <w:left w:val="nil"/>
          <w:bottom w:val="nil"/>
          <w:right w:val="nil"/>
          <w:between w:val="nil"/>
        </w:pBdr>
        <w:spacing w:before="0" w:after="0" w:line="360" w:lineRule="auto"/>
        <w:ind w:left="142" w:right="-425" w:hanging="142"/>
        <w:jc w:val="right"/>
        <w:rPr>
          <w:color w:val="000000"/>
          <w:sz w:val="12"/>
          <w:szCs w:val="12"/>
        </w:rPr>
      </w:pPr>
      <w:r>
        <w:rPr>
          <w:color w:val="000000"/>
          <w:sz w:val="12"/>
          <w:szCs w:val="12"/>
        </w:rPr>
        <w:t>DSS3131.01.24</w:t>
      </w:r>
    </w:p>
    <w:p w14:paraId="3EC3A84D" w14:textId="77777777" w:rsidR="002E0FDC" w:rsidRDefault="008F62EF" w:rsidP="0072519A">
      <w:pPr>
        <w:pStyle w:val="Heading1"/>
      </w:pPr>
      <w:r>
        <w:t>Scheda informativa - Panoramica sul Disability Services and Inclusion Act 2023 (Legge sull’Inclusione e sui Servizi per le Disabilità del 2023)</w:t>
      </w:r>
      <w:r>
        <w:rPr>
          <w:sz w:val="28"/>
          <w:szCs w:val="28"/>
        </w:rPr>
        <w:t xml:space="preserve"> </w:t>
      </w:r>
    </w:p>
    <w:p w14:paraId="731C7028" w14:textId="77777777" w:rsidR="002E0FDC" w:rsidRDefault="008F62EF">
      <w:r>
        <w:t xml:space="preserve">Il </w:t>
      </w:r>
      <w:r>
        <w:rPr>
          <w:i/>
        </w:rPr>
        <w:t>Disability Services and Inclusion Act 2023</w:t>
      </w:r>
      <w:r>
        <w:t xml:space="preserve"> (DSI Act) è entrato in vigore il 1° gennaio 2024. Ha abrogato e sostituito il </w:t>
      </w:r>
      <w:r>
        <w:rPr>
          <w:i/>
        </w:rPr>
        <w:t>Disability Services Act 1986</w:t>
      </w:r>
      <w:r>
        <w:t xml:space="preserve"> </w:t>
      </w:r>
      <w:r>
        <w:rPr>
          <w:i/>
        </w:rPr>
        <w:t>(Legge sui Servizi per le Disabilità del 1986)</w:t>
      </w:r>
      <w:r>
        <w:t xml:space="preserve"> (DSA). Per oltre trent’anni, il DSA non era stato sostanzialmente aggiornato. Il governo ha sviluppato il DSI Act tramite due fasi di consultazione pubblica. La consultazione ha coinvolto organizzazioni rappresentative, fornitori di servizi e persone con disabilità. </w:t>
      </w:r>
    </w:p>
    <w:p w14:paraId="250794BC" w14:textId="77777777" w:rsidR="002E0FDC" w:rsidRDefault="008F62EF">
      <w:r>
        <w:t xml:space="preserve">Il DSI Act mira a:      </w:t>
      </w:r>
    </w:p>
    <w:p w14:paraId="2EE1C0D9" w14:textId="77777777" w:rsidR="002E0FDC" w:rsidRDefault="008F62EF">
      <w:pPr>
        <w:numPr>
          <w:ilvl w:val="0"/>
          <w:numId w:val="2"/>
        </w:numPr>
        <w:pBdr>
          <w:top w:val="nil"/>
          <w:left w:val="nil"/>
          <w:bottom w:val="nil"/>
          <w:right w:val="nil"/>
          <w:between w:val="nil"/>
        </w:pBdr>
        <w:tabs>
          <w:tab w:val="left" w:pos="170"/>
        </w:tabs>
        <w:spacing w:after="0" w:line="240" w:lineRule="auto"/>
        <w:ind w:hanging="357"/>
      </w:pPr>
      <w:r>
        <w:rPr>
          <w:color w:val="000000"/>
        </w:rPr>
        <w:t>fornire al governo federale una base legislativa chiara per continuare a finanziare attività di supporto e servizi che non rientrano nel Regime di previdenza nazionale per le persone con disabilità (NDIS, National Disability Insurance Scheme);</w:t>
      </w:r>
    </w:p>
    <w:p w14:paraId="25B0026D" w14:textId="77777777" w:rsidR="002E0FDC" w:rsidRDefault="008F62EF">
      <w:pPr>
        <w:numPr>
          <w:ilvl w:val="0"/>
          <w:numId w:val="2"/>
        </w:numPr>
        <w:pBdr>
          <w:top w:val="nil"/>
          <w:left w:val="nil"/>
          <w:bottom w:val="nil"/>
          <w:right w:val="nil"/>
          <w:between w:val="nil"/>
        </w:pBdr>
        <w:tabs>
          <w:tab w:val="left" w:pos="170"/>
        </w:tabs>
        <w:spacing w:before="0" w:after="0" w:line="240" w:lineRule="auto"/>
        <w:ind w:hanging="357"/>
      </w:pPr>
      <w:r>
        <w:rPr>
          <w:color w:val="000000"/>
        </w:rPr>
        <w:t>migliorare i requisiti di qualità e tutela per le attività di supporto e i servizi autorizzati ai sensi di questa legislazione;</w:t>
      </w:r>
    </w:p>
    <w:p w14:paraId="6C59CEE9" w14:textId="77777777" w:rsidR="002E0FDC" w:rsidRDefault="008F62EF">
      <w:pPr>
        <w:numPr>
          <w:ilvl w:val="0"/>
          <w:numId w:val="2"/>
        </w:numPr>
        <w:pBdr>
          <w:top w:val="nil"/>
          <w:left w:val="nil"/>
          <w:bottom w:val="nil"/>
          <w:right w:val="nil"/>
          <w:between w:val="nil"/>
        </w:pBdr>
        <w:tabs>
          <w:tab w:val="left" w:pos="170"/>
        </w:tabs>
        <w:spacing w:before="0" w:line="240" w:lineRule="auto"/>
        <w:ind w:hanging="357"/>
      </w:pPr>
      <w:r>
        <w:rPr>
          <w:color w:val="000000"/>
        </w:rPr>
        <w:t>dare effetto alla Convenzione delle Nazioni Unite sui diritti delle persone con disabilità (CRPD, Convention on the Rights of Persons with Disabilities).</w:t>
      </w:r>
    </w:p>
    <w:p w14:paraId="4C63AD24" w14:textId="77777777" w:rsidR="002E0FDC" w:rsidRDefault="008F62EF">
      <w:r>
        <w:t xml:space="preserve">Il DSI Act integra altre legislazioni nazionali, tra cui le seguenti leggi: </w:t>
      </w:r>
    </w:p>
    <w:p w14:paraId="26F61885" w14:textId="77777777" w:rsidR="002E0FDC" w:rsidRDefault="008F62EF">
      <w:pPr>
        <w:numPr>
          <w:ilvl w:val="0"/>
          <w:numId w:val="2"/>
        </w:numPr>
        <w:pBdr>
          <w:top w:val="nil"/>
          <w:left w:val="nil"/>
          <w:bottom w:val="nil"/>
          <w:right w:val="nil"/>
          <w:between w:val="nil"/>
        </w:pBdr>
        <w:tabs>
          <w:tab w:val="left" w:pos="170"/>
        </w:tabs>
        <w:spacing w:after="0" w:line="240" w:lineRule="auto"/>
        <w:ind w:hanging="357"/>
        <w:rPr>
          <w:i/>
          <w:color w:val="000000"/>
        </w:rPr>
      </w:pPr>
      <w:r>
        <w:rPr>
          <w:i/>
          <w:color w:val="000000"/>
        </w:rPr>
        <w:t>Disability Discrimination Act 1992 (Legge sulla Discriminazione nei confronti delle persone con disabilità del 1992);</w:t>
      </w:r>
    </w:p>
    <w:p w14:paraId="4A176302" w14:textId="77777777" w:rsidR="002E0FDC" w:rsidRDefault="008F62EF">
      <w:pPr>
        <w:numPr>
          <w:ilvl w:val="0"/>
          <w:numId w:val="2"/>
        </w:numPr>
        <w:pBdr>
          <w:top w:val="nil"/>
          <w:left w:val="nil"/>
          <w:bottom w:val="nil"/>
          <w:right w:val="nil"/>
          <w:between w:val="nil"/>
        </w:pBdr>
        <w:tabs>
          <w:tab w:val="left" w:pos="170"/>
        </w:tabs>
        <w:spacing w:before="0" w:after="0" w:line="240" w:lineRule="auto"/>
        <w:ind w:hanging="357"/>
        <w:rPr>
          <w:i/>
          <w:color w:val="000000"/>
        </w:rPr>
      </w:pPr>
      <w:r>
        <w:rPr>
          <w:i/>
          <w:color w:val="000000"/>
        </w:rPr>
        <w:t>Social Security Act 1991 (Legge sulla Sicurezza Sociale del 1991)</w:t>
      </w:r>
    </w:p>
    <w:p w14:paraId="7E3E2282" w14:textId="77777777" w:rsidR="002E0FDC" w:rsidRDefault="008F62EF">
      <w:pPr>
        <w:numPr>
          <w:ilvl w:val="0"/>
          <w:numId w:val="2"/>
        </w:numPr>
        <w:pBdr>
          <w:top w:val="nil"/>
          <w:left w:val="nil"/>
          <w:bottom w:val="nil"/>
          <w:right w:val="nil"/>
          <w:between w:val="nil"/>
        </w:pBdr>
        <w:tabs>
          <w:tab w:val="left" w:pos="170"/>
        </w:tabs>
        <w:spacing w:before="0" w:after="0" w:line="240" w:lineRule="auto"/>
        <w:ind w:hanging="357"/>
        <w:rPr>
          <w:i/>
          <w:color w:val="000000"/>
        </w:rPr>
      </w:pPr>
      <w:r>
        <w:rPr>
          <w:i/>
          <w:color w:val="000000"/>
        </w:rPr>
        <w:t>National Disability Insurance Scheme Act 2013 (Legge sul Regime di previdenza nazionale per le persone con disabilità del 2013);</w:t>
      </w:r>
    </w:p>
    <w:p w14:paraId="30BECCD0" w14:textId="77777777" w:rsidR="002E0FDC" w:rsidRDefault="008F62EF">
      <w:pPr>
        <w:numPr>
          <w:ilvl w:val="0"/>
          <w:numId w:val="2"/>
        </w:numPr>
        <w:pBdr>
          <w:top w:val="nil"/>
          <w:left w:val="nil"/>
          <w:bottom w:val="nil"/>
          <w:right w:val="nil"/>
          <w:between w:val="nil"/>
        </w:pBdr>
        <w:tabs>
          <w:tab w:val="left" w:pos="170"/>
        </w:tabs>
        <w:spacing w:before="0" w:line="240" w:lineRule="auto"/>
        <w:ind w:hanging="357"/>
        <w:rPr>
          <w:color w:val="000000"/>
        </w:rPr>
      </w:pPr>
      <w:r>
        <w:rPr>
          <w:i/>
          <w:color w:val="000000"/>
        </w:rPr>
        <w:t>Australian Human Rights Commission Act 1986 (Legge sulla Commissione australiana per i diritti umani del 1986).</w:t>
      </w:r>
    </w:p>
    <w:p w14:paraId="22C41D82" w14:textId="77777777" w:rsidR="002E0FDC" w:rsidRDefault="008F62EF">
      <w:r>
        <w:t xml:space="preserve">Il DSI Act non definisce il </w:t>
      </w:r>
      <w:r w:rsidRPr="00F64C40">
        <w:t>termine ‘</w:t>
      </w:r>
      <w:r w:rsidRPr="0067442F">
        <w:t>disabilità’.</w:t>
      </w:r>
      <w:r>
        <w:t xml:space="preserve"> Non limita le attività di supporto e i servizi a uno specifico gruppo di riferimento. Questo non impedisce il finanziamento di programmi destinati a specifici gruppi o fasce demografiche.</w:t>
      </w:r>
    </w:p>
    <w:p w14:paraId="570D599C" w14:textId="77777777" w:rsidR="00164C08" w:rsidRDefault="00164C08">
      <w:pPr>
        <w:pStyle w:val="Heading1"/>
        <w:tabs>
          <w:tab w:val="right" w:pos="10204"/>
        </w:tabs>
        <w:rPr>
          <w:sz w:val="32"/>
        </w:rPr>
      </w:pPr>
      <w:r>
        <w:rPr>
          <w:sz w:val="32"/>
        </w:rPr>
        <w:br w:type="page"/>
      </w:r>
    </w:p>
    <w:p w14:paraId="58ACC4D0" w14:textId="7B9D27D0" w:rsidR="002E0FDC" w:rsidRDefault="008F62EF" w:rsidP="0072519A">
      <w:pPr>
        <w:pStyle w:val="Heading2"/>
      </w:pPr>
      <w:r>
        <w:lastRenderedPageBreak/>
        <w:t xml:space="preserve">Attività ammissibili </w:t>
      </w:r>
      <w:r>
        <w:tab/>
      </w:r>
    </w:p>
    <w:p w14:paraId="77074F6D" w14:textId="77777777" w:rsidR="002E0FDC" w:rsidRDefault="008F62EF">
      <w:pPr>
        <w:sectPr w:rsidR="002E0FDC" w:rsidSect="00726DC9">
          <w:headerReference w:type="default" r:id="rId13"/>
          <w:footerReference w:type="default" r:id="rId14"/>
          <w:headerReference w:type="first" r:id="rId15"/>
          <w:pgSz w:w="11906" w:h="16838"/>
          <w:pgMar w:top="1112" w:right="851" w:bottom="1134" w:left="851" w:header="0" w:footer="471" w:gutter="0"/>
          <w:pgNumType w:start="1"/>
          <w:cols w:space="720"/>
          <w:titlePg/>
        </w:sectPr>
      </w:pPr>
      <w:r>
        <w:t>Il DSI Act fornisce autorizzazione per consentire il finanziamento di una vasta gamma di attività. Il DSI Act fa riferimento a tali attività come attività ammissibili. Le seguenti sono attività ammissibili ai sensi del DSI Act:</w:t>
      </w:r>
    </w:p>
    <w:p w14:paraId="6E7F1011" w14:textId="77777777" w:rsidR="002E0FDC" w:rsidRDefault="008F62EF">
      <w:pPr>
        <w:numPr>
          <w:ilvl w:val="0"/>
          <w:numId w:val="2"/>
        </w:numPr>
        <w:pBdr>
          <w:top w:val="nil"/>
          <w:left w:val="nil"/>
          <w:bottom w:val="nil"/>
          <w:right w:val="nil"/>
          <w:between w:val="nil"/>
        </w:pBdr>
        <w:tabs>
          <w:tab w:val="left" w:pos="170"/>
        </w:tabs>
        <w:spacing w:before="0" w:after="0" w:line="240" w:lineRule="auto"/>
        <w:ind w:hanging="357"/>
        <w:rPr>
          <w:rFonts w:ascii="Times New Roman" w:eastAsia="Times New Roman" w:hAnsi="Times New Roman" w:cs="Times New Roman"/>
          <w:color w:val="000000"/>
        </w:rPr>
      </w:pPr>
      <w:r>
        <w:rPr>
          <w:color w:val="000000"/>
        </w:rPr>
        <w:t>accessibilità;</w:t>
      </w:r>
    </w:p>
    <w:p w14:paraId="1B98459A" w14:textId="77777777" w:rsidR="002E0FDC" w:rsidRDefault="008F62EF">
      <w:pPr>
        <w:numPr>
          <w:ilvl w:val="0"/>
          <w:numId w:val="2"/>
        </w:numPr>
        <w:pBdr>
          <w:top w:val="nil"/>
          <w:left w:val="nil"/>
          <w:bottom w:val="nil"/>
          <w:right w:val="nil"/>
          <w:between w:val="nil"/>
        </w:pBdr>
        <w:tabs>
          <w:tab w:val="left" w:pos="170"/>
        </w:tabs>
        <w:spacing w:before="0" w:after="0" w:line="240" w:lineRule="auto"/>
        <w:ind w:hanging="357"/>
      </w:pPr>
      <w:r>
        <w:rPr>
          <w:color w:val="000000"/>
        </w:rPr>
        <w:t>alloggio;</w:t>
      </w:r>
    </w:p>
    <w:p w14:paraId="3BB2EE4D" w14:textId="77777777" w:rsidR="002E0FDC" w:rsidRDefault="008F62EF">
      <w:pPr>
        <w:numPr>
          <w:ilvl w:val="0"/>
          <w:numId w:val="2"/>
        </w:numPr>
        <w:pBdr>
          <w:top w:val="nil"/>
          <w:left w:val="nil"/>
          <w:bottom w:val="nil"/>
          <w:right w:val="nil"/>
          <w:between w:val="nil"/>
        </w:pBdr>
        <w:tabs>
          <w:tab w:val="left" w:pos="170"/>
        </w:tabs>
        <w:spacing w:before="0" w:after="0" w:line="240" w:lineRule="auto"/>
        <w:ind w:hanging="357"/>
      </w:pPr>
      <w:r>
        <w:rPr>
          <w:color w:val="000000"/>
        </w:rPr>
        <w:t>patrocinio;</w:t>
      </w:r>
    </w:p>
    <w:p w14:paraId="5A6CD324" w14:textId="77777777" w:rsidR="002E0FDC" w:rsidRDefault="008F62EF">
      <w:pPr>
        <w:numPr>
          <w:ilvl w:val="0"/>
          <w:numId w:val="2"/>
        </w:numPr>
        <w:pBdr>
          <w:top w:val="nil"/>
          <w:left w:val="nil"/>
          <w:bottom w:val="nil"/>
          <w:right w:val="nil"/>
          <w:between w:val="nil"/>
        </w:pBdr>
        <w:tabs>
          <w:tab w:val="left" w:pos="170"/>
        </w:tabs>
        <w:spacing w:before="0" w:after="0" w:line="240" w:lineRule="auto"/>
        <w:ind w:hanging="357"/>
      </w:pPr>
      <w:r>
        <w:rPr>
          <w:color w:val="000000"/>
        </w:rPr>
        <w:t>potenziamento delle capacità;</w:t>
      </w:r>
    </w:p>
    <w:p w14:paraId="1BECFDBF" w14:textId="77777777" w:rsidR="002E0FDC" w:rsidRDefault="008F62EF">
      <w:pPr>
        <w:numPr>
          <w:ilvl w:val="0"/>
          <w:numId w:val="2"/>
        </w:numPr>
        <w:pBdr>
          <w:top w:val="nil"/>
          <w:left w:val="nil"/>
          <w:bottom w:val="nil"/>
          <w:right w:val="nil"/>
          <w:between w:val="nil"/>
        </w:pBdr>
        <w:tabs>
          <w:tab w:val="left" w:pos="170"/>
        </w:tabs>
        <w:spacing w:before="0" w:after="0" w:line="240" w:lineRule="auto"/>
        <w:ind w:hanging="357"/>
      </w:pPr>
      <w:r>
        <w:rPr>
          <w:color w:val="000000"/>
        </w:rPr>
        <w:t>caregiver;</w:t>
      </w:r>
    </w:p>
    <w:p w14:paraId="6DCF50EA" w14:textId="77777777" w:rsidR="002E0FDC" w:rsidRDefault="008F62EF">
      <w:pPr>
        <w:numPr>
          <w:ilvl w:val="0"/>
          <w:numId w:val="2"/>
        </w:numPr>
        <w:pBdr>
          <w:top w:val="nil"/>
          <w:left w:val="nil"/>
          <w:bottom w:val="nil"/>
          <w:right w:val="nil"/>
          <w:between w:val="nil"/>
        </w:pBdr>
        <w:tabs>
          <w:tab w:val="left" w:pos="170"/>
        </w:tabs>
        <w:spacing w:before="0" w:after="0" w:line="240" w:lineRule="auto"/>
        <w:ind w:hanging="357"/>
      </w:pPr>
      <w:r>
        <w:rPr>
          <w:color w:val="000000"/>
        </w:rPr>
        <w:t>inclusione nella comunità;</w:t>
      </w:r>
    </w:p>
    <w:p w14:paraId="45601A9E" w14:textId="77777777" w:rsidR="002E0FDC" w:rsidRDefault="008F62EF">
      <w:pPr>
        <w:numPr>
          <w:ilvl w:val="0"/>
          <w:numId w:val="2"/>
        </w:numPr>
        <w:pBdr>
          <w:top w:val="nil"/>
          <w:left w:val="nil"/>
          <w:bottom w:val="nil"/>
          <w:right w:val="nil"/>
          <w:between w:val="nil"/>
        </w:pBdr>
        <w:tabs>
          <w:tab w:val="left" w:pos="170"/>
        </w:tabs>
        <w:spacing w:before="0" w:after="0" w:line="240" w:lineRule="auto"/>
        <w:ind w:hanging="357"/>
      </w:pPr>
      <w:r>
        <w:rPr>
          <w:color w:val="000000"/>
        </w:rPr>
        <w:t>counseling;</w:t>
      </w:r>
    </w:p>
    <w:p w14:paraId="12E9F1BF" w14:textId="77777777" w:rsidR="002E0FDC" w:rsidRDefault="008F62EF">
      <w:pPr>
        <w:numPr>
          <w:ilvl w:val="0"/>
          <w:numId w:val="2"/>
        </w:numPr>
        <w:pBdr>
          <w:top w:val="nil"/>
          <w:left w:val="nil"/>
          <w:bottom w:val="nil"/>
          <w:right w:val="nil"/>
          <w:between w:val="nil"/>
        </w:pBdr>
        <w:tabs>
          <w:tab w:val="left" w:pos="170"/>
        </w:tabs>
        <w:spacing w:before="0" w:after="0" w:line="240" w:lineRule="auto"/>
        <w:ind w:hanging="357"/>
      </w:pPr>
      <w:r>
        <w:rPr>
          <w:color w:val="000000"/>
        </w:rPr>
        <w:t>formazione;</w:t>
      </w:r>
    </w:p>
    <w:p w14:paraId="33EBF7C4" w14:textId="77777777" w:rsidR="002E0FDC" w:rsidRDefault="008F62EF">
      <w:pPr>
        <w:numPr>
          <w:ilvl w:val="0"/>
          <w:numId w:val="2"/>
        </w:numPr>
        <w:pBdr>
          <w:top w:val="nil"/>
          <w:left w:val="nil"/>
          <w:bottom w:val="nil"/>
          <w:right w:val="nil"/>
          <w:between w:val="nil"/>
        </w:pBdr>
        <w:tabs>
          <w:tab w:val="left" w:pos="170"/>
        </w:tabs>
        <w:spacing w:before="0" w:after="0" w:line="240" w:lineRule="auto"/>
        <w:ind w:hanging="357"/>
      </w:pPr>
      <w:r>
        <w:rPr>
          <w:color w:val="000000"/>
        </w:rPr>
        <w:t>occupazione;</w:t>
      </w:r>
    </w:p>
    <w:p w14:paraId="7E8CE9B3" w14:textId="77777777" w:rsidR="002E0FDC" w:rsidRDefault="008F62EF">
      <w:pPr>
        <w:numPr>
          <w:ilvl w:val="0"/>
          <w:numId w:val="2"/>
        </w:numPr>
        <w:pBdr>
          <w:top w:val="nil"/>
          <w:left w:val="nil"/>
          <w:bottom w:val="nil"/>
          <w:right w:val="nil"/>
          <w:between w:val="nil"/>
        </w:pBdr>
        <w:tabs>
          <w:tab w:val="left" w:pos="170"/>
        </w:tabs>
        <w:spacing w:before="0" w:after="0" w:line="240" w:lineRule="auto"/>
        <w:ind w:hanging="357"/>
      </w:pPr>
      <w:r>
        <w:rPr>
          <w:color w:val="000000"/>
        </w:rPr>
        <w:t>vita indipendente;</w:t>
      </w:r>
    </w:p>
    <w:p w14:paraId="7EEE6D83" w14:textId="77777777" w:rsidR="002E0FDC" w:rsidRDefault="008F62EF">
      <w:pPr>
        <w:numPr>
          <w:ilvl w:val="0"/>
          <w:numId w:val="2"/>
        </w:numPr>
        <w:pBdr>
          <w:top w:val="nil"/>
          <w:left w:val="nil"/>
          <w:bottom w:val="nil"/>
          <w:right w:val="nil"/>
          <w:between w:val="nil"/>
        </w:pBdr>
        <w:tabs>
          <w:tab w:val="left" w:pos="170"/>
        </w:tabs>
        <w:spacing w:before="0" w:after="0" w:line="240" w:lineRule="auto"/>
        <w:ind w:hanging="357"/>
      </w:pPr>
      <w:r>
        <w:rPr>
          <w:color w:val="000000"/>
        </w:rPr>
        <w:t>informazione;</w:t>
      </w:r>
    </w:p>
    <w:p w14:paraId="1BEC339A" w14:textId="77777777" w:rsidR="002E0FDC" w:rsidRDefault="008F62EF">
      <w:pPr>
        <w:numPr>
          <w:ilvl w:val="0"/>
          <w:numId w:val="2"/>
        </w:numPr>
        <w:pBdr>
          <w:top w:val="nil"/>
          <w:left w:val="nil"/>
          <w:bottom w:val="nil"/>
          <w:right w:val="nil"/>
          <w:between w:val="nil"/>
        </w:pBdr>
        <w:tabs>
          <w:tab w:val="left" w:pos="170"/>
        </w:tabs>
        <w:spacing w:before="0" w:after="0" w:line="240" w:lineRule="auto"/>
        <w:ind w:hanging="357"/>
      </w:pPr>
      <w:r>
        <w:rPr>
          <w:color w:val="000000"/>
        </w:rPr>
        <w:t>attività ricreative;</w:t>
      </w:r>
    </w:p>
    <w:p w14:paraId="4F845BE8" w14:textId="77777777" w:rsidR="002E0FDC" w:rsidRDefault="008F62EF">
      <w:pPr>
        <w:numPr>
          <w:ilvl w:val="0"/>
          <w:numId w:val="2"/>
        </w:numPr>
        <w:pBdr>
          <w:top w:val="nil"/>
          <w:left w:val="nil"/>
          <w:bottom w:val="nil"/>
          <w:right w:val="nil"/>
          <w:between w:val="nil"/>
        </w:pBdr>
        <w:tabs>
          <w:tab w:val="left" w:pos="170"/>
        </w:tabs>
        <w:spacing w:before="0" w:after="0" w:line="240" w:lineRule="auto"/>
        <w:ind w:hanging="357"/>
      </w:pPr>
      <w:r>
        <w:rPr>
          <w:color w:val="000000"/>
        </w:rPr>
        <w:t>assistenza di sollievo (respite);</w:t>
      </w:r>
    </w:p>
    <w:p w14:paraId="23C6BFA1" w14:textId="77777777" w:rsidR="002E0FDC" w:rsidRDefault="008F62EF">
      <w:pPr>
        <w:numPr>
          <w:ilvl w:val="0"/>
          <w:numId w:val="2"/>
        </w:numPr>
        <w:pBdr>
          <w:top w:val="nil"/>
          <w:left w:val="nil"/>
          <w:bottom w:val="nil"/>
          <w:right w:val="nil"/>
          <w:between w:val="nil"/>
        </w:pBdr>
        <w:tabs>
          <w:tab w:val="left" w:pos="170"/>
        </w:tabs>
        <w:spacing w:before="0" w:line="240" w:lineRule="auto"/>
        <w:ind w:hanging="357"/>
        <w:sectPr w:rsidR="002E0FDC" w:rsidSect="00726DC9">
          <w:type w:val="continuous"/>
          <w:pgSz w:w="11906" w:h="16838"/>
          <w:pgMar w:top="1112" w:right="851" w:bottom="1134" w:left="851" w:header="0" w:footer="471" w:gutter="0"/>
          <w:cols w:num="3" w:space="720" w:equalWidth="0">
            <w:col w:w="2929" w:space="708"/>
            <w:col w:w="2929" w:space="708"/>
            <w:col w:w="2929" w:space="0"/>
          </w:cols>
          <w:titlePg/>
        </w:sectPr>
      </w:pPr>
      <w:r>
        <w:rPr>
          <w:color w:val="000000"/>
        </w:rPr>
        <w:t>ricerca e valutazione.</w:t>
      </w:r>
    </w:p>
    <w:p w14:paraId="1AB24FFE" w14:textId="77777777" w:rsidR="002E0FDC" w:rsidRDefault="002E0FDC"/>
    <w:p w14:paraId="45B38835" w14:textId="77777777" w:rsidR="002E0FDC" w:rsidRDefault="008F62EF" w:rsidP="0072519A">
      <w:pPr>
        <w:pStyle w:val="Heading2"/>
      </w:pPr>
      <w:r>
        <w:t>Condizioni statutarie di finanziamento</w:t>
      </w:r>
    </w:p>
    <w:p w14:paraId="137D374B" w14:textId="77777777" w:rsidR="002E0FDC" w:rsidRDefault="008F62EF">
      <w:r>
        <w:t>Il DSI Act contiene condizioni statutarie di finanziamento. Si tratta di regole che tutti i fornitori di servizi sono tenuti a seguire per ricevere i finanziamenti. Tali requisiti stabiliscono aspettative chiare per i fornitori di servizi e le persone con disabilità. Ciò permette di individuare più facilmente i fornitori che non soddisfano i requisiti. Le condizioni di finanziamento mirano a bilanciare tutela e minimizzazione degli oneri normativi. Queste sono:</w:t>
      </w:r>
    </w:p>
    <w:p w14:paraId="45BEEA26" w14:textId="77777777" w:rsidR="002E0FDC" w:rsidRDefault="008F62EF">
      <w:pPr>
        <w:numPr>
          <w:ilvl w:val="0"/>
          <w:numId w:val="2"/>
        </w:numPr>
        <w:pBdr>
          <w:top w:val="nil"/>
          <w:left w:val="nil"/>
          <w:bottom w:val="nil"/>
          <w:right w:val="nil"/>
          <w:between w:val="nil"/>
        </w:pBdr>
        <w:tabs>
          <w:tab w:val="left" w:pos="170"/>
        </w:tabs>
        <w:spacing w:after="0" w:line="240" w:lineRule="auto"/>
        <w:ind w:hanging="357"/>
      </w:pPr>
      <w:r>
        <w:rPr>
          <w:color w:val="000000"/>
        </w:rPr>
        <w:t>conformarsi al Codice di condotta;</w:t>
      </w:r>
    </w:p>
    <w:p w14:paraId="48298C98" w14:textId="77777777" w:rsidR="002E0FDC" w:rsidRDefault="008F62EF">
      <w:pPr>
        <w:numPr>
          <w:ilvl w:val="0"/>
          <w:numId w:val="2"/>
        </w:numPr>
        <w:pBdr>
          <w:top w:val="nil"/>
          <w:left w:val="nil"/>
          <w:bottom w:val="nil"/>
          <w:right w:val="nil"/>
          <w:between w:val="nil"/>
        </w:pBdr>
        <w:tabs>
          <w:tab w:val="left" w:pos="170"/>
        </w:tabs>
        <w:spacing w:before="0" w:after="0" w:line="240" w:lineRule="auto"/>
        <w:ind w:hanging="357"/>
      </w:pPr>
      <w:r>
        <w:rPr>
          <w:color w:val="000000"/>
        </w:rPr>
        <w:t xml:space="preserve">possedere un certificato di conformità, se la disposizione o la sovvenzione sono attività regolamentate; </w:t>
      </w:r>
    </w:p>
    <w:p w14:paraId="7D03866C" w14:textId="77777777" w:rsidR="002E0FDC" w:rsidRDefault="008F62EF">
      <w:pPr>
        <w:numPr>
          <w:ilvl w:val="0"/>
          <w:numId w:val="2"/>
        </w:numPr>
        <w:pBdr>
          <w:top w:val="nil"/>
          <w:left w:val="nil"/>
          <w:bottom w:val="nil"/>
          <w:right w:val="nil"/>
          <w:between w:val="nil"/>
        </w:pBdr>
        <w:tabs>
          <w:tab w:val="left" w:pos="170"/>
        </w:tabs>
        <w:spacing w:before="0" w:after="0" w:line="240" w:lineRule="auto"/>
        <w:ind w:hanging="357"/>
      </w:pPr>
      <w:r>
        <w:rPr>
          <w:color w:val="000000"/>
        </w:rPr>
        <w:t xml:space="preserve">implementare e mantenere un adeguato sistema di gestione dei reclami; </w:t>
      </w:r>
    </w:p>
    <w:p w14:paraId="0B48C9F5" w14:textId="77777777" w:rsidR="002E0FDC" w:rsidRDefault="008F62EF">
      <w:pPr>
        <w:numPr>
          <w:ilvl w:val="0"/>
          <w:numId w:val="2"/>
        </w:numPr>
        <w:pBdr>
          <w:top w:val="nil"/>
          <w:left w:val="nil"/>
          <w:bottom w:val="nil"/>
          <w:right w:val="nil"/>
          <w:between w:val="nil"/>
        </w:pBdr>
        <w:tabs>
          <w:tab w:val="left" w:pos="170"/>
        </w:tabs>
        <w:spacing w:before="0" w:after="0" w:line="240" w:lineRule="auto"/>
        <w:ind w:hanging="357"/>
      </w:pPr>
      <w:r>
        <w:rPr>
          <w:color w:val="000000"/>
        </w:rPr>
        <w:t>implementare e mantenere un adeguato sistema di gestione degli incidenti;</w:t>
      </w:r>
    </w:p>
    <w:p w14:paraId="02788510" w14:textId="77777777" w:rsidR="002E0FDC" w:rsidRDefault="008F62EF">
      <w:pPr>
        <w:numPr>
          <w:ilvl w:val="0"/>
          <w:numId w:val="2"/>
        </w:numPr>
        <w:pBdr>
          <w:top w:val="nil"/>
          <w:left w:val="nil"/>
          <w:bottom w:val="nil"/>
          <w:right w:val="nil"/>
          <w:between w:val="nil"/>
        </w:pBdr>
        <w:tabs>
          <w:tab w:val="left" w:pos="170"/>
        </w:tabs>
        <w:spacing w:before="0" w:line="240" w:lineRule="auto"/>
        <w:ind w:hanging="357"/>
      </w:pPr>
      <w:r>
        <w:rPr>
          <w:color w:val="000000"/>
        </w:rPr>
        <w:t>non essere soggetti a un provvedimento di divieto da parte del NDIS.</w:t>
      </w:r>
    </w:p>
    <w:p w14:paraId="64956E1C" w14:textId="77777777" w:rsidR="002E0FDC" w:rsidRDefault="008F62EF" w:rsidP="0072519A">
      <w:pPr>
        <w:pStyle w:val="Heading2"/>
      </w:pPr>
      <w:r>
        <w:t>Strumenti legislativi a supporto del DSI Act</w:t>
      </w:r>
    </w:p>
    <w:p w14:paraId="53AE03F6" w14:textId="77777777" w:rsidR="002E0FDC" w:rsidRDefault="008F62EF">
      <w:r>
        <w:t xml:space="preserve">Il DSI Act consente al Ministro o al Segretario di definire cinque strumenti legislativi ai sensi del DSI Act stesso. Gli strumenti legislativi sono riportati di seguito. </w:t>
      </w:r>
    </w:p>
    <w:p w14:paraId="55DAD267" w14:textId="77777777" w:rsidR="002E0FDC" w:rsidRDefault="008F62EF">
      <w:pPr>
        <w:rPr>
          <w:b/>
        </w:rPr>
      </w:pPr>
      <w:r>
        <w:rPr>
          <w:b/>
        </w:rPr>
        <w:t>Strumento del Codice di Condotta:</w:t>
      </w:r>
    </w:p>
    <w:p w14:paraId="46C691AF" w14:textId="77777777" w:rsidR="002E0FDC" w:rsidRDefault="008F62EF">
      <w:pPr>
        <w:numPr>
          <w:ilvl w:val="0"/>
          <w:numId w:val="2"/>
        </w:numPr>
        <w:pBdr>
          <w:top w:val="nil"/>
          <w:left w:val="nil"/>
          <w:bottom w:val="nil"/>
          <w:right w:val="nil"/>
          <w:between w:val="nil"/>
        </w:pBdr>
        <w:tabs>
          <w:tab w:val="left" w:pos="170"/>
        </w:tabs>
        <w:spacing w:line="240" w:lineRule="auto"/>
      </w:pPr>
      <w:r>
        <w:rPr>
          <w:color w:val="000000"/>
        </w:rPr>
        <w:t xml:space="preserve">Il Codice di condotta riflette il Codice di Condotta del NDIS. Stabilisce le aspettative per un’erogazione dei servizi sicura ed etica. </w:t>
      </w:r>
    </w:p>
    <w:p w14:paraId="4ACFBF5D" w14:textId="77777777" w:rsidR="002E0FDC" w:rsidRDefault="008F62EF">
      <w:pPr>
        <w:rPr>
          <w:b/>
        </w:rPr>
      </w:pPr>
      <w:r>
        <w:rPr>
          <w:b/>
        </w:rPr>
        <w:t xml:space="preserve">Strumento delle Attività regolamentate: </w:t>
      </w:r>
    </w:p>
    <w:p w14:paraId="1EED35FE" w14:textId="77777777" w:rsidR="002E0FDC" w:rsidRDefault="008F62EF">
      <w:pPr>
        <w:numPr>
          <w:ilvl w:val="0"/>
          <w:numId w:val="2"/>
        </w:numPr>
        <w:pBdr>
          <w:top w:val="nil"/>
          <w:left w:val="nil"/>
          <w:bottom w:val="nil"/>
          <w:right w:val="nil"/>
          <w:between w:val="nil"/>
        </w:pBdr>
        <w:tabs>
          <w:tab w:val="left" w:pos="170"/>
        </w:tabs>
        <w:spacing w:line="240" w:lineRule="auto"/>
      </w:pPr>
      <w:r>
        <w:rPr>
          <w:color w:val="000000"/>
        </w:rPr>
        <w:t xml:space="preserve">Alcune attività finanziate dal DSI Act potrebbero comportare rischi più elevati. Tali attività possono essere soggette a regolamentazioni aggiuntive e sono definite ‘attività regolamentate’. Questo strumento stabilisce i criteri per determinare se un’attività è </w:t>
      </w:r>
      <w:r w:rsidR="00F64C40" w:rsidRPr="00725BF3">
        <w:t>un’</w:t>
      </w:r>
      <w:r w:rsidRPr="00725BF3">
        <w:t>attività</w:t>
      </w:r>
      <w:r w:rsidR="00F64C40" w:rsidRPr="00F64C40">
        <w:rPr>
          <w:color w:val="000000"/>
        </w:rPr>
        <w:t xml:space="preserve"> </w:t>
      </w:r>
      <w:r>
        <w:rPr>
          <w:color w:val="000000"/>
        </w:rPr>
        <w:t xml:space="preserve">regolamentata. </w:t>
      </w:r>
    </w:p>
    <w:p w14:paraId="0D3D17A2" w14:textId="77777777" w:rsidR="002E0FDC" w:rsidRDefault="008F62EF">
      <w:pPr>
        <w:rPr>
          <w:b/>
        </w:rPr>
      </w:pPr>
      <w:r>
        <w:rPr>
          <w:b/>
        </w:rPr>
        <w:t>Strumento degli Standard di conformità e dei Requisiti alternativi di conformità:</w:t>
      </w:r>
    </w:p>
    <w:p w14:paraId="7BC06AD4" w14:textId="77777777" w:rsidR="002E0FDC" w:rsidRDefault="008F62EF">
      <w:pPr>
        <w:numPr>
          <w:ilvl w:val="0"/>
          <w:numId w:val="1"/>
        </w:numPr>
        <w:pBdr>
          <w:top w:val="nil"/>
          <w:left w:val="nil"/>
          <w:bottom w:val="nil"/>
          <w:right w:val="nil"/>
          <w:between w:val="nil"/>
        </w:pBdr>
        <w:spacing w:line="240" w:lineRule="auto"/>
      </w:pPr>
      <w:r>
        <w:rPr>
          <w:color w:val="000000"/>
        </w:rPr>
        <w:t>Questo strumento indica gli standard che le attività regolamentate devono rispettare. Gli Standard Nazionali dei Servizi per le Disabilità (National Standards for Disability Services) rappresentano gli standard predefiniti. Stabilisce anche i requisiti di conformità alternativi che potrebbero essere riconosciuti.</w:t>
      </w:r>
    </w:p>
    <w:p w14:paraId="145F5F07" w14:textId="77777777" w:rsidR="00164C08" w:rsidRDefault="00164C08">
      <w:pPr>
        <w:rPr>
          <w:b/>
        </w:rPr>
      </w:pPr>
      <w:r>
        <w:rPr>
          <w:b/>
        </w:rPr>
        <w:br w:type="page"/>
      </w:r>
    </w:p>
    <w:p w14:paraId="1FCF4413" w14:textId="770EF87A" w:rsidR="002E0FDC" w:rsidRDefault="008F62EF">
      <w:pPr>
        <w:rPr>
          <w:b/>
        </w:rPr>
      </w:pPr>
      <w:r>
        <w:rPr>
          <w:b/>
        </w:rPr>
        <w:lastRenderedPageBreak/>
        <w:t xml:space="preserve">Strumento di Gestione dei reclami e degli incidenti: </w:t>
      </w:r>
    </w:p>
    <w:p w14:paraId="6D734685" w14:textId="77777777" w:rsidR="002E0FDC" w:rsidRDefault="008F62EF">
      <w:pPr>
        <w:numPr>
          <w:ilvl w:val="0"/>
          <w:numId w:val="2"/>
        </w:numPr>
        <w:pBdr>
          <w:top w:val="nil"/>
          <w:left w:val="nil"/>
          <w:bottom w:val="nil"/>
          <w:right w:val="nil"/>
          <w:between w:val="nil"/>
        </w:pBdr>
        <w:tabs>
          <w:tab w:val="left" w:pos="170"/>
        </w:tabs>
        <w:spacing w:line="240" w:lineRule="auto"/>
      </w:pPr>
      <w:r>
        <w:rPr>
          <w:color w:val="000000"/>
        </w:rPr>
        <w:t xml:space="preserve">Questo strumento stabilisce le regole per la gestione dei reclami e la segnalazione degli incidenti. Ciò include le tempistiche per le segnalazioni e le informazioni che dovrebbero essere raccolte. </w:t>
      </w:r>
    </w:p>
    <w:p w14:paraId="7A65504D" w14:textId="77777777" w:rsidR="002E0FDC" w:rsidRDefault="008F62EF">
      <w:pPr>
        <w:rPr>
          <w:b/>
        </w:rPr>
      </w:pPr>
      <w:r>
        <w:rPr>
          <w:b/>
        </w:rPr>
        <w:t xml:space="preserve">Strumento di Divulgazione delle informazioni: </w:t>
      </w:r>
    </w:p>
    <w:p w14:paraId="1BC6A112" w14:textId="77777777" w:rsidR="002E0FDC" w:rsidRDefault="008F62EF">
      <w:pPr>
        <w:numPr>
          <w:ilvl w:val="0"/>
          <w:numId w:val="2"/>
        </w:numPr>
        <w:pBdr>
          <w:top w:val="nil"/>
          <w:left w:val="nil"/>
          <w:bottom w:val="nil"/>
          <w:right w:val="nil"/>
          <w:between w:val="nil"/>
        </w:pBdr>
        <w:tabs>
          <w:tab w:val="left" w:pos="170"/>
        </w:tabs>
        <w:spacing w:line="240" w:lineRule="auto"/>
      </w:pPr>
      <w:r>
        <w:rPr>
          <w:color w:val="000000"/>
        </w:rPr>
        <w:t xml:space="preserve">Stabilirà gli scopi per i quali le informazioni pertinenti possono essere utilizzate o divulgate.  </w:t>
      </w:r>
    </w:p>
    <w:p w14:paraId="2E1DF633" w14:textId="77777777" w:rsidR="002E0FDC" w:rsidRDefault="008F62EF" w:rsidP="0072519A">
      <w:pPr>
        <w:pStyle w:val="Heading2"/>
      </w:pPr>
      <w:r>
        <w:t xml:space="preserve">Maggiori informazioni </w:t>
      </w:r>
    </w:p>
    <w:p w14:paraId="4E7AC104" w14:textId="77777777" w:rsidR="002E0FDC" w:rsidRDefault="008F62EF">
      <w:r>
        <w:t xml:space="preserve">Per maggiori informazioni, vi preghiamo di visitare </w:t>
      </w:r>
      <w:hyperlink r:id="rId16">
        <w:r>
          <w:rPr>
            <w:color w:val="0000FF"/>
            <w:u w:val="single"/>
          </w:rPr>
          <w:t>www.dss.gov.au/dsi-act</w:t>
        </w:r>
      </w:hyperlink>
      <w:r>
        <w:rPr>
          <w:color w:val="0000FF"/>
          <w:u w:val="single"/>
        </w:rPr>
        <w:t xml:space="preserve"> </w:t>
      </w:r>
    </w:p>
    <w:p w14:paraId="564BA306" w14:textId="77777777" w:rsidR="002E0FDC" w:rsidRDefault="002E0FDC">
      <w:pPr>
        <w:pBdr>
          <w:top w:val="nil"/>
          <w:left w:val="nil"/>
          <w:bottom w:val="nil"/>
          <w:right w:val="nil"/>
          <w:between w:val="nil"/>
        </w:pBdr>
        <w:spacing w:line="360" w:lineRule="auto"/>
        <w:ind w:left="720"/>
        <w:rPr>
          <w:color w:val="000000"/>
        </w:rPr>
      </w:pPr>
    </w:p>
    <w:p w14:paraId="2EB9FE96" w14:textId="77777777" w:rsidR="002E0FDC" w:rsidRDefault="002E0FDC">
      <w:pPr>
        <w:spacing w:line="360" w:lineRule="auto"/>
      </w:pPr>
    </w:p>
    <w:sectPr w:rsidR="002E0FDC" w:rsidSect="00726DC9">
      <w:type w:val="continuous"/>
      <w:pgSz w:w="11906" w:h="16838"/>
      <w:pgMar w:top="1112" w:right="851" w:bottom="1134" w:left="851" w:header="0" w:footer="47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F7E55" w14:textId="77777777" w:rsidR="00B52106" w:rsidRDefault="00B52106" w:rsidP="002E0FDC">
      <w:pPr>
        <w:spacing w:before="0" w:after="0" w:line="240" w:lineRule="auto"/>
      </w:pPr>
      <w:r>
        <w:separator/>
      </w:r>
    </w:p>
  </w:endnote>
  <w:endnote w:type="continuationSeparator" w:id="0">
    <w:p w14:paraId="6069FE18" w14:textId="77777777" w:rsidR="00B52106" w:rsidRDefault="00B52106" w:rsidP="002E0F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5F87F" w14:textId="77777777" w:rsidR="002E0FDC" w:rsidRDefault="002E0FDC">
    <w:pPr>
      <w:pBdr>
        <w:top w:val="nil"/>
        <w:left w:val="nil"/>
        <w:bottom w:val="nil"/>
        <w:right w:val="nil"/>
        <w:between w:val="nil"/>
      </w:pBdr>
      <w:tabs>
        <w:tab w:val="right" w:pos="10433"/>
      </w:tabs>
      <w:spacing w:before="0" w:after="0" w:line="240" w:lineRule="auto"/>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4E4B2" w14:textId="77777777" w:rsidR="00B52106" w:rsidRDefault="00B52106" w:rsidP="002E0FDC">
      <w:pPr>
        <w:spacing w:before="0" w:after="0" w:line="240" w:lineRule="auto"/>
      </w:pPr>
      <w:r>
        <w:separator/>
      </w:r>
    </w:p>
  </w:footnote>
  <w:footnote w:type="continuationSeparator" w:id="0">
    <w:p w14:paraId="0D779D65" w14:textId="77777777" w:rsidR="00B52106" w:rsidRDefault="00B52106" w:rsidP="002E0F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91CE2" w14:textId="77777777" w:rsidR="002E0FDC" w:rsidRDefault="002E0FDC">
    <w:pPr>
      <w:pBdr>
        <w:top w:val="nil"/>
        <w:left w:val="nil"/>
        <w:bottom w:val="nil"/>
        <w:right w:val="nil"/>
        <w:between w:val="nil"/>
      </w:pBdr>
      <w:tabs>
        <w:tab w:val="center" w:pos="4513"/>
        <w:tab w:val="right" w:pos="9026"/>
      </w:tabs>
      <w:spacing w:before="0"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A412C" w14:textId="77777777" w:rsidR="002E0FDC" w:rsidRDefault="002E0FDC">
    <w:pPr>
      <w:pBdr>
        <w:top w:val="nil"/>
        <w:left w:val="nil"/>
        <w:bottom w:val="nil"/>
        <w:right w:val="nil"/>
        <w:between w:val="nil"/>
      </w:pBdr>
      <w:tabs>
        <w:tab w:val="center" w:pos="4513"/>
        <w:tab w:val="right" w:pos="9026"/>
      </w:tabs>
      <w:spacing w:before="0"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67AF0"/>
    <w:multiLevelType w:val="multilevel"/>
    <w:tmpl w:val="23B64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D86004C"/>
    <w:multiLevelType w:val="multilevel"/>
    <w:tmpl w:val="0F36CE50"/>
    <w:lvl w:ilvl="0">
      <w:start w:val="1"/>
      <w:numFmt w:val="bullet"/>
      <w:lvlText w:val="●"/>
      <w:lvlJc w:val="left"/>
      <w:pPr>
        <w:ind w:left="53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46600275">
    <w:abstractNumId w:val="0"/>
  </w:num>
  <w:num w:numId="2" w16cid:durableId="1887913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0FDC"/>
    <w:rsid w:val="00164C08"/>
    <w:rsid w:val="002E0FDC"/>
    <w:rsid w:val="003E6886"/>
    <w:rsid w:val="004C2376"/>
    <w:rsid w:val="00610AAE"/>
    <w:rsid w:val="0067442F"/>
    <w:rsid w:val="0072519A"/>
    <w:rsid w:val="00725BF3"/>
    <w:rsid w:val="00726DC9"/>
    <w:rsid w:val="007A6B75"/>
    <w:rsid w:val="008F62EF"/>
    <w:rsid w:val="00A47440"/>
    <w:rsid w:val="00B52106"/>
    <w:rsid w:val="00CC14C3"/>
    <w:rsid w:val="00D12B4B"/>
    <w:rsid w:val="00F27606"/>
    <w:rsid w:val="00F64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035F6"/>
  <w15:docId w15:val="{1E505B10-339D-4FBE-B4D8-76E0A593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it-IT" w:eastAsia="en-US" w:bidi="ar-SA"/>
      </w:rPr>
    </w:rPrDefault>
    <w:pPrDefault>
      <w:pPr>
        <w:spacing w:before="120"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AFA"/>
    <w:pPr>
      <w:spacing w:line="280" w:lineRule="atLeast"/>
    </w:pPr>
    <w:rPr>
      <w:spacing w:val="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bCs/>
      <w:iCs/>
      <w:color w:val="50077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0FDC"/>
  </w:style>
  <w:style w:type="table" w:customStyle="1" w:styleId="TableNormal1">
    <w:name w:val="Table Normal1"/>
    <w:rsid w:val="002E0FDC"/>
    <w:tblPr>
      <w:tblCellMar>
        <w:top w:w="0" w:type="dxa"/>
        <w:left w:w="0" w:type="dxa"/>
        <w:bottom w:w="0" w:type="dxa"/>
        <w:right w:w="0" w:type="dxa"/>
      </w:tblCellMar>
    </w:tbl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bCs/>
      <w:color w:val="500778"/>
      <w:spacing w:val="0"/>
      <w:kern w:val="28"/>
      <w:sz w:val="72"/>
      <w:szCs w:val="32"/>
    </w:rPr>
  </w:style>
  <w:style w:type="paragraph" w:styleId="Header">
    <w:name w:val="header"/>
    <w:basedOn w:val="Normal"/>
    <w:link w:val="HeaderChar"/>
    <w:uiPriority w:val="99"/>
    <w:rsid w:val="004D44E8"/>
    <w:pPr>
      <w:tabs>
        <w:tab w:val="center" w:pos="4513"/>
        <w:tab w:val="right" w:pos="9026"/>
      </w:tabs>
      <w:spacing w:before="0" w:after="0" w:line="240" w:lineRule="auto"/>
    </w:pPr>
  </w:style>
  <w:style w:type="paragraph" w:styleId="ListBullet">
    <w:name w:val="List Bullet"/>
    <w:basedOn w:val="Normal"/>
    <w:uiPriority w:val="1"/>
    <w:qFormat/>
    <w:rsid w:val="008D4E4B"/>
    <w:pPr>
      <w:tabs>
        <w:tab w:val="left" w:pos="170"/>
      </w:tabs>
      <w:ind w:left="533" w:hanging="360"/>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after="120"/>
      <w:ind w:left="397"/>
      <w:contextualSpacing/>
    </w:pPr>
    <w:rPr>
      <w:rFonts w:ascii="Georgia" w:hAnsi="Georgia"/>
      <w:bCs/>
      <w:iCs/>
      <w:color w:val="500778"/>
      <w:szCs w:val="28"/>
    </w:rPr>
  </w:style>
  <w:style w:type="character" w:customStyle="1" w:styleId="Heading2Char">
    <w:name w:val="Heading 2 Char"/>
    <w:basedOn w:val="DefaultParagraphFont"/>
    <w:link w:val="Heading2"/>
    <w:uiPriority w:val="2"/>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rsid w:val="002E0FDC"/>
    <w:pPr>
      <w:spacing w:before="0" w:after="600" w:line="240" w:lineRule="auto"/>
    </w:pPr>
    <w:rPr>
      <w:rFonts w:ascii="Georgia" w:eastAsia="Georgia" w:hAnsi="Georgia" w:cs="Georgia"/>
      <w:color w:val="000000"/>
      <w:sz w:val="36"/>
      <w:szCs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List Paragraph1,List Paragraph11,Recommendation,#List Paragraph,List Paragraph - bullet,List - bullet,List Paragraph - bullets,Use Case List Paragraph,L,Bullets,Bullet point,List Paragraph111,F5 List Paragraph,Dot pt,CV text,Table text"/>
    <w:basedOn w:val="Normal"/>
    <w:link w:val="ListParagraphChar"/>
    <w:uiPriority w:val="34"/>
    <w:qFormat/>
    <w:rsid w:val="00C80192"/>
    <w:pPr>
      <w:ind w:left="720"/>
      <w:contextualSpacing/>
    </w:pPr>
  </w:style>
  <w:style w:type="table" w:customStyle="1" w:styleId="DSSDatatablestyle">
    <w:name w:val="DSS Data table style"/>
    <w:basedOn w:val="TableNormal"/>
    <w:uiPriority w:val="99"/>
    <w:rsid w:val="0011449B"/>
    <w:rPr>
      <w:rFonts w:eastAsiaTheme="minorHAnsi" w:cstheme="minorBidi"/>
      <w:szCs w:val="22"/>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uiPriority w:val="99"/>
    <w:semiHidden/>
    <w:unhideWhenUsed/>
    <w:rsid w:val="007248C6"/>
    <w:rPr>
      <w:sz w:val="16"/>
      <w:szCs w:val="16"/>
    </w:rPr>
  </w:style>
  <w:style w:type="paragraph" w:styleId="CommentText">
    <w:name w:val="annotation text"/>
    <w:basedOn w:val="Normal"/>
    <w:link w:val="CommentTextChar"/>
    <w:uiPriority w:val="99"/>
    <w:semiHidden/>
    <w:unhideWhenUsed/>
    <w:rsid w:val="007248C6"/>
    <w:pPr>
      <w:spacing w:line="240" w:lineRule="auto"/>
    </w:pPr>
    <w:rPr>
      <w:sz w:val="20"/>
      <w:szCs w:val="20"/>
    </w:rPr>
  </w:style>
  <w:style w:type="character" w:customStyle="1" w:styleId="CommentTextChar">
    <w:name w:val="Comment Text Char"/>
    <w:basedOn w:val="DefaultParagraphFont"/>
    <w:link w:val="CommentText"/>
    <w:uiPriority w:val="99"/>
    <w:semiHidden/>
    <w:rsid w:val="007248C6"/>
    <w:rPr>
      <w:rFonts w:ascii="Arial" w:hAnsi="Arial"/>
      <w:spacing w:val="4"/>
    </w:rPr>
  </w:style>
  <w:style w:type="paragraph" w:styleId="CommentSubject">
    <w:name w:val="annotation subject"/>
    <w:basedOn w:val="CommentText"/>
    <w:next w:val="CommentText"/>
    <w:link w:val="CommentSubjectChar"/>
    <w:semiHidden/>
    <w:unhideWhenUsed/>
    <w:rsid w:val="007248C6"/>
    <w:rPr>
      <w:b/>
      <w:bCs/>
    </w:rPr>
  </w:style>
  <w:style w:type="character" w:customStyle="1" w:styleId="CommentSubjectChar">
    <w:name w:val="Comment Subject Char"/>
    <w:basedOn w:val="CommentTextChar"/>
    <w:link w:val="CommentSubject"/>
    <w:semiHidden/>
    <w:rsid w:val="007248C6"/>
    <w:rPr>
      <w:rFonts w:ascii="Arial" w:hAnsi="Arial"/>
      <w:b/>
      <w:bCs/>
      <w:spacing w:val="4"/>
    </w:rPr>
  </w:style>
  <w:style w:type="paragraph" w:customStyle="1" w:styleId="paragraph">
    <w:name w:val="paragraph"/>
    <w:basedOn w:val="Normal"/>
    <w:rsid w:val="00BF614B"/>
    <w:pPr>
      <w:spacing w:before="100" w:beforeAutospacing="1" w:after="100" w:afterAutospacing="1" w:line="240" w:lineRule="auto"/>
    </w:pPr>
    <w:rPr>
      <w:rFonts w:ascii="Times New Roman" w:hAnsi="Times New Roman"/>
      <w:spacing w:val="0"/>
    </w:rPr>
  </w:style>
  <w:style w:type="character" w:customStyle="1" w:styleId="ListParagraphChar">
    <w:name w:val="List Paragraph Char"/>
    <w:aliases w:val="List Paragraph1 Char,List Paragraph11 Char,Recommendation Char,#List Paragraph Char,List Paragraph - bullet Char,List - bullet Char,List Paragraph - bullets Char,Use Case List Paragraph Char,L Char,Bullets Char,Bullet point Char"/>
    <w:link w:val="ListParagraph"/>
    <w:uiPriority w:val="34"/>
    <w:qFormat/>
    <w:locked/>
    <w:rsid w:val="00194037"/>
    <w:rPr>
      <w:rFonts w:ascii="Arial" w:hAnsi="Arial"/>
      <w:spacing w:val="4"/>
      <w:sz w:val="24"/>
      <w:szCs w:val="24"/>
    </w:rPr>
  </w:style>
  <w:style w:type="paragraph" w:styleId="Revision">
    <w:name w:val="Revision"/>
    <w:hidden/>
    <w:uiPriority w:val="99"/>
    <w:semiHidden/>
    <w:rsid w:val="00C57E2B"/>
    <w:rPr>
      <w:spacing w:val="4"/>
    </w:rPr>
  </w:style>
  <w:style w:type="paragraph" w:styleId="NormalWeb">
    <w:name w:val="Normal (Web)"/>
    <w:basedOn w:val="Normal"/>
    <w:semiHidden/>
    <w:unhideWhenUsed/>
    <w:rsid w:val="00A471E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ss.gov.au/dsi-ac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OB/jR9PXOa850SXtZoFxLhvwwA==">CgMxLjA4AHIhMWF4WElQajdvQUszRFF5VDVlMjdoQnF4N09BQmw0ZzlZ</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9" ma:contentTypeDescription="Create a new document." ma:contentTypeScope="" ma:versionID="8dc65c394e8ec8d13015988c1c3a3d9b">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fcf724f676501d954e7ddc019e7646de"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CDFADB-82EC-450E-A94E-5D7079AB4624}">
  <ds:schemaRefs>
    <ds:schemaRef ds:uri="http://schemas.microsoft.com/office/2006/metadata/properties"/>
    <ds:schemaRef ds:uri="http://schemas.microsoft.com/office/infopath/2007/PartnerControls"/>
    <ds:schemaRef ds:uri="646a4861-356b-4c08-9059-5e4a97971c97"/>
    <ds:schemaRef ds:uri="140be222-7ba8-4119-9a9f-83de2b3fc778"/>
  </ds:schemaRefs>
</ds:datastoreItem>
</file>

<file path=customXml/itemProps3.xml><?xml version="1.0" encoding="utf-8"?>
<ds:datastoreItem xmlns:ds="http://schemas.openxmlformats.org/officeDocument/2006/customXml" ds:itemID="{25C9C545-C5CE-4445-801B-226878796794}">
  <ds:schemaRefs>
    <ds:schemaRef ds:uri="http://schemas.microsoft.com/sharepoint/v3/contenttype/forms"/>
  </ds:schemaRefs>
</ds:datastoreItem>
</file>

<file path=customXml/itemProps4.xml><?xml version="1.0" encoding="utf-8"?>
<ds:datastoreItem xmlns:ds="http://schemas.openxmlformats.org/officeDocument/2006/customXml" ds:itemID="{868B143A-90BC-4A44-A423-804C7517FB98}">
  <ds:schemaRefs>
    <ds:schemaRef ds:uri="http://schemas.openxmlformats.org/officeDocument/2006/bibliography"/>
  </ds:schemaRefs>
</ds:datastoreItem>
</file>

<file path=customXml/itemProps5.xml><?xml version="1.0" encoding="utf-8"?>
<ds:datastoreItem xmlns:ds="http://schemas.openxmlformats.org/officeDocument/2006/customXml" ds:itemID="{D221CA58-86C1-4698-BF5B-2011D3BCA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4232</Characters>
  <Application>Microsoft Office Word</Application>
  <DocSecurity>0</DocSecurity>
  <Lines>96</Lines>
  <Paragraphs>58</Paragraphs>
  <ScaleCrop>false</ScaleCrop>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LESTER, Hannah</dc:creator>
  <cp:keywords>[SEC=OFFICIAL]</cp:keywords>
  <cp:lastModifiedBy>DERRICK, Monica</cp:lastModifiedBy>
  <cp:revision>2</cp:revision>
  <cp:lastPrinted>2024-05-01T03:05:00Z</cp:lastPrinted>
  <dcterms:created xsi:type="dcterms:W3CDTF">2024-11-15T07:12:00Z</dcterms:created>
  <dcterms:modified xsi:type="dcterms:W3CDTF">2024-11-15T07:12:00Z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32B08EF2F5CC4F74826C0E6AADBD930D</vt:lpwstr>
  </property>
  <property fmtid="{D5CDD505-2E9C-101B-9397-08002B2CF9AE}" pid="9" name="PM_ProtectiveMarkingValue_Footer">
    <vt:lpwstr>OFFICIAL</vt:lpwstr>
  </property>
  <property fmtid="{D5CDD505-2E9C-101B-9397-08002B2CF9AE}" pid="10" name="PM_Originator_Hash_SHA1">
    <vt:lpwstr>7EFF92D34B672233285DC85F24ED682353D2D594</vt:lpwstr>
  </property>
  <property fmtid="{D5CDD505-2E9C-101B-9397-08002B2CF9AE}" pid="11" name="PM_OriginationTimeStamp">
    <vt:lpwstr>2024-03-14T02:35:55Z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FCCA9F1EDF0CF132D66CDFD02875BB43</vt:lpwstr>
  </property>
  <property fmtid="{D5CDD505-2E9C-101B-9397-08002B2CF9AE}" pid="21" name="PM_Hash_Salt">
    <vt:lpwstr>C33C80CECF5133022C3F3E56CFD35B17</vt:lpwstr>
  </property>
  <property fmtid="{D5CDD505-2E9C-101B-9397-08002B2CF9AE}" pid="22" name="PM_Hash_SHA1">
    <vt:lpwstr>AF1DD4D2864B3B3436F36CE95B35DEDF915ED1E2</vt:lpwstr>
  </property>
  <property fmtid="{D5CDD505-2E9C-101B-9397-08002B2CF9AE}" pid="23" name="PM_OriginatorUserAccountName_SHA256">
    <vt:lpwstr>3258C15B431C1CE3706AD82D55735C3CDD3D5A11BD4A0E5EAC7F9F48580DEDD4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0x010100E4CE9C61FF1DB546B17EE617B1970DDD</vt:lpwstr>
  </property>
  <property fmtid="{D5CDD505-2E9C-101B-9397-08002B2CF9AE}" pid="28" name="PMHMAC">
    <vt:lpwstr>v=2022.1;a=SHA256;h=EB40A80820E96054B617D6F671713DD20DCE2B5DC8CFD01078DE9675DECF8F9C</vt:lpwstr>
  </property>
  <property fmtid="{D5CDD505-2E9C-101B-9397-08002B2CF9AE}" pid="29" name="PMUuid">
    <vt:lpwstr>v=2022.2;d=gov.au;g=46DD6D7C-8107-577B-BC6E-F348953B2E44</vt:lpwstr>
  </property>
  <property fmtid="{D5CDD505-2E9C-101B-9397-08002B2CF9AE}" pid="30" name="MSIP_Label_eb34d90b-fc41-464d-af60-f74d721d0790_SetDate">
    <vt:lpwstr>2024-03-14T02:35:55Z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3ba9c00d2e7747f0bf4b7c2321019da3</vt:lpwstr>
  </property>
</Properties>
</file>