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4F7314">
      <w:pPr>
        <w:bidi/>
        <w:spacing w:before="0" w:after="0" w:line="360" w:lineRule="auto"/>
        <w:ind w:left="-850"/>
      </w:pPr>
      <w:r>
        <w:rPr>
          <w:noProof/>
          <w:rtl/>
          <w:lang w:eastAsia="ar" w:bidi="ar-MA"/>
        </w:rPr>
        <w:drawing>
          <wp:inline distT="0" distB="0" distL="0" distR="0" wp14:anchorId="28C5C9E8" wp14:editId="4DCD6C63">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38848112" w:rsidR="00C80192" w:rsidRPr="002928BC" w:rsidRDefault="002928BC" w:rsidP="004F7314">
      <w:pPr>
        <w:pStyle w:val="Smalltext"/>
        <w:bidi/>
        <w:spacing w:after="0" w:line="360" w:lineRule="auto"/>
        <w:ind w:right="-425"/>
      </w:pPr>
      <w:r w:rsidRPr="002928BC">
        <w:rPr>
          <w:lang w:eastAsia="ar" w:bidi="en-US"/>
        </w:rPr>
        <w:t>DSS3153.01.24</w:t>
      </w:r>
    </w:p>
    <w:p w14:paraId="5D7DCD49" w14:textId="48DBCA34" w:rsidR="00194037" w:rsidRPr="0057251D" w:rsidRDefault="00BF3400" w:rsidP="0057251D">
      <w:pPr>
        <w:pStyle w:val="Heading1"/>
      </w:pPr>
      <w:r w:rsidRPr="0057251D">
        <w:rPr>
          <w:rFonts w:hint="eastAsia"/>
          <w:rtl/>
        </w:rPr>
        <w:t>نشرة</w:t>
      </w:r>
      <w:r w:rsidRPr="0057251D">
        <w:rPr>
          <w:rtl/>
        </w:rPr>
        <w:t xml:space="preserve"> </w:t>
      </w:r>
      <w:r w:rsidRPr="0057251D">
        <w:rPr>
          <w:rFonts w:hint="eastAsia"/>
          <w:rtl/>
        </w:rPr>
        <w:t>معلومات</w:t>
      </w:r>
      <w:r w:rsidRPr="0057251D">
        <w:rPr>
          <w:rtl/>
        </w:rPr>
        <w:t xml:space="preserve"> - </w:t>
      </w:r>
      <w:r w:rsidRPr="0057251D">
        <w:rPr>
          <w:rFonts w:hint="eastAsia"/>
          <w:rtl/>
        </w:rPr>
        <w:t>نظرة</w:t>
      </w:r>
      <w:r w:rsidRPr="0057251D">
        <w:rPr>
          <w:rtl/>
        </w:rPr>
        <w:t xml:space="preserve"> </w:t>
      </w:r>
      <w:r w:rsidRPr="0057251D">
        <w:rPr>
          <w:rFonts w:hint="eastAsia"/>
          <w:rtl/>
        </w:rPr>
        <w:t>عامة</w:t>
      </w:r>
      <w:r w:rsidRPr="0057251D">
        <w:rPr>
          <w:rtl/>
        </w:rPr>
        <w:t xml:space="preserve"> </w:t>
      </w:r>
      <w:r w:rsidRPr="0057251D">
        <w:rPr>
          <w:rFonts w:hint="eastAsia"/>
          <w:rtl/>
        </w:rPr>
        <w:t>على</w:t>
      </w:r>
      <w:r w:rsidRPr="0057251D">
        <w:rPr>
          <w:rtl/>
        </w:rPr>
        <w:t xml:space="preserve"> </w:t>
      </w:r>
      <w:r w:rsidRPr="0057251D">
        <w:rPr>
          <w:rFonts w:hint="eastAsia"/>
          <w:rtl/>
        </w:rPr>
        <w:t>قانون</w:t>
      </w:r>
      <w:r w:rsidRPr="0057251D">
        <w:rPr>
          <w:rtl/>
        </w:rPr>
        <w:t xml:space="preserve"> </w:t>
      </w:r>
      <w:r w:rsidRPr="0057251D">
        <w:rPr>
          <w:rFonts w:hint="eastAsia"/>
          <w:rtl/>
        </w:rPr>
        <w:t>خدمات</w:t>
      </w:r>
      <w:r w:rsidRPr="0057251D">
        <w:rPr>
          <w:rtl/>
        </w:rPr>
        <w:t xml:space="preserve"> </w:t>
      </w:r>
      <w:r w:rsidRPr="0057251D">
        <w:rPr>
          <w:rFonts w:hint="eastAsia"/>
          <w:rtl/>
        </w:rPr>
        <w:t>ذوي</w:t>
      </w:r>
      <w:r w:rsidRPr="0057251D">
        <w:rPr>
          <w:rtl/>
        </w:rPr>
        <w:t xml:space="preserve"> </w:t>
      </w:r>
      <w:r w:rsidRPr="0057251D">
        <w:rPr>
          <w:rFonts w:hint="eastAsia"/>
          <w:rtl/>
        </w:rPr>
        <w:t>الإعاقة</w:t>
      </w:r>
      <w:r w:rsidRPr="0057251D">
        <w:rPr>
          <w:rtl/>
        </w:rPr>
        <w:t xml:space="preserve"> </w:t>
      </w:r>
      <w:r w:rsidRPr="0057251D">
        <w:rPr>
          <w:rFonts w:hint="eastAsia"/>
          <w:rtl/>
        </w:rPr>
        <w:t>وإدماجهم</w:t>
      </w:r>
      <w:r w:rsidRPr="0057251D">
        <w:rPr>
          <w:rtl/>
        </w:rPr>
        <w:t xml:space="preserve"> </w:t>
      </w:r>
      <w:r w:rsidRPr="0057251D">
        <w:rPr>
          <w:rFonts w:hint="eastAsia"/>
          <w:rtl/>
        </w:rPr>
        <w:t>لعام</w:t>
      </w:r>
      <w:r w:rsidRPr="0057251D">
        <w:rPr>
          <w:rtl/>
        </w:rPr>
        <w:t xml:space="preserve"> 2023</w:t>
      </w:r>
      <w:r w:rsidR="00A30FA4" w:rsidRPr="0057251D">
        <w:rPr>
          <w:rtl/>
        </w:rPr>
        <w:t xml:space="preserve"> </w:t>
      </w:r>
    </w:p>
    <w:p w14:paraId="5E6A4AF9" w14:textId="0383B840" w:rsidR="00A471EB" w:rsidRPr="00ED199E" w:rsidRDefault="00A471EB" w:rsidP="00A471EB">
      <w:pPr>
        <w:bidi/>
      </w:pPr>
      <w:r w:rsidRPr="00ED199E">
        <w:rPr>
          <w:rtl/>
          <w:lang w:eastAsia="ar" w:bidi="ar-MA"/>
        </w:rPr>
        <w:t xml:space="preserve">بدأ العمل بقانون خدمات ذوي الإعاقة وإدماجهم لعام 2023 في الأول من شهر كانون الثاني/يناير عام 2024. وقد ألغى قانون خدمات ذوي الإعاقة لعام 1986 وحل محله. ولم يشهد قانون خدمات ذوي الإعاقة تحديثًا جوهريًّا منذ ما يزيد على ثلاثين عامًا. وعملت الحكومة على سَن قانون خدمات ذوي الإعاقة وإدماجهم من خلال جَولتَين من المشاورات العامة. وقد شملت عملية المشاورات منظمات تمثيليةً وجِهات تقديم خدمات وأشخاص من ذوي الإعاقة. </w:t>
      </w:r>
    </w:p>
    <w:p w14:paraId="6FC9FBBD" w14:textId="05F5B692" w:rsidR="006F0669" w:rsidRPr="001339BF" w:rsidRDefault="006F0669" w:rsidP="006F0669">
      <w:pPr>
        <w:bidi/>
      </w:pPr>
      <w:r w:rsidRPr="001339BF">
        <w:rPr>
          <w:rtl/>
          <w:lang w:eastAsia="ar" w:bidi="ar-MA"/>
        </w:rPr>
        <w:t xml:space="preserve">يهدف قانون خدمات ذوي الإعاقة والإدماج إلى ما يأتي:      </w:t>
      </w:r>
    </w:p>
    <w:p w14:paraId="432819B5" w14:textId="0961982E" w:rsidR="006F0669" w:rsidRPr="001339BF" w:rsidRDefault="008F1A53" w:rsidP="004F7314">
      <w:pPr>
        <w:pStyle w:val="ListBullet"/>
        <w:bidi/>
        <w:ind w:hanging="357"/>
        <w:contextualSpacing/>
      </w:pPr>
      <w:r>
        <w:rPr>
          <w:rtl/>
          <w:lang w:eastAsia="ar" w:bidi="ar-MA"/>
        </w:rPr>
        <w:t>توفير أساس تشريعي واضح لحكومة الكومنولث؛ من أجل مواصلة تمويل وسائل دعم المعاقين وخدماتهم خارج الخطة الوطنية لتأمين ذوي الإعاقة (</w:t>
      </w:r>
      <w:r>
        <w:rPr>
          <w:lang w:val="en-US" w:eastAsia="ar" w:bidi="en-US"/>
        </w:rPr>
        <w:t>NDIS</w:t>
      </w:r>
      <w:r>
        <w:rPr>
          <w:rtl/>
          <w:lang w:eastAsia="ar" w:bidi="ar-MA"/>
        </w:rPr>
        <w:t>).</w:t>
      </w:r>
    </w:p>
    <w:p w14:paraId="746F02FA" w14:textId="2B13A4B3" w:rsidR="006F0669" w:rsidRDefault="008F1A53" w:rsidP="004F7314">
      <w:pPr>
        <w:pStyle w:val="ListBullet"/>
        <w:bidi/>
        <w:ind w:hanging="357"/>
        <w:contextualSpacing/>
      </w:pPr>
      <w:r>
        <w:rPr>
          <w:rtl/>
          <w:lang w:eastAsia="ar" w:bidi="ar-MA"/>
        </w:rPr>
        <w:t>تحسين متطلبات الجودة والحماية لوسائل الدعم والخدمات المصرّح بها بموجب هذا التشريع.</w:t>
      </w:r>
    </w:p>
    <w:p w14:paraId="56F58DAC" w14:textId="6321542A" w:rsidR="006F0669" w:rsidRPr="001339BF" w:rsidRDefault="008F1A53" w:rsidP="004F7314">
      <w:pPr>
        <w:pStyle w:val="ListBullet"/>
        <w:bidi/>
        <w:ind w:hanging="357"/>
        <w:contextualSpacing/>
      </w:pPr>
      <w:r>
        <w:rPr>
          <w:rtl/>
          <w:lang w:eastAsia="ar" w:bidi="ar-MA"/>
        </w:rPr>
        <w:t>تنفيذ اتفاقية الأمم المتحدة لحقوق ذوي الإعاقة وغيرها من الالتزامات الدولية.</w:t>
      </w:r>
    </w:p>
    <w:p w14:paraId="6E48B08F" w14:textId="6E845F4C" w:rsidR="00E4203E" w:rsidRPr="009951EF" w:rsidRDefault="008E3418" w:rsidP="004F7314">
      <w:pPr>
        <w:bidi/>
      </w:pPr>
      <w:r w:rsidRPr="004F7314">
        <w:rPr>
          <w:rtl/>
          <w:lang w:eastAsia="ar" w:bidi="ar-MA"/>
        </w:rPr>
        <w:t xml:space="preserve">قانون خدمات ذوي الإعاقة وإدماجهم يكمِّل التشريعات الوطنية الأخرى، بما في ذلك القوانين الآتية: </w:t>
      </w:r>
    </w:p>
    <w:p w14:paraId="7D57AB86" w14:textId="77777777" w:rsidR="008E3418" w:rsidRPr="00A02EE3" w:rsidRDefault="008E3418" w:rsidP="004F7314">
      <w:pPr>
        <w:pStyle w:val="ListBullet"/>
        <w:bidi/>
        <w:ind w:hanging="357"/>
        <w:contextualSpacing/>
      </w:pPr>
      <w:r w:rsidRPr="00A02EE3">
        <w:rPr>
          <w:rtl/>
          <w:lang w:eastAsia="ar" w:bidi="ar-MA"/>
        </w:rPr>
        <w:t>قانون التمييز على أساس الإعاقة لعام 1992.</w:t>
      </w:r>
    </w:p>
    <w:p w14:paraId="275C201A" w14:textId="77777777" w:rsidR="008E3418" w:rsidRPr="00A02EE3" w:rsidRDefault="008E3418" w:rsidP="004F7314">
      <w:pPr>
        <w:pStyle w:val="ListBullet"/>
        <w:bidi/>
        <w:ind w:hanging="357"/>
        <w:contextualSpacing/>
      </w:pPr>
      <w:r w:rsidRPr="00A02EE3">
        <w:rPr>
          <w:rtl/>
          <w:lang w:eastAsia="ar" w:bidi="ar-MA"/>
        </w:rPr>
        <w:t>قانون الضمان الاجتماعي لعام 1991.</w:t>
      </w:r>
    </w:p>
    <w:p w14:paraId="144858FE" w14:textId="77777777" w:rsidR="008E3418" w:rsidRPr="00A02EE3" w:rsidRDefault="008E3418" w:rsidP="004F7314">
      <w:pPr>
        <w:pStyle w:val="ListBullet"/>
        <w:bidi/>
        <w:ind w:hanging="357"/>
        <w:contextualSpacing/>
      </w:pPr>
      <w:r w:rsidRPr="00A02EE3">
        <w:rPr>
          <w:rtl/>
          <w:lang w:eastAsia="ar" w:bidi="ar-MA"/>
        </w:rPr>
        <w:t>قانون الخطة الوطنية لتأمين ذوي الإعاقة لعام 2013.</w:t>
      </w:r>
    </w:p>
    <w:p w14:paraId="368AD00E" w14:textId="334F3EE1" w:rsidR="008E3418" w:rsidRPr="000D0B42" w:rsidRDefault="008E3418" w:rsidP="004F7314">
      <w:pPr>
        <w:pStyle w:val="ListBullet"/>
        <w:bidi/>
        <w:ind w:hanging="357"/>
        <w:contextualSpacing/>
        <w:rPr>
          <w:rFonts w:cstheme="minorHAnsi"/>
        </w:rPr>
      </w:pPr>
      <w:r w:rsidRPr="00A02EE3">
        <w:rPr>
          <w:rFonts w:cstheme="minorHAnsi"/>
          <w:rtl/>
          <w:lang w:eastAsia="ar" w:bidi="ar-MA"/>
        </w:rPr>
        <w:t>قانون لجنة حقوق الإنسان الأسترالية لعام 1986.</w:t>
      </w:r>
    </w:p>
    <w:p w14:paraId="393C5451" w14:textId="40CEBEA9" w:rsidR="00A32655" w:rsidRPr="004F7314" w:rsidRDefault="00A471EB" w:rsidP="004F7314">
      <w:pPr>
        <w:bidi/>
      </w:pPr>
      <w:r w:rsidRPr="001D3E11">
        <w:rPr>
          <w:rFonts w:cs="Arial"/>
          <w:rtl/>
          <w:lang w:eastAsia="ar" w:bidi="ar-MA"/>
        </w:rPr>
        <w:t>قانون خدمات ذوي الإعاقة وإدماجهم لا يعرِّف «الإعاقة». ولا يقصر الدعم والخدمات على مجموعة مستهدفة محددة. وهو لا يمنع تمويل البرامج التي تستهدف مجموعات أو فئات ديموغرافية بعينها.</w:t>
      </w:r>
    </w:p>
    <w:p w14:paraId="586F220B" w14:textId="32BA4E1B" w:rsidR="0074496B" w:rsidRPr="0057251D" w:rsidRDefault="0074496B" w:rsidP="0057251D">
      <w:pPr>
        <w:pStyle w:val="Heading2"/>
      </w:pPr>
      <w:r w:rsidRPr="0057251D">
        <w:rPr>
          <w:rFonts w:hint="eastAsia"/>
          <w:rtl/>
        </w:rPr>
        <w:t>الأنشطة</w:t>
      </w:r>
      <w:r w:rsidRPr="0057251D">
        <w:rPr>
          <w:rtl/>
        </w:rPr>
        <w:t xml:space="preserve"> </w:t>
      </w:r>
      <w:r w:rsidRPr="0057251D">
        <w:rPr>
          <w:rFonts w:hint="eastAsia"/>
          <w:rtl/>
        </w:rPr>
        <w:t>المؤهَّلة</w:t>
      </w:r>
      <w:r w:rsidRPr="0057251D">
        <w:rPr>
          <w:rtl/>
        </w:rPr>
        <w:t xml:space="preserve"> </w:t>
      </w:r>
      <w:r w:rsidRPr="0057251D">
        <w:rPr>
          <w:rFonts w:hint="eastAsia"/>
          <w:rtl/>
        </w:rPr>
        <w:t>للتمويل</w:t>
      </w:r>
      <w:r w:rsidRPr="0057251D">
        <w:rPr>
          <w:rtl/>
        </w:rPr>
        <w:t xml:space="preserve"> </w:t>
      </w:r>
      <w:r w:rsidRPr="0057251D">
        <w:rPr>
          <w:rtl/>
        </w:rPr>
        <w:tab/>
      </w:r>
    </w:p>
    <w:p w14:paraId="68674E46" w14:textId="19CCDBF4" w:rsidR="00585BB7" w:rsidRDefault="00A32655" w:rsidP="004F7314">
      <w:pPr>
        <w:bidi/>
      </w:pPr>
      <w:r w:rsidRPr="001D3E11">
        <w:rPr>
          <w:rtl/>
          <w:lang w:eastAsia="ar" w:bidi="ar-MA"/>
        </w:rPr>
        <w:t>قانون خدمات ذوي الإعاقة وإدماجهم يمنح سلطة السماح بتمويل مجموعة واسعة من الأنشطة. ويشير القانون إلى هذه الأنشطة على أنها أنشطة مؤهَّلة للتمويل. وفيما يلي أنشطة مؤهَّلة للتمويل بموجب قانون خدمات ذوي الإعاقة وإدماجهم:</w:t>
      </w:r>
    </w:p>
    <w:p w14:paraId="428EA56E" w14:textId="77777777" w:rsidR="00CC7432" w:rsidRDefault="00CC7432" w:rsidP="004F7314">
      <w:pPr>
        <w:pStyle w:val="paragraph"/>
        <w:bidi/>
        <w:spacing w:before="40" w:beforeAutospacing="0" w:after="0" w:afterAutospacing="0"/>
        <w:sectPr w:rsidR="00CC7432" w:rsidSect="00F35FC3">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Default="00CC7432" w:rsidP="004F7314">
      <w:pPr>
        <w:pStyle w:val="ListBullet"/>
        <w:bidi/>
        <w:spacing w:before="0"/>
        <w:ind w:hanging="357"/>
        <w:contextualSpacing/>
        <w:rPr>
          <w:rFonts w:ascii="Times New Roman" w:hAnsi="Times New Roman"/>
        </w:rPr>
      </w:pPr>
      <w:r>
        <w:rPr>
          <w:rtl/>
          <w:lang w:eastAsia="ar" w:bidi="ar-MA"/>
        </w:rPr>
        <w:t>تجهيزات دخول الأماكن للمعاقين</w:t>
      </w:r>
    </w:p>
    <w:p w14:paraId="788A709E" w14:textId="77777777" w:rsidR="00CC7432" w:rsidRDefault="00CC7432" w:rsidP="004F7314">
      <w:pPr>
        <w:pStyle w:val="ListBullet"/>
        <w:bidi/>
        <w:ind w:hanging="357"/>
        <w:contextualSpacing/>
      </w:pPr>
      <w:r>
        <w:rPr>
          <w:rtl/>
          <w:lang w:eastAsia="ar" w:bidi="ar-MA"/>
        </w:rPr>
        <w:t>تجهيزات إقامة ذوي الإعاقة</w:t>
      </w:r>
    </w:p>
    <w:p w14:paraId="720F51C2" w14:textId="77777777" w:rsidR="00CC7432" w:rsidRDefault="00CC7432" w:rsidP="004F7314">
      <w:pPr>
        <w:pStyle w:val="ListBullet"/>
        <w:bidi/>
        <w:ind w:hanging="357"/>
        <w:contextualSpacing/>
      </w:pPr>
      <w:r>
        <w:rPr>
          <w:rtl/>
          <w:lang w:eastAsia="ar" w:bidi="ar-MA"/>
        </w:rPr>
        <w:t>الدفاع عن حقوق ذوي الإعاقة</w:t>
      </w:r>
    </w:p>
    <w:p w14:paraId="50C08320" w14:textId="77777777" w:rsidR="00CC7432" w:rsidRDefault="00CC7432" w:rsidP="004F7314">
      <w:pPr>
        <w:pStyle w:val="ListBullet"/>
        <w:bidi/>
        <w:ind w:hanging="357"/>
        <w:contextualSpacing/>
      </w:pPr>
      <w:r>
        <w:rPr>
          <w:rtl/>
          <w:lang w:eastAsia="ar" w:bidi="ar-MA"/>
        </w:rPr>
        <w:t>بناء القدرات</w:t>
      </w:r>
    </w:p>
    <w:p w14:paraId="04734203" w14:textId="77777777" w:rsidR="00CC7432" w:rsidRDefault="00CC7432" w:rsidP="004F7314">
      <w:pPr>
        <w:pStyle w:val="ListBullet"/>
        <w:bidi/>
        <w:ind w:hanging="357"/>
        <w:contextualSpacing/>
      </w:pPr>
      <w:r>
        <w:rPr>
          <w:rtl/>
          <w:lang w:eastAsia="ar" w:bidi="ar-MA"/>
        </w:rPr>
        <w:t>القائمون على رعاية ذوي الإعاقة</w:t>
      </w:r>
    </w:p>
    <w:p w14:paraId="54B82955" w14:textId="77777777" w:rsidR="00CC7432" w:rsidRDefault="00CC7432" w:rsidP="004F7314">
      <w:pPr>
        <w:pStyle w:val="ListBullet"/>
        <w:bidi/>
        <w:ind w:hanging="357"/>
        <w:contextualSpacing/>
      </w:pPr>
      <w:r>
        <w:rPr>
          <w:rtl/>
          <w:lang w:eastAsia="ar" w:bidi="ar-MA"/>
        </w:rPr>
        <w:t>الإدماج في المجتمع</w:t>
      </w:r>
    </w:p>
    <w:p w14:paraId="38167D38" w14:textId="77777777" w:rsidR="00CC7432" w:rsidRDefault="00CC7432" w:rsidP="004F7314">
      <w:pPr>
        <w:pStyle w:val="ListBullet"/>
        <w:bidi/>
        <w:ind w:hanging="357"/>
        <w:contextualSpacing/>
      </w:pPr>
      <w:r>
        <w:rPr>
          <w:rtl/>
          <w:lang w:eastAsia="ar" w:bidi="ar-MA"/>
        </w:rPr>
        <w:t>الاستشارات</w:t>
      </w:r>
    </w:p>
    <w:p w14:paraId="51CE90EE" w14:textId="77777777" w:rsidR="00CC7432" w:rsidRDefault="00CC7432" w:rsidP="004F7314">
      <w:pPr>
        <w:pStyle w:val="ListBullet"/>
        <w:bidi/>
        <w:ind w:hanging="357"/>
        <w:contextualSpacing/>
      </w:pPr>
      <w:r>
        <w:rPr>
          <w:rtl/>
          <w:lang w:eastAsia="ar" w:bidi="ar-MA"/>
        </w:rPr>
        <w:t>التعليم</w:t>
      </w:r>
    </w:p>
    <w:p w14:paraId="7C9ACE27" w14:textId="77777777" w:rsidR="00CC7432" w:rsidRDefault="00CC7432" w:rsidP="004F7314">
      <w:pPr>
        <w:pStyle w:val="ListBullet"/>
        <w:bidi/>
        <w:ind w:hanging="357"/>
        <w:contextualSpacing/>
      </w:pPr>
      <w:r>
        <w:rPr>
          <w:rtl/>
          <w:lang w:eastAsia="ar" w:bidi="ar-MA"/>
        </w:rPr>
        <w:t>التوظيف</w:t>
      </w:r>
    </w:p>
    <w:p w14:paraId="59E3AA3F" w14:textId="77777777" w:rsidR="00CC7432" w:rsidRDefault="00CC7432" w:rsidP="004F7314">
      <w:pPr>
        <w:pStyle w:val="ListBullet"/>
        <w:bidi/>
        <w:ind w:hanging="357"/>
        <w:contextualSpacing/>
      </w:pPr>
      <w:r>
        <w:rPr>
          <w:rtl/>
          <w:lang w:eastAsia="ar" w:bidi="ar-MA"/>
        </w:rPr>
        <w:t>الحياة المستقلة</w:t>
      </w:r>
    </w:p>
    <w:p w14:paraId="0E072B4D" w14:textId="77777777" w:rsidR="00CC7432" w:rsidRDefault="00CC7432" w:rsidP="004F7314">
      <w:pPr>
        <w:pStyle w:val="ListBullet"/>
        <w:bidi/>
        <w:ind w:hanging="357"/>
        <w:contextualSpacing/>
      </w:pPr>
      <w:r>
        <w:rPr>
          <w:rtl/>
          <w:lang w:eastAsia="ar" w:bidi="ar-MA"/>
        </w:rPr>
        <w:t>الحصول على المعلومات</w:t>
      </w:r>
    </w:p>
    <w:p w14:paraId="4414D87A" w14:textId="77777777" w:rsidR="00CC7432" w:rsidRDefault="00CC7432" w:rsidP="004F7314">
      <w:pPr>
        <w:pStyle w:val="ListBullet"/>
        <w:bidi/>
        <w:ind w:hanging="357"/>
        <w:contextualSpacing/>
      </w:pPr>
      <w:r>
        <w:rPr>
          <w:rtl/>
          <w:lang w:eastAsia="ar" w:bidi="ar-MA"/>
        </w:rPr>
        <w:t>الترفيه</w:t>
      </w:r>
    </w:p>
    <w:p w14:paraId="6EC1A04D" w14:textId="77777777" w:rsidR="00CC7432" w:rsidRDefault="00CC7432" w:rsidP="004F7314">
      <w:pPr>
        <w:pStyle w:val="ListBullet"/>
        <w:bidi/>
        <w:ind w:hanging="357"/>
        <w:contextualSpacing/>
      </w:pPr>
      <w:r>
        <w:rPr>
          <w:rtl/>
          <w:lang w:eastAsia="ar" w:bidi="ar-MA"/>
        </w:rPr>
        <w:t>الرعاية المؤقتة</w:t>
      </w:r>
    </w:p>
    <w:p w14:paraId="152F9DF7" w14:textId="77777777" w:rsidR="00CC7432" w:rsidRDefault="00CC7432" w:rsidP="004F7314">
      <w:pPr>
        <w:pStyle w:val="ListBullet"/>
        <w:bidi/>
        <w:ind w:hanging="357"/>
        <w:contextualSpacing/>
      </w:pPr>
      <w:r>
        <w:rPr>
          <w:rtl/>
          <w:lang w:eastAsia="ar" w:bidi="ar-MA"/>
        </w:rPr>
        <w:t>الأبحاث والتقييم</w:t>
      </w:r>
    </w:p>
    <w:p w14:paraId="79EEF2E9" w14:textId="77777777" w:rsidR="00CC7432" w:rsidRDefault="00CC7432" w:rsidP="006F0669">
      <w:pPr>
        <w:bidi/>
        <w:sectPr w:rsidR="00CC7432" w:rsidSect="00F35FC3">
          <w:type w:val="continuous"/>
          <w:pgSz w:w="11906" w:h="16838" w:code="9"/>
          <w:pgMar w:top="1112" w:right="851" w:bottom="1134" w:left="851" w:header="0" w:footer="471" w:gutter="0"/>
          <w:cols w:num="3" w:space="708"/>
          <w:titlePg/>
          <w:docGrid w:linePitch="360"/>
        </w:sectPr>
      </w:pPr>
    </w:p>
    <w:p w14:paraId="5962C206" w14:textId="14C9906B" w:rsidR="00194037" w:rsidRPr="009951EF" w:rsidRDefault="00194037" w:rsidP="004F7314">
      <w:pPr>
        <w:bidi/>
      </w:pPr>
    </w:p>
    <w:p w14:paraId="24DF981F" w14:textId="21F6B0C2" w:rsidR="00194037" w:rsidRPr="000D0B42" w:rsidRDefault="00194037" w:rsidP="0057251D">
      <w:pPr>
        <w:pStyle w:val="Heading2"/>
      </w:pPr>
      <w:r w:rsidRPr="00A02EE3">
        <w:rPr>
          <w:rFonts w:hint="eastAsia"/>
          <w:rtl/>
        </w:rPr>
        <w:t>شروط</w:t>
      </w:r>
      <w:r w:rsidRPr="00A02EE3">
        <w:rPr>
          <w:rtl/>
        </w:rPr>
        <w:t xml:space="preserve"> </w:t>
      </w:r>
      <w:r w:rsidRPr="00A02EE3">
        <w:rPr>
          <w:rFonts w:hint="eastAsia"/>
          <w:rtl/>
        </w:rPr>
        <w:t>التمويل</w:t>
      </w:r>
      <w:r w:rsidRPr="00A02EE3">
        <w:rPr>
          <w:rtl/>
        </w:rPr>
        <w:t xml:space="preserve"> </w:t>
      </w:r>
      <w:r w:rsidRPr="00A02EE3">
        <w:rPr>
          <w:rFonts w:hint="eastAsia"/>
          <w:rtl/>
        </w:rPr>
        <w:t>القانونية</w:t>
      </w:r>
    </w:p>
    <w:p w14:paraId="070324FC" w14:textId="31F4A7CB" w:rsidR="00153FC9" w:rsidRDefault="00194037" w:rsidP="004F7314">
      <w:pPr>
        <w:bidi/>
      </w:pPr>
      <w:r w:rsidRPr="009951EF">
        <w:rPr>
          <w:rtl/>
          <w:lang w:eastAsia="ar" w:bidi="ar-MA"/>
        </w:rPr>
        <w:lastRenderedPageBreak/>
        <w:t>إن قانون خدمات ذوي الإعاقة وإدماجهم يحدّد شروطًا قانونيةً للتمويل. وهذه الشروط عبارة عن قواعد يجب على جميع مقدّمي الخدمات اتّباعها للحصول على التمويل. وتهدف هذه المتطلبات إلى تحديد توقّعات واضحة لكلٍّ من جهات تقديم الخدمات وذوي الإعاقة. وهذا يسهِّل تحديد حالات فشل جهات تقديم الخدمات في تلبية المتطلبات. وهكذا تهدف شروط التمويل إلى تحقيق التوازن بين حماية ذوي الإعاقة والحد من الأعباء التنظيمية على جهات تقديم الخدمات. وفيما يلي شروط التمويل:</w:t>
      </w:r>
    </w:p>
    <w:p w14:paraId="228CCCE5" w14:textId="11D5EC18" w:rsidR="007E1099" w:rsidRPr="009951EF" w:rsidRDefault="00811BDC" w:rsidP="004F7314">
      <w:pPr>
        <w:pStyle w:val="ListBullet"/>
        <w:bidi/>
        <w:ind w:hanging="357"/>
        <w:contextualSpacing/>
      </w:pPr>
      <w:r>
        <w:rPr>
          <w:rtl/>
          <w:lang w:eastAsia="ar" w:bidi="ar-MA"/>
        </w:rPr>
        <w:t>الامتثال لقواعد السلوك المهني.</w:t>
      </w:r>
    </w:p>
    <w:p w14:paraId="1465E823" w14:textId="56CF03EC" w:rsidR="007E1099" w:rsidRPr="004F7314" w:rsidRDefault="00811BDC" w:rsidP="004F7314">
      <w:pPr>
        <w:pStyle w:val="ListBullet"/>
        <w:bidi/>
        <w:ind w:hanging="357"/>
        <w:contextualSpacing/>
      </w:pPr>
      <w:r>
        <w:rPr>
          <w:rtl/>
          <w:lang w:eastAsia="ar" w:bidi="ar-MA"/>
        </w:rPr>
        <w:t xml:space="preserve">حيازة شهادة امتثال، إذا كان الترتيب أو المنحة نشاطًا منظّمًا. </w:t>
      </w:r>
    </w:p>
    <w:p w14:paraId="6EB8B95E" w14:textId="5ED65F35" w:rsidR="007E1099" w:rsidRPr="004F7314" w:rsidRDefault="00811BDC" w:rsidP="004F7314">
      <w:pPr>
        <w:pStyle w:val="ListBullet"/>
        <w:bidi/>
        <w:ind w:hanging="357"/>
        <w:contextualSpacing/>
      </w:pPr>
      <w:r>
        <w:rPr>
          <w:rtl/>
          <w:lang w:eastAsia="ar" w:bidi="ar-MA"/>
        </w:rPr>
        <w:t xml:space="preserve">تنفيذ نظام مناسب لإدارة الشكاوى والحفاظ على استمرار تطبيقه. </w:t>
      </w:r>
    </w:p>
    <w:p w14:paraId="43C1D051" w14:textId="610F525D" w:rsidR="007E1099" w:rsidRPr="004F7314" w:rsidRDefault="00811BDC" w:rsidP="004F7314">
      <w:pPr>
        <w:pStyle w:val="ListBullet"/>
        <w:bidi/>
        <w:ind w:hanging="357"/>
        <w:contextualSpacing/>
      </w:pPr>
      <w:r>
        <w:rPr>
          <w:rtl/>
          <w:lang w:eastAsia="ar" w:bidi="ar-MA"/>
        </w:rPr>
        <w:t>تنفيذ نظام مناسب لإدارة الحوادث والحفاظ على استمرار تطبيقه.</w:t>
      </w:r>
    </w:p>
    <w:p w14:paraId="18AA46A7" w14:textId="2116297D" w:rsidR="0074496B" w:rsidRDefault="00811BDC" w:rsidP="004F7314">
      <w:pPr>
        <w:pStyle w:val="ListBullet"/>
        <w:bidi/>
        <w:ind w:hanging="357"/>
        <w:contextualSpacing/>
      </w:pPr>
      <w:r>
        <w:rPr>
          <w:rtl/>
          <w:lang w:eastAsia="ar" w:bidi="ar-MA"/>
        </w:rPr>
        <w:t>ألا تكون الجهة خاضعة لأمر حظر صادر عن الخطة الوطنية لتأمين ذوي الإعاقة.</w:t>
      </w:r>
    </w:p>
    <w:p w14:paraId="6121AEDA" w14:textId="65BB290B" w:rsidR="00194037" w:rsidRPr="00A02EE3" w:rsidRDefault="008E3418" w:rsidP="0057251D">
      <w:pPr>
        <w:pStyle w:val="Heading2"/>
      </w:pPr>
      <w:r w:rsidRPr="00A02EE3">
        <w:rPr>
          <w:rFonts w:hint="eastAsia"/>
          <w:rtl/>
        </w:rPr>
        <w:t>الأدوات</w:t>
      </w:r>
      <w:r w:rsidRPr="00A02EE3">
        <w:rPr>
          <w:rtl/>
        </w:rPr>
        <w:t xml:space="preserve"> </w:t>
      </w:r>
      <w:r w:rsidRPr="00A02EE3">
        <w:rPr>
          <w:rFonts w:hint="eastAsia"/>
          <w:rtl/>
        </w:rPr>
        <w:t>التشريعية</w:t>
      </w:r>
      <w:r w:rsidRPr="00A02EE3">
        <w:rPr>
          <w:rtl/>
        </w:rPr>
        <w:t xml:space="preserve"> </w:t>
      </w:r>
      <w:r w:rsidRPr="00A02EE3">
        <w:rPr>
          <w:rFonts w:hint="eastAsia"/>
          <w:rtl/>
        </w:rPr>
        <w:t>التي</w:t>
      </w:r>
      <w:r w:rsidRPr="00A02EE3">
        <w:rPr>
          <w:rtl/>
        </w:rPr>
        <w:t xml:space="preserve"> </w:t>
      </w:r>
      <w:r w:rsidRPr="00A02EE3">
        <w:rPr>
          <w:rFonts w:hint="eastAsia"/>
          <w:rtl/>
        </w:rPr>
        <w:t>تدعم</w:t>
      </w:r>
      <w:r w:rsidRPr="00A02EE3">
        <w:rPr>
          <w:rtl/>
        </w:rPr>
        <w:t xml:space="preserve"> </w:t>
      </w:r>
      <w:r w:rsidRPr="00A02EE3">
        <w:rPr>
          <w:rFonts w:hint="eastAsia"/>
          <w:rtl/>
        </w:rPr>
        <w:t>القانون</w:t>
      </w:r>
    </w:p>
    <w:p w14:paraId="0758E90A" w14:textId="6A425DA0" w:rsidR="00194037" w:rsidRDefault="00194037" w:rsidP="009951EF">
      <w:pPr>
        <w:bidi/>
      </w:pPr>
      <w:r w:rsidRPr="009951EF">
        <w:rPr>
          <w:rtl/>
          <w:lang w:eastAsia="ar" w:bidi="ar-MA"/>
        </w:rPr>
        <w:t xml:space="preserve">قانون خدمات ذوي الإعاقة وإدماجهم يسمح بموجبه للوزير أو وكيل الوزارة أن يصدر خمس أدوات تشريعية. وفيما يلي قائمة بهذه الأدوات التشريعية. </w:t>
      </w:r>
    </w:p>
    <w:p w14:paraId="23A518FB" w14:textId="3E99D52B" w:rsidR="00450CA2" w:rsidRPr="004F7314" w:rsidRDefault="00153FC9" w:rsidP="004F7314">
      <w:pPr>
        <w:bidi/>
        <w:rPr>
          <w:b/>
        </w:rPr>
      </w:pPr>
      <w:r w:rsidRPr="004F7314">
        <w:rPr>
          <w:b/>
          <w:bCs/>
          <w:rtl/>
          <w:lang w:eastAsia="ar" w:bidi="ar-MA"/>
        </w:rPr>
        <w:t>أداة قواعد السلوك المهني:</w:t>
      </w:r>
    </w:p>
    <w:p w14:paraId="39175B69" w14:textId="40F5C6E4" w:rsidR="00FB74E3" w:rsidRDefault="00FB74E3" w:rsidP="004F7314">
      <w:pPr>
        <w:pStyle w:val="ListBullet"/>
        <w:bidi/>
      </w:pPr>
      <w:r>
        <w:rPr>
          <w:rtl/>
          <w:lang w:eastAsia="ar" w:bidi="ar-MA"/>
        </w:rPr>
        <w:t xml:space="preserve">قواعد السلوك المهني تعكس قواعد السلوك الواردة في الخطة الوطنية لتأمين ذوي الإعاقة. وهذه القواعد تحدد توقعات تقديم الخدمات على نحوٍ آمن وأخلاقي. </w:t>
      </w:r>
    </w:p>
    <w:p w14:paraId="750A1B86" w14:textId="77777777" w:rsidR="00450CA2" w:rsidRPr="004F7314" w:rsidRDefault="00153FC9" w:rsidP="004F7314">
      <w:pPr>
        <w:bidi/>
        <w:rPr>
          <w:b/>
        </w:rPr>
      </w:pPr>
      <w:r w:rsidRPr="004F7314">
        <w:rPr>
          <w:b/>
          <w:bCs/>
          <w:rtl/>
          <w:lang w:eastAsia="ar" w:bidi="ar-MA"/>
        </w:rPr>
        <w:t xml:space="preserve">أداة تحديد الأنشطة المنظمة: </w:t>
      </w:r>
    </w:p>
    <w:p w14:paraId="16D51D9A" w14:textId="69EE3D7E" w:rsidR="00FB74E3" w:rsidRDefault="00FB74E3" w:rsidP="004F7314">
      <w:pPr>
        <w:pStyle w:val="ListBullet"/>
        <w:bidi/>
      </w:pPr>
      <w:r>
        <w:rPr>
          <w:rtl/>
          <w:lang w:eastAsia="ar" w:bidi="ar-MA"/>
        </w:rPr>
        <w:t xml:space="preserve">بعض الأنشطة الممولة بموجب قانون خدمات ذوي الإعاقة وإدماجهم قد تكون ذات مخاطر أعلى. وهذه الأنشطة قد تخضع لتنظيم إضافي، وتسمى «الأنشطة المنظمة». وتوضّح هذه الأداة معايير تحديد النشاط المنظم من غيره. </w:t>
      </w:r>
    </w:p>
    <w:p w14:paraId="13C4637B" w14:textId="714120F2" w:rsidR="00F3394A" w:rsidRPr="004F7314" w:rsidRDefault="00153FC9" w:rsidP="004F7314">
      <w:pPr>
        <w:bidi/>
        <w:rPr>
          <w:b/>
        </w:rPr>
      </w:pPr>
      <w:r w:rsidRPr="004F7314">
        <w:rPr>
          <w:b/>
          <w:bCs/>
          <w:rtl/>
          <w:lang w:eastAsia="ar" w:bidi="ar-MA"/>
        </w:rPr>
        <w:t>أداة معايير الامتثال ومتطلبات الامتثال البديلة:</w:t>
      </w:r>
    </w:p>
    <w:p w14:paraId="16F10AB3" w14:textId="37EEE865" w:rsidR="00C57E2B" w:rsidRPr="003D23E6" w:rsidRDefault="00C57E2B" w:rsidP="000D0B42">
      <w:pPr>
        <w:pStyle w:val="ListParagraph"/>
        <w:numPr>
          <w:ilvl w:val="0"/>
          <w:numId w:val="59"/>
        </w:numPr>
        <w:bidi/>
        <w:ind w:left="484"/>
      </w:pPr>
      <w:r w:rsidRPr="00C57E2B">
        <w:rPr>
          <w:rtl/>
          <w:lang w:eastAsia="ar" w:bidi="ar-MA"/>
        </w:rPr>
        <w:t>هذه الأداة تحدد المعايير التي يجب أن تلتزم بها الأنشطة المنظمة. وتُعَد المعايير الوطنية لخدمات ذوي الإعاقة هي المعايير الافتراضية. كما تحدد هذه الأداة متطلبات الامتثال البديلة التي يمكن اعتمادها.</w:t>
      </w:r>
    </w:p>
    <w:p w14:paraId="631F6301" w14:textId="77777777" w:rsidR="00F3394A" w:rsidRPr="004F7314" w:rsidRDefault="00153FC9" w:rsidP="004F7314">
      <w:pPr>
        <w:bidi/>
        <w:rPr>
          <w:b/>
        </w:rPr>
      </w:pPr>
      <w:r w:rsidRPr="004F7314">
        <w:rPr>
          <w:b/>
          <w:bCs/>
          <w:rtl/>
          <w:lang w:eastAsia="ar" w:bidi="ar-MA"/>
        </w:rPr>
        <w:t xml:space="preserve">أداة إدارة الشكاوى والحوادث: </w:t>
      </w:r>
    </w:p>
    <w:p w14:paraId="0A0E3F02" w14:textId="7EACD14B" w:rsidR="009951EF" w:rsidRDefault="009951EF" w:rsidP="004F7314">
      <w:pPr>
        <w:pStyle w:val="ListBullet"/>
        <w:bidi/>
      </w:pPr>
      <w:r>
        <w:rPr>
          <w:rtl/>
          <w:lang w:eastAsia="ar" w:bidi="ar-MA"/>
        </w:rPr>
        <w:t xml:space="preserve">هذه الأداة تحدد قواعد التعامل مع الشكاوى والإبلاغ عن الحوادث. ويشمل ذلك الأُطر الزمنية للإبلاغ والمعلومات التي يجب جمعها. </w:t>
      </w:r>
    </w:p>
    <w:p w14:paraId="3850D844" w14:textId="2B5318E2" w:rsidR="00F3394A" w:rsidRPr="004F7314" w:rsidRDefault="00153FC9" w:rsidP="004F7314">
      <w:pPr>
        <w:bidi/>
        <w:rPr>
          <w:b/>
        </w:rPr>
      </w:pPr>
      <w:r w:rsidRPr="004F7314">
        <w:rPr>
          <w:b/>
          <w:bCs/>
          <w:rtl/>
          <w:lang w:eastAsia="ar" w:bidi="ar-MA"/>
        </w:rPr>
        <w:t xml:space="preserve">أداة الإفصاح عن المعلومات: </w:t>
      </w:r>
    </w:p>
    <w:p w14:paraId="6F756553" w14:textId="78B84351" w:rsidR="007E1099" w:rsidRPr="004F7314" w:rsidRDefault="00F3394A" w:rsidP="004F7314">
      <w:pPr>
        <w:pStyle w:val="ListBullet"/>
        <w:bidi/>
      </w:pPr>
      <w:r w:rsidRPr="009951EF">
        <w:rPr>
          <w:rtl/>
          <w:lang w:eastAsia="ar" w:bidi="ar-MA"/>
        </w:rPr>
        <w:t xml:space="preserve">تحدد الأغراض التي يجوز من أجلها استخدام المعلومات ذات الصلة أو الكشف عنها.  </w:t>
      </w:r>
    </w:p>
    <w:p w14:paraId="5EBC8A3A" w14:textId="3E1B7787" w:rsidR="00194037" w:rsidRPr="0098049C" w:rsidRDefault="00194037" w:rsidP="0057251D">
      <w:pPr>
        <w:pStyle w:val="Heading2"/>
      </w:pPr>
      <w:r w:rsidRPr="004F7314">
        <w:rPr>
          <w:rtl/>
          <w:lang w:eastAsia="ar" w:bidi="ar-MA"/>
        </w:rPr>
        <w:t xml:space="preserve">المزيد من المعلومات </w:t>
      </w:r>
    </w:p>
    <w:p w14:paraId="2F0A3113" w14:textId="04BD0C70" w:rsidR="00194037" w:rsidRDefault="00194037" w:rsidP="004F7314">
      <w:pPr>
        <w:bidi/>
        <w:rPr>
          <w:rFonts w:cs="Arial"/>
        </w:rPr>
      </w:pPr>
      <w:r w:rsidRPr="009951EF">
        <w:rPr>
          <w:rtl/>
          <w:lang w:eastAsia="ar" w:bidi="ar-MA"/>
        </w:rPr>
        <w:t xml:space="preserve">للمزيد من المعلومات، تُرجى زيارة الموقع الإلكتروني: </w:t>
      </w:r>
      <w:hyperlink r:id="rId15" w:history="1">
        <w:r w:rsidR="009951EF" w:rsidRPr="000F7897">
          <w:rPr>
            <w:rStyle w:val="Hyperlink"/>
            <w:lang w:val="en-US" w:eastAsia="ar" w:bidi="en-US"/>
          </w:rPr>
          <w:t>www.dss.gov.au/dsi-act</w:t>
        </w:r>
      </w:hyperlink>
      <w:r w:rsidR="009951EF">
        <w:rPr>
          <w:rStyle w:val="Hyperlink"/>
          <w:rtl/>
          <w:lang w:eastAsia="ar" w:bidi="ar-MA"/>
        </w:rPr>
        <w:t xml:space="preserve"> </w:t>
      </w:r>
    </w:p>
    <w:p w14:paraId="23D00EAB" w14:textId="77777777" w:rsidR="0074496B" w:rsidRPr="002079A0" w:rsidRDefault="0074496B" w:rsidP="004F7314">
      <w:pPr>
        <w:pStyle w:val="ListParagraph"/>
        <w:bidi/>
        <w:spacing w:line="360" w:lineRule="auto"/>
        <w:rPr>
          <w:rFonts w:cs="Arial"/>
        </w:rPr>
      </w:pPr>
    </w:p>
    <w:p w14:paraId="7CA2441F" w14:textId="248E214C" w:rsidR="00AC6546" w:rsidRPr="004649E2" w:rsidRDefault="00AC6546" w:rsidP="004F7314">
      <w:pPr>
        <w:bidi/>
        <w:spacing w:line="360" w:lineRule="auto"/>
      </w:pPr>
    </w:p>
    <w:sectPr w:rsidR="00AC6546" w:rsidRPr="004649E2" w:rsidSect="00F35FC3">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015EA" w14:textId="77777777" w:rsidR="00F93BCE" w:rsidRDefault="00F93BCE">
      <w:r>
        <w:separator/>
      </w:r>
    </w:p>
  </w:endnote>
  <w:endnote w:type="continuationSeparator" w:id="0">
    <w:p w14:paraId="34E317B8" w14:textId="77777777" w:rsidR="00F93BCE" w:rsidRDefault="00F93BCE">
      <w:r>
        <w:continuationSeparator/>
      </w:r>
    </w:p>
  </w:endnote>
  <w:endnote w:type="continuationNotice" w:id="1">
    <w:p w14:paraId="50151705" w14:textId="77777777" w:rsidR="00F93BCE" w:rsidRDefault="00F93B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30E00" w14:textId="77777777" w:rsidR="00F93BCE" w:rsidRDefault="00F93BCE">
      <w:r>
        <w:separator/>
      </w:r>
    </w:p>
  </w:footnote>
  <w:footnote w:type="continuationSeparator" w:id="0">
    <w:p w14:paraId="3C28EA2C" w14:textId="77777777" w:rsidR="00F93BCE" w:rsidRDefault="00F93BCE">
      <w:r>
        <w:continuationSeparator/>
      </w:r>
    </w:p>
  </w:footnote>
  <w:footnote w:type="continuationNotice" w:id="1">
    <w:p w14:paraId="5AD8B7D7" w14:textId="77777777" w:rsidR="00F93BCE" w:rsidRDefault="00F93B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0B42"/>
    <w:rsid w:val="000D4703"/>
    <w:rsid w:val="000D693C"/>
    <w:rsid w:val="000E12D4"/>
    <w:rsid w:val="000E41B0"/>
    <w:rsid w:val="00100667"/>
    <w:rsid w:val="00100EF3"/>
    <w:rsid w:val="00101250"/>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B3AEC"/>
    <w:rsid w:val="001B5000"/>
    <w:rsid w:val="001B6F28"/>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5F1B"/>
    <w:rsid w:val="002928BC"/>
    <w:rsid w:val="00295831"/>
    <w:rsid w:val="00296F1B"/>
    <w:rsid w:val="002A6DF5"/>
    <w:rsid w:val="002C3E70"/>
    <w:rsid w:val="002D00B0"/>
    <w:rsid w:val="002D2E16"/>
    <w:rsid w:val="002D3977"/>
    <w:rsid w:val="002F13B4"/>
    <w:rsid w:val="002F19EF"/>
    <w:rsid w:val="00302415"/>
    <w:rsid w:val="0030693C"/>
    <w:rsid w:val="003102F6"/>
    <w:rsid w:val="00313304"/>
    <w:rsid w:val="00313C48"/>
    <w:rsid w:val="00314D15"/>
    <w:rsid w:val="003162AD"/>
    <w:rsid w:val="00321148"/>
    <w:rsid w:val="00321798"/>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C5A"/>
    <w:rsid w:val="003D404A"/>
    <w:rsid w:val="003E25CA"/>
    <w:rsid w:val="003E6FDA"/>
    <w:rsid w:val="003F3072"/>
    <w:rsid w:val="004019B1"/>
    <w:rsid w:val="00401A2A"/>
    <w:rsid w:val="004103D7"/>
    <w:rsid w:val="00412AC4"/>
    <w:rsid w:val="0041307C"/>
    <w:rsid w:val="004167B4"/>
    <w:rsid w:val="00430D7E"/>
    <w:rsid w:val="00433B04"/>
    <w:rsid w:val="00440BD3"/>
    <w:rsid w:val="00446F93"/>
    <w:rsid w:val="00450CA2"/>
    <w:rsid w:val="00453627"/>
    <w:rsid w:val="00456549"/>
    <w:rsid w:val="004649E2"/>
    <w:rsid w:val="00464E8C"/>
    <w:rsid w:val="00466D36"/>
    <w:rsid w:val="00467185"/>
    <w:rsid w:val="004678E2"/>
    <w:rsid w:val="0047050C"/>
    <w:rsid w:val="00475504"/>
    <w:rsid w:val="00480F21"/>
    <w:rsid w:val="00484FED"/>
    <w:rsid w:val="00495AF1"/>
    <w:rsid w:val="00495CBB"/>
    <w:rsid w:val="004A5304"/>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7251D"/>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F4D"/>
    <w:rsid w:val="00647F05"/>
    <w:rsid w:val="006530EF"/>
    <w:rsid w:val="006535B0"/>
    <w:rsid w:val="00654D06"/>
    <w:rsid w:val="00661536"/>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98A"/>
    <w:rsid w:val="007D0EF8"/>
    <w:rsid w:val="007D39EB"/>
    <w:rsid w:val="007E1099"/>
    <w:rsid w:val="007E7694"/>
    <w:rsid w:val="00800A4D"/>
    <w:rsid w:val="00803B78"/>
    <w:rsid w:val="00811BDC"/>
    <w:rsid w:val="008131E7"/>
    <w:rsid w:val="00813711"/>
    <w:rsid w:val="00814279"/>
    <w:rsid w:val="00815036"/>
    <w:rsid w:val="008263C2"/>
    <w:rsid w:val="008311A1"/>
    <w:rsid w:val="0083164C"/>
    <w:rsid w:val="00842959"/>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5792"/>
    <w:rsid w:val="008A30C0"/>
    <w:rsid w:val="008A3738"/>
    <w:rsid w:val="008A384C"/>
    <w:rsid w:val="008A6981"/>
    <w:rsid w:val="008B5E32"/>
    <w:rsid w:val="008B645B"/>
    <w:rsid w:val="008B67B8"/>
    <w:rsid w:val="008B774D"/>
    <w:rsid w:val="008C123E"/>
    <w:rsid w:val="008C3ED0"/>
    <w:rsid w:val="008C5585"/>
    <w:rsid w:val="008C5E94"/>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66967"/>
    <w:rsid w:val="00975844"/>
    <w:rsid w:val="0098049C"/>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7E1A"/>
    <w:rsid w:val="009E2162"/>
    <w:rsid w:val="009F2F95"/>
    <w:rsid w:val="00A006EB"/>
    <w:rsid w:val="00A02EE3"/>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772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500A"/>
    <w:rsid w:val="00AF73E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686C"/>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14C3"/>
    <w:rsid w:val="00CC45BA"/>
    <w:rsid w:val="00CC7432"/>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5EE8"/>
    <w:rsid w:val="00D5785A"/>
    <w:rsid w:val="00D611D8"/>
    <w:rsid w:val="00D62481"/>
    <w:rsid w:val="00D64C48"/>
    <w:rsid w:val="00D731C4"/>
    <w:rsid w:val="00D76BB8"/>
    <w:rsid w:val="00D81BAA"/>
    <w:rsid w:val="00D85BE0"/>
    <w:rsid w:val="00D87C1A"/>
    <w:rsid w:val="00D87F42"/>
    <w:rsid w:val="00D87FD7"/>
    <w:rsid w:val="00D92167"/>
    <w:rsid w:val="00D9502B"/>
    <w:rsid w:val="00D96544"/>
    <w:rsid w:val="00D97047"/>
    <w:rsid w:val="00D97108"/>
    <w:rsid w:val="00DC5665"/>
    <w:rsid w:val="00DD46FC"/>
    <w:rsid w:val="00DD4F44"/>
    <w:rsid w:val="00DD5D8B"/>
    <w:rsid w:val="00DD7745"/>
    <w:rsid w:val="00DE0F9E"/>
    <w:rsid w:val="00DE1A21"/>
    <w:rsid w:val="00DE5D76"/>
    <w:rsid w:val="00E01E5C"/>
    <w:rsid w:val="00E04C8D"/>
    <w:rsid w:val="00E1145C"/>
    <w:rsid w:val="00E128D8"/>
    <w:rsid w:val="00E15EAE"/>
    <w:rsid w:val="00E24336"/>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3885"/>
    <w:rsid w:val="00F227BF"/>
    <w:rsid w:val="00F3394A"/>
    <w:rsid w:val="00F35FC3"/>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3BCE"/>
    <w:rsid w:val="00F95814"/>
    <w:rsid w:val="00FA01D9"/>
    <w:rsid w:val="00FA031C"/>
    <w:rsid w:val="00FB13C1"/>
    <w:rsid w:val="00FB37EA"/>
    <w:rsid w:val="00FB420B"/>
    <w:rsid w:val="00FB74E3"/>
    <w:rsid w:val="00FC1C5F"/>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ar-MA"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Title"/>
    <w:next w:val="Normal"/>
    <w:link w:val="Heading1Char"/>
    <w:uiPriority w:val="2"/>
    <w:qFormat/>
    <w:rsid w:val="0057251D"/>
    <w:pPr>
      <w:bidi/>
    </w:pPr>
    <w:rPr>
      <w:szCs w:val="72"/>
    </w:rPr>
  </w:style>
  <w:style w:type="paragraph" w:styleId="Heading2">
    <w:name w:val="heading 2"/>
    <w:basedOn w:val="Heading1"/>
    <w:next w:val="Normal"/>
    <w:link w:val="Heading2Char"/>
    <w:uiPriority w:val="2"/>
    <w:qFormat/>
    <w:rsid w:val="0057251D"/>
    <w:pPr>
      <w:outlineLvl w:val="1"/>
    </w:pPr>
    <w:rPr>
      <w:szCs w:val="3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7251D"/>
    <w:rPr>
      <w:rFonts w:ascii="Georgia" w:hAnsi="Georgia" w:cs="Arial"/>
      <w:bCs/>
      <w:color w:val="500778"/>
      <w:spacing w:val="4"/>
      <w:kern w:val="32"/>
      <w:sz w:val="36"/>
      <w:szCs w:val="36"/>
    </w:rPr>
  </w:style>
  <w:style w:type="character" w:customStyle="1" w:styleId="PullouttextChar">
    <w:name w:val="Pullout text Char"/>
    <w:basedOn w:val="Heading2Char"/>
    <w:link w:val="Pullouttext"/>
    <w:uiPriority w:val="3"/>
    <w:rsid w:val="005F4329"/>
    <w:rPr>
      <w:rFonts w:ascii="Georgia" w:hAnsi="Georgia" w:cs="Arial"/>
      <w:bCs/>
      <w:iCs w:val="0"/>
      <w:color w:val="500778"/>
      <w:spacing w:val="4"/>
      <w:kern w:val="32"/>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7251D"/>
    <w:rPr>
      <w:rFonts w:ascii="Georgia" w:hAnsi="Georgia" w:cs="Arial"/>
      <w:bCs/>
      <w:color w:val="500778"/>
      <w:kern w:val="28"/>
      <w:sz w:val="72"/>
      <w:szCs w:val="7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2.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573DF432-473B-4E8A-969B-05F56A522C2C}">
  <ds:schemaRefs>
    <ds:schemaRef ds:uri="http://schemas.microsoft.com/sharepoint/v3/contenttype/forms"/>
  </ds:schemaRefs>
</ds:datastoreItem>
</file>

<file path=customXml/itemProps4.xml><?xml version="1.0" encoding="utf-8"?>
<ds:datastoreItem xmlns:ds="http://schemas.openxmlformats.org/officeDocument/2006/customXml" ds:itemID="{4DA58C90-527B-4111-96B2-9F4DA136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2</Pages>
  <Words>575</Words>
  <Characters>3140</Characters>
  <Application>Microsoft Office Word</Application>
  <DocSecurity>0</DocSecurity>
  <Lines>72</Lines>
  <Paragraphs>50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cp:keywords>[SEC=OFFICIAL]</cp:keywords>
  <cp:lastModifiedBy>DERRICK, Monica</cp:lastModifiedBy>
  <cp:revision>2</cp:revision>
  <cp:lastPrinted>2014-08-12T05:56:00Z</cp:lastPrinted>
  <dcterms:created xsi:type="dcterms:W3CDTF">2024-11-15T06:19:00Z</dcterms:created>
  <dcterms:modified xsi:type="dcterms:W3CDTF">2024-11-15T06:19:00Z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7EFF92D34B672233285DC85F24ED682353D2D594</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E7ACE8AB4324FDE3F6459763BD55E2A4</vt:lpwstr>
  </property>
  <property fmtid="{D5CDD505-2E9C-101B-9397-08002B2CF9AE}" pid="21" name="PM_Hash_Salt">
    <vt:lpwstr>E9378F2DD80A619DC20C84F265EE53C6</vt:lpwstr>
  </property>
  <property fmtid="{D5CDD505-2E9C-101B-9397-08002B2CF9AE}" pid="22" name="PM_Hash_SHA1">
    <vt:lpwstr>F4E7C9A22E532E556F2F256A8808581DED3040C2</vt:lpwstr>
  </property>
  <property fmtid="{D5CDD505-2E9C-101B-9397-08002B2CF9AE}" pid="23" name="PM_OriginatorUserAccountName_SHA256">
    <vt:lpwstr>3258C15B431C1CE3706AD82D55735C3CDD3D5A11BD4A0E5EAC7F9F48580DEDD4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v=2022.1;a=SHA256;h=52A419B5FEA781414C72CF63FEB58BDFE46B02F2C7E248019EEDCFFF2F25F166</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ccbbaaea9ba1478da7406ace0ad1cb12</vt:lpwstr>
  </property>
</Properties>
</file>