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54C3D7ED"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D020F">
        <w:rPr>
          <w:rFonts w:asciiTheme="minorHAnsi" w:hAnsiTheme="minorHAnsi" w:cstheme="minorHAnsi"/>
          <w:b/>
          <w:bCs/>
          <w:noProof/>
          <w:u w:val="single"/>
        </w:rPr>
        <w:t>1</w:t>
      </w:r>
      <w:r w:rsidR="00AF6A25">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577BCA17" w:rsidR="00AC0D80" w:rsidRDefault="00AF6A25"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9 June</w:t>
      </w:r>
      <w:r w:rsidR="00B269B2">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22</w:t>
      </w:r>
      <w:r w:rsidR="00DD3A93">
        <w:rPr>
          <w:rFonts w:asciiTheme="minorHAnsi" w:hAnsiTheme="minorHAnsi" w:cstheme="minorHAnsi"/>
          <w:sz w:val="24"/>
          <w:szCs w:val="24"/>
          <w:u w:val="single"/>
        </w:rPr>
        <w:t xml:space="preserve"> June</w:t>
      </w:r>
      <w:r w:rsidR="007F44F3">
        <w:rPr>
          <w:rFonts w:asciiTheme="minorHAnsi" w:hAnsiTheme="minorHAnsi" w:cstheme="minorHAnsi"/>
          <w:sz w:val="24"/>
          <w:szCs w:val="24"/>
          <w:u w:val="single"/>
        </w:rPr>
        <w:t xml:space="preserve">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57C143A7" w14:textId="77777777" w:rsidR="00F97DB4" w:rsidRPr="001D6E22" w:rsidRDefault="00F97DB4" w:rsidP="001D6E22"/>
    <w:p w14:paraId="6FD93C51" w14:textId="77777777" w:rsidR="00ED21CE" w:rsidRPr="00237645" w:rsidRDefault="00ED21CE" w:rsidP="00ED21CE">
      <w:pPr>
        <w:autoSpaceDE w:val="0"/>
        <w:autoSpaceDN w:val="0"/>
        <w:rPr>
          <w:rFonts w:asciiTheme="minorHAnsi" w:hAnsiTheme="minorHAnsi" w:cstheme="minorHAnsi"/>
          <w:b/>
          <w:bCs/>
          <w:color w:val="000000"/>
          <w:u w:val="single"/>
        </w:rPr>
      </w:pPr>
      <w:r w:rsidRPr="00237645">
        <w:rPr>
          <w:rFonts w:asciiTheme="minorHAnsi" w:hAnsiTheme="minorHAnsi" w:cstheme="minorHAnsi"/>
          <w:b/>
          <w:bCs/>
          <w:color w:val="000000"/>
          <w:u w:val="single"/>
        </w:rPr>
        <w:t>Infectious and congenital syphilis</w:t>
      </w:r>
    </w:p>
    <w:p w14:paraId="53F75425" w14:textId="01AA55F0" w:rsidR="00CD7413" w:rsidRPr="00237645" w:rsidRDefault="00CD7413" w:rsidP="00CD7413">
      <w:pPr>
        <w:autoSpaceDE w:val="0"/>
        <w:autoSpaceDN w:val="0"/>
        <w:rPr>
          <w:rFonts w:asciiTheme="minorHAnsi" w:eastAsiaTheme="minorHAnsi" w:hAnsiTheme="minorHAnsi" w:cstheme="minorHAnsi"/>
        </w:rPr>
      </w:pPr>
      <w:r w:rsidRPr="00237645">
        <w:rPr>
          <w:rFonts w:asciiTheme="minorHAnsi" w:hAnsiTheme="minorHAnsi" w:cstheme="minorHAnsi"/>
        </w:rPr>
        <w:t xml:space="preserve">Infectious syphilis notifications </w:t>
      </w:r>
      <w:r w:rsidR="001C33F9" w:rsidRPr="00237645">
        <w:rPr>
          <w:rFonts w:asciiTheme="minorHAnsi" w:hAnsiTheme="minorHAnsi" w:cstheme="minorHAnsi"/>
        </w:rPr>
        <w:t xml:space="preserve">continue to be reported at high levels </w:t>
      </w:r>
      <w:r w:rsidRPr="00237645">
        <w:rPr>
          <w:rFonts w:asciiTheme="minorHAnsi" w:hAnsiTheme="minorHAnsi" w:cstheme="minorHAnsi"/>
        </w:rPr>
        <w:t xml:space="preserve">across Australia. Detailed analysis of infectious and congenital syphilis trends in Australia are reported quarterly in the </w:t>
      </w:r>
      <w:hyperlink r:id="rId11" w:history="1">
        <w:r w:rsidRPr="00237645">
          <w:rPr>
            <w:rStyle w:val="Hyperlink"/>
            <w:rFonts w:asciiTheme="minorHAnsi" w:hAnsiTheme="minorHAnsi" w:cstheme="minorHAnsi"/>
          </w:rPr>
          <w:t>National syphilis surveillance reports</w:t>
        </w:r>
      </w:hyperlink>
      <w:r w:rsidRPr="00237645">
        <w:rPr>
          <w:rStyle w:val="Hyperlink"/>
          <w:rFonts w:asciiTheme="minorHAnsi" w:hAnsiTheme="minorHAnsi" w:cstheme="minorHAnsi"/>
        </w:rPr>
        <w:t>.</w:t>
      </w:r>
    </w:p>
    <w:p w14:paraId="5263EBFA" w14:textId="77777777" w:rsidR="00CD7413" w:rsidRPr="00237645" w:rsidRDefault="00CD7413" w:rsidP="00CD7413">
      <w:pPr>
        <w:pStyle w:val="Heading2"/>
        <w:rPr>
          <w:rFonts w:asciiTheme="minorHAnsi" w:eastAsia="Times New Roman" w:hAnsiTheme="minorHAnsi" w:cstheme="minorHAnsi"/>
          <w:sz w:val="24"/>
          <w:szCs w:val="24"/>
        </w:rPr>
      </w:pPr>
      <w:r w:rsidRPr="00237645">
        <w:rPr>
          <w:rFonts w:asciiTheme="minorHAnsi" w:eastAsia="Times New Roman" w:hAnsiTheme="minorHAnsi" w:cstheme="minorHAnsi"/>
          <w:sz w:val="24"/>
          <w:szCs w:val="24"/>
        </w:rPr>
        <w:t>Syphilis response</w:t>
      </w:r>
    </w:p>
    <w:p w14:paraId="5E60BC2C" w14:textId="77777777" w:rsidR="00CD7413" w:rsidRPr="00237645" w:rsidRDefault="00CD7413" w:rsidP="00CD7413">
      <w:pPr>
        <w:rPr>
          <w:rFonts w:asciiTheme="minorHAnsi" w:hAnsiTheme="minorHAnsi" w:cstheme="minorHAnsi"/>
        </w:rPr>
      </w:pPr>
      <w:r w:rsidRPr="00237645">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237645">
          <w:rPr>
            <w:rStyle w:val="Hyperlink"/>
            <w:rFonts w:asciiTheme="minorHAnsi" w:hAnsiTheme="minorHAnsi" w:cstheme="minorHAnsi"/>
            <w:i/>
            <w:iCs/>
          </w:rPr>
          <w:t>Don’t fool around with syphilis</w:t>
        </w:r>
      </w:hyperlink>
      <w:r w:rsidRPr="00237645">
        <w:rPr>
          <w:rFonts w:asciiTheme="minorHAnsi" w:hAnsiTheme="minorHAnsi" w:cstheme="minorHAnsi"/>
        </w:rPr>
        <w:t xml:space="preserve"> campaign, refer to the </w:t>
      </w:r>
      <w:hyperlink r:id="rId13" w:history="1">
        <w:r w:rsidRPr="00237645">
          <w:rPr>
            <w:rStyle w:val="Hyperlink"/>
            <w:rFonts w:asciiTheme="minorHAnsi" w:hAnsiTheme="minorHAnsi" w:cstheme="minorHAnsi"/>
            <w:i/>
            <w:iCs/>
          </w:rPr>
          <w:t xml:space="preserve">National Response to Syphilis </w:t>
        </w:r>
      </w:hyperlink>
      <w:r w:rsidRPr="00237645">
        <w:rPr>
          <w:rFonts w:asciiTheme="minorHAnsi" w:hAnsiTheme="minorHAnsi" w:cstheme="minorHAnsi"/>
          <w:i/>
          <w:iCs/>
        </w:rPr>
        <w:t> </w:t>
      </w:r>
      <w:r w:rsidRPr="00237645">
        <w:rPr>
          <w:rFonts w:asciiTheme="minorHAnsi" w:hAnsiTheme="minorHAnsi" w:cstheme="minorHAnsi"/>
        </w:rPr>
        <w:t>webpage on the</w:t>
      </w:r>
      <w:r w:rsidRPr="00237645">
        <w:rPr>
          <w:rFonts w:asciiTheme="minorHAnsi" w:hAnsiTheme="minorHAnsi" w:cstheme="minorHAnsi"/>
          <w:i/>
          <w:iCs/>
        </w:rPr>
        <w:t xml:space="preserve"> </w:t>
      </w:r>
      <w:r w:rsidRPr="00237645">
        <w:rPr>
          <w:rFonts w:asciiTheme="minorHAnsi" w:hAnsiTheme="minorHAnsi" w:cstheme="minorHAnsi"/>
        </w:rPr>
        <w:t>Department’s website.</w:t>
      </w:r>
    </w:p>
    <w:p w14:paraId="4C22938D" w14:textId="7DA0629C" w:rsidR="00A1160E" w:rsidRPr="00A1160E" w:rsidRDefault="00A1160E" w:rsidP="00A1160E">
      <w:pPr>
        <w:pStyle w:val="Heading2"/>
        <w:rPr>
          <w:rFonts w:asciiTheme="minorHAnsi" w:eastAsia="Times New Roman" w:hAnsiTheme="minorHAnsi" w:cstheme="minorHAnsi"/>
          <w:sz w:val="24"/>
          <w:szCs w:val="24"/>
        </w:rPr>
      </w:pPr>
      <w:r w:rsidRPr="00A1160E">
        <w:rPr>
          <w:rFonts w:asciiTheme="minorHAnsi" w:eastAsia="Times New Roman" w:hAnsiTheme="minorHAnsi" w:cstheme="minorHAnsi"/>
          <w:sz w:val="24"/>
          <w:szCs w:val="24"/>
        </w:rPr>
        <w:t xml:space="preserve">Measles summary </w:t>
      </w:r>
    </w:p>
    <w:p w14:paraId="577D1C7B" w14:textId="1EF6BABF" w:rsidR="00A1160E" w:rsidRDefault="00A1160E" w:rsidP="00A1160E">
      <w:pPr>
        <w:rPr>
          <w:rFonts w:asciiTheme="minorHAnsi" w:eastAsiaTheme="minorHAnsi" w:hAnsiTheme="minorHAnsi" w:cstheme="minorHAnsi"/>
          <w:sz w:val="22"/>
          <w:szCs w:val="22"/>
        </w:rPr>
      </w:pPr>
      <w:r w:rsidRPr="00A1160E">
        <w:rPr>
          <w:rFonts w:asciiTheme="minorHAnsi" w:eastAsiaTheme="minorHAnsi" w:hAnsiTheme="minorHAnsi" w:cstheme="minorHAnsi"/>
          <w:sz w:val="22"/>
          <w:szCs w:val="22"/>
        </w:rPr>
        <w:t xml:space="preserve">In the past 12 months, there have been 99 cases of measles reported to the National Notifiable Diseases Surveillance System (NNDSS) in Australia, of which 58% were overseas acquired and 42% locally acquired. In the current reporting period (9 June 2025 to 22 June 2025), there have been 5 cases compared to the previous reporting period (n = 0). From 1 January 2025 to 22 June 2025, there have been 84 cases including 42 locally acquired measles cases. Of the 42 cases acquired in Australia, 6 cases have been definitively linked with a case acquired overseas and 21 further cases have been definitively linked to other cases acquired in Australia. </w:t>
      </w:r>
      <w:proofErr w:type="gramStart"/>
      <w:r w:rsidRPr="00A1160E">
        <w:rPr>
          <w:rFonts w:asciiTheme="minorHAnsi" w:eastAsiaTheme="minorHAnsi" w:hAnsiTheme="minorHAnsi" w:cstheme="minorHAnsi"/>
          <w:sz w:val="22"/>
          <w:szCs w:val="22"/>
        </w:rPr>
        <w:t>The majority of</w:t>
      </w:r>
      <w:proofErr w:type="gramEnd"/>
      <w:r w:rsidRPr="00A1160E">
        <w:rPr>
          <w:rFonts w:asciiTheme="minorHAnsi" w:eastAsiaTheme="minorHAnsi" w:hAnsiTheme="minorHAnsi" w:cstheme="minorHAnsi"/>
          <w:sz w:val="22"/>
          <w:szCs w:val="22"/>
        </w:rPr>
        <w:t xml:space="preserve"> cases have been notified in Victoria (n=33), New South Wales (n=23) and Western Australia (n =20). There have been no cases notified in the ACT or Tasmania.</w:t>
      </w:r>
    </w:p>
    <w:p w14:paraId="7667320A" w14:textId="40CC6475" w:rsidR="00225113" w:rsidRPr="00225113" w:rsidRDefault="00225113" w:rsidP="00225113">
      <w:pPr>
        <w:pStyle w:val="Heading2"/>
        <w:rPr>
          <w:rFonts w:asciiTheme="minorHAnsi" w:eastAsia="Times New Roman" w:hAnsiTheme="minorHAnsi" w:cstheme="minorHAnsi"/>
          <w:sz w:val="24"/>
          <w:szCs w:val="24"/>
        </w:rPr>
      </w:pPr>
      <w:r w:rsidRPr="00225113">
        <w:rPr>
          <w:rFonts w:asciiTheme="minorHAnsi" w:eastAsia="Times New Roman" w:hAnsiTheme="minorHAnsi" w:cstheme="minorHAnsi"/>
          <w:sz w:val="24"/>
          <w:szCs w:val="24"/>
        </w:rPr>
        <w:t xml:space="preserve">Q Fever </w:t>
      </w:r>
      <w:r w:rsidR="00A1160E">
        <w:rPr>
          <w:rFonts w:asciiTheme="minorHAnsi" w:eastAsia="Times New Roman" w:hAnsiTheme="minorHAnsi" w:cstheme="minorHAnsi"/>
          <w:sz w:val="24"/>
          <w:szCs w:val="24"/>
        </w:rPr>
        <w:t>summary</w:t>
      </w:r>
    </w:p>
    <w:p w14:paraId="098C1BE4" w14:textId="2922F22A" w:rsidR="00225113" w:rsidRDefault="00225113" w:rsidP="00CD7413">
      <w:pPr>
        <w:rPr>
          <w:rFonts w:asciiTheme="minorHAnsi" w:eastAsiaTheme="minorHAnsi" w:hAnsiTheme="minorHAnsi" w:cstheme="minorHAnsi"/>
          <w:sz w:val="22"/>
          <w:szCs w:val="22"/>
        </w:rPr>
      </w:pPr>
      <w:r w:rsidRPr="00225113">
        <w:rPr>
          <w:rFonts w:asciiTheme="minorHAnsi" w:eastAsiaTheme="minorHAnsi" w:hAnsiTheme="minorHAnsi" w:cstheme="minorHAnsi"/>
          <w:sz w:val="22"/>
          <w:szCs w:val="22"/>
        </w:rPr>
        <w:t>Q fever is a bacterial infection that can cause a severe flu-like illness. The bacteria are spread from animals, mainly cattle, sheep and goats. In the past 12 months (23 June 2024 – 22 June 2025), there have been 935 cases of Q fever notified to the National Notifiable Diseases Surveillance System (NNDSS</w:t>
      </w:r>
      <w:proofErr w:type="gramStart"/>
      <w:r w:rsidRPr="00225113">
        <w:rPr>
          <w:rFonts w:asciiTheme="minorHAnsi" w:eastAsiaTheme="minorHAnsi" w:hAnsiTheme="minorHAnsi" w:cstheme="minorHAnsi"/>
          <w:sz w:val="22"/>
          <w:szCs w:val="22"/>
        </w:rPr>
        <w:t>).This</w:t>
      </w:r>
      <w:proofErr w:type="gramEnd"/>
      <w:r w:rsidRPr="00225113">
        <w:rPr>
          <w:rFonts w:asciiTheme="minorHAnsi" w:eastAsiaTheme="minorHAnsi" w:hAnsiTheme="minorHAnsi" w:cstheme="minorHAnsi"/>
          <w:sz w:val="22"/>
          <w:szCs w:val="22"/>
        </w:rPr>
        <w:t xml:space="preserve"> is higher than the mean of 547.2 for the rolling </w:t>
      </w:r>
      <w:proofErr w:type="gramStart"/>
      <w:r w:rsidRPr="00225113">
        <w:rPr>
          <w:rFonts w:asciiTheme="minorHAnsi" w:eastAsiaTheme="minorHAnsi" w:hAnsiTheme="minorHAnsi" w:cstheme="minorHAnsi"/>
          <w:sz w:val="22"/>
          <w:szCs w:val="22"/>
        </w:rPr>
        <w:t>5 year</w:t>
      </w:r>
      <w:proofErr w:type="gramEnd"/>
      <w:r w:rsidRPr="00225113">
        <w:rPr>
          <w:rFonts w:asciiTheme="minorHAnsi" w:eastAsiaTheme="minorHAnsi" w:hAnsiTheme="minorHAnsi" w:cstheme="minorHAnsi"/>
          <w:sz w:val="22"/>
          <w:szCs w:val="22"/>
        </w:rPr>
        <w:t xml:space="preserve"> period (23 June 2019 – 22 June 2024).  In the past 3 months (25 March 2025 – 22 June 2025), there have been 227 cases of Q fever notified. In this reporting period (9 June 2025 – 22 June 2025), 28 cases of Q fever have been notified (16 in Queensland, 10 in New South Wales, 1 in South Australia and 1 in Western Australia). The increase in notifications has largely been driven by increases in Queensland and New South Wales, although other states have also seen increases. The reason for the increase in notifications is not clear.</w:t>
      </w:r>
    </w:p>
    <w:p w14:paraId="0E7542F5" w14:textId="77777777" w:rsidR="00237645" w:rsidRPr="00307B1C" w:rsidRDefault="00237645" w:rsidP="00307B1C">
      <w:pPr>
        <w:rPr>
          <w:rFonts w:asciiTheme="minorHAnsi" w:eastAsiaTheme="minorHAnsi" w:hAnsiTheme="minorHAnsi" w:cstheme="minorHAnsi"/>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678FBC81"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r w:rsidR="00307B1C" w:rsidRPr="001F17CC">
        <w:rPr>
          <w:rFonts w:asciiTheme="minorHAnsi" w:hAnsiTheme="minorHAnsi" w:cstheme="minorHAnsi"/>
          <w:i/>
          <w:color w:val="000000"/>
          <w:sz w:val="16"/>
          <w:szCs w:val="16"/>
        </w:rPr>
        <w:t>365-day</w:t>
      </w:r>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3665E338"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996F12">
        <w:rPr>
          <w:rFonts w:asciiTheme="minorHAnsi" w:hAnsiTheme="minorHAnsi" w:cstheme="minorHAnsi"/>
          <w:i/>
          <w:sz w:val="16"/>
          <w:szCs w:val="16"/>
        </w:rPr>
        <w:t>25</w:t>
      </w:r>
      <w:r w:rsidR="000E3B91">
        <w:rPr>
          <w:rFonts w:asciiTheme="minorHAnsi" w:hAnsiTheme="minorHAnsi" w:cstheme="minorHAnsi"/>
          <w:i/>
          <w:sz w:val="16"/>
          <w:szCs w:val="16"/>
        </w:rPr>
        <w:t>/0</w:t>
      </w:r>
      <w:r w:rsidR="00DD3A93">
        <w:rPr>
          <w:rFonts w:asciiTheme="minorHAnsi" w:hAnsiTheme="minorHAnsi" w:cstheme="minorHAnsi"/>
          <w:i/>
          <w:sz w:val="16"/>
          <w:szCs w:val="16"/>
        </w:rPr>
        <w:t>3</w:t>
      </w:r>
      <w:r w:rsidR="000E3B91">
        <w:rPr>
          <w:rFonts w:asciiTheme="minorHAnsi" w:hAnsiTheme="minorHAnsi" w:cstheme="minorHAnsi"/>
          <w:i/>
          <w:sz w:val="16"/>
          <w:szCs w:val="16"/>
        </w:rPr>
        <w:t>/2025</w:t>
      </w:r>
      <w:r w:rsidR="0081611F" w:rsidRPr="002B3157">
        <w:rPr>
          <w:rFonts w:asciiTheme="minorHAnsi" w:hAnsiTheme="minorHAnsi" w:cstheme="minorHAnsi"/>
          <w:i/>
          <w:sz w:val="16"/>
          <w:szCs w:val="16"/>
        </w:rPr>
        <w:t xml:space="preserve"> to</w:t>
      </w:r>
      <w:r w:rsidR="00996F12">
        <w:rPr>
          <w:rFonts w:asciiTheme="minorHAnsi" w:hAnsiTheme="minorHAnsi" w:cstheme="minorHAnsi"/>
          <w:i/>
          <w:sz w:val="16"/>
          <w:szCs w:val="16"/>
        </w:rPr>
        <w:t xml:space="preserve"> 22</w:t>
      </w:r>
      <w:r w:rsidR="00237645">
        <w:rPr>
          <w:rFonts w:asciiTheme="minorHAnsi" w:hAnsiTheme="minorHAnsi" w:cstheme="minorHAnsi"/>
          <w:i/>
          <w:sz w:val="16"/>
          <w:szCs w:val="16"/>
        </w:rPr>
        <w:t>/0</w:t>
      </w:r>
      <w:r w:rsidR="00DD3A93">
        <w:rPr>
          <w:rFonts w:asciiTheme="minorHAnsi" w:hAnsiTheme="minorHAnsi" w:cstheme="minorHAnsi"/>
          <w:i/>
          <w:sz w:val="16"/>
          <w:szCs w:val="16"/>
        </w:rPr>
        <w:t>6</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6E91190E"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996F12">
        <w:rPr>
          <w:rFonts w:asciiTheme="minorHAnsi" w:hAnsiTheme="minorHAnsi" w:cstheme="minorHAnsi"/>
          <w:i/>
          <w:sz w:val="16"/>
          <w:szCs w:val="16"/>
        </w:rPr>
        <w:t>22</w:t>
      </w:r>
      <w:r w:rsidR="00DD3A93">
        <w:rPr>
          <w:rFonts w:asciiTheme="minorHAnsi" w:hAnsiTheme="minorHAnsi" w:cstheme="minorHAnsi"/>
          <w:i/>
          <w:sz w:val="16"/>
          <w:szCs w:val="16"/>
        </w:rPr>
        <w:t>/06</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xml:space="preserve">.  The ratio is the notification activity in the past quarter (90 days) compared with 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for the same period.</w:t>
      </w:r>
    </w:p>
    <w:p w14:paraId="228A0A61" w14:textId="69D04A63"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996F12">
        <w:rPr>
          <w:rFonts w:asciiTheme="minorHAnsi" w:hAnsiTheme="minorHAnsi" w:cstheme="minorHAnsi"/>
          <w:i/>
          <w:sz w:val="16"/>
          <w:szCs w:val="16"/>
        </w:rPr>
        <w:t>23</w:t>
      </w:r>
      <w:r w:rsidR="00DD3A93">
        <w:rPr>
          <w:rFonts w:asciiTheme="minorHAnsi" w:hAnsiTheme="minorHAnsi" w:cstheme="minorHAnsi"/>
          <w:i/>
          <w:sz w:val="16"/>
          <w:szCs w:val="16"/>
        </w:rPr>
        <w:t>/06</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996F12">
        <w:rPr>
          <w:rFonts w:asciiTheme="minorHAnsi" w:hAnsiTheme="minorHAnsi" w:cstheme="minorHAnsi"/>
          <w:i/>
          <w:sz w:val="16"/>
          <w:szCs w:val="16"/>
        </w:rPr>
        <w:t>22</w:t>
      </w:r>
      <w:r w:rsidR="00DD3A93">
        <w:rPr>
          <w:rFonts w:asciiTheme="minorHAnsi" w:hAnsiTheme="minorHAnsi" w:cstheme="minorHAnsi"/>
          <w:i/>
          <w:sz w:val="16"/>
          <w:szCs w:val="16"/>
        </w:rPr>
        <w:t>/06</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5447B0F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996F12">
        <w:rPr>
          <w:rFonts w:asciiTheme="minorHAnsi" w:hAnsiTheme="minorHAnsi" w:cstheme="minorHAnsi"/>
          <w:i/>
          <w:sz w:val="16"/>
          <w:szCs w:val="16"/>
        </w:rPr>
        <w:t>22</w:t>
      </w:r>
      <w:r w:rsidR="00DD3A93">
        <w:rPr>
          <w:rFonts w:asciiTheme="minorHAnsi" w:hAnsiTheme="minorHAnsi" w:cstheme="minorHAnsi"/>
          <w:i/>
          <w:sz w:val="16"/>
          <w:szCs w:val="16"/>
        </w:rPr>
        <w:t>/06</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for the same period.</w:t>
      </w:r>
    </w:p>
    <w:p w14:paraId="011711D9" w14:textId="1B04B3D5" w:rsidR="00745E0F" w:rsidRDefault="00017515" w:rsidP="00FB7FEB">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rPr>
        <w:t xml:space="preserve">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and the ratio of notifications compared with the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rolling mean should be interpreted with caution.  Changes in surveillance practice, diagnostic techniques and reporting may contribute to increases or decreases in the total notifications received over a </w:t>
      </w:r>
      <w:r w:rsidR="00307B1C" w:rsidRPr="002B3157">
        <w:rPr>
          <w:rFonts w:asciiTheme="minorHAnsi" w:hAnsiTheme="minorHAnsi" w:cstheme="minorHAnsi"/>
          <w:i/>
          <w:sz w:val="16"/>
          <w:szCs w:val="16"/>
        </w:rPr>
        <w:t>five-year</w:t>
      </w:r>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86D3" w14:textId="77777777" w:rsidR="00A513E3" w:rsidRDefault="00A513E3">
      <w:r>
        <w:separator/>
      </w:r>
    </w:p>
  </w:endnote>
  <w:endnote w:type="continuationSeparator" w:id="0">
    <w:p w14:paraId="60FCF87B" w14:textId="77777777" w:rsidR="00A513E3" w:rsidRDefault="00A5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B4BD" w14:textId="77777777" w:rsidR="00A513E3" w:rsidRDefault="00A513E3">
      <w:r>
        <w:separator/>
      </w:r>
    </w:p>
  </w:footnote>
  <w:footnote w:type="continuationSeparator" w:id="0">
    <w:p w14:paraId="60FFEA9C" w14:textId="77777777" w:rsidR="00A513E3" w:rsidRDefault="00A5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4D28"/>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5113"/>
    <w:rsid w:val="00227733"/>
    <w:rsid w:val="00232EC7"/>
    <w:rsid w:val="002368E4"/>
    <w:rsid w:val="00236944"/>
    <w:rsid w:val="00236E28"/>
    <w:rsid w:val="00237645"/>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6F5B"/>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A72DF"/>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2F"/>
    <w:rsid w:val="00441C9D"/>
    <w:rsid w:val="004424A1"/>
    <w:rsid w:val="004424BE"/>
    <w:rsid w:val="00442C9C"/>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680"/>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1658"/>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6F12"/>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160E"/>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13E3"/>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6A2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43290"/>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4474"/>
    <w:rsid w:val="00BC51DC"/>
    <w:rsid w:val="00BC6617"/>
    <w:rsid w:val="00BD157C"/>
    <w:rsid w:val="00BD1F32"/>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3A93"/>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1759"/>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CF903B09-8539-4684-B9E6-CC008B78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1540513593">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9041-E8BC-40B1-896D-55F92DDCD79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D588B6-4A17-4114-8BA0-CE08F364DF0E}">
  <ds:schemaRefs>
    <ds:schemaRef ds:uri="http://schemas.microsoft.com/sharepoint/v3/contenttype/forms"/>
  </ds:schemaRefs>
</ds:datastoreItem>
</file>

<file path=customXml/itemProps3.xml><?xml version="1.0" encoding="utf-8"?>
<ds:datastoreItem xmlns:ds="http://schemas.openxmlformats.org/officeDocument/2006/customXml" ds:itemID="{F4CE6F2E-966C-462A-8F75-CDEC178CC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702</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NNDSS Fortnightly Report to CDNA – 9th June 2025 to 22nd June 2025</vt:lpstr>
    </vt:vector>
  </TitlesOfParts>
  <Company/>
  <LinksUpToDate>false</LinksUpToDate>
  <CharactersWithSpaces>4672</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9th June 2025 to 22nd June 2025</dc:title>
  <dc:subject>Communicable Diseases; National Notifiable Diseases Surveillance System (NNDSS)</dc:subject>
  <dc:creator>Australian Government Department of Health, Disability and Ageing</dc:creator>
  <cp:keywords>Communicable Diseases; National Notifiable Diseases Surveillance System (NNDSS)</cp:keywords>
  <dc:description/>
  <cp:revision>6</cp:revision>
  <cp:lastPrinted>2025-07-01T03:55:00Z</cp:lastPrinted>
  <dcterms:created xsi:type="dcterms:W3CDTF">2025-06-03T04:42:00Z</dcterms:created>
  <dcterms:modified xsi:type="dcterms:W3CDTF">2025-07-15T05:05:00Z</dcterms:modified>
</cp:coreProperties>
</file>