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8927" w14:textId="2E53A15F" w:rsidR="00450D26" w:rsidRDefault="00450D26" w:rsidP="00C717FC"/>
    <w:p w14:paraId="0BA94D33" w14:textId="77777777" w:rsidR="00450D26" w:rsidRPr="009E2629" w:rsidRDefault="005E4656" w:rsidP="00C717FC">
      <w:pPr>
        <w:pStyle w:val="Heading1"/>
        <w:ind w:left="0"/>
        <w:rPr>
          <w:color w:val="002F5E"/>
          <w:lang w:val="it-IT"/>
        </w:rPr>
      </w:pPr>
      <w:r w:rsidRPr="003658E8">
        <w:rPr>
          <w:color w:val="002F5E"/>
          <w:lang w:val="it"/>
        </w:rPr>
        <w:t>STRUMENTO DI VERIFICA DELL’IDONEITÀ</w:t>
      </w:r>
    </w:p>
    <w:p w14:paraId="7903618F" w14:textId="77777777" w:rsidR="000E41AD" w:rsidRPr="009E2629" w:rsidRDefault="005E4656" w:rsidP="003D619D">
      <w:pPr>
        <w:spacing w:before="320"/>
        <w:rPr>
          <w:lang w:val="it-IT"/>
        </w:rPr>
      </w:pPr>
      <w:r>
        <w:rPr>
          <w:lang w:val="it"/>
        </w:rPr>
        <w:t xml:space="preserve">Questo strumento di verifica dell’idoneità può essere di aiuto a te e al tuo medico per capire se puoi accedere al Programma nazionale di screening per il cancro ai polmoni. Le risposte alle </w:t>
      </w:r>
      <w:r>
        <w:rPr>
          <w:lang w:val="it"/>
        </w:rPr>
        <w:t>domande devono essere discusse con il medico, il quale sarà in grado di stabilire la tua idoneità al programma.</w:t>
      </w:r>
    </w:p>
    <w:p w14:paraId="11C2A875" w14:textId="77777777" w:rsidR="00E25643" w:rsidRPr="009E2629" w:rsidRDefault="005E4656" w:rsidP="00AB2E77">
      <w:pPr>
        <w:pStyle w:val="Heading2"/>
        <w:rPr>
          <w:lang w:val="it-IT"/>
        </w:rPr>
      </w:pPr>
      <w:r>
        <w:rPr>
          <w:lang w:val="it"/>
        </w:rPr>
        <w:t>Hai un’età compresa tra i 50 e i 70 anni?</w:t>
      </w:r>
    </w:p>
    <w:p w14:paraId="73C54D91" w14:textId="77777777" w:rsidR="00E25643" w:rsidRPr="009E2629" w:rsidRDefault="005E4656" w:rsidP="00E25643">
      <w:pPr>
        <w:rPr>
          <w:lang w:val="it-IT"/>
        </w:rPr>
      </w:pPr>
      <w:r w:rsidRPr="003D619D">
        <w:rPr>
          <w:b/>
          <w:bCs/>
          <w:lang w:val="it"/>
        </w:rPr>
        <w:t>Idoneità futura:</w:t>
      </w:r>
      <w:r>
        <w:rPr>
          <w:lang w:val="it"/>
        </w:rPr>
        <w:t xml:space="preserve"> se hai meno di 50 anni, potresti essere in grado di accedere al programma in futuro. </w:t>
      </w:r>
      <w:r>
        <w:rPr>
          <w:lang w:val="it"/>
        </w:rPr>
        <w:t>È importante continuare a verificare la tua idoneità.</w:t>
      </w:r>
    </w:p>
    <w:p w14:paraId="733DB54D" w14:textId="77777777" w:rsidR="00E25643" w:rsidRPr="009E2629" w:rsidRDefault="005E4656" w:rsidP="00E25643">
      <w:pPr>
        <w:rPr>
          <w:lang w:val="it-IT"/>
        </w:rPr>
      </w:pPr>
      <w:r w:rsidRPr="00203CBC">
        <w:rPr>
          <w:lang w:val="it"/>
        </w:rPr>
        <w:t xml:space="preserve">In caso di risposta affermativa, vai a: </w:t>
      </w:r>
      <w:hyperlink w:anchor="_Do_you_smoke" w:history="1">
        <w:r w:rsidRPr="00CC7344">
          <w:rPr>
            <w:rStyle w:val="Hyperlink"/>
            <w:rFonts w:ascii="Open Sans Light" w:hAnsi="Open Sans Light"/>
            <w:lang w:val="it"/>
          </w:rPr>
          <w:t>Fumi sigarette a base di tabacco?</w:t>
        </w:r>
      </w:hyperlink>
    </w:p>
    <w:p w14:paraId="21612E1B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 xml:space="preserve">In caso di risposta negativa, vai a: </w:t>
      </w:r>
      <w:hyperlink w:anchor="_Not_eligible_for" w:history="1">
        <w:r w:rsidRPr="00203CBC">
          <w:rPr>
            <w:rStyle w:val="Hyperlink"/>
            <w:rFonts w:ascii="Open Sans Light" w:hAnsi="Open Sans Light"/>
            <w:lang w:val="it"/>
          </w:rPr>
          <w:t>Persona non idonea al</w:t>
        </w:r>
        <w:r w:rsidRPr="00203CBC">
          <w:rPr>
            <w:rStyle w:val="Hyperlink"/>
            <w:rFonts w:ascii="Open Sans Light" w:hAnsi="Open Sans Light"/>
            <w:lang w:val="it"/>
          </w:rPr>
          <w:t xml:space="preserve"> programma</w:t>
        </w:r>
      </w:hyperlink>
      <w:r>
        <w:rPr>
          <w:lang w:val="it"/>
        </w:rPr>
        <w:t>.</w:t>
      </w:r>
    </w:p>
    <w:p w14:paraId="28328146" w14:textId="77777777" w:rsidR="00E25643" w:rsidRPr="009E2629" w:rsidRDefault="005E4656" w:rsidP="00AB2E77">
      <w:pPr>
        <w:pStyle w:val="Heading2"/>
        <w:rPr>
          <w:lang w:val="it-IT"/>
        </w:rPr>
      </w:pPr>
      <w:bookmarkStart w:id="0" w:name="_Do_you_smoke"/>
      <w:bookmarkEnd w:id="0"/>
      <w:r>
        <w:rPr>
          <w:lang w:val="it"/>
        </w:rPr>
        <w:t>Fumi sigarette a base di tabacco?</w:t>
      </w:r>
    </w:p>
    <w:p w14:paraId="34962E80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 xml:space="preserve">In caso di risposta affermativa, vai a: </w:t>
      </w:r>
      <w:hyperlink w:anchor="_You_may_be" w:history="1">
        <w:r w:rsidRPr="00203CBC">
          <w:rPr>
            <w:rStyle w:val="Hyperlink"/>
            <w:rFonts w:ascii="Open Sans Light" w:hAnsi="Open Sans Light"/>
            <w:lang w:val="it"/>
          </w:rPr>
          <w:t>Potresti essere idoneo/a a partecipare al programma</w:t>
        </w:r>
      </w:hyperlink>
      <w:r>
        <w:rPr>
          <w:lang w:val="it"/>
        </w:rPr>
        <w:t>.</w:t>
      </w:r>
    </w:p>
    <w:p w14:paraId="0082B6B3" w14:textId="77777777" w:rsidR="003A58F7" w:rsidRPr="009E2629" w:rsidRDefault="005E4656" w:rsidP="00E25643">
      <w:pPr>
        <w:rPr>
          <w:lang w:val="it-IT"/>
        </w:rPr>
      </w:pPr>
      <w:r>
        <w:rPr>
          <w:lang w:val="it"/>
        </w:rPr>
        <w:t xml:space="preserve">In caso di risposta negativa, vai a: </w:t>
      </w:r>
      <w:hyperlink w:anchor="_Do_you_have">
        <w:r w:rsidRPr="046D5050">
          <w:rPr>
            <w:rStyle w:val="Hyperlink"/>
            <w:rFonts w:ascii="Open Sans Light" w:hAnsi="Open Sans Light"/>
            <w:lang w:val="it"/>
          </w:rPr>
          <w:t>Hai fumato sig</w:t>
        </w:r>
        <w:r w:rsidRPr="046D5050">
          <w:rPr>
            <w:rStyle w:val="Hyperlink"/>
            <w:rFonts w:ascii="Open Sans Light" w:hAnsi="Open Sans Light"/>
            <w:lang w:val="it"/>
          </w:rPr>
          <w:t>arette a base di tabacco in passato?</w:t>
        </w:r>
      </w:hyperlink>
      <w:r>
        <w:rPr>
          <w:lang w:val="it"/>
        </w:rPr>
        <w:t xml:space="preserve">    </w:t>
      </w:r>
    </w:p>
    <w:p w14:paraId="31A7AE78" w14:textId="77777777" w:rsidR="00E25643" w:rsidRPr="009E2629" w:rsidRDefault="005E4656" w:rsidP="00AB2E77">
      <w:pPr>
        <w:pStyle w:val="Heading2"/>
        <w:rPr>
          <w:lang w:val="it-IT"/>
        </w:rPr>
      </w:pPr>
      <w:bookmarkStart w:id="1" w:name="_Do_you_have"/>
      <w:bookmarkEnd w:id="1"/>
      <w:r>
        <w:rPr>
          <w:lang w:val="it"/>
        </w:rPr>
        <w:t>Hai fumato sigarette a base di tabacco in passato?</w:t>
      </w:r>
    </w:p>
    <w:p w14:paraId="08DD0957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 xml:space="preserve">In caso di risposta affermativa, vai a: </w:t>
      </w:r>
      <w:hyperlink w:anchor="_When_did_you" w:history="1">
        <w:r w:rsidRPr="009D31E5">
          <w:rPr>
            <w:rStyle w:val="Hyperlink"/>
            <w:rFonts w:ascii="Open Sans Light" w:hAnsi="Open Sans Light"/>
            <w:lang w:val="it"/>
          </w:rPr>
          <w:t>Quando hai smesso?</w:t>
        </w:r>
      </w:hyperlink>
    </w:p>
    <w:p w14:paraId="22BC021F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 xml:space="preserve">In caso di risposta negativa, vai a: </w:t>
      </w:r>
      <w:hyperlink w:anchor="_Not_eligible_for" w:history="1">
        <w:r w:rsidRPr="009D31E5">
          <w:rPr>
            <w:rStyle w:val="Hyperlink"/>
            <w:rFonts w:ascii="Open Sans Light" w:hAnsi="Open Sans Light"/>
            <w:lang w:val="it"/>
          </w:rPr>
          <w:t>Persona non idonea al programma</w:t>
        </w:r>
      </w:hyperlink>
      <w:r>
        <w:rPr>
          <w:lang w:val="it"/>
        </w:rPr>
        <w:t>.</w:t>
      </w:r>
    </w:p>
    <w:p w14:paraId="21AA213D" w14:textId="77777777" w:rsidR="00E25643" w:rsidRPr="009E2629" w:rsidRDefault="005E4656" w:rsidP="00AB2E77">
      <w:pPr>
        <w:pStyle w:val="Heading2"/>
        <w:rPr>
          <w:lang w:val="it-IT"/>
        </w:rPr>
      </w:pPr>
      <w:bookmarkStart w:id="2" w:name="_When_did_you"/>
      <w:bookmarkEnd w:id="2"/>
      <w:r>
        <w:rPr>
          <w:lang w:val="it"/>
        </w:rPr>
        <w:lastRenderedPageBreak/>
        <w:t>Quando hai smesso?</w:t>
      </w:r>
    </w:p>
    <w:p w14:paraId="16C9E54F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 xml:space="preserve">Se sono trascorsi meno di 10 anni, vai a: </w:t>
      </w:r>
      <w:hyperlink w:anchor="_You_may_be" w:history="1">
        <w:r w:rsidRPr="004676B3">
          <w:rPr>
            <w:rStyle w:val="Hyperlink"/>
            <w:rFonts w:ascii="Open Sans Light" w:hAnsi="Open Sans Light"/>
            <w:bCs/>
            <w:szCs w:val="20"/>
            <w:lang w:val="it"/>
          </w:rPr>
          <w:t xml:space="preserve">Potresti essere idoneo/a a partecipare al </w:t>
        </w:r>
        <w:r w:rsidRPr="004676B3">
          <w:rPr>
            <w:rStyle w:val="Hyperlink"/>
            <w:rFonts w:ascii="Open Sans Light" w:hAnsi="Open Sans Light"/>
            <w:bCs/>
            <w:szCs w:val="20"/>
            <w:lang w:val="it"/>
          </w:rPr>
          <w:t>programma</w:t>
        </w:r>
      </w:hyperlink>
      <w:r>
        <w:rPr>
          <w:lang w:val="it"/>
        </w:rPr>
        <w:t>.</w:t>
      </w:r>
    </w:p>
    <w:p w14:paraId="5A6ED61C" w14:textId="77777777" w:rsidR="00AC5B7D" w:rsidRPr="009E2629" w:rsidRDefault="005E4656">
      <w:pPr>
        <w:spacing w:line="278" w:lineRule="auto"/>
        <w:rPr>
          <w:lang w:val="it-IT"/>
        </w:rPr>
      </w:pPr>
      <w:r>
        <w:rPr>
          <w:lang w:val="it"/>
        </w:rPr>
        <w:t xml:space="preserve">Se sono trascorsi più di 10 anni, vai a: </w:t>
      </w:r>
      <w:hyperlink w:anchor="_Not_eligible_for">
        <w:r w:rsidRPr="004676B3">
          <w:rPr>
            <w:rStyle w:val="Hyperlink"/>
            <w:rFonts w:ascii="Open Sans Light" w:hAnsi="Open Sans Light"/>
            <w:bCs/>
            <w:szCs w:val="20"/>
            <w:lang w:val="it"/>
          </w:rPr>
          <w:t>Persona non idonea al programma</w:t>
        </w:r>
      </w:hyperlink>
      <w:r>
        <w:rPr>
          <w:lang w:val="it"/>
        </w:rPr>
        <w:t>.</w:t>
      </w:r>
    </w:p>
    <w:p w14:paraId="6918E086" w14:textId="77777777" w:rsidR="00E25643" w:rsidRPr="009E2629" w:rsidRDefault="005E4656" w:rsidP="00AB2E77">
      <w:pPr>
        <w:pStyle w:val="Heading2"/>
        <w:rPr>
          <w:lang w:val="it-IT"/>
        </w:rPr>
      </w:pPr>
      <w:bookmarkStart w:id="3" w:name="_Not_eligible_for"/>
      <w:bookmarkEnd w:id="3"/>
      <w:r>
        <w:rPr>
          <w:lang w:val="it"/>
        </w:rPr>
        <w:t>Persona non idonea al programma</w:t>
      </w:r>
    </w:p>
    <w:p w14:paraId="7A6A6FDC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>Se hai meno di 70 anni, potresti comunque acquisire l’idoneità per partecipare al programma in futu</w:t>
      </w:r>
      <w:r>
        <w:rPr>
          <w:lang w:val="it"/>
        </w:rPr>
        <w:t>ro, quindi è importante continuare a verificarla.</w:t>
      </w:r>
    </w:p>
    <w:p w14:paraId="60523C70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>Rivolgiti al tuo medico per valutare altre opzioni più adatte alle tue esigenze.</w:t>
      </w:r>
    </w:p>
    <w:p w14:paraId="4DE575B8" w14:textId="77777777" w:rsidR="00E25643" w:rsidRPr="009E2629" w:rsidRDefault="005E4656" w:rsidP="5109F770">
      <w:pPr>
        <w:rPr>
          <w:rStyle w:val="Hyperlink"/>
          <w:rFonts w:ascii="Open Sans Light" w:hAnsi="Open Sans Light"/>
          <w:lang w:val="it-IT"/>
        </w:rPr>
      </w:pPr>
      <w:r>
        <w:rPr>
          <w:lang w:val="it"/>
        </w:rPr>
        <w:t xml:space="preserve">Consulta la risorsa </w:t>
      </w:r>
      <w:hyperlink r:id="rId11">
        <w:r w:rsidRPr="004676B3">
          <w:rPr>
            <w:rStyle w:val="Hyperlink"/>
            <w:rFonts w:ascii="Open Sans Light" w:hAnsi="Open Sans Light"/>
            <w:bCs/>
            <w:szCs w:val="20"/>
            <w:lang w:val="it"/>
          </w:rPr>
          <w:t>“Perché attualmen</w:t>
        </w:r>
        <w:r w:rsidRPr="004676B3">
          <w:rPr>
            <w:rStyle w:val="Hyperlink"/>
            <w:rFonts w:ascii="Open Sans Light" w:hAnsi="Open Sans Light"/>
            <w:bCs/>
            <w:szCs w:val="20"/>
            <w:lang w:val="it"/>
          </w:rPr>
          <w:t>te non soddisfo i requisiti dello screening per il cancro ai polmoni?”</w:t>
        </w:r>
      </w:hyperlink>
    </w:p>
    <w:p w14:paraId="76E1F64C" w14:textId="50496C16" w:rsidR="0046065F" w:rsidRDefault="0046065F" w:rsidP="00E25643">
      <w:r w:rsidRPr="0046065F">
        <w:rPr>
          <w:noProof/>
        </w:rPr>
        <w:drawing>
          <wp:inline distT="0" distB="0" distL="0" distR="0" wp14:anchorId="3DC9D46B" wp14:editId="2BC45C23">
            <wp:extent cx="1438275" cy="1468449"/>
            <wp:effectExtent l="0" t="0" r="0" b="0"/>
            <wp:docPr id="1626331066" name="Picture 1" descr="Codice QR del Programma nazionale di screening per il cancro ai polmoni: persone non idonee a partecipare al pr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Codice QR del Programma nazionale di screening per il cancro ai polmoni: persone non idonee a partecipare al programm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2B55F" w14:textId="77777777" w:rsidR="00E25643" w:rsidRPr="009E2629" w:rsidRDefault="005E4656" w:rsidP="00AB2E77">
      <w:pPr>
        <w:pStyle w:val="Heading2"/>
        <w:rPr>
          <w:lang w:val="it-IT"/>
        </w:rPr>
      </w:pPr>
      <w:bookmarkStart w:id="4" w:name="_You_may_be"/>
      <w:bookmarkEnd w:id="4"/>
      <w:r>
        <w:rPr>
          <w:lang w:val="it"/>
        </w:rPr>
        <w:t>Potresti essere idoneo/a a partecipare al programma</w:t>
      </w:r>
    </w:p>
    <w:p w14:paraId="43E4EFC7" w14:textId="77777777" w:rsidR="00E25643" w:rsidRPr="009E2629" w:rsidRDefault="005E4656" w:rsidP="00E25643">
      <w:pPr>
        <w:rPr>
          <w:lang w:val="it-IT"/>
        </w:rPr>
      </w:pPr>
      <w:r>
        <w:rPr>
          <w:lang w:val="it"/>
        </w:rPr>
        <w:t>Rivolgiti a un medico per effettuare l’iscrizione al programma e richiedere l’impegnativa per una TAC a basso dosaggio.</w:t>
      </w:r>
    </w:p>
    <w:p w14:paraId="40CF7F35" w14:textId="77777777" w:rsidR="009D0338" w:rsidRPr="009E2629" w:rsidRDefault="005E4656" w:rsidP="00E25643">
      <w:pPr>
        <w:rPr>
          <w:szCs w:val="20"/>
          <w:lang w:val="it-IT"/>
        </w:rPr>
      </w:pPr>
      <w:r w:rsidRPr="004676B3">
        <w:rPr>
          <w:b/>
          <w:bCs/>
          <w:szCs w:val="20"/>
          <w:lang w:val="it"/>
        </w:rPr>
        <w:t>Per ulterio</w:t>
      </w:r>
      <w:r w:rsidRPr="004676B3">
        <w:rPr>
          <w:b/>
          <w:bCs/>
          <w:szCs w:val="20"/>
          <w:lang w:val="it"/>
        </w:rPr>
        <w:t xml:space="preserve">ri informazioni sul Programma nazionale di screening per il cancro ai polmoni, visita il sito: </w:t>
      </w:r>
      <w:hyperlink r:id="rId13" w:history="1">
        <w:r w:rsidR="0046065F" w:rsidRPr="004676B3">
          <w:rPr>
            <w:rStyle w:val="Hyperlink"/>
            <w:rFonts w:ascii="Open Sans Light" w:hAnsi="Open Sans Light"/>
            <w:bCs/>
            <w:szCs w:val="20"/>
            <w:lang w:val="it"/>
          </w:rPr>
          <w:t>www.health.gov.au/nlcsp</w:t>
        </w:r>
      </w:hyperlink>
    </w:p>
    <w:p w14:paraId="734FECE4" w14:textId="04DD1611" w:rsidR="0081533F" w:rsidRPr="00432938" w:rsidRDefault="0046065F" w:rsidP="005C1A1A">
      <w:pPr>
        <w:spacing w:after="3000"/>
      </w:pPr>
      <w:r w:rsidRPr="0046065F">
        <w:rPr>
          <w:noProof/>
        </w:rPr>
        <w:drawing>
          <wp:anchor distT="0" distB="0" distL="114300" distR="114300" simplePos="0" relativeHeight="251664384" behindDoc="0" locked="0" layoutInCell="1" allowOverlap="1" wp14:anchorId="30611FB3" wp14:editId="3CA7046C">
            <wp:simplePos x="534390" y="8300852"/>
            <wp:positionH relativeFrom="column">
              <wp:align>left</wp:align>
            </wp:positionH>
            <wp:positionV relativeFrom="paragraph">
              <wp:align>top</wp:align>
            </wp:positionV>
            <wp:extent cx="1438468" cy="1424940"/>
            <wp:effectExtent l="0" t="0" r="9525" b="3810"/>
            <wp:wrapSquare wrapText="bothSides"/>
            <wp:docPr id="510548282" name="Picture 1" descr="Codice QR per ulteriori informazioni sul Programma nazionale di screening per il cancro ai pol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Codice QR per ulteriori informazioni sul Programma nazionale di screening per il cancro ai polmon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68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629">
        <w:br w:type="textWrapping" w:clear="all"/>
      </w:r>
    </w:p>
    <w:sectPr w:rsidR="0081533F" w:rsidRPr="00432938" w:rsidSect="00A519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74B0" w14:textId="77777777" w:rsidR="005E4656" w:rsidRDefault="005E4656">
      <w:pPr>
        <w:spacing w:after="0" w:line="240" w:lineRule="auto"/>
      </w:pPr>
      <w:r>
        <w:separator/>
      </w:r>
    </w:p>
  </w:endnote>
  <w:endnote w:type="continuationSeparator" w:id="0">
    <w:p w14:paraId="0D75053A" w14:textId="77777777" w:rsidR="005E4656" w:rsidRDefault="005E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AE28" w14:textId="3BFF6819" w:rsidR="00CA4181" w:rsidRPr="009E2629" w:rsidRDefault="005E4656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  <w:lang w:val="it-IT"/>
      </w:rPr>
    </w:pPr>
    <w:r w:rsidRPr="0090436B">
      <w:rPr>
        <w:color w:val="002F5E"/>
        <w:sz w:val="16"/>
        <w:szCs w:val="16"/>
        <w:lang w:val="it"/>
      </w:rPr>
      <w:t xml:space="preserve">Programma nazionale di screening per il cancro ai polmoni – Strumento di </w:t>
    </w:r>
    <w:r w:rsidRPr="0090436B">
      <w:rPr>
        <w:color w:val="002F5E"/>
        <w:sz w:val="16"/>
        <w:szCs w:val="16"/>
        <w:lang w:val="it"/>
      </w:rPr>
      <w:t>verifica dell’idoneità</w:t>
    </w:r>
    <w:r w:rsidRPr="0090436B">
      <w:rPr>
        <w:color w:val="002F5E"/>
        <w:sz w:val="16"/>
        <w:szCs w:val="16"/>
        <w:lang w:val="it"/>
      </w:rPr>
      <w:tab/>
      <w:t xml:space="preserve">Pagina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it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  <w:lang w:val="it"/>
      </w:rPr>
      <w:t>2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  <w:lang w:val="it"/>
      </w:rPr>
      <w:t xml:space="preserve"> di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it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  <w:lang w:val="it"/>
      </w:rPr>
      <w:t>2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B424E" w14:paraId="2B19268B" w14:textId="77777777" w:rsidTr="046D5050">
      <w:trPr>
        <w:trHeight w:val="300"/>
      </w:trPr>
      <w:tc>
        <w:tcPr>
          <w:tcW w:w="3400" w:type="dxa"/>
        </w:tcPr>
        <w:p w14:paraId="6D403EF4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54BC0BD4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4D1EA127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7EE86002" w14:textId="77777777" w:rsidR="00FB5462" w:rsidRDefault="00FB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B3C8" w14:textId="77777777" w:rsidR="005E4656" w:rsidRDefault="005E4656">
      <w:pPr>
        <w:spacing w:after="0" w:line="240" w:lineRule="auto"/>
      </w:pPr>
      <w:r>
        <w:separator/>
      </w:r>
    </w:p>
  </w:footnote>
  <w:footnote w:type="continuationSeparator" w:id="0">
    <w:p w14:paraId="5AA997FD" w14:textId="77777777" w:rsidR="005E4656" w:rsidRDefault="005E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AB424E" w14:paraId="3173D875" w14:textId="77777777" w:rsidTr="046D5050">
      <w:trPr>
        <w:trHeight w:val="300"/>
      </w:trPr>
      <w:tc>
        <w:tcPr>
          <w:tcW w:w="3400" w:type="dxa"/>
        </w:tcPr>
        <w:p w14:paraId="5383DBF2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0499AEC8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16D2D64C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4443D8D8" w14:textId="77777777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508" w14:textId="196390B5" w:rsidR="00450D26" w:rsidRPr="009E2629" w:rsidRDefault="005E4656" w:rsidP="009E2629">
    <w:pPr>
      <w:pStyle w:val="Header"/>
      <w:tabs>
        <w:tab w:val="clear" w:pos="9026"/>
        <w:tab w:val="right" w:pos="9923"/>
      </w:tabs>
      <w:rPr>
        <w:b/>
        <w:bCs/>
      </w:rPr>
    </w:pPr>
    <w:r>
      <w:rPr>
        <w:noProof/>
        <w:lang w:val="en-GB"/>
      </w:rPr>
      <w:drawing>
        <wp:inline distT="0" distB="0" distL="0" distR="0" wp14:anchorId="160E6CA3" wp14:editId="1C790942">
          <wp:extent cx="3030220" cy="719455"/>
          <wp:effectExtent l="0" t="0" r="0" b="4445"/>
          <wp:docPr id="224977236" name="Picture 3" descr="Logo del Governo australiano | Programma nazionale di screening per il cancro ai polm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77236" name="Picture 3" descr="Logo del Governo australiano | Programma nazionale di screening per il cancro ai polm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2629">
      <w:tab/>
    </w:r>
    <w:r w:rsidR="009E2629" w:rsidRPr="009E2629">
      <w:rPr>
        <w:b/>
        <w:bCs/>
      </w:rPr>
      <w:t xml:space="preserve">Italian | </w:t>
    </w:r>
    <w:proofErr w:type="spellStart"/>
    <w:r w:rsidR="009E2629" w:rsidRPr="009E2629">
      <w:rPr>
        <w:b/>
        <w:bCs/>
      </w:rPr>
      <w:t>Italiano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8500D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67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B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6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62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60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A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5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8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3A94CD60">
      <w:start w:val="1"/>
      <w:numFmt w:val="decimal"/>
      <w:lvlText w:val="%1."/>
      <w:lvlJc w:val="left"/>
    </w:lvl>
    <w:lvl w:ilvl="1" w:tplc="9AE4B574">
      <w:numFmt w:val="decimal"/>
      <w:lvlText w:val=""/>
      <w:lvlJc w:val="left"/>
    </w:lvl>
    <w:lvl w:ilvl="2" w:tplc="ABFA46A4">
      <w:numFmt w:val="decimal"/>
      <w:lvlText w:val=""/>
      <w:lvlJc w:val="left"/>
    </w:lvl>
    <w:lvl w:ilvl="3" w:tplc="89225DF2">
      <w:numFmt w:val="decimal"/>
      <w:lvlText w:val=""/>
      <w:lvlJc w:val="left"/>
    </w:lvl>
    <w:lvl w:ilvl="4" w:tplc="8CA662E0">
      <w:numFmt w:val="decimal"/>
      <w:lvlText w:val=""/>
      <w:lvlJc w:val="left"/>
    </w:lvl>
    <w:lvl w:ilvl="5" w:tplc="8DBCD9D0">
      <w:numFmt w:val="decimal"/>
      <w:lvlText w:val=""/>
      <w:lvlJc w:val="left"/>
    </w:lvl>
    <w:lvl w:ilvl="6" w:tplc="925C524A">
      <w:numFmt w:val="decimal"/>
      <w:lvlText w:val=""/>
      <w:lvlJc w:val="left"/>
    </w:lvl>
    <w:lvl w:ilvl="7" w:tplc="3AFA02A6">
      <w:numFmt w:val="decimal"/>
      <w:lvlText w:val=""/>
      <w:lvlJc w:val="left"/>
    </w:lvl>
    <w:lvl w:ilvl="8" w:tplc="D4881786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CA8613FC">
      <w:start w:val="1"/>
      <w:numFmt w:val="decimal"/>
      <w:lvlText w:val="%1."/>
      <w:lvlJc w:val="left"/>
      <w:pPr>
        <w:ind w:left="720" w:hanging="360"/>
      </w:pPr>
    </w:lvl>
    <w:lvl w:ilvl="1" w:tplc="FC5AA5B4" w:tentative="1">
      <w:start w:val="1"/>
      <w:numFmt w:val="lowerLetter"/>
      <w:lvlText w:val="%2."/>
      <w:lvlJc w:val="left"/>
      <w:pPr>
        <w:ind w:left="1440" w:hanging="360"/>
      </w:pPr>
    </w:lvl>
    <w:lvl w:ilvl="2" w:tplc="83B8B214" w:tentative="1">
      <w:start w:val="1"/>
      <w:numFmt w:val="lowerRoman"/>
      <w:lvlText w:val="%3."/>
      <w:lvlJc w:val="right"/>
      <w:pPr>
        <w:ind w:left="2160" w:hanging="180"/>
      </w:pPr>
    </w:lvl>
    <w:lvl w:ilvl="3" w:tplc="24505E08" w:tentative="1">
      <w:start w:val="1"/>
      <w:numFmt w:val="decimal"/>
      <w:lvlText w:val="%4."/>
      <w:lvlJc w:val="left"/>
      <w:pPr>
        <w:ind w:left="2880" w:hanging="360"/>
      </w:pPr>
    </w:lvl>
    <w:lvl w:ilvl="4" w:tplc="D7185386" w:tentative="1">
      <w:start w:val="1"/>
      <w:numFmt w:val="lowerLetter"/>
      <w:lvlText w:val="%5."/>
      <w:lvlJc w:val="left"/>
      <w:pPr>
        <w:ind w:left="3600" w:hanging="360"/>
      </w:pPr>
    </w:lvl>
    <w:lvl w:ilvl="5" w:tplc="BCAA6272" w:tentative="1">
      <w:start w:val="1"/>
      <w:numFmt w:val="lowerRoman"/>
      <w:lvlText w:val="%6."/>
      <w:lvlJc w:val="right"/>
      <w:pPr>
        <w:ind w:left="4320" w:hanging="180"/>
      </w:pPr>
    </w:lvl>
    <w:lvl w:ilvl="6" w:tplc="169EE84E" w:tentative="1">
      <w:start w:val="1"/>
      <w:numFmt w:val="decimal"/>
      <w:lvlText w:val="%7."/>
      <w:lvlJc w:val="left"/>
      <w:pPr>
        <w:ind w:left="5040" w:hanging="360"/>
      </w:pPr>
    </w:lvl>
    <w:lvl w:ilvl="7" w:tplc="9466AAE4" w:tentative="1">
      <w:start w:val="1"/>
      <w:numFmt w:val="lowerLetter"/>
      <w:lvlText w:val="%8."/>
      <w:lvlJc w:val="left"/>
      <w:pPr>
        <w:ind w:left="5760" w:hanging="360"/>
      </w:pPr>
    </w:lvl>
    <w:lvl w:ilvl="8" w:tplc="616E1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85848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2C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44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86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AE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AB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E5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CE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264E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CC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EE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7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C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28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00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7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6A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E0C2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63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42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C6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8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CB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0D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C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4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0A6C50E2">
      <w:start w:val="1"/>
      <w:numFmt w:val="decimal"/>
      <w:pStyle w:val="Footer"/>
      <w:lvlText w:val="%1."/>
      <w:lvlJc w:val="left"/>
      <w:pPr>
        <w:ind w:left="720" w:hanging="360"/>
      </w:pPr>
    </w:lvl>
    <w:lvl w:ilvl="1" w:tplc="86723D40" w:tentative="1">
      <w:start w:val="1"/>
      <w:numFmt w:val="lowerLetter"/>
      <w:lvlText w:val="%2."/>
      <w:lvlJc w:val="left"/>
      <w:pPr>
        <w:ind w:left="1440" w:hanging="360"/>
      </w:pPr>
    </w:lvl>
    <w:lvl w:ilvl="2" w:tplc="0F22E220" w:tentative="1">
      <w:start w:val="1"/>
      <w:numFmt w:val="lowerRoman"/>
      <w:lvlText w:val="%3."/>
      <w:lvlJc w:val="right"/>
      <w:pPr>
        <w:ind w:left="2160" w:hanging="180"/>
      </w:pPr>
    </w:lvl>
    <w:lvl w:ilvl="3" w:tplc="86CCA39C" w:tentative="1">
      <w:start w:val="1"/>
      <w:numFmt w:val="decimal"/>
      <w:lvlText w:val="%4."/>
      <w:lvlJc w:val="left"/>
      <w:pPr>
        <w:ind w:left="2880" w:hanging="360"/>
      </w:pPr>
    </w:lvl>
    <w:lvl w:ilvl="4" w:tplc="16C256DC" w:tentative="1">
      <w:start w:val="1"/>
      <w:numFmt w:val="lowerLetter"/>
      <w:lvlText w:val="%5."/>
      <w:lvlJc w:val="left"/>
      <w:pPr>
        <w:ind w:left="3600" w:hanging="360"/>
      </w:pPr>
    </w:lvl>
    <w:lvl w:ilvl="5" w:tplc="9BD6FB90" w:tentative="1">
      <w:start w:val="1"/>
      <w:numFmt w:val="lowerRoman"/>
      <w:lvlText w:val="%6."/>
      <w:lvlJc w:val="right"/>
      <w:pPr>
        <w:ind w:left="4320" w:hanging="180"/>
      </w:pPr>
    </w:lvl>
    <w:lvl w:ilvl="6" w:tplc="768416E4" w:tentative="1">
      <w:start w:val="1"/>
      <w:numFmt w:val="decimal"/>
      <w:lvlText w:val="%7."/>
      <w:lvlJc w:val="left"/>
      <w:pPr>
        <w:ind w:left="5040" w:hanging="360"/>
      </w:pPr>
    </w:lvl>
    <w:lvl w:ilvl="7" w:tplc="AF9EDC4C" w:tentative="1">
      <w:start w:val="1"/>
      <w:numFmt w:val="lowerLetter"/>
      <w:lvlText w:val="%8."/>
      <w:lvlJc w:val="left"/>
      <w:pPr>
        <w:ind w:left="5760" w:hanging="360"/>
      </w:pPr>
    </w:lvl>
    <w:lvl w:ilvl="8" w:tplc="C8503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7"/>
  </w:num>
  <w:num w:numId="11">
    <w:abstractNumId w:val="15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20"/>
    <w:lvlOverride w:ilvl="0">
      <w:startOverride w:val="1"/>
    </w:lvlOverride>
  </w:num>
  <w:num w:numId="18">
    <w:abstractNumId w:val="7"/>
  </w:num>
  <w:num w:numId="19">
    <w:abstractNumId w:val="2"/>
  </w:num>
  <w:num w:numId="20">
    <w:abstractNumId w:val="11"/>
  </w:num>
  <w:num w:numId="21">
    <w:abstractNumId w:val="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0B3C"/>
    <w:rsid w:val="00084076"/>
    <w:rsid w:val="000849DA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10EC"/>
    <w:rsid w:val="004A25D2"/>
    <w:rsid w:val="004C436A"/>
    <w:rsid w:val="004E721A"/>
    <w:rsid w:val="005060B3"/>
    <w:rsid w:val="00515283"/>
    <w:rsid w:val="00515A4F"/>
    <w:rsid w:val="005232D3"/>
    <w:rsid w:val="005433B8"/>
    <w:rsid w:val="00547E48"/>
    <w:rsid w:val="005658D7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E4656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1152B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36D9A"/>
    <w:rsid w:val="00840BC2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D0338"/>
    <w:rsid w:val="009D31E5"/>
    <w:rsid w:val="009E2629"/>
    <w:rsid w:val="009E2645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424E"/>
    <w:rsid w:val="00AB65BC"/>
    <w:rsid w:val="00AC5B7D"/>
    <w:rsid w:val="00AC604D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590D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5032"/>
    <w:rsid w:val="00E57400"/>
    <w:rsid w:val="00E64729"/>
    <w:rsid w:val="00E87248"/>
    <w:rsid w:val="00EA0247"/>
    <w:rsid w:val="00EB23CC"/>
    <w:rsid w:val="00EB256E"/>
    <w:rsid w:val="00EC24D8"/>
    <w:rsid w:val="00EC31F4"/>
    <w:rsid w:val="00EE1223"/>
    <w:rsid w:val="00EF5EF5"/>
    <w:rsid w:val="00F04032"/>
    <w:rsid w:val="00F146E3"/>
    <w:rsid w:val="00F27197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859E1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D65C4300-6682-4DB7-BCD5-D7589458200F}"/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Eligibility tool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nazionale di screening per il cancro ai polmoni – Strumento di verifica dell’idoneità</dc:title>
  <dc:subject>Programma nazionale di screening per il cancro ai polmoni</dc:subject>
  <dc:creator>Australian Government Department of Health, Disability and Ageing</dc:creator>
  <cp:keywords>Cancro</cp:keywords>
  <cp:lastModifiedBy>Mike Recana</cp:lastModifiedBy>
  <cp:revision>6</cp:revision>
  <dcterms:created xsi:type="dcterms:W3CDTF">2025-04-27T23:10:00Z</dcterms:created>
  <dcterms:modified xsi:type="dcterms:W3CDTF">2025-06-16T01:51:00Z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309200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