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EB08" w14:textId="77777777" w:rsidR="009546F3" w:rsidRDefault="00560F28" w:rsidP="00BC7855">
      <w:pPr>
        <w:pStyle w:val="Heading1"/>
        <w:spacing w:before="0" w:after="0"/>
        <w:rPr>
          <w:b/>
          <w:sz w:val="32"/>
          <w:szCs w:val="32"/>
        </w:rPr>
      </w:pPr>
      <w:r w:rsidRPr="00BC7855">
        <w:rPr>
          <w:b/>
          <w:sz w:val="32"/>
          <w:szCs w:val="32"/>
        </w:rPr>
        <w:t>Modified Monash Model</w:t>
      </w:r>
    </w:p>
    <w:p w14:paraId="6AAD60E1" w14:textId="77777777" w:rsidR="00BC7855" w:rsidRPr="00BC7855" w:rsidRDefault="00BC7855" w:rsidP="00BC7855">
      <w:pPr>
        <w:spacing w:before="0" w:after="0"/>
        <w:rPr>
          <w:lang w:val="en-US" w:eastAsia="en-AU"/>
        </w:rPr>
      </w:pPr>
    </w:p>
    <w:p w14:paraId="186A82D0" w14:textId="55BBA780" w:rsidR="004F318D" w:rsidRPr="00560F28" w:rsidRDefault="00560F28" w:rsidP="00BC7855">
      <w:pPr>
        <w:pStyle w:val="Heading2"/>
        <w:spacing w:before="0"/>
        <w:rPr>
          <w:b w:val="0"/>
          <w:sz w:val="22"/>
          <w:szCs w:val="22"/>
        </w:rPr>
      </w:pPr>
      <w:r w:rsidRPr="00560F28">
        <w:rPr>
          <w:b w:val="0"/>
          <w:sz w:val="22"/>
          <w:szCs w:val="22"/>
        </w:rPr>
        <w:t xml:space="preserve">The </w:t>
      </w:r>
      <w:r w:rsidR="004F318D" w:rsidRPr="00560F28">
        <w:rPr>
          <w:b w:val="0"/>
          <w:sz w:val="22"/>
          <w:szCs w:val="22"/>
        </w:rPr>
        <w:t xml:space="preserve">Modified Monash Model </w:t>
      </w:r>
      <w:r w:rsidRPr="00560F28">
        <w:rPr>
          <w:b w:val="0"/>
          <w:sz w:val="22"/>
          <w:szCs w:val="22"/>
        </w:rPr>
        <w:t xml:space="preserve">(MMM) </w:t>
      </w:r>
      <w:r w:rsidR="004F318D" w:rsidRPr="00560F28">
        <w:rPr>
          <w:b w:val="0"/>
          <w:sz w:val="22"/>
          <w:szCs w:val="22"/>
        </w:rPr>
        <w:t>20</w:t>
      </w:r>
      <w:r w:rsidR="007359F7">
        <w:rPr>
          <w:b w:val="0"/>
          <w:sz w:val="22"/>
          <w:szCs w:val="22"/>
        </w:rPr>
        <w:t>23</w:t>
      </w:r>
      <w:r w:rsidR="004F318D" w:rsidRPr="00560F28">
        <w:rPr>
          <w:b w:val="0"/>
          <w:sz w:val="22"/>
          <w:szCs w:val="22"/>
        </w:rPr>
        <w:t xml:space="preserve"> </w:t>
      </w:r>
      <w:r w:rsidRPr="00560F28">
        <w:rPr>
          <w:b w:val="0"/>
          <w:sz w:val="22"/>
          <w:szCs w:val="22"/>
        </w:rPr>
        <w:t xml:space="preserve">has been </w:t>
      </w:r>
      <w:r w:rsidR="004F318D" w:rsidRPr="00560F28">
        <w:rPr>
          <w:b w:val="0"/>
          <w:sz w:val="22"/>
          <w:szCs w:val="22"/>
        </w:rPr>
        <w:t xml:space="preserve">updated </w:t>
      </w:r>
      <w:r w:rsidR="00953ECC">
        <w:rPr>
          <w:b w:val="0"/>
          <w:sz w:val="22"/>
          <w:szCs w:val="22"/>
        </w:rPr>
        <w:t xml:space="preserve">to align with </w:t>
      </w:r>
      <w:r w:rsidR="004F318D" w:rsidRPr="00560F28">
        <w:rPr>
          <w:b w:val="0"/>
          <w:sz w:val="22"/>
          <w:szCs w:val="22"/>
        </w:rPr>
        <w:t xml:space="preserve">the latest </w:t>
      </w:r>
      <w:r w:rsidR="00953ECC">
        <w:rPr>
          <w:b w:val="0"/>
          <w:sz w:val="22"/>
          <w:szCs w:val="22"/>
        </w:rPr>
        <w:t>available c</w:t>
      </w:r>
      <w:r w:rsidR="004F318D" w:rsidRPr="00560F28">
        <w:rPr>
          <w:b w:val="0"/>
          <w:sz w:val="22"/>
          <w:szCs w:val="22"/>
        </w:rPr>
        <w:t>ensus data (20</w:t>
      </w:r>
      <w:r w:rsidR="007359F7">
        <w:rPr>
          <w:b w:val="0"/>
          <w:sz w:val="22"/>
          <w:szCs w:val="22"/>
        </w:rPr>
        <w:t>21</w:t>
      </w:r>
      <w:r w:rsidR="004F318D" w:rsidRPr="00560F28">
        <w:rPr>
          <w:b w:val="0"/>
          <w:sz w:val="22"/>
          <w:szCs w:val="22"/>
        </w:rPr>
        <w:t>)</w:t>
      </w:r>
      <w:r w:rsidRPr="00560F28">
        <w:rPr>
          <w:b w:val="0"/>
          <w:sz w:val="22"/>
          <w:szCs w:val="22"/>
        </w:rPr>
        <w:t>.</w:t>
      </w:r>
    </w:p>
    <w:p w14:paraId="49292EB1" w14:textId="3B900F7E" w:rsidR="00192C30" w:rsidRDefault="004F318D" w:rsidP="002B7FD3">
      <w:r w:rsidRPr="004F318D">
        <w:t xml:space="preserve">The </w:t>
      </w:r>
      <w:r w:rsidR="00B3247E">
        <w:t>MMM</w:t>
      </w:r>
      <w:r w:rsidRPr="004F318D">
        <w:t xml:space="preserve"> was developed to better target health workforce programs</w:t>
      </w:r>
      <w:r w:rsidR="00694E98">
        <w:t>,</w:t>
      </w:r>
      <w:r w:rsidRPr="004F318D">
        <w:t xml:space="preserve"> </w:t>
      </w:r>
      <w:r w:rsidR="00630CA9">
        <w:t>with the goal of</w:t>
      </w:r>
      <w:r w:rsidRPr="004F318D">
        <w:t xml:space="preserve"> attract</w:t>
      </w:r>
      <w:r w:rsidR="00630CA9">
        <w:t>ing</w:t>
      </w:r>
      <w:r w:rsidRPr="004F318D">
        <w:t xml:space="preserve"> health professionals to </w:t>
      </w:r>
      <w:r w:rsidR="00AD6700">
        <w:t>regional, rural and remote</w:t>
      </w:r>
      <w:r w:rsidRPr="004F318D">
        <w:t xml:space="preserve"> communities.</w:t>
      </w:r>
      <w:r w:rsidR="00694E98">
        <w:t xml:space="preserve"> </w:t>
      </w:r>
      <w:r w:rsidRPr="004F318D">
        <w:t>The MMM classifies metropolitan, regional, rural and remote areas according to geographical remoteness, as defined by the Australian Bureau of Statistics (ABS),</w:t>
      </w:r>
      <w:r w:rsidR="00BA30B2">
        <w:t xml:space="preserve"> r</w:t>
      </w:r>
      <w:r w:rsidR="00647DAD">
        <w:t>oad distance between towns</w:t>
      </w:r>
      <w:r w:rsidRPr="004F318D">
        <w:t xml:space="preserve"> and town size.</w:t>
      </w:r>
      <w:r w:rsidR="00192C30">
        <w:t xml:space="preserve"> </w:t>
      </w:r>
    </w:p>
    <w:p w14:paraId="4BF120EE" w14:textId="3386AC6B" w:rsidR="00192C30" w:rsidRDefault="00A629E0" w:rsidP="002B7FD3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FDFF08B" wp14:editId="2D1BE9CD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654935" cy="2557780"/>
            <wp:effectExtent l="0" t="0" r="0" b="0"/>
            <wp:wrapSquare wrapText="bothSides"/>
            <wp:docPr id="1" name="Picture 1" descr="This map of Australia is coloured to reflect the Modified Monash classification of each area." title="Modified Monash Map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55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D30">
        <w:t>MMM 2023 was implemented by Services Australia on 13 April 2</w:t>
      </w:r>
      <w:r w:rsidR="009A2F8F">
        <w:t>025 for health workforce programs</w:t>
      </w:r>
      <w:r w:rsidR="00192C30" w:rsidRPr="004F318D">
        <w:t>.</w:t>
      </w:r>
      <w:r w:rsidR="00BA30B2">
        <w:t xml:space="preserve"> </w:t>
      </w:r>
      <w:r w:rsidR="00255EA8">
        <w:t>I</w:t>
      </w:r>
      <w:r w:rsidR="005057BD">
        <w:t xml:space="preserve">mplementation for </w:t>
      </w:r>
      <w:r w:rsidR="00255EA8">
        <w:t xml:space="preserve">the purposes of </w:t>
      </w:r>
      <w:r w:rsidR="00B17244">
        <w:t>a</w:t>
      </w:r>
      <w:r w:rsidR="005057BD">
        <w:t xml:space="preserve">ged </w:t>
      </w:r>
      <w:r w:rsidR="00B17244">
        <w:t>c</w:t>
      </w:r>
      <w:r w:rsidR="005057BD">
        <w:t xml:space="preserve">are programs </w:t>
      </w:r>
      <w:r w:rsidR="00255EA8">
        <w:t>will begin from 1 October 2025.</w:t>
      </w:r>
      <w:r w:rsidR="00192C30" w:rsidRPr="00192C30">
        <w:t xml:space="preserve"> </w:t>
      </w:r>
    </w:p>
    <w:p w14:paraId="7C892220" w14:textId="7ADDC8D9" w:rsidR="004F318D" w:rsidRPr="004F318D" w:rsidRDefault="004F318D" w:rsidP="002B7FD3"/>
    <w:tbl>
      <w:tblPr>
        <w:tblStyle w:val="TableGrid1"/>
        <w:tblpPr w:leftFromText="180" w:rightFromText="180" w:vertAnchor="text" w:horzAnchor="margin" w:tblpY="51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Modified Monsh Map Legend"/>
        <w:tblDescription w:val="This legend shows the colours, category and town size for each of the seven Modified Monash categories that are shown on the map."/>
      </w:tblPr>
      <w:tblGrid>
        <w:gridCol w:w="4965"/>
        <w:gridCol w:w="2545"/>
        <w:gridCol w:w="1876"/>
      </w:tblGrid>
      <w:tr w:rsidR="000867D8" w:rsidRPr="004F318D" w14:paraId="1013F0C1" w14:textId="77777777" w:rsidTr="000867D8">
        <w:trPr>
          <w:trHeight w:val="262"/>
          <w:tblHeader/>
        </w:trPr>
        <w:tc>
          <w:tcPr>
            <w:tcW w:w="4965" w:type="dxa"/>
            <w:vMerge w:val="restart"/>
          </w:tcPr>
          <w:p w14:paraId="33EF1365" w14:textId="77777777" w:rsidR="000867D8" w:rsidRPr="004F318D" w:rsidRDefault="000867D8" w:rsidP="000867D8">
            <w:pPr>
              <w:spacing w:line="240" w:lineRule="auto"/>
              <w:rPr>
                <w:noProof/>
                <w:lang w:eastAsia="en-AU"/>
              </w:rPr>
            </w:pPr>
          </w:p>
        </w:tc>
        <w:tc>
          <w:tcPr>
            <w:tcW w:w="2545" w:type="dxa"/>
            <w:shd w:val="clear" w:color="auto" w:fill="E2EFD9" w:themeFill="accent6" w:themeFillTint="33"/>
            <w:vAlign w:val="center"/>
          </w:tcPr>
          <w:p w14:paraId="75C7E793" w14:textId="77777777" w:rsidR="000867D8" w:rsidRPr="004F318D" w:rsidRDefault="000867D8" w:rsidP="000867D8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RPr="004F318D">
              <w:rPr>
                <w:sz w:val="14"/>
                <w:szCs w:val="14"/>
              </w:rPr>
              <w:t>MM1</w:t>
            </w:r>
          </w:p>
        </w:tc>
        <w:tc>
          <w:tcPr>
            <w:tcW w:w="1876" w:type="dxa"/>
            <w:vAlign w:val="center"/>
          </w:tcPr>
          <w:p w14:paraId="110BE319" w14:textId="77777777" w:rsidR="000867D8" w:rsidRPr="004F318D" w:rsidRDefault="000867D8" w:rsidP="000867D8">
            <w:pPr>
              <w:spacing w:before="0" w:line="240" w:lineRule="auto"/>
              <w:rPr>
                <w:sz w:val="14"/>
                <w:szCs w:val="14"/>
              </w:rPr>
            </w:pPr>
            <w:r w:rsidRPr="004F318D">
              <w:rPr>
                <w:sz w:val="14"/>
                <w:szCs w:val="14"/>
              </w:rPr>
              <w:t>Metropolitan</w:t>
            </w:r>
          </w:p>
        </w:tc>
      </w:tr>
      <w:tr w:rsidR="000867D8" w:rsidRPr="004F318D" w14:paraId="213F48DF" w14:textId="77777777" w:rsidTr="000867D8">
        <w:trPr>
          <w:trHeight w:val="289"/>
          <w:tblHeader/>
        </w:trPr>
        <w:tc>
          <w:tcPr>
            <w:tcW w:w="4965" w:type="dxa"/>
            <w:vMerge/>
          </w:tcPr>
          <w:p w14:paraId="6807D834" w14:textId="77777777" w:rsidR="000867D8" w:rsidRPr="004F318D" w:rsidRDefault="000867D8" w:rsidP="000867D8">
            <w:pPr>
              <w:spacing w:line="240" w:lineRule="auto"/>
              <w:rPr>
                <w:noProof/>
                <w:lang w:eastAsia="en-AU"/>
              </w:rPr>
            </w:pPr>
          </w:p>
        </w:tc>
        <w:tc>
          <w:tcPr>
            <w:tcW w:w="2545" w:type="dxa"/>
            <w:shd w:val="clear" w:color="auto" w:fill="EACDEB"/>
            <w:vAlign w:val="center"/>
          </w:tcPr>
          <w:p w14:paraId="0FFE36A8" w14:textId="77777777" w:rsidR="000867D8" w:rsidRPr="004F318D" w:rsidRDefault="000867D8" w:rsidP="000867D8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RPr="004F318D">
              <w:rPr>
                <w:sz w:val="14"/>
                <w:szCs w:val="14"/>
              </w:rPr>
              <w:t>MM2</w:t>
            </w:r>
          </w:p>
        </w:tc>
        <w:tc>
          <w:tcPr>
            <w:tcW w:w="1876" w:type="dxa"/>
            <w:vAlign w:val="center"/>
          </w:tcPr>
          <w:p w14:paraId="268396DC" w14:textId="77777777" w:rsidR="000867D8" w:rsidRPr="004F318D" w:rsidRDefault="000867D8" w:rsidP="000867D8">
            <w:pPr>
              <w:spacing w:before="0" w:line="240" w:lineRule="auto"/>
              <w:rPr>
                <w:sz w:val="14"/>
                <w:szCs w:val="14"/>
              </w:rPr>
            </w:pPr>
            <w:r w:rsidRPr="004F318D">
              <w:rPr>
                <w:sz w:val="14"/>
                <w:szCs w:val="14"/>
              </w:rPr>
              <w:t>Regional centres</w:t>
            </w:r>
          </w:p>
        </w:tc>
      </w:tr>
      <w:tr w:rsidR="000867D8" w:rsidRPr="004F318D" w14:paraId="7E2E7BF2" w14:textId="77777777" w:rsidTr="000867D8">
        <w:trPr>
          <w:trHeight w:val="324"/>
          <w:tblHeader/>
        </w:trPr>
        <w:tc>
          <w:tcPr>
            <w:tcW w:w="4965" w:type="dxa"/>
            <w:vMerge/>
          </w:tcPr>
          <w:p w14:paraId="13DB496A" w14:textId="77777777" w:rsidR="000867D8" w:rsidRPr="004F318D" w:rsidRDefault="000867D8" w:rsidP="000867D8">
            <w:pPr>
              <w:spacing w:line="240" w:lineRule="auto"/>
              <w:rPr>
                <w:noProof/>
                <w:lang w:eastAsia="en-AU"/>
              </w:rPr>
            </w:pPr>
          </w:p>
        </w:tc>
        <w:tc>
          <w:tcPr>
            <w:tcW w:w="2545" w:type="dxa"/>
            <w:shd w:val="clear" w:color="auto" w:fill="E3CA99"/>
            <w:vAlign w:val="center"/>
          </w:tcPr>
          <w:p w14:paraId="5E9C1609" w14:textId="77777777" w:rsidR="000867D8" w:rsidRPr="004F318D" w:rsidRDefault="000867D8" w:rsidP="000867D8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RPr="004F318D">
              <w:rPr>
                <w:sz w:val="14"/>
                <w:szCs w:val="14"/>
              </w:rPr>
              <w:t>MM3</w:t>
            </w:r>
          </w:p>
        </w:tc>
        <w:tc>
          <w:tcPr>
            <w:tcW w:w="1876" w:type="dxa"/>
            <w:vAlign w:val="center"/>
          </w:tcPr>
          <w:p w14:paraId="25064FC2" w14:textId="77777777" w:rsidR="000867D8" w:rsidRPr="004F318D" w:rsidRDefault="000867D8" w:rsidP="000867D8">
            <w:pPr>
              <w:spacing w:before="0" w:line="240" w:lineRule="auto"/>
              <w:rPr>
                <w:sz w:val="14"/>
                <w:szCs w:val="14"/>
              </w:rPr>
            </w:pPr>
            <w:r w:rsidRPr="004F318D">
              <w:rPr>
                <w:sz w:val="14"/>
                <w:szCs w:val="14"/>
              </w:rPr>
              <w:t>Large rural towns</w:t>
            </w:r>
          </w:p>
        </w:tc>
      </w:tr>
      <w:tr w:rsidR="000867D8" w:rsidRPr="004F318D" w14:paraId="351DB498" w14:textId="77777777" w:rsidTr="000867D8">
        <w:trPr>
          <w:trHeight w:val="303"/>
          <w:tblHeader/>
        </w:trPr>
        <w:tc>
          <w:tcPr>
            <w:tcW w:w="4965" w:type="dxa"/>
            <w:vMerge/>
          </w:tcPr>
          <w:p w14:paraId="5855F523" w14:textId="77777777" w:rsidR="000867D8" w:rsidRPr="004F318D" w:rsidRDefault="000867D8" w:rsidP="000867D8">
            <w:pPr>
              <w:spacing w:line="240" w:lineRule="auto"/>
              <w:rPr>
                <w:noProof/>
                <w:lang w:eastAsia="en-AU"/>
              </w:rPr>
            </w:pPr>
          </w:p>
        </w:tc>
        <w:tc>
          <w:tcPr>
            <w:tcW w:w="2545" w:type="dxa"/>
            <w:shd w:val="clear" w:color="auto" w:fill="5A72E8"/>
            <w:vAlign w:val="center"/>
          </w:tcPr>
          <w:p w14:paraId="74AA343A" w14:textId="77777777" w:rsidR="000867D8" w:rsidRPr="004F318D" w:rsidRDefault="000867D8" w:rsidP="000867D8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RPr="004F318D">
              <w:rPr>
                <w:sz w:val="14"/>
                <w:szCs w:val="14"/>
              </w:rPr>
              <w:t>MM4</w:t>
            </w:r>
          </w:p>
        </w:tc>
        <w:tc>
          <w:tcPr>
            <w:tcW w:w="1876" w:type="dxa"/>
            <w:vAlign w:val="center"/>
          </w:tcPr>
          <w:p w14:paraId="40A28038" w14:textId="77777777" w:rsidR="000867D8" w:rsidRPr="004F318D" w:rsidRDefault="000867D8" w:rsidP="000867D8">
            <w:pPr>
              <w:spacing w:before="0" w:line="240" w:lineRule="auto"/>
              <w:rPr>
                <w:sz w:val="14"/>
                <w:szCs w:val="14"/>
              </w:rPr>
            </w:pPr>
            <w:r w:rsidRPr="004F318D">
              <w:rPr>
                <w:sz w:val="14"/>
                <w:szCs w:val="14"/>
              </w:rPr>
              <w:t>Medium rural towns</w:t>
            </w:r>
          </w:p>
        </w:tc>
      </w:tr>
      <w:tr w:rsidR="000867D8" w:rsidRPr="004F318D" w14:paraId="6A15CCD6" w14:textId="77777777" w:rsidTr="000867D8">
        <w:trPr>
          <w:trHeight w:val="289"/>
          <w:tblHeader/>
        </w:trPr>
        <w:tc>
          <w:tcPr>
            <w:tcW w:w="4965" w:type="dxa"/>
            <w:vMerge/>
          </w:tcPr>
          <w:p w14:paraId="4FA5F34D" w14:textId="77777777" w:rsidR="000867D8" w:rsidRPr="004F318D" w:rsidRDefault="000867D8" w:rsidP="000867D8">
            <w:pPr>
              <w:spacing w:line="240" w:lineRule="auto"/>
              <w:rPr>
                <w:noProof/>
                <w:lang w:eastAsia="en-AU"/>
              </w:rPr>
            </w:pPr>
          </w:p>
        </w:tc>
        <w:tc>
          <w:tcPr>
            <w:tcW w:w="2545" w:type="dxa"/>
            <w:shd w:val="clear" w:color="auto" w:fill="80D632"/>
            <w:vAlign w:val="center"/>
          </w:tcPr>
          <w:p w14:paraId="2C73A0C6" w14:textId="77777777" w:rsidR="000867D8" w:rsidRPr="004F318D" w:rsidRDefault="000867D8" w:rsidP="000867D8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RPr="004F318D">
              <w:rPr>
                <w:sz w:val="14"/>
                <w:szCs w:val="14"/>
              </w:rPr>
              <w:t>MM5</w:t>
            </w:r>
          </w:p>
        </w:tc>
        <w:tc>
          <w:tcPr>
            <w:tcW w:w="1876" w:type="dxa"/>
            <w:vAlign w:val="center"/>
          </w:tcPr>
          <w:p w14:paraId="6AEB9090" w14:textId="77777777" w:rsidR="000867D8" w:rsidRPr="004F318D" w:rsidRDefault="000867D8" w:rsidP="000867D8">
            <w:pPr>
              <w:spacing w:before="0" w:line="240" w:lineRule="auto"/>
              <w:rPr>
                <w:sz w:val="14"/>
                <w:szCs w:val="14"/>
              </w:rPr>
            </w:pPr>
            <w:r w:rsidRPr="004F318D">
              <w:rPr>
                <w:sz w:val="14"/>
                <w:szCs w:val="14"/>
              </w:rPr>
              <w:t>Small rural towns</w:t>
            </w:r>
          </w:p>
        </w:tc>
      </w:tr>
      <w:tr w:rsidR="000867D8" w:rsidRPr="004F318D" w14:paraId="12677211" w14:textId="77777777" w:rsidTr="000867D8">
        <w:trPr>
          <w:trHeight w:val="358"/>
          <w:tblHeader/>
        </w:trPr>
        <w:tc>
          <w:tcPr>
            <w:tcW w:w="4965" w:type="dxa"/>
            <w:vMerge/>
          </w:tcPr>
          <w:p w14:paraId="61601691" w14:textId="77777777" w:rsidR="000867D8" w:rsidRPr="004F318D" w:rsidRDefault="000867D8" w:rsidP="000867D8">
            <w:pPr>
              <w:spacing w:line="240" w:lineRule="auto"/>
              <w:rPr>
                <w:noProof/>
                <w:lang w:eastAsia="en-AU"/>
              </w:rPr>
            </w:pPr>
          </w:p>
        </w:tc>
        <w:tc>
          <w:tcPr>
            <w:tcW w:w="2545" w:type="dxa"/>
            <w:shd w:val="clear" w:color="auto" w:fill="ABD5FF"/>
            <w:vAlign w:val="center"/>
          </w:tcPr>
          <w:p w14:paraId="3E4E96F0" w14:textId="77777777" w:rsidR="000867D8" w:rsidRPr="004F318D" w:rsidRDefault="000867D8" w:rsidP="000867D8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RPr="004F318D">
              <w:rPr>
                <w:sz w:val="14"/>
                <w:szCs w:val="14"/>
              </w:rPr>
              <w:t>MM6</w:t>
            </w:r>
          </w:p>
        </w:tc>
        <w:tc>
          <w:tcPr>
            <w:tcW w:w="1876" w:type="dxa"/>
            <w:vAlign w:val="center"/>
          </w:tcPr>
          <w:p w14:paraId="68013BFE" w14:textId="77777777" w:rsidR="000867D8" w:rsidRPr="004F318D" w:rsidRDefault="000867D8" w:rsidP="000867D8">
            <w:pPr>
              <w:spacing w:before="0" w:line="240" w:lineRule="auto"/>
              <w:rPr>
                <w:sz w:val="14"/>
                <w:szCs w:val="14"/>
              </w:rPr>
            </w:pPr>
            <w:r w:rsidRPr="004F318D">
              <w:rPr>
                <w:sz w:val="14"/>
                <w:szCs w:val="14"/>
              </w:rPr>
              <w:t>Remote communities</w:t>
            </w:r>
          </w:p>
        </w:tc>
      </w:tr>
      <w:tr w:rsidR="000867D8" w:rsidRPr="004F318D" w14:paraId="44E6E040" w14:textId="77777777" w:rsidTr="000867D8">
        <w:trPr>
          <w:trHeight w:val="338"/>
          <w:tblHeader/>
        </w:trPr>
        <w:tc>
          <w:tcPr>
            <w:tcW w:w="4965" w:type="dxa"/>
            <w:vMerge/>
          </w:tcPr>
          <w:p w14:paraId="258FB425" w14:textId="77777777" w:rsidR="000867D8" w:rsidRPr="004F318D" w:rsidRDefault="000867D8" w:rsidP="000867D8">
            <w:pPr>
              <w:spacing w:line="240" w:lineRule="auto"/>
              <w:rPr>
                <w:noProof/>
                <w:lang w:eastAsia="en-AU"/>
              </w:rPr>
            </w:pPr>
          </w:p>
        </w:tc>
        <w:tc>
          <w:tcPr>
            <w:tcW w:w="2545" w:type="dxa"/>
            <w:shd w:val="clear" w:color="auto" w:fill="FFFFCC"/>
            <w:vAlign w:val="center"/>
          </w:tcPr>
          <w:p w14:paraId="14FEAB3D" w14:textId="77777777" w:rsidR="000867D8" w:rsidRPr="004F318D" w:rsidRDefault="000867D8" w:rsidP="000867D8">
            <w:pPr>
              <w:spacing w:before="0" w:line="240" w:lineRule="auto"/>
              <w:jc w:val="center"/>
              <w:rPr>
                <w:sz w:val="14"/>
                <w:szCs w:val="14"/>
              </w:rPr>
            </w:pPr>
            <w:r w:rsidRPr="004F318D">
              <w:rPr>
                <w:sz w:val="14"/>
                <w:szCs w:val="14"/>
              </w:rPr>
              <w:t>MM7</w:t>
            </w:r>
          </w:p>
        </w:tc>
        <w:tc>
          <w:tcPr>
            <w:tcW w:w="1876" w:type="dxa"/>
            <w:vAlign w:val="center"/>
          </w:tcPr>
          <w:p w14:paraId="08FBF4B1" w14:textId="77777777" w:rsidR="000867D8" w:rsidRPr="004F318D" w:rsidRDefault="000867D8" w:rsidP="000867D8">
            <w:pPr>
              <w:spacing w:before="0" w:line="240" w:lineRule="auto"/>
              <w:rPr>
                <w:sz w:val="14"/>
                <w:szCs w:val="14"/>
              </w:rPr>
            </w:pPr>
            <w:r w:rsidRPr="004F318D">
              <w:rPr>
                <w:sz w:val="14"/>
                <w:szCs w:val="14"/>
              </w:rPr>
              <w:t>Very remote communities</w:t>
            </w:r>
          </w:p>
        </w:tc>
      </w:tr>
      <w:tr w:rsidR="000867D8" w:rsidRPr="004F318D" w14:paraId="6326326A" w14:textId="77777777" w:rsidTr="000867D8">
        <w:trPr>
          <w:trHeight w:val="215"/>
          <w:tblHeader/>
        </w:trPr>
        <w:tc>
          <w:tcPr>
            <w:tcW w:w="4965" w:type="dxa"/>
            <w:vMerge/>
          </w:tcPr>
          <w:p w14:paraId="6835C8B2" w14:textId="77777777" w:rsidR="000867D8" w:rsidRPr="004F318D" w:rsidRDefault="000867D8" w:rsidP="000867D8">
            <w:pPr>
              <w:spacing w:line="240" w:lineRule="auto"/>
              <w:rPr>
                <w:noProof/>
                <w:lang w:eastAsia="en-AU"/>
              </w:rPr>
            </w:pPr>
          </w:p>
        </w:tc>
        <w:tc>
          <w:tcPr>
            <w:tcW w:w="2545" w:type="dxa"/>
          </w:tcPr>
          <w:p w14:paraId="72613F82" w14:textId="77777777" w:rsidR="000867D8" w:rsidRPr="004F318D" w:rsidRDefault="000867D8" w:rsidP="000867D8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14:paraId="17CE5F2E" w14:textId="77777777" w:rsidR="000867D8" w:rsidRPr="004F318D" w:rsidRDefault="000867D8" w:rsidP="000867D8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tbl>
      <w:tblPr>
        <w:tblStyle w:val="GridTable5Dark-Accent3"/>
        <w:tblpPr w:leftFromText="180" w:rightFromText="180" w:vertAnchor="text" w:horzAnchor="margin" w:tblpY="2615"/>
        <w:tblW w:w="9923" w:type="dxa"/>
        <w:tblLook w:val="04A0" w:firstRow="1" w:lastRow="0" w:firstColumn="1" w:lastColumn="0" w:noHBand="0" w:noVBand="1"/>
        <w:tblCaption w:val="Modified Monsh Map Legend"/>
        <w:tblDescription w:val="This legend shows the colours, category and town size for each of the seven Modified Monash categories that are shown on the map."/>
      </w:tblPr>
      <w:tblGrid>
        <w:gridCol w:w="1985"/>
        <w:gridCol w:w="7938"/>
      </w:tblGrid>
      <w:tr w:rsidR="000867D8" w:rsidRPr="004F318D" w14:paraId="32226265" w14:textId="77777777" w:rsidTr="00086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197DAF"/>
            <w:vAlign w:val="center"/>
          </w:tcPr>
          <w:p w14:paraId="4B68EA05" w14:textId="11F72952" w:rsidR="000867D8" w:rsidRPr="004F318D" w:rsidRDefault="000867D8" w:rsidP="000867D8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318D">
              <w:rPr>
                <w:rFonts w:cs="Arial"/>
                <w:sz w:val="20"/>
                <w:szCs w:val="20"/>
              </w:rPr>
              <w:t xml:space="preserve">Modified Monash </w:t>
            </w:r>
            <w:r w:rsidRPr="004F318D">
              <w:rPr>
                <w:rFonts w:cs="Arial"/>
                <w:sz w:val="20"/>
                <w:szCs w:val="20"/>
              </w:rPr>
              <w:br/>
              <w:t>Category (MMM 20</w:t>
            </w:r>
            <w:r w:rsidR="007359F7">
              <w:rPr>
                <w:rFonts w:cs="Arial"/>
                <w:sz w:val="20"/>
                <w:szCs w:val="20"/>
              </w:rPr>
              <w:t>23</w:t>
            </w:r>
            <w:r w:rsidRPr="004F318D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7938" w:type="dxa"/>
            <w:shd w:val="clear" w:color="auto" w:fill="2F5496" w:themeFill="accent1" w:themeFillShade="BF"/>
            <w:vAlign w:val="center"/>
          </w:tcPr>
          <w:p w14:paraId="12E68FAC" w14:textId="25CBAAD8" w:rsidR="000867D8" w:rsidRPr="004F318D" w:rsidRDefault="000867D8" w:rsidP="005E6C8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F318D">
              <w:rPr>
                <w:rFonts w:cs="Arial"/>
                <w:sz w:val="20"/>
                <w:szCs w:val="20"/>
              </w:rPr>
              <w:t xml:space="preserve">Description (including the Australian </w:t>
            </w:r>
            <w:r w:rsidR="005E6C8A">
              <w:rPr>
                <w:rFonts w:cs="Arial"/>
                <w:sz w:val="20"/>
                <w:szCs w:val="20"/>
              </w:rPr>
              <w:t>Statistical Geography</w:t>
            </w:r>
            <w:r w:rsidRPr="004F318D">
              <w:rPr>
                <w:rFonts w:cs="Arial"/>
                <w:sz w:val="20"/>
                <w:szCs w:val="20"/>
              </w:rPr>
              <w:t xml:space="preserve"> </w:t>
            </w:r>
            <w:r w:rsidR="005E6C8A">
              <w:rPr>
                <w:rFonts w:cs="Arial"/>
                <w:sz w:val="20"/>
                <w:szCs w:val="20"/>
              </w:rPr>
              <w:t>Standard</w:t>
            </w:r>
            <w:r w:rsidRPr="004F318D">
              <w:rPr>
                <w:rFonts w:cs="Arial"/>
                <w:sz w:val="20"/>
                <w:szCs w:val="20"/>
              </w:rPr>
              <w:t xml:space="preserve"> – </w:t>
            </w:r>
            <w:r w:rsidRPr="004F318D">
              <w:rPr>
                <w:rFonts w:cs="Arial"/>
                <w:sz w:val="20"/>
                <w:szCs w:val="20"/>
              </w:rPr>
              <w:br/>
              <w:t>Remoteness Area (20</w:t>
            </w:r>
            <w:r w:rsidR="0001137C">
              <w:rPr>
                <w:rFonts w:cs="Arial"/>
                <w:sz w:val="20"/>
                <w:szCs w:val="20"/>
              </w:rPr>
              <w:t>21</w:t>
            </w:r>
            <w:r w:rsidRPr="004F318D">
              <w:rPr>
                <w:rFonts w:cs="Arial"/>
                <w:sz w:val="20"/>
                <w:szCs w:val="20"/>
              </w:rPr>
              <w:t>)</w:t>
            </w:r>
          </w:p>
        </w:tc>
      </w:tr>
      <w:tr w:rsidR="000867D8" w:rsidRPr="004F318D" w14:paraId="6B6F9E94" w14:textId="77777777" w:rsidTr="00086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B4C6E7" w:themeFill="accent1" w:themeFillTint="66"/>
            <w:vAlign w:val="center"/>
          </w:tcPr>
          <w:p w14:paraId="6C259D46" w14:textId="77777777" w:rsidR="000867D8" w:rsidRPr="004F318D" w:rsidRDefault="000867D8" w:rsidP="000867D8">
            <w:pPr>
              <w:spacing w:before="0" w:after="0" w:line="240" w:lineRule="auto"/>
              <w:jc w:val="center"/>
              <w:rPr>
                <w:rFonts w:cs="Arial"/>
                <w:color w:val="1F4E79" w:themeColor="accent5" w:themeShade="80"/>
                <w:szCs w:val="22"/>
              </w:rPr>
            </w:pPr>
            <w:r w:rsidRPr="004F318D">
              <w:rPr>
                <w:rFonts w:cs="Arial"/>
                <w:color w:val="1F4E79" w:themeColor="accent5" w:themeShade="80"/>
                <w:szCs w:val="22"/>
              </w:rPr>
              <w:t>MM 1</w:t>
            </w:r>
          </w:p>
        </w:tc>
        <w:tc>
          <w:tcPr>
            <w:tcW w:w="7938" w:type="dxa"/>
            <w:shd w:val="clear" w:color="auto" w:fill="E7E6E6" w:themeFill="background2"/>
            <w:vAlign w:val="center"/>
          </w:tcPr>
          <w:p w14:paraId="7A0F656F" w14:textId="77777777" w:rsidR="000867D8" w:rsidRPr="004F318D" w:rsidRDefault="000867D8" w:rsidP="000867D8">
            <w:pPr>
              <w:spacing w:before="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F318D">
              <w:rPr>
                <w:rFonts w:cs="Arial"/>
                <w:b/>
                <w:sz w:val="18"/>
                <w:szCs w:val="18"/>
              </w:rPr>
              <w:t>Metropolitan areas:</w:t>
            </w:r>
            <w:r w:rsidRPr="004F318D">
              <w:rPr>
                <w:rFonts w:cs="Arial"/>
                <w:sz w:val="18"/>
                <w:szCs w:val="18"/>
              </w:rPr>
              <w:t xml:space="preserve"> Major cities accounting for 70% of Australia’s population</w:t>
            </w:r>
          </w:p>
          <w:p w14:paraId="3BB35FD1" w14:textId="77777777" w:rsidR="000867D8" w:rsidRPr="004F318D" w:rsidRDefault="000867D8" w:rsidP="000867D8">
            <w:pPr>
              <w:spacing w:before="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B7FD3">
              <w:rPr>
                <w:rFonts w:cs="Arial"/>
                <w:sz w:val="18"/>
                <w:szCs w:val="18"/>
              </w:rPr>
              <w:t>All areas categorised ASGS-RA1.</w:t>
            </w:r>
          </w:p>
        </w:tc>
      </w:tr>
      <w:tr w:rsidR="000867D8" w:rsidRPr="004F318D" w14:paraId="2312D960" w14:textId="77777777" w:rsidTr="00086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B4C6E7" w:themeFill="accent1" w:themeFillTint="66"/>
            <w:vAlign w:val="center"/>
          </w:tcPr>
          <w:p w14:paraId="342382CF" w14:textId="77777777" w:rsidR="000867D8" w:rsidRPr="004F318D" w:rsidRDefault="000867D8" w:rsidP="000867D8">
            <w:pPr>
              <w:spacing w:before="0" w:after="0" w:line="240" w:lineRule="auto"/>
              <w:jc w:val="center"/>
              <w:rPr>
                <w:rFonts w:cs="Arial"/>
                <w:color w:val="1F4E79"/>
                <w:szCs w:val="22"/>
              </w:rPr>
            </w:pPr>
            <w:r w:rsidRPr="004F318D">
              <w:rPr>
                <w:rFonts w:cs="Arial"/>
                <w:color w:val="1F4E79"/>
                <w:szCs w:val="22"/>
              </w:rPr>
              <w:t>MM 2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14:paraId="515E2088" w14:textId="77777777" w:rsidR="000867D8" w:rsidRPr="004F318D" w:rsidRDefault="000867D8" w:rsidP="000867D8">
            <w:pPr>
              <w:spacing w:before="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F318D">
              <w:rPr>
                <w:rFonts w:cs="Arial"/>
                <w:b/>
                <w:sz w:val="18"/>
                <w:szCs w:val="18"/>
              </w:rPr>
              <w:t>Regional centres:</w:t>
            </w:r>
            <w:r w:rsidRPr="004F318D">
              <w:rPr>
                <w:rFonts w:cs="Arial"/>
                <w:sz w:val="18"/>
                <w:szCs w:val="18"/>
              </w:rPr>
              <w:t xml:space="preserve"> Inner (ASGS-RA 2) and Outer Regional (ASGS-RA 3) areas that are in, or within a 20km drive of a town with over 50,000 residents. </w:t>
            </w:r>
            <w:r w:rsidRPr="004F318D">
              <w:rPr>
                <w:rFonts w:cs="Arial"/>
                <w:sz w:val="18"/>
                <w:szCs w:val="18"/>
              </w:rPr>
              <w:br/>
              <w:t>For example: Ballarat, Mackay, Toowoomba, Kiama, Albury, Bunbury.</w:t>
            </w:r>
          </w:p>
        </w:tc>
      </w:tr>
      <w:tr w:rsidR="000867D8" w:rsidRPr="004F318D" w14:paraId="174DE6C4" w14:textId="77777777" w:rsidTr="00086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B4C6E7" w:themeFill="accent1" w:themeFillTint="66"/>
            <w:vAlign w:val="center"/>
          </w:tcPr>
          <w:p w14:paraId="2529F4CB" w14:textId="77777777" w:rsidR="000867D8" w:rsidRPr="004F318D" w:rsidRDefault="000867D8" w:rsidP="000867D8">
            <w:pPr>
              <w:spacing w:before="0" w:after="0" w:line="240" w:lineRule="auto"/>
              <w:jc w:val="center"/>
              <w:rPr>
                <w:rFonts w:cs="Arial"/>
                <w:color w:val="1F4E79" w:themeColor="accent5" w:themeShade="80"/>
                <w:szCs w:val="22"/>
              </w:rPr>
            </w:pPr>
            <w:r w:rsidRPr="004F318D">
              <w:rPr>
                <w:rFonts w:cs="Arial"/>
                <w:color w:val="1F4E79" w:themeColor="accent5" w:themeShade="80"/>
                <w:szCs w:val="22"/>
              </w:rPr>
              <w:t>MM 3</w:t>
            </w:r>
          </w:p>
        </w:tc>
        <w:tc>
          <w:tcPr>
            <w:tcW w:w="7938" w:type="dxa"/>
            <w:shd w:val="clear" w:color="auto" w:fill="E7E6E6" w:themeFill="background2"/>
            <w:vAlign w:val="center"/>
          </w:tcPr>
          <w:p w14:paraId="55A0DD12" w14:textId="77777777" w:rsidR="000867D8" w:rsidRPr="004F318D" w:rsidRDefault="000867D8" w:rsidP="000867D8">
            <w:pPr>
              <w:spacing w:before="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F318D">
              <w:rPr>
                <w:rFonts w:cs="Arial"/>
                <w:b/>
                <w:sz w:val="18"/>
                <w:szCs w:val="18"/>
              </w:rPr>
              <w:t xml:space="preserve">Large rural towns: </w:t>
            </w:r>
            <w:r w:rsidRPr="004F318D">
              <w:rPr>
                <w:rFonts w:cs="Arial"/>
                <w:sz w:val="18"/>
                <w:szCs w:val="18"/>
              </w:rPr>
              <w:t>Inner (ASGS-RA 2) and Outer Regional (ASGS-RA 3) areas that are not MM 2 and are in, or within a 15km drive of a town between 15,000 to 50,000 residents. For example: Dubbo, Lismore, Yeppoon, Busselton.</w:t>
            </w:r>
          </w:p>
        </w:tc>
      </w:tr>
      <w:tr w:rsidR="000867D8" w:rsidRPr="004F318D" w14:paraId="0181DD8A" w14:textId="77777777" w:rsidTr="00086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B4C6E7" w:themeFill="accent1" w:themeFillTint="66"/>
            <w:vAlign w:val="center"/>
          </w:tcPr>
          <w:p w14:paraId="229A9DE9" w14:textId="77777777" w:rsidR="000867D8" w:rsidRPr="004F318D" w:rsidRDefault="000867D8" w:rsidP="000867D8">
            <w:pPr>
              <w:spacing w:before="0" w:after="0" w:line="240" w:lineRule="auto"/>
              <w:jc w:val="center"/>
              <w:rPr>
                <w:rFonts w:cs="Arial"/>
                <w:color w:val="1F4E79" w:themeColor="accent5" w:themeShade="80"/>
                <w:szCs w:val="22"/>
              </w:rPr>
            </w:pPr>
            <w:r w:rsidRPr="004F318D">
              <w:rPr>
                <w:rFonts w:cs="Arial"/>
                <w:color w:val="1F4E79" w:themeColor="accent5" w:themeShade="80"/>
                <w:szCs w:val="22"/>
              </w:rPr>
              <w:t>MM 4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14:paraId="20A8A9AC" w14:textId="77777777" w:rsidR="000867D8" w:rsidRPr="004F318D" w:rsidRDefault="000867D8" w:rsidP="000867D8">
            <w:pPr>
              <w:spacing w:before="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F318D">
              <w:rPr>
                <w:rFonts w:cs="Arial"/>
                <w:b/>
                <w:sz w:val="18"/>
                <w:szCs w:val="18"/>
              </w:rPr>
              <w:t>Medium rural towns:</w:t>
            </w:r>
            <w:r w:rsidRPr="004F318D">
              <w:rPr>
                <w:rFonts w:cs="Arial"/>
                <w:sz w:val="18"/>
                <w:szCs w:val="18"/>
              </w:rPr>
              <w:t xml:space="preserve"> Inner (ASGS-RA 2) and Outer Regional (ASGS-RA 3) areas that are not MM 2 or MM 3, and are in, or within a 10km drive of a town with between 5,000 to 15,000 residents. For example: Port Augusta, Charters Towers, Moree.</w:t>
            </w:r>
          </w:p>
        </w:tc>
      </w:tr>
      <w:tr w:rsidR="000867D8" w:rsidRPr="004F318D" w14:paraId="61FEDE17" w14:textId="77777777" w:rsidTr="00086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B4C6E7" w:themeFill="accent1" w:themeFillTint="66"/>
            <w:vAlign w:val="center"/>
          </w:tcPr>
          <w:p w14:paraId="6E1CB77E" w14:textId="77777777" w:rsidR="000867D8" w:rsidRPr="004F318D" w:rsidRDefault="000867D8" w:rsidP="000867D8">
            <w:pPr>
              <w:spacing w:before="0" w:after="0" w:line="240" w:lineRule="auto"/>
              <w:jc w:val="center"/>
              <w:rPr>
                <w:rFonts w:cs="Arial"/>
                <w:color w:val="1F4E79" w:themeColor="accent5" w:themeShade="80"/>
                <w:szCs w:val="22"/>
              </w:rPr>
            </w:pPr>
            <w:r w:rsidRPr="004F318D">
              <w:rPr>
                <w:rFonts w:cs="Arial"/>
                <w:color w:val="1F4E79" w:themeColor="accent5" w:themeShade="80"/>
                <w:szCs w:val="22"/>
              </w:rPr>
              <w:t>MM 5</w:t>
            </w:r>
          </w:p>
        </w:tc>
        <w:tc>
          <w:tcPr>
            <w:tcW w:w="7938" w:type="dxa"/>
            <w:shd w:val="clear" w:color="auto" w:fill="E7E6E6" w:themeFill="background2"/>
            <w:vAlign w:val="center"/>
          </w:tcPr>
          <w:p w14:paraId="5EB85E19" w14:textId="77777777" w:rsidR="000867D8" w:rsidRPr="004F318D" w:rsidRDefault="000867D8" w:rsidP="000867D8">
            <w:pPr>
              <w:spacing w:before="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F318D">
              <w:rPr>
                <w:rFonts w:cs="Arial"/>
                <w:b/>
                <w:sz w:val="18"/>
                <w:szCs w:val="18"/>
              </w:rPr>
              <w:t xml:space="preserve">Small rural towns: </w:t>
            </w:r>
            <w:r w:rsidRPr="004F318D">
              <w:rPr>
                <w:rFonts w:cs="Arial"/>
                <w:sz w:val="18"/>
                <w:szCs w:val="18"/>
              </w:rPr>
              <w:t xml:space="preserve">All remaining Inner (ASGS-RA 2) and Outer Regional </w:t>
            </w:r>
            <w:r w:rsidRPr="004F318D">
              <w:rPr>
                <w:rFonts w:cs="Arial"/>
                <w:sz w:val="18"/>
                <w:szCs w:val="18"/>
              </w:rPr>
              <w:br/>
              <w:t>(ASGS-RA 3) areas. For example: Mount Buller, Moruya, Renmark, Condamine.</w:t>
            </w:r>
          </w:p>
        </w:tc>
      </w:tr>
      <w:tr w:rsidR="000867D8" w:rsidRPr="004F318D" w14:paraId="0DD5AA90" w14:textId="77777777" w:rsidTr="00086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B4C6E7" w:themeFill="accent1" w:themeFillTint="66"/>
            <w:vAlign w:val="center"/>
          </w:tcPr>
          <w:p w14:paraId="099AFF9C" w14:textId="77777777" w:rsidR="000867D8" w:rsidRPr="004F318D" w:rsidRDefault="000867D8" w:rsidP="000867D8">
            <w:pPr>
              <w:spacing w:before="0" w:after="0" w:line="240" w:lineRule="auto"/>
              <w:jc w:val="center"/>
              <w:rPr>
                <w:rFonts w:cs="Arial"/>
                <w:color w:val="1F4E79" w:themeColor="accent5" w:themeShade="80"/>
                <w:szCs w:val="22"/>
              </w:rPr>
            </w:pPr>
            <w:r w:rsidRPr="004F318D">
              <w:rPr>
                <w:rFonts w:cs="Arial"/>
                <w:color w:val="1F4E79" w:themeColor="accent5" w:themeShade="80"/>
                <w:szCs w:val="22"/>
              </w:rPr>
              <w:t>MM 6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14:paraId="1A4CC2B0" w14:textId="77777777" w:rsidR="000867D8" w:rsidRPr="004F318D" w:rsidRDefault="000867D8" w:rsidP="000867D8">
            <w:pPr>
              <w:spacing w:before="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F318D">
              <w:rPr>
                <w:rFonts w:cs="Arial"/>
                <w:b/>
                <w:sz w:val="18"/>
                <w:szCs w:val="18"/>
              </w:rPr>
              <w:t>Remote communities:</w:t>
            </w:r>
            <w:r w:rsidRPr="004F318D">
              <w:rPr>
                <w:rFonts w:cs="Arial"/>
                <w:sz w:val="18"/>
                <w:szCs w:val="18"/>
              </w:rPr>
              <w:t xml:space="preserve"> Remote mainland areas (ASGS-RA 4) AND remote islands less than 5kms offshore. For example: Cape Tribulation, Lightning Ridge, Alice Springs, Mallacoota, Port Hedland. Additionally, islands that have an MM 5 classification with a population of less than 1,000 without bridges to the mainland will now be classified as MM 6 for example: Bruny Island.</w:t>
            </w:r>
          </w:p>
        </w:tc>
      </w:tr>
      <w:tr w:rsidR="000867D8" w:rsidRPr="004F318D" w14:paraId="7B27AD8B" w14:textId="77777777" w:rsidTr="00086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B4C6E7" w:themeFill="accent1" w:themeFillTint="66"/>
            <w:vAlign w:val="center"/>
          </w:tcPr>
          <w:p w14:paraId="58FD1ADF" w14:textId="77777777" w:rsidR="000867D8" w:rsidRPr="004F318D" w:rsidRDefault="000867D8" w:rsidP="000867D8">
            <w:pPr>
              <w:spacing w:before="0" w:after="0" w:line="240" w:lineRule="auto"/>
              <w:jc w:val="center"/>
              <w:rPr>
                <w:rFonts w:cs="Arial"/>
                <w:color w:val="1F4E79" w:themeColor="accent5" w:themeShade="80"/>
                <w:szCs w:val="22"/>
              </w:rPr>
            </w:pPr>
            <w:r w:rsidRPr="004F318D">
              <w:rPr>
                <w:rFonts w:cs="Arial"/>
                <w:color w:val="1F4E79" w:themeColor="accent5" w:themeShade="80"/>
                <w:szCs w:val="22"/>
              </w:rPr>
              <w:t>MM 7</w:t>
            </w:r>
          </w:p>
        </w:tc>
        <w:tc>
          <w:tcPr>
            <w:tcW w:w="7938" w:type="dxa"/>
            <w:shd w:val="clear" w:color="auto" w:fill="E7E6E6" w:themeFill="background2"/>
            <w:vAlign w:val="center"/>
          </w:tcPr>
          <w:p w14:paraId="00FCBE93" w14:textId="77777777" w:rsidR="000867D8" w:rsidRPr="004F318D" w:rsidRDefault="000867D8" w:rsidP="000867D8">
            <w:pPr>
              <w:spacing w:before="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F318D">
              <w:rPr>
                <w:rFonts w:cs="Arial"/>
                <w:b/>
                <w:sz w:val="18"/>
                <w:szCs w:val="18"/>
              </w:rPr>
              <w:t xml:space="preserve">Very remote communities: </w:t>
            </w:r>
            <w:r w:rsidRPr="004F318D">
              <w:rPr>
                <w:rFonts w:cs="Arial"/>
                <w:sz w:val="18"/>
                <w:szCs w:val="18"/>
              </w:rPr>
              <w:t>Very remote areas (ASGS-RA 5). For example: Longreach, Coober Pedy, Thursday Island and all other remote island</w:t>
            </w:r>
            <w:r w:rsidRPr="002B7FD3">
              <w:rPr>
                <w:rFonts w:cs="Arial"/>
                <w:sz w:val="18"/>
                <w:szCs w:val="18"/>
              </w:rPr>
              <w:t xml:space="preserve"> areas more than 5kms offshore.</w:t>
            </w:r>
          </w:p>
        </w:tc>
      </w:tr>
    </w:tbl>
    <w:p w14:paraId="3C39AAC7" w14:textId="391E4EB6" w:rsidR="00D66AB9" w:rsidRPr="004F318D" w:rsidRDefault="004F318D" w:rsidP="00964616">
      <w:pPr>
        <w:spacing w:line="240" w:lineRule="auto"/>
        <w:ind w:right="-147"/>
        <w:rPr>
          <w:iCs/>
          <w:szCs w:val="22"/>
        </w:rPr>
      </w:pPr>
      <w:r w:rsidRPr="004F318D">
        <w:rPr>
          <w:iCs/>
          <w:szCs w:val="22"/>
        </w:rPr>
        <w:t>MMM 20</w:t>
      </w:r>
      <w:r w:rsidR="004F5282">
        <w:rPr>
          <w:iCs/>
          <w:szCs w:val="22"/>
        </w:rPr>
        <w:t xml:space="preserve">23 classifications throughout Australia </w:t>
      </w:r>
      <w:r w:rsidRPr="004F318D">
        <w:rPr>
          <w:iCs/>
          <w:szCs w:val="22"/>
        </w:rPr>
        <w:t>can be viewed</w:t>
      </w:r>
      <w:r w:rsidR="0001137C">
        <w:rPr>
          <w:iCs/>
          <w:szCs w:val="22"/>
        </w:rPr>
        <w:t xml:space="preserve"> on the</w:t>
      </w:r>
      <w:r w:rsidRPr="004F318D">
        <w:rPr>
          <w:iCs/>
          <w:szCs w:val="22"/>
        </w:rPr>
        <w:t xml:space="preserve"> </w:t>
      </w:r>
      <w:hyperlink r:id="rId12" w:history="1">
        <w:r w:rsidR="0001137C">
          <w:rPr>
            <w:rStyle w:val="Hyperlink"/>
            <w:iCs/>
            <w:szCs w:val="22"/>
          </w:rPr>
          <w:t>Health Workforce Locator</w:t>
        </w:r>
      </w:hyperlink>
      <w:r w:rsidR="0001137C">
        <w:rPr>
          <w:iCs/>
          <w:szCs w:val="22"/>
        </w:rPr>
        <w:t xml:space="preserve">. </w:t>
      </w:r>
    </w:p>
    <w:sectPr w:rsidR="00D66AB9" w:rsidRPr="004F318D" w:rsidSect="004750DE">
      <w:headerReference w:type="first" r:id="rId13"/>
      <w:type w:val="continuous"/>
      <w:pgSz w:w="11900" w:h="16840"/>
      <w:pgMar w:top="1006" w:right="1418" w:bottom="993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8A0BB" w14:textId="77777777" w:rsidR="00917E90" w:rsidRDefault="00917E90" w:rsidP="00F15E50">
      <w:pPr>
        <w:spacing w:before="0" w:line="240" w:lineRule="auto"/>
      </w:pPr>
      <w:r>
        <w:separator/>
      </w:r>
    </w:p>
  </w:endnote>
  <w:endnote w:type="continuationSeparator" w:id="0">
    <w:p w14:paraId="1BAB1461" w14:textId="77777777" w:rsidR="00917E90" w:rsidRDefault="00917E90" w:rsidP="00F15E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5F359" w14:textId="77777777" w:rsidR="00917E90" w:rsidRDefault="00917E90" w:rsidP="00F15E50">
      <w:pPr>
        <w:spacing w:before="0" w:line="240" w:lineRule="auto"/>
      </w:pPr>
      <w:r>
        <w:separator/>
      </w:r>
    </w:p>
  </w:footnote>
  <w:footnote w:type="continuationSeparator" w:id="0">
    <w:p w14:paraId="519592AC" w14:textId="77777777" w:rsidR="00917E90" w:rsidRDefault="00917E90" w:rsidP="00F15E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89FC5" w14:textId="77777777" w:rsidR="00B54DA8" w:rsidRPr="00B54DA8" w:rsidRDefault="00862883" w:rsidP="00B54DA8">
    <w:pPr>
      <w:pStyle w:val="Header"/>
    </w:pPr>
    <w:r>
      <w:rPr>
        <w:noProof/>
        <w:lang w:val="en-GB" w:eastAsia="en-GB"/>
      </w:rPr>
      <w:drawing>
        <wp:inline distT="0" distB="0" distL="0" distR="0" wp14:anchorId="547B6FCB" wp14:editId="3F871AC1">
          <wp:extent cx="5755640" cy="1043605"/>
          <wp:effectExtent l="0" t="0" r="0" b="4445"/>
          <wp:docPr id="4" name="Picture 4" descr="Australian Government Department of Health Logo" title="Australian Government 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s:Design Files:WIPs:Alicia:WIP Alicia:12307 Department of Health Visual Identity:12307 A4 Word Factsheet Template:12307 A4 Fact sheet header image Folder:Links:wor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04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B782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8787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5B9B"/>
      </w:rPr>
    </w:lvl>
  </w:abstractNum>
  <w:abstractNum w:abstractNumId="2" w15:restartNumberingAfterBreak="0">
    <w:nsid w:val="FFFFFF89"/>
    <w:multiLevelType w:val="singleLevel"/>
    <w:tmpl w:val="A1C8EA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B9B"/>
      </w:rPr>
    </w:lvl>
  </w:abstractNum>
  <w:abstractNum w:abstractNumId="3" w15:restartNumberingAfterBreak="0">
    <w:nsid w:val="0D1476A8"/>
    <w:multiLevelType w:val="multilevel"/>
    <w:tmpl w:val="C7EC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2A16D7"/>
    <w:multiLevelType w:val="multilevel"/>
    <w:tmpl w:val="857C8D7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A14D4"/>
    <w:multiLevelType w:val="hybridMultilevel"/>
    <w:tmpl w:val="95EA9C7A"/>
    <w:lvl w:ilvl="0" w:tplc="8444C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A65E2"/>
    <w:multiLevelType w:val="hybridMultilevel"/>
    <w:tmpl w:val="9A308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22427"/>
    <w:multiLevelType w:val="hybridMultilevel"/>
    <w:tmpl w:val="E2EAD356"/>
    <w:lvl w:ilvl="0" w:tplc="64AE04B4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  <w:color w:val="35818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56E88"/>
    <w:multiLevelType w:val="hybridMultilevel"/>
    <w:tmpl w:val="52923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B6D04"/>
    <w:multiLevelType w:val="hybridMultilevel"/>
    <w:tmpl w:val="5CC6AF52"/>
    <w:lvl w:ilvl="0" w:tplc="37646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5B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77B20"/>
    <w:multiLevelType w:val="hybridMultilevel"/>
    <w:tmpl w:val="866C7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C549C"/>
    <w:multiLevelType w:val="hybridMultilevel"/>
    <w:tmpl w:val="66846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84724"/>
    <w:multiLevelType w:val="multilevel"/>
    <w:tmpl w:val="8676EFC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34827"/>
    <w:multiLevelType w:val="hybridMultilevel"/>
    <w:tmpl w:val="CF66F0B2"/>
    <w:lvl w:ilvl="0" w:tplc="E0DABF2E">
      <w:start w:val="1"/>
      <w:numFmt w:val="bullet"/>
      <w:pStyle w:val="Policystyle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F5488"/>
    <w:multiLevelType w:val="multilevel"/>
    <w:tmpl w:val="1F2668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226780">
    <w:abstractNumId w:val="2"/>
  </w:num>
  <w:num w:numId="2" w16cid:durableId="187066531">
    <w:abstractNumId w:val="2"/>
  </w:num>
  <w:num w:numId="3" w16cid:durableId="910850659">
    <w:abstractNumId w:val="1"/>
  </w:num>
  <w:num w:numId="4" w16cid:durableId="2018193099">
    <w:abstractNumId w:val="1"/>
  </w:num>
  <w:num w:numId="5" w16cid:durableId="1873226196">
    <w:abstractNumId w:val="0"/>
  </w:num>
  <w:num w:numId="6" w16cid:durableId="1907837605">
    <w:abstractNumId w:val="9"/>
  </w:num>
  <w:num w:numId="7" w16cid:durableId="388306032">
    <w:abstractNumId w:val="13"/>
  </w:num>
  <w:num w:numId="8" w16cid:durableId="799349077">
    <w:abstractNumId w:val="4"/>
  </w:num>
  <w:num w:numId="9" w16cid:durableId="1119109570">
    <w:abstractNumId w:val="7"/>
  </w:num>
  <w:num w:numId="10" w16cid:durableId="1542353917">
    <w:abstractNumId w:val="12"/>
  </w:num>
  <w:num w:numId="11" w16cid:durableId="1272127988">
    <w:abstractNumId w:val="14"/>
  </w:num>
  <w:num w:numId="12" w16cid:durableId="1748575219">
    <w:abstractNumId w:val="3"/>
  </w:num>
  <w:num w:numId="13" w16cid:durableId="1226724433">
    <w:abstractNumId w:val="5"/>
  </w:num>
  <w:num w:numId="14" w16cid:durableId="632096926">
    <w:abstractNumId w:val="6"/>
  </w:num>
  <w:num w:numId="15" w16cid:durableId="209073478">
    <w:abstractNumId w:val="8"/>
  </w:num>
  <w:num w:numId="16" w16cid:durableId="1966276741">
    <w:abstractNumId w:val="10"/>
  </w:num>
  <w:num w:numId="17" w16cid:durableId="2132362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B"/>
    <w:rsid w:val="0001137C"/>
    <w:rsid w:val="00016E79"/>
    <w:rsid w:val="00046D05"/>
    <w:rsid w:val="0004738B"/>
    <w:rsid w:val="0008333A"/>
    <w:rsid w:val="000867D8"/>
    <w:rsid w:val="000F17C5"/>
    <w:rsid w:val="000F714E"/>
    <w:rsid w:val="001108B0"/>
    <w:rsid w:val="00112748"/>
    <w:rsid w:val="001220D1"/>
    <w:rsid w:val="0012623C"/>
    <w:rsid w:val="001351FA"/>
    <w:rsid w:val="0015575A"/>
    <w:rsid w:val="001611D8"/>
    <w:rsid w:val="001811A0"/>
    <w:rsid w:val="00192C30"/>
    <w:rsid w:val="001D2C9F"/>
    <w:rsid w:val="001D3B66"/>
    <w:rsid w:val="001E0E0E"/>
    <w:rsid w:val="00255EA8"/>
    <w:rsid w:val="002733B8"/>
    <w:rsid w:val="00280458"/>
    <w:rsid w:val="0028138A"/>
    <w:rsid w:val="002853B4"/>
    <w:rsid w:val="00293D28"/>
    <w:rsid w:val="002A0192"/>
    <w:rsid w:val="002A71B0"/>
    <w:rsid w:val="002B2143"/>
    <w:rsid w:val="002B7FD3"/>
    <w:rsid w:val="002E28C3"/>
    <w:rsid w:val="002E5EA1"/>
    <w:rsid w:val="00326CE3"/>
    <w:rsid w:val="0033600D"/>
    <w:rsid w:val="00340D8E"/>
    <w:rsid w:val="00343087"/>
    <w:rsid w:val="003571BE"/>
    <w:rsid w:val="0035794B"/>
    <w:rsid w:val="00376416"/>
    <w:rsid w:val="003956D3"/>
    <w:rsid w:val="0039764F"/>
    <w:rsid w:val="003F64EA"/>
    <w:rsid w:val="00404FBA"/>
    <w:rsid w:val="0041384D"/>
    <w:rsid w:val="00441C2B"/>
    <w:rsid w:val="00446119"/>
    <w:rsid w:val="004750DE"/>
    <w:rsid w:val="0048194F"/>
    <w:rsid w:val="0048373F"/>
    <w:rsid w:val="0048376B"/>
    <w:rsid w:val="004B402B"/>
    <w:rsid w:val="004F318D"/>
    <w:rsid w:val="004F318E"/>
    <w:rsid w:val="004F5282"/>
    <w:rsid w:val="004F7BAA"/>
    <w:rsid w:val="005057BD"/>
    <w:rsid w:val="00506DC5"/>
    <w:rsid w:val="005305AD"/>
    <w:rsid w:val="00553D30"/>
    <w:rsid w:val="00557B05"/>
    <w:rsid w:val="00560F28"/>
    <w:rsid w:val="005613E4"/>
    <w:rsid w:val="0056770A"/>
    <w:rsid w:val="00584C5B"/>
    <w:rsid w:val="00585528"/>
    <w:rsid w:val="00585C07"/>
    <w:rsid w:val="005A521A"/>
    <w:rsid w:val="005A7BD9"/>
    <w:rsid w:val="005E6C8A"/>
    <w:rsid w:val="00616171"/>
    <w:rsid w:val="00624172"/>
    <w:rsid w:val="00625BFA"/>
    <w:rsid w:val="00630CA9"/>
    <w:rsid w:val="00643318"/>
    <w:rsid w:val="00647DAD"/>
    <w:rsid w:val="006743DA"/>
    <w:rsid w:val="00694E98"/>
    <w:rsid w:val="006A0CDD"/>
    <w:rsid w:val="006A7FC3"/>
    <w:rsid w:val="006D1A93"/>
    <w:rsid w:val="006E4A8E"/>
    <w:rsid w:val="006F2F6D"/>
    <w:rsid w:val="00710FA3"/>
    <w:rsid w:val="007359F7"/>
    <w:rsid w:val="0075034E"/>
    <w:rsid w:val="00760F3A"/>
    <w:rsid w:val="007651AB"/>
    <w:rsid w:val="007F136F"/>
    <w:rsid w:val="00805141"/>
    <w:rsid w:val="008074D9"/>
    <w:rsid w:val="0082306E"/>
    <w:rsid w:val="00830113"/>
    <w:rsid w:val="00835DAE"/>
    <w:rsid w:val="00841D2F"/>
    <w:rsid w:val="00843974"/>
    <w:rsid w:val="008603CF"/>
    <w:rsid w:val="00862883"/>
    <w:rsid w:val="00866DDA"/>
    <w:rsid w:val="00890A92"/>
    <w:rsid w:val="00911CE0"/>
    <w:rsid w:val="00917E90"/>
    <w:rsid w:val="0094077E"/>
    <w:rsid w:val="00952FE7"/>
    <w:rsid w:val="0095327E"/>
    <w:rsid w:val="00953ECC"/>
    <w:rsid w:val="009546F3"/>
    <w:rsid w:val="00964616"/>
    <w:rsid w:val="009823BB"/>
    <w:rsid w:val="009839C2"/>
    <w:rsid w:val="00985284"/>
    <w:rsid w:val="009A2F8F"/>
    <w:rsid w:val="009B15A3"/>
    <w:rsid w:val="009E3E31"/>
    <w:rsid w:val="009F57F5"/>
    <w:rsid w:val="00A02BA8"/>
    <w:rsid w:val="00A41839"/>
    <w:rsid w:val="00A629E0"/>
    <w:rsid w:val="00A80B48"/>
    <w:rsid w:val="00A82F19"/>
    <w:rsid w:val="00AA29B3"/>
    <w:rsid w:val="00AD03AF"/>
    <w:rsid w:val="00AD6700"/>
    <w:rsid w:val="00AE00D9"/>
    <w:rsid w:val="00AE57C3"/>
    <w:rsid w:val="00B17244"/>
    <w:rsid w:val="00B3247E"/>
    <w:rsid w:val="00B45EA4"/>
    <w:rsid w:val="00B5303D"/>
    <w:rsid w:val="00B53650"/>
    <w:rsid w:val="00B54DA8"/>
    <w:rsid w:val="00B75696"/>
    <w:rsid w:val="00BA2574"/>
    <w:rsid w:val="00BA30B2"/>
    <w:rsid w:val="00BB0ABF"/>
    <w:rsid w:val="00BC7855"/>
    <w:rsid w:val="00BF16AB"/>
    <w:rsid w:val="00C3105B"/>
    <w:rsid w:val="00C43A23"/>
    <w:rsid w:val="00C54702"/>
    <w:rsid w:val="00C61C95"/>
    <w:rsid w:val="00C67D7D"/>
    <w:rsid w:val="00C73231"/>
    <w:rsid w:val="00C74007"/>
    <w:rsid w:val="00CE352F"/>
    <w:rsid w:val="00D265AF"/>
    <w:rsid w:val="00D328C5"/>
    <w:rsid w:val="00D66AB9"/>
    <w:rsid w:val="00D75349"/>
    <w:rsid w:val="00D96E3A"/>
    <w:rsid w:val="00DA429F"/>
    <w:rsid w:val="00DC49D6"/>
    <w:rsid w:val="00DE7C03"/>
    <w:rsid w:val="00E000A7"/>
    <w:rsid w:val="00E04571"/>
    <w:rsid w:val="00E11610"/>
    <w:rsid w:val="00E26C31"/>
    <w:rsid w:val="00E35C66"/>
    <w:rsid w:val="00E542CB"/>
    <w:rsid w:val="00E57A43"/>
    <w:rsid w:val="00E8612E"/>
    <w:rsid w:val="00EA4E9D"/>
    <w:rsid w:val="00EB0E4F"/>
    <w:rsid w:val="00EC34BE"/>
    <w:rsid w:val="00ED136A"/>
    <w:rsid w:val="00F0316F"/>
    <w:rsid w:val="00F15E50"/>
    <w:rsid w:val="00F33CEE"/>
    <w:rsid w:val="00F62849"/>
    <w:rsid w:val="00F62ED4"/>
    <w:rsid w:val="00F71068"/>
    <w:rsid w:val="00F81571"/>
    <w:rsid w:val="00F83CEE"/>
    <w:rsid w:val="00FA62E3"/>
    <w:rsid w:val="00FB19F7"/>
    <w:rsid w:val="00FC6E53"/>
    <w:rsid w:val="00FE2CE0"/>
    <w:rsid w:val="00FF1F03"/>
    <w:rsid w:val="00FF381B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846F214"/>
  <w14:defaultImageDpi w14:val="32767"/>
  <w15:docId w15:val="{33731F00-AD1F-446E-972A-CF9922E8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D3"/>
    <w:pPr>
      <w:spacing w:before="120" w:after="120" w:line="274" w:lineRule="auto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6D1A93"/>
    <w:pPr>
      <w:keepNext/>
      <w:keepLines/>
      <w:spacing w:before="480" w:after="360"/>
      <w:outlineLvl w:val="0"/>
    </w:pPr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18D"/>
    <w:pPr>
      <w:keepNext/>
      <w:keepLines/>
      <w:spacing w:before="360" w:line="281" w:lineRule="auto"/>
      <w:outlineLvl w:val="1"/>
    </w:pPr>
    <w:rPr>
      <w:rFonts w:eastAsia="MS Gothic"/>
      <w:b/>
      <w:bC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B05"/>
    <w:pPr>
      <w:keepNext/>
      <w:keepLines/>
      <w:spacing w:before="360" w:line="271" w:lineRule="auto"/>
      <w:outlineLvl w:val="2"/>
    </w:pPr>
    <w:rPr>
      <w:rFonts w:eastAsia="MS Gothic"/>
      <w:b/>
      <w:color w:val="358189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B05"/>
    <w:pPr>
      <w:keepNext/>
      <w:keepLines/>
      <w:spacing w:before="360" w:line="259" w:lineRule="auto"/>
      <w:outlineLvl w:val="3"/>
    </w:pPr>
    <w:rPr>
      <w:rFonts w:eastAsia="MS Gothic"/>
      <w:i/>
      <w:iCs/>
      <w:color w:val="358189"/>
      <w:lang w:val="en-US"/>
    </w:rPr>
  </w:style>
  <w:style w:type="paragraph" w:styleId="Heading5">
    <w:name w:val="heading 5"/>
    <w:basedOn w:val="Normal"/>
    <w:next w:val="Normal"/>
    <w:link w:val="Heading5Char"/>
    <w:rsid w:val="002E28C3"/>
    <w:pPr>
      <w:keepNext/>
      <w:spacing w:after="60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1A93"/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F318D"/>
    <w:rPr>
      <w:rFonts w:ascii="Arial" w:eastAsia="MS Gothic" w:hAnsi="Arial" w:cs="Times New Roman"/>
      <w:b/>
      <w:bCs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57B05"/>
    <w:rPr>
      <w:rFonts w:ascii="Arial" w:eastAsia="MS Gothic" w:hAnsi="Arial" w:cs="Times New Roman"/>
      <w:b/>
      <w:color w:val="358189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57B05"/>
    <w:rPr>
      <w:rFonts w:ascii="Arial" w:eastAsia="MS Gothic" w:hAnsi="Arial" w:cs="Times New Roman"/>
      <w:i/>
      <w:iCs/>
      <w:color w:val="358189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2E28C3"/>
    <w:rPr>
      <w:rFonts w:ascii="Arial" w:eastAsiaTheme="minorEastAsia" w:hAnsi="Arial"/>
      <w:b/>
      <w:bCs/>
      <w:iCs/>
      <w:color w:val="595959" w:themeColor="text1" w:themeTint="A6"/>
      <w:sz w:val="21"/>
      <w:szCs w:val="26"/>
      <w:lang w:val="en-AU" w:eastAsia="en-AU"/>
    </w:rPr>
  </w:style>
  <w:style w:type="paragraph" w:customStyle="1" w:styleId="IntroPara">
    <w:name w:val="Intro Para"/>
    <w:basedOn w:val="Normal"/>
    <w:qFormat/>
    <w:rsid w:val="002E28C3"/>
    <w:pPr>
      <w:spacing w:line="320" w:lineRule="auto"/>
    </w:pPr>
    <w:rPr>
      <w:rFonts w:cs="Times New Roman (Body CS)"/>
      <w:sz w:val="26"/>
    </w:rPr>
  </w:style>
  <w:style w:type="paragraph" w:styleId="ListBullet">
    <w:name w:val="List Bullet"/>
    <w:basedOn w:val="Normal"/>
    <w:uiPriority w:val="99"/>
    <w:unhideWhenUsed/>
    <w:qFormat/>
    <w:rsid w:val="002E28C3"/>
    <w:pPr>
      <w:spacing w:line="271" w:lineRule="auto"/>
      <w:ind w:left="357" w:hanging="357"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2E28C3"/>
  </w:style>
  <w:style w:type="paragraph" w:styleId="ListNumber2">
    <w:name w:val="List Number 2"/>
    <w:basedOn w:val="Normal"/>
    <w:uiPriority w:val="99"/>
    <w:unhideWhenUsed/>
    <w:qFormat/>
    <w:rsid w:val="002E28C3"/>
    <w:pPr>
      <w:contextualSpacing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2E28C3"/>
    <w:pPr>
      <w:ind w:left="720"/>
      <w:contextualSpacing/>
    </w:pPr>
  </w:style>
  <w:style w:type="character" w:styleId="Strong">
    <w:name w:val="Strong"/>
    <w:basedOn w:val="DefaultParagraphFont"/>
    <w:rsid w:val="002E28C3"/>
    <w:rPr>
      <w:b/>
      <w:bCs/>
    </w:rPr>
  </w:style>
  <w:style w:type="paragraph" w:styleId="Title">
    <w:name w:val="Title"/>
    <w:basedOn w:val="Normal"/>
    <w:next w:val="Normal"/>
    <w:link w:val="TitleChar"/>
    <w:rsid w:val="002E28C3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2E28C3"/>
    <w:rPr>
      <w:rFonts w:ascii="Arial" w:eastAsiaTheme="majorEastAsia" w:hAnsi="Arial" w:cstheme="majorBidi"/>
      <w:b/>
      <w:color w:val="595959" w:themeColor="text1" w:themeTint="A6"/>
      <w:kern w:val="28"/>
      <w:sz w:val="32"/>
      <w:szCs w:val="52"/>
      <w:lang w:val="en-AU" w:eastAsia="en-AU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2A0192"/>
    <w:pPr>
      <w:tabs>
        <w:tab w:val="left" w:pos="8931"/>
      </w:tabs>
      <w:spacing w:before="480" w:after="240" w:line="276" w:lineRule="auto"/>
      <w:ind w:right="275"/>
    </w:pPr>
    <w:rPr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192"/>
    <w:rPr>
      <w:rFonts w:ascii="Arial" w:eastAsia="Times New Roman" w:hAnsi="Arial" w:cs="Times New Roman"/>
      <w:iCs/>
      <w:color w:val="358189"/>
      <w:sz w:val="28"/>
      <w:lang w:val="en-AU"/>
    </w:rPr>
  </w:style>
  <w:style w:type="paragraph" w:customStyle="1" w:styleId="PolicyStatement">
    <w:name w:val="PolicyStatement"/>
    <w:basedOn w:val="Normal"/>
    <w:qFormat/>
    <w:rsid w:val="00557B05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ind w:left="227" w:right="227"/>
    </w:pPr>
  </w:style>
  <w:style w:type="paragraph" w:customStyle="1" w:styleId="VisionBox">
    <w:name w:val="VisionBox"/>
    <w:basedOn w:val="Normal"/>
    <w:qFormat/>
    <w:rsid w:val="00557B05"/>
    <w:pPr>
      <w:pBdr>
        <w:top w:val="single" w:sz="4" w:space="15" w:color="358189"/>
        <w:bottom w:val="single" w:sz="4" w:space="10" w:color="358189"/>
      </w:pBdr>
      <w:spacing w:before="360" w:after="360" w:line="340" w:lineRule="exact"/>
    </w:pPr>
    <w:rPr>
      <w:rFonts w:eastAsiaTheme="minorHAnsi"/>
      <w:color w:val="358189"/>
    </w:rPr>
  </w:style>
  <w:style w:type="paragraph" w:customStyle="1" w:styleId="Policystylebullet">
    <w:name w:val="Policy style bullet"/>
    <w:basedOn w:val="PolicyStatement"/>
    <w:qFormat/>
    <w:rsid w:val="00FF381B"/>
    <w:pPr>
      <w:numPr>
        <w:numId w:val="7"/>
      </w:numPr>
    </w:pPr>
  </w:style>
  <w:style w:type="paragraph" w:customStyle="1" w:styleId="Style1">
    <w:name w:val="Style1"/>
    <w:next w:val="Normal"/>
    <w:qFormat/>
    <w:rsid w:val="00557B05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character" w:customStyle="1" w:styleId="BoldAllCaps">
    <w:name w:val="Bold All Caps"/>
    <w:basedOn w:val="DefaultParagraphFont"/>
    <w:uiPriority w:val="1"/>
    <w:qFormat/>
    <w:rsid w:val="00557B05"/>
    <w:rPr>
      <w:b/>
      <w:caps/>
      <w:smallCaps w:val="0"/>
      <w:color w:val="358189"/>
      <w:bdr w:val="none" w:sz="0" w:space="0" w:color="auto"/>
    </w:rPr>
  </w:style>
  <w:style w:type="paragraph" w:customStyle="1" w:styleId="BulletPoint1">
    <w:name w:val="Bullet Point 1"/>
    <w:basedOn w:val="Normal"/>
    <w:qFormat/>
    <w:rsid w:val="00557B05"/>
    <w:pPr>
      <w:numPr>
        <w:numId w:val="9"/>
      </w:numPr>
    </w:pPr>
    <w:rPr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50"/>
    <w:rPr>
      <w:rFonts w:ascii="Arial" w:eastAsia="Times New Roman" w:hAnsi="Arial" w:cs="Times New Roman"/>
      <w:sz w:val="21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  <w:rPr>
      <w:color w:val="358189"/>
    </w:rPr>
  </w:style>
  <w:style w:type="character" w:customStyle="1" w:styleId="FooterChar">
    <w:name w:val="Footer Char"/>
    <w:basedOn w:val="DefaultParagraphFont"/>
    <w:link w:val="Footer"/>
    <w:uiPriority w:val="99"/>
    <w:rsid w:val="00F15E50"/>
    <w:rPr>
      <w:rFonts w:ascii="Arial" w:eastAsia="Times New Roman" w:hAnsi="Arial" w:cs="Times New Roman"/>
      <w:color w:val="358189"/>
      <w:sz w:val="21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07"/>
    <w:pPr>
      <w:spacing w:before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07"/>
    <w:rPr>
      <w:rFonts w:ascii="Times New Roman" w:eastAsia="Times New Roman" w:hAnsi="Times New Roman" w:cs="Times New Roman"/>
      <w:sz w:val="18"/>
      <w:szCs w:val="18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E57C3"/>
  </w:style>
  <w:style w:type="paragraph" w:styleId="TOC2">
    <w:name w:val="toc 2"/>
    <w:basedOn w:val="Normal"/>
    <w:next w:val="Normal"/>
    <w:autoRedefine/>
    <w:uiPriority w:val="39"/>
    <w:unhideWhenUsed/>
    <w:rsid w:val="00AE57C3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E57C3"/>
    <w:pPr>
      <w:ind w:left="420"/>
    </w:pPr>
  </w:style>
  <w:style w:type="paragraph" w:styleId="TOC4">
    <w:name w:val="toc 4"/>
    <w:basedOn w:val="Normal"/>
    <w:next w:val="Normal"/>
    <w:autoRedefine/>
    <w:uiPriority w:val="39"/>
    <w:unhideWhenUsed/>
    <w:rsid w:val="00AE57C3"/>
    <w:pPr>
      <w:ind w:left="630"/>
    </w:pPr>
  </w:style>
  <w:style w:type="paragraph" w:styleId="TOC5">
    <w:name w:val="toc 5"/>
    <w:basedOn w:val="Normal"/>
    <w:next w:val="Normal"/>
    <w:autoRedefine/>
    <w:uiPriority w:val="39"/>
    <w:unhideWhenUsed/>
    <w:rsid w:val="00AE57C3"/>
    <w:pPr>
      <w:ind w:left="840"/>
    </w:pPr>
  </w:style>
  <w:style w:type="paragraph" w:styleId="TOC6">
    <w:name w:val="toc 6"/>
    <w:basedOn w:val="Normal"/>
    <w:next w:val="Normal"/>
    <w:autoRedefine/>
    <w:uiPriority w:val="39"/>
    <w:unhideWhenUsed/>
    <w:rsid w:val="00AE57C3"/>
    <w:pPr>
      <w:ind w:left="1050"/>
    </w:pPr>
  </w:style>
  <w:style w:type="paragraph" w:styleId="TOC7">
    <w:name w:val="toc 7"/>
    <w:basedOn w:val="Normal"/>
    <w:next w:val="Normal"/>
    <w:autoRedefine/>
    <w:uiPriority w:val="39"/>
    <w:unhideWhenUsed/>
    <w:rsid w:val="00AE57C3"/>
    <w:pPr>
      <w:ind w:left="1260"/>
    </w:pPr>
  </w:style>
  <w:style w:type="paragraph" w:styleId="TOC8">
    <w:name w:val="toc 8"/>
    <w:basedOn w:val="Normal"/>
    <w:next w:val="Normal"/>
    <w:autoRedefine/>
    <w:uiPriority w:val="39"/>
    <w:unhideWhenUsed/>
    <w:rsid w:val="00AE57C3"/>
    <w:pPr>
      <w:ind w:left="1470"/>
    </w:pPr>
  </w:style>
  <w:style w:type="paragraph" w:styleId="TOC9">
    <w:name w:val="toc 9"/>
    <w:basedOn w:val="Normal"/>
    <w:next w:val="Normal"/>
    <w:autoRedefine/>
    <w:uiPriority w:val="39"/>
    <w:unhideWhenUsed/>
    <w:rsid w:val="00AE57C3"/>
    <w:pPr>
      <w:ind w:left="1680"/>
    </w:pPr>
  </w:style>
  <w:style w:type="character" w:customStyle="1" w:styleId="divider">
    <w:name w:val="divider"/>
    <w:basedOn w:val="DefaultParagraphFont"/>
    <w:rsid w:val="00BA2574"/>
  </w:style>
  <w:style w:type="character" w:styleId="Hyperlink">
    <w:name w:val="Hyperlink"/>
    <w:basedOn w:val="DefaultParagraphFont"/>
    <w:uiPriority w:val="99"/>
    <w:unhideWhenUsed/>
    <w:rsid w:val="00343087"/>
    <w:rPr>
      <w:color w:val="0563C1" w:themeColor="hyperlink"/>
      <w:u w:val="single"/>
    </w:rPr>
  </w:style>
  <w:style w:type="table" w:styleId="TableGrid">
    <w:name w:val="Table Grid"/>
    <w:basedOn w:val="TableNormal"/>
    <w:rsid w:val="009546F3"/>
    <w:rPr>
      <w:rFonts w:ascii="Times New Roman" w:hAnsi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9546F3"/>
    <w:rPr>
      <w:rFonts w:ascii="Arial" w:eastAsia="Times New Roman" w:hAnsi="Arial" w:cs="Times New Roman"/>
      <w:sz w:val="21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839C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3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9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9C2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9C2"/>
    <w:rPr>
      <w:rFonts w:ascii="Arial" w:eastAsia="Times New Roman" w:hAnsi="Arial" w:cs="Times New Roman"/>
      <w:b/>
      <w:bCs/>
      <w:sz w:val="20"/>
      <w:szCs w:val="20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4F3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4F318D"/>
    <w:rPr>
      <w:rFonts w:ascii="Times New Roman" w:hAnsi="Times New Roman" w:cs="Times New Roman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11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lth.gov.au/resources/apps-and-tools/health-workforce-locator/ap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8D01-A92B-4ADB-B95E-D145C1C72C7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4A5ED2-BEB8-4A1A-95F0-19AEC55FD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908E0-1D23-44FB-997A-475C54735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3ECA1E-9139-407B-BDDA-843ADC1E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Modified Monash Model – fact sheet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Modified Monash Model – fact sheet</dc:title>
  <dc:subject>Modified Monash Model</dc:subject>
  <dc:creator>Australian Government Department of Health, Disability and Ageing</dc:creator>
  <cp:keywords>Modified Monash Model</cp:keywords>
  <dc:description/>
  <cp:revision>22</cp:revision>
  <cp:lastPrinted>2019-12-09T23:55:00Z</cp:lastPrinted>
  <dcterms:created xsi:type="dcterms:W3CDTF">2025-07-15T03:07:00Z</dcterms:created>
  <dcterms:modified xsi:type="dcterms:W3CDTF">2025-07-21T05:59:00Z</dcterms:modified>
</cp:coreProperties>
</file>