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8E6D0" w14:textId="77777777" w:rsidR="005316BE" w:rsidRDefault="00CF553B" w:rsidP="00537B50">
      <w:pPr>
        <w:spacing w:before="0" w:after="0"/>
        <w:ind w:left="-850"/>
      </w:pPr>
      <w:r>
        <w:rPr>
          <w:noProof/>
        </w:rPr>
        <w:drawing>
          <wp:inline distT="0" distB="0" distL="0" distR="0" wp14:anchorId="31CB7463" wp14:editId="653CD90C">
            <wp:extent cx="7541998" cy="1436353"/>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14:paraId="1E4B6938" w14:textId="77777777" w:rsidR="00C80192" w:rsidRPr="005109A6" w:rsidRDefault="00136B5E" w:rsidP="00D9552B">
      <w:pPr>
        <w:pStyle w:val="Heading1"/>
      </w:pPr>
      <w:r>
        <w:t xml:space="preserve">Factsheet </w:t>
      </w:r>
      <w:r w:rsidR="00ED75AF">
        <w:t>–</w:t>
      </w:r>
      <w:r>
        <w:t xml:space="preserve"> </w:t>
      </w:r>
      <w:r w:rsidR="00ED75AF">
        <w:t>How To Make A Complaint</w:t>
      </w:r>
    </w:p>
    <w:p w14:paraId="4E1050E6" w14:textId="0FA85D35" w:rsidR="005109A6" w:rsidRPr="00136B5E" w:rsidRDefault="00A30FA4" w:rsidP="00D9552B">
      <w:pPr>
        <w:pStyle w:val="Heading2"/>
      </w:pPr>
      <w:r w:rsidRPr="00136B5E">
        <w:t xml:space="preserve">Disability Services and Inclusion </w:t>
      </w:r>
      <w:r w:rsidR="00F55B33">
        <w:t>Act</w:t>
      </w:r>
      <w:r w:rsidR="00F55B33" w:rsidRPr="00136B5E">
        <w:t xml:space="preserve"> </w:t>
      </w:r>
      <w:r w:rsidRPr="00136B5E">
        <w:t xml:space="preserve">2023 </w:t>
      </w:r>
    </w:p>
    <w:p w14:paraId="6CC1E8A2" w14:textId="0F4166C3" w:rsidR="00562681" w:rsidRDefault="003543BC" w:rsidP="00D16258">
      <w:r>
        <w:t xml:space="preserve">If you </w:t>
      </w:r>
      <w:r w:rsidR="0028060E">
        <w:t xml:space="preserve">wish to make a complaint or you </w:t>
      </w:r>
      <w:r>
        <w:t xml:space="preserve">suspect </w:t>
      </w:r>
      <w:r w:rsidR="005334FC">
        <w:t xml:space="preserve">a </w:t>
      </w:r>
      <w:r w:rsidR="00531D7E">
        <w:t xml:space="preserve">disability </w:t>
      </w:r>
      <w:r>
        <w:t>service provider h</w:t>
      </w:r>
      <w:r w:rsidR="0028060E">
        <w:t>as breached the Code of Conduct</w:t>
      </w:r>
      <w:r>
        <w:t>, you</w:t>
      </w:r>
      <w:r w:rsidR="00C41B23">
        <w:t xml:space="preserve"> are encouraged to </w:t>
      </w:r>
      <w:r>
        <w:t>conta</w:t>
      </w:r>
      <w:r w:rsidR="0028060E">
        <w:t xml:space="preserve">ct your service provider </w:t>
      </w:r>
      <w:r>
        <w:t>first</w:t>
      </w:r>
      <w:r w:rsidR="00A30FA4">
        <w:t>.</w:t>
      </w:r>
      <w:r>
        <w:t xml:space="preserve"> </w:t>
      </w:r>
      <w:r w:rsidR="000D612A">
        <w:t>This</w:t>
      </w:r>
      <w:r w:rsidR="00562681">
        <w:t xml:space="preserve"> gives your service provider an</w:t>
      </w:r>
      <w:r w:rsidR="000D612A">
        <w:t xml:space="preserve"> opportunity to resolve the concern and </w:t>
      </w:r>
      <w:r w:rsidR="00562681">
        <w:t>make improvements going</w:t>
      </w:r>
      <w:r w:rsidR="000D612A">
        <w:t xml:space="preserve"> forward. Your service provider is required to </w:t>
      </w:r>
      <w:r>
        <w:t xml:space="preserve">work with you to resolve your complaint. </w:t>
      </w:r>
    </w:p>
    <w:p w14:paraId="30D08C52" w14:textId="7595F25D" w:rsidR="00562681" w:rsidRPr="000D612A" w:rsidRDefault="000D612A" w:rsidP="00D16258">
      <w:r>
        <w:t xml:space="preserve">If you are thinking about making a complaint or would like support to do </w:t>
      </w:r>
      <w:proofErr w:type="gramStart"/>
      <w:r>
        <w:t>so</w:t>
      </w:r>
      <w:proofErr w:type="gramEnd"/>
      <w:r>
        <w:t xml:space="preserve"> you </w:t>
      </w:r>
      <w:r w:rsidR="00562681">
        <w:t>can</w:t>
      </w:r>
      <w:r>
        <w:t xml:space="preserve"> </w:t>
      </w:r>
      <w:r w:rsidR="00562681">
        <w:t xml:space="preserve">speak with your circle of support or individual advocate. You may also </w:t>
      </w:r>
      <w:r>
        <w:t xml:space="preserve">contact the </w:t>
      </w:r>
      <w:r w:rsidRPr="00F55B33">
        <w:t>National Disability Abuse and Neglect Hotline</w:t>
      </w:r>
      <w:r w:rsidR="00562681">
        <w:t>.</w:t>
      </w:r>
    </w:p>
    <w:p w14:paraId="09E03275" w14:textId="56E4D5E7" w:rsidR="003543BC" w:rsidRDefault="000D612A" w:rsidP="00D16258">
      <w:r>
        <w:t>If you do not feel comfortable raising your concerns directly with your service provider</w:t>
      </w:r>
      <w:r w:rsidR="00562681">
        <w:t xml:space="preserve">, </w:t>
      </w:r>
      <w:r w:rsidR="003543BC">
        <w:t>your service provider is unable to resolve your complaint</w:t>
      </w:r>
      <w:r w:rsidR="00562681">
        <w:t xml:space="preserve"> or </w:t>
      </w:r>
      <w:r w:rsidR="003543BC">
        <w:t xml:space="preserve">you are unhappy with </w:t>
      </w:r>
      <w:r w:rsidR="0028060E">
        <w:t>the outcome</w:t>
      </w:r>
      <w:r w:rsidR="00795309">
        <w:t xml:space="preserve">, </w:t>
      </w:r>
      <w:r w:rsidR="003543BC">
        <w:t>you can make your complaint to:</w:t>
      </w:r>
    </w:p>
    <w:p w14:paraId="78FC720A" w14:textId="77777777" w:rsidR="003543BC" w:rsidRDefault="003543BC" w:rsidP="003543BC">
      <w:pPr>
        <w:pStyle w:val="ListParagraph"/>
        <w:numPr>
          <w:ilvl w:val="0"/>
          <w:numId w:val="62"/>
        </w:numPr>
      </w:pPr>
      <w:r>
        <w:t>The Complaints Resolution and Referral Service (CRRS)</w:t>
      </w:r>
    </w:p>
    <w:p w14:paraId="07AFEB0A" w14:textId="77777777" w:rsidR="00C6007B" w:rsidRDefault="003543BC" w:rsidP="003543BC">
      <w:pPr>
        <w:pStyle w:val="ListParagraph"/>
        <w:numPr>
          <w:ilvl w:val="0"/>
          <w:numId w:val="62"/>
        </w:numPr>
      </w:pPr>
      <w:r>
        <w:t>The Department of Social Services Feedback and Complaints Team (DS</w:t>
      </w:r>
      <w:r w:rsidR="00C6007B">
        <w:t>S FCT)</w:t>
      </w:r>
    </w:p>
    <w:p w14:paraId="08C5032D" w14:textId="35C65805" w:rsidR="00562681" w:rsidRDefault="00C6007B" w:rsidP="00562681">
      <w:pPr>
        <w:pStyle w:val="ListParagraph"/>
        <w:numPr>
          <w:ilvl w:val="0"/>
          <w:numId w:val="62"/>
        </w:numPr>
      </w:pPr>
      <w:r>
        <w:t>The National Customer Service Line (NCLS)</w:t>
      </w:r>
      <w:r w:rsidR="008312D5">
        <w:t xml:space="preserve"> - for Disability Employment Services (DES) only</w:t>
      </w:r>
      <w:r>
        <w:t>.</w:t>
      </w:r>
      <w:r w:rsidR="003543BC">
        <w:t xml:space="preserve"> </w:t>
      </w:r>
    </w:p>
    <w:p w14:paraId="43998A8A" w14:textId="0363A0FE" w:rsidR="00562681" w:rsidRPr="00F55B33" w:rsidRDefault="00562681" w:rsidP="00D9552B">
      <w:pPr>
        <w:pStyle w:val="Heading3"/>
      </w:pPr>
      <w:r w:rsidRPr="00F55B33">
        <w:t xml:space="preserve">Complaints Resolution and Referral Service </w:t>
      </w:r>
      <w:r>
        <w:t>(CRRS)</w:t>
      </w:r>
    </w:p>
    <w:p w14:paraId="47A9A205" w14:textId="152B9255" w:rsidR="003543BC" w:rsidRDefault="003543BC" w:rsidP="003543BC">
      <w:r>
        <w:t xml:space="preserve">The CRRS is the central contact for complaints about disability services and supports funded by the Commonwealth that are outside the NDIS. </w:t>
      </w:r>
    </w:p>
    <w:p w14:paraId="51B969EB" w14:textId="77777777" w:rsidR="0028060E" w:rsidRDefault="003543BC" w:rsidP="0028060E">
      <w:r>
        <w:t>The CRRS will provide support</w:t>
      </w:r>
      <w:r w:rsidR="00A30FA4">
        <w:t xml:space="preserve"> </w:t>
      </w:r>
      <w:r w:rsidRPr="003543BC">
        <w:t>to help resolve your complaint between you and the service provider.</w:t>
      </w:r>
      <w:r w:rsidR="0028060E">
        <w:t xml:space="preserve"> The CRRS will: </w:t>
      </w:r>
    </w:p>
    <w:p w14:paraId="51212D85" w14:textId="77777777" w:rsidR="0028060E" w:rsidRDefault="0028060E" w:rsidP="0028060E">
      <w:pPr>
        <w:pStyle w:val="ListParagraph"/>
        <w:numPr>
          <w:ilvl w:val="0"/>
          <w:numId w:val="64"/>
        </w:numPr>
      </w:pPr>
      <w:r>
        <w:t xml:space="preserve">listen and document your complaint </w:t>
      </w:r>
    </w:p>
    <w:p w14:paraId="00DC164C" w14:textId="77777777" w:rsidR="0028060E" w:rsidRDefault="0028060E" w:rsidP="0028060E">
      <w:pPr>
        <w:pStyle w:val="ListParagraph"/>
        <w:numPr>
          <w:ilvl w:val="0"/>
          <w:numId w:val="64"/>
        </w:numPr>
      </w:pPr>
      <w:r>
        <w:t xml:space="preserve">get your permission to talk to the service and any others that are involved </w:t>
      </w:r>
    </w:p>
    <w:p w14:paraId="164FFFF5" w14:textId="77777777" w:rsidR="0028060E" w:rsidRDefault="0028060E" w:rsidP="0028060E">
      <w:pPr>
        <w:pStyle w:val="ListParagraph"/>
        <w:numPr>
          <w:ilvl w:val="0"/>
          <w:numId w:val="64"/>
        </w:numPr>
      </w:pPr>
      <w:proofErr w:type="gramStart"/>
      <w:r>
        <w:t>remain</w:t>
      </w:r>
      <w:proofErr w:type="gramEnd"/>
      <w:r>
        <w:t xml:space="preserve"> impartial – the CRRS will not take sides and does not advocate on anyone’s behalf.</w:t>
      </w:r>
      <w:r w:rsidR="003543BC" w:rsidRPr="003543BC">
        <w:t xml:space="preserve"> </w:t>
      </w:r>
    </w:p>
    <w:p w14:paraId="161B2323" w14:textId="77777777" w:rsidR="0028060E" w:rsidRDefault="003543BC" w:rsidP="0028060E">
      <w:r w:rsidRPr="003543BC">
        <w:t xml:space="preserve">If the complaint is not easily resolved, the CRRS will </w:t>
      </w:r>
      <w:r w:rsidR="00795309">
        <w:t xml:space="preserve">gather </w:t>
      </w:r>
      <w:r w:rsidR="0028060E">
        <w:t>more</w:t>
      </w:r>
      <w:r w:rsidR="00795309">
        <w:t xml:space="preserve"> information</w:t>
      </w:r>
      <w:r w:rsidRPr="003543BC">
        <w:t xml:space="preserve"> and make recommendations to the service provider about what they must do to resolve the situation. </w:t>
      </w:r>
      <w:r w:rsidR="0028060E">
        <w:t>The CRRS will then notify you of their recommendations. They will also notify the department that funds the service provider. The CRRS will monitor the service provider to make sure they implement the CRRS’s recommendations.</w:t>
      </w:r>
    </w:p>
    <w:p w14:paraId="2A1FBF7C" w14:textId="77777777" w:rsidR="0028060E" w:rsidRDefault="0028060E" w:rsidP="0028060E">
      <w:r>
        <w:t xml:space="preserve">If the service provider still fails to resolve the </w:t>
      </w:r>
      <w:r w:rsidR="00531D7E">
        <w:t>complaint</w:t>
      </w:r>
      <w:r>
        <w:t xml:space="preserve">, the CRRS will notify the relevant department. The department will then notify the service provider that they must comply with the CRRS’s recommendations. </w:t>
      </w:r>
    </w:p>
    <w:p w14:paraId="1F01B800" w14:textId="77777777" w:rsidR="00A30FA4" w:rsidRPr="00795309" w:rsidRDefault="00C6007B" w:rsidP="0028060E">
      <w:r>
        <w:lastRenderedPageBreak/>
        <w:t xml:space="preserve">If you are not </w:t>
      </w:r>
      <w:r w:rsidR="003543BC" w:rsidRPr="003543BC">
        <w:t>satisfied with the outcome of your complaint, you can contact the Commonwealth Ombudsman.</w:t>
      </w:r>
    </w:p>
    <w:p w14:paraId="1FFC9FD2" w14:textId="77777777" w:rsidR="009559C2" w:rsidRDefault="008312D5" w:rsidP="00D9552B">
      <w:pPr>
        <w:pStyle w:val="Heading2"/>
      </w:pPr>
      <w:r>
        <w:t>Key Contacts</w:t>
      </w:r>
    </w:p>
    <w:p w14:paraId="398C05E2" w14:textId="77777777" w:rsidR="00136B5E" w:rsidRPr="00136B5E" w:rsidRDefault="008242DE" w:rsidP="00136B5E">
      <w:r>
        <w:t xml:space="preserve">To make a complaint, contact one of these services: </w:t>
      </w:r>
    </w:p>
    <w:p w14:paraId="4BCA6EFA" w14:textId="77777777" w:rsidR="00CB05BE" w:rsidRDefault="00806DE1" w:rsidP="008242DE">
      <w:pPr>
        <w:pStyle w:val="ListBullet"/>
        <w:spacing w:before="0"/>
      </w:pPr>
      <w:r w:rsidRPr="00806DE1">
        <w:rPr>
          <w:b/>
        </w:rPr>
        <w:t>Complaints Resolution and Referral Service</w:t>
      </w:r>
      <w:r>
        <w:t xml:space="preserve">, </w:t>
      </w:r>
      <w:r w:rsidRPr="00806DE1">
        <w:t>9am to 7pm AEST Monday to Friday</w:t>
      </w:r>
      <w:r>
        <w:t xml:space="preserve">; call </w:t>
      </w:r>
      <w:r w:rsidRPr="00806DE1">
        <w:t>1800 880 052</w:t>
      </w:r>
    </w:p>
    <w:p w14:paraId="30105413" w14:textId="77777777" w:rsidR="003543BC" w:rsidRDefault="008242DE" w:rsidP="008242DE">
      <w:pPr>
        <w:pStyle w:val="ListBullet"/>
        <w:spacing w:before="0"/>
      </w:pPr>
      <w:r w:rsidRPr="008242DE">
        <w:rPr>
          <w:b/>
        </w:rPr>
        <w:t>DSS Feedback and Coordination Team</w:t>
      </w:r>
      <w:r>
        <w:t xml:space="preserve">, 9am to 5pm AEST </w:t>
      </w:r>
      <w:r w:rsidRPr="008242DE">
        <w:t>Monday to Friday</w:t>
      </w:r>
      <w:r>
        <w:t>,</w:t>
      </w:r>
      <w:r w:rsidRPr="008242DE">
        <w:t xml:space="preserve"> call 1800 634 035  </w:t>
      </w:r>
    </w:p>
    <w:p w14:paraId="7D761BEA" w14:textId="77777777" w:rsidR="00C6007B" w:rsidRDefault="008242DE" w:rsidP="008242DE">
      <w:pPr>
        <w:pStyle w:val="ListBullet"/>
        <w:spacing w:before="0"/>
      </w:pPr>
      <w:r w:rsidRPr="008242DE">
        <w:rPr>
          <w:b/>
        </w:rPr>
        <w:t>National Customer Service Line</w:t>
      </w:r>
      <w:r>
        <w:t>,</w:t>
      </w:r>
      <w:r w:rsidRPr="008242DE">
        <w:t xml:space="preserve"> 9am to 7pm AEST Monday to Friday</w:t>
      </w:r>
      <w:r w:rsidR="0059293B">
        <w:t>,</w:t>
      </w:r>
      <w:r w:rsidRPr="008242DE">
        <w:t xml:space="preserve"> call 1800 805 260</w:t>
      </w:r>
    </w:p>
    <w:p w14:paraId="3719D6FF" w14:textId="77777777" w:rsidR="009E0ED6" w:rsidRDefault="009E0ED6" w:rsidP="009E0ED6">
      <w:pPr>
        <w:pStyle w:val="ListBullet"/>
        <w:spacing w:before="0"/>
      </w:pPr>
      <w:r w:rsidRPr="009E0ED6">
        <w:rPr>
          <w:b/>
        </w:rPr>
        <w:t>Commonwealth Ombudsman</w:t>
      </w:r>
      <w:r>
        <w:t xml:space="preserve">, </w:t>
      </w:r>
      <w:r w:rsidR="0059293B">
        <w:t xml:space="preserve">10am to 4pm AEST Monday to Friday, call </w:t>
      </w:r>
      <w:r>
        <w:t>1300 362 072</w:t>
      </w:r>
    </w:p>
    <w:p w14:paraId="7559B931" w14:textId="77777777" w:rsidR="009E0ED6" w:rsidRDefault="009E0ED6" w:rsidP="009E0ED6">
      <w:pPr>
        <w:pStyle w:val="ListBullet"/>
      </w:pPr>
      <w:r w:rsidRPr="009E0ED6">
        <w:rPr>
          <w:b/>
        </w:rPr>
        <w:t>National Disability Abuse and Neglect Hotline</w:t>
      </w:r>
      <w:r>
        <w:t xml:space="preserve">, 9am to 7pm AEST Monday to Friday, call 1800 880 052 or email </w:t>
      </w:r>
      <w:hyperlink r:id="rId9" w:history="1">
        <w:r w:rsidRPr="00491603">
          <w:rPr>
            <w:rStyle w:val="Hyperlink"/>
          </w:rPr>
          <w:t>hotline@workfocus.com</w:t>
        </w:r>
      </w:hyperlink>
      <w:r>
        <w:t xml:space="preserve"> at any time</w:t>
      </w:r>
      <w:r w:rsidR="00575F5B">
        <w:t xml:space="preserve"> </w:t>
      </w:r>
      <w:r w:rsidR="008312D5">
        <w:t>- provides support to make a complaint</w:t>
      </w:r>
      <w:r>
        <w:t xml:space="preserve">. </w:t>
      </w:r>
    </w:p>
    <w:p w14:paraId="0E2294B9" w14:textId="77777777" w:rsidR="009E0ED6" w:rsidRDefault="009E0ED6" w:rsidP="009E0ED6">
      <w:pPr>
        <w:pStyle w:val="ListBullet"/>
        <w:numPr>
          <w:ilvl w:val="0"/>
          <w:numId w:val="0"/>
        </w:numPr>
        <w:spacing w:before="0"/>
        <w:ind w:left="533" w:hanging="360"/>
      </w:pPr>
    </w:p>
    <w:p w14:paraId="5FB043DD" w14:textId="77777777" w:rsidR="009E0ED6" w:rsidRDefault="009E0ED6" w:rsidP="009E0ED6">
      <w:pPr>
        <w:pStyle w:val="ListBullet"/>
        <w:numPr>
          <w:ilvl w:val="0"/>
          <w:numId w:val="0"/>
        </w:numPr>
        <w:spacing w:before="0"/>
        <w:ind w:left="533" w:hanging="360"/>
        <w:sectPr w:rsidR="009E0ED6" w:rsidSect="00D87F42">
          <w:headerReference w:type="first" r:id="rId10"/>
          <w:pgSz w:w="11906" w:h="16838" w:code="9"/>
          <w:pgMar w:top="1112" w:right="851" w:bottom="1134" w:left="851" w:header="0" w:footer="471" w:gutter="0"/>
          <w:cols w:space="708"/>
          <w:titlePg/>
          <w:docGrid w:linePitch="360"/>
        </w:sectPr>
      </w:pPr>
    </w:p>
    <w:p w14:paraId="08285A24" w14:textId="3BB6D3E9" w:rsidR="00C6007B" w:rsidRDefault="00BC1EF6" w:rsidP="00D9552B">
      <w:pPr>
        <w:pStyle w:val="Heading1"/>
        <w:sectPr w:rsidR="00C6007B" w:rsidSect="00C6007B">
          <w:pgSz w:w="16838" w:h="11906" w:orient="landscape" w:code="9"/>
          <w:pgMar w:top="851" w:right="1112" w:bottom="851" w:left="1134" w:header="0" w:footer="471" w:gutter="0"/>
          <w:cols w:space="708"/>
          <w:titlePg/>
          <w:docGrid w:linePitch="360"/>
        </w:sectPr>
      </w:pPr>
      <w:bookmarkStart w:id="0" w:name="_GoBack"/>
      <w:r>
        <w:rPr>
          <w:noProof/>
        </w:rPr>
        <w:lastRenderedPageBreak/>
        <w:drawing>
          <wp:anchor distT="0" distB="0" distL="114300" distR="114300" simplePos="0" relativeHeight="251675648" behindDoc="0" locked="0" layoutInCell="1" allowOverlap="1" wp14:anchorId="6A5F8E74" wp14:editId="408A107D">
            <wp:simplePos x="0" y="0"/>
            <wp:positionH relativeFrom="column">
              <wp:posOffset>3810</wp:posOffset>
            </wp:positionH>
            <wp:positionV relativeFrom="paragraph">
              <wp:posOffset>472278</wp:posOffset>
            </wp:positionV>
            <wp:extent cx="13913485" cy="5529580"/>
            <wp:effectExtent l="0" t="0" r="0" b="0"/>
            <wp:wrapNone/>
            <wp:docPr id="4" name="Picture 4" descr="An outline of the complaints process&#10;&#10;DES program only:&#10;The team will assess type of complaint, gather information and work with you and your provider to resolve the issue by making recommendations.&#10;&#10;Complaints Resolution and Referral Service / DSS Feedback and Coordination team:&#10;The team will assess type of complaint (including Code of Conduct breaches), gather information and work with you and your provider to resolve the issue. This may include making recommendations that your service provider will have to follow.&#10;If the complaint is not resolved:&#10;The Department may take enforcement action in line with DSI Act if the service provider is found to be in breach of contract (including the Code of Conduct) and does not comply with the recommendations to resolve the issue.&#10;&#10;It is recommended that you try to resolve your complaint with your service provider first. If you are unable or unwilling to do that, you can follow this complaints process.&#10;&#10;At any time throughout the process, you can contact the National Abuse and Neglet Hotline, who will provide you with support to make your complaint. &#10;&#10;If you are not satisfied with the result of the complaints process, you should contact the Commonwealth Ombudsma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3485" cy="5529580"/>
                    </a:xfrm>
                    <a:prstGeom prst="rect">
                      <a:avLst/>
                    </a:prstGeom>
                    <a:noFill/>
                  </pic:spPr>
                </pic:pic>
              </a:graphicData>
            </a:graphic>
            <wp14:sizeRelH relativeFrom="page">
              <wp14:pctWidth>0</wp14:pctWidth>
            </wp14:sizeRelH>
            <wp14:sizeRelV relativeFrom="page">
              <wp14:pctHeight>0</wp14:pctHeight>
            </wp14:sizeRelV>
          </wp:anchor>
        </w:drawing>
      </w:r>
      <w:bookmarkEnd w:id="0"/>
      <w:r w:rsidR="00C6007B">
        <w:t>An Outline of the Complaints Process</w:t>
      </w:r>
    </w:p>
    <w:p w14:paraId="0F16DD4A" w14:textId="77777777" w:rsidR="00B56A64" w:rsidRDefault="00C6007B" w:rsidP="00D9552B">
      <w:pPr>
        <w:pStyle w:val="Heading1"/>
      </w:pPr>
      <w:r>
        <w:lastRenderedPageBreak/>
        <w:t>What happens when I</w:t>
      </w:r>
      <w:r w:rsidRPr="00491F5B">
        <w:t xml:space="preserve"> make a complaint</w:t>
      </w:r>
    </w:p>
    <w:p w14:paraId="7B341AEC" w14:textId="77777777" w:rsidR="00B56A64" w:rsidRDefault="00B56A64" w:rsidP="00B56A64"/>
    <w:p w14:paraId="18F9D509" w14:textId="77777777" w:rsidR="00B56A64" w:rsidRPr="00491F5B" w:rsidRDefault="00B56A64" w:rsidP="00D9552B">
      <w:pPr>
        <w:pStyle w:val="Heading4"/>
      </w:pPr>
      <w:r w:rsidRPr="00491F5B">
        <w:t>I want to make a complaint about a disability service or support.</w:t>
      </w:r>
    </w:p>
    <w:p w14:paraId="436E7324" w14:textId="081A308B" w:rsidR="00B56A64" w:rsidRDefault="00B56A64" w:rsidP="00B56A64">
      <w:pPr>
        <w:jc w:val="center"/>
      </w:pPr>
      <w:r>
        <w:t>I might be a person with dis</w:t>
      </w:r>
      <w:r w:rsidR="005945B5">
        <w:t xml:space="preserve">ability, a family member, a </w:t>
      </w:r>
      <w:proofErr w:type="spellStart"/>
      <w:r w:rsidR="005945B5">
        <w:t>car</w:t>
      </w:r>
      <w:r>
        <w:t>er</w:t>
      </w:r>
      <w:proofErr w:type="spellEnd"/>
      <w:r>
        <w:t>, a disability support worker, or someone else making a complaint on behalf of a person with disability. I can complain to…</w:t>
      </w:r>
    </w:p>
    <w:tbl>
      <w:tblPr>
        <w:tblStyle w:val="TableGrid"/>
        <w:tblW w:w="0" w:type="auto"/>
        <w:tblBorders>
          <w:top w:val="single" w:sz="12" w:space="0" w:color="9999FF"/>
          <w:left w:val="single" w:sz="12" w:space="0" w:color="9999FF"/>
          <w:bottom w:val="single" w:sz="12" w:space="0" w:color="9999FF"/>
          <w:right w:val="single" w:sz="12" w:space="0" w:color="9999FF"/>
          <w:insideH w:val="single" w:sz="12" w:space="0" w:color="9999FF"/>
          <w:insideV w:val="single" w:sz="12" w:space="0" w:color="9999FF"/>
        </w:tblBorders>
        <w:shd w:val="clear" w:color="auto" w:fill="E5E5FF"/>
        <w:tblLook w:val="04A0" w:firstRow="1" w:lastRow="0" w:firstColumn="1" w:lastColumn="0" w:noHBand="0" w:noVBand="1"/>
        <w:tblDescription w:val="Who can I complain to"/>
      </w:tblPr>
      <w:tblGrid>
        <w:gridCol w:w="4442"/>
        <w:gridCol w:w="4446"/>
      </w:tblGrid>
      <w:tr w:rsidR="005945B5" w14:paraId="369CD233" w14:textId="77777777" w:rsidTr="005945B5">
        <w:tc>
          <w:tcPr>
            <w:tcW w:w="4508" w:type="dxa"/>
            <w:shd w:val="clear" w:color="auto" w:fill="E5E5FF"/>
          </w:tcPr>
          <w:p w14:paraId="18A4B14B" w14:textId="214137B4" w:rsidR="005945B5" w:rsidRPr="00491F5B" w:rsidRDefault="005945B5" w:rsidP="005945B5">
            <w:pPr>
              <w:pStyle w:val="NormalWeb"/>
              <w:spacing w:before="0" w:beforeAutospacing="0" w:after="200" w:afterAutospacing="0" w:line="276" w:lineRule="auto"/>
              <w:jc w:val="center"/>
              <w:rPr>
                <w:rFonts w:ascii="Georgia" w:eastAsia="Calibri" w:hAnsi="Georgia"/>
                <w:b/>
                <w:sz w:val="22"/>
                <w:szCs w:val="22"/>
              </w:rPr>
            </w:pPr>
            <w:r>
              <w:rPr>
                <w:rFonts w:ascii="Georgia" w:eastAsia="Calibri" w:hAnsi="Georgia"/>
                <w:b/>
                <w:sz w:val="22"/>
                <w:szCs w:val="22"/>
              </w:rPr>
              <w:br/>
            </w:r>
            <w:r w:rsidRPr="00491F5B">
              <w:rPr>
                <w:rFonts w:ascii="Georgia" w:eastAsia="Calibri" w:hAnsi="Georgia"/>
                <w:b/>
                <w:sz w:val="22"/>
                <w:szCs w:val="22"/>
              </w:rPr>
              <w:t>My service provider</w:t>
            </w:r>
          </w:p>
          <w:p w14:paraId="10FFDEC9" w14:textId="0C169DEE" w:rsidR="005945B5" w:rsidRDefault="005945B5" w:rsidP="005945B5">
            <w:pPr>
              <w:pStyle w:val="NormalWeb"/>
              <w:spacing w:before="0" w:beforeAutospacing="0" w:after="200" w:afterAutospacing="0" w:line="276" w:lineRule="auto"/>
              <w:jc w:val="center"/>
            </w:pPr>
            <w:r>
              <w:rPr>
                <w:rFonts w:ascii="Arial" w:eastAsia="Calibri" w:hAnsi="Arial"/>
                <w:sz w:val="22"/>
                <w:szCs w:val="22"/>
              </w:rPr>
              <w:t xml:space="preserve">You should make your complaint to your service provider first. If they are unable to resolve your problem, or you </w:t>
            </w:r>
            <w:proofErr w:type="gramStart"/>
            <w:r>
              <w:rPr>
                <w:rFonts w:ascii="Arial" w:eastAsia="Calibri" w:hAnsi="Arial"/>
                <w:sz w:val="22"/>
                <w:szCs w:val="22"/>
              </w:rPr>
              <w:t>can’t</w:t>
            </w:r>
            <w:proofErr w:type="gramEnd"/>
            <w:r>
              <w:rPr>
                <w:rFonts w:ascii="Arial" w:eastAsia="Calibri" w:hAnsi="Arial"/>
                <w:sz w:val="22"/>
                <w:szCs w:val="22"/>
              </w:rPr>
              <w:t xml:space="preserve"> or don’t </w:t>
            </w:r>
            <w:r w:rsidRPr="00AD2928">
              <w:rPr>
                <w:rFonts w:ascii="Arial" w:eastAsia="Calibri" w:hAnsi="Arial"/>
                <w:sz w:val="22"/>
                <w:szCs w:val="22"/>
              </w:rPr>
              <w:t xml:space="preserve">want to talk to your </w:t>
            </w:r>
            <w:r>
              <w:rPr>
                <w:rFonts w:ascii="Arial" w:eastAsia="Calibri" w:hAnsi="Arial"/>
                <w:sz w:val="22"/>
                <w:szCs w:val="22"/>
              </w:rPr>
              <w:t>provider, you can then make your complaint to someone else.</w:t>
            </w:r>
          </w:p>
        </w:tc>
        <w:tc>
          <w:tcPr>
            <w:tcW w:w="4508" w:type="dxa"/>
            <w:shd w:val="clear" w:color="auto" w:fill="E5E5FF"/>
          </w:tcPr>
          <w:p w14:paraId="6949129D" w14:textId="5E02C5D6" w:rsidR="005945B5" w:rsidRPr="00491F5B" w:rsidRDefault="005945B5" w:rsidP="005945B5">
            <w:pPr>
              <w:pStyle w:val="NormalWeb"/>
              <w:spacing w:before="0" w:beforeAutospacing="0" w:after="200" w:afterAutospacing="0" w:line="276" w:lineRule="auto"/>
              <w:jc w:val="center"/>
              <w:rPr>
                <w:rFonts w:ascii="Georgia" w:eastAsia="Calibri" w:hAnsi="Georgia"/>
                <w:b/>
                <w:sz w:val="22"/>
                <w:szCs w:val="22"/>
              </w:rPr>
            </w:pPr>
            <w:r>
              <w:rPr>
                <w:rFonts w:ascii="Georgia" w:eastAsia="Calibri" w:hAnsi="Georgia"/>
                <w:b/>
                <w:sz w:val="22"/>
                <w:szCs w:val="22"/>
              </w:rPr>
              <w:br/>
            </w:r>
            <w:r w:rsidRPr="00491F5B">
              <w:rPr>
                <w:rFonts w:ascii="Georgia" w:eastAsia="Calibri" w:hAnsi="Georgia"/>
                <w:b/>
                <w:sz w:val="22"/>
                <w:szCs w:val="22"/>
              </w:rPr>
              <w:t>The Complaints Resolution and Referral Service (CRRS)</w:t>
            </w:r>
          </w:p>
          <w:p w14:paraId="43127845" w14:textId="1AEB91B3" w:rsidR="005945B5" w:rsidRDefault="005945B5" w:rsidP="005945B5">
            <w:pPr>
              <w:pStyle w:val="NormalWeb"/>
              <w:spacing w:before="0" w:beforeAutospacing="0" w:after="200" w:afterAutospacing="0" w:line="276" w:lineRule="auto"/>
              <w:jc w:val="center"/>
            </w:pPr>
            <w:r>
              <w:rPr>
                <w:rFonts w:ascii="Arial" w:eastAsia="Calibri" w:hAnsi="Arial"/>
                <w:sz w:val="22"/>
                <w:szCs w:val="22"/>
              </w:rPr>
              <w:t>The CRRS is the central contact for complaints about disability services and supports funded by the Commonwealth that are outside the NDIS.</w:t>
            </w:r>
          </w:p>
        </w:tc>
      </w:tr>
      <w:tr w:rsidR="005945B5" w14:paraId="7445FB79" w14:textId="77777777" w:rsidTr="005945B5">
        <w:tc>
          <w:tcPr>
            <w:tcW w:w="4508" w:type="dxa"/>
            <w:shd w:val="clear" w:color="auto" w:fill="E5E5FF"/>
          </w:tcPr>
          <w:p w14:paraId="4CE5A01C" w14:textId="2B6C8D97" w:rsidR="005945B5" w:rsidRPr="00491F5B" w:rsidRDefault="005945B5" w:rsidP="005945B5">
            <w:pPr>
              <w:pStyle w:val="NormalWeb"/>
              <w:spacing w:before="0" w:beforeAutospacing="0" w:after="200" w:afterAutospacing="0" w:line="276" w:lineRule="auto"/>
              <w:jc w:val="center"/>
              <w:rPr>
                <w:rFonts w:ascii="Georgia" w:eastAsia="Calibri" w:hAnsi="Georgia"/>
                <w:b/>
                <w:sz w:val="22"/>
                <w:szCs w:val="22"/>
              </w:rPr>
            </w:pPr>
            <w:r>
              <w:rPr>
                <w:rFonts w:ascii="Georgia" w:eastAsia="Calibri" w:hAnsi="Georgia"/>
                <w:b/>
                <w:sz w:val="22"/>
                <w:szCs w:val="22"/>
              </w:rPr>
              <w:br/>
            </w:r>
            <w:r w:rsidRPr="00491F5B">
              <w:rPr>
                <w:rFonts w:ascii="Georgia" w:eastAsia="Calibri" w:hAnsi="Georgia"/>
                <w:b/>
                <w:sz w:val="22"/>
                <w:szCs w:val="22"/>
              </w:rPr>
              <w:t>The Department of Social Services F</w:t>
            </w:r>
            <w:r>
              <w:rPr>
                <w:rFonts w:ascii="Georgia" w:eastAsia="Calibri" w:hAnsi="Georgia"/>
                <w:b/>
                <w:sz w:val="22"/>
                <w:szCs w:val="22"/>
              </w:rPr>
              <w:t>eedback and Complaints Team (</w:t>
            </w:r>
            <w:r w:rsidRPr="00491F5B">
              <w:rPr>
                <w:rFonts w:ascii="Georgia" w:eastAsia="Calibri" w:hAnsi="Georgia"/>
                <w:b/>
                <w:sz w:val="22"/>
                <w:szCs w:val="22"/>
              </w:rPr>
              <w:t>FCT)</w:t>
            </w:r>
          </w:p>
          <w:p w14:paraId="318C2212" w14:textId="713C0AB5" w:rsidR="005945B5" w:rsidRPr="005945B5" w:rsidRDefault="005945B5" w:rsidP="005945B5">
            <w:pPr>
              <w:pStyle w:val="NormalWeb"/>
              <w:spacing w:before="0" w:beforeAutospacing="0" w:after="200" w:afterAutospacing="0" w:line="276" w:lineRule="auto"/>
              <w:jc w:val="center"/>
              <w:rPr>
                <w:rFonts w:ascii="Arial" w:eastAsia="Calibri" w:hAnsi="Arial"/>
                <w:sz w:val="22"/>
                <w:szCs w:val="22"/>
              </w:rPr>
            </w:pPr>
            <w:r>
              <w:rPr>
                <w:rFonts w:ascii="Arial" w:eastAsia="Calibri" w:hAnsi="Arial"/>
                <w:sz w:val="22"/>
                <w:szCs w:val="22"/>
              </w:rPr>
              <w:t xml:space="preserve">You can make a complaint to the FCT. They will refer your complaint to the program area in the department who deals with your service provider. </w:t>
            </w:r>
          </w:p>
        </w:tc>
        <w:tc>
          <w:tcPr>
            <w:tcW w:w="4508" w:type="dxa"/>
            <w:shd w:val="clear" w:color="auto" w:fill="E5E5FF"/>
          </w:tcPr>
          <w:p w14:paraId="3E35EE59" w14:textId="7E80B471" w:rsidR="005945B5" w:rsidRPr="00491F5B" w:rsidRDefault="005945B5" w:rsidP="005945B5">
            <w:pPr>
              <w:pStyle w:val="NormalWeb"/>
              <w:spacing w:before="0" w:beforeAutospacing="0" w:after="200" w:afterAutospacing="0" w:line="276" w:lineRule="auto"/>
              <w:jc w:val="center"/>
              <w:rPr>
                <w:rFonts w:ascii="Georgia" w:eastAsia="Calibri" w:hAnsi="Georgia"/>
                <w:b/>
                <w:sz w:val="22"/>
                <w:szCs w:val="22"/>
              </w:rPr>
            </w:pPr>
            <w:r>
              <w:rPr>
                <w:rFonts w:ascii="Georgia" w:eastAsia="Calibri" w:hAnsi="Georgia"/>
                <w:b/>
                <w:sz w:val="22"/>
                <w:szCs w:val="22"/>
              </w:rPr>
              <w:br/>
            </w:r>
            <w:r w:rsidRPr="00491F5B">
              <w:rPr>
                <w:rFonts w:ascii="Georgia" w:eastAsia="Calibri" w:hAnsi="Georgia"/>
                <w:b/>
                <w:sz w:val="22"/>
                <w:szCs w:val="22"/>
              </w:rPr>
              <w:t xml:space="preserve">The </w:t>
            </w:r>
            <w:r>
              <w:rPr>
                <w:rFonts w:ascii="Georgia" w:eastAsia="Calibri" w:hAnsi="Georgia"/>
                <w:b/>
                <w:sz w:val="22"/>
                <w:szCs w:val="22"/>
              </w:rPr>
              <w:t>National Customer Service Line (NCLS</w:t>
            </w:r>
            <w:r w:rsidRPr="00491F5B">
              <w:rPr>
                <w:rFonts w:ascii="Georgia" w:eastAsia="Calibri" w:hAnsi="Georgia"/>
                <w:b/>
                <w:sz w:val="22"/>
                <w:szCs w:val="22"/>
              </w:rPr>
              <w:t>)</w:t>
            </w:r>
          </w:p>
          <w:p w14:paraId="6803C914" w14:textId="1AB1961F" w:rsidR="005945B5" w:rsidRPr="005945B5" w:rsidRDefault="005945B5" w:rsidP="005945B5">
            <w:pPr>
              <w:pStyle w:val="NormalWeb"/>
              <w:spacing w:before="0" w:beforeAutospacing="0" w:after="200" w:afterAutospacing="0" w:line="276" w:lineRule="auto"/>
              <w:jc w:val="center"/>
              <w:rPr>
                <w:rFonts w:ascii="Arial" w:eastAsia="Calibri" w:hAnsi="Arial"/>
                <w:sz w:val="22"/>
                <w:szCs w:val="22"/>
              </w:rPr>
            </w:pPr>
            <w:r>
              <w:rPr>
                <w:rFonts w:ascii="Arial" w:eastAsia="Calibri" w:hAnsi="Arial"/>
                <w:sz w:val="22"/>
                <w:szCs w:val="22"/>
              </w:rPr>
              <w:t xml:space="preserve">If your complaint is about a DES program, you can complain to the NCLS. For other complaints, the NCLS will refer you to one of the above complaints bodies. </w:t>
            </w:r>
          </w:p>
        </w:tc>
      </w:tr>
    </w:tbl>
    <w:p w14:paraId="77CFF788" w14:textId="5EDCF8B1" w:rsidR="00B56A64" w:rsidRPr="00491F5B" w:rsidRDefault="005945B5" w:rsidP="00D9552B">
      <w:pPr>
        <w:pStyle w:val="Heading4"/>
      </w:pPr>
      <w:r>
        <w:rPr>
          <w:rFonts w:eastAsia="Calibri"/>
        </w:rPr>
        <w:br/>
      </w:r>
      <w:r w:rsidR="00B56A64" w:rsidRPr="00491F5B">
        <w:rPr>
          <w:rFonts w:eastAsia="Calibri"/>
        </w:rPr>
        <w:t xml:space="preserve">The </w:t>
      </w:r>
      <w:r w:rsidR="00806DE1">
        <w:rPr>
          <w:rFonts w:eastAsia="Calibri"/>
        </w:rPr>
        <w:t>complaints body</w:t>
      </w:r>
      <w:r w:rsidR="00B56A64">
        <w:rPr>
          <w:rFonts w:eastAsia="Calibri"/>
        </w:rPr>
        <w:t xml:space="preserve"> </w:t>
      </w:r>
      <w:r w:rsidR="00B56A64" w:rsidRPr="00491F5B">
        <w:rPr>
          <w:rFonts w:eastAsia="Calibri"/>
        </w:rPr>
        <w:t>will provide support</w:t>
      </w:r>
    </w:p>
    <w:p w14:paraId="005819B1" w14:textId="77777777" w:rsidR="00B56A64" w:rsidRDefault="00B56A64" w:rsidP="00B56A64">
      <w:r>
        <w:rPr>
          <w:rFonts w:eastAsia="Calibri"/>
        </w:rPr>
        <w:t xml:space="preserve">The </w:t>
      </w:r>
      <w:r w:rsidR="00806DE1">
        <w:rPr>
          <w:rFonts w:eastAsia="Calibri"/>
        </w:rPr>
        <w:t>organisation you have complained to will</w:t>
      </w:r>
      <w:r>
        <w:rPr>
          <w:rFonts w:eastAsia="Calibri"/>
        </w:rPr>
        <w:t xml:space="preserve"> help resolve your complaint between you and the service provider. If the complaint is not easily resolved, the complaints </w:t>
      </w:r>
      <w:r w:rsidRPr="00AD2928">
        <w:rPr>
          <w:rFonts w:eastAsia="Calibri"/>
        </w:rPr>
        <w:t xml:space="preserve">body will gather additional information and </w:t>
      </w:r>
      <w:r>
        <w:rPr>
          <w:rFonts w:eastAsia="Calibri"/>
        </w:rPr>
        <w:t>make recommendations to the service provider about what they must do to resolve the situation. The complaints body will let you know their recommendations. They will monitor the service provider to make sure they implement the recommendations.</w:t>
      </w:r>
    </w:p>
    <w:p w14:paraId="4EDE4363" w14:textId="77777777" w:rsidR="00B56A64" w:rsidRDefault="00B56A64" w:rsidP="00B56A64"/>
    <w:p w14:paraId="3FCC0DA0" w14:textId="77777777" w:rsidR="00B56A64" w:rsidRPr="00491F5B" w:rsidRDefault="00B56A64" w:rsidP="00D9552B">
      <w:pPr>
        <w:pStyle w:val="Heading4"/>
      </w:pPr>
      <w:r w:rsidRPr="00491F5B">
        <w:rPr>
          <w:rFonts w:eastAsia="Calibri"/>
        </w:rPr>
        <w:t>Government departments might provide follow-up</w:t>
      </w:r>
    </w:p>
    <w:p w14:paraId="12338121" w14:textId="77777777" w:rsidR="00B56A64" w:rsidRDefault="00B56A64" w:rsidP="00B56A64">
      <w:pPr>
        <w:rPr>
          <w:rFonts w:eastAsia="Calibri"/>
        </w:rPr>
      </w:pPr>
      <w:r>
        <w:rPr>
          <w:rFonts w:eastAsia="Calibri"/>
        </w:rPr>
        <w:t xml:space="preserve">If the service provider still </w:t>
      </w:r>
      <w:proofErr w:type="gramStart"/>
      <w:r>
        <w:rPr>
          <w:rFonts w:eastAsia="Calibri"/>
        </w:rPr>
        <w:t>doesn’t</w:t>
      </w:r>
      <w:proofErr w:type="gramEnd"/>
      <w:r>
        <w:rPr>
          <w:rFonts w:eastAsia="Calibri"/>
        </w:rPr>
        <w:t xml:space="preserve"> resolve the situation, the complaints body will notify the relevant government department. The department will notify the service provider that they must comply with the recommendations. If they </w:t>
      </w:r>
      <w:proofErr w:type="gramStart"/>
      <w:r>
        <w:rPr>
          <w:rFonts w:eastAsia="Calibri"/>
        </w:rPr>
        <w:t>don’t</w:t>
      </w:r>
      <w:proofErr w:type="gramEnd"/>
      <w:r>
        <w:rPr>
          <w:rFonts w:eastAsia="Calibri"/>
        </w:rPr>
        <w:t xml:space="preserve">, their funding might be put at risk. </w:t>
      </w:r>
    </w:p>
    <w:p w14:paraId="77FA7810" w14:textId="42E4FCFA" w:rsidR="005945B5" w:rsidRDefault="005945B5" w:rsidP="005945B5">
      <w:pPr>
        <w:rPr>
          <w:rFonts w:eastAsia="Calibri"/>
        </w:rPr>
      </w:pPr>
      <w:r>
        <w:rPr>
          <w:noProof/>
        </w:rPr>
        <mc:AlternateContent>
          <mc:Choice Requires="wps">
            <w:drawing>
              <wp:anchor distT="0" distB="0" distL="114300" distR="114300" simplePos="0" relativeHeight="251662336" behindDoc="1" locked="0" layoutInCell="1" allowOverlap="1" wp14:anchorId="26C6B07C" wp14:editId="256D6A95">
                <wp:simplePos x="0" y="0"/>
                <wp:positionH relativeFrom="margin">
                  <wp:posOffset>46355</wp:posOffset>
                </wp:positionH>
                <wp:positionV relativeFrom="paragraph">
                  <wp:posOffset>397372</wp:posOffset>
                </wp:positionV>
                <wp:extent cx="5622290" cy="841294"/>
                <wp:effectExtent l="0" t="0" r="16510" b="16510"/>
                <wp:wrapNone/>
                <wp:docPr id="18" name="Rectangle 18"/>
                <wp:cNvGraphicFramePr/>
                <a:graphic xmlns:a="http://schemas.openxmlformats.org/drawingml/2006/main">
                  <a:graphicData uri="http://schemas.microsoft.com/office/word/2010/wordprocessingShape">
                    <wps:wsp>
                      <wps:cNvSpPr/>
                      <wps:spPr>
                        <a:xfrm>
                          <a:off x="0" y="0"/>
                          <a:ext cx="5622290" cy="841294"/>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617A01E" w14:textId="48C15A40" w:rsidR="00B56A64" w:rsidRDefault="00B56A64" w:rsidP="00806DE1">
                            <w:pPr>
                              <w:pStyle w:val="NormalWeb"/>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6B07C" id="Rectangle 18" o:spid="_x0000_s1026" style="position:absolute;margin-left:3.65pt;margin-top:31.3pt;width:442.7pt;height:66.25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" fillcolor="white [3201]" strokecolor="#d40c7d [3208]" strokeweight=".73403mm">
                <v:textbox>
                  <w:txbxContent>
                    <w:p w14:paraId="5617A01E" w14:textId="48C15A40" w:rsidR="00B56A64" w:rsidRDefault="00B56A64" w:rsidP="00806DE1">
                      <w:pPr>
                        <w:pStyle w:val="NormalWeb"/>
                        <w:spacing w:before="0" w:beforeAutospacing="0" w:after="200" w:afterAutospacing="0" w:line="276" w:lineRule="auto"/>
                        <w:jc w:val="center"/>
                      </w:pPr>
                    </w:p>
                  </w:txbxContent>
                </v:textbox>
                <w10:wrap anchorx="margin"/>
              </v:rect>
            </w:pict>
          </mc:Fallback>
        </mc:AlternateContent>
      </w:r>
      <w:r w:rsidR="00B56A64">
        <w:rPr>
          <w:rFonts w:eastAsia="Calibri"/>
        </w:rPr>
        <w:t>If the service provider provides certain higher-risk activities (called ‘regulated activities’), a certification body might become involved too.</w:t>
      </w:r>
    </w:p>
    <w:p w14:paraId="1F343B16" w14:textId="5B2C05BD" w:rsidR="00C6007B" w:rsidRPr="004649E2" w:rsidRDefault="005945B5" w:rsidP="005945B5">
      <w:pPr>
        <w:jc w:val="center"/>
      </w:pPr>
      <w:r w:rsidRPr="00491F5B">
        <w:rPr>
          <w:rFonts w:ascii="Georgia" w:eastAsia="Calibri" w:hAnsi="Georgia"/>
          <w:b/>
          <w:bCs/>
          <w:sz w:val="22"/>
          <w:szCs w:val="22"/>
        </w:rPr>
        <w:t xml:space="preserve">I am </w:t>
      </w:r>
      <w:r>
        <w:rPr>
          <w:rFonts w:ascii="Georgia" w:eastAsia="Calibri" w:hAnsi="Georgia"/>
          <w:b/>
          <w:bCs/>
          <w:sz w:val="22"/>
          <w:szCs w:val="22"/>
        </w:rPr>
        <w:t xml:space="preserve">not </w:t>
      </w:r>
      <w:r w:rsidRPr="00491F5B">
        <w:rPr>
          <w:rFonts w:ascii="Georgia" w:eastAsia="Calibri" w:hAnsi="Georgia"/>
          <w:b/>
          <w:bCs/>
          <w:sz w:val="22"/>
          <w:szCs w:val="22"/>
        </w:rPr>
        <w:t>satisfied with the results</w:t>
      </w:r>
      <w:r>
        <w:rPr>
          <w:rFonts w:ascii="Georgia" w:eastAsia="Calibri" w:hAnsi="Georgia"/>
          <w:b/>
          <w:bCs/>
          <w:sz w:val="22"/>
          <w:szCs w:val="22"/>
        </w:rPr>
        <w:br/>
      </w:r>
      <w:r>
        <w:rPr>
          <w:rFonts w:eastAsia="Calibri"/>
          <w:sz w:val="22"/>
          <w:szCs w:val="22"/>
        </w:rPr>
        <w:t xml:space="preserve">If you are not satisfied with the outcome of your complaint, you can contact the Commonwealth Ombudsman on </w:t>
      </w:r>
      <w:r w:rsidRPr="009E0ED6">
        <w:rPr>
          <w:rFonts w:eastAsia="Calibri"/>
          <w:sz w:val="22"/>
          <w:szCs w:val="22"/>
        </w:rPr>
        <w:t>1300 362 072</w:t>
      </w:r>
      <w:r>
        <w:rPr>
          <w:rFonts w:eastAsia="Calibri"/>
          <w:sz w:val="22"/>
          <w:szCs w:val="22"/>
        </w:rPr>
        <w:t>.</w:t>
      </w:r>
    </w:p>
    <w:sectPr w:rsidR="00C6007B" w:rsidRPr="004649E2" w:rsidSect="00C6007B">
      <w:headerReference w:type="even" r:id="rId12"/>
      <w:footerReference w:type="even" r:id="rId13"/>
      <w:footerReference w:type="default" r:id="rId14"/>
      <w:headerReference w:type="first" r:id="rId15"/>
      <w:footerReference w:type="firs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E5DB9" w14:textId="77777777" w:rsidR="00F365A0" w:rsidRDefault="00F365A0">
      <w:r>
        <w:separator/>
      </w:r>
    </w:p>
  </w:endnote>
  <w:endnote w:type="continuationSeparator" w:id="0">
    <w:p w14:paraId="42DACEE4" w14:textId="77777777" w:rsidR="00F365A0" w:rsidRDefault="00F3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672C" w14:textId="77777777" w:rsidR="00B04ED8" w:rsidRDefault="00F36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772B" w14:textId="77777777" w:rsidR="00B04ED8" w:rsidRDefault="00F36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6DE9" w14:textId="77777777" w:rsidR="00B04ED8" w:rsidRDefault="00F3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0DE86" w14:textId="77777777" w:rsidR="00F365A0" w:rsidRDefault="00F365A0">
      <w:r>
        <w:separator/>
      </w:r>
    </w:p>
  </w:footnote>
  <w:footnote w:type="continuationSeparator" w:id="0">
    <w:p w14:paraId="74840AA7" w14:textId="77777777" w:rsidR="00F365A0" w:rsidRDefault="00F3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910A" w14:textId="77777777" w:rsidR="00142F3E" w:rsidRDefault="00F36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7889" w14:textId="77777777" w:rsidR="00B04ED8" w:rsidRDefault="00F36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D776" w14:textId="77777777" w:rsidR="00B04ED8" w:rsidRDefault="00F36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9EEA3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7722D"/>
    <w:multiLevelType w:val="hybridMultilevel"/>
    <w:tmpl w:val="6786F056"/>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363E45"/>
    <w:multiLevelType w:val="hybridMultilevel"/>
    <w:tmpl w:val="4B9E68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5D580F"/>
    <w:multiLevelType w:val="hybridMultilevel"/>
    <w:tmpl w:val="02BC6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3"/>
  </w:num>
  <w:num w:numId="5">
    <w:abstractNumId w:val="18"/>
  </w:num>
  <w:num w:numId="6">
    <w:abstractNumId w:val="60"/>
  </w:num>
  <w:num w:numId="7">
    <w:abstractNumId w:val="47"/>
  </w:num>
  <w:num w:numId="8">
    <w:abstractNumId w:val="52"/>
  </w:num>
  <w:num w:numId="9">
    <w:abstractNumId w:val="7"/>
  </w:num>
  <w:num w:numId="10">
    <w:abstractNumId w:val="59"/>
  </w:num>
  <w:num w:numId="11">
    <w:abstractNumId w:val="19"/>
  </w:num>
  <w:num w:numId="12">
    <w:abstractNumId w:val="44"/>
  </w:num>
  <w:num w:numId="13">
    <w:abstractNumId w:val="54"/>
  </w:num>
  <w:num w:numId="14">
    <w:abstractNumId w:val="37"/>
  </w:num>
  <w:num w:numId="15">
    <w:abstractNumId w:val="3"/>
  </w:num>
  <w:num w:numId="16">
    <w:abstractNumId w:val="15"/>
  </w:num>
  <w:num w:numId="17">
    <w:abstractNumId w:val="58"/>
  </w:num>
  <w:num w:numId="18">
    <w:abstractNumId w:val="51"/>
  </w:num>
  <w:num w:numId="19">
    <w:abstractNumId w:val="16"/>
  </w:num>
  <w:num w:numId="20">
    <w:abstractNumId w:val="2"/>
  </w:num>
  <w:num w:numId="21">
    <w:abstractNumId w:val="5"/>
  </w:num>
  <w:num w:numId="22">
    <w:abstractNumId w:val="23"/>
  </w:num>
  <w:num w:numId="23">
    <w:abstractNumId w:val="20"/>
  </w:num>
  <w:num w:numId="24">
    <w:abstractNumId w:val="62"/>
  </w:num>
  <w:num w:numId="25">
    <w:abstractNumId w:val="36"/>
  </w:num>
  <w:num w:numId="26">
    <w:abstractNumId w:val="41"/>
  </w:num>
  <w:num w:numId="27">
    <w:abstractNumId w:val="22"/>
  </w:num>
  <w:num w:numId="28">
    <w:abstractNumId w:val="61"/>
  </w:num>
  <w:num w:numId="29">
    <w:abstractNumId w:val="50"/>
  </w:num>
  <w:num w:numId="30">
    <w:abstractNumId w:val="28"/>
  </w:num>
  <w:num w:numId="31">
    <w:abstractNumId w:val="46"/>
  </w:num>
  <w:num w:numId="32">
    <w:abstractNumId w:val="55"/>
  </w:num>
  <w:num w:numId="33">
    <w:abstractNumId w:val="57"/>
  </w:num>
  <w:num w:numId="34">
    <w:abstractNumId w:val="4"/>
  </w:num>
  <w:num w:numId="35">
    <w:abstractNumId w:val="26"/>
  </w:num>
  <w:num w:numId="36">
    <w:abstractNumId w:val="49"/>
  </w:num>
  <w:num w:numId="37">
    <w:abstractNumId w:val="9"/>
  </w:num>
  <w:num w:numId="38">
    <w:abstractNumId w:val="31"/>
  </w:num>
  <w:num w:numId="39">
    <w:abstractNumId w:val="25"/>
  </w:num>
  <w:num w:numId="40">
    <w:abstractNumId w:val="35"/>
  </w:num>
  <w:num w:numId="41">
    <w:abstractNumId w:val="39"/>
  </w:num>
  <w:num w:numId="42">
    <w:abstractNumId w:val="24"/>
  </w:num>
  <w:num w:numId="43">
    <w:abstractNumId w:val="17"/>
  </w:num>
  <w:num w:numId="44">
    <w:abstractNumId w:val="43"/>
  </w:num>
  <w:num w:numId="45">
    <w:abstractNumId w:val="48"/>
  </w:num>
  <w:num w:numId="46">
    <w:abstractNumId w:val="34"/>
  </w:num>
  <w:num w:numId="47">
    <w:abstractNumId w:val="32"/>
  </w:num>
  <w:num w:numId="48">
    <w:abstractNumId w:val="1"/>
  </w:num>
  <w:num w:numId="49">
    <w:abstractNumId w:val="45"/>
  </w:num>
  <w:num w:numId="50">
    <w:abstractNumId w:val="56"/>
  </w:num>
  <w:num w:numId="51">
    <w:abstractNumId w:val="42"/>
  </w:num>
  <w:num w:numId="52">
    <w:abstractNumId w:val="10"/>
  </w:num>
  <w:num w:numId="53">
    <w:abstractNumId w:val="53"/>
  </w:num>
  <w:num w:numId="54">
    <w:abstractNumId w:val="27"/>
  </w:num>
  <w:num w:numId="55">
    <w:abstractNumId w:val="21"/>
  </w:num>
  <w:num w:numId="56">
    <w:abstractNumId w:val="30"/>
  </w:num>
  <w:num w:numId="57">
    <w:abstractNumId w:val="29"/>
  </w:num>
  <w:num w:numId="58">
    <w:abstractNumId w:val="11"/>
  </w:num>
  <w:num w:numId="59">
    <w:abstractNumId w:val="38"/>
  </w:num>
  <w:num w:numId="60">
    <w:abstractNumId w:val="6"/>
  </w:num>
  <w:num w:numId="61">
    <w:abstractNumId w:val="33"/>
  </w:num>
  <w:num w:numId="62">
    <w:abstractNumId w:val="8"/>
  </w:num>
  <w:num w:numId="63">
    <w:abstractNumId w:val="12"/>
  </w:num>
  <w:num w:numId="64">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D4"/>
    <w:rsid w:val="00002C18"/>
    <w:rsid w:val="00010549"/>
    <w:rsid w:val="00012F84"/>
    <w:rsid w:val="00013DE7"/>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2E29"/>
    <w:rsid w:val="000547EF"/>
    <w:rsid w:val="00054B89"/>
    <w:rsid w:val="00067CD0"/>
    <w:rsid w:val="00080F2E"/>
    <w:rsid w:val="00081CEB"/>
    <w:rsid w:val="00083791"/>
    <w:rsid w:val="00086E3C"/>
    <w:rsid w:val="00087B2C"/>
    <w:rsid w:val="00087DBD"/>
    <w:rsid w:val="00090570"/>
    <w:rsid w:val="00090753"/>
    <w:rsid w:val="00096F54"/>
    <w:rsid w:val="00097BFF"/>
    <w:rsid w:val="000A5E56"/>
    <w:rsid w:val="000A669D"/>
    <w:rsid w:val="000A66A8"/>
    <w:rsid w:val="000B47C9"/>
    <w:rsid w:val="000B7E6F"/>
    <w:rsid w:val="000C014D"/>
    <w:rsid w:val="000D0178"/>
    <w:rsid w:val="000D2A45"/>
    <w:rsid w:val="000D4703"/>
    <w:rsid w:val="000D612A"/>
    <w:rsid w:val="000D693C"/>
    <w:rsid w:val="000E12D4"/>
    <w:rsid w:val="00104669"/>
    <w:rsid w:val="00110028"/>
    <w:rsid w:val="0011449B"/>
    <w:rsid w:val="00116EDF"/>
    <w:rsid w:val="0012001B"/>
    <w:rsid w:val="00123BB3"/>
    <w:rsid w:val="00124B26"/>
    <w:rsid w:val="00130C4E"/>
    <w:rsid w:val="00131B54"/>
    <w:rsid w:val="001354B7"/>
    <w:rsid w:val="001365C8"/>
    <w:rsid w:val="00136B5E"/>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1F61C2"/>
    <w:rsid w:val="00207630"/>
    <w:rsid w:val="00213082"/>
    <w:rsid w:val="0021714E"/>
    <w:rsid w:val="00222187"/>
    <w:rsid w:val="00222C8D"/>
    <w:rsid w:val="00222E33"/>
    <w:rsid w:val="00227B95"/>
    <w:rsid w:val="002349B5"/>
    <w:rsid w:val="0023523A"/>
    <w:rsid w:val="002353DF"/>
    <w:rsid w:val="00235F71"/>
    <w:rsid w:val="0025272A"/>
    <w:rsid w:val="00257F2E"/>
    <w:rsid w:val="00271922"/>
    <w:rsid w:val="0027204E"/>
    <w:rsid w:val="00273412"/>
    <w:rsid w:val="00274ACF"/>
    <w:rsid w:val="0028060E"/>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5FC"/>
    <w:rsid w:val="00332B8B"/>
    <w:rsid w:val="00342476"/>
    <w:rsid w:val="00347104"/>
    <w:rsid w:val="0035213F"/>
    <w:rsid w:val="003543BC"/>
    <w:rsid w:val="003555D2"/>
    <w:rsid w:val="00363DF3"/>
    <w:rsid w:val="003656B1"/>
    <w:rsid w:val="0037056B"/>
    <w:rsid w:val="00377173"/>
    <w:rsid w:val="003774DA"/>
    <w:rsid w:val="0038503A"/>
    <w:rsid w:val="00392557"/>
    <w:rsid w:val="003945C0"/>
    <w:rsid w:val="0039632F"/>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57B19"/>
    <w:rsid w:val="004649E2"/>
    <w:rsid w:val="00464E8C"/>
    <w:rsid w:val="00466D36"/>
    <w:rsid w:val="00467185"/>
    <w:rsid w:val="0047050C"/>
    <w:rsid w:val="00475504"/>
    <w:rsid w:val="00480F21"/>
    <w:rsid w:val="00484FED"/>
    <w:rsid w:val="00495AF1"/>
    <w:rsid w:val="004B6F15"/>
    <w:rsid w:val="004D44E8"/>
    <w:rsid w:val="004F775C"/>
    <w:rsid w:val="004F77BF"/>
    <w:rsid w:val="005015E4"/>
    <w:rsid w:val="0050291D"/>
    <w:rsid w:val="0050697E"/>
    <w:rsid w:val="005109A6"/>
    <w:rsid w:val="00524B3C"/>
    <w:rsid w:val="00526A8A"/>
    <w:rsid w:val="005300B9"/>
    <w:rsid w:val="005315A9"/>
    <w:rsid w:val="005316BE"/>
    <w:rsid w:val="00531D7E"/>
    <w:rsid w:val="00532B56"/>
    <w:rsid w:val="005334FC"/>
    <w:rsid w:val="005374FA"/>
    <w:rsid w:val="00537B50"/>
    <w:rsid w:val="00540AD0"/>
    <w:rsid w:val="0054322A"/>
    <w:rsid w:val="00543923"/>
    <w:rsid w:val="005519C9"/>
    <w:rsid w:val="005523D1"/>
    <w:rsid w:val="00554A9C"/>
    <w:rsid w:val="00557624"/>
    <w:rsid w:val="0056023E"/>
    <w:rsid w:val="00562681"/>
    <w:rsid w:val="005658EF"/>
    <w:rsid w:val="00575F5B"/>
    <w:rsid w:val="005822A3"/>
    <w:rsid w:val="0059070B"/>
    <w:rsid w:val="0059293B"/>
    <w:rsid w:val="00594445"/>
    <w:rsid w:val="005945B5"/>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41020"/>
    <w:rsid w:val="006410C1"/>
    <w:rsid w:val="00643F4D"/>
    <w:rsid w:val="00647F05"/>
    <w:rsid w:val="006530EF"/>
    <w:rsid w:val="00654D06"/>
    <w:rsid w:val="00661536"/>
    <w:rsid w:val="006678ED"/>
    <w:rsid w:val="0067233D"/>
    <w:rsid w:val="006745AE"/>
    <w:rsid w:val="00675BEF"/>
    <w:rsid w:val="00676AF3"/>
    <w:rsid w:val="00676D10"/>
    <w:rsid w:val="00680F71"/>
    <w:rsid w:val="00682A53"/>
    <w:rsid w:val="00685FA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61E"/>
    <w:rsid w:val="00730C64"/>
    <w:rsid w:val="007322AF"/>
    <w:rsid w:val="00735477"/>
    <w:rsid w:val="00736DCA"/>
    <w:rsid w:val="00742399"/>
    <w:rsid w:val="007457E8"/>
    <w:rsid w:val="0074640C"/>
    <w:rsid w:val="00747DDD"/>
    <w:rsid w:val="0075003D"/>
    <w:rsid w:val="00751B37"/>
    <w:rsid w:val="00754D44"/>
    <w:rsid w:val="00767B7E"/>
    <w:rsid w:val="007746A9"/>
    <w:rsid w:val="00785465"/>
    <w:rsid w:val="00787656"/>
    <w:rsid w:val="00795309"/>
    <w:rsid w:val="007A67EA"/>
    <w:rsid w:val="007B15AF"/>
    <w:rsid w:val="007B7E83"/>
    <w:rsid w:val="007C1631"/>
    <w:rsid w:val="007C636F"/>
    <w:rsid w:val="007D0EF8"/>
    <w:rsid w:val="007D39EB"/>
    <w:rsid w:val="007E68BF"/>
    <w:rsid w:val="00800A4D"/>
    <w:rsid w:val="00806DE1"/>
    <w:rsid w:val="008131E7"/>
    <w:rsid w:val="00813711"/>
    <w:rsid w:val="00814279"/>
    <w:rsid w:val="008242DE"/>
    <w:rsid w:val="008263C2"/>
    <w:rsid w:val="008312D5"/>
    <w:rsid w:val="00842959"/>
    <w:rsid w:val="008451FE"/>
    <w:rsid w:val="008466A1"/>
    <w:rsid w:val="00846C1D"/>
    <w:rsid w:val="00851758"/>
    <w:rsid w:val="00856D5A"/>
    <w:rsid w:val="008609EB"/>
    <w:rsid w:val="00862D6D"/>
    <w:rsid w:val="00864C35"/>
    <w:rsid w:val="008653E0"/>
    <w:rsid w:val="008657FB"/>
    <w:rsid w:val="00865EA9"/>
    <w:rsid w:val="00871D4F"/>
    <w:rsid w:val="00874FB3"/>
    <w:rsid w:val="00880BE3"/>
    <w:rsid w:val="00882588"/>
    <w:rsid w:val="0089101B"/>
    <w:rsid w:val="00895792"/>
    <w:rsid w:val="008A3738"/>
    <w:rsid w:val="008A384C"/>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0D3"/>
    <w:rsid w:val="00910384"/>
    <w:rsid w:val="009139C0"/>
    <w:rsid w:val="009161C8"/>
    <w:rsid w:val="009164AD"/>
    <w:rsid w:val="00922289"/>
    <w:rsid w:val="00935918"/>
    <w:rsid w:val="00936F46"/>
    <w:rsid w:val="00937956"/>
    <w:rsid w:val="0094271E"/>
    <w:rsid w:val="00943142"/>
    <w:rsid w:val="00943A29"/>
    <w:rsid w:val="0095197E"/>
    <w:rsid w:val="00952AB2"/>
    <w:rsid w:val="00954CEB"/>
    <w:rsid w:val="009551E0"/>
    <w:rsid w:val="00955801"/>
    <w:rsid w:val="009559C2"/>
    <w:rsid w:val="0095654E"/>
    <w:rsid w:val="00956F3C"/>
    <w:rsid w:val="0095779B"/>
    <w:rsid w:val="0096485D"/>
    <w:rsid w:val="009900F0"/>
    <w:rsid w:val="00991769"/>
    <w:rsid w:val="00994E9F"/>
    <w:rsid w:val="00996931"/>
    <w:rsid w:val="009A0F18"/>
    <w:rsid w:val="009A4CD8"/>
    <w:rsid w:val="009A6AFA"/>
    <w:rsid w:val="009B3ED1"/>
    <w:rsid w:val="009C07EC"/>
    <w:rsid w:val="009C206F"/>
    <w:rsid w:val="009C433C"/>
    <w:rsid w:val="009D28B7"/>
    <w:rsid w:val="009D7E1A"/>
    <w:rsid w:val="009E0ED6"/>
    <w:rsid w:val="009E2162"/>
    <w:rsid w:val="009F2F95"/>
    <w:rsid w:val="00A006EB"/>
    <w:rsid w:val="00A03709"/>
    <w:rsid w:val="00A06C77"/>
    <w:rsid w:val="00A10147"/>
    <w:rsid w:val="00A13D26"/>
    <w:rsid w:val="00A146A5"/>
    <w:rsid w:val="00A17411"/>
    <w:rsid w:val="00A2223D"/>
    <w:rsid w:val="00A223EF"/>
    <w:rsid w:val="00A30FA4"/>
    <w:rsid w:val="00A34A74"/>
    <w:rsid w:val="00A35351"/>
    <w:rsid w:val="00A42ADE"/>
    <w:rsid w:val="00A50909"/>
    <w:rsid w:val="00A60693"/>
    <w:rsid w:val="00A67728"/>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56A64"/>
    <w:rsid w:val="00B60D0F"/>
    <w:rsid w:val="00B67419"/>
    <w:rsid w:val="00B72D62"/>
    <w:rsid w:val="00B76920"/>
    <w:rsid w:val="00B843C8"/>
    <w:rsid w:val="00B951E2"/>
    <w:rsid w:val="00B96F37"/>
    <w:rsid w:val="00BA607C"/>
    <w:rsid w:val="00BB3462"/>
    <w:rsid w:val="00BB3E2A"/>
    <w:rsid w:val="00BC16F5"/>
    <w:rsid w:val="00BC1EF6"/>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1B23"/>
    <w:rsid w:val="00C47BA2"/>
    <w:rsid w:val="00C6007B"/>
    <w:rsid w:val="00C612DC"/>
    <w:rsid w:val="00C622CB"/>
    <w:rsid w:val="00C64D15"/>
    <w:rsid w:val="00C74F74"/>
    <w:rsid w:val="00C7554B"/>
    <w:rsid w:val="00C80192"/>
    <w:rsid w:val="00C82A05"/>
    <w:rsid w:val="00C83E31"/>
    <w:rsid w:val="00C916A4"/>
    <w:rsid w:val="00CA2A52"/>
    <w:rsid w:val="00CA2B15"/>
    <w:rsid w:val="00CA6490"/>
    <w:rsid w:val="00CB05BE"/>
    <w:rsid w:val="00CB5744"/>
    <w:rsid w:val="00CB7022"/>
    <w:rsid w:val="00CC45BA"/>
    <w:rsid w:val="00CD1937"/>
    <w:rsid w:val="00CD42D4"/>
    <w:rsid w:val="00CE214C"/>
    <w:rsid w:val="00CE6858"/>
    <w:rsid w:val="00CF50BE"/>
    <w:rsid w:val="00CF553B"/>
    <w:rsid w:val="00CF6A52"/>
    <w:rsid w:val="00D03583"/>
    <w:rsid w:val="00D117B4"/>
    <w:rsid w:val="00D16258"/>
    <w:rsid w:val="00D169F7"/>
    <w:rsid w:val="00D21382"/>
    <w:rsid w:val="00D26D01"/>
    <w:rsid w:val="00D33DA3"/>
    <w:rsid w:val="00D43E35"/>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552B"/>
    <w:rsid w:val="00D97047"/>
    <w:rsid w:val="00D97108"/>
    <w:rsid w:val="00DC5665"/>
    <w:rsid w:val="00DD46FC"/>
    <w:rsid w:val="00DD4F44"/>
    <w:rsid w:val="00DD5D8B"/>
    <w:rsid w:val="00DE0F9E"/>
    <w:rsid w:val="00DE5D76"/>
    <w:rsid w:val="00E04C8D"/>
    <w:rsid w:val="00E1145C"/>
    <w:rsid w:val="00E128D8"/>
    <w:rsid w:val="00E30D45"/>
    <w:rsid w:val="00E42FE4"/>
    <w:rsid w:val="00E43BB2"/>
    <w:rsid w:val="00E46FAA"/>
    <w:rsid w:val="00E50FB5"/>
    <w:rsid w:val="00E5750B"/>
    <w:rsid w:val="00E60E2E"/>
    <w:rsid w:val="00E63A24"/>
    <w:rsid w:val="00E657B1"/>
    <w:rsid w:val="00E67913"/>
    <w:rsid w:val="00E71A2D"/>
    <w:rsid w:val="00E80591"/>
    <w:rsid w:val="00E8698A"/>
    <w:rsid w:val="00E923F2"/>
    <w:rsid w:val="00EA31CC"/>
    <w:rsid w:val="00EB14DF"/>
    <w:rsid w:val="00EB2B64"/>
    <w:rsid w:val="00EB3A07"/>
    <w:rsid w:val="00EB4143"/>
    <w:rsid w:val="00EB4728"/>
    <w:rsid w:val="00EC207A"/>
    <w:rsid w:val="00EC3F31"/>
    <w:rsid w:val="00ED3C91"/>
    <w:rsid w:val="00ED4112"/>
    <w:rsid w:val="00ED75AF"/>
    <w:rsid w:val="00EF1347"/>
    <w:rsid w:val="00EF2BEB"/>
    <w:rsid w:val="00F01129"/>
    <w:rsid w:val="00F03D93"/>
    <w:rsid w:val="00F03D9E"/>
    <w:rsid w:val="00F064E9"/>
    <w:rsid w:val="00F227BF"/>
    <w:rsid w:val="00F365A0"/>
    <w:rsid w:val="00F374B2"/>
    <w:rsid w:val="00F40AFC"/>
    <w:rsid w:val="00F4730E"/>
    <w:rsid w:val="00F50A92"/>
    <w:rsid w:val="00F53F24"/>
    <w:rsid w:val="00F55B33"/>
    <w:rsid w:val="00F63341"/>
    <w:rsid w:val="00F73727"/>
    <w:rsid w:val="00F7536E"/>
    <w:rsid w:val="00F81F93"/>
    <w:rsid w:val="00F839A8"/>
    <w:rsid w:val="00F86F1B"/>
    <w:rsid w:val="00F92A21"/>
    <w:rsid w:val="00F92E9B"/>
    <w:rsid w:val="00F95814"/>
    <w:rsid w:val="00FA01D9"/>
    <w:rsid w:val="00FA031C"/>
    <w:rsid w:val="00FB13C1"/>
    <w:rsid w:val="00FB37EA"/>
    <w:rsid w:val="00FB420B"/>
    <w:rsid w:val="00FC1C5F"/>
    <w:rsid w:val="00FC5A4D"/>
    <w:rsid w:val="00FC5C0C"/>
    <w:rsid w:val="00FC64EF"/>
    <w:rsid w:val="00FD2673"/>
    <w:rsid w:val="00FD785F"/>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922EC"/>
  <w15:docId w15:val="{B237320A-F53C-474D-9268-8281ADAA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Title"/>
    <w:next w:val="Normal"/>
    <w:link w:val="Heading1Char"/>
    <w:uiPriority w:val="2"/>
    <w:qFormat/>
    <w:rsid w:val="00D9552B"/>
    <w:rPr>
      <w:sz w:val="44"/>
    </w:rPr>
  </w:style>
  <w:style w:type="paragraph" w:styleId="Heading2">
    <w:name w:val="heading 2"/>
    <w:basedOn w:val="Subtitle"/>
    <w:next w:val="Normal"/>
    <w:link w:val="Heading2Char"/>
    <w:uiPriority w:val="2"/>
    <w:qFormat/>
    <w:rsid w:val="00D9552B"/>
    <w:pPr>
      <w:spacing w:after="400"/>
      <w:outlineLvl w:val="1"/>
    </w:pPr>
    <w:rPr>
      <w:sz w:val="32"/>
    </w:rPr>
  </w:style>
  <w:style w:type="paragraph" w:styleId="Heading3">
    <w:name w:val="heading 3"/>
    <w:basedOn w:val="Normal"/>
    <w:next w:val="Normal"/>
    <w:link w:val="Heading3Char"/>
    <w:uiPriority w:val="2"/>
    <w:qFormat/>
    <w:rsid w:val="00D9552B"/>
    <w:pPr>
      <w:outlineLvl w:val="2"/>
    </w:pPr>
    <w:rPr>
      <w:b/>
    </w:rPr>
  </w:style>
  <w:style w:type="paragraph" w:styleId="Heading4">
    <w:name w:val="heading 4"/>
    <w:basedOn w:val="Pullouttext"/>
    <w:next w:val="Normal"/>
    <w:link w:val="Heading4Char"/>
    <w:uiPriority w:val="2"/>
    <w:unhideWhenUsed/>
    <w:rsid w:val="00D9552B"/>
    <w:pPr>
      <w:jc w:val="center"/>
      <w:outlineLvl w:val="3"/>
    </w:pPr>
  </w:style>
  <w:style w:type="paragraph" w:styleId="Heading5">
    <w:name w:val="heading 5"/>
    <w:basedOn w:val="Heading4"/>
    <w:next w:val="Normal"/>
    <w:link w:val="Heading5Char"/>
    <w:uiPriority w:val="2"/>
    <w:unhideWhenUsed/>
    <w:rsid w:val="00E50FB5"/>
    <w:pPr>
      <w:outlineLvl w:val="4"/>
    </w:pPr>
    <w:rPr>
      <w:b/>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D9552B"/>
    <w:rPr>
      <w:rFonts w:asciiTheme="majorHAnsi" w:eastAsiaTheme="majorEastAsia" w:hAnsiTheme="majorHAnsi" w:cstheme="majorBidi"/>
      <w:iCs/>
      <w:color w:val="000000" w:themeColor="text1"/>
      <w:spacing w:val="4"/>
      <w:sz w:val="32"/>
      <w:szCs w:val="24"/>
    </w:rPr>
  </w:style>
  <w:style w:type="character" w:customStyle="1" w:styleId="PullouttextChar">
    <w:name w:val="Pullout text Char"/>
    <w:basedOn w:val="Heading2Char"/>
    <w:link w:val="Pullouttext"/>
    <w:uiPriority w:val="3"/>
    <w:rsid w:val="005F4329"/>
    <w:rPr>
      <w:rFonts w:ascii="Georgia" w:eastAsiaTheme="majorEastAsia" w:hAnsi="Georgia" w:cs="Arial"/>
      <w:bCs w:val="0"/>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D9552B"/>
    <w:rPr>
      <w:rFonts w:ascii="Georgia" w:hAnsi="Georgia" w:cs="Arial"/>
      <w:bCs/>
      <w:color w:val="500778"/>
      <w:kern w:val="28"/>
      <w:sz w:val="44"/>
      <w:szCs w:val="32"/>
    </w:rPr>
  </w:style>
  <w:style w:type="character" w:customStyle="1" w:styleId="Heading3Char">
    <w:name w:val="Heading 3 Char"/>
    <w:basedOn w:val="DefaultParagraphFont"/>
    <w:link w:val="Heading3"/>
    <w:uiPriority w:val="2"/>
    <w:rsid w:val="00D9552B"/>
    <w:rPr>
      <w:rFonts w:ascii="Arial" w:hAnsi="Arial"/>
      <w:b/>
      <w:spacing w:val="4"/>
      <w:sz w:val="24"/>
      <w:szCs w:val="24"/>
    </w:rPr>
  </w:style>
  <w:style w:type="character" w:customStyle="1" w:styleId="Heading4Char">
    <w:name w:val="Heading 4 Char"/>
    <w:basedOn w:val="DefaultParagraphFont"/>
    <w:link w:val="Heading4"/>
    <w:uiPriority w:val="2"/>
    <w:rsid w:val="00D9552B"/>
    <w:rPr>
      <w:rFonts w:ascii="Georgia" w:hAnsi="Georgia" w:cs="Arial"/>
      <w:bCs/>
      <w:iCs/>
      <w:color w:val="500778"/>
      <w:sz w:val="24"/>
      <w:szCs w:val="28"/>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5374FA"/>
    <w:rPr>
      <w:sz w:val="16"/>
      <w:szCs w:val="16"/>
    </w:rPr>
  </w:style>
  <w:style w:type="paragraph" w:styleId="CommentText">
    <w:name w:val="annotation text"/>
    <w:basedOn w:val="Normal"/>
    <w:link w:val="CommentTextChar"/>
    <w:semiHidden/>
    <w:unhideWhenUsed/>
    <w:rsid w:val="005374FA"/>
    <w:pPr>
      <w:spacing w:line="240" w:lineRule="auto"/>
    </w:pPr>
    <w:rPr>
      <w:sz w:val="20"/>
      <w:szCs w:val="20"/>
    </w:rPr>
  </w:style>
  <w:style w:type="character" w:customStyle="1" w:styleId="CommentTextChar">
    <w:name w:val="Comment Text Char"/>
    <w:basedOn w:val="DefaultParagraphFont"/>
    <w:link w:val="CommentText"/>
    <w:semiHidden/>
    <w:rsid w:val="005374FA"/>
    <w:rPr>
      <w:rFonts w:ascii="Arial" w:hAnsi="Arial"/>
      <w:spacing w:val="4"/>
    </w:rPr>
  </w:style>
  <w:style w:type="paragraph" w:styleId="CommentSubject">
    <w:name w:val="annotation subject"/>
    <w:basedOn w:val="CommentText"/>
    <w:next w:val="CommentText"/>
    <w:link w:val="CommentSubjectChar"/>
    <w:semiHidden/>
    <w:unhideWhenUsed/>
    <w:rsid w:val="005374FA"/>
    <w:rPr>
      <w:b/>
      <w:bCs/>
    </w:rPr>
  </w:style>
  <w:style w:type="character" w:customStyle="1" w:styleId="CommentSubjectChar">
    <w:name w:val="Comment Subject Char"/>
    <w:basedOn w:val="CommentTextChar"/>
    <w:link w:val="CommentSubject"/>
    <w:semiHidden/>
    <w:rsid w:val="005374FA"/>
    <w:rPr>
      <w:rFonts w:ascii="Arial" w:hAnsi="Arial"/>
      <w:b/>
      <w:bCs/>
      <w:spacing w:val="4"/>
    </w:rPr>
  </w:style>
  <w:style w:type="paragraph" w:styleId="NormalWeb">
    <w:name w:val="Normal (Web)"/>
    <w:basedOn w:val="Normal"/>
    <w:uiPriority w:val="99"/>
    <w:unhideWhenUsed/>
    <w:rsid w:val="00C6007B"/>
    <w:pPr>
      <w:spacing w:before="100" w:beforeAutospacing="1" w:after="100" w:afterAutospacing="1" w:line="240" w:lineRule="auto"/>
    </w:pPr>
    <w:rPr>
      <w:rFonts w:ascii="Times New Roman" w:eastAsiaTheme="minorEastAsia" w:hAnsi="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1519">
      <w:bodyDiv w:val="1"/>
      <w:marLeft w:val="0"/>
      <w:marRight w:val="0"/>
      <w:marTop w:val="0"/>
      <w:marBottom w:val="0"/>
      <w:divBdr>
        <w:top w:val="none" w:sz="0" w:space="0" w:color="auto"/>
        <w:left w:val="none" w:sz="0" w:space="0" w:color="auto"/>
        <w:bottom w:val="none" w:sz="0" w:space="0" w:color="auto"/>
        <w:right w:val="none" w:sz="0" w:space="0" w:color="auto"/>
      </w:divBdr>
    </w:div>
    <w:div w:id="68054857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63712286">
      <w:bodyDiv w:val="1"/>
      <w:marLeft w:val="0"/>
      <w:marRight w:val="0"/>
      <w:marTop w:val="0"/>
      <w:marBottom w:val="0"/>
      <w:divBdr>
        <w:top w:val="none" w:sz="0" w:space="0" w:color="auto"/>
        <w:left w:val="none" w:sz="0" w:space="0" w:color="auto"/>
        <w:bottom w:val="none" w:sz="0" w:space="0" w:color="auto"/>
        <w:right w:val="none" w:sz="0" w:space="0" w:color="auto"/>
      </w:divBdr>
    </w:div>
    <w:div w:id="1871721079">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tline@workfocus.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48A9-3482-4ADD-A609-26039526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Purple.dotm</Template>
  <TotalTime>325</TotalTime>
  <Pages>4</Pages>
  <Words>837</Words>
  <Characters>4359</Characters>
  <Application>Microsoft Office Word</Application>
  <DocSecurity>0</DocSecurity>
  <Lines>107</Lines>
  <Paragraphs>42</Paragraphs>
  <ScaleCrop>false</ScaleCrop>
  <HeadingPairs>
    <vt:vector size="2" baseType="variant">
      <vt:variant>
        <vt:lpstr>Title</vt:lpstr>
      </vt:variant>
      <vt:variant>
        <vt:i4>1</vt:i4>
      </vt:variant>
    </vt:vector>
  </HeadingPairs>
  <TitlesOfParts>
    <vt:vector size="1" baseType="lpstr">
      <vt:lpstr>Factsheet – How To Make A Complaint</vt:lpstr>
    </vt:vector>
  </TitlesOfParts>
  <Company>Department of Social Services</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How To Make A Complaint</dc:title>
  <dc:creator>LESTER, Hannah</dc:creator>
  <cp:keywords>[SEC=OFFICIAL]</cp:keywords>
  <cp:lastModifiedBy>MILLER, Vicky</cp:lastModifiedBy>
  <cp:revision>8</cp:revision>
  <cp:lastPrinted>2014-08-12T05:56:00Z</cp:lastPrinted>
  <dcterms:created xsi:type="dcterms:W3CDTF">2023-12-14T00:03:00Z</dcterms:created>
  <dcterms:modified xsi:type="dcterms:W3CDTF">2023-12-21T20:56:00Z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2023-12-21T20:56:55Z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A4A5E84F93E7679E80223E3D2C6AE819</vt:lpwstr>
  </property>
  <property fmtid="{D5CDD505-2E9C-101B-9397-08002B2CF9AE}" pid="21" name="PM_Hash_Salt">
    <vt:lpwstr>71C51BD774F1E6EBC3F3CF1497DE5714</vt:lpwstr>
  </property>
  <property fmtid="{D5CDD505-2E9C-101B-9397-08002B2CF9AE}" pid="22" name="PM_Hash_SHA1">
    <vt:lpwstr>2841AB5B01A670C96D1C3CB497CE5BBA887F6661</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