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B5F6" w14:textId="5135BF3E" w:rsidR="00ED2B3D" w:rsidRPr="003A3C23" w:rsidRDefault="009810CE" w:rsidP="003A3C23">
      <w:pPr>
        <w:pStyle w:val="ListParagraph"/>
        <w:numPr>
          <w:ilvl w:val="0"/>
          <w:numId w:val="36"/>
        </w:numPr>
        <w:spacing w:after="0" w:line="278" w:lineRule="auto"/>
        <w:rPr>
          <w:rFonts w:ascii="Segoe UI" w:hAnsi="Segoe UI" w:cs="Segoe UI"/>
          <w:color w:val="358189"/>
          <w:sz w:val="18"/>
          <w:szCs w:val="18"/>
        </w:rPr>
      </w:pPr>
      <w:r w:rsidRPr="004E09AE">
        <w:rPr>
          <w:noProof/>
        </w:rPr>
        <mc:AlternateContent>
          <mc:Choice Requires="wps">
            <w:drawing>
              <wp:anchor distT="0" distB="0" distL="114300" distR="114300" simplePos="0" relativeHeight="251658240" behindDoc="0" locked="0" layoutInCell="1" allowOverlap="1" wp14:anchorId="486A751C" wp14:editId="72CD3F72">
                <wp:simplePos x="0" y="0"/>
                <wp:positionH relativeFrom="column">
                  <wp:posOffset>-968375</wp:posOffset>
                </wp:positionH>
                <wp:positionV relativeFrom="paragraph">
                  <wp:posOffset>-680085</wp:posOffset>
                </wp:positionV>
                <wp:extent cx="8087360" cy="2684628"/>
                <wp:effectExtent l="38100" t="38100" r="104140" b="97155"/>
                <wp:wrapNone/>
                <wp:docPr id="510895686" name="Rectangle 1" descr="Aged Care Data and Reporting Review Consultation Paper (title)"/>
                <wp:cNvGraphicFramePr/>
                <a:graphic xmlns:a="http://schemas.openxmlformats.org/drawingml/2006/main">
                  <a:graphicData uri="http://schemas.microsoft.com/office/word/2010/wordprocessingShape">
                    <wps:wsp>
                      <wps:cNvSpPr/>
                      <wps:spPr>
                        <a:xfrm>
                          <a:off x="0" y="0"/>
                          <a:ext cx="8087360" cy="2684628"/>
                        </a:xfrm>
                        <a:prstGeom prst="rect">
                          <a:avLst/>
                        </a:prstGeom>
                        <a:solidFill>
                          <a:schemeClr val="accent1">
                            <a:lumMod val="75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472B0" id="Rectangle 1" o:spid="_x0000_s1026" alt="Aged Care Data and Reporting Review Consultation Paper (title)" style="position:absolute;margin-left:-76.25pt;margin-top:-53.55pt;width:636.8pt;height:2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" fillcolor="#181a6d [2404]" stroked="f" strokeweight="1.5pt">
                <v:shadow on="t" color="black" opacity="26214f" origin="-.5,-.5" offset=".74836mm,.74836mm"/>
              </v:rect>
            </w:pict>
          </mc:Fallback>
        </mc:AlternateContent>
      </w:r>
      <w:r w:rsidR="06BAE539" w:rsidRPr="003A3C23">
        <w:rPr>
          <w:rStyle w:val="normaltextrun"/>
          <w:rFonts w:ascii="Arial" w:eastAsiaTheme="majorEastAsia" w:hAnsi="Arial" w:cs="Arial"/>
          <w:color w:val="358189"/>
          <w:sz w:val="32"/>
          <w:szCs w:val="32"/>
        </w:rPr>
        <w:t>Purpose </w:t>
      </w:r>
    </w:p>
    <w:p w14:paraId="259227BE" w14:textId="16A15AFA" w:rsidR="00ED2B3D" w:rsidRDefault="009810CE" w:rsidP="5CA45574">
      <w:pPr>
        <w:pStyle w:val="paragraph"/>
        <w:spacing w:before="0" w:beforeAutospacing="0" w:after="0" w:afterAutospacing="0" w:line="278" w:lineRule="auto"/>
        <w:rPr>
          <w:rStyle w:val="normaltextrun"/>
          <w:rFonts w:ascii="Arial" w:eastAsiaTheme="majorEastAsia" w:hAnsi="Arial" w:cs="Arial"/>
          <w:sz w:val="22"/>
          <w:szCs w:val="22"/>
        </w:rPr>
      </w:pPr>
      <w:r w:rsidRPr="004E09AE">
        <w:rPr>
          <w:rFonts w:ascii="Arial" w:eastAsia="Arial" w:hAnsi="Arial"/>
          <w:noProof/>
        </w:rPr>
        <mc:AlternateContent>
          <mc:Choice Requires="wps">
            <w:drawing>
              <wp:anchor distT="45720" distB="45720" distL="114300" distR="114300" simplePos="0" relativeHeight="251658241" behindDoc="0" locked="0" layoutInCell="1" allowOverlap="1" wp14:anchorId="450DBC76" wp14:editId="472BF2B3">
                <wp:simplePos x="0" y="0"/>
                <wp:positionH relativeFrom="margin">
                  <wp:align>center</wp:align>
                </wp:positionH>
                <wp:positionV relativeFrom="paragraph">
                  <wp:posOffset>12065</wp:posOffset>
                </wp:positionV>
                <wp:extent cx="6013450" cy="163090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630908"/>
                        </a:xfrm>
                        <a:prstGeom prst="rect">
                          <a:avLst/>
                        </a:prstGeom>
                        <a:noFill/>
                        <a:ln w="9525">
                          <a:noFill/>
                          <a:miter lim="800000"/>
                          <a:headEnd/>
                          <a:tailEnd/>
                        </a:ln>
                      </wps:spPr>
                      <wps:txbx>
                        <w:txbxContent>
                          <w:p w14:paraId="629CB24B" w14:textId="38C6282E" w:rsidR="005F12E2" w:rsidRPr="009A32D1" w:rsidRDefault="005F12E2" w:rsidP="005F12E2">
                            <w:pPr>
                              <w:rPr>
                                <w:b/>
                                <w:color w:val="FFFFFF"/>
                                <w:sz w:val="44"/>
                                <w:szCs w:val="44"/>
                              </w:rPr>
                            </w:pPr>
                            <w:r w:rsidRPr="009A32D1">
                              <w:rPr>
                                <w:bCs/>
                                <w:color w:val="FFFFFF"/>
                                <w:sz w:val="68"/>
                                <w:szCs w:val="68"/>
                              </w:rPr>
                              <w:t xml:space="preserve">Aged Care Data and Reporting Review </w:t>
                            </w:r>
                            <w:r w:rsidR="000F7584">
                              <w:rPr>
                                <w:bCs/>
                                <w:color w:val="FFFFFF"/>
                                <w:sz w:val="68"/>
                                <w:szCs w:val="68"/>
                              </w:rPr>
                              <w:t>Consultation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DBC76" id="_x0000_t202" coordsize="21600,21600" o:spt="202" path="m,l,21600r21600,l21600,xe">
                <v:stroke joinstyle="miter"/>
                <v:path gradientshapeok="t" o:connecttype="rect"/>
              </v:shapetype>
              <v:shape id="Text Box 2" o:spid="_x0000_s1026" type="#_x0000_t202" style="position:absolute;margin-left:0;margin-top:.95pt;width:473.5pt;height:128.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zu+QEAAM4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" filled="f" stroked="f">
                <v:textbox>
                  <w:txbxContent>
                    <w:p w14:paraId="629CB24B" w14:textId="38C6282E" w:rsidR="005F12E2" w:rsidRPr="009A32D1" w:rsidRDefault="005F12E2" w:rsidP="005F12E2">
                      <w:pPr>
                        <w:rPr>
                          <w:b/>
                          <w:color w:val="FFFFFF"/>
                          <w:sz w:val="44"/>
                          <w:szCs w:val="44"/>
                        </w:rPr>
                      </w:pPr>
                      <w:r w:rsidRPr="009A32D1">
                        <w:rPr>
                          <w:bCs/>
                          <w:color w:val="FFFFFF"/>
                          <w:sz w:val="68"/>
                          <w:szCs w:val="68"/>
                        </w:rPr>
                        <w:t xml:space="preserve">Aged Care Data and Reporting Review </w:t>
                      </w:r>
                      <w:r w:rsidR="000F7584">
                        <w:rPr>
                          <w:bCs/>
                          <w:color w:val="FFFFFF"/>
                          <w:sz w:val="68"/>
                          <w:szCs w:val="68"/>
                        </w:rPr>
                        <w:t>Consultation Paper</w:t>
                      </w:r>
                    </w:p>
                  </w:txbxContent>
                </v:textbox>
                <w10:wrap anchorx="margin"/>
              </v:shape>
            </w:pict>
          </mc:Fallback>
        </mc:AlternateContent>
      </w:r>
    </w:p>
    <w:p w14:paraId="1949D4AE" w14:textId="23011C70" w:rsidR="00ED2B3D" w:rsidRDefault="06BAE539" w:rsidP="5CA45574">
      <w:pPr>
        <w:pStyle w:val="paragraph"/>
        <w:spacing w:after="160" w:line="278" w:lineRule="auto"/>
        <w:rPr>
          <w:rStyle w:val="normaltextrun"/>
          <w:rFonts w:ascii="Arial" w:eastAsiaTheme="majorEastAsia" w:hAnsi="Arial" w:cs="Arial"/>
          <w:sz w:val="22"/>
          <w:szCs w:val="22"/>
        </w:rPr>
      </w:pPr>
      <w:r w:rsidRPr="5CA45574">
        <w:rPr>
          <w:rStyle w:val="normaltextrun"/>
          <w:rFonts w:ascii="Arial" w:eastAsiaTheme="majorEastAsia" w:hAnsi="Arial" w:cs="Arial"/>
          <w:sz w:val="22"/>
          <w:szCs w:val="22"/>
        </w:rPr>
        <w:t>This consultation pa</w:t>
      </w:r>
    </w:p>
    <w:p w14:paraId="3677003B" w14:textId="0853EC6A" w:rsidR="00A82D58" w:rsidRPr="007B226F" w:rsidRDefault="7CC68412" w:rsidP="00646169">
      <w:pPr>
        <w:rPr>
          <w:rFonts w:ascii="Arial" w:eastAsia="Arial" w:hAnsi="Arial" w:cs="Times New Roman"/>
        </w:rPr>
      </w:pPr>
      <w:r w:rsidRPr="066966FE">
        <w:rPr>
          <w:rFonts w:ascii="Arial" w:eastAsia="Arial" w:hAnsi="Arial" w:cs="Times New Roman"/>
        </w:rPr>
        <w:t xml:space="preserve">Example3 </w:t>
      </w:r>
    </w:p>
    <w:p w14:paraId="48AABC3B" w14:textId="1C8F23E4" w:rsidR="00A82D58" w:rsidRPr="007B226F" w:rsidRDefault="00A82D58" w:rsidP="00646169">
      <w:pPr>
        <w:rPr>
          <w:rFonts w:ascii="Arial" w:eastAsia="Arial" w:hAnsi="Arial" w:cs="Times New Roman"/>
        </w:rPr>
      </w:pPr>
    </w:p>
    <w:p w14:paraId="786A8EED" w14:textId="374E4780" w:rsidR="00646169" w:rsidRPr="009A32D1" w:rsidRDefault="00646169" w:rsidP="00646169"/>
    <w:p w14:paraId="57D58D76" w14:textId="0B47345A" w:rsidR="00646169" w:rsidRPr="009A32D1" w:rsidRDefault="00646169" w:rsidP="00646169"/>
    <w:p w14:paraId="670978E5" w14:textId="77777777" w:rsidR="00646169" w:rsidRPr="009A32D1" w:rsidRDefault="00646169" w:rsidP="00646169"/>
    <w:p w14:paraId="444B7A54" w14:textId="000EBBB4" w:rsidR="00174068" w:rsidRPr="007B226F" w:rsidRDefault="00174068" w:rsidP="00174068">
      <w:pPr>
        <w:pStyle w:val="Heading2"/>
      </w:pPr>
      <w:r w:rsidRPr="007B226F">
        <w:t xml:space="preserve">Purpose </w:t>
      </w:r>
    </w:p>
    <w:p w14:paraId="38F10C19" w14:textId="3E993026" w:rsidR="00AA7CD8" w:rsidRPr="009A32D1" w:rsidRDefault="00AA7CD8" w:rsidP="00AA7CD8">
      <w:pPr>
        <w:rPr>
          <w:rFonts w:cs="Arial"/>
        </w:rPr>
      </w:pPr>
      <w:r w:rsidRPr="3A6F7544">
        <w:rPr>
          <w:rFonts w:cs="Arial"/>
        </w:rPr>
        <w:t xml:space="preserve">The </w:t>
      </w:r>
      <w:r w:rsidR="007E5093" w:rsidRPr="3A6F7544">
        <w:rPr>
          <w:rFonts w:cs="Arial"/>
        </w:rPr>
        <w:t>Department of Health, Disability and Ageing</w:t>
      </w:r>
      <w:r w:rsidR="005B60A1" w:rsidRPr="3A6F7544">
        <w:rPr>
          <w:rFonts w:cs="Arial"/>
        </w:rPr>
        <w:t xml:space="preserve"> (</w:t>
      </w:r>
      <w:r w:rsidR="00783367" w:rsidRPr="3A6F7544">
        <w:rPr>
          <w:rFonts w:cs="Arial"/>
        </w:rPr>
        <w:t xml:space="preserve">the </w:t>
      </w:r>
      <w:r w:rsidR="003E71CF" w:rsidRPr="3A6F7544">
        <w:rPr>
          <w:rFonts w:cs="Arial"/>
        </w:rPr>
        <w:t>d</w:t>
      </w:r>
      <w:r w:rsidR="00783367" w:rsidRPr="3A6F7544">
        <w:rPr>
          <w:rFonts w:cs="Arial"/>
        </w:rPr>
        <w:t>epartment</w:t>
      </w:r>
      <w:r w:rsidR="005B60A1" w:rsidRPr="3A6F7544">
        <w:rPr>
          <w:rFonts w:cs="Arial"/>
        </w:rPr>
        <w:t>)</w:t>
      </w:r>
      <w:r w:rsidR="007E5093" w:rsidRPr="3A6F7544">
        <w:rPr>
          <w:rFonts w:cs="Arial"/>
        </w:rPr>
        <w:t xml:space="preserve"> </w:t>
      </w:r>
      <w:r w:rsidRPr="3A6F7544">
        <w:rPr>
          <w:rFonts w:cs="Arial"/>
        </w:rPr>
        <w:t xml:space="preserve">has initiated a comprehensive review of data </w:t>
      </w:r>
      <w:r w:rsidR="00862322" w:rsidRPr="3A6F7544">
        <w:rPr>
          <w:rFonts w:cs="Arial"/>
        </w:rPr>
        <w:t xml:space="preserve">that </w:t>
      </w:r>
      <w:r w:rsidRPr="3A6F7544">
        <w:rPr>
          <w:rFonts w:cs="Arial"/>
        </w:rPr>
        <w:t xml:space="preserve">aged care </w:t>
      </w:r>
      <w:r w:rsidR="00823ED5" w:rsidRPr="3A6F7544">
        <w:rPr>
          <w:rFonts w:cs="Arial"/>
        </w:rPr>
        <w:t xml:space="preserve">providers </w:t>
      </w:r>
      <w:r w:rsidRPr="3A6F7544">
        <w:rPr>
          <w:rFonts w:cs="Arial"/>
        </w:rPr>
        <w:t xml:space="preserve">report to </w:t>
      </w:r>
      <w:r w:rsidR="004555D3" w:rsidRPr="3A6F7544">
        <w:rPr>
          <w:rFonts w:cs="Arial"/>
        </w:rPr>
        <w:t>the Australian G</w:t>
      </w:r>
      <w:r w:rsidRPr="3A6F7544">
        <w:rPr>
          <w:rFonts w:cs="Arial"/>
        </w:rPr>
        <w:t xml:space="preserve">overnment. The review </w:t>
      </w:r>
      <w:r w:rsidR="00A46F42" w:rsidRPr="3A6F7544">
        <w:rPr>
          <w:rFonts w:cs="Arial"/>
        </w:rPr>
        <w:t xml:space="preserve">will </w:t>
      </w:r>
      <w:r w:rsidR="00CD0055" w:rsidRPr="3A6F7544">
        <w:rPr>
          <w:rFonts w:cs="Arial"/>
        </w:rPr>
        <w:t xml:space="preserve">develop an </w:t>
      </w:r>
      <w:r w:rsidR="00CD0055" w:rsidRPr="3A6F7544">
        <w:rPr>
          <w:rFonts w:cs="Arial"/>
          <w:b/>
          <w:bCs/>
          <w:color w:val="002060"/>
        </w:rPr>
        <w:t>Aged Care Data and Reporting Roadmap</w:t>
      </w:r>
      <w:r w:rsidR="00CD0055" w:rsidRPr="3A6F7544">
        <w:rPr>
          <w:rFonts w:cs="Arial"/>
        </w:rPr>
        <w:t xml:space="preserve"> that </w:t>
      </w:r>
      <w:r w:rsidRPr="3A6F7544">
        <w:rPr>
          <w:rFonts w:cs="Arial"/>
        </w:rPr>
        <w:t>make</w:t>
      </w:r>
      <w:r w:rsidR="00CD0055" w:rsidRPr="3A6F7544">
        <w:rPr>
          <w:rFonts w:cs="Arial"/>
        </w:rPr>
        <w:t>s</w:t>
      </w:r>
      <w:r w:rsidRPr="3A6F7544">
        <w:rPr>
          <w:rFonts w:cs="Arial"/>
        </w:rPr>
        <w:t xml:space="preserve"> recommendations </w:t>
      </w:r>
      <w:r w:rsidR="00CD0055" w:rsidRPr="3A6F7544">
        <w:rPr>
          <w:rFonts w:cs="Arial"/>
        </w:rPr>
        <w:t xml:space="preserve">to </w:t>
      </w:r>
      <w:r w:rsidRPr="3A6F7544">
        <w:rPr>
          <w:rFonts w:cs="Arial"/>
        </w:rPr>
        <w:t>improv</w:t>
      </w:r>
      <w:r w:rsidR="00CD0055" w:rsidRPr="3A6F7544">
        <w:rPr>
          <w:rFonts w:cs="Arial"/>
        </w:rPr>
        <w:t>e</w:t>
      </w:r>
      <w:r w:rsidRPr="3A6F7544">
        <w:rPr>
          <w:rFonts w:cs="Arial"/>
        </w:rPr>
        <w:t xml:space="preserve"> the scope, quality, consistency and utility of aged care data. </w:t>
      </w:r>
      <w:r w:rsidR="004A7B71" w:rsidRPr="3A6F7544">
        <w:rPr>
          <w:rFonts w:cs="Arial"/>
        </w:rPr>
        <w:t xml:space="preserve">A consortium led by </w:t>
      </w:r>
      <w:r w:rsidRPr="3A6F7544">
        <w:rPr>
          <w:rFonts w:cs="Arial"/>
        </w:rPr>
        <w:t xml:space="preserve">The University of Queensland (UQ) </w:t>
      </w:r>
      <w:r w:rsidR="003710B2" w:rsidRPr="3A6F7544">
        <w:rPr>
          <w:rFonts w:cs="Arial"/>
        </w:rPr>
        <w:t>together</w:t>
      </w:r>
      <w:r w:rsidRPr="3A6F7544">
        <w:rPr>
          <w:rFonts w:cs="Arial"/>
        </w:rPr>
        <w:t xml:space="preserve"> with the National Ageing Research Institute (NARI) and Semantic Consulting</w:t>
      </w:r>
      <w:r w:rsidR="004A7B71" w:rsidRPr="3A6F7544">
        <w:rPr>
          <w:rFonts w:cs="Arial"/>
        </w:rPr>
        <w:t xml:space="preserve"> are conducting this work</w:t>
      </w:r>
      <w:r w:rsidRPr="3A6F7544">
        <w:rPr>
          <w:rFonts w:cs="Arial"/>
        </w:rPr>
        <w:t>. The Aged Care Data and Reporting Review project will:</w:t>
      </w:r>
    </w:p>
    <w:p w14:paraId="1269E737" w14:textId="6DB857A8" w:rsidR="00AA7CD8" w:rsidRPr="007B226F" w:rsidRDefault="00AA7CD8" w:rsidP="00AA7CD8">
      <w:pPr>
        <w:pStyle w:val="ListParagraph"/>
        <w:numPr>
          <w:ilvl w:val="0"/>
          <w:numId w:val="5"/>
        </w:numPr>
        <w:rPr>
          <w:szCs w:val="28"/>
        </w:rPr>
      </w:pPr>
      <w:r w:rsidRPr="007B226F">
        <w:rPr>
          <w:szCs w:val="28"/>
        </w:rPr>
        <w:t xml:space="preserve">Provide a </w:t>
      </w:r>
      <w:r w:rsidRPr="007B226F">
        <w:rPr>
          <w:b/>
          <w:bCs/>
          <w:color w:val="181A6D" w:themeColor="accent1" w:themeShade="BF"/>
          <w:szCs w:val="28"/>
        </w:rPr>
        <w:t xml:space="preserve">consolidated view </w:t>
      </w:r>
      <w:r w:rsidRPr="007B226F">
        <w:rPr>
          <w:szCs w:val="28"/>
        </w:rPr>
        <w:t>of the full scope of information collected from aged care providers (including reporting mechanisms).</w:t>
      </w:r>
    </w:p>
    <w:p w14:paraId="03D7E214" w14:textId="54B27DD0" w:rsidR="00AA7CD8" w:rsidRPr="007B226F" w:rsidRDefault="00AA7CD8" w:rsidP="00AA7CD8">
      <w:pPr>
        <w:pStyle w:val="ListParagraph"/>
        <w:numPr>
          <w:ilvl w:val="0"/>
          <w:numId w:val="5"/>
        </w:numPr>
        <w:rPr>
          <w:szCs w:val="28"/>
        </w:rPr>
      </w:pPr>
      <w:r w:rsidRPr="007B226F">
        <w:rPr>
          <w:szCs w:val="28"/>
        </w:rPr>
        <w:t xml:space="preserve">Identify </w:t>
      </w:r>
      <w:r w:rsidRPr="007B226F">
        <w:rPr>
          <w:b/>
          <w:bCs/>
          <w:color w:val="181A6D" w:themeColor="accent1" w:themeShade="BF"/>
          <w:szCs w:val="28"/>
        </w:rPr>
        <w:t>inconsistencies</w:t>
      </w:r>
      <w:r w:rsidRPr="007B226F">
        <w:rPr>
          <w:color w:val="181A6D" w:themeColor="accent1" w:themeShade="BF"/>
          <w:szCs w:val="28"/>
        </w:rPr>
        <w:t xml:space="preserve"> </w:t>
      </w:r>
      <w:r w:rsidRPr="007B226F">
        <w:rPr>
          <w:szCs w:val="28"/>
        </w:rPr>
        <w:t xml:space="preserve">or </w:t>
      </w:r>
      <w:r w:rsidRPr="007B226F">
        <w:rPr>
          <w:b/>
          <w:bCs/>
          <w:color w:val="181A6D" w:themeColor="accent1" w:themeShade="BF"/>
          <w:szCs w:val="28"/>
        </w:rPr>
        <w:t>duplication</w:t>
      </w:r>
      <w:r w:rsidRPr="007B226F">
        <w:rPr>
          <w:color w:val="181A6D" w:themeColor="accent1" w:themeShade="BF"/>
          <w:szCs w:val="28"/>
        </w:rPr>
        <w:t xml:space="preserve"> </w:t>
      </w:r>
      <w:r w:rsidRPr="007B226F">
        <w:rPr>
          <w:szCs w:val="28"/>
        </w:rPr>
        <w:t>of data collection and provision, and interactions between reporting requirements.</w:t>
      </w:r>
    </w:p>
    <w:p w14:paraId="0C08DC7B" w14:textId="2AF379E6" w:rsidR="00AA7CD8" w:rsidRPr="007B226F" w:rsidRDefault="00AA7CD8" w:rsidP="00AA7CD8">
      <w:pPr>
        <w:pStyle w:val="ListParagraph"/>
        <w:numPr>
          <w:ilvl w:val="0"/>
          <w:numId w:val="5"/>
        </w:numPr>
        <w:rPr>
          <w:szCs w:val="28"/>
        </w:rPr>
      </w:pPr>
      <w:r w:rsidRPr="007B226F">
        <w:rPr>
          <w:szCs w:val="28"/>
        </w:rPr>
        <w:t xml:space="preserve">Design </w:t>
      </w:r>
      <w:r w:rsidR="001C31CA" w:rsidRPr="007B226F">
        <w:rPr>
          <w:szCs w:val="28"/>
        </w:rPr>
        <w:t xml:space="preserve">a </w:t>
      </w:r>
      <w:r w:rsidRPr="007B226F">
        <w:rPr>
          <w:b/>
          <w:bCs/>
          <w:color w:val="181A6D" w:themeColor="accent1" w:themeShade="BF"/>
          <w:szCs w:val="28"/>
        </w:rPr>
        <w:t>data ecosystem</w:t>
      </w:r>
      <w:r w:rsidRPr="007B226F">
        <w:rPr>
          <w:color w:val="181A6D" w:themeColor="accent1" w:themeShade="BF"/>
          <w:szCs w:val="28"/>
        </w:rPr>
        <w:t xml:space="preserve"> </w:t>
      </w:r>
      <w:r w:rsidR="001C31CA" w:rsidRPr="007B226F">
        <w:rPr>
          <w:szCs w:val="28"/>
        </w:rPr>
        <w:t>that makes high quality data available to support stakeholders across the system</w:t>
      </w:r>
      <w:r w:rsidRPr="007B226F">
        <w:rPr>
          <w:szCs w:val="28"/>
        </w:rPr>
        <w:t>.</w:t>
      </w:r>
    </w:p>
    <w:p w14:paraId="4AFF0B89" w14:textId="2A67F3EB" w:rsidR="00AA7CD8" w:rsidRPr="007B226F" w:rsidRDefault="00AA7CD8" w:rsidP="00AA7CD8">
      <w:pPr>
        <w:pStyle w:val="ListParagraph"/>
        <w:numPr>
          <w:ilvl w:val="0"/>
          <w:numId w:val="5"/>
        </w:numPr>
        <w:rPr>
          <w:szCs w:val="28"/>
        </w:rPr>
      </w:pPr>
      <w:r w:rsidRPr="007B226F">
        <w:rPr>
          <w:szCs w:val="28"/>
        </w:rPr>
        <w:t xml:space="preserve">Reduce unnecessary </w:t>
      </w:r>
      <w:r w:rsidRPr="007B226F">
        <w:rPr>
          <w:b/>
          <w:bCs/>
          <w:color w:val="181A6D" w:themeColor="accent1" w:themeShade="BF"/>
          <w:szCs w:val="28"/>
        </w:rPr>
        <w:t>administrative</w:t>
      </w:r>
      <w:r w:rsidRPr="007B226F">
        <w:rPr>
          <w:color w:val="181A6D" w:themeColor="accent1" w:themeShade="BF"/>
          <w:szCs w:val="28"/>
        </w:rPr>
        <w:t xml:space="preserve"> </w:t>
      </w:r>
      <w:r w:rsidRPr="007B226F">
        <w:rPr>
          <w:b/>
          <w:bCs/>
          <w:color w:val="181A6D" w:themeColor="accent1" w:themeShade="BF"/>
          <w:szCs w:val="28"/>
        </w:rPr>
        <w:t>burden</w:t>
      </w:r>
      <w:r w:rsidRPr="007B226F">
        <w:rPr>
          <w:color w:val="181A6D" w:themeColor="accent1" w:themeShade="BF"/>
          <w:szCs w:val="28"/>
        </w:rPr>
        <w:t xml:space="preserve"> </w:t>
      </w:r>
      <w:r w:rsidRPr="007B226F">
        <w:rPr>
          <w:szCs w:val="28"/>
        </w:rPr>
        <w:t>on providers and government through more intelligent data sharing and reporting.</w:t>
      </w:r>
    </w:p>
    <w:p w14:paraId="356A7118" w14:textId="516C92F5" w:rsidR="00AA7CD8" w:rsidRPr="007B226F" w:rsidRDefault="00AA7CD8" w:rsidP="00AA7CD8">
      <w:pPr>
        <w:pStyle w:val="ListParagraph"/>
        <w:numPr>
          <w:ilvl w:val="0"/>
          <w:numId w:val="5"/>
        </w:numPr>
        <w:rPr>
          <w:szCs w:val="28"/>
        </w:rPr>
      </w:pPr>
      <w:r w:rsidRPr="007B226F">
        <w:rPr>
          <w:szCs w:val="28"/>
        </w:rPr>
        <w:t xml:space="preserve">Develop a roadmap for </w:t>
      </w:r>
      <w:r w:rsidRPr="007B226F">
        <w:rPr>
          <w:b/>
          <w:bCs/>
          <w:color w:val="181A6D" w:themeColor="accent1" w:themeShade="BF"/>
          <w:szCs w:val="28"/>
        </w:rPr>
        <w:t>data</w:t>
      </w:r>
      <w:r w:rsidRPr="007B226F">
        <w:rPr>
          <w:color w:val="181A6D" w:themeColor="accent1" w:themeShade="BF"/>
          <w:szCs w:val="28"/>
        </w:rPr>
        <w:t xml:space="preserve"> </w:t>
      </w:r>
      <w:r w:rsidRPr="007B226F">
        <w:rPr>
          <w:b/>
          <w:bCs/>
          <w:color w:val="181A6D" w:themeColor="accent1" w:themeShade="BF"/>
          <w:szCs w:val="28"/>
        </w:rPr>
        <w:t>standardisation</w:t>
      </w:r>
      <w:r w:rsidRPr="007B226F">
        <w:rPr>
          <w:color w:val="181A6D" w:themeColor="accent1" w:themeShade="BF"/>
          <w:szCs w:val="28"/>
        </w:rPr>
        <w:t xml:space="preserve"> </w:t>
      </w:r>
      <w:r w:rsidRPr="007B226F">
        <w:rPr>
          <w:szCs w:val="28"/>
        </w:rPr>
        <w:t xml:space="preserve">and </w:t>
      </w:r>
      <w:r w:rsidRPr="007B226F">
        <w:rPr>
          <w:b/>
          <w:bCs/>
          <w:color w:val="181A6D" w:themeColor="accent1" w:themeShade="BF"/>
          <w:szCs w:val="28"/>
        </w:rPr>
        <w:t>streamlined</w:t>
      </w:r>
      <w:r w:rsidRPr="007B226F">
        <w:rPr>
          <w:color w:val="181A6D" w:themeColor="accent1" w:themeShade="BF"/>
          <w:szCs w:val="28"/>
        </w:rPr>
        <w:t xml:space="preserve"> </w:t>
      </w:r>
      <w:r w:rsidRPr="007B226F">
        <w:rPr>
          <w:szCs w:val="28"/>
        </w:rPr>
        <w:t>reporting, linked to system design and implementation of known and future reforms, that will see improvements in the scope, quality, consistency and utility of aged care data</w:t>
      </w:r>
      <w:r w:rsidR="00EC6A76">
        <w:rPr>
          <w:szCs w:val="28"/>
        </w:rPr>
        <w:t>.</w:t>
      </w:r>
    </w:p>
    <w:p w14:paraId="42E3EB41" w14:textId="5EBDBF90" w:rsidR="00AA7CD8" w:rsidRPr="007B226F" w:rsidRDefault="00432A9A" w:rsidP="00EB737C">
      <w:pPr>
        <w:rPr>
          <w:szCs w:val="28"/>
        </w:rPr>
      </w:pPr>
      <w:r w:rsidRPr="007B226F">
        <w:rPr>
          <w:szCs w:val="28"/>
        </w:rPr>
        <w:t xml:space="preserve">The first phase of this project </w:t>
      </w:r>
      <w:r w:rsidR="00230F25" w:rsidRPr="007B226F">
        <w:rPr>
          <w:szCs w:val="28"/>
        </w:rPr>
        <w:t xml:space="preserve">(April to </w:t>
      </w:r>
      <w:r w:rsidR="00A726E8" w:rsidRPr="007B226F">
        <w:rPr>
          <w:szCs w:val="28"/>
        </w:rPr>
        <w:t>September</w:t>
      </w:r>
      <w:r w:rsidR="00230F25" w:rsidRPr="007B226F">
        <w:rPr>
          <w:szCs w:val="28"/>
        </w:rPr>
        <w:t xml:space="preserve"> 2025) </w:t>
      </w:r>
      <w:r w:rsidR="00D41053" w:rsidRPr="007B226F">
        <w:rPr>
          <w:szCs w:val="28"/>
        </w:rPr>
        <w:t>reviews</w:t>
      </w:r>
      <w:r w:rsidR="00230F25" w:rsidRPr="007B226F">
        <w:rPr>
          <w:szCs w:val="28"/>
        </w:rPr>
        <w:t xml:space="preserve"> the </w:t>
      </w:r>
      <w:r w:rsidR="00230F25" w:rsidRPr="006323D3">
        <w:rPr>
          <w:b/>
          <w:color w:val="002060"/>
          <w:szCs w:val="28"/>
        </w:rPr>
        <w:t>financial and workforce</w:t>
      </w:r>
      <w:r w:rsidR="00230F25" w:rsidRPr="007B226F">
        <w:rPr>
          <w:color w:val="181A6D" w:themeColor="accent1" w:themeShade="BF"/>
          <w:szCs w:val="28"/>
        </w:rPr>
        <w:t xml:space="preserve"> </w:t>
      </w:r>
      <w:r w:rsidR="00230F25" w:rsidRPr="007B226F">
        <w:rPr>
          <w:szCs w:val="28"/>
        </w:rPr>
        <w:t xml:space="preserve">data the sector reports to government. Phase 2 </w:t>
      </w:r>
      <w:r w:rsidR="00EB737C" w:rsidRPr="007B226F">
        <w:rPr>
          <w:szCs w:val="28"/>
        </w:rPr>
        <w:t xml:space="preserve">(July </w:t>
      </w:r>
      <w:r w:rsidR="00A726E8" w:rsidRPr="007B226F">
        <w:rPr>
          <w:szCs w:val="28"/>
        </w:rPr>
        <w:t xml:space="preserve">2025 </w:t>
      </w:r>
      <w:r w:rsidR="00EB737C" w:rsidRPr="007B226F">
        <w:rPr>
          <w:szCs w:val="28"/>
        </w:rPr>
        <w:t xml:space="preserve">to </w:t>
      </w:r>
      <w:r w:rsidR="00A726E8" w:rsidRPr="007B226F">
        <w:rPr>
          <w:szCs w:val="28"/>
        </w:rPr>
        <w:t>March 2026</w:t>
      </w:r>
      <w:r w:rsidR="00EB737C" w:rsidRPr="007B226F">
        <w:rPr>
          <w:szCs w:val="28"/>
        </w:rPr>
        <w:t>) will review c</w:t>
      </w:r>
      <w:r w:rsidR="00AA7CD8" w:rsidRPr="007B226F">
        <w:rPr>
          <w:szCs w:val="28"/>
        </w:rPr>
        <w:t>linical, care needs, quality and service delivery data.</w:t>
      </w:r>
      <w:r w:rsidR="00663A16" w:rsidRPr="007B226F">
        <w:rPr>
          <w:szCs w:val="28"/>
        </w:rPr>
        <w:t xml:space="preserve"> Each project phase includes an </w:t>
      </w:r>
      <w:r w:rsidR="00E225AB" w:rsidRPr="007B226F">
        <w:rPr>
          <w:szCs w:val="28"/>
        </w:rPr>
        <w:t>environmental scan, consultation period and design stage</w:t>
      </w:r>
      <w:r w:rsidR="00486EBE" w:rsidRPr="007B226F">
        <w:rPr>
          <w:szCs w:val="28"/>
        </w:rPr>
        <w:t>.</w:t>
      </w:r>
    </w:p>
    <w:p w14:paraId="43014113" w14:textId="77777777" w:rsidR="008F1BEA" w:rsidRDefault="008F1BEA" w:rsidP="00EB737C">
      <w:pPr>
        <w:sectPr w:rsidR="008F1BEA" w:rsidSect="005E5355">
          <w:footerReference w:type="default" r:id="rId11"/>
          <w:pgSz w:w="11906" w:h="16838"/>
          <w:pgMar w:top="1134" w:right="1134" w:bottom="1134" w:left="1134" w:header="0" w:footer="0" w:gutter="0"/>
          <w:cols w:space="708"/>
          <w:docGrid w:linePitch="360"/>
        </w:sectPr>
      </w:pPr>
    </w:p>
    <w:p w14:paraId="73FFBA8E" w14:textId="1ACD7CA0" w:rsidR="00F50B20" w:rsidRDefault="00071816" w:rsidP="00EB737C">
      <w:pPr>
        <w:sectPr w:rsidR="00F50B20" w:rsidSect="008F1BEA">
          <w:type w:val="continuous"/>
          <w:pgSz w:w="11906" w:h="16838"/>
          <w:pgMar w:top="1134" w:right="1134" w:bottom="1134" w:left="1134" w:header="708" w:footer="708" w:gutter="0"/>
          <w:cols w:space="708"/>
          <w:docGrid w:linePitch="360"/>
        </w:sectPr>
      </w:pPr>
      <w:r w:rsidRPr="00163AA9">
        <w:rPr>
          <w:noProof/>
        </w:rPr>
        <w:drawing>
          <wp:anchor distT="0" distB="0" distL="114300" distR="114300" simplePos="0" relativeHeight="251660289" behindDoc="0" locked="0" layoutInCell="1" allowOverlap="1" wp14:anchorId="6F687338" wp14:editId="3C2A1AFD">
            <wp:simplePos x="0" y="0"/>
            <wp:positionH relativeFrom="margin">
              <wp:posOffset>2269490</wp:posOffset>
            </wp:positionH>
            <wp:positionV relativeFrom="paragraph">
              <wp:posOffset>889635</wp:posOffset>
            </wp:positionV>
            <wp:extent cx="1402080" cy="449580"/>
            <wp:effectExtent l="0" t="0" r="7620" b="7620"/>
            <wp:wrapTopAndBottom/>
            <wp:docPr id="5" name="Picture 4" descr="A blue and green logo for the National Ageing Research Institute">
              <a:extLst xmlns:a="http://schemas.openxmlformats.org/drawingml/2006/main">
                <a:ext uri="{FF2B5EF4-FFF2-40B4-BE49-F238E27FC236}">
                  <a16:creationId xmlns:a16="http://schemas.microsoft.com/office/drawing/2014/main" id="{4265761F-8179-4A9E-FC5C-E69D02F865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green logo for the National Ageing Research Institute">
                      <a:extLst>
                        <a:ext uri="{FF2B5EF4-FFF2-40B4-BE49-F238E27FC236}">
                          <a16:creationId xmlns:a16="http://schemas.microsoft.com/office/drawing/2014/main" id="{4265761F-8179-4A9E-FC5C-E69D02F8651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2080" cy="449580"/>
                    </a:xfrm>
                    <a:prstGeom prst="rect">
                      <a:avLst/>
                    </a:prstGeom>
                  </pic:spPr>
                </pic:pic>
              </a:graphicData>
            </a:graphic>
            <wp14:sizeRelH relativeFrom="page">
              <wp14:pctWidth>0</wp14:pctWidth>
            </wp14:sizeRelH>
            <wp14:sizeRelV relativeFrom="page">
              <wp14:pctHeight>0</wp14:pctHeight>
            </wp14:sizeRelV>
          </wp:anchor>
        </w:drawing>
      </w:r>
      <w:r w:rsidRPr="00163AA9">
        <w:rPr>
          <w:noProof/>
        </w:rPr>
        <w:drawing>
          <wp:anchor distT="0" distB="0" distL="114300" distR="114300" simplePos="0" relativeHeight="251661313" behindDoc="0" locked="0" layoutInCell="1" allowOverlap="1" wp14:anchorId="04A0DD18" wp14:editId="18B1DB8A">
            <wp:simplePos x="0" y="0"/>
            <wp:positionH relativeFrom="margin">
              <wp:align>left</wp:align>
            </wp:positionH>
            <wp:positionV relativeFrom="paragraph">
              <wp:posOffset>962660</wp:posOffset>
            </wp:positionV>
            <wp:extent cx="2165790" cy="334386"/>
            <wp:effectExtent l="0" t="0" r="6350" b="8890"/>
            <wp:wrapTopAndBottom/>
            <wp:docPr id="3" name="Picture 2" descr="A blue title banner for Semantic Consulting: leading digital health in healthcare">
              <a:extLst xmlns:a="http://schemas.openxmlformats.org/drawingml/2006/main">
                <a:ext uri="{FF2B5EF4-FFF2-40B4-BE49-F238E27FC236}">
                  <a16:creationId xmlns:a16="http://schemas.microsoft.com/office/drawing/2014/main" id="{C589F427-378D-F589-817F-ED533C43C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title banner for Semantic Consulting: leading digital health in healthcare">
                      <a:extLst>
                        <a:ext uri="{FF2B5EF4-FFF2-40B4-BE49-F238E27FC236}">
                          <a16:creationId xmlns:a16="http://schemas.microsoft.com/office/drawing/2014/main" id="{C589F427-378D-F589-817F-ED533C43C52B}"/>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165790" cy="334386"/>
                    </a:xfrm>
                    <a:prstGeom prst="rect">
                      <a:avLst/>
                    </a:prstGeom>
                  </pic:spPr>
                </pic:pic>
              </a:graphicData>
            </a:graphic>
            <wp14:sizeRelH relativeFrom="page">
              <wp14:pctWidth>0</wp14:pctWidth>
            </wp14:sizeRelH>
            <wp14:sizeRelV relativeFrom="page">
              <wp14:pctHeight>0</wp14:pctHeight>
            </wp14:sizeRelV>
          </wp:anchor>
        </w:drawing>
      </w:r>
    </w:p>
    <w:p w14:paraId="39A1AC8E" w14:textId="20410A2A" w:rsidR="00A471F1" w:rsidRDefault="00A471F1" w:rsidP="00EB737C"/>
    <w:p w14:paraId="74F3CBAF" w14:textId="306AECBA" w:rsidR="00A471F1" w:rsidRDefault="00071816" w:rsidP="00EB737C">
      <w:r w:rsidRPr="00163AA9">
        <w:rPr>
          <w:noProof/>
        </w:rPr>
        <w:drawing>
          <wp:anchor distT="0" distB="0" distL="114300" distR="114300" simplePos="0" relativeHeight="251659265" behindDoc="0" locked="0" layoutInCell="1" allowOverlap="1" wp14:anchorId="39211962" wp14:editId="6D1E919C">
            <wp:simplePos x="0" y="0"/>
            <wp:positionH relativeFrom="column">
              <wp:posOffset>3899535</wp:posOffset>
            </wp:positionH>
            <wp:positionV relativeFrom="paragraph">
              <wp:posOffset>377825</wp:posOffset>
            </wp:positionV>
            <wp:extent cx="1511935" cy="396240"/>
            <wp:effectExtent l="0" t="0" r="0" b="3810"/>
            <wp:wrapTopAndBottom/>
            <wp:docPr id="4" name="Picture 3" descr="A purple title banner for the University of Queensland, Australia">
              <a:extLst xmlns:a="http://schemas.openxmlformats.org/drawingml/2006/main">
                <a:ext uri="{FF2B5EF4-FFF2-40B4-BE49-F238E27FC236}">
                  <a16:creationId xmlns:a16="http://schemas.microsoft.com/office/drawing/2014/main" id="{96F98853-2263-DFE9-D4DB-3497445667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urple title banner for the University of Queensland, Australia">
                      <a:extLst>
                        <a:ext uri="{FF2B5EF4-FFF2-40B4-BE49-F238E27FC236}">
                          <a16:creationId xmlns:a16="http://schemas.microsoft.com/office/drawing/2014/main" id="{96F98853-2263-DFE9-D4DB-3497445667D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1935" cy="396240"/>
                    </a:xfrm>
                    <a:prstGeom prst="rect">
                      <a:avLst/>
                    </a:prstGeom>
                  </pic:spPr>
                </pic:pic>
              </a:graphicData>
            </a:graphic>
          </wp:anchor>
        </w:drawing>
      </w:r>
    </w:p>
    <w:p w14:paraId="170AB3D6" w14:textId="16134305" w:rsidR="006B7405" w:rsidRPr="007B226F" w:rsidRDefault="31100C85" w:rsidP="006B7405">
      <w:pPr>
        <w:pStyle w:val="Heading2"/>
      </w:pPr>
      <w:r>
        <w:lastRenderedPageBreak/>
        <w:t>Consultation</w:t>
      </w:r>
    </w:p>
    <w:p w14:paraId="16130F6A" w14:textId="5A1A3F5F" w:rsidR="00B52C8D" w:rsidRPr="007B226F" w:rsidRDefault="00B52C8D" w:rsidP="006B7405">
      <w:r w:rsidRPr="007B226F">
        <w:t xml:space="preserve">The consultation process is a key component of the </w:t>
      </w:r>
      <w:r w:rsidR="003F5668" w:rsidRPr="007B226F">
        <w:t>review. The purpose of th</w:t>
      </w:r>
      <w:r w:rsidR="00D92EFD" w:rsidRPr="007B226F">
        <w:t>is</w:t>
      </w:r>
      <w:r w:rsidR="003F5668" w:rsidRPr="007B226F">
        <w:t xml:space="preserve"> consultation is to gain insights from aged care providers and software vendors</w:t>
      </w:r>
      <w:r w:rsidR="00023FE1" w:rsidRPr="007B226F">
        <w:t xml:space="preserve"> to inform the development of a more streamlined and consistent data reporting system that will be reflected in the </w:t>
      </w:r>
      <w:r w:rsidR="00A02ADE" w:rsidRPr="007B226F">
        <w:t>Aged Care Data and Reporting Roadmap.</w:t>
      </w:r>
    </w:p>
    <w:p w14:paraId="104AE122" w14:textId="2ECD0193" w:rsidR="002D5CA2" w:rsidRPr="009A32D1" w:rsidRDefault="002D5CA2" w:rsidP="002D5CA2">
      <w:r>
        <w:t xml:space="preserve">This first phase of consultation focuses on </w:t>
      </w:r>
      <w:r w:rsidRPr="4A6E8EC8">
        <w:rPr>
          <w:b/>
          <w:bCs/>
          <w:color w:val="002060"/>
        </w:rPr>
        <w:t>financial and workforce data.</w:t>
      </w:r>
      <w:r w:rsidRPr="4A6E8EC8">
        <w:rPr>
          <w:b/>
          <w:bCs/>
        </w:rPr>
        <w:t xml:space="preserve"> </w:t>
      </w:r>
      <w:r>
        <w:t>This includes</w:t>
      </w:r>
      <w:r w:rsidRPr="4A6E8EC8">
        <w:rPr>
          <w:b/>
          <w:bCs/>
        </w:rPr>
        <w:t xml:space="preserve"> </w:t>
      </w:r>
      <w:r>
        <w:t xml:space="preserve">what is currently reported, how it is collected and transformed, the challenges </w:t>
      </w:r>
      <w:r w:rsidR="001B5A49">
        <w:t>involved</w:t>
      </w:r>
      <w:r w:rsidR="004C7F26">
        <w:t>,</w:t>
      </w:r>
      <w:r w:rsidR="001B5A49">
        <w:t xml:space="preserve"> </w:t>
      </w:r>
      <w:r>
        <w:t>and opportunities</w:t>
      </w:r>
      <w:r w:rsidR="001B5A49">
        <w:t xml:space="preserve"> to improve</w:t>
      </w:r>
      <w:r>
        <w:t>.</w:t>
      </w:r>
      <w:r w:rsidR="00276050">
        <w:t xml:space="preserve"> </w:t>
      </w:r>
      <w:r>
        <w:t>Through this consultation, we aim to:</w:t>
      </w:r>
    </w:p>
    <w:p w14:paraId="23AB9EDC" w14:textId="3A9135EC" w:rsidR="002D5CA2" w:rsidRPr="009A32D1" w:rsidRDefault="002D5CA2" w:rsidP="002D5CA2">
      <w:pPr>
        <w:numPr>
          <w:ilvl w:val="0"/>
          <w:numId w:val="13"/>
        </w:numPr>
      </w:pPr>
      <w:r w:rsidRPr="009A32D1">
        <w:t xml:space="preserve">Build a clearer picture of how financial and workforce data is currently </w:t>
      </w:r>
      <w:r w:rsidR="000B2422">
        <w:t xml:space="preserve">collected and </w:t>
      </w:r>
      <w:r w:rsidRPr="009A32D1">
        <w:t>reported to government.</w:t>
      </w:r>
    </w:p>
    <w:p w14:paraId="09FA2FAC" w14:textId="77777777" w:rsidR="002D5CA2" w:rsidRPr="009A32D1" w:rsidRDefault="002D5CA2" w:rsidP="002D5CA2">
      <w:pPr>
        <w:numPr>
          <w:ilvl w:val="0"/>
          <w:numId w:val="13"/>
        </w:numPr>
      </w:pPr>
      <w:r w:rsidRPr="009A32D1">
        <w:t>Identify pain points, duplication, and inconsistencies in reporting requirements.</w:t>
      </w:r>
    </w:p>
    <w:p w14:paraId="5E03937A" w14:textId="77777777" w:rsidR="002D5CA2" w:rsidRPr="009A32D1" w:rsidRDefault="002D5CA2" w:rsidP="002D5CA2">
      <w:pPr>
        <w:numPr>
          <w:ilvl w:val="0"/>
          <w:numId w:val="13"/>
        </w:numPr>
      </w:pPr>
      <w:r w:rsidRPr="009A32D1">
        <w:t>Explore opportunities for improved data sharing, standardisation, and system interoperability.</w:t>
      </w:r>
    </w:p>
    <w:p w14:paraId="4A3D9FCA" w14:textId="44A85586" w:rsidR="002D5CA2" w:rsidRPr="009A32D1" w:rsidRDefault="002D5CA2" w:rsidP="002D5CA2">
      <w:pPr>
        <w:numPr>
          <w:ilvl w:val="0"/>
          <w:numId w:val="13"/>
        </w:numPr>
      </w:pPr>
      <w:r w:rsidRPr="009A32D1">
        <w:t>Ensure that future reporting reforms are informed by the experience of providers and vendors.</w:t>
      </w:r>
    </w:p>
    <w:p w14:paraId="44CA9A6C" w14:textId="272040BF" w:rsidR="00004B07" w:rsidRPr="00A905B3" w:rsidRDefault="00004B07" w:rsidP="00ED333E">
      <w:pPr>
        <w:spacing w:before="240"/>
      </w:pPr>
      <w:r w:rsidRPr="006C34C7">
        <w:rPr>
          <w:rFonts w:asciiTheme="majorHAnsi" w:eastAsiaTheme="majorEastAsia" w:hAnsiTheme="majorHAnsi" w:cstheme="majorBidi"/>
          <w:color w:val="181A6D" w:themeColor="accent1" w:themeShade="BF"/>
          <w:sz w:val="32"/>
          <w:szCs w:val="32"/>
        </w:rPr>
        <w:t>How to have your say</w:t>
      </w:r>
    </w:p>
    <w:p w14:paraId="6BCAA603" w14:textId="2B30D824" w:rsidR="00663043" w:rsidRPr="00000B2B" w:rsidRDefault="00004B07" w:rsidP="4A6E8EC8">
      <w:pPr>
        <w:spacing w:after="240"/>
        <w:rPr>
          <w:i/>
          <w:iCs/>
          <w:color w:val="181A6D" w:themeColor="accent1" w:themeShade="BF"/>
        </w:rPr>
      </w:pPr>
      <w:r w:rsidRPr="00B67F08">
        <w:rPr>
          <w:i/>
          <w:iCs/>
          <w:color w:val="181A6D" w:themeColor="accent1" w:themeShade="BF"/>
        </w:rPr>
        <w:t>Online forums</w:t>
      </w:r>
      <w:r w:rsidR="77DE663C" w:rsidRPr="00B67F08">
        <w:rPr>
          <w:i/>
          <w:iCs/>
          <w:color w:val="181A6D" w:themeColor="accent1" w:themeShade="BF"/>
        </w:rPr>
        <w:t>:</w:t>
      </w:r>
      <w:r w:rsidR="77DE663C" w:rsidRPr="00B67F08">
        <w:t xml:space="preserve"> </w:t>
      </w:r>
      <w:r w:rsidR="00663043">
        <w:t>We are hosting a series of virtual consultation forums tailored to different stakeholder groups</w:t>
      </w:r>
      <w:r w:rsidR="00DB7DD0">
        <w:t xml:space="preserve">. </w:t>
      </w:r>
      <w:r w:rsidR="00DE4FC4">
        <w:t>Provider forums are particularly relevant for Chief Information Officers, data and reporting managers, and others involved in financial and workforce data systems, and we encourage those in these roles to attend and contribute.</w:t>
      </w:r>
      <w:r w:rsidR="00DB7DD0">
        <w:t xml:space="preserve"> All </w:t>
      </w:r>
      <w:r w:rsidR="0030797F">
        <w:t xml:space="preserve">forums </w:t>
      </w:r>
      <w:r w:rsidR="7814FB3F">
        <w:t>will be</w:t>
      </w:r>
      <w:r w:rsidR="00DB7DD0">
        <w:t xml:space="preserve"> </w:t>
      </w:r>
      <w:r w:rsidR="00275E8A">
        <w:t>90 minutes in duration</w:t>
      </w:r>
      <w:r w:rsidR="00663043">
        <w:t>:</w:t>
      </w:r>
    </w:p>
    <w:tbl>
      <w:tblPr>
        <w:tblStyle w:val="TableGrid"/>
        <w:tblW w:w="907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Forums"/>
        <w:tblDescription w:val="This table provides dates, times and links to six online forums"/>
      </w:tblPr>
      <w:tblGrid>
        <w:gridCol w:w="1757"/>
        <w:gridCol w:w="2778"/>
        <w:gridCol w:w="1757"/>
        <w:gridCol w:w="2778"/>
      </w:tblGrid>
      <w:tr w:rsidR="00D1735F" w:rsidRPr="009A32D1" w14:paraId="4F4A6D59" w14:textId="77777777" w:rsidTr="4A6E8EC8">
        <w:tc>
          <w:tcPr>
            <w:tcW w:w="1757" w:type="dxa"/>
            <w:shd w:val="clear" w:color="auto" w:fill="181A6D" w:themeFill="accent1" w:themeFillShade="BF"/>
          </w:tcPr>
          <w:p w14:paraId="4088DBA5" w14:textId="113F670B" w:rsidR="00004B07" w:rsidRPr="00A905B3" w:rsidRDefault="000D042B">
            <w:pPr>
              <w:rPr>
                <w:color w:val="FFFFFF" w:themeColor="background1"/>
                <w:sz w:val="22"/>
                <w:szCs w:val="22"/>
              </w:rPr>
            </w:pPr>
            <w:r>
              <w:rPr>
                <w:color w:val="FFFFFF" w:themeColor="background1"/>
                <w:sz w:val="22"/>
                <w:szCs w:val="22"/>
              </w:rPr>
              <w:t>4</w:t>
            </w:r>
            <w:r w:rsidR="00004B07" w:rsidRPr="00A905B3">
              <w:rPr>
                <w:color w:val="FFFFFF" w:themeColor="background1"/>
                <w:sz w:val="22"/>
                <w:szCs w:val="22"/>
              </w:rPr>
              <w:t xml:space="preserve"> </w:t>
            </w:r>
            <w:r>
              <w:rPr>
                <w:color w:val="FFFFFF" w:themeColor="background1"/>
                <w:sz w:val="22"/>
                <w:szCs w:val="22"/>
              </w:rPr>
              <w:t>Aug</w:t>
            </w:r>
            <w:r w:rsidRPr="00A905B3">
              <w:rPr>
                <w:color w:val="FFFFFF" w:themeColor="background1"/>
                <w:sz w:val="22"/>
                <w:szCs w:val="22"/>
              </w:rPr>
              <w:t xml:space="preserve"> </w:t>
            </w:r>
            <w:r w:rsidR="00004B07" w:rsidRPr="00A905B3">
              <w:rPr>
                <w:color w:val="FFFFFF" w:themeColor="background1"/>
                <w:sz w:val="22"/>
                <w:szCs w:val="22"/>
              </w:rPr>
              <w:t>2025</w:t>
            </w:r>
          </w:p>
          <w:p w14:paraId="5D5F178A" w14:textId="4860C179" w:rsidR="00004B07" w:rsidRPr="00A905B3" w:rsidRDefault="000D042B">
            <w:pPr>
              <w:rPr>
                <w:color w:val="FFFFFF" w:themeColor="background1"/>
                <w:sz w:val="22"/>
                <w:szCs w:val="22"/>
              </w:rPr>
            </w:pPr>
            <w:r>
              <w:rPr>
                <w:color w:val="FFFFFF" w:themeColor="background1"/>
                <w:sz w:val="22"/>
                <w:szCs w:val="22"/>
              </w:rPr>
              <w:t>3</w:t>
            </w:r>
            <w:r w:rsidR="00004B07" w:rsidRPr="00A905B3">
              <w:rPr>
                <w:color w:val="FFFFFF" w:themeColor="background1"/>
                <w:sz w:val="22"/>
                <w:szCs w:val="22"/>
              </w:rPr>
              <w:t>.00 pm AEST</w:t>
            </w:r>
          </w:p>
        </w:tc>
        <w:tc>
          <w:tcPr>
            <w:tcW w:w="2778" w:type="dxa"/>
            <w:shd w:val="clear" w:color="auto" w:fill="C8C9F2" w:themeFill="accent1" w:themeFillTint="33"/>
          </w:tcPr>
          <w:p w14:paraId="2416F7BB" w14:textId="42EB2CCD" w:rsidR="00004B07" w:rsidRPr="00A905B3" w:rsidRDefault="000D042B">
            <w:pPr>
              <w:rPr>
                <w:b/>
                <w:bCs/>
                <w:color w:val="181A6D" w:themeColor="accent1" w:themeShade="BF"/>
                <w:sz w:val="22"/>
                <w:szCs w:val="22"/>
              </w:rPr>
            </w:pPr>
            <w:r w:rsidRPr="00A905B3">
              <w:rPr>
                <w:b/>
                <w:bCs/>
                <w:color w:val="181A6D" w:themeColor="accent1" w:themeShade="BF"/>
                <w:sz w:val="22"/>
                <w:szCs w:val="22"/>
              </w:rPr>
              <w:t>In-home care provider</w:t>
            </w:r>
            <w:r w:rsidR="00004B07" w:rsidRPr="00A905B3">
              <w:rPr>
                <w:b/>
                <w:bCs/>
                <w:color w:val="181A6D" w:themeColor="accent1" w:themeShade="BF"/>
                <w:sz w:val="22"/>
                <w:szCs w:val="22"/>
              </w:rPr>
              <w:t xml:space="preserve"> forum</w:t>
            </w:r>
          </w:p>
          <w:p w14:paraId="202A784F" w14:textId="39102CC0" w:rsidR="00004B07" w:rsidRPr="00A905B3" w:rsidRDefault="00004B07">
            <w:pPr>
              <w:rPr>
                <w:color w:val="181A6D" w:themeColor="accent1" w:themeShade="BF"/>
                <w:sz w:val="22"/>
                <w:szCs w:val="22"/>
              </w:rPr>
            </w:pPr>
            <w:hyperlink r:id="rId15" w:history="1">
              <w:r w:rsidRPr="005F15CC">
                <w:rPr>
                  <w:rStyle w:val="Hyperlink"/>
                  <w:sz w:val="22"/>
                  <w:szCs w:val="22"/>
                </w:rPr>
                <w:t>LINK</w:t>
              </w:r>
            </w:hyperlink>
          </w:p>
        </w:tc>
        <w:tc>
          <w:tcPr>
            <w:tcW w:w="1757" w:type="dxa"/>
            <w:shd w:val="clear" w:color="auto" w:fill="181A6D" w:themeFill="accent1" w:themeFillShade="BF"/>
          </w:tcPr>
          <w:p w14:paraId="18562B18" w14:textId="715E11DA" w:rsidR="00004B07" w:rsidRPr="00A905B3" w:rsidRDefault="00047451">
            <w:pPr>
              <w:rPr>
                <w:color w:val="FFFFFF" w:themeColor="background1"/>
                <w:sz w:val="22"/>
                <w:szCs w:val="22"/>
              </w:rPr>
            </w:pPr>
            <w:r>
              <w:rPr>
                <w:color w:val="FFFFFF" w:themeColor="background1"/>
                <w:sz w:val="22"/>
                <w:szCs w:val="22"/>
              </w:rPr>
              <w:t>5</w:t>
            </w:r>
            <w:r w:rsidRPr="00A905B3">
              <w:rPr>
                <w:color w:val="FFFFFF" w:themeColor="background1"/>
                <w:sz w:val="22"/>
                <w:szCs w:val="22"/>
              </w:rPr>
              <w:t xml:space="preserve"> </w:t>
            </w:r>
            <w:r>
              <w:rPr>
                <w:color w:val="FFFFFF" w:themeColor="background1"/>
                <w:sz w:val="22"/>
                <w:szCs w:val="22"/>
              </w:rPr>
              <w:t>Aug</w:t>
            </w:r>
            <w:r w:rsidRPr="00A905B3">
              <w:rPr>
                <w:color w:val="FFFFFF" w:themeColor="background1"/>
                <w:sz w:val="22"/>
                <w:szCs w:val="22"/>
              </w:rPr>
              <w:t xml:space="preserve"> </w:t>
            </w:r>
            <w:r w:rsidR="00004B07" w:rsidRPr="00A905B3">
              <w:rPr>
                <w:color w:val="FFFFFF" w:themeColor="background1"/>
                <w:sz w:val="22"/>
                <w:szCs w:val="22"/>
              </w:rPr>
              <w:t>2025</w:t>
            </w:r>
          </w:p>
          <w:p w14:paraId="3CBFFAA1" w14:textId="77777777" w:rsidR="00004B07" w:rsidRPr="00A905B3" w:rsidRDefault="00004B07">
            <w:pPr>
              <w:rPr>
                <w:color w:val="FFFFFF" w:themeColor="background1"/>
                <w:sz w:val="22"/>
                <w:szCs w:val="22"/>
              </w:rPr>
            </w:pPr>
            <w:r w:rsidRPr="00A905B3">
              <w:rPr>
                <w:color w:val="FFFFFF" w:themeColor="background1"/>
                <w:sz w:val="22"/>
                <w:szCs w:val="22"/>
              </w:rPr>
              <w:t>10:30 am AEST</w:t>
            </w:r>
          </w:p>
        </w:tc>
        <w:tc>
          <w:tcPr>
            <w:tcW w:w="2778" w:type="dxa"/>
            <w:shd w:val="clear" w:color="auto" w:fill="C8C9F2" w:themeFill="accent1" w:themeFillTint="33"/>
          </w:tcPr>
          <w:p w14:paraId="2BFED432" w14:textId="77777777" w:rsidR="00004B07" w:rsidRPr="00A905B3" w:rsidRDefault="00004B07">
            <w:pPr>
              <w:rPr>
                <w:b/>
                <w:bCs/>
                <w:color w:val="181A6D" w:themeColor="accent1" w:themeShade="BF"/>
                <w:sz w:val="22"/>
                <w:szCs w:val="22"/>
              </w:rPr>
            </w:pPr>
            <w:r w:rsidRPr="00A905B3">
              <w:rPr>
                <w:b/>
                <w:bCs/>
                <w:color w:val="181A6D" w:themeColor="accent1" w:themeShade="BF"/>
                <w:sz w:val="22"/>
                <w:szCs w:val="22"/>
              </w:rPr>
              <w:t>Residential aged care provider forum</w:t>
            </w:r>
          </w:p>
          <w:p w14:paraId="6A1F569B" w14:textId="5E76B31A" w:rsidR="00004B07" w:rsidRPr="00A905B3" w:rsidRDefault="00004B07">
            <w:pPr>
              <w:rPr>
                <w:color w:val="181A6D" w:themeColor="accent1" w:themeShade="BF"/>
                <w:sz w:val="22"/>
                <w:szCs w:val="22"/>
              </w:rPr>
            </w:pPr>
            <w:hyperlink r:id="rId16" w:history="1">
              <w:r w:rsidRPr="006F586E">
                <w:rPr>
                  <w:rStyle w:val="Hyperlink"/>
                  <w:sz w:val="22"/>
                  <w:szCs w:val="22"/>
                </w:rPr>
                <w:t>LINK</w:t>
              </w:r>
            </w:hyperlink>
          </w:p>
        </w:tc>
      </w:tr>
      <w:tr w:rsidR="00D1735F" w:rsidRPr="009A32D1" w14:paraId="78FBF1CD" w14:textId="77777777" w:rsidTr="4A6E8EC8">
        <w:tc>
          <w:tcPr>
            <w:tcW w:w="1757" w:type="dxa"/>
            <w:shd w:val="clear" w:color="auto" w:fill="181A6D" w:themeFill="accent1" w:themeFillShade="BF"/>
          </w:tcPr>
          <w:p w14:paraId="7551BE87" w14:textId="627E40D7" w:rsidR="00004B07" w:rsidRPr="00A905B3" w:rsidRDefault="0095518B">
            <w:pPr>
              <w:rPr>
                <w:color w:val="FFFFFF" w:themeColor="background1"/>
                <w:sz w:val="22"/>
                <w:szCs w:val="22"/>
              </w:rPr>
            </w:pPr>
            <w:r>
              <w:rPr>
                <w:color w:val="FFFFFF" w:themeColor="background1"/>
                <w:sz w:val="22"/>
                <w:szCs w:val="22"/>
              </w:rPr>
              <w:t>6</w:t>
            </w:r>
            <w:r w:rsidRPr="00A905B3">
              <w:rPr>
                <w:color w:val="FFFFFF" w:themeColor="background1"/>
                <w:sz w:val="22"/>
                <w:szCs w:val="22"/>
              </w:rPr>
              <w:t xml:space="preserve"> </w:t>
            </w:r>
            <w:r>
              <w:rPr>
                <w:color w:val="FFFFFF" w:themeColor="background1"/>
                <w:sz w:val="22"/>
                <w:szCs w:val="22"/>
              </w:rPr>
              <w:t>Aug</w:t>
            </w:r>
            <w:r w:rsidRPr="00A905B3">
              <w:rPr>
                <w:color w:val="FFFFFF" w:themeColor="background1"/>
                <w:sz w:val="22"/>
                <w:szCs w:val="22"/>
              </w:rPr>
              <w:t xml:space="preserve"> </w:t>
            </w:r>
            <w:r w:rsidR="00004B07" w:rsidRPr="00A905B3">
              <w:rPr>
                <w:color w:val="FFFFFF" w:themeColor="background1"/>
                <w:sz w:val="22"/>
                <w:szCs w:val="22"/>
              </w:rPr>
              <w:t>2025</w:t>
            </w:r>
          </w:p>
          <w:p w14:paraId="5C074105" w14:textId="77777777" w:rsidR="00004B07" w:rsidRPr="00A905B3" w:rsidRDefault="00004B07">
            <w:pPr>
              <w:rPr>
                <w:color w:val="FFFFFF" w:themeColor="background1"/>
                <w:sz w:val="22"/>
                <w:szCs w:val="22"/>
              </w:rPr>
            </w:pPr>
            <w:r w:rsidRPr="00A905B3">
              <w:rPr>
                <w:color w:val="FFFFFF" w:themeColor="background1"/>
                <w:sz w:val="22"/>
                <w:szCs w:val="22"/>
              </w:rPr>
              <w:t>2:30 pm AEST</w:t>
            </w:r>
          </w:p>
        </w:tc>
        <w:tc>
          <w:tcPr>
            <w:tcW w:w="2778" w:type="dxa"/>
            <w:shd w:val="clear" w:color="auto" w:fill="C8C9F2" w:themeFill="accent1" w:themeFillTint="33"/>
          </w:tcPr>
          <w:p w14:paraId="1D563FF3" w14:textId="208A61C2" w:rsidR="00004B07" w:rsidRPr="00A905B3" w:rsidRDefault="008D70B8">
            <w:pPr>
              <w:rPr>
                <w:b/>
                <w:bCs/>
                <w:color w:val="181A6D" w:themeColor="accent1" w:themeShade="BF"/>
                <w:sz w:val="22"/>
                <w:szCs w:val="22"/>
              </w:rPr>
            </w:pPr>
            <w:r>
              <w:rPr>
                <w:b/>
                <w:bCs/>
                <w:color w:val="181A6D" w:themeColor="accent1" w:themeShade="BF"/>
                <w:sz w:val="22"/>
                <w:szCs w:val="22"/>
              </w:rPr>
              <w:t>Software vendors</w:t>
            </w:r>
            <w:r w:rsidR="00004B07" w:rsidRPr="00A905B3">
              <w:rPr>
                <w:b/>
                <w:bCs/>
                <w:color w:val="181A6D" w:themeColor="accent1" w:themeShade="BF"/>
                <w:sz w:val="22"/>
                <w:szCs w:val="22"/>
              </w:rPr>
              <w:t xml:space="preserve"> forum</w:t>
            </w:r>
          </w:p>
          <w:p w14:paraId="10E00CAB" w14:textId="49E0D435" w:rsidR="00004B07" w:rsidRPr="00A905B3" w:rsidRDefault="00004B07">
            <w:pPr>
              <w:rPr>
                <w:color w:val="181A6D" w:themeColor="accent1" w:themeShade="BF"/>
                <w:sz w:val="22"/>
                <w:szCs w:val="22"/>
              </w:rPr>
            </w:pPr>
            <w:hyperlink r:id="rId17" w:history="1">
              <w:r w:rsidRPr="00DE4C63">
                <w:rPr>
                  <w:rStyle w:val="Hyperlink"/>
                  <w:sz w:val="22"/>
                  <w:szCs w:val="22"/>
                </w:rPr>
                <w:t>LINK</w:t>
              </w:r>
            </w:hyperlink>
          </w:p>
        </w:tc>
        <w:tc>
          <w:tcPr>
            <w:tcW w:w="1757" w:type="dxa"/>
            <w:shd w:val="clear" w:color="auto" w:fill="181A6D" w:themeFill="accent1" w:themeFillShade="BF"/>
          </w:tcPr>
          <w:p w14:paraId="7E52C938" w14:textId="4285D4D0" w:rsidR="00004B07" w:rsidRPr="00A905B3" w:rsidRDefault="00F2662C">
            <w:pPr>
              <w:rPr>
                <w:color w:val="FFFFFF" w:themeColor="background1"/>
                <w:sz w:val="22"/>
                <w:szCs w:val="22"/>
              </w:rPr>
            </w:pPr>
            <w:r>
              <w:rPr>
                <w:color w:val="FFFFFF" w:themeColor="background1"/>
                <w:sz w:val="22"/>
                <w:szCs w:val="22"/>
              </w:rPr>
              <w:t>7</w:t>
            </w:r>
            <w:r w:rsidRPr="00A905B3">
              <w:rPr>
                <w:color w:val="FFFFFF" w:themeColor="background1"/>
                <w:sz w:val="22"/>
                <w:szCs w:val="22"/>
              </w:rPr>
              <w:t xml:space="preserve"> </w:t>
            </w:r>
            <w:r>
              <w:rPr>
                <w:color w:val="FFFFFF" w:themeColor="background1"/>
                <w:sz w:val="22"/>
                <w:szCs w:val="22"/>
              </w:rPr>
              <w:t>Aug</w:t>
            </w:r>
            <w:r w:rsidRPr="00A905B3">
              <w:rPr>
                <w:color w:val="FFFFFF" w:themeColor="background1"/>
                <w:sz w:val="22"/>
                <w:szCs w:val="22"/>
              </w:rPr>
              <w:t xml:space="preserve"> </w:t>
            </w:r>
            <w:r w:rsidR="00004B07" w:rsidRPr="00A905B3">
              <w:rPr>
                <w:color w:val="FFFFFF" w:themeColor="background1"/>
                <w:sz w:val="22"/>
                <w:szCs w:val="22"/>
              </w:rPr>
              <w:t>2025</w:t>
            </w:r>
          </w:p>
          <w:p w14:paraId="48FE6606" w14:textId="77777777" w:rsidR="00004B07" w:rsidRPr="00A905B3" w:rsidRDefault="00004B07">
            <w:pPr>
              <w:rPr>
                <w:color w:val="FFFFFF" w:themeColor="background1"/>
                <w:sz w:val="22"/>
                <w:szCs w:val="22"/>
              </w:rPr>
            </w:pPr>
            <w:r w:rsidRPr="00A905B3">
              <w:rPr>
                <w:color w:val="FFFFFF" w:themeColor="background1"/>
                <w:sz w:val="22"/>
                <w:szCs w:val="22"/>
              </w:rPr>
              <w:t>9:30 am AEST</w:t>
            </w:r>
          </w:p>
        </w:tc>
        <w:tc>
          <w:tcPr>
            <w:tcW w:w="2778" w:type="dxa"/>
            <w:shd w:val="clear" w:color="auto" w:fill="C8C9F2" w:themeFill="accent1" w:themeFillTint="33"/>
          </w:tcPr>
          <w:p w14:paraId="629CD79C" w14:textId="2342001D" w:rsidR="00004B07" w:rsidRPr="00A905B3" w:rsidRDefault="004E3FF0">
            <w:pPr>
              <w:rPr>
                <w:b/>
                <w:bCs/>
                <w:color w:val="181A6D" w:themeColor="accent1" w:themeShade="BF"/>
                <w:sz w:val="22"/>
                <w:szCs w:val="22"/>
              </w:rPr>
            </w:pPr>
            <w:r w:rsidRPr="00A905B3">
              <w:rPr>
                <w:b/>
                <w:bCs/>
                <w:color w:val="181A6D" w:themeColor="accent1" w:themeShade="BF"/>
                <w:sz w:val="22"/>
                <w:szCs w:val="22"/>
              </w:rPr>
              <w:t>In-home care provider</w:t>
            </w:r>
            <w:r w:rsidR="00004B07" w:rsidRPr="00A905B3">
              <w:rPr>
                <w:b/>
                <w:bCs/>
                <w:color w:val="181A6D" w:themeColor="accent1" w:themeShade="BF"/>
                <w:sz w:val="22"/>
                <w:szCs w:val="22"/>
              </w:rPr>
              <w:t xml:space="preserve"> forum</w:t>
            </w:r>
          </w:p>
          <w:p w14:paraId="360856EF" w14:textId="63615ECB" w:rsidR="00004B07" w:rsidRPr="00A905B3" w:rsidRDefault="00004B07">
            <w:pPr>
              <w:rPr>
                <w:color w:val="181A6D" w:themeColor="accent1" w:themeShade="BF"/>
                <w:sz w:val="22"/>
                <w:szCs w:val="22"/>
              </w:rPr>
            </w:pPr>
            <w:hyperlink r:id="rId18" w:history="1">
              <w:r w:rsidRPr="00DB2736">
                <w:rPr>
                  <w:rStyle w:val="Hyperlink"/>
                  <w:sz w:val="22"/>
                  <w:szCs w:val="22"/>
                </w:rPr>
                <w:t>LINK</w:t>
              </w:r>
            </w:hyperlink>
          </w:p>
        </w:tc>
      </w:tr>
      <w:tr w:rsidR="00D1735F" w:rsidRPr="009A32D1" w14:paraId="3DE611D7" w14:textId="77777777" w:rsidTr="4A6E8EC8">
        <w:tc>
          <w:tcPr>
            <w:tcW w:w="1757" w:type="dxa"/>
            <w:shd w:val="clear" w:color="auto" w:fill="181A6D" w:themeFill="accent1" w:themeFillShade="BF"/>
          </w:tcPr>
          <w:p w14:paraId="747843A6" w14:textId="625CAF4D" w:rsidR="00004B07" w:rsidRPr="00A905B3" w:rsidRDefault="00502825">
            <w:pPr>
              <w:rPr>
                <w:color w:val="FFFFFF" w:themeColor="background1"/>
                <w:sz w:val="22"/>
                <w:szCs w:val="22"/>
              </w:rPr>
            </w:pPr>
            <w:r>
              <w:rPr>
                <w:color w:val="FFFFFF" w:themeColor="background1"/>
                <w:sz w:val="22"/>
                <w:szCs w:val="22"/>
              </w:rPr>
              <w:t>7</w:t>
            </w:r>
            <w:r w:rsidRPr="00A905B3">
              <w:rPr>
                <w:color w:val="FFFFFF" w:themeColor="background1"/>
                <w:sz w:val="22"/>
                <w:szCs w:val="22"/>
              </w:rPr>
              <w:t xml:space="preserve"> </w:t>
            </w:r>
            <w:r>
              <w:rPr>
                <w:color w:val="FFFFFF" w:themeColor="background1"/>
                <w:sz w:val="22"/>
                <w:szCs w:val="22"/>
              </w:rPr>
              <w:t>Aug</w:t>
            </w:r>
            <w:r w:rsidRPr="00A905B3">
              <w:rPr>
                <w:color w:val="FFFFFF" w:themeColor="background1"/>
                <w:sz w:val="22"/>
                <w:szCs w:val="22"/>
              </w:rPr>
              <w:t xml:space="preserve"> </w:t>
            </w:r>
            <w:r w:rsidR="00004B07" w:rsidRPr="00A905B3">
              <w:rPr>
                <w:color w:val="FFFFFF" w:themeColor="background1"/>
                <w:sz w:val="22"/>
                <w:szCs w:val="22"/>
              </w:rPr>
              <w:t>2025</w:t>
            </w:r>
          </w:p>
          <w:p w14:paraId="44C83303" w14:textId="77777777" w:rsidR="00004B07" w:rsidRPr="00A905B3" w:rsidRDefault="00004B07">
            <w:pPr>
              <w:rPr>
                <w:color w:val="FFFFFF" w:themeColor="background1"/>
                <w:sz w:val="22"/>
                <w:szCs w:val="22"/>
              </w:rPr>
            </w:pPr>
            <w:r w:rsidRPr="00A905B3">
              <w:rPr>
                <w:color w:val="FFFFFF" w:themeColor="background1"/>
                <w:sz w:val="22"/>
                <w:szCs w:val="22"/>
              </w:rPr>
              <w:t>1.00 pm AEST</w:t>
            </w:r>
          </w:p>
        </w:tc>
        <w:tc>
          <w:tcPr>
            <w:tcW w:w="2778" w:type="dxa"/>
            <w:shd w:val="clear" w:color="auto" w:fill="C8C9F2" w:themeFill="accent1" w:themeFillTint="33"/>
          </w:tcPr>
          <w:p w14:paraId="4F59CFBB" w14:textId="77777777" w:rsidR="00004B07" w:rsidRPr="00A905B3" w:rsidRDefault="00004B07">
            <w:pPr>
              <w:rPr>
                <w:b/>
                <w:bCs/>
                <w:color w:val="181A6D" w:themeColor="accent1" w:themeShade="BF"/>
                <w:sz w:val="22"/>
                <w:szCs w:val="22"/>
              </w:rPr>
            </w:pPr>
            <w:r w:rsidRPr="00A905B3">
              <w:rPr>
                <w:b/>
                <w:bCs/>
                <w:color w:val="181A6D" w:themeColor="accent1" w:themeShade="BF"/>
                <w:sz w:val="22"/>
                <w:szCs w:val="22"/>
              </w:rPr>
              <w:t>Residential aged care provider forum</w:t>
            </w:r>
          </w:p>
          <w:p w14:paraId="43832A60" w14:textId="269215E7" w:rsidR="00004B07" w:rsidRPr="00A905B3" w:rsidRDefault="00004B07">
            <w:pPr>
              <w:rPr>
                <w:color w:val="181A6D" w:themeColor="accent1" w:themeShade="BF"/>
                <w:sz w:val="22"/>
                <w:szCs w:val="22"/>
              </w:rPr>
            </w:pPr>
            <w:hyperlink r:id="rId19" w:history="1">
              <w:r w:rsidRPr="00676FE5">
                <w:rPr>
                  <w:rStyle w:val="Hyperlink"/>
                  <w:sz w:val="22"/>
                  <w:szCs w:val="22"/>
                </w:rPr>
                <w:t>LINK</w:t>
              </w:r>
            </w:hyperlink>
          </w:p>
        </w:tc>
        <w:tc>
          <w:tcPr>
            <w:tcW w:w="1757" w:type="dxa"/>
            <w:shd w:val="clear" w:color="auto" w:fill="181A6D" w:themeFill="accent1" w:themeFillShade="BF"/>
          </w:tcPr>
          <w:p w14:paraId="19FD7EDE" w14:textId="18BE0979" w:rsidR="00004B07" w:rsidRPr="00A905B3" w:rsidRDefault="0054630D">
            <w:pPr>
              <w:rPr>
                <w:color w:val="FFFFFF" w:themeColor="background1"/>
                <w:sz w:val="22"/>
                <w:szCs w:val="22"/>
              </w:rPr>
            </w:pPr>
            <w:r>
              <w:rPr>
                <w:color w:val="FFFFFF" w:themeColor="background1"/>
                <w:sz w:val="22"/>
                <w:szCs w:val="22"/>
              </w:rPr>
              <w:t>8</w:t>
            </w:r>
            <w:r w:rsidRPr="00A905B3">
              <w:rPr>
                <w:color w:val="FFFFFF" w:themeColor="background1"/>
                <w:sz w:val="22"/>
                <w:szCs w:val="22"/>
              </w:rPr>
              <w:t xml:space="preserve"> </w:t>
            </w:r>
            <w:r w:rsidR="00004B07" w:rsidRPr="00A905B3">
              <w:rPr>
                <w:color w:val="FFFFFF" w:themeColor="background1"/>
                <w:sz w:val="22"/>
                <w:szCs w:val="22"/>
              </w:rPr>
              <w:t>Aug 2025</w:t>
            </w:r>
          </w:p>
          <w:p w14:paraId="2CF8C3E5" w14:textId="77777777" w:rsidR="00004B07" w:rsidRPr="00A905B3" w:rsidRDefault="00004B07">
            <w:pPr>
              <w:rPr>
                <w:color w:val="FFFFFF" w:themeColor="background1"/>
                <w:sz w:val="22"/>
                <w:szCs w:val="22"/>
              </w:rPr>
            </w:pPr>
            <w:r w:rsidRPr="00A905B3">
              <w:rPr>
                <w:color w:val="FFFFFF" w:themeColor="background1"/>
                <w:sz w:val="22"/>
                <w:szCs w:val="22"/>
              </w:rPr>
              <w:t>10.00 am AEST</w:t>
            </w:r>
          </w:p>
        </w:tc>
        <w:tc>
          <w:tcPr>
            <w:tcW w:w="2778" w:type="dxa"/>
            <w:shd w:val="clear" w:color="auto" w:fill="C8C9F2" w:themeFill="accent1" w:themeFillTint="33"/>
          </w:tcPr>
          <w:p w14:paraId="5E7FF956" w14:textId="4D7E1B08" w:rsidR="00004B07" w:rsidRPr="00A905B3" w:rsidRDefault="0054630D">
            <w:pPr>
              <w:rPr>
                <w:b/>
                <w:bCs/>
                <w:color w:val="181A6D" w:themeColor="accent1" w:themeShade="BF"/>
                <w:sz w:val="22"/>
                <w:szCs w:val="22"/>
              </w:rPr>
            </w:pPr>
            <w:r>
              <w:rPr>
                <w:b/>
                <w:bCs/>
                <w:color w:val="181A6D" w:themeColor="accent1" w:themeShade="BF"/>
                <w:sz w:val="22"/>
                <w:szCs w:val="22"/>
              </w:rPr>
              <w:t>Software vendors</w:t>
            </w:r>
            <w:r w:rsidR="00004B07" w:rsidRPr="00A905B3">
              <w:rPr>
                <w:b/>
                <w:bCs/>
                <w:color w:val="181A6D" w:themeColor="accent1" w:themeShade="BF"/>
                <w:sz w:val="22"/>
                <w:szCs w:val="22"/>
              </w:rPr>
              <w:t xml:space="preserve"> forum</w:t>
            </w:r>
          </w:p>
          <w:p w14:paraId="6E8D4D94" w14:textId="7444CA92" w:rsidR="00004B07" w:rsidRPr="00A905B3" w:rsidRDefault="00004B07">
            <w:pPr>
              <w:rPr>
                <w:color w:val="181A6D" w:themeColor="accent1" w:themeShade="BF"/>
                <w:sz w:val="22"/>
                <w:szCs w:val="22"/>
              </w:rPr>
            </w:pPr>
            <w:hyperlink r:id="rId20" w:history="1">
              <w:r w:rsidRPr="003E269D">
                <w:rPr>
                  <w:rStyle w:val="Hyperlink"/>
                  <w:sz w:val="22"/>
                  <w:szCs w:val="22"/>
                </w:rPr>
                <w:t>LINK</w:t>
              </w:r>
            </w:hyperlink>
          </w:p>
        </w:tc>
      </w:tr>
    </w:tbl>
    <w:p w14:paraId="4BC8784C" w14:textId="5C06BCDC" w:rsidR="00004B07" w:rsidRPr="007B226F" w:rsidRDefault="00004B07" w:rsidP="00B67F08">
      <w:pPr>
        <w:spacing w:before="240"/>
        <w:rPr>
          <w:b/>
          <w:bCs/>
          <w:color w:val="181A6D" w:themeColor="accent1" w:themeShade="BF"/>
        </w:rPr>
      </w:pPr>
      <w:r w:rsidRPr="00B67F08">
        <w:rPr>
          <w:i/>
          <w:iCs/>
          <w:color w:val="181A6D" w:themeColor="accent1" w:themeShade="BF"/>
        </w:rPr>
        <w:t>Written submissions</w:t>
      </w:r>
      <w:r w:rsidR="5EEE4F3A" w:rsidRPr="4A6E8EC8">
        <w:rPr>
          <w:b/>
          <w:bCs/>
          <w:color w:val="181A6D" w:themeColor="accent1" w:themeShade="BF"/>
        </w:rPr>
        <w:t xml:space="preserve">: </w:t>
      </w:r>
      <w:r w:rsidR="008067A0">
        <w:t xml:space="preserve">We also welcome written </w:t>
      </w:r>
      <w:r>
        <w:t xml:space="preserve">submissions </w:t>
      </w:r>
      <w:r w:rsidR="008067A0">
        <w:t xml:space="preserve">which </w:t>
      </w:r>
      <w:r>
        <w:t xml:space="preserve">can be </w:t>
      </w:r>
      <w:r w:rsidR="009A6A48">
        <w:t>submitted through the portal:</w:t>
      </w:r>
      <w:r>
        <w:t xml:space="preserve"> </w:t>
      </w:r>
    </w:p>
    <w:p w14:paraId="156F6066" w14:textId="77609561" w:rsidR="006B7405" w:rsidRDefault="00A423C7" w:rsidP="00A423C7">
      <w:pPr>
        <w:rPr>
          <w:rStyle w:val="Hyperlink"/>
        </w:rPr>
      </w:pPr>
      <w:hyperlink r:id="rId21" w:history="1">
        <w:r w:rsidRPr="0068516E">
          <w:rPr>
            <w:rStyle w:val="Hyperlink"/>
          </w:rPr>
          <w:t>https://uniofqueensland.syd1.qualtrics.com/jfe/form/SV_er32Eq06IJUr4ii</w:t>
        </w:r>
      </w:hyperlink>
    </w:p>
    <w:p w14:paraId="575F0696" w14:textId="62EB2ACB" w:rsidR="00D7748B" w:rsidRDefault="009A6A48" w:rsidP="00A423C7">
      <w:r>
        <w:t>Alternatively</w:t>
      </w:r>
      <w:r w:rsidR="00797C17">
        <w:t>,</w:t>
      </w:r>
      <w:r>
        <w:t xml:space="preserve"> please</w:t>
      </w:r>
      <w:r w:rsidR="00C077D4">
        <w:t xml:space="preserve"> directly</w:t>
      </w:r>
      <w:r>
        <w:t xml:space="preserve"> email</w:t>
      </w:r>
      <w:r w:rsidR="00C077D4">
        <w:t xml:space="preserve"> your response to</w:t>
      </w:r>
      <w:r w:rsidR="00683243">
        <w:t>:</w:t>
      </w:r>
      <w:r>
        <w:t xml:space="preserve"> </w:t>
      </w:r>
      <w:hyperlink r:id="rId22">
        <w:r w:rsidR="00683243" w:rsidRPr="4A6E8EC8">
          <w:rPr>
            <w:rStyle w:val="Hyperlink"/>
          </w:rPr>
          <w:t>acdarr.project@uq.edu.au</w:t>
        </w:r>
      </w:hyperlink>
      <w:r w:rsidR="00D7748B">
        <w:t xml:space="preserve">. </w:t>
      </w:r>
    </w:p>
    <w:p w14:paraId="42B34E59" w14:textId="2621DA59" w:rsidR="001C5BDE" w:rsidRDefault="00721AC9" w:rsidP="00A423C7">
      <w:r>
        <w:t xml:space="preserve">Written submissions </w:t>
      </w:r>
      <w:r w:rsidR="006E3F48">
        <w:t xml:space="preserve">will be accepted from </w:t>
      </w:r>
      <w:r w:rsidR="00AD6C5A" w:rsidRPr="4A6E8EC8">
        <w:rPr>
          <w:b/>
          <w:bCs/>
          <w:color w:val="181A6D" w:themeColor="accent1" w:themeShade="BF"/>
        </w:rPr>
        <w:t xml:space="preserve">19 July 2025 </w:t>
      </w:r>
      <w:r w:rsidR="006E3F48" w:rsidRPr="4A6E8EC8">
        <w:rPr>
          <w:b/>
          <w:bCs/>
          <w:color w:val="181A6D" w:themeColor="accent1" w:themeShade="BF"/>
        </w:rPr>
        <w:t>until 13 August 2025</w:t>
      </w:r>
      <w:r w:rsidR="006E3F48">
        <w:t>.</w:t>
      </w:r>
    </w:p>
    <w:p w14:paraId="23EE78E9" w14:textId="1EB28C0B" w:rsidR="00A423C7" w:rsidRPr="00381528" w:rsidRDefault="00C077D4" w:rsidP="00A423C7">
      <w:pPr>
        <w:rPr>
          <w:rStyle w:val="Hyperlink"/>
          <w:color w:val="auto"/>
        </w:rPr>
      </w:pPr>
      <w:r w:rsidRPr="00054431">
        <w:lastRenderedPageBreak/>
        <w:t>You may wish to reflect on data us</w:t>
      </w:r>
      <w:r>
        <w:t>age</w:t>
      </w:r>
      <w:r w:rsidRPr="00054431">
        <w:t>, reporting challenges, opportunities for improvement, or broader system-level considerations</w:t>
      </w:r>
      <w:r w:rsidRPr="00251A11">
        <w:t>.</w:t>
      </w:r>
      <w:r w:rsidR="00251A11">
        <w:t xml:space="preserve"> Submissions will be treated as confidential and suitab</w:t>
      </w:r>
      <w:r w:rsidR="0084364B">
        <w:t xml:space="preserve">ly </w:t>
      </w:r>
      <w:r w:rsidR="00E4333C">
        <w:t>de</w:t>
      </w:r>
      <w:r w:rsidR="0084364B">
        <w:t xml:space="preserve">identified </w:t>
      </w:r>
      <w:r w:rsidR="00365845">
        <w:t>prior to being incorporated in</w:t>
      </w:r>
      <w:r w:rsidR="00E4333C">
        <w:t>to</w:t>
      </w:r>
      <w:r w:rsidR="00365845">
        <w:t xml:space="preserve"> project </w:t>
      </w:r>
      <w:r w:rsidR="00946673">
        <w:t>materials</w:t>
      </w:r>
      <w:r w:rsidR="00365845">
        <w:t>.</w:t>
      </w:r>
    </w:p>
    <w:p w14:paraId="5325DAA5" w14:textId="1DE4E957" w:rsidR="00EB737C" w:rsidRPr="007B226F" w:rsidRDefault="006B7405" w:rsidP="00ED333E">
      <w:pPr>
        <w:pStyle w:val="Heading2"/>
        <w:spacing w:after="120"/>
      </w:pPr>
      <w:r w:rsidRPr="007B226F">
        <w:t>Summary of Findings</w:t>
      </w:r>
    </w:p>
    <w:p w14:paraId="6CE438AF" w14:textId="46E80403" w:rsidR="007B4B4F" w:rsidRPr="00D412F0" w:rsidRDefault="00E677E7" w:rsidP="007B4B4F">
      <w:pPr>
        <w:rPr>
          <w:color w:val="8E5791" w:themeColor="accent4"/>
        </w:rPr>
      </w:pPr>
      <w:r>
        <w:t>A</w:t>
      </w:r>
      <w:r w:rsidR="00EB737C">
        <w:t xml:space="preserve">n environmental scan </w:t>
      </w:r>
      <w:r>
        <w:t xml:space="preserve">was conducted </w:t>
      </w:r>
      <w:r w:rsidR="00EB737C">
        <w:t xml:space="preserve">of the </w:t>
      </w:r>
      <w:r w:rsidR="00E22B08">
        <w:t xml:space="preserve">policy, strategic and regulatory imperatives that drive data collection, as well as the mechanisms used to </w:t>
      </w:r>
      <w:r w:rsidR="003D3C8A">
        <w:t xml:space="preserve">capture </w:t>
      </w:r>
      <w:r w:rsidR="00A32D86">
        <w:t>and transfer data within government</w:t>
      </w:r>
      <w:r w:rsidR="00307B64">
        <w:t xml:space="preserve">. </w:t>
      </w:r>
      <w:r w:rsidR="008861B4">
        <w:t xml:space="preserve">See Appendix B for a list of key documents, reports, strategies, and data sources. </w:t>
      </w:r>
      <w:r w:rsidR="007B4B4F">
        <w:t>Financial data identified during the scan includes the information collected and reported about financial performance</w:t>
      </w:r>
      <w:r w:rsidR="004F60BD">
        <w:t xml:space="preserve">, including </w:t>
      </w:r>
      <w:r w:rsidR="007B4B4F">
        <w:t>information about revenue received from government subsidies and client co-contributions; expenses related to staffing, food and accommodation; capital works and building plans; and prudential compliance.</w:t>
      </w:r>
      <w:r w:rsidR="00400A8A">
        <w:t xml:space="preserve"> </w:t>
      </w:r>
      <w:r w:rsidR="007B4B4F">
        <w:t xml:space="preserve">Workforce data </w:t>
      </w:r>
      <w:r w:rsidR="0016538C">
        <w:t>includes</w:t>
      </w:r>
      <w:r w:rsidR="007B4B4F">
        <w:t>, employment status and type, occupational category, turnover,</w:t>
      </w:r>
      <w:r w:rsidR="0016538C">
        <w:t xml:space="preserve"> and </w:t>
      </w:r>
      <w:r w:rsidR="007B4B4F">
        <w:t>the minutes of direct care delivered per resident per day for some occupations (e.g. nurses and personal care workers).</w:t>
      </w:r>
      <w:r w:rsidR="00151395">
        <w:t xml:space="preserve"> Additional </w:t>
      </w:r>
      <w:r w:rsidR="00137BE5">
        <w:t>workforce</w:t>
      </w:r>
      <w:r w:rsidR="00151395">
        <w:t xml:space="preserve"> data collected </w:t>
      </w:r>
      <w:r w:rsidR="00137BE5">
        <w:t>through</w:t>
      </w:r>
      <w:r w:rsidR="00151395">
        <w:t xml:space="preserve"> surveys</w:t>
      </w:r>
      <w:r w:rsidR="00137BE5">
        <w:t xml:space="preserve"> include</w:t>
      </w:r>
      <w:r w:rsidR="003F79D8">
        <w:t>s employee demographics and qualifications and competencies.</w:t>
      </w:r>
    </w:p>
    <w:p w14:paraId="54301ED1" w14:textId="14A50367" w:rsidR="00593DAC" w:rsidRPr="00D412F0" w:rsidRDefault="00CC18AD" w:rsidP="001B5788">
      <w:r>
        <w:t>The</w:t>
      </w:r>
      <w:r w:rsidR="005C2952" w:rsidRPr="00D412F0">
        <w:t xml:space="preserve"> environmental scan </w:t>
      </w:r>
      <w:r w:rsidR="00097433" w:rsidRPr="00D412F0">
        <w:t xml:space="preserve">reviewed </w:t>
      </w:r>
      <w:r w:rsidR="00474AB6" w:rsidRPr="00D412F0">
        <w:t>the policy</w:t>
      </w:r>
      <w:r w:rsidR="00A11B0D" w:rsidRPr="00D412F0">
        <w:t xml:space="preserve"> context</w:t>
      </w:r>
      <w:r w:rsidR="00B00F89" w:rsidRPr="00D412F0">
        <w:t xml:space="preserve"> for financial and workforce reporting, identified and mapped the </w:t>
      </w:r>
      <w:r w:rsidR="008D4F9B" w:rsidRPr="00D412F0">
        <w:t xml:space="preserve">financial and workforce data that aged care providers report to government, </w:t>
      </w:r>
      <w:r w:rsidR="00593DAC" w:rsidRPr="00D412F0">
        <w:t>and examined international approaches to aged care governance and reporting.</w:t>
      </w:r>
      <w:r w:rsidR="00CE219E" w:rsidRPr="00D412F0">
        <w:t xml:space="preserve"> </w:t>
      </w:r>
      <w:r w:rsidR="009A32D1" w:rsidRPr="00D412F0">
        <w:t xml:space="preserve">The findings of the scan are summarised </w:t>
      </w:r>
      <w:r w:rsidR="00D412F0">
        <w:t>below</w:t>
      </w:r>
      <w:r w:rsidR="009A32D1">
        <w:t>.</w:t>
      </w:r>
    </w:p>
    <w:p w14:paraId="0A8DFD7E" w14:textId="1DF1DDFD" w:rsidR="00593DAC" w:rsidRPr="009A32D1" w:rsidRDefault="00593DAC" w:rsidP="002055C3">
      <w:pPr>
        <w:pStyle w:val="Heading3"/>
      </w:pPr>
      <w:r w:rsidRPr="009A32D1">
        <w:t>Policy context</w:t>
      </w:r>
    </w:p>
    <w:p w14:paraId="6B001CB9" w14:textId="2AA016E4" w:rsidR="002055C3" w:rsidRPr="00506285" w:rsidRDefault="00895647" w:rsidP="002055C3">
      <w:pPr>
        <w:rPr>
          <w:strike/>
        </w:rPr>
      </w:pPr>
      <w:r w:rsidRPr="009A32D1">
        <w:t xml:space="preserve">A </w:t>
      </w:r>
      <w:r w:rsidR="4BA480A1" w:rsidRPr="009A32D1">
        <w:t>range</w:t>
      </w:r>
      <w:r w:rsidRPr="009A32D1">
        <w:t xml:space="preserve"> of legislation, contractual obligations, regulatory requirements, policies and strategic plans</w:t>
      </w:r>
      <w:r w:rsidR="005B60A1" w:rsidRPr="009A32D1">
        <w:t xml:space="preserve"> determine the financial and workforce data the aged care sector is required to report to government.</w:t>
      </w:r>
      <w:r w:rsidR="002055C3" w:rsidRPr="009A32D1">
        <w:t xml:space="preserve"> </w:t>
      </w:r>
      <w:r w:rsidR="00783367" w:rsidRPr="009A32D1">
        <w:t xml:space="preserve">The </w:t>
      </w:r>
      <w:r w:rsidR="003E71CF" w:rsidRPr="009A32D1">
        <w:t>d</w:t>
      </w:r>
      <w:r w:rsidR="00783367" w:rsidRPr="009A32D1">
        <w:t>epartment</w:t>
      </w:r>
      <w:r w:rsidR="002055C3" w:rsidRPr="009A32D1">
        <w:t xml:space="preserve"> has overall accountability for the aged care secto</w:t>
      </w:r>
      <w:r w:rsidR="005B60A1" w:rsidRPr="009A32D1">
        <w:t xml:space="preserve">r, but other </w:t>
      </w:r>
      <w:r w:rsidR="002055C3" w:rsidRPr="009A32D1">
        <w:t>government departments and agencies also play a key role in administering</w:t>
      </w:r>
      <w:r w:rsidR="0034284B" w:rsidRPr="009A32D1">
        <w:t xml:space="preserve">, </w:t>
      </w:r>
      <w:r w:rsidR="002055C3" w:rsidRPr="009A32D1">
        <w:t xml:space="preserve">funding </w:t>
      </w:r>
      <w:r w:rsidR="0034284B" w:rsidRPr="009A32D1">
        <w:t xml:space="preserve">and regulating </w:t>
      </w:r>
      <w:r w:rsidR="002055C3" w:rsidRPr="009A32D1">
        <w:t xml:space="preserve">the aged care sector, including the </w:t>
      </w:r>
      <w:r w:rsidR="00871F16">
        <w:t xml:space="preserve">Aged Care Quality and Safety Commission, the </w:t>
      </w:r>
      <w:r w:rsidR="002055C3" w:rsidRPr="009A32D1">
        <w:t>Department of Social Services, Services Australia, the Department of Veterans’ Affairs</w:t>
      </w:r>
      <w:r w:rsidR="00936F2F" w:rsidRPr="009A32D1">
        <w:t xml:space="preserve">, </w:t>
      </w:r>
      <w:r w:rsidR="00824A8A">
        <w:t xml:space="preserve">and </w:t>
      </w:r>
      <w:r w:rsidR="002055C3" w:rsidRPr="009A32D1">
        <w:t>the National Disability Insurance Agency</w:t>
      </w:r>
      <w:r w:rsidR="004912F3">
        <w:t>.</w:t>
      </w:r>
    </w:p>
    <w:p w14:paraId="662D58A2" w14:textId="11F03556" w:rsidR="00CD2523" w:rsidRDefault="002055C3" w:rsidP="002055C3">
      <w:r>
        <w:t>The</w:t>
      </w:r>
      <w:r w:rsidR="00BA3E13">
        <w:t xml:space="preserve"> extensive program of reforms following the </w:t>
      </w:r>
      <w:r>
        <w:t>Royal Commission into Aged Care Quality and Safety</w:t>
      </w:r>
      <w:r w:rsidR="00BA3E13">
        <w:t xml:space="preserve"> </w:t>
      </w:r>
      <w:r w:rsidR="00AA0B62">
        <w:t>has</w:t>
      </w:r>
      <w:r w:rsidR="00BA3E13">
        <w:t xml:space="preserve"> </w:t>
      </w:r>
      <w:r w:rsidR="008B526F">
        <w:t xml:space="preserve">significantly expanded </w:t>
      </w:r>
      <w:r w:rsidR="000838D3">
        <w:t xml:space="preserve">the amount of information available about the aged care sector. </w:t>
      </w:r>
      <w:r w:rsidR="003D0D5C">
        <w:t>Reporting requirements introduced since the Royal Commission include Quarterly Financial Reporting</w:t>
      </w:r>
      <w:r w:rsidR="00ED77DD">
        <w:t xml:space="preserve"> (including reporting of care time)</w:t>
      </w:r>
      <w:r w:rsidR="003D0D5C">
        <w:t xml:space="preserve">, and </w:t>
      </w:r>
      <w:r w:rsidR="00ED77DD">
        <w:t xml:space="preserve">monthly </w:t>
      </w:r>
      <w:r w:rsidR="003D0D5C">
        <w:t>24/</w:t>
      </w:r>
      <w:r w:rsidR="004517FD">
        <w:t>7</w:t>
      </w:r>
      <w:r w:rsidR="003D0D5C">
        <w:t xml:space="preserve"> Registered Nurse coverage </w:t>
      </w:r>
      <w:r w:rsidR="00ED77DD">
        <w:t>reporting</w:t>
      </w:r>
      <w:r w:rsidR="00496C23">
        <w:t>. Related policies</w:t>
      </w:r>
      <w:r w:rsidR="00646E85">
        <w:t xml:space="preserve"> that impact on </w:t>
      </w:r>
      <w:r w:rsidR="00323362">
        <w:t>aged care</w:t>
      </w:r>
      <w:r w:rsidR="00646E85">
        <w:t xml:space="preserve"> data collections include</w:t>
      </w:r>
      <w:r w:rsidR="003D0D5C">
        <w:t xml:space="preserve"> </w:t>
      </w:r>
      <w:r w:rsidR="008377FA">
        <w:t>the</w:t>
      </w:r>
      <w:r w:rsidR="003D0D5C">
        <w:t xml:space="preserve"> new </w:t>
      </w:r>
      <w:hyperlink r:id="rId23">
        <w:r w:rsidR="003D0D5C" w:rsidRPr="4A6E8EC8">
          <w:rPr>
            <w:rStyle w:val="Hyperlink"/>
            <w:i/>
            <w:iCs/>
          </w:rPr>
          <w:t>Aged Care Act 2024</w:t>
        </w:r>
      </w:hyperlink>
      <w:r w:rsidR="003D0D5C">
        <w:t xml:space="preserve"> that will come into effect on 1 November 2025</w:t>
      </w:r>
      <w:r w:rsidR="00E45A77">
        <w:t>,</w:t>
      </w:r>
      <w:r w:rsidR="00C86DBF">
        <w:t xml:space="preserve"> </w:t>
      </w:r>
      <w:r w:rsidR="00824A8A">
        <w:t>t</w:t>
      </w:r>
      <w:r w:rsidR="00C86DBF">
        <w:t xml:space="preserve">he </w:t>
      </w:r>
      <w:hyperlink r:id="rId24">
        <w:r w:rsidR="00C86DBF" w:rsidRPr="4A6E8EC8">
          <w:rPr>
            <w:rStyle w:val="Hyperlink"/>
          </w:rPr>
          <w:t>National Minimum Data Set (NMDS</w:t>
        </w:r>
      </w:hyperlink>
      <w:r w:rsidR="00C86DBF">
        <w:t>)</w:t>
      </w:r>
      <w:r w:rsidR="3A8B17B7">
        <w:t xml:space="preserve">, as well as the </w:t>
      </w:r>
      <w:hyperlink r:id="rId25">
        <w:r w:rsidR="002A290A" w:rsidRPr="4A6E8EC8">
          <w:rPr>
            <w:rStyle w:val="Hyperlink"/>
          </w:rPr>
          <w:t>A</w:t>
        </w:r>
        <w:r w:rsidR="3A8B17B7" w:rsidRPr="4A6E8EC8">
          <w:rPr>
            <w:rStyle w:val="Hyperlink"/>
          </w:rPr>
          <w:t xml:space="preserve">ged </w:t>
        </w:r>
        <w:r w:rsidR="002A290A" w:rsidRPr="4A6E8EC8">
          <w:rPr>
            <w:rStyle w:val="Hyperlink"/>
          </w:rPr>
          <w:t>C</w:t>
        </w:r>
        <w:r w:rsidR="3A8B17B7" w:rsidRPr="4A6E8EC8">
          <w:rPr>
            <w:rStyle w:val="Hyperlink"/>
          </w:rPr>
          <w:t>are Data and Digital Strategy</w:t>
        </w:r>
      </w:hyperlink>
      <w:r w:rsidR="003D0D5C">
        <w:t>.</w:t>
      </w:r>
      <w:r w:rsidR="00C60F9B">
        <w:t xml:space="preserve"> </w:t>
      </w:r>
    </w:p>
    <w:p w14:paraId="792A7887" w14:textId="0E15A49E" w:rsidR="00166CCB" w:rsidRDefault="00951BAA" w:rsidP="4A6E8EC8">
      <w:pPr>
        <w:spacing w:after="160" w:line="278" w:lineRule="auto"/>
      </w:pPr>
      <w:r>
        <w:t>Upcoming initiatives will further impact financial and workforce data reporting</w:t>
      </w:r>
      <w:r w:rsidR="00166CCB">
        <w:t xml:space="preserve"> and are outlined in</w:t>
      </w:r>
      <w:r w:rsidR="00CC25A4">
        <w:t xml:space="preserve"> Table 1</w:t>
      </w:r>
      <w:r>
        <w:t>.</w:t>
      </w:r>
    </w:p>
    <w:p w14:paraId="779A10E5" w14:textId="77777777" w:rsidR="00D563F2" w:rsidRDefault="00D563F2" w:rsidP="4A6E8EC8">
      <w:pPr>
        <w:spacing w:after="160" w:line="278" w:lineRule="auto"/>
        <w:rPr>
          <w:i/>
          <w:iCs/>
          <w:color w:val="1F497D" w:themeColor="text2"/>
          <w:sz w:val="20"/>
          <w:szCs w:val="20"/>
        </w:rPr>
      </w:pPr>
      <w:bookmarkStart w:id="0" w:name="_Ref202787982"/>
      <w:r>
        <w:br w:type="page"/>
      </w:r>
    </w:p>
    <w:p w14:paraId="525650F4" w14:textId="1B06338F" w:rsidR="00166CCB" w:rsidRPr="00261A2C" w:rsidRDefault="00166CCB" w:rsidP="003D73A7">
      <w:pPr>
        <w:pStyle w:val="Caption"/>
        <w:keepNext/>
        <w:spacing w:after="60"/>
        <w:rPr>
          <w:sz w:val="24"/>
          <w:szCs w:val="22"/>
        </w:rPr>
      </w:pPr>
      <w:r w:rsidRPr="00261A2C">
        <w:rPr>
          <w:sz w:val="24"/>
          <w:szCs w:val="22"/>
        </w:rPr>
        <w:lastRenderedPageBreak/>
        <w:t xml:space="preserve">Table </w:t>
      </w:r>
      <w:r w:rsidR="00E62042" w:rsidRPr="00261A2C">
        <w:rPr>
          <w:sz w:val="24"/>
          <w:szCs w:val="22"/>
        </w:rPr>
        <w:fldChar w:fldCharType="begin"/>
      </w:r>
      <w:r w:rsidR="00E62042" w:rsidRPr="00261A2C">
        <w:rPr>
          <w:sz w:val="24"/>
          <w:szCs w:val="22"/>
        </w:rPr>
        <w:instrText xml:space="preserve"> SEQ Table \* ARABIC </w:instrText>
      </w:r>
      <w:r w:rsidR="00E62042" w:rsidRPr="00261A2C">
        <w:rPr>
          <w:sz w:val="24"/>
          <w:szCs w:val="22"/>
        </w:rPr>
        <w:fldChar w:fldCharType="separate"/>
      </w:r>
      <w:r w:rsidR="00D40394">
        <w:rPr>
          <w:noProof/>
          <w:sz w:val="24"/>
          <w:szCs w:val="22"/>
        </w:rPr>
        <w:t>1</w:t>
      </w:r>
      <w:r w:rsidR="00E62042" w:rsidRPr="00261A2C">
        <w:rPr>
          <w:noProof/>
          <w:sz w:val="24"/>
          <w:szCs w:val="22"/>
        </w:rPr>
        <w:fldChar w:fldCharType="end"/>
      </w:r>
      <w:bookmarkEnd w:id="0"/>
      <w:r w:rsidRPr="00261A2C">
        <w:rPr>
          <w:sz w:val="24"/>
          <w:szCs w:val="22"/>
        </w:rPr>
        <w:t xml:space="preserve"> Planned changes to financial and workforce reporting</w:t>
      </w:r>
    </w:p>
    <w:tbl>
      <w:tblPr>
        <w:tblStyle w:val="TableGrid"/>
        <w:tblW w:w="961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Planned Changes to financial and workforce reporting"/>
        <w:tblDescription w:val="This table describes identified major reforms planned within the Aged Care sector by Government"/>
      </w:tblPr>
      <w:tblGrid>
        <w:gridCol w:w="2387"/>
        <w:gridCol w:w="7229"/>
      </w:tblGrid>
      <w:tr w:rsidR="00166CCB" w:rsidRPr="00C3271B" w14:paraId="1DFF1345" w14:textId="77777777" w:rsidTr="4A6E8EC8">
        <w:trPr>
          <w:tblHeader/>
        </w:trPr>
        <w:tc>
          <w:tcPr>
            <w:tcW w:w="2387" w:type="dxa"/>
            <w:shd w:val="clear" w:color="auto" w:fill="181A6D" w:themeFill="accent1" w:themeFillShade="BF"/>
          </w:tcPr>
          <w:p w14:paraId="2D96E8DE" w14:textId="77777777" w:rsidR="00166CCB" w:rsidRPr="00AC5C75" w:rsidRDefault="00166CCB">
            <w:pPr>
              <w:rPr>
                <w:sz w:val="22"/>
                <w:szCs w:val="22"/>
              </w:rPr>
            </w:pPr>
            <w:r w:rsidRPr="00AC5C75">
              <w:rPr>
                <w:sz w:val="22"/>
                <w:szCs w:val="22"/>
              </w:rPr>
              <w:t>Change</w:t>
            </w:r>
          </w:p>
        </w:tc>
        <w:tc>
          <w:tcPr>
            <w:tcW w:w="7229" w:type="dxa"/>
            <w:shd w:val="clear" w:color="auto" w:fill="181A6D" w:themeFill="accent1" w:themeFillShade="BF"/>
          </w:tcPr>
          <w:p w14:paraId="1170587B" w14:textId="77777777" w:rsidR="00166CCB" w:rsidRPr="00AC5C75" w:rsidRDefault="00166CCB">
            <w:pPr>
              <w:spacing w:line="280" w:lineRule="atLeast"/>
              <w:ind w:left="59"/>
              <w:rPr>
                <w:sz w:val="22"/>
                <w:szCs w:val="22"/>
              </w:rPr>
            </w:pPr>
            <w:r w:rsidRPr="00AC5C75">
              <w:rPr>
                <w:sz w:val="22"/>
                <w:szCs w:val="22"/>
              </w:rPr>
              <w:t xml:space="preserve">Impact </w:t>
            </w:r>
          </w:p>
        </w:tc>
      </w:tr>
      <w:tr w:rsidR="00166CCB" w:rsidRPr="00C3271B" w14:paraId="04F6F3C0" w14:textId="77777777" w:rsidTr="4A6E8EC8">
        <w:tc>
          <w:tcPr>
            <w:tcW w:w="2387" w:type="dxa"/>
            <w:shd w:val="clear" w:color="auto" w:fill="C6D9F1" w:themeFill="text2" w:themeFillTint="33"/>
          </w:tcPr>
          <w:p w14:paraId="5D92F476" w14:textId="77777777" w:rsidR="00166CCB" w:rsidRPr="00AC5C75" w:rsidRDefault="00166CCB">
            <w:pPr>
              <w:rPr>
                <w:sz w:val="22"/>
                <w:szCs w:val="22"/>
              </w:rPr>
            </w:pPr>
            <w:r w:rsidRPr="00AC5C75">
              <w:rPr>
                <w:sz w:val="22"/>
                <w:szCs w:val="22"/>
              </w:rPr>
              <w:t xml:space="preserve">HCP and STRC into Support at Home </w:t>
            </w:r>
          </w:p>
        </w:tc>
        <w:tc>
          <w:tcPr>
            <w:tcW w:w="7229" w:type="dxa"/>
            <w:shd w:val="clear" w:color="auto" w:fill="C6D9F1" w:themeFill="text2" w:themeFillTint="33"/>
          </w:tcPr>
          <w:p w14:paraId="69B94E1F" w14:textId="17583294" w:rsidR="00166CCB" w:rsidRPr="00AC5C75" w:rsidRDefault="00166CCB">
            <w:pPr>
              <w:rPr>
                <w:sz w:val="22"/>
                <w:szCs w:val="22"/>
              </w:rPr>
            </w:pPr>
            <w:r w:rsidRPr="00AC5C75">
              <w:rPr>
                <w:sz w:val="22"/>
                <w:szCs w:val="22"/>
              </w:rPr>
              <w:t xml:space="preserve">From 1 November 2025, </w:t>
            </w:r>
            <w:r w:rsidR="00D5001C">
              <w:rPr>
                <w:sz w:val="22"/>
                <w:szCs w:val="22"/>
              </w:rPr>
              <w:t>Home Care Packages (</w:t>
            </w:r>
            <w:r w:rsidRPr="00AC5C75">
              <w:rPr>
                <w:sz w:val="22"/>
                <w:szCs w:val="22"/>
              </w:rPr>
              <w:t>HCP</w:t>
            </w:r>
            <w:r w:rsidR="00D5001C">
              <w:rPr>
                <w:sz w:val="22"/>
                <w:szCs w:val="22"/>
              </w:rPr>
              <w:t>)</w:t>
            </w:r>
            <w:r w:rsidRPr="00AC5C75">
              <w:rPr>
                <w:sz w:val="22"/>
                <w:szCs w:val="22"/>
              </w:rPr>
              <w:t xml:space="preserve"> and </w:t>
            </w:r>
            <w:r w:rsidR="00D5001C">
              <w:rPr>
                <w:sz w:val="22"/>
                <w:szCs w:val="22"/>
              </w:rPr>
              <w:t xml:space="preserve">Short-term Restorative </w:t>
            </w:r>
            <w:r w:rsidR="00711327">
              <w:rPr>
                <w:sz w:val="22"/>
                <w:szCs w:val="22"/>
              </w:rPr>
              <w:t>Care (</w:t>
            </w:r>
            <w:r w:rsidRPr="00AC5C75">
              <w:rPr>
                <w:sz w:val="22"/>
                <w:szCs w:val="22"/>
              </w:rPr>
              <w:t>STRC</w:t>
            </w:r>
            <w:r w:rsidR="00711327">
              <w:rPr>
                <w:sz w:val="22"/>
                <w:szCs w:val="22"/>
              </w:rPr>
              <w:t>)</w:t>
            </w:r>
            <w:r w:rsidRPr="00AC5C75">
              <w:rPr>
                <w:sz w:val="22"/>
                <w:szCs w:val="22"/>
              </w:rPr>
              <w:t xml:space="preserve"> services will transition to Support at Home. This will impact the reporting requirements of providers who deliver care under the Support at Home program</w:t>
            </w:r>
            <w:r>
              <w:rPr>
                <w:sz w:val="22"/>
                <w:szCs w:val="22"/>
              </w:rPr>
              <w:t xml:space="preserve">. </w:t>
            </w:r>
            <w:r w:rsidRPr="007F5B18">
              <w:rPr>
                <w:sz w:val="22"/>
                <w:szCs w:val="22"/>
              </w:rPr>
              <w:t>Information included in payment claims to Services Australia will be significantly more granular under Support at Home than under current HCP obligations.</w:t>
            </w:r>
            <w:r w:rsidRPr="00AC5C75">
              <w:rPr>
                <w:sz w:val="22"/>
                <w:szCs w:val="22"/>
              </w:rPr>
              <w:t xml:space="preserve"> </w:t>
            </w:r>
          </w:p>
        </w:tc>
      </w:tr>
      <w:tr w:rsidR="00166CCB" w:rsidRPr="00C3271B" w14:paraId="66D5D80A" w14:textId="77777777" w:rsidTr="4A6E8EC8">
        <w:tc>
          <w:tcPr>
            <w:tcW w:w="2387" w:type="dxa"/>
            <w:shd w:val="clear" w:color="auto" w:fill="C6D9F1" w:themeFill="text2" w:themeFillTint="33"/>
          </w:tcPr>
          <w:p w14:paraId="10F1C33A" w14:textId="77777777" w:rsidR="00166CCB" w:rsidRPr="00AC5C75" w:rsidRDefault="00166CCB">
            <w:pPr>
              <w:rPr>
                <w:sz w:val="22"/>
                <w:szCs w:val="22"/>
              </w:rPr>
            </w:pPr>
            <w:r>
              <w:rPr>
                <w:sz w:val="22"/>
                <w:szCs w:val="22"/>
              </w:rPr>
              <w:t>Aged Care Worker Screening Check</w:t>
            </w:r>
          </w:p>
        </w:tc>
        <w:tc>
          <w:tcPr>
            <w:tcW w:w="7229" w:type="dxa"/>
            <w:shd w:val="clear" w:color="auto" w:fill="C6D9F1" w:themeFill="text2" w:themeFillTint="33"/>
          </w:tcPr>
          <w:p w14:paraId="25DB3D92" w14:textId="54A77C7F" w:rsidR="00166CCB" w:rsidRPr="00AC5C75" w:rsidRDefault="00166CCB">
            <w:pPr>
              <w:rPr>
                <w:sz w:val="22"/>
                <w:szCs w:val="22"/>
              </w:rPr>
            </w:pPr>
            <w:r w:rsidRPr="00FA3F37">
              <w:rPr>
                <w:sz w:val="22"/>
                <w:szCs w:val="22"/>
              </w:rPr>
              <w:t>An Aged Care Worker Screening Check will be introduced no sooner than 2026 for workers in risk-assessed roles. The process for Aged Care Worker Screening Checks will be the same as NDIS Worker Screening Checks. Workers in risk-assessed roles will require either</w:t>
            </w:r>
            <w:r>
              <w:rPr>
                <w:sz w:val="22"/>
                <w:szCs w:val="22"/>
              </w:rPr>
              <w:t xml:space="preserve"> a </w:t>
            </w:r>
            <w:r w:rsidRPr="00FA3F37">
              <w:rPr>
                <w:sz w:val="22"/>
                <w:szCs w:val="22"/>
              </w:rPr>
              <w:t>NDIS Worker Screening Check</w:t>
            </w:r>
            <w:r>
              <w:rPr>
                <w:sz w:val="22"/>
                <w:szCs w:val="22"/>
              </w:rPr>
              <w:t xml:space="preserve">, an </w:t>
            </w:r>
            <w:r w:rsidRPr="00FA3F37">
              <w:rPr>
                <w:sz w:val="22"/>
                <w:szCs w:val="22"/>
              </w:rPr>
              <w:t xml:space="preserve">Aged Care Worker Screening Check </w:t>
            </w:r>
            <w:r>
              <w:rPr>
                <w:sz w:val="22"/>
                <w:szCs w:val="22"/>
              </w:rPr>
              <w:t xml:space="preserve">or </w:t>
            </w:r>
            <w:r w:rsidRPr="00FA3F37">
              <w:rPr>
                <w:sz w:val="22"/>
                <w:szCs w:val="22"/>
              </w:rPr>
              <w:t>Australian Health Practitioner Regulation Agency (AHPRA) registration.</w:t>
            </w:r>
          </w:p>
        </w:tc>
      </w:tr>
      <w:tr w:rsidR="00166CCB" w:rsidRPr="00C3271B" w14:paraId="47BBF6F5" w14:textId="77777777" w:rsidTr="4A6E8EC8">
        <w:tc>
          <w:tcPr>
            <w:tcW w:w="2387" w:type="dxa"/>
            <w:shd w:val="clear" w:color="auto" w:fill="C6D9F1" w:themeFill="text2" w:themeFillTint="33"/>
          </w:tcPr>
          <w:p w14:paraId="34CDD4D8" w14:textId="77777777" w:rsidR="00166CCB" w:rsidRDefault="00166CCB">
            <w:pPr>
              <w:rPr>
                <w:sz w:val="22"/>
                <w:szCs w:val="22"/>
              </w:rPr>
            </w:pPr>
            <w:r>
              <w:rPr>
                <w:sz w:val="22"/>
                <w:szCs w:val="22"/>
              </w:rPr>
              <w:t>Worker Registration Scheme</w:t>
            </w:r>
          </w:p>
        </w:tc>
        <w:tc>
          <w:tcPr>
            <w:tcW w:w="7229" w:type="dxa"/>
            <w:shd w:val="clear" w:color="auto" w:fill="C6D9F1" w:themeFill="text2" w:themeFillTint="33"/>
          </w:tcPr>
          <w:p w14:paraId="576B3ACF" w14:textId="2EF594C0" w:rsidR="00166CCB" w:rsidRPr="00AC5C75" w:rsidRDefault="00166CCB">
            <w:pPr>
              <w:rPr>
                <w:sz w:val="22"/>
                <w:szCs w:val="22"/>
              </w:rPr>
            </w:pPr>
            <w:r w:rsidRPr="4A6E8EC8">
              <w:rPr>
                <w:sz w:val="22"/>
                <w:szCs w:val="22"/>
              </w:rPr>
              <w:t xml:space="preserve">Workforce reporting </w:t>
            </w:r>
            <w:r w:rsidR="005D0D72" w:rsidRPr="4A6E8EC8">
              <w:rPr>
                <w:sz w:val="22"/>
                <w:szCs w:val="22"/>
              </w:rPr>
              <w:t>may</w:t>
            </w:r>
            <w:r w:rsidRPr="4A6E8EC8">
              <w:rPr>
                <w:sz w:val="22"/>
                <w:szCs w:val="22"/>
              </w:rPr>
              <w:t xml:space="preserve"> be impacted by the introduction of a worker registration scheme for personal care workers. The scheme is </w:t>
            </w:r>
            <w:r w:rsidR="005D0D72" w:rsidRPr="4A6E8EC8">
              <w:rPr>
                <w:sz w:val="22"/>
                <w:szCs w:val="22"/>
              </w:rPr>
              <w:t>currently being designed and consulted on</w:t>
            </w:r>
            <w:r w:rsidRPr="4A6E8EC8">
              <w:rPr>
                <w:sz w:val="22"/>
                <w:szCs w:val="22"/>
              </w:rPr>
              <w:t>.</w:t>
            </w:r>
          </w:p>
        </w:tc>
      </w:tr>
      <w:tr w:rsidR="00166CCB" w:rsidRPr="00C3271B" w14:paraId="38F380D1" w14:textId="77777777" w:rsidTr="4A6E8EC8">
        <w:tc>
          <w:tcPr>
            <w:tcW w:w="2387" w:type="dxa"/>
            <w:shd w:val="clear" w:color="auto" w:fill="C6D9F1" w:themeFill="text2" w:themeFillTint="33"/>
          </w:tcPr>
          <w:p w14:paraId="10FDF417" w14:textId="46336F81" w:rsidR="00166CCB" w:rsidRDefault="00166CCB">
            <w:pPr>
              <w:rPr>
                <w:sz w:val="22"/>
                <w:szCs w:val="22"/>
              </w:rPr>
            </w:pPr>
            <w:r w:rsidRPr="4A6E8EC8">
              <w:rPr>
                <w:sz w:val="22"/>
                <w:szCs w:val="22"/>
              </w:rPr>
              <w:t>Care Minutes Performance Statements</w:t>
            </w:r>
          </w:p>
        </w:tc>
        <w:tc>
          <w:tcPr>
            <w:tcW w:w="7229" w:type="dxa"/>
            <w:shd w:val="clear" w:color="auto" w:fill="C6D9F1" w:themeFill="text2" w:themeFillTint="33"/>
          </w:tcPr>
          <w:p w14:paraId="7989DD16" w14:textId="0E196178" w:rsidR="00166CCB" w:rsidRPr="000766EC" w:rsidRDefault="00166CCB">
            <w:pPr>
              <w:rPr>
                <w:sz w:val="22"/>
                <w:szCs w:val="22"/>
              </w:rPr>
            </w:pPr>
            <w:r w:rsidRPr="4A6E8EC8">
              <w:rPr>
                <w:sz w:val="22"/>
                <w:szCs w:val="22"/>
              </w:rPr>
              <w:t xml:space="preserve">Audited Care Minutes Performance Statements will be included in the Aged Care Financial Report from FY 2025-26 for all residential aged care </w:t>
            </w:r>
            <w:r w:rsidR="00CF087F" w:rsidRPr="4A6E8EC8">
              <w:rPr>
                <w:sz w:val="22"/>
                <w:szCs w:val="22"/>
              </w:rPr>
              <w:t>providers</w:t>
            </w:r>
            <w:r w:rsidRPr="4A6E8EC8">
              <w:rPr>
                <w:sz w:val="22"/>
                <w:szCs w:val="22"/>
              </w:rPr>
              <w:t xml:space="preserve">. The Statements will include information on quarterly labour costs for direct care, labour worked hours in direct care, monthly 24/7 RN coverage percentage, quarterly occupied bed days and quarterly direct care minutes worked per occupied bed day. </w:t>
            </w:r>
          </w:p>
        </w:tc>
      </w:tr>
    </w:tbl>
    <w:p w14:paraId="7B45E685" w14:textId="4EBD462A" w:rsidR="00AD458D" w:rsidRDefault="00AD458D" w:rsidP="005D3C6E">
      <w:pPr>
        <w:spacing w:before="120" w:after="0"/>
      </w:pPr>
      <w:r>
        <w:t>Together, these reforms and initiatives represent</w:t>
      </w:r>
      <w:r w:rsidR="009A5AED">
        <w:t xml:space="preserve"> opportunities to</w:t>
      </w:r>
      <w:r>
        <w:t xml:space="preserve"> shift toward more detailed, standardised and interoperable data collection. </w:t>
      </w:r>
      <w:r w:rsidR="00D3593B">
        <w:t>The next steps are to ensure that future reporting systems are fit-for-purpose and reduce administrative burden. This includes aligning reporting requirements across programs, embedding national data and system standards, and enabling interoperability between provider systems and government platforms. These changes will support more efficient data sharing, improve data quality and consistency, and ensure that reporting systems are aligned with the broader digital transformation and regulatory reform agenda of the Australian Government</w:t>
      </w:r>
      <w:r>
        <w:t>.</w:t>
      </w:r>
    </w:p>
    <w:p w14:paraId="7D42BFCB" w14:textId="77777777" w:rsidR="002055C3" w:rsidRPr="009A32D1" w:rsidRDefault="002055C3" w:rsidP="002055C3">
      <w:pPr>
        <w:pStyle w:val="Heading3"/>
      </w:pPr>
      <w:bookmarkStart w:id="1" w:name="_Toc201327890"/>
      <w:r w:rsidRPr="009A32D1">
        <w:t>Interoperability and data standardisation</w:t>
      </w:r>
      <w:bookmarkEnd w:id="1"/>
    </w:p>
    <w:p w14:paraId="071316C1" w14:textId="77777777" w:rsidR="00880C2A" w:rsidRPr="00880C2A" w:rsidRDefault="00880C2A" w:rsidP="00880C2A">
      <w:r w:rsidRPr="00880C2A">
        <w:t>Data standards and interoperability are foundational to achieving aged care data that is accurate, complete, consistent, and fit for purpose. They enable seamless data exchange between systems, reduce administrative burden, and support better decision-making across the sector. Despite their importance, these concepts are often misunderstood or inconsistently applied.</w:t>
      </w:r>
    </w:p>
    <w:p w14:paraId="025CABE8" w14:textId="5FEF192E" w:rsidR="00880C2A" w:rsidRPr="00880C2A" w:rsidRDefault="00880C2A" w:rsidP="00880C2A">
      <w:r w:rsidRPr="00880C2A">
        <w:t>The following table defines key terms related to data standards and interoperability. It clarifies the distinctions between different types of standard</w:t>
      </w:r>
      <w:r w:rsidR="00437B91">
        <w:t xml:space="preserve">s </w:t>
      </w:r>
      <w:r w:rsidRPr="00880C2A">
        <w:t xml:space="preserve">and outlines the </w:t>
      </w:r>
      <w:r w:rsidR="00F35A9C">
        <w:t>types</w:t>
      </w:r>
      <w:r w:rsidRPr="00880C2A">
        <w:t xml:space="preserve"> of </w:t>
      </w:r>
      <w:r w:rsidRPr="00880C2A">
        <w:lastRenderedPageBreak/>
        <w:t>interoperability required to ensure that data can be reliably shared and interpreted across diverse systems and stakeholders.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Definitions"/>
        <w:tblDescription w:val="This table defines data standatds, data interoperability, content standards and semantic versus structural interoperability"/>
      </w:tblPr>
      <w:tblGrid>
        <w:gridCol w:w="4513"/>
        <w:gridCol w:w="4962"/>
      </w:tblGrid>
      <w:tr w:rsidR="00F04DFD" w:rsidRPr="009A32D1" w14:paraId="57C3994D" w14:textId="77777777" w:rsidTr="00623875">
        <w:trPr>
          <w:cantSplit/>
        </w:trPr>
        <w:tc>
          <w:tcPr>
            <w:tcW w:w="4513" w:type="dxa"/>
            <w:shd w:val="clear" w:color="auto" w:fill="C6D9F1" w:themeFill="text2" w:themeFillTint="33"/>
          </w:tcPr>
          <w:p w14:paraId="3E905D6C" w14:textId="27EFC0AE" w:rsidR="00F04DFD" w:rsidRPr="00424253" w:rsidRDefault="00F04DFD" w:rsidP="00F04DFD">
            <w:pPr>
              <w:rPr>
                <w:b/>
                <w:bCs/>
                <w:color w:val="181A6D" w:themeColor="accent1" w:themeShade="BF"/>
                <w:sz w:val="20"/>
                <w:szCs w:val="20"/>
              </w:rPr>
            </w:pPr>
            <w:r w:rsidRPr="00424253">
              <w:rPr>
                <w:sz w:val="20"/>
                <w:szCs w:val="20"/>
              </w:rPr>
              <w:t>A</w:t>
            </w:r>
            <w:r w:rsidRPr="00424253">
              <w:rPr>
                <w:color w:val="212492" w:themeColor="accent1"/>
                <w:sz w:val="20"/>
                <w:szCs w:val="20"/>
              </w:rPr>
              <w:t xml:space="preserve"> </w:t>
            </w:r>
            <w:r w:rsidRPr="00424253">
              <w:rPr>
                <w:b/>
                <w:bCs/>
                <w:color w:val="181A6D" w:themeColor="accent1" w:themeShade="BF"/>
                <w:sz w:val="20"/>
                <w:szCs w:val="20"/>
              </w:rPr>
              <w:t>data standard</w:t>
            </w:r>
            <w:r w:rsidRPr="00424253">
              <w:rPr>
                <w:color w:val="181A6D" w:themeColor="accent1" w:themeShade="BF"/>
                <w:sz w:val="20"/>
                <w:szCs w:val="20"/>
              </w:rPr>
              <w:t xml:space="preserve"> </w:t>
            </w:r>
            <w:r w:rsidRPr="00424253">
              <w:rPr>
                <w:sz w:val="20"/>
                <w:szCs w:val="20"/>
              </w:rPr>
              <w:t xml:space="preserve">is an agreed set of rules or guidelines </w:t>
            </w:r>
            <w:r w:rsidR="7493D1CA" w:rsidRPr="00424253">
              <w:rPr>
                <w:sz w:val="20"/>
                <w:szCs w:val="20"/>
              </w:rPr>
              <w:t>that define</w:t>
            </w:r>
            <w:r w:rsidRPr="00424253">
              <w:rPr>
                <w:sz w:val="20"/>
                <w:szCs w:val="20"/>
              </w:rPr>
              <w:t xml:space="preserve"> how data should be </w:t>
            </w:r>
            <w:r w:rsidR="3E2CA9F8" w:rsidRPr="00424253">
              <w:rPr>
                <w:sz w:val="20"/>
                <w:szCs w:val="20"/>
              </w:rPr>
              <w:t>collected</w:t>
            </w:r>
            <w:r w:rsidRPr="00424253">
              <w:rPr>
                <w:sz w:val="20"/>
                <w:szCs w:val="20"/>
              </w:rPr>
              <w:t>, structured, formatted,</w:t>
            </w:r>
            <w:r w:rsidR="009F15A1" w:rsidRPr="00424253">
              <w:rPr>
                <w:sz w:val="20"/>
                <w:szCs w:val="20"/>
              </w:rPr>
              <w:t xml:space="preserve"> </w:t>
            </w:r>
            <w:r w:rsidR="7DE52E9C" w:rsidRPr="00424253">
              <w:rPr>
                <w:sz w:val="20"/>
                <w:szCs w:val="20"/>
              </w:rPr>
              <w:t xml:space="preserve">represented, </w:t>
            </w:r>
            <w:r w:rsidR="499B550B" w:rsidRPr="00424253">
              <w:rPr>
                <w:sz w:val="20"/>
                <w:szCs w:val="20"/>
              </w:rPr>
              <w:t>stored</w:t>
            </w:r>
            <w:r w:rsidRPr="00424253">
              <w:rPr>
                <w:sz w:val="20"/>
                <w:szCs w:val="20"/>
              </w:rPr>
              <w:t xml:space="preserve"> </w:t>
            </w:r>
            <w:r w:rsidR="12F397C5" w:rsidRPr="00424253">
              <w:rPr>
                <w:sz w:val="20"/>
                <w:szCs w:val="20"/>
              </w:rPr>
              <w:t xml:space="preserve">and </w:t>
            </w:r>
            <w:r w:rsidRPr="00424253">
              <w:rPr>
                <w:sz w:val="20"/>
                <w:szCs w:val="20"/>
              </w:rPr>
              <w:t xml:space="preserve">exchanged </w:t>
            </w:r>
            <w:r w:rsidR="12D7583E" w:rsidRPr="00424253">
              <w:rPr>
                <w:sz w:val="20"/>
                <w:szCs w:val="20"/>
              </w:rPr>
              <w:t xml:space="preserve">to ensure accuracy, consistency and interoperability </w:t>
            </w:r>
            <w:r w:rsidRPr="00424253">
              <w:rPr>
                <w:sz w:val="20"/>
                <w:szCs w:val="20"/>
              </w:rPr>
              <w:t>across systems</w:t>
            </w:r>
            <w:r w:rsidR="640EF290" w:rsidRPr="00424253">
              <w:rPr>
                <w:sz w:val="20"/>
                <w:szCs w:val="20"/>
              </w:rPr>
              <w:t xml:space="preserve">, organisations </w:t>
            </w:r>
            <w:r w:rsidR="6565C107" w:rsidRPr="00424253">
              <w:rPr>
                <w:sz w:val="20"/>
                <w:szCs w:val="20"/>
              </w:rPr>
              <w:t>and/</w:t>
            </w:r>
            <w:r w:rsidR="640EF290" w:rsidRPr="00424253">
              <w:rPr>
                <w:sz w:val="20"/>
                <w:szCs w:val="20"/>
              </w:rPr>
              <w:t>or sectors</w:t>
            </w:r>
            <w:r w:rsidR="43262BFE" w:rsidRPr="00424253">
              <w:rPr>
                <w:sz w:val="20"/>
                <w:szCs w:val="20"/>
              </w:rPr>
              <w:t>.</w:t>
            </w:r>
            <w:r w:rsidRPr="00424253">
              <w:rPr>
                <w:sz w:val="20"/>
                <w:szCs w:val="20"/>
              </w:rPr>
              <w:t xml:space="preserve"> A data standard enables reusability of data across different contexts.</w:t>
            </w:r>
          </w:p>
        </w:tc>
        <w:tc>
          <w:tcPr>
            <w:tcW w:w="4962" w:type="dxa"/>
            <w:shd w:val="clear" w:color="auto" w:fill="C6D9F1" w:themeFill="text2" w:themeFillTint="33"/>
          </w:tcPr>
          <w:p w14:paraId="724D3ED2" w14:textId="4D934116" w:rsidR="00F04DFD" w:rsidRPr="00424253" w:rsidRDefault="00F04DFD" w:rsidP="00F04DFD">
            <w:pPr>
              <w:spacing w:line="280" w:lineRule="atLeast"/>
              <w:ind w:left="59"/>
              <w:rPr>
                <w:sz w:val="20"/>
                <w:szCs w:val="20"/>
              </w:rPr>
            </w:pPr>
            <w:r w:rsidRPr="00424253">
              <w:rPr>
                <w:b/>
                <w:bCs/>
                <w:color w:val="181A6D" w:themeColor="accent1" w:themeShade="BF"/>
                <w:sz w:val="20"/>
                <w:szCs w:val="20"/>
              </w:rPr>
              <w:t>Content standards</w:t>
            </w:r>
            <w:r w:rsidRPr="00424253">
              <w:rPr>
                <w:color w:val="181A6D" w:themeColor="accent1" w:themeShade="BF"/>
                <w:sz w:val="20"/>
                <w:szCs w:val="20"/>
              </w:rPr>
              <w:t xml:space="preserve"> </w:t>
            </w:r>
            <w:r w:rsidRPr="00424253">
              <w:rPr>
                <w:sz w:val="20"/>
                <w:szCs w:val="20"/>
              </w:rPr>
              <w:t xml:space="preserve">define how information is defined, measured, organised, stored, and represented to ensure consistency, accuracy, and interoperability across different system. </w:t>
            </w:r>
          </w:p>
          <w:p w14:paraId="186FEEAF" w14:textId="1B6004B6" w:rsidR="00F04DFD" w:rsidRPr="00424253" w:rsidRDefault="00F04DFD" w:rsidP="00F04DFD">
            <w:pPr>
              <w:spacing w:line="280" w:lineRule="atLeast"/>
              <w:ind w:left="59"/>
              <w:rPr>
                <w:sz w:val="20"/>
                <w:szCs w:val="20"/>
              </w:rPr>
            </w:pPr>
            <w:r w:rsidRPr="00424253">
              <w:rPr>
                <w:sz w:val="20"/>
                <w:szCs w:val="20"/>
              </w:rPr>
              <w:t xml:space="preserve">A </w:t>
            </w:r>
            <w:r w:rsidRPr="00424253">
              <w:rPr>
                <w:b/>
                <w:bCs/>
                <w:color w:val="181A6D" w:themeColor="accent1" w:themeShade="BF"/>
                <w:sz w:val="20"/>
                <w:szCs w:val="20"/>
              </w:rPr>
              <w:t>data structure</w:t>
            </w:r>
            <w:r w:rsidRPr="00424253">
              <w:rPr>
                <w:sz w:val="20"/>
                <w:szCs w:val="20"/>
              </w:rPr>
              <w:t xml:space="preserve"> provides a formal framework that shows how concepts are organised and related to each other.</w:t>
            </w:r>
          </w:p>
          <w:p w14:paraId="435CBCCB" w14:textId="192474BC" w:rsidR="00F04DFD" w:rsidRPr="00424253" w:rsidDel="000C0BBB" w:rsidRDefault="00F04DFD" w:rsidP="00F04DFD">
            <w:pPr>
              <w:spacing w:line="280" w:lineRule="atLeast"/>
              <w:ind w:left="59"/>
              <w:rPr>
                <w:b/>
                <w:bCs/>
                <w:color w:val="181A6D" w:themeColor="accent1" w:themeShade="BF"/>
                <w:sz w:val="20"/>
                <w:szCs w:val="20"/>
              </w:rPr>
            </w:pPr>
            <w:r w:rsidRPr="00424253">
              <w:rPr>
                <w:sz w:val="20"/>
                <w:szCs w:val="20"/>
              </w:rPr>
              <w:t xml:space="preserve">A </w:t>
            </w:r>
            <w:r w:rsidRPr="00424253">
              <w:rPr>
                <w:b/>
                <w:bCs/>
                <w:color w:val="181A6D" w:themeColor="accent1" w:themeShade="BF"/>
                <w:sz w:val="20"/>
                <w:szCs w:val="20"/>
              </w:rPr>
              <w:t>data exchange standard</w:t>
            </w:r>
            <w:r w:rsidRPr="00424253">
              <w:rPr>
                <w:color w:val="181A6D" w:themeColor="accent1" w:themeShade="BF"/>
                <w:sz w:val="20"/>
                <w:szCs w:val="20"/>
              </w:rPr>
              <w:t xml:space="preserve"> </w:t>
            </w:r>
            <w:r w:rsidRPr="00424253">
              <w:rPr>
                <w:sz w:val="20"/>
                <w:szCs w:val="20"/>
              </w:rPr>
              <w:t>defines the protocols and formats used to transmit information between systems.</w:t>
            </w:r>
          </w:p>
        </w:tc>
      </w:tr>
      <w:tr w:rsidR="00F04DFD" w:rsidRPr="009A32D1" w14:paraId="3A1F44AB" w14:textId="77777777" w:rsidTr="00623875">
        <w:trPr>
          <w:cantSplit/>
        </w:trPr>
        <w:tc>
          <w:tcPr>
            <w:tcW w:w="4513" w:type="dxa"/>
            <w:shd w:val="clear" w:color="auto" w:fill="C6D9F1" w:themeFill="text2" w:themeFillTint="33"/>
          </w:tcPr>
          <w:p w14:paraId="606697D5" w14:textId="6E58BA7C" w:rsidR="00F04DFD" w:rsidRPr="00424253" w:rsidRDefault="00F04DFD" w:rsidP="00F04DFD">
            <w:pPr>
              <w:rPr>
                <w:sz w:val="20"/>
                <w:szCs w:val="20"/>
              </w:rPr>
            </w:pPr>
            <w:r w:rsidRPr="00424253">
              <w:rPr>
                <w:b/>
                <w:bCs/>
                <w:color w:val="181A6D" w:themeColor="accent1" w:themeShade="BF"/>
                <w:sz w:val="20"/>
                <w:szCs w:val="20"/>
              </w:rPr>
              <w:t>Data interoperability</w:t>
            </w:r>
            <w:r w:rsidRPr="00424253">
              <w:rPr>
                <w:color w:val="181A6D" w:themeColor="accent1" w:themeShade="BF"/>
                <w:sz w:val="20"/>
                <w:szCs w:val="20"/>
              </w:rPr>
              <w:t xml:space="preserve"> </w:t>
            </w:r>
            <w:r w:rsidR="00DF1292" w:rsidRPr="00424253">
              <w:rPr>
                <w:sz w:val="20"/>
                <w:szCs w:val="20"/>
              </w:rPr>
              <w:t>is the capability of systems or organi</w:t>
            </w:r>
            <w:r w:rsidR="004C4C6A" w:rsidRPr="00424253">
              <w:rPr>
                <w:sz w:val="20"/>
                <w:szCs w:val="20"/>
              </w:rPr>
              <w:t>s</w:t>
            </w:r>
            <w:r w:rsidR="00DF1292" w:rsidRPr="00424253">
              <w:rPr>
                <w:sz w:val="20"/>
                <w:szCs w:val="20"/>
              </w:rPr>
              <w:t xml:space="preserve">ations to exchange and accurately interpret data in a consistent and meaningful way. It </w:t>
            </w:r>
            <w:r w:rsidR="001C10C4" w:rsidRPr="00424253">
              <w:rPr>
                <w:sz w:val="20"/>
                <w:szCs w:val="20"/>
              </w:rPr>
              <w:t xml:space="preserve">requires </w:t>
            </w:r>
            <w:r w:rsidR="00DF1292" w:rsidRPr="00424253">
              <w:rPr>
                <w:sz w:val="20"/>
                <w:szCs w:val="20"/>
              </w:rPr>
              <w:t xml:space="preserve">data </w:t>
            </w:r>
            <w:r w:rsidR="001C10C4" w:rsidRPr="00424253">
              <w:rPr>
                <w:sz w:val="20"/>
                <w:szCs w:val="20"/>
              </w:rPr>
              <w:t xml:space="preserve">that </w:t>
            </w:r>
            <w:r w:rsidR="00DF1292" w:rsidRPr="00424253">
              <w:rPr>
                <w:sz w:val="20"/>
                <w:szCs w:val="20"/>
              </w:rPr>
              <w:t xml:space="preserve">is clearly defined, unambiguous, properly mapped across systems, and formatted according to agreed standards—allowing it to be seamlessly understood and used </w:t>
            </w:r>
            <w:r w:rsidR="001C10C4" w:rsidRPr="00424253">
              <w:rPr>
                <w:sz w:val="20"/>
                <w:szCs w:val="20"/>
              </w:rPr>
              <w:t>without</w:t>
            </w:r>
            <w:r w:rsidR="001C10C4" w:rsidRPr="00424253">
              <w:rPr>
                <w:color w:val="181A6D" w:themeColor="accent1" w:themeShade="BF"/>
                <w:sz w:val="20"/>
                <w:szCs w:val="20"/>
              </w:rPr>
              <w:t xml:space="preserve"> </w:t>
            </w:r>
            <w:r w:rsidRPr="00424253">
              <w:rPr>
                <w:sz w:val="20"/>
                <w:szCs w:val="20"/>
              </w:rPr>
              <w:t>special effort on the part of the user. Interoperability is made possible by the implementation of standards.</w:t>
            </w:r>
          </w:p>
        </w:tc>
        <w:tc>
          <w:tcPr>
            <w:tcW w:w="4962" w:type="dxa"/>
            <w:shd w:val="clear" w:color="auto" w:fill="C6D9F1" w:themeFill="text2" w:themeFillTint="33"/>
          </w:tcPr>
          <w:p w14:paraId="4C79873D" w14:textId="2534C3BB" w:rsidR="00F04DFD" w:rsidRPr="00424253" w:rsidRDefault="00F04DFD" w:rsidP="00F04DFD">
            <w:pPr>
              <w:spacing w:line="280" w:lineRule="atLeast"/>
              <w:ind w:left="59"/>
              <w:rPr>
                <w:sz w:val="20"/>
                <w:szCs w:val="20"/>
              </w:rPr>
            </w:pPr>
            <w:r w:rsidRPr="00424253">
              <w:rPr>
                <w:b/>
                <w:bCs/>
                <w:color w:val="181A6D" w:themeColor="accent1" w:themeShade="BF"/>
                <w:sz w:val="20"/>
                <w:szCs w:val="20"/>
              </w:rPr>
              <w:t>Semantic interoperability</w:t>
            </w:r>
            <w:r w:rsidRPr="00424253">
              <w:rPr>
                <w:color w:val="181A6D" w:themeColor="accent1" w:themeShade="BF"/>
                <w:sz w:val="20"/>
                <w:szCs w:val="20"/>
              </w:rPr>
              <w:t xml:space="preserve"> </w:t>
            </w:r>
            <w:r w:rsidRPr="00424253">
              <w:rPr>
                <w:sz w:val="20"/>
                <w:szCs w:val="20"/>
              </w:rPr>
              <w:t>enables the exchange of data between one IT system and another in a way that preserves the clinical or operational meaning and the purpose of the data.</w:t>
            </w:r>
          </w:p>
          <w:p w14:paraId="5ADBB799" w14:textId="3150BDCD" w:rsidR="00F04DFD" w:rsidRPr="00424253" w:rsidRDefault="00F04DFD" w:rsidP="00F04DFD">
            <w:pPr>
              <w:spacing w:line="280" w:lineRule="atLeast"/>
              <w:ind w:left="59"/>
              <w:rPr>
                <w:sz w:val="20"/>
                <w:szCs w:val="20"/>
              </w:rPr>
            </w:pPr>
            <w:r w:rsidRPr="00424253">
              <w:rPr>
                <w:b/>
                <w:bCs/>
                <w:color w:val="181A6D" w:themeColor="accent1" w:themeShade="BF"/>
                <w:sz w:val="20"/>
                <w:szCs w:val="20"/>
              </w:rPr>
              <w:t>Structural interoperability</w:t>
            </w:r>
            <w:r w:rsidRPr="00424253">
              <w:rPr>
                <w:color w:val="181A6D" w:themeColor="accent1" w:themeShade="BF"/>
                <w:sz w:val="20"/>
                <w:szCs w:val="20"/>
              </w:rPr>
              <w:t xml:space="preserve"> </w:t>
            </w:r>
            <w:r w:rsidRPr="00424253">
              <w:rPr>
                <w:sz w:val="20"/>
                <w:szCs w:val="20"/>
              </w:rPr>
              <w:t xml:space="preserve">is the ability of two or more systems to exchange, interpret and use data, with the aid of consistent data standards. </w:t>
            </w:r>
          </w:p>
        </w:tc>
      </w:tr>
    </w:tbl>
    <w:p w14:paraId="52BDF47E" w14:textId="638BD20C" w:rsidR="002055C3" w:rsidRPr="009A32D1" w:rsidRDefault="002055C3" w:rsidP="002055C3">
      <w:pPr>
        <w:pStyle w:val="Heading3"/>
      </w:pPr>
      <w:bookmarkStart w:id="2" w:name="_Toc201327891"/>
      <w:r w:rsidRPr="009A32D1">
        <w:t>Aged care financial and workforce reporting landscape</w:t>
      </w:r>
      <w:bookmarkEnd w:id="2"/>
    </w:p>
    <w:p w14:paraId="5C595725" w14:textId="47E6C3DC" w:rsidR="002055C3" w:rsidRPr="009A32D1" w:rsidRDefault="002055C3" w:rsidP="002055C3">
      <w:r>
        <w:t xml:space="preserve">Financial and workforce information is reported by the aged care sector to government for </w:t>
      </w:r>
      <w:r w:rsidR="00D63C0E">
        <w:t>multiple</w:t>
      </w:r>
      <w:r w:rsidR="0032439B">
        <w:t xml:space="preserve"> purposes, including</w:t>
      </w:r>
      <w:r w:rsidR="001977F5">
        <w:t>:</w:t>
      </w:r>
      <w:r>
        <w:t xml:space="preserve"> to report on performance and compliance</w:t>
      </w:r>
      <w:r w:rsidR="00F7174D">
        <w:t>;</w:t>
      </w:r>
      <w:r w:rsidR="00E7734C">
        <w:t xml:space="preserve"> </w:t>
      </w:r>
      <w:r w:rsidR="00EB4B0C">
        <w:t xml:space="preserve">and </w:t>
      </w:r>
      <w:r w:rsidR="00217569">
        <w:t>to inform</w:t>
      </w:r>
      <w:r w:rsidR="00B75CDE">
        <w:t xml:space="preserve"> workforce planning</w:t>
      </w:r>
      <w:r w:rsidR="00BB14B5">
        <w:t>;</w:t>
      </w:r>
      <w:r w:rsidR="00EB4B0C">
        <w:t xml:space="preserve"> and </w:t>
      </w:r>
      <w:r w:rsidR="00B75CDE">
        <w:t>policy and pricing develop</w:t>
      </w:r>
      <w:r w:rsidR="00217569">
        <w:t>ment</w:t>
      </w:r>
      <w:r>
        <w:t>.</w:t>
      </w:r>
      <w:r w:rsidR="00A81EE6" w:rsidRPr="4A6E8EC8">
        <w:rPr>
          <w:rFonts w:ascii="Segoe UI" w:hAnsi="Segoe UI" w:cs="Segoe UI"/>
          <w:sz w:val="18"/>
          <w:szCs w:val="18"/>
        </w:rPr>
        <w:t xml:space="preserve"> </w:t>
      </w:r>
    </w:p>
    <w:p w14:paraId="708D2056" w14:textId="7B9467A2" w:rsidR="005A0980" w:rsidRPr="005A0980" w:rsidRDefault="26291124" w:rsidP="4A6E8EC8">
      <w:r>
        <w:t xml:space="preserve">Table </w:t>
      </w:r>
      <w:r w:rsidR="009C7348">
        <w:t>A.1</w:t>
      </w:r>
      <w:r w:rsidR="0B8D7C83">
        <w:t xml:space="preserve"> in Appendix</w:t>
      </w:r>
      <w:r>
        <w:t xml:space="preserve"> </w:t>
      </w:r>
      <w:r w:rsidR="56169E25">
        <w:t xml:space="preserve">A </w:t>
      </w:r>
      <w:r w:rsidR="00501704">
        <w:t xml:space="preserve">provides a </w:t>
      </w:r>
      <w:r w:rsidR="006E1C18">
        <w:t>high-level</w:t>
      </w:r>
      <w:r w:rsidR="00501704">
        <w:t xml:space="preserve"> overview of t</w:t>
      </w:r>
      <w:r>
        <w:t xml:space="preserve">he </w:t>
      </w:r>
      <w:r w:rsidR="7BDDA40B">
        <w:t xml:space="preserve">purpose, the </w:t>
      </w:r>
      <w:r>
        <w:t xml:space="preserve">key data </w:t>
      </w:r>
      <w:r w:rsidR="11DD0A79">
        <w:t>submission</w:t>
      </w:r>
      <w:r w:rsidR="00501704">
        <w:t xml:space="preserve"> </w:t>
      </w:r>
      <w:r w:rsidR="11DD0A79">
        <w:t>tools</w:t>
      </w:r>
      <w:r>
        <w:t xml:space="preserve">, the </w:t>
      </w:r>
      <w:r w:rsidR="1AC62AEB">
        <w:t>responsible</w:t>
      </w:r>
      <w:r>
        <w:t xml:space="preserve"> </w:t>
      </w:r>
      <w:r w:rsidR="2B51CD2A">
        <w:t>agencies</w:t>
      </w:r>
      <w:r>
        <w:t xml:space="preserve"> </w:t>
      </w:r>
      <w:r w:rsidR="125EC198">
        <w:t xml:space="preserve">and </w:t>
      </w:r>
      <w:r>
        <w:t>the IT systems involve</w:t>
      </w:r>
      <w:r w:rsidR="009F15BD">
        <w:t>d</w:t>
      </w:r>
      <w:r w:rsidR="00501704">
        <w:t xml:space="preserve"> for providers to report data to government. </w:t>
      </w:r>
      <w:r w:rsidR="004A5D9C">
        <w:t xml:space="preserve">The systems listed in </w:t>
      </w:r>
      <w:r w:rsidR="45665F55">
        <w:t xml:space="preserve">the </w:t>
      </w:r>
      <w:r w:rsidR="00911305">
        <w:t>t</w:t>
      </w:r>
      <w:r w:rsidR="004A5D9C">
        <w:t>able</w:t>
      </w:r>
      <w:r w:rsidR="00911305">
        <w:t>,</w:t>
      </w:r>
      <w:r w:rsidR="001D60E2">
        <w:t xml:space="preserve"> </w:t>
      </w:r>
      <w:r w:rsidR="004A5D9C">
        <w:t>such as My Aged Care (MAC), the Aged Care Payment Portal (ACPP), the Government Provider Management System (GPMS),</w:t>
      </w:r>
      <w:r w:rsidR="00911305">
        <w:t xml:space="preserve"> Forms Administration Portal</w:t>
      </w:r>
      <w:r w:rsidR="004A5D9C">
        <w:t xml:space="preserve"> and the Data Exchange (DEX)</w:t>
      </w:r>
      <w:r w:rsidR="00911305">
        <w:t>,</w:t>
      </w:r>
      <w:r w:rsidR="001D60E2">
        <w:t xml:space="preserve"> </w:t>
      </w:r>
      <w:r w:rsidR="004A5D9C">
        <w:t>play critical roles in aged care data reporting. However,</w:t>
      </w:r>
      <w:r w:rsidR="4F469577">
        <w:t xml:space="preserve"> </w:t>
      </w:r>
      <w:r w:rsidR="4E8E7D2E">
        <w:t>f</w:t>
      </w:r>
      <w:r w:rsidR="746C101C">
        <w:t xml:space="preserve">eedback from aged care providers reveals three </w:t>
      </w:r>
      <w:r w:rsidR="684EF8C4">
        <w:t>persistent</w:t>
      </w:r>
      <w:r w:rsidR="746C101C">
        <w:t xml:space="preserve"> </w:t>
      </w:r>
      <w:r w:rsidR="144B51BF">
        <w:t>reporting</w:t>
      </w:r>
      <w:r w:rsidR="746C101C">
        <w:t xml:space="preserve"> challenges:</w:t>
      </w:r>
    </w:p>
    <w:p w14:paraId="44DF2A32" w14:textId="50330003" w:rsidR="005A0980" w:rsidRPr="005A0980" w:rsidRDefault="00F1709E" w:rsidP="005A0980">
      <w:pPr>
        <w:pStyle w:val="ListParagraph"/>
        <w:numPr>
          <w:ilvl w:val="0"/>
          <w:numId w:val="33"/>
        </w:numPr>
      </w:pPr>
      <w:r>
        <w:t>C</w:t>
      </w:r>
      <w:r w:rsidR="009F0066">
        <w:t>ertain</w:t>
      </w:r>
      <w:r w:rsidR="15B12B7A">
        <w:t xml:space="preserve"> data </w:t>
      </w:r>
      <w:r w:rsidR="009F0066">
        <w:t>are re-entered separately</w:t>
      </w:r>
      <w:r w:rsidR="15B12B7A">
        <w:t xml:space="preserve"> across multiple government portals</w:t>
      </w:r>
      <w:r w:rsidR="005A0980">
        <w:t xml:space="preserve">. </w:t>
      </w:r>
    </w:p>
    <w:p w14:paraId="527D037E" w14:textId="39FEC365" w:rsidR="005A0980" w:rsidRPr="005A0980" w:rsidRDefault="005A0980" w:rsidP="005A0980">
      <w:pPr>
        <w:pStyle w:val="ListParagraph"/>
        <w:numPr>
          <w:ilvl w:val="0"/>
          <w:numId w:val="33"/>
        </w:numPr>
      </w:pPr>
      <w:r>
        <w:t>D</w:t>
      </w:r>
      <w:r w:rsidR="15B12B7A">
        <w:t xml:space="preserve">uplication between financial </w:t>
      </w:r>
      <w:r w:rsidR="00D611B5">
        <w:t xml:space="preserve">and funding </w:t>
      </w:r>
      <w:r w:rsidR="70A08D88">
        <w:t>reports</w:t>
      </w:r>
      <w:r w:rsidR="15B12B7A">
        <w:t xml:space="preserve"> </w:t>
      </w:r>
      <w:r w:rsidR="6D89EA66">
        <w:t>such</w:t>
      </w:r>
      <w:r w:rsidR="15B12B7A">
        <w:t xml:space="preserve"> </w:t>
      </w:r>
      <w:r w:rsidR="6D89EA66">
        <w:t>as</w:t>
      </w:r>
      <w:r w:rsidR="15B12B7A">
        <w:t xml:space="preserve"> the QFR and ACF</w:t>
      </w:r>
      <w:r w:rsidR="37AF1149">
        <w:t>R</w:t>
      </w:r>
      <w:r>
        <w:t>.</w:t>
      </w:r>
    </w:p>
    <w:p w14:paraId="2A1C2601" w14:textId="67E4C0E1" w:rsidR="192F920A" w:rsidRPr="008C3C89" w:rsidRDefault="005A0980" w:rsidP="008C3C89">
      <w:pPr>
        <w:pStyle w:val="ListParagraph"/>
        <w:numPr>
          <w:ilvl w:val="0"/>
          <w:numId w:val="33"/>
        </w:numPr>
      </w:pPr>
      <w:r>
        <w:t>L</w:t>
      </w:r>
      <w:r w:rsidR="37AF1149">
        <w:t xml:space="preserve">imited reuse of data across compliance systems, leading to </w:t>
      </w:r>
      <w:r w:rsidR="10B74561">
        <w:t>inefficiencies</w:t>
      </w:r>
      <w:r w:rsidR="37AF1149">
        <w:t xml:space="preserve"> and</w:t>
      </w:r>
      <w:r w:rsidR="581DD43C">
        <w:t xml:space="preserve"> increased administrative burden</w:t>
      </w:r>
      <w:r w:rsidR="57738AA7">
        <w:t>.</w:t>
      </w:r>
      <w:r w:rsidR="581DD43C">
        <w:t xml:space="preserve"> </w:t>
      </w:r>
    </w:p>
    <w:p w14:paraId="0FC4B102" w14:textId="77777777" w:rsidR="00D563F2" w:rsidRDefault="00D563F2" w:rsidP="4A6E8EC8">
      <w:pPr>
        <w:spacing w:after="160" w:line="278" w:lineRule="auto"/>
        <w:rPr>
          <w:rFonts w:asciiTheme="majorHAnsi" w:eastAsia="Arial" w:hAnsiTheme="majorHAnsi" w:cstheme="majorBidi"/>
          <w:b/>
          <w:bCs/>
          <w:color w:val="002060"/>
        </w:rPr>
      </w:pPr>
      <w:r w:rsidRPr="4A6E8EC8">
        <w:rPr>
          <w:rFonts w:asciiTheme="majorHAnsi" w:eastAsia="Arial" w:hAnsiTheme="majorHAnsi" w:cstheme="majorBidi"/>
          <w:b/>
          <w:bCs/>
          <w:color w:val="002060"/>
        </w:rPr>
        <w:br w:type="page"/>
      </w:r>
    </w:p>
    <w:p w14:paraId="1FCDAE32" w14:textId="375DD894" w:rsidR="00F5586C" w:rsidRDefault="00385FAA" w:rsidP="0052273B">
      <w:pPr>
        <w:shd w:val="clear" w:color="auto" w:fill="FFFFFF" w:themeFill="background1"/>
        <w:rPr>
          <w:rFonts w:asciiTheme="majorHAnsi" w:hAnsiTheme="majorHAnsi" w:cstheme="majorBidi"/>
          <w:color w:val="002060"/>
        </w:rPr>
      </w:pPr>
      <w:r w:rsidRPr="4A6E8EC8">
        <w:rPr>
          <w:rFonts w:asciiTheme="majorHAnsi" w:eastAsia="Arial" w:hAnsiTheme="majorHAnsi" w:cstheme="majorBidi"/>
          <w:b/>
          <w:bCs/>
          <w:color w:val="002060"/>
        </w:rPr>
        <w:lastRenderedPageBreak/>
        <w:t xml:space="preserve">Entry of data across multiple portals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5586C" w14:paraId="27FB7E5D" w14:textId="77777777" w:rsidTr="4A6E8EC8">
        <w:trPr>
          <w:trHeight w:val="300"/>
        </w:trPr>
        <w:tc>
          <w:tcPr>
            <w:tcW w:w="9628" w:type="dxa"/>
            <w:shd w:val="clear" w:color="auto" w:fill="181A6D" w:themeFill="accent1" w:themeFillShade="BF"/>
          </w:tcPr>
          <w:p w14:paraId="15137EFD" w14:textId="52584BDB" w:rsidR="00F5586C" w:rsidRPr="004B23F3" w:rsidRDefault="29EE172E" w:rsidP="00F5586C">
            <w:r>
              <w:t xml:space="preserve">Example 1: </w:t>
            </w:r>
            <w:r w:rsidR="00D611B5">
              <w:t>Eligibility and service coordination</w:t>
            </w:r>
          </w:p>
        </w:tc>
      </w:tr>
      <w:tr w:rsidR="00F5586C" w14:paraId="71F32BA1" w14:textId="77777777" w:rsidTr="4A6E8EC8">
        <w:trPr>
          <w:trHeight w:val="300"/>
        </w:trPr>
        <w:tc>
          <w:tcPr>
            <w:tcW w:w="9628" w:type="dxa"/>
            <w:shd w:val="clear" w:color="auto" w:fill="C6D9F1" w:themeFill="text2" w:themeFillTint="33"/>
          </w:tcPr>
          <w:p w14:paraId="2C667715" w14:textId="3E0A64F7" w:rsidR="00F5586C" w:rsidRDefault="29EE172E" w:rsidP="008C3C89">
            <w:r>
              <w:t>Providers report duplication when entering client information into multiple portals. For example, the MAC Services and Support Portal—used for eligibility assessments and referrals—does not integrate with provider systems. This forces providers to manually enter the same data into MAC and other systems like GPMS and the ACPP. These inefficiencies highlight the need for systems that can share data across platforms</w:t>
            </w:r>
            <w:r w:rsidRPr="4A6E8EC8">
              <w:rPr>
                <w:rFonts w:asciiTheme="majorHAnsi" w:hAnsiTheme="majorHAnsi" w:cstheme="majorBidi"/>
                <w:color w:val="002060"/>
              </w:rPr>
              <w:t>.</w:t>
            </w:r>
          </w:p>
        </w:tc>
      </w:tr>
    </w:tbl>
    <w:p w14:paraId="121B8333" w14:textId="4AC80607" w:rsidR="004A5D9C" w:rsidRDefault="00385FAA" w:rsidP="0052273B">
      <w:pPr>
        <w:shd w:val="clear" w:color="auto" w:fill="FFFFFF" w:themeFill="background1"/>
        <w:spacing w:before="240"/>
        <w:rPr>
          <w:rFonts w:asciiTheme="majorHAnsi" w:eastAsia="Arial" w:hAnsiTheme="majorHAnsi" w:cstheme="majorBidi"/>
          <w:b/>
          <w:bCs/>
          <w:color w:val="002060"/>
        </w:rPr>
      </w:pPr>
      <w:r w:rsidRPr="4A6E8EC8">
        <w:rPr>
          <w:rFonts w:asciiTheme="majorHAnsi" w:eastAsia="Arial" w:hAnsiTheme="majorHAnsi" w:cstheme="majorBidi"/>
          <w:b/>
          <w:bCs/>
          <w:color w:val="002060"/>
        </w:rPr>
        <w:t xml:space="preserve">Duplication between financial and funding </w:t>
      </w:r>
      <w:r w:rsidR="66AC8E2F" w:rsidRPr="4A6E8EC8">
        <w:rPr>
          <w:rFonts w:asciiTheme="majorHAnsi" w:eastAsia="Arial" w:hAnsiTheme="majorHAnsi" w:cstheme="majorBidi"/>
          <w:b/>
          <w:bCs/>
          <w:color w:val="002060"/>
        </w:rPr>
        <w:t>reporting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521E1" w14:paraId="4290C38D" w14:textId="77777777" w:rsidTr="4A6E8EC8">
        <w:trPr>
          <w:trHeight w:val="300"/>
        </w:trPr>
        <w:tc>
          <w:tcPr>
            <w:tcW w:w="9628" w:type="dxa"/>
            <w:shd w:val="clear" w:color="auto" w:fill="181A6D" w:themeFill="accent1" w:themeFillShade="BF"/>
          </w:tcPr>
          <w:p w14:paraId="6FAC5DA0" w14:textId="6D3B227C" w:rsidR="004521E1" w:rsidRDefault="0D9041F2" w:rsidP="004521E1">
            <w:r>
              <w:t xml:space="preserve">Example 2: </w:t>
            </w:r>
            <w:r w:rsidR="00385FAA">
              <w:t>O</w:t>
            </w:r>
            <w:r>
              <w:t>verlap between QFR and ACFR</w:t>
            </w:r>
          </w:p>
        </w:tc>
      </w:tr>
      <w:tr w:rsidR="004521E1" w14:paraId="2437EB3E" w14:textId="77777777" w:rsidTr="4A6E8EC8">
        <w:trPr>
          <w:trHeight w:val="300"/>
        </w:trPr>
        <w:tc>
          <w:tcPr>
            <w:tcW w:w="9628" w:type="dxa"/>
            <w:shd w:val="clear" w:color="auto" w:fill="C6D9F1" w:themeFill="text2" w:themeFillTint="33"/>
          </w:tcPr>
          <w:p w14:paraId="46AADEF3" w14:textId="41433DC6" w:rsidR="004521E1" w:rsidRPr="008C3C89" w:rsidRDefault="0D9041F2" w:rsidP="004521E1">
            <w:r>
              <w:t>Aged care providers experience significant duplication between the Quarterly Financial Report (QFR) and the Aged Care Financial Report (ACFR). Although both reports use similar datasets, they require different formats and are submitted on different schedules. One commonly cited frustration is the need to recalculate annual totals for Q4 QFR to match ACFR requirements. Providers note that these burdens are worsened by the lack of compatibility between their internal ERP systems and government templates. Automated fields and better alignment across financial systems could significantly reduce this effort.</w:t>
            </w:r>
          </w:p>
        </w:tc>
      </w:tr>
    </w:tbl>
    <w:p w14:paraId="6EF3E54B" w14:textId="0D3CAF5E" w:rsidR="00B811EF" w:rsidRPr="00A74067" w:rsidRDefault="00B811EF" w:rsidP="0052273B">
      <w:pPr>
        <w:spacing w:before="240"/>
        <w:rPr>
          <w:rFonts w:asciiTheme="majorHAnsi" w:eastAsia="Arial" w:hAnsiTheme="majorHAnsi" w:cstheme="majorBidi"/>
          <w:b/>
          <w:bCs/>
          <w:color w:val="002060"/>
        </w:rPr>
      </w:pPr>
      <w:r w:rsidRPr="4A6E8EC8">
        <w:rPr>
          <w:rFonts w:asciiTheme="majorHAnsi" w:eastAsia="Arial" w:hAnsiTheme="majorHAnsi" w:cstheme="majorBidi"/>
          <w:b/>
          <w:bCs/>
          <w:color w:val="002060"/>
        </w:rPr>
        <w:t>Limited re-use of data across compliance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521E1" w14:paraId="15D78D14" w14:textId="77777777" w:rsidTr="4A6E8EC8">
        <w:trPr>
          <w:trHeight w:val="300"/>
        </w:trPr>
        <w:tc>
          <w:tcPr>
            <w:tcW w:w="9628" w:type="dxa"/>
            <w:shd w:val="clear" w:color="auto" w:fill="181A6D" w:themeFill="accent1" w:themeFillShade="BF"/>
          </w:tcPr>
          <w:p w14:paraId="2D439C7F" w14:textId="4F92A7D0" w:rsidR="004521E1" w:rsidRDefault="00B811EF" w:rsidP="004822F0">
            <w:r>
              <w:t xml:space="preserve">Example 3: </w:t>
            </w:r>
            <w:r w:rsidR="6419D8E8">
              <w:t>Reporting of staffing</w:t>
            </w:r>
            <w:r w:rsidR="788B5855">
              <w:t xml:space="preserve"> compliance</w:t>
            </w:r>
          </w:p>
        </w:tc>
      </w:tr>
      <w:tr w:rsidR="004521E1" w14:paraId="441DA17A" w14:textId="77777777" w:rsidTr="4A6E8EC8">
        <w:trPr>
          <w:trHeight w:val="300"/>
        </w:trPr>
        <w:tc>
          <w:tcPr>
            <w:tcW w:w="9628" w:type="dxa"/>
            <w:shd w:val="clear" w:color="auto" w:fill="C6D9F1" w:themeFill="text2" w:themeFillTint="33"/>
          </w:tcPr>
          <w:p w14:paraId="094C030C" w14:textId="27D964D7" w:rsidR="004521E1" w:rsidRPr="008B3C5C" w:rsidRDefault="75D22F57" w:rsidP="007C04F1">
            <w:r>
              <w:t xml:space="preserve">Providers also face duplication in </w:t>
            </w:r>
            <w:r w:rsidR="33D95B1B">
              <w:t>mandatory</w:t>
            </w:r>
            <w:r>
              <w:t xml:space="preserve"> reporting. Daily reporting for 24/7 registered nurse coverage must be done manually, even though the information may already exist in local staff rostering systems. This example reflects the broader issue:</w:t>
            </w:r>
            <w:r w:rsidR="0D3837C3">
              <w:t xml:space="preserve"> </w:t>
            </w:r>
            <w:r>
              <w:t>that relevant data is not reused across reporting systems, resulting in administrative inefficiency.</w:t>
            </w:r>
          </w:p>
        </w:tc>
      </w:tr>
    </w:tbl>
    <w:p w14:paraId="1D5DD015" w14:textId="77777777" w:rsidR="004521E1" w:rsidRPr="008C3C89" w:rsidRDefault="004521E1" w:rsidP="002824F9">
      <w:pPr>
        <w:shd w:val="clear" w:color="auto" w:fill="FFFFFF" w:themeFill="background1"/>
        <w:spacing w:after="0"/>
        <w:rPr>
          <w:rFonts w:asciiTheme="majorHAnsi" w:hAnsiTheme="majorHAnsi" w:cstheme="majorHAnsi"/>
          <w:color w:val="002060"/>
        </w:rPr>
      </w:pPr>
    </w:p>
    <w:p w14:paraId="79303010" w14:textId="77777777" w:rsidR="00D563F2" w:rsidRDefault="00D563F2" w:rsidP="4A6E8EC8">
      <w:pPr>
        <w:spacing w:after="160" w:line="278" w:lineRule="auto"/>
        <w:rPr>
          <w:rFonts w:asciiTheme="majorHAnsi" w:eastAsia="Times New Roman" w:hAnsiTheme="majorHAnsi" w:cstheme="majorBidi"/>
          <w:i/>
          <w:iCs/>
          <w:color w:val="181A6D" w:themeColor="accent1" w:themeShade="BF"/>
          <w:sz w:val="28"/>
          <w:szCs w:val="28"/>
        </w:rPr>
      </w:pPr>
      <w:r w:rsidRPr="4A6E8EC8">
        <w:rPr>
          <w:rFonts w:asciiTheme="majorHAnsi" w:eastAsia="Times New Roman" w:hAnsiTheme="majorHAnsi" w:cstheme="majorBidi"/>
          <w:i/>
          <w:iCs/>
        </w:rPr>
        <w:br w:type="page"/>
      </w:r>
    </w:p>
    <w:p w14:paraId="674FF8CB" w14:textId="7F7B87F4" w:rsidR="00056704" w:rsidRPr="009A32D1" w:rsidRDefault="00985DCE" w:rsidP="002055C3">
      <w:pPr>
        <w:pStyle w:val="Heading3"/>
      </w:pPr>
      <w:bookmarkStart w:id="3" w:name="_Toc201327892"/>
      <w:r>
        <w:lastRenderedPageBreak/>
        <w:t>F</w:t>
      </w:r>
      <w:r w:rsidR="000A0334">
        <w:t>inancial and workforce data</w:t>
      </w:r>
      <w:r>
        <w:t xml:space="preserve"> systems relevant to aged care</w:t>
      </w:r>
    </w:p>
    <w:p w14:paraId="2AF691BB" w14:textId="47BBBF2D" w:rsidR="00AB4B2F" w:rsidRDefault="00340AD4" w:rsidP="00056704">
      <w:r w:rsidRPr="00340AD4">
        <w:t>Australia’s workforce and financial data landscape includes several systems that support consistent reporting and analysis across sectors, including aged care. These systems help improve data quality, enable better workforce planning, and support policy development</w:t>
      </w:r>
      <w:r w:rsidR="004E269A">
        <w:t xml:space="preserve"> and could be used to support </w:t>
      </w:r>
      <w:r w:rsidR="000D18A3">
        <w:t>solutions to the identified issues</w:t>
      </w:r>
      <w:r w:rsidRPr="00340AD4">
        <w:t>.</w:t>
      </w:r>
    </w:p>
    <w:p w14:paraId="11CE0429" w14:textId="77777777" w:rsidR="003F7E8F" w:rsidRPr="001C7BDF" w:rsidRDefault="003F7E8F" w:rsidP="00056704">
      <w:pPr>
        <w:rPr>
          <w:b/>
          <w:color w:val="002060"/>
        </w:rPr>
      </w:pPr>
      <w:r w:rsidRPr="001C7BDF">
        <w:rPr>
          <w:b/>
          <w:color w:val="002060"/>
        </w:rPr>
        <w:t>Single Touch Payroll (STP)</w:t>
      </w:r>
    </w:p>
    <w:p w14:paraId="26205DE0" w14:textId="4C5799ED" w:rsidR="00340AD4" w:rsidRDefault="003F7E8F" w:rsidP="00056704">
      <w:r w:rsidRPr="003F7E8F">
        <w:t xml:space="preserve">STP is a real-time reporting initiative introduced by the Australian Government that requires employers to report payroll information to the ATO every time they pay their employees. This includes data on wages, taxes withheld, and superannuation contributions. STP offers a near-complete, up-to-date picture of workforce size, pay, and employment patterns across the country.   </w:t>
      </w:r>
    </w:p>
    <w:p w14:paraId="5CCF9134" w14:textId="20EC4C9B" w:rsidR="00D23FBD" w:rsidRPr="001C7BDF" w:rsidRDefault="00D23FBD" w:rsidP="00D23FBD">
      <w:pPr>
        <w:rPr>
          <w:b/>
          <w:color w:val="002060"/>
        </w:rPr>
      </w:pPr>
      <w:r w:rsidRPr="001C7BDF">
        <w:rPr>
          <w:b/>
          <w:color w:val="002060"/>
        </w:rPr>
        <w:t>Occupational Standard Classification for Australia (OSCA)</w:t>
      </w:r>
    </w:p>
    <w:p w14:paraId="0D9C28CF" w14:textId="010CA2D6" w:rsidR="00D23FBD" w:rsidRDefault="00D23FBD" w:rsidP="00D23FBD">
      <w:r>
        <w:t>OSCA replaces the Australian and New Zealand Standard Classification of Occupations (ANZSCO). OSCA includes a new sub-major group under the Community and Personal Service Workers major group: Aged Care and Disability Services and Support Workers with 3 minor groups:</w:t>
      </w:r>
    </w:p>
    <w:p w14:paraId="3AD637D6" w14:textId="0D8F1D0C" w:rsidR="00D23FBD" w:rsidRDefault="00D23FBD" w:rsidP="00424253">
      <w:pPr>
        <w:pStyle w:val="ListParagraph"/>
        <w:numPr>
          <w:ilvl w:val="0"/>
          <w:numId w:val="26"/>
        </w:numPr>
      </w:pPr>
      <w:r>
        <w:t>Aged Care Coordinators and Team Leaders (alternative titles – Home Care Coordinator, Aged Care Supervisor) require skill level 3.</w:t>
      </w:r>
    </w:p>
    <w:p w14:paraId="4728CDC8" w14:textId="18F02C64" w:rsidR="00D23FBD" w:rsidRDefault="00D23FBD" w:rsidP="00424253">
      <w:pPr>
        <w:pStyle w:val="ListParagraph"/>
        <w:numPr>
          <w:ilvl w:val="0"/>
          <w:numId w:val="26"/>
        </w:numPr>
      </w:pPr>
      <w:r>
        <w:t>Community Aged Care Support Workers (alternative titles – Care Worker, Community Care Worker, Home Care Worker) require skill level 4.</w:t>
      </w:r>
    </w:p>
    <w:p w14:paraId="41BFA72D" w14:textId="70681336" w:rsidR="00340AD4" w:rsidRDefault="00D23FBD" w:rsidP="00424253">
      <w:pPr>
        <w:pStyle w:val="ListParagraph"/>
        <w:numPr>
          <w:ilvl w:val="0"/>
          <w:numId w:val="26"/>
        </w:numPr>
      </w:pPr>
      <w:r>
        <w:t>Residential Aged Care Workers require skill level 4.</w:t>
      </w:r>
    </w:p>
    <w:p w14:paraId="6CF99C8A" w14:textId="45A66968" w:rsidR="00D23FBD" w:rsidRPr="001C7BDF" w:rsidRDefault="00D23FBD" w:rsidP="00056704">
      <w:pPr>
        <w:rPr>
          <w:b/>
          <w:color w:val="002060"/>
        </w:rPr>
      </w:pPr>
      <w:r w:rsidRPr="001C7BDF">
        <w:rPr>
          <w:b/>
          <w:color w:val="002060"/>
        </w:rPr>
        <w:t>National Minimum Data Set (NMDS)</w:t>
      </w:r>
    </w:p>
    <w:p w14:paraId="68610520" w14:textId="19471259" w:rsidR="00340AD4" w:rsidRDefault="00D23FBD" w:rsidP="00056704">
      <w:r w:rsidRPr="00D23FBD">
        <w:t>The NMDS is a set of content standards for aged care data published through</w:t>
      </w:r>
      <w:r w:rsidR="00673BB7" w:rsidRPr="00673BB7">
        <w:rPr>
          <w:sz w:val="22"/>
          <w:szCs w:val="22"/>
        </w:rPr>
        <w:t xml:space="preserve"> </w:t>
      </w:r>
      <w:r w:rsidR="00673BB7" w:rsidRPr="009A32D1">
        <w:rPr>
          <w:sz w:val="22"/>
          <w:szCs w:val="22"/>
        </w:rPr>
        <w:t>METEOR</w:t>
      </w:r>
      <w:r w:rsidR="005E09AB">
        <w:t xml:space="preserve">, the </w:t>
      </w:r>
      <w:r w:rsidR="00BD26C8">
        <w:t>Australian Institute for Health and Welfare (AIHW)</w:t>
      </w:r>
      <w:r w:rsidR="005E09AB">
        <w:t xml:space="preserve"> Metadata online registry</w:t>
      </w:r>
      <w:r w:rsidR="005E09AB">
        <w:rPr>
          <w:rStyle w:val="FootnoteReference"/>
        </w:rPr>
        <w:footnoteReference w:id="1"/>
      </w:r>
      <w:r w:rsidRPr="00D23FBD">
        <w:t xml:space="preserve"> . The purpose of the NMDS is to improve data quality and consistency in the aged care sector by applying standards to a core set of information. A new </w:t>
      </w:r>
      <w:r w:rsidR="002E5EFA">
        <w:t>opt-in</w:t>
      </w:r>
      <w:r w:rsidRPr="00D23FBD">
        <w:t xml:space="preserve"> National Best Practice Data Set </w:t>
      </w:r>
      <w:r w:rsidR="002E5EFA">
        <w:t xml:space="preserve">(NBPDS) </w:t>
      </w:r>
      <w:r w:rsidRPr="00D23FBD">
        <w:t xml:space="preserve">will be released in late 2025 that includes definitions and permissible values for </w:t>
      </w:r>
      <w:r w:rsidR="002E5EFA">
        <w:t>workforce and financial</w:t>
      </w:r>
      <w:r w:rsidR="002E5EFA" w:rsidRPr="00D23FBD">
        <w:t xml:space="preserve"> </w:t>
      </w:r>
      <w:r w:rsidRPr="00D23FBD">
        <w:t>data items such as aged care occupation, highest relevant qualification, form and status of employment, and total assets, liabilities, equity, income and expenses.</w:t>
      </w:r>
    </w:p>
    <w:p w14:paraId="62E33CEC" w14:textId="47FD9BD4" w:rsidR="002055C3" w:rsidRPr="009A32D1" w:rsidRDefault="002055C3" w:rsidP="002055C3">
      <w:pPr>
        <w:pStyle w:val="Heading3"/>
      </w:pPr>
      <w:r w:rsidRPr="009A32D1">
        <w:t>International insights</w:t>
      </w:r>
      <w:bookmarkEnd w:id="3"/>
    </w:p>
    <w:p w14:paraId="42A51D20" w14:textId="03619D50" w:rsidR="002055C3" w:rsidRPr="009A32D1" w:rsidRDefault="002055C3" w:rsidP="002055C3">
      <w:r w:rsidRPr="009A32D1">
        <w:t>A comparative analysis of</w:t>
      </w:r>
      <w:r w:rsidR="00057632" w:rsidRPr="009A32D1">
        <w:t xml:space="preserve"> the governance and funding mechanisms, financial and workforce reporting in </w:t>
      </w:r>
      <w:r w:rsidRPr="009A32D1">
        <w:t>the USA, UK, Canada, New Zealand</w:t>
      </w:r>
      <w:r w:rsidR="001E073C" w:rsidRPr="009A32D1">
        <w:t>, Belgium, Finland and Singapore</w:t>
      </w:r>
      <w:r w:rsidRPr="009A32D1">
        <w:t xml:space="preserve"> revealed that Australia </w:t>
      </w:r>
      <w:r w:rsidR="00DB0F05" w:rsidRPr="009A32D1">
        <w:t>collects the most detailed information on the financial performance of aged care providers.</w:t>
      </w:r>
      <w:r w:rsidRPr="009A32D1">
        <w:t xml:space="preserve"> Workforce data reporting was moderate-to-high in a number of jurisdictions, including the USA, Australia, New Zealand, Belgium and the United Kingdom. In these jurisdictions, data was generally reported across a range of occupational categories (e.g. nursing by type, allied health and personal care workers) and on workforce turnover, hours of care by occupational category, employees vs agency staff, </w:t>
      </w:r>
      <w:r w:rsidRPr="009A32D1">
        <w:lastRenderedPageBreak/>
        <w:t xml:space="preserve">with some jurisdictions collecting information on vacancies (UK) and allegations of misconduct (Scotland). </w:t>
      </w:r>
    </w:p>
    <w:p w14:paraId="535B23F9" w14:textId="5DFA2553" w:rsidR="002055C3" w:rsidRPr="009A32D1" w:rsidRDefault="002055C3" w:rsidP="4A6E8EC8">
      <w:pPr>
        <w:spacing w:after="240"/>
      </w:pPr>
      <w:r>
        <w:t xml:space="preserve">Other countries </w:t>
      </w:r>
      <w:r w:rsidR="00AF5673">
        <w:t xml:space="preserve">use systems and processes that may have value in the Australian aged care sector, such as </w:t>
      </w:r>
      <w:r>
        <w:t>the USA’s Payroll-Based Journal (PBJ) system</w:t>
      </w:r>
      <w:r w:rsidR="00140084">
        <w:t>. The PBJ</w:t>
      </w:r>
      <w:r>
        <w:t xml:space="preserve"> enables automated transfer of payroll and rostering data to government systems for workforce data, and this also supports public reporting through Star Ratings.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Caption w:val="Case Study"/>
        <w:tblDescription w:val="This table provides information about an international exemplar data collection: The USA's Payroll Based Journal"/>
      </w:tblPr>
      <w:tblGrid>
        <w:gridCol w:w="9638"/>
      </w:tblGrid>
      <w:tr w:rsidR="001C7BDF" w:rsidRPr="001C7BDF" w14:paraId="36C04CB1" w14:textId="77777777" w:rsidTr="4A6E8EC8">
        <w:trPr>
          <w:trHeight w:val="300"/>
        </w:trPr>
        <w:tc>
          <w:tcPr>
            <w:tcW w:w="9638" w:type="dxa"/>
            <w:shd w:val="clear" w:color="auto" w:fill="181A6D" w:themeFill="accent1" w:themeFillShade="BF"/>
          </w:tcPr>
          <w:p w14:paraId="28B1596C" w14:textId="4A200957" w:rsidR="001C7BDF" w:rsidRPr="00CC766E" w:rsidRDefault="001C7BDF" w:rsidP="003142BF">
            <w:pPr>
              <w:spacing w:before="60" w:line="278" w:lineRule="auto"/>
              <w:rPr>
                <w:rFonts w:ascii="Arial" w:eastAsia="Arial" w:hAnsi="Arial" w:cs="Arial"/>
                <w:color w:val="FFFFFF" w:themeColor="background1"/>
                <w:kern w:val="0"/>
                <w:lang w:eastAsia="ja-JP"/>
                <w14:ligatures w14:val="none"/>
              </w:rPr>
            </w:pPr>
            <w:r w:rsidRPr="00D563F2">
              <w:rPr>
                <w:color w:val="FFFFFF" w:themeColor="background1"/>
              </w:rPr>
              <w:br w:type="page"/>
            </w:r>
            <w:r w:rsidR="3A490F2F" w:rsidRPr="00CC766E">
              <w:rPr>
                <w:rFonts w:ascii="Arial" w:eastAsia="Arial" w:hAnsi="Arial" w:cs="Arial"/>
                <w:color w:val="FFFFFF" w:themeColor="background1"/>
                <w:kern w:val="0"/>
                <w:lang w:eastAsia="ja-JP"/>
                <w14:ligatures w14:val="none"/>
              </w:rPr>
              <w:t>Case study: Payroll-Based Journal system, USA</w:t>
            </w:r>
          </w:p>
        </w:tc>
      </w:tr>
      <w:tr w:rsidR="004874A5" w:rsidRPr="009A32D1" w14:paraId="09889738" w14:textId="77777777" w:rsidTr="4A6E8EC8">
        <w:trPr>
          <w:trHeight w:val="300"/>
        </w:trPr>
        <w:tc>
          <w:tcPr>
            <w:tcW w:w="9638" w:type="dxa"/>
            <w:shd w:val="clear" w:color="auto" w:fill="C6D9F1" w:themeFill="text2" w:themeFillTint="33"/>
          </w:tcPr>
          <w:p w14:paraId="707E7885" w14:textId="0B81EC6C" w:rsidR="004874A5" w:rsidRPr="007B226F" w:rsidDel="001C7BDF" w:rsidRDefault="3FE0A86F" w:rsidP="003142BF">
            <w:pPr>
              <w:spacing w:before="60" w:line="278" w:lineRule="auto"/>
              <w:rPr>
                <w:rFonts w:ascii="Arial" w:eastAsia="Arial" w:hAnsi="Arial" w:cs="Arial"/>
                <w:color w:val="000000" w:themeColor="text1"/>
                <w:sz w:val="22"/>
                <w:szCs w:val="22"/>
              </w:rPr>
            </w:pPr>
            <w:r w:rsidRPr="007B226F">
              <w:rPr>
                <w:rFonts w:ascii="Arial" w:eastAsia="Arial" w:hAnsi="Arial" w:cs="Arial"/>
                <w:color w:val="000000"/>
                <w:kern w:val="0"/>
                <w:sz w:val="22"/>
                <w:szCs w:val="22"/>
                <w:lang w:eastAsia="ja-JP"/>
                <w14:ligatures w14:val="none"/>
              </w:rPr>
              <w:t xml:space="preserve">The PBJ is a </w:t>
            </w:r>
            <w:r w:rsidR="512C027E">
              <w:rPr>
                <w:rFonts w:ascii="Arial" w:eastAsia="Arial" w:hAnsi="Arial" w:cs="Arial"/>
                <w:color w:val="000000"/>
                <w:kern w:val="0"/>
                <w:sz w:val="22"/>
                <w:szCs w:val="22"/>
                <w:lang w:eastAsia="ja-JP"/>
                <w14:ligatures w14:val="none"/>
              </w:rPr>
              <w:t xml:space="preserve">mandatory reporting </w:t>
            </w:r>
            <w:r w:rsidRPr="007B226F">
              <w:rPr>
                <w:rFonts w:ascii="Arial" w:eastAsia="Arial" w:hAnsi="Arial" w:cs="Arial"/>
                <w:color w:val="000000"/>
                <w:kern w:val="0"/>
                <w:sz w:val="22"/>
                <w:szCs w:val="22"/>
                <w:lang w:eastAsia="ja-JP"/>
                <w14:ligatures w14:val="none"/>
              </w:rPr>
              <w:t xml:space="preserve">system for residential aged care services to submit staffing information to the </w:t>
            </w:r>
            <w:proofErr w:type="spellStart"/>
            <w:r w:rsidRPr="007B226F">
              <w:rPr>
                <w:rFonts w:ascii="Arial" w:eastAsia="Arial" w:hAnsi="Arial" w:cs="Arial"/>
                <w:color w:val="000000"/>
                <w:kern w:val="0"/>
                <w:sz w:val="22"/>
                <w:szCs w:val="22"/>
                <w:lang w:eastAsia="ja-JP"/>
                <w14:ligatures w14:val="none"/>
              </w:rPr>
              <w:t>Centers</w:t>
            </w:r>
            <w:proofErr w:type="spellEnd"/>
            <w:r w:rsidRPr="007B226F">
              <w:rPr>
                <w:rFonts w:ascii="Arial" w:eastAsia="Arial" w:hAnsi="Arial" w:cs="Arial"/>
                <w:color w:val="000000"/>
                <w:kern w:val="0"/>
                <w:sz w:val="22"/>
                <w:szCs w:val="22"/>
                <w:lang w:eastAsia="ja-JP"/>
                <w14:ligatures w14:val="none"/>
              </w:rPr>
              <w:t xml:space="preserve"> for Medicare &amp; Medicaid Services (CMS). </w:t>
            </w:r>
            <w:r w:rsidRPr="007B226F">
              <w:rPr>
                <w:rFonts w:ascii="Arial" w:eastAsia="Arial" w:hAnsi="Arial" w:cs="Arial"/>
                <w:color w:val="000000" w:themeColor="text1"/>
                <w:sz w:val="22"/>
                <w:szCs w:val="22"/>
              </w:rPr>
              <w:t>Facilities electronically submit complete and accurate direct care staffing information to CMS, including:</w:t>
            </w:r>
          </w:p>
          <w:p w14:paraId="1027C23E" w14:textId="17F96A42" w:rsidR="00A90330" w:rsidRPr="007B226F" w:rsidRDefault="00A90330" w:rsidP="00424253">
            <w:pPr>
              <w:pStyle w:val="ListParagraph"/>
              <w:numPr>
                <w:ilvl w:val="0"/>
                <w:numId w:val="10"/>
              </w:numPr>
              <w:spacing w:after="0" w:line="278" w:lineRule="auto"/>
              <w:contextualSpacing w:val="0"/>
              <w:rPr>
                <w:rFonts w:ascii="Arial" w:eastAsia="Arial" w:hAnsi="Arial" w:cs="Arial"/>
                <w:color w:val="000000" w:themeColor="text1"/>
                <w:sz w:val="22"/>
                <w:szCs w:val="22"/>
              </w:rPr>
            </w:pPr>
            <w:r w:rsidRPr="007B226F">
              <w:rPr>
                <w:rFonts w:ascii="Arial" w:eastAsia="Arial" w:hAnsi="Arial" w:cs="Arial"/>
                <w:color w:val="000000" w:themeColor="text1"/>
                <w:sz w:val="22"/>
                <w:szCs w:val="22"/>
              </w:rPr>
              <w:t>Employee ID</w:t>
            </w:r>
            <w:r w:rsidR="00042C93" w:rsidRPr="007B226F">
              <w:rPr>
                <w:rFonts w:ascii="Arial" w:eastAsia="Arial" w:hAnsi="Arial" w:cs="Arial"/>
                <w:color w:val="000000" w:themeColor="text1"/>
                <w:sz w:val="22"/>
                <w:szCs w:val="22"/>
              </w:rPr>
              <w:t>.</w:t>
            </w:r>
          </w:p>
          <w:p w14:paraId="2832700D" w14:textId="2DE3D1EE" w:rsidR="00A90330" w:rsidRPr="007B226F" w:rsidRDefault="00D60F6E" w:rsidP="00424253">
            <w:pPr>
              <w:pStyle w:val="ListParagraph"/>
              <w:numPr>
                <w:ilvl w:val="0"/>
                <w:numId w:val="10"/>
              </w:numPr>
              <w:spacing w:after="0" w:line="278" w:lineRule="auto"/>
              <w:contextualSpacing w:val="0"/>
              <w:rPr>
                <w:rFonts w:ascii="Arial" w:eastAsia="Arial" w:hAnsi="Arial" w:cs="Arial"/>
                <w:color w:val="000000" w:themeColor="text1"/>
                <w:sz w:val="22"/>
                <w:szCs w:val="22"/>
              </w:rPr>
            </w:pPr>
            <w:r w:rsidRPr="007B226F">
              <w:rPr>
                <w:rFonts w:ascii="Arial" w:eastAsia="Arial" w:hAnsi="Arial" w:cs="Arial"/>
                <w:color w:val="000000" w:themeColor="text1"/>
                <w:sz w:val="22"/>
                <w:szCs w:val="22"/>
              </w:rPr>
              <w:t>Date of hours worked</w:t>
            </w:r>
            <w:r w:rsidR="00042C93" w:rsidRPr="007B226F">
              <w:rPr>
                <w:rFonts w:ascii="Arial" w:eastAsia="Arial" w:hAnsi="Arial" w:cs="Arial"/>
                <w:color w:val="000000" w:themeColor="text1"/>
                <w:sz w:val="22"/>
                <w:szCs w:val="22"/>
              </w:rPr>
              <w:t>.</w:t>
            </w:r>
          </w:p>
          <w:p w14:paraId="47D76661" w14:textId="548E665A" w:rsidR="00D60F6E" w:rsidRPr="007B226F" w:rsidRDefault="00D60F6E" w:rsidP="00424253">
            <w:pPr>
              <w:pStyle w:val="ListParagraph"/>
              <w:numPr>
                <w:ilvl w:val="0"/>
                <w:numId w:val="10"/>
              </w:numPr>
              <w:spacing w:after="0" w:line="278" w:lineRule="auto"/>
              <w:contextualSpacing w:val="0"/>
              <w:rPr>
                <w:rFonts w:ascii="Arial" w:eastAsia="Arial" w:hAnsi="Arial" w:cs="Arial"/>
                <w:color w:val="000000" w:themeColor="text1"/>
                <w:sz w:val="22"/>
                <w:szCs w:val="22"/>
              </w:rPr>
            </w:pPr>
            <w:r w:rsidRPr="007B226F">
              <w:rPr>
                <w:rFonts w:ascii="Arial" w:eastAsia="Arial" w:hAnsi="Arial" w:cs="Arial"/>
                <w:color w:val="000000" w:themeColor="text1"/>
                <w:sz w:val="22"/>
                <w:szCs w:val="22"/>
              </w:rPr>
              <w:t>Hours paid for each day worked.</w:t>
            </w:r>
          </w:p>
          <w:p w14:paraId="7D6FD7F8" w14:textId="77EC3EA1" w:rsidR="00D60F6E" w:rsidRPr="007B226F" w:rsidRDefault="00D60F6E" w:rsidP="00424253">
            <w:pPr>
              <w:pStyle w:val="ListParagraph"/>
              <w:numPr>
                <w:ilvl w:val="0"/>
                <w:numId w:val="10"/>
              </w:numPr>
              <w:spacing w:after="0" w:line="278" w:lineRule="auto"/>
              <w:contextualSpacing w:val="0"/>
              <w:rPr>
                <w:rFonts w:ascii="Arial" w:eastAsia="Arial" w:hAnsi="Arial" w:cs="Arial"/>
                <w:color w:val="000000" w:themeColor="text1"/>
                <w:sz w:val="22"/>
                <w:szCs w:val="22"/>
              </w:rPr>
            </w:pPr>
            <w:r w:rsidRPr="007B226F">
              <w:rPr>
                <w:rFonts w:ascii="Arial" w:eastAsia="Arial" w:hAnsi="Arial" w:cs="Arial"/>
                <w:color w:val="000000" w:themeColor="text1"/>
                <w:sz w:val="22"/>
                <w:szCs w:val="22"/>
              </w:rPr>
              <w:t>Job title code (</w:t>
            </w:r>
            <w:r w:rsidR="00032C3F" w:rsidRPr="007B226F">
              <w:rPr>
                <w:rFonts w:ascii="Arial" w:eastAsia="Arial" w:hAnsi="Arial" w:cs="Arial"/>
                <w:color w:val="000000" w:themeColor="text1"/>
                <w:sz w:val="22"/>
                <w:szCs w:val="22"/>
              </w:rPr>
              <w:t>40 defined roles, including direct care and administrative nursing staff</w:t>
            </w:r>
            <w:r w:rsidRPr="007B226F">
              <w:rPr>
                <w:rFonts w:ascii="Arial" w:eastAsia="Arial" w:hAnsi="Arial" w:cs="Arial"/>
                <w:color w:val="000000" w:themeColor="text1"/>
                <w:sz w:val="22"/>
                <w:szCs w:val="22"/>
              </w:rPr>
              <w:t>).</w:t>
            </w:r>
          </w:p>
          <w:p w14:paraId="2829C652" w14:textId="1490E1B3" w:rsidR="00D60F6E" w:rsidRPr="007B226F" w:rsidRDefault="005135E5" w:rsidP="00424253">
            <w:pPr>
              <w:pStyle w:val="ListParagraph"/>
              <w:numPr>
                <w:ilvl w:val="0"/>
                <w:numId w:val="10"/>
              </w:numPr>
              <w:spacing w:after="0" w:line="278" w:lineRule="auto"/>
              <w:contextualSpacing w:val="0"/>
              <w:rPr>
                <w:rFonts w:ascii="Arial" w:eastAsia="Arial" w:hAnsi="Arial" w:cs="Arial"/>
                <w:color w:val="000000" w:themeColor="text1"/>
                <w:sz w:val="22"/>
                <w:szCs w:val="22"/>
              </w:rPr>
            </w:pPr>
            <w:r w:rsidRPr="007B226F">
              <w:rPr>
                <w:rFonts w:ascii="Arial" w:eastAsia="Arial" w:hAnsi="Arial" w:cs="Arial"/>
                <w:color w:val="000000" w:themeColor="text1"/>
                <w:sz w:val="22"/>
                <w:szCs w:val="22"/>
              </w:rPr>
              <w:t>Pay type code (</w:t>
            </w:r>
            <w:r w:rsidR="00DC7C80" w:rsidRPr="007B226F">
              <w:rPr>
                <w:rFonts w:ascii="Arial" w:eastAsia="Arial" w:hAnsi="Arial" w:cs="Arial"/>
                <w:color w:val="000000" w:themeColor="text1"/>
                <w:sz w:val="22"/>
                <w:szCs w:val="22"/>
              </w:rPr>
              <w:t>e.g. exempt</w:t>
            </w:r>
            <w:r w:rsidR="00580996">
              <w:rPr>
                <w:rFonts w:ascii="Arial" w:eastAsia="Arial" w:hAnsi="Arial" w:cs="Arial"/>
                <w:color w:val="000000" w:themeColor="text1"/>
                <w:sz w:val="22"/>
                <w:szCs w:val="22"/>
              </w:rPr>
              <w:t xml:space="preserve"> (not eligible for overtime)</w:t>
            </w:r>
            <w:r w:rsidR="00DC7C80" w:rsidRPr="007B226F">
              <w:rPr>
                <w:rFonts w:ascii="Arial" w:eastAsia="Arial" w:hAnsi="Arial" w:cs="Arial"/>
                <w:color w:val="000000" w:themeColor="text1"/>
                <w:sz w:val="22"/>
                <w:szCs w:val="22"/>
              </w:rPr>
              <w:t>, non-exempt and contract).</w:t>
            </w:r>
          </w:p>
          <w:p w14:paraId="5CEC799B" w14:textId="38EB931F" w:rsidR="00042C93" w:rsidRDefault="00042C93" w:rsidP="00783AF7">
            <w:pPr>
              <w:pStyle w:val="ListParagraph"/>
              <w:numPr>
                <w:ilvl w:val="0"/>
                <w:numId w:val="10"/>
              </w:numPr>
              <w:spacing w:line="278" w:lineRule="auto"/>
              <w:ind w:left="357" w:hanging="357"/>
              <w:contextualSpacing w:val="0"/>
              <w:rPr>
                <w:rFonts w:ascii="Arial" w:eastAsia="Arial" w:hAnsi="Arial" w:cs="Arial"/>
                <w:color w:val="000000" w:themeColor="text1"/>
                <w:sz w:val="22"/>
                <w:szCs w:val="22"/>
              </w:rPr>
            </w:pPr>
            <w:r w:rsidRPr="007B226F">
              <w:rPr>
                <w:rFonts w:ascii="Arial" w:eastAsia="Arial" w:hAnsi="Arial" w:cs="Arial"/>
                <w:color w:val="000000" w:themeColor="text1"/>
                <w:sz w:val="22"/>
                <w:szCs w:val="22"/>
              </w:rPr>
              <w:t>Employment start and end dates.</w:t>
            </w:r>
          </w:p>
          <w:p w14:paraId="2F7729BA" w14:textId="248D5415" w:rsidR="00783AF7" w:rsidRPr="009A32D1" w:rsidRDefault="004874A5" w:rsidP="00743BA0">
            <w:pPr>
              <w:spacing w:line="278" w:lineRule="auto"/>
              <w:rPr>
                <w:rFonts w:ascii="Arial" w:eastAsia="Arial" w:hAnsi="Arial" w:cs="Arial"/>
                <w:color w:val="000000" w:themeColor="text1"/>
                <w:sz w:val="22"/>
                <w:szCs w:val="22"/>
              </w:rPr>
            </w:pPr>
            <w:r w:rsidRPr="32390696">
              <w:rPr>
                <w:sz w:val="22"/>
                <w:szCs w:val="22"/>
              </w:rPr>
              <w:t>PBJ data is submitted quarterly</w:t>
            </w:r>
            <w:r w:rsidR="00487DCF">
              <w:rPr>
                <w:rFonts w:ascii="Arial" w:eastAsia="Arial" w:hAnsi="Arial" w:cs="Arial"/>
                <w:color w:val="000000" w:themeColor="text1"/>
                <w:sz w:val="22"/>
                <w:szCs w:val="22"/>
              </w:rPr>
              <w:t xml:space="preserve"> and is linked to c</w:t>
            </w:r>
            <w:r w:rsidR="00487DCF" w:rsidRPr="00C54631">
              <w:rPr>
                <w:rFonts w:ascii="Arial" w:eastAsia="Arial" w:hAnsi="Arial" w:cs="Arial"/>
                <w:color w:val="000000" w:themeColor="text1"/>
                <w:sz w:val="22"/>
                <w:szCs w:val="22"/>
              </w:rPr>
              <w:t>ensus data for each day to calculate staffing ratios</w:t>
            </w:r>
            <w:r w:rsidR="00487DCF">
              <w:rPr>
                <w:rFonts w:ascii="Arial" w:eastAsia="Arial" w:hAnsi="Arial" w:cs="Arial"/>
                <w:color w:val="000000" w:themeColor="text1"/>
                <w:sz w:val="22"/>
                <w:szCs w:val="22"/>
              </w:rPr>
              <w:t xml:space="preserve">. </w:t>
            </w:r>
            <w:r w:rsidRPr="007B226F">
              <w:rPr>
                <w:rFonts w:ascii="Arial" w:eastAsia="Arial" w:hAnsi="Arial" w:cs="Arial"/>
                <w:color w:val="000000" w:themeColor="text1"/>
                <w:sz w:val="22"/>
                <w:szCs w:val="22"/>
              </w:rPr>
              <w:t>CMS has utilised staffing data to gauge the impact of staffing on quality of care in nursing homes. Data from PBJ submissions is used in the Nursing Home Five Star Quality Rating System. Data on the hours nursing staff are paid to work each day, for each facility has been publicly available since 2017.</w:t>
            </w:r>
          </w:p>
        </w:tc>
      </w:tr>
    </w:tbl>
    <w:p w14:paraId="4900FA9D" w14:textId="53408D92" w:rsidR="002055C3" w:rsidRPr="009A32D1" w:rsidRDefault="002055C3" w:rsidP="002055C3">
      <w:pPr>
        <w:spacing w:after="160" w:line="278" w:lineRule="auto"/>
        <w:rPr>
          <w:rFonts w:eastAsiaTheme="majorEastAsia" w:cstheme="majorBidi"/>
          <w:color w:val="181A6D" w:themeColor="accent1" w:themeShade="BF"/>
          <w:szCs w:val="28"/>
        </w:rPr>
      </w:pPr>
      <w:r w:rsidRPr="009A32D1">
        <w:br w:type="page"/>
      </w:r>
    </w:p>
    <w:p w14:paraId="459B3F89" w14:textId="77777777" w:rsidR="002055C3" w:rsidRDefault="002055C3" w:rsidP="00783AF7">
      <w:pPr>
        <w:pStyle w:val="Heading2"/>
        <w:spacing w:after="120"/>
      </w:pPr>
      <w:bookmarkStart w:id="4" w:name="_Toc201327893"/>
      <w:r w:rsidRPr="009A32D1">
        <w:lastRenderedPageBreak/>
        <w:t>Key findings and opportunities</w:t>
      </w:r>
      <w:bookmarkEnd w:id="4"/>
    </w:p>
    <w:p w14:paraId="619C6741" w14:textId="05490123" w:rsidR="00836DBF" w:rsidRDefault="002824F9" w:rsidP="4A6E8EC8">
      <w:pPr>
        <w:rPr>
          <w:rFonts w:cs="Arial"/>
        </w:rPr>
      </w:pPr>
      <w:r>
        <w:fldChar w:fldCharType="begin"/>
      </w:r>
      <w:r>
        <w:instrText xml:space="preserve"> REF _Ref202703180 \h </w:instrText>
      </w:r>
      <w:r>
        <w:fldChar w:fldCharType="separate"/>
      </w:r>
      <w:r w:rsidR="00D40394" w:rsidRPr="4A6E8EC8">
        <w:t xml:space="preserve">Table </w:t>
      </w:r>
      <w:r w:rsidR="00D40394">
        <w:rPr>
          <w:noProof/>
        </w:rPr>
        <w:t>2</w:t>
      </w:r>
      <w:r>
        <w:fldChar w:fldCharType="end"/>
      </w:r>
      <w:r>
        <w:t xml:space="preserve"> </w:t>
      </w:r>
      <w:r w:rsidR="00836DBF">
        <w:t xml:space="preserve">provides the overall summary of the </w:t>
      </w:r>
      <w:r w:rsidR="41CBC162" w:rsidRPr="4A6E8EC8">
        <w:rPr>
          <w:rFonts w:cs="Arial"/>
        </w:rPr>
        <w:t>opportunities</w:t>
      </w:r>
      <w:r w:rsidR="00320907" w:rsidRPr="4A6E8EC8">
        <w:rPr>
          <w:rFonts w:cs="Arial"/>
        </w:rPr>
        <w:t xml:space="preserve"> </w:t>
      </w:r>
      <w:r w:rsidR="00CD6697" w:rsidRPr="4A6E8EC8">
        <w:rPr>
          <w:rFonts w:cs="Arial"/>
        </w:rPr>
        <w:t xml:space="preserve">from the environmental scan </w:t>
      </w:r>
      <w:r w:rsidR="00320907" w:rsidRPr="4A6E8EC8">
        <w:rPr>
          <w:rFonts w:cs="Arial"/>
        </w:rPr>
        <w:t>to improve the scope, quality, consistency and utility of aged care data.</w:t>
      </w:r>
    </w:p>
    <w:p w14:paraId="5D57192B" w14:textId="2A25B421" w:rsidR="00836DBF" w:rsidRPr="004721FD" w:rsidRDefault="00836DBF" w:rsidP="007B226F">
      <w:pPr>
        <w:pStyle w:val="Caption"/>
        <w:keepNext/>
        <w:rPr>
          <w:sz w:val="24"/>
          <w:szCs w:val="24"/>
        </w:rPr>
      </w:pPr>
      <w:bookmarkStart w:id="5" w:name="_Ref202703180"/>
      <w:r w:rsidRPr="4A6E8EC8">
        <w:rPr>
          <w:sz w:val="24"/>
          <w:szCs w:val="24"/>
        </w:rPr>
        <w:t xml:space="preserve">Table </w:t>
      </w:r>
      <w:r w:rsidRPr="4A6E8EC8">
        <w:rPr>
          <w:sz w:val="24"/>
          <w:szCs w:val="24"/>
        </w:rPr>
        <w:fldChar w:fldCharType="begin"/>
      </w:r>
      <w:r w:rsidRPr="4A6E8EC8">
        <w:rPr>
          <w:sz w:val="24"/>
          <w:szCs w:val="24"/>
        </w:rPr>
        <w:instrText xml:space="preserve"> SEQ Table \* ARABIC </w:instrText>
      </w:r>
      <w:r w:rsidRPr="4A6E8EC8">
        <w:rPr>
          <w:sz w:val="24"/>
          <w:szCs w:val="24"/>
        </w:rPr>
        <w:fldChar w:fldCharType="separate"/>
      </w:r>
      <w:r w:rsidR="00D40394">
        <w:rPr>
          <w:noProof/>
          <w:sz w:val="24"/>
          <w:szCs w:val="24"/>
        </w:rPr>
        <w:t>2</w:t>
      </w:r>
      <w:r w:rsidRPr="4A6E8EC8">
        <w:rPr>
          <w:noProof/>
          <w:sz w:val="24"/>
          <w:szCs w:val="24"/>
        </w:rPr>
        <w:fldChar w:fldCharType="end"/>
      </w:r>
      <w:bookmarkEnd w:id="5"/>
      <w:r w:rsidR="00743BA0">
        <w:rPr>
          <w:noProof/>
          <w:sz w:val="24"/>
          <w:szCs w:val="24"/>
        </w:rPr>
        <w:t>:</w:t>
      </w:r>
      <w:r w:rsidRPr="4A6E8EC8">
        <w:rPr>
          <w:sz w:val="24"/>
          <w:szCs w:val="24"/>
        </w:rPr>
        <w:t xml:space="preserve"> Overall </w:t>
      </w:r>
      <w:r w:rsidR="00082748" w:rsidRPr="4A6E8EC8">
        <w:rPr>
          <w:sz w:val="24"/>
          <w:szCs w:val="24"/>
        </w:rPr>
        <w:t>s</w:t>
      </w:r>
      <w:r w:rsidRPr="4A6E8EC8">
        <w:rPr>
          <w:sz w:val="24"/>
          <w:szCs w:val="24"/>
        </w:rPr>
        <w:t xml:space="preserve">ummary of </w:t>
      </w:r>
      <w:r w:rsidR="00082748" w:rsidRPr="4A6E8EC8">
        <w:rPr>
          <w:sz w:val="24"/>
          <w:szCs w:val="24"/>
        </w:rPr>
        <w:t>opportunities</w:t>
      </w:r>
    </w:p>
    <w:tbl>
      <w:tblPr>
        <w:tblStyle w:val="TableGrid"/>
        <w:tblW w:w="9628" w:type="dxa"/>
        <w:tblBorders>
          <w:top w:val="none" w:sz="0" w:space="0" w:color="auto"/>
          <w:left w:val="none" w:sz="0" w:space="0" w:color="auto"/>
          <w:bottom w:val="single" w:sz="4" w:space="0" w:color="212492" w:themeColor="accent1"/>
          <w:right w:val="none" w:sz="0" w:space="0" w:color="auto"/>
          <w:insideH w:val="single" w:sz="4" w:space="0" w:color="212492" w:themeColor="accent1"/>
          <w:insideV w:val="none" w:sz="0" w:space="0" w:color="auto"/>
        </w:tblBorders>
        <w:tblLook w:val="04A0" w:firstRow="1" w:lastRow="0" w:firstColumn="1" w:lastColumn="0" w:noHBand="0" w:noVBand="1"/>
        <w:tblCaption w:val="Overall summary of opportunities"/>
        <w:tblDescription w:val="This table describes the preliminary opportunities identified by the Phase 1 environment scan of this Review"/>
      </w:tblPr>
      <w:tblGrid>
        <w:gridCol w:w="4800"/>
        <w:gridCol w:w="4828"/>
      </w:tblGrid>
      <w:tr w:rsidR="00552F5D" w:rsidRPr="00CC766E" w14:paraId="286D732E" w14:textId="77777777" w:rsidTr="4A6E8EC8">
        <w:trPr>
          <w:trHeight w:val="300"/>
          <w:tblHeader/>
        </w:trPr>
        <w:tc>
          <w:tcPr>
            <w:tcW w:w="4800" w:type="dxa"/>
            <w:shd w:val="clear" w:color="auto" w:fill="212492" w:themeFill="accent1"/>
          </w:tcPr>
          <w:p w14:paraId="612AF6EA" w14:textId="6ED7AF54" w:rsidR="00552F5D" w:rsidRPr="00CC766E" w:rsidRDefault="42B40F31" w:rsidP="00CC766E">
            <w:pPr>
              <w:pStyle w:val="Tabletext"/>
              <w:spacing w:before="60" w:line="280" w:lineRule="atLeast"/>
              <w:rPr>
                <w:sz w:val="20"/>
                <w:szCs w:val="20"/>
              </w:rPr>
            </w:pPr>
            <w:r w:rsidRPr="4A6E8EC8">
              <w:rPr>
                <w:sz w:val="20"/>
                <w:szCs w:val="20"/>
              </w:rPr>
              <w:t>Key</w:t>
            </w:r>
            <w:r w:rsidR="00082748" w:rsidRPr="4A6E8EC8">
              <w:rPr>
                <w:sz w:val="20"/>
                <w:szCs w:val="20"/>
              </w:rPr>
              <w:t xml:space="preserve"> opportunity</w:t>
            </w:r>
            <w:r w:rsidRPr="4A6E8EC8">
              <w:rPr>
                <w:sz w:val="20"/>
                <w:szCs w:val="20"/>
              </w:rPr>
              <w:t xml:space="preserve"> </w:t>
            </w:r>
          </w:p>
        </w:tc>
        <w:tc>
          <w:tcPr>
            <w:tcW w:w="4828" w:type="dxa"/>
            <w:shd w:val="clear" w:color="auto" w:fill="212492" w:themeFill="accent1"/>
          </w:tcPr>
          <w:p w14:paraId="484F61F3" w14:textId="77777777" w:rsidR="00552F5D" w:rsidRPr="00CC766E" w:rsidRDefault="00552F5D" w:rsidP="00CC766E">
            <w:pPr>
              <w:pStyle w:val="Tabletext"/>
              <w:spacing w:before="60" w:line="280" w:lineRule="atLeast"/>
              <w:rPr>
                <w:sz w:val="20"/>
                <w:szCs w:val="20"/>
              </w:rPr>
            </w:pPr>
            <w:r w:rsidRPr="00CC766E">
              <w:rPr>
                <w:sz w:val="20"/>
                <w:szCs w:val="20"/>
              </w:rPr>
              <w:t xml:space="preserve">Purpose </w:t>
            </w:r>
          </w:p>
        </w:tc>
      </w:tr>
      <w:tr w:rsidR="00552F5D" w:rsidRPr="00CC766E" w14:paraId="1B77EB79" w14:textId="77777777" w:rsidTr="4A6E8EC8">
        <w:trPr>
          <w:trHeight w:val="300"/>
        </w:trPr>
        <w:tc>
          <w:tcPr>
            <w:tcW w:w="4800" w:type="dxa"/>
            <w:shd w:val="clear" w:color="auto" w:fill="C8C9F2" w:themeFill="accent1" w:themeFillTint="33"/>
          </w:tcPr>
          <w:p w14:paraId="09E885A1" w14:textId="77777777" w:rsidR="00552F5D" w:rsidRPr="00CC766E" w:rsidRDefault="00552F5D" w:rsidP="00CC766E">
            <w:pPr>
              <w:pStyle w:val="Tabletext"/>
              <w:spacing w:before="60" w:line="280" w:lineRule="atLeast"/>
              <w:rPr>
                <w:color w:val="181A6D" w:themeColor="accent1" w:themeShade="BF"/>
                <w:sz w:val="20"/>
                <w:szCs w:val="20"/>
              </w:rPr>
            </w:pPr>
            <w:r w:rsidRPr="00CC766E">
              <w:rPr>
                <w:color w:val="181A6D" w:themeColor="accent1" w:themeShade="BF"/>
                <w:sz w:val="20"/>
                <w:szCs w:val="20"/>
              </w:rPr>
              <w:t xml:space="preserve">Domain - Data Sharing </w:t>
            </w:r>
          </w:p>
        </w:tc>
        <w:tc>
          <w:tcPr>
            <w:tcW w:w="4828" w:type="dxa"/>
            <w:shd w:val="clear" w:color="auto" w:fill="C8C9F2" w:themeFill="accent1" w:themeFillTint="33"/>
          </w:tcPr>
          <w:p w14:paraId="385B23C4" w14:textId="77777777" w:rsidR="00552F5D" w:rsidRPr="00CC766E" w:rsidRDefault="00552F5D" w:rsidP="00CC766E">
            <w:pPr>
              <w:pStyle w:val="Tabletext"/>
              <w:spacing w:before="60" w:line="280" w:lineRule="atLeast"/>
              <w:rPr>
                <w:color w:val="181A6D" w:themeColor="accent1" w:themeShade="BF"/>
                <w:sz w:val="20"/>
                <w:szCs w:val="20"/>
              </w:rPr>
            </w:pPr>
          </w:p>
        </w:tc>
      </w:tr>
      <w:tr w:rsidR="00552F5D" w:rsidRPr="00CC766E" w14:paraId="26EF6773" w14:textId="77777777" w:rsidTr="4A6E8EC8">
        <w:trPr>
          <w:trHeight w:val="300"/>
        </w:trPr>
        <w:tc>
          <w:tcPr>
            <w:tcW w:w="4800" w:type="dxa"/>
            <w:tcBorders>
              <w:bottom w:val="single" w:sz="4" w:space="0" w:color="212492" w:themeColor="accent1"/>
            </w:tcBorders>
          </w:tcPr>
          <w:p w14:paraId="62914F8E" w14:textId="77777777" w:rsidR="00552F5D" w:rsidRPr="00CC766E" w:rsidRDefault="00552F5D" w:rsidP="00CC766E">
            <w:pPr>
              <w:pStyle w:val="Tabletext"/>
              <w:spacing w:before="60" w:line="280" w:lineRule="atLeast"/>
              <w:rPr>
                <w:sz w:val="20"/>
                <w:szCs w:val="20"/>
              </w:rPr>
            </w:pPr>
            <w:r w:rsidRPr="00CC766E">
              <w:rPr>
                <w:sz w:val="20"/>
                <w:szCs w:val="20"/>
              </w:rPr>
              <w:t>Where possible, automate reporting using provider systems (e.g. payroll, rostering) via secure APIs.</w:t>
            </w:r>
          </w:p>
        </w:tc>
        <w:tc>
          <w:tcPr>
            <w:tcW w:w="4828" w:type="dxa"/>
          </w:tcPr>
          <w:p w14:paraId="7BA5E92D" w14:textId="77777777" w:rsidR="00552F5D" w:rsidRPr="00CC766E" w:rsidRDefault="00552F5D" w:rsidP="00CC766E">
            <w:pPr>
              <w:pStyle w:val="Tabletext"/>
              <w:spacing w:before="60" w:line="280" w:lineRule="atLeast"/>
              <w:rPr>
                <w:sz w:val="20"/>
                <w:szCs w:val="20"/>
              </w:rPr>
            </w:pPr>
            <w:r w:rsidRPr="00CC766E">
              <w:rPr>
                <w:sz w:val="20"/>
                <w:szCs w:val="20"/>
              </w:rPr>
              <w:t>Reduce manual reporting and improve accuracy of care minutes and RN coverage.</w:t>
            </w:r>
          </w:p>
        </w:tc>
      </w:tr>
      <w:tr w:rsidR="00552F5D" w:rsidRPr="00CC766E" w14:paraId="619E09C9" w14:textId="77777777" w:rsidTr="4A6E8EC8">
        <w:trPr>
          <w:trHeight w:val="300"/>
        </w:trPr>
        <w:tc>
          <w:tcPr>
            <w:tcW w:w="4800" w:type="dxa"/>
            <w:tcBorders>
              <w:top w:val="single" w:sz="4" w:space="0" w:color="212492" w:themeColor="accent1"/>
              <w:bottom w:val="nil"/>
            </w:tcBorders>
          </w:tcPr>
          <w:p w14:paraId="4960633F" w14:textId="77777777" w:rsidR="00552F5D" w:rsidRPr="00CC766E" w:rsidRDefault="00552F5D" w:rsidP="00CC766E">
            <w:pPr>
              <w:pStyle w:val="Tabletext"/>
              <w:spacing w:before="60" w:line="280" w:lineRule="atLeast"/>
              <w:rPr>
                <w:sz w:val="20"/>
                <w:szCs w:val="20"/>
              </w:rPr>
            </w:pPr>
            <w:r w:rsidRPr="00CC766E">
              <w:rPr>
                <w:sz w:val="20"/>
                <w:szCs w:val="20"/>
              </w:rPr>
              <w:t>Link worker registration data with provider systems using unique identifiers.</w:t>
            </w:r>
          </w:p>
        </w:tc>
        <w:tc>
          <w:tcPr>
            <w:tcW w:w="4828" w:type="dxa"/>
          </w:tcPr>
          <w:p w14:paraId="11CC31C5" w14:textId="77777777" w:rsidR="00552F5D" w:rsidRPr="00CC766E" w:rsidRDefault="00552F5D" w:rsidP="00CC766E">
            <w:pPr>
              <w:pStyle w:val="Tabletext"/>
              <w:spacing w:before="60" w:line="280" w:lineRule="atLeast"/>
              <w:rPr>
                <w:sz w:val="20"/>
                <w:szCs w:val="20"/>
              </w:rPr>
            </w:pPr>
            <w:r w:rsidRPr="00CC766E">
              <w:rPr>
                <w:sz w:val="20"/>
                <w:szCs w:val="20"/>
              </w:rPr>
              <w:t>Enable tracking of hours worked, roles, and qualifications for workforce planning.</w:t>
            </w:r>
          </w:p>
        </w:tc>
      </w:tr>
      <w:tr w:rsidR="00552F5D" w:rsidRPr="00CC766E" w14:paraId="0AEF170C" w14:textId="77777777" w:rsidTr="4A6E8EC8">
        <w:trPr>
          <w:trHeight w:val="300"/>
        </w:trPr>
        <w:tc>
          <w:tcPr>
            <w:tcW w:w="4800" w:type="dxa"/>
            <w:shd w:val="clear" w:color="auto" w:fill="C8C9F2" w:themeFill="accent1" w:themeFillTint="33"/>
          </w:tcPr>
          <w:p w14:paraId="010FBB22" w14:textId="77777777" w:rsidR="00552F5D" w:rsidRPr="00CC766E" w:rsidRDefault="00552F5D" w:rsidP="00CC766E">
            <w:pPr>
              <w:pStyle w:val="Tabletext"/>
              <w:spacing w:before="60" w:line="280" w:lineRule="atLeast"/>
              <w:rPr>
                <w:color w:val="181A6D" w:themeColor="accent1" w:themeShade="BF"/>
                <w:sz w:val="20"/>
                <w:szCs w:val="20"/>
              </w:rPr>
            </w:pPr>
            <w:r w:rsidRPr="00CC766E">
              <w:rPr>
                <w:color w:val="181A6D" w:themeColor="accent1" w:themeShade="BF"/>
                <w:sz w:val="20"/>
                <w:szCs w:val="20"/>
              </w:rPr>
              <w:t>Domain - Data Governance</w:t>
            </w:r>
          </w:p>
        </w:tc>
        <w:tc>
          <w:tcPr>
            <w:tcW w:w="4828" w:type="dxa"/>
            <w:shd w:val="clear" w:color="auto" w:fill="C8C9F2" w:themeFill="accent1" w:themeFillTint="33"/>
          </w:tcPr>
          <w:p w14:paraId="538AB282" w14:textId="77777777" w:rsidR="00552F5D" w:rsidRPr="00CC766E" w:rsidRDefault="00552F5D" w:rsidP="00CC766E">
            <w:pPr>
              <w:pStyle w:val="Tabletext"/>
              <w:spacing w:before="60" w:line="280" w:lineRule="atLeast"/>
              <w:rPr>
                <w:color w:val="181A6D" w:themeColor="accent1" w:themeShade="BF"/>
                <w:sz w:val="20"/>
                <w:szCs w:val="20"/>
              </w:rPr>
            </w:pPr>
          </w:p>
        </w:tc>
      </w:tr>
      <w:tr w:rsidR="00552F5D" w:rsidRPr="00CC766E" w14:paraId="529A0917" w14:textId="77777777" w:rsidTr="4A6E8EC8">
        <w:trPr>
          <w:trHeight w:val="300"/>
        </w:trPr>
        <w:tc>
          <w:tcPr>
            <w:tcW w:w="4800" w:type="dxa"/>
            <w:tcBorders>
              <w:bottom w:val="single" w:sz="4" w:space="0" w:color="212492" w:themeColor="accent1"/>
            </w:tcBorders>
          </w:tcPr>
          <w:p w14:paraId="1153E2EE" w14:textId="4647C8E3" w:rsidR="00552F5D" w:rsidRPr="00CC766E" w:rsidRDefault="00552F5D" w:rsidP="00CC766E">
            <w:pPr>
              <w:pStyle w:val="Tabletext"/>
              <w:spacing w:before="60" w:line="280" w:lineRule="atLeast"/>
              <w:rPr>
                <w:sz w:val="20"/>
                <w:szCs w:val="20"/>
                <w:highlight w:val="yellow"/>
              </w:rPr>
            </w:pPr>
            <w:r w:rsidRPr="00CC766E">
              <w:rPr>
                <w:sz w:val="20"/>
                <w:szCs w:val="20"/>
              </w:rPr>
              <w:t xml:space="preserve">Establish a central data governance body </w:t>
            </w:r>
            <w:r w:rsidR="00D30609" w:rsidRPr="00CC766E">
              <w:rPr>
                <w:sz w:val="20"/>
                <w:szCs w:val="20"/>
              </w:rPr>
              <w:t xml:space="preserve">to </w:t>
            </w:r>
            <w:r w:rsidR="26EDB780" w:rsidRPr="00CC766E">
              <w:rPr>
                <w:sz w:val="20"/>
                <w:szCs w:val="20"/>
              </w:rPr>
              <w:t>coordinate what data is collected, who is requesting it, and why</w:t>
            </w:r>
            <w:r w:rsidR="75279823" w:rsidRPr="00CC766E">
              <w:rPr>
                <w:sz w:val="20"/>
                <w:szCs w:val="20"/>
              </w:rPr>
              <w:t xml:space="preserve"> </w:t>
            </w:r>
            <w:r w:rsidR="5875306F" w:rsidRPr="00CC766E">
              <w:rPr>
                <w:sz w:val="20"/>
                <w:szCs w:val="20"/>
              </w:rPr>
              <w:t>(Purpose).</w:t>
            </w:r>
            <w:r w:rsidR="5875306F" w:rsidRPr="7301BE20">
              <w:rPr>
                <w:color w:val="EA5C7B" w:themeColor="accent3"/>
                <w:sz w:val="20"/>
                <w:szCs w:val="20"/>
              </w:rPr>
              <w:t xml:space="preserve"> </w:t>
            </w:r>
          </w:p>
        </w:tc>
        <w:tc>
          <w:tcPr>
            <w:tcW w:w="4828" w:type="dxa"/>
          </w:tcPr>
          <w:p w14:paraId="5A358772" w14:textId="77777777" w:rsidR="00552F5D" w:rsidRPr="00CC766E" w:rsidRDefault="00552F5D" w:rsidP="00CC766E">
            <w:pPr>
              <w:pStyle w:val="Tabletext"/>
              <w:spacing w:before="60" w:line="280" w:lineRule="atLeast"/>
              <w:rPr>
                <w:sz w:val="20"/>
                <w:szCs w:val="20"/>
              </w:rPr>
            </w:pPr>
            <w:r w:rsidRPr="00CC766E">
              <w:rPr>
                <w:sz w:val="20"/>
                <w:szCs w:val="20"/>
              </w:rPr>
              <w:t>Align new reporting requirements with national standards and prevent fragmentation.</w:t>
            </w:r>
          </w:p>
        </w:tc>
      </w:tr>
    </w:tbl>
    <w:tbl>
      <w:tblPr>
        <w:tblW w:w="9628" w:type="dxa"/>
        <w:tblBorders>
          <w:bottom w:val="single" w:sz="4" w:space="0" w:color="212492" w:themeColor="accent1"/>
          <w:insideH w:val="single" w:sz="4" w:space="0" w:color="212492" w:themeColor="accent1"/>
        </w:tblBorders>
        <w:tblLook w:val="04A0" w:firstRow="1" w:lastRow="0" w:firstColumn="1" w:lastColumn="0" w:noHBand="0" w:noVBand="1"/>
        <w:tblCaption w:val="Overall summary of opportunities"/>
        <w:tblDescription w:val="This table describes the preliminary opportunities identified by the Phase 1 environment scan of this Review"/>
      </w:tblPr>
      <w:tblGrid>
        <w:gridCol w:w="4800"/>
        <w:gridCol w:w="4828"/>
      </w:tblGrid>
      <w:tr w:rsidR="00552F5D" w:rsidRPr="00CC766E" w14:paraId="1B4AEF18" w14:textId="77777777">
        <w:trPr>
          <w:trHeight w:val="300"/>
        </w:trPr>
        <w:tc>
          <w:tcPr>
            <w:tcW w:w="4800" w:type="dxa"/>
            <w:shd w:val="clear" w:color="auto" w:fill="C8C9F2" w:themeFill="accent1" w:themeFillTint="33"/>
          </w:tcPr>
          <w:p w14:paraId="7A5B87AD" w14:textId="77777777" w:rsidR="00552F5D" w:rsidRPr="00CC766E" w:rsidRDefault="00552F5D" w:rsidP="00CC766E">
            <w:pPr>
              <w:pStyle w:val="Tabletext"/>
              <w:spacing w:before="60" w:line="280" w:lineRule="atLeast"/>
              <w:rPr>
                <w:color w:val="181A6D" w:themeColor="accent1" w:themeShade="BF"/>
                <w:sz w:val="20"/>
                <w:szCs w:val="20"/>
              </w:rPr>
            </w:pPr>
            <w:r w:rsidRPr="00CC766E">
              <w:rPr>
                <w:color w:val="181A6D" w:themeColor="accent1" w:themeShade="BF"/>
                <w:sz w:val="20"/>
                <w:szCs w:val="20"/>
              </w:rPr>
              <w:t>Domain - Data Standards</w:t>
            </w:r>
          </w:p>
        </w:tc>
        <w:tc>
          <w:tcPr>
            <w:tcW w:w="4828" w:type="dxa"/>
            <w:shd w:val="clear" w:color="auto" w:fill="C8C9F2" w:themeFill="accent1" w:themeFillTint="33"/>
          </w:tcPr>
          <w:p w14:paraId="2470ED43" w14:textId="77777777" w:rsidR="00552F5D" w:rsidRPr="00CC766E" w:rsidRDefault="00552F5D" w:rsidP="00CC766E">
            <w:pPr>
              <w:pStyle w:val="Tabletext"/>
              <w:spacing w:before="60" w:line="280" w:lineRule="atLeast"/>
              <w:rPr>
                <w:color w:val="181A6D" w:themeColor="accent1" w:themeShade="BF"/>
                <w:sz w:val="20"/>
                <w:szCs w:val="20"/>
              </w:rPr>
            </w:pPr>
          </w:p>
        </w:tc>
      </w:tr>
    </w:tbl>
    <w:tbl>
      <w:tblPr>
        <w:tblStyle w:val="TableGrid"/>
        <w:tblW w:w="9628" w:type="dxa"/>
        <w:tblBorders>
          <w:top w:val="none" w:sz="0" w:space="0" w:color="auto"/>
          <w:left w:val="none" w:sz="0" w:space="0" w:color="auto"/>
          <w:bottom w:val="single" w:sz="4" w:space="0" w:color="212492" w:themeColor="accent1"/>
          <w:right w:val="none" w:sz="0" w:space="0" w:color="auto"/>
          <w:insideH w:val="single" w:sz="4" w:space="0" w:color="212492" w:themeColor="accent1"/>
          <w:insideV w:val="none" w:sz="0" w:space="0" w:color="auto"/>
        </w:tblBorders>
        <w:tblLook w:val="04A0" w:firstRow="1" w:lastRow="0" w:firstColumn="1" w:lastColumn="0" w:noHBand="0" w:noVBand="1"/>
        <w:tblCaption w:val="Overall summary of opportunities"/>
        <w:tblDescription w:val="This table describes the preliminary opportunities identified by the Phase 1 environment scan of this Review"/>
      </w:tblPr>
      <w:tblGrid>
        <w:gridCol w:w="4800"/>
        <w:gridCol w:w="4828"/>
      </w:tblGrid>
      <w:tr w:rsidR="00552F5D" w:rsidRPr="00CC766E" w14:paraId="5D4F3761" w14:textId="77777777">
        <w:trPr>
          <w:trHeight w:val="300"/>
        </w:trPr>
        <w:tc>
          <w:tcPr>
            <w:tcW w:w="4800" w:type="dxa"/>
            <w:tcBorders>
              <w:top w:val="single" w:sz="4" w:space="0" w:color="212492" w:themeColor="accent1"/>
              <w:bottom w:val="nil"/>
            </w:tcBorders>
          </w:tcPr>
          <w:p w14:paraId="24C337B3" w14:textId="54C1BEE0" w:rsidR="00552F5D" w:rsidRPr="00CC766E" w:rsidRDefault="00D30609" w:rsidP="00CC766E">
            <w:pPr>
              <w:pStyle w:val="Tabletext"/>
              <w:spacing w:before="60" w:line="280" w:lineRule="atLeast"/>
              <w:rPr>
                <w:sz w:val="20"/>
                <w:szCs w:val="20"/>
                <w:highlight w:val="yellow"/>
              </w:rPr>
            </w:pPr>
            <w:r w:rsidRPr="00CC766E">
              <w:rPr>
                <w:sz w:val="20"/>
                <w:szCs w:val="20"/>
              </w:rPr>
              <w:t>A</w:t>
            </w:r>
            <w:r w:rsidR="1439181D" w:rsidRPr="00CC766E">
              <w:rPr>
                <w:sz w:val="20"/>
                <w:szCs w:val="20"/>
              </w:rPr>
              <w:t>lign</w:t>
            </w:r>
            <w:r w:rsidR="00552F5D" w:rsidRPr="00CC766E">
              <w:rPr>
                <w:sz w:val="20"/>
                <w:szCs w:val="20"/>
              </w:rPr>
              <w:t xml:space="preserve"> reporting instruments with </w:t>
            </w:r>
            <w:r w:rsidR="4B996F97" w:rsidRPr="00CC766E">
              <w:rPr>
                <w:sz w:val="20"/>
                <w:szCs w:val="20"/>
              </w:rPr>
              <w:t xml:space="preserve">those </w:t>
            </w:r>
            <w:r w:rsidR="1439181D" w:rsidRPr="00CC766E">
              <w:rPr>
                <w:sz w:val="20"/>
                <w:szCs w:val="20"/>
              </w:rPr>
              <w:t>national</w:t>
            </w:r>
            <w:r w:rsidR="00552F5D" w:rsidRPr="00CC766E">
              <w:rPr>
                <w:sz w:val="20"/>
                <w:szCs w:val="20"/>
              </w:rPr>
              <w:t xml:space="preserve"> standards where </w:t>
            </w:r>
            <w:r w:rsidR="00A06B02" w:rsidRPr="00CC766E">
              <w:rPr>
                <w:sz w:val="20"/>
                <w:szCs w:val="20"/>
              </w:rPr>
              <w:t xml:space="preserve">this is feasible </w:t>
            </w:r>
            <w:r w:rsidR="00552F5D" w:rsidRPr="00CC766E">
              <w:rPr>
                <w:sz w:val="20"/>
                <w:szCs w:val="20"/>
              </w:rPr>
              <w:t>including NMDS, OSCA, and METEOR.</w:t>
            </w:r>
          </w:p>
        </w:tc>
        <w:tc>
          <w:tcPr>
            <w:tcW w:w="4828" w:type="dxa"/>
          </w:tcPr>
          <w:p w14:paraId="703C888B" w14:textId="441FDF30" w:rsidR="00552F5D" w:rsidRPr="00CC766E" w:rsidRDefault="1DBC97B4" w:rsidP="00CC766E">
            <w:pPr>
              <w:pStyle w:val="Tabletext"/>
              <w:spacing w:before="60" w:line="280" w:lineRule="atLeast"/>
              <w:rPr>
                <w:sz w:val="20"/>
                <w:szCs w:val="20"/>
              </w:rPr>
            </w:pPr>
            <w:r w:rsidRPr="00CC766E">
              <w:rPr>
                <w:sz w:val="20"/>
                <w:szCs w:val="20"/>
              </w:rPr>
              <w:t xml:space="preserve">Align provider systems with government reporting requirement. </w:t>
            </w:r>
            <w:r w:rsidR="1439181D" w:rsidRPr="00CC766E">
              <w:rPr>
                <w:sz w:val="20"/>
                <w:szCs w:val="20"/>
              </w:rPr>
              <w:t>Improve</w:t>
            </w:r>
            <w:r w:rsidR="00552F5D" w:rsidRPr="00CC766E">
              <w:rPr>
                <w:sz w:val="20"/>
                <w:szCs w:val="20"/>
              </w:rPr>
              <w:t xml:space="preserve"> consistency, interoperability, and data quality across aged care programs.</w:t>
            </w:r>
          </w:p>
        </w:tc>
      </w:tr>
      <w:tr w:rsidR="00552F5D" w:rsidRPr="00CC766E" w14:paraId="118404B4" w14:textId="77777777">
        <w:trPr>
          <w:trHeight w:val="300"/>
        </w:trPr>
        <w:tc>
          <w:tcPr>
            <w:tcW w:w="4800" w:type="dxa"/>
            <w:tcBorders>
              <w:top w:val="single" w:sz="4" w:space="0" w:color="212492" w:themeColor="accent1"/>
              <w:bottom w:val="nil"/>
            </w:tcBorders>
          </w:tcPr>
          <w:p w14:paraId="430C59E2" w14:textId="14419BCF" w:rsidR="00552F5D" w:rsidRPr="00CC766E" w:rsidRDefault="00552F5D" w:rsidP="00CC766E">
            <w:pPr>
              <w:pStyle w:val="Tabletext"/>
              <w:spacing w:before="60" w:line="280" w:lineRule="atLeast"/>
              <w:rPr>
                <w:sz w:val="20"/>
                <w:szCs w:val="20"/>
              </w:rPr>
            </w:pPr>
            <w:r w:rsidRPr="00CC766E">
              <w:rPr>
                <w:sz w:val="20"/>
                <w:szCs w:val="20"/>
              </w:rPr>
              <w:t>Standardise workforce definitions across QFR, ACFR, and QI programs.</w:t>
            </w:r>
          </w:p>
        </w:tc>
        <w:tc>
          <w:tcPr>
            <w:tcW w:w="4828" w:type="dxa"/>
          </w:tcPr>
          <w:p w14:paraId="4BE0FE2E" w14:textId="5F6EEBAC" w:rsidR="00552F5D" w:rsidRPr="00CC766E" w:rsidRDefault="00552F5D" w:rsidP="00CC766E">
            <w:pPr>
              <w:pStyle w:val="Tabletext"/>
              <w:spacing w:before="60" w:line="280" w:lineRule="atLeast"/>
              <w:rPr>
                <w:sz w:val="20"/>
                <w:szCs w:val="20"/>
              </w:rPr>
            </w:pPr>
            <w:r w:rsidRPr="00CC766E">
              <w:rPr>
                <w:sz w:val="20"/>
                <w:szCs w:val="20"/>
              </w:rPr>
              <w:t>Ensure clarity in role classification and support multi-role worker reporting.</w:t>
            </w:r>
          </w:p>
        </w:tc>
      </w:tr>
      <w:tr w:rsidR="00552F5D" w:rsidRPr="00CC766E" w14:paraId="341F1AC3" w14:textId="77777777">
        <w:trPr>
          <w:trHeight w:val="300"/>
        </w:trPr>
        <w:tc>
          <w:tcPr>
            <w:tcW w:w="4800" w:type="dxa"/>
            <w:tcBorders>
              <w:top w:val="single" w:sz="4" w:space="0" w:color="212492" w:themeColor="accent1"/>
              <w:bottom w:val="nil"/>
            </w:tcBorders>
          </w:tcPr>
          <w:p w14:paraId="10B526A4" w14:textId="77777777" w:rsidR="00552F5D" w:rsidRPr="00CC766E" w:rsidRDefault="00552F5D" w:rsidP="00CC766E">
            <w:pPr>
              <w:pStyle w:val="Tabletext"/>
              <w:spacing w:before="60" w:line="280" w:lineRule="atLeast"/>
              <w:rPr>
                <w:sz w:val="20"/>
                <w:szCs w:val="20"/>
              </w:rPr>
            </w:pPr>
            <w:r w:rsidRPr="00CC766E">
              <w:rPr>
                <w:sz w:val="20"/>
                <w:szCs w:val="20"/>
              </w:rPr>
              <w:t>Leverage the worker registration scheme for a standard definition of Personal Care Worker</w:t>
            </w:r>
          </w:p>
        </w:tc>
        <w:tc>
          <w:tcPr>
            <w:tcW w:w="4828" w:type="dxa"/>
          </w:tcPr>
          <w:p w14:paraId="10980C5E" w14:textId="77777777" w:rsidR="00552F5D" w:rsidRPr="00CC766E" w:rsidRDefault="00552F5D" w:rsidP="00CC766E">
            <w:pPr>
              <w:pStyle w:val="Tabletext"/>
              <w:spacing w:before="60" w:line="280" w:lineRule="atLeast"/>
              <w:rPr>
                <w:sz w:val="20"/>
                <w:szCs w:val="20"/>
              </w:rPr>
            </w:pPr>
            <w:r w:rsidRPr="00CC766E">
              <w:rPr>
                <w:sz w:val="20"/>
                <w:szCs w:val="20"/>
              </w:rPr>
              <w:t>Ensure clarity in role classification and support linkage to other datasets for workforce planning.</w:t>
            </w:r>
          </w:p>
        </w:tc>
      </w:tr>
    </w:tbl>
    <w:tbl>
      <w:tblPr>
        <w:tblW w:w="9628" w:type="dxa"/>
        <w:tblBorders>
          <w:bottom w:val="single" w:sz="4" w:space="0" w:color="212492" w:themeColor="accent1"/>
          <w:insideH w:val="single" w:sz="4" w:space="0" w:color="212492" w:themeColor="accent1"/>
        </w:tblBorders>
        <w:tblLook w:val="04A0" w:firstRow="1" w:lastRow="0" w:firstColumn="1" w:lastColumn="0" w:noHBand="0" w:noVBand="1"/>
        <w:tblCaption w:val="Overall summary of opportunities"/>
        <w:tblDescription w:val="This table describes the preliminary opportunities identified by the Phase 1 environment scan of this Review"/>
      </w:tblPr>
      <w:tblGrid>
        <w:gridCol w:w="4800"/>
        <w:gridCol w:w="4828"/>
      </w:tblGrid>
      <w:tr w:rsidR="00552F5D" w:rsidRPr="00CC766E" w14:paraId="54D48A53" w14:textId="77777777">
        <w:trPr>
          <w:trHeight w:val="300"/>
        </w:trPr>
        <w:tc>
          <w:tcPr>
            <w:tcW w:w="4800" w:type="dxa"/>
            <w:shd w:val="clear" w:color="auto" w:fill="C8C9F2" w:themeFill="accent1" w:themeFillTint="33"/>
          </w:tcPr>
          <w:p w14:paraId="28526F8D" w14:textId="77777777" w:rsidR="00552F5D" w:rsidRPr="00CC766E" w:rsidRDefault="00552F5D" w:rsidP="00CC766E">
            <w:pPr>
              <w:pStyle w:val="Tabletext"/>
              <w:spacing w:before="60" w:line="280" w:lineRule="atLeast"/>
              <w:rPr>
                <w:color w:val="181A6D" w:themeColor="accent1" w:themeShade="BF"/>
                <w:sz w:val="20"/>
                <w:szCs w:val="20"/>
              </w:rPr>
            </w:pPr>
            <w:r w:rsidRPr="00CC766E">
              <w:rPr>
                <w:color w:val="181A6D" w:themeColor="accent1" w:themeShade="BF"/>
                <w:sz w:val="20"/>
                <w:szCs w:val="20"/>
              </w:rPr>
              <w:t>Domain - Data Interoperability</w:t>
            </w:r>
          </w:p>
        </w:tc>
        <w:tc>
          <w:tcPr>
            <w:tcW w:w="4828" w:type="dxa"/>
            <w:shd w:val="clear" w:color="auto" w:fill="C8C9F2" w:themeFill="accent1" w:themeFillTint="33"/>
          </w:tcPr>
          <w:p w14:paraId="7D8E3D59" w14:textId="77777777" w:rsidR="00552F5D" w:rsidRPr="00CC766E" w:rsidRDefault="00552F5D" w:rsidP="00CC766E">
            <w:pPr>
              <w:pStyle w:val="Tabletext"/>
              <w:spacing w:before="60" w:line="280" w:lineRule="atLeast"/>
              <w:rPr>
                <w:color w:val="181A6D" w:themeColor="accent1" w:themeShade="BF"/>
                <w:sz w:val="20"/>
                <w:szCs w:val="20"/>
              </w:rPr>
            </w:pPr>
          </w:p>
        </w:tc>
      </w:tr>
    </w:tbl>
    <w:tbl>
      <w:tblPr>
        <w:tblStyle w:val="TableGrid"/>
        <w:tblW w:w="9628" w:type="dxa"/>
        <w:tblBorders>
          <w:top w:val="none" w:sz="0" w:space="0" w:color="auto"/>
          <w:left w:val="none" w:sz="0" w:space="0" w:color="auto"/>
          <w:bottom w:val="single" w:sz="4" w:space="0" w:color="212492" w:themeColor="accent1"/>
          <w:right w:val="none" w:sz="0" w:space="0" w:color="auto"/>
          <w:insideH w:val="single" w:sz="4" w:space="0" w:color="212492" w:themeColor="accent1"/>
          <w:insideV w:val="none" w:sz="0" w:space="0" w:color="auto"/>
        </w:tblBorders>
        <w:tblLook w:val="04A0" w:firstRow="1" w:lastRow="0" w:firstColumn="1" w:lastColumn="0" w:noHBand="0" w:noVBand="1"/>
        <w:tblCaption w:val="Overall summary of opportunities"/>
        <w:tblDescription w:val="This table describes the preliminary opportunities identified by the Phase 1 environment scan of this Review"/>
      </w:tblPr>
      <w:tblGrid>
        <w:gridCol w:w="4800"/>
        <w:gridCol w:w="4828"/>
      </w:tblGrid>
      <w:tr w:rsidR="00552F5D" w:rsidRPr="00CC766E" w14:paraId="55154884" w14:textId="77777777">
        <w:trPr>
          <w:trHeight w:val="300"/>
        </w:trPr>
        <w:tc>
          <w:tcPr>
            <w:tcW w:w="4800" w:type="dxa"/>
            <w:tcBorders>
              <w:top w:val="nil"/>
            </w:tcBorders>
          </w:tcPr>
          <w:p w14:paraId="78CB69E4" w14:textId="77777777" w:rsidR="00552F5D" w:rsidRPr="00CC766E" w:rsidRDefault="00552F5D" w:rsidP="00CC766E">
            <w:pPr>
              <w:pStyle w:val="Tabletext"/>
              <w:spacing w:before="60" w:line="280" w:lineRule="atLeast"/>
              <w:rPr>
                <w:sz w:val="20"/>
                <w:szCs w:val="20"/>
              </w:rPr>
            </w:pPr>
            <w:r w:rsidRPr="00CC766E">
              <w:rPr>
                <w:sz w:val="20"/>
                <w:szCs w:val="20"/>
              </w:rPr>
              <w:t>Embed national standards into provider systems and build digital literacy.</w:t>
            </w:r>
          </w:p>
        </w:tc>
        <w:tc>
          <w:tcPr>
            <w:tcW w:w="4828" w:type="dxa"/>
          </w:tcPr>
          <w:p w14:paraId="2EAA4491" w14:textId="775CA766" w:rsidR="00552F5D" w:rsidRPr="00CC766E" w:rsidRDefault="00552F5D" w:rsidP="00CC766E">
            <w:pPr>
              <w:pStyle w:val="Tabletext"/>
              <w:spacing w:before="60" w:line="280" w:lineRule="atLeast"/>
              <w:rPr>
                <w:sz w:val="20"/>
                <w:szCs w:val="20"/>
              </w:rPr>
            </w:pPr>
            <w:r w:rsidRPr="00CC766E">
              <w:rPr>
                <w:sz w:val="20"/>
                <w:szCs w:val="20"/>
              </w:rPr>
              <w:t>Support high-quality, automated data collection and reduce reporting burden.</w:t>
            </w:r>
          </w:p>
        </w:tc>
      </w:tr>
      <w:tr w:rsidR="00552F5D" w:rsidRPr="00CC766E" w14:paraId="22665D23" w14:textId="77777777">
        <w:trPr>
          <w:trHeight w:val="300"/>
        </w:trPr>
        <w:tc>
          <w:tcPr>
            <w:tcW w:w="4800" w:type="dxa"/>
            <w:tcBorders>
              <w:bottom w:val="single" w:sz="4" w:space="0" w:color="212492" w:themeColor="accent1"/>
            </w:tcBorders>
            <w:shd w:val="clear" w:color="auto" w:fill="C8C9F2" w:themeFill="accent1" w:themeFillTint="33"/>
          </w:tcPr>
          <w:p w14:paraId="59619E76" w14:textId="77777777" w:rsidR="00552F5D" w:rsidRPr="00CC766E" w:rsidRDefault="00552F5D" w:rsidP="00CC766E">
            <w:pPr>
              <w:pStyle w:val="Tabletext"/>
              <w:spacing w:before="60" w:line="280" w:lineRule="atLeast"/>
              <w:ind w:left="0"/>
              <w:rPr>
                <w:color w:val="181A6D" w:themeColor="accent1" w:themeShade="BF"/>
                <w:sz w:val="20"/>
                <w:szCs w:val="20"/>
              </w:rPr>
            </w:pPr>
            <w:r w:rsidRPr="00CC766E">
              <w:rPr>
                <w:color w:val="181A6D" w:themeColor="accent1" w:themeShade="BF"/>
                <w:sz w:val="20"/>
                <w:szCs w:val="20"/>
              </w:rPr>
              <w:t>Domain - Data Alignment</w:t>
            </w:r>
          </w:p>
        </w:tc>
        <w:tc>
          <w:tcPr>
            <w:tcW w:w="4828" w:type="dxa"/>
            <w:shd w:val="clear" w:color="auto" w:fill="C8C9F2" w:themeFill="accent1" w:themeFillTint="33"/>
          </w:tcPr>
          <w:p w14:paraId="11090736" w14:textId="77777777" w:rsidR="00552F5D" w:rsidRPr="00CC766E" w:rsidRDefault="00552F5D" w:rsidP="00CC766E">
            <w:pPr>
              <w:pStyle w:val="Tabletext"/>
              <w:spacing w:before="60" w:line="280" w:lineRule="atLeast"/>
              <w:rPr>
                <w:color w:val="181A6D" w:themeColor="accent1" w:themeShade="BF"/>
                <w:sz w:val="20"/>
                <w:szCs w:val="20"/>
              </w:rPr>
            </w:pPr>
          </w:p>
        </w:tc>
      </w:tr>
    </w:tbl>
    <w:tbl>
      <w:tblPr>
        <w:tblW w:w="9628" w:type="dxa"/>
        <w:tblBorders>
          <w:bottom w:val="single" w:sz="4" w:space="0" w:color="212492" w:themeColor="accent1"/>
          <w:insideH w:val="single" w:sz="4" w:space="0" w:color="212492" w:themeColor="accent1"/>
        </w:tblBorders>
        <w:tblLook w:val="04A0" w:firstRow="1" w:lastRow="0" w:firstColumn="1" w:lastColumn="0" w:noHBand="0" w:noVBand="1"/>
        <w:tblCaption w:val="Overall summary of opportunities"/>
        <w:tblDescription w:val="This table describes the preliminary opportunities identified by the Phase 1 environment scan of this Review"/>
      </w:tblPr>
      <w:tblGrid>
        <w:gridCol w:w="4800"/>
        <w:gridCol w:w="4828"/>
      </w:tblGrid>
      <w:tr w:rsidR="00552F5D" w:rsidRPr="00CC766E" w14:paraId="413D1D21" w14:textId="77777777" w:rsidTr="4A6E8EC8">
        <w:trPr>
          <w:trHeight w:val="300"/>
        </w:trPr>
        <w:tc>
          <w:tcPr>
            <w:tcW w:w="4800" w:type="dxa"/>
          </w:tcPr>
          <w:p w14:paraId="4C0FDC3C" w14:textId="253EC12B" w:rsidR="00552F5D" w:rsidRPr="00CC766E" w:rsidRDefault="42B40F31" w:rsidP="00CC766E">
            <w:pPr>
              <w:pStyle w:val="Tabletext"/>
              <w:spacing w:before="60" w:line="280" w:lineRule="atLeast"/>
              <w:rPr>
                <w:sz w:val="20"/>
                <w:szCs w:val="20"/>
              </w:rPr>
            </w:pPr>
            <w:r w:rsidRPr="4A6E8EC8">
              <w:rPr>
                <w:sz w:val="20"/>
                <w:szCs w:val="20"/>
              </w:rPr>
              <w:t xml:space="preserve">Harmonise reporting cycles across QFR, ACFR, </w:t>
            </w:r>
            <w:r w:rsidR="469E1C09" w:rsidRPr="4A6E8EC8">
              <w:rPr>
                <w:sz w:val="20"/>
                <w:szCs w:val="20"/>
              </w:rPr>
              <w:t>24/7</w:t>
            </w:r>
            <w:r w:rsidRPr="4A6E8EC8">
              <w:rPr>
                <w:sz w:val="20"/>
                <w:szCs w:val="20"/>
              </w:rPr>
              <w:t xml:space="preserve"> RN compliance</w:t>
            </w:r>
            <w:r w:rsidR="69675215" w:rsidRPr="4A6E8EC8">
              <w:rPr>
                <w:sz w:val="20"/>
                <w:szCs w:val="20"/>
              </w:rPr>
              <w:t xml:space="preserve"> (DHDA)</w:t>
            </w:r>
            <w:r w:rsidR="1926F131" w:rsidRPr="4A6E8EC8">
              <w:rPr>
                <w:sz w:val="20"/>
                <w:szCs w:val="20"/>
              </w:rPr>
              <w:t xml:space="preserve"> and </w:t>
            </w:r>
            <w:r w:rsidR="2D5ED3DC" w:rsidRPr="4A6E8EC8">
              <w:rPr>
                <w:sz w:val="20"/>
                <w:szCs w:val="20"/>
              </w:rPr>
              <w:t>claims for care subsidies</w:t>
            </w:r>
            <w:r w:rsidR="69675215" w:rsidRPr="4A6E8EC8">
              <w:rPr>
                <w:sz w:val="20"/>
                <w:szCs w:val="20"/>
              </w:rPr>
              <w:t xml:space="preserve"> (Services Australia)</w:t>
            </w:r>
            <w:r w:rsidRPr="4A6E8EC8">
              <w:rPr>
                <w:sz w:val="20"/>
                <w:szCs w:val="20"/>
              </w:rPr>
              <w:t>.</w:t>
            </w:r>
          </w:p>
        </w:tc>
        <w:tc>
          <w:tcPr>
            <w:tcW w:w="4828" w:type="dxa"/>
          </w:tcPr>
          <w:p w14:paraId="1780BF71" w14:textId="3D54144E" w:rsidR="00552F5D" w:rsidRPr="00CC766E" w:rsidRDefault="42B40F31" w:rsidP="00CC766E">
            <w:pPr>
              <w:pStyle w:val="Tabletext"/>
              <w:spacing w:before="60" w:line="280" w:lineRule="atLeast"/>
              <w:rPr>
                <w:sz w:val="20"/>
                <w:szCs w:val="20"/>
              </w:rPr>
            </w:pPr>
            <w:r w:rsidRPr="4A6E8EC8">
              <w:rPr>
                <w:sz w:val="20"/>
                <w:szCs w:val="20"/>
              </w:rPr>
              <w:t>Reduce duplication in financial and workforce reporting.</w:t>
            </w:r>
          </w:p>
        </w:tc>
      </w:tr>
    </w:tbl>
    <w:tbl>
      <w:tblPr>
        <w:tblStyle w:val="TableGrid"/>
        <w:tblW w:w="9628" w:type="dxa"/>
        <w:tblBorders>
          <w:top w:val="none" w:sz="0" w:space="0" w:color="auto"/>
          <w:left w:val="none" w:sz="0" w:space="0" w:color="auto"/>
          <w:bottom w:val="single" w:sz="4" w:space="0" w:color="212492" w:themeColor="accent1"/>
          <w:right w:val="none" w:sz="0" w:space="0" w:color="auto"/>
          <w:insideH w:val="single" w:sz="4" w:space="0" w:color="212492" w:themeColor="accent1"/>
          <w:insideV w:val="none" w:sz="0" w:space="0" w:color="auto"/>
        </w:tblBorders>
        <w:tblLook w:val="04A0" w:firstRow="1" w:lastRow="0" w:firstColumn="1" w:lastColumn="0" w:noHBand="0" w:noVBand="1"/>
        <w:tblCaption w:val="Overall summary of opportunities"/>
        <w:tblDescription w:val="This table describes the preliminary opportunities identified by the Phase 1 environment scan of this Review"/>
      </w:tblPr>
      <w:tblGrid>
        <w:gridCol w:w="4800"/>
        <w:gridCol w:w="4828"/>
      </w:tblGrid>
      <w:tr w:rsidR="00552F5D" w:rsidRPr="00CC766E" w14:paraId="39DB7F1C" w14:textId="77777777" w:rsidTr="4A6E8EC8">
        <w:trPr>
          <w:trHeight w:val="300"/>
        </w:trPr>
        <w:tc>
          <w:tcPr>
            <w:tcW w:w="4800" w:type="dxa"/>
            <w:tcBorders>
              <w:bottom w:val="single" w:sz="4" w:space="0" w:color="212492" w:themeColor="accent1"/>
            </w:tcBorders>
            <w:shd w:val="clear" w:color="auto" w:fill="C8C9F2" w:themeFill="accent1" w:themeFillTint="33"/>
          </w:tcPr>
          <w:p w14:paraId="609354FA" w14:textId="77777777" w:rsidR="00552F5D" w:rsidRPr="00CC766E" w:rsidRDefault="00552F5D" w:rsidP="00CC766E">
            <w:pPr>
              <w:pStyle w:val="Tabletext"/>
              <w:spacing w:before="60" w:line="280" w:lineRule="atLeast"/>
              <w:ind w:left="0"/>
              <w:rPr>
                <w:color w:val="181A6D" w:themeColor="accent1" w:themeShade="BF"/>
                <w:sz w:val="20"/>
                <w:szCs w:val="20"/>
              </w:rPr>
            </w:pPr>
            <w:r w:rsidRPr="00CC766E">
              <w:rPr>
                <w:color w:val="181A6D" w:themeColor="accent1" w:themeShade="BF"/>
                <w:sz w:val="20"/>
                <w:szCs w:val="20"/>
              </w:rPr>
              <w:t>Domain - Data gaps</w:t>
            </w:r>
          </w:p>
        </w:tc>
        <w:tc>
          <w:tcPr>
            <w:tcW w:w="4828" w:type="dxa"/>
            <w:shd w:val="clear" w:color="auto" w:fill="C8C9F2" w:themeFill="accent1" w:themeFillTint="33"/>
          </w:tcPr>
          <w:p w14:paraId="0F2FDA6F" w14:textId="77777777" w:rsidR="00552F5D" w:rsidRPr="00CC766E" w:rsidRDefault="00552F5D" w:rsidP="00CC766E">
            <w:pPr>
              <w:pStyle w:val="Tabletext"/>
              <w:spacing w:before="60" w:line="280" w:lineRule="atLeast"/>
              <w:rPr>
                <w:color w:val="181A6D" w:themeColor="accent1" w:themeShade="BF"/>
                <w:sz w:val="20"/>
                <w:szCs w:val="20"/>
              </w:rPr>
            </w:pPr>
          </w:p>
        </w:tc>
      </w:tr>
      <w:tr w:rsidR="00552F5D" w:rsidRPr="00CC766E" w14:paraId="04F1B316" w14:textId="77777777" w:rsidTr="4A6E8EC8">
        <w:trPr>
          <w:trHeight w:val="300"/>
        </w:trPr>
        <w:tc>
          <w:tcPr>
            <w:tcW w:w="4800" w:type="dxa"/>
            <w:tcBorders>
              <w:top w:val="single" w:sz="4" w:space="0" w:color="212492" w:themeColor="accent1"/>
            </w:tcBorders>
          </w:tcPr>
          <w:p w14:paraId="34A82426" w14:textId="1805ADEF" w:rsidR="00552F5D" w:rsidRPr="00CC766E" w:rsidRDefault="42B40F31" w:rsidP="00CC766E">
            <w:pPr>
              <w:pStyle w:val="Tabletext"/>
              <w:spacing w:before="60" w:line="280" w:lineRule="atLeast"/>
              <w:ind w:left="0"/>
              <w:rPr>
                <w:sz w:val="20"/>
                <w:szCs w:val="20"/>
              </w:rPr>
            </w:pPr>
            <w:r w:rsidRPr="4A6E8EC8">
              <w:rPr>
                <w:sz w:val="20"/>
                <w:szCs w:val="20"/>
              </w:rPr>
              <w:t xml:space="preserve">Address the gaps that exist in workforce data, particularly for identification of cultural background (including First Nations workers), volunteers, and people delivering care through CHSP. </w:t>
            </w:r>
          </w:p>
        </w:tc>
        <w:tc>
          <w:tcPr>
            <w:tcW w:w="4828" w:type="dxa"/>
          </w:tcPr>
          <w:p w14:paraId="317F8A84" w14:textId="5D9BC09D" w:rsidR="00552F5D" w:rsidRPr="00CC766E" w:rsidRDefault="00552F5D" w:rsidP="00CC766E">
            <w:pPr>
              <w:pStyle w:val="Tabletext"/>
              <w:spacing w:before="60" w:line="280" w:lineRule="atLeast"/>
              <w:rPr>
                <w:sz w:val="20"/>
                <w:szCs w:val="20"/>
              </w:rPr>
            </w:pPr>
            <w:r w:rsidRPr="00CC766E">
              <w:rPr>
                <w:sz w:val="20"/>
                <w:szCs w:val="20"/>
              </w:rPr>
              <w:t>Support the delivery of culturally safe care, integrate volunteer roles into workforce planning and enable targeted recruitment and retention initiative to improve the diversity of the aged care workforce.</w:t>
            </w:r>
          </w:p>
        </w:tc>
      </w:tr>
    </w:tbl>
    <w:p w14:paraId="4D84EE52" w14:textId="5A328546" w:rsidR="009F05E4" w:rsidRPr="007B226F" w:rsidRDefault="00F66D87" w:rsidP="007B226F">
      <w:pPr>
        <w:pStyle w:val="Tabletext"/>
      </w:pPr>
      <w:r>
        <w:t xml:space="preserve">Table Notes: API – Application Programming Interface; RN – Registered Nurse; NMDS – National Minimum Data Set; OSCA – </w:t>
      </w:r>
      <w:r w:rsidR="003315D0">
        <w:t>Occupational Standard Classification for Australia</w:t>
      </w:r>
      <w:r>
        <w:t xml:space="preserve">; METEOR – Metadata Online Registry (managed by the Australian Institute of Health and Welfare); QFR – Quarterly Financial Report; ACFR – Aged Care Financial Report; QI – Quality Indicators; ACQSC – Aged Care Quality and Safety Commission; </w:t>
      </w:r>
      <w:r w:rsidR="001365C2">
        <w:t xml:space="preserve">DHDA – Department of Health, Disability and Ageing; </w:t>
      </w:r>
      <w:r>
        <w:t>CHSP – Commonwealth Home Support Programme</w:t>
      </w:r>
      <w:r w:rsidR="001365C2">
        <w:t>.</w:t>
      </w:r>
    </w:p>
    <w:p w14:paraId="5BDC2D1E" w14:textId="366FEAEC" w:rsidR="00110B87" w:rsidRDefault="00110B87">
      <w:pPr>
        <w:spacing w:after="160" w:line="278" w:lineRule="auto"/>
      </w:pPr>
      <w:r>
        <w:br w:type="page"/>
      </w:r>
    </w:p>
    <w:p w14:paraId="7E94373F" w14:textId="6B596473" w:rsidR="00395AA6" w:rsidRDefault="00110B87" w:rsidP="00306785">
      <w:pPr>
        <w:pStyle w:val="Heading2"/>
      </w:pPr>
      <w:r>
        <w:lastRenderedPageBreak/>
        <w:t>Consultation Questions</w:t>
      </w:r>
    </w:p>
    <w:p w14:paraId="53BFFB47" w14:textId="30F8E3DC" w:rsidR="00110B87" w:rsidRDefault="00110B87" w:rsidP="00EB737C">
      <w:r>
        <w:t xml:space="preserve">The following questions will </w:t>
      </w:r>
      <w:r w:rsidR="00306785">
        <w:t xml:space="preserve">be used to </w:t>
      </w:r>
      <w:r>
        <w:t>guide the consultation process.</w:t>
      </w:r>
    </w:p>
    <w:p w14:paraId="630DD5D0" w14:textId="2814442C" w:rsidR="00BA40D1" w:rsidRDefault="008E37F1" w:rsidP="00B402B9">
      <w:pPr>
        <w:pStyle w:val="Heading3"/>
      </w:pPr>
      <w:r>
        <w:t xml:space="preserve">Aged Care </w:t>
      </w:r>
      <w:r w:rsidR="00BA40D1">
        <w:t>Providers</w:t>
      </w:r>
    </w:p>
    <w:p w14:paraId="4E376B05" w14:textId="617CB287" w:rsidR="00CB296E" w:rsidRPr="00A74067" w:rsidRDefault="00C83425" w:rsidP="4A6E8EC8">
      <w:pPr>
        <w:rPr>
          <w:b/>
          <w:bCs/>
          <w:color w:val="181A6D" w:themeColor="accent1" w:themeShade="BF"/>
        </w:rPr>
      </w:pPr>
      <w:r w:rsidRPr="4A6E8EC8">
        <w:rPr>
          <w:b/>
          <w:bCs/>
          <w:color w:val="181A6D" w:themeColor="accent1" w:themeShade="BF"/>
        </w:rPr>
        <w:t>Data and Systems</w:t>
      </w:r>
    </w:p>
    <w:p w14:paraId="6F1691DE" w14:textId="070BF183" w:rsidR="00793DC3" w:rsidRPr="00A74067" w:rsidRDefault="00793DC3" w:rsidP="00793DC3">
      <w:pPr>
        <w:numPr>
          <w:ilvl w:val="0"/>
          <w:numId w:val="27"/>
        </w:numPr>
      </w:pPr>
      <w:r>
        <w:t>What systems or tools do you use to collect, collate, audit and report</w:t>
      </w:r>
      <w:r w:rsidR="00CB296E">
        <w:t xml:space="preserve"> </w:t>
      </w:r>
      <w:r>
        <w:t>financial and workforce data?​</w:t>
      </w:r>
    </w:p>
    <w:p w14:paraId="4FE6F6F2" w14:textId="6EB72521" w:rsidR="00793DC3" w:rsidRPr="00A74067" w:rsidRDefault="00793DC3" w:rsidP="00793DC3">
      <w:pPr>
        <w:numPr>
          <w:ilvl w:val="0"/>
          <w:numId w:val="27"/>
        </w:numPr>
      </w:pPr>
      <w:r>
        <w:t>What are the main challenges or inefficiencies you face in reporting financial</w:t>
      </w:r>
      <w:r w:rsidR="00CB296E">
        <w:t xml:space="preserve"> </w:t>
      </w:r>
      <w:r>
        <w:t>and workforce data?​</w:t>
      </w:r>
    </w:p>
    <w:p w14:paraId="6A9C8125" w14:textId="07C56057" w:rsidR="00793DC3" w:rsidRPr="00A74067" w:rsidRDefault="00793DC3" w:rsidP="00793DC3">
      <w:pPr>
        <w:numPr>
          <w:ilvl w:val="0"/>
          <w:numId w:val="27"/>
        </w:numPr>
      </w:pPr>
      <w:r>
        <w:t>Do you have any suggestions for how data reporting can be better</w:t>
      </w:r>
      <w:r w:rsidR="00CB296E">
        <w:t xml:space="preserve"> </w:t>
      </w:r>
      <w:r>
        <w:t>streamlined?​</w:t>
      </w:r>
    </w:p>
    <w:p w14:paraId="2E994919" w14:textId="77777777" w:rsidR="00C83425" w:rsidRPr="00A74067" w:rsidRDefault="00C83425" w:rsidP="4A6E8EC8">
      <w:pPr>
        <w:pStyle w:val="Heading4"/>
        <w:rPr>
          <w:i w:val="0"/>
          <w:iCs w:val="0"/>
        </w:rPr>
      </w:pPr>
      <w:r w:rsidRPr="4A6E8EC8">
        <w:rPr>
          <w:b/>
          <w:bCs/>
          <w:i w:val="0"/>
          <w:iCs w:val="0"/>
        </w:rPr>
        <w:t>Interoperability and standards</w:t>
      </w:r>
      <w:r w:rsidRPr="4A6E8EC8">
        <w:rPr>
          <w:i w:val="0"/>
          <w:iCs w:val="0"/>
        </w:rPr>
        <w:t>​</w:t>
      </w:r>
    </w:p>
    <w:p w14:paraId="1DE1859A" w14:textId="5B2B1538" w:rsidR="00C83425" w:rsidRPr="00A74067" w:rsidRDefault="00C83425" w:rsidP="4A6E8EC8">
      <w:pPr>
        <w:pStyle w:val="Heading4"/>
        <w:numPr>
          <w:ilvl w:val="0"/>
          <w:numId w:val="4"/>
        </w:numPr>
        <w:rPr>
          <w:i w:val="0"/>
          <w:iCs w:val="0"/>
          <w:color w:val="auto"/>
        </w:rPr>
      </w:pPr>
      <w:r w:rsidRPr="4A6E8EC8">
        <w:rPr>
          <w:i w:val="0"/>
          <w:iCs w:val="0"/>
          <w:color w:val="auto"/>
        </w:rPr>
        <w:t xml:space="preserve">What does interoperability mean for </w:t>
      </w:r>
      <w:r w:rsidR="457749E1" w:rsidRPr="4A6E8EC8">
        <w:rPr>
          <w:i w:val="0"/>
          <w:iCs w:val="0"/>
          <w:color w:val="auto"/>
        </w:rPr>
        <w:t>you</w:t>
      </w:r>
      <w:r w:rsidR="3F7F2024" w:rsidRPr="4A6E8EC8">
        <w:rPr>
          <w:i w:val="0"/>
          <w:iCs w:val="0"/>
          <w:color w:val="auto"/>
        </w:rPr>
        <w:t>r organisation</w:t>
      </w:r>
      <w:r w:rsidR="457749E1" w:rsidRPr="4A6E8EC8">
        <w:rPr>
          <w:i w:val="0"/>
          <w:iCs w:val="0"/>
          <w:color w:val="auto"/>
        </w:rPr>
        <w:t>? ​</w:t>
      </w:r>
      <w:r w:rsidR="05E4707F" w:rsidRPr="4A6E8EC8">
        <w:rPr>
          <w:i w:val="0"/>
          <w:iCs w:val="0"/>
          <w:color w:val="auto"/>
        </w:rPr>
        <w:t xml:space="preserve">And what benefits would </w:t>
      </w:r>
      <w:r w:rsidRPr="4A6E8EC8">
        <w:rPr>
          <w:i w:val="0"/>
          <w:iCs w:val="0"/>
          <w:color w:val="auto"/>
        </w:rPr>
        <w:t>you</w:t>
      </w:r>
      <w:r w:rsidR="05E4707F" w:rsidRPr="4A6E8EC8">
        <w:rPr>
          <w:i w:val="0"/>
          <w:iCs w:val="0"/>
          <w:color w:val="auto"/>
        </w:rPr>
        <w:t xml:space="preserve"> like to see through improved interoperability?</w:t>
      </w:r>
    </w:p>
    <w:p w14:paraId="6FCF1652" w14:textId="6ACE8944" w:rsidR="00C83425" w:rsidRPr="00A74067" w:rsidRDefault="00C83425" w:rsidP="4A6E8EC8">
      <w:pPr>
        <w:pStyle w:val="Heading4"/>
        <w:numPr>
          <w:ilvl w:val="0"/>
          <w:numId w:val="3"/>
        </w:numPr>
        <w:rPr>
          <w:i w:val="0"/>
          <w:iCs w:val="0"/>
          <w:color w:val="auto"/>
        </w:rPr>
      </w:pPr>
      <w:r w:rsidRPr="4A6E8EC8">
        <w:rPr>
          <w:i w:val="0"/>
          <w:iCs w:val="0"/>
          <w:color w:val="auto"/>
        </w:rPr>
        <w:t>What are the key considerations for improving interoperability of financial and workforce data both internally (between your organisations systems) and externally (with government portals)?​</w:t>
      </w:r>
    </w:p>
    <w:p w14:paraId="76983C86" w14:textId="77777777" w:rsidR="00C83425" w:rsidRPr="00A74067" w:rsidRDefault="00C83425" w:rsidP="4A6E8EC8">
      <w:pPr>
        <w:pStyle w:val="Heading4"/>
        <w:numPr>
          <w:ilvl w:val="0"/>
          <w:numId w:val="29"/>
        </w:numPr>
        <w:rPr>
          <w:i w:val="0"/>
          <w:iCs w:val="0"/>
          <w:color w:val="auto"/>
        </w:rPr>
      </w:pPr>
      <w:r w:rsidRPr="4A6E8EC8">
        <w:rPr>
          <w:i w:val="0"/>
          <w:iCs w:val="0"/>
          <w:color w:val="auto"/>
        </w:rPr>
        <w:t>What type of support do you think is needed to achieve interoperability outcomes? What is a sensible first step for achieving interoperability? ​</w:t>
      </w:r>
    </w:p>
    <w:p w14:paraId="037BFB9C" w14:textId="77777777" w:rsidR="00B40486" w:rsidRPr="00A74067" w:rsidRDefault="00C83425" w:rsidP="4A6E8EC8">
      <w:pPr>
        <w:pStyle w:val="Heading4"/>
        <w:numPr>
          <w:ilvl w:val="0"/>
          <w:numId w:val="29"/>
        </w:numPr>
        <w:rPr>
          <w:i w:val="0"/>
          <w:iCs w:val="0"/>
          <w:color w:val="auto"/>
        </w:rPr>
      </w:pPr>
      <w:r w:rsidRPr="4A6E8EC8">
        <w:rPr>
          <w:i w:val="0"/>
          <w:iCs w:val="0"/>
          <w:color w:val="auto"/>
        </w:rPr>
        <w:t>Are there standards or frameworks for financial, payroll, or workforce data you already use or recommend?​</w:t>
      </w:r>
      <w:r w:rsidR="00B40486" w:rsidRPr="4A6E8EC8">
        <w:rPr>
          <w:i w:val="0"/>
          <w:iCs w:val="0"/>
          <w:color w:val="auto"/>
        </w:rPr>
        <w:t xml:space="preserve"> </w:t>
      </w:r>
    </w:p>
    <w:p w14:paraId="4956E0E2" w14:textId="1B7E37EB" w:rsidR="00C83425" w:rsidRPr="00A74067" w:rsidRDefault="00B40486" w:rsidP="4A6E8EC8">
      <w:pPr>
        <w:pStyle w:val="Heading4"/>
        <w:numPr>
          <w:ilvl w:val="0"/>
          <w:numId w:val="29"/>
        </w:numPr>
        <w:rPr>
          <w:i w:val="0"/>
          <w:iCs w:val="0"/>
          <w:color w:val="auto"/>
        </w:rPr>
      </w:pPr>
      <w:r w:rsidRPr="4A6E8EC8">
        <w:rPr>
          <w:i w:val="0"/>
          <w:iCs w:val="0"/>
          <w:color w:val="auto"/>
        </w:rPr>
        <w:t xml:space="preserve">Are there any data fields or definitions </w:t>
      </w:r>
      <w:r w:rsidR="0010027B" w:rsidRPr="4A6E8EC8">
        <w:rPr>
          <w:i w:val="0"/>
          <w:iCs w:val="0"/>
          <w:color w:val="auto"/>
        </w:rPr>
        <w:t xml:space="preserve">in financial and workforce data </w:t>
      </w:r>
      <w:r w:rsidR="006835C6" w:rsidRPr="4A6E8EC8">
        <w:rPr>
          <w:i w:val="0"/>
          <w:iCs w:val="0"/>
          <w:color w:val="auto"/>
        </w:rPr>
        <w:t>(e.g. role classification, hours worked, overhead costs) </w:t>
      </w:r>
      <w:r w:rsidR="0010027B" w:rsidRPr="4A6E8EC8">
        <w:rPr>
          <w:i w:val="0"/>
          <w:iCs w:val="0"/>
          <w:color w:val="auto"/>
        </w:rPr>
        <w:t>that you think should be standardi</w:t>
      </w:r>
      <w:r w:rsidR="00520821" w:rsidRPr="4A6E8EC8">
        <w:rPr>
          <w:i w:val="0"/>
          <w:iCs w:val="0"/>
          <w:color w:val="auto"/>
        </w:rPr>
        <w:t>s</w:t>
      </w:r>
      <w:r w:rsidR="0010027B" w:rsidRPr="4A6E8EC8">
        <w:rPr>
          <w:i w:val="0"/>
          <w:iCs w:val="0"/>
          <w:color w:val="auto"/>
        </w:rPr>
        <w:t>ed or revised?</w:t>
      </w:r>
    </w:p>
    <w:p w14:paraId="70412FBF" w14:textId="77777777" w:rsidR="00DD0B3F" w:rsidRPr="00A74067" w:rsidRDefault="00DD0B3F" w:rsidP="00DD0B3F">
      <w:r w:rsidRPr="4A6E8EC8">
        <w:rPr>
          <w:b/>
          <w:bCs/>
          <w:color w:val="181A6D" w:themeColor="accent1" w:themeShade="BF"/>
        </w:rPr>
        <w:t>Opportunities </w:t>
      </w:r>
      <w:r>
        <w:t>​</w:t>
      </w:r>
    </w:p>
    <w:p w14:paraId="0FD19FB6" w14:textId="5177660E" w:rsidR="00DD0B3F" w:rsidRPr="00A74067" w:rsidRDefault="00DD0B3F" w:rsidP="00DD0B3F">
      <w:pPr>
        <w:numPr>
          <w:ilvl w:val="0"/>
          <w:numId w:val="31"/>
        </w:numPr>
      </w:pPr>
      <w:r>
        <w:t>What specific changes, tools, or supports would make financial and workforce reporting easier or more useful for your organisation, e.g. system integration, clearer definitions, re-use of data provided to government?​</w:t>
      </w:r>
    </w:p>
    <w:p w14:paraId="77E8BD30" w14:textId="2C1CF8F7" w:rsidR="00DD0B3F" w:rsidRPr="00A74067" w:rsidRDefault="00DD0B3F" w:rsidP="00DD0B3F">
      <w:pPr>
        <w:numPr>
          <w:ilvl w:val="0"/>
          <w:numId w:val="31"/>
        </w:numPr>
      </w:pPr>
      <w:r>
        <w:t>Is automated reporting of financial and workforce data directly from your systems to government achievable? What do you see as the key barriers and opportunities?​</w:t>
      </w:r>
    </w:p>
    <w:p w14:paraId="1C0109B9" w14:textId="2A4F6ACA" w:rsidR="00476221" w:rsidRPr="00A74067" w:rsidRDefault="00476221" w:rsidP="4A6E8EC8">
      <w:pPr>
        <w:pStyle w:val="paragraph"/>
        <w:numPr>
          <w:ilvl w:val="0"/>
          <w:numId w:val="31"/>
        </w:numPr>
        <w:spacing w:before="0" w:beforeAutospacing="0" w:after="0" w:afterAutospacing="0"/>
        <w:textAlignment w:val="baseline"/>
        <w:rPr>
          <w:rFonts w:asciiTheme="minorHAnsi" w:eastAsiaTheme="minorEastAsia" w:hAnsiTheme="minorHAnsi" w:cstheme="minorBidi"/>
          <w:kern w:val="2"/>
          <w:lang w:eastAsia="en-US"/>
          <w14:ligatures w14:val="standardContextual"/>
        </w:rPr>
      </w:pPr>
      <w:r w:rsidRPr="4A6E8EC8">
        <w:rPr>
          <w:rFonts w:asciiTheme="minorHAnsi" w:eastAsiaTheme="minorEastAsia" w:hAnsiTheme="minorHAnsi" w:cstheme="minorBidi"/>
          <w:kern w:val="2"/>
          <w:lang w:eastAsia="en-US"/>
          <w14:ligatures w14:val="standardContextual"/>
        </w:rPr>
        <w:t>Please share any other insights, concerns, or suggestions relating to financial and workforce data.​</w:t>
      </w:r>
    </w:p>
    <w:p w14:paraId="78195DD7" w14:textId="77777777" w:rsidR="00793DC3" w:rsidRPr="00476221" w:rsidRDefault="00793DC3" w:rsidP="00793DC3"/>
    <w:p w14:paraId="57189A70" w14:textId="51A50AD2" w:rsidR="00C83425" w:rsidRDefault="00C83425" w:rsidP="00C83425">
      <w:pPr>
        <w:pStyle w:val="Heading3"/>
      </w:pPr>
      <w:r>
        <w:lastRenderedPageBreak/>
        <w:t>Software Vendors</w:t>
      </w:r>
    </w:p>
    <w:p w14:paraId="214D7233" w14:textId="77777777" w:rsidR="00C83425" w:rsidRPr="00A74067" w:rsidRDefault="00C83425" w:rsidP="4A6E8EC8">
      <w:pPr>
        <w:pStyle w:val="Heading4"/>
        <w:rPr>
          <w:b/>
          <w:bCs/>
          <w:i w:val="0"/>
          <w:iCs w:val="0"/>
        </w:rPr>
      </w:pPr>
      <w:r w:rsidRPr="4A6E8EC8">
        <w:rPr>
          <w:b/>
          <w:bCs/>
          <w:i w:val="0"/>
          <w:iCs w:val="0"/>
        </w:rPr>
        <w:t>Data and systems</w:t>
      </w:r>
    </w:p>
    <w:p w14:paraId="3322D051" w14:textId="77777777" w:rsidR="00C83425" w:rsidRPr="00A74067" w:rsidRDefault="00C83425" w:rsidP="4A6E8EC8">
      <w:pPr>
        <w:pStyle w:val="Heading4"/>
        <w:numPr>
          <w:ilvl w:val="0"/>
          <w:numId w:val="28"/>
        </w:numPr>
        <w:rPr>
          <w:i w:val="0"/>
          <w:iCs w:val="0"/>
          <w:color w:val="auto"/>
        </w:rPr>
      </w:pPr>
      <w:r w:rsidRPr="4A6E8EC8">
        <w:rPr>
          <w:i w:val="0"/>
          <w:iCs w:val="0"/>
          <w:color w:val="auto"/>
        </w:rPr>
        <w:t>What types of financial and workforce data do your systems currently support?​</w:t>
      </w:r>
    </w:p>
    <w:p w14:paraId="599E7955" w14:textId="77777777" w:rsidR="00C83425" w:rsidRPr="00A74067" w:rsidRDefault="00C83425" w:rsidP="4A6E8EC8">
      <w:pPr>
        <w:pStyle w:val="Heading4"/>
        <w:numPr>
          <w:ilvl w:val="0"/>
          <w:numId w:val="28"/>
        </w:numPr>
        <w:rPr>
          <w:i w:val="0"/>
          <w:iCs w:val="0"/>
          <w:color w:val="auto"/>
        </w:rPr>
      </w:pPr>
      <w:r w:rsidRPr="4A6E8EC8">
        <w:rPr>
          <w:i w:val="0"/>
          <w:iCs w:val="0"/>
          <w:color w:val="auto"/>
        </w:rPr>
        <w:t>What government reporting requirements for financial and workforce data are your systems designed to meet?​</w:t>
      </w:r>
    </w:p>
    <w:p w14:paraId="662EA459" w14:textId="4CFA34A7" w:rsidR="00C83425" w:rsidRPr="00A74067" w:rsidRDefault="00C83425" w:rsidP="4A6E8EC8">
      <w:pPr>
        <w:pStyle w:val="Heading4"/>
        <w:numPr>
          <w:ilvl w:val="0"/>
          <w:numId w:val="2"/>
        </w:numPr>
        <w:rPr>
          <w:i w:val="0"/>
          <w:iCs w:val="0"/>
          <w:color w:val="auto"/>
        </w:rPr>
      </w:pPr>
      <w:r w:rsidRPr="4A6E8EC8">
        <w:rPr>
          <w:i w:val="0"/>
          <w:iCs w:val="0"/>
          <w:color w:val="auto"/>
        </w:rPr>
        <w:t>How do your systems support data quality, validation, and auditability with respect to financial and workforce data?​</w:t>
      </w:r>
    </w:p>
    <w:p w14:paraId="2663C7FF" w14:textId="77777777" w:rsidR="00C83425" w:rsidRPr="00A74067" w:rsidRDefault="00C83425" w:rsidP="4A6E8EC8">
      <w:pPr>
        <w:pStyle w:val="Heading4"/>
        <w:numPr>
          <w:ilvl w:val="0"/>
          <w:numId w:val="28"/>
        </w:numPr>
        <w:rPr>
          <w:i w:val="0"/>
          <w:iCs w:val="0"/>
          <w:color w:val="auto"/>
        </w:rPr>
      </w:pPr>
      <w:r w:rsidRPr="4A6E8EC8">
        <w:rPr>
          <w:i w:val="0"/>
          <w:iCs w:val="0"/>
          <w:color w:val="auto"/>
        </w:rPr>
        <w:t>What features or improvements would help providers meet financial and workforce data reporting requirements more efficiently?​</w:t>
      </w:r>
    </w:p>
    <w:p w14:paraId="5CFC370F" w14:textId="77777777" w:rsidR="00C83425" w:rsidRPr="00A74067" w:rsidRDefault="00C83425" w:rsidP="4A6E8EC8">
      <w:pPr>
        <w:pStyle w:val="Heading4"/>
        <w:rPr>
          <w:i w:val="0"/>
          <w:iCs w:val="0"/>
        </w:rPr>
      </w:pPr>
      <w:r w:rsidRPr="4A6E8EC8">
        <w:rPr>
          <w:b/>
          <w:bCs/>
          <w:i w:val="0"/>
          <w:iCs w:val="0"/>
        </w:rPr>
        <w:t>Interoperability and standards</w:t>
      </w:r>
      <w:r w:rsidRPr="4A6E8EC8">
        <w:rPr>
          <w:i w:val="0"/>
          <w:iCs w:val="0"/>
        </w:rPr>
        <w:t>​</w:t>
      </w:r>
    </w:p>
    <w:p w14:paraId="6FDA6ACC" w14:textId="5BA620DE" w:rsidR="00C83425" w:rsidRPr="00A74067" w:rsidRDefault="00C83425" w:rsidP="4A6E8EC8">
      <w:pPr>
        <w:pStyle w:val="Heading4"/>
        <w:numPr>
          <w:ilvl w:val="0"/>
          <w:numId w:val="1"/>
        </w:numPr>
        <w:rPr>
          <w:i w:val="0"/>
          <w:iCs w:val="0"/>
          <w:color w:val="auto"/>
        </w:rPr>
      </w:pPr>
      <w:r w:rsidRPr="4A6E8EC8">
        <w:rPr>
          <w:i w:val="0"/>
          <w:iCs w:val="0"/>
          <w:color w:val="auto"/>
        </w:rPr>
        <w:t xml:space="preserve">What does interoperability mean for </w:t>
      </w:r>
      <w:r w:rsidR="457749E1" w:rsidRPr="4A6E8EC8">
        <w:rPr>
          <w:i w:val="0"/>
          <w:iCs w:val="0"/>
          <w:color w:val="auto"/>
        </w:rPr>
        <w:t>you</w:t>
      </w:r>
      <w:r w:rsidR="2B1B61C4" w:rsidRPr="4A6E8EC8">
        <w:rPr>
          <w:i w:val="0"/>
          <w:iCs w:val="0"/>
          <w:color w:val="auto"/>
        </w:rPr>
        <w:t>r organisation</w:t>
      </w:r>
      <w:r w:rsidR="457749E1" w:rsidRPr="4A6E8EC8">
        <w:rPr>
          <w:i w:val="0"/>
          <w:iCs w:val="0"/>
          <w:color w:val="auto"/>
        </w:rPr>
        <w:t>?</w:t>
      </w:r>
      <w:r w:rsidR="652EDF0C" w:rsidRPr="4A6E8EC8">
        <w:rPr>
          <w:i w:val="0"/>
          <w:iCs w:val="0"/>
          <w:color w:val="auto"/>
        </w:rPr>
        <w:t xml:space="preserve"> And what benefits would </w:t>
      </w:r>
      <w:r w:rsidRPr="4A6E8EC8">
        <w:rPr>
          <w:i w:val="0"/>
          <w:iCs w:val="0"/>
          <w:color w:val="auto"/>
        </w:rPr>
        <w:t>you</w:t>
      </w:r>
      <w:r w:rsidR="652EDF0C" w:rsidRPr="4A6E8EC8">
        <w:rPr>
          <w:i w:val="0"/>
          <w:iCs w:val="0"/>
          <w:color w:val="auto"/>
        </w:rPr>
        <w:t xml:space="preserve"> like to see through improved interoperability?</w:t>
      </w:r>
      <w:r w:rsidRPr="4A6E8EC8">
        <w:rPr>
          <w:i w:val="0"/>
          <w:iCs w:val="0"/>
          <w:color w:val="auto"/>
        </w:rPr>
        <w:t> ​</w:t>
      </w:r>
    </w:p>
    <w:p w14:paraId="29401271" w14:textId="77777777" w:rsidR="00C83425" w:rsidRPr="00A74067" w:rsidRDefault="00C83425" w:rsidP="4A6E8EC8">
      <w:pPr>
        <w:pStyle w:val="Heading4"/>
        <w:numPr>
          <w:ilvl w:val="0"/>
          <w:numId w:val="29"/>
        </w:numPr>
        <w:rPr>
          <w:i w:val="0"/>
          <w:iCs w:val="0"/>
          <w:color w:val="auto"/>
        </w:rPr>
      </w:pPr>
      <w:r w:rsidRPr="4A6E8EC8">
        <w:rPr>
          <w:i w:val="0"/>
          <w:iCs w:val="0"/>
          <w:color w:val="auto"/>
        </w:rPr>
        <w:t>What are the key considerations for improving interoperability of financial and workforce data both internally (between your organisations systems) and externally (with government portals)?​</w:t>
      </w:r>
    </w:p>
    <w:p w14:paraId="1A10361F" w14:textId="77777777" w:rsidR="00C83425" w:rsidRPr="00A74067" w:rsidRDefault="00C83425" w:rsidP="4A6E8EC8">
      <w:pPr>
        <w:pStyle w:val="Heading4"/>
        <w:numPr>
          <w:ilvl w:val="0"/>
          <w:numId w:val="29"/>
        </w:numPr>
        <w:rPr>
          <w:i w:val="0"/>
          <w:iCs w:val="0"/>
          <w:color w:val="auto"/>
        </w:rPr>
      </w:pPr>
      <w:r w:rsidRPr="4A6E8EC8">
        <w:rPr>
          <w:i w:val="0"/>
          <w:iCs w:val="0"/>
          <w:color w:val="auto"/>
        </w:rPr>
        <w:t>What type of support do you think is needed to achieve interoperability outcomes? What is a sensible first step for achieving interoperability? ​</w:t>
      </w:r>
    </w:p>
    <w:p w14:paraId="7AF8F828" w14:textId="77777777" w:rsidR="00C83425" w:rsidRPr="00A74067" w:rsidRDefault="00C83425" w:rsidP="4A6E8EC8">
      <w:pPr>
        <w:pStyle w:val="Heading4"/>
        <w:numPr>
          <w:ilvl w:val="0"/>
          <w:numId w:val="29"/>
        </w:numPr>
        <w:rPr>
          <w:i w:val="0"/>
          <w:iCs w:val="0"/>
          <w:color w:val="auto"/>
        </w:rPr>
      </w:pPr>
      <w:r w:rsidRPr="4A6E8EC8">
        <w:rPr>
          <w:i w:val="0"/>
          <w:iCs w:val="0"/>
          <w:color w:val="auto"/>
        </w:rPr>
        <w:t>Are there standards or frameworks for financial, payroll, or workforce data you already use or recommend?​</w:t>
      </w:r>
    </w:p>
    <w:p w14:paraId="5A74B354" w14:textId="6496EE96" w:rsidR="242CF7B8" w:rsidRPr="00A74067" w:rsidRDefault="29610AFB" w:rsidP="4A6E8EC8">
      <w:pPr>
        <w:pStyle w:val="Heading4"/>
        <w:numPr>
          <w:ilvl w:val="0"/>
          <w:numId w:val="29"/>
        </w:numPr>
        <w:rPr>
          <w:i w:val="0"/>
          <w:iCs w:val="0"/>
          <w:color w:val="auto"/>
        </w:rPr>
      </w:pPr>
      <w:r w:rsidRPr="4A6E8EC8">
        <w:rPr>
          <w:i w:val="0"/>
          <w:iCs w:val="0"/>
          <w:color w:val="auto"/>
        </w:rPr>
        <w:t>Are there any data fields or definitions in financial and workforce data (e.g. role classification, hours worked, overhead costs) that you think should be standardised or revised?</w:t>
      </w:r>
    </w:p>
    <w:p w14:paraId="068DBB2B" w14:textId="77777777" w:rsidR="00F36553" w:rsidRPr="00A74067" w:rsidRDefault="00F36553" w:rsidP="00F36553">
      <w:r w:rsidRPr="4A6E8EC8">
        <w:rPr>
          <w:b/>
          <w:bCs/>
          <w:color w:val="181A6D" w:themeColor="accent1" w:themeShade="BF"/>
        </w:rPr>
        <w:t>Opportunities </w:t>
      </w:r>
      <w:r>
        <w:t>​</w:t>
      </w:r>
    </w:p>
    <w:p w14:paraId="06521CB8" w14:textId="03B5B9EB" w:rsidR="00F36553" w:rsidRPr="00A74067" w:rsidRDefault="00F36553" w:rsidP="00F36553">
      <w:pPr>
        <w:numPr>
          <w:ilvl w:val="0"/>
          <w:numId w:val="30"/>
        </w:numPr>
      </w:pPr>
      <w:r>
        <w:t>What specific changes, tools, or supports would make financial and workforce reporting easier or more useful for your organisation, e.g. system integration, clearer definitions, re-use of data provided to government?​</w:t>
      </w:r>
    </w:p>
    <w:p w14:paraId="172465E2" w14:textId="2DBE6076" w:rsidR="00F36553" w:rsidRPr="00A74067" w:rsidRDefault="00F36553" w:rsidP="00F36553">
      <w:pPr>
        <w:numPr>
          <w:ilvl w:val="0"/>
          <w:numId w:val="30"/>
        </w:numPr>
      </w:pPr>
      <w:r>
        <w:t>Is automated reporting of financial and workforce data directly from your systems to government achievable? What do you see as the key barriers and opportunities?​</w:t>
      </w:r>
    </w:p>
    <w:p w14:paraId="1C825CD5" w14:textId="4F712886" w:rsidR="00F36553" w:rsidRPr="00A74067" w:rsidRDefault="00476221" w:rsidP="4A6E8EC8">
      <w:pPr>
        <w:pStyle w:val="paragraph"/>
        <w:numPr>
          <w:ilvl w:val="0"/>
          <w:numId w:val="30"/>
        </w:numPr>
        <w:spacing w:before="0" w:beforeAutospacing="0" w:after="0" w:afterAutospacing="0"/>
        <w:textAlignment w:val="baseline"/>
        <w:rPr>
          <w:rFonts w:asciiTheme="minorHAnsi" w:eastAsiaTheme="minorEastAsia" w:hAnsiTheme="minorHAnsi" w:cstheme="minorBidi"/>
          <w:kern w:val="2"/>
          <w:lang w:eastAsia="en-US"/>
          <w14:ligatures w14:val="standardContextual"/>
        </w:rPr>
      </w:pPr>
      <w:r w:rsidRPr="4A6E8EC8">
        <w:rPr>
          <w:rFonts w:asciiTheme="minorHAnsi" w:eastAsiaTheme="minorEastAsia" w:hAnsiTheme="minorHAnsi" w:cstheme="minorBidi"/>
          <w:kern w:val="2"/>
          <w:lang w:eastAsia="en-US"/>
          <w14:ligatures w14:val="standardContextual"/>
        </w:rPr>
        <w:t>Please share any other insights, concerns, or suggestions relating to financial and workforce data.​</w:t>
      </w:r>
    </w:p>
    <w:p w14:paraId="22FA4853" w14:textId="77777777" w:rsidR="00110B87" w:rsidRDefault="00110B87" w:rsidP="00EB737C"/>
    <w:p w14:paraId="2420514B" w14:textId="77777777" w:rsidR="00110B87" w:rsidRDefault="00110B87" w:rsidP="00EB737C"/>
    <w:p w14:paraId="44CAE2E9" w14:textId="77777777" w:rsidR="00110B87" w:rsidRPr="007B226F" w:rsidRDefault="00110B87" w:rsidP="00EB737C"/>
    <w:p w14:paraId="439829A4" w14:textId="77777777" w:rsidR="004A4E13" w:rsidRDefault="004A4E13">
      <w:pPr>
        <w:spacing w:after="160" w:line="278" w:lineRule="auto"/>
        <w:sectPr w:rsidR="004A4E13" w:rsidSect="00A471F1">
          <w:type w:val="continuous"/>
          <w:pgSz w:w="11906" w:h="16838"/>
          <w:pgMar w:top="1134" w:right="1134" w:bottom="1134" w:left="1134" w:header="709" w:footer="709" w:gutter="0"/>
          <w:cols w:space="708"/>
          <w:docGrid w:linePitch="360"/>
        </w:sectPr>
      </w:pPr>
    </w:p>
    <w:p w14:paraId="51C4B986" w14:textId="3C984E4B" w:rsidR="00DB3CEC" w:rsidRDefault="00DB3CEC" w:rsidP="4A6E8EC8">
      <w:pPr>
        <w:pStyle w:val="Heading2"/>
        <w:spacing w:after="240"/>
      </w:pPr>
      <w:r>
        <w:lastRenderedPageBreak/>
        <w:t>Appendix A</w:t>
      </w:r>
      <w:r w:rsidR="00CC766E">
        <w:t xml:space="preserve"> </w:t>
      </w:r>
      <w:r w:rsidR="00CC25A4">
        <w:t>–</w:t>
      </w:r>
      <w:r w:rsidR="00CC766E">
        <w:t xml:space="preserve"> </w:t>
      </w:r>
      <w:r w:rsidR="00CC25A4">
        <w:t>Reporting summary</w:t>
      </w:r>
    </w:p>
    <w:p w14:paraId="2E9EFE5D" w14:textId="3FA68E58" w:rsidR="00225CA1" w:rsidRDefault="00DD4EE7" w:rsidP="00EB737C">
      <w:r>
        <w:t xml:space="preserve">Table A.1 </w:t>
      </w:r>
      <w:r w:rsidR="00450B3C">
        <w:t xml:space="preserve">presents a high-level summary of the key purposes, tools, responsible agencies, and systems involved in </w:t>
      </w:r>
      <w:r w:rsidR="004C683F">
        <w:t xml:space="preserve">the data </w:t>
      </w:r>
      <w:r w:rsidR="00450B3C">
        <w:t xml:space="preserve">aged care providers report to </w:t>
      </w:r>
      <w:r w:rsidR="004C683F">
        <w:t>the Australian G</w:t>
      </w:r>
      <w:r w:rsidR="00450B3C">
        <w:t xml:space="preserve">overnment. It is intended to offer a broad overview of the reporting landscape and does not capture every possible reporting pathway or variation. </w:t>
      </w:r>
      <w:r w:rsidR="007A5FC0">
        <w:t>An</w:t>
      </w:r>
      <w:r w:rsidR="00DF7F08">
        <w:t xml:space="preserve"> overarching purpose of government reporting requirements is to support transparency and accountability with both the care services delivered to older people and the taxpayer funds used to deliver them. </w:t>
      </w:r>
      <w:r w:rsidR="00450B3C">
        <w:t>The table highlights the functional alignment between reporting objectives and the platforms used</w:t>
      </w:r>
      <w:r w:rsidR="005B4850">
        <w:t xml:space="preserve"> and </w:t>
      </w:r>
      <w:r w:rsidR="00450B3C">
        <w:t>illustrat</w:t>
      </w:r>
      <w:r w:rsidR="005B4850">
        <w:t>es</w:t>
      </w:r>
      <w:r w:rsidR="00450B3C">
        <w:t xml:space="preserve"> the complexity and fragmentation that providers navigate in meeting regulatory and operational requirements.</w:t>
      </w:r>
      <w:r w:rsidR="003B4AB0">
        <w:t xml:space="preserve"> </w:t>
      </w:r>
    </w:p>
    <w:p w14:paraId="10DE4EE4" w14:textId="68F7B136" w:rsidR="00DB3CEC" w:rsidRPr="00A74067" w:rsidRDefault="53927DBA" w:rsidP="3A599EF0">
      <w:pPr>
        <w:pStyle w:val="Caption"/>
        <w:keepNext/>
        <w:rPr>
          <w:sz w:val="24"/>
          <w:szCs w:val="24"/>
        </w:rPr>
      </w:pPr>
      <w:r w:rsidRPr="4A6E8EC8">
        <w:rPr>
          <w:sz w:val="24"/>
          <w:szCs w:val="24"/>
        </w:rPr>
        <w:t xml:space="preserve">Table </w:t>
      </w:r>
      <w:r w:rsidR="00225CA1" w:rsidRPr="4A6E8EC8">
        <w:rPr>
          <w:sz w:val="24"/>
          <w:szCs w:val="24"/>
        </w:rPr>
        <w:t>A.1</w:t>
      </w:r>
      <w:r w:rsidR="00F2666E">
        <w:rPr>
          <w:sz w:val="24"/>
          <w:szCs w:val="24"/>
        </w:rPr>
        <w:t>:</w:t>
      </w:r>
      <w:r w:rsidR="00225CA1" w:rsidRPr="4A6E8EC8">
        <w:rPr>
          <w:sz w:val="24"/>
          <w:szCs w:val="24"/>
        </w:rPr>
        <w:t xml:space="preserve"> </w:t>
      </w:r>
      <w:r w:rsidRPr="4A6E8EC8">
        <w:rPr>
          <w:sz w:val="24"/>
          <w:szCs w:val="24"/>
        </w:rPr>
        <w:t>High</w:t>
      </w:r>
      <w:r w:rsidR="00EF4939" w:rsidRPr="4A6E8EC8">
        <w:rPr>
          <w:sz w:val="24"/>
          <w:szCs w:val="24"/>
        </w:rPr>
        <w:t>-</w:t>
      </w:r>
      <w:r w:rsidRPr="4A6E8EC8">
        <w:rPr>
          <w:sz w:val="24"/>
          <w:szCs w:val="24"/>
        </w:rPr>
        <w:t>level summary of data</w:t>
      </w:r>
      <w:r w:rsidR="000522DF" w:rsidRPr="4A6E8EC8">
        <w:rPr>
          <w:sz w:val="24"/>
          <w:szCs w:val="24"/>
        </w:rPr>
        <w:t xml:space="preserve"> purpose</w:t>
      </w:r>
      <w:r w:rsidRPr="4A6E8EC8">
        <w:rPr>
          <w:sz w:val="24"/>
          <w:szCs w:val="24"/>
        </w:rPr>
        <w:t xml:space="preserve">, </w:t>
      </w:r>
      <w:r w:rsidR="000522DF" w:rsidRPr="4A6E8EC8">
        <w:rPr>
          <w:sz w:val="24"/>
          <w:szCs w:val="24"/>
        </w:rPr>
        <w:t xml:space="preserve">tools, </w:t>
      </w:r>
      <w:r w:rsidRPr="4A6E8EC8">
        <w:rPr>
          <w:sz w:val="24"/>
          <w:szCs w:val="24"/>
        </w:rPr>
        <w:t>agency and systems involved</w:t>
      </w:r>
    </w:p>
    <w:tbl>
      <w:tblPr>
        <w:tblStyle w:val="TableGrid"/>
        <w:tblW w:w="5002" w:type="pct"/>
        <w:tblBorders>
          <w:top w:val="none" w:sz="0" w:space="0" w:color="auto"/>
          <w:left w:val="none" w:sz="0" w:space="0" w:color="auto"/>
          <w:bottom w:val="single" w:sz="4" w:space="0" w:color="181A6D" w:themeColor="accent1" w:themeShade="BF"/>
          <w:right w:val="none" w:sz="0" w:space="0" w:color="auto"/>
          <w:insideH w:val="single" w:sz="4" w:space="0" w:color="181A6D" w:themeColor="accent1" w:themeShade="BF"/>
          <w:insideV w:val="none" w:sz="0" w:space="0" w:color="auto"/>
        </w:tblBorders>
        <w:tblLook w:val="04A0" w:firstRow="1" w:lastRow="0" w:firstColumn="1" w:lastColumn="0" w:noHBand="0" w:noVBand="1"/>
        <w:tblCaption w:val="High Level Summary of Data Purpose, Tools, Agency and Systems Involved"/>
        <w:tblDescription w:val="This table provides information about the various collections of data related to Aged Care, including the systems used, the purpose(s) of the collection and the Government agencies involved"/>
      </w:tblPr>
      <w:tblGrid>
        <w:gridCol w:w="4819"/>
        <w:gridCol w:w="3262"/>
        <w:gridCol w:w="2851"/>
        <w:gridCol w:w="3644"/>
      </w:tblGrid>
      <w:tr w:rsidR="00CC766E" w:rsidRPr="00CC766E" w14:paraId="63659CFD" w14:textId="77777777" w:rsidTr="4A6E8EC8">
        <w:trPr>
          <w:cantSplit/>
          <w:trHeight w:val="300"/>
          <w:tblHeader/>
        </w:trPr>
        <w:tc>
          <w:tcPr>
            <w:tcW w:w="1653" w:type="pct"/>
            <w:shd w:val="clear" w:color="auto" w:fill="212492" w:themeFill="accent1"/>
          </w:tcPr>
          <w:p w14:paraId="05B13CE6" w14:textId="09DE5E7D" w:rsidR="004A4E13" w:rsidRPr="00CC766E" w:rsidRDefault="004A4E13" w:rsidP="00CC766E">
            <w:pPr>
              <w:pStyle w:val="Tabletext"/>
              <w:spacing w:before="40" w:after="40" w:line="280" w:lineRule="atLeast"/>
              <w:rPr>
                <w:b/>
                <w:bCs/>
                <w:color w:val="FFFFFF" w:themeColor="background1"/>
                <w:sz w:val="20"/>
                <w:szCs w:val="20"/>
              </w:rPr>
            </w:pPr>
            <w:r w:rsidRPr="00CC766E">
              <w:rPr>
                <w:b/>
                <w:bCs/>
                <w:color w:val="FFFFFF" w:themeColor="background1"/>
                <w:sz w:val="20"/>
                <w:szCs w:val="20"/>
              </w:rPr>
              <w:t>Purpose</w:t>
            </w:r>
          </w:p>
        </w:tc>
        <w:tc>
          <w:tcPr>
            <w:tcW w:w="1119" w:type="pct"/>
            <w:shd w:val="clear" w:color="auto" w:fill="212492" w:themeFill="accent1"/>
            <w:hideMark/>
          </w:tcPr>
          <w:p w14:paraId="05418935" w14:textId="6C05D5C3" w:rsidR="004A4E13" w:rsidRPr="00CC766E" w:rsidRDefault="004A4E13" w:rsidP="00CC766E">
            <w:pPr>
              <w:pStyle w:val="Tabletext"/>
              <w:spacing w:before="40" w:after="40" w:line="280" w:lineRule="atLeast"/>
              <w:rPr>
                <w:b/>
                <w:bCs/>
                <w:color w:val="FFFFFF" w:themeColor="background1"/>
                <w:sz w:val="20"/>
                <w:szCs w:val="20"/>
              </w:rPr>
            </w:pPr>
            <w:r w:rsidRPr="00CC766E">
              <w:rPr>
                <w:b/>
                <w:bCs/>
                <w:color w:val="FFFFFF" w:themeColor="background1"/>
                <w:sz w:val="20"/>
                <w:szCs w:val="20"/>
              </w:rPr>
              <w:t>Data</w:t>
            </w:r>
            <w:r w:rsidR="0B02DAA7" w:rsidRPr="00CC766E">
              <w:rPr>
                <w:b/>
                <w:bCs/>
                <w:color w:val="FFFFFF" w:themeColor="background1"/>
                <w:sz w:val="20"/>
                <w:szCs w:val="20"/>
              </w:rPr>
              <w:t xml:space="preserve"> </w:t>
            </w:r>
            <w:r w:rsidR="76A8F967" w:rsidRPr="00CC766E">
              <w:rPr>
                <w:b/>
                <w:bCs/>
                <w:color w:val="FFFFFF" w:themeColor="background1"/>
                <w:sz w:val="20"/>
                <w:szCs w:val="20"/>
              </w:rPr>
              <w:t>Tool</w:t>
            </w:r>
          </w:p>
        </w:tc>
        <w:tc>
          <w:tcPr>
            <w:tcW w:w="978" w:type="pct"/>
            <w:shd w:val="clear" w:color="auto" w:fill="212492" w:themeFill="accent1"/>
            <w:hideMark/>
          </w:tcPr>
          <w:p w14:paraId="3E3972DF" w14:textId="3753F628" w:rsidR="004A4E13" w:rsidRPr="00CC766E" w:rsidRDefault="004A4E13" w:rsidP="00CC766E">
            <w:pPr>
              <w:pStyle w:val="Tabletext"/>
              <w:spacing w:before="40" w:after="40" w:line="280" w:lineRule="atLeast"/>
              <w:rPr>
                <w:b/>
                <w:bCs/>
                <w:color w:val="FFFFFF" w:themeColor="background1"/>
                <w:sz w:val="20"/>
                <w:szCs w:val="20"/>
              </w:rPr>
            </w:pPr>
            <w:r w:rsidRPr="00CC766E">
              <w:rPr>
                <w:b/>
                <w:bCs/>
                <w:color w:val="FFFFFF" w:themeColor="background1"/>
                <w:sz w:val="20"/>
                <w:szCs w:val="20"/>
              </w:rPr>
              <w:t>Agenc</w:t>
            </w:r>
            <w:r w:rsidR="002A5620" w:rsidRPr="00CC766E">
              <w:rPr>
                <w:b/>
                <w:bCs/>
                <w:color w:val="FFFFFF" w:themeColor="background1"/>
                <w:sz w:val="20"/>
                <w:szCs w:val="20"/>
              </w:rPr>
              <w:t xml:space="preserve">ies </w:t>
            </w:r>
            <w:r w:rsidR="008C424B" w:rsidRPr="00CC766E">
              <w:rPr>
                <w:b/>
                <w:bCs/>
                <w:color w:val="FFFFFF" w:themeColor="background1"/>
                <w:sz w:val="20"/>
                <w:szCs w:val="20"/>
              </w:rPr>
              <w:t>involved</w:t>
            </w:r>
          </w:p>
        </w:tc>
        <w:tc>
          <w:tcPr>
            <w:tcW w:w="1250" w:type="pct"/>
            <w:shd w:val="clear" w:color="auto" w:fill="212492" w:themeFill="accent1"/>
            <w:hideMark/>
          </w:tcPr>
          <w:p w14:paraId="3CF8ACD4" w14:textId="77777777" w:rsidR="004A4E13" w:rsidRPr="00CC766E" w:rsidRDefault="004A4E13" w:rsidP="00CC766E">
            <w:pPr>
              <w:pStyle w:val="Tabletext"/>
              <w:spacing w:before="40" w:after="40" w:line="280" w:lineRule="atLeast"/>
              <w:rPr>
                <w:b/>
                <w:bCs/>
                <w:color w:val="FFFFFF" w:themeColor="background1"/>
                <w:sz w:val="20"/>
                <w:szCs w:val="20"/>
              </w:rPr>
            </w:pPr>
            <w:r w:rsidRPr="00CC766E">
              <w:rPr>
                <w:b/>
                <w:bCs/>
                <w:color w:val="FFFFFF" w:themeColor="background1"/>
                <w:sz w:val="20"/>
                <w:szCs w:val="20"/>
              </w:rPr>
              <w:t>Systems involved</w:t>
            </w:r>
          </w:p>
        </w:tc>
      </w:tr>
      <w:tr w:rsidR="00CC766E" w:rsidRPr="00CC766E" w14:paraId="04A76E50" w14:textId="77777777" w:rsidTr="4A6E8EC8">
        <w:tc>
          <w:tcPr>
            <w:tcW w:w="1653" w:type="pct"/>
          </w:tcPr>
          <w:p w14:paraId="2CF98102" w14:textId="579F1AD0" w:rsidR="004A4E13" w:rsidRPr="00CC766E" w:rsidRDefault="004A4E13" w:rsidP="00CC766E">
            <w:pPr>
              <w:pStyle w:val="Tabletext"/>
              <w:spacing w:before="40" w:after="40" w:line="280" w:lineRule="atLeast"/>
              <w:rPr>
                <w:sz w:val="20"/>
                <w:szCs w:val="20"/>
              </w:rPr>
            </w:pPr>
            <w:r w:rsidRPr="00CC766E">
              <w:rPr>
                <w:sz w:val="20"/>
                <w:szCs w:val="20"/>
              </w:rPr>
              <w:t>Conduct needs assessments for eligibility</w:t>
            </w:r>
            <w:r w:rsidR="00225CA1" w:rsidRPr="00CC766E">
              <w:rPr>
                <w:sz w:val="20"/>
                <w:szCs w:val="20"/>
              </w:rPr>
              <w:t xml:space="preserve">, </w:t>
            </w:r>
            <w:r w:rsidRPr="00CC766E">
              <w:rPr>
                <w:sz w:val="20"/>
                <w:szCs w:val="20"/>
              </w:rPr>
              <w:t xml:space="preserve">funding assessments for residential care, </w:t>
            </w:r>
            <w:r w:rsidR="00225CA1" w:rsidRPr="00CC766E">
              <w:rPr>
                <w:sz w:val="20"/>
                <w:szCs w:val="20"/>
              </w:rPr>
              <w:t>and</w:t>
            </w:r>
            <w:r w:rsidRPr="00CC766E">
              <w:rPr>
                <w:sz w:val="20"/>
                <w:szCs w:val="20"/>
              </w:rPr>
              <w:t xml:space="preserve"> match approved individuals with suitable providers</w:t>
            </w:r>
            <w:r w:rsidR="006F6148" w:rsidRPr="00CC766E">
              <w:rPr>
                <w:sz w:val="20"/>
                <w:szCs w:val="20"/>
              </w:rPr>
              <w:t>.</w:t>
            </w:r>
          </w:p>
        </w:tc>
        <w:tc>
          <w:tcPr>
            <w:tcW w:w="1119" w:type="pct"/>
            <w:hideMark/>
          </w:tcPr>
          <w:p w14:paraId="127B2CF3" w14:textId="77777777" w:rsidR="0048182A" w:rsidRPr="00CC766E" w:rsidRDefault="7CE5EF37" w:rsidP="00CC766E">
            <w:pPr>
              <w:pStyle w:val="Tabletext"/>
              <w:spacing w:before="40" w:after="40" w:line="280" w:lineRule="atLeast"/>
              <w:rPr>
                <w:sz w:val="20"/>
                <w:szCs w:val="20"/>
              </w:rPr>
            </w:pPr>
            <w:r w:rsidRPr="00CC766E">
              <w:rPr>
                <w:sz w:val="20"/>
                <w:szCs w:val="20"/>
              </w:rPr>
              <w:t xml:space="preserve">AN-ACC and IAT Individual eligibility assessment </w:t>
            </w:r>
          </w:p>
          <w:p w14:paraId="4C448062" w14:textId="697D999E" w:rsidR="004A4E13" w:rsidRPr="00CC766E" w:rsidRDefault="0048182A" w:rsidP="00CC766E">
            <w:pPr>
              <w:pStyle w:val="Tabletext"/>
              <w:spacing w:before="40" w:after="40" w:line="280" w:lineRule="atLeast"/>
              <w:rPr>
                <w:sz w:val="20"/>
                <w:szCs w:val="20"/>
              </w:rPr>
            </w:pPr>
            <w:r w:rsidRPr="00CC766E">
              <w:rPr>
                <w:sz w:val="20"/>
                <w:szCs w:val="20"/>
              </w:rPr>
              <w:t>F</w:t>
            </w:r>
            <w:r w:rsidR="7CE5EF37" w:rsidRPr="00CC766E">
              <w:rPr>
                <w:sz w:val="20"/>
                <w:szCs w:val="20"/>
              </w:rPr>
              <w:t>unding allocation via needs assessment tools</w:t>
            </w:r>
          </w:p>
        </w:tc>
        <w:tc>
          <w:tcPr>
            <w:tcW w:w="978" w:type="pct"/>
            <w:hideMark/>
          </w:tcPr>
          <w:p w14:paraId="07780A40" w14:textId="22D644F0" w:rsidR="00124F9D" w:rsidRPr="00CC766E" w:rsidRDefault="004A4E13" w:rsidP="00CC766E">
            <w:pPr>
              <w:pStyle w:val="Tabletext"/>
              <w:spacing w:before="40" w:after="40" w:line="280" w:lineRule="atLeast"/>
              <w:rPr>
                <w:sz w:val="20"/>
                <w:szCs w:val="20"/>
              </w:rPr>
            </w:pPr>
            <w:r w:rsidRPr="4A6E8EC8">
              <w:rPr>
                <w:sz w:val="20"/>
                <w:szCs w:val="20"/>
              </w:rPr>
              <w:t xml:space="preserve">Department of Health, Disability and Ageing </w:t>
            </w:r>
          </w:p>
          <w:p w14:paraId="68E3CF23" w14:textId="0FC7990C" w:rsidR="00124F9D" w:rsidRPr="00CC766E" w:rsidRDefault="004A4E13" w:rsidP="00CC766E">
            <w:pPr>
              <w:pStyle w:val="Tabletext"/>
              <w:spacing w:before="40" w:after="40" w:line="280" w:lineRule="atLeast"/>
              <w:rPr>
                <w:sz w:val="20"/>
                <w:szCs w:val="20"/>
              </w:rPr>
            </w:pPr>
            <w:r w:rsidRPr="4A6E8EC8">
              <w:rPr>
                <w:sz w:val="20"/>
                <w:szCs w:val="20"/>
              </w:rPr>
              <w:t>Services Australia</w:t>
            </w:r>
          </w:p>
          <w:p w14:paraId="7AFE0DB5" w14:textId="793445D3" w:rsidR="004A4E13" w:rsidRPr="00CC766E" w:rsidRDefault="004A4E13" w:rsidP="00CC766E">
            <w:pPr>
              <w:pStyle w:val="Tabletext"/>
              <w:spacing w:before="40" w:after="40" w:line="280" w:lineRule="atLeast"/>
              <w:rPr>
                <w:sz w:val="20"/>
                <w:szCs w:val="20"/>
              </w:rPr>
            </w:pPr>
            <w:r w:rsidRPr="4A6E8EC8">
              <w:rPr>
                <w:sz w:val="20"/>
                <w:szCs w:val="20"/>
              </w:rPr>
              <w:t>Centrelink</w:t>
            </w:r>
          </w:p>
        </w:tc>
        <w:tc>
          <w:tcPr>
            <w:tcW w:w="1250" w:type="pct"/>
            <w:hideMark/>
          </w:tcPr>
          <w:p w14:paraId="3BFD08FE" w14:textId="2EDFF3D0" w:rsidR="001435B6" w:rsidRPr="00CC766E" w:rsidRDefault="004A4E13" w:rsidP="00CC766E">
            <w:pPr>
              <w:pStyle w:val="Tabletext"/>
              <w:spacing w:before="40" w:after="40" w:line="280" w:lineRule="atLeast"/>
              <w:rPr>
                <w:sz w:val="20"/>
                <w:szCs w:val="20"/>
              </w:rPr>
            </w:pPr>
            <w:r w:rsidRPr="4A6E8EC8">
              <w:rPr>
                <w:sz w:val="20"/>
                <w:szCs w:val="20"/>
              </w:rPr>
              <w:t>My Aged Care (MAC) client portal</w:t>
            </w:r>
            <w:r w:rsidR="2D9BF77E" w:rsidRPr="4A6E8EC8">
              <w:rPr>
                <w:sz w:val="20"/>
                <w:szCs w:val="20"/>
              </w:rPr>
              <w:t xml:space="preserve"> </w:t>
            </w:r>
          </w:p>
          <w:p w14:paraId="7F60DE59" w14:textId="02C4339F" w:rsidR="004A4E13" w:rsidRPr="00CC766E" w:rsidRDefault="004A4E13" w:rsidP="00CC766E">
            <w:pPr>
              <w:pStyle w:val="Tabletext"/>
              <w:spacing w:before="40" w:after="40" w:line="280" w:lineRule="atLeast"/>
              <w:rPr>
                <w:sz w:val="20"/>
                <w:szCs w:val="20"/>
              </w:rPr>
            </w:pPr>
            <w:r w:rsidRPr="00CC766E">
              <w:rPr>
                <w:sz w:val="20"/>
                <w:szCs w:val="20"/>
              </w:rPr>
              <w:t>My Aged Care Services and Support Portal (MACSSP)</w:t>
            </w:r>
          </w:p>
        </w:tc>
      </w:tr>
      <w:tr w:rsidR="00CC766E" w:rsidRPr="00CC766E" w14:paraId="47393A1A" w14:textId="77777777" w:rsidTr="4A6E8EC8">
        <w:tc>
          <w:tcPr>
            <w:tcW w:w="1653" w:type="pct"/>
          </w:tcPr>
          <w:p w14:paraId="4DAFB424" w14:textId="4DF089BE" w:rsidR="004A4E13" w:rsidRPr="00CC766E" w:rsidRDefault="004A4E13" w:rsidP="00CC766E">
            <w:pPr>
              <w:pStyle w:val="Tabletext"/>
              <w:spacing w:before="40" w:after="40" w:line="280" w:lineRule="atLeast"/>
              <w:rPr>
                <w:sz w:val="20"/>
                <w:szCs w:val="20"/>
              </w:rPr>
            </w:pPr>
            <w:r w:rsidRPr="00CC766E">
              <w:rPr>
                <w:sz w:val="20"/>
                <w:szCs w:val="20"/>
              </w:rPr>
              <w:t>Calculate each individual's contribution to care costs and corresponding government subsidy based on income and assets. Results inform fee notifications and subsidy levels</w:t>
            </w:r>
            <w:r w:rsidR="006F6148" w:rsidRPr="00CC766E">
              <w:rPr>
                <w:sz w:val="20"/>
                <w:szCs w:val="20"/>
              </w:rPr>
              <w:t>.</w:t>
            </w:r>
            <w:r w:rsidRPr="00CC766E">
              <w:rPr>
                <w:sz w:val="20"/>
                <w:szCs w:val="20"/>
              </w:rPr>
              <w:t xml:space="preserve"> </w:t>
            </w:r>
          </w:p>
        </w:tc>
        <w:tc>
          <w:tcPr>
            <w:tcW w:w="1119" w:type="pct"/>
            <w:hideMark/>
          </w:tcPr>
          <w:p w14:paraId="263FB8BF" w14:textId="5D79CDFE" w:rsidR="004A4E13" w:rsidRPr="00CC766E" w:rsidRDefault="72F99F4F" w:rsidP="00CC766E">
            <w:pPr>
              <w:pStyle w:val="Tabletext"/>
              <w:spacing w:before="40" w:after="40" w:line="280" w:lineRule="atLeast"/>
              <w:rPr>
                <w:sz w:val="20"/>
                <w:szCs w:val="20"/>
              </w:rPr>
            </w:pPr>
            <w:r w:rsidRPr="00CC766E">
              <w:rPr>
                <w:sz w:val="20"/>
                <w:szCs w:val="20"/>
              </w:rPr>
              <w:t>Centrelink Financial Assessment Forms, ACPP Interface</w:t>
            </w:r>
            <w:r w:rsidRPr="00CC766E">
              <w:rPr>
                <w:rFonts w:eastAsiaTheme="minorEastAsia"/>
                <w:sz w:val="20"/>
                <w:szCs w:val="20"/>
              </w:rPr>
              <w:t xml:space="preserve"> </w:t>
            </w:r>
          </w:p>
        </w:tc>
        <w:tc>
          <w:tcPr>
            <w:tcW w:w="978" w:type="pct"/>
            <w:hideMark/>
          </w:tcPr>
          <w:p w14:paraId="759F4E60" w14:textId="77777777" w:rsidR="004A4E13" w:rsidRPr="00CC766E" w:rsidRDefault="004A4E13" w:rsidP="00CC766E">
            <w:pPr>
              <w:pStyle w:val="Tabletext"/>
              <w:spacing w:before="40" w:after="40" w:line="280" w:lineRule="atLeast"/>
              <w:rPr>
                <w:sz w:val="20"/>
                <w:szCs w:val="20"/>
              </w:rPr>
            </w:pPr>
            <w:r w:rsidRPr="00CC766E">
              <w:rPr>
                <w:sz w:val="20"/>
                <w:szCs w:val="20"/>
              </w:rPr>
              <w:t>Services Australia (Centrelink and DVA)</w:t>
            </w:r>
          </w:p>
        </w:tc>
        <w:tc>
          <w:tcPr>
            <w:tcW w:w="1250" w:type="pct"/>
            <w:hideMark/>
          </w:tcPr>
          <w:p w14:paraId="5E1C6FA2" w14:textId="18A5D3A4" w:rsidR="001435B6" w:rsidRPr="00CC766E" w:rsidRDefault="004A4E13" w:rsidP="00CC766E">
            <w:pPr>
              <w:pStyle w:val="Tabletext"/>
              <w:spacing w:before="40" w:after="40" w:line="280" w:lineRule="atLeast"/>
              <w:rPr>
                <w:sz w:val="20"/>
                <w:szCs w:val="20"/>
              </w:rPr>
            </w:pPr>
            <w:r w:rsidRPr="4A6E8EC8">
              <w:rPr>
                <w:sz w:val="20"/>
                <w:szCs w:val="20"/>
              </w:rPr>
              <w:t xml:space="preserve">Centrelink/DVA means assessment systems </w:t>
            </w:r>
          </w:p>
          <w:p w14:paraId="7B8EB4A7" w14:textId="16087926" w:rsidR="004A4E13" w:rsidRPr="00CC766E" w:rsidRDefault="004A4E13" w:rsidP="00CC766E">
            <w:pPr>
              <w:pStyle w:val="Tabletext"/>
              <w:spacing w:before="40" w:after="40" w:line="280" w:lineRule="atLeast"/>
              <w:rPr>
                <w:sz w:val="20"/>
                <w:szCs w:val="20"/>
              </w:rPr>
            </w:pPr>
            <w:r w:rsidRPr="00CC766E">
              <w:rPr>
                <w:sz w:val="20"/>
                <w:szCs w:val="20"/>
              </w:rPr>
              <w:t xml:space="preserve">Aged Care Provider Portal (ACPP) (for data matching) </w:t>
            </w:r>
          </w:p>
        </w:tc>
      </w:tr>
      <w:tr w:rsidR="00CC766E" w:rsidRPr="00CC766E" w14:paraId="79EF3F45" w14:textId="77777777" w:rsidTr="4A6E8EC8">
        <w:trPr>
          <w:trHeight w:val="300"/>
        </w:trPr>
        <w:tc>
          <w:tcPr>
            <w:tcW w:w="1653" w:type="pct"/>
          </w:tcPr>
          <w:p w14:paraId="5F75B60F" w14:textId="49B895AB" w:rsidR="004A4E13" w:rsidRPr="00CC766E" w:rsidRDefault="00DA2980" w:rsidP="00CC766E">
            <w:pPr>
              <w:pStyle w:val="Tabletext"/>
              <w:spacing w:before="40" w:after="40" w:line="280" w:lineRule="atLeast"/>
              <w:rPr>
                <w:sz w:val="20"/>
                <w:szCs w:val="20"/>
              </w:rPr>
            </w:pPr>
            <w:r w:rsidRPr="00CC766E">
              <w:rPr>
                <w:sz w:val="20"/>
                <w:szCs w:val="20"/>
              </w:rPr>
              <w:t>Enable providers to submit monthly claims for care subsidies and supplements, initiating the payment process for approved services.</w:t>
            </w:r>
          </w:p>
        </w:tc>
        <w:tc>
          <w:tcPr>
            <w:tcW w:w="1119" w:type="pct"/>
            <w:hideMark/>
          </w:tcPr>
          <w:p w14:paraId="6973A8BE" w14:textId="79FECF6A" w:rsidR="3950205C" w:rsidRPr="00CC766E" w:rsidRDefault="3950205C" w:rsidP="00CC766E">
            <w:pPr>
              <w:pStyle w:val="Tabletext"/>
              <w:spacing w:before="40" w:after="40" w:line="280" w:lineRule="atLeast"/>
              <w:rPr>
                <w:sz w:val="20"/>
                <w:szCs w:val="20"/>
              </w:rPr>
            </w:pPr>
            <w:r w:rsidRPr="00CC766E">
              <w:rPr>
                <w:sz w:val="20"/>
                <w:szCs w:val="20"/>
              </w:rPr>
              <w:t>ACPP (via PRODA),</w:t>
            </w:r>
          </w:p>
          <w:p w14:paraId="0C68BB44" w14:textId="5C7A9AE1" w:rsidR="3950205C" w:rsidRPr="00CC766E" w:rsidRDefault="3950205C" w:rsidP="00CC766E">
            <w:pPr>
              <w:pStyle w:val="Tabletext"/>
              <w:spacing w:before="40" w:after="40" w:line="280" w:lineRule="atLeast"/>
              <w:rPr>
                <w:sz w:val="20"/>
                <w:szCs w:val="20"/>
              </w:rPr>
            </w:pPr>
            <w:r w:rsidRPr="00CC766E">
              <w:rPr>
                <w:sz w:val="20"/>
                <w:szCs w:val="20"/>
              </w:rPr>
              <w:t>Claim Submission</w:t>
            </w:r>
          </w:p>
          <w:p w14:paraId="60053B25" w14:textId="4070B1C2" w:rsidR="004A4E13" w:rsidRPr="00CC766E" w:rsidRDefault="3950205C" w:rsidP="00CC766E">
            <w:pPr>
              <w:pStyle w:val="Tabletext"/>
              <w:spacing w:before="40" w:after="40" w:line="280" w:lineRule="atLeast"/>
              <w:rPr>
                <w:sz w:val="20"/>
                <w:szCs w:val="20"/>
              </w:rPr>
            </w:pPr>
            <w:r w:rsidRPr="00CC766E">
              <w:rPr>
                <w:sz w:val="20"/>
                <w:szCs w:val="20"/>
              </w:rPr>
              <w:t>Interface</w:t>
            </w:r>
          </w:p>
        </w:tc>
        <w:tc>
          <w:tcPr>
            <w:tcW w:w="978" w:type="pct"/>
            <w:hideMark/>
          </w:tcPr>
          <w:p w14:paraId="43BAE151" w14:textId="59621B3E" w:rsidR="004A4E13" w:rsidRPr="00CC766E" w:rsidRDefault="004A4E13" w:rsidP="00CC766E">
            <w:pPr>
              <w:pStyle w:val="Tabletext"/>
              <w:spacing w:before="40" w:after="40" w:line="280" w:lineRule="atLeast"/>
              <w:rPr>
                <w:sz w:val="20"/>
                <w:szCs w:val="20"/>
              </w:rPr>
            </w:pPr>
            <w:r w:rsidRPr="4A6E8EC8">
              <w:rPr>
                <w:sz w:val="20"/>
                <w:szCs w:val="20"/>
              </w:rPr>
              <w:t xml:space="preserve">Services Australia (on behalf of </w:t>
            </w:r>
            <w:r w:rsidR="6A3A8412" w:rsidRPr="4A6E8EC8">
              <w:rPr>
                <w:sz w:val="20"/>
                <w:szCs w:val="20"/>
              </w:rPr>
              <w:t>Department of Health, Disability and Ageing</w:t>
            </w:r>
            <w:r w:rsidRPr="4A6E8EC8">
              <w:rPr>
                <w:sz w:val="20"/>
                <w:szCs w:val="20"/>
              </w:rPr>
              <w:t>)</w:t>
            </w:r>
          </w:p>
          <w:p w14:paraId="7362C953" w14:textId="77777777" w:rsidR="004A4E13" w:rsidRPr="00CC766E" w:rsidRDefault="004A4E13" w:rsidP="00CC766E">
            <w:pPr>
              <w:pStyle w:val="Tabletext"/>
              <w:spacing w:before="40" w:after="40" w:line="280" w:lineRule="atLeast"/>
              <w:rPr>
                <w:sz w:val="20"/>
                <w:szCs w:val="20"/>
              </w:rPr>
            </w:pPr>
          </w:p>
        </w:tc>
        <w:tc>
          <w:tcPr>
            <w:tcW w:w="1250" w:type="pct"/>
            <w:hideMark/>
          </w:tcPr>
          <w:p w14:paraId="2FD25A62" w14:textId="37E3E4D9" w:rsidR="004A4E13" w:rsidRPr="00CC766E" w:rsidRDefault="004A4E13" w:rsidP="00CC766E">
            <w:pPr>
              <w:pStyle w:val="Tabletext"/>
              <w:spacing w:before="40" w:after="40" w:line="280" w:lineRule="atLeast"/>
              <w:rPr>
                <w:sz w:val="20"/>
                <w:szCs w:val="20"/>
              </w:rPr>
            </w:pPr>
            <w:r w:rsidRPr="00CC766E">
              <w:rPr>
                <w:sz w:val="20"/>
                <w:szCs w:val="20"/>
              </w:rPr>
              <w:t>Aged Care Provider Portal (ACPP)</w:t>
            </w:r>
          </w:p>
          <w:p w14:paraId="33E2245D" w14:textId="77777777" w:rsidR="004A4E13" w:rsidRPr="00CC766E" w:rsidRDefault="004A4E13" w:rsidP="00CC766E">
            <w:pPr>
              <w:pStyle w:val="Tabletext"/>
              <w:spacing w:before="40" w:after="40" w:line="280" w:lineRule="atLeast"/>
              <w:rPr>
                <w:sz w:val="20"/>
                <w:szCs w:val="20"/>
              </w:rPr>
            </w:pPr>
          </w:p>
        </w:tc>
      </w:tr>
      <w:tr w:rsidR="00CC766E" w:rsidRPr="00CC766E" w14:paraId="6E7AE05B" w14:textId="77777777" w:rsidTr="4A6E8EC8">
        <w:tc>
          <w:tcPr>
            <w:tcW w:w="1653" w:type="pct"/>
          </w:tcPr>
          <w:p w14:paraId="3E52E28E" w14:textId="264B6E0F" w:rsidR="004A4E13" w:rsidRPr="00CC766E" w:rsidRDefault="002456DC" w:rsidP="00CC766E">
            <w:pPr>
              <w:pStyle w:val="Tabletext"/>
              <w:spacing w:before="40" w:after="40" w:line="280" w:lineRule="atLeast"/>
              <w:rPr>
                <w:sz w:val="20"/>
                <w:szCs w:val="20"/>
              </w:rPr>
            </w:pPr>
            <w:r w:rsidRPr="00CC766E">
              <w:rPr>
                <w:sz w:val="20"/>
                <w:szCs w:val="20"/>
              </w:rPr>
              <w:t>Manage and disburse approved subsidy payments to providers, with systems that track payments and allow providers to view statements and service usage.</w:t>
            </w:r>
          </w:p>
        </w:tc>
        <w:tc>
          <w:tcPr>
            <w:tcW w:w="1119" w:type="pct"/>
          </w:tcPr>
          <w:p w14:paraId="3C1EBCED" w14:textId="176C5556" w:rsidR="004A4E13" w:rsidRPr="00CC766E" w:rsidRDefault="2CB70327" w:rsidP="00CC766E">
            <w:pPr>
              <w:pStyle w:val="Tabletext"/>
              <w:spacing w:before="40" w:after="40" w:line="280" w:lineRule="atLeast"/>
              <w:rPr>
                <w:sz w:val="20"/>
                <w:szCs w:val="20"/>
              </w:rPr>
            </w:pPr>
            <w:r w:rsidRPr="00CC766E">
              <w:rPr>
                <w:sz w:val="20"/>
                <w:szCs w:val="20"/>
              </w:rPr>
              <w:t>GPMS Provider Dashboard, Payment Reports</w:t>
            </w:r>
          </w:p>
          <w:p w14:paraId="6A5B2E5A" w14:textId="35E6AC5B" w:rsidR="004A4E13" w:rsidRPr="00CC766E" w:rsidRDefault="004A4E13" w:rsidP="00CC766E">
            <w:pPr>
              <w:pStyle w:val="Tabletext"/>
              <w:spacing w:before="40" w:after="40" w:line="280" w:lineRule="atLeast"/>
              <w:rPr>
                <w:sz w:val="20"/>
                <w:szCs w:val="20"/>
              </w:rPr>
            </w:pPr>
          </w:p>
        </w:tc>
        <w:tc>
          <w:tcPr>
            <w:tcW w:w="978" w:type="pct"/>
          </w:tcPr>
          <w:p w14:paraId="5BF319DA" w14:textId="2DEF0343" w:rsidR="00124F9D" w:rsidRPr="00CC766E" w:rsidRDefault="004A4E13" w:rsidP="00CC766E">
            <w:pPr>
              <w:pStyle w:val="Tabletext"/>
              <w:spacing w:before="40" w:after="40" w:line="280" w:lineRule="atLeast"/>
              <w:rPr>
                <w:sz w:val="20"/>
                <w:szCs w:val="20"/>
              </w:rPr>
            </w:pPr>
            <w:r w:rsidRPr="4A6E8EC8">
              <w:rPr>
                <w:sz w:val="20"/>
                <w:szCs w:val="20"/>
              </w:rPr>
              <w:t>Department of Health, Disability and Ageing</w:t>
            </w:r>
            <w:r w:rsidR="6A3A8412" w:rsidRPr="4A6E8EC8">
              <w:rPr>
                <w:sz w:val="20"/>
                <w:szCs w:val="20"/>
              </w:rPr>
              <w:t xml:space="preserve"> </w:t>
            </w:r>
          </w:p>
          <w:p w14:paraId="470E2F4D" w14:textId="0E009E66" w:rsidR="004A4E13" w:rsidRPr="00CC766E" w:rsidRDefault="004A4E13" w:rsidP="00CC766E">
            <w:pPr>
              <w:pStyle w:val="Tabletext"/>
              <w:spacing w:before="40" w:after="40" w:line="280" w:lineRule="atLeast"/>
              <w:rPr>
                <w:sz w:val="20"/>
                <w:szCs w:val="20"/>
              </w:rPr>
            </w:pPr>
            <w:r w:rsidRPr="4A6E8EC8">
              <w:rPr>
                <w:sz w:val="20"/>
                <w:szCs w:val="20"/>
              </w:rPr>
              <w:t>Services Australia</w:t>
            </w:r>
          </w:p>
        </w:tc>
        <w:tc>
          <w:tcPr>
            <w:tcW w:w="1250" w:type="pct"/>
          </w:tcPr>
          <w:p w14:paraId="5E9D9451" w14:textId="6ECA60C9" w:rsidR="001435B6" w:rsidRPr="00CC766E" w:rsidRDefault="004A4E13" w:rsidP="00CC766E">
            <w:pPr>
              <w:pStyle w:val="Tabletext"/>
              <w:spacing w:before="40" w:after="40" w:line="280" w:lineRule="atLeast"/>
              <w:rPr>
                <w:sz w:val="20"/>
                <w:szCs w:val="20"/>
              </w:rPr>
            </w:pPr>
            <w:r w:rsidRPr="4A6E8EC8">
              <w:rPr>
                <w:sz w:val="20"/>
                <w:szCs w:val="20"/>
              </w:rPr>
              <w:t>Aged Care Management Payment System (ACMPS)</w:t>
            </w:r>
          </w:p>
          <w:p w14:paraId="7BE87508" w14:textId="606A1510" w:rsidR="001435B6" w:rsidRPr="00CC766E" w:rsidRDefault="004A4E13" w:rsidP="00CC766E">
            <w:pPr>
              <w:pStyle w:val="Tabletext"/>
              <w:spacing w:before="40" w:after="40" w:line="280" w:lineRule="atLeast"/>
              <w:rPr>
                <w:sz w:val="20"/>
                <w:szCs w:val="20"/>
              </w:rPr>
            </w:pPr>
            <w:r w:rsidRPr="4A6E8EC8">
              <w:rPr>
                <w:sz w:val="20"/>
                <w:szCs w:val="20"/>
              </w:rPr>
              <w:t>Government Provider Management System (GPMS)</w:t>
            </w:r>
          </w:p>
          <w:p w14:paraId="06397970" w14:textId="5C8B1CAA" w:rsidR="004A4E13" w:rsidRPr="00CC766E" w:rsidRDefault="004A4E13" w:rsidP="00CC766E">
            <w:pPr>
              <w:pStyle w:val="Tabletext"/>
              <w:spacing w:before="40" w:after="40" w:line="280" w:lineRule="atLeast"/>
              <w:rPr>
                <w:sz w:val="20"/>
                <w:szCs w:val="20"/>
              </w:rPr>
            </w:pPr>
            <w:r w:rsidRPr="4A6E8EC8">
              <w:rPr>
                <w:sz w:val="20"/>
                <w:szCs w:val="20"/>
              </w:rPr>
              <w:t>MAC</w:t>
            </w:r>
          </w:p>
        </w:tc>
      </w:tr>
      <w:tr w:rsidR="00CC766E" w:rsidRPr="00CC766E" w14:paraId="050B5ABF" w14:textId="77777777" w:rsidTr="4A6E8EC8">
        <w:tc>
          <w:tcPr>
            <w:tcW w:w="1653" w:type="pct"/>
          </w:tcPr>
          <w:p w14:paraId="06A81B42" w14:textId="7C608064" w:rsidR="004A4E13" w:rsidRPr="00CC766E" w:rsidRDefault="00DC5D8D" w:rsidP="00CC766E">
            <w:pPr>
              <w:pStyle w:val="Tabletext"/>
              <w:spacing w:before="40" w:after="40" w:line="280" w:lineRule="atLeast"/>
              <w:rPr>
                <w:sz w:val="20"/>
                <w:szCs w:val="20"/>
              </w:rPr>
            </w:pPr>
            <w:r w:rsidRPr="00CC766E">
              <w:rPr>
                <w:sz w:val="20"/>
                <w:szCs w:val="20"/>
              </w:rPr>
              <w:t xml:space="preserve">Support entry-level home care services through block grants, with providers reporting service </w:t>
            </w:r>
            <w:r w:rsidRPr="00CC766E">
              <w:rPr>
                <w:sz w:val="20"/>
                <w:szCs w:val="20"/>
              </w:rPr>
              <w:lastRenderedPageBreak/>
              <w:t>delivery data for performance monitoring and payment processing.</w:t>
            </w:r>
          </w:p>
        </w:tc>
        <w:tc>
          <w:tcPr>
            <w:tcW w:w="1119" w:type="pct"/>
            <w:hideMark/>
          </w:tcPr>
          <w:p w14:paraId="5ADF2CFE" w14:textId="65A43795" w:rsidR="004A4E13" w:rsidRPr="00CC766E" w:rsidRDefault="53F453D1" w:rsidP="00CC766E">
            <w:pPr>
              <w:pStyle w:val="Tabletext"/>
              <w:spacing w:before="40" w:after="40" w:line="280" w:lineRule="atLeast"/>
              <w:rPr>
                <w:sz w:val="20"/>
                <w:szCs w:val="20"/>
              </w:rPr>
            </w:pPr>
            <w:r w:rsidRPr="00CC766E">
              <w:rPr>
                <w:sz w:val="20"/>
                <w:szCs w:val="20"/>
              </w:rPr>
              <w:lastRenderedPageBreak/>
              <w:t>DEX Web Portal,</w:t>
            </w:r>
          </w:p>
          <w:p w14:paraId="3A0C2717" w14:textId="54B5A7A2" w:rsidR="004A4E13" w:rsidRPr="00CC766E" w:rsidRDefault="53F453D1" w:rsidP="00CC766E">
            <w:pPr>
              <w:pStyle w:val="Tabletext"/>
              <w:spacing w:before="40" w:after="40" w:line="280" w:lineRule="atLeast"/>
              <w:rPr>
                <w:sz w:val="20"/>
                <w:szCs w:val="20"/>
              </w:rPr>
            </w:pPr>
            <w:r w:rsidRPr="00CC766E">
              <w:rPr>
                <w:sz w:val="20"/>
                <w:szCs w:val="20"/>
              </w:rPr>
              <w:t>DSS Grants</w:t>
            </w:r>
          </w:p>
          <w:p w14:paraId="7AFE04C2" w14:textId="24E121BB" w:rsidR="004A4E13" w:rsidRPr="00CC766E" w:rsidRDefault="53F453D1" w:rsidP="00CC766E">
            <w:pPr>
              <w:pStyle w:val="Tabletext"/>
              <w:spacing w:before="40" w:after="40" w:line="280" w:lineRule="atLeast"/>
              <w:rPr>
                <w:sz w:val="20"/>
                <w:szCs w:val="20"/>
              </w:rPr>
            </w:pPr>
            <w:r w:rsidRPr="00CC766E">
              <w:rPr>
                <w:sz w:val="20"/>
                <w:szCs w:val="20"/>
              </w:rPr>
              <w:lastRenderedPageBreak/>
              <w:t>Submission Forms</w:t>
            </w:r>
          </w:p>
        </w:tc>
        <w:tc>
          <w:tcPr>
            <w:tcW w:w="978" w:type="pct"/>
            <w:hideMark/>
          </w:tcPr>
          <w:p w14:paraId="7E09707F" w14:textId="77777777" w:rsidR="004A4E13" w:rsidRPr="00CC766E" w:rsidRDefault="004A4E13" w:rsidP="4E6B2E34">
            <w:pPr>
              <w:pStyle w:val="Tabletext"/>
              <w:spacing w:before="40" w:after="40" w:line="280" w:lineRule="atLeast"/>
              <w:ind w:left="0"/>
              <w:rPr>
                <w:sz w:val="20"/>
                <w:szCs w:val="20"/>
              </w:rPr>
            </w:pPr>
            <w:r w:rsidRPr="00CC766E">
              <w:rPr>
                <w:sz w:val="20"/>
                <w:szCs w:val="20"/>
              </w:rPr>
              <w:lastRenderedPageBreak/>
              <w:t>Department of Social Services (DSS)</w:t>
            </w:r>
          </w:p>
        </w:tc>
        <w:tc>
          <w:tcPr>
            <w:tcW w:w="1250" w:type="pct"/>
            <w:hideMark/>
          </w:tcPr>
          <w:p w14:paraId="7CAB3705" w14:textId="3A228423" w:rsidR="001435B6" w:rsidRPr="00CC766E" w:rsidRDefault="004A4E13" w:rsidP="00CC766E">
            <w:pPr>
              <w:pStyle w:val="Tabletext"/>
              <w:spacing w:before="40" w:after="40" w:line="280" w:lineRule="atLeast"/>
              <w:rPr>
                <w:sz w:val="20"/>
                <w:szCs w:val="20"/>
              </w:rPr>
            </w:pPr>
            <w:r w:rsidRPr="4A6E8EC8">
              <w:rPr>
                <w:sz w:val="20"/>
                <w:szCs w:val="20"/>
              </w:rPr>
              <w:t>DSS Community Grants Hub</w:t>
            </w:r>
          </w:p>
          <w:p w14:paraId="4B2DB93D" w14:textId="4DAE1F94" w:rsidR="004A4E13" w:rsidRPr="00CC766E" w:rsidRDefault="004A4E13" w:rsidP="00CC766E">
            <w:pPr>
              <w:pStyle w:val="Tabletext"/>
              <w:spacing w:before="40" w:after="40" w:line="280" w:lineRule="atLeast"/>
              <w:rPr>
                <w:sz w:val="20"/>
                <w:szCs w:val="20"/>
              </w:rPr>
            </w:pPr>
            <w:r w:rsidRPr="4A6E8EC8">
              <w:rPr>
                <w:sz w:val="20"/>
                <w:szCs w:val="20"/>
              </w:rPr>
              <w:t>Data Exchange (DEX)</w:t>
            </w:r>
          </w:p>
        </w:tc>
      </w:tr>
      <w:tr w:rsidR="00CC766E" w:rsidRPr="00CC766E" w14:paraId="3AE400C6" w14:textId="77777777" w:rsidTr="4A6E8EC8">
        <w:trPr>
          <w:trHeight w:val="300"/>
        </w:trPr>
        <w:tc>
          <w:tcPr>
            <w:tcW w:w="1653" w:type="pct"/>
          </w:tcPr>
          <w:p w14:paraId="6F729ED9" w14:textId="1DDEE7D9" w:rsidR="004A4E13" w:rsidRPr="00CC766E" w:rsidRDefault="00971CC9" w:rsidP="00CC766E">
            <w:pPr>
              <w:pStyle w:val="Tabletext"/>
              <w:spacing w:before="40" w:after="40" w:line="280" w:lineRule="atLeast"/>
              <w:rPr>
                <w:sz w:val="20"/>
                <w:szCs w:val="20"/>
              </w:rPr>
            </w:pPr>
            <w:r w:rsidRPr="00CC766E">
              <w:rPr>
                <w:sz w:val="20"/>
                <w:szCs w:val="20"/>
              </w:rPr>
              <w:t>Fund culturally appropriate flexible care services for Indigenous elders through grants, with associated reporting obligations.</w:t>
            </w:r>
          </w:p>
        </w:tc>
        <w:tc>
          <w:tcPr>
            <w:tcW w:w="1119" w:type="pct"/>
          </w:tcPr>
          <w:p w14:paraId="683E843D" w14:textId="0E86D1B0" w:rsidR="004A4E13" w:rsidRPr="00CC766E" w:rsidRDefault="6AE54966" w:rsidP="00CC766E">
            <w:pPr>
              <w:pStyle w:val="Tabletext"/>
              <w:spacing w:before="40" w:after="40" w:line="280" w:lineRule="atLeast"/>
              <w:rPr>
                <w:sz w:val="20"/>
                <w:szCs w:val="20"/>
              </w:rPr>
            </w:pPr>
            <w:r w:rsidRPr="00CC766E">
              <w:rPr>
                <w:sz w:val="20"/>
                <w:szCs w:val="20"/>
              </w:rPr>
              <w:t>DSS Grant Reporting</w:t>
            </w:r>
          </w:p>
          <w:p w14:paraId="242BB889" w14:textId="51387B44" w:rsidR="004A4E13" w:rsidRPr="00CC766E" w:rsidRDefault="6AE54966" w:rsidP="00CC766E">
            <w:pPr>
              <w:pStyle w:val="Tabletext"/>
              <w:spacing w:before="40" w:after="40" w:line="280" w:lineRule="atLeast"/>
              <w:rPr>
                <w:sz w:val="20"/>
                <w:szCs w:val="20"/>
              </w:rPr>
            </w:pPr>
            <w:r w:rsidRPr="00CC766E">
              <w:rPr>
                <w:sz w:val="20"/>
                <w:szCs w:val="20"/>
              </w:rPr>
              <w:t>Templates, Portal</w:t>
            </w:r>
          </w:p>
          <w:p w14:paraId="1FA4F9A0" w14:textId="2B769DED" w:rsidR="004A4E13" w:rsidRPr="00CC766E" w:rsidRDefault="6AE54966" w:rsidP="00CC766E">
            <w:pPr>
              <w:pStyle w:val="Tabletext"/>
              <w:spacing w:before="40" w:after="40" w:line="280" w:lineRule="atLeast"/>
              <w:rPr>
                <w:sz w:val="20"/>
                <w:szCs w:val="20"/>
              </w:rPr>
            </w:pPr>
            <w:r w:rsidRPr="00CC766E">
              <w:rPr>
                <w:sz w:val="20"/>
                <w:szCs w:val="20"/>
              </w:rPr>
              <w:t>Access</w:t>
            </w:r>
          </w:p>
        </w:tc>
        <w:tc>
          <w:tcPr>
            <w:tcW w:w="978" w:type="pct"/>
          </w:tcPr>
          <w:p w14:paraId="70046ECA" w14:textId="348763BD" w:rsidR="001435B6" w:rsidRPr="00CC766E" w:rsidRDefault="004A4E13" w:rsidP="00CC766E">
            <w:pPr>
              <w:pStyle w:val="Tabletext"/>
              <w:spacing w:before="40" w:after="40" w:line="280" w:lineRule="atLeast"/>
              <w:rPr>
                <w:sz w:val="20"/>
                <w:szCs w:val="20"/>
              </w:rPr>
            </w:pPr>
            <w:r w:rsidRPr="4A6E8EC8">
              <w:rPr>
                <w:sz w:val="20"/>
                <w:szCs w:val="20"/>
              </w:rPr>
              <w:t>Department of Health</w:t>
            </w:r>
            <w:r w:rsidR="6BE677E4" w:rsidRPr="4A6E8EC8">
              <w:rPr>
                <w:sz w:val="20"/>
                <w:szCs w:val="20"/>
              </w:rPr>
              <w:t xml:space="preserve">, </w:t>
            </w:r>
            <w:r w:rsidR="1E56CBAA" w:rsidRPr="4A6E8EC8">
              <w:rPr>
                <w:sz w:val="20"/>
                <w:szCs w:val="20"/>
              </w:rPr>
              <w:t xml:space="preserve">Disability </w:t>
            </w:r>
            <w:r w:rsidR="5043CDB2" w:rsidRPr="4A6E8EC8">
              <w:rPr>
                <w:sz w:val="20"/>
                <w:szCs w:val="20"/>
              </w:rPr>
              <w:t>and</w:t>
            </w:r>
            <w:r w:rsidR="1E56CBAA" w:rsidRPr="4A6E8EC8">
              <w:rPr>
                <w:sz w:val="20"/>
                <w:szCs w:val="20"/>
              </w:rPr>
              <w:t xml:space="preserve"> Ageing</w:t>
            </w:r>
          </w:p>
          <w:p w14:paraId="1709375C" w14:textId="7F42C03D" w:rsidR="004A4E13" w:rsidRPr="00CC766E" w:rsidRDefault="2D9BF77E" w:rsidP="00CC766E">
            <w:pPr>
              <w:pStyle w:val="Tabletext"/>
              <w:spacing w:before="40" w:after="40" w:line="280" w:lineRule="atLeast"/>
              <w:rPr>
                <w:sz w:val="20"/>
                <w:szCs w:val="20"/>
              </w:rPr>
            </w:pPr>
            <w:r w:rsidRPr="4A6E8EC8">
              <w:rPr>
                <w:sz w:val="20"/>
                <w:szCs w:val="20"/>
              </w:rPr>
              <w:t>DSS</w:t>
            </w:r>
            <w:r w:rsidR="004A4E13" w:rsidRPr="4A6E8EC8">
              <w:rPr>
                <w:sz w:val="20"/>
                <w:szCs w:val="20"/>
              </w:rPr>
              <w:t xml:space="preserve">(Grants Admin) </w:t>
            </w:r>
          </w:p>
        </w:tc>
        <w:tc>
          <w:tcPr>
            <w:tcW w:w="1250" w:type="pct"/>
          </w:tcPr>
          <w:p w14:paraId="579D7BCB" w14:textId="4A204022" w:rsidR="004A4E13" w:rsidRPr="00CC766E" w:rsidRDefault="004A4E13" w:rsidP="00CC766E">
            <w:pPr>
              <w:pStyle w:val="Tabletext"/>
              <w:spacing w:before="40" w:after="40" w:line="280" w:lineRule="atLeast"/>
              <w:rPr>
                <w:sz w:val="20"/>
                <w:szCs w:val="20"/>
              </w:rPr>
            </w:pPr>
            <w:r w:rsidRPr="4A6E8EC8">
              <w:rPr>
                <w:sz w:val="20"/>
                <w:szCs w:val="20"/>
              </w:rPr>
              <w:t>DSS Community Grants Hub</w:t>
            </w:r>
          </w:p>
        </w:tc>
      </w:tr>
      <w:tr w:rsidR="00CC766E" w:rsidRPr="00CC766E" w14:paraId="2A0A1D47" w14:textId="77777777" w:rsidTr="4A6E8EC8">
        <w:trPr>
          <w:cantSplit/>
        </w:trPr>
        <w:tc>
          <w:tcPr>
            <w:tcW w:w="1653" w:type="pct"/>
          </w:tcPr>
          <w:p w14:paraId="73161F64" w14:textId="60822080" w:rsidR="004A4E13" w:rsidRPr="00CC766E" w:rsidRDefault="5680770E" w:rsidP="00CC766E">
            <w:pPr>
              <w:pStyle w:val="Tabletext"/>
              <w:spacing w:before="40" w:after="40" w:line="280" w:lineRule="atLeast"/>
              <w:rPr>
                <w:sz w:val="20"/>
                <w:szCs w:val="20"/>
              </w:rPr>
            </w:pPr>
            <w:r w:rsidRPr="4A6E8EC8">
              <w:rPr>
                <w:sz w:val="20"/>
                <w:szCs w:val="20"/>
              </w:rPr>
              <w:t>Monitor provider performance and compliance through regular submission of care quality indicators including new staffing metrics.</w:t>
            </w:r>
          </w:p>
        </w:tc>
        <w:tc>
          <w:tcPr>
            <w:tcW w:w="1119" w:type="pct"/>
            <w:hideMark/>
          </w:tcPr>
          <w:p w14:paraId="33F52A00" w14:textId="0E62076E" w:rsidR="00712C4A" w:rsidRPr="00CC766E" w:rsidRDefault="21C33ACA" w:rsidP="00CC766E">
            <w:pPr>
              <w:pStyle w:val="Tabletext"/>
              <w:spacing w:before="40" w:after="40" w:line="280" w:lineRule="atLeast"/>
              <w:rPr>
                <w:sz w:val="20"/>
                <w:szCs w:val="20"/>
              </w:rPr>
            </w:pPr>
            <w:r w:rsidRPr="00CC766E">
              <w:rPr>
                <w:sz w:val="20"/>
                <w:szCs w:val="20"/>
              </w:rPr>
              <w:t>QI Submission</w:t>
            </w:r>
            <w:r w:rsidR="00FE471D" w:rsidRPr="00CC766E">
              <w:rPr>
                <w:sz w:val="20"/>
                <w:szCs w:val="20"/>
              </w:rPr>
              <w:t xml:space="preserve"> </w:t>
            </w:r>
            <w:r w:rsidRPr="00CC766E">
              <w:rPr>
                <w:sz w:val="20"/>
                <w:szCs w:val="20"/>
              </w:rPr>
              <w:t>Templates, Excel</w:t>
            </w:r>
          </w:p>
          <w:p w14:paraId="57FE8DA3" w14:textId="41DE0363" w:rsidR="00712C4A" w:rsidRPr="00CC766E" w:rsidRDefault="00712C4A" w:rsidP="00CC766E">
            <w:pPr>
              <w:pStyle w:val="Tabletext"/>
              <w:spacing w:before="40" w:after="40" w:line="280" w:lineRule="atLeast"/>
              <w:rPr>
                <w:sz w:val="20"/>
                <w:szCs w:val="20"/>
              </w:rPr>
            </w:pPr>
          </w:p>
        </w:tc>
        <w:tc>
          <w:tcPr>
            <w:tcW w:w="978" w:type="pct"/>
            <w:hideMark/>
          </w:tcPr>
          <w:p w14:paraId="5B8C7AA8" w14:textId="0D8B5676" w:rsidR="004A4E13" w:rsidRPr="00CC766E" w:rsidRDefault="004A4E13" w:rsidP="00CC766E">
            <w:pPr>
              <w:pStyle w:val="Tabletext"/>
              <w:spacing w:before="40" w:after="40" w:line="280" w:lineRule="atLeast"/>
              <w:rPr>
                <w:sz w:val="20"/>
                <w:szCs w:val="20"/>
              </w:rPr>
            </w:pPr>
            <w:r w:rsidRPr="4A6E8EC8">
              <w:rPr>
                <w:sz w:val="20"/>
                <w:szCs w:val="20"/>
              </w:rPr>
              <w:t>Department of Health</w:t>
            </w:r>
            <w:r w:rsidR="1E56CBAA" w:rsidRPr="4A6E8EC8">
              <w:rPr>
                <w:sz w:val="20"/>
                <w:szCs w:val="20"/>
              </w:rPr>
              <w:t xml:space="preserve">, Disability </w:t>
            </w:r>
            <w:r w:rsidR="5043CDB2" w:rsidRPr="4A6E8EC8">
              <w:rPr>
                <w:sz w:val="20"/>
                <w:szCs w:val="20"/>
              </w:rPr>
              <w:t xml:space="preserve">and </w:t>
            </w:r>
            <w:r w:rsidR="1E56CBAA" w:rsidRPr="4A6E8EC8">
              <w:rPr>
                <w:sz w:val="20"/>
                <w:szCs w:val="20"/>
              </w:rPr>
              <w:t>Ageing</w:t>
            </w:r>
          </w:p>
        </w:tc>
        <w:tc>
          <w:tcPr>
            <w:tcW w:w="1250" w:type="pct"/>
            <w:hideMark/>
          </w:tcPr>
          <w:p w14:paraId="6267C32D" w14:textId="57498C05" w:rsidR="0068438A" w:rsidRPr="00CC766E" w:rsidRDefault="004A4E13" w:rsidP="00CC766E">
            <w:pPr>
              <w:pStyle w:val="Tabletext"/>
              <w:spacing w:before="40" w:after="40" w:line="280" w:lineRule="atLeast"/>
              <w:rPr>
                <w:sz w:val="20"/>
                <w:szCs w:val="20"/>
              </w:rPr>
            </w:pPr>
            <w:r w:rsidRPr="4A6E8EC8">
              <w:rPr>
                <w:sz w:val="20"/>
                <w:szCs w:val="20"/>
              </w:rPr>
              <w:t>GPMS</w:t>
            </w:r>
          </w:p>
          <w:p w14:paraId="374A7412" w14:textId="33B0BF95" w:rsidR="004A4E13" w:rsidRPr="00CC766E" w:rsidRDefault="004A4E13" w:rsidP="00CC766E">
            <w:pPr>
              <w:pStyle w:val="Tabletext"/>
              <w:spacing w:before="40" w:after="40" w:line="280" w:lineRule="atLeast"/>
              <w:rPr>
                <w:sz w:val="20"/>
                <w:szCs w:val="20"/>
              </w:rPr>
            </w:pPr>
            <w:r w:rsidRPr="4A6E8EC8">
              <w:rPr>
                <w:sz w:val="20"/>
                <w:szCs w:val="20"/>
              </w:rPr>
              <w:t>MAC</w:t>
            </w:r>
            <w:r w:rsidR="35BDD57B" w:rsidRPr="4A6E8EC8">
              <w:rPr>
                <w:sz w:val="20"/>
                <w:szCs w:val="20"/>
              </w:rPr>
              <w:t xml:space="preserve">SSP </w:t>
            </w:r>
          </w:p>
        </w:tc>
      </w:tr>
      <w:tr w:rsidR="00CC766E" w:rsidRPr="00CC766E" w14:paraId="6A307BC8" w14:textId="77777777" w:rsidTr="4A6E8EC8">
        <w:tc>
          <w:tcPr>
            <w:tcW w:w="1653" w:type="pct"/>
          </w:tcPr>
          <w:p w14:paraId="1DAF268B" w14:textId="15E75CDD" w:rsidR="004A4E13" w:rsidRPr="00CC766E" w:rsidRDefault="00EC47F2" w:rsidP="00CC766E">
            <w:pPr>
              <w:pStyle w:val="Tabletext"/>
              <w:spacing w:before="40" w:after="40" w:line="280" w:lineRule="atLeast"/>
              <w:rPr>
                <w:sz w:val="20"/>
                <w:szCs w:val="20"/>
              </w:rPr>
            </w:pPr>
            <w:r w:rsidRPr="00CC766E">
              <w:rPr>
                <w:sz w:val="20"/>
                <w:szCs w:val="20"/>
              </w:rPr>
              <w:t>Oversee regulatory compliance by managing complaints, incident reports, and audit findings, and using shared data to inform enforcement actions.</w:t>
            </w:r>
          </w:p>
        </w:tc>
        <w:tc>
          <w:tcPr>
            <w:tcW w:w="1119" w:type="pct"/>
            <w:hideMark/>
          </w:tcPr>
          <w:p w14:paraId="6111E98F" w14:textId="46508FC5" w:rsidR="004A4E13" w:rsidRPr="00CC766E" w:rsidRDefault="47C55F2B" w:rsidP="00CC766E">
            <w:pPr>
              <w:pStyle w:val="Tabletext"/>
              <w:spacing w:before="40" w:after="40" w:line="280" w:lineRule="atLeast"/>
              <w:rPr>
                <w:sz w:val="20"/>
                <w:szCs w:val="20"/>
              </w:rPr>
            </w:pPr>
            <w:r w:rsidRPr="00CC766E">
              <w:rPr>
                <w:sz w:val="20"/>
                <w:szCs w:val="20"/>
              </w:rPr>
              <w:t>Providers submit directly through reporting interfaces</w:t>
            </w:r>
          </w:p>
        </w:tc>
        <w:tc>
          <w:tcPr>
            <w:tcW w:w="978" w:type="pct"/>
            <w:hideMark/>
          </w:tcPr>
          <w:p w14:paraId="0739F8B5" w14:textId="77777777" w:rsidR="004A4E13" w:rsidRPr="00CC766E" w:rsidRDefault="004A4E13" w:rsidP="00CC766E">
            <w:pPr>
              <w:pStyle w:val="Tabletext"/>
              <w:spacing w:before="40" w:after="40" w:line="280" w:lineRule="atLeast"/>
              <w:rPr>
                <w:sz w:val="20"/>
                <w:szCs w:val="20"/>
              </w:rPr>
            </w:pPr>
            <w:r w:rsidRPr="00CC766E">
              <w:rPr>
                <w:sz w:val="20"/>
                <w:szCs w:val="20"/>
              </w:rPr>
              <w:t>Aged Care Quality and Safety Commission</w:t>
            </w:r>
          </w:p>
        </w:tc>
        <w:tc>
          <w:tcPr>
            <w:tcW w:w="1250" w:type="pct"/>
            <w:hideMark/>
          </w:tcPr>
          <w:p w14:paraId="36016121" w14:textId="65AD52CA" w:rsidR="0068438A" w:rsidRPr="00CC766E" w:rsidRDefault="004A4E13" w:rsidP="00CC766E">
            <w:pPr>
              <w:pStyle w:val="Tabletext"/>
              <w:spacing w:before="40" w:after="40" w:line="280" w:lineRule="atLeast"/>
              <w:rPr>
                <w:sz w:val="20"/>
                <w:szCs w:val="20"/>
              </w:rPr>
            </w:pPr>
            <w:r w:rsidRPr="4A6E8EC8">
              <w:rPr>
                <w:sz w:val="20"/>
                <w:szCs w:val="20"/>
              </w:rPr>
              <w:t>Internal Commission systems</w:t>
            </w:r>
            <w:r w:rsidR="5043CDB2" w:rsidRPr="4A6E8EC8">
              <w:rPr>
                <w:sz w:val="20"/>
                <w:szCs w:val="20"/>
              </w:rPr>
              <w:t xml:space="preserve"> </w:t>
            </w:r>
          </w:p>
          <w:p w14:paraId="535C8F05" w14:textId="764981A7" w:rsidR="0068438A" w:rsidRPr="00CC766E" w:rsidRDefault="5043CDB2" w:rsidP="00CC766E">
            <w:pPr>
              <w:pStyle w:val="Tabletext"/>
              <w:spacing w:before="40" w:after="40" w:line="280" w:lineRule="atLeast"/>
              <w:rPr>
                <w:sz w:val="20"/>
                <w:szCs w:val="20"/>
              </w:rPr>
            </w:pPr>
            <w:r w:rsidRPr="4A6E8EC8">
              <w:rPr>
                <w:sz w:val="20"/>
                <w:szCs w:val="20"/>
              </w:rPr>
              <w:t>D</w:t>
            </w:r>
            <w:r w:rsidR="004A4E13" w:rsidRPr="4A6E8EC8">
              <w:rPr>
                <w:sz w:val="20"/>
                <w:szCs w:val="20"/>
              </w:rPr>
              <w:t xml:space="preserve">ata shared from </w:t>
            </w:r>
            <w:r w:rsidRPr="4A6E8EC8">
              <w:rPr>
                <w:sz w:val="20"/>
                <w:szCs w:val="20"/>
              </w:rPr>
              <w:t>DHDA</w:t>
            </w:r>
          </w:p>
          <w:p w14:paraId="5606DE7E" w14:textId="1E708FCB" w:rsidR="004A4E13" w:rsidRPr="00CC766E" w:rsidRDefault="6DA48EF0" w:rsidP="00CC766E">
            <w:pPr>
              <w:pStyle w:val="Tabletext"/>
              <w:spacing w:before="40" w:after="40" w:line="280" w:lineRule="atLeast"/>
              <w:rPr>
                <w:sz w:val="20"/>
                <w:szCs w:val="20"/>
              </w:rPr>
            </w:pPr>
            <w:r w:rsidRPr="4A6E8EC8">
              <w:rPr>
                <w:sz w:val="20"/>
                <w:szCs w:val="20"/>
              </w:rPr>
              <w:t xml:space="preserve">SIRS </w:t>
            </w:r>
          </w:p>
        </w:tc>
      </w:tr>
      <w:tr w:rsidR="00CC766E" w:rsidRPr="00CC766E" w14:paraId="0E2F5A53" w14:textId="77777777" w:rsidTr="4A6E8EC8">
        <w:trPr>
          <w:trHeight w:val="300"/>
        </w:trPr>
        <w:tc>
          <w:tcPr>
            <w:tcW w:w="1653" w:type="pct"/>
          </w:tcPr>
          <w:p w14:paraId="77DD85EC" w14:textId="7E4F226C" w:rsidR="2A3A3EA6" w:rsidRPr="00CC766E" w:rsidRDefault="2615EC5D" w:rsidP="00CC766E">
            <w:pPr>
              <w:pStyle w:val="Tabletext"/>
              <w:spacing w:before="40" w:after="40" w:line="280" w:lineRule="atLeast"/>
              <w:rPr>
                <w:sz w:val="20"/>
                <w:szCs w:val="20"/>
              </w:rPr>
            </w:pPr>
            <w:r w:rsidRPr="00CC766E">
              <w:rPr>
                <w:sz w:val="20"/>
                <w:szCs w:val="20"/>
              </w:rPr>
              <w:t xml:space="preserve">Monitor provider financial </w:t>
            </w:r>
            <w:r w:rsidR="19E65100" w:rsidRPr="00CC766E">
              <w:rPr>
                <w:sz w:val="20"/>
                <w:szCs w:val="20"/>
              </w:rPr>
              <w:t>performance and care minutes compliance on</w:t>
            </w:r>
            <w:r w:rsidRPr="00CC766E">
              <w:rPr>
                <w:sz w:val="20"/>
                <w:szCs w:val="20"/>
              </w:rPr>
              <w:t xml:space="preserve"> </w:t>
            </w:r>
            <w:r w:rsidR="4FE8ACC3" w:rsidRPr="00CC766E">
              <w:rPr>
                <w:sz w:val="20"/>
                <w:szCs w:val="20"/>
              </w:rPr>
              <w:t>a</w:t>
            </w:r>
            <w:r w:rsidRPr="00CC766E">
              <w:rPr>
                <w:sz w:val="20"/>
                <w:szCs w:val="20"/>
              </w:rPr>
              <w:t xml:space="preserve"> </w:t>
            </w:r>
            <w:r w:rsidR="090E2C4A" w:rsidRPr="00CC766E">
              <w:rPr>
                <w:sz w:val="20"/>
                <w:szCs w:val="20"/>
              </w:rPr>
              <w:t>quarterly</w:t>
            </w:r>
            <w:r w:rsidRPr="00CC766E">
              <w:rPr>
                <w:sz w:val="20"/>
                <w:szCs w:val="20"/>
              </w:rPr>
              <w:t xml:space="preserve"> basis. </w:t>
            </w:r>
          </w:p>
        </w:tc>
        <w:tc>
          <w:tcPr>
            <w:tcW w:w="1119" w:type="pct"/>
            <w:hideMark/>
          </w:tcPr>
          <w:p w14:paraId="2CE81C25" w14:textId="6130F502" w:rsidR="2A3A3EA6" w:rsidRPr="00CC766E" w:rsidRDefault="4915157C" w:rsidP="00CC766E">
            <w:pPr>
              <w:pStyle w:val="Tabletext"/>
              <w:spacing w:before="40" w:after="40" w:line="280" w:lineRule="atLeast"/>
              <w:rPr>
                <w:sz w:val="20"/>
                <w:szCs w:val="20"/>
              </w:rPr>
            </w:pPr>
            <w:r w:rsidRPr="00CC766E">
              <w:rPr>
                <w:sz w:val="20"/>
                <w:szCs w:val="20"/>
              </w:rPr>
              <w:t xml:space="preserve">QFR </w:t>
            </w:r>
            <w:r w:rsidR="72FAA706" w:rsidRPr="00CC766E">
              <w:rPr>
                <w:sz w:val="20"/>
                <w:szCs w:val="20"/>
              </w:rPr>
              <w:t xml:space="preserve">Excel </w:t>
            </w:r>
            <w:r w:rsidRPr="00CC766E">
              <w:rPr>
                <w:sz w:val="20"/>
                <w:szCs w:val="20"/>
              </w:rPr>
              <w:t xml:space="preserve">Templates </w:t>
            </w:r>
          </w:p>
        </w:tc>
        <w:tc>
          <w:tcPr>
            <w:tcW w:w="978" w:type="pct"/>
            <w:hideMark/>
          </w:tcPr>
          <w:p w14:paraId="0C8EF773" w14:textId="72A43553" w:rsidR="2A3A3EA6" w:rsidRPr="00CC766E" w:rsidRDefault="4915157C" w:rsidP="00CC766E">
            <w:pPr>
              <w:pStyle w:val="Tabletext"/>
              <w:spacing w:before="40" w:after="40" w:line="280" w:lineRule="atLeast"/>
              <w:rPr>
                <w:sz w:val="20"/>
                <w:szCs w:val="20"/>
              </w:rPr>
            </w:pPr>
            <w:r w:rsidRPr="00CC766E">
              <w:rPr>
                <w:sz w:val="20"/>
                <w:szCs w:val="20"/>
              </w:rPr>
              <w:t xml:space="preserve">Department of Health, Disability and Ageing </w:t>
            </w:r>
          </w:p>
        </w:tc>
        <w:tc>
          <w:tcPr>
            <w:tcW w:w="1250" w:type="pct"/>
            <w:hideMark/>
          </w:tcPr>
          <w:p w14:paraId="48E8B48F" w14:textId="2CC8EF90" w:rsidR="2A3A3EA6" w:rsidRPr="00CC766E" w:rsidRDefault="564C2AC9" w:rsidP="00CC766E">
            <w:pPr>
              <w:pStyle w:val="Tabletext"/>
              <w:spacing w:before="40" w:after="40" w:line="280" w:lineRule="atLeast"/>
              <w:rPr>
                <w:sz w:val="20"/>
                <w:szCs w:val="20"/>
              </w:rPr>
            </w:pPr>
            <w:r w:rsidRPr="4A6E8EC8">
              <w:rPr>
                <w:sz w:val="20"/>
                <w:szCs w:val="20"/>
              </w:rPr>
              <w:t>GPMS</w:t>
            </w:r>
          </w:p>
        </w:tc>
      </w:tr>
      <w:tr w:rsidR="00CC766E" w:rsidRPr="00CC766E" w14:paraId="4D88A561" w14:textId="77777777" w:rsidTr="4A6E8EC8">
        <w:trPr>
          <w:trHeight w:val="300"/>
        </w:trPr>
        <w:tc>
          <w:tcPr>
            <w:tcW w:w="1653" w:type="pct"/>
          </w:tcPr>
          <w:p w14:paraId="2E29F263" w14:textId="35C6A471" w:rsidR="2A3A3EA6" w:rsidRPr="00CC766E" w:rsidRDefault="001D027C" w:rsidP="00CC766E">
            <w:pPr>
              <w:pStyle w:val="Tabletext"/>
              <w:spacing w:before="40" w:after="40" w:line="280" w:lineRule="atLeast"/>
              <w:rPr>
                <w:sz w:val="20"/>
                <w:szCs w:val="20"/>
              </w:rPr>
            </w:pPr>
            <w:r w:rsidRPr="00CC766E">
              <w:rPr>
                <w:sz w:val="20"/>
                <w:szCs w:val="20"/>
              </w:rPr>
              <w:t>P</w:t>
            </w:r>
            <w:r w:rsidR="35BE6A9C" w:rsidRPr="00CC766E">
              <w:rPr>
                <w:sz w:val="20"/>
                <w:szCs w:val="20"/>
              </w:rPr>
              <w:t xml:space="preserve">rovide a comprehensive, audited view of </w:t>
            </w:r>
            <w:r w:rsidR="002812D9" w:rsidRPr="00CC766E">
              <w:rPr>
                <w:sz w:val="20"/>
                <w:szCs w:val="20"/>
              </w:rPr>
              <w:t>f</w:t>
            </w:r>
            <w:r w:rsidRPr="00CC766E">
              <w:rPr>
                <w:sz w:val="20"/>
                <w:szCs w:val="20"/>
              </w:rPr>
              <w:t>inancial</w:t>
            </w:r>
            <w:r w:rsidR="35BE6A9C" w:rsidRPr="00CC766E">
              <w:rPr>
                <w:sz w:val="20"/>
                <w:szCs w:val="20"/>
              </w:rPr>
              <w:t xml:space="preserve"> performance and governance on an annual basis</w:t>
            </w:r>
            <w:r w:rsidR="002812D9" w:rsidRPr="00CC766E">
              <w:rPr>
                <w:sz w:val="20"/>
                <w:szCs w:val="20"/>
              </w:rPr>
              <w:t>.</w:t>
            </w:r>
          </w:p>
        </w:tc>
        <w:tc>
          <w:tcPr>
            <w:tcW w:w="1119" w:type="pct"/>
            <w:hideMark/>
          </w:tcPr>
          <w:p w14:paraId="52C4EED6" w14:textId="450BAAE1" w:rsidR="2A3A3EA6" w:rsidRPr="00CC766E" w:rsidRDefault="4915157C" w:rsidP="00CC766E">
            <w:pPr>
              <w:pStyle w:val="Tabletext"/>
              <w:spacing w:before="40" w:after="40" w:line="280" w:lineRule="atLeast"/>
              <w:rPr>
                <w:sz w:val="20"/>
                <w:szCs w:val="20"/>
              </w:rPr>
            </w:pPr>
            <w:r w:rsidRPr="00CC766E">
              <w:rPr>
                <w:sz w:val="20"/>
                <w:szCs w:val="20"/>
              </w:rPr>
              <w:t xml:space="preserve">ACFR </w:t>
            </w:r>
            <w:r w:rsidR="3EB83518" w:rsidRPr="00CC766E">
              <w:rPr>
                <w:sz w:val="20"/>
                <w:szCs w:val="20"/>
              </w:rPr>
              <w:t xml:space="preserve">Excel </w:t>
            </w:r>
            <w:r w:rsidRPr="00CC766E">
              <w:rPr>
                <w:sz w:val="20"/>
                <w:szCs w:val="20"/>
              </w:rPr>
              <w:t>Templates</w:t>
            </w:r>
          </w:p>
        </w:tc>
        <w:tc>
          <w:tcPr>
            <w:tcW w:w="978" w:type="pct"/>
            <w:hideMark/>
          </w:tcPr>
          <w:p w14:paraId="38F5BE45" w14:textId="34164443" w:rsidR="2A3A3EA6" w:rsidRPr="00CC766E" w:rsidRDefault="4915157C" w:rsidP="00CC766E">
            <w:pPr>
              <w:pStyle w:val="Tabletext"/>
              <w:spacing w:before="40" w:after="40" w:line="280" w:lineRule="atLeast"/>
              <w:rPr>
                <w:sz w:val="20"/>
                <w:szCs w:val="20"/>
              </w:rPr>
            </w:pPr>
            <w:r w:rsidRPr="00CC766E">
              <w:rPr>
                <w:sz w:val="20"/>
                <w:szCs w:val="20"/>
              </w:rPr>
              <w:t>Department of Health, Disability and Ageing</w:t>
            </w:r>
          </w:p>
        </w:tc>
        <w:tc>
          <w:tcPr>
            <w:tcW w:w="1250" w:type="pct"/>
            <w:hideMark/>
          </w:tcPr>
          <w:p w14:paraId="47B12D48" w14:textId="15B6944A" w:rsidR="2A3A3EA6" w:rsidRPr="00CC766E" w:rsidRDefault="4915157C" w:rsidP="00CC766E">
            <w:pPr>
              <w:pStyle w:val="Tabletext"/>
              <w:spacing w:before="40" w:after="40" w:line="280" w:lineRule="atLeast"/>
              <w:rPr>
                <w:sz w:val="20"/>
                <w:szCs w:val="20"/>
              </w:rPr>
            </w:pPr>
            <w:r w:rsidRPr="00CC766E">
              <w:rPr>
                <w:sz w:val="20"/>
                <w:szCs w:val="20"/>
              </w:rPr>
              <w:t>Forms Administration Portal</w:t>
            </w:r>
          </w:p>
        </w:tc>
      </w:tr>
      <w:tr w:rsidR="000F234F" w:rsidRPr="00CC766E" w14:paraId="05924707" w14:textId="77777777" w:rsidTr="4A6E8EC8">
        <w:trPr>
          <w:trHeight w:val="300"/>
        </w:trPr>
        <w:tc>
          <w:tcPr>
            <w:tcW w:w="1653" w:type="pct"/>
          </w:tcPr>
          <w:p w14:paraId="203A4B94" w14:textId="12D87430" w:rsidR="00D40B06" w:rsidRPr="00CC766E" w:rsidRDefault="78FA1DF5" w:rsidP="00CC766E">
            <w:pPr>
              <w:pStyle w:val="Tabletext"/>
              <w:spacing w:before="40" w:after="40" w:line="280" w:lineRule="atLeast"/>
              <w:rPr>
                <w:sz w:val="20"/>
                <w:szCs w:val="20"/>
              </w:rPr>
            </w:pPr>
            <w:r w:rsidRPr="4A6E8EC8">
              <w:rPr>
                <w:sz w:val="20"/>
                <w:szCs w:val="20"/>
                <w:lang w:eastAsia="en-AU"/>
              </w:rPr>
              <w:t>Provide insights into staffing levels, employment types, training, worker perspectives and workforce composition across various care settings.</w:t>
            </w:r>
          </w:p>
        </w:tc>
        <w:tc>
          <w:tcPr>
            <w:tcW w:w="1119" w:type="pct"/>
          </w:tcPr>
          <w:p w14:paraId="3D85BD12" w14:textId="77777777" w:rsidR="00D40B06" w:rsidRPr="00CC766E" w:rsidRDefault="78FA1DF5" w:rsidP="00D40B06">
            <w:pPr>
              <w:pStyle w:val="Tabletext"/>
              <w:spacing w:before="40" w:after="40" w:line="280" w:lineRule="atLeast"/>
              <w:rPr>
                <w:sz w:val="20"/>
                <w:szCs w:val="20"/>
              </w:rPr>
            </w:pPr>
            <w:r w:rsidRPr="4A6E8EC8">
              <w:rPr>
                <w:sz w:val="20"/>
                <w:szCs w:val="20"/>
              </w:rPr>
              <w:t>Aged Care Provider Workforce Survey</w:t>
            </w:r>
          </w:p>
          <w:p w14:paraId="777235D1" w14:textId="4EB3251E" w:rsidR="00D40B06" w:rsidRPr="00CC766E" w:rsidRDefault="78FA1DF5" w:rsidP="00D40B06">
            <w:pPr>
              <w:pStyle w:val="Tabletext"/>
              <w:spacing w:before="40" w:after="40" w:line="280" w:lineRule="atLeast"/>
              <w:rPr>
                <w:sz w:val="20"/>
                <w:szCs w:val="20"/>
              </w:rPr>
            </w:pPr>
            <w:r w:rsidRPr="4A6E8EC8">
              <w:rPr>
                <w:sz w:val="20"/>
                <w:szCs w:val="20"/>
              </w:rPr>
              <w:t>Aged Care Worker Survey</w:t>
            </w:r>
          </w:p>
        </w:tc>
        <w:tc>
          <w:tcPr>
            <w:tcW w:w="978" w:type="pct"/>
          </w:tcPr>
          <w:p w14:paraId="738796F2" w14:textId="789EBE8D" w:rsidR="00D40B06" w:rsidRPr="00CC766E" w:rsidRDefault="78FA1DF5" w:rsidP="00CC766E">
            <w:pPr>
              <w:pStyle w:val="Tabletext"/>
              <w:spacing w:before="40" w:after="40" w:line="280" w:lineRule="atLeast"/>
              <w:rPr>
                <w:sz w:val="20"/>
                <w:szCs w:val="20"/>
              </w:rPr>
            </w:pPr>
            <w:r w:rsidRPr="4A6E8EC8">
              <w:rPr>
                <w:sz w:val="20"/>
                <w:szCs w:val="20"/>
              </w:rPr>
              <w:t>Department of Health, Disability and Ageing</w:t>
            </w:r>
          </w:p>
        </w:tc>
        <w:tc>
          <w:tcPr>
            <w:tcW w:w="1250" w:type="pct"/>
          </w:tcPr>
          <w:p w14:paraId="33B6C437" w14:textId="311232B9" w:rsidR="00D40B06" w:rsidRPr="00CC766E" w:rsidRDefault="78FA1DF5" w:rsidP="00CC766E">
            <w:pPr>
              <w:pStyle w:val="Tabletext"/>
              <w:spacing w:before="40" w:after="40" w:line="280" w:lineRule="atLeast"/>
              <w:rPr>
                <w:sz w:val="20"/>
                <w:szCs w:val="20"/>
              </w:rPr>
            </w:pPr>
            <w:r w:rsidRPr="4A6E8EC8">
              <w:rPr>
                <w:sz w:val="20"/>
                <w:szCs w:val="20"/>
              </w:rPr>
              <w:t>Surveys</w:t>
            </w:r>
          </w:p>
        </w:tc>
      </w:tr>
    </w:tbl>
    <w:p w14:paraId="4542FBB5" w14:textId="7B1E6969" w:rsidR="4A6E8EC8" w:rsidRDefault="4A6E8EC8"/>
    <w:p w14:paraId="5D9EE23A" w14:textId="77777777" w:rsidR="00DB3CEC" w:rsidRDefault="00DB3CEC" w:rsidP="00EB737C"/>
    <w:p w14:paraId="264114EC" w14:textId="77777777" w:rsidR="004A4E13" w:rsidRDefault="004A4E13">
      <w:pPr>
        <w:spacing w:after="160" w:line="278" w:lineRule="auto"/>
        <w:sectPr w:rsidR="004A4E13" w:rsidSect="004A4E13">
          <w:pgSz w:w="16838" w:h="11906" w:orient="landscape"/>
          <w:pgMar w:top="1134" w:right="1134" w:bottom="1134" w:left="1134" w:header="708" w:footer="708" w:gutter="0"/>
          <w:cols w:space="708"/>
          <w:docGrid w:linePitch="360"/>
        </w:sectPr>
      </w:pPr>
      <w:bookmarkStart w:id="6" w:name="_Toc202368157"/>
    </w:p>
    <w:bookmarkEnd w:id="6"/>
    <w:p w14:paraId="32976B8E" w14:textId="01121DE9" w:rsidR="00C5256C" w:rsidRPr="00C5256C" w:rsidRDefault="00C5256C" w:rsidP="4A6E8EC8">
      <w:pPr>
        <w:pStyle w:val="Heading2"/>
        <w:spacing w:after="240"/>
      </w:pPr>
      <w:r>
        <w:lastRenderedPageBreak/>
        <w:t xml:space="preserve">Appendix </w:t>
      </w:r>
      <w:r w:rsidR="00D27B42">
        <w:t>B</w:t>
      </w:r>
      <w:r>
        <w:t xml:space="preserve"> – Key documentation </w:t>
      </w:r>
    </w:p>
    <w:p w14:paraId="459C2A96" w14:textId="209F46A3" w:rsidR="00C5256C" w:rsidRPr="00A809BC" w:rsidRDefault="00A30B7B" w:rsidP="00A809BC">
      <w:r w:rsidRPr="00A30B7B">
        <w:t>This appendix provides a list of key documents, reports, strategies, and data sources that inform</w:t>
      </w:r>
      <w:r>
        <w:t>ed</w:t>
      </w:r>
      <w:r w:rsidRPr="00A30B7B">
        <w:t xml:space="preserve"> the Aged Care Data and Reporting Review</w:t>
      </w:r>
      <w:r w:rsidR="00422198">
        <w:t xml:space="preserve"> Environmental Scan</w:t>
      </w:r>
      <w:r w:rsidRPr="00A30B7B">
        <w:t>.</w:t>
      </w:r>
    </w:p>
    <w:p w14:paraId="396BE3F7" w14:textId="015640EF" w:rsidR="00A809BC" w:rsidRPr="00CC766E" w:rsidRDefault="00494980" w:rsidP="00381528">
      <w:pPr>
        <w:pStyle w:val="Caption"/>
        <w:keepNext/>
        <w:rPr>
          <w:sz w:val="24"/>
          <w:szCs w:val="22"/>
        </w:rPr>
      </w:pPr>
      <w:r w:rsidRPr="00CC766E">
        <w:rPr>
          <w:sz w:val="24"/>
          <w:szCs w:val="22"/>
        </w:rPr>
        <w:t>Table B.1</w:t>
      </w:r>
      <w:r w:rsidR="00F2666E">
        <w:rPr>
          <w:sz w:val="24"/>
          <w:szCs w:val="22"/>
        </w:rPr>
        <w:t>:</w:t>
      </w:r>
      <w:r w:rsidRPr="00CC766E">
        <w:rPr>
          <w:sz w:val="24"/>
          <w:szCs w:val="22"/>
        </w:rPr>
        <w:t xml:space="preserve"> </w:t>
      </w:r>
      <w:r w:rsidR="00A809BC" w:rsidRPr="00CC766E">
        <w:rPr>
          <w:sz w:val="24"/>
          <w:szCs w:val="22"/>
        </w:rPr>
        <w:t>Context mapping documents</w:t>
      </w:r>
    </w:p>
    <w:tbl>
      <w:tblPr>
        <w:tblW w:w="14601" w:type="dxa"/>
        <w:tblBorders>
          <w:bottom w:val="single" w:sz="4" w:space="0" w:color="212492"/>
          <w:insideH w:val="single" w:sz="4" w:space="0" w:color="212492"/>
        </w:tblBorders>
        <w:tblCellMar>
          <w:left w:w="57" w:type="dxa"/>
          <w:right w:w="57" w:type="dxa"/>
        </w:tblCellMar>
        <w:tblLook w:val="04A0" w:firstRow="1" w:lastRow="0" w:firstColumn="1" w:lastColumn="0" w:noHBand="0" w:noVBand="1"/>
      </w:tblPr>
      <w:tblGrid>
        <w:gridCol w:w="14601"/>
      </w:tblGrid>
      <w:tr w:rsidR="00DF64F0" w:rsidRPr="00646E35" w14:paraId="53D20FB3" w14:textId="77777777" w:rsidTr="4A6E8EC8">
        <w:trPr>
          <w:trHeight w:val="397"/>
        </w:trPr>
        <w:tc>
          <w:tcPr>
            <w:tcW w:w="14601" w:type="dxa"/>
            <w:tcBorders>
              <w:top w:val="single" w:sz="4" w:space="0" w:color="212492" w:themeColor="accent1"/>
              <w:left w:val="nil"/>
              <w:bottom w:val="single" w:sz="4" w:space="0" w:color="212492" w:themeColor="accent1"/>
              <w:right w:val="nil"/>
            </w:tcBorders>
            <w:vAlign w:val="center"/>
            <w:hideMark/>
          </w:tcPr>
          <w:p w14:paraId="5645EE41" w14:textId="77777777" w:rsidR="00DF64F0" w:rsidRPr="00CC766E" w:rsidRDefault="00DF64F0"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Final report of the Aged Care Taskforce</w:t>
            </w:r>
          </w:p>
        </w:tc>
      </w:tr>
      <w:tr w:rsidR="00DF64F0" w:rsidRPr="00646E35" w14:paraId="737C29AB" w14:textId="77777777" w:rsidTr="4A6E8EC8">
        <w:trPr>
          <w:trHeight w:val="397"/>
        </w:trPr>
        <w:tc>
          <w:tcPr>
            <w:tcW w:w="14601" w:type="dxa"/>
            <w:tcBorders>
              <w:top w:val="single" w:sz="4" w:space="0" w:color="212492" w:themeColor="accent1"/>
              <w:left w:val="nil"/>
              <w:bottom w:val="single" w:sz="4" w:space="0" w:color="212492" w:themeColor="accent1"/>
              <w:right w:val="nil"/>
            </w:tcBorders>
            <w:vAlign w:val="center"/>
          </w:tcPr>
          <w:p w14:paraId="3CB128EF" w14:textId="77777777" w:rsidR="00DF64F0" w:rsidRPr="00CC766E" w:rsidRDefault="00DF64F0"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Aged Care Data and Digital Strategy 2024–2029 and Action Plan</w:t>
            </w:r>
          </w:p>
        </w:tc>
      </w:tr>
      <w:tr w:rsidR="00DF64F0" w:rsidRPr="00646E35" w14:paraId="2194339F" w14:textId="77777777" w:rsidTr="4A6E8EC8">
        <w:trPr>
          <w:trHeight w:val="397"/>
        </w:trPr>
        <w:tc>
          <w:tcPr>
            <w:tcW w:w="14601" w:type="dxa"/>
            <w:tcBorders>
              <w:top w:val="single" w:sz="4" w:space="0" w:color="212492" w:themeColor="accent1"/>
              <w:left w:val="nil"/>
              <w:bottom w:val="single" w:sz="4" w:space="0" w:color="212492" w:themeColor="accent1"/>
              <w:right w:val="nil"/>
            </w:tcBorders>
            <w:vAlign w:val="center"/>
          </w:tcPr>
          <w:p w14:paraId="7D5784F2" w14:textId="77777777" w:rsidR="00DF64F0" w:rsidRPr="00CC766E" w:rsidRDefault="00DF64F0"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Department of Health and Aged Care Annual Report 2023-24</w:t>
            </w:r>
          </w:p>
        </w:tc>
      </w:tr>
      <w:tr w:rsidR="00DF64F0" w:rsidRPr="00646E35" w14:paraId="3C86D0DC" w14:textId="77777777" w:rsidTr="4A6E8EC8">
        <w:trPr>
          <w:trHeight w:val="397"/>
        </w:trPr>
        <w:tc>
          <w:tcPr>
            <w:tcW w:w="14601" w:type="dxa"/>
            <w:tcBorders>
              <w:top w:val="single" w:sz="4" w:space="0" w:color="212492" w:themeColor="accent1"/>
              <w:left w:val="nil"/>
              <w:bottom w:val="single" w:sz="4" w:space="0" w:color="212492" w:themeColor="accent1"/>
              <w:right w:val="nil"/>
            </w:tcBorders>
            <w:vAlign w:val="center"/>
          </w:tcPr>
          <w:p w14:paraId="4D8D3067" w14:textId="77777777" w:rsidR="00DF64F0" w:rsidRPr="00CC766E" w:rsidRDefault="00DF64F0"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The Australian aged care data landscape: gaps, opportunities and future directions</w:t>
            </w:r>
          </w:p>
        </w:tc>
      </w:tr>
      <w:tr w:rsidR="00DF64F0" w:rsidRPr="00646E35" w14:paraId="05440742" w14:textId="77777777" w:rsidTr="4A6E8EC8">
        <w:trPr>
          <w:trHeight w:val="397"/>
        </w:trPr>
        <w:tc>
          <w:tcPr>
            <w:tcW w:w="14601" w:type="dxa"/>
            <w:tcBorders>
              <w:top w:val="single" w:sz="4" w:space="0" w:color="212492" w:themeColor="accent1"/>
              <w:left w:val="nil"/>
              <w:bottom w:val="single" w:sz="4" w:space="0" w:color="212492" w:themeColor="accent1"/>
              <w:right w:val="nil"/>
            </w:tcBorders>
            <w:vAlign w:val="center"/>
          </w:tcPr>
          <w:p w14:paraId="1B0761EA" w14:textId="77777777" w:rsidR="00DF64F0" w:rsidRPr="00CC766E" w:rsidRDefault="00DF64F0"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Aged Care Act (new from 1 November 2025)</w:t>
            </w:r>
          </w:p>
        </w:tc>
      </w:tr>
    </w:tbl>
    <w:p w14:paraId="5773107D" w14:textId="6505BBE8" w:rsidR="00A809BC" w:rsidRPr="00CC766E" w:rsidRDefault="00494980" w:rsidP="00381528">
      <w:pPr>
        <w:pStyle w:val="Caption"/>
        <w:keepNext/>
        <w:rPr>
          <w:sz w:val="24"/>
          <w:szCs w:val="22"/>
        </w:rPr>
      </w:pPr>
      <w:bookmarkStart w:id="7" w:name="_Toc198835878"/>
      <w:bookmarkStart w:id="8" w:name="_Toc200026652"/>
      <w:bookmarkStart w:id="9" w:name="_Toc202368159"/>
      <w:r w:rsidRPr="00CC766E">
        <w:rPr>
          <w:sz w:val="24"/>
          <w:szCs w:val="22"/>
        </w:rPr>
        <w:t xml:space="preserve">Table </w:t>
      </w:r>
      <w:r w:rsidR="006D60E7" w:rsidRPr="00CC766E">
        <w:rPr>
          <w:sz w:val="24"/>
          <w:szCs w:val="22"/>
        </w:rPr>
        <w:t>B.2</w:t>
      </w:r>
      <w:r w:rsidR="00F2666E">
        <w:rPr>
          <w:sz w:val="24"/>
          <w:szCs w:val="22"/>
        </w:rPr>
        <w:t>:</w:t>
      </w:r>
      <w:r w:rsidR="006D60E7" w:rsidRPr="00CC766E">
        <w:rPr>
          <w:sz w:val="24"/>
          <w:szCs w:val="22"/>
        </w:rPr>
        <w:t xml:space="preserve"> </w:t>
      </w:r>
      <w:r w:rsidR="00A809BC" w:rsidRPr="00CC766E">
        <w:rPr>
          <w:sz w:val="24"/>
          <w:szCs w:val="22"/>
        </w:rPr>
        <w:t>Desktop review documents</w:t>
      </w:r>
      <w:bookmarkEnd w:id="7"/>
      <w:bookmarkEnd w:id="8"/>
      <w:bookmarkEnd w:id="9"/>
    </w:p>
    <w:tbl>
      <w:tblPr>
        <w:tblW w:w="14601" w:type="dxa"/>
        <w:tblBorders>
          <w:bottom w:val="single" w:sz="4" w:space="0" w:color="212492"/>
          <w:insideH w:val="single" w:sz="4" w:space="0" w:color="212492"/>
        </w:tblBorders>
        <w:tblCellMar>
          <w:left w:w="57" w:type="dxa"/>
          <w:right w:w="57" w:type="dxa"/>
        </w:tblCellMar>
        <w:tblLook w:val="04A0" w:firstRow="1" w:lastRow="0" w:firstColumn="1" w:lastColumn="0" w:noHBand="0" w:noVBand="1"/>
        <w:tblCaption w:val="Desktop Review Documents"/>
        <w:tblDescription w:val="Table displays sources of data standards, specifications and collections from inside the Department of Health, Disability and Ageing"/>
      </w:tblPr>
      <w:tblGrid>
        <w:gridCol w:w="5954"/>
        <w:gridCol w:w="8647"/>
      </w:tblGrid>
      <w:tr w:rsidR="001B404A" w:rsidRPr="00CC766E" w14:paraId="02F9B2EF" w14:textId="77777777" w:rsidTr="4A6E8EC8">
        <w:trPr>
          <w:trHeight w:val="300"/>
          <w:tblHeader/>
        </w:trPr>
        <w:tc>
          <w:tcPr>
            <w:tcW w:w="5954" w:type="dxa"/>
            <w:tcBorders>
              <w:top w:val="nil"/>
              <w:left w:val="nil"/>
              <w:bottom w:val="single" w:sz="4" w:space="0" w:color="212492" w:themeColor="accent1"/>
              <w:right w:val="nil"/>
            </w:tcBorders>
            <w:shd w:val="clear" w:color="auto" w:fill="212492" w:themeFill="accent1"/>
            <w:hideMark/>
          </w:tcPr>
          <w:p w14:paraId="313A4892"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Source</w:t>
            </w:r>
          </w:p>
        </w:tc>
        <w:tc>
          <w:tcPr>
            <w:tcW w:w="8647" w:type="dxa"/>
            <w:tcBorders>
              <w:top w:val="nil"/>
              <w:left w:val="nil"/>
              <w:bottom w:val="single" w:sz="4" w:space="0" w:color="212492" w:themeColor="accent1"/>
              <w:right w:val="nil"/>
            </w:tcBorders>
            <w:shd w:val="clear" w:color="auto" w:fill="212492" w:themeFill="accent1"/>
            <w:hideMark/>
          </w:tcPr>
          <w:p w14:paraId="23FED9E4"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Link</w:t>
            </w:r>
          </w:p>
        </w:tc>
      </w:tr>
      <w:tr w:rsidR="00A955D1" w:rsidRPr="00CC766E" w14:paraId="2B14D9AB" w14:textId="77777777" w:rsidTr="4A6E8EC8">
        <w:trPr>
          <w:trHeight w:val="300"/>
        </w:trPr>
        <w:tc>
          <w:tcPr>
            <w:tcW w:w="14601" w:type="dxa"/>
            <w:gridSpan w:val="2"/>
            <w:tcBorders>
              <w:top w:val="single" w:sz="4" w:space="0" w:color="212492" w:themeColor="accent1"/>
              <w:left w:val="nil"/>
              <w:bottom w:val="single" w:sz="4" w:space="0" w:color="212492" w:themeColor="accent1"/>
              <w:right w:val="nil"/>
            </w:tcBorders>
            <w:shd w:val="clear" w:color="auto" w:fill="C6D9F1" w:themeFill="text2" w:themeFillTint="33"/>
            <w:hideMark/>
          </w:tcPr>
          <w:p w14:paraId="405229A8" w14:textId="77777777" w:rsidR="008C4C5C" w:rsidRPr="00CC766E" w:rsidRDefault="008C4C5C" w:rsidP="00CC766E">
            <w:pPr>
              <w:spacing w:before="40" w:after="40" w:line="280" w:lineRule="atLeast"/>
              <w:rPr>
                <w:rFonts w:ascii="Arial" w:eastAsia="Arial" w:hAnsi="Arial" w:cs="Arial"/>
                <w:color w:val="181A6D" w:themeColor="accent1" w:themeShade="BF"/>
                <w:sz w:val="20"/>
                <w:szCs w:val="20"/>
              </w:rPr>
            </w:pPr>
            <w:r w:rsidRPr="00CC766E">
              <w:rPr>
                <w:rFonts w:ascii="Arial" w:eastAsia="Arial" w:hAnsi="Arial" w:cs="Arial"/>
                <w:color w:val="181A6D" w:themeColor="accent1" w:themeShade="BF"/>
                <w:sz w:val="20"/>
                <w:szCs w:val="20"/>
              </w:rPr>
              <w:t>Strategy and Policy Documents</w:t>
            </w:r>
          </w:p>
        </w:tc>
      </w:tr>
      <w:tr w:rsidR="00B66E05" w:rsidRPr="00CC766E" w14:paraId="7FA9EA1D" w14:textId="77777777" w:rsidTr="4A6E8EC8">
        <w:trPr>
          <w:trHeight w:val="465"/>
        </w:trPr>
        <w:tc>
          <w:tcPr>
            <w:tcW w:w="5954" w:type="dxa"/>
            <w:tcBorders>
              <w:top w:val="single" w:sz="4" w:space="0" w:color="212492" w:themeColor="accent1"/>
              <w:left w:val="nil"/>
              <w:bottom w:val="single" w:sz="4" w:space="0" w:color="212492" w:themeColor="accent1"/>
              <w:right w:val="nil"/>
            </w:tcBorders>
            <w:hideMark/>
          </w:tcPr>
          <w:p w14:paraId="59EF321D"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Aged Care Data and Digital Strategy 2024–2029</w:t>
            </w:r>
          </w:p>
        </w:tc>
        <w:tc>
          <w:tcPr>
            <w:tcW w:w="8647" w:type="dxa"/>
            <w:tcBorders>
              <w:top w:val="single" w:sz="4" w:space="0" w:color="212492" w:themeColor="accent1"/>
              <w:left w:val="nil"/>
              <w:bottom w:val="single" w:sz="4" w:space="0" w:color="212492" w:themeColor="accent1"/>
              <w:right w:val="nil"/>
            </w:tcBorders>
            <w:hideMark/>
          </w:tcPr>
          <w:p w14:paraId="486256D4" w14:textId="77777777" w:rsidR="008C4C5C" w:rsidRPr="00CC766E" w:rsidRDefault="008C4C5C" w:rsidP="00CC766E">
            <w:pPr>
              <w:spacing w:before="40" w:after="40" w:line="280" w:lineRule="atLeast"/>
              <w:rPr>
                <w:rFonts w:ascii="Arial" w:eastAsia="Arial" w:hAnsi="Arial" w:cs="Arial"/>
                <w:sz w:val="20"/>
                <w:szCs w:val="20"/>
              </w:rPr>
            </w:pPr>
            <w:hyperlink r:id="rId26" w:history="1">
              <w:r w:rsidRPr="00CC766E">
                <w:rPr>
                  <w:rFonts w:ascii="Arial" w:eastAsia="Arial" w:hAnsi="Arial" w:cs="Arial"/>
                  <w:color w:val="0000FF"/>
                  <w:sz w:val="20"/>
                  <w:szCs w:val="20"/>
                  <w:u w:val="single"/>
                </w:rPr>
                <w:t>https://www.health.gov.au/resources/publications/aged-care-data-and-digital-strategy-2024-2029</w:t>
              </w:r>
            </w:hyperlink>
          </w:p>
        </w:tc>
      </w:tr>
      <w:tr w:rsidR="00B66E05" w:rsidRPr="00CC766E" w14:paraId="1D50F7A4" w14:textId="77777777" w:rsidTr="4A6E8EC8">
        <w:trPr>
          <w:trHeight w:val="465"/>
        </w:trPr>
        <w:tc>
          <w:tcPr>
            <w:tcW w:w="5954" w:type="dxa"/>
            <w:tcBorders>
              <w:top w:val="single" w:sz="4" w:space="0" w:color="212492" w:themeColor="accent1"/>
              <w:left w:val="nil"/>
              <w:bottom w:val="single" w:sz="4" w:space="0" w:color="212492" w:themeColor="accent1"/>
              <w:right w:val="nil"/>
            </w:tcBorders>
            <w:hideMark/>
          </w:tcPr>
          <w:p w14:paraId="34875857"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Action Plan – Aged Care Data and Digital Strategy 2024–2029</w:t>
            </w:r>
          </w:p>
        </w:tc>
        <w:tc>
          <w:tcPr>
            <w:tcW w:w="8647" w:type="dxa"/>
            <w:tcBorders>
              <w:top w:val="single" w:sz="4" w:space="0" w:color="212492" w:themeColor="accent1"/>
              <w:left w:val="nil"/>
              <w:bottom w:val="single" w:sz="4" w:space="0" w:color="212492" w:themeColor="accent1"/>
              <w:right w:val="nil"/>
            </w:tcBorders>
            <w:hideMark/>
          </w:tcPr>
          <w:p w14:paraId="4754DA8C" w14:textId="77777777" w:rsidR="008C4C5C" w:rsidRPr="00CC766E" w:rsidRDefault="008C4C5C" w:rsidP="00CC766E">
            <w:pPr>
              <w:spacing w:before="40" w:after="40" w:line="280" w:lineRule="atLeast"/>
              <w:rPr>
                <w:rFonts w:ascii="Arial" w:eastAsia="Arial" w:hAnsi="Arial" w:cs="Arial"/>
                <w:sz w:val="20"/>
                <w:szCs w:val="20"/>
              </w:rPr>
            </w:pPr>
            <w:hyperlink r:id="rId27" w:history="1">
              <w:r w:rsidRPr="00CC766E">
                <w:rPr>
                  <w:rFonts w:ascii="Arial" w:eastAsia="Arial" w:hAnsi="Arial" w:cs="Arial"/>
                  <w:color w:val="0000FF"/>
                  <w:sz w:val="20"/>
                  <w:szCs w:val="20"/>
                  <w:u w:val="single"/>
                </w:rPr>
                <w:t>https://www.health.gov.au/resources/publications/action-plan-aged-care-data-and-digital-strategy-2024-2029</w:t>
              </w:r>
            </w:hyperlink>
          </w:p>
        </w:tc>
      </w:tr>
      <w:tr w:rsidR="00B66E05" w:rsidRPr="00CC766E" w14:paraId="089C3C58"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46390CB2"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The Australian aged care data landscape</w:t>
            </w:r>
          </w:p>
        </w:tc>
        <w:tc>
          <w:tcPr>
            <w:tcW w:w="8647" w:type="dxa"/>
            <w:tcBorders>
              <w:top w:val="single" w:sz="4" w:space="0" w:color="212492" w:themeColor="accent1"/>
              <w:left w:val="nil"/>
              <w:bottom w:val="single" w:sz="4" w:space="0" w:color="212492" w:themeColor="accent1"/>
              <w:right w:val="nil"/>
            </w:tcBorders>
          </w:tcPr>
          <w:p w14:paraId="15A8D265" w14:textId="77777777" w:rsidR="008C4C5C" w:rsidRPr="00CC766E" w:rsidRDefault="008C4C5C" w:rsidP="00CC766E">
            <w:pPr>
              <w:spacing w:before="40" w:after="40" w:line="280" w:lineRule="atLeast"/>
              <w:rPr>
                <w:rFonts w:ascii="Arial" w:eastAsia="Arial" w:hAnsi="Arial" w:cs="Arial"/>
                <w:sz w:val="20"/>
                <w:szCs w:val="20"/>
              </w:rPr>
            </w:pPr>
            <w:hyperlink r:id="rId28" w:history="1">
              <w:r w:rsidRPr="00CC766E">
                <w:rPr>
                  <w:rFonts w:ascii="Arial" w:eastAsia="Arial" w:hAnsi="Arial" w:cs="Arial"/>
                  <w:color w:val="0000FF"/>
                  <w:sz w:val="20"/>
                  <w:szCs w:val="20"/>
                  <w:u w:val="single"/>
                </w:rPr>
                <w:t>AgedCareDataLandscape_DHCRC-CSIRO-Report.pdf</w:t>
              </w:r>
            </w:hyperlink>
          </w:p>
        </w:tc>
      </w:tr>
      <w:tr w:rsidR="00B66E05" w:rsidRPr="00CC766E" w14:paraId="59E240C1"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6CC3B2AA"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Aged Care National Minimum Data Set V1.1</w:t>
            </w:r>
          </w:p>
        </w:tc>
        <w:tc>
          <w:tcPr>
            <w:tcW w:w="8647" w:type="dxa"/>
            <w:tcBorders>
              <w:top w:val="single" w:sz="4" w:space="0" w:color="212492" w:themeColor="accent1"/>
              <w:left w:val="nil"/>
              <w:bottom w:val="single" w:sz="4" w:space="0" w:color="212492" w:themeColor="accent1"/>
              <w:right w:val="nil"/>
            </w:tcBorders>
          </w:tcPr>
          <w:p w14:paraId="2AAA1487" w14:textId="77777777" w:rsidR="008C4C5C" w:rsidRPr="00CC766E" w:rsidRDefault="008C4C5C" w:rsidP="00CC766E">
            <w:pPr>
              <w:spacing w:before="40" w:after="40" w:line="280" w:lineRule="atLeast"/>
              <w:rPr>
                <w:rFonts w:ascii="Arial" w:eastAsia="Arial" w:hAnsi="Arial" w:cs="Arial"/>
                <w:sz w:val="20"/>
                <w:szCs w:val="20"/>
              </w:rPr>
            </w:pPr>
            <w:hyperlink r:id="rId29" w:history="1">
              <w:r w:rsidRPr="00CC766E">
                <w:rPr>
                  <w:rFonts w:ascii="Arial" w:eastAsia="Arial" w:hAnsi="Arial" w:cs="Arial"/>
                  <w:color w:val="0000FF"/>
                  <w:sz w:val="20"/>
                  <w:szCs w:val="20"/>
                  <w:u w:val="single"/>
                </w:rPr>
                <w:t>Aged-Care-NMDS-V1-1-Registered-aged-care-standards-30-June-2023.pdf</w:t>
              </w:r>
            </w:hyperlink>
          </w:p>
        </w:tc>
      </w:tr>
      <w:tr w:rsidR="00B66E05" w:rsidRPr="00CC766E" w14:paraId="2152A6BA"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57DB116A"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Aged Care National Minimum Data Set V2 (Confidential Draft- under review)</w:t>
            </w:r>
          </w:p>
        </w:tc>
        <w:tc>
          <w:tcPr>
            <w:tcW w:w="8647" w:type="dxa"/>
            <w:tcBorders>
              <w:top w:val="single" w:sz="4" w:space="0" w:color="212492" w:themeColor="accent1"/>
              <w:left w:val="nil"/>
              <w:bottom w:val="single" w:sz="4" w:space="0" w:color="212492" w:themeColor="accent1"/>
              <w:right w:val="nil"/>
            </w:tcBorders>
          </w:tcPr>
          <w:p w14:paraId="0A37FF87"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N/A</w:t>
            </w:r>
          </w:p>
        </w:tc>
      </w:tr>
      <w:tr w:rsidR="00B66E05" w:rsidRPr="00CC766E" w14:paraId="5075A494"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7AD2E863" w14:textId="0AD58BFA" w:rsidR="008C4C5C" w:rsidRPr="00CC766E" w:rsidRDefault="75227363" w:rsidP="00CC766E">
            <w:pPr>
              <w:spacing w:before="40" w:after="40" w:line="280" w:lineRule="atLeast"/>
              <w:rPr>
                <w:rFonts w:ascii="Arial" w:eastAsia="Arial" w:hAnsi="Arial" w:cs="Arial"/>
                <w:sz w:val="20"/>
                <w:szCs w:val="20"/>
              </w:rPr>
            </w:pPr>
            <w:r w:rsidRPr="4A6E8EC8">
              <w:rPr>
                <w:rFonts w:ascii="Arial" w:eastAsia="Arial" w:hAnsi="Arial" w:cs="Arial"/>
                <w:sz w:val="20"/>
                <w:szCs w:val="20"/>
              </w:rPr>
              <w:t>AHPRA’s Data Strategy 2023–2028</w:t>
            </w:r>
          </w:p>
        </w:tc>
        <w:tc>
          <w:tcPr>
            <w:tcW w:w="8647" w:type="dxa"/>
            <w:tcBorders>
              <w:top w:val="single" w:sz="4" w:space="0" w:color="212492" w:themeColor="accent1"/>
              <w:left w:val="nil"/>
              <w:bottom w:val="single" w:sz="4" w:space="0" w:color="212492" w:themeColor="accent1"/>
              <w:right w:val="nil"/>
            </w:tcBorders>
          </w:tcPr>
          <w:p w14:paraId="082A0E5C" w14:textId="77777777" w:rsidR="008C4C5C" w:rsidRPr="00CC766E" w:rsidRDefault="008C4C5C" w:rsidP="00CC766E">
            <w:pPr>
              <w:spacing w:before="40" w:after="40" w:line="280" w:lineRule="atLeast"/>
              <w:rPr>
                <w:rFonts w:ascii="Arial" w:eastAsia="Arial" w:hAnsi="Arial" w:cs="Arial"/>
                <w:sz w:val="20"/>
                <w:szCs w:val="20"/>
              </w:rPr>
            </w:pPr>
            <w:hyperlink r:id="rId30" w:history="1">
              <w:r w:rsidRPr="00A74067">
                <w:rPr>
                  <w:rFonts w:ascii="Arial" w:eastAsia="Arial" w:hAnsi="Arial" w:cs="Arial"/>
                  <w:color w:val="0000FF"/>
                  <w:sz w:val="20"/>
                  <w:szCs w:val="20"/>
                  <w:u w:val="single"/>
                </w:rPr>
                <w:t>https://www.ahpra.gov.au/About-Ahpra/Data-Strategy.aspx</w:t>
              </w:r>
            </w:hyperlink>
          </w:p>
        </w:tc>
      </w:tr>
      <w:tr w:rsidR="00B66E05" w:rsidRPr="00CC766E" w14:paraId="2928B9F2"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4C37B4B5"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Final Report of the Aged Care Taskforce</w:t>
            </w:r>
          </w:p>
        </w:tc>
        <w:tc>
          <w:tcPr>
            <w:tcW w:w="8647" w:type="dxa"/>
            <w:tcBorders>
              <w:top w:val="single" w:sz="4" w:space="0" w:color="212492" w:themeColor="accent1"/>
              <w:left w:val="nil"/>
              <w:bottom w:val="single" w:sz="4" w:space="0" w:color="212492" w:themeColor="accent1"/>
              <w:right w:val="nil"/>
            </w:tcBorders>
          </w:tcPr>
          <w:p w14:paraId="101C4FA9" w14:textId="77777777" w:rsidR="008C4C5C" w:rsidRPr="00CC766E" w:rsidRDefault="008C4C5C" w:rsidP="00CC766E">
            <w:pPr>
              <w:spacing w:before="40" w:after="40" w:line="280" w:lineRule="atLeast"/>
              <w:rPr>
                <w:rFonts w:ascii="Arial" w:eastAsia="Arial" w:hAnsi="Arial" w:cs="Arial"/>
                <w:sz w:val="20"/>
                <w:szCs w:val="20"/>
              </w:rPr>
            </w:pPr>
            <w:hyperlink r:id="rId31" w:history="1">
              <w:r w:rsidRPr="00CC766E">
                <w:rPr>
                  <w:rFonts w:ascii="Arial" w:eastAsia="Arial" w:hAnsi="Arial" w:cs="Arial"/>
                  <w:color w:val="0000FF"/>
                  <w:sz w:val="20"/>
                  <w:szCs w:val="20"/>
                  <w:u w:val="single"/>
                </w:rPr>
                <w:t>https://www.health.gov.au/sites/default/files/2024-03/final-report-of-the-aged-care-taskforce_0.pdf</w:t>
              </w:r>
            </w:hyperlink>
          </w:p>
        </w:tc>
      </w:tr>
      <w:tr w:rsidR="00A955D1" w:rsidRPr="00CC766E" w14:paraId="2EAF89DB" w14:textId="77777777" w:rsidTr="4A6E8EC8">
        <w:trPr>
          <w:trHeight w:val="300"/>
        </w:trPr>
        <w:tc>
          <w:tcPr>
            <w:tcW w:w="14601" w:type="dxa"/>
            <w:gridSpan w:val="2"/>
            <w:tcBorders>
              <w:top w:val="single" w:sz="4" w:space="0" w:color="212492" w:themeColor="accent1"/>
              <w:left w:val="nil"/>
              <w:bottom w:val="single" w:sz="4" w:space="0" w:color="212492" w:themeColor="accent1"/>
              <w:right w:val="nil"/>
            </w:tcBorders>
            <w:shd w:val="clear" w:color="auto" w:fill="C6D9F1" w:themeFill="text2" w:themeFillTint="33"/>
            <w:hideMark/>
          </w:tcPr>
          <w:p w14:paraId="1A72518F" w14:textId="77777777" w:rsidR="008C4C5C" w:rsidRPr="00CC766E" w:rsidRDefault="008C4C5C" w:rsidP="00CC766E">
            <w:pPr>
              <w:spacing w:before="40" w:after="40" w:line="280" w:lineRule="atLeast"/>
              <w:rPr>
                <w:rFonts w:ascii="Arial" w:eastAsia="Arial" w:hAnsi="Arial" w:cs="Arial"/>
                <w:iCs/>
                <w:color w:val="181A6D" w:themeColor="accent1" w:themeShade="BF"/>
                <w:sz w:val="20"/>
                <w:szCs w:val="20"/>
              </w:rPr>
            </w:pPr>
            <w:r w:rsidRPr="00CC766E">
              <w:rPr>
                <w:rFonts w:ascii="Arial" w:eastAsia="Arial" w:hAnsi="Arial" w:cs="Arial"/>
                <w:iCs/>
                <w:color w:val="181A6D" w:themeColor="accent1" w:themeShade="BF"/>
                <w:sz w:val="20"/>
                <w:szCs w:val="20"/>
              </w:rPr>
              <w:lastRenderedPageBreak/>
              <w:t>Workforce and Provider Reports</w:t>
            </w:r>
          </w:p>
        </w:tc>
      </w:tr>
      <w:tr w:rsidR="00B66E05" w:rsidRPr="00CC766E" w14:paraId="1D880F5D"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1F486529"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2023 Aged Care Provider Workforce Survey</w:t>
            </w:r>
          </w:p>
        </w:tc>
        <w:tc>
          <w:tcPr>
            <w:tcW w:w="8647" w:type="dxa"/>
            <w:tcBorders>
              <w:top w:val="single" w:sz="4" w:space="0" w:color="212492" w:themeColor="accent1"/>
              <w:left w:val="nil"/>
              <w:bottom w:val="single" w:sz="4" w:space="0" w:color="212492" w:themeColor="accent1"/>
              <w:right w:val="nil"/>
            </w:tcBorders>
          </w:tcPr>
          <w:p w14:paraId="375D9E20" w14:textId="77777777" w:rsidR="008C4C5C" w:rsidRPr="00CC766E" w:rsidRDefault="008C4C5C" w:rsidP="00CC766E">
            <w:pPr>
              <w:spacing w:before="40" w:after="40" w:line="280" w:lineRule="atLeast"/>
              <w:rPr>
                <w:rFonts w:ascii="Arial" w:eastAsia="Arial" w:hAnsi="Arial" w:cs="Arial"/>
                <w:sz w:val="20"/>
                <w:szCs w:val="20"/>
              </w:rPr>
            </w:pPr>
            <w:hyperlink r:id="rId32" w:history="1">
              <w:r w:rsidRPr="00CC766E">
                <w:rPr>
                  <w:rFonts w:ascii="Arial" w:eastAsia="Arial" w:hAnsi="Arial" w:cs="Arial"/>
                  <w:color w:val="0000FF"/>
                  <w:sz w:val="20"/>
                  <w:szCs w:val="20"/>
                  <w:u w:val="single"/>
                </w:rPr>
                <w:t>https://www.gen-agedcaredata.gov.au/resources/publications/2024/august/2023-aged-care-provider-workforce-survey</w:t>
              </w:r>
            </w:hyperlink>
          </w:p>
        </w:tc>
      </w:tr>
      <w:tr w:rsidR="00B66E05" w:rsidRPr="00CC766E" w14:paraId="655FB777"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07C21F2E"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2020 Aged Care Workforce Census</w:t>
            </w:r>
          </w:p>
        </w:tc>
        <w:tc>
          <w:tcPr>
            <w:tcW w:w="8647" w:type="dxa"/>
            <w:tcBorders>
              <w:top w:val="single" w:sz="4" w:space="0" w:color="212492" w:themeColor="accent1"/>
              <w:left w:val="nil"/>
              <w:bottom w:val="single" w:sz="4" w:space="0" w:color="212492" w:themeColor="accent1"/>
              <w:right w:val="nil"/>
            </w:tcBorders>
          </w:tcPr>
          <w:p w14:paraId="3D32EA9F" w14:textId="77777777" w:rsidR="008C4C5C" w:rsidRPr="00CC766E" w:rsidRDefault="008C4C5C" w:rsidP="00CC766E">
            <w:pPr>
              <w:spacing w:before="40" w:after="40" w:line="280" w:lineRule="atLeast"/>
              <w:rPr>
                <w:rFonts w:ascii="Arial" w:eastAsia="Arial" w:hAnsi="Arial" w:cs="Arial"/>
                <w:sz w:val="20"/>
                <w:szCs w:val="20"/>
              </w:rPr>
            </w:pPr>
            <w:hyperlink r:id="rId33" w:history="1">
              <w:r w:rsidRPr="00CC766E">
                <w:rPr>
                  <w:rFonts w:ascii="Arial" w:eastAsia="Arial" w:hAnsi="Arial" w:cs="Arial"/>
                  <w:color w:val="0000FF"/>
                  <w:sz w:val="20"/>
                  <w:szCs w:val="20"/>
                  <w:u w:val="single"/>
                </w:rPr>
                <w:t>https://www.health.gov.au/resources/publications/2020-aged-care-workforce-census</w:t>
              </w:r>
            </w:hyperlink>
          </w:p>
        </w:tc>
      </w:tr>
      <w:tr w:rsidR="00B66E05" w:rsidRPr="00CC766E" w14:paraId="6076DEE6"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240E4B0A"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Aged Care Worker Survey 2024 Report Summary:</w:t>
            </w:r>
          </w:p>
        </w:tc>
        <w:tc>
          <w:tcPr>
            <w:tcW w:w="8647" w:type="dxa"/>
            <w:tcBorders>
              <w:top w:val="single" w:sz="4" w:space="0" w:color="212492" w:themeColor="accent1"/>
              <w:left w:val="nil"/>
              <w:bottom w:val="single" w:sz="4" w:space="0" w:color="212492" w:themeColor="accent1"/>
              <w:right w:val="nil"/>
            </w:tcBorders>
          </w:tcPr>
          <w:p w14:paraId="53618D4F" w14:textId="77777777" w:rsidR="008C4C5C" w:rsidRPr="00CC766E" w:rsidRDefault="008C4C5C" w:rsidP="00CC766E">
            <w:pPr>
              <w:spacing w:before="40" w:after="40" w:line="280" w:lineRule="atLeast"/>
              <w:rPr>
                <w:rFonts w:ascii="Arial" w:eastAsia="Arial" w:hAnsi="Arial" w:cs="Arial"/>
                <w:sz w:val="20"/>
                <w:szCs w:val="20"/>
              </w:rPr>
            </w:pPr>
            <w:hyperlink r:id="rId34" w:history="1">
              <w:r w:rsidRPr="00CC766E">
                <w:rPr>
                  <w:rFonts w:ascii="Arial" w:eastAsia="Arial" w:hAnsi="Arial" w:cs="Arial"/>
                  <w:color w:val="0000FF"/>
                  <w:sz w:val="20"/>
                  <w:szCs w:val="20"/>
                  <w:u w:val="single"/>
                </w:rPr>
                <w:t>https://www.health.gov.au/topics/aged-care-workforce/what-were-doing/surveys/aged-care-worker-survey-2024-report-summary</w:t>
              </w:r>
            </w:hyperlink>
          </w:p>
        </w:tc>
      </w:tr>
      <w:tr w:rsidR="00B66E05" w:rsidRPr="00CC766E" w14:paraId="1C06650D" w14:textId="77777777" w:rsidTr="4A6E8EC8">
        <w:trPr>
          <w:trHeight w:val="300"/>
        </w:trPr>
        <w:tc>
          <w:tcPr>
            <w:tcW w:w="14601" w:type="dxa"/>
            <w:gridSpan w:val="2"/>
            <w:tcBorders>
              <w:top w:val="single" w:sz="4" w:space="0" w:color="212492" w:themeColor="accent1"/>
              <w:left w:val="nil"/>
              <w:bottom w:val="single" w:sz="4" w:space="0" w:color="212492" w:themeColor="accent1"/>
              <w:right w:val="nil"/>
            </w:tcBorders>
            <w:shd w:val="clear" w:color="auto" w:fill="C6D9F1" w:themeFill="text2" w:themeFillTint="33"/>
            <w:hideMark/>
          </w:tcPr>
          <w:p w14:paraId="726807F6" w14:textId="77777777" w:rsidR="008C4C5C" w:rsidRPr="00CC766E" w:rsidRDefault="008C4C5C" w:rsidP="00CC766E">
            <w:pPr>
              <w:spacing w:before="40" w:after="40" w:line="280" w:lineRule="atLeast"/>
              <w:rPr>
                <w:rFonts w:ascii="Arial" w:eastAsia="Arial" w:hAnsi="Arial" w:cs="Arial"/>
                <w:iCs/>
                <w:color w:val="181A6D" w:themeColor="accent1" w:themeShade="BF"/>
                <w:sz w:val="20"/>
                <w:szCs w:val="20"/>
              </w:rPr>
            </w:pPr>
            <w:r w:rsidRPr="00CC766E">
              <w:rPr>
                <w:rFonts w:ascii="Arial" w:eastAsia="Arial" w:hAnsi="Arial" w:cs="Arial"/>
                <w:iCs/>
                <w:color w:val="181A6D" w:themeColor="accent1" w:themeShade="BF"/>
                <w:sz w:val="20"/>
                <w:szCs w:val="20"/>
              </w:rPr>
              <w:t>Financial and Reporting Resources</w:t>
            </w:r>
          </w:p>
        </w:tc>
      </w:tr>
      <w:tr w:rsidR="00B66E05" w:rsidRPr="00CC766E" w14:paraId="51529CEC"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3C5F60CA"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Aged Care Financial Report (ACFR) Resources</w:t>
            </w:r>
          </w:p>
        </w:tc>
        <w:tc>
          <w:tcPr>
            <w:tcW w:w="8647" w:type="dxa"/>
            <w:tcBorders>
              <w:top w:val="single" w:sz="4" w:space="0" w:color="212492" w:themeColor="accent1"/>
              <w:left w:val="nil"/>
              <w:bottom w:val="single" w:sz="4" w:space="0" w:color="212492" w:themeColor="accent1"/>
              <w:right w:val="nil"/>
            </w:tcBorders>
          </w:tcPr>
          <w:p w14:paraId="321100A6" w14:textId="1257A18F" w:rsidR="008C4C5C" w:rsidRPr="00CC766E" w:rsidRDefault="0071026E" w:rsidP="00CC766E">
            <w:pPr>
              <w:spacing w:before="40" w:after="40" w:line="280" w:lineRule="atLeast"/>
              <w:rPr>
                <w:rFonts w:ascii="Arial" w:eastAsia="Arial" w:hAnsi="Arial" w:cs="Arial"/>
                <w:sz w:val="20"/>
                <w:szCs w:val="20"/>
              </w:rPr>
            </w:pPr>
            <w:hyperlink r:id="rId35" w:tgtFrame="_blank" w:history="1">
              <w:r w:rsidRPr="00CC766E">
                <w:rPr>
                  <w:rStyle w:val="Hyperlink"/>
                  <w:sz w:val="20"/>
                  <w:szCs w:val="20"/>
                </w:rPr>
                <w:t>Aged Care Financial Report | Australian Government Department of Health, Disability and Ageing</w:t>
              </w:r>
            </w:hyperlink>
            <w:r w:rsidR="00302B38" w:rsidRPr="00CC766E">
              <w:rPr>
                <w:sz w:val="20"/>
                <w:szCs w:val="20"/>
              </w:rPr>
              <w:t xml:space="preserve"> </w:t>
            </w:r>
          </w:p>
        </w:tc>
      </w:tr>
      <w:tr w:rsidR="00B66E05" w:rsidRPr="00CC766E" w14:paraId="3074973F"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695AE18C"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Quarterly Financial Report data definitions and templates</w:t>
            </w:r>
          </w:p>
        </w:tc>
        <w:tc>
          <w:tcPr>
            <w:tcW w:w="8647" w:type="dxa"/>
            <w:tcBorders>
              <w:top w:val="single" w:sz="4" w:space="0" w:color="212492" w:themeColor="accent1"/>
              <w:left w:val="nil"/>
              <w:bottom w:val="single" w:sz="4" w:space="0" w:color="212492" w:themeColor="accent1"/>
              <w:right w:val="nil"/>
            </w:tcBorders>
          </w:tcPr>
          <w:p w14:paraId="5E8BB390" w14:textId="46DDB8E0" w:rsidR="008C4C5C" w:rsidRPr="00CC766E" w:rsidRDefault="00302B38" w:rsidP="00CC766E">
            <w:pPr>
              <w:spacing w:before="40" w:after="40" w:line="280" w:lineRule="atLeast"/>
              <w:rPr>
                <w:rFonts w:ascii="Arial" w:eastAsia="Arial" w:hAnsi="Arial" w:cs="Arial"/>
                <w:sz w:val="20"/>
                <w:szCs w:val="20"/>
              </w:rPr>
            </w:pPr>
            <w:hyperlink r:id="rId36" w:tgtFrame="_blank" w:history="1">
              <w:r w:rsidRPr="00CC766E">
                <w:rPr>
                  <w:rStyle w:val="Hyperlink"/>
                  <w:rFonts w:ascii="Arial" w:eastAsia="Arial" w:hAnsi="Arial" w:cs="Arial"/>
                  <w:sz w:val="20"/>
                  <w:szCs w:val="20"/>
                </w:rPr>
                <w:t>Quarterly Financial Report resources | Australian Government Department of Health, Disability and Ageing</w:t>
              </w:r>
            </w:hyperlink>
            <w:r w:rsidRPr="00CC766E">
              <w:rPr>
                <w:rFonts w:ascii="Arial" w:eastAsia="Arial" w:hAnsi="Arial" w:cs="Arial"/>
                <w:sz w:val="20"/>
                <w:szCs w:val="20"/>
              </w:rPr>
              <w:t xml:space="preserve">  </w:t>
            </w:r>
          </w:p>
        </w:tc>
      </w:tr>
      <w:tr w:rsidR="00B66E05" w:rsidRPr="00CC766E" w14:paraId="03C189A0"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03DB1000"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Quarterly Financial Snapshot Reports</w:t>
            </w:r>
          </w:p>
        </w:tc>
        <w:tc>
          <w:tcPr>
            <w:tcW w:w="8647" w:type="dxa"/>
            <w:tcBorders>
              <w:top w:val="single" w:sz="4" w:space="0" w:color="212492" w:themeColor="accent1"/>
              <w:left w:val="nil"/>
              <w:bottom w:val="single" w:sz="4" w:space="0" w:color="212492" w:themeColor="accent1"/>
              <w:right w:val="nil"/>
            </w:tcBorders>
          </w:tcPr>
          <w:p w14:paraId="060187C0" w14:textId="430A3F9E" w:rsidR="008C4C5C" w:rsidRPr="00CC766E" w:rsidRDefault="00302B38" w:rsidP="00CC766E">
            <w:pPr>
              <w:spacing w:before="40" w:after="40" w:line="280" w:lineRule="atLeast"/>
              <w:rPr>
                <w:rFonts w:ascii="Arial" w:eastAsia="Arial" w:hAnsi="Arial" w:cs="Arial"/>
                <w:sz w:val="20"/>
                <w:szCs w:val="20"/>
              </w:rPr>
            </w:pPr>
            <w:hyperlink r:id="rId37" w:tgtFrame="_blank" w:history="1">
              <w:r w:rsidRPr="00CC766E">
                <w:rPr>
                  <w:rStyle w:val="Hyperlink"/>
                  <w:sz w:val="20"/>
                  <w:szCs w:val="20"/>
                </w:rPr>
                <w:t>Data extract from the Quarterly Financial Snapshot reports of the aged care sector | Australian Government Department of Health, Disability and Ageing</w:t>
              </w:r>
            </w:hyperlink>
            <w:r w:rsidRPr="00CC766E">
              <w:rPr>
                <w:sz w:val="20"/>
                <w:szCs w:val="20"/>
              </w:rPr>
              <w:t xml:space="preserve"> </w:t>
            </w:r>
          </w:p>
        </w:tc>
      </w:tr>
      <w:tr w:rsidR="00B66E05" w:rsidRPr="00CC766E" w14:paraId="7477F88A" w14:textId="77777777" w:rsidTr="4A6E8EC8">
        <w:trPr>
          <w:trHeight w:val="300"/>
        </w:trPr>
        <w:tc>
          <w:tcPr>
            <w:tcW w:w="14601" w:type="dxa"/>
            <w:gridSpan w:val="2"/>
            <w:tcBorders>
              <w:top w:val="single" w:sz="4" w:space="0" w:color="212492" w:themeColor="accent1"/>
              <w:left w:val="nil"/>
              <w:bottom w:val="single" w:sz="4" w:space="0" w:color="212492" w:themeColor="accent1"/>
              <w:right w:val="nil"/>
            </w:tcBorders>
            <w:shd w:val="clear" w:color="auto" w:fill="C6D9F1" w:themeFill="text2" w:themeFillTint="33"/>
            <w:hideMark/>
          </w:tcPr>
          <w:p w14:paraId="32C96D6F" w14:textId="77777777" w:rsidR="008C4C5C" w:rsidRPr="00CC766E" w:rsidRDefault="008C4C5C" w:rsidP="00CC766E">
            <w:pPr>
              <w:spacing w:before="40" w:after="40" w:line="280" w:lineRule="atLeast"/>
              <w:rPr>
                <w:rFonts w:ascii="Arial" w:eastAsia="Arial" w:hAnsi="Arial" w:cs="Arial"/>
                <w:iCs/>
                <w:color w:val="181A6D" w:themeColor="accent1" w:themeShade="BF"/>
                <w:sz w:val="20"/>
                <w:szCs w:val="20"/>
              </w:rPr>
            </w:pPr>
            <w:r w:rsidRPr="00CC766E">
              <w:rPr>
                <w:rFonts w:ascii="Arial" w:eastAsia="Arial" w:hAnsi="Arial" w:cs="Arial"/>
                <w:iCs/>
                <w:color w:val="181A6D" w:themeColor="accent1" w:themeShade="BF"/>
                <w:sz w:val="20"/>
                <w:szCs w:val="20"/>
              </w:rPr>
              <w:t>Dashboards and Data Access</w:t>
            </w:r>
          </w:p>
        </w:tc>
      </w:tr>
      <w:tr w:rsidR="00B66E05" w:rsidRPr="00CC766E" w14:paraId="6ACCC7F6"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3986AF55"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GEN Aged Care Data Portal (AIHW)</w:t>
            </w:r>
          </w:p>
        </w:tc>
        <w:tc>
          <w:tcPr>
            <w:tcW w:w="8647" w:type="dxa"/>
            <w:tcBorders>
              <w:top w:val="single" w:sz="4" w:space="0" w:color="212492" w:themeColor="accent1"/>
              <w:left w:val="nil"/>
              <w:bottom w:val="single" w:sz="4" w:space="0" w:color="212492" w:themeColor="accent1"/>
              <w:right w:val="nil"/>
            </w:tcBorders>
          </w:tcPr>
          <w:p w14:paraId="7F012A9D" w14:textId="5E0E8597" w:rsidR="008C4C5C" w:rsidRPr="00CC766E" w:rsidRDefault="00B111F6" w:rsidP="00CC766E">
            <w:pPr>
              <w:spacing w:before="40" w:after="40" w:line="280" w:lineRule="atLeast"/>
              <w:rPr>
                <w:rStyle w:val="Hyperlink"/>
                <w:sz w:val="20"/>
                <w:szCs w:val="20"/>
                <w:u w:val="none"/>
              </w:rPr>
            </w:pPr>
            <w:hyperlink r:id="rId38" w:history="1">
              <w:r w:rsidRPr="00CC766E">
                <w:rPr>
                  <w:rFonts w:ascii="Arial" w:eastAsia="Arial" w:hAnsi="Arial" w:cs="Arial"/>
                  <w:color w:val="0000FF"/>
                  <w:sz w:val="20"/>
                  <w:szCs w:val="20"/>
                  <w:u w:val="single"/>
                </w:rPr>
                <w:t>https://www.gen-agedcaredata.gov.au/topics/aged-care-workforce</w:t>
              </w:r>
            </w:hyperlink>
            <w:r w:rsidR="001547AA" w:rsidRPr="00CC766E">
              <w:rPr>
                <w:rFonts w:ascii="Arial" w:eastAsia="Arial" w:hAnsi="Arial" w:cs="Arial"/>
                <w:color w:val="0000FF"/>
                <w:sz w:val="20"/>
                <w:szCs w:val="20"/>
                <w:u w:val="single"/>
              </w:rPr>
              <w:t xml:space="preserve"> </w:t>
            </w:r>
          </w:p>
        </w:tc>
      </w:tr>
      <w:tr w:rsidR="00B66E05" w:rsidRPr="00CC766E" w14:paraId="472A31FF" w14:textId="77777777" w:rsidTr="4A6E8EC8">
        <w:trPr>
          <w:trHeight w:val="465"/>
        </w:trPr>
        <w:tc>
          <w:tcPr>
            <w:tcW w:w="5954" w:type="dxa"/>
            <w:tcBorders>
              <w:top w:val="single" w:sz="4" w:space="0" w:color="212492" w:themeColor="accent1"/>
              <w:left w:val="nil"/>
              <w:bottom w:val="single" w:sz="4" w:space="0" w:color="212492" w:themeColor="accent1"/>
              <w:right w:val="nil"/>
            </w:tcBorders>
          </w:tcPr>
          <w:p w14:paraId="4D201D2E" w14:textId="77777777" w:rsidR="008C4C5C" w:rsidRPr="00CC766E" w:rsidRDefault="008C4C5C" w:rsidP="00CC766E">
            <w:pPr>
              <w:spacing w:before="40" w:after="40" w:line="280" w:lineRule="atLeast"/>
              <w:rPr>
                <w:rFonts w:ascii="Arial" w:eastAsia="Arial" w:hAnsi="Arial" w:cs="Arial"/>
                <w:sz w:val="20"/>
                <w:szCs w:val="20"/>
              </w:rPr>
            </w:pPr>
            <w:r w:rsidRPr="00CC766E">
              <w:rPr>
                <w:rFonts w:ascii="Arial" w:eastAsia="Arial" w:hAnsi="Arial" w:cs="Arial"/>
                <w:sz w:val="20"/>
                <w:szCs w:val="20"/>
              </w:rPr>
              <w:t>National Aged Care Data Clearinghouse (AIHW)</w:t>
            </w:r>
          </w:p>
        </w:tc>
        <w:tc>
          <w:tcPr>
            <w:tcW w:w="8647" w:type="dxa"/>
            <w:tcBorders>
              <w:top w:val="single" w:sz="4" w:space="0" w:color="212492" w:themeColor="accent1"/>
              <w:left w:val="nil"/>
              <w:bottom w:val="single" w:sz="4" w:space="0" w:color="212492" w:themeColor="accent1"/>
              <w:right w:val="nil"/>
            </w:tcBorders>
          </w:tcPr>
          <w:p w14:paraId="640C4E71" w14:textId="77777777" w:rsidR="008C4C5C" w:rsidRPr="00CC766E" w:rsidRDefault="008C4C5C" w:rsidP="00CC766E">
            <w:pPr>
              <w:spacing w:before="40" w:after="40" w:line="280" w:lineRule="atLeast"/>
              <w:rPr>
                <w:rFonts w:ascii="Arial" w:eastAsia="Arial" w:hAnsi="Arial" w:cs="Arial"/>
                <w:sz w:val="20"/>
                <w:szCs w:val="20"/>
              </w:rPr>
            </w:pPr>
            <w:hyperlink r:id="rId39" w:history="1">
              <w:r w:rsidRPr="00CC766E">
                <w:rPr>
                  <w:rFonts w:ascii="Arial" w:eastAsia="Arial" w:hAnsi="Arial" w:cs="Arial"/>
                  <w:color w:val="0000FF"/>
                  <w:sz w:val="20"/>
                  <w:szCs w:val="20"/>
                  <w:u w:val="single"/>
                </w:rPr>
                <w:t>https://www.aihw.gov.au/about-our-data/our-data-collections/national-aged-care-data-clearinghouse</w:t>
              </w:r>
            </w:hyperlink>
          </w:p>
        </w:tc>
      </w:tr>
    </w:tbl>
    <w:p w14:paraId="483F66B7" w14:textId="77777777" w:rsidR="00CC766E" w:rsidRDefault="00CC766E" w:rsidP="00381528">
      <w:pPr>
        <w:pStyle w:val="Caption"/>
        <w:keepNext/>
        <w:rPr>
          <w:sz w:val="24"/>
          <w:szCs w:val="22"/>
        </w:rPr>
      </w:pPr>
      <w:bookmarkStart w:id="10" w:name="_Toc202361049"/>
    </w:p>
    <w:p w14:paraId="14A1060F" w14:textId="77777777" w:rsidR="00CC766E" w:rsidRDefault="00CC766E">
      <w:pPr>
        <w:spacing w:after="160" w:line="278" w:lineRule="auto"/>
        <w:rPr>
          <w:i/>
          <w:iCs/>
          <w:color w:val="1F497D" w:themeColor="text2"/>
          <w:szCs w:val="22"/>
        </w:rPr>
      </w:pPr>
      <w:r>
        <w:rPr>
          <w:szCs w:val="22"/>
        </w:rPr>
        <w:br w:type="page"/>
      </w:r>
    </w:p>
    <w:p w14:paraId="591CDC88" w14:textId="43545080" w:rsidR="00A809BC" w:rsidRPr="00CC766E" w:rsidRDefault="00A809BC" w:rsidP="00381528">
      <w:pPr>
        <w:pStyle w:val="Caption"/>
        <w:keepNext/>
        <w:rPr>
          <w:sz w:val="24"/>
          <w:szCs w:val="22"/>
        </w:rPr>
      </w:pPr>
      <w:r w:rsidRPr="00CC766E">
        <w:rPr>
          <w:sz w:val="24"/>
          <w:szCs w:val="22"/>
        </w:rPr>
        <w:lastRenderedPageBreak/>
        <w:t xml:space="preserve">Table </w:t>
      </w:r>
      <w:r w:rsidR="006D60E7" w:rsidRPr="00CC766E">
        <w:rPr>
          <w:sz w:val="24"/>
          <w:szCs w:val="22"/>
        </w:rPr>
        <w:t>B</w:t>
      </w:r>
      <w:r w:rsidR="00646E35" w:rsidRPr="00CC766E">
        <w:rPr>
          <w:sz w:val="24"/>
          <w:szCs w:val="22"/>
        </w:rPr>
        <w:t xml:space="preserve">.3 </w:t>
      </w:r>
      <w:r w:rsidRPr="00CC766E">
        <w:rPr>
          <w:sz w:val="24"/>
          <w:szCs w:val="22"/>
        </w:rPr>
        <w:t>Other national data sources</w:t>
      </w:r>
      <w:bookmarkEnd w:id="10"/>
    </w:p>
    <w:tbl>
      <w:tblPr>
        <w:tblW w:w="14601" w:type="dxa"/>
        <w:tblBorders>
          <w:bottom w:val="single" w:sz="4" w:space="0" w:color="212492"/>
          <w:insideH w:val="single" w:sz="4" w:space="0" w:color="212492"/>
        </w:tblBorders>
        <w:tblLayout w:type="fixed"/>
        <w:tblCellMar>
          <w:left w:w="57" w:type="dxa"/>
          <w:right w:w="57" w:type="dxa"/>
        </w:tblCellMar>
        <w:tblLook w:val="04A0" w:firstRow="1" w:lastRow="0" w:firstColumn="1" w:lastColumn="0" w:noHBand="0" w:noVBand="1"/>
        <w:tblCaption w:val="Other National Data Sources"/>
        <w:tblDescription w:val="Table displays sources of data standards, specifications and collections from outside the Department of Health, Disability and Ageing"/>
      </w:tblPr>
      <w:tblGrid>
        <w:gridCol w:w="5954"/>
        <w:gridCol w:w="8647"/>
      </w:tblGrid>
      <w:tr w:rsidR="00F94BD6" w:rsidRPr="006068CB" w14:paraId="09002187" w14:textId="77777777" w:rsidTr="00CC766E">
        <w:trPr>
          <w:trHeight w:val="300"/>
          <w:tblHeader/>
        </w:trPr>
        <w:tc>
          <w:tcPr>
            <w:tcW w:w="5954" w:type="dxa"/>
            <w:tcBorders>
              <w:top w:val="nil"/>
              <w:left w:val="nil"/>
              <w:bottom w:val="single" w:sz="4" w:space="0" w:color="212492"/>
              <w:right w:val="nil"/>
            </w:tcBorders>
            <w:shd w:val="clear" w:color="auto" w:fill="212492"/>
            <w:hideMark/>
          </w:tcPr>
          <w:p w14:paraId="434520F4" w14:textId="77777777" w:rsidR="00A809BC" w:rsidRPr="00646E35" w:rsidRDefault="00A809BC" w:rsidP="00CC766E">
            <w:pPr>
              <w:spacing w:before="40" w:after="40" w:line="280" w:lineRule="atLeast"/>
              <w:rPr>
                <w:sz w:val="20"/>
                <w:szCs w:val="20"/>
              </w:rPr>
            </w:pPr>
            <w:r w:rsidRPr="00646E35">
              <w:rPr>
                <w:sz w:val="20"/>
                <w:szCs w:val="20"/>
              </w:rPr>
              <w:t>Source</w:t>
            </w:r>
          </w:p>
        </w:tc>
        <w:tc>
          <w:tcPr>
            <w:tcW w:w="8647" w:type="dxa"/>
            <w:tcBorders>
              <w:top w:val="nil"/>
              <w:left w:val="nil"/>
              <w:bottom w:val="single" w:sz="4" w:space="0" w:color="212492"/>
              <w:right w:val="nil"/>
            </w:tcBorders>
            <w:shd w:val="clear" w:color="auto" w:fill="212492"/>
            <w:hideMark/>
          </w:tcPr>
          <w:p w14:paraId="4E0DF86C" w14:textId="77777777" w:rsidR="00A809BC" w:rsidRPr="00646E35" w:rsidRDefault="00A809BC" w:rsidP="00CC766E">
            <w:pPr>
              <w:spacing w:before="40" w:after="40" w:line="280" w:lineRule="atLeast"/>
              <w:rPr>
                <w:sz w:val="20"/>
                <w:szCs w:val="20"/>
              </w:rPr>
            </w:pPr>
            <w:r w:rsidRPr="00646E35">
              <w:rPr>
                <w:sz w:val="20"/>
                <w:szCs w:val="20"/>
              </w:rPr>
              <w:t>Link</w:t>
            </w:r>
          </w:p>
        </w:tc>
      </w:tr>
      <w:tr w:rsidR="00341CAD" w:rsidRPr="00341CAD" w14:paraId="57779A30" w14:textId="77777777" w:rsidTr="00A955D1">
        <w:trPr>
          <w:trHeight w:val="300"/>
        </w:trPr>
        <w:tc>
          <w:tcPr>
            <w:tcW w:w="14601" w:type="dxa"/>
            <w:gridSpan w:val="2"/>
            <w:tcBorders>
              <w:top w:val="single" w:sz="4" w:space="0" w:color="212492"/>
              <w:left w:val="nil"/>
              <w:bottom w:val="single" w:sz="4" w:space="0" w:color="212492"/>
              <w:right w:val="nil"/>
            </w:tcBorders>
            <w:shd w:val="clear" w:color="auto" w:fill="C6D9F1" w:themeFill="text2" w:themeFillTint="33"/>
            <w:hideMark/>
          </w:tcPr>
          <w:p w14:paraId="212D0723" w14:textId="1E7A27A1" w:rsidR="00D526A4" w:rsidRPr="00CC766E" w:rsidRDefault="00D526A4" w:rsidP="00CC766E">
            <w:pPr>
              <w:spacing w:before="40" w:after="40" w:line="280" w:lineRule="atLeast"/>
              <w:rPr>
                <w:color w:val="181A6D" w:themeColor="accent1" w:themeShade="BF"/>
                <w:sz w:val="20"/>
                <w:szCs w:val="20"/>
              </w:rPr>
            </w:pPr>
            <w:r w:rsidRPr="00CC766E">
              <w:rPr>
                <w:color w:val="181A6D" w:themeColor="accent1" w:themeShade="BF"/>
                <w:sz w:val="20"/>
                <w:szCs w:val="20"/>
              </w:rPr>
              <w:t>Agencies, Government and National</w:t>
            </w:r>
          </w:p>
        </w:tc>
      </w:tr>
      <w:tr w:rsidR="0051415D" w:rsidRPr="006068CB" w14:paraId="5D113407" w14:textId="77777777" w:rsidTr="00CC766E">
        <w:trPr>
          <w:trHeight w:val="465"/>
        </w:trPr>
        <w:tc>
          <w:tcPr>
            <w:tcW w:w="5954" w:type="dxa"/>
            <w:tcBorders>
              <w:top w:val="single" w:sz="4" w:space="0" w:color="212492"/>
              <w:left w:val="nil"/>
              <w:bottom w:val="single" w:sz="4" w:space="0" w:color="212492"/>
              <w:right w:val="nil"/>
            </w:tcBorders>
            <w:hideMark/>
          </w:tcPr>
          <w:p w14:paraId="2263006D" w14:textId="77777777" w:rsidR="00A809BC" w:rsidRPr="00646E35" w:rsidRDefault="00A809BC" w:rsidP="00CC766E">
            <w:pPr>
              <w:spacing w:before="40" w:after="40" w:line="280" w:lineRule="atLeast"/>
              <w:rPr>
                <w:sz w:val="20"/>
                <w:szCs w:val="20"/>
              </w:rPr>
            </w:pPr>
            <w:r w:rsidRPr="00646E35">
              <w:rPr>
                <w:sz w:val="20"/>
                <w:szCs w:val="20"/>
              </w:rPr>
              <w:t>Australian Bureau of Statistics (ABS)</w:t>
            </w:r>
          </w:p>
        </w:tc>
        <w:tc>
          <w:tcPr>
            <w:tcW w:w="8647" w:type="dxa"/>
            <w:tcBorders>
              <w:top w:val="single" w:sz="4" w:space="0" w:color="212492"/>
              <w:left w:val="nil"/>
              <w:bottom w:val="single" w:sz="4" w:space="0" w:color="212492"/>
              <w:right w:val="nil"/>
            </w:tcBorders>
            <w:hideMark/>
          </w:tcPr>
          <w:p w14:paraId="4B141908" w14:textId="77777777" w:rsidR="00A809BC" w:rsidRPr="00646E35" w:rsidRDefault="00A809BC" w:rsidP="00CC766E">
            <w:pPr>
              <w:spacing w:before="40" w:after="40" w:line="280" w:lineRule="atLeast"/>
              <w:rPr>
                <w:sz w:val="20"/>
                <w:szCs w:val="20"/>
              </w:rPr>
            </w:pPr>
            <w:hyperlink r:id="rId40" w:history="1">
              <w:r w:rsidRPr="00646E35">
                <w:rPr>
                  <w:rStyle w:val="Hyperlink"/>
                  <w:sz w:val="20"/>
                  <w:szCs w:val="20"/>
                </w:rPr>
                <w:t>https://www.abs.gov.au</w:t>
              </w:r>
            </w:hyperlink>
          </w:p>
        </w:tc>
      </w:tr>
      <w:tr w:rsidR="0051415D" w:rsidRPr="006068CB" w14:paraId="73098DE1" w14:textId="77777777" w:rsidTr="00CC766E">
        <w:trPr>
          <w:trHeight w:val="465"/>
        </w:trPr>
        <w:tc>
          <w:tcPr>
            <w:tcW w:w="5954" w:type="dxa"/>
            <w:tcBorders>
              <w:top w:val="single" w:sz="4" w:space="0" w:color="212492"/>
              <w:left w:val="nil"/>
              <w:bottom w:val="single" w:sz="4" w:space="0" w:color="212492"/>
              <w:right w:val="nil"/>
            </w:tcBorders>
            <w:hideMark/>
          </w:tcPr>
          <w:p w14:paraId="7805CE80" w14:textId="77777777" w:rsidR="00A809BC" w:rsidRPr="00646E35" w:rsidRDefault="00A809BC" w:rsidP="00CC766E">
            <w:pPr>
              <w:spacing w:before="40" w:after="40" w:line="280" w:lineRule="atLeast"/>
              <w:rPr>
                <w:sz w:val="20"/>
                <w:szCs w:val="20"/>
              </w:rPr>
            </w:pPr>
            <w:r w:rsidRPr="00646E35">
              <w:rPr>
                <w:sz w:val="20"/>
                <w:szCs w:val="20"/>
              </w:rPr>
              <w:t>ABS Census 2021: First Nations demographics and health</w:t>
            </w:r>
          </w:p>
        </w:tc>
        <w:tc>
          <w:tcPr>
            <w:tcW w:w="8647" w:type="dxa"/>
            <w:tcBorders>
              <w:top w:val="single" w:sz="4" w:space="0" w:color="212492"/>
              <w:left w:val="nil"/>
              <w:bottom w:val="single" w:sz="4" w:space="0" w:color="212492"/>
              <w:right w:val="nil"/>
            </w:tcBorders>
            <w:hideMark/>
          </w:tcPr>
          <w:p w14:paraId="11CFFC2A" w14:textId="77777777" w:rsidR="00A809BC" w:rsidRPr="00646E35" w:rsidRDefault="00A809BC" w:rsidP="00CC766E">
            <w:pPr>
              <w:spacing w:before="40" w:after="40" w:line="280" w:lineRule="atLeast"/>
              <w:rPr>
                <w:sz w:val="20"/>
                <w:szCs w:val="20"/>
              </w:rPr>
            </w:pPr>
            <w:hyperlink r:id="rId41" w:history="1">
              <w:r w:rsidRPr="00646E35">
                <w:rPr>
                  <w:rStyle w:val="Hyperlink"/>
                  <w:sz w:val="20"/>
                  <w:szCs w:val="20"/>
                </w:rPr>
                <w:t>https://www.abs.gov.au/census</w:t>
              </w:r>
            </w:hyperlink>
          </w:p>
        </w:tc>
      </w:tr>
      <w:tr w:rsidR="0051415D" w:rsidRPr="006068CB" w14:paraId="3D38F9CA" w14:textId="77777777" w:rsidTr="00CC766E">
        <w:trPr>
          <w:trHeight w:val="465"/>
        </w:trPr>
        <w:tc>
          <w:tcPr>
            <w:tcW w:w="5954" w:type="dxa"/>
            <w:tcBorders>
              <w:top w:val="single" w:sz="4" w:space="0" w:color="212492"/>
              <w:left w:val="nil"/>
              <w:bottom w:val="single" w:sz="4" w:space="0" w:color="212492"/>
              <w:right w:val="nil"/>
            </w:tcBorders>
            <w:hideMark/>
          </w:tcPr>
          <w:p w14:paraId="5094DA89" w14:textId="77777777" w:rsidR="00A809BC" w:rsidRPr="00646E35" w:rsidRDefault="00A809BC" w:rsidP="00CC766E">
            <w:pPr>
              <w:spacing w:before="40" w:after="40" w:line="280" w:lineRule="atLeast"/>
              <w:rPr>
                <w:sz w:val="20"/>
                <w:szCs w:val="20"/>
              </w:rPr>
            </w:pPr>
            <w:r w:rsidRPr="00646E35">
              <w:rPr>
                <w:sz w:val="20"/>
                <w:szCs w:val="20"/>
              </w:rPr>
              <w:t>BLADE Overview (ABS)</w:t>
            </w:r>
          </w:p>
        </w:tc>
        <w:tc>
          <w:tcPr>
            <w:tcW w:w="8647" w:type="dxa"/>
            <w:tcBorders>
              <w:top w:val="single" w:sz="4" w:space="0" w:color="212492"/>
              <w:left w:val="nil"/>
              <w:bottom w:val="single" w:sz="4" w:space="0" w:color="212492"/>
              <w:right w:val="nil"/>
            </w:tcBorders>
            <w:hideMark/>
          </w:tcPr>
          <w:p w14:paraId="7990A5E3" w14:textId="77777777" w:rsidR="00A809BC" w:rsidRPr="00646E35" w:rsidRDefault="00A809BC" w:rsidP="00CC766E">
            <w:pPr>
              <w:spacing w:before="40" w:after="40" w:line="280" w:lineRule="atLeast"/>
              <w:rPr>
                <w:sz w:val="20"/>
                <w:szCs w:val="20"/>
              </w:rPr>
            </w:pPr>
            <w:hyperlink r:id="rId42" w:history="1">
              <w:r w:rsidRPr="00646E35">
                <w:rPr>
                  <w:rStyle w:val="Hyperlink"/>
                  <w:sz w:val="20"/>
                  <w:szCs w:val="20"/>
                </w:rPr>
                <w:t>https://www.abs.gov.au/about/data-services/data-integration/integrated-data/business-longitudinal-analysis-data-environment-blade</w:t>
              </w:r>
            </w:hyperlink>
          </w:p>
        </w:tc>
      </w:tr>
      <w:tr w:rsidR="0051415D" w:rsidRPr="006068CB" w14:paraId="1A1AAEE0" w14:textId="77777777" w:rsidTr="00CC766E">
        <w:trPr>
          <w:trHeight w:val="465"/>
        </w:trPr>
        <w:tc>
          <w:tcPr>
            <w:tcW w:w="5954" w:type="dxa"/>
            <w:tcBorders>
              <w:top w:val="single" w:sz="4" w:space="0" w:color="212492"/>
              <w:left w:val="nil"/>
              <w:bottom w:val="single" w:sz="4" w:space="0" w:color="212492"/>
              <w:right w:val="nil"/>
            </w:tcBorders>
            <w:hideMark/>
          </w:tcPr>
          <w:p w14:paraId="4DD38BD4" w14:textId="77777777" w:rsidR="00A809BC" w:rsidRPr="00646E35" w:rsidRDefault="00A809BC" w:rsidP="00CC766E">
            <w:pPr>
              <w:spacing w:before="40" w:after="40" w:line="280" w:lineRule="atLeast"/>
              <w:rPr>
                <w:sz w:val="20"/>
                <w:szCs w:val="20"/>
              </w:rPr>
            </w:pPr>
            <w:proofErr w:type="spellStart"/>
            <w:r w:rsidRPr="00646E35">
              <w:rPr>
                <w:sz w:val="20"/>
                <w:szCs w:val="20"/>
              </w:rPr>
              <w:t>DataLab</w:t>
            </w:r>
            <w:proofErr w:type="spellEnd"/>
            <w:r w:rsidRPr="00646E35">
              <w:rPr>
                <w:sz w:val="20"/>
                <w:szCs w:val="20"/>
              </w:rPr>
              <w:t xml:space="preserve"> Access (ABS)</w:t>
            </w:r>
          </w:p>
        </w:tc>
        <w:tc>
          <w:tcPr>
            <w:tcW w:w="8647" w:type="dxa"/>
            <w:tcBorders>
              <w:top w:val="single" w:sz="4" w:space="0" w:color="212492"/>
              <w:left w:val="nil"/>
              <w:bottom w:val="single" w:sz="4" w:space="0" w:color="212492"/>
              <w:right w:val="nil"/>
            </w:tcBorders>
            <w:hideMark/>
          </w:tcPr>
          <w:p w14:paraId="47A82EDD" w14:textId="77777777" w:rsidR="00A809BC" w:rsidRPr="00646E35" w:rsidRDefault="00A809BC" w:rsidP="00CC766E">
            <w:pPr>
              <w:spacing w:before="40" w:after="40" w:line="280" w:lineRule="atLeast"/>
              <w:rPr>
                <w:sz w:val="20"/>
                <w:szCs w:val="20"/>
              </w:rPr>
            </w:pPr>
            <w:hyperlink r:id="rId43" w:history="1">
              <w:r w:rsidRPr="00646E35">
                <w:rPr>
                  <w:rStyle w:val="Hyperlink"/>
                  <w:sz w:val="20"/>
                  <w:szCs w:val="20"/>
                </w:rPr>
                <w:t>https://www.abs.gov.au/about/data-services/data-access/secure-access-datalab</w:t>
              </w:r>
            </w:hyperlink>
          </w:p>
        </w:tc>
      </w:tr>
      <w:tr w:rsidR="0051415D" w:rsidRPr="006068CB" w14:paraId="5616C440" w14:textId="77777777" w:rsidTr="00CC766E">
        <w:trPr>
          <w:trHeight w:val="465"/>
        </w:trPr>
        <w:tc>
          <w:tcPr>
            <w:tcW w:w="5954" w:type="dxa"/>
            <w:tcBorders>
              <w:top w:val="single" w:sz="4" w:space="0" w:color="212492"/>
              <w:left w:val="nil"/>
              <w:bottom w:val="single" w:sz="4" w:space="0" w:color="212492"/>
              <w:right w:val="nil"/>
            </w:tcBorders>
            <w:hideMark/>
          </w:tcPr>
          <w:p w14:paraId="0CB39202" w14:textId="77777777" w:rsidR="00A809BC" w:rsidRPr="00646E35" w:rsidRDefault="00A809BC" w:rsidP="00CC766E">
            <w:pPr>
              <w:spacing w:before="40" w:after="40" w:line="280" w:lineRule="atLeast"/>
              <w:rPr>
                <w:sz w:val="20"/>
                <w:szCs w:val="20"/>
              </w:rPr>
            </w:pPr>
            <w:r w:rsidRPr="00646E35">
              <w:rPr>
                <w:sz w:val="20"/>
                <w:szCs w:val="20"/>
              </w:rPr>
              <w:t>LEED Overview (ABS)</w:t>
            </w:r>
          </w:p>
        </w:tc>
        <w:tc>
          <w:tcPr>
            <w:tcW w:w="8647" w:type="dxa"/>
            <w:tcBorders>
              <w:top w:val="single" w:sz="4" w:space="0" w:color="212492"/>
              <w:left w:val="nil"/>
              <w:bottom w:val="single" w:sz="4" w:space="0" w:color="212492"/>
              <w:right w:val="nil"/>
            </w:tcBorders>
            <w:hideMark/>
          </w:tcPr>
          <w:p w14:paraId="5FF506E7" w14:textId="77777777" w:rsidR="00A809BC" w:rsidRPr="00646E35" w:rsidRDefault="00A809BC" w:rsidP="00CC766E">
            <w:pPr>
              <w:spacing w:before="40" w:after="40" w:line="280" w:lineRule="atLeast"/>
              <w:rPr>
                <w:sz w:val="20"/>
                <w:szCs w:val="20"/>
              </w:rPr>
            </w:pPr>
            <w:hyperlink r:id="rId44" w:history="1">
              <w:r w:rsidRPr="00646E35">
                <w:rPr>
                  <w:rStyle w:val="Hyperlink"/>
                  <w:sz w:val="20"/>
                  <w:szCs w:val="20"/>
                </w:rPr>
                <w:t>https://www.abs.gov.au/about/data-services/data-integration/integrated-data/linked-employer-employee-database-leed</w:t>
              </w:r>
            </w:hyperlink>
          </w:p>
        </w:tc>
      </w:tr>
      <w:tr w:rsidR="0051415D" w:rsidRPr="006068CB" w14:paraId="2B578AEB" w14:textId="77777777" w:rsidTr="00CC766E">
        <w:trPr>
          <w:trHeight w:val="465"/>
        </w:trPr>
        <w:tc>
          <w:tcPr>
            <w:tcW w:w="5954" w:type="dxa"/>
            <w:tcBorders>
              <w:top w:val="single" w:sz="4" w:space="0" w:color="212492"/>
              <w:left w:val="nil"/>
              <w:bottom w:val="single" w:sz="4" w:space="0" w:color="212492"/>
              <w:right w:val="nil"/>
            </w:tcBorders>
            <w:hideMark/>
          </w:tcPr>
          <w:p w14:paraId="4273C083" w14:textId="77777777" w:rsidR="00A809BC" w:rsidRPr="00646E35" w:rsidRDefault="00A809BC" w:rsidP="00CC766E">
            <w:pPr>
              <w:spacing w:before="40" w:after="40" w:line="280" w:lineRule="atLeast"/>
              <w:rPr>
                <w:sz w:val="20"/>
                <w:szCs w:val="20"/>
              </w:rPr>
            </w:pPr>
            <w:r w:rsidRPr="00646E35">
              <w:rPr>
                <w:sz w:val="20"/>
                <w:szCs w:val="20"/>
              </w:rPr>
              <w:t>STP Insights (ABS)</w:t>
            </w:r>
          </w:p>
        </w:tc>
        <w:tc>
          <w:tcPr>
            <w:tcW w:w="8647" w:type="dxa"/>
            <w:tcBorders>
              <w:top w:val="single" w:sz="4" w:space="0" w:color="212492"/>
              <w:left w:val="nil"/>
              <w:bottom w:val="single" w:sz="4" w:space="0" w:color="212492"/>
              <w:right w:val="nil"/>
            </w:tcBorders>
            <w:hideMark/>
          </w:tcPr>
          <w:p w14:paraId="6DAD45B1" w14:textId="77777777" w:rsidR="00A809BC" w:rsidRPr="00646E35" w:rsidRDefault="00A809BC" w:rsidP="00CC766E">
            <w:pPr>
              <w:spacing w:before="40" w:after="40" w:line="280" w:lineRule="atLeast"/>
              <w:rPr>
                <w:sz w:val="20"/>
                <w:szCs w:val="20"/>
              </w:rPr>
            </w:pPr>
            <w:hyperlink r:id="rId45" w:history="1">
              <w:r w:rsidRPr="00646E35">
                <w:rPr>
                  <w:rStyle w:val="Hyperlink"/>
                  <w:sz w:val="20"/>
                  <w:szCs w:val="20"/>
                </w:rPr>
                <w:t>https://www.abs.gov.au/articles/insights-single-touch-payroll</w:t>
              </w:r>
            </w:hyperlink>
          </w:p>
        </w:tc>
      </w:tr>
      <w:tr w:rsidR="0051415D" w:rsidRPr="006068CB" w14:paraId="4CC4C0F2" w14:textId="77777777" w:rsidTr="00CC766E">
        <w:trPr>
          <w:trHeight w:val="465"/>
        </w:trPr>
        <w:tc>
          <w:tcPr>
            <w:tcW w:w="5954" w:type="dxa"/>
            <w:tcBorders>
              <w:top w:val="single" w:sz="4" w:space="0" w:color="212492"/>
              <w:left w:val="nil"/>
              <w:bottom w:val="single" w:sz="4" w:space="0" w:color="212492"/>
              <w:right w:val="nil"/>
            </w:tcBorders>
            <w:hideMark/>
          </w:tcPr>
          <w:p w14:paraId="58791756" w14:textId="77777777" w:rsidR="00A809BC" w:rsidRPr="00646E35" w:rsidRDefault="00A809BC" w:rsidP="00CC766E">
            <w:pPr>
              <w:spacing w:before="40" w:after="40" w:line="280" w:lineRule="atLeast"/>
              <w:rPr>
                <w:sz w:val="20"/>
                <w:szCs w:val="20"/>
              </w:rPr>
            </w:pPr>
            <w:r w:rsidRPr="00646E35">
              <w:rPr>
                <w:sz w:val="20"/>
                <w:szCs w:val="20"/>
              </w:rPr>
              <w:t>Australian Health Practitioner Regulation Agency (AHPRA)</w:t>
            </w:r>
          </w:p>
        </w:tc>
        <w:tc>
          <w:tcPr>
            <w:tcW w:w="8647" w:type="dxa"/>
            <w:tcBorders>
              <w:top w:val="single" w:sz="4" w:space="0" w:color="212492"/>
              <w:left w:val="nil"/>
              <w:bottom w:val="single" w:sz="4" w:space="0" w:color="212492"/>
              <w:right w:val="nil"/>
            </w:tcBorders>
            <w:hideMark/>
          </w:tcPr>
          <w:p w14:paraId="38812066" w14:textId="77777777" w:rsidR="00A809BC" w:rsidRPr="00646E35" w:rsidRDefault="00A809BC" w:rsidP="00CC766E">
            <w:pPr>
              <w:spacing w:before="40" w:after="40" w:line="280" w:lineRule="atLeast"/>
              <w:rPr>
                <w:sz w:val="20"/>
                <w:szCs w:val="20"/>
              </w:rPr>
            </w:pPr>
            <w:hyperlink r:id="rId46" w:history="1">
              <w:r w:rsidRPr="00646E35">
                <w:rPr>
                  <w:rStyle w:val="Hyperlink"/>
                  <w:sz w:val="20"/>
                  <w:szCs w:val="20"/>
                </w:rPr>
                <w:t>https://www.ahpra.gov.au</w:t>
              </w:r>
            </w:hyperlink>
          </w:p>
        </w:tc>
      </w:tr>
      <w:tr w:rsidR="0051415D" w:rsidRPr="006068CB" w14:paraId="1746CCCE" w14:textId="77777777" w:rsidTr="00CC766E">
        <w:trPr>
          <w:trHeight w:val="465"/>
        </w:trPr>
        <w:tc>
          <w:tcPr>
            <w:tcW w:w="5954" w:type="dxa"/>
            <w:tcBorders>
              <w:top w:val="single" w:sz="4" w:space="0" w:color="212492"/>
              <w:left w:val="nil"/>
              <w:bottom w:val="single" w:sz="4" w:space="0" w:color="212492"/>
              <w:right w:val="nil"/>
            </w:tcBorders>
            <w:hideMark/>
          </w:tcPr>
          <w:p w14:paraId="332AE03A" w14:textId="77777777" w:rsidR="00A809BC" w:rsidRPr="00646E35" w:rsidRDefault="00A809BC" w:rsidP="00CC766E">
            <w:pPr>
              <w:spacing w:before="40" w:after="40" w:line="280" w:lineRule="atLeast"/>
              <w:rPr>
                <w:sz w:val="20"/>
                <w:szCs w:val="20"/>
              </w:rPr>
            </w:pPr>
            <w:r w:rsidRPr="00646E35">
              <w:rPr>
                <w:sz w:val="20"/>
                <w:szCs w:val="20"/>
              </w:rPr>
              <w:t>Australian Tax Office (ATO) STP Information</w:t>
            </w:r>
          </w:p>
        </w:tc>
        <w:tc>
          <w:tcPr>
            <w:tcW w:w="8647" w:type="dxa"/>
            <w:tcBorders>
              <w:top w:val="single" w:sz="4" w:space="0" w:color="212492"/>
              <w:left w:val="nil"/>
              <w:bottom w:val="single" w:sz="4" w:space="0" w:color="212492"/>
              <w:right w:val="nil"/>
            </w:tcBorders>
            <w:hideMark/>
          </w:tcPr>
          <w:p w14:paraId="0EE8E285" w14:textId="77777777" w:rsidR="00A809BC" w:rsidRPr="00646E35" w:rsidRDefault="00A809BC" w:rsidP="00CC766E">
            <w:pPr>
              <w:spacing w:before="40" w:after="40" w:line="280" w:lineRule="atLeast"/>
              <w:rPr>
                <w:sz w:val="20"/>
                <w:szCs w:val="20"/>
              </w:rPr>
            </w:pPr>
            <w:hyperlink r:id="rId47" w:history="1">
              <w:r w:rsidRPr="00646E35">
                <w:rPr>
                  <w:rStyle w:val="Hyperlink"/>
                  <w:sz w:val="20"/>
                  <w:szCs w:val="20"/>
                </w:rPr>
                <w:t>https://www.ato.gov.au/businesses-and-organisations/hiring-and-paying-your-workers/single-touch-payroll</w:t>
              </w:r>
            </w:hyperlink>
          </w:p>
        </w:tc>
      </w:tr>
      <w:tr w:rsidR="0051415D" w:rsidRPr="006068CB" w14:paraId="46419C98" w14:textId="77777777" w:rsidTr="00CC766E">
        <w:trPr>
          <w:trHeight w:val="465"/>
        </w:trPr>
        <w:tc>
          <w:tcPr>
            <w:tcW w:w="5954" w:type="dxa"/>
            <w:tcBorders>
              <w:top w:val="single" w:sz="4" w:space="0" w:color="212492"/>
              <w:left w:val="nil"/>
              <w:bottom w:val="single" w:sz="4" w:space="0" w:color="212492"/>
              <w:right w:val="nil"/>
            </w:tcBorders>
            <w:hideMark/>
          </w:tcPr>
          <w:p w14:paraId="122BAF10" w14:textId="77777777" w:rsidR="00A809BC" w:rsidRPr="00646E35" w:rsidRDefault="00A809BC" w:rsidP="00CC766E">
            <w:pPr>
              <w:spacing w:before="40" w:after="40" w:line="280" w:lineRule="atLeast"/>
              <w:rPr>
                <w:sz w:val="20"/>
                <w:szCs w:val="20"/>
              </w:rPr>
            </w:pPr>
            <w:r w:rsidRPr="00646E35">
              <w:rPr>
                <w:sz w:val="20"/>
                <w:szCs w:val="20"/>
              </w:rPr>
              <w:t>GEN Aged Care Data: Main platform for aged care statistics</w:t>
            </w:r>
          </w:p>
        </w:tc>
        <w:tc>
          <w:tcPr>
            <w:tcW w:w="8647" w:type="dxa"/>
            <w:tcBorders>
              <w:top w:val="single" w:sz="4" w:space="0" w:color="212492"/>
              <w:left w:val="nil"/>
              <w:bottom w:val="single" w:sz="4" w:space="0" w:color="212492"/>
              <w:right w:val="nil"/>
            </w:tcBorders>
            <w:hideMark/>
          </w:tcPr>
          <w:p w14:paraId="30E7C371" w14:textId="77777777" w:rsidR="00A809BC" w:rsidRPr="00646E35" w:rsidRDefault="00A809BC" w:rsidP="00CC766E">
            <w:pPr>
              <w:spacing w:before="40" w:after="40" w:line="280" w:lineRule="atLeast"/>
              <w:rPr>
                <w:sz w:val="20"/>
                <w:szCs w:val="20"/>
              </w:rPr>
            </w:pPr>
            <w:hyperlink r:id="rId48" w:history="1">
              <w:r w:rsidRPr="00646E35">
                <w:rPr>
                  <w:rStyle w:val="Hyperlink"/>
                  <w:sz w:val="20"/>
                  <w:szCs w:val="20"/>
                </w:rPr>
                <w:t>https://www.gen-agedcaredata.gov.au</w:t>
              </w:r>
            </w:hyperlink>
          </w:p>
        </w:tc>
      </w:tr>
      <w:tr w:rsidR="0051415D" w:rsidRPr="006068CB" w14:paraId="622DB221" w14:textId="77777777" w:rsidTr="00CC766E">
        <w:trPr>
          <w:trHeight w:val="465"/>
        </w:trPr>
        <w:tc>
          <w:tcPr>
            <w:tcW w:w="5954" w:type="dxa"/>
            <w:tcBorders>
              <w:top w:val="single" w:sz="4" w:space="0" w:color="212492"/>
              <w:left w:val="nil"/>
              <w:bottom w:val="single" w:sz="4" w:space="0" w:color="212492"/>
              <w:right w:val="nil"/>
            </w:tcBorders>
            <w:hideMark/>
          </w:tcPr>
          <w:p w14:paraId="5E214530" w14:textId="77777777" w:rsidR="00A809BC" w:rsidRPr="00646E35" w:rsidRDefault="00A809BC" w:rsidP="00CC766E">
            <w:pPr>
              <w:spacing w:before="40" w:after="40" w:line="280" w:lineRule="atLeast"/>
              <w:rPr>
                <w:sz w:val="20"/>
                <w:szCs w:val="20"/>
              </w:rPr>
            </w:pPr>
            <w:r w:rsidRPr="00646E35">
              <w:rPr>
                <w:sz w:val="20"/>
                <w:szCs w:val="20"/>
              </w:rPr>
              <w:t>Modified Monash Model (MMM): Classifies remoteness</w:t>
            </w:r>
          </w:p>
        </w:tc>
        <w:tc>
          <w:tcPr>
            <w:tcW w:w="8647" w:type="dxa"/>
            <w:tcBorders>
              <w:top w:val="single" w:sz="4" w:space="0" w:color="212492"/>
              <w:left w:val="nil"/>
              <w:bottom w:val="single" w:sz="4" w:space="0" w:color="212492"/>
              <w:right w:val="nil"/>
            </w:tcBorders>
            <w:hideMark/>
          </w:tcPr>
          <w:p w14:paraId="3D6837B3" w14:textId="77777777" w:rsidR="00A809BC" w:rsidRPr="00646E35" w:rsidRDefault="00A809BC" w:rsidP="00CC766E">
            <w:pPr>
              <w:spacing w:before="40" w:after="40" w:line="280" w:lineRule="atLeast"/>
              <w:rPr>
                <w:sz w:val="20"/>
                <w:szCs w:val="20"/>
              </w:rPr>
            </w:pPr>
            <w:hyperlink r:id="rId49" w:history="1">
              <w:r w:rsidRPr="00646E35">
                <w:rPr>
                  <w:rStyle w:val="Hyperlink"/>
                  <w:sz w:val="20"/>
                  <w:szCs w:val="20"/>
                </w:rPr>
                <w:t>https://www.health.gov.au/resources/publications/modified-monash-model-2021-fact-sheet</w:t>
              </w:r>
            </w:hyperlink>
          </w:p>
        </w:tc>
      </w:tr>
      <w:tr w:rsidR="0051415D" w:rsidRPr="006068CB" w14:paraId="7407DEB6" w14:textId="77777777" w:rsidTr="00CC766E">
        <w:trPr>
          <w:trHeight w:val="465"/>
        </w:trPr>
        <w:tc>
          <w:tcPr>
            <w:tcW w:w="5954" w:type="dxa"/>
            <w:tcBorders>
              <w:top w:val="single" w:sz="4" w:space="0" w:color="212492"/>
              <w:left w:val="nil"/>
              <w:bottom w:val="single" w:sz="4" w:space="0" w:color="212492"/>
              <w:right w:val="nil"/>
            </w:tcBorders>
            <w:hideMark/>
          </w:tcPr>
          <w:p w14:paraId="0E178F9B" w14:textId="77777777" w:rsidR="00A809BC" w:rsidRPr="00646E35" w:rsidRDefault="00A809BC" w:rsidP="00CC766E">
            <w:pPr>
              <w:spacing w:before="40" w:after="40" w:line="280" w:lineRule="atLeast"/>
              <w:rPr>
                <w:sz w:val="20"/>
                <w:szCs w:val="20"/>
              </w:rPr>
            </w:pPr>
            <w:r w:rsidRPr="00646E35">
              <w:rPr>
                <w:sz w:val="20"/>
                <w:szCs w:val="20"/>
              </w:rPr>
              <w:t>National Health Workforce Dataset (NHWD)</w:t>
            </w:r>
          </w:p>
        </w:tc>
        <w:tc>
          <w:tcPr>
            <w:tcW w:w="8647" w:type="dxa"/>
            <w:tcBorders>
              <w:top w:val="single" w:sz="4" w:space="0" w:color="212492"/>
              <w:left w:val="nil"/>
              <w:bottom w:val="single" w:sz="4" w:space="0" w:color="212492"/>
              <w:right w:val="nil"/>
            </w:tcBorders>
            <w:hideMark/>
          </w:tcPr>
          <w:p w14:paraId="38ECEB33" w14:textId="77777777" w:rsidR="00A809BC" w:rsidRPr="00646E35" w:rsidRDefault="00A809BC" w:rsidP="00CC766E">
            <w:pPr>
              <w:spacing w:before="40" w:after="40" w:line="280" w:lineRule="atLeast"/>
              <w:rPr>
                <w:sz w:val="20"/>
                <w:szCs w:val="20"/>
              </w:rPr>
            </w:pPr>
            <w:hyperlink r:id="rId50" w:history="1">
              <w:r w:rsidRPr="00646E35">
                <w:rPr>
                  <w:rStyle w:val="Hyperlink"/>
                  <w:sz w:val="20"/>
                  <w:szCs w:val="20"/>
                </w:rPr>
                <w:t>https://www.data.gov.au/home</w:t>
              </w:r>
            </w:hyperlink>
          </w:p>
        </w:tc>
      </w:tr>
      <w:tr w:rsidR="0051415D" w:rsidRPr="006068CB" w14:paraId="571DA229" w14:textId="77777777" w:rsidTr="00CC766E">
        <w:trPr>
          <w:trHeight w:val="465"/>
        </w:trPr>
        <w:tc>
          <w:tcPr>
            <w:tcW w:w="5954" w:type="dxa"/>
            <w:tcBorders>
              <w:top w:val="single" w:sz="4" w:space="0" w:color="212492"/>
              <w:left w:val="nil"/>
              <w:bottom w:val="single" w:sz="4" w:space="0" w:color="212492"/>
              <w:right w:val="nil"/>
            </w:tcBorders>
            <w:hideMark/>
          </w:tcPr>
          <w:p w14:paraId="6CF7EE7D" w14:textId="77777777" w:rsidR="00A809BC" w:rsidRPr="00646E35" w:rsidRDefault="00A809BC" w:rsidP="00CC766E">
            <w:pPr>
              <w:spacing w:before="40" w:after="40" w:line="280" w:lineRule="atLeast"/>
              <w:rPr>
                <w:sz w:val="20"/>
                <w:szCs w:val="20"/>
              </w:rPr>
            </w:pPr>
            <w:r w:rsidRPr="00646E35">
              <w:rPr>
                <w:sz w:val="20"/>
                <w:szCs w:val="20"/>
              </w:rPr>
              <w:t xml:space="preserve">Primary Health Networks (PHNs) </w:t>
            </w:r>
          </w:p>
        </w:tc>
        <w:tc>
          <w:tcPr>
            <w:tcW w:w="8647" w:type="dxa"/>
            <w:tcBorders>
              <w:top w:val="single" w:sz="4" w:space="0" w:color="212492"/>
              <w:left w:val="nil"/>
              <w:bottom w:val="single" w:sz="4" w:space="0" w:color="212492"/>
              <w:right w:val="nil"/>
            </w:tcBorders>
            <w:hideMark/>
          </w:tcPr>
          <w:p w14:paraId="7E8533B5" w14:textId="77777777" w:rsidR="00A809BC" w:rsidRPr="00646E35" w:rsidRDefault="00A809BC" w:rsidP="00CC766E">
            <w:pPr>
              <w:spacing w:before="40" w:after="40" w:line="280" w:lineRule="atLeast"/>
              <w:rPr>
                <w:sz w:val="20"/>
                <w:szCs w:val="20"/>
              </w:rPr>
            </w:pPr>
            <w:hyperlink r:id="rId51" w:history="1">
              <w:r w:rsidRPr="00646E35">
                <w:rPr>
                  <w:rStyle w:val="Hyperlink"/>
                  <w:sz w:val="20"/>
                  <w:szCs w:val="20"/>
                </w:rPr>
                <w:t>https://www.health.gov.au/our-work/phn</w:t>
              </w:r>
            </w:hyperlink>
          </w:p>
        </w:tc>
      </w:tr>
      <w:tr w:rsidR="0051415D" w:rsidRPr="00646E35" w14:paraId="6892EB1A" w14:textId="77777777" w:rsidTr="00CC766E">
        <w:trPr>
          <w:trHeight w:val="300"/>
        </w:trPr>
        <w:tc>
          <w:tcPr>
            <w:tcW w:w="14601" w:type="dxa"/>
            <w:gridSpan w:val="2"/>
            <w:tcBorders>
              <w:top w:val="single" w:sz="4" w:space="0" w:color="212492"/>
              <w:left w:val="nil"/>
              <w:bottom w:val="single" w:sz="4" w:space="0" w:color="212492"/>
              <w:right w:val="nil"/>
            </w:tcBorders>
            <w:shd w:val="clear" w:color="auto" w:fill="C6D9F1" w:themeFill="text2" w:themeFillTint="33"/>
            <w:hideMark/>
          </w:tcPr>
          <w:p w14:paraId="26E2DF08" w14:textId="77777777" w:rsidR="00A809BC" w:rsidRPr="00646E35" w:rsidRDefault="00A809BC" w:rsidP="00CC766E">
            <w:pPr>
              <w:spacing w:before="40" w:after="40" w:line="280" w:lineRule="atLeast"/>
              <w:rPr>
                <w:sz w:val="20"/>
                <w:szCs w:val="20"/>
              </w:rPr>
            </w:pPr>
            <w:r w:rsidRPr="00646E35">
              <w:rPr>
                <w:sz w:val="20"/>
                <w:szCs w:val="20"/>
              </w:rPr>
              <w:t>Department of Health, Disability and Aged Care</w:t>
            </w:r>
          </w:p>
        </w:tc>
      </w:tr>
      <w:tr w:rsidR="0051415D" w:rsidRPr="006068CB" w14:paraId="67018F2D" w14:textId="77777777" w:rsidTr="00CC766E">
        <w:trPr>
          <w:trHeight w:val="465"/>
        </w:trPr>
        <w:tc>
          <w:tcPr>
            <w:tcW w:w="5954" w:type="dxa"/>
            <w:tcBorders>
              <w:top w:val="single" w:sz="4" w:space="0" w:color="212492"/>
              <w:left w:val="nil"/>
              <w:bottom w:val="single" w:sz="4" w:space="0" w:color="212492"/>
              <w:right w:val="nil"/>
            </w:tcBorders>
            <w:hideMark/>
          </w:tcPr>
          <w:p w14:paraId="6752434C" w14:textId="77777777" w:rsidR="00A809BC" w:rsidRPr="00646E35" w:rsidRDefault="00A809BC" w:rsidP="00CC766E">
            <w:pPr>
              <w:spacing w:before="40" w:after="40" w:line="280" w:lineRule="atLeast"/>
              <w:rPr>
                <w:sz w:val="20"/>
                <w:szCs w:val="20"/>
              </w:rPr>
            </w:pPr>
            <w:r w:rsidRPr="00646E35">
              <w:rPr>
                <w:sz w:val="20"/>
                <w:szCs w:val="20"/>
              </w:rPr>
              <w:t>Aged Care Data Collection Overview</w:t>
            </w:r>
          </w:p>
        </w:tc>
        <w:tc>
          <w:tcPr>
            <w:tcW w:w="8647" w:type="dxa"/>
            <w:tcBorders>
              <w:top w:val="single" w:sz="4" w:space="0" w:color="212492"/>
              <w:left w:val="nil"/>
              <w:bottom w:val="single" w:sz="4" w:space="0" w:color="212492"/>
              <w:right w:val="nil"/>
            </w:tcBorders>
            <w:hideMark/>
          </w:tcPr>
          <w:p w14:paraId="59ECA84E" w14:textId="77777777" w:rsidR="00A809BC" w:rsidRPr="00646E35" w:rsidRDefault="00A809BC" w:rsidP="00CC766E">
            <w:pPr>
              <w:spacing w:before="40" w:after="40" w:line="280" w:lineRule="atLeast"/>
              <w:rPr>
                <w:sz w:val="20"/>
                <w:szCs w:val="20"/>
              </w:rPr>
            </w:pPr>
            <w:hyperlink r:id="rId52" w:history="1">
              <w:r w:rsidRPr="00646E35">
                <w:rPr>
                  <w:rStyle w:val="Hyperlink"/>
                  <w:sz w:val="20"/>
                  <w:szCs w:val="20"/>
                </w:rPr>
                <w:t>https://www.health.gov.au/our-work/aged-care-data-collection</w:t>
              </w:r>
            </w:hyperlink>
          </w:p>
        </w:tc>
      </w:tr>
      <w:tr w:rsidR="0051415D" w:rsidRPr="006068CB" w14:paraId="2692B65F" w14:textId="77777777" w:rsidTr="00CC766E">
        <w:trPr>
          <w:trHeight w:val="465"/>
        </w:trPr>
        <w:tc>
          <w:tcPr>
            <w:tcW w:w="5954" w:type="dxa"/>
            <w:tcBorders>
              <w:top w:val="single" w:sz="4" w:space="0" w:color="212492"/>
              <w:left w:val="nil"/>
              <w:bottom w:val="single" w:sz="4" w:space="0" w:color="212492"/>
              <w:right w:val="nil"/>
            </w:tcBorders>
            <w:hideMark/>
          </w:tcPr>
          <w:p w14:paraId="41DE9F31" w14:textId="77777777" w:rsidR="00A809BC" w:rsidRPr="00646E35" w:rsidRDefault="00A809BC" w:rsidP="00CC766E">
            <w:pPr>
              <w:spacing w:before="40" w:after="40" w:line="280" w:lineRule="atLeast"/>
              <w:rPr>
                <w:sz w:val="20"/>
                <w:szCs w:val="20"/>
              </w:rPr>
            </w:pPr>
            <w:r w:rsidRPr="00646E35">
              <w:rPr>
                <w:sz w:val="20"/>
                <w:szCs w:val="20"/>
              </w:rPr>
              <w:t>Australian Government Department of Health and Aged Care. (2023). Screenshots of the Provider Operations Collection Form.</w:t>
            </w:r>
          </w:p>
        </w:tc>
        <w:tc>
          <w:tcPr>
            <w:tcW w:w="8647" w:type="dxa"/>
            <w:tcBorders>
              <w:top w:val="single" w:sz="4" w:space="0" w:color="212492"/>
              <w:left w:val="nil"/>
              <w:bottom w:val="single" w:sz="4" w:space="0" w:color="212492"/>
              <w:right w:val="nil"/>
            </w:tcBorders>
            <w:hideMark/>
          </w:tcPr>
          <w:p w14:paraId="148DFF95" w14:textId="77777777" w:rsidR="00A809BC" w:rsidRPr="00646E35" w:rsidRDefault="00A809BC" w:rsidP="00CC766E">
            <w:pPr>
              <w:spacing w:before="40" w:after="40" w:line="280" w:lineRule="atLeast"/>
              <w:rPr>
                <w:sz w:val="20"/>
                <w:szCs w:val="20"/>
              </w:rPr>
            </w:pPr>
            <w:hyperlink r:id="rId53" w:history="1">
              <w:r w:rsidRPr="00646E35">
                <w:rPr>
                  <w:rStyle w:val="Hyperlink"/>
                  <w:sz w:val="20"/>
                  <w:szCs w:val="20"/>
                </w:rPr>
                <w:t>https://www.health.gov.au/sites/default/files/2023-10/screenshots-of-the-provider-operations-collection-form_0.pdf</w:t>
              </w:r>
            </w:hyperlink>
          </w:p>
        </w:tc>
      </w:tr>
      <w:tr w:rsidR="0051415D" w:rsidRPr="006068CB" w14:paraId="13E1D877" w14:textId="77777777" w:rsidTr="00CC766E">
        <w:trPr>
          <w:trHeight w:val="465"/>
        </w:trPr>
        <w:tc>
          <w:tcPr>
            <w:tcW w:w="5954" w:type="dxa"/>
            <w:tcBorders>
              <w:top w:val="single" w:sz="4" w:space="0" w:color="212492"/>
              <w:left w:val="nil"/>
              <w:bottom w:val="single" w:sz="4" w:space="0" w:color="212492"/>
              <w:right w:val="nil"/>
            </w:tcBorders>
            <w:hideMark/>
          </w:tcPr>
          <w:p w14:paraId="656B19AD" w14:textId="77777777" w:rsidR="00A809BC" w:rsidRPr="00646E35" w:rsidRDefault="00A809BC" w:rsidP="00CC766E">
            <w:pPr>
              <w:spacing w:before="40" w:after="40" w:line="280" w:lineRule="atLeast"/>
              <w:rPr>
                <w:sz w:val="20"/>
                <w:szCs w:val="20"/>
              </w:rPr>
            </w:pPr>
            <w:r w:rsidRPr="00646E35">
              <w:rPr>
                <w:sz w:val="20"/>
                <w:szCs w:val="20"/>
              </w:rPr>
              <w:lastRenderedPageBreak/>
              <w:t xml:space="preserve">Australian Government Department of Health and Aged Care. (2024). Provider operations reporting overview. </w:t>
            </w:r>
          </w:p>
        </w:tc>
        <w:tc>
          <w:tcPr>
            <w:tcW w:w="8647" w:type="dxa"/>
            <w:tcBorders>
              <w:top w:val="single" w:sz="4" w:space="0" w:color="212492"/>
              <w:left w:val="nil"/>
              <w:bottom w:val="single" w:sz="4" w:space="0" w:color="212492"/>
              <w:right w:val="nil"/>
            </w:tcBorders>
            <w:hideMark/>
          </w:tcPr>
          <w:p w14:paraId="58C4E068" w14:textId="77777777" w:rsidR="00A809BC" w:rsidRPr="00646E35" w:rsidRDefault="00A809BC" w:rsidP="00CC766E">
            <w:pPr>
              <w:spacing w:before="40" w:after="40" w:line="280" w:lineRule="atLeast"/>
              <w:rPr>
                <w:sz w:val="20"/>
                <w:szCs w:val="20"/>
              </w:rPr>
            </w:pPr>
            <w:hyperlink r:id="rId54" w:history="1">
              <w:r w:rsidRPr="00646E35">
                <w:rPr>
                  <w:rStyle w:val="Hyperlink"/>
                  <w:sz w:val="20"/>
                  <w:szCs w:val="20"/>
                </w:rPr>
                <w:t>https://www.health.gov.au/topics/aged-care/providing-aged-care-services/reporting/provider-operations</w:t>
              </w:r>
            </w:hyperlink>
          </w:p>
        </w:tc>
      </w:tr>
      <w:tr w:rsidR="0051415D" w:rsidRPr="006068CB" w14:paraId="3D0479A2" w14:textId="77777777" w:rsidTr="00CC766E">
        <w:trPr>
          <w:trHeight w:val="465"/>
        </w:trPr>
        <w:tc>
          <w:tcPr>
            <w:tcW w:w="5954" w:type="dxa"/>
            <w:tcBorders>
              <w:top w:val="single" w:sz="4" w:space="0" w:color="212492"/>
              <w:left w:val="nil"/>
              <w:bottom w:val="single" w:sz="4" w:space="0" w:color="212492"/>
              <w:right w:val="nil"/>
            </w:tcBorders>
            <w:hideMark/>
          </w:tcPr>
          <w:p w14:paraId="5A3A092C" w14:textId="77777777" w:rsidR="00A809BC" w:rsidRPr="00646E35" w:rsidRDefault="00A809BC" w:rsidP="00CC766E">
            <w:pPr>
              <w:spacing w:before="40" w:after="40" w:line="280" w:lineRule="atLeast"/>
              <w:rPr>
                <w:sz w:val="20"/>
                <w:szCs w:val="20"/>
              </w:rPr>
            </w:pPr>
            <w:r w:rsidRPr="00646E35">
              <w:rPr>
                <w:sz w:val="20"/>
                <w:szCs w:val="20"/>
              </w:rPr>
              <w:t xml:space="preserve">Australian Government Department of Health and Aged Care. (2024). Provider operations reporting – Fact sheet. </w:t>
            </w:r>
          </w:p>
        </w:tc>
        <w:tc>
          <w:tcPr>
            <w:tcW w:w="8647" w:type="dxa"/>
            <w:tcBorders>
              <w:top w:val="single" w:sz="4" w:space="0" w:color="212492"/>
              <w:left w:val="nil"/>
              <w:bottom w:val="single" w:sz="4" w:space="0" w:color="212492"/>
              <w:right w:val="nil"/>
            </w:tcBorders>
            <w:hideMark/>
          </w:tcPr>
          <w:p w14:paraId="7F7EC2CF" w14:textId="77777777" w:rsidR="00A809BC" w:rsidRPr="00646E35" w:rsidRDefault="00A809BC" w:rsidP="00CC766E">
            <w:pPr>
              <w:spacing w:before="40" w:after="40" w:line="280" w:lineRule="atLeast"/>
              <w:rPr>
                <w:sz w:val="20"/>
                <w:szCs w:val="20"/>
              </w:rPr>
            </w:pPr>
            <w:hyperlink r:id="rId55" w:history="1">
              <w:r w:rsidRPr="00646E35">
                <w:rPr>
                  <w:rStyle w:val="Hyperlink"/>
                  <w:sz w:val="20"/>
                  <w:szCs w:val="20"/>
                </w:rPr>
                <w:t>https://www.health.gov.au/resources/publications/provider-operations-reporting-fact-sheet?language=en</w:t>
              </w:r>
            </w:hyperlink>
          </w:p>
        </w:tc>
      </w:tr>
      <w:tr w:rsidR="0051415D" w:rsidRPr="006068CB" w14:paraId="3F49E4EE" w14:textId="77777777" w:rsidTr="00CC766E">
        <w:trPr>
          <w:trHeight w:val="465"/>
        </w:trPr>
        <w:tc>
          <w:tcPr>
            <w:tcW w:w="5954" w:type="dxa"/>
            <w:tcBorders>
              <w:top w:val="single" w:sz="4" w:space="0" w:color="212492"/>
              <w:left w:val="nil"/>
              <w:bottom w:val="single" w:sz="4" w:space="0" w:color="212492"/>
              <w:right w:val="nil"/>
            </w:tcBorders>
            <w:hideMark/>
          </w:tcPr>
          <w:p w14:paraId="6FBB0E32" w14:textId="77777777" w:rsidR="00A809BC" w:rsidRPr="00646E35" w:rsidRDefault="00A809BC" w:rsidP="00CC766E">
            <w:pPr>
              <w:spacing w:before="40" w:after="40" w:line="280" w:lineRule="atLeast"/>
              <w:rPr>
                <w:sz w:val="20"/>
                <w:szCs w:val="20"/>
              </w:rPr>
            </w:pPr>
            <w:r w:rsidRPr="00646E35">
              <w:rPr>
                <w:sz w:val="20"/>
                <w:szCs w:val="20"/>
              </w:rPr>
              <w:t xml:space="preserve">Australian Government Department of Health and Aged Care. (2024). Provider operations reporting – Frequently asked questions. </w:t>
            </w:r>
          </w:p>
        </w:tc>
        <w:tc>
          <w:tcPr>
            <w:tcW w:w="8647" w:type="dxa"/>
            <w:tcBorders>
              <w:top w:val="single" w:sz="4" w:space="0" w:color="212492"/>
              <w:left w:val="nil"/>
              <w:bottom w:val="single" w:sz="4" w:space="0" w:color="212492"/>
              <w:right w:val="nil"/>
            </w:tcBorders>
            <w:hideMark/>
          </w:tcPr>
          <w:p w14:paraId="761C85E7" w14:textId="77777777" w:rsidR="00A809BC" w:rsidRPr="00646E35" w:rsidRDefault="00A809BC" w:rsidP="00CC766E">
            <w:pPr>
              <w:spacing w:before="40" w:after="40" w:line="280" w:lineRule="atLeast"/>
              <w:rPr>
                <w:sz w:val="20"/>
                <w:szCs w:val="20"/>
              </w:rPr>
            </w:pPr>
            <w:hyperlink r:id="rId56" w:history="1">
              <w:r w:rsidRPr="00646E35">
                <w:rPr>
                  <w:rStyle w:val="Hyperlink"/>
                  <w:sz w:val="20"/>
                  <w:szCs w:val="20"/>
                </w:rPr>
                <w:t>https://www.health.gov.au/resources/publications/provider-operations-reporting-faqs?language=en</w:t>
              </w:r>
            </w:hyperlink>
          </w:p>
        </w:tc>
      </w:tr>
      <w:tr w:rsidR="0051415D" w:rsidRPr="006068CB" w14:paraId="0DB7ED86" w14:textId="77777777" w:rsidTr="00CC766E">
        <w:trPr>
          <w:trHeight w:val="465"/>
        </w:trPr>
        <w:tc>
          <w:tcPr>
            <w:tcW w:w="5954" w:type="dxa"/>
            <w:tcBorders>
              <w:top w:val="single" w:sz="4" w:space="0" w:color="212492"/>
              <w:left w:val="nil"/>
              <w:bottom w:val="single" w:sz="4" w:space="0" w:color="212492"/>
              <w:right w:val="nil"/>
            </w:tcBorders>
            <w:hideMark/>
          </w:tcPr>
          <w:p w14:paraId="10E05B9A" w14:textId="77777777" w:rsidR="00A809BC" w:rsidRPr="00646E35" w:rsidRDefault="00A809BC" w:rsidP="00CC766E">
            <w:pPr>
              <w:spacing w:before="40" w:after="40" w:line="280" w:lineRule="atLeast"/>
              <w:rPr>
                <w:sz w:val="20"/>
                <w:szCs w:val="20"/>
              </w:rPr>
            </w:pPr>
            <w:r w:rsidRPr="00646E35">
              <w:rPr>
                <w:sz w:val="20"/>
                <w:szCs w:val="20"/>
              </w:rPr>
              <w:t>Australian Government Department of Health and Aged Care. (2024). GPMS user guide: Provider operations reporting.</w:t>
            </w:r>
          </w:p>
        </w:tc>
        <w:tc>
          <w:tcPr>
            <w:tcW w:w="8647" w:type="dxa"/>
            <w:tcBorders>
              <w:top w:val="single" w:sz="4" w:space="0" w:color="212492"/>
              <w:left w:val="nil"/>
              <w:bottom w:val="single" w:sz="4" w:space="0" w:color="212492"/>
              <w:right w:val="nil"/>
            </w:tcBorders>
            <w:hideMark/>
          </w:tcPr>
          <w:p w14:paraId="0A26CDF5" w14:textId="77777777" w:rsidR="00A809BC" w:rsidRPr="00646E35" w:rsidRDefault="00A809BC" w:rsidP="00CC766E">
            <w:pPr>
              <w:spacing w:before="40" w:after="40" w:line="280" w:lineRule="atLeast"/>
              <w:rPr>
                <w:sz w:val="20"/>
                <w:szCs w:val="20"/>
              </w:rPr>
            </w:pPr>
            <w:hyperlink r:id="rId57" w:history="1">
              <w:r w:rsidRPr="00646E35">
                <w:rPr>
                  <w:rStyle w:val="Hyperlink"/>
                  <w:sz w:val="20"/>
                  <w:szCs w:val="20"/>
                </w:rPr>
                <w:t>https://www.health.gov.au/resources/publications/gpms-user-guide-provider-operations-reporting?language=en</w:t>
              </w:r>
            </w:hyperlink>
          </w:p>
        </w:tc>
      </w:tr>
      <w:tr w:rsidR="0051415D" w:rsidRPr="006068CB" w14:paraId="40CFC02C" w14:textId="77777777" w:rsidTr="00CC766E">
        <w:trPr>
          <w:trHeight w:val="465"/>
        </w:trPr>
        <w:tc>
          <w:tcPr>
            <w:tcW w:w="5954" w:type="dxa"/>
            <w:tcBorders>
              <w:top w:val="single" w:sz="4" w:space="0" w:color="212492"/>
              <w:left w:val="nil"/>
              <w:bottom w:val="single" w:sz="4" w:space="0" w:color="212492"/>
              <w:right w:val="nil"/>
            </w:tcBorders>
            <w:hideMark/>
          </w:tcPr>
          <w:p w14:paraId="641FE606" w14:textId="77777777" w:rsidR="00A809BC" w:rsidRPr="00646E35" w:rsidRDefault="00A809BC" w:rsidP="00CC766E">
            <w:pPr>
              <w:spacing w:before="40" w:after="40" w:line="280" w:lineRule="atLeast"/>
              <w:rPr>
                <w:sz w:val="20"/>
                <w:szCs w:val="20"/>
              </w:rPr>
            </w:pPr>
            <w:r w:rsidRPr="00646E35">
              <w:rPr>
                <w:sz w:val="20"/>
                <w:szCs w:val="20"/>
              </w:rPr>
              <w:t>Australian Government Department of Health and Aged Care. (2024). Publishing provider finance and operations information on My Aged Care.</w:t>
            </w:r>
          </w:p>
        </w:tc>
        <w:tc>
          <w:tcPr>
            <w:tcW w:w="8647" w:type="dxa"/>
            <w:tcBorders>
              <w:top w:val="single" w:sz="4" w:space="0" w:color="212492"/>
              <w:left w:val="nil"/>
              <w:bottom w:val="single" w:sz="4" w:space="0" w:color="212492"/>
              <w:right w:val="nil"/>
            </w:tcBorders>
            <w:hideMark/>
          </w:tcPr>
          <w:p w14:paraId="36C864CC" w14:textId="77777777" w:rsidR="00A809BC" w:rsidRPr="00646E35" w:rsidRDefault="00A809BC" w:rsidP="00CC766E">
            <w:pPr>
              <w:spacing w:before="40" w:after="40" w:line="280" w:lineRule="atLeast"/>
              <w:rPr>
                <w:sz w:val="20"/>
                <w:szCs w:val="20"/>
              </w:rPr>
            </w:pPr>
            <w:hyperlink r:id="rId58" w:history="1">
              <w:r w:rsidRPr="00646E35">
                <w:rPr>
                  <w:rStyle w:val="Hyperlink"/>
                  <w:sz w:val="20"/>
                  <w:szCs w:val="20"/>
                </w:rPr>
                <w:t>https://www.health.gov.au/topics/aged-care/providing-aged-care-services/reporting/publishing-of-finance-and-operations-information</w:t>
              </w:r>
            </w:hyperlink>
          </w:p>
        </w:tc>
      </w:tr>
      <w:tr w:rsidR="0051415D" w:rsidRPr="006068CB" w14:paraId="0B5FC3F5" w14:textId="77777777" w:rsidTr="00CC766E">
        <w:trPr>
          <w:trHeight w:val="465"/>
        </w:trPr>
        <w:tc>
          <w:tcPr>
            <w:tcW w:w="5954" w:type="dxa"/>
            <w:tcBorders>
              <w:top w:val="single" w:sz="4" w:space="0" w:color="212492"/>
              <w:left w:val="nil"/>
              <w:bottom w:val="single" w:sz="4" w:space="0" w:color="212492"/>
              <w:right w:val="nil"/>
            </w:tcBorders>
            <w:hideMark/>
          </w:tcPr>
          <w:p w14:paraId="7D0C3E8F" w14:textId="77777777" w:rsidR="00A809BC" w:rsidRPr="00646E35" w:rsidRDefault="00A809BC" w:rsidP="00CC766E">
            <w:pPr>
              <w:spacing w:before="40" w:after="40" w:line="280" w:lineRule="atLeast"/>
              <w:rPr>
                <w:sz w:val="20"/>
                <w:szCs w:val="20"/>
              </w:rPr>
            </w:pPr>
            <w:r w:rsidRPr="00646E35">
              <w:rPr>
                <w:sz w:val="20"/>
                <w:szCs w:val="20"/>
              </w:rPr>
              <w:t>Australian Government Department of Health and Aged Care. (2024). Publishing provider finance and operations information on the My Aged Care website – Quick reference guide.</w:t>
            </w:r>
          </w:p>
        </w:tc>
        <w:tc>
          <w:tcPr>
            <w:tcW w:w="8647" w:type="dxa"/>
            <w:tcBorders>
              <w:top w:val="single" w:sz="4" w:space="0" w:color="212492"/>
              <w:left w:val="nil"/>
              <w:bottom w:val="single" w:sz="4" w:space="0" w:color="212492"/>
              <w:right w:val="nil"/>
            </w:tcBorders>
            <w:hideMark/>
          </w:tcPr>
          <w:p w14:paraId="59C8E756" w14:textId="77777777" w:rsidR="00A809BC" w:rsidRPr="00646E35" w:rsidRDefault="00A809BC" w:rsidP="00CC766E">
            <w:pPr>
              <w:spacing w:before="40" w:after="40" w:line="280" w:lineRule="atLeast"/>
              <w:rPr>
                <w:sz w:val="20"/>
                <w:szCs w:val="20"/>
              </w:rPr>
            </w:pPr>
            <w:hyperlink r:id="rId59" w:history="1">
              <w:r w:rsidRPr="00646E35">
                <w:rPr>
                  <w:rStyle w:val="Hyperlink"/>
                  <w:sz w:val="20"/>
                  <w:szCs w:val="20"/>
                </w:rPr>
                <w:t>https://www.health.gov.au/sites/default/files/2024-02/publishing-provider-finance-and-operations-information-on-the-my-aged-care-website-quick-reference-guide.pdf</w:t>
              </w:r>
            </w:hyperlink>
          </w:p>
        </w:tc>
      </w:tr>
      <w:tr w:rsidR="0051415D" w:rsidRPr="006068CB" w14:paraId="1A8F7784" w14:textId="77777777" w:rsidTr="00CC766E">
        <w:trPr>
          <w:trHeight w:val="465"/>
        </w:trPr>
        <w:tc>
          <w:tcPr>
            <w:tcW w:w="5954" w:type="dxa"/>
            <w:tcBorders>
              <w:top w:val="single" w:sz="4" w:space="0" w:color="212492"/>
              <w:left w:val="nil"/>
              <w:bottom w:val="single" w:sz="4" w:space="0" w:color="212492"/>
              <w:right w:val="nil"/>
            </w:tcBorders>
            <w:hideMark/>
          </w:tcPr>
          <w:p w14:paraId="73ED4F30" w14:textId="77777777" w:rsidR="00A809BC" w:rsidRPr="00646E35" w:rsidRDefault="00A809BC" w:rsidP="00CC766E">
            <w:pPr>
              <w:spacing w:before="40" w:after="40" w:line="280" w:lineRule="atLeast"/>
              <w:rPr>
                <w:sz w:val="20"/>
                <w:szCs w:val="20"/>
              </w:rPr>
            </w:pPr>
            <w:r w:rsidRPr="00646E35">
              <w:rPr>
                <w:sz w:val="20"/>
                <w:szCs w:val="20"/>
              </w:rPr>
              <w:t xml:space="preserve">Australian Government Department of Health and Aged Care. (2024). GPMS quick reference guide: Provider operations reporting. </w:t>
            </w:r>
          </w:p>
        </w:tc>
        <w:tc>
          <w:tcPr>
            <w:tcW w:w="8647" w:type="dxa"/>
            <w:tcBorders>
              <w:top w:val="single" w:sz="4" w:space="0" w:color="212492"/>
              <w:left w:val="nil"/>
              <w:bottom w:val="single" w:sz="4" w:space="0" w:color="212492"/>
              <w:right w:val="nil"/>
            </w:tcBorders>
            <w:hideMark/>
          </w:tcPr>
          <w:p w14:paraId="7203E5B0" w14:textId="77777777" w:rsidR="00A809BC" w:rsidRPr="00646E35" w:rsidRDefault="00A809BC" w:rsidP="00CC766E">
            <w:pPr>
              <w:spacing w:before="40" w:after="40" w:line="280" w:lineRule="atLeast"/>
              <w:rPr>
                <w:sz w:val="20"/>
                <w:szCs w:val="20"/>
              </w:rPr>
            </w:pPr>
            <w:hyperlink r:id="rId60" w:history="1">
              <w:r w:rsidRPr="00646E35">
                <w:rPr>
                  <w:rStyle w:val="Hyperlink"/>
                  <w:sz w:val="20"/>
                  <w:szCs w:val="20"/>
                </w:rPr>
                <w:t>https://www.health.gov.au/sites/default/files/2024-06/government-provider-management-system-quick-reference-guide-provider-operations-reporting.pdf</w:t>
              </w:r>
            </w:hyperlink>
          </w:p>
        </w:tc>
      </w:tr>
      <w:tr w:rsidR="0051415D" w:rsidRPr="006068CB" w14:paraId="5B5E75D9" w14:textId="77777777" w:rsidTr="00CC766E">
        <w:trPr>
          <w:trHeight w:val="465"/>
        </w:trPr>
        <w:tc>
          <w:tcPr>
            <w:tcW w:w="5954" w:type="dxa"/>
            <w:tcBorders>
              <w:top w:val="single" w:sz="4" w:space="0" w:color="212492"/>
              <w:left w:val="nil"/>
              <w:bottom w:val="single" w:sz="4" w:space="0" w:color="212492"/>
              <w:right w:val="nil"/>
            </w:tcBorders>
            <w:hideMark/>
          </w:tcPr>
          <w:p w14:paraId="0CE8D00F" w14:textId="77777777" w:rsidR="00A809BC" w:rsidRPr="00646E35" w:rsidRDefault="00A809BC" w:rsidP="00CC766E">
            <w:pPr>
              <w:spacing w:before="40" w:after="40" w:line="280" w:lineRule="atLeast"/>
              <w:rPr>
                <w:sz w:val="20"/>
                <w:szCs w:val="20"/>
              </w:rPr>
            </w:pPr>
            <w:r w:rsidRPr="00646E35">
              <w:rPr>
                <w:sz w:val="20"/>
                <w:szCs w:val="20"/>
              </w:rPr>
              <w:t xml:space="preserve">Aged Care Financial Report – Department of Health and Aged Care </w:t>
            </w:r>
          </w:p>
        </w:tc>
        <w:tc>
          <w:tcPr>
            <w:tcW w:w="8647" w:type="dxa"/>
            <w:tcBorders>
              <w:top w:val="single" w:sz="4" w:space="0" w:color="212492"/>
              <w:left w:val="nil"/>
              <w:bottom w:val="single" w:sz="4" w:space="0" w:color="212492"/>
              <w:right w:val="nil"/>
            </w:tcBorders>
            <w:hideMark/>
          </w:tcPr>
          <w:p w14:paraId="5A827F67" w14:textId="77777777" w:rsidR="00A809BC" w:rsidRPr="00646E35" w:rsidRDefault="00A809BC" w:rsidP="00CC766E">
            <w:pPr>
              <w:spacing w:before="40" w:after="40" w:line="280" w:lineRule="atLeast"/>
              <w:rPr>
                <w:sz w:val="20"/>
                <w:szCs w:val="20"/>
              </w:rPr>
            </w:pPr>
            <w:hyperlink r:id="rId61" w:history="1">
              <w:r w:rsidRPr="00646E35">
                <w:rPr>
                  <w:rStyle w:val="Hyperlink"/>
                  <w:sz w:val="20"/>
                  <w:szCs w:val="20"/>
                </w:rPr>
                <w:t>https://www.health.gov.au/topics/aged-care/providing-aged-care-services/reporting/aged-care-financial-report</w:t>
              </w:r>
            </w:hyperlink>
          </w:p>
        </w:tc>
      </w:tr>
      <w:tr w:rsidR="0051415D" w:rsidRPr="006068CB" w14:paraId="5C2702D8" w14:textId="77777777" w:rsidTr="00CC766E">
        <w:trPr>
          <w:trHeight w:val="465"/>
        </w:trPr>
        <w:tc>
          <w:tcPr>
            <w:tcW w:w="5954" w:type="dxa"/>
            <w:tcBorders>
              <w:top w:val="single" w:sz="4" w:space="0" w:color="212492"/>
              <w:left w:val="nil"/>
              <w:bottom w:val="single" w:sz="4" w:space="0" w:color="212492"/>
              <w:right w:val="nil"/>
            </w:tcBorders>
            <w:hideMark/>
          </w:tcPr>
          <w:p w14:paraId="51DBE118" w14:textId="77777777" w:rsidR="00A809BC" w:rsidRPr="00646E35" w:rsidRDefault="00A809BC" w:rsidP="00CC766E">
            <w:pPr>
              <w:spacing w:before="40" w:after="40" w:line="280" w:lineRule="atLeast"/>
              <w:rPr>
                <w:sz w:val="20"/>
                <w:szCs w:val="20"/>
              </w:rPr>
            </w:pPr>
            <w:r w:rsidRPr="00646E35">
              <w:rPr>
                <w:sz w:val="20"/>
                <w:szCs w:val="20"/>
              </w:rPr>
              <w:t>NATSIFAC Program: Flexible aged care for First Nations communities</w:t>
            </w:r>
          </w:p>
        </w:tc>
        <w:tc>
          <w:tcPr>
            <w:tcW w:w="8647" w:type="dxa"/>
            <w:tcBorders>
              <w:top w:val="single" w:sz="4" w:space="0" w:color="212492"/>
              <w:left w:val="nil"/>
              <w:bottom w:val="single" w:sz="4" w:space="0" w:color="212492"/>
              <w:right w:val="nil"/>
            </w:tcBorders>
            <w:hideMark/>
          </w:tcPr>
          <w:p w14:paraId="7B5738B2" w14:textId="77777777" w:rsidR="00A809BC" w:rsidRPr="00646E35" w:rsidRDefault="00A809BC" w:rsidP="00CC766E">
            <w:pPr>
              <w:spacing w:before="40" w:after="40" w:line="280" w:lineRule="atLeast"/>
              <w:rPr>
                <w:sz w:val="20"/>
                <w:szCs w:val="20"/>
              </w:rPr>
            </w:pPr>
            <w:hyperlink r:id="rId62" w:history="1">
              <w:r w:rsidRPr="00646E35">
                <w:rPr>
                  <w:rStyle w:val="Hyperlink"/>
                  <w:sz w:val="20"/>
                  <w:szCs w:val="20"/>
                </w:rPr>
                <w:t>https://www.health.gov.au/initiatives-and-programs/natsifac</w:t>
              </w:r>
            </w:hyperlink>
          </w:p>
        </w:tc>
      </w:tr>
      <w:tr w:rsidR="0051415D" w:rsidRPr="006068CB" w14:paraId="30AB4E76" w14:textId="77777777" w:rsidTr="00CC766E">
        <w:trPr>
          <w:trHeight w:val="465"/>
        </w:trPr>
        <w:tc>
          <w:tcPr>
            <w:tcW w:w="5954" w:type="dxa"/>
            <w:tcBorders>
              <w:top w:val="single" w:sz="4" w:space="0" w:color="212492"/>
              <w:left w:val="nil"/>
              <w:bottom w:val="single" w:sz="4" w:space="0" w:color="212492"/>
              <w:right w:val="nil"/>
            </w:tcBorders>
            <w:hideMark/>
          </w:tcPr>
          <w:p w14:paraId="5FA4EDCF" w14:textId="77777777" w:rsidR="00A809BC" w:rsidRPr="00646E35" w:rsidRDefault="00A809BC" w:rsidP="00CC766E">
            <w:pPr>
              <w:spacing w:before="40" w:after="40" w:line="280" w:lineRule="atLeast"/>
              <w:rPr>
                <w:sz w:val="20"/>
                <w:szCs w:val="20"/>
              </w:rPr>
            </w:pPr>
            <w:r w:rsidRPr="00646E35">
              <w:rPr>
                <w:sz w:val="20"/>
                <w:szCs w:val="20"/>
              </w:rPr>
              <w:t>New Aged Care Act Resources for Providers – Department of Health and Aged Care</w:t>
            </w:r>
          </w:p>
        </w:tc>
        <w:tc>
          <w:tcPr>
            <w:tcW w:w="8647" w:type="dxa"/>
            <w:tcBorders>
              <w:top w:val="single" w:sz="4" w:space="0" w:color="212492"/>
              <w:left w:val="nil"/>
              <w:bottom w:val="single" w:sz="4" w:space="0" w:color="212492"/>
              <w:right w:val="nil"/>
            </w:tcBorders>
            <w:hideMark/>
          </w:tcPr>
          <w:p w14:paraId="55441A21" w14:textId="77777777" w:rsidR="00A809BC" w:rsidRPr="00646E35" w:rsidRDefault="00A809BC" w:rsidP="00CC766E">
            <w:pPr>
              <w:spacing w:before="40" w:after="40" w:line="280" w:lineRule="atLeast"/>
              <w:rPr>
                <w:sz w:val="20"/>
                <w:szCs w:val="20"/>
              </w:rPr>
            </w:pPr>
            <w:hyperlink r:id="rId63" w:history="1">
              <w:r w:rsidRPr="00646E35">
                <w:rPr>
                  <w:rStyle w:val="Hyperlink"/>
                  <w:sz w:val="20"/>
                  <w:szCs w:val="20"/>
                </w:rPr>
                <w:t>https://www.health.gov.au/our-work/aged-care-act/resources/providers</w:t>
              </w:r>
            </w:hyperlink>
          </w:p>
        </w:tc>
      </w:tr>
      <w:tr w:rsidR="0051415D" w:rsidRPr="006068CB" w14:paraId="53BC9DC1" w14:textId="77777777" w:rsidTr="00CC766E">
        <w:trPr>
          <w:trHeight w:val="465"/>
        </w:trPr>
        <w:tc>
          <w:tcPr>
            <w:tcW w:w="5954" w:type="dxa"/>
            <w:tcBorders>
              <w:top w:val="single" w:sz="4" w:space="0" w:color="212492"/>
              <w:left w:val="nil"/>
              <w:bottom w:val="single" w:sz="4" w:space="0" w:color="212492"/>
              <w:right w:val="nil"/>
            </w:tcBorders>
            <w:hideMark/>
          </w:tcPr>
          <w:p w14:paraId="36EDE2FA" w14:textId="77777777" w:rsidR="00A809BC" w:rsidRPr="00646E35" w:rsidRDefault="00A809BC" w:rsidP="00CC766E">
            <w:pPr>
              <w:spacing w:before="40" w:after="40" w:line="280" w:lineRule="atLeast"/>
              <w:rPr>
                <w:sz w:val="20"/>
                <w:szCs w:val="20"/>
              </w:rPr>
            </w:pPr>
            <w:r w:rsidRPr="00646E35">
              <w:rPr>
                <w:sz w:val="20"/>
                <w:szCs w:val="20"/>
              </w:rPr>
              <w:t>Provider Registration Preview – Department of Health and Aged Care</w:t>
            </w:r>
          </w:p>
        </w:tc>
        <w:tc>
          <w:tcPr>
            <w:tcW w:w="8647" w:type="dxa"/>
            <w:tcBorders>
              <w:top w:val="single" w:sz="4" w:space="0" w:color="212492"/>
              <w:left w:val="nil"/>
              <w:bottom w:val="single" w:sz="4" w:space="0" w:color="212492"/>
              <w:right w:val="nil"/>
            </w:tcBorders>
            <w:hideMark/>
          </w:tcPr>
          <w:p w14:paraId="5F29700D" w14:textId="77777777" w:rsidR="00A809BC" w:rsidRPr="00646E35" w:rsidRDefault="00A809BC" w:rsidP="00CC766E">
            <w:pPr>
              <w:spacing w:before="40" w:after="40" w:line="280" w:lineRule="atLeast"/>
              <w:rPr>
                <w:sz w:val="20"/>
                <w:szCs w:val="20"/>
              </w:rPr>
            </w:pPr>
            <w:hyperlink r:id="rId64" w:history="1">
              <w:r w:rsidRPr="00646E35">
                <w:rPr>
                  <w:rStyle w:val="Hyperlink"/>
                  <w:sz w:val="20"/>
                  <w:szCs w:val="20"/>
                </w:rPr>
                <w:t>https://www.health.gov.au/our-work/new-model-for-regulating-aged-care/how-it-works/provider-registration-preview</w:t>
              </w:r>
            </w:hyperlink>
          </w:p>
        </w:tc>
      </w:tr>
      <w:tr w:rsidR="0051415D" w:rsidRPr="006068CB" w14:paraId="59EAF43D" w14:textId="77777777" w:rsidTr="00CC766E">
        <w:trPr>
          <w:trHeight w:val="465"/>
        </w:trPr>
        <w:tc>
          <w:tcPr>
            <w:tcW w:w="5954" w:type="dxa"/>
            <w:tcBorders>
              <w:top w:val="single" w:sz="4" w:space="0" w:color="212492"/>
              <w:left w:val="nil"/>
              <w:bottom w:val="single" w:sz="4" w:space="0" w:color="212492"/>
              <w:right w:val="nil"/>
            </w:tcBorders>
            <w:hideMark/>
          </w:tcPr>
          <w:p w14:paraId="05FCD8B2" w14:textId="77777777" w:rsidR="00A809BC" w:rsidRPr="00646E35" w:rsidRDefault="00A809BC" w:rsidP="00CC766E">
            <w:pPr>
              <w:spacing w:before="40" w:after="40" w:line="280" w:lineRule="atLeast"/>
              <w:rPr>
                <w:sz w:val="20"/>
                <w:szCs w:val="20"/>
              </w:rPr>
            </w:pPr>
            <w:r w:rsidRPr="00646E35">
              <w:rPr>
                <w:sz w:val="20"/>
                <w:szCs w:val="20"/>
              </w:rPr>
              <w:t>Quarterly Financial Report – Department of Health and Aged Care</w:t>
            </w:r>
          </w:p>
        </w:tc>
        <w:tc>
          <w:tcPr>
            <w:tcW w:w="8647" w:type="dxa"/>
            <w:tcBorders>
              <w:top w:val="single" w:sz="4" w:space="0" w:color="212492"/>
              <w:left w:val="nil"/>
              <w:bottom w:val="single" w:sz="4" w:space="0" w:color="212492"/>
              <w:right w:val="nil"/>
            </w:tcBorders>
            <w:hideMark/>
          </w:tcPr>
          <w:p w14:paraId="5011E780" w14:textId="77777777" w:rsidR="00A809BC" w:rsidRPr="00646E35" w:rsidRDefault="00A809BC" w:rsidP="00CC766E">
            <w:pPr>
              <w:spacing w:before="40" w:after="40" w:line="280" w:lineRule="atLeast"/>
              <w:rPr>
                <w:sz w:val="20"/>
                <w:szCs w:val="20"/>
              </w:rPr>
            </w:pPr>
            <w:hyperlink r:id="rId65" w:history="1">
              <w:r w:rsidRPr="00646E35">
                <w:rPr>
                  <w:rStyle w:val="Hyperlink"/>
                  <w:sz w:val="20"/>
                  <w:szCs w:val="20"/>
                </w:rPr>
                <w:t>https://www.health.gov.au/topics/aged-care/providing-aged-care-services/reporting/quarterly-financial-report</w:t>
              </w:r>
            </w:hyperlink>
          </w:p>
        </w:tc>
      </w:tr>
      <w:tr w:rsidR="0051415D" w:rsidRPr="006068CB" w14:paraId="5EAA5D77" w14:textId="77777777" w:rsidTr="00CC766E">
        <w:trPr>
          <w:trHeight w:val="465"/>
        </w:trPr>
        <w:tc>
          <w:tcPr>
            <w:tcW w:w="5954" w:type="dxa"/>
            <w:tcBorders>
              <w:top w:val="single" w:sz="4" w:space="0" w:color="212492"/>
              <w:left w:val="nil"/>
              <w:bottom w:val="single" w:sz="4" w:space="0" w:color="212492"/>
              <w:right w:val="nil"/>
            </w:tcBorders>
            <w:hideMark/>
          </w:tcPr>
          <w:p w14:paraId="1EF71228" w14:textId="77777777" w:rsidR="00A809BC" w:rsidRPr="00646E35" w:rsidRDefault="00A809BC" w:rsidP="00CC766E">
            <w:pPr>
              <w:spacing w:before="40" w:after="40" w:line="280" w:lineRule="atLeast"/>
              <w:rPr>
                <w:sz w:val="20"/>
                <w:szCs w:val="20"/>
              </w:rPr>
            </w:pPr>
            <w:r w:rsidRPr="00646E35">
              <w:rPr>
                <w:sz w:val="20"/>
                <w:szCs w:val="20"/>
              </w:rPr>
              <w:lastRenderedPageBreak/>
              <w:t>The CHSP (Commonwealth Home Support Program)</w:t>
            </w:r>
          </w:p>
        </w:tc>
        <w:tc>
          <w:tcPr>
            <w:tcW w:w="8647" w:type="dxa"/>
            <w:tcBorders>
              <w:top w:val="single" w:sz="4" w:space="0" w:color="212492"/>
              <w:left w:val="nil"/>
              <w:bottom w:val="single" w:sz="4" w:space="0" w:color="212492"/>
              <w:right w:val="nil"/>
            </w:tcBorders>
            <w:hideMark/>
          </w:tcPr>
          <w:p w14:paraId="07804381" w14:textId="77777777" w:rsidR="00A809BC" w:rsidRPr="00646E35" w:rsidRDefault="00A809BC" w:rsidP="00CC766E">
            <w:pPr>
              <w:spacing w:before="40" w:after="40" w:line="280" w:lineRule="atLeast"/>
              <w:rPr>
                <w:sz w:val="20"/>
                <w:szCs w:val="20"/>
              </w:rPr>
            </w:pPr>
            <w:hyperlink r:id="rId66" w:history="1">
              <w:r w:rsidRPr="00646E35">
                <w:rPr>
                  <w:rStyle w:val="Hyperlink"/>
                  <w:sz w:val="20"/>
                  <w:szCs w:val="20"/>
                </w:rPr>
                <w:t>https://www.myagedcare.gov.au/help-at-home/commonwealth-home-support-programme</w:t>
              </w:r>
            </w:hyperlink>
          </w:p>
        </w:tc>
      </w:tr>
      <w:tr w:rsidR="0051415D" w:rsidRPr="006068CB" w14:paraId="203E3B3C" w14:textId="77777777" w:rsidTr="00CC766E">
        <w:trPr>
          <w:trHeight w:val="465"/>
        </w:trPr>
        <w:tc>
          <w:tcPr>
            <w:tcW w:w="5954" w:type="dxa"/>
            <w:tcBorders>
              <w:top w:val="single" w:sz="4" w:space="0" w:color="212492"/>
              <w:left w:val="nil"/>
              <w:bottom w:val="single" w:sz="4" w:space="0" w:color="212492"/>
              <w:right w:val="nil"/>
            </w:tcBorders>
            <w:hideMark/>
          </w:tcPr>
          <w:p w14:paraId="48D08183" w14:textId="77777777" w:rsidR="00A809BC" w:rsidRPr="00646E35" w:rsidRDefault="00A809BC" w:rsidP="00CC766E">
            <w:pPr>
              <w:spacing w:before="40" w:after="40" w:line="280" w:lineRule="atLeast"/>
              <w:rPr>
                <w:sz w:val="20"/>
                <w:szCs w:val="20"/>
              </w:rPr>
            </w:pPr>
            <w:r w:rsidRPr="00646E35">
              <w:rPr>
                <w:sz w:val="20"/>
                <w:szCs w:val="20"/>
              </w:rPr>
              <w:t>Support at Home Program – Department of Health and Aged Care</w:t>
            </w:r>
          </w:p>
        </w:tc>
        <w:tc>
          <w:tcPr>
            <w:tcW w:w="8647" w:type="dxa"/>
            <w:tcBorders>
              <w:top w:val="single" w:sz="4" w:space="0" w:color="212492"/>
              <w:left w:val="nil"/>
              <w:bottom w:val="single" w:sz="4" w:space="0" w:color="212492"/>
              <w:right w:val="nil"/>
            </w:tcBorders>
            <w:hideMark/>
          </w:tcPr>
          <w:p w14:paraId="02054BEC" w14:textId="77777777" w:rsidR="00A809BC" w:rsidRPr="00646E35" w:rsidRDefault="00A809BC" w:rsidP="00CC766E">
            <w:pPr>
              <w:spacing w:before="40" w:after="40" w:line="280" w:lineRule="atLeast"/>
              <w:rPr>
                <w:sz w:val="20"/>
                <w:szCs w:val="20"/>
              </w:rPr>
            </w:pPr>
            <w:hyperlink r:id="rId67" w:history="1">
              <w:r w:rsidRPr="00646E35">
                <w:rPr>
                  <w:rStyle w:val="Hyperlink"/>
                  <w:sz w:val="20"/>
                  <w:szCs w:val="20"/>
                </w:rPr>
                <w:t>https://www.health.gov.au/our-work/support-at-home</w:t>
              </w:r>
            </w:hyperlink>
          </w:p>
        </w:tc>
      </w:tr>
      <w:tr w:rsidR="00877BCF" w:rsidRPr="00877BCF" w14:paraId="713FAAE3" w14:textId="77777777" w:rsidTr="00CC766E">
        <w:trPr>
          <w:trHeight w:val="465"/>
        </w:trPr>
        <w:tc>
          <w:tcPr>
            <w:tcW w:w="14601" w:type="dxa"/>
            <w:gridSpan w:val="2"/>
            <w:tcBorders>
              <w:top w:val="single" w:sz="4" w:space="0" w:color="212492"/>
              <w:left w:val="nil"/>
              <w:bottom w:val="single" w:sz="4" w:space="0" w:color="212492"/>
              <w:right w:val="nil"/>
            </w:tcBorders>
            <w:shd w:val="clear" w:color="auto" w:fill="C6D9F1" w:themeFill="text2" w:themeFillTint="33"/>
            <w:hideMark/>
          </w:tcPr>
          <w:p w14:paraId="0E731D82" w14:textId="77777777" w:rsidR="00A809BC" w:rsidRPr="00CC766E" w:rsidRDefault="00A809BC" w:rsidP="00CC766E">
            <w:pPr>
              <w:spacing w:before="40" w:after="40" w:line="280" w:lineRule="atLeast"/>
              <w:rPr>
                <w:color w:val="181A6D" w:themeColor="accent1" w:themeShade="BF"/>
                <w:sz w:val="20"/>
                <w:szCs w:val="20"/>
              </w:rPr>
            </w:pPr>
            <w:r w:rsidRPr="00CC766E">
              <w:rPr>
                <w:color w:val="181A6D" w:themeColor="accent1" w:themeShade="BF"/>
                <w:sz w:val="20"/>
                <w:szCs w:val="20"/>
              </w:rPr>
              <w:t>Independent Health and Aged Care Pricing Authority (IHACPA)</w:t>
            </w:r>
          </w:p>
        </w:tc>
      </w:tr>
      <w:tr w:rsidR="0051415D" w:rsidRPr="006068CB" w14:paraId="7955BF4F" w14:textId="77777777" w:rsidTr="00CC766E">
        <w:trPr>
          <w:trHeight w:val="465"/>
        </w:trPr>
        <w:tc>
          <w:tcPr>
            <w:tcW w:w="5954" w:type="dxa"/>
            <w:tcBorders>
              <w:top w:val="single" w:sz="4" w:space="0" w:color="212492"/>
              <w:left w:val="nil"/>
              <w:bottom w:val="single" w:sz="4" w:space="0" w:color="212492"/>
              <w:right w:val="nil"/>
            </w:tcBorders>
            <w:hideMark/>
          </w:tcPr>
          <w:p w14:paraId="328BBC2E" w14:textId="77777777" w:rsidR="00A809BC" w:rsidRPr="00646E35" w:rsidRDefault="00A809BC" w:rsidP="00CC766E">
            <w:pPr>
              <w:spacing w:before="40" w:after="40" w:line="280" w:lineRule="atLeast"/>
              <w:rPr>
                <w:sz w:val="20"/>
                <w:szCs w:val="20"/>
              </w:rPr>
            </w:pPr>
            <w:r w:rsidRPr="00646E35">
              <w:rPr>
                <w:sz w:val="20"/>
                <w:szCs w:val="20"/>
              </w:rPr>
              <w:t>IHACPA Aged Care Cost Collection Webinars</w:t>
            </w:r>
          </w:p>
        </w:tc>
        <w:tc>
          <w:tcPr>
            <w:tcW w:w="8647" w:type="dxa"/>
            <w:tcBorders>
              <w:top w:val="single" w:sz="4" w:space="0" w:color="212492"/>
              <w:left w:val="nil"/>
              <w:bottom w:val="single" w:sz="4" w:space="0" w:color="212492"/>
              <w:right w:val="nil"/>
            </w:tcBorders>
            <w:hideMark/>
          </w:tcPr>
          <w:p w14:paraId="35BEF1F9" w14:textId="77777777" w:rsidR="00A809BC" w:rsidRPr="00646E35" w:rsidRDefault="00A809BC" w:rsidP="00CC766E">
            <w:pPr>
              <w:spacing w:before="40" w:after="40" w:line="280" w:lineRule="atLeast"/>
              <w:rPr>
                <w:sz w:val="20"/>
                <w:szCs w:val="20"/>
              </w:rPr>
            </w:pPr>
            <w:hyperlink r:id="rId68" w:history="1">
              <w:r w:rsidRPr="00646E35">
                <w:rPr>
                  <w:rStyle w:val="Hyperlink"/>
                  <w:sz w:val="20"/>
                  <w:szCs w:val="20"/>
                </w:rPr>
                <w:t>https://www.ihacpa.gov.au/events/aged-care-cost-data-collection</w:t>
              </w:r>
            </w:hyperlink>
          </w:p>
        </w:tc>
      </w:tr>
      <w:tr w:rsidR="0051415D" w:rsidRPr="006068CB" w14:paraId="309995A7" w14:textId="77777777" w:rsidTr="00CC766E">
        <w:trPr>
          <w:trHeight w:val="465"/>
        </w:trPr>
        <w:tc>
          <w:tcPr>
            <w:tcW w:w="5954" w:type="dxa"/>
            <w:tcBorders>
              <w:top w:val="single" w:sz="4" w:space="0" w:color="212492"/>
              <w:left w:val="nil"/>
              <w:bottom w:val="single" w:sz="4" w:space="0" w:color="212492"/>
              <w:right w:val="nil"/>
            </w:tcBorders>
            <w:hideMark/>
          </w:tcPr>
          <w:p w14:paraId="69994271" w14:textId="77777777" w:rsidR="00A809BC" w:rsidRPr="00646E35" w:rsidRDefault="00A809BC" w:rsidP="00CC766E">
            <w:pPr>
              <w:spacing w:before="40" w:after="40" w:line="280" w:lineRule="atLeast"/>
              <w:rPr>
                <w:sz w:val="20"/>
                <w:szCs w:val="20"/>
              </w:rPr>
            </w:pPr>
            <w:r w:rsidRPr="00646E35">
              <w:rPr>
                <w:sz w:val="20"/>
                <w:szCs w:val="20"/>
              </w:rPr>
              <w:t>Data Access and Release Policy</w:t>
            </w:r>
          </w:p>
        </w:tc>
        <w:tc>
          <w:tcPr>
            <w:tcW w:w="8647" w:type="dxa"/>
            <w:tcBorders>
              <w:top w:val="single" w:sz="4" w:space="0" w:color="212492"/>
              <w:left w:val="nil"/>
              <w:bottom w:val="single" w:sz="4" w:space="0" w:color="212492"/>
              <w:right w:val="nil"/>
            </w:tcBorders>
            <w:hideMark/>
          </w:tcPr>
          <w:p w14:paraId="3796D5EC" w14:textId="77777777" w:rsidR="00A809BC" w:rsidRPr="00646E35" w:rsidRDefault="00A809BC" w:rsidP="00CC766E">
            <w:pPr>
              <w:spacing w:before="40" w:after="40" w:line="280" w:lineRule="atLeast"/>
              <w:rPr>
                <w:sz w:val="20"/>
                <w:szCs w:val="20"/>
              </w:rPr>
            </w:pPr>
            <w:hyperlink r:id="rId69" w:history="1">
              <w:r w:rsidRPr="00646E35">
                <w:rPr>
                  <w:rStyle w:val="Hyperlink"/>
                  <w:sz w:val="20"/>
                  <w:szCs w:val="20"/>
                </w:rPr>
                <w:t>https://www.ihacpa.gov.au/resources/data-access-and-release-policy</w:t>
              </w:r>
            </w:hyperlink>
          </w:p>
        </w:tc>
      </w:tr>
      <w:tr w:rsidR="0051415D" w:rsidRPr="006068CB" w14:paraId="6CE8D690" w14:textId="77777777" w:rsidTr="00CC766E">
        <w:trPr>
          <w:trHeight w:val="465"/>
        </w:trPr>
        <w:tc>
          <w:tcPr>
            <w:tcW w:w="5954" w:type="dxa"/>
            <w:tcBorders>
              <w:top w:val="single" w:sz="4" w:space="0" w:color="212492"/>
              <w:left w:val="nil"/>
              <w:bottom w:val="single" w:sz="4" w:space="0" w:color="212492"/>
              <w:right w:val="nil"/>
            </w:tcBorders>
            <w:hideMark/>
          </w:tcPr>
          <w:p w14:paraId="0F0EF61F" w14:textId="77777777" w:rsidR="00A809BC" w:rsidRPr="00646E35" w:rsidRDefault="00A809BC" w:rsidP="00CC766E">
            <w:pPr>
              <w:spacing w:before="40" w:after="40" w:line="280" w:lineRule="atLeast"/>
              <w:rPr>
                <w:sz w:val="20"/>
                <w:szCs w:val="20"/>
              </w:rPr>
            </w:pPr>
            <w:r w:rsidRPr="00646E35">
              <w:rPr>
                <w:sz w:val="20"/>
                <w:szCs w:val="20"/>
              </w:rPr>
              <w:t>Three Year Data Plan</w:t>
            </w:r>
          </w:p>
        </w:tc>
        <w:tc>
          <w:tcPr>
            <w:tcW w:w="8647" w:type="dxa"/>
            <w:tcBorders>
              <w:top w:val="single" w:sz="4" w:space="0" w:color="212492"/>
              <w:left w:val="nil"/>
              <w:bottom w:val="single" w:sz="4" w:space="0" w:color="212492"/>
              <w:right w:val="nil"/>
            </w:tcBorders>
            <w:hideMark/>
          </w:tcPr>
          <w:p w14:paraId="4C04BD8E" w14:textId="77777777" w:rsidR="00A809BC" w:rsidRPr="00646E35" w:rsidRDefault="00A809BC" w:rsidP="00CC766E">
            <w:pPr>
              <w:spacing w:before="40" w:after="40" w:line="280" w:lineRule="atLeast"/>
              <w:rPr>
                <w:sz w:val="20"/>
                <w:szCs w:val="20"/>
              </w:rPr>
            </w:pPr>
            <w:hyperlink r:id="rId70" w:history="1">
              <w:r w:rsidRPr="00646E35">
                <w:rPr>
                  <w:rStyle w:val="Hyperlink"/>
                  <w:sz w:val="20"/>
                  <w:szCs w:val="20"/>
                </w:rPr>
                <w:t>https://www.ihacpa.gov.au/resources/three-year-data-plan</w:t>
              </w:r>
            </w:hyperlink>
          </w:p>
        </w:tc>
      </w:tr>
      <w:tr w:rsidR="0051415D" w:rsidRPr="006068CB" w14:paraId="5F001893" w14:textId="77777777" w:rsidTr="00CC766E">
        <w:trPr>
          <w:trHeight w:val="465"/>
        </w:trPr>
        <w:tc>
          <w:tcPr>
            <w:tcW w:w="5954" w:type="dxa"/>
            <w:tcBorders>
              <w:top w:val="single" w:sz="4" w:space="0" w:color="212492"/>
              <w:left w:val="nil"/>
              <w:bottom w:val="single" w:sz="4" w:space="0" w:color="212492"/>
              <w:right w:val="nil"/>
            </w:tcBorders>
            <w:hideMark/>
          </w:tcPr>
          <w:p w14:paraId="3B7C3452" w14:textId="77777777" w:rsidR="00A809BC" w:rsidRPr="00646E35" w:rsidRDefault="00A809BC" w:rsidP="00CC766E">
            <w:pPr>
              <w:spacing w:before="40" w:after="40" w:line="280" w:lineRule="atLeast"/>
              <w:rPr>
                <w:sz w:val="20"/>
                <w:szCs w:val="20"/>
              </w:rPr>
            </w:pPr>
            <w:r w:rsidRPr="00646E35">
              <w:rPr>
                <w:sz w:val="20"/>
                <w:szCs w:val="20"/>
              </w:rPr>
              <w:t>Residential Aged Care Pricing Advice 2024–25</w:t>
            </w:r>
          </w:p>
        </w:tc>
        <w:tc>
          <w:tcPr>
            <w:tcW w:w="8647" w:type="dxa"/>
            <w:tcBorders>
              <w:top w:val="single" w:sz="4" w:space="0" w:color="212492"/>
              <w:left w:val="nil"/>
              <w:bottom w:val="single" w:sz="4" w:space="0" w:color="212492"/>
              <w:right w:val="nil"/>
            </w:tcBorders>
            <w:hideMark/>
          </w:tcPr>
          <w:p w14:paraId="26EFF7BF" w14:textId="77777777" w:rsidR="00A809BC" w:rsidRPr="00646E35" w:rsidRDefault="00A809BC" w:rsidP="00CC766E">
            <w:pPr>
              <w:spacing w:before="40" w:after="40" w:line="280" w:lineRule="atLeast"/>
              <w:rPr>
                <w:sz w:val="20"/>
                <w:szCs w:val="20"/>
              </w:rPr>
            </w:pPr>
            <w:hyperlink r:id="rId71" w:history="1">
              <w:r w:rsidRPr="00646E35">
                <w:rPr>
                  <w:rStyle w:val="Hyperlink"/>
                  <w:sz w:val="20"/>
                  <w:szCs w:val="20"/>
                </w:rPr>
                <w:t>https://www.ihacpa.gov.au/resources/residential-aged-care-pricing-advice-2024-25</w:t>
              </w:r>
            </w:hyperlink>
          </w:p>
        </w:tc>
      </w:tr>
      <w:tr w:rsidR="0051415D" w:rsidRPr="006068CB" w14:paraId="5CC9F5E9" w14:textId="77777777" w:rsidTr="00CC766E">
        <w:trPr>
          <w:trHeight w:val="465"/>
        </w:trPr>
        <w:tc>
          <w:tcPr>
            <w:tcW w:w="5954" w:type="dxa"/>
            <w:tcBorders>
              <w:top w:val="single" w:sz="4" w:space="0" w:color="212492"/>
              <w:left w:val="nil"/>
              <w:bottom w:val="single" w:sz="4" w:space="0" w:color="212492"/>
              <w:right w:val="nil"/>
            </w:tcBorders>
            <w:hideMark/>
          </w:tcPr>
          <w:p w14:paraId="21BBB677" w14:textId="77777777" w:rsidR="00A809BC" w:rsidRPr="00646E35" w:rsidRDefault="00A809BC" w:rsidP="00CC766E">
            <w:pPr>
              <w:spacing w:before="40" w:after="40" w:line="280" w:lineRule="atLeast"/>
              <w:rPr>
                <w:sz w:val="20"/>
                <w:szCs w:val="20"/>
              </w:rPr>
            </w:pPr>
            <w:r w:rsidRPr="00646E35">
              <w:rPr>
                <w:sz w:val="20"/>
                <w:szCs w:val="20"/>
              </w:rPr>
              <w:t>2023 Residential Aged Care Costing Study Final Report</w:t>
            </w:r>
          </w:p>
        </w:tc>
        <w:tc>
          <w:tcPr>
            <w:tcW w:w="8647" w:type="dxa"/>
            <w:tcBorders>
              <w:top w:val="single" w:sz="4" w:space="0" w:color="212492"/>
              <w:left w:val="nil"/>
              <w:bottom w:val="single" w:sz="4" w:space="0" w:color="212492"/>
              <w:right w:val="nil"/>
            </w:tcBorders>
            <w:hideMark/>
          </w:tcPr>
          <w:p w14:paraId="3953BEC2" w14:textId="77777777" w:rsidR="00A809BC" w:rsidRPr="00646E35" w:rsidRDefault="00A809BC" w:rsidP="00CC766E">
            <w:pPr>
              <w:spacing w:before="40" w:after="40" w:line="280" w:lineRule="atLeast"/>
              <w:rPr>
                <w:sz w:val="20"/>
                <w:szCs w:val="20"/>
              </w:rPr>
            </w:pPr>
            <w:hyperlink r:id="rId72" w:history="1">
              <w:r w:rsidRPr="00646E35">
                <w:rPr>
                  <w:rStyle w:val="Hyperlink"/>
                  <w:sz w:val="20"/>
                  <w:szCs w:val="20"/>
                </w:rPr>
                <w:t>https://www.ihacpa.gov.au/resources/2023-residential-aged-care-costing-study-final-report</w:t>
              </w:r>
            </w:hyperlink>
          </w:p>
        </w:tc>
      </w:tr>
      <w:tr w:rsidR="00F94BD6" w:rsidRPr="001044A9" w14:paraId="0E8048EB" w14:textId="77777777" w:rsidTr="00CC766E">
        <w:trPr>
          <w:trHeight w:val="300"/>
        </w:trPr>
        <w:tc>
          <w:tcPr>
            <w:tcW w:w="5954" w:type="dxa"/>
            <w:tcBorders>
              <w:top w:val="single" w:sz="4" w:space="0" w:color="212492"/>
              <w:left w:val="nil"/>
              <w:bottom w:val="single" w:sz="4" w:space="0" w:color="212492"/>
              <w:right w:val="nil"/>
            </w:tcBorders>
            <w:shd w:val="clear" w:color="auto" w:fill="C6D9F1" w:themeFill="text2" w:themeFillTint="33"/>
            <w:hideMark/>
          </w:tcPr>
          <w:p w14:paraId="4AEBD8E4" w14:textId="77777777" w:rsidR="00A809BC" w:rsidRPr="00CC766E" w:rsidRDefault="00A809BC" w:rsidP="00CC766E">
            <w:pPr>
              <w:spacing w:before="40" w:after="40" w:line="280" w:lineRule="atLeast"/>
              <w:rPr>
                <w:color w:val="181A6D" w:themeColor="accent1" w:themeShade="BF"/>
                <w:sz w:val="20"/>
                <w:szCs w:val="20"/>
              </w:rPr>
            </w:pPr>
            <w:r w:rsidRPr="00CC766E">
              <w:rPr>
                <w:color w:val="181A6D" w:themeColor="accent1" w:themeShade="BF"/>
                <w:sz w:val="20"/>
                <w:szCs w:val="20"/>
              </w:rPr>
              <w:t>Residential aged care</w:t>
            </w:r>
          </w:p>
        </w:tc>
        <w:tc>
          <w:tcPr>
            <w:tcW w:w="8647" w:type="dxa"/>
            <w:tcBorders>
              <w:top w:val="single" w:sz="4" w:space="0" w:color="212492"/>
              <w:left w:val="nil"/>
              <w:bottom w:val="single" w:sz="4" w:space="0" w:color="212492"/>
              <w:right w:val="nil"/>
            </w:tcBorders>
            <w:shd w:val="clear" w:color="auto" w:fill="C6D9F1" w:themeFill="text2" w:themeFillTint="33"/>
          </w:tcPr>
          <w:p w14:paraId="54EC7639" w14:textId="77777777" w:rsidR="00A809BC" w:rsidRPr="00646E35" w:rsidRDefault="00A809BC" w:rsidP="00CC766E">
            <w:pPr>
              <w:spacing w:before="40" w:after="40" w:line="280" w:lineRule="atLeast"/>
              <w:rPr>
                <w:sz w:val="20"/>
                <w:szCs w:val="20"/>
              </w:rPr>
            </w:pPr>
          </w:p>
        </w:tc>
      </w:tr>
      <w:tr w:rsidR="0051415D" w:rsidRPr="006068CB" w14:paraId="54668992" w14:textId="77777777" w:rsidTr="00CC766E">
        <w:trPr>
          <w:trHeight w:val="465"/>
        </w:trPr>
        <w:tc>
          <w:tcPr>
            <w:tcW w:w="5954" w:type="dxa"/>
            <w:tcBorders>
              <w:top w:val="single" w:sz="4" w:space="0" w:color="212492"/>
              <w:left w:val="nil"/>
              <w:bottom w:val="single" w:sz="4" w:space="0" w:color="212492"/>
              <w:right w:val="nil"/>
            </w:tcBorders>
            <w:hideMark/>
          </w:tcPr>
          <w:p w14:paraId="6A7A1B89" w14:textId="77777777" w:rsidR="00A809BC" w:rsidRPr="00646E35" w:rsidRDefault="00A809BC" w:rsidP="00CC766E">
            <w:pPr>
              <w:spacing w:before="40" w:after="40" w:line="280" w:lineRule="atLeast"/>
              <w:rPr>
                <w:sz w:val="20"/>
                <w:szCs w:val="20"/>
              </w:rPr>
            </w:pPr>
            <w:r w:rsidRPr="00646E35">
              <w:rPr>
                <w:sz w:val="20"/>
                <w:szCs w:val="20"/>
              </w:rPr>
              <w:t>24-7 GPMS User Guide</w:t>
            </w:r>
          </w:p>
        </w:tc>
        <w:tc>
          <w:tcPr>
            <w:tcW w:w="8647" w:type="dxa"/>
            <w:tcBorders>
              <w:top w:val="single" w:sz="4" w:space="0" w:color="212492"/>
              <w:left w:val="nil"/>
              <w:bottom w:val="single" w:sz="4" w:space="0" w:color="212492"/>
              <w:right w:val="nil"/>
            </w:tcBorders>
            <w:hideMark/>
          </w:tcPr>
          <w:p w14:paraId="697F5180" w14:textId="77777777" w:rsidR="00A809BC" w:rsidRPr="00646E35" w:rsidRDefault="00A809BC" w:rsidP="00CC766E">
            <w:pPr>
              <w:spacing w:before="40" w:after="40" w:line="280" w:lineRule="atLeast"/>
              <w:rPr>
                <w:sz w:val="20"/>
                <w:szCs w:val="20"/>
              </w:rPr>
            </w:pPr>
            <w:hyperlink r:id="rId73" w:history="1">
              <w:r w:rsidRPr="00646E35">
                <w:rPr>
                  <w:rStyle w:val="Hyperlink"/>
                  <w:sz w:val="20"/>
                  <w:szCs w:val="20"/>
                </w:rPr>
                <w:t>https://www.health.gov.au/resources/publications/gpms-user-guide-24-7-registered-nurse-reporting?language=en</w:t>
              </w:r>
            </w:hyperlink>
          </w:p>
        </w:tc>
      </w:tr>
      <w:tr w:rsidR="0051415D" w:rsidRPr="006068CB" w14:paraId="4D0B151F" w14:textId="77777777" w:rsidTr="00CC766E">
        <w:trPr>
          <w:trHeight w:val="465"/>
        </w:trPr>
        <w:tc>
          <w:tcPr>
            <w:tcW w:w="5954" w:type="dxa"/>
            <w:tcBorders>
              <w:top w:val="single" w:sz="4" w:space="0" w:color="212492"/>
              <w:left w:val="nil"/>
              <w:bottom w:val="single" w:sz="4" w:space="0" w:color="212492"/>
              <w:right w:val="nil"/>
            </w:tcBorders>
            <w:hideMark/>
          </w:tcPr>
          <w:p w14:paraId="7CB8795B" w14:textId="77777777" w:rsidR="00A809BC" w:rsidRPr="00646E35" w:rsidRDefault="00A809BC" w:rsidP="00CC766E">
            <w:pPr>
              <w:spacing w:before="40" w:after="40" w:line="280" w:lineRule="atLeast"/>
              <w:rPr>
                <w:sz w:val="20"/>
                <w:szCs w:val="20"/>
              </w:rPr>
            </w:pPr>
            <w:r w:rsidRPr="00646E35">
              <w:rPr>
                <w:sz w:val="20"/>
                <w:szCs w:val="20"/>
              </w:rPr>
              <w:t>24-7 Training Video</w:t>
            </w:r>
          </w:p>
        </w:tc>
        <w:tc>
          <w:tcPr>
            <w:tcW w:w="8647" w:type="dxa"/>
            <w:tcBorders>
              <w:top w:val="single" w:sz="4" w:space="0" w:color="212492"/>
              <w:left w:val="nil"/>
              <w:bottom w:val="single" w:sz="4" w:space="0" w:color="212492"/>
              <w:right w:val="nil"/>
            </w:tcBorders>
            <w:hideMark/>
          </w:tcPr>
          <w:p w14:paraId="4C1497A9" w14:textId="77777777" w:rsidR="00A809BC" w:rsidRPr="00646E35" w:rsidRDefault="00A809BC" w:rsidP="00CC766E">
            <w:pPr>
              <w:spacing w:before="40" w:after="40" w:line="280" w:lineRule="atLeast"/>
              <w:rPr>
                <w:sz w:val="20"/>
                <w:szCs w:val="20"/>
              </w:rPr>
            </w:pPr>
            <w:hyperlink r:id="rId74" w:history="1">
              <w:r w:rsidRPr="00646E35">
                <w:rPr>
                  <w:rStyle w:val="Hyperlink"/>
                  <w:sz w:val="20"/>
                  <w:szCs w:val="20"/>
                </w:rPr>
                <w:t>https://www.health.gov.au/resources/videos/247-registered-nurse-reporting-training-video?language=en</w:t>
              </w:r>
            </w:hyperlink>
          </w:p>
        </w:tc>
      </w:tr>
      <w:tr w:rsidR="0051415D" w:rsidRPr="006068CB" w14:paraId="468D27A6" w14:textId="77777777" w:rsidTr="00CC766E">
        <w:trPr>
          <w:trHeight w:val="465"/>
        </w:trPr>
        <w:tc>
          <w:tcPr>
            <w:tcW w:w="5954" w:type="dxa"/>
            <w:tcBorders>
              <w:top w:val="single" w:sz="4" w:space="0" w:color="212492"/>
              <w:left w:val="nil"/>
              <w:bottom w:val="single" w:sz="4" w:space="0" w:color="212492"/>
              <w:right w:val="nil"/>
            </w:tcBorders>
            <w:hideMark/>
          </w:tcPr>
          <w:p w14:paraId="3D36213A" w14:textId="77777777" w:rsidR="00A809BC" w:rsidRPr="00646E35" w:rsidRDefault="00A809BC" w:rsidP="00CC766E">
            <w:pPr>
              <w:spacing w:before="40" w:after="40" w:line="280" w:lineRule="atLeast"/>
              <w:rPr>
                <w:sz w:val="20"/>
                <w:szCs w:val="20"/>
              </w:rPr>
            </w:pPr>
            <w:r w:rsidRPr="00646E35">
              <w:rPr>
                <w:sz w:val="20"/>
                <w:szCs w:val="20"/>
              </w:rPr>
              <w:t>ACFI &amp; AN-ACC Models: Residential care need assessments</w:t>
            </w:r>
          </w:p>
        </w:tc>
        <w:tc>
          <w:tcPr>
            <w:tcW w:w="8647" w:type="dxa"/>
            <w:tcBorders>
              <w:top w:val="single" w:sz="4" w:space="0" w:color="212492"/>
              <w:left w:val="nil"/>
              <w:bottom w:val="single" w:sz="4" w:space="0" w:color="212492"/>
              <w:right w:val="nil"/>
            </w:tcBorders>
            <w:hideMark/>
          </w:tcPr>
          <w:p w14:paraId="60A5752D" w14:textId="77777777" w:rsidR="00A809BC" w:rsidRPr="00646E35" w:rsidRDefault="00A809BC" w:rsidP="00CC766E">
            <w:pPr>
              <w:spacing w:before="40" w:after="40" w:line="280" w:lineRule="atLeast"/>
              <w:rPr>
                <w:sz w:val="20"/>
                <w:szCs w:val="20"/>
              </w:rPr>
            </w:pPr>
            <w:hyperlink r:id="rId75" w:history="1">
              <w:r w:rsidRPr="00646E35">
                <w:rPr>
                  <w:rStyle w:val="Hyperlink"/>
                  <w:sz w:val="20"/>
                  <w:szCs w:val="20"/>
                </w:rPr>
                <w:t>https://www.gen-agedcaredata.gov.au/Topics/Care-needs-in-aged-care</w:t>
              </w:r>
            </w:hyperlink>
          </w:p>
        </w:tc>
      </w:tr>
      <w:tr w:rsidR="0051415D" w:rsidRPr="006068CB" w14:paraId="71B4B0AB" w14:textId="77777777" w:rsidTr="00CC766E">
        <w:trPr>
          <w:trHeight w:val="465"/>
        </w:trPr>
        <w:tc>
          <w:tcPr>
            <w:tcW w:w="5954" w:type="dxa"/>
            <w:tcBorders>
              <w:top w:val="single" w:sz="4" w:space="0" w:color="212492"/>
              <w:left w:val="nil"/>
              <w:bottom w:val="single" w:sz="4" w:space="0" w:color="212492"/>
              <w:right w:val="nil"/>
            </w:tcBorders>
            <w:hideMark/>
          </w:tcPr>
          <w:p w14:paraId="3036DF27" w14:textId="77777777" w:rsidR="00A809BC" w:rsidRPr="00646E35" w:rsidRDefault="00A809BC" w:rsidP="00CC766E">
            <w:pPr>
              <w:spacing w:before="40" w:after="40" w:line="280" w:lineRule="atLeast"/>
              <w:rPr>
                <w:sz w:val="20"/>
                <w:szCs w:val="20"/>
              </w:rPr>
            </w:pPr>
            <w:r w:rsidRPr="00646E35">
              <w:rPr>
                <w:sz w:val="20"/>
                <w:szCs w:val="20"/>
              </w:rPr>
              <w:t>AN-ACC Funding Guide: Comprehensive overview of the AN-ACC funding model and compliance requirements</w:t>
            </w:r>
          </w:p>
        </w:tc>
        <w:tc>
          <w:tcPr>
            <w:tcW w:w="8647" w:type="dxa"/>
            <w:tcBorders>
              <w:top w:val="single" w:sz="4" w:space="0" w:color="212492"/>
              <w:left w:val="nil"/>
              <w:bottom w:val="single" w:sz="4" w:space="0" w:color="212492"/>
              <w:right w:val="nil"/>
            </w:tcBorders>
            <w:hideMark/>
          </w:tcPr>
          <w:p w14:paraId="441B9876" w14:textId="77777777" w:rsidR="00A809BC" w:rsidRPr="00646E35" w:rsidRDefault="00A809BC" w:rsidP="00CC766E">
            <w:pPr>
              <w:spacing w:before="40" w:after="40" w:line="280" w:lineRule="atLeast"/>
              <w:rPr>
                <w:sz w:val="20"/>
                <w:szCs w:val="20"/>
              </w:rPr>
            </w:pPr>
            <w:hyperlink r:id="rId76" w:history="1">
              <w:r w:rsidRPr="00646E35">
                <w:rPr>
                  <w:rStyle w:val="Hyperlink"/>
                  <w:sz w:val="20"/>
                  <w:szCs w:val="20"/>
                </w:rPr>
                <w:t>https://www.health.gov.au/resources/publications/the-australian-national-aged-care-classification-an-acc-funding-guide?language=en</w:t>
              </w:r>
            </w:hyperlink>
          </w:p>
        </w:tc>
      </w:tr>
      <w:tr w:rsidR="0051415D" w:rsidRPr="006068CB" w14:paraId="54A65BBE" w14:textId="77777777" w:rsidTr="00CC766E">
        <w:trPr>
          <w:trHeight w:val="465"/>
        </w:trPr>
        <w:tc>
          <w:tcPr>
            <w:tcW w:w="5954" w:type="dxa"/>
            <w:tcBorders>
              <w:top w:val="single" w:sz="4" w:space="0" w:color="212492"/>
              <w:left w:val="nil"/>
              <w:bottom w:val="single" w:sz="4" w:space="0" w:color="212492"/>
              <w:right w:val="nil"/>
            </w:tcBorders>
            <w:hideMark/>
          </w:tcPr>
          <w:p w14:paraId="3BEA8D1A" w14:textId="77777777" w:rsidR="00A809BC" w:rsidRPr="00646E35" w:rsidRDefault="00A809BC" w:rsidP="00CC766E">
            <w:pPr>
              <w:spacing w:before="40" w:after="40" w:line="280" w:lineRule="atLeast"/>
              <w:rPr>
                <w:sz w:val="20"/>
                <w:szCs w:val="20"/>
              </w:rPr>
            </w:pPr>
            <w:r w:rsidRPr="00646E35">
              <w:rPr>
                <w:sz w:val="20"/>
                <w:szCs w:val="20"/>
              </w:rPr>
              <w:t>AN-ACC Resources Collection: Central hub for factsheets, tools, and updates on AN-ACC</w:t>
            </w:r>
          </w:p>
        </w:tc>
        <w:tc>
          <w:tcPr>
            <w:tcW w:w="8647" w:type="dxa"/>
            <w:tcBorders>
              <w:top w:val="single" w:sz="4" w:space="0" w:color="212492"/>
              <w:left w:val="nil"/>
              <w:bottom w:val="single" w:sz="4" w:space="0" w:color="212492"/>
              <w:right w:val="nil"/>
            </w:tcBorders>
            <w:hideMark/>
          </w:tcPr>
          <w:p w14:paraId="3033F763" w14:textId="77777777" w:rsidR="00A809BC" w:rsidRPr="00646E35" w:rsidRDefault="00A809BC" w:rsidP="00CC766E">
            <w:pPr>
              <w:spacing w:before="40" w:after="40" w:line="280" w:lineRule="atLeast"/>
              <w:rPr>
                <w:sz w:val="20"/>
                <w:szCs w:val="20"/>
              </w:rPr>
            </w:pPr>
            <w:hyperlink r:id="rId77" w:history="1">
              <w:r w:rsidRPr="00646E35">
                <w:rPr>
                  <w:rStyle w:val="Hyperlink"/>
                  <w:sz w:val="20"/>
                  <w:szCs w:val="20"/>
                </w:rPr>
                <w:t>https://www.health.gov.au/resources/collections/an-acc-resources</w:t>
              </w:r>
            </w:hyperlink>
          </w:p>
        </w:tc>
      </w:tr>
      <w:tr w:rsidR="0051415D" w:rsidRPr="006068CB" w14:paraId="19BD48DF" w14:textId="77777777" w:rsidTr="00CC766E">
        <w:trPr>
          <w:trHeight w:val="465"/>
        </w:trPr>
        <w:tc>
          <w:tcPr>
            <w:tcW w:w="5954" w:type="dxa"/>
            <w:tcBorders>
              <w:top w:val="single" w:sz="4" w:space="0" w:color="212492"/>
              <w:left w:val="nil"/>
              <w:bottom w:val="single" w:sz="4" w:space="0" w:color="212492"/>
              <w:right w:val="nil"/>
            </w:tcBorders>
            <w:hideMark/>
          </w:tcPr>
          <w:p w14:paraId="0D1A6C81" w14:textId="77777777" w:rsidR="00A809BC" w:rsidRPr="00646E35" w:rsidRDefault="00A809BC" w:rsidP="00CC766E">
            <w:pPr>
              <w:spacing w:before="40" w:after="40" w:line="280" w:lineRule="atLeast"/>
              <w:rPr>
                <w:sz w:val="20"/>
                <w:szCs w:val="20"/>
              </w:rPr>
            </w:pPr>
            <w:r w:rsidRPr="00646E35">
              <w:rPr>
                <w:sz w:val="20"/>
                <w:szCs w:val="20"/>
              </w:rPr>
              <w:t xml:space="preserve">Changes to Care Minutes Funding – Department of Health and Aged Care </w:t>
            </w:r>
          </w:p>
        </w:tc>
        <w:tc>
          <w:tcPr>
            <w:tcW w:w="8647" w:type="dxa"/>
            <w:tcBorders>
              <w:top w:val="single" w:sz="4" w:space="0" w:color="212492"/>
              <w:left w:val="nil"/>
              <w:bottom w:val="single" w:sz="4" w:space="0" w:color="212492"/>
              <w:right w:val="nil"/>
            </w:tcBorders>
            <w:hideMark/>
          </w:tcPr>
          <w:p w14:paraId="49C15A98" w14:textId="77777777" w:rsidR="00A809BC" w:rsidRPr="00646E35" w:rsidRDefault="00A809BC" w:rsidP="00CC766E">
            <w:pPr>
              <w:spacing w:before="40" w:after="40" w:line="280" w:lineRule="atLeast"/>
              <w:rPr>
                <w:sz w:val="20"/>
                <w:szCs w:val="20"/>
              </w:rPr>
            </w:pPr>
            <w:hyperlink r:id="rId78" w:history="1">
              <w:r w:rsidRPr="00646E35">
                <w:rPr>
                  <w:rStyle w:val="Hyperlink"/>
                  <w:sz w:val="20"/>
                  <w:szCs w:val="20"/>
                </w:rPr>
                <w:t>https://www.health.gov.au/sites/default/files/2025-03/changes-coming-to-care-minutes-funding.pdf</w:t>
              </w:r>
            </w:hyperlink>
          </w:p>
        </w:tc>
      </w:tr>
      <w:tr w:rsidR="0051415D" w:rsidRPr="006068CB" w14:paraId="2895F752" w14:textId="77777777" w:rsidTr="00CC766E">
        <w:trPr>
          <w:trHeight w:val="465"/>
        </w:trPr>
        <w:tc>
          <w:tcPr>
            <w:tcW w:w="5954" w:type="dxa"/>
            <w:tcBorders>
              <w:top w:val="single" w:sz="4" w:space="0" w:color="212492"/>
              <w:left w:val="nil"/>
              <w:bottom w:val="single" w:sz="4" w:space="0" w:color="212492"/>
              <w:right w:val="nil"/>
            </w:tcBorders>
            <w:hideMark/>
          </w:tcPr>
          <w:p w14:paraId="0DA149B6" w14:textId="77777777" w:rsidR="00A809BC" w:rsidRPr="00646E35" w:rsidRDefault="00A809BC" w:rsidP="00CC766E">
            <w:pPr>
              <w:spacing w:before="40" w:after="40" w:line="280" w:lineRule="atLeast"/>
              <w:rPr>
                <w:sz w:val="20"/>
                <w:szCs w:val="20"/>
              </w:rPr>
            </w:pPr>
            <w:r w:rsidRPr="00646E35">
              <w:rPr>
                <w:sz w:val="20"/>
                <w:szCs w:val="20"/>
              </w:rPr>
              <w:t xml:space="preserve">Department of Health and Aged Care – Fees and Payments </w:t>
            </w:r>
          </w:p>
        </w:tc>
        <w:tc>
          <w:tcPr>
            <w:tcW w:w="8647" w:type="dxa"/>
            <w:tcBorders>
              <w:top w:val="single" w:sz="4" w:space="0" w:color="212492"/>
              <w:left w:val="nil"/>
              <w:bottom w:val="single" w:sz="4" w:space="0" w:color="212492"/>
              <w:right w:val="nil"/>
            </w:tcBorders>
            <w:hideMark/>
          </w:tcPr>
          <w:p w14:paraId="7F959584" w14:textId="77777777" w:rsidR="00A809BC" w:rsidRPr="00646E35" w:rsidRDefault="00A809BC" w:rsidP="00CC766E">
            <w:pPr>
              <w:spacing w:before="40" w:after="40" w:line="280" w:lineRule="atLeast"/>
              <w:rPr>
                <w:sz w:val="20"/>
                <w:szCs w:val="20"/>
              </w:rPr>
            </w:pPr>
            <w:hyperlink r:id="rId79" w:history="1">
              <w:r w:rsidRPr="00646E35">
                <w:rPr>
                  <w:rStyle w:val="Hyperlink"/>
                  <w:sz w:val="20"/>
                  <w:szCs w:val="20"/>
                </w:rPr>
                <w:t>https://www.health.gov.au/our-work/younger-people-in-residential-aged-care/fees-and-payments</w:t>
              </w:r>
            </w:hyperlink>
          </w:p>
        </w:tc>
      </w:tr>
      <w:tr w:rsidR="0051415D" w:rsidRPr="006068CB" w14:paraId="3A913FB4" w14:textId="77777777" w:rsidTr="00CC766E">
        <w:trPr>
          <w:trHeight w:val="465"/>
        </w:trPr>
        <w:tc>
          <w:tcPr>
            <w:tcW w:w="5954" w:type="dxa"/>
            <w:tcBorders>
              <w:top w:val="single" w:sz="4" w:space="0" w:color="212492"/>
              <w:left w:val="nil"/>
              <w:bottom w:val="single" w:sz="4" w:space="0" w:color="212492"/>
              <w:right w:val="nil"/>
            </w:tcBorders>
            <w:hideMark/>
          </w:tcPr>
          <w:p w14:paraId="1C3DBCC3" w14:textId="77777777" w:rsidR="00A809BC" w:rsidRPr="00646E35" w:rsidRDefault="00A809BC" w:rsidP="00CC766E">
            <w:pPr>
              <w:spacing w:before="40" w:after="40" w:line="280" w:lineRule="atLeast"/>
              <w:rPr>
                <w:sz w:val="20"/>
                <w:szCs w:val="20"/>
              </w:rPr>
            </w:pPr>
            <w:r w:rsidRPr="00646E35">
              <w:rPr>
                <w:sz w:val="20"/>
                <w:szCs w:val="20"/>
              </w:rPr>
              <w:lastRenderedPageBreak/>
              <w:t>NDIS Guidelines on Younger People in Residential Aged Care</w:t>
            </w:r>
          </w:p>
        </w:tc>
        <w:tc>
          <w:tcPr>
            <w:tcW w:w="8647" w:type="dxa"/>
            <w:tcBorders>
              <w:top w:val="single" w:sz="4" w:space="0" w:color="212492"/>
              <w:left w:val="nil"/>
              <w:bottom w:val="single" w:sz="4" w:space="0" w:color="212492"/>
              <w:right w:val="nil"/>
            </w:tcBorders>
            <w:hideMark/>
          </w:tcPr>
          <w:p w14:paraId="077F529F" w14:textId="77777777" w:rsidR="00A809BC" w:rsidRPr="00646E35" w:rsidRDefault="00A809BC" w:rsidP="00CC766E">
            <w:pPr>
              <w:spacing w:before="40" w:after="40" w:line="280" w:lineRule="atLeast"/>
              <w:rPr>
                <w:sz w:val="20"/>
                <w:szCs w:val="20"/>
              </w:rPr>
            </w:pPr>
            <w:hyperlink r:id="rId80" w:history="1">
              <w:r w:rsidRPr="00646E35">
                <w:rPr>
                  <w:rStyle w:val="Hyperlink"/>
                  <w:sz w:val="20"/>
                  <w:szCs w:val="20"/>
                </w:rPr>
                <w:t>https://ourguidelines.ndis.gov.au/supports-you-can-access-menu/home-and-living-supports/younger-people-residential-aged-care</w:t>
              </w:r>
            </w:hyperlink>
          </w:p>
        </w:tc>
      </w:tr>
      <w:tr w:rsidR="0051415D" w:rsidRPr="006068CB" w14:paraId="50012A6B" w14:textId="77777777" w:rsidTr="00CC766E">
        <w:trPr>
          <w:trHeight w:val="465"/>
        </w:trPr>
        <w:tc>
          <w:tcPr>
            <w:tcW w:w="5954" w:type="dxa"/>
            <w:tcBorders>
              <w:top w:val="single" w:sz="4" w:space="0" w:color="212492"/>
              <w:left w:val="nil"/>
              <w:bottom w:val="single" w:sz="4" w:space="0" w:color="212492"/>
              <w:right w:val="nil"/>
            </w:tcBorders>
            <w:hideMark/>
          </w:tcPr>
          <w:p w14:paraId="7145C117" w14:textId="77777777" w:rsidR="00A809BC" w:rsidRPr="00646E35" w:rsidRDefault="00A809BC" w:rsidP="00CC766E">
            <w:pPr>
              <w:spacing w:before="40" w:after="40" w:line="280" w:lineRule="atLeast"/>
              <w:rPr>
                <w:sz w:val="20"/>
                <w:szCs w:val="20"/>
              </w:rPr>
            </w:pPr>
            <w:r w:rsidRPr="00646E35">
              <w:rPr>
                <w:sz w:val="20"/>
                <w:szCs w:val="20"/>
              </w:rPr>
              <w:t>Residential Aged Care Financial Reporting and Care Minutes Funding Update – Webinar Slides</w:t>
            </w:r>
          </w:p>
        </w:tc>
        <w:tc>
          <w:tcPr>
            <w:tcW w:w="8647" w:type="dxa"/>
            <w:tcBorders>
              <w:top w:val="single" w:sz="4" w:space="0" w:color="212492"/>
              <w:left w:val="nil"/>
              <w:bottom w:val="single" w:sz="4" w:space="0" w:color="212492"/>
              <w:right w:val="nil"/>
            </w:tcBorders>
            <w:hideMark/>
          </w:tcPr>
          <w:p w14:paraId="1C0D945B" w14:textId="77777777" w:rsidR="00A809BC" w:rsidRPr="00646E35" w:rsidRDefault="00A809BC" w:rsidP="00CC766E">
            <w:pPr>
              <w:spacing w:before="40" w:after="40" w:line="280" w:lineRule="atLeast"/>
              <w:rPr>
                <w:sz w:val="20"/>
                <w:szCs w:val="20"/>
              </w:rPr>
            </w:pPr>
            <w:hyperlink r:id="rId81" w:history="1">
              <w:r w:rsidRPr="00646E35">
                <w:rPr>
                  <w:rStyle w:val="Hyperlink"/>
                  <w:sz w:val="20"/>
                  <w:szCs w:val="20"/>
                </w:rPr>
                <w:t>https://www.health.gov.au/sites/default/files/2025-05/residential-aged-care-financial-reporting-and-care-minutes-funding-update-webinar-slides_0.pdf</w:t>
              </w:r>
            </w:hyperlink>
          </w:p>
        </w:tc>
      </w:tr>
      <w:tr w:rsidR="0051415D" w:rsidRPr="006068CB" w14:paraId="490B3343" w14:textId="77777777" w:rsidTr="00CC766E">
        <w:trPr>
          <w:trHeight w:val="465"/>
        </w:trPr>
        <w:tc>
          <w:tcPr>
            <w:tcW w:w="5954" w:type="dxa"/>
            <w:tcBorders>
              <w:top w:val="single" w:sz="4" w:space="0" w:color="212492"/>
              <w:left w:val="nil"/>
              <w:bottom w:val="single" w:sz="4" w:space="0" w:color="212492"/>
              <w:right w:val="nil"/>
            </w:tcBorders>
            <w:hideMark/>
          </w:tcPr>
          <w:p w14:paraId="57C53006" w14:textId="77777777" w:rsidR="00A809BC" w:rsidRPr="00646E35" w:rsidRDefault="00A809BC" w:rsidP="00CC766E">
            <w:pPr>
              <w:spacing w:before="40" w:after="40" w:line="280" w:lineRule="atLeast"/>
              <w:rPr>
                <w:sz w:val="20"/>
                <w:szCs w:val="20"/>
              </w:rPr>
            </w:pPr>
            <w:r w:rsidRPr="00646E35">
              <w:rPr>
                <w:sz w:val="20"/>
                <w:szCs w:val="20"/>
              </w:rPr>
              <w:t>Summer Foundation – Residential Aged Care Costs for NDIS Participants</w:t>
            </w:r>
          </w:p>
        </w:tc>
        <w:tc>
          <w:tcPr>
            <w:tcW w:w="8647" w:type="dxa"/>
            <w:tcBorders>
              <w:top w:val="single" w:sz="4" w:space="0" w:color="212492"/>
              <w:left w:val="nil"/>
              <w:bottom w:val="single" w:sz="4" w:space="0" w:color="212492"/>
              <w:right w:val="nil"/>
            </w:tcBorders>
          </w:tcPr>
          <w:p w14:paraId="42D03843" w14:textId="77DCBDF6" w:rsidR="00643DFB" w:rsidRPr="00646E35" w:rsidRDefault="00643DFB" w:rsidP="00CC766E">
            <w:pPr>
              <w:spacing w:before="40" w:after="40" w:line="280" w:lineRule="atLeast"/>
              <w:rPr>
                <w:sz w:val="20"/>
                <w:szCs w:val="20"/>
              </w:rPr>
            </w:pPr>
            <w:hyperlink r:id="rId82" w:history="1">
              <w:r w:rsidRPr="00E703C8">
                <w:rPr>
                  <w:rStyle w:val="Hyperlink"/>
                  <w:sz w:val="20"/>
                  <w:szCs w:val="20"/>
                </w:rPr>
                <w:t>https://assets.summerfoundation.org.au/app/uploads/2023/07/04103224/Residential_Aged_Care_Costs_for_NDIS_Participants-June2023.pdf</w:t>
              </w:r>
            </w:hyperlink>
          </w:p>
        </w:tc>
      </w:tr>
      <w:tr w:rsidR="00F94BD6" w:rsidRPr="001044A9" w14:paraId="43DA105F" w14:textId="77777777" w:rsidTr="00CC766E">
        <w:trPr>
          <w:trHeight w:val="300"/>
        </w:trPr>
        <w:tc>
          <w:tcPr>
            <w:tcW w:w="5954" w:type="dxa"/>
            <w:tcBorders>
              <w:top w:val="single" w:sz="4" w:space="0" w:color="212492"/>
              <w:left w:val="nil"/>
              <w:bottom w:val="single" w:sz="4" w:space="0" w:color="212492"/>
              <w:right w:val="nil"/>
            </w:tcBorders>
            <w:shd w:val="clear" w:color="auto" w:fill="C6D9F1" w:themeFill="text2" w:themeFillTint="33"/>
            <w:hideMark/>
          </w:tcPr>
          <w:p w14:paraId="4DBA71C6" w14:textId="77777777" w:rsidR="00A809BC" w:rsidRPr="00646E35" w:rsidRDefault="00A809BC" w:rsidP="00CC766E">
            <w:pPr>
              <w:spacing w:before="40" w:after="40" w:line="280" w:lineRule="atLeast"/>
              <w:rPr>
                <w:sz w:val="20"/>
                <w:szCs w:val="20"/>
              </w:rPr>
            </w:pPr>
            <w:r w:rsidRPr="00CC766E">
              <w:rPr>
                <w:color w:val="181A6D" w:themeColor="accent1" w:themeShade="BF"/>
                <w:sz w:val="20"/>
                <w:szCs w:val="20"/>
              </w:rPr>
              <w:t>International</w:t>
            </w:r>
          </w:p>
        </w:tc>
        <w:tc>
          <w:tcPr>
            <w:tcW w:w="8647" w:type="dxa"/>
            <w:tcBorders>
              <w:top w:val="single" w:sz="4" w:space="0" w:color="212492"/>
              <w:left w:val="nil"/>
              <w:bottom w:val="single" w:sz="4" w:space="0" w:color="212492"/>
              <w:right w:val="nil"/>
            </w:tcBorders>
            <w:shd w:val="clear" w:color="auto" w:fill="C6D9F1" w:themeFill="text2" w:themeFillTint="33"/>
          </w:tcPr>
          <w:p w14:paraId="04AB8A02" w14:textId="77777777" w:rsidR="00A809BC" w:rsidRPr="00646E35" w:rsidRDefault="00A809BC" w:rsidP="00CC766E">
            <w:pPr>
              <w:spacing w:before="40" w:after="40" w:line="280" w:lineRule="atLeast"/>
              <w:rPr>
                <w:sz w:val="20"/>
                <w:szCs w:val="20"/>
              </w:rPr>
            </w:pPr>
          </w:p>
        </w:tc>
      </w:tr>
      <w:tr w:rsidR="0051415D" w:rsidRPr="006068CB" w14:paraId="2411F65C" w14:textId="77777777" w:rsidTr="00CC766E">
        <w:trPr>
          <w:trHeight w:val="465"/>
        </w:trPr>
        <w:tc>
          <w:tcPr>
            <w:tcW w:w="5954" w:type="dxa"/>
            <w:tcBorders>
              <w:top w:val="single" w:sz="4" w:space="0" w:color="212492"/>
              <w:left w:val="nil"/>
              <w:bottom w:val="single" w:sz="4" w:space="0" w:color="212492"/>
              <w:right w:val="nil"/>
            </w:tcBorders>
            <w:hideMark/>
          </w:tcPr>
          <w:p w14:paraId="1FB2D558" w14:textId="77777777" w:rsidR="00A809BC" w:rsidRPr="00646E35" w:rsidRDefault="00A809BC" w:rsidP="00CC766E">
            <w:pPr>
              <w:spacing w:before="40" w:after="40" w:line="280" w:lineRule="atLeast"/>
              <w:rPr>
                <w:sz w:val="20"/>
                <w:szCs w:val="20"/>
              </w:rPr>
            </w:pPr>
            <w:r w:rsidRPr="00646E35">
              <w:rPr>
                <w:sz w:val="20"/>
                <w:szCs w:val="20"/>
              </w:rPr>
              <w:t>Staffing Data Submission Payroll Based Journal (PBJ)</w:t>
            </w:r>
          </w:p>
        </w:tc>
        <w:tc>
          <w:tcPr>
            <w:tcW w:w="8647" w:type="dxa"/>
            <w:tcBorders>
              <w:top w:val="single" w:sz="4" w:space="0" w:color="212492"/>
              <w:left w:val="nil"/>
              <w:bottom w:val="single" w:sz="4" w:space="0" w:color="212492"/>
              <w:right w:val="nil"/>
            </w:tcBorders>
            <w:hideMark/>
          </w:tcPr>
          <w:p w14:paraId="2AAF59BA" w14:textId="77777777" w:rsidR="00A809BC" w:rsidRPr="00646E35" w:rsidRDefault="00A809BC" w:rsidP="00CC766E">
            <w:pPr>
              <w:spacing w:before="40" w:after="40" w:line="280" w:lineRule="atLeast"/>
              <w:rPr>
                <w:sz w:val="20"/>
                <w:szCs w:val="20"/>
              </w:rPr>
            </w:pPr>
            <w:hyperlink r:id="rId83" w:history="1">
              <w:r w:rsidRPr="00646E35">
                <w:rPr>
                  <w:rStyle w:val="Hyperlink"/>
                  <w:sz w:val="20"/>
                  <w:szCs w:val="20"/>
                </w:rPr>
                <w:t>https://www.cms.gov/medicare/quality/nursing-home-improvement/staffing-data-submission</w:t>
              </w:r>
            </w:hyperlink>
          </w:p>
        </w:tc>
      </w:tr>
    </w:tbl>
    <w:p w14:paraId="47EE6BFC" w14:textId="40669610" w:rsidR="001A242F" w:rsidRPr="00381528" w:rsidRDefault="001A242F" w:rsidP="008642FA">
      <w:pPr>
        <w:rPr>
          <w:sz w:val="20"/>
          <w:szCs w:val="20"/>
          <w:lang w:val="en-US"/>
        </w:rPr>
      </w:pPr>
    </w:p>
    <w:sectPr w:rsidR="001A242F" w:rsidRPr="00381528" w:rsidSect="00381528">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2736" w14:textId="77777777" w:rsidR="00DA0B9C" w:rsidRDefault="00DA0B9C" w:rsidP="005E09AB">
      <w:pPr>
        <w:spacing w:after="0" w:line="240" w:lineRule="auto"/>
      </w:pPr>
      <w:r>
        <w:separator/>
      </w:r>
    </w:p>
  </w:endnote>
  <w:endnote w:type="continuationSeparator" w:id="0">
    <w:p w14:paraId="345D683F" w14:textId="77777777" w:rsidR="00DA0B9C" w:rsidRDefault="00DA0B9C" w:rsidP="005E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815680"/>
      <w:docPartObj>
        <w:docPartGallery w:val="Page Numbers (Bottom of Page)"/>
        <w:docPartUnique/>
      </w:docPartObj>
    </w:sdtPr>
    <w:sdtEndPr>
      <w:rPr>
        <w:noProof/>
      </w:rPr>
    </w:sdtEndPr>
    <w:sdtContent>
      <w:p w14:paraId="36A322BA" w14:textId="6F9C4EB4" w:rsidR="005674E9" w:rsidRDefault="005674E9">
        <w:pPr>
          <w:pStyle w:val="Footer"/>
          <w:jc w:val="right"/>
        </w:pPr>
        <w:r w:rsidRPr="00A74067">
          <w:fldChar w:fldCharType="begin"/>
        </w:r>
        <w:r>
          <w:instrText xml:space="preserve"> PAGE   \* MERGEFORMAT </w:instrText>
        </w:r>
        <w:r w:rsidRPr="00A74067">
          <w:fldChar w:fldCharType="separate"/>
        </w:r>
        <w:r w:rsidRPr="00A74067">
          <w:t>2</w:t>
        </w:r>
        <w:r w:rsidRPr="00A74067">
          <w:fldChar w:fldCharType="end"/>
        </w:r>
      </w:p>
    </w:sdtContent>
  </w:sdt>
  <w:p w14:paraId="60E9755C" w14:textId="77777777" w:rsidR="005674E9" w:rsidRDefault="0056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FEA45" w14:textId="77777777" w:rsidR="00DA0B9C" w:rsidRDefault="00DA0B9C" w:rsidP="005E09AB">
      <w:pPr>
        <w:spacing w:after="0" w:line="240" w:lineRule="auto"/>
      </w:pPr>
      <w:r>
        <w:separator/>
      </w:r>
    </w:p>
  </w:footnote>
  <w:footnote w:type="continuationSeparator" w:id="0">
    <w:p w14:paraId="2E0E9243" w14:textId="77777777" w:rsidR="00DA0B9C" w:rsidRDefault="00DA0B9C" w:rsidP="005E09AB">
      <w:pPr>
        <w:spacing w:after="0" w:line="240" w:lineRule="auto"/>
      </w:pPr>
      <w:r>
        <w:continuationSeparator/>
      </w:r>
    </w:p>
  </w:footnote>
  <w:footnote w:id="1">
    <w:p w14:paraId="1A7770B3" w14:textId="3C74B6CE" w:rsidR="005E09AB" w:rsidRPr="007B226F" w:rsidRDefault="005E09AB">
      <w:pPr>
        <w:pStyle w:val="FootnoteText"/>
        <w:rPr>
          <w:lang w:val="en-US"/>
        </w:rPr>
      </w:pPr>
      <w:r>
        <w:rPr>
          <w:rStyle w:val="FootnoteReference"/>
        </w:rPr>
        <w:footnoteRef/>
      </w:r>
      <w:r>
        <w:t xml:space="preserve"> </w:t>
      </w:r>
      <w:r w:rsidRPr="005E09AB">
        <w:t>https://meteor.aihw.gov.au/content/181162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7CF"/>
    <w:multiLevelType w:val="hybridMultilevel"/>
    <w:tmpl w:val="EB5CD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95CE4"/>
    <w:multiLevelType w:val="hybridMultilevel"/>
    <w:tmpl w:val="D11A5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7836E7"/>
    <w:multiLevelType w:val="multilevel"/>
    <w:tmpl w:val="D50A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52E93"/>
    <w:multiLevelType w:val="hybridMultilevel"/>
    <w:tmpl w:val="E61A1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264B7"/>
    <w:multiLevelType w:val="hybridMultilevel"/>
    <w:tmpl w:val="013A7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422434"/>
    <w:multiLevelType w:val="multilevel"/>
    <w:tmpl w:val="30E0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784646"/>
    <w:multiLevelType w:val="hybridMultilevel"/>
    <w:tmpl w:val="3C70F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47CA5C3"/>
    <w:multiLevelType w:val="multilevel"/>
    <w:tmpl w:val="F976D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F54D38"/>
    <w:multiLevelType w:val="hybridMultilevel"/>
    <w:tmpl w:val="28B63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A5F6C"/>
    <w:multiLevelType w:val="multilevel"/>
    <w:tmpl w:val="0A6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A6A20"/>
    <w:multiLevelType w:val="multilevel"/>
    <w:tmpl w:val="733C2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E95176"/>
    <w:multiLevelType w:val="hybridMultilevel"/>
    <w:tmpl w:val="DE028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BB586F"/>
    <w:multiLevelType w:val="hybridMultilevel"/>
    <w:tmpl w:val="C3AC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55535A"/>
    <w:multiLevelType w:val="hybridMultilevel"/>
    <w:tmpl w:val="DAE62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BF2391"/>
    <w:multiLevelType w:val="hybridMultilevel"/>
    <w:tmpl w:val="655C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621D6B"/>
    <w:multiLevelType w:val="multilevel"/>
    <w:tmpl w:val="9AF6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D503B4"/>
    <w:multiLevelType w:val="hybridMultilevel"/>
    <w:tmpl w:val="9DB24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E772C"/>
    <w:multiLevelType w:val="hybridMultilevel"/>
    <w:tmpl w:val="481CE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3449C"/>
    <w:multiLevelType w:val="hybridMultilevel"/>
    <w:tmpl w:val="D1C27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6222B7"/>
    <w:multiLevelType w:val="multilevel"/>
    <w:tmpl w:val="8CEA5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1A1A55"/>
    <w:multiLevelType w:val="hybridMultilevel"/>
    <w:tmpl w:val="E876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4D51FF"/>
    <w:multiLevelType w:val="multilevel"/>
    <w:tmpl w:val="BA74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520623"/>
    <w:multiLevelType w:val="hybridMultilevel"/>
    <w:tmpl w:val="534CEFF4"/>
    <w:lvl w:ilvl="0" w:tplc="17B0FF4C">
      <w:start w:val="1"/>
      <w:numFmt w:val="bullet"/>
      <w:lvlText w:val=""/>
      <w:lvlJc w:val="left"/>
      <w:pPr>
        <w:ind w:left="1440" w:hanging="360"/>
      </w:pPr>
      <w:rPr>
        <w:rFonts w:ascii="Symbol" w:hAnsi="Symbol"/>
      </w:rPr>
    </w:lvl>
    <w:lvl w:ilvl="1" w:tplc="BB12173A">
      <w:start w:val="1"/>
      <w:numFmt w:val="bullet"/>
      <w:lvlText w:val=""/>
      <w:lvlJc w:val="left"/>
      <w:pPr>
        <w:ind w:left="1440" w:hanging="360"/>
      </w:pPr>
      <w:rPr>
        <w:rFonts w:ascii="Symbol" w:hAnsi="Symbol"/>
      </w:rPr>
    </w:lvl>
    <w:lvl w:ilvl="2" w:tplc="6D1C62C8">
      <w:start w:val="1"/>
      <w:numFmt w:val="bullet"/>
      <w:lvlText w:val=""/>
      <w:lvlJc w:val="left"/>
      <w:pPr>
        <w:ind w:left="1440" w:hanging="360"/>
      </w:pPr>
      <w:rPr>
        <w:rFonts w:ascii="Symbol" w:hAnsi="Symbol"/>
      </w:rPr>
    </w:lvl>
    <w:lvl w:ilvl="3" w:tplc="ED1E5F8E">
      <w:start w:val="1"/>
      <w:numFmt w:val="bullet"/>
      <w:lvlText w:val=""/>
      <w:lvlJc w:val="left"/>
      <w:pPr>
        <w:ind w:left="1440" w:hanging="360"/>
      </w:pPr>
      <w:rPr>
        <w:rFonts w:ascii="Symbol" w:hAnsi="Symbol"/>
      </w:rPr>
    </w:lvl>
    <w:lvl w:ilvl="4" w:tplc="21C6203E">
      <w:start w:val="1"/>
      <w:numFmt w:val="bullet"/>
      <w:lvlText w:val=""/>
      <w:lvlJc w:val="left"/>
      <w:pPr>
        <w:ind w:left="1440" w:hanging="360"/>
      </w:pPr>
      <w:rPr>
        <w:rFonts w:ascii="Symbol" w:hAnsi="Symbol"/>
      </w:rPr>
    </w:lvl>
    <w:lvl w:ilvl="5" w:tplc="719CF306">
      <w:start w:val="1"/>
      <w:numFmt w:val="bullet"/>
      <w:lvlText w:val=""/>
      <w:lvlJc w:val="left"/>
      <w:pPr>
        <w:ind w:left="1440" w:hanging="360"/>
      </w:pPr>
      <w:rPr>
        <w:rFonts w:ascii="Symbol" w:hAnsi="Symbol"/>
      </w:rPr>
    </w:lvl>
    <w:lvl w:ilvl="6" w:tplc="CFA473DE">
      <w:start w:val="1"/>
      <w:numFmt w:val="bullet"/>
      <w:lvlText w:val=""/>
      <w:lvlJc w:val="left"/>
      <w:pPr>
        <w:ind w:left="1440" w:hanging="360"/>
      </w:pPr>
      <w:rPr>
        <w:rFonts w:ascii="Symbol" w:hAnsi="Symbol"/>
      </w:rPr>
    </w:lvl>
    <w:lvl w:ilvl="7" w:tplc="AB600106">
      <w:start w:val="1"/>
      <w:numFmt w:val="bullet"/>
      <w:lvlText w:val=""/>
      <w:lvlJc w:val="left"/>
      <w:pPr>
        <w:ind w:left="1440" w:hanging="360"/>
      </w:pPr>
      <w:rPr>
        <w:rFonts w:ascii="Symbol" w:hAnsi="Symbol"/>
      </w:rPr>
    </w:lvl>
    <w:lvl w:ilvl="8" w:tplc="AA389296">
      <w:start w:val="1"/>
      <w:numFmt w:val="bullet"/>
      <w:lvlText w:val=""/>
      <w:lvlJc w:val="left"/>
      <w:pPr>
        <w:ind w:left="1440" w:hanging="360"/>
      </w:pPr>
      <w:rPr>
        <w:rFonts w:ascii="Symbol" w:hAnsi="Symbol"/>
      </w:rPr>
    </w:lvl>
  </w:abstractNum>
  <w:abstractNum w:abstractNumId="23" w15:restartNumberingAfterBreak="0">
    <w:nsid w:val="59D75AC7"/>
    <w:multiLevelType w:val="hybridMultilevel"/>
    <w:tmpl w:val="A74A4772"/>
    <w:lvl w:ilvl="0" w:tplc="E598AF6E">
      <w:start w:val="1"/>
      <w:numFmt w:val="decimal"/>
      <w:lvlText w:val="%1."/>
      <w:lvlJc w:val="left"/>
      <w:pPr>
        <w:ind w:left="720" w:hanging="360"/>
      </w:pPr>
      <w:rPr>
        <w:rFonts w:ascii="Arial" w:eastAsia="Arial" w:hAnsi="Arial" w:cs="Times New Roman"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953AD1"/>
    <w:multiLevelType w:val="hybridMultilevel"/>
    <w:tmpl w:val="618EF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0C81C9"/>
    <w:multiLevelType w:val="multilevel"/>
    <w:tmpl w:val="51708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D70E9"/>
    <w:multiLevelType w:val="multilevel"/>
    <w:tmpl w:val="B0F6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E929A7"/>
    <w:multiLevelType w:val="hybridMultilevel"/>
    <w:tmpl w:val="00F64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2E6AF3"/>
    <w:multiLevelType w:val="hybridMultilevel"/>
    <w:tmpl w:val="6FCEB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3487092"/>
    <w:multiLevelType w:val="multilevel"/>
    <w:tmpl w:val="C532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F334BB"/>
    <w:multiLevelType w:val="hybridMultilevel"/>
    <w:tmpl w:val="4BEC0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131C6"/>
    <w:multiLevelType w:val="hybridMultilevel"/>
    <w:tmpl w:val="E99A5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5F65C4"/>
    <w:multiLevelType w:val="hybridMultilevel"/>
    <w:tmpl w:val="C6A09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B011570"/>
    <w:multiLevelType w:val="multilevel"/>
    <w:tmpl w:val="4966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7A3A2E"/>
    <w:multiLevelType w:val="multilevel"/>
    <w:tmpl w:val="7C92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2C5B2C"/>
    <w:multiLevelType w:val="hybridMultilevel"/>
    <w:tmpl w:val="D7903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92355684">
    <w:abstractNumId w:val="19"/>
  </w:num>
  <w:num w:numId="2" w16cid:durableId="557866713">
    <w:abstractNumId w:val="10"/>
  </w:num>
  <w:num w:numId="3" w16cid:durableId="526720738">
    <w:abstractNumId w:val="25"/>
  </w:num>
  <w:num w:numId="4" w16cid:durableId="1750157488">
    <w:abstractNumId w:val="7"/>
  </w:num>
  <w:num w:numId="5" w16cid:durableId="118453669">
    <w:abstractNumId w:val="3"/>
  </w:num>
  <w:num w:numId="6" w16cid:durableId="2028366741">
    <w:abstractNumId w:val="0"/>
  </w:num>
  <w:num w:numId="7" w16cid:durableId="2011058886">
    <w:abstractNumId w:val="14"/>
  </w:num>
  <w:num w:numId="8" w16cid:durableId="680543681">
    <w:abstractNumId w:val="17"/>
  </w:num>
  <w:num w:numId="9" w16cid:durableId="811096649">
    <w:abstractNumId w:val="30"/>
  </w:num>
  <w:num w:numId="10" w16cid:durableId="1047753404">
    <w:abstractNumId w:val="24"/>
  </w:num>
  <w:num w:numId="11" w16cid:durableId="506334957">
    <w:abstractNumId w:val="18"/>
  </w:num>
  <w:num w:numId="12" w16cid:durableId="1974019502">
    <w:abstractNumId w:val="22"/>
  </w:num>
  <w:num w:numId="13" w16cid:durableId="36588072">
    <w:abstractNumId w:val="2"/>
  </w:num>
  <w:num w:numId="14" w16cid:durableId="164364405">
    <w:abstractNumId w:val="12"/>
  </w:num>
  <w:num w:numId="15" w16cid:durableId="1172641109">
    <w:abstractNumId w:val="1"/>
  </w:num>
  <w:num w:numId="16" w16cid:durableId="233708571">
    <w:abstractNumId w:val="32"/>
  </w:num>
  <w:num w:numId="17" w16cid:durableId="1234047318">
    <w:abstractNumId w:val="20"/>
  </w:num>
  <w:num w:numId="18" w16cid:durableId="1942178644">
    <w:abstractNumId w:val="8"/>
  </w:num>
  <w:num w:numId="19" w16cid:durableId="258418746">
    <w:abstractNumId w:val="27"/>
  </w:num>
  <w:num w:numId="20" w16cid:durableId="1613702737">
    <w:abstractNumId w:val="11"/>
  </w:num>
  <w:num w:numId="21" w16cid:durableId="1620264310">
    <w:abstractNumId w:val="6"/>
  </w:num>
  <w:num w:numId="22" w16cid:durableId="2080512263">
    <w:abstractNumId w:val="28"/>
  </w:num>
  <w:num w:numId="23" w16cid:durableId="1250852186">
    <w:abstractNumId w:val="4"/>
  </w:num>
  <w:num w:numId="24" w16cid:durableId="1333338354">
    <w:abstractNumId w:val="13"/>
  </w:num>
  <w:num w:numId="25" w16cid:durableId="2030178341">
    <w:abstractNumId w:val="35"/>
  </w:num>
  <w:num w:numId="26" w16cid:durableId="1638871975">
    <w:abstractNumId w:val="16"/>
  </w:num>
  <w:num w:numId="27" w16cid:durableId="1768040257">
    <w:abstractNumId w:val="34"/>
  </w:num>
  <w:num w:numId="28" w16cid:durableId="1316377266">
    <w:abstractNumId w:val="9"/>
  </w:num>
  <w:num w:numId="29" w16cid:durableId="787746716">
    <w:abstractNumId w:val="33"/>
  </w:num>
  <w:num w:numId="30" w16cid:durableId="1482648152">
    <w:abstractNumId w:val="26"/>
  </w:num>
  <w:num w:numId="31" w16cid:durableId="958414535">
    <w:abstractNumId w:val="21"/>
  </w:num>
  <w:num w:numId="32" w16cid:durableId="1764913979">
    <w:abstractNumId w:val="15"/>
  </w:num>
  <w:num w:numId="33" w16cid:durableId="2124104077">
    <w:abstractNumId w:val="31"/>
  </w:num>
  <w:num w:numId="34" w16cid:durableId="246351706">
    <w:abstractNumId w:val="29"/>
  </w:num>
  <w:num w:numId="35" w16cid:durableId="25715479">
    <w:abstractNumId w:val="5"/>
  </w:num>
  <w:num w:numId="36" w16cid:durableId="15410135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60"/>
    <w:rsid w:val="00000A22"/>
    <w:rsid w:val="00000B2B"/>
    <w:rsid w:val="00001135"/>
    <w:rsid w:val="00001B57"/>
    <w:rsid w:val="00002FD8"/>
    <w:rsid w:val="0000324A"/>
    <w:rsid w:val="000035E1"/>
    <w:rsid w:val="00004587"/>
    <w:rsid w:val="00004B07"/>
    <w:rsid w:val="00004BE2"/>
    <w:rsid w:val="00005CBB"/>
    <w:rsid w:val="00005F16"/>
    <w:rsid w:val="000061D4"/>
    <w:rsid w:val="000067D6"/>
    <w:rsid w:val="00006DEF"/>
    <w:rsid w:val="00006E14"/>
    <w:rsid w:val="00007306"/>
    <w:rsid w:val="0000734C"/>
    <w:rsid w:val="00007751"/>
    <w:rsid w:val="00007D62"/>
    <w:rsid w:val="000100A6"/>
    <w:rsid w:val="0001034D"/>
    <w:rsid w:val="00011682"/>
    <w:rsid w:val="00011729"/>
    <w:rsid w:val="00012CB0"/>
    <w:rsid w:val="000136B7"/>
    <w:rsid w:val="00013DCF"/>
    <w:rsid w:val="00014629"/>
    <w:rsid w:val="00014EF3"/>
    <w:rsid w:val="0001640D"/>
    <w:rsid w:val="00016BDB"/>
    <w:rsid w:val="00017A58"/>
    <w:rsid w:val="00017D7B"/>
    <w:rsid w:val="00021CDA"/>
    <w:rsid w:val="00021ED9"/>
    <w:rsid w:val="00022B8E"/>
    <w:rsid w:val="00022BAD"/>
    <w:rsid w:val="00023FE1"/>
    <w:rsid w:val="00024221"/>
    <w:rsid w:val="000247A9"/>
    <w:rsid w:val="000265B0"/>
    <w:rsid w:val="000267B2"/>
    <w:rsid w:val="00027692"/>
    <w:rsid w:val="00027B4B"/>
    <w:rsid w:val="00030015"/>
    <w:rsid w:val="000317B8"/>
    <w:rsid w:val="00032190"/>
    <w:rsid w:val="00032C3F"/>
    <w:rsid w:val="000333B4"/>
    <w:rsid w:val="000342BE"/>
    <w:rsid w:val="00034A62"/>
    <w:rsid w:val="000353FE"/>
    <w:rsid w:val="00035946"/>
    <w:rsid w:val="0003657C"/>
    <w:rsid w:val="00037723"/>
    <w:rsid w:val="000379A6"/>
    <w:rsid w:val="00040115"/>
    <w:rsid w:val="000402F8"/>
    <w:rsid w:val="000417BC"/>
    <w:rsid w:val="00042060"/>
    <w:rsid w:val="00042C93"/>
    <w:rsid w:val="000437A9"/>
    <w:rsid w:val="000441DD"/>
    <w:rsid w:val="0004446A"/>
    <w:rsid w:val="00044F90"/>
    <w:rsid w:val="0004506E"/>
    <w:rsid w:val="00046FC9"/>
    <w:rsid w:val="00047451"/>
    <w:rsid w:val="00047BE7"/>
    <w:rsid w:val="00047DAC"/>
    <w:rsid w:val="000513C9"/>
    <w:rsid w:val="00051899"/>
    <w:rsid w:val="000518D5"/>
    <w:rsid w:val="000518EE"/>
    <w:rsid w:val="00051A3D"/>
    <w:rsid w:val="000522DF"/>
    <w:rsid w:val="00054431"/>
    <w:rsid w:val="00054EC2"/>
    <w:rsid w:val="00055665"/>
    <w:rsid w:val="0005620C"/>
    <w:rsid w:val="00056704"/>
    <w:rsid w:val="0005729D"/>
    <w:rsid w:val="00057632"/>
    <w:rsid w:val="00060059"/>
    <w:rsid w:val="000601F3"/>
    <w:rsid w:val="00060355"/>
    <w:rsid w:val="000607F5"/>
    <w:rsid w:val="00065289"/>
    <w:rsid w:val="000653B3"/>
    <w:rsid w:val="000655E3"/>
    <w:rsid w:val="00065A7A"/>
    <w:rsid w:val="00065DD5"/>
    <w:rsid w:val="00065E60"/>
    <w:rsid w:val="00065F2D"/>
    <w:rsid w:val="000672FD"/>
    <w:rsid w:val="000711DC"/>
    <w:rsid w:val="00071816"/>
    <w:rsid w:val="00073247"/>
    <w:rsid w:val="00073732"/>
    <w:rsid w:val="00073C7F"/>
    <w:rsid w:val="00074511"/>
    <w:rsid w:val="00074801"/>
    <w:rsid w:val="000752E9"/>
    <w:rsid w:val="000754DC"/>
    <w:rsid w:val="000757BB"/>
    <w:rsid w:val="000763F4"/>
    <w:rsid w:val="000763F6"/>
    <w:rsid w:val="000766EC"/>
    <w:rsid w:val="000768CE"/>
    <w:rsid w:val="00080ACB"/>
    <w:rsid w:val="000818AA"/>
    <w:rsid w:val="00081A02"/>
    <w:rsid w:val="00082382"/>
    <w:rsid w:val="00082748"/>
    <w:rsid w:val="00082998"/>
    <w:rsid w:val="00082D03"/>
    <w:rsid w:val="000838D3"/>
    <w:rsid w:val="00084B1A"/>
    <w:rsid w:val="00085B15"/>
    <w:rsid w:val="0008600E"/>
    <w:rsid w:val="0008623E"/>
    <w:rsid w:val="000867F6"/>
    <w:rsid w:val="00087509"/>
    <w:rsid w:val="00087AC0"/>
    <w:rsid w:val="00087B6E"/>
    <w:rsid w:val="00090647"/>
    <w:rsid w:val="00091AC6"/>
    <w:rsid w:val="000924BF"/>
    <w:rsid w:val="000924EB"/>
    <w:rsid w:val="000932A3"/>
    <w:rsid w:val="00093ADD"/>
    <w:rsid w:val="00094D7C"/>
    <w:rsid w:val="0009649D"/>
    <w:rsid w:val="00096CD3"/>
    <w:rsid w:val="00096F57"/>
    <w:rsid w:val="00097433"/>
    <w:rsid w:val="00097A27"/>
    <w:rsid w:val="000A0334"/>
    <w:rsid w:val="000A1115"/>
    <w:rsid w:val="000A4138"/>
    <w:rsid w:val="000A5B46"/>
    <w:rsid w:val="000A5CD2"/>
    <w:rsid w:val="000A5FB2"/>
    <w:rsid w:val="000A656C"/>
    <w:rsid w:val="000A6F72"/>
    <w:rsid w:val="000A7152"/>
    <w:rsid w:val="000A723B"/>
    <w:rsid w:val="000B0934"/>
    <w:rsid w:val="000B1DE6"/>
    <w:rsid w:val="000B2416"/>
    <w:rsid w:val="000B2422"/>
    <w:rsid w:val="000B2CF8"/>
    <w:rsid w:val="000B407A"/>
    <w:rsid w:val="000B4160"/>
    <w:rsid w:val="000B4907"/>
    <w:rsid w:val="000B4BFD"/>
    <w:rsid w:val="000B4D3B"/>
    <w:rsid w:val="000B5854"/>
    <w:rsid w:val="000B645F"/>
    <w:rsid w:val="000B6821"/>
    <w:rsid w:val="000B6AD4"/>
    <w:rsid w:val="000B7773"/>
    <w:rsid w:val="000B7DD0"/>
    <w:rsid w:val="000C0427"/>
    <w:rsid w:val="000C044D"/>
    <w:rsid w:val="000C0BBB"/>
    <w:rsid w:val="000C146B"/>
    <w:rsid w:val="000C2A6D"/>
    <w:rsid w:val="000C3375"/>
    <w:rsid w:val="000C420C"/>
    <w:rsid w:val="000C48CF"/>
    <w:rsid w:val="000C5BC4"/>
    <w:rsid w:val="000C6002"/>
    <w:rsid w:val="000C6D09"/>
    <w:rsid w:val="000D042B"/>
    <w:rsid w:val="000D1001"/>
    <w:rsid w:val="000D106A"/>
    <w:rsid w:val="000D18A3"/>
    <w:rsid w:val="000D36D2"/>
    <w:rsid w:val="000D394B"/>
    <w:rsid w:val="000D42BD"/>
    <w:rsid w:val="000D4912"/>
    <w:rsid w:val="000D4F0A"/>
    <w:rsid w:val="000D5C9C"/>
    <w:rsid w:val="000D5D97"/>
    <w:rsid w:val="000D608B"/>
    <w:rsid w:val="000E07F1"/>
    <w:rsid w:val="000E093B"/>
    <w:rsid w:val="000E39CE"/>
    <w:rsid w:val="000E3A4D"/>
    <w:rsid w:val="000E3D0F"/>
    <w:rsid w:val="000E4D55"/>
    <w:rsid w:val="000E5BA6"/>
    <w:rsid w:val="000E5EB4"/>
    <w:rsid w:val="000E6586"/>
    <w:rsid w:val="000E797C"/>
    <w:rsid w:val="000E7F29"/>
    <w:rsid w:val="000F14D4"/>
    <w:rsid w:val="000F1767"/>
    <w:rsid w:val="000F1979"/>
    <w:rsid w:val="000F21DD"/>
    <w:rsid w:val="000F234F"/>
    <w:rsid w:val="000F287E"/>
    <w:rsid w:val="000F2A68"/>
    <w:rsid w:val="000F3F29"/>
    <w:rsid w:val="000F4E58"/>
    <w:rsid w:val="000F5199"/>
    <w:rsid w:val="000F55AE"/>
    <w:rsid w:val="000F60FF"/>
    <w:rsid w:val="000F618A"/>
    <w:rsid w:val="000F74EF"/>
    <w:rsid w:val="000F7584"/>
    <w:rsid w:val="000F7998"/>
    <w:rsid w:val="000F7D70"/>
    <w:rsid w:val="0010027B"/>
    <w:rsid w:val="001003A4"/>
    <w:rsid w:val="001013E1"/>
    <w:rsid w:val="001022F3"/>
    <w:rsid w:val="001037C9"/>
    <w:rsid w:val="00103D01"/>
    <w:rsid w:val="001044A9"/>
    <w:rsid w:val="00104544"/>
    <w:rsid w:val="00105CD1"/>
    <w:rsid w:val="00106345"/>
    <w:rsid w:val="00107040"/>
    <w:rsid w:val="001071EF"/>
    <w:rsid w:val="00107D61"/>
    <w:rsid w:val="00107E12"/>
    <w:rsid w:val="001102AC"/>
    <w:rsid w:val="00110691"/>
    <w:rsid w:val="00110B87"/>
    <w:rsid w:val="00110D4E"/>
    <w:rsid w:val="00112A6B"/>
    <w:rsid w:val="00112BE5"/>
    <w:rsid w:val="00113010"/>
    <w:rsid w:val="001135B4"/>
    <w:rsid w:val="00114B76"/>
    <w:rsid w:val="00114D77"/>
    <w:rsid w:val="001152CC"/>
    <w:rsid w:val="00116439"/>
    <w:rsid w:val="001168C6"/>
    <w:rsid w:val="00117255"/>
    <w:rsid w:val="00117CDF"/>
    <w:rsid w:val="00117F7C"/>
    <w:rsid w:val="0012003B"/>
    <w:rsid w:val="00120172"/>
    <w:rsid w:val="001201E3"/>
    <w:rsid w:val="00120386"/>
    <w:rsid w:val="00120A05"/>
    <w:rsid w:val="00121584"/>
    <w:rsid w:val="00121E1D"/>
    <w:rsid w:val="00122093"/>
    <w:rsid w:val="00122556"/>
    <w:rsid w:val="00123760"/>
    <w:rsid w:val="00123DE4"/>
    <w:rsid w:val="00124059"/>
    <w:rsid w:val="00124D27"/>
    <w:rsid w:val="00124F9D"/>
    <w:rsid w:val="001256FD"/>
    <w:rsid w:val="00127E3D"/>
    <w:rsid w:val="001314DE"/>
    <w:rsid w:val="001320EA"/>
    <w:rsid w:val="00132861"/>
    <w:rsid w:val="001341CE"/>
    <w:rsid w:val="00135788"/>
    <w:rsid w:val="0013593A"/>
    <w:rsid w:val="00135D4D"/>
    <w:rsid w:val="0013619D"/>
    <w:rsid w:val="0013630C"/>
    <w:rsid w:val="001365C2"/>
    <w:rsid w:val="00136718"/>
    <w:rsid w:val="00136919"/>
    <w:rsid w:val="00136B83"/>
    <w:rsid w:val="0013782C"/>
    <w:rsid w:val="00137B70"/>
    <w:rsid w:val="00137BE5"/>
    <w:rsid w:val="00137DDE"/>
    <w:rsid w:val="00140084"/>
    <w:rsid w:val="00141D04"/>
    <w:rsid w:val="00142B5E"/>
    <w:rsid w:val="00142CFF"/>
    <w:rsid w:val="001435B6"/>
    <w:rsid w:val="00144701"/>
    <w:rsid w:val="00145808"/>
    <w:rsid w:val="00145945"/>
    <w:rsid w:val="001478DE"/>
    <w:rsid w:val="0015026C"/>
    <w:rsid w:val="0015056C"/>
    <w:rsid w:val="00151395"/>
    <w:rsid w:val="00151A90"/>
    <w:rsid w:val="001526F4"/>
    <w:rsid w:val="00153469"/>
    <w:rsid w:val="00153814"/>
    <w:rsid w:val="001547AA"/>
    <w:rsid w:val="00155A7F"/>
    <w:rsid w:val="00156561"/>
    <w:rsid w:val="001608F2"/>
    <w:rsid w:val="00160AD2"/>
    <w:rsid w:val="001611D9"/>
    <w:rsid w:val="001638CA"/>
    <w:rsid w:val="00163AA9"/>
    <w:rsid w:val="0016538C"/>
    <w:rsid w:val="00165C0D"/>
    <w:rsid w:val="00166CCB"/>
    <w:rsid w:val="00166D6F"/>
    <w:rsid w:val="0017012A"/>
    <w:rsid w:val="001703C4"/>
    <w:rsid w:val="00170410"/>
    <w:rsid w:val="00171F54"/>
    <w:rsid w:val="00174068"/>
    <w:rsid w:val="00175B7C"/>
    <w:rsid w:val="0017627C"/>
    <w:rsid w:val="00176EA6"/>
    <w:rsid w:val="001812CB"/>
    <w:rsid w:val="00182658"/>
    <w:rsid w:val="00182AA1"/>
    <w:rsid w:val="00182CE0"/>
    <w:rsid w:val="0018373F"/>
    <w:rsid w:val="001846F0"/>
    <w:rsid w:val="00184A1A"/>
    <w:rsid w:val="00184C1C"/>
    <w:rsid w:val="00185AB0"/>
    <w:rsid w:val="00186280"/>
    <w:rsid w:val="0018684E"/>
    <w:rsid w:val="00190738"/>
    <w:rsid w:val="00190943"/>
    <w:rsid w:val="001928F5"/>
    <w:rsid w:val="0019411C"/>
    <w:rsid w:val="0019453F"/>
    <w:rsid w:val="00194559"/>
    <w:rsid w:val="00194982"/>
    <w:rsid w:val="00194B79"/>
    <w:rsid w:val="00195C24"/>
    <w:rsid w:val="001963D0"/>
    <w:rsid w:val="001976B3"/>
    <w:rsid w:val="001977F5"/>
    <w:rsid w:val="00197A46"/>
    <w:rsid w:val="00197B65"/>
    <w:rsid w:val="00197E1C"/>
    <w:rsid w:val="001A0756"/>
    <w:rsid w:val="001A1AF4"/>
    <w:rsid w:val="001A242F"/>
    <w:rsid w:val="001A25CF"/>
    <w:rsid w:val="001A3773"/>
    <w:rsid w:val="001A3E59"/>
    <w:rsid w:val="001A4583"/>
    <w:rsid w:val="001A662D"/>
    <w:rsid w:val="001A6CC9"/>
    <w:rsid w:val="001A713B"/>
    <w:rsid w:val="001A78DA"/>
    <w:rsid w:val="001A7B21"/>
    <w:rsid w:val="001B0288"/>
    <w:rsid w:val="001B1AA4"/>
    <w:rsid w:val="001B2320"/>
    <w:rsid w:val="001B37A7"/>
    <w:rsid w:val="001B404A"/>
    <w:rsid w:val="001B5009"/>
    <w:rsid w:val="001B52F2"/>
    <w:rsid w:val="001B5788"/>
    <w:rsid w:val="001B5A49"/>
    <w:rsid w:val="001B6025"/>
    <w:rsid w:val="001B6602"/>
    <w:rsid w:val="001B69A7"/>
    <w:rsid w:val="001B7108"/>
    <w:rsid w:val="001C0144"/>
    <w:rsid w:val="001C091D"/>
    <w:rsid w:val="001C0D6B"/>
    <w:rsid w:val="001C10C4"/>
    <w:rsid w:val="001C13C5"/>
    <w:rsid w:val="001C2187"/>
    <w:rsid w:val="001C2CE8"/>
    <w:rsid w:val="001C31CA"/>
    <w:rsid w:val="001C39ED"/>
    <w:rsid w:val="001C3A4E"/>
    <w:rsid w:val="001C4266"/>
    <w:rsid w:val="001C48D9"/>
    <w:rsid w:val="001C55DB"/>
    <w:rsid w:val="001C5710"/>
    <w:rsid w:val="001C5BDE"/>
    <w:rsid w:val="001C68FF"/>
    <w:rsid w:val="001C704E"/>
    <w:rsid w:val="001C7BDF"/>
    <w:rsid w:val="001D027C"/>
    <w:rsid w:val="001D0A80"/>
    <w:rsid w:val="001D0A97"/>
    <w:rsid w:val="001D0CE5"/>
    <w:rsid w:val="001D0E48"/>
    <w:rsid w:val="001D1607"/>
    <w:rsid w:val="001D1BDA"/>
    <w:rsid w:val="001D2049"/>
    <w:rsid w:val="001D2818"/>
    <w:rsid w:val="001D4BAA"/>
    <w:rsid w:val="001D4E09"/>
    <w:rsid w:val="001D5458"/>
    <w:rsid w:val="001D60E2"/>
    <w:rsid w:val="001D75BF"/>
    <w:rsid w:val="001E073C"/>
    <w:rsid w:val="001E3E75"/>
    <w:rsid w:val="001E4658"/>
    <w:rsid w:val="001E4A93"/>
    <w:rsid w:val="001E5343"/>
    <w:rsid w:val="001E5C3A"/>
    <w:rsid w:val="001E5C7D"/>
    <w:rsid w:val="001E5D08"/>
    <w:rsid w:val="001E73F5"/>
    <w:rsid w:val="001F0253"/>
    <w:rsid w:val="001F02E5"/>
    <w:rsid w:val="001F1518"/>
    <w:rsid w:val="001F17F9"/>
    <w:rsid w:val="001F1B58"/>
    <w:rsid w:val="001F2E1B"/>
    <w:rsid w:val="001F2E58"/>
    <w:rsid w:val="001F401F"/>
    <w:rsid w:val="001F4092"/>
    <w:rsid w:val="001F46ED"/>
    <w:rsid w:val="001F4EA0"/>
    <w:rsid w:val="001F55A1"/>
    <w:rsid w:val="001F6858"/>
    <w:rsid w:val="001F6B4B"/>
    <w:rsid w:val="001F7C49"/>
    <w:rsid w:val="002003EE"/>
    <w:rsid w:val="00200F1C"/>
    <w:rsid w:val="0020161C"/>
    <w:rsid w:val="00201ED3"/>
    <w:rsid w:val="0020326E"/>
    <w:rsid w:val="002034AF"/>
    <w:rsid w:val="00204724"/>
    <w:rsid w:val="002055C3"/>
    <w:rsid w:val="0020573D"/>
    <w:rsid w:val="00205D7C"/>
    <w:rsid w:val="002065F6"/>
    <w:rsid w:val="00206A14"/>
    <w:rsid w:val="00206D73"/>
    <w:rsid w:val="0021245D"/>
    <w:rsid w:val="00212C19"/>
    <w:rsid w:val="00212E4E"/>
    <w:rsid w:val="00213D51"/>
    <w:rsid w:val="00213F94"/>
    <w:rsid w:val="00214333"/>
    <w:rsid w:val="00216EE6"/>
    <w:rsid w:val="00217569"/>
    <w:rsid w:val="00222C23"/>
    <w:rsid w:val="00222CBB"/>
    <w:rsid w:val="00222DD3"/>
    <w:rsid w:val="002236F1"/>
    <w:rsid w:val="00224349"/>
    <w:rsid w:val="002244F1"/>
    <w:rsid w:val="00224DD1"/>
    <w:rsid w:val="002256CE"/>
    <w:rsid w:val="00225CA1"/>
    <w:rsid w:val="00225EAF"/>
    <w:rsid w:val="00227151"/>
    <w:rsid w:val="0022721F"/>
    <w:rsid w:val="00230128"/>
    <w:rsid w:val="0023034B"/>
    <w:rsid w:val="002305F7"/>
    <w:rsid w:val="002308CE"/>
    <w:rsid w:val="00230C7D"/>
    <w:rsid w:val="00230F25"/>
    <w:rsid w:val="00231D9B"/>
    <w:rsid w:val="0023210A"/>
    <w:rsid w:val="00232241"/>
    <w:rsid w:val="00232787"/>
    <w:rsid w:val="00232A68"/>
    <w:rsid w:val="00233EC0"/>
    <w:rsid w:val="00234377"/>
    <w:rsid w:val="002344AE"/>
    <w:rsid w:val="0023506A"/>
    <w:rsid w:val="00235306"/>
    <w:rsid w:val="002359AC"/>
    <w:rsid w:val="00236B9E"/>
    <w:rsid w:val="002370F2"/>
    <w:rsid w:val="0024193E"/>
    <w:rsid w:val="00241EEF"/>
    <w:rsid w:val="0024308C"/>
    <w:rsid w:val="002445C8"/>
    <w:rsid w:val="00244B16"/>
    <w:rsid w:val="002456DC"/>
    <w:rsid w:val="002466BD"/>
    <w:rsid w:val="00250219"/>
    <w:rsid w:val="0025091E"/>
    <w:rsid w:val="00251A11"/>
    <w:rsid w:val="00251A19"/>
    <w:rsid w:val="00251CB1"/>
    <w:rsid w:val="002532C1"/>
    <w:rsid w:val="002555EB"/>
    <w:rsid w:val="00255693"/>
    <w:rsid w:val="0025597C"/>
    <w:rsid w:val="00255CDE"/>
    <w:rsid w:val="0025659B"/>
    <w:rsid w:val="00257796"/>
    <w:rsid w:val="002619F1"/>
    <w:rsid w:val="00261A2C"/>
    <w:rsid w:val="00261FA0"/>
    <w:rsid w:val="00261FEA"/>
    <w:rsid w:val="00262806"/>
    <w:rsid w:val="00262817"/>
    <w:rsid w:val="00262907"/>
    <w:rsid w:val="0026292B"/>
    <w:rsid w:val="00262C90"/>
    <w:rsid w:val="00262F4B"/>
    <w:rsid w:val="00264DE3"/>
    <w:rsid w:val="00265748"/>
    <w:rsid w:val="002663D0"/>
    <w:rsid w:val="00266949"/>
    <w:rsid w:val="00267751"/>
    <w:rsid w:val="002710E1"/>
    <w:rsid w:val="002712B6"/>
    <w:rsid w:val="00271969"/>
    <w:rsid w:val="00271A3C"/>
    <w:rsid w:val="00272342"/>
    <w:rsid w:val="00272E93"/>
    <w:rsid w:val="0027378E"/>
    <w:rsid w:val="002745F7"/>
    <w:rsid w:val="00274739"/>
    <w:rsid w:val="002749E4"/>
    <w:rsid w:val="00275700"/>
    <w:rsid w:val="00275E8A"/>
    <w:rsid w:val="00276050"/>
    <w:rsid w:val="002766CB"/>
    <w:rsid w:val="00276BDF"/>
    <w:rsid w:val="002772CD"/>
    <w:rsid w:val="002772F3"/>
    <w:rsid w:val="00280169"/>
    <w:rsid w:val="002812D9"/>
    <w:rsid w:val="00281381"/>
    <w:rsid w:val="00281C3D"/>
    <w:rsid w:val="002824F9"/>
    <w:rsid w:val="00282521"/>
    <w:rsid w:val="00282529"/>
    <w:rsid w:val="00282E4F"/>
    <w:rsid w:val="00282FB7"/>
    <w:rsid w:val="00283073"/>
    <w:rsid w:val="0028379D"/>
    <w:rsid w:val="002854A6"/>
    <w:rsid w:val="00287F45"/>
    <w:rsid w:val="00290174"/>
    <w:rsid w:val="00290BCA"/>
    <w:rsid w:val="00291253"/>
    <w:rsid w:val="00291C04"/>
    <w:rsid w:val="002926FC"/>
    <w:rsid w:val="002929AD"/>
    <w:rsid w:val="002938B1"/>
    <w:rsid w:val="00296612"/>
    <w:rsid w:val="002A0867"/>
    <w:rsid w:val="002A19EF"/>
    <w:rsid w:val="002A2414"/>
    <w:rsid w:val="002A290A"/>
    <w:rsid w:val="002A2CDF"/>
    <w:rsid w:val="002A4340"/>
    <w:rsid w:val="002A4481"/>
    <w:rsid w:val="002A5620"/>
    <w:rsid w:val="002A5730"/>
    <w:rsid w:val="002A6410"/>
    <w:rsid w:val="002A65B0"/>
    <w:rsid w:val="002A77A4"/>
    <w:rsid w:val="002B0501"/>
    <w:rsid w:val="002B14C5"/>
    <w:rsid w:val="002B1784"/>
    <w:rsid w:val="002B227A"/>
    <w:rsid w:val="002B2E3D"/>
    <w:rsid w:val="002B3157"/>
    <w:rsid w:val="002B38CC"/>
    <w:rsid w:val="002B469D"/>
    <w:rsid w:val="002B4CF5"/>
    <w:rsid w:val="002B5C75"/>
    <w:rsid w:val="002B6A69"/>
    <w:rsid w:val="002C1E73"/>
    <w:rsid w:val="002C2317"/>
    <w:rsid w:val="002C30F5"/>
    <w:rsid w:val="002C4D3E"/>
    <w:rsid w:val="002C640A"/>
    <w:rsid w:val="002C72A3"/>
    <w:rsid w:val="002C7759"/>
    <w:rsid w:val="002D0168"/>
    <w:rsid w:val="002D0756"/>
    <w:rsid w:val="002D0D21"/>
    <w:rsid w:val="002D123C"/>
    <w:rsid w:val="002D2542"/>
    <w:rsid w:val="002D2BDD"/>
    <w:rsid w:val="002D37F4"/>
    <w:rsid w:val="002D37FE"/>
    <w:rsid w:val="002D47B8"/>
    <w:rsid w:val="002D58D6"/>
    <w:rsid w:val="002D5CA2"/>
    <w:rsid w:val="002D5DC1"/>
    <w:rsid w:val="002D7C3C"/>
    <w:rsid w:val="002E0551"/>
    <w:rsid w:val="002E371C"/>
    <w:rsid w:val="002E380B"/>
    <w:rsid w:val="002E3CA0"/>
    <w:rsid w:val="002E3F8F"/>
    <w:rsid w:val="002E4F2C"/>
    <w:rsid w:val="002E535D"/>
    <w:rsid w:val="002E5EFA"/>
    <w:rsid w:val="002E7048"/>
    <w:rsid w:val="002E7845"/>
    <w:rsid w:val="002F0DBC"/>
    <w:rsid w:val="002F3A3F"/>
    <w:rsid w:val="002F4155"/>
    <w:rsid w:val="002F61DA"/>
    <w:rsid w:val="002F6413"/>
    <w:rsid w:val="0030015A"/>
    <w:rsid w:val="00300906"/>
    <w:rsid w:val="00300961"/>
    <w:rsid w:val="003009EA"/>
    <w:rsid w:val="00300F0F"/>
    <w:rsid w:val="0030188B"/>
    <w:rsid w:val="0030193D"/>
    <w:rsid w:val="00302B38"/>
    <w:rsid w:val="003039DA"/>
    <w:rsid w:val="00303E03"/>
    <w:rsid w:val="00304152"/>
    <w:rsid w:val="0030564C"/>
    <w:rsid w:val="00305CA8"/>
    <w:rsid w:val="00306285"/>
    <w:rsid w:val="00306785"/>
    <w:rsid w:val="00307083"/>
    <w:rsid w:val="003070D5"/>
    <w:rsid w:val="003074F2"/>
    <w:rsid w:val="0030776F"/>
    <w:rsid w:val="0030797F"/>
    <w:rsid w:val="00307B64"/>
    <w:rsid w:val="00310141"/>
    <w:rsid w:val="003102EB"/>
    <w:rsid w:val="003106E7"/>
    <w:rsid w:val="003124A7"/>
    <w:rsid w:val="00312500"/>
    <w:rsid w:val="003129CC"/>
    <w:rsid w:val="00312F4C"/>
    <w:rsid w:val="0031397A"/>
    <w:rsid w:val="00314091"/>
    <w:rsid w:val="003142BF"/>
    <w:rsid w:val="003152B0"/>
    <w:rsid w:val="0031539C"/>
    <w:rsid w:val="003154A8"/>
    <w:rsid w:val="003166D0"/>
    <w:rsid w:val="00320907"/>
    <w:rsid w:val="003218C0"/>
    <w:rsid w:val="00322B20"/>
    <w:rsid w:val="00322F65"/>
    <w:rsid w:val="00323362"/>
    <w:rsid w:val="003234B0"/>
    <w:rsid w:val="0032439B"/>
    <w:rsid w:val="0032471D"/>
    <w:rsid w:val="003251BF"/>
    <w:rsid w:val="0032623E"/>
    <w:rsid w:val="00327BB2"/>
    <w:rsid w:val="00327D99"/>
    <w:rsid w:val="003310D6"/>
    <w:rsid w:val="003315D0"/>
    <w:rsid w:val="00331E1E"/>
    <w:rsid w:val="00332EA6"/>
    <w:rsid w:val="00333FA0"/>
    <w:rsid w:val="00334521"/>
    <w:rsid w:val="003352CA"/>
    <w:rsid w:val="00336528"/>
    <w:rsid w:val="00337541"/>
    <w:rsid w:val="0033790F"/>
    <w:rsid w:val="00337C8A"/>
    <w:rsid w:val="00340AD4"/>
    <w:rsid w:val="00341921"/>
    <w:rsid w:val="00341CAD"/>
    <w:rsid w:val="0034284B"/>
    <w:rsid w:val="00342923"/>
    <w:rsid w:val="0034306C"/>
    <w:rsid w:val="0034376E"/>
    <w:rsid w:val="00343E8C"/>
    <w:rsid w:val="00344FE7"/>
    <w:rsid w:val="003450A1"/>
    <w:rsid w:val="0034589C"/>
    <w:rsid w:val="00346221"/>
    <w:rsid w:val="003467CA"/>
    <w:rsid w:val="00346BD6"/>
    <w:rsid w:val="00346CE8"/>
    <w:rsid w:val="003506A8"/>
    <w:rsid w:val="00351B4B"/>
    <w:rsid w:val="00352076"/>
    <w:rsid w:val="00352D12"/>
    <w:rsid w:val="00352DC5"/>
    <w:rsid w:val="003563D9"/>
    <w:rsid w:val="0035687C"/>
    <w:rsid w:val="00356F3B"/>
    <w:rsid w:val="0035788B"/>
    <w:rsid w:val="00357DCA"/>
    <w:rsid w:val="0036138F"/>
    <w:rsid w:val="003629A6"/>
    <w:rsid w:val="00362DE4"/>
    <w:rsid w:val="0036318A"/>
    <w:rsid w:val="003639C0"/>
    <w:rsid w:val="00363E94"/>
    <w:rsid w:val="0036432E"/>
    <w:rsid w:val="00364CAD"/>
    <w:rsid w:val="00364DA0"/>
    <w:rsid w:val="00365845"/>
    <w:rsid w:val="003666EC"/>
    <w:rsid w:val="003668FE"/>
    <w:rsid w:val="00366EE2"/>
    <w:rsid w:val="00367142"/>
    <w:rsid w:val="003703FF"/>
    <w:rsid w:val="003710B2"/>
    <w:rsid w:val="0037121A"/>
    <w:rsid w:val="00371314"/>
    <w:rsid w:val="00372BC8"/>
    <w:rsid w:val="00373CB1"/>
    <w:rsid w:val="00373CEB"/>
    <w:rsid w:val="00374368"/>
    <w:rsid w:val="00374CF7"/>
    <w:rsid w:val="003766E5"/>
    <w:rsid w:val="00377988"/>
    <w:rsid w:val="00377BE6"/>
    <w:rsid w:val="00380390"/>
    <w:rsid w:val="00381528"/>
    <w:rsid w:val="003817D5"/>
    <w:rsid w:val="00382E3B"/>
    <w:rsid w:val="00383200"/>
    <w:rsid w:val="003834EA"/>
    <w:rsid w:val="00383574"/>
    <w:rsid w:val="0038391C"/>
    <w:rsid w:val="00383A1C"/>
    <w:rsid w:val="00385797"/>
    <w:rsid w:val="00385D35"/>
    <w:rsid w:val="00385FAA"/>
    <w:rsid w:val="00387FBE"/>
    <w:rsid w:val="00390945"/>
    <w:rsid w:val="0039190A"/>
    <w:rsid w:val="00391AEA"/>
    <w:rsid w:val="00391F1A"/>
    <w:rsid w:val="00393B37"/>
    <w:rsid w:val="00393C65"/>
    <w:rsid w:val="00394528"/>
    <w:rsid w:val="003948F9"/>
    <w:rsid w:val="00394F87"/>
    <w:rsid w:val="00395AA6"/>
    <w:rsid w:val="003A09EF"/>
    <w:rsid w:val="003A11D2"/>
    <w:rsid w:val="003A25B6"/>
    <w:rsid w:val="003A3C23"/>
    <w:rsid w:val="003A3F44"/>
    <w:rsid w:val="003A463A"/>
    <w:rsid w:val="003A5D66"/>
    <w:rsid w:val="003A668A"/>
    <w:rsid w:val="003A72A3"/>
    <w:rsid w:val="003A7570"/>
    <w:rsid w:val="003A7B23"/>
    <w:rsid w:val="003A7BE8"/>
    <w:rsid w:val="003B01DE"/>
    <w:rsid w:val="003B1319"/>
    <w:rsid w:val="003B36D2"/>
    <w:rsid w:val="003B4057"/>
    <w:rsid w:val="003B407F"/>
    <w:rsid w:val="003B4AB0"/>
    <w:rsid w:val="003B6558"/>
    <w:rsid w:val="003C04A0"/>
    <w:rsid w:val="003C0781"/>
    <w:rsid w:val="003C109E"/>
    <w:rsid w:val="003C17CB"/>
    <w:rsid w:val="003C1E27"/>
    <w:rsid w:val="003C42A5"/>
    <w:rsid w:val="003C450B"/>
    <w:rsid w:val="003C57B6"/>
    <w:rsid w:val="003C592D"/>
    <w:rsid w:val="003C7C76"/>
    <w:rsid w:val="003D0D5C"/>
    <w:rsid w:val="003D3C8A"/>
    <w:rsid w:val="003D50C3"/>
    <w:rsid w:val="003D5A2E"/>
    <w:rsid w:val="003D68DB"/>
    <w:rsid w:val="003D73A7"/>
    <w:rsid w:val="003E269D"/>
    <w:rsid w:val="003E27EC"/>
    <w:rsid w:val="003E2EE2"/>
    <w:rsid w:val="003E3146"/>
    <w:rsid w:val="003E32E8"/>
    <w:rsid w:val="003E4048"/>
    <w:rsid w:val="003E5DD1"/>
    <w:rsid w:val="003E6693"/>
    <w:rsid w:val="003E71CF"/>
    <w:rsid w:val="003E7DC5"/>
    <w:rsid w:val="003F0B6E"/>
    <w:rsid w:val="003F0CA9"/>
    <w:rsid w:val="003F0EAC"/>
    <w:rsid w:val="003F1103"/>
    <w:rsid w:val="003F3758"/>
    <w:rsid w:val="003F4808"/>
    <w:rsid w:val="003F4D07"/>
    <w:rsid w:val="003F5244"/>
    <w:rsid w:val="003F5251"/>
    <w:rsid w:val="003F564A"/>
    <w:rsid w:val="003F5668"/>
    <w:rsid w:val="003F5F76"/>
    <w:rsid w:val="003F79D8"/>
    <w:rsid w:val="003F7E8F"/>
    <w:rsid w:val="00400A8A"/>
    <w:rsid w:val="00401BDB"/>
    <w:rsid w:val="00403465"/>
    <w:rsid w:val="0040351E"/>
    <w:rsid w:val="00407039"/>
    <w:rsid w:val="004071A0"/>
    <w:rsid w:val="004079D3"/>
    <w:rsid w:val="004107C9"/>
    <w:rsid w:val="00411681"/>
    <w:rsid w:val="00412D15"/>
    <w:rsid w:val="00413018"/>
    <w:rsid w:val="00414B4F"/>
    <w:rsid w:val="00414F0C"/>
    <w:rsid w:val="004156E3"/>
    <w:rsid w:val="00416E09"/>
    <w:rsid w:val="004206F1"/>
    <w:rsid w:val="00421029"/>
    <w:rsid w:val="00421038"/>
    <w:rsid w:val="00421454"/>
    <w:rsid w:val="004215AF"/>
    <w:rsid w:val="0042209F"/>
    <w:rsid w:val="00422198"/>
    <w:rsid w:val="00423A31"/>
    <w:rsid w:val="00424253"/>
    <w:rsid w:val="00424708"/>
    <w:rsid w:val="00424BDB"/>
    <w:rsid w:val="004251BE"/>
    <w:rsid w:val="00425FBB"/>
    <w:rsid w:val="004262F3"/>
    <w:rsid w:val="00426465"/>
    <w:rsid w:val="00426501"/>
    <w:rsid w:val="00432A9A"/>
    <w:rsid w:val="004346FA"/>
    <w:rsid w:val="00434A2E"/>
    <w:rsid w:val="00436194"/>
    <w:rsid w:val="00436220"/>
    <w:rsid w:val="00437B91"/>
    <w:rsid w:val="0044013B"/>
    <w:rsid w:val="00440A26"/>
    <w:rsid w:val="00440D38"/>
    <w:rsid w:val="004413B1"/>
    <w:rsid w:val="0044144C"/>
    <w:rsid w:val="00442AC9"/>
    <w:rsid w:val="00445386"/>
    <w:rsid w:val="00446226"/>
    <w:rsid w:val="00446ACC"/>
    <w:rsid w:val="0044709C"/>
    <w:rsid w:val="00450B3C"/>
    <w:rsid w:val="00451476"/>
    <w:rsid w:val="004517FD"/>
    <w:rsid w:val="00451B3C"/>
    <w:rsid w:val="004520A0"/>
    <w:rsid w:val="004521E1"/>
    <w:rsid w:val="0045323F"/>
    <w:rsid w:val="004534AB"/>
    <w:rsid w:val="00454395"/>
    <w:rsid w:val="004548A9"/>
    <w:rsid w:val="00454DC9"/>
    <w:rsid w:val="004555D3"/>
    <w:rsid w:val="00455F3A"/>
    <w:rsid w:val="00456AA6"/>
    <w:rsid w:val="00456FA9"/>
    <w:rsid w:val="00457591"/>
    <w:rsid w:val="004578F8"/>
    <w:rsid w:val="00460314"/>
    <w:rsid w:val="00461261"/>
    <w:rsid w:val="0046144B"/>
    <w:rsid w:val="0046208C"/>
    <w:rsid w:val="004625CE"/>
    <w:rsid w:val="00462832"/>
    <w:rsid w:val="00462A07"/>
    <w:rsid w:val="00462AC2"/>
    <w:rsid w:val="00462C80"/>
    <w:rsid w:val="00462F8E"/>
    <w:rsid w:val="004633B9"/>
    <w:rsid w:val="004643B8"/>
    <w:rsid w:val="00464D7E"/>
    <w:rsid w:val="00465F0B"/>
    <w:rsid w:val="00466857"/>
    <w:rsid w:val="00467306"/>
    <w:rsid w:val="004674D4"/>
    <w:rsid w:val="004721FD"/>
    <w:rsid w:val="00472365"/>
    <w:rsid w:val="00472BFB"/>
    <w:rsid w:val="00472C55"/>
    <w:rsid w:val="00473363"/>
    <w:rsid w:val="0047475B"/>
    <w:rsid w:val="0047496E"/>
    <w:rsid w:val="00474AB6"/>
    <w:rsid w:val="00476221"/>
    <w:rsid w:val="004772F4"/>
    <w:rsid w:val="00477C32"/>
    <w:rsid w:val="0048182A"/>
    <w:rsid w:val="004822F0"/>
    <w:rsid w:val="00483396"/>
    <w:rsid w:val="00484B4B"/>
    <w:rsid w:val="00485A0D"/>
    <w:rsid w:val="0048671A"/>
    <w:rsid w:val="00486C22"/>
    <w:rsid w:val="00486EBE"/>
    <w:rsid w:val="004874A5"/>
    <w:rsid w:val="00487A5D"/>
    <w:rsid w:val="00487DCF"/>
    <w:rsid w:val="004904E0"/>
    <w:rsid w:val="00490776"/>
    <w:rsid w:val="00490BBD"/>
    <w:rsid w:val="00490E0A"/>
    <w:rsid w:val="004912F3"/>
    <w:rsid w:val="00492775"/>
    <w:rsid w:val="00493AFF"/>
    <w:rsid w:val="00493B1F"/>
    <w:rsid w:val="0049415A"/>
    <w:rsid w:val="00494636"/>
    <w:rsid w:val="004948E8"/>
    <w:rsid w:val="00494980"/>
    <w:rsid w:val="00494BBD"/>
    <w:rsid w:val="00494BDC"/>
    <w:rsid w:val="00494EA4"/>
    <w:rsid w:val="00494FE1"/>
    <w:rsid w:val="00496161"/>
    <w:rsid w:val="00496AA5"/>
    <w:rsid w:val="00496C23"/>
    <w:rsid w:val="00497966"/>
    <w:rsid w:val="004A0BDE"/>
    <w:rsid w:val="004A0F25"/>
    <w:rsid w:val="004A11EA"/>
    <w:rsid w:val="004A1AAF"/>
    <w:rsid w:val="004A35CB"/>
    <w:rsid w:val="004A480B"/>
    <w:rsid w:val="004A4947"/>
    <w:rsid w:val="004A4E13"/>
    <w:rsid w:val="004A4EFE"/>
    <w:rsid w:val="004A5A02"/>
    <w:rsid w:val="004A5D9C"/>
    <w:rsid w:val="004A700A"/>
    <w:rsid w:val="004A7A65"/>
    <w:rsid w:val="004A7B71"/>
    <w:rsid w:val="004A7DEC"/>
    <w:rsid w:val="004B03E4"/>
    <w:rsid w:val="004B0886"/>
    <w:rsid w:val="004B1055"/>
    <w:rsid w:val="004B23F3"/>
    <w:rsid w:val="004B25C6"/>
    <w:rsid w:val="004B2987"/>
    <w:rsid w:val="004B39A9"/>
    <w:rsid w:val="004B3ABF"/>
    <w:rsid w:val="004B550E"/>
    <w:rsid w:val="004B5A28"/>
    <w:rsid w:val="004B6327"/>
    <w:rsid w:val="004B6D1E"/>
    <w:rsid w:val="004B7444"/>
    <w:rsid w:val="004C1259"/>
    <w:rsid w:val="004C1642"/>
    <w:rsid w:val="004C1E26"/>
    <w:rsid w:val="004C2A42"/>
    <w:rsid w:val="004C334B"/>
    <w:rsid w:val="004C3D1B"/>
    <w:rsid w:val="004C3F36"/>
    <w:rsid w:val="004C452E"/>
    <w:rsid w:val="004C4C6A"/>
    <w:rsid w:val="004C4F7A"/>
    <w:rsid w:val="004C55A6"/>
    <w:rsid w:val="004C5F3B"/>
    <w:rsid w:val="004C681D"/>
    <w:rsid w:val="004C683F"/>
    <w:rsid w:val="004C6979"/>
    <w:rsid w:val="004C7EE4"/>
    <w:rsid w:val="004C7F26"/>
    <w:rsid w:val="004D1A06"/>
    <w:rsid w:val="004D1EF7"/>
    <w:rsid w:val="004D2260"/>
    <w:rsid w:val="004D3805"/>
    <w:rsid w:val="004D47BB"/>
    <w:rsid w:val="004D5555"/>
    <w:rsid w:val="004D5612"/>
    <w:rsid w:val="004D57EE"/>
    <w:rsid w:val="004D6269"/>
    <w:rsid w:val="004D7D55"/>
    <w:rsid w:val="004E052C"/>
    <w:rsid w:val="004E09AE"/>
    <w:rsid w:val="004E13AB"/>
    <w:rsid w:val="004E1A50"/>
    <w:rsid w:val="004E269A"/>
    <w:rsid w:val="004E2981"/>
    <w:rsid w:val="004E3EA2"/>
    <w:rsid w:val="004E3FF0"/>
    <w:rsid w:val="004E539F"/>
    <w:rsid w:val="004E56D7"/>
    <w:rsid w:val="004E5ACF"/>
    <w:rsid w:val="004E60A0"/>
    <w:rsid w:val="004E60A2"/>
    <w:rsid w:val="004E61AF"/>
    <w:rsid w:val="004E7AB0"/>
    <w:rsid w:val="004E7EBE"/>
    <w:rsid w:val="004F0837"/>
    <w:rsid w:val="004F2525"/>
    <w:rsid w:val="004F2834"/>
    <w:rsid w:val="004F44C1"/>
    <w:rsid w:val="004F5521"/>
    <w:rsid w:val="004F60BD"/>
    <w:rsid w:val="004F65DE"/>
    <w:rsid w:val="004F67A1"/>
    <w:rsid w:val="004F6A31"/>
    <w:rsid w:val="004F6C60"/>
    <w:rsid w:val="004F7C7E"/>
    <w:rsid w:val="0050056D"/>
    <w:rsid w:val="00500D18"/>
    <w:rsid w:val="00501704"/>
    <w:rsid w:val="00502825"/>
    <w:rsid w:val="00503577"/>
    <w:rsid w:val="00503588"/>
    <w:rsid w:val="0050407B"/>
    <w:rsid w:val="00505CCA"/>
    <w:rsid w:val="00505E1C"/>
    <w:rsid w:val="00505FA3"/>
    <w:rsid w:val="00506285"/>
    <w:rsid w:val="005068E9"/>
    <w:rsid w:val="005076F0"/>
    <w:rsid w:val="00507D94"/>
    <w:rsid w:val="00510347"/>
    <w:rsid w:val="005107A3"/>
    <w:rsid w:val="005130C7"/>
    <w:rsid w:val="005135E5"/>
    <w:rsid w:val="0051415D"/>
    <w:rsid w:val="005145D6"/>
    <w:rsid w:val="005152F6"/>
    <w:rsid w:val="00516717"/>
    <w:rsid w:val="00517748"/>
    <w:rsid w:val="00517D77"/>
    <w:rsid w:val="005206D7"/>
    <w:rsid w:val="00520760"/>
    <w:rsid w:val="00520821"/>
    <w:rsid w:val="00520CBF"/>
    <w:rsid w:val="00521722"/>
    <w:rsid w:val="00521A98"/>
    <w:rsid w:val="00522334"/>
    <w:rsid w:val="0052273B"/>
    <w:rsid w:val="005234AB"/>
    <w:rsid w:val="005248FB"/>
    <w:rsid w:val="00524DA9"/>
    <w:rsid w:val="00525BD2"/>
    <w:rsid w:val="005268DC"/>
    <w:rsid w:val="00526C0F"/>
    <w:rsid w:val="00527476"/>
    <w:rsid w:val="00530162"/>
    <w:rsid w:val="00530686"/>
    <w:rsid w:val="00531918"/>
    <w:rsid w:val="00531D67"/>
    <w:rsid w:val="005327E9"/>
    <w:rsid w:val="005341FE"/>
    <w:rsid w:val="00535BE1"/>
    <w:rsid w:val="005361A2"/>
    <w:rsid w:val="00536BE0"/>
    <w:rsid w:val="00536FE7"/>
    <w:rsid w:val="00537FB2"/>
    <w:rsid w:val="00537FEA"/>
    <w:rsid w:val="0054147C"/>
    <w:rsid w:val="00541EF6"/>
    <w:rsid w:val="00543882"/>
    <w:rsid w:val="0054420A"/>
    <w:rsid w:val="0054444C"/>
    <w:rsid w:val="005448C6"/>
    <w:rsid w:val="00544DB4"/>
    <w:rsid w:val="005457D9"/>
    <w:rsid w:val="005462CC"/>
    <w:rsid w:val="0054630D"/>
    <w:rsid w:val="005468D9"/>
    <w:rsid w:val="00546B66"/>
    <w:rsid w:val="00547D0A"/>
    <w:rsid w:val="00550497"/>
    <w:rsid w:val="00551797"/>
    <w:rsid w:val="005517AF"/>
    <w:rsid w:val="00552D1A"/>
    <w:rsid w:val="00552F5D"/>
    <w:rsid w:val="00553131"/>
    <w:rsid w:val="00553F79"/>
    <w:rsid w:val="00555026"/>
    <w:rsid w:val="00555DA1"/>
    <w:rsid w:val="005566DE"/>
    <w:rsid w:val="00556A1B"/>
    <w:rsid w:val="00557932"/>
    <w:rsid w:val="00561806"/>
    <w:rsid w:val="0056284E"/>
    <w:rsid w:val="00562DA1"/>
    <w:rsid w:val="0056317A"/>
    <w:rsid w:val="00564052"/>
    <w:rsid w:val="0056471D"/>
    <w:rsid w:val="005649D9"/>
    <w:rsid w:val="00564A8B"/>
    <w:rsid w:val="00564C62"/>
    <w:rsid w:val="005665A2"/>
    <w:rsid w:val="00566C33"/>
    <w:rsid w:val="0056715B"/>
    <w:rsid w:val="005674E9"/>
    <w:rsid w:val="00567E41"/>
    <w:rsid w:val="0056CFEF"/>
    <w:rsid w:val="00571128"/>
    <w:rsid w:val="005718AA"/>
    <w:rsid w:val="00572264"/>
    <w:rsid w:val="005726CF"/>
    <w:rsid w:val="00574BD7"/>
    <w:rsid w:val="0057509A"/>
    <w:rsid w:val="00575952"/>
    <w:rsid w:val="005768A8"/>
    <w:rsid w:val="00577CB1"/>
    <w:rsid w:val="00580996"/>
    <w:rsid w:val="00581E80"/>
    <w:rsid w:val="005833AC"/>
    <w:rsid w:val="00583F4F"/>
    <w:rsid w:val="0058490A"/>
    <w:rsid w:val="00584D68"/>
    <w:rsid w:val="00585265"/>
    <w:rsid w:val="005874CD"/>
    <w:rsid w:val="00587850"/>
    <w:rsid w:val="00590303"/>
    <w:rsid w:val="00592886"/>
    <w:rsid w:val="005930EF"/>
    <w:rsid w:val="005935FF"/>
    <w:rsid w:val="00593DAC"/>
    <w:rsid w:val="00594B9E"/>
    <w:rsid w:val="005957A0"/>
    <w:rsid w:val="00595C87"/>
    <w:rsid w:val="0059692C"/>
    <w:rsid w:val="00597149"/>
    <w:rsid w:val="00597739"/>
    <w:rsid w:val="00597854"/>
    <w:rsid w:val="005A02AA"/>
    <w:rsid w:val="005A0818"/>
    <w:rsid w:val="005A0980"/>
    <w:rsid w:val="005A0BD9"/>
    <w:rsid w:val="005A0E9E"/>
    <w:rsid w:val="005A116A"/>
    <w:rsid w:val="005A2934"/>
    <w:rsid w:val="005A2BC2"/>
    <w:rsid w:val="005A31E7"/>
    <w:rsid w:val="005A4005"/>
    <w:rsid w:val="005A403F"/>
    <w:rsid w:val="005A4970"/>
    <w:rsid w:val="005A6733"/>
    <w:rsid w:val="005A752E"/>
    <w:rsid w:val="005A7BD9"/>
    <w:rsid w:val="005B07DA"/>
    <w:rsid w:val="005B0F1A"/>
    <w:rsid w:val="005B1FDE"/>
    <w:rsid w:val="005B205F"/>
    <w:rsid w:val="005B20FD"/>
    <w:rsid w:val="005B21A5"/>
    <w:rsid w:val="005B2590"/>
    <w:rsid w:val="005B3385"/>
    <w:rsid w:val="005B47B7"/>
    <w:rsid w:val="005B4850"/>
    <w:rsid w:val="005B4D8C"/>
    <w:rsid w:val="005B5E40"/>
    <w:rsid w:val="005B5E6E"/>
    <w:rsid w:val="005B60A1"/>
    <w:rsid w:val="005B6617"/>
    <w:rsid w:val="005C07C8"/>
    <w:rsid w:val="005C0ED5"/>
    <w:rsid w:val="005C1403"/>
    <w:rsid w:val="005C177D"/>
    <w:rsid w:val="005C2325"/>
    <w:rsid w:val="005C2952"/>
    <w:rsid w:val="005C3179"/>
    <w:rsid w:val="005C31CC"/>
    <w:rsid w:val="005C3B1F"/>
    <w:rsid w:val="005C571C"/>
    <w:rsid w:val="005C610A"/>
    <w:rsid w:val="005C7930"/>
    <w:rsid w:val="005C7B92"/>
    <w:rsid w:val="005D00FA"/>
    <w:rsid w:val="005D0517"/>
    <w:rsid w:val="005D0944"/>
    <w:rsid w:val="005D0D72"/>
    <w:rsid w:val="005D0EFC"/>
    <w:rsid w:val="005D2C52"/>
    <w:rsid w:val="005D3828"/>
    <w:rsid w:val="005D3C6E"/>
    <w:rsid w:val="005D456E"/>
    <w:rsid w:val="005D4763"/>
    <w:rsid w:val="005D4846"/>
    <w:rsid w:val="005D4F0A"/>
    <w:rsid w:val="005D5400"/>
    <w:rsid w:val="005D6328"/>
    <w:rsid w:val="005D6C6B"/>
    <w:rsid w:val="005D7725"/>
    <w:rsid w:val="005D7FB2"/>
    <w:rsid w:val="005E0311"/>
    <w:rsid w:val="005E08AE"/>
    <w:rsid w:val="005E09AB"/>
    <w:rsid w:val="005E09E0"/>
    <w:rsid w:val="005E1537"/>
    <w:rsid w:val="005E1BFE"/>
    <w:rsid w:val="005E2BF6"/>
    <w:rsid w:val="005E354C"/>
    <w:rsid w:val="005E3C55"/>
    <w:rsid w:val="005E4155"/>
    <w:rsid w:val="005E5355"/>
    <w:rsid w:val="005E5407"/>
    <w:rsid w:val="005E64EF"/>
    <w:rsid w:val="005E65E0"/>
    <w:rsid w:val="005E761C"/>
    <w:rsid w:val="005E7660"/>
    <w:rsid w:val="005F027E"/>
    <w:rsid w:val="005F12E2"/>
    <w:rsid w:val="005F15CC"/>
    <w:rsid w:val="005F241F"/>
    <w:rsid w:val="005F4483"/>
    <w:rsid w:val="005F5338"/>
    <w:rsid w:val="005F6EFA"/>
    <w:rsid w:val="0060019E"/>
    <w:rsid w:val="0060068A"/>
    <w:rsid w:val="00600844"/>
    <w:rsid w:val="00600B7F"/>
    <w:rsid w:val="00602703"/>
    <w:rsid w:val="00604E72"/>
    <w:rsid w:val="006068CB"/>
    <w:rsid w:val="00606F2E"/>
    <w:rsid w:val="006073DF"/>
    <w:rsid w:val="00611EFC"/>
    <w:rsid w:val="006129D3"/>
    <w:rsid w:val="0061314D"/>
    <w:rsid w:val="00613EED"/>
    <w:rsid w:val="0061502C"/>
    <w:rsid w:val="00615698"/>
    <w:rsid w:val="00616C40"/>
    <w:rsid w:val="00616F81"/>
    <w:rsid w:val="00617637"/>
    <w:rsid w:val="00617C56"/>
    <w:rsid w:val="0062056B"/>
    <w:rsid w:val="00620BEF"/>
    <w:rsid w:val="00620D0D"/>
    <w:rsid w:val="00622B91"/>
    <w:rsid w:val="006234C4"/>
    <w:rsid w:val="00623875"/>
    <w:rsid w:val="00624F55"/>
    <w:rsid w:val="00626191"/>
    <w:rsid w:val="006266B1"/>
    <w:rsid w:val="006276E6"/>
    <w:rsid w:val="00630166"/>
    <w:rsid w:val="00630BBF"/>
    <w:rsid w:val="00631258"/>
    <w:rsid w:val="00631535"/>
    <w:rsid w:val="00631C65"/>
    <w:rsid w:val="006323D3"/>
    <w:rsid w:val="00632708"/>
    <w:rsid w:val="00632790"/>
    <w:rsid w:val="00632BA3"/>
    <w:rsid w:val="0063353A"/>
    <w:rsid w:val="00634874"/>
    <w:rsid w:val="00634959"/>
    <w:rsid w:val="006351EF"/>
    <w:rsid w:val="00635342"/>
    <w:rsid w:val="00635E84"/>
    <w:rsid w:val="0063661E"/>
    <w:rsid w:val="00637341"/>
    <w:rsid w:val="006376B9"/>
    <w:rsid w:val="00637D8A"/>
    <w:rsid w:val="00640356"/>
    <w:rsid w:val="006405C7"/>
    <w:rsid w:val="006410E7"/>
    <w:rsid w:val="00641876"/>
    <w:rsid w:val="00643AC8"/>
    <w:rsid w:val="00643DFB"/>
    <w:rsid w:val="00644341"/>
    <w:rsid w:val="00646169"/>
    <w:rsid w:val="00646E35"/>
    <w:rsid w:val="00646E85"/>
    <w:rsid w:val="00647112"/>
    <w:rsid w:val="00647727"/>
    <w:rsid w:val="00650CBD"/>
    <w:rsid w:val="00651C14"/>
    <w:rsid w:val="00651E19"/>
    <w:rsid w:val="00651F07"/>
    <w:rsid w:val="00653453"/>
    <w:rsid w:val="0065365E"/>
    <w:rsid w:val="00654A21"/>
    <w:rsid w:val="0065538C"/>
    <w:rsid w:val="006572B0"/>
    <w:rsid w:val="00657B1A"/>
    <w:rsid w:val="00657D8D"/>
    <w:rsid w:val="006609A4"/>
    <w:rsid w:val="00660E68"/>
    <w:rsid w:val="00661583"/>
    <w:rsid w:val="0066243C"/>
    <w:rsid w:val="00662719"/>
    <w:rsid w:val="00662927"/>
    <w:rsid w:val="00662DB3"/>
    <w:rsid w:val="00663043"/>
    <w:rsid w:val="006635D1"/>
    <w:rsid w:val="00663A16"/>
    <w:rsid w:val="00663F0E"/>
    <w:rsid w:val="006646AD"/>
    <w:rsid w:val="00664741"/>
    <w:rsid w:val="00664A39"/>
    <w:rsid w:val="006661E8"/>
    <w:rsid w:val="006678BB"/>
    <w:rsid w:val="006713CB"/>
    <w:rsid w:val="00671BC9"/>
    <w:rsid w:val="00673BB7"/>
    <w:rsid w:val="006745DB"/>
    <w:rsid w:val="00674A14"/>
    <w:rsid w:val="00674C80"/>
    <w:rsid w:val="006751FA"/>
    <w:rsid w:val="0067570B"/>
    <w:rsid w:val="0067572F"/>
    <w:rsid w:val="00675794"/>
    <w:rsid w:val="00675B25"/>
    <w:rsid w:val="00675B9C"/>
    <w:rsid w:val="00676CEA"/>
    <w:rsid w:val="00676FE5"/>
    <w:rsid w:val="006772B0"/>
    <w:rsid w:val="00680359"/>
    <w:rsid w:val="0068108B"/>
    <w:rsid w:val="006812B8"/>
    <w:rsid w:val="00683243"/>
    <w:rsid w:val="006832AB"/>
    <w:rsid w:val="0068356C"/>
    <w:rsid w:val="006835C6"/>
    <w:rsid w:val="00683658"/>
    <w:rsid w:val="006836F5"/>
    <w:rsid w:val="00683D2C"/>
    <w:rsid w:val="00683EC9"/>
    <w:rsid w:val="0068438A"/>
    <w:rsid w:val="00684C22"/>
    <w:rsid w:val="006861E4"/>
    <w:rsid w:val="00686F09"/>
    <w:rsid w:val="00687833"/>
    <w:rsid w:val="00690AED"/>
    <w:rsid w:val="0069151A"/>
    <w:rsid w:val="00691E16"/>
    <w:rsid w:val="0069207F"/>
    <w:rsid w:val="00692207"/>
    <w:rsid w:val="00692964"/>
    <w:rsid w:val="0069304F"/>
    <w:rsid w:val="00693513"/>
    <w:rsid w:val="006936A8"/>
    <w:rsid w:val="00693979"/>
    <w:rsid w:val="0069406C"/>
    <w:rsid w:val="00694736"/>
    <w:rsid w:val="006960AD"/>
    <w:rsid w:val="006A0059"/>
    <w:rsid w:val="006A0AD0"/>
    <w:rsid w:val="006A1778"/>
    <w:rsid w:val="006A3813"/>
    <w:rsid w:val="006A4C2A"/>
    <w:rsid w:val="006A51DB"/>
    <w:rsid w:val="006A5B46"/>
    <w:rsid w:val="006A6A19"/>
    <w:rsid w:val="006A7D38"/>
    <w:rsid w:val="006B00F9"/>
    <w:rsid w:val="006B06EE"/>
    <w:rsid w:val="006B1C8F"/>
    <w:rsid w:val="006B2DB0"/>
    <w:rsid w:val="006B45AC"/>
    <w:rsid w:val="006B568B"/>
    <w:rsid w:val="006B5B7A"/>
    <w:rsid w:val="006B5BDD"/>
    <w:rsid w:val="006B6114"/>
    <w:rsid w:val="006B662B"/>
    <w:rsid w:val="006B7405"/>
    <w:rsid w:val="006B7BF9"/>
    <w:rsid w:val="006B7F0F"/>
    <w:rsid w:val="006C06F0"/>
    <w:rsid w:val="006C0A94"/>
    <w:rsid w:val="006C0F1F"/>
    <w:rsid w:val="006C34C7"/>
    <w:rsid w:val="006C35C4"/>
    <w:rsid w:val="006C3CA8"/>
    <w:rsid w:val="006C4BF1"/>
    <w:rsid w:val="006C4C48"/>
    <w:rsid w:val="006C5A2F"/>
    <w:rsid w:val="006C5A38"/>
    <w:rsid w:val="006C6B90"/>
    <w:rsid w:val="006C7BAB"/>
    <w:rsid w:val="006D108E"/>
    <w:rsid w:val="006D2DB9"/>
    <w:rsid w:val="006D2E6F"/>
    <w:rsid w:val="006D44A7"/>
    <w:rsid w:val="006D5316"/>
    <w:rsid w:val="006D60E7"/>
    <w:rsid w:val="006D60F3"/>
    <w:rsid w:val="006E1091"/>
    <w:rsid w:val="006E1B1F"/>
    <w:rsid w:val="006E1C18"/>
    <w:rsid w:val="006E235F"/>
    <w:rsid w:val="006E248B"/>
    <w:rsid w:val="006E2DE5"/>
    <w:rsid w:val="006E3F48"/>
    <w:rsid w:val="006E52DA"/>
    <w:rsid w:val="006E5C8F"/>
    <w:rsid w:val="006E670E"/>
    <w:rsid w:val="006E672B"/>
    <w:rsid w:val="006F026A"/>
    <w:rsid w:val="006F0919"/>
    <w:rsid w:val="006F0B17"/>
    <w:rsid w:val="006F2214"/>
    <w:rsid w:val="006F2421"/>
    <w:rsid w:val="006F2B2C"/>
    <w:rsid w:val="006F308B"/>
    <w:rsid w:val="006F3497"/>
    <w:rsid w:val="006F586E"/>
    <w:rsid w:val="006F5E0C"/>
    <w:rsid w:val="006F6148"/>
    <w:rsid w:val="006F7456"/>
    <w:rsid w:val="006F7C29"/>
    <w:rsid w:val="006F7CA5"/>
    <w:rsid w:val="006F7F85"/>
    <w:rsid w:val="00700BEF"/>
    <w:rsid w:val="00701729"/>
    <w:rsid w:val="007026F3"/>
    <w:rsid w:val="00703058"/>
    <w:rsid w:val="007038D4"/>
    <w:rsid w:val="00707FC8"/>
    <w:rsid w:val="0071026E"/>
    <w:rsid w:val="0071131F"/>
    <w:rsid w:val="00711327"/>
    <w:rsid w:val="0071154B"/>
    <w:rsid w:val="007115EB"/>
    <w:rsid w:val="0071180B"/>
    <w:rsid w:val="00712C4A"/>
    <w:rsid w:val="00713038"/>
    <w:rsid w:val="0071348F"/>
    <w:rsid w:val="00713A03"/>
    <w:rsid w:val="007142CC"/>
    <w:rsid w:val="007143F4"/>
    <w:rsid w:val="00715442"/>
    <w:rsid w:val="00715877"/>
    <w:rsid w:val="0071796B"/>
    <w:rsid w:val="007207C3"/>
    <w:rsid w:val="0072120E"/>
    <w:rsid w:val="00721AC9"/>
    <w:rsid w:val="0072244E"/>
    <w:rsid w:val="007230CE"/>
    <w:rsid w:val="0072572B"/>
    <w:rsid w:val="007258A0"/>
    <w:rsid w:val="00725E46"/>
    <w:rsid w:val="00726954"/>
    <w:rsid w:val="00730737"/>
    <w:rsid w:val="00730B9F"/>
    <w:rsid w:val="00730CDC"/>
    <w:rsid w:val="00730D42"/>
    <w:rsid w:val="00730EED"/>
    <w:rsid w:val="007323C6"/>
    <w:rsid w:val="00732B49"/>
    <w:rsid w:val="0073427E"/>
    <w:rsid w:val="007360D2"/>
    <w:rsid w:val="0073615F"/>
    <w:rsid w:val="007378A9"/>
    <w:rsid w:val="007414D3"/>
    <w:rsid w:val="0074197A"/>
    <w:rsid w:val="00741A12"/>
    <w:rsid w:val="00741FB2"/>
    <w:rsid w:val="00743BA0"/>
    <w:rsid w:val="007441DE"/>
    <w:rsid w:val="007448AF"/>
    <w:rsid w:val="00744CA1"/>
    <w:rsid w:val="00746569"/>
    <w:rsid w:val="00746735"/>
    <w:rsid w:val="007470BA"/>
    <w:rsid w:val="00747B2F"/>
    <w:rsid w:val="00751737"/>
    <w:rsid w:val="00751CA7"/>
    <w:rsid w:val="00752797"/>
    <w:rsid w:val="007531FB"/>
    <w:rsid w:val="0075341E"/>
    <w:rsid w:val="007554BB"/>
    <w:rsid w:val="007555C7"/>
    <w:rsid w:val="007604CE"/>
    <w:rsid w:val="007605CF"/>
    <w:rsid w:val="007625F0"/>
    <w:rsid w:val="007652B6"/>
    <w:rsid w:val="00765447"/>
    <w:rsid w:val="00765719"/>
    <w:rsid w:val="00765D07"/>
    <w:rsid w:val="007660E9"/>
    <w:rsid w:val="007661BF"/>
    <w:rsid w:val="00766218"/>
    <w:rsid w:val="00767CAB"/>
    <w:rsid w:val="007703B8"/>
    <w:rsid w:val="007717B5"/>
    <w:rsid w:val="0077183A"/>
    <w:rsid w:val="00772BD6"/>
    <w:rsid w:val="00772FA8"/>
    <w:rsid w:val="00775968"/>
    <w:rsid w:val="00776981"/>
    <w:rsid w:val="00776F8F"/>
    <w:rsid w:val="007773BD"/>
    <w:rsid w:val="0078089F"/>
    <w:rsid w:val="007808EA"/>
    <w:rsid w:val="0078184A"/>
    <w:rsid w:val="00782463"/>
    <w:rsid w:val="007829EC"/>
    <w:rsid w:val="00783367"/>
    <w:rsid w:val="00783AF7"/>
    <w:rsid w:val="007853E3"/>
    <w:rsid w:val="007855EB"/>
    <w:rsid w:val="00785A21"/>
    <w:rsid w:val="00785C51"/>
    <w:rsid w:val="0078679F"/>
    <w:rsid w:val="00786EDE"/>
    <w:rsid w:val="0078786D"/>
    <w:rsid w:val="00787C1A"/>
    <w:rsid w:val="00787DAD"/>
    <w:rsid w:val="0079027F"/>
    <w:rsid w:val="00790309"/>
    <w:rsid w:val="00790B3F"/>
    <w:rsid w:val="00791EE1"/>
    <w:rsid w:val="00792166"/>
    <w:rsid w:val="00792C53"/>
    <w:rsid w:val="00792FD4"/>
    <w:rsid w:val="00793CC0"/>
    <w:rsid w:val="00793CDA"/>
    <w:rsid w:val="00793DC3"/>
    <w:rsid w:val="00794A5F"/>
    <w:rsid w:val="00795300"/>
    <w:rsid w:val="00795F1C"/>
    <w:rsid w:val="007961B3"/>
    <w:rsid w:val="00796F02"/>
    <w:rsid w:val="00797362"/>
    <w:rsid w:val="00797C17"/>
    <w:rsid w:val="007A0F35"/>
    <w:rsid w:val="007A2E8B"/>
    <w:rsid w:val="007A2ED5"/>
    <w:rsid w:val="007A43F3"/>
    <w:rsid w:val="007A4871"/>
    <w:rsid w:val="007A5FC0"/>
    <w:rsid w:val="007A6B71"/>
    <w:rsid w:val="007A7474"/>
    <w:rsid w:val="007A75BD"/>
    <w:rsid w:val="007B0101"/>
    <w:rsid w:val="007B0464"/>
    <w:rsid w:val="007B0F4A"/>
    <w:rsid w:val="007B226F"/>
    <w:rsid w:val="007B23D2"/>
    <w:rsid w:val="007B4B4F"/>
    <w:rsid w:val="007B538A"/>
    <w:rsid w:val="007B5412"/>
    <w:rsid w:val="007B553A"/>
    <w:rsid w:val="007B5740"/>
    <w:rsid w:val="007B68BB"/>
    <w:rsid w:val="007B770F"/>
    <w:rsid w:val="007B778A"/>
    <w:rsid w:val="007B7FC6"/>
    <w:rsid w:val="007C0345"/>
    <w:rsid w:val="007C04F1"/>
    <w:rsid w:val="007C29D1"/>
    <w:rsid w:val="007C454E"/>
    <w:rsid w:val="007C5114"/>
    <w:rsid w:val="007C6270"/>
    <w:rsid w:val="007C637D"/>
    <w:rsid w:val="007C6459"/>
    <w:rsid w:val="007C7585"/>
    <w:rsid w:val="007C7602"/>
    <w:rsid w:val="007C77F0"/>
    <w:rsid w:val="007D0316"/>
    <w:rsid w:val="007D036C"/>
    <w:rsid w:val="007D14E5"/>
    <w:rsid w:val="007D2309"/>
    <w:rsid w:val="007D2D4B"/>
    <w:rsid w:val="007D3BE2"/>
    <w:rsid w:val="007D3E03"/>
    <w:rsid w:val="007D51F3"/>
    <w:rsid w:val="007D5E7F"/>
    <w:rsid w:val="007D67C8"/>
    <w:rsid w:val="007D71CC"/>
    <w:rsid w:val="007D773F"/>
    <w:rsid w:val="007D7BB3"/>
    <w:rsid w:val="007D7F95"/>
    <w:rsid w:val="007E2C2F"/>
    <w:rsid w:val="007E3ED5"/>
    <w:rsid w:val="007E41B5"/>
    <w:rsid w:val="007E46D5"/>
    <w:rsid w:val="007E5093"/>
    <w:rsid w:val="007E5A94"/>
    <w:rsid w:val="007E5EB1"/>
    <w:rsid w:val="007E6154"/>
    <w:rsid w:val="007E6BE3"/>
    <w:rsid w:val="007E7630"/>
    <w:rsid w:val="007F0F2E"/>
    <w:rsid w:val="007F1B59"/>
    <w:rsid w:val="007F1EBC"/>
    <w:rsid w:val="007F240D"/>
    <w:rsid w:val="007F25C2"/>
    <w:rsid w:val="007F371F"/>
    <w:rsid w:val="007F4028"/>
    <w:rsid w:val="007F4985"/>
    <w:rsid w:val="007F5B18"/>
    <w:rsid w:val="007F61E1"/>
    <w:rsid w:val="007F64CF"/>
    <w:rsid w:val="007F74AE"/>
    <w:rsid w:val="008002AB"/>
    <w:rsid w:val="0080100D"/>
    <w:rsid w:val="00801175"/>
    <w:rsid w:val="00802185"/>
    <w:rsid w:val="00802E7B"/>
    <w:rsid w:val="0080376F"/>
    <w:rsid w:val="0080472F"/>
    <w:rsid w:val="00805FAD"/>
    <w:rsid w:val="008067A0"/>
    <w:rsid w:val="0080750B"/>
    <w:rsid w:val="00810869"/>
    <w:rsid w:val="00810EB7"/>
    <w:rsid w:val="00811A17"/>
    <w:rsid w:val="00811BE1"/>
    <w:rsid w:val="00811DCB"/>
    <w:rsid w:val="00812BC6"/>
    <w:rsid w:val="00812DBE"/>
    <w:rsid w:val="00813653"/>
    <w:rsid w:val="0081478B"/>
    <w:rsid w:val="008148C6"/>
    <w:rsid w:val="008154CD"/>
    <w:rsid w:val="008155BF"/>
    <w:rsid w:val="00815E91"/>
    <w:rsid w:val="00816F58"/>
    <w:rsid w:val="00817AE1"/>
    <w:rsid w:val="00820F69"/>
    <w:rsid w:val="0082105C"/>
    <w:rsid w:val="008213B9"/>
    <w:rsid w:val="00821D28"/>
    <w:rsid w:val="00822F34"/>
    <w:rsid w:val="00823ED5"/>
    <w:rsid w:val="0082405D"/>
    <w:rsid w:val="00824A8A"/>
    <w:rsid w:val="008255D6"/>
    <w:rsid w:val="00825778"/>
    <w:rsid w:val="00827426"/>
    <w:rsid w:val="008275AC"/>
    <w:rsid w:val="008330DD"/>
    <w:rsid w:val="0083586A"/>
    <w:rsid w:val="008358A5"/>
    <w:rsid w:val="00835E08"/>
    <w:rsid w:val="00835FB2"/>
    <w:rsid w:val="00836562"/>
    <w:rsid w:val="008366C5"/>
    <w:rsid w:val="00836DBF"/>
    <w:rsid w:val="008377FA"/>
    <w:rsid w:val="00837B41"/>
    <w:rsid w:val="00840427"/>
    <w:rsid w:val="00840DAF"/>
    <w:rsid w:val="00841C04"/>
    <w:rsid w:val="008422A0"/>
    <w:rsid w:val="008426D6"/>
    <w:rsid w:val="008427F7"/>
    <w:rsid w:val="008433CE"/>
    <w:rsid w:val="0084364B"/>
    <w:rsid w:val="00845136"/>
    <w:rsid w:val="00845FDE"/>
    <w:rsid w:val="0084636E"/>
    <w:rsid w:val="008477EC"/>
    <w:rsid w:val="008479BE"/>
    <w:rsid w:val="00850199"/>
    <w:rsid w:val="008509D8"/>
    <w:rsid w:val="008510F9"/>
    <w:rsid w:val="00852090"/>
    <w:rsid w:val="008523E5"/>
    <w:rsid w:val="008525F3"/>
    <w:rsid w:val="00852966"/>
    <w:rsid w:val="00852AFC"/>
    <w:rsid w:val="00852E5D"/>
    <w:rsid w:val="00854A79"/>
    <w:rsid w:val="00855877"/>
    <w:rsid w:val="00857024"/>
    <w:rsid w:val="008572FF"/>
    <w:rsid w:val="0085741B"/>
    <w:rsid w:val="0086042E"/>
    <w:rsid w:val="00860750"/>
    <w:rsid w:val="008611B0"/>
    <w:rsid w:val="00861615"/>
    <w:rsid w:val="00861986"/>
    <w:rsid w:val="00862322"/>
    <w:rsid w:val="008623A9"/>
    <w:rsid w:val="00864042"/>
    <w:rsid w:val="008642FA"/>
    <w:rsid w:val="008665E0"/>
    <w:rsid w:val="00867011"/>
    <w:rsid w:val="0086761D"/>
    <w:rsid w:val="0087082A"/>
    <w:rsid w:val="00870C54"/>
    <w:rsid w:val="00871195"/>
    <w:rsid w:val="00871574"/>
    <w:rsid w:val="00871940"/>
    <w:rsid w:val="00871C0D"/>
    <w:rsid w:val="00871E88"/>
    <w:rsid w:val="00871F16"/>
    <w:rsid w:val="00873123"/>
    <w:rsid w:val="00873A19"/>
    <w:rsid w:val="00873D72"/>
    <w:rsid w:val="008774D1"/>
    <w:rsid w:val="00877BCF"/>
    <w:rsid w:val="00877D66"/>
    <w:rsid w:val="00877FAF"/>
    <w:rsid w:val="00880184"/>
    <w:rsid w:val="008802BC"/>
    <w:rsid w:val="00880C2A"/>
    <w:rsid w:val="0088146E"/>
    <w:rsid w:val="00881CCB"/>
    <w:rsid w:val="0088366D"/>
    <w:rsid w:val="0088465D"/>
    <w:rsid w:val="0088565C"/>
    <w:rsid w:val="00885A00"/>
    <w:rsid w:val="0088612E"/>
    <w:rsid w:val="008861B4"/>
    <w:rsid w:val="00886A0E"/>
    <w:rsid w:val="00886F27"/>
    <w:rsid w:val="00887427"/>
    <w:rsid w:val="00887C98"/>
    <w:rsid w:val="00887E38"/>
    <w:rsid w:val="008911C3"/>
    <w:rsid w:val="008913D4"/>
    <w:rsid w:val="008933D4"/>
    <w:rsid w:val="0089381A"/>
    <w:rsid w:val="0089387A"/>
    <w:rsid w:val="0089392E"/>
    <w:rsid w:val="00895647"/>
    <w:rsid w:val="008958DC"/>
    <w:rsid w:val="00896E96"/>
    <w:rsid w:val="0089729A"/>
    <w:rsid w:val="00897824"/>
    <w:rsid w:val="00897852"/>
    <w:rsid w:val="00897E19"/>
    <w:rsid w:val="008A0D07"/>
    <w:rsid w:val="008A1743"/>
    <w:rsid w:val="008A21C6"/>
    <w:rsid w:val="008A472C"/>
    <w:rsid w:val="008A50FD"/>
    <w:rsid w:val="008A63F7"/>
    <w:rsid w:val="008A6458"/>
    <w:rsid w:val="008A661E"/>
    <w:rsid w:val="008A6C0E"/>
    <w:rsid w:val="008A7C2E"/>
    <w:rsid w:val="008B1C50"/>
    <w:rsid w:val="008B1E92"/>
    <w:rsid w:val="008B26CE"/>
    <w:rsid w:val="008B343A"/>
    <w:rsid w:val="008B47BB"/>
    <w:rsid w:val="008B4E9B"/>
    <w:rsid w:val="008B526F"/>
    <w:rsid w:val="008B64C3"/>
    <w:rsid w:val="008C0D27"/>
    <w:rsid w:val="008C13E6"/>
    <w:rsid w:val="008C1B66"/>
    <w:rsid w:val="008C289A"/>
    <w:rsid w:val="008C2922"/>
    <w:rsid w:val="008C322F"/>
    <w:rsid w:val="008C3C89"/>
    <w:rsid w:val="008C424B"/>
    <w:rsid w:val="008C4C5C"/>
    <w:rsid w:val="008C78C7"/>
    <w:rsid w:val="008D06A3"/>
    <w:rsid w:val="008D08BC"/>
    <w:rsid w:val="008D0DF8"/>
    <w:rsid w:val="008D1288"/>
    <w:rsid w:val="008D183A"/>
    <w:rsid w:val="008D1ADF"/>
    <w:rsid w:val="008D3441"/>
    <w:rsid w:val="008D39AD"/>
    <w:rsid w:val="008D4603"/>
    <w:rsid w:val="008D48C8"/>
    <w:rsid w:val="008D4F9B"/>
    <w:rsid w:val="008D70B8"/>
    <w:rsid w:val="008D73CC"/>
    <w:rsid w:val="008D7D22"/>
    <w:rsid w:val="008D7E5E"/>
    <w:rsid w:val="008E082D"/>
    <w:rsid w:val="008E08B6"/>
    <w:rsid w:val="008E11F5"/>
    <w:rsid w:val="008E1625"/>
    <w:rsid w:val="008E1977"/>
    <w:rsid w:val="008E276C"/>
    <w:rsid w:val="008E2B06"/>
    <w:rsid w:val="008E37F1"/>
    <w:rsid w:val="008E3AD7"/>
    <w:rsid w:val="008E4F65"/>
    <w:rsid w:val="008E5D01"/>
    <w:rsid w:val="008E6014"/>
    <w:rsid w:val="008E63E8"/>
    <w:rsid w:val="008E669D"/>
    <w:rsid w:val="008E6DE7"/>
    <w:rsid w:val="008E7CBE"/>
    <w:rsid w:val="008F010C"/>
    <w:rsid w:val="008F074F"/>
    <w:rsid w:val="008F1BEA"/>
    <w:rsid w:val="008F2142"/>
    <w:rsid w:val="008F2DA6"/>
    <w:rsid w:val="008F34CC"/>
    <w:rsid w:val="008F37EE"/>
    <w:rsid w:val="008F4182"/>
    <w:rsid w:val="008F6488"/>
    <w:rsid w:val="008F6E24"/>
    <w:rsid w:val="009003FD"/>
    <w:rsid w:val="00901F5E"/>
    <w:rsid w:val="0090273B"/>
    <w:rsid w:val="009033DC"/>
    <w:rsid w:val="00904F2F"/>
    <w:rsid w:val="00905B16"/>
    <w:rsid w:val="00905B41"/>
    <w:rsid w:val="0090721C"/>
    <w:rsid w:val="00907431"/>
    <w:rsid w:val="00911305"/>
    <w:rsid w:val="00911857"/>
    <w:rsid w:val="00911AF4"/>
    <w:rsid w:val="009125B2"/>
    <w:rsid w:val="0091286C"/>
    <w:rsid w:val="00912B32"/>
    <w:rsid w:val="009136F5"/>
    <w:rsid w:val="00913911"/>
    <w:rsid w:val="00914213"/>
    <w:rsid w:val="00914C94"/>
    <w:rsid w:val="0091619C"/>
    <w:rsid w:val="00916BF1"/>
    <w:rsid w:val="0091798F"/>
    <w:rsid w:val="00917BA5"/>
    <w:rsid w:val="00917F5F"/>
    <w:rsid w:val="00920A22"/>
    <w:rsid w:val="00922D51"/>
    <w:rsid w:val="009230B4"/>
    <w:rsid w:val="009231A8"/>
    <w:rsid w:val="00923214"/>
    <w:rsid w:val="009234FF"/>
    <w:rsid w:val="00923DFA"/>
    <w:rsid w:val="00923DFC"/>
    <w:rsid w:val="00925568"/>
    <w:rsid w:val="009258EC"/>
    <w:rsid w:val="00925CE1"/>
    <w:rsid w:val="00925D78"/>
    <w:rsid w:val="00925F90"/>
    <w:rsid w:val="0092632D"/>
    <w:rsid w:val="00927352"/>
    <w:rsid w:val="00927CE9"/>
    <w:rsid w:val="009309C4"/>
    <w:rsid w:val="009312A6"/>
    <w:rsid w:val="00931E9E"/>
    <w:rsid w:val="009320C2"/>
    <w:rsid w:val="009320E9"/>
    <w:rsid w:val="009323B5"/>
    <w:rsid w:val="00932E92"/>
    <w:rsid w:val="009369AC"/>
    <w:rsid w:val="00936F2F"/>
    <w:rsid w:val="00937344"/>
    <w:rsid w:val="00937595"/>
    <w:rsid w:val="009431DE"/>
    <w:rsid w:val="00945664"/>
    <w:rsid w:val="00945828"/>
    <w:rsid w:val="0094649E"/>
    <w:rsid w:val="009464C5"/>
    <w:rsid w:val="00946673"/>
    <w:rsid w:val="00946BF9"/>
    <w:rsid w:val="00947DAF"/>
    <w:rsid w:val="0095039A"/>
    <w:rsid w:val="00950EAA"/>
    <w:rsid w:val="0095175B"/>
    <w:rsid w:val="00951BAA"/>
    <w:rsid w:val="00952FC8"/>
    <w:rsid w:val="00953FD2"/>
    <w:rsid w:val="0095518B"/>
    <w:rsid w:val="00955CF4"/>
    <w:rsid w:val="00956336"/>
    <w:rsid w:val="00956775"/>
    <w:rsid w:val="0095688B"/>
    <w:rsid w:val="00956A33"/>
    <w:rsid w:val="00957246"/>
    <w:rsid w:val="00957AC4"/>
    <w:rsid w:val="00957EAE"/>
    <w:rsid w:val="00960543"/>
    <w:rsid w:val="00962247"/>
    <w:rsid w:val="0096236E"/>
    <w:rsid w:val="00962919"/>
    <w:rsid w:val="00962AE6"/>
    <w:rsid w:val="00963E3F"/>
    <w:rsid w:val="00964848"/>
    <w:rsid w:val="00964DB5"/>
    <w:rsid w:val="00966A07"/>
    <w:rsid w:val="0096764A"/>
    <w:rsid w:val="009677A3"/>
    <w:rsid w:val="00967AEE"/>
    <w:rsid w:val="00967FC7"/>
    <w:rsid w:val="009708FA"/>
    <w:rsid w:val="00971CC9"/>
    <w:rsid w:val="0097261D"/>
    <w:rsid w:val="00972D63"/>
    <w:rsid w:val="009733F7"/>
    <w:rsid w:val="00973DC1"/>
    <w:rsid w:val="0097448B"/>
    <w:rsid w:val="00974AB6"/>
    <w:rsid w:val="00976C32"/>
    <w:rsid w:val="009779EE"/>
    <w:rsid w:val="009806AA"/>
    <w:rsid w:val="009810CE"/>
    <w:rsid w:val="0098210F"/>
    <w:rsid w:val="009847F1"/>
    <w:rsid w:val="009849ED"/>
    <w:rsid w:val="00984D57"/>
    <w:rsid w:val="00984E0B"/>
    <w:rsid w:val="00985DCE"/>
    <w:rsid w:val="00986CA8"/>
    <w:rsid w:val="00987AE6"/>
    <w:rsid w:val="0099008E"/>
    <w:rsid w:val="0099183B"/>
    <w:rsid w:val="009918F4"/>
    <w:rsid w:val="0099288B"/>
    <w:rsid w:val="00992D0C"/>
    <w:rsid w:val="00995600"/>
    <w:rsid w:val="0099641A"/>
    <w:rsid w:val="0099651B"/>
    <w:rsid w:val="00996E86"/>
    <w:rsid w:val="00997FD8"/>
    <w:rsid w:val="009A026C"/>
    <w:rsid w:val="009A24D7"/>
    <w:rsid w:val="009A32D1"/>
    <w:rsid w:val="009A3B90"/>
    <w:rsid w:val="009A3C43"/>
    <w:rsid w:val="009A428C"/>
    <w:rsid w:val="009A492A"/>
    <w:rsid w:val="009A4B76"/>
    <w:rsid w:val="009A513D"/>
    <w:rsid w:val="009A5427"/>
    <w:rsid w:val="009A5AED"/>
    <w:rsid w:val="009A5D24"/>
    <w:rsid w:val="009A6230"/>
    <w:rsid w:val="009A647E"/>
    <w:rsid w:val="009A6817"/>
    <w:rsid w:val="009A6A48"/>
    <w:rsid w:val="009A7819"/>
    <w:rsid w:val="009B0741"/>
    <w:rsid w:val="009B090A"/>
    <w:rsid w:val="009B1EF8"/>
    <w:rsid w:val="009B23DE"/>
    <w:rsid w:val="009B2E15"/>
    <w:rsid w:val="009B36BB"/>
    <w:rsid w:val="009B4324"/>
    <w:rsid w:val="009B6548"/>
    <w:rsid w:val="009B7539"/>
    <w:rsid w:val="009B77CE"/>
    <w:rsid w:val="009B79D7"/>
    <w:rsid w:val="009B7C59"/>
    <w:rsid w:val="009C0477"/>
    <w:rsid w:val="009C0B01"/>
    <w:rsid w:val="009C0B29"/>
    <w:rsid w:val="009C1319"/>
    <w:rsid w:val="009C1E27"/>
    <w:rsid w:val="009C203A"/>
    <w:rsid w:val="009C2752"/>
    <w:rsid w:val="009C34D4"/>
    <w:rsid w:val="009C3D7A"/>
    <w:rsid w:val="009C4228"/>
    <w:rsid w:val="009C5432"/>
    <w:rsid w:val="009C6551"/>
    <w:rsid w:val="009C6C85"/>
    <w:rsid w:val="009C7348"/>
    <w:rsid w:val="009D14A6"/>
    <w:rsid w:val="009D1DA9"/>
    <w:rsid w:val="009D1E32"/>
    <w:rsid w:val="009D20B1"/>
    <w:rsid w:val="009D36C7"/>
    <w:rsid w:val="009D3952"/>
    <w:rsid w:val="009D4AF6"/>
    <w:rsid w:val="009D58C0"/>
    <w:rsid w:val="009D5FD7"/>
    <w:rsid w:val="009D61ED"/>
    <w:rsid w:val="009D7303"/>
    <w:rsid w:val="009D7D56"/>
    <w:rsid w:val="009D7FD6"/>
    <w:rsid w:val="009E15F6"/>
    <w:rsid w:val="009E241E"/>
    <w:rsid w:val="009E2460"/>
    <w:rsid w:val="009E27B6"/>
    <w:rsid w:val="009E3071"/>
    <w:rsid w:val="009E47DA"/>
    <w:rsid w:val="009E4A77"/>
    <w:rsid w:val="009E61BF"/>
    <w:rsid w:val="009E6FE7"/>
    <w:rsid w:val="009E7619"/>
    <w:rsid w:val="009E799D"/>
    <w:rsid w:val="009F0066"/>
    <w:rsid w:val="009F05E4"/>
    <w:rsid w:val="009F0E3D"/>
    <w:rsid w:val="009F10EE"/>
    <w:rsid w:val="009F15A1"/>
    <w:rsid w:val="009F15BD"/>
    <w:rsid w:val="009F1F58"/>
    <w:rsid w:val="009F1FCC"/>
    <w:rsid w:val="009F2504"/>
    <w:rsid w:val="009F2C99"/>
    <w:rsid w:val="009F3A9A"/>
    <w:rsid w:val="009F3F7F"/>
    <w:rsid w:val="009F4502"/>
    <w:rsid w:val="009F45D2"/>
    <w:rsid w:val="009F493F"/>
    <w:rsid w:val="009F4B8B"/>
    <w:rsid w:val="009F5922"/>
    <w:rsid w:val="009F654A"/>
    <w:rsid w:val="009F70A2"/>
    <w:rsid w:val="00A008DB"/>
    <w:rsid w:val="00A00C74"/>
    <w:rsid w:val="00A00D6F"/>
    <w:rsid w:val="00A021B8"/>
    <w:rsid w:val="00A022A5"/>
    <w:rsid w:val="00A02ADE"/>
    <w:rsid w:val="00A02FDC"/>
    <w:rsid w:val="00A03149"/>
    <w:rsid w:val="00A04B50"/>
    <w:rsid w:val="00A0501E"/>
    <w:rsid w:val="00A053CC"/>
    <w:rsid w:val="00A0540A"/>
    <w:rsid w:val="00A06B02"/>
    <w:rsid w:val="00A10C73"/>
    <w:rsid w:val="00A119C2"/>
    <w:rsid w:val="00A11B0D"/>
    <w:rsid w:val="00A12392"/>
    <w:rsid w:val="00A12EE9"/>
    <w:rsid w:val="00A13146"/>
    <w:rsid w:val="00A134D4"/>
    <w:rsid w:val="00A13611"/>
    <w:rsid w:val="00A15C7E"/>
    <w:rsid w:val="00A16288"/>
    <w:rsid w:val="00A16FD8"/>
    <w:rsid w:val="00A21380"/>
    <w:rsid w:val="00A21387"/>
    <w:rsid w:val="00A231B9"/>
    <w:rsid w:val="00A23943"/>
    <w:rsid w:val="00A23A28"/>
    <w:rsid w:val="00A24506"/>
    <w:rsid w:val="00A24E8A"/>
    <w:rsid w:val="00A25131"/>
    <w:rsid w:val="00A25694"/>
    <w:rsid w:val="00A25DA3"/>
    <w:rsid w:val="00A26469"/>
    <w:rsid w:val="00A274AF"/>
    <w:rsid w:val="00A277BB"/>
    <w:rsid w:val="00A27C09"/>
    <w:rsid w:val="00A30228"/>
    <w:rsid w:val="00A30465"/>
    <w:rsid w:val="00A30B7B"/>
    <w:rsid w:val="00A30F29"/>
    <w:rsid w:val="00A31DB2"/>
    <w:rsid w:val="00A32D86"/>
    <w:rsid w:val="00A336ED"/>
    <w:rsid w:val="00A3371E"/>
    <w:rsid w:val="00A346E9"/>
    <w:rsid w:val="00A34C08"/>
    <w:rsid w:val="00A350E0"/>
    <w:rsid w:val="00A3518D"/>
    <w:rsid w:val="00A354DE"/>
    <w:rsid w:val="00A36B69"/>
    <w:rsid w:val="00A37C7F"/>
    <w:rsid w:val="00A4026B"/>
    <w:rsid w:val="00A4051C"/>
    <w:rsid w:val="00A40E10"/>
    <w:rsid w:val="00A410D3"/>
    <w:rsid w:val="00A41F8C"/>
    <w:rsid w:val="00A423C7"/>
    <w:rsid w:val="00A4286D"/>
    <w:rsid w:val="00A43B68"/>
    <w:rsid w:val="00A46F42"/>
    <w:rsid w:val="00A471F1"/>
    <w:rsid w:val="00A501E8"/>
    <w:rsid w:val="00A513B9"/>
    <w:rsid w:val="00A52668"/>
    <w:rsid w:val="00A52D4B"/>
    <w:rsid w:val="00A55460"/>
    <w:rsid w:val="00A55876"/>
    <w:rsid w:val="00A559A7"/>
    <w:rsid w:val="00A57973"/>
    <w:rsid w:val="00A60BF9"/>
    <w:rsid w:val="00A61A5A"/>
    <w:rsid w:val="00A63568"/>
    <w:rsid w:val="00A64C6E"/>
    <w:rsid w:val="00A65FA9"/>
    <w:rsid w:val="00A67F2B"/>
    <w:rsid w:val="00A70261"/>
    <w:rsid w:val="00A7040E"/>
    <w:rsid w:val="00A71737"/>
    <w:rsid w:val="00A71C8F"/>
    <w:rsid w:val="00A71D06"/>
    <w:rsid w:val="00A726E8"/>
    <w:rsid w:val="00A72EFF"/>
    <w:rsid w:val="00A735F5"/>
    <w:rsid w:val="00A73C4F"/>
    <w:rsid w:val="00A73D57"/>
    <w:rsid w:val="00A74067"/>
    <w:rsid w:val="00A74572"/>
    <w:rsid w:val="00A747D3"/>
    <w:rsid w:val="00A750DD"/>
    <w:rsid w:val="00A76178"/>
    <w:rsid w:val="00A761DA"/>
    <w:rsid w:val="00A8057C"/>
    <w:rsid w:val="00A809BC"/>
    <w:rsid w:val="00A812DE"/>
    <w:rsid w:val="00A814EB"/>
    <w:rsid w:val="00A8176A"/>
    <w:rsid w:val="00A8191F"/>
    <w:rsid w:val="00A819EC"/>
    <w:rsid w:val="00A81EE6"/>
    <w:rsid w:val="00A827FB"/>
    <w:rsid w:val="00A82882"/>
    <w:rsid w:val="00A829DB"/>
    <w:rsid w:val="00A82D58"/>
    <w:rsid w:val="00A82DB4"/>
    <w:rsid w:val="00A83267"/>
    <w:rsid w:val="00A84061"/>
    <w:rsid w:val="00A84F98"/>
    <w:rsid w:val="00A85EBE"/>
    <w:rsid w:val="00A86197"/>
    <w:rsid w:val="00A86E05"/>
    <w:rsid w:val="00A872B9"/>
    <w:rsid w:val="00A87519"/>
    <w:rsid w:val="00A90330"/>
    <w:rsid w:val="00A905B3"/>
    <w:rsid w:val="00A90C44"/>
    <w:rsid w:val="00A91869"/>
    <w:rsid w:val="00A91BBD"/>
    <w:rsid w:val="00A926C7"/>
    <w:rsid w:val="00A928BB"/>
    <w:rsid w:val="00A92D15"/>
    <w:rsid w:val="00A9334A"/>
    <w:rsid w:val="00A93436"/>
    <w:rsid w:val="00A9435D"/>
    <w:rsid w:val="00A94B09"/>
    <w:rsid w:val="00A955D1"/>
    <w:rsid w:val="00A9681E"/>
    <w:rsid w:val="00AA0B62"/>
    <w:rsid w:val="00AA1176"/>
    <w:rsid w:val="00AA23E7"/>
    <w:rsid w:val="00AA265F"/>
    <w:rsid w:val="00AA45AF"/>
    <w:rsid w:val="00AA5409"/>
    <w:rsid w:val="00AA59C8"/>
    <w:rsid w:val="00AA711B"/>
    <w:rsid w:val="00AA73EB"/>
    <w:rsid w:val="00AA7CD8"/>
    <w:rsid w:val="00AA7D69"/>
    <w:rsid w:val="00AB01EB"/>
    <w:rsid w:val="00AB240C"/>
    <w:rsid w:val="00AB2BDF"/>
    <w:rsid w:val="00AB3358"/>
    <w:rsid w:val="00AB3EAA"/>
    <w:rsid w:val="00AB4B2F"/>
    <w:rsid w:val="00AB5960"/>
    <w:rsid w:val="00AB678B"/>
    <w:rsid w:val="00AB7E87"/>
    <w:rsid w:val="00AC0085"/>
    <w:rsid w:val="00AC0BA0"/>
    <w:rsid w:val="00AC189B"/>
    <w:rsid w:val="00AC1D21"/>
    <w:rsid w:val="00AC2233"/>
    <w:rsid w:val="00AC4C22"/>
    <w:rsid w:val="00AC594D"/>
    <w:rsid w:val="00AC5C75"/>
    <w:rsid w:val="00AC5D64"/>
    <w:rsid w:val="00AC69A4"/>
    <w:rsid w:val="00AC6B55"/>
    <w:rsid w:val="00AC700A"/>
    <w:rsid w:val="00AC7264"/>
    <w:rsid w:val="00AD080C"/>
    <w:rsid w:val="00AD0AA8"/>
    <w:rsid w:val="00AD0EA5"/>
    <w:rsid w:val="00AD1210"/>
    <w:rsid w:val="00AD13FF"/>
    <w:rsid w:val="00AD2287"/>
    <w:rsid w:val="00AD2481"/>
    <w:rsid w:val="00AD2D9F"/>
    <w:rsid w:val="00AD3232"/>
    <w:rsid w:val="00AD3ED2"/>
    <w:rsid w:val="00AD4157"/>
    <w:rsid w:val="00AD458D"/>
    <w:rsid w:val="00AD4BBD"/>
    <w:rsid w:val="00AD54F1"/>
    <w:rsid w:val="00AD670A"/>
    <w:rsid w:val="00AD6C5A"/>
    <w:rsid w:val="00AD6E90"/>
    <w:rsid w:val="00AD791B"/>
    <w:rsid w:val="00AD7F1B"/>
    <w:rsid w:val="00AE0D54"/>
    <w:rsid w:val="00AE1524"/>
    <w:rsid w:val="00AE3489"/>
    <w:rsid w:val="00AE3BD8"/>
    <w:rsid w:val="00AE56C0"/>
    <w:rsid w:val="00AE5DAC"/>
    <w:rsid w:val="00AE6399"/>
    <w:rsid w:val="00AE64C6"/>
    <w:rsid w:val="00AE7B71"/>
    <w:rsid w:val="00AE7C75"/>
    <w:rsid w:val="00AF00A2"/>
    <w:rsid w:val="00AF1244"/>
    <w:rsid w:val="00AF129F"/>
    <w:rsid w:val="00AF15F7"/>
    <w:rsid w:val="00AF2196"/>
    <w:rsid w:val="00AF3242"/>
    <w:rsid w:val="00AF4143"/>
    <w:rsid w:val="00AF488F"/>
    <w:rsid w:val="00AF5673"/>
    <w:rsid w:val="00AF61D5"/>
    <w:rsid w:val="00AF6DDE"/>
    <w:rsid w:val="00AF70D4"/>
    <w:rsid w:val="00B00F89"/>
    <w:rsid w:val="00B014E9"/>
    <w:rsid w:val="00B018A3"/>
    <w:rsid w:val="00B02688"/>
    <w:rsid w:val="00B0372C"/>
    <w:rsid w:val="00B0394F"/>
    <w:rsid w:val="00B03C86"/>
    <w:rsid w:val="00B04187"/>
    <w:rsid w:val="00B044B8"/>
    <w:rsid w:val="00B04D54"/>
    <w:rsid w:val="00B05FC3"/>
    <w:rsid w:val="00B06B34"/>
    <w:rsid w:val="00B06F04"/>
    <w:rsid w:val="00B07A4D"/>
    <w:rsid w:val="00B1053F"/>
    <w:rsid w:val="00B1057D"/>
    <w:rsid w:val="00B11032"/>
    <w:rsid w:val="00B111F6"/>
    <w:rsid w:val="00B113FF"/>
    <w:rsid w:val="00B1145D"/>
    <w:rsid w:val="00B13339"/>
    <w:rsid w:val="00B135E8"/>
    <w:rsid w:val="00B16BE0"/>
    <w:rsid w:val="00B174CF"/>
    <w:rsid w:val="00B20B73"/>
    <w:rsid w:val="00B21295"/>
    <w:rsid w:val="00B21CC4"/>
    <w:rsid w:val="00B227A0"/>
    <w:rsid w:val="00B24A22"/>
    <w:rsid w:val="00B25248"/>
    <w:rsid w:val="00B25314"/>
    <w:rsid w:val="00B25639"/>
    <w:rsid w:val="00B25753"/>
    <w:rsid w:val="00B2575C"/>
    <w:rsid w:val="00B2610C"/>
    <w:rsid w:val="00B26EC4"/>
    <w:rsid w:val="00B331E5"/>
    <w:rsid w:val="00B33C0E"/>
    <w:rsid w:val="00B343A2"/>
    <w:rsid w:val="00B3465F"/>
    <w:rsid w:val="00B34C5C"/>
    <w:rsid w:val="00B3512C"/>
    <w:rsid w:val="00B358DB"/>
    <w:rsid w:val="00B36299"/>
    <w:rsid w:val="00B36E04"/>
    <w:rsid w:val="00B37118"/>
    <w:rsid w:val="00B37196"/>
    <w:rsid w:val="00B37412"/>
    <w:rsid w:val="00B40017"/>
    <w:rsid w:val="00B402B9"/>
    <w:rsid w:val="00B40486"/>
    <w:rsid w:val="00B4062B"/>
    <w:rsid w:val="00B42092"/>
    <w:rsid w:val="00B42931"/>
    <w:rsid w:val="00B43EA7"/>
    <w:rsid w:val="00B4467B"/>
    <w:rsid w:val="00B44683"/>
    <w:rsid w:val="00B457F1"/>
    <w:rsid w:val="00B4581E"/>
    <w:rsid w:val="00B45A66"/>
    <w:rsid w:val="00B4628C"/>
    <w:rsid w:val="00B462C7"/>
    <w:rsid w:val="00B46AF1"/>
    <w:rsid w:val="00B4789E"/>
    <w:rsid w:val="00B47EE2"/>
    <w:rsid w:val="00B507DB"/>
    <w:rsid w:val="00B52C8D"/>
    <w:rsid w:val="00B53E54"/>
    <w:rsid w:val="00B54801"/>
    <w:rsid w:val="00B5739B"/>
    <w:rsid w:val="00B57698"/>
    <w:rsid w:val="00B5777E"/>
    <w:rsid w:val="00B62071"/>
    <w:rsid w:val="00B626DF"/>
    <w:rsid w:val="00B6353A"/>
    <w:rsid w:val="00B63987"/>
    <w:rsid w:val="00B669E2"/>
    <w:rsid w:val="00B66E05"/>
    <w:rsid w:val="00B67D35"/>
    <w:rsid w:val="00B67F08"/>
    <w:rsid w:val="00B70B8E"/>
    <w:rsid w:val="00B70CC3"/>
    <w:rsid w:val="00B72502"/>
    <w:rsid w:val="00B72D44"/>
    <w:rsid w:val="00B758DE"/>
    <w:rsid w:val="00B75CDE"/>
    <w:rsid w:val="00B761AD"/>
    <w:rsid w:val="00B77C46"/>
    <w:rsid w:val="00B77D78"/>
    <w:rsid w:val="00B802EE"/>
    <w:rsid w:val="00B811EF"/>
    <w:rsid w:val="00B82213"/>
    <w:rsid w:val="00B83482"/>
    <w:rsid w:val="00B83AE1"/>
    <w:rsid w:val="00B83AE6"/>
    <w:rsid w:val="00B83BC0"/>
    <w:rsid w:val="00B83C24"/>
    <w:rsid w:val="00B8432C"/>
    <w:rsid w:val="00B86F88"/>
    <w:rsid w:val="00B873CB"/>
    <w:rsid w:val="00B87F48"/>
    <w:rsid w:val="00B90C3B"/>
    <w:rsid w:val="00B92416"/>
    <w:rsid w:val="00B935FB"/>
    <w:rsid w:val="00B943F9"/>
    <w:rsid w:val="00B9546C"/>
    <w:rsid w:val="00B9578A"/>
    <w:rsid w:val="00B9637B"/>
    <w:rsid w:val="00B97357"/>
    <w:rsid w:val="00B979D9"/>
    <w:rsid w:val="00BA027D"/>
    <w:rsid w:val="00BA178B"/>
    <w:rsid w:val="00BA1C8C"/>
    <w:rsid w:val="00BA1E3A"/>
    <w:rsid w:val="00BA2025"/>
    <w:rsid w:val="00BA27DA"/>
    <w:rsid w:val="00BA3E13"/>
    <w:rsid w:val="00BA40D1"/>
    <w:rsid w:val="00BA5428"/>
    <w:rsid w:val="00BA6E1B"/>
    <w:rsid w:val="00BA7F61"/>
    <w:rsid w:val="00BB04CD"/>
    <w:rsid w:val="00BB060E"/>
    <w:rsid w:val="00BB0906"/>
    <w:rsid w:val="00BB0DC2"/>
    <w:rsid w:val="00BB14B5"/>
    <w:rsid w:val="00BB1D63"/>
    <w:rsid w:val="00BB3876"/>
    <w:rsid w:val="00BB38CA"/>
    <w:rsid w:val="00BB4208"/>
    <w:rsid w:val="00BB463D"/>
    <w:rsid w:val="00BB48CA"/>
    <w:rsid w:val="00BB4CE3"/>
    <w:rsid w:val="00BB4F03"/>
    <w:rsid w:val="00BB4F63"/>
    <w:rsid w:val="00BB5B91"/>
    <w:rsid w:val="00BB5C36"/>
    <w:rsid w:val="00BB67D7"/>
    <w:rsid w:val="00BB693D"/>
    <w:rsid w:val="00BB71A5"/>
    <w:rsid w:val="00BC075E"/>
    <w:rsid w:val="00BC1EE4"/>
    <w:rsid w:val="00BC1FF1"/>
    <w:rsid w:val="00BC22C4"/>
    <w:rsid w:val="00BC5446"/>
    <w:rsid w:val="00BC5C1B"/>
    <w:rsid w:val="00BC6010"/>
    <w:rsid w:val="00BC6CE9"/>
    <w:rsid w:val="00BD0AC4"/>
    <w:rsid w:val="00BD2165"/>
    <w:rsid w:val="00BD26C8"/>
    <w:rsid w:val="00BD30DF"/>
    <w:rsid w:val="00BD3CDE"/>
    <w:rsid w:val="00BD4ABF"/>
    <w:rsid w:val="00BD5807"/>
    <w:rsid w:val="00BD6295"/>
    <w:rsid w:val="00BD7204"/>
    <w:rsid w:val="00BD7533"/>
    <w:rsid w:val="00BD7969"/>
    <w:rsid w:val="00BE0438"/>
    <w:rsid w:val="00BE1C9B"/>
    <w:rsid w:val="00BE24E5"/>
    <w:rsid w:val="00BE2828"/>
    <w:rsid w:val="00BE2EE3"/>
    <w:rsid w:val="00BE2FD6"/>
    <w:rsid w:val="00BE3AFF"/>
    <w:rsid w:val="00BE3EE9"/>
    <w:rsid w:val="00BE4967"/>
    <w:rsid w:val="00BE5122"/>
    <w:rsid w:val="00BE62F1"/>
    <w:rsid w:val="00BE6FCC"/>
    <w:rsid w:val="00BE7BAE"/>
    <w:rsid w:val="00BE7FD3"/>
    <w:rsid w:val="00BF074E"/>
    <w:rsid w:val="00BF1925"/>
    <w:rsid w:val="00BF2702"/>
    <w:rsid w:val="00BF3ADB"/>
    <w:rsid w:val="00BF4EA6"/>
    <w:rsid w:val="00BF5801"/>
    <w:rsid w:val="00BF5FED"/>
    <w:rsid w:val="00BF66F6"/>
    <w:rsid w:val="00BF7164"/>
    <w:rsid w:val="00BF7C99"/>
    <w:rsid w:val="00C02A36"/>
    <w:rsid w:val="00C03C33"/>
    <w:rsid w:val="00C046E3"/>
    <w:rsid w:val="00C04D00"/>
    <w:rsid w:val="00C050C4"/>
    <w:rsid w:val="00C059B6"/>
    <w:rsid w:val="00C0626B"/>
    <w:rsid w:val="00C06721"/>
    <w:rsid w:val="00C07160"/>
    <w:rsid w:val="00C077D4"/>
    <w:rsid w:val="00C1075F"/>
    <w:rsid w:val="00C11804"/>
    <w:rsid w:val="00C11E67"/>
    <w:rsid w:val="00C127E6"/>
    <w:rsid w:val="00C1294D"/>
    <w:rsid w:val="00C1301F"/>
    <w:rsid w:val="00C146CC"/>
    <w:rsid w:val="00C16700"/>
    <w:rsid w:val="00C1680E"/>
    <w:rsid w:val="00C16E3D"/>
    <w:rsid w:val="00C17231"/>
    <w:rsid w:val="00C215A3"/>
    <w:rsid w:val="00C22900"/>
    <w:rsid w:val="00C22B36"/>
    <w:rsid w:val="00C239A6"/>
    <w:rsid w:val="00C23ACD"/>
    <w:rsid w:val="00C23E68"/>
    <w:rsid w:val="00C2462A"/>
    <w:rsid w:val="00C2479C"/>
    <w:rsid w:val="00C24D8D"/>
    <w:rsid w:val="00C251AB"/>
    <w:rsid w:val="00C25424"/>
    <w:rsid w:val="00C26FFB"/>
    <w:rsid w:val="00C273DF"/>
    <w:rsid w:val="00C275B2"/>
    <w:rsid w:val="00C306B5"/>
    <w:rsid w:val="00C310C2"/>
    <w:rsid w:val="00C31183"/>
    <w:rsid w:val="00C31907"/>
    <w:rsid w:val="00C3266B"/>
    <w:rsid w:val="00C3271B"/>
    <w:rsid w:val="00C331A8"/>
    <w:rsid w:val="00C33451"/>
    <w:rsid w:val="00C33A0E"/>
    <w:rsid w:val="00C3430C"/>
    <w:rsid w:val="00C3434D"/>
    <w:rsid w:val="00C34944"/>
    <w:rsid w:val="00C354ED"/>
    <w:rsid w:val="00C359C1"/>
    <w:rsid w:val="00C3621B"/>
    <w:rsid w:val="00C3691F"/>
    <w:rsid w:val="00C36E4E"/>
    <w:rsid w:val="00C37115"/>
    <w:rsid w:val="00C374FD"/>
    <w:rsid w:val="00C42716"/>
    <w:rsid w:val="00C432FF"/>
    <w:rsid w:val="00C434AF"/>
    <w:rsid w:val="00C43569"/>
    <w:rsid w:val="00C44352"/>
    <w:rsid w:val="00C445DA"/>
    <w:rsid w:val="00C44B37"/>
    <w:rsid w:val="00C44C2D"/>
    <w:rsid w:val="00C45799"/>
    <w:rsid w:val="00C45883"/>
    <w:rsid w:val="00C46F01"/>
    <w:rsid w:val="00C47559"/>
    <w:rsid w:val="00C503EC"/>
    <w:rsid w:val="00C5209B"/>
    <w:rsid w:val="00C523EE"/>
    <w:rsid w:val="00C524C0"/>
    <w:rsid w:val="00C5256C"/>
    <w:rsid w:val="00C52EAF"/>
    <w:rsid w:val="00C5404B"/>
    <w:rsid w:val="00C544DE"/>
    <w:rsid w:val="00C546DE"/>
    <w:rsid w:val="00C55C4C"/>
    <w:rsid w:val="00C5767E"/>
    <w:rsid w:val="00C60B1D"/>
    <w:rsid w:val="00C60C57"/>
    <w:rsid w:val="00C60F9B"/>
    <w:rsid w:val="00C615B2"/>
    <w:rsid w:val="00C62887"/>
    <w:rsid w:val="00C63B86"/>
    <w:rsid w:val="00C6496D"/>
    <w:rsid w:val="00C64E67"/>
    <w:rsid w:val="00C65166"/>
    <w:rsid w:val="00C657CE"/>
    <w:rsid w:val="00C65B09"/>
    <w:rsid w:val="00C67331"/>
    <w:rsid w:val="00C67A72"/>
    <w:rsid w:val="00C67ADE"/>
    <w:rsid w:val="00C70246"/>
    <w:rsid w:val="00C71979"/>
    <w:rsid w:val="00C719FA"/>
    <w:rsid w:val="00C72818"/>
    <w:rsid w:val="00C72B2C"/>
    <w:rsid w:val="00C73E1F"/>
    <w:rsid w:val="00C74371"/>
    <w:rsid w:val="00C7445D"/>
    <w:rsid w:val="00C7489A"/>
    <w:rsid w:val="00C75260"/>
    <w:rsid w:val="00C75A83"/>
    <w:rsid w:val="00C769DE"/>
    <w:rsid w:val="00C777B8"/>
    <w:rsid w:val="00C800FC"/>
    <w:rsid w:val="00C814A1"/>
    <w:rsid w:val="00C8169F"/>
    <w:rsid w:val="00C81A3C"/>
    <w:rsid w:val="00C83425"/>
    <w:rsid w:val="00C8371A"/>
    <w:rsid w:val="00C83BE7"/>
    <w:rsid w:val="00C84406"/>
    <w:rsid w:val="00C844EF"/>
    <w:rsid w:val="00C858FA"/>
    <w:rsid w:val="00C85EBD"/>
    <w:rsid w:val="00C8622B"/>
    <w:rsid w:val="00C86793"/>
    <w:rsid w:val="00C86DBF"/>
    <w:rsid w:val="00C8780B"/>
    <w:rsid w:val="00C9124B"/>
    <w:rsid w:val="00C9127E"/>
    <w:rsid w:val="00C917F9"/>
    <w:rsid w:val="00C91961"/>
    <w:rsid w:val="00C91A59"/>
    <w:rsid w:val="00C92006"/>
    <w:rsid w:val="00C92F60"/>
    <w:rsid w:val="00C931C6"/>
    <w:rsid w:val="00C936B0"/>
    <w:rsid w:val="00C94A91"/>
    <w:rsid w:val="00C95B45"/>
    <w:rsid w:val="00C96576"/>
    <w:rsid w:val="00C97298"/>
    <w:rsid w:val="00CA26CF"/>
    <w:rsid w:val="00CA2756"/>
    <w:rsid w:val="00CA2C26"/>
    <w:rsid w:val="00CA3786"/>
    <w:rsid w:val="00CA4892"/>
    <w:rsid w:val="00CA569D"/>
    <w:rsid w:val="00CA5EAF"/>
    <w:rsid w:val="00CA6322"/>
    <w:rsid w:val="00CA666F"/>
    <w:rsid w:val="00CB160F"/>
    <w:rsid w:val="00CB296E"/>
    <w:rsid w:val="00CB3184"/>
    <w:rsid w:val="00CB38FA"/>
    <w:rsid w:val="00CB395D"/>
    <w:rsid w:val="00CB536F"/>
    <w:rsid w:val="00CB6437"/>
    <w:rsid w:val="00CB6483"/>
    <w:rsid w:val="00CB6A1A"/>
    <w:rsid w:val="00CB6B46"/>
    <w:rsid w:val="00CB7F95"/>
    <w:rsid w:val="00CC0ABD"/>
    <w:rsid w:val="00CC0AF3"/>
    <w:rsid w:val="00CC18AD"/>
    <w:rsid w:val="00CC1C3F"/>
    <w:rsid w:val="00CC25A4"/>
    <w:rsid w:val="00CC3878"/>
    <w:rsid w:val="00CC48C1"/>
    <w:rsid w:val="00CC6707"/>
    <w:rsid w:val="00CC670C"/>
    <w:rsid w:val="00CC6AC8"/>
    <w:rsid w:val="00CC6DC2"/>
    <w:rsid w:val="00CC766E"/>
    <w:rsid w:val="00CD0055"/>
    <w:rsid w:val="00CD0285"/>
    <w:rsid w:val="00CD100B"/>
    <w:rsid w:val="00CD15A3"/>
    <w:rsid w:val="00CD2523"/>
    <w:rsid w:val="00CD34C0"/>
    <w:rsid w:val="00CD38C0"/>
    <w:rsid w:val="00CD3DBE"/>
    <w:rsid w:val="00CD463A"/>
    <w:rsid w:val="00CD659F"/>
    <w:rsid w:val="00CD6697"/>
    <w:rsid w:val="00CE0717"/>
    <w:rsid w:val="00CE073A"/>
    <w:rsid w:val="00CE219E"/>
    <w:rsid w:val="00CE252C"/>
    <w:rsid w:val="00CE40DA"/>
    <w:rsid w:val="00CE5866"/>
    <w:rsid w:val="00CE60A7"/>
    <w:rsid w:val="00CE6789"/>
    <w:rsid w:val="00CE75ED"/>
    <w:rsid w:val="00CE7DFB"/>
    <w:rsid w:val="00CE7FAE"/>
    <w:rsid w:val="00CF087F"/>
    <w:rsid w:val="00CF2251"/>
    <w:rsid w:val="00CF2C1E"/>
    <w:rsid w:val="00CF2ED1"/>
    <w:rsid w:val="00CF339B"/>
    <w:rsid w:val="00CF3DFF"/>
    <w:rsid w:val="00CF5136"/>
    <w:rsid w:val="00CF62B6"/>
    <w:rsid w:val="00CF6360"/>
    <w:rsid w:val="00CF6CC8"/>
    <w:rsid w:val="00CF776C"/>
    <w:rsid w:val="00D00857"/>
    <w:rsid w:val="00D00B0B"/>
    <w:rsid w:val="00D00FCF"/>
    <w:rsid w:val="00D027E5"/>
    <w:rsid w:val="00D03AA5"/>
    <w:rsid w:val="00D053AD"/>
    <w:rsid w:val="00D054B5"/>
    <w:rsid w:val="00D056A9"/>
    <w:rsid w:val="00D05D70"/>
    <w:rsid w:val="00D05D7E"/>
    <w:rsid w:val="00D05E69"/>
    <w:rsid w:val="00D062A7"/>
    <w:rsid w:val="00D079AF"/>
    <w:rsid w:val="00D109B4"/>
    <w:rsid w:val="00D10D6A"/>
    <w:rsid w:val="00D11222"/>
    <w:rsid w:val="00D11E99"/>
    <w:rsid w:val="00D11EE8"/>
    <w:rsid w:val="00D12E30"/>
    <w:rsid w:val="00D131F4"/>
    <w:rsid w:val="00D1369C"/>
    <w:rsid w:val="00D138EC"/>
    <w:rsid w:val="00D1458F"/>
    <w:rsid w:val="00D148B6"/>
    <w:rsid w:val="00D159A6"/>
    <w:rsid w:val="00D16420"/>
    <w:rsid w:val="00D164F4"/>
    <w:rsid w:val="00D1735F"/>
    <w:rsid w:val="00D1773F"/>
    <w:rsid w:val="00D17BB7"/>
    <w:rsid w:val="00D2214C"/>
    <w:rsid w:val="00D226C0"/>
    <w:rsid w:val="00D22E8C"/>
    <w:rsid w:val="00D2347B"/>
    <w:rsid w:val="00D23FBD"/>
    <w:rsid w:val="00D25B34"/>
    <w:rsid w:val="00D25D79"/>
    <w:rsid w:val="00D2647B"/>
    <w:rsid w:val="00D273FB"/>
    <w:rsid w:val="00D279A5"/>
    <w:rsid w:val="00D279E1"/>
    <w:rsid w:val="00D27A3F"/>
    <w:rsid w:val="00D27B42"/>
    <w:rsid w:val="00D30609"/>
    <w:rsid w:val="00D306D5"/>
    <w:rsid w:val="00D31DDE"/>
    <w:rsid w:val="00D32185"/>
    <w:rsid w:val="00D32A08"/>
    <w:rsid w:val="00D333BD"/>
    <w:rsid w:val="00D34A2F"/>
    <w:rsid w:val="00D34DAE"/>
    <w:rsid w:val="00D3568C"/>
    <w:rsid w:val="00D3593B"/>
    <w:rsid w:val="00D368DA"/>
    <w:rsid w:val="00D374F3"/>
    <w:rsid w:val="00D37FBF"/>
    <w:rsid w:val="00D40259"/>
    <w:rsid w:val="00D40394"/>
    <w:rsid w:val="00D40B06"/>
    <w:rsid w:val="00D40BA2"/>
    <w:rsid w:val="00D41053"/>
    <w:rsid w:val="00D412F0"/>
    <w:rsid w:val="00D41684"/>
    <w:rsid w:val="00D425E1"/>
    <w:rsid w:val="00D43317"/>
    <w:rsid w:val="00D435AB"/>
    <w:rsid w:val="00D43BE5"/>
    <w:rsid w:val="00D459D6"/>
    <w:rsid w:val="00D45AB8"/>
    <w:rsid w:val="00D46893"/>
    <w:rsid w:val="00D47481"/>
    <w:rsid w:val="00D47FE9"/>
    <w:rsid w:val="00D5001C"/>
    <w:rsid w:val="00D50627"/>
    <w:rsid w:val="00D508E7"/>
    <w:rsid w:val="00D50FD4"/>
    <w:rsid w:val="00D515A8"/>
    <w:rsid w:val="00D525EA"/>
    <w:rsid w:val="00D526A4"/>
    <w:rsid w:val="00D53693"/>
    <w:rsid w:val="00D54757"/>
    <w:rsid w:val="00D54CBF"/>
    <w:rsid w:val="00D54F73"/>
    <w:rsid w:val="00D5554F"/>
    <w:rsid w:val="00D563F2"/>
    <w:rsid w:val="00D57265"/>
    <w:rsid w:val="00D5737F"/>
    <w:rsid w:val="00D575D2"/>
    <w:rsid w:val="00D57DB5"/>
    <w:rsid w:val="00D601F2"/>
    <w:rsid w:val="00D60B97"/>
    <w:rsid w:val="00D60F6E"/>
    <w:rsid w:val="00D611B5"/>
    <w:rsid w:val="00D62C20"/>
    <w:rsid w:val="00D63237"/>
    <w:rsid w:val="00D63C0E"/>
    <w:rsid w:val="00D6472F"/>
    <w:rsid w:val="00D6474A"/>
    <w:rsid w:val="00D648F4"/>
    <w:rsid w:val="00D65A63"/>
    <w:rsid w:val="00D65AC5"/>
    <w:rsid w:val="00D65E1F"/>
    <w:rsid w:val="00D66014"/>
    <w:rsid w:val="00D67463"/>
    <w:rsid w:val="00D6787A"/>
    <w:rsid w:val="00D678B3"/>
    <w:rsid w:val="00D72A6B"/>
    <w:rsid w:val="00D73E4A"/>
    <w:rsid w:val="00D74B4A"/>
    <w:rsid w:val="00D75035"/>
    <w:rsid w:val="00D750E8"/>
    <w:rsid w:val="00D7595B"/>
    <w:rsid w:val="00D760FF"/>
    <w:rsid w:val="00D76548"/>
    <w:rsid w:val="00D7687A"/>
    <w:rsid w:val="00D77091"/>
    <w:rsid w:val="00D7748B"/>
    <w:rsid w:val="00D77B98"/>
    <w:rsid w:val="00D78938"/>
    <w:rsid w:val="00D81AA5"/>
    <w:rsid w:val="00D81E27"/>
    <w:rsid w:val="00D83FF5"/>
    <w:rsid w:val="00D8455B"/>
    <w:rsid w:val="00D847B7"/>
    <w:rsid w:val="00D849B9"/>
    <w:rsid w:val="00D85A77"/>
    <w:rsid w:val="00D86481"/>
    <w:rsid w:val="00D866BE"/>
    <w:rsid w:val="00D86942"/>
    <w:rsid w:val="00D87D21"/>
    <w:rsid w:val="00D90114"/>
    <w:rsid w:val="00D91956"/>
    <w:rsid w:val="00D91D83"/>
    <w:rsid w:val="00D92E07"/>
    <w:rsid w:val="00D92EFD"/>
    <w:rsid w:val="00D92F38"/>
    <w:rsid w:val="00D930DA"/>
    <w:rsid w:val="00D93BCD"/>
    <w:rsid w:val="00D945A2"/>
    <w:rsid w:val="00DA0B9C"/>
    <w:rsid w:val="00DA0F2D"/>
    <w:rsid w:val="00DA11BD"/>
    <w:rsid w:val="00DA23B9"/>
    <w:rsid w:val="00DA27A7"/>
    <w:rsid w:val="00DA2835"/>
    <w:rsid w:val="00DA2980"/>
    <w:rsid w:val="00DA42FF"/>
    <w:rsid w:val="00DA48B2"/>
    <w:rsid w:val="00DA4E42"/>
    <w:rsid w:val="00DA6B82"/>
    <w:rsid w:val="00DA6CC9"/>
    <w:rsid w:val="00DA6ECC"/>
    <w:rsid w:val="00DA72D2"/>
    <w:rsid w:val="00DB0A7E"/>
    <w:rsid w:val="00DB0F05"/>
    <w:rsid w:val="00DB2736"/>
    <w:rsid w:val="00DB2D4D"/>
    <w:rsid w:val="00DB3134"/>
    <w:rsid w:val="00DB3363"/>
    <w:rsid w:val="00DB3AFD"/>
    <w:rsid w:val="00DB3CEC"/>
    <w:rsid w:val="00DB3E3D"/>
    <w:rsid w:val="00DB4F18"/>
    <w:rsid w:val="00DB5A4C"/>
    <w:rsid w:val="00DB6E18"/>
    <w:rsid w:val="00DB7DD0"/>
    <w:rsid w:val="00DC021A"/>
    <w:rsid w:val="00DC02DC"/>
    <w:rsid w:val="00DC03C5"/>
    <w:rsid w:val="00DC09DB"/>
    <w:rsid w:val="00DC143A"/>
    <w:rsid w:val="00DC1885"/>
    <w:rsid w:val="00DC27FD"/>
    <w:rsid w:val="00DC29F4"/>
    <w:rsid w:val="00DC3317"/>
    <w:rsid w:val="00DC4959"/>
    <w:rsid w:val="00DC4B79"/>
    <w:rsid w:val="00DC4EB3"/>
    <w:rsid w:val="00DC5D8D"/>
    <w:rsid w:val="00DC6CC9"/>
    <w:rsid w:val="00DC708C"/>
    <w:rsid w:val="00DC7889"/>
    <w:rsid w:val="00DC7C80"/>
    <w:rsid w:val="00DD0B3F"/>
    <w:rsid w:val="00DD0ED5"/>
    <w:rsid w:val="00DD10F8"/>
    <w:rsid w:val="00DD2137"/>
    <w:rsid w:val="00DD2DED"/>
    <w:rsid w:val="00DD374A"/>
    <w:rsid w:val="00DD3F27"/>
    <w:rsid w:val="00DD422E"/>
    <w:rsid w:val="00DD471E"/>
    <w:rsid w:val="00DD4EE7"/>
    <w:rsid w:val="00DD4F65"/>
    <w:rsid w:val="00DD50C7"/>
    <w:rsid w:val="00DD5EB2"/>
    <w:rsid w:val="00DD63B9"/>
    <w:rsid w:val="00DD6926"/>
    <w:rsid w:val="00DD7E43"/>
    <w:rsid w:val="00DE0298"/>
    <w:rsid w:val="00DE05E8"/>
    <w:rsid w:val="00DE1409"/>
    <w:rsid w:val="00DE17E4"/>
    <w:rsid w:val="00DE1C98"/>
    <w:rsid w:val="00DE1F09"/>
    <w:rsid w:val="00DE31AF"/>
    <w:rsid w:val="00DE3D2F"/>
    <w:rsid w:val="00DE4C63"/>
    <w:rsid w:val="00DE4FC4"/>
    <w:rsid w:val="00DE5927"/>
    <w:rsid w:val="00DE5CDC"/>
    <w:rsid w:val="00DE5EC2"/>
    <w:rsid w:val="00DE6353"/>
    <w:rsid w:val="00DE65FE"/>
    <w:rsid w:val="00DE6FA8"/>
    <w:rsid w:val="00DE7DA1"/>
    <w:rsid w:val="00DF0383"/>
    <w:rsid w:val="00DF0971"/>
    <w:rsid w:val="00DF1292"/>
    <w:rsid w:val="00DF1B0B"/>
    <w:rsid w:val="00DF1DBD"/>
    <w:rsid w:val="00DF3083"/>
    <w:rsid w:val="00DF41EE"/>
    <w:rsid w:val="00DF4AFA"/>
    <w:rsid w:val="00DF6266"/>
    <w:rsid w:val="00DF64F0"/>
    <w:rsid w:val="00DF7334"/>
    <w:rsid w:val="00DF7842"/>
    <w:rsid w:val="00DF7F08"/>
    <w:rsid w:val="00E00E72"/>
    <w:rsid w:val="00E021D4"/>
    <w:rsid w:val="00E02B82"/>
    <w:rsid w:val="00E02CA0"/>
    <w:rsid w:val="00E03332"/>
    <w:rsid w:val="00E03520"/>
    <w:rsid w:val="00E03A29"/>
    <w:rsid w:val="00E03B55"/>
    <w:rsid w:val="00E047A7"/>
    <w:rsid w:val="00E04BFE"/>
    <w:rsid w:val="00E05687"/>
    <w:rsid w:val="00E05DE1"/>
    <w:rsid w:val="00E0635F"/>
    <w:rsid w:val="00E06C20"/>
    <w:rsid w:val="00E10059"/>
    <w:rsid w:val="00E10234"/>
    <w:rsid w:val="00E10263"/>
    <w:rsid w:val="00E11FAA"/>
    <w:rsid w:val="00E13502"/>
    <w:rsid w:val="00E137A3"/>
    <w:rsid w:val="00E13A3D"/>
    <w:rsid w:val="00E165F1"/>
    <w:rsid w:val="00E16B2F"/>
    <w:rsid w:val="00E16FB0"/>
    <w:rsid w:val="00E17A89"/>
    <w:rsid w:val="00E218B1"/>
    <w:rsid w:val="00E225AB"/>
    <w:rsid w:val="00E22B08"/>
    <w:rsid w:val="00E22BB1"/>
    <w:rsid w:val="00E231E1"/>
    <w:rsid w:val="00E2428D"/>
    <w:rsid w:val="00E24342"/>
    <w:rsid w:val="00E243F2"/>
    <w:rsid w:val="00E24FF5"/>
    <w:rsid w:val="00E2532B"/>
    <w:rsid w:val="00E254F4"/>
    <w:rsid w:val="00E25972"/>
    <w:rsid w:val="00E26B81"/>
    <w:rsid w:val="00E3025C"/>
    <w:rsid w:val="00E310F5"/>
    <w:rsid w:val="00E3132E"/>
    <w:rsid w:val="00E32893"/>
    <w:rsid w:val="00E33A58"/>
    <w:rsid w:val="00E33B69"/>
    <w:rsid w:val="00E3577E"/>
    <w:rsid w:val="00E36C0D"/>
    <w:rsid w:val="00E3751A"/>
    <w:rsid w:val="00E37E51"/>
    <w:rsid w:val="00E41241"/>
    <w:rsid w:val="00E414C1"/>
    <w:rsid w:val="00E41528"/>
    <w:rsid w:val="00E42D30"/>
    <w:rsid w:val="00E4333C"/>
    <w:rsid w:val="00E45A77"/>
    <w:rsid w:val="00E462C6"/>
    <w:rsid w:val="00E46D1E"/>
    <w:rsid w:val="00E46EF5"/>
    <w:rsid w:val="00E5191E"/>
    <w:rsid w:val="00E536C8"/>
    <w:rsid w:val="00E54119"/>
    <w:rsid w:val="00E5421E"/>
    <w:rsid w:val="00E5456B"/>
    <w:rsid w:val="00E55DCF"/>
    <w:rsid w:val="00E563CF"/>
    <w:rsid w:val="00E568F2"/>
    <w:rsid w:val="00E5757F"/>
    <w:rsid w:val="00E57635"/>
    <w:rsid w:val="00E602A3"/>
    <w:rsid w:val="00E61196"/>
    <w:rsid w:val="00E61DFC"/>
    <w:rsid w:val="00E62042"/>
    <w:rsid w:val="00E62095"/>
    <w:rsid w:val="00E625B8"/>
    <w:rsid w:val="00E6299B"/>
    <w:rsid w:val="00E6341B"/>
    <w:rsid w:val="00E63D8A"/>
    <w:rsid w:val="00E64676"/>
    <w:rsid w:val="00E64DDB"/>
    <w:rsid w:val="00E65CD4"/>
    <w:rsid w:val="00E65DD1"/>
    <w:rsid w:val="00E66697"/>
    <w:rsid w:val="00E66BF8"/>
    <w:rsid w:val="00E6718A"/>
    <w:rsid w:val="00E677E7"/>
    <w:rsid w:val="00E67F16"/>
    <w:rsid w:val="00E67F67"/>
    <w:rsid w:val="00E72F9B"/>
    <w:rsid w:val="00E7365E"/>
    <w:rsid w:val="00E742EE"/>
    <w:rsid w:val="00E75542"/>
    <w:rsid w:val="00E762C8"/>
    <w:rsid w:val="00E766F6"/>
    <w:rsid w:val="00E7689C"/>
    <w:rsid w:val="00E770AC"/>
    <w:rsid w:val="00E7734C"/>
    <w:rsid w:val="00E7761E"/>
    <w:rsid w:val="00E77D40"/>
    <w:rsid w:val="00E77FFB"/>
    <w:rsid w:val="00E801CD"/>
    <w:rsid w:val="00E80657"/>
    <w:rsid w:val="00E80A44"/>
    <w:rsid w:val="00E80FCD"/>
    <w:rsid w:val="00E81275"/>
    <w:rsid w:val="00E81F9F"/>
    <w:rsid w:val="00E834BB"/>
    <w:rsid w:val="00E83899"/>
    <w:rsid w:val="00E84091"/>
    <w:rsid w:val="00E8416B"/>
    <w:rsid w:val="00E8588E"/>
    <w:rsid w:val="00E8598D"/>
    <w:rsid w:val="00E868F0"/>
    <w:rsid w:val="00E86E0F"/>
    <w:rsid w:val="00E8902F"/>
    <w:rsid w:val="00E92378"/>
    <w:rsid w:val="00E923CD"/>
    <w:rsid w:val="00E9317F"/>
    <w:rsid w:val="00E935D9"/>
    <w:rsid w:val="00E93F0B"/>
    <w:rsid w:val="00E93FF2"/>
    <w:rsid w:val="00E94270"/>
    <w:rsid w:val="00E9484F"/>
    <w:rsid w:val="00E94F59"/>
    <w:rsid w:val="00E95BDE"/>
    <w:rsid w:val="00E95D7E"/>
    <w:rsid w:val="00E95E11"/>
    <w:rsid w:val="00E96AF3"/>
    <w:rsid w:val="00E96EF8"/>
    <w:rsid w:val="00E97C61"/>
    <w:rsid w:val="00EA01C9"/>
    <w:rsid w:val="00EA082E"/>
    <w:rsid w:val="00EA2235"/>
    <w:rsid w:val="00EA26AB"/>
    <w:rsid w:val="00EA4948"/>
    <w:rsid w:val="00EA4EC2"/>
    <w:rsid w:val="00EA79C8"/>
    <w:rsid w:val="00EB0EDF"/>
    <w:rsid w:val="00EB1129"/>
    <w:rsid w:val="00EB2CDD"/>
    <w:rsid w:val="00EB2FC5"/>
    <w:rsid w:val="00EB3D91"/>
    <w:rsid w:val="00EB3ED2"/>
    <w:rsid w:val="00EB4B0C"/>
    <w:rsid w:val="00EB52B6"/>
    <w:rsid w:val="00EB63A1"/>
    <w:rsid w:val="00EB737C"/>
    <w:rsid w:val="00EC0D59"/>
    <w:rsid w:val="00EC0EC0"/>
    <w:rsid w:val="00EC2F7A"/>
    <w:rsid w:val="00EC35C1"/>
    <w:rsid w:val="00EC3F90"/>
    <w:rsid w:val="00EC47F2"/>
    <w:rsid w:val="00EC5124"/>
    <w:rsid w:val="00EC5128"/>
    <w:rsid w:val="00EC5378"/>
    <w:rsid w:val="00EC58DD"/>
    <w:rsid w:val="00EC5B6F"/>
    <w:rsid w:val="00EC676B"/>
    <w:rsid w:val="00EC6A76"/>
    <w:rsid w:val="00EC6DF3"/>
    <w:rsid w:val="00EC72C9"/>
    <w:rsid w:val="00EC75A8"/>
    <w:rsid w:val="00EC7AF8"/>
    <w:rsid w:val="00ED12A8"/>
    <w:rsid w:val="00ED1627"/>
    <w:rsid w:val="00ED1966"/>
    <w:rsid w:val="00ED1F34"/>
    <w:rsid w:val="00ED1F64"/>
    <w:rsid w:val="00ED2B3D"/>
    <w:rsid w:val="00ED333E"/>
    <w:rsid w:val="00ED34AE"/>
    <w:rsid w:val="00ED46E2"/>
    <w:rsid w:val="00ED6151"/>
    <w:rsid w:val="00ED77DD"/>
    <w:rsid w:val="00ED7843"/>
    <w:rsid w:val="00EE0FA1"/>
    <w:rsid w:val="00EE14A5"/>
    <w:rsid w:val="00EE1C50"/>
    <w:rsid w:val="00EE2BDD"/>
    <w:rsid w:val="00EE3C6D"/>
    <w:rsid w:val="00EE40A8"/>
    <w:rsid w:val="00EE5FCA"/>
    <w:rsid w:val="00EE6896"/>
    <w:rsid w:val="00EE754E"/>
    <w:rsid w:val="00EE77C4"/>
    <w:rsid w:val="00EE78A4"/>
    <w:rsid w:val="00EE7D74"/>
    <w:rsid w:val="00EF032A"/>
    <w:rsid w:val="00EF0E1E"/>
    <w:rsid w:val="00EF104C"/>
    <w:rsid w:val="00EF1B2A"/>
    <w:rsid w:val="00EF1F20"/>
    <w:rsid w:val="00EF2372"/>
    <w:rsid w:val="00EF29A7"/>
    <w:rsid w:val="00EF3185"/>
    <w:rsid w:val="00EF318A"/>
    <w:rsid w:val="00EF331D"/>
    <w:rsid w:val="00EF3AD3"/>
    <w:rsid w:val="00EF407F"/>
    <w:rsid w:val="00EF48E6"/>
    <w:rsid w:val="00EF4939"/>
    <w:rsid w:val="00EF4E18"/>
    <w:rsid w:val="00EF6967"/>
    <w:rsid w:val="00EF6CD8"/>
    <w:rsid w:val="00EF76D8"/>
    <w:rsid w:val="00F00746"/>
    <w:rsid w:val="00F01612"/>
    <w:rsid w:val="00F02A09"/>
    <w:rsid w:val="00F02F15"/>
    <w:rsid w:val="00F038A4"/>
    <w:rsid w:val="00F04DFD"/>
    <w:rsid w:val="00F05591"/>
    <w:rsid w:val="00F05DF8"/>
    <w:rsid w:val="00F06F89"/>
    <w:rsid w:val="00F07C92"/>
    <w:rsid w:val="00F07FA6"/>
    <w:rsid w:val="00F100E8"/>
    <w:rsid w:val="00F10EEE"/>
    <w:rsid w:val="00F11D59"/>
    <w:rsid w:val="00F11F9E"/>
    <w:rsid w:val="00F128C3"/>
    <w:rsid w:val="00F12E04"/>
    <w:rsid w:val="00F14660"/>
    <w:rsid w:val="00F14AB4"/>
    <w:rsid w:val="00F15296"/>
    <w:rsid w:val="00F1596E"/>
    <w:rsid w:val="00F1709E"/>
    <w:rsid w:val="00F175E2"/>
    <w:rsid w:val="00F17C12"/>
    <w:rsid w:val="00F20A5C"/>
    <w:rsid w:val="00F21101"/>
    <w:rsid w:val="00F21236"/>
    <w:rsid w:val="00F223FA"/>
    <w:rsid w:val="00F22C78"/>
    <w:rsid w:val="00F22CCE"/>
    <w:rsid w:val="00F241DB"/>
    <w:rsid w:val="00F24D98"/>
    <w:rsid w:val="00F2662C"/>
    <w:rsid w:val="00F2666E"/>
    <w:rsid w:val="00F2719B"/>
    <w:rsid w:val="00F27589"/>
    <w:rsid w:val="00F30141"/>
    <w:rsid w:val="00F3044A"/>
    <w:rsid w:val="00F31440"/>
    <w:rsid w:val="00F3156B"/>
    <w:rsid w:val="00F317C1"/>
    <w:rsid w:val="00F32457"/>
    <w:rsid w:val="00F32637"/>
    <w:rsid w:val="00F32C7C"/>
    <w:rsid w:val="00F3382A"/>
    <w:rsid w:val="00F354B9"/>
    <w:rsid w:val="00F35A9C"/>
    <w:rsid w:val="00F36553"/>
    <w:rsid w:val="00F365EA"/>
    <w:rsid w:val="00F369F7"/>
    <w:rsid w:val="00F36C19"/>
    <w:rsid w:val="00F37F1B"/>
    <w:rsid w:val="00F415A5"/>
    <w:rsid w:val="00F41ACD"/>
    <w:rsid w:val="00F41B20"/>
    <w:rsid w:val="00F43F43"/>
    <w:rsid w:val="00F45A0F"/>
    <w:rsid w:val="00F45DBA"/>
    <w:rsid w:val="00F476CC"/>
    <w:rsid w:val="00F4797A"/>
    <w:rsid w:val="00F50B20"/>
    <w:rsid w:val="00F51945"/>
    <w:rsid w:val="00F53AAA"/>
    <w:rsid w:val="00F53CBA"/>
    <w:rsid w:val="00F545EF"/>
    <w:rsid w:val="00F55369"/>
    <w:rsid w:val="00F5586C"/>
    <w:rsid w:val="00F559FC"/>
    <w:rsid w:val="00F56BD9"/>
    <w:rsid w:val="00F57FAE"/>
    <w:rsid w:val="00F6214F"/>
    <w:rsid w:val="00F62365"/>
    <w:rsid w:val="00F6325F"/>
    <w:rsid w:val="00F639DF"/>
    <w:rsid w:val="00F63E32"/>
    <w:rsid w:val="00F644A3"/>
    <w:rsid w:val="00F647EB"/>
    <w:rsid w:val="00F66451"/>
    <w:rsid w:val="00F668E1"/>
    <w:rsid w:val="00F66B0F"/>
    <w:rsid w:val="00F66B1F"/>
    <w:rsid w:val="00F66D87"/>
    <w:rsid w:val="00F66F86"/>
    <w:rsid w:val="00F67F10"/>
    <w:rsid w:val="00F71213"/>
    <w:rsid w:val="00F7174D"/>
    <w:rsid w:val="00F71C5A"/>
    <w:rsid w:val="00F73AA3"/>
    <w:rsid w:val="00F73D60"/>
    <w:rsid w:val="00F74B5E"/>
    <w:rsid w:val="00F75222"/>
    <w:rsid w:val="00F764C1"/>
    <w:rsid w:val="00F77637"/>
    <w:rsid w:val="00F77E28"/>
    <w:rsid w:val="00F77E8E"/>
    <w:rsid w:val="00F80479"/>
    <w:rsid w:val="00F8254E"/>
    <w:rsid w:val="00F834B1"/>
    <w:rsid w:val="00F83E68"/>
    <w:rsid w:val="00F84582"/>
    <w:rsid w:val="00F85B26"/>
    <w:rsid w:val="00F85C78"/>
    <w:rsid w:val="00F85F28"/>
    <w:rsid w:val="00F869B5"/>
    <w:rsid w:val="00F9005E"/>
    <w:rsid w:val="00F90146"/>
    <w:rsid w:val="00F90C0E"/>
    <w:rsid w:val="00F91BA7"/>
    <w:rsid w:val="00F92FC0"/>
    <w:rsid w:val="00F934A2"/>
    <w:rsid w:val="00F93569"/>
    <w:rsid w:val="00F93976"/>
    <w:rsid w:val="00F94BD6"/>
    <w:rsid w:val="00F94CC8"/>
    <w:rsid w:val="00F962DF"/>
    <w:rsid w:val="00F9690B"/>
    <w:rsid w:val="00F97C01"/>
    <w:rsid w:val="00FA094B"/>
    <w:rsid w:val="00FA0E8F"/>
    <w:rsid w:val="00FA0F2E"/>
    <w:rsid w:val="00FA0F61"/>
    <w:rsid w:val="00FA13E8"/>
    <w:rsid w:val="00FA2E78"/>
    <w:rsid w:val="00FA351A"/>
    <w:rsid w:val="00FA3F37"/>
    <w:rsid w:val="00FA5439"/>
    <w:rsid w:val="00FA59D4"/>
    <w:rsid w:val="00FA5D7A"/>
    <w:rsid w:val="00FA62E1"/>
    <w:rsid w:val="00FA69B5"/>
    <w:rsid w:val="00FA7527"/>
    <w:rsid w:val="00FB2530"/>
    <w:rsid w:val="00FB28DA"/>
    <w:rsid w:val="00FB3077"/>
    <w:rsid w:val="00FB372D"/>
    <w:rsid w:val="00FB4107"/>
    <w:rsid w:val="00FB456C"/>
    <w:rsid w:val="00FB4ACB"/>
    <w:rsid w:val="00FB55FD"/>
    <w:rsid w:val="00FB5F64"/>
    <w:rsid w:val="00FB6E5A"/>
    <w:rsid w:val="00FC0064"/>
    <w:rsid w:val="00FC0735"/>
    <w:rsid w:val="00FC0D81"/>
    <w:rsid w:val="00FC0D96"/>
    <w:rsid w:val="00FC1542"/>
    <w:rsid w:val="00FC1A9E"/>
    <w:rsid w:val="00FC1D73"/>
    <w:rsid w:val="00FC244B"/>
    <w:rsid w:val="00FC2622"/>
    <w:rsid w:val="00FC4C3D"/>
    <w:rsid w:val="00FC5BFB"/>
    <w:rsid w:val="00FC6811"/>
    <w:rsid w:val="00FC779E"/>
    <w:rsid w:val="00FC7A05"/>
    <w:rsid w:val="00FC7FCF"/>
    <w:rsid w:val="00FD0212"/>
    <w:rsid w:val="00FD04BB"/>
    <w:rsid w:val="00FD1A48"/>
    <w:rsid w:val="00FD1B05"/>
    <w:rsid w:val="00FD3367"/>
    <w:rsid w:val="00FD419F"/>
    <w:rsid w:val="00FD42CA"/>
    <w:rsid w:val="00FD4988"/>
    <w:rsid w:val="00FD544C"/>
    <w:rsid w:val="00FD5D1D"/>
    <w:rsid w:val="00FD64DD"/>
    <w:rsid w:val="00FD7E75"/>
    <w:rsid w:val="00FE0785"/>
    <w:rsid w:val="00FE1870"/>
    <w:rsid w:val="00FE18E6"/>
    <w:rsid w:val="00FE2340"/>
    <w:rsid w:val="00FE248D"/>
    <w:rsid w:val="00FE27E3"/>
    <w:rsid w:val="00FE2926"/>
    <w:rsid w:val="00FE2F5D"/>
    <w:rsid w:val="00FE30E6"/>
    <w:rsid w:val="00FE3F11"/>
    <w:rsid w:val="00FE471D"/>
    <w:rsid w:val="00FE512F"/>
    <w:rsid w:val="00FE5A6B"/>
    <w:rsid w:val="00FE5F68"/>
    <w:rsid w:val="00FE63CC"/>
    <w:rsid w:val="00FE6DA5"/>
    <w:rsid w:val="00FE74BB"/>
    <w:rsid w:val="00FE780A"/>
    <w:rsid w:val="00FF075E"/>
    <w:rsid w:val="00FF188A"/>
    <w:rsid w:val="00FF1B28"/>
    <w:rsid w:val="00FF1BF7"/>
    <w:rsid w:val="00FF1C99"/>
    <w:rsid w:val="00FF2571"/>
    <w:rsid w:val="00FF3BAD"/>
    <w:rsid w:val="00FF4812"/>
    <w:rsid w:val="00FF483D"/>
    <w:rsid w:val="00FF4B74"/>
    <w:rsid w:val="00FF5139"/>
    <w:rsid w:val="00FF5609"/>
    <w:rsid w:val="00FF56F7"/>
    <w:rsid w:val="00FF5E17"/>
    <w:rsid w:val="00FF6062"/>
    <w:rsid w:val="00FF644F"/>
    <w:rsid w:val="00FF71C0"/>
    <w:rsid w:val="00FF78E2"/>
    <w:rsid w:val="00FF7CC6"/>
    <w:rsid w:val="0105B017"/>
    <w:rsid w:val="013E1805"/>
    <w:rsid w:val="0154EE94"/>
    <w:rsid w:val="016BCDB4"/>
    <w:rsid w:val="01A1BC17"/>
    <w:rsid w:val="01B9D71D"/>
    <w:rsid w:val="0244EF15"/>
    <w:rsid w:val="0252F528"/>
    <w:rsid w:val="02AEF0B3"/>
    <w:rsid w:val="02BDA3DB"/>
    <w:rsid w:val="02CB2124"/>
    <w:rsid w:val="02CEDD19"/>
    <w:rsid w:val="02ED7F25"/>
    <w:rsid w:val="0302DCE9"/>
    <w:rsid w:val="0357D4EB"/>
    <w:rsid w:val="035EB870"/>
    <w:rsid w:val="03C57A40"/>
    <w:rsid w:val="03DCD3F6"/>
    <w:rsid w:val="042BF47B"/>
    <w:rsid w:val="0499FD45"/>
    <w:rsid w:val="04A9B442"/>
    <w:rsid w:val="04BA3DA7"/>
    <w:rsid w:val="0514CB6C"/>
    <w:rsid w:val="054B91B5"/>
    <w:rsid w:val="05799399"/>
    <w:rsid w:val="058B15E4"/>
    <w:rsid w:val="059D5591"/>
    <w:rsid w:val="05E4707F"/>
    <w:rsid w:val="05EB34E2"/>
    <w:rsid w:val="062E8E52"/>
    <w:rsid w:val="066966FE"/>
    <w:rsid w:val="06BAE539"/>
    <w:rsid w:val="06BCE161"/>
    <w:rsid w:val="06D632A7"/>
    <w:rsid w:val="06DF80F5"/>
    <w:rsid w:val="06E9A962"/>
    <w:rsid w:val="070C789C"/>
    <w:rsid w:val="070E5D60"/>
    <w:rsid w:val="071A4669"/>
    <w:rsid w:val="074C88CA"/>
    <w:rsid w:val="07546699"/>
    <w:rsid w:val="07A3192E"/>
    <w:rsid w:val="07D71AE0"/>
    <w:rsid w:val="0809698C"/>
    <w:rsid w:val="081383D5"/>
    <w:rsid w:val="083CB21B"/>
    <w:rsid w:val="088BB1AF"/>
    <w:rsid w:val="08C0D50A"/>
    <w:rsid w:val="08E0C3C4"/>
    <w:rsid w:val="09085972"/>
    <w:rsid w:val="090E2C4A"/>
    <w:rsid w:val="0937BC34"/>
    <w:rsid w:val="0960919B"/>
    <w:rsid w:val="09965697"/>
    <w:rsid w:val="09AD09CF"/>
    <w:rsid w:val="09BB4832"/>
    <w:rsid w:val="09D53A96"/>
    <w:rsid w:val="09D8553D"/>
    <w:rsid w:val="09F72C40"/>
    <w:rsid w:val="0A3693BF"/>
    <w:rsid w:val="0A43B0D5"/>
    <w:rsid w:val="0A93A5A0"/>
    <w:rsid w:val="0AC30762"/>
    <w:rsid w:val="0ACDB42A"/>
    <w:rsid w:val="0AF2A2E7"/>
    <w:rsid w:val="0AF8326B"/>
    <w:rsid w:val="0B02DAA7"/>
    <w:rsid w:val="0B195A5A"/>
    <w:rsid w:val="0B29DA06"/>
    <w:rsid w:val="0B5B539D"/>
    <w:rsid w:val="0B69CC99"/>
    <w:rsid w:val="0B8D7C83"/>
    <w:rsid w:val="0BB574FC"/>
    <w:rsid w:val="0BF66F99"/>
    <w:rsid w:val="0C099274"/>
    <w:rsid w:val="0C1901D1"/>
    <w:rsid w:val="0C94A62F"/>
    <w:rsid w:val="0CAD2B29"/>
    <w:rsid w:val="0CC4AFE7"/>
    <w:rsid w:val="0D3837C3"/>
    <w:rsid w:val="0D3FD2BF"/>
    <w:rsid w:val="0D62C99C"/>
    <w:rsid w:val="0D6BB785"/>
    <w:rsid w:val="0D87AB6F"/>
    <w:rsid w:val="0D9041F2"/>
    <w:rsid w:val="0DC9F0E1"/>
    <w:rsid w:val="0E32D6A8"/>
    <w:rsid w:val="0E8DC962"/>
    <w:rsid w:val="0E91BB55"/>
    <w:rsid w:val="0EECEA17"/>
    <w:rsid w:val="0F030694"/>
    <w:rsid w:val="0F295D22"/>
    <w:rsid w:val="0F5DA1D8"/>
    <w:rsid w:val="0F9EA09B"/>
    <w:rsid w:val="0FED9570"/>
    <w:rsid w:val="100D5985"/>
    <w:rsid w:val="103A9214"/>
    <w:rsid w:val="1075B17A"/>
    <w:rsid w:val="10AF998A"/>
    <w:rsid w:val="10B74561"/>
    <w:rsid w:val="10D015B2"/>
    <w:rsid w:val="10E912AF"/>
    <w:rsid w:val="1106DD57"/>
    <w:rsid w:val="11238AFC"/>
    <w:rsid w:val="1156FC53"/>
    <w:rsid w:val="11DD0A79"/>
    <w:rsid w:val="11E4E1E7"/>
    <w:rsid w:val="11F8ACAB"/>
    <w:rsid w:val="11FF0617"/>
    <w:rsid w:val="125EC198"/>
    <w:rsid w:val="1293EBF6"/>
    <w:rsid w:val="12968E2C"/>
    <w:rsid w:val="1298DC00"/>
    <w:rsid w:val="12D7583E"/>
    <w:rsid w:val="12EEC58B"/>
    <w:rsid w:val="12F397C5"/>
    <w:rsid w:val="12FEE214"/>
    <w:rsid w:val="130806D5"/>
    <w:rsid w:val="133F2AFD"/>
    <w:rsid w:val="137A4B37"/>
    <w:rsid w:val="13AC068B"/>
    <w:rsid w:val="13DEF869"/>
    <w:rsid w:val="13FEC871"/>
    <w:rsid w:val="1439181D"/>
    <w:rsid w:val="144ADE4E"/>
    <w:rsid w:val="144B51BF"/>
    <w:rsid w:val="145B9947"/>
    <w:rsid w:val="1489A453"/>
    <w:rsid w:val="14E8936E"/>
    <w:rsid w:val="14F2925F"/>
    <w:rsid w:val="15375376"/>
    <w:rsid w:val="158E1506"/>
    <w:rsid w:val="15A11CD4"/>
    <w:rsid w:val="15B12B7A"/>
    <w:rsid w:val="15D83A77"/>
    <w:rsid w:val="15E6BE02"/>
    <w:rsid w:val="15FE3E48"/>
    <w:rsid w:val="162355BE"/>
    <w:rsid w:val="16514606"/>
    <w:rsid w:val="16BB978E"/>
    <w:rsid w:val="175005EB"/>
    <w:rsid w:val="176B3718"/>
    <w:rsid w:val="17EF9EFC"/>
    <w:rsid w:val="180809E2"/>
    <w:rsid w:val="18617E68"/>
    <w:rsid w:val="190CC7BC"/>
    <w:rsid w:val="1926F131"/>
    <w:rsid w:val="192F920A"/>
    <w:rsid w:val="19E65100"/>
    <w:rsid w:val="1A9694CB"/>
    <w:rsid w:val="1AC62AEB"/>
    <w:rsid w:val="1ADC47AD"/>
    <w:rsid w:val="1C2808E8"/>
    <w:rsid w:val="1C4B25AA"/>
    <w:rsid w:val="1C57BACE"/>
    <w:rsid w:val="1C751663"/>
    <w:rsid w:val="1C7988B2"/>
    <w:rsid w:val="1CEF81F8"/>
    <w:rsid w:val="1CF9162D"/>
    <w:rsid w:val="1D061D23"/>
    <w:rsid w:val="1DB5E0C9"/>
    <w:rsid w:val="1DBC97B4"/>
    <w:rsid w:val="1DCC8072"/>
    <w:rsid w:val="1DF9D3CE"/>
    <w:rsid w:val="1E07EE2E"/>
    <w:rsid w:val="1E39CC93"/>
    <w:rsid w:val="1E56CBAA"/>
    <w:rsid w:val="1E98E301"/>
    <w:rsid w:val="1EB52A7E"/>
    <w:rsid w:val="1EE2AB16"/>
    <w:rsid w:val="1F15F173"/>
    <w:rsid w:val="1F1BABCB"/>
    <w:rsid w:val="1F3BDD0C"/>
    <w:rsid w:val="1F88C9C0"/>
    <w:rsid w:val="1F9B335E"/>
    <w:rsid w:val="20012678"/>
    <w:rsid w:val="208A8FD1"/>
    <w:rsid w:val="20989FC9"/>
    <w:rsid w:val="20D50A93"/>
    <w:rsid w:val="215C6340"/>
    <w:rsid w:val="218B5975"/>
    <w:rsid w:val="21C33ACA"/>
    <w:rsid w:val="21DCD702"/>
    <w:rsid w:val="21DCEA5B"/>
    <w:rsid w:val="21E8D74F"/>
    <w:rsid w:val="224B0000"/>
    <w:rsid w:val="22623731"/>
    <w:rsid w:val="227381E2"/>
    <w:rsid w:val="22E112B3"/>
    <w:rsid w:val="2344FB7C"/>
    <w:rsid w:val="23553FCA"/>
    <w:rsid w:val="2357031C"/>
    <w:rsid w:val="23DFCB57"/>
    <w:rsid w:val="23E938C2"/>
    <w:rsid w:val="23F201E3"/>
    <w:rsid w:val="23F2A5C7"/>
    <w:rsid w:val="24170745"/>
    <w:rsid w:val="242CF7B8"/>
    <w:rsid w:val="244A3742"/>
    <w:rsid w:val="251D8FC5"/>
    <w:rsid w:val="25698616"/>
    <w:rsid w:val="25E15189"/>
    <w:rsid w:val="2615EC5D"/>
    <w:rsid w:val="261A7803"/>
    <w:rsid w:val="26291124"/>
    <w:rsid w:val="2637138C"/>
    <w:rsid w:val="264ECE1A"/>
    <w:rsid w:val="269683BA"/>
    <w:rsid w:val="269834BC"/>
    <w:rsid w:val="26BB4E6D"/>
    <w:rsid w:val="26E73B2B"/>
    <w:rsid w:val="26EDB780"/>
    <w:rsid w:val="2706FB0D"/>
    <w:rsid w:val="271444A7"/>
    <w:rsid w:val="2736B408"/>
    <w:rsid w:val="273BC81A"/>
    <w:rsid w:val="27FF39C2"/>
    <w:rsid w:val="2801E231"/>
    <w:rsid w:val="2867F124"/>
    <w:rsid w:val="2886983C"/>
    <w:rsid w:val="28957712"/>
    <w:rsid w:val="289619B9"/>
    <w:rsid w:val="28EA957A"/>
    <w:rsid w:val="29610AFB"/>
    <w:rsid w:val="29EE172E"/>
    <w:rsid w:val="2A203A8E"/>
    <w:rsid w:val="2A397243"/>
    <w:rsid w:val="2A3A3EA6"/>
    <w:rsid w:val="2A829EAA"/>
    <w:rsid w:val="2AE52C30"/>
    <w:rsid w:val="2B140291"/>
    <w:rsid w:val="2B1B61C4"/>
    <w:rsid w:val="2B2E3632"/>
    <w:rsid w:val="2B51CD2A"/>
    <w:rsid w:val="2B734005"/>
    <w:rsid w:val="2B99B365"/>
    <w:rsid w:val="2B9D1400"/>
    <w:rsid w:val="2BAFF0C6"/>
    <w:rsid w:val="2BEDE292"/>
    <w:rsid w:val="2C819633"/>
    <w:rsid w:val="2CB70327"/>
    <w:rsid w:val="2CB8EADC"/>
    <w:rsid w:val="2D4D1202"/>
    <w:rsid w:val="2D5ED3DC"/>
    <w:rsid w:val="2D915116"/>
    <w:rsid w:val="2D976FC9"/>
    <w:rsid w:val="2D9BF77E"/>
    <w:rsid w:val="2D9CFFAA"/>
    <w:rsid w:val="2DAB3A1C"/>
    <w:rsid w:val="2DB45FBC"/>
    <w:rsid w:val="2DC4ECC6"/>
    <w:rsid w:val="2DDB1ECE"/>
    <w:rsid w:val="2E44860C"/>
    <w:rsid w:val="2EB7C8F7"/>
    <w:rsid w:val="2EC942FD"/>
    <w:rsid w:val="2ECA9AD6"/>
    <w:rsid w:val="2ECD387E"/>
    <w:rsid w:val="2F0D7842"/>
    <w:rsid w:val="2F3B1BD9"/>
    <w:rsid w:val="2F67D8C7"/>
    <w:rsid w:val="2FD6F00E"/>
    <w:rsid w:val="2FFA3FB6"/>
    <w:rsid w:val="3029C300"/>
    <w:rsid w:val="3031DA69"/>
    <w:rsid w:val="305FC6B9"/>
    <w:rsid w:val="306A2B2D"/>
    <w:rsid w:val="309C0FD7"/>
    <w:rsid w:val="30BA2732"/>
    <w:rsid w:val="30C594DF"/>
    <w:rsid w:val="31100C85"/>
    <w:rsid w:val="314E8BE4"/>
    <w:rsid w:val="3153F2CB"/>
    <w:rsid w:val="316D99F6"/>
    <w:rsid w:val="31EC1700"/>
    <w:rsid w:val="321DA4FB"/>
    <w:rsid w:val="32390696"/>
    <w:rsid w:val="324A794D"/>
    <w:rsid w:val="32B5B9CE"/>
    <w:rsid w:val="32BF63F4"/>
    <w:rsid w:val="33B59B4D"/>
    <w:rsid w:val="33D95B1B"/>
    <w:rsid w:val="33F767E5"/>
    <w:rsid w:val="348CCE88"/>
    <w:rsid w:val="350DC117"/>
    <w:rsid w:val="3529C2AC"/>
    <w:rsid w:val="353A3AF1"/>
    <w:rsid w:val="35BD519B"/>
    <w:rsid w:val="35BDD57B"/>
    <w:rsid w:val="35BE6A9C"/>
    <w:rsid w:val="361637FC"/>
    <w:rsid w:val="362504A3"/>
    <w:rsid w:val="36483507"/>
    <w:rsid w:val="364B98DC"/>
    <w:rsid w:val="366802D3"/>
    <w:rsid w:val="366D33AD"/>
    <w:rsid w:val="36A3BA0B"/>
    <w:rsid w:val="36B363B0"/>
    <w:rsid w:val="36CE1FEE"/>
    <w:rsid w:val="36D34239"/>
    <w:rsid w:val="370C363E"/>
    <w:rsid w:val="37358B49"/>
    <w:rsid w:val="377198D6"/>
    <w:rsid w:val="37AE0C79"/>
    <w:rsid w:val="37AF1149"/>
    <w:rsid w:val="37CD3256"/>
    <w:rsid w:val="37EE6AD9"/>
    <w:rsid w:val="38292435"/>
    <w:rsid w:val="3950205C"/>
    <w:rsid w:val="396D3102"/>
    <w:rsid w:val="39CA3896"/>
    <w:rsid w:val="3A4118C5"/>
    <w:rsid w:val="3A490F2F"/>
    <w:rsid w:val="3A599EF0"/>
    <w:rsid w:val="3A6F7544"/>
    <w:rsid w:val="3A8B17B7"/>
    <w:rsid w:val="3B0DDBD5"/>
    <w:rsid w:val="3B291546"/>
    <w:rsid w:val="3BA1E2B0"/>
    <w:rsid w:val="3BA4CD43"/>
    <w:rsid w:val="3BF24E43"/>
    <w:rsid w:val="3C8122AB"/>
    <w:rsid w:val="3CA4937B"/>
    <w:rsid w:val="3CB2A0CB"/>
    <w:rsid w:val="3CC1ABD6"/>
    <w:rsid w:val="3CCF7C28"/>
    <w:rsid w:val="3CE7EE3B"/>
    <w:rsid w:val="3D1CC2A3"/>
    <w:rsid w:val="3D4558EE"/>
    <w:rsid w:val="3DB17443"/>
    <w:rsid w:val="3DCAE5D8"/>
    <w:rsid w:val="3DE363B6"/>
    <w:rsid w:val="3E2CA9F8"/>
    <w:rsid w:val="3E48888C"/>
    <w:rsid w:val="3E4C003B"/>
    <w:rsid w:val="3EB83518"/>
    <w:rsid w:val="3EBDF99C"/>
    <w:rsid w:val="3EC53DF3"/>
    <w:rsid w:val="3EF60EC9"/>
    <w:rsid w:val="3F7F2024"/>
    <w:rsid w:val="3F8EEE5F"/>
    <w:rsid w:val="3F9DEF7F"/>
    <w:rsid w:val="3FCFA4F5"/>
    <w:rsid w:val="3FE0A86F"/>
    <w:rsid w:val="40972DFD"/>
    <w:rsid w:val="40C43F52"/>
    <w:rsid w:val="40D07194"/>
    <w:rsid w:val="40E644A8"/>
    <w:rsid w:val="41034393"/>
    <w:rsid w:val="410A390B"/>
    <w:rsid w:val="412C7814"/>
    <w:rsid w:val="414912B1"/>
    <w:rsid w:val="418CF0C8"/>
    <w:rsid w:val="419290C7"/>
    <w:rsid w:val="41CBC162"/>
    <w:rsid w:val="41DF6035"/>
    <w:rsid w:val="424B766D"/>
    <w:rsid w:val="4274C1A9"/>
    <w:rsid w:val="4297EE5B"/>
    <w:rsid w:val="42B40F31"/>
    <w:rsid w:val="42FDAA42"/>
    <w:rsid w:val="4319F32E"/>
    <w:rsid w:val="43262BFE"/>
    <w:rsid w:val="435B7205"/>
    <w:rsid w:val="438FCDBA"/>
    <w:rsid w:val="439474AA"/>
    <w:rsid w:val="443EBC22"/>
    <w:rsid w:val="4448A35B"/>
    <w:rsid w:val="44F3AAB6"/>
    <w:rsid w:val="45083535"/>
    <w:rsid w:val="45665F55"/>
    <w:rsid w:val="457749E1"/>
    <w:rsid w:val="458C3201"/>
    <w:rsid w:val="4590978D"/>
    <w:rsid w:val="459337DC"/>
    <w:rsid w:val="45D7B715"/>
    <w:rsid w:val="462B00B1"/>
    <w:rsid w:val="466A2E49"/>
    <w:rsid w:val="469E1C09"/>
    <w:rsid w:val="46E24742"/>
    <w:rsid w:val="4766104A"/>
    <w:rsid w:val="47665579"/>
    <w:rsid w:val="476D9259"/>
    <w:rsid w:val="4774FE7F"/>
    <w:rsid w:val="47AD48BC"/>
    <w:rsid w:val="47C55F2B"/>
    <w:rsid w:val="47CD420F"/>
    <w:rsid w:val="48719134"/>
    <w:rsid w:val="48945261"/>
    <w:rsid w:val="489539BE"/>
    <w:rsid w:val="4915157C"/>
    <w:rsid w:val="49162F1E"/>
    <w:rsid w:val="4919951B"/>
    <w:rsid w:val="4938C0B9"/>
    <w:rsid w:val="494681CA"/>
    <w:rsid w:val="499B550B"/>
    <w:rsid w:val="49B09168"/>
    <w:rsid w:val="49B28FF0"/>
    <w:rsid w:val="49D4BE63"/>
    <w:rsid w:val="4A1825B7"/>
    <w:rsid w:val="4A611C8A"/>
    <w:rsid w:val="4A69E0FE"/>
    <w:rsid w:val="4A6E8EC8"/>
    <w:rsid w:val="4A7BB807"/>
    <w:rsid w:val="4A98CA2C"/>
    <w:rsid w:val="4AB911CA"/>
    <w:rsid w:val="4ABE2BEA"/>
    <w:rsid w:val="4B7B96BC"/>
    <w:rsid w:val="4B986D56"/>
    <w:rsid w:val="4B996F97"/>
    <w:rsid w:val="4BA480A1"/>
    <w:rsid w:val="4BC99E90"/>
    <w:rsid w:val="4BD4E9D7"/>
    <w:rsid w:val="4C061F2F"/>
    <w:rsid w:val="4C0B1117"/>
    <w:rsid w:val="4C12F185"/>
    <w:rsid w:val="4C1CA522"/>
    <w:rsid w:val="4C2981D6"/>
    <w:rsid w:val="4C4693B7"/>
    <w:rsid w:val="4C74A3D0"/>
    <w:rsid w:val="4CEC8A31"/>
    <w:rsid w:val="4D330EC2"/>
    <w:rsid w:val="4D441BAB"/>
    <w:rsid w:val="4D8A6359"/>
    <w:rsid w:val="4DA2F5EE"/>
    <w:rsid w:val="4DFC90B2"/>
    <w:rsid w:val="4E04EA17"/>
    <w:rsid w:val="4E2A37F4"/>
    <w:rsid w:val="4E6B2E34"/>
    <w:rsid w:val="4E770E61"/>
    <w:rsid w:val="4E8E7D2E"/>
    <w:rsid w:val="4EBF09EE"/>
    <w:rsid w:val="4EFFDE72"/>
    <w:rsid w:val="4F08B7D5"/>
    <w:rsid w:val="4F132E58"/>
    <w:rsid w:val="4F469577"/>
    <w:rsid w:val="4F5DF349"/>
    <w:rsid w:val="4FE8ACC3"/>
    <w:rsid w:val="5043CDB2"/>
    <w:rsid w:val="507F2860"/>
    <w:rsid w:val="509672EB"/>
    <w:rsid w:val="512C027E"/>
    <w:rsid w:val="515B0A0A"/>
    <w:rsid w:val="516697F5"/>
    <w:rsid w:val="5171C90C"/>
    <w:rsid w:val="51947686"/>
    <w:rsid w:val="51AB677F"/>
    <w:rsid w:val="51CC3030"/>
    <w:rsid w:val="521E18E2"/>
    <w:rsid w:val="523A9A86"/>
    <w:rsid w:val="5255490E"/>
    <w:rsid w:val="5285DEB6"/>
    <w:rsid w:val="529B7ED6"/>
    <w:rsid w:val="529CED0A"/>
    <w:rsid w:val="52BB0900"/>
    <w:rsid w:val="52C661F9"/>
    <w:rsid w:val="5315FF44"/>
    <w:rsid w:val="533BFD39"/>
    <w:rsid w:val="53927DBA"/>
    <w:rsid w:val="53A04CC4"/>
    <w:rsid w:val="53F453D1"/>
    <w:rsid w:val="54371518"/>
    <w:rsid w:val="543D77DA"/>
    <w:rsid w:val="54FB4D95"/>
    <w:rsid w:val="554D7678"/>
    <w:rsid w:val="5553E921"/>
    <w:rsid w:val="55DE0821"/>
    <w:rsid w:val="55DFD637"/>
    <w:rsid w:val="560A39A6"/>
    <w:rsid w:val="56169E25"/>
    <w:rsid w:val="563EFA1F"/>
    <w:rsid w:val="564C2AC9"/>
    <w:rsid w:val="56794C7D"/>
    <w:rsid w:val="5680770E"/>
    <w:rsid w:val="56F85B31"/>
    <w:rsid w:val="5751B7BC"/>
    <w:rsid w:val="57594483"/>
    <w:rsid w:val="57738AA7"/>
    <w:rsid w:val="578B24CA"/>
    <w:rsid w:val="580EB81D"/>
    <w:rsid w:val="581DD43C"/>
    <w:rsid w:val="5853B1E5"/>
    <w:rsid w:val="5875306F"/>
    <w:rsid w:val="5880E612"/>
    <w:rsid w:val="58D8AB90"/>
    <w:rsid w:val="58E87911"/>
    <w:rsid w:val="58F63BED"/>
    <w:rsid w:val="592629F7"/>
    <w:rsid w:val="595AD703"/>
    <w:rsid w:val="595C815E"/>
    <w:rsid w:val="5979C226"/>
    <w:rsid w:val="5A81FA53"/>
    <w:rsid w:val="5AC2AB3B"/>
    <w:rsid w:val="5ACD238F"/>
    <w:rsid w:val="5B0B0B5A"/>
    <w:rsid w:val="5B0D4717"/>
    <w:rsid w:val="5B1EDDF7"/>
    <w:rsid w:val="5B3770C4"/>
    <w:rsid w:val="5B5B701E"/>
    <w:rsid w:val="5B6BB476"/>
    <w:rsid w:val="5B81D30E"/>
    <w:rsid w:val="5BE82988"/>
    <w:rsid w:val="5BED2437"/>
    <w:rsid w:val="5C477B34"/>
    <w:rsid w:val="5C52E0BB"/>
    <w:rsid w:val="5CA45574"/>
    <w:rsid w:val="5CB1B058"/>
    <w:rsid w:val="5CEE017D"/>
    <w:rsid w:val="5CF14DA4"/>
    <w:rsid w:val="5D27A84C"/>
    <w:rsid w:val="5DB26698"/>
    <w:rsid w:val="5DE2E5CC"/>
    <w:rsid w:val="5DEC7138"/>
    <w:rsid w:val="5E1A385F"/>
    <w:rsid w:val="5E63B26D"/>
    <w:rsid w:val="5E849522"/>
    <w:rsid w:val="5EA1D330"/>
    <w:rsid w:val="5EE2211C"/>
    <w:rsid w:val="5EE4F01C"/>
    <w:rsid w:val="5EEE4F3A"/>
    <w:rsid w:val="5F151324"/>
    <w:rsid w:val="5FC88F2C"/>
    <w:rsid w:val="60146655"/>
    <w:rsid w:val="60389DE9"/>
    <w:rsid w:val="60986E71"/>
    <w:rsid w:val="60E02DDD"/>
    <w:rsid w:val="612595F5"/>
    <w:rsid w:val="621FC0D4"/>
    <w:rsid w:val="625B8CE1"/>
    <w:rsid w:val="627518A5"/>
    <w:rsid w:val="62DC9F09"/>
    <w:rsid w:val="62FABBDD"/>
    <w:rsid w:val="630D25AA"/>
    <w:rsid w:val="638B0041"/>
    <w:rsid w:val="63C48C62"/>
    <w:rsid w:val="640EF290"/>
    <w:rsid w:val="6419D8E8"/>
    <w:rsid w:val="6453DF15"/>
    <w:rsid w:val="6468D96B"/>
    <w:rsid w:val="648F7C71"/>
    <w:rsid w:val="649C7896"/>
    <w:rsid w:val="64BA91D6"/>
    <w:rsid w:val="64CCDDA0"/>
    <w:rsid w:val="64D267BC"/>
    <w:rsid w:val="64DFF8A2"/>
    <w:rsid w:val="64E7669F"/>
    <w:rsid w:val="650323C2"/>
    <w:rsid w:val="652E3D6B"/>
    <w:rsid w:val="652EDF0C"/>
    <w:rsid w:val="65517E43"/>
    <w:rsid w:val="6563051F"/>
    <w:rsid w:val="6565C107"/>
    <w:rsid w:val="65DAC159"/>
    <w:rsid w:val="65EC99DD"/>
    <w:rsid w:val="65F845DF"/>
    <w:rsid w:val="663F1797"/>
    <w:rsid w:val="664F6C92"/>
    <w:rsid w:val="6655D8A3"/>
    <w:rsid w:val="66AC8E2F"/>
    <w:rsid w:val="66E5050D"/>
    <w:rsid w:val="66F8B8CE"/>
    <w:rsid w:val="67698756"/>
    <w:rsid w:val="676BB0F1"/>
    <w:rsid w:val="6789F2FD"/>
    <w:rsid w:val="679547C9"/>
    <w:rsid w:val="68435B49"/>
    <w:rsid w:val="684EF8C4"/>
    <w:rsid w:val="68625198"/>
    <w:rsid w:val="6890F45B"/>
    <w:rsid w:val="68972740"/>
    <w:rsid w:val="68B170E0"/>
    <w:rsid w:val="69675215"/>
    <w:rsid w:val="697397BD"/>
    <w:rsid w:val="6997DD33"/>
    <w:rsid w:val="69B89E83"/>
    <w:rsid w:val="6A3A8412"/>
    <w:rsid w:val="6AA9FFCC"/>
    <w:rsid w:val="6ABA4BF4"/>
    <w:rsid w:val="6AE54966"/>
    <w:rsid w:val="6B3D0D38"/>
    <w:rsid w:val="6BBC8983"/>
    <w:rsid w:val="6BC62792"/>
    <w:rsid w:val="6BE677E4"/>
    <w:rsid w:val="6BF99564"/>
    <w:rsid w:val="6C54A6C0"/>
    <w:rsid w:val="6C658453"/>
    <w:rsid w:val="6CA8EBC8"/>
    <w:rsid w:val="6CA9C0B7"/>
    <w:rsid w:val="6CD2972B"/>
    <w:rsid w:val="6D0C5873"/>
    <w:rsid w:val="6D66FF92"/>
    <w:rsid w:val="6D89EA66"/>
    <w:rsid w:val="6DA48EF0"/>
    <w:rsid w:val="6DC04E6A"/>
    <w:rsid w:val="6E15878D"/>
    <w:rsid w:val="6E94CCCC"/>
    <w:rsid w:val="6EA01217"/>
    <w:rsid w:val="6EC006B9"/>
    <w:rsid w:val="6ECA032E"/>
    <w:rsid w:val="6EE8DAD6"/>
    <w:rsid w:val="6EEBD7D9"/>
    <w:rsid w:val="6F069524"/>
    <w:rsid w:val="6F614771"/>
    <w:rsid w:val="6FA2FF1D"/>
    <w:rsid w:val="6FB74F46"/>
    <w:rsid w:val="6FE4A351"/>
    <w:rsid w:val="6FF9805F"/>
    <w:rsid w:val="70064086"/>
    <w:rsid w:val="701EFAE7"/>
    <w:rsid w:val="7071484C"/>
    <w:rsid w:val="70A08D88"/>
    <w:rsid w:val="70AAA071"/>
    <w:rsid w:val="7136E8CE"/>
    <w:rsid w:val="7199E26A"/>
    <w:rsid w:val="71B9995F"/>
    <w:rsid w:val="71DC476C"/>
    <w:rsid w:val="71F73B0F"/>
    <w:rsid w:val="7206FE24"/>
    <w:rsid w:val="728588F6"/>
    <w:rsid w:val="72BFC745"/>
    <w:rsid w:val="72D8713E"/>
    <w:rsid w:val="72F99F4F"/>
    <w:rsid w:val="72FAA706"/>
    <w:rsid w:val="7301BE20"/>
    <w:rsid w:val="737AD4F2"/>
    <w:rsid w:val="743C0428"/>
    <w:rsid w:val="744E774C"/>
    <w:rsid w:val="745276B1"/>
    <w:rsid w:val="746C101C"/>
    <w:rsid w:val="74752034"/>
    <w:rsid w:val="7478CF93"/>
    <w:rsid w:val="748D2A41"/>
    <w:rsid w:val="7493D1CA"/>
    <w:rsid w:val="74A6DD60"/>
    <w:rsid w:val="74D679C3"/>
    <w:rsid w:val="75227363"/>
    <w:rsid w:val="7523FC68"/>
    <w:rsid w:val="75279823"/>
    <w:rsid w:val="7545BBA9"/>
    <w:rsid w:val="75777CEB"/>
    <w:rsid w:val="758E5452"/>
    <w:rsid w:val="75D22F57"/>
    <w:rsid w:val="75D4175A"/>
    <w:rsid w:val="7606B0D7"/>
    <w:rsid w:val="761AF366"/>
    <w:rsid w:val="765446E4"/>
    <w:rsid w:val="76A8F967"/>
    <w:rsid w:val="76B10B87"/>
    <w:rsid w:val="76C68551"/>
    <w:rsid w:val="76E3A115"/>
    <w:rsid w:val="76F7C533"/>
    <w:rsid w:val="770FF228"/>
    <w:rsid w:val="777CC62F"/>
    <w:rsid w:val="7791395D"/>
    <w:rsid w:val="77DE663C"/>
    <w:rsid w:val="7812A5A5"/>
    <w:rsid w:val="7814FB3F"/>
    <w:rsid w:val="782B1414"/>
    <w:rsid w:val="784BF2A4"/>
    <w:rsid w:val="78773962"/>
    <w:rsid w:val="788B5855"/>
    <w:rsid w:val="7897EEBD"/>
    <w:rsid w:val="78EADD35"/>
    <w:rsid w:val="78FA1DF5"/>
    <w:rsid w:val="79504F21"/>
    <w:rsid w:val="79AC20E5"/>
    <w:rsid w:val="79ACBD4E"/>
    <w:rsid w:val="7A0E3D0D"/>
    <w:rsid w:val="7A3E1D85"/>
    <w:rsid w:val="7A786494"/>
    <w:rsid w:val="7AD1710E"/>
    <w:rsid w:val="7AE64339"/>
    <w:rsid w:val="7B071DFC"/>
    <w:rsid w:val="7BAB1382"/>
    <w:rsid w:val="7BB06AE2"/>
    <w:rsid w:val="7BB1EE95"/>
    <w:rsid w:val="7BDDA40B"/>
    <w:rsid w:val="7BFB39F0"/>
    <w:rsid w:val="7C02091E"/>
    <w:rsid w:val="7C16159E"/>
    <w:rsid w:val="7C6406F0"/>
    <w:rsid w:val="7C935DCB"/>
    <w:rsid w:val="7CAEB4AB"/>
    <w:rsid w:val="7CC68412"/>
    <w:rsid w:val="7CE5EF37"/>
    <w:rsid w:val="7D19CBA7"/>
    <w:rsid w:val="7D6A78DF"/>
    <w:rsid w:val="7D8245AA"/>
    <w:rsid w:val="7DE52E9C"/>
    <w:rsid w:val="7E10E069"/>
    <w:rsid w:val="7E283949"/>
    <w:rsid w:val="7E803FE7"/>
    <w:rsid w:val="7F5CEE06"/>
    <w:rsid w:val="7F80625C"/>
    <w:rsid w:val="7FA53406"/>
    <w:rsid w:val="7FC448DD"/>
    <w:rsid w:val="7FEBC3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0293"/>
  <w15:chartTrackingRefBased/>
  <w15:docId w15:val="{CFEE2326-2032-4330-8B4D-B097609A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DF"/>
    <w:pPr>
      <w:spacing w:after="120" w:line="320" w:lineRule="atLeast"/>
    </w:pPr>
  </w:style>
  <w:style w:type="paragraph" w:styleId="Heading1">
    <w:name w:val="heading 1"/>
    <w:basedOn w:val="Normal"/>
    <w:next w:val="Normal"/>
    <w:link w:val="Heading1Char"/>
    <w:uiPriority w:val="9"/>
    <w:qFormat/>
    <w:rsid w:val="00CF6360"/>
    <w:pPr>
      <w:keepNext/>
      <w:keepLines/>
      <w:spacing w:before="360" w:after="80"/>
      <w:outlineLvl w:val="0"/>
    </w:pPr>
    <w:rPr>
      <w:rFonts w:asciiTheme="majorHAnsi" w:eastAsiaTheme="majorEastAsia" w:hAnsiTheme="majorHAnsi" w:cstheme="majorBidi"/>
      <w:color w:val="181A6D" w:themeColor="accent1" w:themeShade="BF"/>
      <w:sz w:val="40"/>
      <w:szCs w:val="40"/>
    </w:rPr>
  </w:style>
  <w:style w:type="paragraph" w:styleId="Heading2">
    <w:name w:val="heading 2"/>
    <w:basedOn w:val="Normal"/>
    <w:next w:val="Normal"/>
    <w:link w:val="Heading2Char"/>
    <w:uiPriority w:val="9"/>
    <w:unhideWhenUsed/>
    <w:qFormat/>
    <w:rsid w:val="00CF6360"/>
    <w:pPr>
      <w:keepNext/>
      <w:keepLines/>
      <w:spacing w:before="160" w:after="80"/>
      <w:outlineLvl w:val="1"/>
    </w:pPr>
    <w:rPr>
      <w:rFonts w:asciiTheme="majorHAnsi" w:eastAsiaTheme="majorEastAsia" w:hAnsiTheme="majorHAnsi" w:cstheme="majorBidi"/>
      <w:color w:val="181A6D" w:themeColor="accent1" w:themeShade="BF"/>
      <w:sz w:val="32"/>
      <w:szCs w:val="32"/>
    </w:rPr>
  </w:style>
  <w:style w:type="paragraph" w:styleId="Heading3">
    <w:name w:val="heading 3"/>
    <w:basedOn w:val="Normal"/>
    <w:next w:val="Normal"/>
    <w:link w:val="Heading3Char"/>
    <w:uiPriority w:val="9"/>
    <w:unhideWhenUsed/>
    <w:qFormat/>
    <w:rsid w:val="00CF6360"/>
    <w:pPr>
      <w:keepNext/>
      <w:keepLines/>
      <w:spacing w:before="160" w:after="80"/>
      <w:outlineLvl w:val="2"/>
    </w:pPr>
    <w:rPr>
      <w:rFonts w:eastAsiaTheme="majorEastAsia" w:cstheme="majorBidi"/>
      <w:color w:val="181A6D" w:themeColor="accent1" w:themeShade="BF"/>
      <w:sz w:val="28"/>
      <w:szCs w:val="28"/>
    </w:rPr>
  </w:style>
  <w:style w:type="paragraph" w:styleId="Heading4">
    <w:name w:val="heading 4"/>
    <w:basedOn w:val="Normal"/>
    <w:next w:val="Normal"/>
    <w:link w:val="Heading4Char"/>
    <w:uiPriority w:val="9"/>
    <w:unhideWhenUsed/>
    <w:qFormat/>
    <w:rsid w:val="00CF6360"/>
    <w:pPr>
      <w:keepNext/>
      <w:keepLines/>
      <w:spacing w:before="80" w:after="40"/>
      <w:outlineLvl w:val="3"/>
    </w:pPr>
    <w:rPr>
      <w:rFonts w:eastAsiaTheme="majorEastAsia" w:cstheme="majorBidi"/>
      <w:i/>
      <w:iCs/>
      <w:color w:val="181A6D" w:themeColor="accent1" w:themeShade="BF"/>
    </w:rPr>
  </w:style>
  <w:style w:type="paragraph" w:styleId="Heading5">
    <w:name w:val="heading 5"/>
    <w:basedOn w:val="Normal"/>
    <w:next w:val="Normal"/>
    <w:link w:val="Heading5Char"/>
    <w:uiPriority w:val="9"/>
    <w:semiHidden/>
    <w:unhideWhenUsed/>
    <w:qFormat/>
    <w:rsid w:val="00CF6360"/>
    <w:pPr>
      <w:keepNext/>
      <w:keepLines/>
      <w:spacing w:before="80" w:after="40"/>
      <w:outlineLvl w:val="4"/>
    </w:pPr>
    <w:rPr>
      <w:rFonts w:eastAsiaTheme="majorEastAsia" w:cstheme="majorBidi"/>
      <w:color w:val="181A6D" w:themeColor="accent1" w:themeShade="BF"/>
    </w:rPr>
  </w:style>
  <w:style w:type="paragraph" w:styleId="Heading6">
    <w:name w:val="heading 6"/>
    <w:basedOn w:val="Normal"/>
    <w:next w:val="Normal"/>
    <w:link w:val="Heading6Char"/>
    <w:uiPriority w:val="9"/>
    <w:semiHidden/>
    <w:unhideWhenUsed/>
    <w:qFormat/>
    <w:rsid w:val="00CF6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360"/>
    <w:rPr>
      <w:rFonts w:asciiTheme="majorHAnsi" w:eastAsiaTheme="majorEastAsia" w:hAnsiTheme="majorHAnsi" w:cstheme="majorBidi"/>
      <w:color w:val="181A6D" w:themeColor="accent1" w:themeShade="BF"/>
      <w:sz w:val="40"/>
      <w:szCs w:val="40"/>
    </w:rPr>
  </w:style>
  <w:style w:type="character" w:customStyle="1" w:styleId="Heading2Char">
    <w:name w:val="Heading 2 Char"/>
    <w:basedOn w:val="DefaultParagraphFont"/>
    <w:link w:val="Heading2"/>
    <w:uiPriority w:val="9"/>
    <w:rsid w:val="00CF6360"/>
    <w:rPr>
      <w:rFonts w:asciiTheme="majorHAnsi" w:eastAsiaTheme="majorEastAsia" w:hAnsiTheme="majorHAnsi" w:cstheme="majorBidi"/>
      <w:color w:val="181A6D" w:themeColor="accent1" w:themeShade="BF"/>
      <w:sz w:val="32"/>
      <w:szCs w:val="32"/>
    </w:rPr>
  </w:style>
  <w:style w:type="character" w:customStyle="1" w:styleId="Heading3Char">
    <w:name w:val="Heading 3 Char"/>
    <w:basedOn w:val="DefaultParagraphFont"/>
    <w:link w:val="Heading3"/>
    <w:uiPriority w:val="9"/>
    <w:rsid w:val="00CF6360"/>
    <w:rPr>
      <w:rFonts w:eastAsiaTheme="majorEastAsia" w:cstheme="majorBidi"/>
      <w:color w:val="181A6D" w:themeColor="accent1" w:themeShade="BF"/>
      <w:sz w:val="28"/>
      <w:szCs w:val="28"/>
    </w:rPr>
  </w:style>
  <w:style w:type="character" w:customStyle="1" w:styleId="Heading4Char">
    <w:name w:val="Heading 4 Char"/>
    <w:basedOn w:val="DefaultParagraphFont"/>
    <w:link w:val="Heading4"/>
    <w:uiPriority w:val="9"/>
    <w:rsid w:val="00CF6360"/>
    <w:rPr>
      <w:rFonts w:eastAsiaTheme="majorEastAsia" w:cstheme="majorBidi"/>
      <w:i/>
      <w:iCs/>
      <w:color w:val="181A6D" w:themeColor="accent1" w:themeShade="BF"/>
    </w:rPr>
  </w:style>
  <w:style w:type="character" w:customStyle="1" w:styleId="Heading5Char">
    <w:name w:val="Heading 5 Char"/>
    <w:basedOn w:val="DefaultParagraphFont"/>
    <w:link w:val="Heading5"/>
    <w:uiPriority w:val="9"/>
    <w:semiHidden/>
    <w:rsid w:val="00CF6360"/>
    <w:rPr>
      <w:rFonts w:eastAsiaTheme="majorEastAsia" w:cstheme="majorBidi"/>
      <w:color w:val="181A6D" w:themeColor="accent1" w:themeShade="BF"/>
    </w:rPr>
  </w:style>
  <w:style w:type="character" w:customStyle="1" w:styleId="Heading6Char">
    <w:name w:val="Heading 6 Char"/>
    <w:basedOn w:val="DefaultParagraphFont"/>
    <w:link w:val="Heading6"/>
    <w:uiPriority w:val="9"/>
    <w:semiHidden/>
    <w:rsid w:val="00CF6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360"/>
    <w:rPr>
      <w:rFonts w:eastAsiaTheme="majorEastAsia" w:cstheme="majorBidi"/>
      <w:color w:val="272727" w:themeColor="text1" w:themeTint="D8"/>
    </w:rPr>
  </w:style>
  <w:style w:type="paragraph" w:styleId="Title">
    <w:name w:val="Title"/>
    <w:basedOn w:val="Normal"/>
    <w:next w:val="Normal"/>
    <w:link w:val="TitleChar"/>
    <w:uiPriority w:val="10"/>
    <w:qFormat/>
    <w:rsid w:val="00CF6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360"/>
    <w:pPr>
      <w:spacing w:before="160"/>
      <w:jc w:val="center"/>
    </w:pPr>
    <w:rPr>
      <w:i/>
      <w:iCs/>
      <w:color w:val="404040" w:themeColor="text1" w:themeTint="BF"/>
    </w:rPr>
  </w:style>
  <w:style w:type="character" w:customStyle="1" w:styleId="QuoteChar">
    <w:name w:val="Quote Char"/>
    <w:basedOn w:val="DefaultParagraphFont"/>
    <w:link w:val="Quote"/>
    <w:uiPriority w:val="29"/>
    <w:rsid w:val="00CF6360"/>
    <w:rPr>
      <w:i/>
      <w:iCs/>
      <w:color w:val="404040" w:themeColor="text1" w:themeTint="BF"/>
    </w:rPr>
  </w:style>
  <w:style w:type="paragraph" w:styleId="ListParagraph">
    <w:name w:val="List Paragraph"/>
    <w:aliases w:val="CAB - List Bullet,LP,List Bullet Cab,List Paragraph1,List1,Normal paragraph text,cS List Paragraph,SEP List Paragraph,Recommendation,Bullet point,Bullets,CV text,Dot pt,F5 List Paragraph,FooterText,L,List Paragraph11,List Paragraph111,列,l"/>
    <w:basedOn w:val="Normal"/>
    <w:link w:val="ListParagraphChar"/>
    <w:uiPriority w:val="34"/>
    <w:qFormat/>
    <w:rsid w:val="00CF6360"/>
    <w:pPr>
      <w:ind w:left="720"/>
      <w:contextualSpacing/>
    </w:pPr>
  </w:style>
  <w:style w:type="character" w:styleId="IntenseEmphasis">
    <w:name w:val="Intense Emphasis"/>
    <w:basedOn w:val="DefaultParagraphFont"/>
    <w:uiPriority w:val="21"/>
    <w:qFormat/>
    <w:rsid w:val="00CF6360"/>
    <w:rPr>
      <w:i/>
      <w:iCs/>
      <w:color w:val="181A6D" w:themeColor="accent1" w:themeShade="BF"/>
    </w:rPr>
  </w:style>
  <w:style w:type="paragraph" w:styleId="IntenseQuote">
    <w:name w:val="Intense Quote"/>
    <w:basedOn w:val="Normal"/>
    <w:next w:val="Normal"/>
    <w:link w:val="IntenseQuoteChar"/>
    <w:uiPriority w:val="30"/>
    <w:qFormat/>
    <w:rsid w:val="00CF6360"/>
    <w:pPr>
      <w:pBdr>
        <w:top w:val="single" w:sz="4" w:space="10" w:color="181A6D" w:themeColor="accent1" w:themeShade="BF"/>
        <w:bottom w:val="single" w:sz="4" w:space="10" w:color="181A6D" w:themeColor="accent1" w:themeShade="BF"/>
      </w:pBdr>
      <w:spacing w:before="360" w:after="360"/>
      <w:ind w:left="864" w:right="864"/>
      <w:jc w:val="center"/>
    </w:pPr>
    <w:rPr>
      <w:i/>
      <w:iCs/>
      <w:color w:val="181A6D" w:themeColor="accent1" w:themeShade="BF"/>
    </w:rPr>
  </w:style>
  <w:style w:type="character" w:customStyle="1" w:styleId="IntenseQuoteChar">
    <w:name w:val="Intense Quote Char"/>
    <w:basedOn w:val="DefaultParagraphFont"/>
    <w:link w:val="IntenseQuote"/>
    <w:uiPriority w:val="30"/>
    <w:rsid w:val="00CF6360"/>
    <w:rPr>
      <w:i/>
      <w:iCs/>
      <w:color w:val="181A6D" w:themeColor="accent1" w:themeShade="BF"/>
    </w:rPr>
  </w:style>
  <w:style w:type="character" w:styleId="IntenseReference">
    <w:name w:val="Intense Reference"/>
    <w:basedOn w:val="DefaultParagraphFont"/>
    <w:uiPriority w:val="32"/>
    <w:qFormat/>
    <w:rsid w:val="00CF6360"/>
    <w:rPr>
      <w:b/>
      <w:bCs/>
      <w:smallCaps/>
      <w:color w:val="181A6D" w:themeColor="accent1" w:themeShade="BF"/>
      <w:spacing w:val="5"/>
    </w:rPr>
  </w:style>
  <w:style w:type="character" w:customStyle="1" w:styleId="ListParagraphChar">
    <w:name w:val="List Paragraph Char"/>
    <w:aliases w:val="CAB - List Bullet Char,LP Char,List Bullet Cab Char,List Paragraph1 Char,List1 Char,Normal paragraph text Char,cS List Paragraph Char,SEP List Paragraph Char,Recommendation Char,Bullet point Char,Bullets Char,CV text Char,Dot pt Char"/>
    <w:link w:val="ListParagraph"/>
    <w:uiPriority w:val="34"/>
    <w:qFormat/>
    <w:rsid w:val="00AA7CD8"/>
  </w:style>
  <w:style w:type="table" w:styleId="TableGrid">
    <w:name w:val="Table Grid"/>
    <w:aliases w:val="Table No Border"/>
    <w:basedOn w:val="TableNormal"/>
    <w:uiPriority w:val="39"/>
    <w:rsid w:val="003F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D07"/>
    <w:rPr>
      <w:color w:val="0000FF" w:themeColor="hyperlink"/>
      <w:u w:val="single"/>
    </w:rPr>
  </w:style>
  <w:style w:type="character" w:styleId="CommentReference">
    <w:name w:val="annotation reference"/>
    <w:basedOn w:val="DefaultParagraphFont"/>
    <w:uiPriority w:val="99"/>
    <w:semiHidden/>
    <w:unhideWhenUsed/>
    <w:rsid w:val="003F4D07"/>
    <w:rPr>
      <w:sz w:val="16"/>
      <w:szCs w:val="16"/>
    </w:rPr>
  </w:style>
  <w:style w:type="paragraph" w:styleId="CommentText">
    <w:name w:val="annotation text"/>
    <w:basedOn w:val="Normal"/>
    <w:link w:val="CommentTextChar"/>
    <w:uiPriority w:val="99"/>
    <w:unhideWhenUsed/>
    <w:rsid w:val="003F4D07"/>
    <w:pPr>
      <w:spacing w:line="240" w:lineRule="auto"/>
    </w:pPr>
    <w:rPr>
      <w:szCs w:val="20"/>
    </w:rPr>
  </w:style>
  <w:style w:type="character" w:customStyle="1" w:styleId="CommentTextChar">
    <w:name w:val="Comment Text Char"/>
    <w:basedOn w:val="DefaultParagraphFont"/>
    <w:link w:val="CommentText"/>
    <w:uiPriority w:val="99"/>
    <w:rsid w:val="003F4D07"/>
    <w:rPr>
      <w:sz w:val="20"/>
      <w:szCs w:val="20"/>
    </w:rPr>
  </w:style>
  <w:style w:type="paragraph" w:styleId="CommentSubject">
    <w:name w:val="annotation subject"/>
    <w:basedOn w:val="CommentText"/>
    <w:next w:val="CommentText"/>
    <w:link w:val="CommentSubjectChar"/>
    <w:uiPriority w:val="99"/>
    <w:semiHidden/>
    <w:unhideWhenUsed/>
    <w:rsid w:val="003F4D07"/>
    <w:rPr>
      <w:b/>
      <w:bCs/>
    </w:rPr>
  </w:style>
  <w:style w:type="character" w:customStyle="1" w:styleId="CommentSubjectChar">
    <w:name w:val="Comment Subject Char"/>
    <w:basedOn w:val="CommentTextChar"/>
    <w:link w:val="CommentSubject"/>
    <w:uiPriority w:val="99"/>
    <w:semiHidden/>
    <w:rsid w:val="003F4D07"/>
    <w:rPr>
      <w:b/>
      <w:bCs/>
      <w:sz w:val="20"/>
      <w:szCs w:val="20"/>
    </w:rPr>
  </w:style>
  <w:style w:type="character" w:styleId="UnresolvedMention">
    <w:name w:val="Unresolved Mention"/>
    <w:basedOn w:val="DefaultParagraphFont"/>
    <w:uiPriority w:val="99"/>
    <w:semiHidden/>
    <w:unhideWhenUsed/>
    <w:rsid w:val="009C6C85"/>
    <w:rPr>
      <w:color w:val="605E5C"/>
      <w:shd w:val="clear" w:color="auto" w:fill="E1DFDD"/>
    </w:rPr>
  </w:style>
  <w:style w:type="paragraph" w:styleId="Caption">
    <w:name w:val="caption"/>
    <w:basedOn w:val="Normal"/>
    <w:next w:val="Normal"/>
    <w:uiPriority w:val="35"/>
    <w:unhideWhenUsed/>
    <w:qFormat/>
    <w:rsid w:val="002055C3"/>
    <w:pPr>
      <w:tabs>
        <w:tab w:val="left" w:pos="1134"/>
      </w:tabs>
      <w:spacing w:before="240" w:after="200" w:line="240" w:lineRule="auto"/>
    </w:pPr>
    <w:rPr>
      <w:i/>
      <w:iCs/>
      <w:color w:val="1F497D" w:themeColor="text2"/>
      <w:sz w:val="20"/>
      <w:szCs w:val="18"/>
    </w:rPr>
  </w:style>
  <w:style w:type="paragraph" w:customStyle="1" w:styleId="Tabletext">
    <w:name w:val="Table text"/>
    <w:basedOn w:val="NormalWeb"/>
    <w:link w:val="TabletextChar"/>
    <w:qFormat/>
    <w:rsid w:val="002055C3"/>
    <w:pPr>
      <w:spacing w:after="60" w:line="240" w:lineRule="atLeast"/>
      <w:ind w:left="6" w:right="6"/>
    </w:pPr>
    <w:rPr>
      <w:rFonts w:ascii="Arial" w:hAnsi="Arial" w:cs="Arial"/>
      <w:sz w:val="18"/>
      <w:szCs w:val="18"/>
    </w:rPr>
  </w:style>
  <w:style w:type="character" w:customStyle="1" w:styleId="TabletextChar">
    <w:name w:val="Table text Char"/>
    <w:basedOn w:val="DefaultParagraphFont"/>
    <w:link w:val="Tabletext"/>
    <w:rsid w:val="002055C3"/>
    <w:rPr>
      <w:rFonts w:ascii="Arial" w:hAnsi="Arial" w:cs="Arial"/>
      <w:sz w:val="18"/>
      <w:szCs w:val="18"/>
    </w:rPr>
  </w:style>
  <w:style w:type="paragraph" w:styleId="NormalWeb">
    <w:name w:val="Normal (Web)"/>
    <w:basedOn w:val="Normal"/>
    <w:uiPriority w:val="99"/>
    <w:semiHidden/>
    <w:unhideWhenUsed/>
    <w:rsid w:val="002055C3"/>
    <w:rPr>
      <w:rFonts w:ascii="Times New Roman" w:hAnsi="Times New Roman" w:cs="Times New Roman"/>
    </w:rPr>
  </w:style>
  <w:style w:type="paragraph" w:styleId="Revision">
    <w:name w:val="Revision"/>
    <w:hidden/>
    <w:uiPriority w:val="99"/>
    <w:semiHidden/>
    <w:rsid w:val="002370F2"/>
    <w:pPr>
      <w:spacing w:after="0" w:line="240" w:lineRule="auto"/>
    </w:pPr>
  </w:style>
  <w:style w:type="paragraph" w:styleId="FootnoteText">
    <w:name w:val="footnote text"/>
    <w:basedOn w:val="Normal"/>
    <w:link w:val="FootnoteTextChar"/>
    <w:uiPriority w:val="99"/>
    <w:semiHidden/>
    <w:unhideWhenUsed/>
    <w:rsid w:val="005E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9AB"/>
    <w:rPr>
      <w:sz w:val="20"/>
      <w:szCs w:val="20"/>
    </w:rPr>
  </w:style>
  <w:style w:type="character" w:styleId="FootnoteReference">
    <w:name w:val="footnote reference"/>
    <w:basedOn w:val="DefaultParagraphFont"/>
    <w:uiPriority w:val="99"/>
    <w:semiHidden/>
    <w:unhideWhenUsed/>
    <w:rsid w:val="005E09AB"/>
    <w:rPr>
      <w:vertAlign w:val="superscript"/>
    </w:rPr>
  </w:style>
  <w:style w:type="paragraph" w:styleId="Header">
    <w:name w:val="header"/>
    <w:basedOn w:val="Normal"/>
    <w:link w:val="HeaderChar"/>
    <w:uiPriority w:val="99"/>
    <w:unhideWhenUsed/>
    <w:rsid w:val="000A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FB2"/>
  </w:style>
  <w:style w:type="paragraph" w:styleId="Footer">
    <w:name w:val="footer"/>
    <w:basedOn w:val="Normal"/>
    <w:link w:val="FooterChar"/>
    <w:uiPriority w:val="99"/>
    <w:unhideWhenUsed/>
    <w:rsid w:val="000A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FB2"/>
  </w:style>
  <w:style w:type="character" w:styleId="Mention">
    <w:name w:val="Mention"/>
    <w:basedOn w:val="DefaultParagraphFont"/>
    <w:uiPriority w:val="99"/>
    <w:unhideWhenUsed/>
    <w:rsid w:val="005D4F0A"/>
    <w:rPr>
      <w:color w:val="2B579A"/>
      <w:shd w:val="clear" w:color="auto" w:fill="E1DFDD"/>
    </w:rPr>
  </w:style>
  <w:style w:type="character" w:styleId="FollowedHyperlink">
    <w:name w:val="FollowedHyperlink"/>
    <w:basedOn w:val="DefaultParagraphFont"/>
    <w:uiPriority w:val="99"/>
    <w:semiHidden/>
    <w:unhideWhenUsed/>
    <w:rsid w:val="00643DFB"/>
    <w:rPr>
      <w:color w:val="800080" w:themeColor="followedHyperlink"/>
      <w:u w:val="single"/>
    </w:rPr>
  </w:style>
  <w:style w:type="paragraph" w:customStyle="1" w:styleId="paragraph">
    <w:name w:val="paragraph"/>
    <w:basedOn w:val="Normal"/>
    <w:rsid w:val="00EF1B2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EF1B2A"/>
  </w:style>
  <w:style w:type="character" w:customStyle="1" w:styleId="eop">
    <w:name w:val="eop"/>
    <w:basedOn w:val="DefaultParagraphFont"/>
    <w:rsid w:val="00EF1B2A"/>
  </w:style>
  <w:style w:type="character" w:customStyle="1" w:styleId="scxw214191314">
    <w:name w:val="scxw214191314"/>
    <w:basedOn w:val="DefaultParagraphFont"/>
    <w:rsid w:val="004F6C60"/>
  </w:style>
  <w:style w:type="character" w:customStyle="1" w:styleId="tabchar">
    <w:name w:val="tabchar"/>
    <w:basedOn w:val="DefaultParagraphFont"/>
    <w:rsid w:val="004F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0305">
      <w:bodyDiv w:val="1"/>
      <w:marLeft w:val="0"/>
      <w:marRight w:val="0"/>
      <w:marTop w:val="0"/>
      <w:marBottom w:val="0"/>
      <w:divBdr>
        <w:top w:val="none" w:sz="0" w:space="0" w:color="auto"/>
        <w:left w:val="none" w:sz="0" w:space="0" w:color="auto"/>
        <w:bottom w:val="none" w:sz="0" w:space="0" w:color="auto"/>
        <w:right w:val="none" w:sz="0" w:space="0" w:color="auto"/>
      </w:divBdr>
    </w:div>
    <w:div w:id="51196727">
      <w:bodyDiv w:val="1"/>
      <w:marLeft w:val="0"/>
      <w:marRight w:val="0"/>
      <w:marTop w:val="0"/>
      <w:marBottom w:val="0"/>
      <w:divBdr>
        <w:top w:val="none" w:sz="0" w:space="0" w:color="auto"/>
        <w:left w:val="none" w:sz="0" w:space="0" w:color="auto"/>
        <w:bottom w:val="none" w:sz="0" w:space="0" w:color="auto"/>
        <w:right w:val="none" w:sz="0" w:space="0" w:color="auto"/>
      </w:divBdr>
    </w:div>
    <w:div w:id="94785823">
      <w:bodyDiv w:val="1"/>
      <w:marLeft w:val="0"/>
      <w:marRight w:val="0"/>
      <w:marTop w:val="0"/>
      <w:marBottom w:val="0"/>
      <w:divBdr>
        <w:top w:val="none" w:sz="0" w:space="0" w:color="auto"/>
        <w:left w:val="none" w:sz="0" w:space="0" w:color="auto"/>
        <w:bottom w:val="none" w:sz="0" w:space="0" w:color="auto"/>
        <w:right w:val="none" w:sz="0" w:space="0" w:color="auto"/>
      </w:divBdr>
    </w:div>
    <w:div w:id="168299807">
      <w:bodyDiv w:val="1"/>
      <w:marLeft w:val="0"/>
      <w:marRight w:val="0"/>
      <w:marTop w:val="0"/>
      <w:marBottom w:val="0"/>
      <w:divBdr>
        <w:top w:val="none" w:sz="0" w:space="0" w:color="auto"/>
        <w:left w:val="none" w:sz="0" w:space="0" w:color="auto"/>
        <w:bottom w:val="none" w:sz="0" w:space="0" w:color="auto"/>
        <w:right w:val="none" w:sz="0" w:space="0" w:color="auto"/>
      </w:divBdr>
    </w:div>
    <w:div w:id="250045808">
      <w:bodyDiv w:val="1"/>
      <w:marLeft w:val="0"/>
      <w:marRight w:val="0"/>
      <w:marTop w:val="0"/>
      <w:marBottom w:val="0"/>
      <w:divBdr>
        <w:top w:val="none" w:sz="0" w:space="0" w:color="auto"/>
        <w:left w:val="none" w:sz="0" w:space="0" w:color="auto"/>
        <w:bottom w:val="none" w:sz="0" w:space="0" w:color="auto"/>
        <w:right w:val="none" w:sz="0" w:space="0" w:color="auto"/>
      </w:divBdr>
    </w:div>
    <w:div w:id="345793084">
      <w:bodyDiv w:val="1"/>
      <w:marLeft w:val="0"/>
      <w:marRight w:val="0"/>
      <w:marTop w:val="0"/>
      <w:marBottom w:val="0"/>
      <w:divBdr>
        <w:top w:val="none" w:sz="0" w:space="0" w:color="auto"/>
        <w:left w:val="none" w:sz="0" w:space="0" w:color="auto"/>
        <w:bottom w:val="none" w:sz="0" w:space="0" w:color="auto"/>
        <w:right w:val="none" w:sz="0" w:space="0" w:color="auto"/>
      </w:divBdr>
    </w:div>
    <w:div w:id="390812850">
      <w:bodyDiv w:val="1"/>
      <w:marLeft w:val="0"/>
      <w:marRight w:val="0"/>
      <w:marTop w:val="0"/>
      <w:marBottom w:val="0"/>
      <w:divBdr>
        <w:top w:val="none" w:sz="0" w:space="0" w:color="auto"/>
        <w:left w:val="none" w:sz="0" w:space="0" w:color="auto"/>
        <w:bottom w:val="none" w:sz="0" w:space="0" w:color="auto"/>
        <w:right w:val="none" w:sz="0" w:space="0" w:color="auto"/>
      </w:divBdr>
    </w:div>
    <w:div w:id="413550676">
      <w:bodyDiv w:val="1"/>
      <w:marLeft w:val="0"/>
      <w:marRight w:val="0"/>
      <w:marTop w:val="0"/>
      <w:marBottom w:val="0"/>
      <w:divBdr>
        <w:top w:val="none" w:sz="0" w:space="0" w:color="auto"/>
        <w:left w:val="none" w:sz="0" w:space="0" w:color="auto"/>
        <w:bottom w:val="none" w:sz="0" w:space="0" w:color="auto"/>
        <w:right w:val="none" w:sz="0" w:space="0" w:color="auto"/>
      </w:divBdr>
    </w:div>
    <w:div w:id="449016521">
      <w:bodyDiv w:val="1"/>
      <w:marLeft w:val="0"/>
      <w:marRight w:val="0"/>
      <w:marTop w:val="0"/>
      <w:marBottom w:val="0"/>
      <w:divBdr>
        <w:top w:val="none" w:sz="0" w:space="0" w:color="auto"/>
        <w:left w:val="none" w:sz="0" w:space="0" w:color="auto"/>
        <w:bottom w:val="none" w:sz="0" w:space="0" w:color="auto"/>
        <w:right w:val="none" w:sz="0" w:space="0" w:color="auto"/>
      </w:divBdr>
    </w:div>
    <w:div w:id="459963082">
      <w:bodyDiv w:val="1"/>
      <w:marLeft w:val="0"/>
      <w:marRight w:val="0"/>
      <w:marTop w:val="0"/>
      <w:marBottom w:val="0"/>
      <w:divBdr>
        <w:top w:val="none" w:sz="0" w:space="0" w:color="auto"/>
        <w:left w:val="none" w:sz="0" w:space="0" w:color="auto"/>
        <w:bottom w:val="none" w:sz="0" w:space="0" w:color="auto"/>
        <w:right w:val="none" w:sz="0" w:space="0" w:color="auto"/>
      </w:divBdr>
    </w:div>
    <w:div w:id="484514153">
      <w:bodyDiv w:val="1"/>
      <w:marLeft w:val="0"/>
      <w:marRight w:val="0"/>
      <w:marTop w:val="0"/>
      <w:marBottom w:val="0"/>
      <w:divBdr>
        <w:top w:val="none" w:sz="0" w:space="0" w:color="auto"/>
        <w:left w:val="none" w:sz="0" w:space="0" w:color="auto"/>
        <w:bottom w:val="none" w:sz="0" w:space="0" w:color="auto"/>
        <w:right w:val="none" w:sz="0" w:space="0" w:color="auto"/>
      </w:divBdr>
    </w:div>
    <w:div w:id="520554489">
      <w:bodyDiv w:val="1"/>
      <w:marLeft w:val="0"/>
      <w:marRight w:val="0"/>
      <w:marTop w:val="0"/>
      <w:marBottom w:val="0"/>
      <w:divBdr>
        <w:top w:val="none" w:sz="0" w:space="0" w:color="auto"/>
        <w:left w:val="none" w:sz="0" w:space="0" w:color="auto"/>
        <w:bottom w:val="none" w:sz="0" w:space="0" w:color="auto"/>
        <w:right w:val="none" w:sz="0" w:space="0" w:color="auto"/>
      </w:divBdr>
    </w:div>
    <w:div w:id="579750841">
      <w:bodyDiv w:val="1"/>
      <w:marLeft w:val="0"/>
      <w:marRight w:val="0"/>
      <w:marTop w:val="0"/>
      <w:marBottom w:val="0"/>
      <w:divBdr>
        <w:top w:val="none" w:sz="0" w:space="0" w:color="auto"/>
        <w:left w:val="none" w:sz="0" w:space="0" w:color="auto"/>
        <w:bottom w:val="none" w:sz="0" w:space="0" w:color="auto"/>
        <w:right w:val="none" w:sz="0" w:space="0" w:color="auto"/>
      </w:divBdr>
    </w:div>
    <w:div w:id="628366981">
      <w:bodyDiv w:val="1"/>
      <w:marLeft w:val="0"/>
      <w:marRight w:val="0"/>
      <w:marTop w:val="0"/>
      <w:marBottom w:val="0"/>
      <w:divBdr>
        <w:top w:val="none" w:sz="0" w:space="0" w:color="auto"/>
        <w:left w:val="none" w:sz="0" w:space="0" w:color="auto"/>
        <w:bottom w:val="none" w:sz="0" w:space="0" w:color="auto"/>
        <w:right w:val="none" w:sz="0" w:space="0" w:color="auto"/>
      </w:divBdr>
      <w:divsChild>
        <w:div w:id="107702997">
          <w:marLeft w:val="0"/>
          <w:marRight w:val="0"/>
          <w:marTop w:val="0"/>
          <w:marBottom w:val="0"/>
          <w:divBdr>
            <w:top w:val="none" w:sz="0" w:space="0" w:color="auto"/>
            <w:left w:val="none" w:sz="0" w:space="0" w:color="auto"/>
            <w:bottom w:val="none" w:sz="0" w:space="0" w:color="auto"/>
            <w:right w:val="none" w:sz="0" w:space="0" w:color="auto"/>
          </w:divBdr>
        </w:div>
        <w:div w:id="805322369">
          <w:marLeft w:val="0"/>
          <w:marRight w:val="0"/>
          <w:marTop w:val="0"/>
          <w:marBottom w:val="0"/>
          <w:divBdr>
            <w:top w:val="none" w:sz="0" w:space="0" w:color="auto"/>
            <w:left w:val="none" w:sz="0" w:space="0" w:color="auto"/>
            <w:bottom w:val="none" w:sz="0" w:space="0" w:color="auto"/>
            <w:right w:val="none" w:sz="0" w:space="0" w:color="auto"/>
          </w:divBdr>
        </w:div>
        <w:div w:id="1016149625">
          <w:marLeft w:val="0"/>
          <w:marRight w:val="0"/>
          <w:marTop w:val="0"/>
          <w:marBottom w:val="0"/>
          <w:divBdr>
            <w:top w:val="none" w:sz="0" w:space="0" w:color="auto"/>
            <w:left w:val="none" w:sz="0" w:space="0" w:color="auto"/>
            <w:bottom w:val="none" w:sz="0" w:space="0" w:color="auto"/>
            <w:right w:val="none" w:sz="0" w:space="0" w:color="auto"/>
          </w:divBdr>
        </w:div>
        <w:div w:id="1221283899">
          <w:marLeft w:val="0"/>
          <w:marRight w:val="0"/>
          <w:marTop w:val="0"/>
          <w:marBottom w:val="0"/>
          <w:divBdr>
            <w:top w:val="none" w:sz="0" w:space="0" w:color="auto"/>
            <w:left w:val="none" w:sz="0" w:space="0" w:color="auto"/>
            <w:bottom w:val="none" w:sz="0" w:space="0" w:color="auto"/>
            <w:right w:val="none" w:sz="0" w:space="0" w:color="auto"/>
          </w:divBdr>
        </w:div>
        <w:div w:id="1258172918">
          <w:marLeft w:val="0"/>
          <w:marRight w:val="0"/>
          <w:marTop w:val="0"/>
          <w:marBottom w:val="0"/>
          <w:divBdr>
            <w:top w:val="none" w:sz="0" w:space="0" w:color="auto"/>
            <w:left w:val="none" w:sz="0" w:space="0" w:color="auto"/>
            <w:bottom w:val="none" w:sz="0" w:space="0" w:color="auto"/>
            <w:right w:val="none" w:sz="0" w:space="0" w:color="auto"/>
          </w:divBdr>
        </w:div>
        <w:div w:id="1461073886">
          <w:marLeft w:val="0"/>
          <w:marRight w:val="0"/>
          <w:marTop w:val="0"/>
          <w:marBottom w:val="0"/>
          <w:divBdr>
            <w:top w:val="none" w:sz="0" w:space="0" w:color="auto"/>
            <w:left w:val="none" w:sz="0" w:space="0" w:color="auto"/>
            <w:bottom w:val="none" w:sz="0" w:space="0" w:color="auto"/>
            <w:right w:val="none" w:sz="0" w:space="0" w:color="auto"/>
          </w:divBdr>
        </w:div>
      </w:divsChild>
    </w:div>
    <w:div w:id="701630912">
      <w:bodyDiv w:val="1"/>
      <w:marLeft w:val="0"/>
      <w:marRight w:val="0"/>
      <w:marTop w:val="0"/>
      <w:marBottom w:val="0"/>
      <w:divBdr>
        <w:top w:val="none" w:sz="0" w:space="0" w:color="auto"/>
        <w:left w:val="none" w:sz="0" w:space="0" w:color="auto"/>
        <w:bottom w:val="none" w:sz="0" w:space="0" w:color="auto"/>
        <w:right w:val="none" w:sz="0" w:space="0" w:color="auto"/>
      </w:divBdr>
    </w:div>
    <w:div w:id="711003022">
      <w:bodyDiv w:val="1"/>
      <w:marLeft w:val="0"/>
      <w:marRight w:val="0"/>
      <w:marTop w:val="0"/>
      <w:marBottom w:val="0"/>
      <w:divBdr>
        <w:top w:val="none" w:sz="0" w:space="0" w:color="auto"/>
        <w:left w:val="none" w:sz="0" w:space="0" w:color="auto"/>
        <w:bottom w:val="none" w:sz="0" w:space="0" w:color="auto"/>
        <w:right w:val="none" w:sz="0" w:space="0" w:color="auto"/>
      </w:divBdr>
    </w:div>
    <w:div w:id="765266489">
      <w:bodyDiv w:val="1"/>
      <w:marLeft w:val="0"/>
      <w:marRight w:val="0"/>
      <w:marTop w:val="0"/>
      <w:marBottom w:val="0"/>
      <w:divBdr>
        <w:top w:val="none" w:sz="0" w:space="0" w:color="auto"/>
        <w:left w:val="none" w:sz="0" w:space="0" w:color="auto"/>
        <w:bottom w:val="none" w:sz="0" w:space="0" w:color="auto"/>
        <w:right w:val="none" w:sz="0" w:space="0" w:color="auto"/>
      </w:divBdr>
    </w:div>
    <w:div w:id="812452606">
      <w:bodyDiv w:val="1"/>
      <w:marLeft w:val="0"/>
      <w:marRight w:val="0"/>
      <w:marTop w:val="0"/>
      <w:marBottom w:val="0"/>
      <w:divBdr>
        <w:top w:val="none" w:sz="0" w:space="0" w:color="auto"/>
        <w:left w:val="none" w:sz="0" w:space="0" w:color="auto"/>
        <w:bottom w:val="none" w:sz="0" w:space="0" w:color="auto"/>
        <w:right w:val="none" w:sz="0" w:space="0" w:color="auto"/>
      </w:divBdr>
    </w:div>
    <w:div w:id="958343614">
      <w:bodyDiv w:val="1"/>
      <w:marLeft w:val="0"/>
      <w:marRight w:val="0"/>
      <w:marTop w:val="0"/>
      <w:marBottom w:val="0"/>
      <w:divBdr>
        <w:top w:val="none" w:sz="0" w:space="0" w:color="auto"/>
        <w:left w:val="none" w:sz="0" w:space="0" w:color="auto"/>
        <w:bottom w:val="none" w:sz="0" w:space="0" w:color="auto"/>
        <w:right w:val="none" w:sz="0" w:space="0" w:color="auto"/>
      </w:divBdr>
    </w:div>
    <w:div w:id="1033193910">
      <w:bodyDiv w:val="1"/>
      <w:marLeft w:val="0"/>
      <w:marRight w:val="0"/>
      <w:marTop w:val="0"/>
      <w:marBottom w:val="0"/>
      <w:divBdr>
        <w:top w:val="none" w:sz="0" w:space="0" w:color="auto"/>
        <w:left w:val="none" w:sz="0" w:space="0" w:color="auto"/>
        <w:bottom w:val="none" w:sz="0" w:space="0" w:color="auto"/>
        <w:right w:val="none" w:sz="0" w:space="0" w:color="auto"/>
      </w:divBdr>
    </w:div>
    <w:div w:id="1039862914">
      <w:bodyDiv w:val="1"/>
      <w:marLeft w:val="0"/>
      <w:marRight w:val="0"/>
      <w:marTop w:val="0"/>
      <w:marBottom w:val="0"/>
      <w:divBdr>
        <w:top w:val="none" w:sz="0" w:space="0" w:color="auto"/>
        <w:left w:val="none" w:sz="0" w:space="0" w:color="auto"/>
        <w:bottom w:val="none" w:sz="0" w:space="0" w:color="auto"/>
        <w:right w:val="none" w:sz="0" w:space="0" w:color="auto"/>
      </w:divBdr>
    </w:div>
    <w:div w:id="1097407427">
      <w:bodyDiv w:val="1"/>
      <w:marLeft w:val="0"/>
      <w:marRight w:val="0"/>
      <w:marTop w:val="0"/>
      <w:marBottom w:val="0"/>
      <w:divBdr>
        <w:top w:val="none" w:sz="0" w:space="0" w:color="auto"/>
        <w:left w:val="none" w:sz="0" w:space="0" w:color="auto"/>
        <w:bottom w:val="none" w:sz="0" w:space="0" w:color="auto"/>
        <w:right w:val="none" w:sz="0" w:space="0" w:color="auto"/>
      </w:divBdr>
    </w:div>
    <w:div w:id="1137838596">
      <w:bodyDiv w:val="1"/>
      <w:marLeft w:val="0"/>
      <w:marRight w:val="0"/>
      <w:marTop w:val="0"/>
      <w:marBottom w:val="0"/>
      <w:divBdr>
        <w:top w:val="none" w:sz="0" w:space="0" w:color="auto"/>
        <w:left w:val="none" w:sz="0" w:space="0" w:color="auto"/>
        <w:bottom w:val="none" w:sz="0" w:space="0" w:color="auto"/>
        <w:right w:val="none" w:sz="0" w:space="0" w:color="auto"/>
      </w:divBdr>
      <w:divsChild>
        <w:div w:id="1569802378">
          <w:marLeft w:val="0"/>
          <w:marRight w:val="0"/>
          <w:marTop w:val="0"/>
          <w:marBottom w:val="0"/>
          <w:divBdr>
            <w:top w:val="none" w:sz="0" w:space="0" w:color="auto"/>
            <w:left w:val="none" w:sz="0" w:space="0" w:color="auto"/>
            <w:bottom w:val="none" w:sz="0" w:space="0" w:color="auto"/>
            <w:right w:val="none" w:sz="0" w:space="0" w:color="auto"/>
          </w:divBdr>
        </w:div>
        <w:div w:id="2034186346">
          <w:marLeft w:val="0"/>
          <w:marRight w:val="0"/>
          <w:marTop w:val="0"/>
          <w:marBottom w:val="0"/>
          <w:divBdr>
            <w:top w:val="none" w:sz="0" w:space="0" w:color="auto"/>
            <w:left w:val="none" w:sz="0" w:space="0" w:color="auto"/>
            <w:bottom w:val="none" w:sz="0" w:space="0" w:color="auto"/>
            <w:right w:val="none" w:sz="0" w:space="0" w:color="auto"/>
          </w:divBdr>
        </w:div>
      </w:divsChild>
    </w:div>
    <w:div w:id="1203178491">
      <w:bodyDiv w:val="1"/>
      <w:marLeft w:val="0"/>
      <w:marRight w:val="0"/>
      <w:marTop w:val="0"/>
      <w:marBottom w:val="0"/>
      <w:divBdr>
        <w:top w:val="none" w:sz="0" w:space="0" w:color="auto"/>
        <w:left w:val="none" w:sz="0" w:space="0" w:color="auto"/>
        <w:bottom w:val="none" w:sz="0" w:space="0" w:color="auto"/>
        <w:right w:val="none" w:sz="0" w:space="0" w:color="auto"/>
      </w:divBdr>
      <w:divsChild>
        <w:div w:id="189533324">
          <w:marLeft w:val="0"/>
          <w:marRight w:val="0"/>
          <w:marTop w:val="0"/>
          <w:marBottom w:val="0"/>
          <w:divBdr>
            <w:top w:val="none" w:sz="0" w:space="0" w:color="auto"/>
            <w:left w:val="none" w:sz="0" w:space="0" w:color="auto"/>
            <w:bottom w:val="none" w:sz="0" w:space="0" w:color="auto"/>
            <w:right w:val="none" w:sz="0" w:space="0" w:color="auto"/>
          </w:divBdr>
        </w:div>
        <w:div w:id="1043142272">
          <w:marLeft w:val="0"/>
          <w:marRight w:val="0"/>
          <w:marTop w:val="0"/>
          <w:marBottom w:val="0"/>
          <w:divBdr>
            <w:top w:val="none" w:sz="0" w:space="0" w:color="auto"/>
            <w:left w:val="none" w:sz="0" w:space="0" w:color="auto"/>
            <w:bottom w:val="none" w:sz="0" w:space="0" w:color="auto"/>
            <w:right w:val="none" w:sz="0" w:space="0" w:color="auto"/>
          </w:divBdr>
        </w:div>
        <w:div w:id="1080055720">
          <w:marLeft w:val="0"/>
          <w:marRight w:val="0"/>
          <w:marTop w:val="0"/>
          <w:marBottom w:val="0"/>
          <w:divBdr>
            <w:top w:val="none" w:sz="0" w:space="0" w:color="auto"/>
            <w:left w:val="none" w:sz="0" w:space="0" w:color="auto"/>
            <w:bottom w:val="none" w:sz="0" w:space="0" w:color="auto"/>
            <w:right w:val="none" w:sz="0" w:space="0" w:color="auto"/>
          </w:divBdr>
        </w:div>
        <w:div w:id="1135220821">
          <w:marLeft w:val="0"/>
          <w:marRight w:val="0"/>
          <w:marTop w:val="0"/>
          <w:marBottom w:val="0"/>
          <w:divBdr>
            <w:top w:val="none" w:sz="0" w:space="0" w:color="auto"/>
            <w:left w:val="none" w:sz="0" w:space="0" w:color="auto"/>
            <w:bottom w:val="none" w:sz="0" w:space="0" w:color="auto"/>
            <w:right w:val="none" w:sz="0" w:space="0" w:color="auto"/>
          </w:divBdr>
        </w:div>
        <w:div w:id="1290623845">
          <w:marLeft w:val="0"/>
          <w:marRight w:val="0"/>
          <w:marTop w:val="0"/>
          <w:marBottom w:val="0"/>
          <w:divBdr>
            <w:top w:val="none" w:sz="0" w:space="0" w:color="auto"/>
            <w:left w:val="none" w:sz="0" w:space="0" w:color="auto"/>
            <w:bottom w:val="none" w:sz="0" w:space="0" w:color="auto"/>
            <w:right w:val="none" w:sz="0" w:space="0" w:color="auto"/>
          </w:divBdr>
        </w:div>
        <w:div w:id="1385374047">
          <w:marLeft w:val="0"/>
          <w:marRight w:val="0"/>
          <w:marTop w:val="0"/>
          <w:marBottom w:val="0"/>
          <w:divBdr>
            <w:top w:val="none" w:sz="0" w:space="0" w:color="auto"/>
            <w:left w:val="none" w:sz="0" w:space="0" w:color="auto"/>
            <w:bottom w:val="none" w:sz="0" w:space="0" w:color="auto"/>
            <w:right w:val="none" w:sz="0" w:space="0" w:color="auto"/>
          </w:divBdr>
        </w:div>
      </w:divsChild>
    </w:div>
    <w:div w:id="1248465932">
      <w:bodyDiv w:val="1"/>
      <w:marLeft w:val="0"/>
      <w:marRight w:val="0"/>
      <w:marTop w:val="0"/>
      <w:marBottom w:val="0"/>
      <w:divBdr>
        <w:top w:val="none" w:sz="0" w:space="0" w:color="auto"/>
        <w:left w:val="none" w:sz="0" w:space="0" w:color="auto"/>
        <w:bottom w:val="none" w:sz="0" w:space="0" w:color="auto"/>
        <w:right w:val="none" w:sz="0" w:space="0" w:color="auto"/>
      </w:divBdr>
    </w:div>
    <w:div w:id="1253514282">
      <w:bodyDiv w:val="1"/>
      <w:marLeft w:val="0"/>
      <w:marRight w:val="0"/>
      <w:marTop w:val="0"/>
      <w:marBottom w:val="0"/>
      <w:divBdr>
        <w:top w:val="none" w:sz="0" w:space="0" w:color="auto"/>
        <w:left w:val="none" w:sz="0" w:space="0" w:color="auto"/>
        <w:bottom w:val="none" w:sz="0" w:space="0" w:color="auto"/>
        <w:right w:val="none" w:sz="0" w:space="0" w:color="auto"/>
      </w:divBdr>
    </w:div>
    <w:div w:id="1301110152">
      <w:bodyDiv w:val="1"/>
      <w:marLeft w:val="0"/>
      <w:marRight w:val="0"/>
      <w:marTop w:val="0"/>
      <w:marBottom w:val="0"/>
      <w:divBdr>
        <w:top w:val="none" w:sz="0" w:space="0" w:color="auto"/>
        <w:left w:val="none" w:sz="0" w:space="0" w:color="auto"/>
        <w:bottom w:val="none" w:sz="0" w:space="0" w:color="auto"/>
        <w:right w:val="none" w:sz="0" w:space="0" w:color="auto"/>
      </w:divBdr>
    </w:div>
    <w:div w:id="1470439048">
      <w:bodyDiv w:val="1"/>
      <w:marLeft w:val="0"/>
      <w:marRight w:val="0"/>
      <w:marTop w:val="0"/>
      <w:marBottom w:val="0"/>
      <w:divBdr>
        <w:top w:val="none" w:sz="0" w:space="0" w:color="auto"/>
        <w:left w:val="none" w:sz="0" w:space="0" w:color="auto"/>
        <w:bottom w:val="none" w:sz="0" w:space="0" w:color="auto"/>
        <w:right w:val="none" w:sz="0" w:space="0" w:color="auto"/>
      </w:divBdr>
    </w:div>
    <w:div w:id="1613591157">
      <w:bodyDiv w:val="1"/>
      <w:marLeft w:val="0"/>
      <w:marRight w:val="0"/>
      <w:marTop w:val="0"/>
      <w:marBottom w:val="0"/>
      <w:divBdr>
        <w:top w:val="none" w:sz="0" w:space="0" w:color="auto"/>
        <w:left w:val="none" w:sz="0" w:space="0" w:color="auto"/>
        <w:bottom w:val="none" w:sz="0" w:space="0" w:color="auto"/>
        <w:right w:val="none" w:sz="0" w:space="0" w:color="auto"/>
      </w:divBdr>
      <w:divsChild>
        <w:div w:id="48355137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737291339">
          <w:marLeft w:val="0"/>
          <w:marRight w:val="0"/>
          <w:marTop w:val="0"/>
          <w:marBottom w:val="0"/>
          <w:divBdr>
            <w:top w:val="none" w:sz="0" w:space="0" w:color="auto"/>
            <w:left w:val="none" w:sz="0" w:space="0" w:color="auto"/>
            <w:bottom w:val="none" w:sz="0" w:space="0" w:color="auto"/>
            <w:right w:val="none" w:sz="0" w:space="0" w:color="auto"/>
          </w:divBdr>
        </w:div>
        <w:div w:id="1407453682">
          <w:marLeft w:val="0"/>
          <w:marRight w:val="0"/>
          <w:marTop w:val="0"/>
          <w:marBottom w:val="0"/>
          <w:divBdr>
            <w:top w:val="none" w:sz="0" w:space="0" w:color="auto"/>
            <w:left w:val="none" w:sz="0" w:space="0" w:color="auto"/>
            <w:bottom w:val="none" w:sz="0" w:space="0" w:color="auto"/>
            <w:right w:val="none" w:sz="0" w:space="0" w:color="auto"/>
          </w:divBdr>
        </w:div>
        <w:div w:id="1692485029">
          <w:marLeft w:val="0"/>
          <w:marRight w:val="0"/>
          <w:marTop w:val="0"/>
          <w:marBottom w:val="0"/>
          <w:divBdr>
            <w:top w:val="none" w:sz="0" w:space="0" w:color="auto"/>
            <w:left w:val="none" w:sz="0" w:space="0" w:color="auto"/>
            <w:bottom w:val="none" w:sz="0" w:space="0" w:color="auto"/>
            <w:right w:val="none" w:sz="0" w:space="0" w:color="auto"/>
          </w:divBdr>
        </w:div>
        <w:div w:id="1922594815">
          <w:marLeft w:val="0"/>
          <w:marRight w:val="0"/>
          <w:marTop w:val="0"/>
          <w:marBottom w:val="0"/>
          <w:divBdr>
            <w:top w:val="none" w:sz="0" w:space="0" w:color="auto"/>
            <w:left w:val="none" w:sz="0" w:space="0" w:color="auto"/>
            <w:bottom w:val="none" w:sz="0" w:space="0" w:color="auto"/>
            <w:right w:val="none" w:sz="0" w:space="0" w:color="auto"/>
          </w:divBdr>
        </w:div>
      </w:divsChild>
    </w:div>
    <w:div w:id="1707371523">
      <w:bodyDiv w:val="1"/>
      <w:marLeft w:val="0"/>
      <w:marRight w:val="0"/>
      <w:marTop w:val="0"/>
      <w:marBottom w:val="0"/>
      <w:divBdr>
        <w:top w:val="none" w:sz="0" w:space="0" w:color="auto"/>
        <w:left w:val="none" w:sz="0" w:space="0" w:color="auto"/>
        <w:bottom w:val="none" w:sz="0" w:space="0" w:color="auto"/>
        <w:right w:val="none" w:sz="0" w:space="0" w:color="auto"/>
      </w:divBdr>
      <w:divsChild>
        <w:div w:id="263349331">
          <w:marLeft w:val="0"/>
          <w:marRight w:val="0"/>
          <w:marTop w:val="0"/>
          <w:marBottom w:val="0"/>
          <w:divBdr>
            <w:top w:val="none" w:sz="0" w:space="0" w:color="auto"/>
            <w:left w:val="none" w:sz="0" w:space="0" w:color="auto"/>
            <w:bottom w:val="none" w:sz="0" w:space="0" w:color="auto"/>
            <w:right w:val="none" w:sz="0" w:space="0" w:color="auto"/>
          </w:divBdr>
        </w:div>
        <w:div w:id="663776785">
          <w:marLeft w:val="0"/>
          <w:marRight w:val="0"/>
          <w:marTop w:val="0"/>
          <w:marBottom w:val="0"/>
          <w:divBdr>
            <w:top w:val="none" w:sz="0" w:space="0" w:color="auto"/>
            <w:left w:val="none" w:sz="0" w:space="0" w:color="auto"/>
            <w:bottom w:val="none" w:sz="0" w:space="0" w:color="auto"/>
            <w:right w:val="none" w:sz="0" w:space="0" w:color="auto"/>
          </w:divBdr>
        </w:div>
        <w:div w:id="706831504">
          <w:marLeft w:val="0"/>
          <w:marRight w:val="0"/>
          <w:marTop w:val="0"/>
          <w:marBottom w:val="0"/>
          <w:divBdr>
            <w:top w:val="none" w:sz="0" w:space="0" w:color="auto"/>
            <w:left w:val="none" w:sz="0" w:space="0" w:color="auto"/>
            <w:bottom w:val="none" w:sz="0" w:space="0" w:color="auto"/>
            <w:right w:val="none" w:sz="0" w:space="0" w:color="auto"/>
          </w:divBdr>
        </w:div>
        <w:div w:id="792943152">
          <w:marLeft w:val="0"/>
          <w:marRight w:val="0"/>
          <w:marTop w:val="0"/>
          <w:marBottom w:val="0"/>
          <w:divBdr>
            <w:top w:val="none" w:sz="0" w:space="0" w:color="auto"/>
            <w:left w:val="none" w:sz="0" w:space="0" w:color="auto"/>
            <w:bottom w:val="none" w:sz="0" w:space="0" w:color="auto"/>
            <w:right w:val="none" w:sz="0" w:space="0" w:color="auto"/>
          </w:divBdr>
        </w:div>
        <w:div w:id="981157609">
          <w:marLeft w:val="0"/>
          <w:marRight w:val="0"/>
          <w:marTop w:val="0"/>
          <w:marBottom w:val="0"/>
          <w:divBdr>
            <w:top w:val="none" w:sz="0" w:space="0" w:color="auto"/>
            <w:left w:val="none" w:sz="0" w:space="0" w:color="auto"/>
            <w:bottom w:val="none" w:sz="0" w:space="0" w:color="auto"/>
            <w:right w:val="none" w:sz="0" w:space="0" w:color="auto"/>
          </w:divBdr>
        </w:div>
        <w:div w:id="1991784459">
          <w:marLeft w:val="0"/>
          <w:marRight w:val="0"/>
          <w:marTop w:val="0"/>
          <w:marBottom w:val="0"/>
          <w:divBdr>
            <w:top w:val="none" w:sz="0" w:space="0" w:color="auto"/>
            <w:left w:val="none" w:sz="0" w:space="0" w:color="auto"/>
            <w:bottom w:val="none" w:sz="0" w:space="0" w:color="auto"/>
            <w:right w:val="none" w:sz="0" w:space="0" w:color="auto"/>
          </w:divBdr>
        </w:div>
      </w:divsChild>
    </w:div>
    <w:div w:id="1747261327">
      <w:bodyDiv w:val="1"/>
      <w:marLeft w:val="0"/>
      <w:marRight w:val="0"/>
      <w:marTop w:val="0"/>
      <w:marBottom w:val="0"/>
      <w:divBdr>
        <w:top w:val="none" w:sz="0" w:space="0" w:color="auto"/>
        <w:left w:val="none" w:sz="0" w:space="0" w:color="auto"/>
        <w:bottom w:val="none" w:sz="0" w:space="0" w:color="auto"/>
        <w:right w:val="none" w:sz="0" w:space="0" w:color="auto"/>
      </w:divBdr>
    </w:div>
    <w:div w:id="1764304537">
      <w:bodyDiv w:val="1"/>
      <w:marLeft w:val="0"/>
      <w:marRight w:val="0"/>
      <w:marTop w:val="0"/>
      <w:marBottom w:val="0"/>
      <w:divBdr>
        <w:top w:val="none" w:sz="0" w:space="0" w:color="auto"/>
        <w:left w:val="none" w:sz="0" w:space="0" w:color="auto"/>
        <w:bottom w:val="none" w:sz="0" w:space="0" w:color="auto"/>
        <w:right w:val="none" w:sz="0" w:space="0" w:color="auto"/>
      </w:divBdr>
    </w:div>
    <w:div w:id="1851800204">
      <w:bodyDiv w:val="1"/>
      <w:marLeft w:val="0"/>
      <w:marRight w:val="0"/>
      <w:marTop w:val="0"/>
      <w:marBottom w:val="0"/>
      <w:divBdr>
        <w:top w:val="none" w:sz="0" w:space="0" w:color="auto"/>
        <w:left w:val="none" w:sz="0" w:space="0" w:color="auto"/>
        <w:bottom w:val="none" w:sz="0" w:space="0" w:color="auto"/>
        <w:right w:val="none" w:sz="0" w:space="0" w:color="auto"/>
      </w:divBdr>
    </w:div>
    <w:div w:id="1881210899">
      <w:bodyDiv w:val="1"/>
      <w:marLeft w:val="0"/>
      <w:marRight w:val="0"/>
      <w:marTop w:val="0"/>
      <w:marBottom w:val="0"/>
      <w:divBdr>
        <w:top w:val="none" w:sz="0" w:space="0" w:color="auto"/>
        <w:left w:val="none" w:sz="0" w:space="0" w:color="auto"/>
        <w:bottom w:val="none" w:sz="0" w:space="0" w:color="auto"/>
        <w:right w:val="none" w:sz="0" w:space="0" w:color="auto"/>
      </w:divBdr>
    </w:div>
    <w:div w:id="1893346995">
      <w:bodyDiv w:val="1"/>
      <w:marLeft w:val="0"/>
      <w:marRight w:val="0"/>
      <w:marTop w:val="0"/>
      <w:marBottom w:val="0"/>
      <w:divBdr>
        <w:top w:val="none" w:sz="0" w:space="0" w:color="auto"/>
        <w:left w:val="none" w:sz="0" w:space="0" w:color="auto"/>
        <w:bottom w:val="none" w:sz="0" w:space="0" w:color="auto"/>
        <w:right w:val="none" w:sz="0" w:space="0" w:color="auto"/>
      </w:divBdr>
    </w:div>
    <w:div w:id="1959334475">
      <w:bodyDiv w:val="1"/>
      <w:marLeft w:val="0"/>
      <w:marRight w:val="0"/>
      <w:marTop w:val="0"/>
      <w:marBottom w:val="0"/>
      <w:divBdr>
        <w:top w:val="none" w:sz="0" w:space="0" w:color="auto"/>
        <w:left w:val="none" w:sz="0" w:space="0" w:color="auto"/>
        <w:bottom w:val="none" w:sz="0" w:space="0" w:color="auto"/>
        <w:right w:val="none" w:sz="0" w:space="0" w:color="auto"/>
      </w:divBdr>
    </w:div>
    <w:div w:id="1960186775">
      <w:bodyDiv w:val="1"/>
      <w:marLeft w:val="0"/>
      <w:marRight w:val="0"/>
      <w:marTop w:val="0"/>
      <w:marBottom w:val="0"/>
      <w:divBdr>
        <w:top w:val="none" w:sz="0" w:space="0" w:color="auto"/>
        <w:left w:val="none" w:sz="0" w:space="0" w:color="auto"/>
        <w:bottom w:val="none" w:sz="0" w:space="0" w:color="auto"/>
        <w:right w:val="none" w:sz="0" w:space="0" w:color="auto"/>
      </w:divBdr>
    </w:div>
    <w:div w:id="2054621937">
      <w:bodyDiv w:val="1"/>
      <w:marLeft w:val="0"/>
      <w:marRight w:val="0"/>
      <w:marTop w:val="0"/>
      <w:marBottom w:val="0"/>
      <w:divBdr>
        <w:top w:val="none" w:sz="0" w:space="0" w:color="auto"/>
        <w:left w:val="none" w:sz="0" w:space="0" w:color="auto"/>
        <w:bottom w:val="none" w:sz="0" w:space="0" w:color="auto"/>
        <w:right w:val="none" w:sz="0" w:space="0" w:color="auto"/>
      </w:divBdr>
    </w:div>
    <w:div w:id="2060007239">
      <w:bodyDiv w:val="1"/>
      <w:marLeft w:val="0"/>
      <w:marRight w:val="0"/>
      <w:marTop w:val="0"/>
      <w:marBottom w:val="0"/>
      <w:divBdr>
        <w:top w:val="none" w:sz="0" w:space="0" w:color="auto"/>
        <w:left w:val="none" w:sz="0" w:space="0" w:color="auto"/>
        <w:bottom w:val="none" w:sz="0" w:space="0" w:color="auto"/>
        <w:right w:val="none" w:sz="0" w:space="0" w:color="auto"/>
      </w:divBdr>
    </w:div>
    <w:div w:id="2061124378">
      <w:bodyDiv w:val="1"/>
      <w:marLeft w:val="0"/>
      <w:marRight w:val="0"/>
      <w:marTop w:val="0"/>
      <w:marBottom w:val="0"/>
      <w:divBdr>
        <w:top w:val="none" w:sz="0" w:space="0" w:color="auto"/>
        <w:left w:val="none" w:sz="0" w:space="0" w:color="auto"/>
        <w:bottom w:val="none" w:sz="0" w:space="0" w:color="auto"/>
        <w:right w:val="none" w:sz="0" w:space="0" w:color="auto"/>
      </w:divBdr>
    </w:div>
    <w:div w:id="2076003728">
      <w:bodyDiv w:val="1"/>
      <w:marLeft w:val="0"/>
      <w:marRight w:val="0"/>
      <w:marTop w:val="0"/>
      <w:marBottom w:val="0"/>
      <w:divBdr>
        <w:top w:val="none" w:sz="0" w:space="0" w:color="auto"/>
        <w:left w:val="none" w:sz="0" w:space="0" w:color="auto"/>
        <w:bottom w:val="none" w:sz="0" w:space="0" w:color="auto"/>
        <w:right w:val="none" w:sz="0" w:space="0" w:color="auto"/>
      </w:divBdr>
    </w:div>
    <w:div w:id="21384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uqz.zoom.us/webinar/register/WN_w5rCxMa_RjS3XRUhMC4Veg" TargetMode="External"/><Relationship Id="rId26" Type="http://schemas.openxmlformats.org/officeDocument/2006/relationships/hyperlink" Target="https://www.health.gov.au/resources/publications/aged-care-data-and-digital-strategy-2024-2029" TargetMode="External"/><Relationship Id="rId39" Type="http://schemas.openxmlformats.org/officeDocument/2006/relationships/hyperlink" Target="https://www.aihw.gov.au/about-our-data/our-data-collections/national-aged-care-data-clearinghouse" TargetMode="External"/><Relationship Id="rId21" Type="http://schemas.openxmlformats.org/officeDocument/2006/relationships/hyperlink" Target="https://uniofqueensland.syd1.qualtrics.com/jfe/form/SV_er32Eq06IJUr4ii" TargetMode="External"/><Relationship Id="rId34" Type="http://schemas.openxmlformats.org/officeDocument/2006/relationships/hyperlink" Target="https://www.health.gov.au/topics/aged-care-workforce/what-were-doing/surveys/aged-care-worker-survey-2024-report-summary" TargetMode="External"/><Relationship Id="rId42" Type="http://schemas.openxmlformats.org/officeDocument/2006/relationships/hyperlink" Target="https://www.abs.gov.au/about/data-services/data-integration/integrated-data/business-longitudinal-analysis-data-environment-blade" TargetMode="External"/><Relationship Id="rId47" Type="http://schemas.openxmlformats.org/officeDocument/2006/relationships/hyperlink" Target="https://www.ato.gov.au/businesses-and-organisations/hiring-and-paying-your-workers/single-touch-payroll" TargetMode="External"/><Relationship Id="rId50" Type="http://schemas.openxmlformats.org/officeDocument/2006/relationships/hyperlink" Target="https://www.data.gov.au/home" TargetMode="External"/><Relationship Id="rId55" Type="http://schemas.openxmlformats.org/officeDocument/2006/relationships/hyperlink" Target="https://www.health.gov.au/resources/publications/provider-operations-reporting-fact-sheet?language=en" TargetMode="External"/><Relationship Id="rId63" Type="http://schemas.openxmlformats.org/officeDocument/2006/relationships/hyperlink" Target="https://www.health.gov.au/our-work/aged-care-act/resources/providers" TargetMode="External"/><Relationship Id="rId68" Type="http://schemas.openxmlformats.org/officeDocument/2006/relationships/hyperlink" Target="https://www.ihacpa.gov.au/events/aged-care-cost-data-collection" TargetMode="External"/><Relationship Id="rId76" Type="http://schemas.openxmlformats.org/officeDocument/2006/relationships/hyperlink" Target="https://www.health.gov.au/resources/publications/the-australian-national-aged-care-classification-an-acc-funding-guide?language=en"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hacpa.gov.au/resources/residential-aged-care-pricing-advice-2024-25" TargetMode="External"/><Relationship Id="rId2" Type="http://schemas.openxmlformats.org/officeDocument/2006/relationships/customXml" Target="../customXml/item2.xml"/><Relationship Id="rId16" Type="http://schemas.openxmlformats.org/officeDocument/2006/relationships/hyperlink" Target="https://uqz.zoom.us/webinar/register/WN_FZAx-oW-SPyNQ92hyd63KQ" TargetMode="External"/><Relationship Id="rId29" Type="http://schemas.openxmlformats.org/officeDocument/2006/relationships/hyperlink" Target="https://www.gen-agedcaredata.gov.au/getmedia/6b9d467a-ebf3-4fc2-8294-d62c7af19bf9/Aged-Care-NMDS-V1-1-Registered-aged-care-standards-30-June-2023.pdf" TargetMode="External"/><Relationship Id="rId11" Type="http://schemas.openxmlformats.org/officeDocument/2006/relationships/footer" Target="footer1.xml"/><Relationship Id="rId24" Type="http://schemas.openxmlformats.org/officeDocument/2006/relationships/hyperlink" Target="https://www.gen-agedcaredata.gov.au/data-improvements" TargetMode="External"/><Relationship Id="rId32" Type="http://schemas.openxmlformats.org/officeDocument/2006/relationships/hyperlink" Target="https://www.gen-agedcaredata.gov.au/resources/publications/2024/august/2023-aged-care-provider-workforce-survey" TargetMode="External"/><Relationship Id="rId37" Type="http://schemas.openxmlformats.org/officeDocument/2006/relationships/hyperlink" Target="https://www.health.gov.au/resources/publications/data-extract-from-the-quarterly-financial-snapshot-reports-of-the-aged-care-sector?language=en%22%20\l%20%22:~:text=This%20data%20extract%20provides%20all%20headline%20figures%20from,aim%20to%20provide%20documents%20in%20an%20accessible%20format." TargetMode="External"/><Relationship Id="rId40" Type="http://schemas.openxmlformats.org/officeDocument/2006/relationships/hyperlink" Target="https://www.abs.gov.au" TargetMode="External"/><Relationship Id="rId45" Type="http://schemas.openxmlformats.org/officeDocument/2006/relationships/hyperlink" Target="https://www.abs.gov.au/articles/insights-single-touch-payroll" TargetMode="External"/><Relationship Id="rId53" Type="http://schemas.openxmlformats.org/officeDocument/2006/relationships/hyperlink" Target="https://www.health.gov.au/sites/default/files/2023-10/screenshots-of-the-provider-operations-collection-form_0.pdf" TargetMode="External"/><Relationship Id="rId58" Type="http://schemas.openxmlformats.org/officeDocument/2006/relationships/hyperlink" Target="https://www.health.gov.au/topics/aged-care/providing-aged-care-services/reporting/publishing-of-finance-and-operations-information" TargetMode="External"/><Relationship Id="rId66" Type="http://schemas.openxmlformats.org/officeDocument/2006/relationships/hyperlink" Target="https://www.myagedcare.gov.au/help-at-home/commonwealth-home-support-programme" TargetMode="External"/><Relationship Id="rId74" Type="http://schemas.openxmlformats.org/officeDocument/2006/relationships/hyperlink" Target="https://www.health.gov.au/resources/videos/247-registered-nurse-reporting-training-video?language=en" TargetMode="External"/><Relationship Id="rId79" Type="http://schemas.openxmlformats.org/officeDocument/2006/relationships/hyperlink" Target="https://www.health.gov.au/our-work/younger-people-in-residential-aged-care/fees-and-payments" TargetMode="External"/><Relationship Id="rId5" Type="http://schemas.openxmlformats.org/officeDocument/2006/relationships/numbering" Target="numbering.xml"/><Relationship Id="rId61" Type="http://schemas.openxmlformats.org/officeDocument/2006/relationships/hyperlink" Target="https://www.health.gov.au/topics/aged-care/providing-aged-care-services/reporting/aged-care-financial-report" TargetMode="External"/><Relationship Id="rId82" Type="http://schemas.openxmlformats.org/officeDocument/2006/relationships/hyperlink" Target="https://assets.summerfoundation.org.au/app/uploads/2023/07/04103224/Residential_Aged_Care_Costs_for_NDIS_Participants-June2023.pdf" TargetMode="External"/><Relationship Id="rId19" Type="http://schemas.openxmlformats.org/officeDocument/2006/relationships/hyperlink" Target="https://uqz.zoom.us/webinar/register/WN_kpXZF9luRqiOpib28KiTL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acdarr.project@uq.edu.au" TargetMode="External"/><Relationship Id="rId27" Type="http://schemas.openxmlformats.org/officeDocument/2006/relationships/hyperlink" Target="https://www.health.gov.au/resources/publications/action-plan-aged-care-data-and-digital-strategy-2024-2029" TargetMode="External"/><Relationship Id="rId30" Type="http://schemas.openxmlformats.org/officeDocument/2006/relationships/hyperlink" Target="https://www.ahpra.gov.au/About-Ahpra/Data-Strategy.aspx" TargetMode="External"/><Relationship Id="rId35" Type="http://schemas.openxmlformats.org/officeDocument/2006/relationships/hyperlink" Target="https://www.health.gov.au/topics/aged-care/providing-aged-care-services/reporting/aged-care-financial-report" TargetMode="External"/><Relationship Id="rId43" Type="http://schemas.openxmlformats.org/officeDocument/2006/relationships/hyperlink" Target="https://www.abs.gov.au/about/data-services/data-access/secure-access-datalab" TargetMode="External"/><Relationship Id="rId48" Type="http://schemas.openxmlformats.org/officeDocument/2006/relationships/hyperlink" Target="https://www.gen-agedcaredata.gov.au" TargetMode="External"/><Relationship Id="rId56" Type="http://schemas.openxmlformats.org/officeDocument/2006/relationships/hyperlink" Target="https://www.health.gov.au/resources/publications/provider-operations-reporting-faqs?language=en" TargetMode="External"/><Relationship Id="rId64" Type="http://schemas.openxmlformats.org/officeDocument/2006/relationships/hyperlink" Target="https://www.health.gov.au/our-work/new-model-for-regulating-aged-care/how-it-works/provider-registration-preview" TargetMode="External"/><Relationship Id="rId69" Type="http://schemas.openxmlformats.org/officeDocument/2006/relationships/hyperlink" Target="https://www.ihacpa.gov.au/resources/data-access-and-release-policy" TargetMode="External"/><Relationship Id="rId77" Type="http://schemas.openxmlformats.org/officeDocument/2006/relationships/hyperlink" Target="https://www.health.gov.au/resources/collections/an-acc-resources" TargetMode="External"/><Relationship Id="rId8" Type="http://schemas.openxmlformats.org/officeDocument/2006/relationships/webSettings" Target="webSettings.xml"/><Relationship Id="rId51" Type="http://schemas.openxmlformats.org/officeDocument/2006/relationships/hyperlink" Target="https://www.health.gov.au/our-work/phn" TargetMode="External"/><Relationship Id="rId72" Type="http://schemas.openxmlformats.org/officeDocument/2006/relationships/hyperlink" Target="https://www.ihacpa.gov.au/resources/2023-residential-aged-care-costing-study-final-report" TargetMode="External"/><Relationship Id="rId80" Type="http://schemas.openxmlformats.org/officeDocument/2006/relationships/hyperlink" Target="https://ourguidelines.ndis.gov.au/supports-you-can-access-menu/home-and-living-supports/younger-people-residential-aged-care"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uqz.zoom.us/webinar/register/WN_lC7S7q76Tx6z7jnt6Gu5dg" TargetMode="External"/><Relationship Id="rId25" Type="http://schemas.openxmlformats.org/officeDocument/2006/relationships/hyperlink" Target="https://www.health.gov.au/our-work/aged-care-data-and-digital-strategy" TargetMode="External"/><Relationship Id="rId33" Type="http://schemas.openxmlformats.org/officeDocument/2006/relationships/hyperlink" Target="https://www.health.gov.au/resources/publications/2020-aged-care-workforce-census" TargetMode="External"/><Relationship Id="rId38" Type="http://schemas.openxmlformats.org/officeDocument/2006/relationships/hyperlink" Target="https://www.gen-agedcaredata.gov.au/topics/aged-care-workforce" TargetMode="External"/><Relationship Id="rId46" Type="http://schemas.openxmlformats.org/officeDocument/2006/relationships/hyperlink" Target="https://www.ahpra.gov.au" TargetMode="External"/><Relationship Id="rId59" Type="http://schemas.openxmlformats.org/officeDocument/2006/relationships/hyperlink" Target="https://www.health.gov.au/sites/default/files/2024-02/publishing-provider-finance-and-operations-information-on-the-my-aged-care-website-quick-reference-guide.pdf" TargetMode="External"/><Relationship Id="rId67" Type="http://schemas.openxmlformats.org/officeDocument/2006/relationships/hyperlink" Target="https://www.health.gov.au/our-work/support-at-home" TargetMode="External"/><Relationship Id="rId20" Type="http://schemas.openxmlformats.org/officeDocument/2006/relationships/hyperlink" Target="https://uqz.zoom.us/webinar/register/WN_Vo7ucw5yTt2jmLVGz-0LKQ" TargetMode="External"/><Relationship Id="rId41" Type="http://schemas.openxmlformats.org/officeDocument/2006/relationships/hyperlink" Target="https://www.abs.gov.au/census" TargetMode="External"/><Relationship Id="rId54" Type="http://schemas.openxmlformats.org/officeDocument/2006/relationships/hyperlink" Target="https://www.health.gov.au/topics/aged-care/providing-aged-care-services/reporting/provider-operations" TargetMode="External"/><Relationship Id="rId62" Type="http://schemas.openxmlformats.org/officeDocument/2006/relationships/hyperlink" Target="https://www.health.gov.au/initiatives-and-programs/natsifac" TargetMode="External"/><Relationship Id="rId70" Type="http://schemas.openxmlformats.org/officeDocument/2006/relationships/hyperlink" Target="https://www.ihacpa.gov.au/resources/three-year-data-plan" TargetMode="External"/><Relationship Id="rId75" Type="http://schemas.openxmlformats.org/officeDocument/2006/relationships/hyperlink" Target="https://www.gen-agedcaredata.gov.au/Topics/Care-needs-in-aged-care" TargetMode="External"/><Relationship Id="rId83" Type="http://schemas.openxmlformats.org/officeDocument/2006/relationships/hyperlink" Target="https://www.cms.gov/medicare/quality/nursing-home-improvement/staffing-data-submiss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qz.zoom.us/webinar/register/WN_Lm9LF4ocQkWHcl2kC2-jyQ" TargetMode="External"/><Relationship Id="rId23" Type="http://schemas.openxmlformats.org/officeDocument/2006/relationships/hyperlink" Target="https://www.health.gov.au/our-work/aged-care-act/about" TargetMode="External"/><Relationship Id="rId28" Type="http://schemas.openxmlformats.org/officeDocument/2006/relationships/hyperlink" Target="https://digitalhealthcrc.com/wp-content/uploads/2025/03/AgedCareDataLandscape_DHCRC-CSIRO-Report.pdf" TargetMode="External"/><Relationship Id="rId36" Type="http://schemas.openxmlformats.org/officeDocument/2006/relationships/hyperlink" Target="https://www.health.gov.au/resources/collections/quarterly-financial-report-resources%22%20/l%20%22qfr-data-definitions-" TargetMode="External"/><Relationship Id="rId49" Type="http://schemas.openxmlformats.org/officeDocument/2006/relationships/hyperlink" Target="https://www.health.gov.au/resources/publications/modified-monash-model-2021-fact-sheet" TargetMode="External"/><Relationship Id="rId57" Type="http://schemas.openxmlformats.org/officeDocument/2006/relationships/hyperlink" Target="https://www.health.gov.au/resources/publications/gpms-user-guide-provider-operations-reporting?language=en" TargetMode="External"/><Relationship Id="rId10" Type="http://schemas.openxmlformats.org/officeDocument/2006/relationships/endnotes" Target="endnotes.xml"/><Relationship Id="rId31" Type="http://schemas.openxmlformats.org/officeDocument/2006/relationships/hyperlink" Target="https://www.health.gov.au/sites/default/files/2024-03/final-report-of-the-aged-care-taskforce_0.pdf" TargetMode="External"/><Relationship Id="rId44" Type="http://schemas.openxmlformats.org/officeDocument/2006/relationships/hyperlink" Target="https://www.abs.gov.au/about/data-services/data-integration/integrated-data/linked-employer-employee-database-leed" TargetMode="External"/><Relationship Id="rId52" Type="http://schemas.openxmlformats.org/officeDocument/2006/relationships/hyperlink" Target="https://www.health.gov.au/our-work/aged-care-data-collection" TargetMode="External"/><Relationship Id="rId60" Type="http://schemas.openxmlformats.org/officeDocument/2006/relationships/hyperlink" Target="https://www.health.gov.au/sites/default/files/2024-06/government-provider-management-system-quick-reference-guide-provider-operations-reporting.pdf" TargetMode="External"/><Relationship Id="rId65" Type="http://schemas.openxmlformats.org/officeDocument/2006/relationships/hyperlink" Target="https://www.health.gov.au/topics/aged-care/providing-aged-care-services/reporting/quarterly-financial-report" TargetMode="External"/><Relationship Id="rId73" Type="http://schemas.openxmlformats.org/officeDocument/2006/relationships/hyperlink" Target="https://www.health.gov.au/resources/publications/gpms-user-guide-24-7-registered-nurse-reporting?language=en" TargetMode="External"/><Relationship Id="rId78" Type="http://schemas.openxmlformats.org/officeDocument/2006/relationships/hyperlink" Target="https://www.health.gov.au/sites/default/files/2025-03/changes-coming-to-care-minutes-funding.pdf" TargetMode="External"/><Relationship Id="rId81" Type="http://schemas.openxmlformats.org/officeDocument/2006/relationships/hyperlink" Target="https://www.health.gov.au/sites/default/files/2025-05/residential-aged-care-financial-reporting-and-care-minutes-funding-update-webinar-slides_0.pdf" TargetMode="External"/></Relationships>
</file>

<file path=word/theme/theme1.xml><?xml version="1.0" encoding="utf-8"?>
<a:theme xmlns:a="http://schemas.openxmlformats.org/drawingml/2006/main" name="Office Theme">
  <a:themeElements>
    <a:clrScheme name="NARI template">
      <a:dk1>
        <a:sysClr val="windowText" lastClr="000000"/>
      </a:dk1>
      <a:lt1>
        <a:sysClr val="window" lastClr="FFFFFF"/>
      </a:lt1>
      <a:dk2>
        <a:srgbClr val="1F497D"/>
      </a:dk2>
      <a:lt2>
        <a:srgbClr val="EEECE1"/>
      </a:lt2>
      <a:accent1>
        <a:srgbClr val="212492"/>
      </a:accent1>
      <a:accent2>
        <a:srgbClr val="69BE28"/>
      </a:accent2>
      <a:accent3>
        <a:srgbClr val="EA5C7B"/>
      </a:accent3>
      <a:accent4>
        <a:srgbClr val="8E5791"/>
      </a:accent4>
      <a:accent5>
        <a:srgbClr val="006FBA"/>
      </a:accent5>
      <a:accent6>
        <a:srgbClr val="00693C"/>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TRIMId xmlns="04499938-1c0e-445d-84a7-a95f7e43b45d" xsi:nil="true"/>
    <TRIMID0 xmlns="04499938-1c0e-445d-84a7-a95f7e43b45d" xsi:nil="true"/>
    <Comments xmlns="04499938-1c0e-445d-84a7-a95f7e43b45d" xsi:nil="true"/>
    <lcf76f155ced4ddcb4097134ff3c332f xmlns="04499938-1c0e-445d-84a7-a95f7e43b45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3" ma:contentTypeDescription="Create a new document." ma:contentTypeScope="" ma:versionID="caff88c6f9a989df456c631bc4c06a49">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8802710efdafd946f14086ee485922f2"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TRIMId" minOccurs="0"/>
                <xsd:element ref="ns2:TRIMID0" minOccurs="0"/>
                <xsd:element ref="ns2:MediaServiceBilling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IMId" ma:index="24" nillable="true" ma:displayName="TRIM" ma:description="TRIM Reference number for auditing and storage purposes " ma:format="Dropdown" ma:internalName="TRIMId">
      <xsd:simpleType>
        <xsd:restriction base="dms:Text">
          <xsd:maxLength value="255"/>
        </xsd:restriction>
      </xsd:simpleType>
    </xsd:element>
    <xsd:element name="TRIMID0" ma:index="25" nillable="true" ma:displayName="TRIM ID" ma:format="Dropdown" ma:internalName="TRIMID0">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C62F9-3F99-41EA-A474-CBEB0BDE36B7}">
  <ds:schemaRefs>
    <ds:schemaRef ds:uri="http://schemas.microsoft.com/sharepoint/v3/contenttype/forms"/>
  </ds:schemaRefs>
</ds:datastoreItem>
</file>

<file path=customXml/itemProps2.xml><?xml version="1.0" encoding="utf-8"?>
<ds:datastoreItem xmlns:ds="http://schemas.openxmlformats.org/officeDocument/2006/customXml" ds:itemID="{6441BA3A-3C3B-4FA1-8CDF-85BD3FE5D850}">
  <ds:schemaRefs>
    <ds:schemaRef ds:uri="http://schemas.openxmlformats.org/officeDocument/2006/bibliography"/>
  </ds:schemaRefs>
</ds:datastoreItem>
</file>

<file path=customXml/itemProps3.xml><?xml version="1.0" encoding="utf-8"?>
<ds:datastoreItem xmlns:ds="http://schemas.openxmlformats.org/officeDocument/2006/customXml" ds:itemID="{A6DAEA74-E56F-4E59-B9AC-792479116E9C}">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fa7702e7-9218-4178-9b6d-65ad6f40fd45"/>
    <ds:schemaRef ds:uri="04499938-1c0e-445d-84a7-a95f7e43b45d"/>
    <ds:schemaRef ds:uri="http://purl.org/dc/dcmitype/"/>
  </ds:schemaRefs>
</ds:datastoreItem>
</file>

<file path=customXml/itemProps4.xml><?xml version="1.0" encoding="utf-8"?>
<ds:datastoreItem xmlns:ds="http://schemas.openxmlformats.org/officeDocument/2006/customXml" ds:itemID="{C11A4AB2-7C7A-4F4A-B2C2-FDA0CC5F1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4732</Words>
  <Characters>33026</Characters>
  <Application>Microsoft Office Word</Application>
  <DocSecurity>0</DocSecurity>
  <Lines>779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Aged Care Data and Reporting Review Consultation Paper</dc:subject>
  <dc:creator>University of Queensland; National Ageing Research Institute</dc:creator>
  <cp:keywords/>
  <dc:description/>
  <cp:revision>30</cp:revision>
  <cp:lastPrinted>2025-07-21T02:53:00Z</cp:lastPrinted>
  <dcterms:created xsi:type="dcterms:W3CDTF">2025-07-18T19:48:00Z</dcterms:created>
  <dcterms:modified xsi:type="dcterms:W3CDTF">2025-07-21T03:43:00Z</dcterms:modified>
</cp:coreProperties>
</file>