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FAC9" w14:textId="77777777" w:rsidR="00D92B22" w:rsidRPr="009F7E0B" w:rsidRDefault="00D92B22" w:rsidP="00E45CBC">
      <w:pPr>
        <w:pStyle w:val="Default"/>
        <w:spacing w:after="200"/>
        <w:rPr>
          <w:rFonts w:ascii="Calibri" w:hAnsi="Calibri"/>
          <w:color w:val="A6A6A6" w:themeColor="background1" w:themeShade="A6"/>
        </w:rPr>
      </w:pPr>
      <w:r w:rsidRPr="009F7E0B">
        <w:rPr>
          <w:rFonts w:ascii="Calibri" w:hAnsi="Calibri"/>
          <w:bCs/>
          <w:color w:val="A6A6A6" w:themeColor="background1" w:themeShade="A6"/>
        </w:rPr>
        <w:t xml:space="preserve">(Clean opinion) </w:t>
      </w:r>
    </w:p>
    <w:p w14:paraId="048CE097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&lt;&lt;Insert </w:t>
      </w:r>
      <w:r w:rsidR="00840644">
        <w:rPr>
          <w:rFonts w:ascii="Calibri" w:hAnsi="Calibri"/>
          <w:sz w:val="22"/>
          <w:szCs w:val="22"/>
        </w:rPr>
        <w:t>registered auditor letterhead&gt;&gt;</w:t>
      </w:r>
    </w:p>
    <w:p w14:paraId="2B90C617" w14:textId="77777777" w:rsidR="00D92B22" w:rsidRPr="00653330" w:rsidRDefault="00D92B22" w:rsidP="00840644">
      <w:pPr>
        <w:pStyle w:val="Heading1"/>
      </w:pPr>
      <w:r w:rsidRPr="00653330">
        <w:t>INDEPENDENT AUDITOR’S REPORT</w:t>
      </w:r>
    </w:p>
    <w:p w14:paraId="6C0C33E6" w14:textId="4A6733FA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To the Directors</w:t>
      </w:r>
      <w:r w:rsidR="00EC7A96" w:rsidRPr="009F7E0B">
        <w:rPr>
          <w:rStyle w:val="FootnoteReference"/>
          <w:rFonts w:ascii="Calibri" w:hAnsi="Calibri"/>
          <w:sz w:val="22"/>
          <w:szCs w:val="22"/>
        </w:rPr>
        <w:footnoteReference w:id="1"/>
      </w:r>
      <w:r w:rsidR="00EC7A96" w:rsidRPr="009F7E0B">
        <w:rPr>
          <w:rFonts w:ascii="Calibri" w:hAnsi="Calibri"/>
          <w:position w:val="8"/>
          <w:sz w:val="22"/>
          <w:szCs w:val="22"/>
          <w:vertAlign w:val="superscript"/>
        </w:rPr>
        <w:t xml:space="preserve"> </w:t>
      </w:r>
      <w:r w:rsidRPr="009F7E0B">
        <w:rPr>
          <w:rFonts w:ascii="Calibri" w:hAnsi="Calibri"/>
          <w:sz w:val="22"/>
          <w:szCs w:val="22"/>
        </w:rPr>
        <w:t>of [</w:t>
      </w:r>
      <w:r w:rsidRPr="00520F2F">
        <w:rPr>
          <w:rFonts w:ascii="Calibri" w:hAnsi="Calibri"/>
          <w:b/>
          <w:sz w:val="22"/>
          <w:szCs w:val="22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the Secretary of the </w:t>
      </w:r>
      <w:r w:rsidR="004A088D">
        <w:rPr>
          <w:rFonts w:ascii="Calibri" w:hAnsi="Calibri"/>
          <w:sz w:val="22"/>
          <w:szCs w:val="22"/>
        </w:rPr>
        <w:t>Department of Health, Disability and Ageing</w:t>
      </w:r>
      <w:r w:rsidRPr="009F7E0B">
        <w:rPr>
          <w:rFonts w:ascii="Calibri" w:hAnsi="Calibri"/>
          <w:sz w:val="22"/>
          <w:szCs w:val="22"/>
        </w:rPr>
        <w:t xml:space="preserve">. </w:t>
      </w:r>
    </w:p>
    <w:p w14:paraId="2B2FECB3" w14:textId="1ED743DE" w:rsidR="00D92B22" w:rsidRPr="00653330" w:rsidRDefault="00D92B22" w:rsidP="00FC62C4">
      <w:pPr>
        <w:pStyle w:val="Default"/>
        <w:spacing w:after="120"/>
        <w:rPr>
          <w:rStyle w:val="IntenseEmphasis"/>
        </w:rPr>
      </w:pPr>
      <w:r w:rsidRPr="00653330">
        <w:rPr>
          <w:rStyle w:val="Strong"/>
        </w:rPr>
        <w:t xml:space="preserve">Report on [approved provider name]’s compliance with the </w:t>
      </w:r>
      <w:r w:rsidRPr="00D9010F">
        <w:rPr>
          <w:rStyle w:val="Strong"/>
          <w:i/>
        </w:rPr>
        <w:t>Aged Care Act 1997</w:t>
      </w:r>
      <w:r w:rsidRPr="00840644">
        <w:rPr>
          <w:rStyle w:val="Strong"/>
        </w:rPr>
        <w:t xml:space="preserve"> </w:t>
      </w:r>
      <w:r w:rsidR="0023773A">
        <w:rPr>
          <w:rStyle w:val="Strong"/>
        </w:rPr>
        <w:t xml:space="preserve">(the Act) </w:t>
      </w:r>
      <w:r w:rsidRPr="00840644">
        <w:rPr>
          <w:rStyle w:val="Strong"/>
        </w:rPr>
        <w:t>and the</w:t>
      </w:r>
      <w:r w:rsidRPr="009F7E0B">
        <w:rPr>
          <w:rFonts w:ascii="Calibri" w:hAnsi="Calibri"/>
          <w:b/>
          <w:bCs/>
          <w:sz w:val="22"/>
          <w:szCs w:val="22"/>
        </w:rPr>
        <w:t xml:space="preserve"> </w:t>
      </w:r>
      <w:r w:rsidR="00AE3048" w:rsidRPr="00653330">
        <w:rPr>
          <w:rStyle w:val="IntenseEmphasis"/>
        </w:rPr>
        <w:t>Fees and Payments Principles 2014 (No.2)</w:t>
      </w:r>
      <w:r w:rsidR="0023773A">
        <w:rPr>
          <w:rStyle w:val="IntenseEmphasis"/>
        </w:rPr>
        <w:t xml:space="preserve"> </w:t>
      </w:r>
      <w:r w:rsidR="0023773A" w:rsidRPr="00D9010F">
        <w:rPr>
          <w:rStyle w:val="IntenseEmphasis"/>
          <w:i w:val="0"/>
        </w:rPr>
        <w:t>(</w:t>
      </w:r>
      <w:r w:rsidR="0023773A" w:rsidRPr="00D9010F">
        <w:rPr>
          <w:rFonts w:ascii="Calibri" w:hAnsi="Calibri"/>
          <w:b/>
          <w:bCs/>
          <w:iCs/>
          <w:sz w:val="22"/>
          <w:szCs w:val="22"/>
        </w:rPr>
        <w:t>Fees and Payments Principles)</w:t>
      </w:r>
      <w:r w:rsidR="00A24554" w:rsidRPr="0023773A">
        <w:rPr>
          <w:rStyle w:val="IntenseEmphasis"/>
        </w:rPr>
        <w:t>.</w:t>
      </w:r>
    </w:p>
    <w:p w14:paraId="68986977" w14:textId="3D7624AF" w:rsidR="005F4461" w:rsidRDefault="00B459FB" w:rsidP="00FC62C4">
      <w:pPr>
        <w:pStyle w:val="Default"/>
        <w:spacing w:after="120"/>
        <w:rPr>
          <w:rFonts w:ascii="Calibri" w:eastAsiaTheme="minorHAnsi" w:hAnsi="Calibri"/>
          <w:sz w:val="22"/>
          <w:szCs w:val="22"/>
          <w:lang w:eastAsia="en-US"/>
        </w:rPr>
      </w:pPr>
      <w:r w:rsidRPr="009F7E0B">
        <w:rPr>
          <w:rFonts w:ascii="Calibri" w:eastAsiaTheme="minorHAnsi" w:hAnsi="Calibri"/>
          <w:sz w:val="22"/>
          <w:szCs w:val="22"/>
          <w:lang w:eastAsia="en-US"/>
        </w:rPr>
        <w:t>We have audited the compliance of [</w:t>
      </w:r>
      <w:r w:rsidRPr="00653330">
        <w:rPr>
          <w:rStyle w:val="Strong"/>
        </w:rPr>
        <w:t>approved provider name</w:t>
      </w:r>
      <w:r w:rsidRPr="009F7E0B">
        <w:rPr>
          <w:rFonts w:ascii="Calibri" w:eastAsiaTheme="minorHAnsi" w:hAnsi="Calibri"/>
          <w:sz w:val="22"/>
          <w:szCs w:val="22"/>
          <w:lang w:eastAsia="en-US"/>
        </w:rPr>
        <w:t xml:space="preserve">] with the requirements of Part </w:t>
      </w:r>
      <w:r w:rsidR="00AE3048">
        <w:rPr>
          <w:rFonts w:ascii="Calibri" w:eastAsiaTheme="minorHAnsi" w:hAnsi="Calibri"/>
          <w:sz w:val="22"/>
          <w:szCs w:val="22"/>
          <w:lang w:eastAsia="en-US"/>
        </w:rPr>
        <w:t>5</w:t>
      </w:r>
      <w:r w:rsidR="00EA00C9">
        <w:rPr>
          <w:rFonts w:ascii="Calibri" w:eastAsiaTheme="minorHAnsi" w:hAnsi="Calibri"/>
          <w:sz w:val="22"/>
          <w:szCs w:val="22"/>
          <w:lang w:eastAsia="en-US"/>
        </w:rPr>
        <w:t>, Part 6,</w:t>
      </w:r>
      <w:r w:rsidR="00F47AE0">
        <w:rPr>
          <w:rFonts w:ascii="Calibri" w:eastAsiaTheme="minorHAnsi" w:hAnsi="Calibri"/>
          <w:sz w:val="22"/>
          <w:szCs w:val="22"/>
          <w:lang w:eastAsia="en-US"/>
        </w:rPr>
        <w:t xml:space="preserve"> and Part </w:t>
      </w:r>
      <w:r w:rsidR="00EA00C9">
        <w:rPr>
          <w:rFonts w:ascii="Calibri" w:eastAsiaTheme="minorHAnsi" w:hAnsi="Calibri"/>
          <w:sz w:val="22"/>
          <w:szCs w:val="22"/>
          <w:lang w:eastAsia="en-US"/>
        </w:rPr>
        <w:t>7</w:t>
      </w:r>
      <w:r w:rsidRPr="009F7E0B">
        <w:rPr>
          <w:rFonts w:ascii="Calibri" w:eastAsiaTheme="minorHAnsi" w:hAnsi="Calibri"/>
          <w:sz w:val="22"/>
          <w:szCs w:val="22"/>
          <w:lang w:eastAsia="en-US"/>
        </w:rPr>
        <w:t xml:space="preserve"> of the </w:t>
      </w:r>
      <w:r w:rsidR="0023773A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23773A" w:rsidRPr="00AE3048" w:rsidDel="0023773A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A24554" w:rsidRPr="00AE3048">
        <w:rPr>
          <w:rFonts w:ascii="Calibri" w:eastAsiaTheme="minorHAnsi" w:hAnsi="Calibri"/>
          <w:sz w:val="22"/>
          <w:szCs w:val="22"/>
          <w:lang w:eastAsia="en-US"/>
        </w:rPr>
        <w:t>for</w:t>
      </w:r>
      <w:r w:rsidR="00A24554" w:rsidRPr="009F7E0B">
        <w:rPr>
          <w:rFonts w:ascii="Calibri" w:eastAsiaTheme="minorHAnsi" w:hAnsi="Calibri"/>
          <w:sz w:val="22"/>
          <w:szCs w:val="22"/>
          <w:lang w:eastAsia="en-US"/>
        </w:rPr>
        <w:t xml:space="preserve"> the period </w:t>
      </w:r>
      <w:r w:rsidR="004F3243" w:rsidRPr="0031644F">
        <w:rPr>
          <w:rFonts w:ascii="Calibri" w:hAnsi="Calibri"/>
          <w:sz w:val="22"/>
        </w:rPr>
        <w:t>[</w:t>
      </w:r>
      <w:r w:rsidR="004F3243" w:rsidRPr="00A94A3E">
        <w:rPr>
          <w:rFonts w:ascii="Calibri" w:hAnsi="Calibri"/>
          <w:b/>
          <w:sz w:val="22"/>
          <w:highlight w:val="yellow"/>
        </w:rPr>
        <w:t>i</w:t>
      </w:r>
      <w:r w:rsidR="004F3243" w:rsidRPr="00653330">
        <w:rPr>
          <w:rStyle w:val="Strong"/>
          <w:highlight w:val="yellow"/>
        </w:rPr>
        <w:t>nsert date</w:t>
      </w:r>
      <w:r w:rsidR="004F3243" w:rsidRPr="0031644F">
        <w:rPr>
          <w:rFonts w:ascii="Calibri" w:hAnsi="Calibri"/>
          <w:sz w:val="22"/>
        </w:rPr>
        <w:t xml:space="preserve">] </w:t>
      </w:r>
      <w:r w:rsidR="00A24554" w:rsidRPr="009F7E0B">
        <w:rPr>
          <w:rFonts w:ascii="Calibri" w:eastAsiaTheme="minorHAnsi" w:hAnsi="Calibri"/>
          <w:sz w:val="22"/>
          <w:szCs w:val="22"/>
          <w:lang w:eastAsia="en-US"/>
        </w:rPr>
        <w:t xml:space="preserve">to </w:t>
      </w:r>
      <w:r w:rsidR="004F3243" w:rsidRPr="0031644F">
        <w:rPr>
          <w:rFonts w:ascii="Calibri" w:hAnsi="Calibri"/>
          <w:sz w:val="22"/>
        </w:rPr>
        <w:t>[</w:t>
      </w:r>
      <w:r w:rsidR="004F3243" w:rsidRPr="00A94A3E">
        <w:rPr>
          <w:rFonts w:ascii="Calibri" w:hAnsi="Calibri"/>
          <w:b/>
          <w:sz w:val="22"/>
          <w:highlight w:val="yellow"/>
        </w:rPr>
        <w:t>insert date</w:t>
      </w:r>
      <w:r w:rsidR="004F3243" w:rsidRPr="0031644F">
        <w:rPr>
          <w:rFonts w:ascii="Calibri" w:hAnsi="Calibri"/>
          <w:sz w:val="22"/>
        </w:rPr>
        <w:t>]</w:t>
      </w:r>
      <w:r w:rsidR="004F3243">
        <w:rPr>
          <w:rFonts w:ascii="Calibri" w:hAnsi="Calibri"/>
          <w:sz w:val="22"/>
        </w:rPr>
        <w:t>.</w:t>
      </w:r>
    </w:p>
    <w:p w14:paraId="3A12DD49" w14:textId="77777777" w:rsidR="005F4461" w:rsidRPr="00653330" w:rsidRDefault="005F4461" w:rsidP="00840644">
      <w:pPr>
        <w:pStyle w:val="Heading2"/>
      </w:pPr>
      <w:r w:rsidRPr="00653330">
        <w:t xml:space="preserve">Opinion </w:t>
      </w:r>
    </w:p>
    <w:p w14:paraId="00C0184F" w14:textId="69A59C1C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In our opinion,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has complied, in all material respects, with the requirements </w:t>
      </w:r>
      <w:r w:rsidRPr="009F7E0B">
        <w:rPr>
          <w:rFonts w:ascii="Calibri" w:hAnsi="Calibri"/>
          <w:sz w:val="22"/>
          <w:szCs w:val="22"/>
        </w:rPr>
        <w:br/>
        <w:t xml:space="preserve">of Part </w:t>
      </w:r>
      <w:r>
        <w:rPr>
          <w:rFonts w:ascii="Calibri" w:hAnsi="Calibri"/>
          <w:sz w:val="22"/>
          <w:szCs w:val="22"/>
        </w:rPr>
        <w:t>5</w:t>
      </w:r>
      <w:r w:rsidR="00EA00C9">
        <w:rPr>
          <w:rFonts w:ascii="Calibri" w:hAnsi="Calibri"/>
          <w:sz w:val="22"/>
          <w:szCs w:val="22"/>
        </w:rPr>
        <w:t xml:space="preserve">, Part </w:t>
      </w:r>
      <w:r w:rsidR="00256C1F">
        <w:rPr>
          <w:rFonts w:ascii="Calibri" w:hAnsi="Calibri"/>
          <w:sz w:val="22"/>
          <w:szCs w:val="22"/>
        </w:rPr>
        <w:t>6, and</w:t>
      </w:r>
      <w:r w:rsidR="00F47AE0">
        <w:rPr>
          <w:rFonts w:ascii="Calibri" w:hAnsi="Calibri"/>
          <w:sz w:val="22"/>
          <w:szCs w:val="22"/>
        </w:rPr>
        <w:t xml:space="preserve"> Part </w:t>
      </w:r>
      <w:r w:rsidR="00EA00C9">
        <w:rPr>
          <w:rFonts w:ascii="Calibri" w:hAnsi="Calibri"/>
          <w:sz w:val="22"/>
          <w:szCs w:val="22"/>
        </w:rPr>
        <w:t>7</w:t>
      </w:r>
      <w:r w:rsidRPr="009F7E0B">
        <w:rPr>
          <w:rFonts w:ascii="Calibri" w:hAnsi="Calibri"/>
          <w:sz w:val="22"/>
          <w:szCs w:val="22"/>
        </w:rPr>
        <w:t xml:space="preserve"> of the </w:t>
      </w:r>
      <w:r w:rsidR="0023773A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23773A" w:rsidRPr="00AE3048" w:rsidDel="0023773A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AE6D75">
        <w:rPr>
          <w:rFonts w:ascii="Calibri" w:hAnsi="Calibri"/>
          <w:sz w:val="22"/>
          <w:szCs w:val="22"/>
        </w:rPr>
        <w:t xml:space="preserve">(as amended) </w:t>
      </w:r>
      <w:r w:rsidRPr="009F7E0B">
        <w:rPr>
          <w:rFonts w:ascii="Calibri" w:hAnsi="Calibri"/>
          <w:sz w:val="22"/>
          <w:szCs w:val="22"/>
        </w:rPr>
        <w:t xml:space="preserve">for the period </w:t>
      </w:r>
      <w:r w:rsidR="004F3243" w:rsidRPr="0031644F">
        <w:rPr>
          <w:rFonts w:ascii="Calibri" w:hAnsi="Calibri"/>
          <w:sz w:val="22"/>
        </w:rPr>
        <w:t>[</w:t>
      </w:r>
      <w:r w:rsidR="004F3243" w:rsidRPr="00653330">
        <w:rPr>
          <w:rStyle w:val="Strong"/>
          <w:highlight w:val="yellow"/>
        </w:rPr>
        <w:t>insert date</w:t>
      </w:r>
      <w:r w:rsidR="004F3243" w:rsidRPr="0031644F">
        <w:rPr>
          <w:rFonts w:ascii="Calibri" w:hAnsi="Calibri"/>
          <w:sz w:val="22"/>
        </w:rPr>
        <w:t xml:space="preserve">] </w:t>
      </w:r>
      <w:r w:rsidRPr="009F7E0B">
        <w:rPr>
          <w:rFonts w:ascii="Calibri" w:hAnsi="Calibri"/>
          <w:sz w:val="22"/>
          <w:szCs w:val="22"/>
        </w:rPr>
        <w:t xml:space="preserve">to </w:t>
      </w:r>
      <w:r w:rsidR="004F3243" w:rsidRPr="0031644F">
        <w:rPr>
          <w:rFonts w:ascii="Calibri" w:hAnsi="Calibri"/>
          <w:sz w:val="22"/>
        </w:rPr>
        <w:t>[</w:t>
      </w:r>
      <w:r w:rsidR="004F3243" w:rsidRPr="00653330">
        <w:rPr>
          <w:rStyle w:val="Strong"/>
          <w:highlight w:val="yellow"/>
        </w:rPr>
        <w:t>insert date</w:t>
      </w:r>
      <w:r w:rsidR="004F3243" w:rsidRPr="0031644F">
        <w:rPr>
          <w:rFonts w:ascii="Calibri" w:hAnsi="Calibri"/>
          <w:sz w:val="22"/>
        </w:rPr>
        <w:t>]</w:t>
      </w:r>
    </w:p>
    <w:p w14:paraId="6471398E" w14:textId="091D44AA" w:rsidR="005F4461" w:rsidRPr="009F7E0B" w:rsidRDefault="005F4461" w:rsidP="00840644">
      <w:pPr>
        <w:pStyle w:val="Heading2"/>
      </w:pPr>
      <w:r w:rsidRPr="009F7E0B">
        <w:rPr>
          <w:b/>
        </w:rPr>
        <w:t xml:space="preserve">Report on </w:t>
      </w:r>
      <w:r w:rsidR="000D6929">
        <w:rPr>
          <w:b/>
        </w:rPr>
        <w:t>o</w:t>
      </w:r>
      <w:r w:rsidRPr="009F7E0B">
        <w:rPr>
          <w:b/>
        </w:rPr>
        <w:t xml:space="preserve">ther </w:t>
      </w:r>
      <w:r w:rsidR="000D6929">
        <w:rPr>
          <w:b/>
        </w:rPr>
        <w:t>l</w:t>
      </w:r>
      <w:r w:rsidRPr="009F7E0B">
        <w:rPr>
          <w:b/>
        </w:rPr>
        <w:t xml:space="preserve">egal and </w:t>
      </w:r>
      <w:r w:rsidR="000D6929">
        <w:rPr>
          <w:b/>
        </w:rPr>
        <w:t>r</w:t>
      </w:r>
      <w:r w:rsidRPr="009F7E0B">
        <w:rPr>
          <w:b/>
        </w:rPr>
        <w:t xml:space="preserve">egulatory </w:t>
      </w:r>
      <w:r w:rsidR="000D6929">
        <w:rPr>
          <w:b/>
        </w:rPr>
        <w:t>r</w:t>
      </w:r>
      <w:r w:rsidRPr="009F7E0B">
        <w:rPr>
          <w:b/>
        </w:rPr>
        <w:t xml:space="preserve">equirements </w:t>
      </w:r>
    </w:p>
    <w:p w14:paraId="66B9F8E4" w14:textId="2FA29DBC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In accordance with the requirements of the </w:t>
      </w:r>
      <w:r w:rsidR="000D6929" w:rsidRPr="009F7E0B">
        <w:rPr>
          <w:rFonts w:ascii="Calibri" w:hAnsi="Calibri"/>
          <w:iCs/>
          <w:sz w:val="22"/>
          <w:szCs w:val="22"/>
        </w:rPr>
        <w:t xml:space="preserve">Guide to </w:t>
      </w:r>
      <w:r w:rsidR="00E00BC8">
        <w:rPr>
          <w:rFonts w:ascii="Calibri" w:hAnsi="Calibri"/>
          <w:iCs/>
          <w:sz w:val="22"/>
          <w:szCs w:val="22"/>
        </w:rPr>
        <w:t>a</w:t>
      </w:r>
      <w:r w:rsidR="000D6929" w:rsidRPr="009F7E0B">
        <w:rPr>
          <w:rFonts w:ascii="Calibri" w:hAnsi="Calibri"/>
          <w:iCs/>
          <w:sz w:val="22"/>
          <w:szCs w:val="22"/>
        </w:rPr>
        <w:t xml:space="preserve">udit of </w:t>
      </w:r>
      <w:r w:rsidR="00E00BC8">
        <w:rPr>
          <w:rFonts w:ascii="Calibri" w:hAnsi="Calibri"/>
          <w:iCs/>
          <w:sz w:val="22"/>
          <w:szCs w:val="22"/>
        </w:rPr>
        <w:t>an</w:t>
      </w:r>
      <w:r w:rsidR="000D6929" w:rsidRPr="009F7E0B">
        <w:rPr>
          <w:rFonts w:ascii="Calibri" w:hAnsi="Calibri"/>
          <w:iCs/>
          <w:sz w:val="22"/>
          <w:szCs w:val="22"/>
        </w:rPr>
        <w:t xml:space="preserve"> </w:t>
      </w:r>
      <w:r w:rsidR="00E00BC8">
        <w:rPr>
          <w:rFonts w:ascii="Calibri" w:hAnsi="Calibri"/>
          <w:iCs/>
          <w:sz w:val="22"/>
          <w:szCs w:val="22"/>
        </w:rPr>
        <w:t>a</w:t>
      </w:r>
      <w:r w:rsidR="000D6929" w:rsidRPr="009F7E0B">
        <w:rPr>
          <w:rFonts w:ascii="Calibri" w:hAnsi="Calibri"/>
          <w:iCs/>
          <w:sz w:val="22"/>
          <w:szCs w:val="22"/>
        </w:rPr>
        <w:t xml:space="preserve">pproved </w:t>
      </w:r>
      <w:r w:rsidR="00E00BC8">
        <w:rPr>
          <w:rFonts w:ascii="Calibri" w:hAnsi="Calibri"/>
          <w:iCs/>
          <w:sz w:val="22"/>
          <w:szCs w:val="22"/>
        </w:rPr>
        <w:t>p</w:t>
      </w:r>
      <w:r w:rsidR="000D6929" w:rsidRPr="009F7E0B">
        <w:rPr>
          <w:rFonts w:ascii="Calibri" w:hAnsi="Calibri"/>
          <w:iCs/>
          <w:sz w:val="22"/>
          <w:szCs w:val="22"/>
        </w:rPr>
        <w:t xml:space="preserve">rovider’s </w:t>
      </w:r>
      <w:r w:rsidR="00E00BC8">
        <w:rPr>
          <w:rFonts w:ascii="Calibri" w:hAnsi="Calibri"/>
          <w:iCs/>
          <w:sz w:val="22"/>
          <w:szCs w:val="22"/>
        </w:rPr>
        <w:t>c</w:t>
      </w:r>
      <w:r w:rsidR="000D6929" w:rsidRPr="009F7E0B">
        <w:rPr>
          <w:rFonts w:ascii="Calibri" w:hAnsi="Calibri"/>
          <w:iCs/>
          <w:sz w:val="22"/>
          <w:szCs w:val="22"/>
        </w:rPr>
        <w:t xml:space="preserve">ompliance with the </w:t>
      </w:r>
      <w:r w:rsidR="00E00BC8">
        <w:rPr>
          <w:rFonts w:ascii="Calibri" w:hAnsi="Calibri"/>
          <w:iCs/>
          <w:sz w:val="22"/>
          <w:szCs w:val="22"/>
        </w:rPr>
        <w:t>p</w:t>
      </w:r>
      <w:r w:rsidR="000D6929" w:rsidRPr="009F7E0B">
        <w:rPr>
          <w:rFonts w:ascii="Calibri" w:hAnsi="Calibri"/>
          <w:iCs/>
          <w:sz w:val="22"/>
          <w:szCs w:val="22"/>
        </w:rPr>
        <w:t xml:space="preserve">rudential </w:t>
      </w:r>
      <w:r w:rsidR="00E00BC8">
        <w:rPr>
          <w:rFonts w:ascii="Calibri" w:hAnsi="Calibri"/>
          <w:iCs/>
          <w:sz w:val="22"/>
          <w:szCs w:val="22"/>
        </w:rPr>
        <w:t>r</w:t>
      </w:r>
      <w:r w:rsidR="000D6929" w:rsidRPr="009F7E0B">
        <w:rPr>
          <w:rFonts w:ascii="Calibri" w:hAnsi="Calibri"/>
          <w:iCs/>
          <w:sz w:val="22"/>
          <w:szCs w:val="22"/>
        </w:rPr>
        <w:t xml:space="preserve">equirements </w:t>
      </w:r>
      <w:r w:rsidR="000D6929">
        <w:rPr>
          <w:rFonts w:ascii="Calibri" w:hAnsi="Calibri"/>
          <w:sz w:val="22"/>
          <w:szCs w:val="22"/>
        </w:rPr>
        <w:t>(the Guide)</w:t>
      </w:r>
      <w:r w:rsidRPr="009F7E0B">
        <w:rPr>
          <w:rFonts w:ascii="Calibri" w:hAnsi="Calibri"/>
          <w:sz w:val="22"/>
          <w:szCs w:val="22"/>
        </w:rPr>
        <w:t xml:space="preserve">, we are required to report all instances of non-compliance with the requirements of the Act and the </w:t>
      </w:r>
      <w:r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6C3B3F">
        <w:rPr>
          <w:rFonts w:ascii="Calibri" w:hAnsi="Calibri"/>
          <w:bCs/>
          <w:iCs/>
          <w:sz w:val="22"/>
          <w:szCs w:val="22"/>
        </w:rPr>
        <w:t xml:space="preserve"> </w:t>
      </w:r>
      <w:r w:rsidRPr="009F7E0B">
        <w:rPr>
          <w:rFonts w:ascii="Calibri" w:hAnsi="Calibri"/>
          <w:sz w:val="22"/>
          <w:szCs w:val="22"/>
        </w:rPr>
        <w:t>by [</w:t>
      </w:r>
      <w:r w:rsidRPr="00520F2F">
        <w:rPr>
          <w:rFonts w:ascii="Calibri" w:hAnsi="Calibri"/>
          <w:b/>
          <w:sz w:val="22"/>
          <w:szCs w:val="22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that came to our attention during the course of our audit. </w:t>
      </w:r>
    </w:p>
    <w:p w14:paraId="078E353F" w14:textId="1C2C4961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{</w:t>
      </w:r>
      <w:r w:rsidRPr="009F7E0B">
        <w:rPr>
          <w:rFonts w:ascii="Calibri" w:hAnsi="Calibri"/>
          <w:iCs/>
          <w:sz w:val="22"/>
          <w:szCs w:val="22"/>
        </w:rPr>
        <w:t xml:space="preserve">Provide appropriate details of </w:t>
      </w:r>
      <w:r w:rsidRPr="009F7E0B">
        <w:rPr>
          <w:rFonts w:ascii="Calibri" w:hAnsi="Calibri"/>
          <w:iCs/>
          <w:sz w:val="22"/>
          <w:szCs w:val="22"/>
          <w:u w:val="single"/>
        </w:rPr>
        <w:t>all</w:t>
      </w:r>
      <w:r w:rsidRPr="009F7E0B">
        <w:rPr>
          <w:rFonts w:ascii="Calibri" w:hAnsi="Calibri"/>
          <w:iCs/>
          <w:sz w:val="22"/>
          <w:szCs w:val="22"/>
        </w:rPr>
        <w:t xml:space="preserve"> instances of non-compliance with prudential requirements by </w:t>
      </w:r>
      <w:r w:rsidRPr="009F7E0B">
        <w:rPr>
          <w:rFonts w:ascii="Calibri" w:hAnsi="Calibri"/>
          <w:sz w:val="22"/>
          <w:szCs w:val="22"/>
        </w:rPr>
        <w:t>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>]</w:t>
      </w:r>
      <w:r w:rsidRPr="009F7E0B">
        <w:rPr>
          <w:rFonts w:ascii="Calibri" w:hAnsi="Calibri"/>
          <w:iCs/>
          <w:sz w:val="22"/>
          <w:szCs w:val="22"/>
        </w:rPr>
        <w:t xml:space="preserve"> including </w:t>
      </w:r>
      <w:r w:rsidRPr="009F7E0B">
        <w:rPr>
          <w:rFonts w:ascii="Calibri" w:hAnsi="Calibri"/>
          <w:iCs/>
          <w:sz w:val="22"/>
          <w:szCs w:val="22"/>
          <w:u w:val="single"/>
        </w:rPr>
        <w:t>all</w:t>
      </w:r>
      <w:r w:rsidRPr="009F7E0B">
        <w:rPr>
          <w:rFonts w:ascii="Calibri" w:hAnsi="Calibri"/>
          <w:iCs/>
          <w:sz w:val="22"/>
          <w:szCs w:val="22"/>
        </w:rPr>
        <w:t xml:space="preserve"> those reported to the Secretary of </w:t>
      </w:r>
      <w:r w:rsidR="006A7324" w:rsidRPr="006A7324">
        <w:rPr>
          <w:rFonts w:ascii="Calibri" w:hAnsi="Calibri"/>
          <w:iCs/>
          <w:sz w:val="22"/>
          <w:szCs w:val="22"/>
        </w:rPr>
        <w:t xml:space="preserve">the </w:t>
      </w:r>
      <w:r w:rsidR="004A088D">
        <w:rPr>
          <w:rFonts w:ascii="Calibri" w:hAnsi="Calibri"/>
          <w:iCs/>
          <w:sz w:val="22"/>
          <w:szCs w:val="22"/>
        </w:rPr>
        <w:t>Department of Health, Disability and Ageing</w:t>
      </w:r>
      <w:r w:rsidR="006A7324" w:rsidRPr="006A7324">
        <w:rPr>
          <w:rFonts w:ascii="Calibri" w:hAnsi="Calibri"/>
          <w:iCs/>
          <w:sz w:val="22"/>
          <w:szCs w:val="22"/>
        </w:rPr>
        <w:t xml:space="preserve"> </w:t>
      </w:r>
      <w:r w:rsidRPr="009F7E0B">
        <w:rPr>
          <w:rFonts w:ascii="Calibri" w:hAnsi="Calibri"/>
          <w:iCs/>
          <w:sz w:val="22"/>
          <w:szCs w:val="22"/>
        </w:rPr>
        <w:t xml:space="preserve">by </w:t>
      </w:r>
      <w:r w:rsidRPr="009F7E0B">
        <w:rPr>
          <w:rFonts w:ascii="Calibri" w:hAnsi="Calibri"/>
          <w:sz w:val="22"/>
          <w:szCs w:val="22"/>
        </w:rPr>
        <w:t>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>]}</w:t>
      </w:r>
      <w:r w:rsidRPr="009F7E0B">
        <w:rPr>
          <w:rFonts w:ascii="Calibri" w:hAnsi="Calibri"/>
          <w:iCs/>
          <w:sz w:val="22"/>
          <w:szCs w:val="22"/>
        </w:rPr>
        <w:t xml:space="preserve">. </w:t>
      </w:r>
    </w:p>
    <w:p w14:paraId="759D735F" w14:textId="77777777" w:rsidR="005F4461" w:rsidRPr="00653330" w:rsidRDefault="00840644" w:rsidP="005F4461">
      <w:pPr>
        <w:pStyle w:val="Default"/>
        <w:spacing w:after="120"/>
        <w:rPr>
          <w:rStyle w:val="Strong"/>
        </w:rPr>
      </w:pPr>
      <w:r>
        <w:rPr>
          <w:rStyle w:val="Strong"/>
        </w:rPr>
        <w:t xml:space="preserve">{For example}: </w:t>
      </w:r>
    </w:p>
    <w:p w14:paraId="345FFA46" w14:textId="77777777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Our opinion above, is not modified in respect of the following matter(s) because, in our opinion, it/they has/have been appropriately addressed by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is/are not considered material, either individually, or taken as a whole, in the context of the engagement: </w:t>
      </w:r>
    </w:p>
    <w:p w14:paraId="61112585" w14:textId="77777777" w:rsidR="005F4461" w:rsidRPr="009F7E0B" w:rsidRDefault="005F4461" w:rsidP="005F4461">
      <w:pPr>
        <w:pStyle w:val="Default"/>
        <w:numPr>
          <w:ilvl w:val="0"/>
          <w:numId w:val="1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The approved provider failed to refund 1 </w:t>
      </w:r>
      <w:r>
        <w:rPr>
          <w:rFonts w:ascii="Calibri" w:hAnsi="Calibri"/>
          <w:sz w:val="22"/>
          <w:szCs w:val="22"/>
        </w:rPr>
        <w:t>refundable deposit</w:t>
      </w:r>
      <w:r w:rsidRPr="009F7E0B">
        <w:rPr>
          <w:rFonts w:ascii="Calibri" w:hAnsi="Calibri"/>
          <w:sz w:val="22"/>
          <w:szCs w:val="22"/>
        </w:rPr>
        <w:t xml:space="preserve"> within the legislated timeframe. </w:t>
      </w:r>
    </w:p>
    <w:p w14:paraId="69D95434" w14:textId="32D386DA" w:rsidR="005F4461" w:rsidRPr="00D344BC" w:rsidRDefault="2323F62D" w:rsidP="00FC62C4">
      <w:pPr>
        <w:pStyle w:val="Default"/>
        <w:numPr>
          <w:ilvl w:val="0"/>
          <w:numId w:val="1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53D3AEFD">
        <w:rPr>
          <w:rFonts w:ascii="Calibri" w:hAnsi="Calibri"/>
          <w:sz w:val="22"/>
          <w:szCs w:val="22"/>
        </w:rPr>
        <w:t>...</w:t>
      </w:r>
    </w:p>
    <w:p w14:paraId="51803684" w14:textId="0C8A101D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>Directors’ [Responsible Party]’s</w:t>
      </w:r>
      <w:r w:rsidRPr="009F7E0B">
        <w:rPr>
          <w:rFonts w:cs="Cambria"/>
          <w:b/>
          <w:color w:val="3D3D3D"/>
        </w:rPr>
        <w:t xml:space="preserve"> </w:t>
      </w:r>
      <w:r w:rsidR="000D6929">
        <w:rPr>
          <w:b/>
        </w:rPr>
        <w:t>r</w:t>
      </w:r>
      <w:r w:rsidRPr="009F7E0B">
        <w:rPr>
          <w:b/>
        </w:rPr>
        <w:t xml:space="preserve">esponsibility </w:t>
      </w:r>
    </w:p>
    <w:p w14:paraId="3EB847CF" w14:textId="3CF1D854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520F2F">
        <w:rPr>
          <w:rFonts w:ascii="Calibri" w:hAnsi="Calibri"/>
          <w:b/>
          <w:sz w:val="22"/>
          <w:szCs w:val="22"/>
        </w:rPr>
        <w:t>Responsible Party</w:t>
      </w:r>
      <w:r w:rsidRPr="009F7E0B">
        <w:rPr>
          <w:rFonts w:ascii="Calibri" w:hAnsi="Calibri"/>
          <w:sz w:val="22"/>
          <w:szCs w:val="22"/>
        </w:rPr>
        <w:t>] of [</w:t>
      </w:r>
      <w:r w:rsidRPr="00520F2F">
        <w:rPr>
          <w:rFonts w:ascii="Calibri" w:hAnsi="Calibri"/>
          <w:b/>
          <w:sz w:val="22"/>
          <w:szCs w:val="22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are/is responsible for compliance with the Act and the </w:t>
      </w:r>
      <w:r w:rsidR="00AA2C1C" w:rsidRPr="00520F2F">
        <w:rPr>
          <w:rFonts w:ascii="Calibri" w:hAnsi="Calibri"/>
          <w:color w:val="auto"/>
          <w:sz w:val="22"/>
          <w:szCs w:val="22"/>
        </w:rPr>
        <w:t xml:space="preserve">Fees and Payments Principles </w:t>
      </w:r>
      <w:r w:rsidRPr="009F7E0B">
        <w:rPr>
          <w:rFonts w:ascii="Calibri" w:hAnsi="Calibri"/>
          <w:sz w:val="22"/>
          <w:szCs w:val="22"/>
        </w:rPr>
        <w:t>and for such internal control as the directors [</w:t>
      </w:r>
      <w:r w:rsidRPr="00520F2F">
        <w:rPr>
          <w:rFonts w:ascii="Calibri" w:hAnsi="Calibri"/>
          <w:b/>
          <w:sz w:val="22"/>
          <w:szCs w:val="22"/>
        </w:rPr>
        <w:t>Responsible Party</w:t>
      </w:r>
      <w:r w:rsidRPr="009F7E0B">
        <w:rPr>
          <w:rFonts w:ascii="Calibri" w:hAnsi="Calibri"/>
          <w:sz w:val="22"/>
          <w:szCs w:val="22"/>
        </w:rPr>
        <w:t xml:space="preserve">] determine is necessary for compliance with the Act and the </w:t>
      </w:r>
      <w:r w:rsidR="00AE3048">
        <w:rPr>
          <w:rFonts w:ascii="Calibri" w:hAnsi="Calibri"/>
          <w:sz w:val="22"/>
          <w:szCs w:val="22"/>
        </w:rPr>
        <w:t xml:space="preserve">Fees and Payments </w:t>
      </w:r>
      <w:r w:rsidR="00A24554" w:rsidRPr="009F7E0B">
        <w:rPr>
          <w:rFonts w:ascii="Calibri" w:hAnsi="Calibri"/>
          <w:sz w:val="22"/>
          <w:szCs w:val="22"/>
        </w:rPr>
        <w:t>Principles</w:t>
      </w:r>
      <w:r w:rsidRPr="009F7E0B">
        <w:rPr>
          <w:rFonts w:ascii="Calibri" w:hAnsi="Calibri"/>
          <w:sz w:val="22"/>
          <w:szCs w:val="22"/>
        </w:rPr>
        <w:t xml:space="preserve">. The responsibilities of 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520F2F">
        <w:rPr>
          <w:rFonts w:ascii="Calibri" w:hAnsi="Calibri"/>
          <w:b/>
          <w:sz w:val="22"/>
          <w:szCs w:val="22"/>
        </w:rPr>
        <w:t>Responsible Party</w:t>
      </w:r>
      <w:r w:rsidRPr="009F7E0B">
        <w:rPr>
          <w:rFonts w:ascii="Calibri" w:hAnsi="Calibri"/>
          <w:sz w:val="22"/>
          <w:szCs w:val="22"/>
        </w:rPr>
        <w:t xml:space="preserve">] include requirements under the Act and the </w:t>
      </w:r>
      <w:r w:rsidR="00AE3048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AE3048" w:rsidRPr="009F7E0B">
        <w:rPr>
          <w:rFonts w:ascii="Calibri" w:hAnsi="Calibri"/>
          <w:sz w:val="22"/>
          <w:szCs w:val="22"/>
        </w:rPr>
        <w:t xml:space="preserve"> </w:t>
      </w:r>
      <w:r w:rsidRPr="009F7E0B">
        <w:rPr>
          <w:rFonts w:ascii="Calibri" w:hAnsi="Calibri"/>
          <w:sz w:val="22"/>
          <w:szCs w:val="22"/>
        </w:rPr>
        <w:t xml:space="preserve">for the preparation and presentation of the Annual Prudential Compliance Statement (APCS) and compliance with the Prudential Standards contained within the </w:t>
      </w:r>
      <w:r w:rsidR="00AE3048">
        <w:rPr>
          <w:rFonts w:ascii="Calibri" w:hAnsi="Calibri"/>
          <w:sz w:val="22"/>
          <w:szCs w:val="22"/>
        </w:rPr>
        <w:t xml:space="preserve">Fees and Payments </w:t>
      </w:r>
      <w:r w:rsidR="00A24554" w:rsidRPr="009F7E0B">
        <w:rPr>
          <w:rFonts w:ascii="Calibri" w:hAnsi="Calibri"/>
          <w:sz w:val="22"/>
          <w:szCs w:val="22"/>
        </w:rPr>
        <w:t>Principles</w:t>
      </w:r>
      <w:r w:rsidR="00653330">
        <w:rPr>
          <w:rFonts w:ascii="Calibri" w:hAnsi="Calibri"/>
          <w:sz w:val="22"/>
          <w:szCs w:val="22"/>
        </w:rPr>
        <w:t xml:space="preserve">. </w:t>
      </w:r>
    </w:p>
    <w:p w14:paraId="3EA7B295" w14:textId="2798E1B5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 xml:space="preserve">Auditor’s </w:t>
      </w:r>
      <w:r w:rsidR="000D6929">
        <w:rPr>
          <w:b/>
        </w:rPr>
        <w:t>r</w:t>
      </w:r>
      <w:r w:rsidRPr="009F7E0B">
        <w:rPr>
          <w:b/>
        </w:rPr>
        <w:t xml:space="preserve">esponsibility </w:t>
      </w:r>
    </w:p>
    <w:p w14:paraId="427AC490" w14:textId="77777777" w:rsidR="00653330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Our responsibility is to </w:t>
      </w:r>
      <w:r w:rsidR="00A24554" w:rsidRPr="009F7E0B">
        <w:rPr>
          <w:rFonts w:ascii="Calibri" w:hAnsi="Calibri"/>
          <w:sz w:val="22"/>
          <w:szCs w:val="22"/>
        </w:rPr>
        <w:t xml:space="preserve">form and </w:t>
      </w:r>
      <w:r w:rsidRPr="009F7E0B">
        <w:rPr>
          <w:rFonts w:ascii="Calibri" w:hAnsi="Calibri"/>
          <w:sz w:val="22"/>
          <w:szCs w:val="22"/>
        </w:rPr>
        <w:t>express an opinion on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]’s compliance, in all material respects, with the prudential requirements of the Act and the </w:t>
      </w:r>
      <w:r w:rsidR="00AE3048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Pr="009F7E0B">
        <w:rPr>
          <w:rFonts w:ascii="Calibri" w:hAnsi="Calibri"/>
          <w:sz w:val="22"/>
          <w:szCs w:val="22"/>
        </w:rPr>
        <w:t xml:space="preserve">. </w:t>
      </w:r>
    </w:p>
    <w:p w14:paraId="7AD39842" w14:textId="4ACCAB0B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Our audit has been conducted in accordance with the applicable Standards on Assurance Engagements (ASAE 3100 </w:t>
      </w:r>
      <w:r w:rsidRPr="000D6929">
        <w:rPr>
          <w:rFonts w:ascii="Calibri" w:hAnsi="Calibri"/>
          <w:iCs/>
          <w:sz w:val="22"/>
          <w:szCs w:val="22"/>
        </w:rPr>
        <w:t>Compliance Engagements</w:t>
      </w:r>
      <w:r w:rsidRPr="009F7E0B">
        <w:rPr>
          <w:rFonts w:ascii="Calibri" w:hAnsi="Calibri"/>
          <w:sz w:val="22"/>
          <w:szCs w:val="22"/>
        </w:rPr>
        <w:t xml:space="preserve">), issued by the Auditing and Assurance Standards Board and with the requirements of </w:t>
      </w:r>
      <w:r w:rsidR="006A7324" w:rsidRPr="006A7324">
        <w:rPr>
          <w:rFonts w:ascii="Calibri" w:hAnsi="Calibri"/>
          <w:sz w:val="22"/>
          <w:szCs w:val="22"/>
        </w:rPr>
        <w:t xml:space="preserve">the </w:t>
      </w:r>
      <w:r w:rsidR="004A088D">
        <w:rPr>
          <w:rFonts w:ascii="Calibri" w:hAnsi="Calibri"/>
          <w:sz w:val="22"/>
          <w:szCs w:val="22"/>
        </w:rPr>
        <w:t>Department of Health, Disability and Ageing</w:t>
      </w:r>
      <w:r w:rsidR="006A7324" w:rsidRPr="006A7324">
        <w:rPr>
          <w:rFonts w:ascii="Calibri" w:hAnsi="Calibri"/>
          <w:sz w:val="22"/>
          <w:szCs w:val="22"/>
        </w:rPr>
        <w:t xml:space="preserve"> </w:t>
      </w:r>
      <w:r w:rsidRPr="009F7E0B">
        <w:rPr>
          <w:rFonts w:ascii="Calibri" w:hAnsi="Calibri"/>
          <w:sz w:val="22"/>
          <w:szCs w:val="22"/>
        </w:rPr>
        <w:t xml:space="preserve">as set out in the </w:t>
      </w:r>
      <w:r w:rsidR="008B4EA7" w:rsidRPr="009F7E0B">
        <w:rPr>
          <w:rFonts w:ascii="Calibri" w:hAnsi="Calibri"/>
          <w:iCs/>
          <w:sz w:val="22"/>
          <w:szCs w:val="22"/>
        </w:rPr>
        <w:t>Guide.</w:t>
      </w:r>
      <w:r w:rsidRPr="009F7E0B">
        <w:rPr>
          <w:rFonts w:ascii="Calibri" w:hAnsi="Calibri"/>
          <w:sz w:val="22"/>
          <w:szCs w:val="22"/>
        </w:rPr>
        <w:t xml:space="preserve"> Our audit has been conducted to prov</w:t>
      </w:r>
      <w:r w:rsidR="00D81112">
        <w:rPr>
          <w:rFonts w:ascii="Calibri" w:hAnsi="Calibri"/>
          <w:sz w:val="22"/>
          <w:szCs w:val="22"/>
        </w:rPr>
        <w:t xml:space="preserve">ide reasonable </w:t>
      </w:r>
      <w:r w:rsidR="00D81112" w:rsidRPr="0047090A">
        <w:rPr>
          <w:rFonts w:ascii="Calibri" w:hAnsi="Calibri"/>
          <w:sz w:val="22"/>
          <w:szCs w:val="22"/>
        </w:rPr>
        <w:t xml:space="preserve">assurance that </w:t>
      </w:r>
      <w:r w:rsidRPr="0047090A">
        <w:rPr>
          <w:rFonts w:ascii="Calibri" w:hAnsi="Calibri"/>
          <w:sz w:val="22"/>
          <w:szCs w:val="22"/>
        </w:rPr>
        <w:t>[</w:t>
      </w:r>
      <w:r w:rsidRPr="00653330">
        <w:rPr>
          <w:rStyle w:val="Strong"/>
        </w:rPr>
        <w:t>approved provider name</w:t>
      </w:r>
      <w:r w:rsidRPr="0047090A">
        <w:rPr>
          <w:rFonts w:ascii="Calibri" w:hAnsi="Calibri"/>
          <w:sz w:val="22"/>
          <w:szCs w:val="22"/>
        </w:rPr>
        <w:t xml:space="preserve">] has complied with the requirements of the </w:t>
      </w:r>
      <w:r w:rsidR="00AE3048" w:rsidRPr="0047090A">
        <w:rPr>
          <w:rFonts w:ascii="Calibri" w:hAnsi="Calibri"/>
          <w:bCs/>
          <w:iCs/>
          <w:sz w:val="22"/>
          <w:szCs w:val="22"/>
        </w:rPr>
        <w:t>Fees and Payments Principles</w:t>
      </w:r>
      <w:r w:rsidRPr="0047090A">
        <w:rPr>
          <w:rFonts w:ascii="Calibri" w:hAnsi="Calibri"/>
          <w:sz w:val="22"/>
          <w:szCs w:val="22"/>
        </w:rPr>
        <w:t>.</w:t>
      </w:r>
      <w:r w:rsidRPr="0047090A">
        <w:rPr>
          <w:rFonts w:ascii="Calibri" w:hAnsi="Calibri"/>
          <w:i/>
          <w:iCs/>
          <w:sz w:val="22"/>
          <w:szCs w:val="22"/>
        </w:rPr>
        <w:t xml:space="preserve"> </w:t>
      </w:r>
      <w:r w:rsidRPr="0047090A">
        <w:rPr>
          <w:rFonts w:ascii="Calibri" w:hAnsi="Calibri"/>
          <w:sz w:val="22"/>
          <w:szCs w:val="22"/>
        </w:rPr>
        <w:t>ASAE 3100 requires that we comply with r</w:t>
      </w:r>
      <w:r w:rsidR="00484CFA" w:rsidRPr="0047090A">
        <w:rPr>
          <w:rFonts w:ascii="Calibri" w:hAnsi="Calibri"/>
          <w:sz w:val="22"/>
          <w:szCs w:val="22"/>
        </w:rPr>
        <w:t>elevant</w:t>
      </w:r>
      <w:r w:rsidR="00484CFA" w:rsidRPr="009F7E0B">
        <w:rPr>
          <w:rFonts w:ascii="Calibri" w:hAnsi="Calibri"/>
          <w:sz w:val="22"/>
          <w:szCs w:val="22"/>
        </w:rPr>
        <w:t xml:space="preserve"> ethical requirements. </w:t>
      </w:r>
    </w:p>
    <w:p w14:paraId="228514EA" w14:textId="700651A7" w:rsidR="00A24554" w:rsidRPr="009F7E0B" w:rsidRDefault="00D92B22" w:rsidP="00FC62C4">
      <w:pPr>
        <w:pStyle w:val="Default"/>
        <w:spacing w:after="120"/>
        <w:rPr>
          <w:rFonts w:ascii="Calibri" w:hAnsi="Calibri"/>
          <w:b/>
          <w:i/>
          <w:iCs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Audit procedures selected depend on the auditor’s judgement.  The auditor designs procedures that are appropriate in the circumstances and incorporate the audit scope requirements set out in the Guide.  The </w:t>
      </w:r>
      <w:r w:rsidRPr="009F7E0B">
        <w:rPr>
          <w:rFonts w:ascii="Calibri" w:hAnsi="Calibri"/>
          <w:sz w:val="22"/>
          <w:szCs w:val="22"/>
        </w:rPr>
        <w:lastRenderedPageBreak/>
        <w:t>audit procedures have been undertaken to form an opinion on compliance of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with </w:t>
      </w:r>
      <w:r w:rsidR="00E45CBC" w:rsidRPr="009F7E0B">
        <w:rPr>
          <w:rFonts w:ascii="Calibri" w:hAnsi="Calibri"/>
          <w:sz w:val="22"/>
          <w:szCs w:val="22"/>
        </w:rPr>
        <w:t xml:space="preserve">Part </w:t>
      </w:r>
      <w:r w:rsidR="00AE3048">
        <w:rPr>
          <w:rFonts w:ascii="Calibri" w:hAnsi="Calibri"/>
          <w:sz w:val="22"/>
          <w:szCs w:val="22"/>
        </w:rPr>
        <w:t>5</w:t>
      </w:r>
      <w:r w:rsidR="00EA00C9">
        <w:rPr>
          <w:rFonts w:ascii="Calibri" w:hAnsi="Calibri"/>
          <w:sz w:val="22"/>
          <w:szCs w:val="22"/>
        </w:rPr>
        <w:t xml:space="preserve">, Part 6, </w:t>
      </w:r>
      <w:r w:rsidR="00F47AE0">
        <w:rPr>
          <w:rFonts w:ascii="Calibri" w:hAnsi="Calibri"/>
          <w:sz w:val="22"/>
          <w:szCs w:val="22"/>
        </w:rPr>
        <w:t xml:space="preserve">and Part </w:t>
      </w:r>
      <w:r w:rsidR="00EA00C9">
        <w:rPr>
          <w:rFonts w:ascii="Calibri" w:hAnsi="Calibri"/>
          <w:sz w:val="22"/>
          <w:szCs w:val="22"/>
        </w:rPr>
        <w:t>7</w:t>
      </w:r>
      <w:r w:rsidR="00F47AE0">
        <w:rPr>
          <w:rFonts w:ascii="Calibri" w:hAnsi="Calibri"/>
          <w:sz w:val="22"/>
          <w:szCs w:val="22"/>
        </w:rPr>
        <w:t xml:space="preserve"> </w:t>
      </w:r>
      <w:r w:rsidR="00E45CBC" w:rsidRPr="009F7E0B">
        <w:rPr>
          <w:rFonts w:ascii="Calibri" w:hAnsi="Calibri"/>
          <w:sz w:val="22"/>
          <w:szCs w:val="22"/>
        </w:rPr>
        <w:t>of</w:t>
      </w:r>
      <w:r w:rsidRPr="009F7E0B">
        <w:rPr>
          <w:rFonts w:ascii="Calibri" w:hAnsi="Calibri"/>
          <w:sz w:val="22"/>
          <w:szCs w:val="22"/>
        </w:rPr>
        <w:t xml:space="preserve"> the </w:t>
      </w:r>
      <w:r w:rsidR="00AE3048">
        <w:rPr>
          <w:rFonts w:ascii="Calibri" w:hAnsi="Calibri"/>
          <w:sz w:val="22"/>
          <w:szCs w:val="22"/>
        </w:rPr>
        <w:t>Fees and Payments Principles</w:t>
      </w:r>
      <w:r w:rsidRPr="009F7E0B">
        <w:rPr>
          <w:rFonts w:ascii="Calibri" w:hAnsi="Calibri"/>
          <w:sz w:val="22"/>
          <w:szCs w:val="22"/>
        </w:rPr>
        <w:t xml:space="preserve">.  Audit procedures include obtaining evidence relating to </w:t>
      </w:r>
      <w:r w:rsidR="00AE3048">
        <w:rPr>
          <w:rFonts w:ascii="Calibri" w:hAnsi="Calibri"/>
          <w:sz w:val="22"/>
          <w:szCs w:val="22"/>
        </w:rPr>
        <w:t xml:space="preserve">refundable deposits, </w:t>
      </w:r>
      <w:r w:rsidRPr="009F7E0B">
        <w:rPr>
          <w:rFonts w:ascii="Calibri" w:hAnsi="Calibri"/>
          <w:sz w:val="22"/>
          <w:szCs w:val="22"/>
        </w:rPr>
        <w:t xml:space="preserve">accommodation bonds and entry contributions held; refunds of </w:t>
      </w:r>
      <w:r w:rsidR="00AE3048">
        <w:rPr>
          <w:rFonts w:ascii="Calibri" w:hAnsi="Calibri"/>
          <w:sz w:val="22"/>
          <w:szCs w:val="22"/>
        </w:rPr>
        <w:t xml:space="preserve">refundable deposits, </w:t>
      </w:r>
      <w:r w:rsidRPr="009F7E0B">
        <w:rPr>
          <w:rFonts w:ascii="Calibri" w:hAnsi="Calibri"/>
          <w:sz w:val="22"/>
          <w:szCs w:val="22"/>
        </w:rPr>
        <w:t xml:space="preserve">accommodation bond balances and entry contributions; limits on charging </w:t>
      </w:r>
      <w:r w:rsidR="00AE3048">
        <w:rPr>
          <w:rFonts w:ascii="Calibri" w:hAnsi="Calibri"/>
          <w:sz w:val="22"/>
          <w:szCs w:val="22"/>
        </w:rPr>
        <w:t xml:space="preserve">refundable deposits, </w:t>
      </w:r>
      <w:r w:rsidRPr="009F7E0B">
        <w:rPr>
          <w:rFonts w:ascii="Calibri" w:hAnsi="Calibri"/>
          <w:sz w:val="22"/>
          <w:szCs w:val="22"/>
        </w:rPr>
        <w:t>accommodation bonds</w:t>
      </w:r>
      <w:r w:rsidR="003B538C" w:rsidRPr="003B538C">
        <w:rPr>
          <w:rFonts w:ascii="Calibri" w:hAnsi="Calibri"/>
          <w:sz w:val="22"/>
          <w:szCs w:val="22"/>
        </w:rPr>
        <w:t>; compliance</w:t>
      </w:r>
      <w:r w:rsidRPr="009F7E0B">
        <w:rPr>
          <w:rFonts w:ascii="Calibri" w:hAnsi="Calibri"/>
          <w:sz w:val="22"/>
          <w:szCs w:val="22"/>
        </w:rPr>
        <w:t xml:space="preserve"> with the Prudential Standards relating to liquidity, records, governance and disclosure</w:t>
      </w:r>
      <w:r w:rsidR="00E45CBC" w:rsidRPr="009F7E0B">
        <w:rPr>
          <w:rFonts w:ascii="Calibri" w:hAnsi="Calibri"/>
          <w:sz w:val="22"/>
          <w:szCs w:val="22"/>
        </w:rPr>
        <w:t xml:space="preserve">; and use of </w:t>
      </w:r>
      <w:r w:rsidR="00AE3048">
        <w:rPr>
          <w:rFonts w:ascii="Calibri" w:hAnsi="Calibri"/>
          <w:sz w:val="22"/>
          <w:szCs w:val="22"/>
        </w:rPr>
        <w:t xml:space="preserve">refundable deposits and </w:t>
      </w:r>
      <w:r w:rsidR="00E45CBC" w:rsidRPr="009F7E0B">
        <w:rPr>
          <w:rFonts w:ascii="Calibri" w:hAnsi="Calibri"/>
          <w:sz w:val="22"/>
          <w:szCs w:val="22"/>
        </w:rPr>
        <w:t xml:space="preserve">accommodation bonds. </w:t>
      </w:r>
    </w:p>
    <w:p w14:paraId="66800F13" w14:textId="12D7B4C0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 xml:space="preserve">Use of </w:t>
      </w:r>
      <w:r w:rsidR="000D6929">
        <w:rPr>
          <w:b/>
        </w:rPr>
        <w:t>r</w:t>
      </w:r>
      <w:r w:rsidRPr="009F7E0B">
        <w:rPr>
          <w:b/>
        </w:rPr>
        <w:t xml:space="preserve">eport and </w:t>
      </w:r>
      <w:r w:rsidR="000D6929">
        <w:rPr>
          <w:b/>
        </w:rPr>
        <w:t>r</w:t>
      </w:r>
      <w:r w:rsidRPr="009F7E0B">
        <w:rPr>
          <w:b/>
        </w:rPr>
        <w:t xml:space="preserve">estriction on </w:t>
      </w:r>
      <w:r w:rsidR="000D6929">
        <w:rPr>
          <w:b/>
        </w:rPr>
        <w:t>d</w:t>
      </w:r>
      <w:r w:rsidRPr="009F7E0B">
        <w:rPr>
          <w:b/>
        </w:rPr>
        <w:t xml:space="preserve">istribution </w:t>
      </w:r>
    </w:p>
    <w:p w14:paraId="59CF4356" w14:textId="30C9B8FC" w:rsidR="003B538C" w:rsidRPr="00712954" w:rsidRDefault="00D92B22" w:rsidP="0071295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This auditor’s report has been prepared for 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653330">
        <w:rPr>
          <w:rStyle w:val="Strong"/>
        </w:rPr>
        <w:t>Responsible Party</w:t>
      </w:r>
      <w:r w:rsidRPr="009F7E0B">
        <w:rPr>
          <w:rFonts w:ascii="Calibri" w:hAnsi="Calibri"/>
          <w:sz w:val="22"/>
          <w:szCs w:val="22"/>
        </w:rPr>
        <w:t>] of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the Secretary of the </w:t>
      </w:r>
      <w:r w:rsidR="004A088D">
        <w:rPr>
          <w:rFonts w:ascii="Calibri" w:hAnsi="Calibri"/>
          <w:sz w:val="22"/>
          <w:szCs w:val="22"/>
        </w:rPr>
        <w:t>Department of Health, Disability and Ageing</w:t>
      </w:r>
      <w:r w:rsidR="006A7324" w:rsidRPr="006A7324">
        <w:rPr>
          <w:rFonts w:ascii="Calibri" w:hAnsi="Calibri"/>
          <w:sz w:val="22"/>
          <w:szCs w:val="22"/>
        </w:rPr>
        <w:t xml:space="preserve"> </w:t>
      </w:r>
      <w:r w:rsidRPr="009F7E0B">
        <w:rPr>
          <w:rFonts w:ascii="Calibri" w:hAnsi="Calibri"/>
          <w:sz w:val="22"/>
          <w:szCs w:val="22"/>
        </w:rPr>
        <w:t xml:space="preserve">for the purpose of fulfilling the requirements of the </w:t>
      </w:r>
      <w:r w:rsidR="009F7E0B">
        <w:rPr>
          <w:rFonts w:ascii="Calibri" w:hAnsi="Calibri"/>
          <w:sz w:val="22"/>
          <w:szCs w:val="22"/>
        </w:rPr>
        <w:t>Disclosure Standard</w:t>
      </w:r>
      <w:r w:rsidRPr="009F7E0B">
        <w:rPr>
          <w:rFonts w:ascii="Calibri" w:hAnsi="Calibri"/>
          <w:sz w:val="22"/>
          <w:szCs w:val="22"/>
        </w:rPr>
        <w:t>.  We disclaim any assumption of responsibility for any reliance on this report to any p</w:t>
      </w:r>
      <w:r w:rsidR="00A24554" w:rsidRPr="009F7E0B">
        <w:rPr>
          <w:rFonts w:ascii="Calibri" w:hAnsi="Calibri"/>
          <w:sz w:val="22"/>
          <w:szCs w:val="22"/>
        </w:rPr>
        <w:t>ersons or users other than the d</w:t>
      </w:r>
      <w:r w:rsidRPr="009F7E0B">
        <w:rPr>
          <w:rFonts w:ascii="Calibri" w:hAnsi="Calibri"/>
          <w:sz w:val="22"/>
          <w:szCs w:val="22"/>
        </w:rPr>
        <w:t>irectors [</w:t>
      </w:r>
      <w:r w:rsidRPr="00653330">
        <w:rPr>
          <w:rStyle w:val="Strong"/>
        </w:rPr>
        <w:t>Responsible Party</w:t>
      </w:r>
      <w:r w:rsidRPr="009F7E0B">
        <w:rPr>
          <w:rFonts w:ascii="Calibri" w:hAnsi="Calibri"/>
          <w:sz w:val="22"/>
          <w:szCs w:val="22"/>
        </w:rPr>
        <w:t xml:space="preserve">] and the Secretary of </w:t>
      </w:r>
      <w:r w:rsidR="006A7324" w:rsidRPr="006A7324">
        <w:rPr>
          <w:rFonts w:ascii="Calibri" w:hAnsi="Calibri"/>
          <w:sz w:val="22"/>
          <w:szCs w:val="22"/>
        </w:rPr>
        <w:t xml:space="preserve">the </w:t>
      </w:r>
      <w:r w:rsidR="004A088D">
        <w:rPr>
          <w:rFonts w:ascii="Calibri" w:hAnsi="Calibri"/>
          <w:sz w:val="22"/>
          <w:szCs w:val="22"/>
        </w:rPr>
        <w:t>Department of Health, Disability and Ageing</w:t>
      </w:r>
      <w:r w:rsidRPr="009F7E0B">
        <w:rPr>
          <w:rFonts w:ascii="Calibri" w:hAnsi="Calibri"/>
          <w:sz w:val="22"/>
          <w:szCs w:val="22"/>
        </w:rPr>
        <w:t xml:space="preserve">, or for any purpose other than that for which it was prepared.  Our report is intended for 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653330">
        <w:rPr>
          <w:rStyle w:val="Strong"/>
        </w:rPr>
        <w:t>Responsible Party</w:t>
      </w:r>
      <w:r w:rsidRPr="009F7E0B">
        <w:rPr>
          <w:rFonts w:ascii="Calibri" w:hAnsi="Calibri"/>
          <w:sz w:val="22"/>
          <w:szCs w:val="22"/>
        </w:rPr>
        <w:t>] of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the Secretary of </w:t>
      </w:r>
      <w:r w:rsidR="006A7324" w:rsidRPr="006A7324">
        <w:rPr>
          <w:rFonts w:ascii="Calibri" w:hAnsi="Calibri"/>
          <w:sz w:val="22"/>
          <w:szCs w:val="22"/>
        </w:rPr>
        <w:t xml:space="preserve">the </w:t>
      </w:r>
      <w:r w:rsidR="004A088D">
        <w:rPr>
          <w:rFonts w:ascii="Calibri" w:hAnsi="Calibri"/>
          <w:sz w:val="22"/>
          <w:szCs w:val="22"/>
        </w:rPr>
        <w:t>Department of Health, Disability and Ageing</w:t>
      </w:r>
      <w:r w:rsidR="008B4EA7" w:rsidRPr="006A7324">
        <w:rPr>
          <w:rFonts w:ascii="Calibri" w:hAnsi="Calibri"/>
          <w:sz w:val="22"/>
          <w:szCs w:val="22"/>
        </w:rPr>
        <w:t xml:space="preserve"> </w:t>
      </w:r>
      <w:r w:rsidR="008B4EA7" w:rsidRPr="009F7E0B">
        <w:rPr>
          <w:rFonts w:ascii="Calibri" w:hAnsi="Calibri"/>
          <w:sz w:val="22"/>
          <w:szCs w:val="22"/>
        </w:rPr>
        <w:t>and</w:t>
      </w:r>
      <w:r w:rsidRPr="009F7E0B">
        <w:rPr>
          <w:rFonts w:ascii="Calibri" w:hAnsi="Calibri"/>
          <w:sz w:val="22"/>
          <w:szCs w:val="22"/>
        </w:rPr>
        <w:t xml:space="preserve"> should not be distributed to other parties. </w:t>
      </w:r>
    </w:p>
    <w:p w14:paraId="7F57289C" w14:textId="783DE025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 xml:space="preserve">Inherent </w:t>
      </w:r>
      <w:r w:rsidR="000D6929">
        <w:rPr>
          <w:b/>
        </w:rPr>
        <w:t>l</w:t>
      </w:r>
      <w:r w:rsidRPr="009F7E0B">
        <w:rPr>
          <w:b/>
        </w:rPr>
        <w:t xml:space="preserve">imitations </w:t>
      </w:r>
    </w:p>
    <w:p w14:paraId="4DBDD7DD" w14:textId="77777777" w:rsidR="009B7309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Because of the inherent limitations of any compliance procedures, it is possible that fraud, error or non-compliance may occur and not be detected.  An audit is not designed to detect all instances of non-compliance with the requirements of the Act and </w:t>
      </w:r>
      <w:r w:rsidR="00AE3048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Pr="009F7E0B">
        <w:rPr>
          <w:rFonts w:ascii="Calibri" w:hAnsi="Calibri"/>
          <w:sz w:val="22"/>
          <w:szCs w:val="22"/>
        </w:rPr>
        <w:t>, as the audit procedures are not performed continuously throughout the year and are undertaken on a test basis.</w:t>
      </w:r>
    </w:p>
    <w:p w14:paraId="070F2868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The auditor’s opinion expressed in this report has been formed on the above basis. </w:t>
      </w:r>
    </w:p>
    <w:p w14:paraId="6B8DDF91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[Auditor’s signature] </w:t>
      </w:r>
    </w:p>
    <w:p w14:paraId="3CC6A9F3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[Date of the Auditor’s Report] </w:t>
      </w:r>
    </w:p>
    <w:p w14:paraId="2C7294E3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[Auditor’s Address] </w:t>
      </w:r>
    </w:p>
    <w:p w14:paraId="42C6987D" w14:textId="77777777" w:rsidR="007F4E20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[Auditor’s registration number]</w:t>
      </w:r>
      <w:r w:rsidRPr="009F7E0B">
        <w:rPr>
          <w:rFonts w:ascii="Calibri" w:hAnsi="Calibri"/>
          <w:b/>
          <w:bCs/>
          <w:sz w:val="22"/>
          <w:szCs w:val="22"/>
        </w:rPr>
        <w:t xml:space="preserve"> </w:t>
      </w:r>
    </w:p>
    <w:sectPr w:rsidR="007F4E20" w:rsidRPr="009F7E0B" w:rsidSect="00EC7A96">
      <w:pgSz w:w="11907" w:h="16839" w:code="9"/>
      <w:pgMar w:top="993" w:right="890" w:bottom="584" w:left="133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524B" w14:textId="77777777" w:rsidR="00847E75" w:rsidRDefault="00847E75" w:rsidP="00EC7A96">
      <w:pPr>
        <w:spacing w:after="0" w:line="240" w:lineRule="auto"/>
      </w:pPr>
      <w:r>
        <w:separator/>
      </w:r>
    </w:p>
  </w:endnote>
  <w:endnote w:type="continuationSeparator" w:id="0">
    <w:p w14:paraId="21CE87AC" w14:textId="77777777" w:rsidR="00847E75" w:rsidRDefault="00847E75" w:rsidP="00EC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39BF" w14:textId="77777777" w:rsidR="00847E75" w:rsidRDefault="00847E75" w:rsidP="00EC7A96">
      <w:pPr>
        <w:spacing w:after="0" w:line="240" w:lineRule="auto"/>
      </w:pPr>
      <w:r>
        <w:separator/>
      </w:r>
    </w:p>
  </w:footnote>
  <w:footnote w:type="continuationSeparator" w:id="0">
    <w:p w14:paraId="07914D70" w14:textId="77777777" w:rsidR="00847E75" w:rsidRDefault="00847E75" w:rsidP="00EC7A96">
      <w:pPr>
        <w:spacing w:after="0" w:line="240" w:lineRule="auto"/>
      </w:pPr>
      <w:r>
        <w:continuationSeparator/>
      </w:r>
    </w:p>
  </w:footnote>
  <w:footnote w:id="1">
    <w:p w14:paraId="5072C156" w14:textId="77777777" w:rsidR="00EC7A96" w:rsidRPr="00653330" w:rsidRDefault="00EC7A96" w:rsidP="00653330">
      <w:pPr>
        <w:pStyle w:val="Default"/>
        <w:spacing w:after="200"/>
        <w:rPr>
          <w:rFonts w:ascii="Calibri" w:hAnsi="Calibri"/>
          <w:sz w:val="16"/>
          <w:szCs w:val="16"/>
        </w:rPr>
      </w:pPr>
      <w:r w:rsidRPr="009F7E0B">
        <w:rPr>
          <w:rStyle w:val="FootnoteReference"/>
          <w:rFonts w:ascii="Calibri" w:hAnsi="Calibri"/>
          <w:sz w:val="16"/>
          <w:szCs w:val="16"/>
        </w:rPr>
        <w:footnoteRef/>
      </w:r>
      <w:r w:rsidRPr="009F7E0B">
        <w:rPr>
          <w:rFonts w:ascii="Calibri" w:hAnsi="Calibri"/>
          <w:sz w:val="16"/>
          <w:szCs w:val="16"/>
        </w:rPr>
        <w:t xml:space="preserve"> Or other term that is applicable in the circumstances.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C416A"/>
    <w:multiLevelType w:val="hybridMultilevel"/>
    <w:tmpl w:val="5A0622A8"/>
    <w:lvl w:ilvl="0" w:tplc="8C46FB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C93"/>
    <w:multiLevelType w:val="hybridMultilevel"/>
    <w:tmpl w:val="2C8A22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4752">
    <w:abstractNumId w:val="1"/>
  </w:num>
  <w:num w:numId="2" w16cid:durableId="38071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22"/>
    <w:rsid w:val="00006838"/>
    <w:rsid w:val="0001740F"/>
    <w:rsid w:val="00061480"/>
    <w:rsid w:val="000D6929"/>
    <w:rsid w:val="00160513"/>
    <w:rsid w:val="00213B52"/>
    <w:rsid w:val="0023773A"/>
    <w:rsid w:val="00256C1F"/>
    <w:rsid w:val="002A7A40"/>
    <w:rsid w:val="00337706"/>
    <w:rsid w:val="00383989"/>
    <w:rsid w:val="003B538C"/>
    <w:rsid w:val="003D2299"/>
    <w:rsid w:val="003E3CEE"/>
    <w:rsid w:val="003E5B93"/>
    <w:rsid w:val="00427418"/>
    <w:rsid w:val="0047090A"/>
    <w:rsid w:val="00484CFA"/>
    <w:rsid w:val="00487834"/>
    <w:rsid w:val="004A088D"/>
    <w:rsid w:val="004F3243"/>
    <w:rsid w:val="00520F2F"/>
    <w:rsid w:val="005E3B1E"/>
    <w:rsid w:val="005F4461"/>
    <w:rsid w:val="0060582C"/>
    <w:rsid w:val="00647D8E"/>
    <w:rsid w:val="00653330"/>
    <w:rsid w:val="00684714"/>
    <w:rsid w:val="006A7324"/>
    <w:rsid w:val="006B6B6B"/>
    <w:rsid w:val="006C3B3F"/>
    <w:rsid w:val="00712954"/>
    <w:rsid w:val="0073736F"/>
    <w:rsid w:val="00752FB5"/>
    <w:rsid w:val="00796FC3"/>
    <w:rsid w:val="007B7B73"/>
    <w:rsid w:val="007D0F82"/>
    <w:rsid w:val="007E48F9"/>
    <w:rsid w:val="007F4E20"/>
    <w:rsid w:val="00817C1A"/>
    <w:rsid w:val="00840644"/>
    <w:rsid w:val="00847E75"/>
    <w:rsid w:val="00887EC1"/>
    <w:rsid w:val="008B4EA7"/>
    <w:rsid w:val="00946815"/>
    <w:rsid w:val="0095386B"/>
    <w:rsid w:val="009B7309"/>
    <w:rsid w:val="009F7E0B"/>
    <w:rsid w:val="00A24554"/>
    <w:rsid w:val="00A745B9"/>
    <w:rsid w:val="00A76629"/>
    <w:rsid w:val="00AA2C1C"/>
    <w:rsid w:val="00AB2010"/>
    <w:rsid w:val="00AB7C68"/>
    <w:rsid w:val="00AC4768"/>
    <w:rsid w:val="00AE3048"/>
    <w:rsid w:val="00AE6D75"/>
    <w:rsid w:val="00B07DE3"/>
    <w:rsid w:val="00B234B9"/>
    <w:rsid w:val="00B34B93"/>
    <w:rsid w:val="00B459FB"/>
    <w:rsid w:val="00B632C6"/>
    <w:rsid w:val="00B85244"/>
    <w:rsid w:val="00B914DE"/>
    <w:rsid w:val="00BE0964"/>
    <w:rsid w:val="00C60D70"/>
    <w:rsid w:val="00CD0D2F"/>
    <w:rsid w:val="00D1030E"/>
    <w:rsid w:val="00D344BC"/>
    <w:rsid w:val="00D73084"/>
    <w:rsid w:val="00D81112"/>
    <w:rsid w:val="00D9010F"/>
    <w:rsid w:val="00D92B22"/>
    <w:rsid w:val="00E00BC8"/>
    <w:rsid w:val="00E45CBC"/>
    <w:rsid w:val="00EA00C9"/>
    <w:rsid w:val="00EC7A96"/>
    <w:rsid w:val="00F47AE0"/>
    <w:rsid w:val="00FC62C4"/>
    <w:rsid w:val="2323F62D"/>
    <w:rsid w:val="53D3A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8FEC"/>
  <w15:docId w15:val="{FCAC7976-BD4C-4364-8E56-CF0ED85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DE"/>
  </w:style>
  <w:style w:type="paragraph" w:styleId="Heading1">
    <w:name w:val="heading 1"/>
    <w:basedOn w:val="Default"/>
    <w:next w:val="Normal"/>
    <w:link w:val="Heading1Char"/>
    <w:uiPriority w:val="9"/>
    <w:qFormat/>
    <w:rsid w:val="00653330"/>
    <w:pPr>
      <w:spacing w:after="120"/>
      <w:outlineLvl w:val="0"/>
    </w:pPr>
    <w:rPr>
      <w:rFonts w:ascii="Calibri" w:hAnsi="Calibri"/>
      <w:b/>
      <w:sz w:val="22"/>
      <w:szCs w:val="22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3330"/>
    <w:pPr>
      <w:outlineLvl w:val="1"/>
    </w:pPr>
    <w:rPr>
      <w:b w:val="0"/>
      <w:iCs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2B2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A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A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7A96"/>
    <w:rPr>
      <w:vertAlign w:val="superscript"/>
    </w:rPr>
  </w:style>
  <w:style w:type="paragraph" w:styleId="PlainText">
    <w:name w:val="Plain Text"/>
    <w:basedOn w:val="Normal"/>
    <w:link w:val="PlainTextChar"/>
    <w:rsid w:val="00A245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A24554"/>
    <w:rPr>
      <w:rFonts w:ascii="Courier New" w:eastAsia="Times New Roman" w:hAnsi="Courier New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3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3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3330"/>
    <w:rPr>
      <w:rFonts w:ascii="Calibri" w:eastAsiaTheme="minorEastAsia" w:hAnsi="Calibri" w:cs="Times New Roman"/>
      <w:b/>
      <w:color w:val="000000"/>
      <w:sz w:val="22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3330"/>
    <w:rPr>
      <w:rFonts w:ascii="Calibri" w:eastAsiaTheme="minorEastAsia" w:hAnsi="Calibri" w:cs="Times New Roman"/>
      <w:iCs/>
      <w:color w:val="000000"/>
      <w:sz w:val="22"/>
      <w:lang w:eastAsia="en-AU"/>
    </w:rPr>
  </w:style>
  <w:style w:type="character" w:styleId="Strong">
    <w:name w:val="Strong"/>
    <w:basedOn w:val="DefaultParagraphFont"/>
    <w:uiPriority w:val="22"/>
    <w:qFormat/>
    <w:rsid w:val="00653330"/>
    <w:rPr>
      <w:rFonts w:asciiTheme="minorHAnsi" w:hAnsiTheme="minorHAnsi"/>
      <w:b/>
      <w:bCs/>
      <w:sz w:val="22"/>
    </w:rPr>
  </w:style>
  <w:style w:type="character" w:styleId="IntenseEmphasis">
    <w:name w:val="Intense Emphasis"/>
    <w:basedOn w:val="DefaultParagraphFont"/>
    <w:uiPriority w:val="21"/>
    <w:qFormat/>
    <w:rsid w:val="00653330"/>
    <w:rPr>
      <w:rFonts w:asciiTheme="minorHAnsi" w:hAnsiTheme="minorHAnsi"/>
      <w:b/>
      <w:bCs/>
      <w:i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27DA23EF1AA41914BB7C2E9486BEA" ma:contentTypeVersion="4" ma:contentTypeDescription="Create a new document." ma:contentTypeScope="" ma:versionID="b741e5feb81a69201e056bc62d48a023">
  <xsd:schema xmlns:xsd="http://www.w3.org/2001/XMLSchema" xmlns:xs="http://www.w3.org/2001/XMLSchema" xmlns:p="http://schemas.microsoft.com/office/2006/metadata/properties" xmlns:ns2="93fe0be1-90a2-49c8-aea6-73ec37941784" targetNamespace="http://schemas.microsoft.com/office/2006/metadata/properties" ma:root="true" ma:fieldsID="900d5cc52e32f5e889dbbc84ccae6032" ns2:_="">
    <xsd:import namespace="93fe0be1-90a2-49c8-aea6-73ec37941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0be1-90a2-49c8-aea6-73ec37941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D5728-6A89-48BE-8202-C61D72CE2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6CD2C-2A5F-4D14-AA72-A8C6F42E7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BC17B-9C28-4A2D-8FA9-347A2CFD8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0be1-90a2-49c8-aea6-73ec37941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6E830-7CEC-464C-B2B8-040940A4E1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 - 2020-21 APCS Independent Audit Report Clean Audit Opinion template (1)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 - 2020-21 APCS Independent Audit Report Clean Audit Opinion template (1)</dc:title>
  <dc:subject>Aged care</dc:subject>
  <dc:creator>Australian Government Department of Health, Disability and Ageing</dc:creator>
  <cp:keywords>Clean Audit Opinion: Independent Auditor's report; Annual Prudential Compliance Statement (APCS)</cp:keywords>
  <cp:lastModifiedBy>MASCHKE, Elvia</cp:lastModifiedBy>
  <cp:revision>4</cp:revision>
  <cp:lastPrinted>2016-07-20T02:33:00Z</cp:lastPrinted>
  <dcterms:created xsi:type="dcterms:W3CDTF">2025-06-26T23:26:00Z</dcterms:created>
  <dcterms:modified xsi:type="dcterms:W3CDTF">2025-07-15T05:33:00Z</dcterms:modified>
  <cp:category/>
</cp:coreProperties>
</file>