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A1D0" w14:textId="00F524F6" w:rsidR="002E332E" w:rsidRPr="00B4789F" w:rsidRDefault="003579D2" w:rsidP="0016023E">
      <w:pPr>
        <w:pStyle w:val="Heading1"/>
      </w:pPr>
      <w:r w:rsidRPr="003579D2">
        <w:t>Aged Care Quality and Safety Commission</w:t>
      </w:r>
      <w:r w:rsidR="003F7D75">
        <w:t xml:space="preserve"> </w:t>
      </w:r>
      <w:r w:rsidR="002E332E" w:rsidRPr="001657F9">
        <w:t xml:space="preserve">Statement of </w:t>
      </w:r>
      <w:r w:rsidR="002E332E" w:rsidRPr="003F7D75">
        <w:t>Expectations</w:t>
      </w:r>
    </w:p>
    <w:p w14:paraId="46BDD387" w14:textId="74D79BA4" w:rsidR="00B6735A" w:rsidRDefault="00F37F76" w:rsidP="0016023E">
      <w:r>
        <w:t xml:space="preserve">Ministerial Statements of Expectations provide greater clarity about </w:t>
      </w:r>
      <w:r w:rsidR="00064F1D">
        <w:t xml:space="preserve">the implementation of </w:t>
      </w:r>
      <w:r>
        <w:t>government policies and objectives relevant to the regulator in carrying out it</w:t>
      </w:r>
      <w:r w:rsidR="00834CAD">
        <w:t>s</w:t>
      </w:r>
      <w:r>
        <w:t xml:space="preserve"> statutory functions. As the </w:t>
      </w:r>
      <w:r w:rsidR="00DA3426">
        <w:t xml:space="preserve">Australian </w:t>
      </w:r>
      <w:r>
        <w:t>Government Minister responsible for A</w:t>
      </w:r>
      <w:r w:rsidR="007A27A6">
        <w:t>ged Care</w:t>
      </w:r>
      <w:r w:rsidR="00B6735A">
        <w:t xml:space="preserve"> and </w:t>
      </w:r>
      <w:r w:rsidR="00B6735A" w:rsidRPr="00B6735A">
        <w:t>Seniors</w:t>
      </w:r>
      <w:r w:rsidR="007A27A6" w:rsidRPr="00B6735A">
        <w:t>,</w:t>
      </w:r>
      <w:r w:rsidR="007A27A6">
        <w:t xml:space="preserve"> my responsibilities </w:t>
      </w:r>
      <w:r w:rsidR="00B6735A">
        <w:t xml:space="preserve">currently </w:t>
      </w:r>
      <w:r w:rsidR="007A27A6">
        <w:t xml:space="preserve">include administration of the </w:t>
      </w:r>
      <w:r w:rsidR="007A27A6" w:rsidRPr="00B6735A">
        <w:rPr>
          <w:i/>
          <w:iCs/>
        </w:rPr>
        <w:t xml:space="preserve">Aged Care Quality and Safety Commission Act 2018 </w:t>
      </w:r>
      <w:r w:rsidR="007A27A6" w:rsidRPr="00B6735A">
        <w:t>(</w:t>
      </w:r>
      <w:r w:rsidR="00237880" w:rsidRPr="00B6735A">
        <w:t>Commission</w:t>
      </w:r>
      <w:r w:rsidR="007A27A6" w:rsidRPr="00B6735A">
        <w:t xml:space="preserve"> Act)</w:t>
      </w:r>
      <w:r w:rsidR="007A27A6" w:rsidRPr="00B6735A">
        <w:rPr>
          <w:i/>
          <w:iCs/>
        </w:rPr>
        <w:t>,</w:t>
      </w:r>
      <w:r w:rsidR="007A27A6" w:rsidRPr="005C5910">
        <w:t xml:space="preserve"> </w:t>
      </w:r>
      <w:r w:rsidR="00B6735A">
        <w:t xml:space="preserve">and </w:t>
      </w:r>
      <w:r w:rsidR="007A27A6" w:rsidRPr="005C5910">
        <w:t>the Aged Care Quality</w:t>
      </w:r>
      <w:r w:rsidR="007A27A6" w:rsidRPr="002E2B88">
        <w:rPr>
          <w:i/>
          <w:iCs/>
        </w:rPr>
        <w:t xml:space="preserve"> </w:t>
      </w:r>
      <w:r w:rsidR="007A27A6" w:rsidRPr="002E2B88">
        <w:t>and Safety Commission Rules 2018</w:t>
      </w:r>
      <w:r w:rsidR="00B6735A">
        <w:t xml:space="preserve">. From </w:t>
      </w:r>
      <w:r w:rsidR="00AA2870">
        <w:t xml:space="preserve">their </w:t>
      </w:r>
      <w:r w:rsidR="00102D09">
        <w:t xml:space="preserve">commencement, </w:t>
      </w:r>
      <w:r w:rsidR="00B6735A">
        <w:t xml:space="preserve">my responsibilities will include administration of the </w:t>
      </w:r>
      <w:r w:rsidR="00B6735A" w:rsidRPr="00B6735A">
        <w:rPr>
          <w:i/>
          <w:iCs/>
        </w:rPr>
        <w:t>Aged Care Act 2024</w:t>
      </w:r>
      <w:r w:rsidR="00B6735A">
        <w:t xml:space="preserve"> (Act) and Aged Care Rules.</w:t>
      </w:r>
    </w:p>
    <w:p w14:paraId="401FFFC4" w14:textId="0E7AE422" w:rsidR="00C80C66" w:rsidRDefault="00B6735A" w:rsidP="0016023E">
      <w:r w:rsidRPr="00B6735A">
        <w:t xml:space="preserve">As the national regulator for the aged care sector, the Aged Care Quality and Safety Commission (Commission) will play a pivotal role in the transition from the existing legislative framework to the Act, and thereafter in the ongoing regulation of the </w:t>
      </w:r>
      <w:r w:rsidR="00AB0C86">
        <w:t xml:space="preserve">aged care </w:t>
      </w:r>
      <w:r w:rsidRPr="00B6735A">
        <w:t>sector. The Australian Government acknowledges this significant role</w:t>
      </w:r>
      <w:r>
        <w:t xml:space="preserve">. </w:t>
      </w:r>
      <w:r w:rsidR="003548E4">
        <w:t>This statement sets out my expectation</w:t>
      </w:r>
      <w:r w:rsidR="00362975">
        <w:t>s</w:t>
      </w:r>
      <w:r w:rsidR="003548E4">
        <w:t xml:space="preserve"> of the </w:t>
      </w:r>
      <w:r w:rsidR="00237880">
        <w:t>Commission</w:t>
      </w:r>
      <w:r>
        <w:t xml:space="preserve"> </w:t>
      </w:r>
      <w:r w:rsidR="00254EDB">
        <w:t xml:space="preserve">in </w:t>
      </w:r>
      <w:r>
        <w:t>the transition to</w:t>
      </w:r>
      <w:r w:rsidR="00254EDB">
        <w:t>,</w:t>
      </w:r>
      <w:r>
        <w:t xml:space="preserve"> </w:t>
      </w:r>
      <w:r w:rsidR="00254EDB">
        <w:t xml:space="preserve">and delivery of, </w:t>
      </w:r>
      <w:r>
        <w:t>the</w:t>
      </w:r>
      <w:r w:rsidR="00254EDB">
        <w:t xml:space="preserve"> </w:t>
      </w:r>
      <w:r>
        <w:t xml:space="preserve">Act and Aged Care Rules from </w:t>
      </w:r>
      <w:r w:rsidR="00AA2870">
        <w:t>their commencement</w:t>
      </w:r>
      <w:r w:rsidRPr="002E2B88">
        <w:t>.</w:t>
      </w:r>
    </w:p>
    <w:p w14:paraId="721DCC55" w14:textId="16D89CB8" w:rsidR="0078696C" w:rsidRPr="0016023E" w:rsidRDefault="009B0266" w:rsidP="0016023E">
      <w:pPr>
        <w:pStyle w:val="Heading2"/>
      </w:pPr>
      <w:r w:rsidRPr="0016023E">
        <w:t>Overview</w:t>
      </w:r>
    </w:p>
    <w:p w14:paraId="5AB8B4FA" w14:textId="644D3C81" w:rsidR="005C0F3A" w:rsidRPr="005C0F3A" w:rsidRDefault="00AC62C2" w:rsidP="0016023E">
      <w:r w:rsidRPr="00A8471A">
        <w:t xml:space="preserve">The Commission is an independent statutory agency pursuant to the Commission Act and </w:t>
      </w:r>
      <w:r w:rsidRPr="00A8471A">
        <w:rPr>
          <w:i/>
          <w:iCs/>
        </w:rPr>
        <w:t>Public</w:t>
      </w:r>
      <w:r w:rsidR="003A42C6">
        <w:rPr>
          <w:i/>
          <w:iCs/>
        </w:rPr>
        <w:t> </w:t>
      </w:r>
      <w:r w:rsidRPr="00A8471A">
        <w:rPr>
          <w:i/>
          <w:iCs/>
        </w:rPr>
        <w:t>Governance, Performance and Accountability Act 2013</w:t>
      </w:r>
      <w:r w:rsidRPr="00A8471A">
        <w:t xml:space="preserve"> (PGPA Act). The primary role of the Commission is to</w:t>
      </w:r>
      <w:r w:rsidR="0058645D">
        <w:t>:</w:t>
      </w:r>
    </w:p>
    <w:p w14:paraId="117F477C" w14:textId="475FD851" w:rsidR="00C22390" w:rsidRDefault="00C22390" w:rsidP="0016023E">
      <w:pPr>
        <w:pStyle w:val="ListParagraph"/>
        <w:numPr>
          <w:ilvl w:val="0"/>
          <w:numId w:val="12"/>
        </w:numPr>
      </w:pPr>
      <w:r>
        <w:t>inform older people in Australia accessing aged care and their supports about their right to quality and safe care and services</w:t>
      </w:r>
    </w:p>
    <w:p w14:paraId="03653907" w14:textId="77777777" w:rsidR="00C22390" w:rsidRDefault="00C22390" w:rsidP="0016023E">
      <w:pPr>
        <w:pStyle w:val="ListParagraph"/>
        <w:numPr>
          <w:ilvl w:val="0"/>
          <w:numId w:val="12"/>
        </w:numPr>
      </w:pPr>
      <w:r>
        <w:t>regulate aged care providers and monitor the quality of care and services</w:t>
      </w:r>
    </w:p>
    <w:p w14:paraId="3FF9CE5C" w14:textId="33BEBA9A" w:rsidR="00C22390" w:rsidRDefault="00C22390" w:rsidP="0016023E">
      <w:pPr>
        <w:pStyle w:val="ListParagraph"/>
        <w:numPr>
          <w:ilvl w:val="0"/>
          <w:numId w:val="12"/>
        </w:numPr>
      </w:pPr>
      <w:r>
        <w:t>educate providers on their responsibilities to deliver safe and high-quality care</w:t>
      </w:r>
    </w:p>
    <w:p w14:paraId="63F60B30" w14:textId="4F6A9F62" w:rsidR="00C22390" w:rsidRDefault="00C22390" w:rsidP="0016023E">
      <w:pPr>
        <w:pStyle w:val="ListParagraph"/>
        <w:numPr>
          <w:ilvl w:val="0"/>
          <w:numId w:val="12"/>
        </w:numPr>
      </w:pPr>
      <w:r>
        <w:t>monitor compliance with the Aged Care Code of Conduct</w:t>
      </w:r>
      <w:r w:rsidR="00AC40EB">
        <w:t xml:space="preserve"> and Quality Standards</w:t>
      </w:r>
    </w:p>
    <w:p w14:paraId="46B7090D" w14:textId="42FA817A" w:rsidR="00C22390" w:rsidRDefault="00C22390" w:rsidP="0016023E">
      <w:pPr>
        <w:pStyle w:val="ListParagraph"/>
        <w:numPr>
          <w:ilvl w:val="0"/>
          <w:numId w:val="12"/>
        </w:numPr>
      </w:pPr>
      <w:r>
        <w:t>make and enforce financial and prudential standards</w:t>
      </w:r>
    </w:p>
    <w:p w14:paraId="558621AD" w14:textId="32592DF3" w:rsidR="00C22390" w:rsidRDefault="00C22390" w:rsidP="0016023E">
      <w:pPr>
        <w:pStyle w:val="ListParagraph"/>
        <w:numPr>
          <w:ilvl w:val="0"/>
          <w:numId w:val="12"/>
        </w:numPr>
      </w:pPr>
      <w:r>
        <w:t>deal with complaints or feedback given to the Complaints Commissioner</w:t>
      </w:r>
    </w:p>
    <w:p w14:paraId="3E78AF35" w14:textId="6BF3DA0D" w:rsidR="00C22390" w:rsidRDefault="00C22390" w:rsidP="0016023E">
      <w:pPr>
        <w:pStyle w:val="ListParagraph"/>
        <w:numPr>
          <w:ilvl w:val="0"/>
          <w:numId w:val="12"/>
        </w:numPr>
      </w:pPr>
      <w:r>
        <w:t>deal with reportable incidents under the Serious Incident Response Scheme</w:t>
      </w:r>
    </w:p>
    <w:p w14:paraId="3BA00CD7" w14:textId="594A966D" w:rsidR="00C22390" w:rsidRDefault="00C22390" w:rsidP="0016023E">
      <w:pPr>
        <w:pStyle w:val="ListParagraph"/>
        <w:numPr>
          <w:ilvl w:val="0"/>
          <w:numId w:val="12"/>
        </w:numPr>
      </w:pPr>
      <w:r>
        <w:t>register providers of aged care, as well as renew and revoke registrations</w:t>
      </w:r>
    </w:p>
    <w:p w14:paraId="159C84BF" w14:textId="0EF9C776" w:rsidR="00C22390" w:rsidRDefault="00C22390" w:rsidP="0016023E">
      <w:pPr>
        <w:pStyle w:val="ListParagraph"/>
        <w:numPr>
          <w:ilvl w:val="0"/>
          <w:numId w:val="12"/>
        </w:numPr>
      </w:pPr>
      <w:r>
        <w:t>publish data and insights on sector and provider performance</w:t>
      </w:r>
    </w:p>
    <w:p w14:paraId="58FA0045" w14:textId="408076DA" w:rsidR="005C0F3A" w:rsidRPr="005C0F3A" w:rsidRDefault="005C0F3A" w:rsidP="0016023E">
      <w:pPr>
        <w:pStyle w:val="ListParagraph"/>
        <w:numPr>
          <w:ilvl w:val="0"/>
          <w:numId w:val="12"/>
        </w:numPr>
      </w:pPr>
      <w:bookmarkStart w:id="0" w:name="_Hlk169172772"/>
      <w:r w:rsidRPr="005C0F3A">
        <w:t>promot</w:t>
      </w:r>
      <w:r w:rsidR="0058645D">
        <w:t>e</w:t>
      </w:r>
      <w:r w:rsidRPr="005C0F3A">
        <w:t xml:space="preserve"> engagement with </w:t>
      </w:r>
      <w:r w:rsidR="005866CF">
        <w:t>older persons</w:t>
      </w:r>
      <w:r w:rsidRPr="005C0F3A">
        <w:t xml:space="preserve"> about the quality of care and services</w:t>
      </w:r>
      <w:r>
        <w:t>, and</w:t>
      </w:r>
    </w:p>
    <w:p w14:paraId="1211A575" w14:textId="132BA678" w:rsidR="009539AB" w:rsidRPr="008D2394" w:rsidRDefault="005C0F3A" w:rsidP="0016023E">
      <w:pPr>
        <w:pStyle w:val="ListParagraph"/>
        <w:numPr>
          <w:ilvl w:val="0"/>
          <w:numId w:val="12"/>
        </w:numPr>
      </w:pPr>
      <w:r w:rsidRPr="005C0F3A">
        <w:t>promot</w:t>
      </w:r>
      <w:r w:rsidR="0058645D">
        <w:t>e</w:t>
      </w:r>
      <w:r w:rsidRPr="005C0F3A">
        <w:t xml:space="preserve"> confidence and trust in the provision of aged care</w:t>
      </w:r>
      <w:bookmarkEnd w:id="0"/>
      <w:r w:rsidRPr="005C0F3A">
        <w:t>.</w:t>
      </w:r>
    </w:p>
    <w:p w14:paraId="2548EC69" w14:textId="1B8EA214" w:rsidR="00EB606F" w:rsidRDefault="006A4060" w:rsidP="0016023E">
      <w:r w:rsidRPr="45DD478D">
        <w:t>I, as the Minister for Aged Care</w:t>
      </w:r>
      <w:r w:rsidR="00C91697">
        <w:t xml:space="preserve"> and Seniors</w:t>
      </w:r>
      <w:r w:rsidRPr="45DD478D">
        <w:t>,</w:t>
      </w:r>
      <w:r w:rsidR="00FE4C94" w:rsidRPr="45DD478D">
        <w:t xml:space="preserve"> </w:t>
      </w:r>
      <w:r w:rsidRPr="45DD478D">
        <w:t>recognise</w:t>
      </w:r>
      <w:r w:rsidR="00FE4C94" w:rsidRPr="45DD478D">
        <w:t xml:space="preserve"> and respect the independence of the </w:t>
      </w:r>
      <w:r w:rsidR="006D2B37" w:rsidRPr="45DD478D">
        <w:t>Aged Care Quality and Safety Commissioner</w:t>
      </w:r>
      <w:r w:rsidR="00C4291F" w:rsidRPr="45DD478D">
        <w:t xml:space="preserve"> (Commissioner)</w:t>
      </w:r>
      <w:r w:rsidR="006D2B37" w:rsidRPr="45DD478D">
        <w:t xml:space="preserve"> appointed under the Commission Act</w:t>
      </w:r>
      <w:r w:rsidR="00E43159" w:rsidRPr="45DD478D">
        <w:t>,</w:t>
      </w:r>
      <w:r w:rsidR="006D2B37" w:rsidRPr="45DD478D">
        <w:t xml:space="preserve"> and their responsibility for the regulation of</w:t>
      </w:r>
      <w:r w:rsidR="007F1D6E" w:rsidRPr="45DD478D">
        <w:t xml:space="preserve"> </w:t>
      </w:r>
      <w:r w:rsidR="005674C6" w:rsidRPr="45DD478D">
        <w:t>C</w:t>
      </w:r>
      <w:r w:rsidR="007F1D6E" w:rsidRPr="45DD478D">
        <w:t>ommonwealth</w:t>
      </w:r>
      <w:r w:rsidR="00FF6EE2" w:rsidRPr="45DD478D">
        <w:t>-</w:t>
      </w:r>
      <w:r w:rsidR="007F1D6E" w:rsidRPr="45DD478D">
        <w:t>funded</w:t>
      </w:r>
      <w:r w:rsidR="006D2B37" w:rsidRPr="45DD478D">
        <w:t xml:space="preserve"> </w:t>
      </w:r>
      <w:r w:rsidR="00C15141" w:rsidRPr="45DD478D">
        <w:t>aged care services</w:t>
      </w:r>
      <w:r w:rsidR="00E43159" w:rsidRPr="45DD478D">
        <w:t xml:space="preserve">, as set out </w:t>
      </w:r>
      <w:r w:rsidR="0044666F">
        <w:t>in</w:t>
      </w:r>
      <w:r w:rsidR="00E43159" w:rsidRPr="45DD478D">
        <w:t xml:space="preserve"> the Commission Act</w:t>
      </w:r>
      <w:r w:rsidR="00C15141" w:rsidRPr="45DD478D">
        <w:t>.</w:t>
      </w:r>
      <w:r w:rsidR="00C261B4">
        <w:t xml:space="preserve"> I recognise and respect that, </w:t>
      </w:r>
      <w:r w:rsidR="00AA2870">
        <w:t>upon commencement of the Act and Aged Care Rules</w:t>
      </w:r>
      <w:r w:rsidR="00683F00">
        <w:t xml:space="preserve">, this independent appointment and </w:t>
      </w:r>
      <w:r w:rsidR="00630A16">
        <w:t xml:space="preserve">regulatory </w:t>
      </w:r>
      <w:r w:rsidR="00683F00">
        <w:t>responsibility will continue under</w:t>
      </w:r>
      <w:r w:rsidR="00A83455">
        <w:t xml:space="preserve"> Chapter 5, Part 3 of the Act.</w:t>
      </w:r>
    </w:p>
    <w:p w14:paraId="6920CF0F" w14:textId="77777777" w:rsidR="00D5606B" w:rsidRPr="0016023E" w:rsidRDefault="00D5606B" w:rsidP="0016023E">
      <w:pPr>
        <w:pStyle w:val="Heading2"/>
      </w:pPr>
      <w:r w:rsidRPr="0016023E">
        <w:t>Regulatory Activities</w:t>
      </w:r>
    </w:p>
    <w:p w14:paraId="1423E594" w14:textId="35FB2C30" w:rsidR="00C91697" w:rsidRDefault="00507AC7" w:rsidP="0016023E">
      <w:r>
        <w:t>I expect</w:t>
      </w:r>
      <w:r w:rsidR="00D5606B" w:rsidRPr="1F112B77">
        <w:t xml:space="preserve"> the Commission to undertake activities that support the Government’s objective of ensuring safety, dignity, and wellbeing of every older </w:t>
      </w:r>
      <w:r w:rsidR="00CD0455">
        <w:t>person</w:t>
      </w:r>
      <w:r w:rsidR="00D5606B" w:rsidRPr="1F112B77">
        <w:t xml:space="preserve"> using </w:t>
      </w:r>
      <w:r w:rsidR="00AC40EB">
        <w:t xml:space="preserve">Commonwealth-funded </w:t>
      </w:r>
      <w:r w:rsidR="00D5606B" w:rsidRPr="1F112B77">
        <w:t xml:space="preserve">aged care services. </w:t>
      </w:r>
      <w:r w:rsidR="00C91697">
        <w:t xml:space="preserve">The commencement of </w:t>
      </w:r>
      <w:r w:rsidR="00A3168B">
        <w:t xml:space="preserve">a new rights-based and person-centred </w:t>
      </w:r>
      <w:r w:rsidR="00C91697">
        <w:t xml:space="preserve">Act marks the beginning of a new </w:t>
      </w:r>
      <w:r w:rsidR="00C91697">
        <w:lastRenderedPageBreak/>
        <w:t xml:space="preserve">regulatory model for registered aged care providers, including new </w:t>
      </w:r>
      <w:r w:rsidR="00612D97">
        <w:t xml:space="preserve">Aged Care Quality Standards, </w:t>
      </w:r>
      <w:r w:rsidR="00C91697">
        <w:t>conditions, obligations and detailed requirements under the Aged Care Rules.</w:t>
      </w:r>
    </w:p>
    <w:p w14:paraId="527159E4" w14:textId="0E575BA0" w:rsidR="007B66B2" w:rsidRPr="007B66B2" w:rsidRDefault="00A3168B" w:rsidP="0016023E">
      <w:r>
        <w:t xml:space="preserve">I expect the Commission to recognise that </w:t>
      </w:r>
      <w:r w:rsidR="007B66B2" w:rsidRPr="007B66B2">
        <w:t xml:space="preserve">some </w:t>
      </w:r>
      <w:r>
        <w:t xml:space="preserve">aged care </w:t>
      </w:r>
      <w:r w:rsidR="007B66B2" w:rsidRPr="007B66B2">
        <w:t xml:space="preserve">providers </w:t>
      </w:r>
      <w:r>
        <w:t>will be</w:t>
      </w:r>
      <w:r w:rsidR="007B66B2" w:rsidRPr="007B66B2">
        <w:t xml:space="preserve"> subject to legislative requirements and the Commission’s regulation for the first time</w:t>
      </w:r>
      <w:r w:rsidR="00AB0C86">
        <w:t xml:space="preserve"> once the Act commences</w:t>
      </w:r>
      <w:r w:rsidR="007B66B2" w:rsidRPr="007B66B2">
        <w:t xml:space="preserve">. This will include </w:t>
      </w:r>
      <w:r w:rsidR="003263FE">
        <w:t xml:space="preserve">aged care </w:t>
      </w:r>
      <w:r w:rsidR="007B66B2" w:rsidRPr="007B66B2">
        <w:t>providers managed under funding agreements, such as Commonwealth Home Support Program (CHSP) and National Aboriginal and Torres Strait Islander Flexible Aged Care (NATSIFAC)</w:t>
      </w:r>
      <w:r w:rsidR="00296057">
        <w:t xml:space="preserve"> providers</w:t>
      </w:r>
      <w:r w:rsidR="007B66B2" w:rsidRPr="007B66B2">
        <w:t xml:space="preserve">. Existing </w:t>
      </w:r>
      <w:r>
        <w:t xml:space="preserve">aged care </w:t>
      </w:r>
      <w:r w:rsidR="007B66B2" w:rsidRPr="007B66B2">
        <w:t xml:space="preserve">providers will have some new and changed regulatory obligations, arising from both changes to how services are categorised, and new bespoke requirements under the Act and </w:t>
      </w:r>
      <w:r>
        <w:t xml:space="preserve">Aged Care </w:t>
      </w:r>
      <w:r w:rsidR="007B66B2" w:rsidRPr="007B66B2">
        <w:t>Rules.</w:t>
      </w:r>
    </w:p>
    <w:p w14:paraId="7BF7ED52" w14:textId="49EC95CF" w:rsidR="003263FE" w:rsidRDefault="00A3168B" w:rsidP="0016023E">
      <w:r>
        <w:t xml:space="preserve">I expect the Commission to acknowledge the significant effort from aged care providers to implement new policies and processes as they ready themselves to deliver the Act and for the Commission to support </w:t>
      </w:r>
      <w:r w:rsidR="0093612D">
        <w:t xml:space="preserve">aged care providers to continue to </w:t>
      </w:r>
      <w:r w:rsidR="007B66B2" w:rsidRPr="007B66B2">
        <w:t>deliver high-quality and safe care to aged care recipients</w:t>
      </w:r>
      <w:r w:rsidR="00CC035D">
        <w:t xml:space="preserve"> during this transition period</w:t>
      </w:r>
      <w:r w:rsidR="007B66B2" w:rsidRPr="007B66B2">
        <w:t>.</w:t>
      </w:r>
    </w:p>
    <w:p w14:paraId="61927012" w14:textId="23833794" w:rsidR="007B66B2" w:rsidRPr="007B66B2" w:rsidRDefault="007B66B2" w:rsidP="0016023E">
      <w:r w:rsidRPr="007B66B2">
        <w:t xml:space="preserve">While providers must demonstrate dedication to complying with their legislative obligations, this should be secondary to the commitment to deliver high-quality and safe care. </w:t>
      </w:r>
      <w:r w:rsidR="0093612D">
        <w:t>I expect the Commission to</w:t>
      </w:r>
      <w:r w:rsidRPr="007B66B2">
        <w:t xml:space="preserve"> acknowledge that immediate compliance with the new requirements may be challenging for some </w:t>
      </w:r>
      <w:r w:rsidR="00CD568A">
        <w:t xml:space="preserve">aged care </w:t>
      </w:r>
      <w:r w:rsidRPr="007B66B2">
        <w:t>providers while maintaining operations.</w:t>
      </w:r>
    </w:p>
    <w:p w14:paraId="49E24020" w14:textId="5B8F5A63" w:rsidR="007B66B2" w:rsidRPr="007B66B2" w:rsidRDefault="007B66B2" w:rsidP="0016023E">
      <w:r w:rsidRPr="00632125">
        <w:t>In consideration of the above</w:t>
      </w:r>
      <w:r w:rsidR="00CC035D" w:rsidRPr="00632125">
        <w:t>, I</w:t>
      </w:r>
      <w:r w:rsidRPr="00632125">
        <w:t xml:space="preserve"> expect the Commission to take a risk-based, fair, proportionate, and balanced approach to responding to breaches of legislative obligations following commencement</w:t>
      </w:r>
      <w:r w:rsidR="00CC035D" w:rsidRPr="00632125">
        <w:t xml:space="preserve"> of the Act</w:t>
      </w:r>
      <w:r w:rsidRPr="00632125">
        <w:t>. During the transition period</w:t>
      </w:r>
      <w:r w:rsidR="00CC035D" w:rsidRPr="00632125">
        <w:t>,</w:t>
      </w:r>
      <w:r w:rsidRPr="00632125">
        <w:t xml:space="preserve"> </w:t>
      </w:r>
      <w:r w:rsidR="00CC035D" w:rsidRPr="00632125">
        <w:t xml:space="preserve">aged care </w:t>
      </w:r>
      <w:r w:rsidRPr="00632125">
        <w:t xml:space="preserve">providers are expected to comply with all obligations, but the Commission </w:t>
      </w:r>
      <w:r w:rsidR="00CC035D" w:rsidRPr="00632125">
        <w:t>should</w:t>
      </w:r>
      <w:r w:rsidRPr="00632125">
        <w:t xml:space="preserve"> ensure its response to managing non-compliance is proportionate to </w:t>
      </w:r>
      <w:r w:rsidR="00054468" w:rsidRPr="00632125">
        <w:t xml:space="preserve">the </w:t>
      </w:r>
      <w:r w:rsidRPr="00632125">
        <w:t>risk posed.</w:t>
      </w:r>
      <w:r w:rsidR="003B1A36" w:rsidRPr="00632125">
        <w:t xml:space="preserve"> </w:t>
      </w:r>
      <w:r w:rsidR="00541A4D" w:rsidRPr="00632125">
        <w:t>F</w:t>
      </w:r>
      <w:r w:rsidR="003B1A36" w:rsidRPr="00632125">
        <w:t xml:space="preserve">or clarity, I do not consider the Commission’s functions and responsibilities relating to the </w:t>
      </w:r>
      <w:r w:rsidR="00541A4D" w:rsidRPr="00632125">
        <w:t xml:space="preserve">actual </w:t>
      </w:r>
      <w:r w:rsidR="003B1A36" w:rsidRPr="00632125">
        <w:t xml:space="preserve">safety of individuals receiving aged care services to be </w:t>
      </w:r>
      <w:r w:rsidR="00541A4D" w:rsidRPr="00632125">
        <w:t>something the Commission can defer its consideration of.</w:t>
      </w:r>
    </w:p>
    <w:p w14:paraId="19A1F6ED" w14:textId="50943CB6" w:rsidR="00CD568A" w:rsidRDefault="007B66B2" w:rsidP="0016023E">
      <w:r w:rsidRPr="007B66B2">
        <w:t xml:space="preserve">Where </w:t>
      </w:r>
      <w:r w:rsidR="00CD568A">
        <w:t xml:space="preserve">aged care </w:t>
      </w:r>
      <w:r w:rsidRPr="007B66B2">
        <w:t xml:space="preserve">providers are demonstrating a strong commitment to meeting registration conditions and obligations by making best efforts to achieve compliance, </w:t>
      </w:r>
      <w:r w:rsidR="00CD568A">
        <w:t>I</w:t>
      </w:r>
      <w:r w:rsidRPr="007B66B2">
        <w:t xml:space="preserve"> expect the Commission’s response to be collaborative and educative, assisting providers to achieve compliance within a reasonable timeframe while maintaining high-quality and safe care.</w:t>
      </w:r>
      <w:r w:rsidR="009B5D3E">
        <w:t xml:space="preserve"> The Department of Health</w:t>
      </w:r>
      <w:r w:rsidR="00DA3426">
        <w:t>, Disability, and</w:t>
      </w:r>
      <w:r w:rsidR="009B5D3E">
        <w:t xml:space="preserve"> Age</w:t>
      </w:r>
      <w:r w:rsidR="00DA3426">
        <w:t>ing</w:t>
      </w:r>
      <w:r w:rsidR="009B5D3E">
        <w:t xml:space="preserve"> (Department) will work with the Commission also in relation to registered providers delivering aged care services under grant arrangements, where non-compliance under the terms of providers grants arrangements. </w:t>
      </w:r>
    </w:p>
    <w:p w14:paraId="07C2E073" w14:textId="434AEFC6" w:rsidR="007B66B2" w:rsidRDefault="00CD568A" w:rsidP="0016023E">
      <w:r w:rsidRPr="65522531">
        <w:t>W</w:t>
      </w:r>
      <w:r w:rsidR="007B66B2" w:rsidRPr="65522531">
        <w:t xml:space="preserve">here providers demonstrate an unwillingness to achieve the expectations of registration, or where serious breaches have occurred placing </w:t>
      </w:r>
      <w:r w:rsidRPr="65522531">
        <w:t xml:space="preserve">aged </w:t>
      </w:r>
      <w:r w:rsidR="007B66B2" w:rsidRPr="65522531">
        <w:t xml:space="preserve">care recipients at risk of harm, </w:t>
      </w:r>
      <w:r w:rsidRPr="65522531">
        <w:t>I</w:t>
      </w:r>
      <w:r w:rsidR="007B66B2" w:rsidRPr="65522531">
        <w:t xml:space="preserve"> expect the Commission to respond appropriately</w:t>
      </w:r>
      <w:r w:rsidR="001A0F21">
        <w:t>, as required</w:t>
      </w:r>
      <w:r w:rsidR="007B66B2" w:rsidRPr="65522531">
        <w:t xml:space="preserve">, including </w:t>
      </w:r>
      <w:r w:rsidR="00012439">
        <w:t>swift and effective</w:t>
      </w:r>
      <w:r w:rsidR="007B66B2" w:rsidRPr="65522531">
        <w:t xml:space="preserve"> compliance and enforcement action. All </w:t>
      </w:r>
      <w:r w:rsidRPr="65522531">
        <w:t xml:space="preserve">regulatory </w:t>
      </w:r>
      <w:r w:rsidR="007B66B2" w:rsidRPr="65522531">
        <w:t>responses should prioritise the safety of aged care recipients.</w:t>
      </w:r>
    </w:p>
    <w:p w14:paraId="201E7B1C" w14:textId="20D27BA2" w:rsidR="003263FE" w:rsidRPr="007B66B2" w:rsidRDefault="003263FE" w:rsidP="0016023E">
      <w:r w:rsidRPr="65522531">
        <w:t xml:space="preserve">The Commission is expected to undertake its regulatory activities transparently and collaborate and engage with </w:t>
      </w:r>
      <w:r w:rsidR="00E924E6">
        <w:t xml:space="preserve">older people, </w:t>
      </w:r>
      <w:r w:rsidRPr="65522531">
        <w:t xml:space="preserve">Government, the aged care sector, </w:t>
      </w:r>
      <w:r w:rsidR="00E924E6">
        <w:t xml:space="preserve">and </w:t>
      </w:r>
      <w:r w:rsidRPr="65522531">
        <w:t>peak and industry bodies to transition to and implement the Act.</w:t>
      </w:r>
    </w:p>
    <w:p w14:paraId="199FF43D" w14:textId="6B03F8BA" w:rsidR="005B7833" w:rsidRPr="0016023E" w:rsidRDefault="00900900" w:rsidP="0016023E">
      <w:pPr>
        <w:pStyle w:val="Heading2"/>
      </w:pPr>
      <w:r w:rsidRPr="0016023E">
        <w:t>The Government’s Policy Prio</w:t>
      </w:r>
      <w:r w:rsidR="006B7CCD" w:rsidRPr="0016023E">
        <w:t>rities and Objectives</w:t>
      </w:r>
    </w:p>
    <w:p w14:paraId="2A23D298" w14:textId="5B8160D3" w:rsidR="00AB0C86" w:rsidRDefault="003F5875" w:rsidP="0016023E">
      <w:r>
        <w:t xml:space="preserve">The transition to </w:t>
      </w:r>
      <w:r w:rsidR="00AB0C86">
        <w:t xml:space="preserve">and implementation of </w:t>
      </w:r>
      <w:r>
        <w:t>the Act</w:t>
      </w:r>
      <w:r w:rsidR="00AB0C86">
        <w:t xml:space="preserve"> and the new Support at Home program</w:t>
      </w:r>
      <w:r w:rsidR="00D8560D">
        <w:t xml:space="preserve"> </w:t>
      </w:r>
      <w:r w:rsidR="00AB0C86">
        <w:t>r</w:t>
      </w:r>
      <w:r>
        <w:t>epresents some of the most significant and critical work of the Commission</w:t>
      </w:r>
      <w:r w:rsidR="001251D2">
        <w:t xml:space="preserve">, </w:t>
      </w:r>
      <w:r>
        <w:t>Department</w:t>
      </w:r>
      <w:r w:rsidR="00AB0C86">
        <w:t xml:space="preserve"> and the aged care </w:t>
      </w:r>
      <w:r w:rsidR="00AB0C86">
        <w:lastRenderedPageBreak/>
        <w:t>sector</w:t>
      </w:r>
      <w:r>
        <w:t xml:space="preserve">. I acknowledge the substantial amount of work undertaken by the Commission and Department to date to support implementation and expect </w:t>
      </w:r>
      <w:r w:rsidR="00AB0C86">
        <w:t>this commitment to continue.</w:t>
      </w:r>
    </w:p>
    <w:p w14:paraId="4D529ACE" w14:textId="6462456D" w:rsidR="003F5875" w:rsidRDefault="00AB0C86" w:rsidP="0016023E">
      <w:r w:rsidRPr="65522531">
        <w:t xml:space="preserve">Engagement and readiness activity </w:t>
      </w:r>
      <w:r w:rsidR="007F4660" w:rsidRPr="65522531">
        <w:t xml:space="preserve">for the sector, </w:t>
      </w:r>
      <w:r w:rsidR="00E72877">
        <w:t xml:space="preserve">jointly </w:t>
      </w:r>
      <w:r w:rsidRPr="65522531">
        <w:t xml:space="preserve">developed </w:t>
      </w:r>
      <w:r w:rsidR="00E72877">
        <w:t xml:space="preserve">between </w:t>
      </w:r>
      <w:r w:rsidRPr="65522531">
        <w:t xml:space="preserve">the Department </w:t>
      </w:r>
      <w:r w:rsidR="00E72877">
        <w:t xml:space="preserve">and </w:t>
      </w:r>
      <w:r w:rsidRPr="65522531">
        <w:t>Commission</w:t>
      </w:r>
      <w:r w:rsidR="007F4660" w:rsidRPr="65522531">
        <w:t>,</w:t>
      </w:r>
      <w:r w:rsidRPr="65522531">
        <w:t xml:space="preserve"> must be prioritised </w:t>
      </w:r>
      <w:r w:rsidR="007F4660" w:rsidRPr="65522531">
        <w:t>to support transition to</w:t>
      </w:r>
      <w:r w:rsidR="00312B55" w:rsidRPr="65522531">
        <w:t xml:space="preserve"> the</w:t>
      </w:r>
      <w:r w:rsidR="007F4660" w:rsidRPr="65522531">
        <w:t xml:space="preserve"> Act. </w:t>
      </w:r>
      <w:r w:rsidR="00312B55" w:rsidRPr="65522531">
        <w:t>I will seek and consider advice from the Aged Care Transition Taskforce, of which the Commissioner is a member, about matters relating to Act implementation and expect the Commission to work alongside the Department in actioning relevant advice.</w:t>
      </w:r>
    </w:p>
    <w:p w14:paraId="3D25EC3C" w14:textId="36FB1628" w:rsidR="007F4660" w:rsidRDefault="007F4660" w:rsidP="0016023E">
      <w:r w:rsidRPr="65522531">
        <w:t xml:space="preserve">Operationalisation of the Act’s new regulatory model is central to the transformation anticipated through implementation of the Act. I expect the Commission to continue to collaborate with the Department and sector to engender trust and transparency in the delivery of aged care services. I expect the Commission to ensure its Regulatory Strategy </w:t>
      </w:r>
      <w:r w:rsidR="00FE5D51">
        <w:t xml:space="preserve">remains </w:t>
      </w:r>
      <w:r w:rsidR="00893F45">
        <w:t>up-to-date</w:t>
      </w:r>
      <w:r w:rsidRPr="65522531">
        <w:t xml:space="preserve"> to ensure consistency in decision-making, a fair, balanced and effective regulatory approach, and transparency in Commission policies, processes and engagement with stakeholders.</w:t>
      </w:r>
    </w:p>
    <w:p w14:paraId="3935A1DF" w14:textId="1C569259" w:rsidR="005B7833" w:rsidRPr="0016023E" w:rsidRDefault="00B314FB" w:rsidP="0016023E">
      <w:pPr>
        <w:pStyle w:val="Heading2"/>
      </w:pPr>
      <w:r w:rsidRPr="0016023E">
        <w:t>Relationship with Minister and Portfolio</w:t>
      </w:r>
    </w:p>
    <w:p w14:paraId="2FBBBBC3" w14:textId="65216F26" w:rsidR="00F341B7" w:rsidRPr="00320D74" w:rsidRDefault="00A34C5A" w:rsidP="0016023E">
      <w:r w:rsidRPr="00320D74">
        <w:t xml:space="preserve">The Commission plays an essential role in ensuring that the </w:t>
      </w:r>
      <w:r w:rsidR="000C0164" w:rsidRPr="00320D74">
        <w:t>Government and I</w:t>
      </w:r>
      <w:r w:rsidR="002679AB" w:rsidRPr="00320D74">
        <w:t>, as Minister for Aged C</w:t>
      </w:r>
      <w:r w:rsidR="00C43248" w:rsidRPr="00320D74">
        <w:t>a</w:t>
      </w:r>
      <w:r w:rsidR="002679AB" w:rsidRPr="00320D74">
        <w:t>re</w:t>
      </w:r>
      <w:r w:rsidR="00873982">
        <w:t xml:space="preserve"> and Seniors</w:t>
      </w:r>
      <w:r w:rsidR="002679AB" w:rsidRPr="00320D74">
        <w:t>,</w:t>
      </w:r>
      <w:r w:rsidR="000C0164" w:rsidRPr="00320D74">
        <w:t xml:space="preserve"> are well</w:t>
      </w:r>
      <w:r w:rsidR="001256A1">
        <w:t>-</w:t>
      </w:r>
      <w:r w:rsidR="000C0164" w:rsidRPr="00320D74">
        <w:t>placed to respond promptly to any policy challenges and opportunities arising fro</w:t>
      </w:r>
      <w:r w:rsidR="00E00374" w:rsidRPr="00320D74">
        <w:t xml:space="preserve">m the administration of </w:t>
      </w:r>
      <w:r w:rsidR="008E49B0" w:rsidRPr="00320D74">
        <w:t>aged care</w:t>
      </w:r>
      <w:r w:rsidR="00E00374" w:rsidRPr="00320D74">
        <w:t xml:space="preserve"> regulatory functions</w:t>
      </w:r>
      <w:r w:rsidR="000310D7">
        <w:t>, or the regulation thereof</w:t>
      </w:r>
      <w:r w:rsidR="00E00374" w:rsidRPr="00320D74">
        <w:t xml:space="preserve">. </w:t>
      </w:r>
      <w:r w:rsidR="0042196B" w:rsidRPr="00320D74">
        <w:t xml:space="preserve">I expect </w:t>
      </w:r>
      <w:r w:rsidR="001256A1">
        <w:t xml:space="preserve">timely information </w:t>
      </w:r>
      <w:r w:rsidR="0042196B" w:rsidRPr="00320D74">
        <w:t>about any emerging trends, issues or risks relevant to the Commission’s operations, particularly those that may impact</w:t>
      </w:r>
      <w:r w:rsidR="00D435BA" w:rsidRPr="00320D74">
        <w:t xml:space="preserve"> on Government operations or policies.</w:t>
      </w:r>
    </w:p>
    <w:p w14:paraId="658E81CB" w14:textId="2E12FB6E" w:rsidR="004E5B09" w:rsidRPr="00320D74" w:rsidRDefault="00DE246C" w:rsidP="0016023E">
      <w:r w:rsidRPr="00320D74">
        <w:t>The Department also</w:t>
      </w:r>
      <w:r w:rsidR="00AE10E6" w:rsidRPr="00320D74">
        <w:t xml:space="preserve"> provides</w:t>
      </w:r>
      <w:r w:rsidR="00E00374" w:rsidRPr="00320D74">
        <w:t xml:space="preserve"> accurate and timely policy advice on significant issues relating to </w:t>
      </w:r>
      <w:r w:rsidR="00AE10E6" w:rsidRPr="00320D74">
        <w:t xml:space="preserve">aged care </w:t>
      </w:r>
      <w:r w:rsidR="00E00374" w:rsidRPr="00320D74">
        <w:t>regulatory functions</w:t>
      </w:r>
      <w:r w:rsidR="00CB2D79">
        <w:t>,</w:t>
      </w:r>
      <w:r w:rsidR="00E00374" w:rsidRPr="00320D74">
        <w:t xml:space="preserve"> in accordance with the Government’s policy priorities and objectives.</w:t>
      </w:r>
      <w:r w:rsidR="00F820FF" w:rsidRPr="00320D74">
        <w:t xml:space="preserve"> The Department </w:t>
      </w:r>
      <w:r w:rsidR="00E108AD" w:rsidRPr="00320D74">
        <w:t>considers</w:t>
      </w:r>
      <w:r w:rsidR="00F820FF" w:rsidRPr="00320D74">
        <w:t xml:space="preserve"> the knowledge and expertise of the Commission when considering changes to policy and legislation that </w:t>
      </w:r>
      <w:r w:rsidR="00582B85" w:rsidRPr="00320D74">
        <w:t>impact on quality, safety, and choice in aged care</w:t>
      </w:r>
      <w:r w:rsidR="007F34AB" w:rsidRPr="00320D74">
        <w:t>.</w:t>
      </w:r>
    </w:p>
    <w:p w14:paraId="0749BFB2" w14:textId="2C81C8AA" w:rsidR="007F34AB" w:rsidRPr="00320D74" w:rsidRDefault="007F34AB" w:rsidP="0016023E">
      <w:r w:rsidRPr="65522531">
        <w:t xml:space="preserve">Accordingly, I expect the </w:t>
      </w:r>
      <w:r w:rsidR="00E108AD" w:rsidRPr="65522531">
        <w:t>Commission</w:t>
      </w:r>
      <w:r w:rsidRPr="65522531">
        <w:t xml:space="preserve"> to work collaboratively with the Department on significant issues relating to strengthening </w:t>
      </w:r>
      <w:r w:rsidR="00E108AD" w:rsidRPr="65522531">
        <w:t>the aged care sector.</w:t>
      </w:r>
      <w:r w:rsidR="00F419A8" w:rsidRPr="65522531">
        <w:t xml:space="preserve"> </w:t>
      </w:r>
      <w:r w:rsidR="00873982" w:rsidRPr="65522531">
        <w:t xml:space="preserve">The joint </w:t>
      </w:r>
      <w:r w:rsidR="00026FED" w:rsidRPr="65522531">
        <w:t xml:space="preserve">Memorandum of Understanding </w:t>
      </w:r>
      <w:r w:rsidR="00873982" w:rsidRPr="65522531">
        <w:t xml:space="preserve">between </w:t>
      </w:r>
      <w:r w:rsidR="002F00EC" w:rsidRPr="65522531">
        <w:t>the Department and the Commission</w:t>
      </w:r>
      <w:r w:rsidR="000D4BED">
        <w:t>, and other documentation such as the Financial Roles and Responsibilities for home services,</w:t>
      </w:r>
      <w:r w:rsidR="00873982" w:rsidRPr="65522531">
        <w:t xml:space="preserve"> </w:t>
      </w:r>
      <w:r w:rsidR="000D4BED">
        <w:t>are</w:t>
      </w:r>
      <w:r w:rsidR="000A5325">
        <w:t xml:space="preserve"> being </w:t>
      </w:r>
      <w:r w:rsidR="00873982" w:rsidRPr="65522531">
        <w:t xml:space="preserve">updated to reflect operation of each agency under the </w:t>
      </w:r>
      <w:r w:rsidR="00B44E3E" w:rsidRPr="65522531">
        <w:t>Act and</w:t>
      </w:r>
      <w:r w:rsidR="00873982" w:rsidRPr="65522531">
        <w:t xml:space="preserve"> support </w:t>
      </w:r>
      <w:r w:rsidR="008C7B05" w:rsidRPr="65522531">
        <w:t>ongoing cooperation</w:t>
      </w:r>
      <w:r w:rsidR="00873982" w:rsidRPr="65522531">
        <w:t xml:space="preserve"> and </w:t>
      </w:r>
      <w:r w:rsidR="00F17603" w:rsidRPr="65522531">
        <w:t>collaboration</w:t>
      </w:r>
      <w:r w:rsidR="00780723" w:rsidRPr="65522531">
        <w:t>.</w:t>
      </w:r>
    </w:p>
    <w:p w14:paraId="2C51DE97" w14:textId="42CED879" w:rsidR="00E00374" w:rsidRPr="00320D74" w:rsidRDefault="00F17603" w:rsidP="0016023E">
      <w:r>
        <w:t>I will ensure the</w:t>
      </w:r>
      <w:r w:rsidR="00E00374" w:rsidRPr="00320D74">
        <w:t xml:space="preserve"> Commissioner is well informed of the Government’s policy direction</w:t>
      </w:r>
      <w:r>
        <w:t xml:space="preserve"> during the transition to the Act.</w:t>
      </w:r>
    </w:p>
    <w:p w14:paraId="568151F7" w14:textId="31AB212A" w:rsidR="000E04E8" w:rsidRPr="0016023E" w:rsidRDefault="000E04E8" w:rsidP="0016023E">
      <w:pPr>
        <w:pStyle w:val="Heading2"/>
      </w:pPr>
      <w:r w:rsidRPr="0016023E">
        <w:t>Accountability</w:t>
      </w:r>
    </w:p>
    <w:p w14:paraId="3F20008A" w14:textId="41F27B80" w:rsidR="000E04E8" w:rsidRPr="00320D74" w:rsidRDefault="00101C9E" w:rsidP="0016023E">
      <w:r w:rsidRPr="00320D74">
        <w:t>As the Minister for Aged Care</w:t>
      </w:r>
      <w:r w:rsidR="00C4633C">
        <w:t xml:space="preserve"> and Seniors</w:t>
      </w:r>
      <w:r w:rsidRPr="00320D74">
        <w:t xml:space="preserve">, I recognise the </w:t>
      </w:r>
      <w:r w:rsidR="00C4633C">
        <w:t xml:space="preserve">enhanced </w:t>
      </w:r>
      <w:r w:rsidRPr="00320D74">
        <w:t>role</w:t>
      </w:r>
      <w:r w:rsidR="00C4633C">
        <w:t>, including greater independence</w:t>
      </w:r>
      <w:r w:rsidR="00C31B76">
        <w:t>,</w:t>
      </w:r>
      <w:r w:rsidRPr="00320D74">
        <w:t xml:space="preserve"> of the Aged Care Quality and Safety Advisory Council</w:t>
      </w:r>
      <w:r w:rsidR="00AF5A77" w:rsidRPr="00320D74">
        <w:t>, in the operation of t</w:t>
      </w:r>
      <w:r w:rsidR="00E40431" w:rsidRPr="00320D74">
        <w:t xml:space="preserve">he Commission, </w:t>
      </w:r>
      <w:r w:rsidR="00C4633C">
        <w:t xml:space="preserve">under </w:t>
      </w:r>
      <w:r w:rsidR="007F3921">
        <w:t xml:space="preserve">Chapter 5, Part 4 of </w:t>
      </w:r>
      <w:r w:rsidR="00C4633C">
        <w:t>the Act.</w:t>
      </w:r>
    </w:p>
    <w:p w14:paraId="21F9C590" w14:textId="64A985DD" w:rsidR="005B7833" w:rsidRPr="0016023E" w:rsidRDefault="00BF1D33" w:rsidP="0016023E">
      <w:pPr>
        <w:pStyle w:val="Heading2"/>
      </w:pPr>
      <w:r w:rsidRPr="0016023E">
        <w:t>Organisation Matters</w:t>
      </w:r>
    </w:p>
    <w:p w14:paraId="061CDBCA" w14:textId="52DB8D5F" w:rsidR="005B7833" w:rsidRPr="00320D74" w:rsidRDefault="00A14D64" w:rsidP="0016023E">
      <w:r w:rsidRPr="00320D74">
        <w:t xml:space="preserve">The </w:t>
      </w:r>
      <w:r w:rsidR="007054D6" w:rsidRPr="00320D74">
        <w:t>Commission</w:t>
      </w:r>
      <w:r w:rsidR="005B7833" w:rsidRPr="00320D74">
        <w:t xml:space="preserve"> operates as part of the Australian Government and is accountable to the Parliament</w:t>
      </w:r>
      <w:r w:rsidR="001256A1">
        <w:t xml:space="preserve"> of Australia</w:t>
      </w:r>
      <w:r w:rsidR="005B7833" w:rsidRPr="00320D74">
        <w:t xml:space="preserve">, and </w:t>
      </w:r>
      <w:r w:rsidR="003A22B3" w:rsidRPr="00320D74">
        <w:t>the</w:t>
      </w:r>
      <w:r w:rsidR="005B7833" w:rsidRPr="00320D74">
        <w:t xml:space="preserve"> public, through </w:t>
      </w:r>
      <w:r w:rsidR="001256A1" w:rsidRPr="00320D74">
        <w:t>me</w:t>
      </w:r>
      <w:r w:rsidR="00013EFF" w:rsidRPr="00320D74">
        <w:t xml:space="preserve"> as the</w:t>
      </w:r>
      <w:r w:rsidR="005B7833" w:rsidRPr="00320D74">
        <w:t xml:space="preserve"> Minister for Aged Care</w:t>
      </w:r>
      <w:r w:rsidR="00C4633C">
        <w:t xml:space="preserve"> and Seniors</w:t>
      </w:r>
      <w:r w:rsidR="005B7833" w:rsidRPr="00320D74">
        <w:t xml:space="preserve">, the Parliamentary Committee process, and the tabling of </w:t>
      </w:r>
      <w:r w:rsidR="007054D6" w:rsidRPr="00320D74">
        <w:t>the Commission’s</w:t>
      </w:r>
      <w:r w:rsidR="005B7833" w:rsidRPr="00320D74">
        <w:t xml:space="preserve"> </w:t>
      </w:r>
      <w:r w:rsidR="007054D6" w:rsidRPr="00320D74">
        <w:t>A</w:t>
      </w:r>
      <w:r w:rsidR="005B7833" w:rsidRPr="00320D74">
        <w:t xml:space="preserve">nnual </w:t>
      </w:r>
      <w:r w:rsidR="007054D6" w:rsidRPr="00320D74">
        <w:t>R</w:t>
      </w:r>
      <w:r w:rsidR="005B7833" w:rsidRPr="00320D74">
        <w:t>eport.</w:t>
      </w:r>
    </w:p>
    <w:p w14:paraId="20FDD70B" w14:textId="699EBA35" w:rsidR="00F73B5E" w:rsidRPr="00320D74" w:rsidRDefault="005B7833" w:rsidP="0016023E">
      <w:r w:rsidRPr="00320D74">
        <w:t>In accordance with the PGPA Act</w:t>
      </w:r>
      <w:r w:rsidR="00C4633C">
        <w:t xml:space="preserve">, </w:t>
      </w:r>
      <w:r w:rsidR="007054D6" w:rsidRPr="00320D74">
        <w:t>Commission</w:t>
      </w:r>
      <w:r w:rsidRPr="00320D74">
        <w:t xml:space="preserve"> Act</w:t>
      </w:r>
      <w:r w:rsidR="00C4633C">
        <w:t xml:space="preserve"> and forthcoming </w:t>
      </w:r>
      <w:r w:rsidR="00D63E07">
        <w:t>Act</w:t>
      </w:r>
      <w:r w:rsidR="00C4633C">
        <w:t>,</w:t>
      </w:r>
      <w:r w:rsidRPr="00320D74">
        <w:t xml:space="preserve"> </w:t>
      </w:r>
      <w:r w:rsidR="00680DA0" w:rsidRPr="00320D74">
        <w:t>I</w:t>
      </w:r>
      <w:r w:rsidRPr="00320D74">
        <w:t xml:space="preserve"> expect that the </w:t>
      </w:r>
      <w:r w:rsidR="00F73B5E" w:rsidRPr="00320D74">
        <w:t>Commission will integrate performance measure</w:t>
      </w:r>
      <w:r w:rsidR="00B91B57">
        <w:t>s</w:t>
      </w:r>
      <w:r w:rsidR="00F73B5E" w:rsidRPr="00320D74">
        <w:t xml:space="preserve"> into the Commission’s </w:t>
      </w:r>
      <w:r w:rsidR="00DC2BE0" w:rsidRPr="00320D74">
        <w:t>C</w:t>
      </w:r>
      <w:r w:rsidR="00F73B5E" w:rsidRPr="00320D74">
        <w:t xml:space="preserve">orporate </w:t>
      </w:r>
      <w:r w:rsidR="00DC2BE0" w:rsidRPr="00320D74">
        <w:t>P</w:t>
      </w:r>
      <w:r w:rsidR="00F73B5E" w:rsidRPr="00320D74">
        <w:t xml:space="preserve">lan and </w:t>
      </w:r>
      <w:r w:rsidR="00F73B5E" w:rsidRPr="00320D74">
        <w:lastRenderedPageBreak/>
        <w:t>subsequently</w:t>
      </w:r>
      <w:r w:rsidR="00385A3D" w:rsidRPr="00320D74">
        <w:t xml:space="preserve"> report on outcomes against each measure in the Commission’s Annual Report. </w:t>
      </w:r>
      <w:r w:rsidR="00101C9E" w:rsidRPr="00320D74">
        <w:t>As the Minister for Aged Care</w:t>
      </w:r>
      <w:r w:rsidR="00C4633C">
        <w:t xml:space="preserve"> and Seniors</w:t>
      </w:r>
      <w:r w:rsidR="00680DA0" w:rsidRPr="00320D74">
        <w:t>, I</w:t>
      </w:r>
      <w:r w:rsidR="00385A3D" w:rsidRPr="00320D74">
        <w:t xml:space="preserve"> will assess the Commission’s performance against these measures as part of its oversight function in determining whether the Commission is successfully achieving its objectives.</w:t>
      </w:r>
    </w:p>
    <w:p w14:paraId="2885CFA8" w14:textId="6C618323" w:rsidR="005B7833" w:rsidRPr="00F30C7A" w:rsidRDefault="005B7833" w:rsidP="0016023E">
      <w:r w:rsidRPr="00320D74">
        <w:t xml:space="preserve">To enable greater transparency and accountability, </w:t>
      </w:r>
      <w:r w:rsidR="00272F58" w:rsidRPr="00320D74">
        <w:t>I</w:t>
      </w:r>
      <w:r w:rsidR="00346AB5" w:rsidRPr="00320D74">
        <w:t xml:space="preserve"> expect the Commission to publish its Statement of Intent in response to this Statement of Expectations</w:t>
      </w:r>
      <w:r w:rsidR="00F9005C" w:rsidRPr="00320D74">
        <w:t xml:space="preserve"> on its website</w:t>
      </w:r>
      <w:r w:rsidR="00E13168">
        <w:t xml:space="preserve"> </w:t>
      </w:r>
      <w:r w:rsidR="00F9005C" w:rsidRPr="00320D74">
        <w:t xml:space="preserve">and subsequently incorporate </w:t>
      </w:r>
      <w:r w:rsidR="001256A1">
        <w:t xml:space="preserve">both </w:t>
      </w:r>
      <w:r w:rsidR="00F9005C" w:rsidRPr="00320D74">
        <w:t xml:space="preserve">in its </w:t>
      </w:r>
      <w:r w:rsidR="00C25DE7" w:rsidRPr="00320D74">
        <w:t>C</w:t>
      </w:r>
      <w:r w:rsidR="00F9005C" w:rsidRPr="00320D74">
        <w:t xml:space="preserve">orporate </w:t>
      </w:r>
      <w:r w:rsidR="00C25DE7" w:rsidRPr="00320D74">
        <w:t>P</w:t>
      </w:r>
      <w:r w:rsidR="00F9005C" w:rsidRPr="00320D74">
        <w:t>lan.</w:t>
      </w:r>
    </w:p>
    <w:sectPr w:rsidR="005B7833" w:rsidRPr="00F30C7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7273" w14:textId="77777777" w:rsidR="003375C0" w:rsidRDefault="003375C0" w:rsidP="0016023E">
      <w:r>
        <w:separator/>
      </w:r>
    </w:p>
  </w:endnote>
  <w:endnote w:type="continuationSeparator" w:id="0">
    <w:p w14:paraId="4A7F2ADD" w14:textId="77777777" w:rsidR="003375C0" w:rsidRDefault="003375C0" w:rsidP="0016023E">
      <w:r>
        <w:continuationSeparator/>
      </w:r>
    </w:p>
  </w:endnote>
  <w:endnote w:type="continuationNotice" w:id="1">
    <w:p w14:paraId="051DDBE7" w14:textId="77777777" w:rsidR="003375C0" w:rsidRDefault="003375C0" w:rsidP="0016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Light">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183618"/>
      <w:docPartObj>
        <w:docPartGallery w:val="Page Numbers (Bottom of Page)"/>
        <w:docPartUnique/>
      </w:docPartObj>
    </w:sdtPr>
    <w:sdtEndPr>
      <w:rPr>
        <w:noProof/>
      </w:rPr>
    </w:sdtEndPr>
    <w:sdtContent>
      <w:p w14:paraId="28669928" w14:textId="4722D329" w:rsidR="0038325D" w:rsidRDefault="0038325D" w:rsidP="0016023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8927" w14:textId="77777777" w:rsidR="003375C0" w:rsidRDefault="003375C0" w:rsidP="0016023E">
      <w:r>
        <w:separator/>
      </w:r>
    </w:p>
  </w:footnote>
  <w:footnote w:type="continuationSeparator" w:id="0">
    <w:p w14:paraId="3024D9CE" w14:textId="77777777" w:rsidR="003375C0" w:rsidRDefault="003375C0" w:rsidP="0016023E">
      <w:r>
        <w:continuationSeparator/>
      </w:r>
    </w:p>
  </w:footnote>
  <w:footnote w:type="continuationNotice" w:id="1">
    <w:p w14:paraId="5C8519A9" w14:textId="77777777" w:rsidR="003375C0" w:rsidRDefault="003375C0" w:rsidP="00160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B381" w14:textId="38A592C8" w:rsidR="00970E59" w:rsidRDefault="00A4078D" w:rsidP="0016023E">
    <w:pPr>
      <w:pStyle w:val="Header"/>
    </w:pPr>
    <w:r>
      <w:rPr>
        <w:noProof/>
      </w:rPr>
      <w:drawing>
        <wp:inline distT="0" distB="0" distL="0" distR="0" wp14:anchorId="56C096B6" wp14:editId="739A6859">
          <wp:extent cx="1123950" cy="842963"/>
          <wp:effectExtent l="0" t="0" r="0" b="0"/>
          <wp:docPr id="3" name="Picture 3"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59" cy="84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F0"/>
    <w:multiLevelType w:val="hybridMultilevel"/>
    <w:tmpl w:val="F0BAB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BF3B25"/>
    <w:multiLevelType w:val="hybridMultilevel"/>
    <w:tmpl w:val="7F58F726"/>
    <w:lvl w:ilvl="0" w:tplc="F9E42CC6">
      <w:start w:val="1"/>
      <w:numFmt w:val="bullet"/>
      <w:lvlText w:val=""/>
      <w:lvlJc w:val="left"/>
      <w:pPr>
        <w:ind w:left="720" w:hanging="360"/>
      </w:pPr>
      <w:rPr>
        <w:rFonts w:ascii="Symbol" w:hAnsi="Symbol"/>
      </w:rPr>
    </w:lvl>
    <w:lvl w:ilvl="1" w:tplc="1B96AAE4">
      <w:start w:val="1"/>
      <w:numFmt w:val="bullet"/>
      <w:lvlText w:val=""/>
      <w:lvlJc w:val="left"/>
      <w:pPr>
        <w:ind w:left="720" w:hanging="360"/>
      </w:pPr>
      <w:rPr>
        <w:rFonts w:ascii="Symbol" w:hAnsi="Symbol"/>
      </w:rPr>
    </w:lvl>
    <w:lvl w:ilvl="2" w:tplc="97AAE2C0">
      <w:start w:val="1"/>
      <w:numFmt w:val="bullet"/>
      <w:lvlText w:val=""/>
      <w:lvlJc w:val="left"/>
      <w:pPr>
        <w:ind w:left="720" w:hanging="360"/>
      </w:pPr>
      <w:rPr>
        <w:rFonts w:ascii="Symbol" w:hAnsi="Symbol"/>
      </w:rPr>
    </w:lvl>
    <w:lvl w:ilvl="3" w:tplc="8DCE8E8A">
      <w:start w:val="1"/>
      <w:numFmt w:val="bullet"/>
      <w:lvlText w:val=""/>
      <w:lvlJc w:val="left"/>
      <w:pPr>
        <w:ind w:left="720" w:hanging="360"/>
      </w:pPr>
      <w:rPr>
        <w:rFonts w:ascii="Symbol" w:hAnsi="Symbol"/>
      </w:rPr>
    </w:lvl>
    <w:lvl w:ilvl="4" w:tplc="B2109A6C">
      <w:start w:val="1"/>
      <w:numFmt w:val="bullet"/>
      <w:lvlText w:val=""/>
      <w:lvlJc w:val="left"/>
      <w:pPr>
        <w:ind w:left="720" w:hanging="360"/>
      </w:pPr>
      <w:rPr>
        <w:rFonts w:ascii="Symbol" w:hAnsi="Symbol"/>
      </w:rPr>
    </w:lvl>
    <w:lvl w:ilvl="5" w:tplc="C0C24D9E">
      <w:start w:val="1"/>
      <w:numFmt w:val="bullet"/>
      <w:lvlText w:val=""/>
      <w:lvlJc w:val="left"/>
      <w:pPr>
        <w:ind w:left="720" w:hanging="360"/>
      </w:pPr>
      <w:rPr>
        <w:rFonts w:ascii="Symbol" w:hAnsi="Symbol"/>
      </w:rPr>
    </w:lvl>
    <w:lvl w:ilvl="6" w:tplc="1E02B6F6">
      <w:start w:val="1"/>
      <w:numFmt w:val="bullet"/>
      <w:lvlText w:val=""/>
      <w:lvlJc w:val="left"/>
      <w:pPr>
        <w:ind w:left="720" w:hanging="360"/>
      </w:pPr>
      <w:rPr>
        <w:rFonts w:ascii="Symbol" w:hAnsi="Symbol"/>
      </w:rPr>
    </w:lvl>
    <w:lvl w:ilvl="7" w:tplc="A5428434">
      <w:start w:val="1"/>
      <w:numFmt w:val="bullet"/>
      <w:lvlText w:val=""/>
      <w:lvlJc w:val="left"/>
      <w:pPr>
        <w:ind w:left="720" w:hanging="360"/>
      </w:pPr>
      <w:rPr>
        <w:rFonts w:ascii="Symbol" w:hAnsi="Symbol"/>
      </w:rPr>
    </w:lvl>
    <w:lvl w:ilvl="8" w:tplc="3154BA26">
      <w:start w:val="1"/>
      <w:numFmt w:val="bullet"/>
      <w:lvlText w:val=""/>
      <w:lvlJc w:val="left"/>
      <w:pPr>
        <w:ind w:left="720" w:hanging="360"/>
      </w:pPr>
      <w:rPr>
        <w:rFonts w:ascii="Symbol" w:hAnsi="Symbol"/>
      </w:rPr>
    </w:lvl>
  </w:abstractNum>
  <w:abstractNum w:abstractNumId="2" w15:restartNumberingAfterBreak="0">
    <w:nsid w:val="098A2231"/>
    <w:multiLevelType w:val="hybridMultilevel"/>
    <w:tmpl w:val="F3B6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D5E52"/>
    <w:multiLevelType w:val="hybridMultilevel"/>
    <w:tmpl w:val="415A8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4380F"/>
    <w:multiLevelType w:val="hybridMultilevel"/>
    <w:tmpl w:val="B61A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51E65"/>
    <w:multiLevelType w:val="hybridMultilevel"/>
    <w:tmpl w:val="188271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3A6AD4"/>
    <w:multiLevelType w:val="hybridMultilevel"/>
    <w:tmpl w:val="1646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9F066E"/>
    <w:multiLevelType w:val="hybridMultilevel"/>
    <w:tmpl w:val="922E6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26587"/>
    <w:multiLevelType w:val="hybridMultilevel"/>
    <w:tmpl w:val="53C62B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AA07F7"/>
    <w:multiLevelType w:val="hybridMultilevel"/>
    <w:tmpl w:val="67B4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934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C53D5B"/>
    <w:multiLevelType w:val="hybridMultilevel"/>
    <w:tmpl w:val="0FA6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16EB6"/>
    <w:multiLevelType w:val="hybridMultilevel"/>
    <w:tmpl w:val="0598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C41CB"/>
    <w:multiLevelType w:val="hybridMultilevel"/>
    <w:tmpl w:val="B042576E"/>
    <w:lvl w:ilvl="0" w:tplc="A0904302">
      <w:start w:val="1"/>
      <w:numFmt w:val="bullet"/>
      <w:lvlText w:val=""/>
      <w:lvlJc w:val="left"/>
      <w:pPr>
        <w:ind w:left="720" w:hanging="360"/>
      </w:pPr>
      <w:rPr>
        <w:rFonts w:ascii="Symbol" w:hAnsi="Symbol"/>
      </w:rPr>
    </w:lvl>
    <w:lvl w:ilvl="1" w:tplc="F15E4FE2">
      <w:start w:val="1"/>
      <w:numFmt w:val="bullet"/>
      <w:lvlText w:val=""/>
      <w:lvlJc w:val="left"/>
      <w:pPr>
        <w:ind w:left="720" w:hanging="360"/>
      </w:pPr>
      <w:rPr>
        <w:rFonts w:ascii="Symbol" w:hAnsi="Symbol"/>
      </w:rPr>
    </w:lvl>
    <w:lvl w:ilvl="2" w:tplc="E584B0E0">
      <w:start w:val="1"/>
      <w:numFmt w:val="bullet"/>
      <w:lvlText w:val=""/>
      <w:lvlJc w:val="left"/>
      <w:pPr>
        <w:ind w:left="720" w:hanging="360"/>
      </w:pPr>
      <w:rPr>
        <w:rFonts w:ascii="Symbol" w:hAnsi="Symbol"/>
      </w:rPr>
    </w:lvl>
    <w:lvl w:ilvl="3" w:tplc="1D8E3306">
      <w:start w:val="1"/>
      <w:numFmt w:val="bullet"/>
      <w:lvlText w:val=""/>
      <w:lvlJc w:val="left"/>
      <w:pPr>
        <w:ind w:left="720" w:hanging="360"/>
      </w:pPr>
      <w:rPr>
        <w:rFonts w:ascii="Symbol" w:hAnsi="Symbol"/>
      </w:rPr>
    </w:lvl>
    <w:lvl w:ilvl="4" w:tplc="DDA20B22">
      <w:start w:val="1"/>
      <w:numFmt w:val="bullet"/>
      <w:lvlText w:val=""/>
      <w:lvlJc w:val="left"/>
      <w:pPr>
        <w:ind w:left="720" w:hanging="360"/>
      </w:pPr>
      <w:rPr>
        <w:rFonts w:ascii="Symbol" w:hAnsi="Symbol"/>
      </w:rPr>
    </w:lvl>
    <w:lvl w:ilvl="5" w:tplc="681EB2A8">
      <w:start w:val="1"/>
      <w:numFmt w:val="bullet"/>
      <w:lvlText w:val=""/>
      <w:lvlJc w:val="left"/>
      <w:pPr>
        <w:ind w:left="720" w:hanging="360"/>
      </w:pPr>
      <w:rPr>
        <w:rFonts w:ascii="Symbol" w:hAnsi="Symbol"/>
      </w:rPr>
    </w:lvl>
    <w:lvl w:ilvl="6" w:tplc="6046CBA8">
      <w:start w:val="1"/>
      <w:numFmt w:val="bullet"/>
      <w:lvlText w:val=""/>
      <w:lvlJc w:val="left"/>
      <w:pPr>
        <w:ind w:left="720" w:hanging="360"/>
      </w:pPr>
      <w:rPr>
        <w:rFonts w:ascii="Symbol" w:hAnsi="Symbol"/>
      </w:rPr>
    </w:lvl>
    <w:lvl w:ilvl="7" w:tplc="99A857EE">
      <w:start w:val="1"/>
      <w:numFmt w:val="bullet"/>
      <w:lvlText w:val=""/>
      <w:lvlJc w:val="left"/>
      <w:pPr>
        <w:ind w:left="720" w:hanging="360"/>
      </w:pPr>
      <w:rPr>
        <w:rFonts w:ascii="Symbol" w:hAnsi="Symbol"/>
      </w:rPr>
    </w:lvl>
    <w:lvl w:ilvl="8" w:tplc="9E802E20">
      <w:start w:val="1"/>
      <w:numFmt w:val="bullet"/>
      <w:lvlText w:val=""/>
      <w:lvlJc w:val="left"/>
      <w:pPr>
        <w:ind w:left="720" w:hanging="360"/>
      </w:pPr>
      <w:rPr>
        <w:rFonts w:ascii="Symbol" w:hAnsi="Symbol"/>
      </w:rPr>
    </w:lvl>
  </w:abstractNum>
  <w:abstractNum w:abstractNumId="14" w15:restartNumberingAfterBreak="0">
    <w:nsid w:val="5DFF406D"/>
    <w:multiLevelType w:val="hybridMultilevel"/>
    <w:tmpl w:val="885CA276"/>
    <w:lvl w:ilvl="0" w:tplc="237E20CC">
      <w:start w:val="1"/>
      <w:numFmt w:val="bullet"/>
      <w:lvlText w:val=""/>
      <w:lvlJc w:val="left"/>
      <w:pPr>
        <w:ind w:left="720" w:hanging="360"/>
      </w:pPr>
      <w:rPr>
        <w:rFonts w:ascii="Symbol" w:hAnsi="Symbol"/>
      </w:rPr>
    </w:lvl>
    <w:lvl w:ilvl="1" w:tplc="72D01580">
      <w:start w:val="1"/>
      <w:numFmt w:val="bullet"/>
      <w:lvlText w:val=""/>
      <w:lvlJc w:val="left"/>
      <w:pPr>
        <w:ind w:left="720" w:hanging="360"/>
      </w:pPr>
      <w:rPr>
        <w:rFonts w:ascii="Symbol" w:hAnsi="Symbol"/>
      </w:rPr>
    </w:lvl>
    <w:lvl w:ilvl="2" w:tplc="1ACA30F4">
      <w:start w:val="1"/>
      <w:numFmt w:val="bullet"/>
      <w:lvlText w:val=""/>
      <w:lvlJc w:val="left"/>
      <w:pPr>
        <w:ind w:left="720" w:hanging="360"/>
      </w:pPr>
      <w:rPr>
        <w:rFonts w:ascii="Symbol" w:hAnsi="Symbol"/>
      </w:rPr>
    </w:lvl>
    <w:lvl w:ilvl="3" w:tplc="58F073C4">
      <w:start w:val="1"/>
      <w:numFmt w:val="bullet"/>
      <w:lvlText w:val=""/>
      <w:lvlJc w:val="left"/>
      <w:pPr>
        <w:ind w:left="720" w:hanging="360"/>
      </w:pPr>
      <w:rPr>
        <w:rFonts w:ascii="Symbol" w:hAnsi="Symbol"/>
      </w:rPr>
    </w:lvl>
    <w:lvl w:ilvl="4" w:tplc="B5BEEB16">
      <w:start w:val="1"/>
      <w:numFmt w:val="bullet"/>
      <w:lvlText w:val=""/>
      <w:lvlJc w:val="left"/>
      <w:pPr>
        <w:ind w:left="720" w:hanging="360"/>
      </w:pPr>
      <w:rPr>
        <w:rFonts w:ascii="Symbol" w:hAnsi="Symbol"/>
      </w:rPr>
    </w:lvl>
    <w:lvl w:ilvl="5" w:tplc="4CACEF14">
      <w:start w:val="1"/>
      <w:numFmt w:val="bullet"/>
      <w:lvlText w:val=""/>
      <w:lvlJc w:val="left"/>
      <w:pPr>
        <w:ind w:left="720" w:hanging="360"/>
      </w:pPr>
      <w:rPr>
        <w:rFonts w:ascii="Symbol" w:hAnsi="Symbol"/>
      </w:rPr>
    </w:lvl>
    <w:lvl w:ilvl="6" w:tplc="65561928">
      <w:start w:val="1"/>
      <w:numFmt w:val="bullet"/>
      <w:lvlText w:val=""/>
      <w:lvlJc w:val="left"/>
      <w:pPr>
        <w:ind w:left="720" w:hanging="360"/>
      </w:pPr>
      <w:rPr>
        <w:rFonts w:ascii="Symbol" w:hAnsi="Symbol"/>
      </w:rPr>
    </w:lvl>
    <w:lvl w:ilvl="7" w:tplc="52EEFC18">
      <w:start w:val="1"/>
      <w:numFmt w:val="bullet"/>
      <w:lvlText w:val=""/>
      <w:lvlJc w:val="left"/>
      <w:pPr>
        <w:ind w:left="720" w:hanging="360"/>
      </w:pPr>
      <w:rPr>
        <w:rFonts w:ascii="Symbol" w:hAnsi="Symbol"/>
      </w:rPr>
    </w:lvl>
    <w:lvl w:ilvl="8" w:tplc="F1E438E8">
      <w:start w:val="1"/>
      <w:numFmt w:val="bullet"/>
      <w:lvlText w:val=""/>
      <w:lvlJc w:val="left"/>
      <w:pPr>
        <w:ind w:left="720" w:hanging="360"/>
      </w:pPr>
      <w:rPr>
        <w:rFonts w:ascii="Symbol" w:hAnsi="Symbol"/>
      </w:rPr>
    </w:lvl>
  </w:abstractNum>
  <w:abstractNum w:abstractNumId="15" w15:restartNumberingAfterBreak="0">
    <w:nsid w:val="69386374"/>
    <w:multiLevelType w:val="hybridMultilevel"/>
    <w:tmpl w:val="13282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85997"/>
    <w:multiLevelType w:val="hybridMultilevel"/>
    <w:tmpl w:val="0D385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981690"/>
    <w:multiLevelType w:val="hybridMultilevel"/>
    <w:tmpl w:val="EAF09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A50E0E"/>
    <w:multiLevelType w:val="hybridMultilevel"/>
    <w:tmpl w:val="86AAB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116381">
    <w:abstractNumId w:val="0"/>
  </w:num>
  <w:num w:numId="2" w16cid:durableId="1378122138">
    <w:abstractNumId w:val="6"/>
  </w:num>
  <w:num w:numId="3" w16cid:durableId="7354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741535">
    <w:abstractNumId w:val="10"/>
  </w:num>
  <w:num w:numId="5" w16cid:durableId="2122258305">
    <w:abstractNumId w:val="5"/>
  </w:num>
  <w:num w:numId="6" w16cid:durableId="1925530746">
    <w:abstractNumId w:val="9"/>
  </w:num>
  <w:num w:numId="7" w16cid:durableId="486554874">
    <w:abstractNumId w:val="17"/>
  </w:num>
  <w:num w:numId="8" w16cid:durableId="54664880">
    <w:abstractNumId w:val="16"/>
  </w:num>
  <w:num w:numId="9" w16cid:durableId="880553437">
    <w:abstractNumId w:val="8"/>
  </w:num>
  <w:num w:numId="10" w16cid:durableId="1895240136">
    <w:abstractNumId w:val="15"/>
  </w:num>
  <w:num w:numId="11" w16cid:durableId="1553148497">
    <w:abstractNumId w:val="7"/>
  </w:num>
  <w:num w:numId="12" w16cid:durableId="472873444">
    <w:abstractNumId w:val="18"/>
  </w:num>
  <w:num w:numId="13" w16cid:durableId="2094082248">
    <w:abstractNumId w:val="12"/>
  </w:num>
  <w:num w:numId="14" w16cid:durableId="1721435909">
    <w:abstractNumId w:val="2"/>
  </w:num>
  <w:num w:numId="15" w16cid:durableId="889343478">
    <w:abstractNumId w:val="4"/>
  </w:num>
  <w:num w:numId="16" w16cid:durableId="1681814320">
    <w:abstractNumId w:val="11"/>
  </w:num>
  <w:num w:numId="17" w16cid:durableId="926571729">
    <w:abstractNumId w:val="3"/>
  </w:num>
  <w:num w:numId="18" w16cid:durableId="2080667984">
    <w:abstractNumId w:val="1"/>
  </w:num>
  <w:num w:numId="19" w16cid:durableId="1845514989">
    <w:abstractNumId w:val="13"/>
  </w:num>
  <w:num w:numId="20" w16cid:durableId="838929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1B"/>
    <w:rsid w:val="00001FB9"/>
    <w:rsid w:val="00005AED"/>
    <w:rsid w:val="000060E6"/>
    <w:rsid w:val="0000666F"/>
    <w:rsid w:val="00007C80"/>
    <w:rsid w:val="00007CB4"/>
    <w:rsid w:val="00012439"/>
    <w:rsid w:val="00012914"/>
    <w:rsid w:val="000139EF"/>
    <w:rsid w:val="00013EFF"/>
    <w:rsid w:val="0001570C"/>
    <w:rsid w:val="00020A4F"/>
    <w:rsid w:val="000241E1"/>
    <w:rsid w:val="00024264"/>
    <w:rsid w:val="000245A7"/>
    <w:rsid w:val="00025DCF"/>
    <w:rsid w:val="00026FED"/>
    <w:rsid w:val="000310D7"/>
    <w:rsid w:val="00037A8B"/>
    <w:rsid w:val="00037F07"/>
    <w:rsid w:val="00041877"/>
    <w:rsid w:val="0004261E"/>
    <w:rsid w:val="00042967"/>
    <w:rsid w:val="00047447"/>
    <w:rsid w:val="0005105D"/>
    <w:rsid w:val="00054468"/>
    <w:rsid w:val="00060753"/>
    <w:rsid w:val="00064BA3"/>
    <w:rsid w:val="00064F1D"/>
    <w:rsid w:val="00081ACE"/>
    <w:rsid w:val="00085AA9"/>
    <w:rsid w:val="00092A57"/>
    <w:rsid w:val="00093726"/>
    <w:rsid w:val="00094AF6"/>
    <w:rsid w:val="0009628F"/>
    <w:rsid w:val="00097AC3"/>
    <w:rsid w:val="000A0484"/>
    <w:rsid w:val="000A1064"/>
    <w:rsid w:val="000A3142"/>
    <w:rsid w:val="000A434C"/>
    <w:rsid w:val="000A5325"/>
    <w:rsid w:val="000B169C"/>
    <w:rsid w:val="000B4521"/>
    <w:rsid w:val="000C00EE"/>
    <w:rsid w:val="000C0164"/>
    <w:rsid w:val="000C4CFE"/>
    <w:rsid w:val="000C5814"/>
    <w:rsid w:val="000D1333"/>
    <w:rsid w:val="000D45C2"/>
    <w:rsid w:val="000D4BED"/>
    <w:rsid w:val="000E04E8"/>
    <w:rsid w:val="000E19E7"/>
    <w:rsid w:val="000E5038"/>
    <w:rsid w:val="000E695F"/>
    <w:rsid w:val="000E746A"/>
    <w:rsid w:val="000F2FB0"/>
    <w:rsid w:val="000F5350"/>
    <w:rsid w:val="000F5463"/>
    <w:rsid w:val="00101C9E"/>
    <w:rsid w:val="00102D09"/>
    <w:rsid w:val="00105422"/>
    <w:rsid w:val="001075EB"/>
    <w:rsid w:val="0011067B"/>
    <w:rsid w:val="001158BD"/>
    <w:rsid w:val="001179C2"/>
    <w:rsid w:val="0012061C"/>
    <w:rsid w:val="00121351"/>
    <w:rsid w:val="001231B9"/>
    <w:rsid w:val="00123B0E"/>
    <w:rsid w:val="00124C9F"/>
    <w:rsid w:val="001251D2"/>
    <w:rsid w:val="001256A1"/>
    <w:rsid w:val="00126799"/>
    <w:rsid w:val="0013123D"/>
    <w:rsid w:val="00133EF5"/>
    <w:rsid w:val="001373E9"/>
    <w:rsid w:val="001374C7"/>
    <w:rsid w:val="00140CD8"/>
    <w:rsid w:val="0014466B"/>
    <w:rsid w:val="0015036B"/>
    <w:rsid w:val="0015074D"/>
    <w:rsid w:val="001549E6"/>
    <w:rsid w:val="00157A21"/>
    <w:rsid w:val="00157D99"/>
    <w:rsid w:val="0016023E"/>
    <w:rsid w:val="00161AAE"/>
    <w:rsid w:val="00166FD7"/>
    <w:rsid w:val="001705B9"/>
    <w:rsid w:val="00170958"/>
    <w:rsid w:val="0017392E"/>
    <w:rsid w:val="0017397D"/>
    <w:rsid w:val="00174F2D"/>
    <w:rsid w:val="00181C1B"/>
    <w:rsid w:val="0018240E"/>
    <w:rsid w:val="00182CBB"/>
    <w:rsid w:val="00184906"/>
    <w:rsid w:val="00192C9F"/>
    <w:rsid w:val="00194766"/>
    <w:rsid w:val="001950B0"/>
    <w:rsid w:val="00195BAF"/>
    <w:rsid w:val="00196498"/>
    <w:rsid w:val="00196A7C"/>
    <w:rsid w:val="0019702E"/>
    <w:rsid w:val="001A0F21"/>
    <w:rsid w:val="001A1F9F"/>
    <w:rsid w:val="001A36EA"/>
    <w:rsid w:val="001A5333"/>
    <w:rsid w:val="001A5A5D"/>
    <w:rsid w:val="001B053A"/>
    <w:rsid w:val="001B6295"/>
    <w:rsid w:val="001C353C"/>
    <w:rsid w:val="001D2670"/>
    <w:rsid w:val="001D55DA"/>
    <w:rsid w:val="001D57B0"/>
    <w:rsid w:val="001E16EF"/>
    <w:rsid w:val="001F1EDD"/>
    <w:rsid w:val="002030AF"/>
    <w:rsid w:val="0020416F"/>
    <w:rsid w:val="002106A7"/>
    <w:rsid w:val="00211ED6"/>
    <w:rsid w:val="002158D2"/>
    <w:rsid w:val="00217322"/>
    <w:rsid w:val="00234A68"/>
    <w:rsid w:val="00235D74"/>
    <w:rsid w:val="00237880"/>
    <w:rsid w:val="00241458"/>
    <w:rsid w:val="00241F68"/>
    <w:rsid w:val="002424F1"/>
    <w:rsid w:val="00242754"/>
    <w:rsid w:val="00245C2D"/>
    <w:rsid w:val="002509C4"/>
    <w:rsid w:val="00251843"/>
    <w:rsid w:val="00252C35"/>
    <w:rsid w:val="00254EDB"/>
    <w:rsid w:val="00257C77"/>
    <w:rsid w:val="00261DF8"/>
    <w:rsid w:val="0026408A"/>
    <w:rsid w:val="002653E5"/>
    <w:rsid w:val="00265587"/>
    <w:rsid w:val="002679AB"/>
    <w:rsid w:val="00272F58"/>
    <w:rsid w:val="002732E1"/>
    <w:rsid w:val="0027475F"/>
    <w:rsid w:val="00274ABA"/>
    <w:rsid w:val="00274F92"/>
    <w:rsid w:val="00280050"/>
    <w:rsid w:val="00287670"/>
    <w:rsid w:val="00293E3E"/>
    <w:rsid w:val="00296057"/>
    <w:rsid w:val="002A0F3E"/>
    <w:rsid w:val="002A1490"/>
    <w:rsid w:val="002A25A4"/>
    <w:rsid w:val="002A2FE1"/>
    <w:rsid w:val="002A379C"/>
    <w:rsid w:val="002A3B42"/>
    <w:rsid w:val="002A460A"/>
    <w:rsid w:val="002B7C19"/>
    <w:rsid w:val="002B7E94"/>
    <w:rsid w:val="002C4E73"/>
    <w:rsid w:val="002D196B"/>
    <w:rsid w:val="002D1E68"/>
    <w:rsid w:val="002E026A"/>
    <w:rsid w:val="002E0CEB"/>
    <w:rsid w:val="002E1E7E"/>
    <w:rsid w:val="002E2B88"/>
    <w:rsid w:val="002E332E"/>
    <w:rsid w:val="002E5A54"/>
    <w:rsid w:val="002E7EE7"/>
    <w:rsid w:val="002F00EC"/>
    <w:rsid w:val="002F018E"/>
    <w:rsid w:val="002F24F8"/>
    <w:rsid w:val="002F3BDE"/>
    <w:rsid w:val="002F56A6"/>
    <w:rsid w:val="00307884"/>
    <w:rsid w:val="00312B55"/>
    <w:rsid w:val="00313294"/>
    <w:rsid w:val="00314D09"/>
    <w:rsid w:val="003163D3"/>
    <w:rsid w:val="00316935"/>
    <w:rsid w:val="00320D74"/>
    <w:rsid w:val="00321060"/>
    <w:rsid w:val="0032171A"/>
    <w:rsid w:val="00323DAE"/>
    <w:rsid w:val="003247D8"/>
    <w:rsid w:val="00324EDC"/>
    <w:rsid w:val="003263FE"/>
    <w:rsid w:val="00326579"/>
    <w:rsid w:val="00333893"/>
    <w:rsid w:val="003375C0"/>
    <w:rsid w:val="00337BA2"/>
    <w:rsid w:val="0034291D"/>
    <w:rsid w:val="00344025"/>
    <w:rsid w:val="00344234"/>
    <w:rsid w:val="003456EF"/>
    <w:rsid w:val="00346A2E"/>
    <w:rsid w:val="00346AB5"/>
    <w:rsid w:val="003548E4"/>
    <w:rsid w:val="003579D2"/>
    <w:rsid w:val="00361C55"/>
    <w:rsid w:val="00362975"/>
    <w:rsid w:val="00362D88"/>
    <w:rsid w:val="0036508A"/>
    <w:rsid w:val="00365897"/>
    <w:rsid w:val="003727AD"/>
    <w:rsid w:val="00372909"/>
    <w:rsid w:val="0037548C"/>
    <w:rsid w:val="00375DCF"/>
    <w:rsid w:val="003804C8"/>
    <w:rsid w:val="0038325D"/>
    <w:rsid w:val="00385A3D"/>
    <w:rsid w:val="003901F4"/>
    <w:rsid w:val="00396E6C"/>
    <w:rsid w:val="003A1757"/>
    <w:rsid w:val="003A22B3"/>
    <w:rsid w:val="003A2E78"/>
    <w:rsid w:val="003A42C6"/>
    <w:rsid w:val="003B1739"/>
    <w:rsid w:val="003B1A36"/>
    <w:rsid w:val="003B23C3"/>
    <w:rsid w:val="003B2676"/>
    <w:rsid w:val="003B3D52"/>
    <w:rsid w:val="003B48CA"/>
    <w:rsid w:val="003B5541"/>
    <w:rsid w:val="003B6947"/>
    <w:rsid w:val="003C52E5"/>
    <w:rsid w:val="003C5502"/>
    <w:rsid w:val="003C76A3"/>
    <w:rsid w:val="003D0638"/>
    <w:rsid w:val="003D112C"/>
    <w:rsid w:val="003D148A"/>
    <w:rsid w:val="003D2DB0"/>
    <w:rsid w:val="003D4E65"/>
    <w:rsid w:val="003D5DE4"/>
    <w:rsid w:val="003D7AC8"/>
    <w:rsid w:val="003E0617"/>
    <w:rsid w:val="003E2AAD"/>
    <w:rsid w:val="003E353E"/>
    <w:rsid w:val="003E4D2F"/>
    <w:rsid w:val="003E5A40"/>
    <w:rsid w:val="003E71D6"/>
    <w:rsid w:val="003F2569"/>
    <w:rsid w:val="003F43EB"/>
    <w:rsid w:val="003F55C4"/>
    <w:rsid w:val="003F5875"/>
    <w:rsid w:val="003F7872"/>
    <w:rsid w:val="003F7D75"/>
    <w:rsid w:val="004020FD"/>
    <w:rsid w:val="00403660"/>
    <w:rsid w:val="004053AC"/>
    <w:rsid w:val="0040748C"/>
    <w:rsid w:val="00410FA1"/>
    <w:rsid w:val="004123B9"/>
    <w:rsid w:val="00416F4F"/>
    <w:rsid w:val="0042196B"/>
    <w:rsid w:val="004242D3"/>
    <w:rsid w:val="0043520F"/>
    <w:rsid w:val="00437BF2"/>
    <w:rsid w:val="004456FB"/>
    <w:rsid w:val="0044666F"/>
    <w:rsid w:val="00446B62"/>
    <w:rsid w:val="00446E5E"/>
    <w:rsid w:val="004517BB"/>
    <w:rsid w:val="00451C8B"/>
    <w:rsid w:val="00457804"/>
    <w:rsid w:val="00461D37"/>
    <w:rsid w:val="004675B2"/>
    <w:rsid w:val="004716A8"/>
    <w:rsid w:val="00471EEB"/>
    <w:rsid w:val="00473BA1"/>
    <w:rsid w:val="0047694F"/>
    <w:rsid w:val="004771BD"/>
    <w:rsid w:val="004811DD"/>
    <w:rsid w:val="00483BA5"/>
    <w:rsid w:val="0048570E"/>
    <w:rsid w:val="004861E9"/>
    <w:rsid w:val="0049156D"/>
    <w:rsid w:val="00491BD9"/>
    <w:rsid w:val="00492339"/>
    <w:rsid w:val="004927E8"/>
    <w:rsid w:val="00495100"/>
    <w:rsid w:val="00495334"/>
    <w:rsid w:val="0049693C"/>
    <w:rsid w:val="004A47E9"/>
    <w:rsid w:val="004A619A"/>
    <w:rsid w:val="004A656E"/>
    <w:rsid w:val="004A7B7F"/>
    <w:rsid w:val="004B007A"/>
    <w:rsid w:val="004B24BC"/>
    <w:rsid w:val="004B5B23"/>
    <w:rsid w:val="004B7826"/>
    <w:rsid w:val="004C3B0A"/>
    <w:rsid w:val="004C3F6A"/>
    <w:rsid w:val="004C4022"/>
    <w:rsid w:val="004C7AFC"/>
    <w:rsid w:val="004D07E1"/>
    <w:rsid w:val="004D3A19"/>
    <w:rsid w:val="004D44A6"/>
    <w:rsid w:val="004D5FD5"/>
    <w:rsid w:val="004D72BE"/>
    <w:rsid w:val="004E06B4"/>
    <w:rsid w:val="004E5B09"/>
    <w:rsid w:val="004E6360"/>
    <w:rsid w:val="004F1869"/>
    <w:rsid w:val="004F772B"/>
    <w:rsid w:val="004F773A"/>
    <w:rsid w:val="005018B2"/>
    <w:rsid w:val="00506B11"/>
    <w:rsid w:val="00507AC7"/>
    <w:rsid w:val="005136DB"/>
    <w:rsid w:val="005141AA"/>
    <w:rsid w:val="005144BB"/>
    <w:rsid w:val="005156AE"/>
    <w:rsid w:val="00517FE3"/>
    <w:rsid w:val="00521604"/>
    <w:rsid w:val="00523460"/>
    <w:rsid w:val="005246D7"/>
    <w:rsid w:val="005304BF"/>
    <w:rsid w:val="00530BAD"/>
    <w:rsid w:val="005311DC"/>
    <w:rsid w:val="00531804"/>
    <w:rsid w:val="00531A31"/>
    <w:rsid w:val="0053351F"/>
    <w:rsid w:val="005340F8"/>
    <w:rsid w:val="005363C0"/>
    <w:rsid w:val="00536524"/>
    <w:rsid w:val="00541A4D"/>
    <w:rsid w:val="00543EEA"/>
    <w:rsid w:val="00543FB4"/>
    <w:rsid w:val="0054420B"/>
    <w:rsid w:val="00545B29"/>
    <w:rsid w:val="0054703D"/>
    <w:rsid w:val="0055058A"/>
    <w:rsid w:val="00551D9E"/>
    <w:rsid w:val="00551F49"/>
    <w:rsid w:val="0055213B"/>
    <w:rsid w:val="005538A3"/>
    <w:rsid w:val="00555F17"/>
    <w:rsid w:val="0055629E"/>
    <w:rsid w:val="00561515"/>
    <w:rsid w:val="00565AED"/>
    <w:rsid w:val="005674C6"/>
    <w:rsid w:val="00570710"/>
    <w:rsid w:val="00571A5D"/>
    <w:rsid w:val="00572713"/>
    <w:rsid w:val="00572F7C"/>
    <w:rsid w:val="00582592"/>
    <w:rsid w:val="00582B85"/>
    <w:rsid w:val="00583BED"/>
    <w:rsid w:val="005861D3"/>
    <w:rsid w:val="0058645D"/>
    <w:rsid w:val="005866CF"/>
    <w:rsid w:val="00592723"/>
    <w:rsid w:val="00593E72"/>
    <w:rsid w:val="005A299B"/>
    <w:rsid w:val="005A3CCF"/>
    <w:rsid w:val="005A4949"/>
    <w:rsid w:val="005B45E9"/>
    <w:rsid w:val="005B6687"/>
    <w:rsid w:val="005B7833"/>
    <w:rsid w:val="005C048A"/>
    <w:rsid w:val="005C0F3A"/>
    <w:rsid w:val="005C5910"/>
    <w:rsid w:val="005C62BD"/>
    <w:rsid w:val="005C7354"/>
    <w:rsid w:val="005D0C81"/>
    <w:rsid w:val="005D2796"/>
    <w:rsid w:val="005D32EF"/>
    <w:rsid w:val="005D41B8"/>
    <w:rsid w:val="005E205B"/>
    <w:rsid w:val="005E3B23"/>
    <w:rsid w:val="005E5D6A"/>
    <w:rsid w:val="005F2F63"/>
    <w:rsid w:val="005F5DAA"/>
    <w:rsid w:val="005F7DC3"/>
    <w:rsid w:val="00601630"/>
    <w:rsid w:val="00602C62"/>
    <w:rsid w:val="0060598E"/>
    <w:rsid w:val="00606F9D"/>
    <w:rsid w:val="00606FAF"/>
    <w:rsid w:val="00610812"/>
    <w:rsid w:val="00612C23"/>
    <w:rsid w:val="00612D97"/>
    <w:rsid w:val="00621F10"/>
    <w:rsid w:val="00622CEF"/>
    <w:rsid w:val="00626155"/>
    <w:rsid w:val="00630A16"/>
    <w:rsid w:val="00632125"/>
    <w:rsid w:val="00634046"/>
    <w:rsid w:val="006342F7"/>
    <w:rsid w:val="00635248"/>
    <w:rsid w:val="006357AF"/>
    <w:rsid w:val="0064288F"/>
    <w:rsid w:val="00642B84"/>
    <w:rsid w:val="00643DA4"/>
    <w:rsid w:val="00645E36"/>
    <w:rsid w:val="00647F83"/>
    <w:rsid w:val="00650759"/>
    <w:rsid w:val="00652A9A"/>
    <w:rsid w:val="00654B65"/>
    <w:rsid w:val="00654CD0"/>
    <w:rsid w:val="00663119"/>
    <w:rsid w:val="00664E23"/>
    <w:rsid w:val="00672599"/>
    <w:rsid w:val="00672FF2"/>
    <w:rsid w:val="00673CF7"/>
    <w:rsid w:val="00676022"/>
    <w:rsid w:val="00676EEC"/>
    <w:rsid w:val="006806B3"/>
    <w:rsid w:val="00680DA0"/>
    <w:rsid w:val="00683885"/>
    <w:rsid w:val="00683F00"/>
    <w:rsid w:val="00684464"/>
    <w:rsid w:val="006863CA"/>
    <w:rsid w:val="00691F4A"/>
    <w:rsid w:val="00692613"/>
    <w:rsid w:val="006953EF"/>
    <w:rsid w:val="00695D4A"/>
    <w:rsid w:val="00696F20"/>
    <w:rsid w:val="006A3E98"/>
    <w:rsid w:val="006A4060"/>
    <w:rsid w:val="006A5960"/>
    <w:rsid w:val="006B0F7E"/>
    <w:rsid w:val="006B5CDC"/>
    <w:rsid w:val="006B7A98"/>
    <w:rsid w:val="006B7CCD"/>
    <w:rsid w:val="006C2249"/>
    <w:rsid w:val="006C2EC1"/>
    <w:rsid w:val="006C5E8A"/>
    <w:rsid w:val="006D2B37"/>
    <w:rsid w:val="006D3F88"/>
    <w:rsid w:val="006D59CA"/>
    <w:rsid w:val="006E19F6"/>
    <w:rsid w:val="006E200F"/>
    <w:rsid w:val="006E27B9"/>
    <w:rsid w:val="006E4A57"/>
    <w:rsid w:val="006E53C5"/>
    <w:rsid w:val="006E5CE2"/>
    <w:rsid w:val="006E7AB0"/>
    <w:rsid w:val="006F384E"/>
    <w:rsid w:val="006F7366"/>
    <w:rsid w:val="007009C4"/>
    <w:rsid w:val="00701C9B"/>
    <w:rsid w:val="00702CC7"/>
    <w:rsid w:val="007054D6"/>
    <w:rsid w:val="00705DF9"/>
    <w:rsid w:val="00710764"/>
    <w:rsid w:val="007112BE"/>
    <w:rsid w:val="00714469"/>
    <w:rsid w:val="0071555F"/>
    <w:rsid w:val="00720DD1"/>
    <w:rsid w:val="0072226B"/>
    <w:rsid w:val="00725A89"/>
    <w:rsid w:val="007262B9"/>
    <w:rsid w:val="00726935"/>
    <w:rsid w:val="007275FB"/>
    <w:rsid w:val="007326BC"/>
    <w:rsid w:val="00734FB3"/>
    <w:rsid w:val="0073676B"/>
    <w:rsid w:val="0074025A"/>
    <w:rsid w:val="00742B33"/>
    <w:rsid w:val="0074309B"/>
    <w:rsid w:val="00744075"/>
    <w:rsid w:val="00744281"/>
    <w:rsid w:val="0074517E"/>
    <w:rsid w:val="00746191"/>
    <w:rsid w:val="00753629"/>
    <w:rsid w:val="00754BF7"/>
    <w:rsid w:val="00756113"/>
    <w:rsid w:val="0076096D"/>
    <w:rsid w:val="007625BD"/>
    <w:rsid w:val="0076354D"/>
    <w:rsid w:val="00764E8C"/>
    <w:rsid w:val="00765EE9"/>
    <w:rsid w:val="00766D1F"/>
    <w:rsid w:val="0077452F"/>
    <w:rsid w:val="00776976"/>
    <w:rsid w:val="00780723"/>
    <w:rsid w:val="00784F58"/>
    <w:rsid w:val="007856AF"/>
    <w:rsid w:val="0078696C"/>
    <w:rsid w:val="00787C3C"/>
    <w:rsid w:val="00792F7E"/>
    <w:rsid w:val="00793F87"/>
    <w:rsid w:val="00796016"/>
    <w:rsid w:val="00796818"/>
    <w:rsid w:val="007A27A6"/>
    <w:rsid w:val="007A296E"/>
    <w:rsid w:val="007A6853"/>
    <w:rsid w:val="007A7732"/>
    <w:rsid w:val="007B2244"/>
    <w:rsid w:val="007B2418"/>
    <w:rsid w:val="007B5488"/>
    <w:rsid w:val="007B66B2"/>
    <w:rsid w:val="007B6B3D"/>
    <w:rsid w:val="007C0D58"/>
    <w:rsid w:val="007D22D4"/>
    <w:rsid w:val="007E3FE7"/>
    <w:rsid w:val="007E4FC2"/>
    <w:rsid w:val="007E7BB0"/>
    <w:rsid w:val="007F067B"/>
    <w:rsid w:val="007F1D6E"/>
    <w:rsid w:val="007F22B4"/>
    <w:rsid w:val="007F34AB"/>
    <w:rsid w:val="007F3921"/>
    <w:rsid w:val="007F4660"/>
    <w:rsid w:val="008023DE"/>
    <w:rsid w:val="00805701"/>
    <w:rsid w:val="00811E13"/>
    <w:rsid w:val="00814A8E"/>
    <w:rsid w:val="0081713E"/>
    <w:rsid w:val="00820459"/>
    <w:rsid w:val="00820F1B"/>
    <w:rsid w:val="00822DE2"/>
    <w:rsid w:val="00824658"/>
    <w:rsid w:val="008250BE"/>
    <w:rsid w:val="008262D2"/>
    <w:rsid w:val="00826615"/>
    <w:rsid w:val="00830E65"/>
    <w:rsid w:val="008336FD"/>
    <w:rsid w:val="008349EC"/>
    <w:rsid w:val="00834CAD"/>
    <w:rsid w:val="00834DB3"/>
    <w:rsid w:val="008350DC"/>
    <w:rsid w:val="0083781A"/>
    <w:rsid w:val="00840BC9"/>
    <w:rsid w:val="00841A08"/>
    <w:rsid w:val="00843649"/>
    <w:rsid w:val="0084387F"/>
    <w:rsid w:val="0085382A"/>
    <w:rsid w:val="00853F1E"/>
    <w:rsid w:val="008568A2"/>
    <w:rsid w:val="00856BE5"/>
    <w:rsid w:val="008603A2"/>
    <w:rsid w:val="00860ACE"/>
    <w:rsid w:val="00860AEC"/>
    <w:rsid w:val="0086230C"/>
    <w:rsid w:val="00862335"/>
    <w:rsid w:val="00867AB5"/>
    <w:rsid w:val="00867E10"/>
    <w:rsid w:val="00873982"/>
    <w:rsid w:val="00875CAF"/>
    <w:rsid w:val="008824F1"/>
    <w:rsid w:val="00886121"/>
    <w:rsid w:val="00890905"/>
    <w:rsid w:val="00893286"/>
    <w:rsid w:val="00893DB1"/>
    <w:rsid w:val="00893F45"/>
    <w:rsid w:val="00895512"/>
    <w:rsid w:val="00896010"/>
    <w:rsid w:val="00897583"/>
    <w:rsid w:val="008A4ED2"/>
    <w:rsid w:val="008A5826"/>
    <w:rsid w:val="008B5254"/>
    <w:rsid w:val="008C1A61"/>
    <w:rsid w:val="008C57FF"/>
    <w:rsid w:val="008C7B05"/>
    <w:rsid w:val="008D1F5A"/>
    <w:rsid w:val="008D204F"/>
    <w:rsid w:val="008D2394"/>
    <w:rsid w:val="008D3552"/>
    <w:rsid w:val="008D3BAB"/>
    <w:rsid w:val="008D44DD"/>
    <w:rsid w:val="008D5282"/>
    <w:rsid w:val="008E3D09"/>
    <w:rsid w:val="008E49B0"/>
    <w:rsid w:val="008E6A38"/>
    <w:rsid w:val="008F303C"/>
    <w:rsid w:val="00900900"/>
    <w:rsid w:val="0090107B"/>
    <w:rsid w:val="00902619"/>
    <w:rsid w:val="00912413"/>
    <w:rsid w:val="00916148"/>
    <w:rsid w:val="00920275"/>
    <w:rsid w:val="00920675"/>
    <w:rsid w:val="009228E5"/>
    <w:rsid w:val="009236C2"/>
    <w:rsid w:val="00924F1A"/>
    <w:rsid w:val="009332E3"/>
    <w:rsid w:val="0093612D"/>
    <w:rsid w:val="009364DF"/>
    <w:rsid w:val="00940352"/>
    <w:rsid w:val="00942888"/>
    <w:rsid w:val="00944F9B"/>
    <w:rsid w:val="00950F23"/>
    <w:rsid w:val="00951BBC"/>
    <w:rsid w:val="00951DFE"/>
    <w:rsid w:val="009539AB"/>
    <w:rsid w:val="009561F3"/>
    <w:rsid w:val="0095680F"/>
    <w:rsid w:val="00961F49"/>
    <w:rsid w:val="009624B6"/>
    <w:rsid w:val="00963463"/>
    <w:rsid w:val="00964C4E"/>
    <w:rsid w:val="00966EF3"/>
    <w:rsid w:val="00970E59"/>
    <w:rsid w:val="009717FE"/>
    <w:rsid w:val="00972BA3"/>
    <w:rsid w:val="00976768"/>
    <w:rsid w:val="00977F77"/>
    <w:rsid w:val="00980B42"/>
    <w:rsid w:val="0098197D"/>
    <w:rsid w:val="00983134"/>
    <w:rsid w:val="009832D8"/>
    <w:rsid w:val="009930A1"/>
    <w:rsid w:val="00994590"/>
    <w:rsid w:val="00994C16"/>
    <w:rsid w:val="0099679D"/>
    <w:rsid w:val="009A057E"/>
    <w:rsid w:val="009A2429"/>
    <w:rsid w:val="009A25C6"/>
    <w:rsid w:val="009A41E0"/>
    <w:rsid w:val="009A7CEB"/>
    <w:rsid w:val="009B0266"/>
    <w:rsid w:val="009B1358"/>
    <w:rsid w:val="009B2E2A"/>
    <w:rsid w:val="009B5148"/>
    <w:rsid w:val="009B5D3E"/>
    <w:rsid w:val="009C02FD"/>
    <w:rsid w:val="009C03F2"/>
    <w:rsid w:val="009C352F"/>
    <w:rsid w:val="009C45A0"/>
    <w:rsid w:val="009C6A7F"/>
    <w:rsid w:val="009D0C8F"/>
    <w:rsid w:val="009D48EA"/>
    <w:rsid w:val="009D5CFB"/>
    <w:rsid w:val="009D69A0"/>
    <w:rsid w:val="009D7B9D"/>
    <w:rsid w:val="009E1E68"/>
    <w:rsid w:val="009E7E12"/>
    <w:rsid w:val="009F010F"/>
    <w:rsid w:val="00A02EA3"/>
    <w:rsid w:val="00A030EB"/>
    <w:rsid w:val="00A0530C"/>
    <w:rsid w:val="00A11A29"/>
    <w:rsid w:val="00A12BB4"/>
    <w:rsid w:val="00A148E2"/>
    <w:rsid w:val="00A14D64"/>
    <w:rsid w:val="00A15656"/>
    <w:rsid w:val="00A211F0"/>
    <w:rsid w:val="00A30C70"/>
    <w:rsid w:val="00A3168B"/>
    <w:rsid w:val="00A31A1B"/>
    <w:rsid w:val="00A3470A"/>
    <w:rsid w:val="00A34C5A"/>
    <w:rsid w:val="00A4078D"/>
    <w:rsid w:val="00A41EF4"/>
    <w:rsid w:val="00A467B3"/>
    <w:rsid w:val="00A52AB5"/>
    <w:rsid w:val="00A54C54"/>
    <w:rsid w:val="00A557F3"/>
    <w:rsid w:val="00A55BD7"/>
    <w:rsid w:val="00A61B2D"/>
    <w:rsid w:val="00A620FE"/>
    <w:rsid w:val="00A65503"/>
    <w:rsid w:val="00A65E94"/>
    <w:rsid w:val="00A72642"/>
    <w:rsid w:val="00A73B10"/>
    <w:rsid w:val="00A764AC"/>
    <w:rsid w:val="00A7651A"/>
    <w:rsid w:val="00A82CE5"/>
    <w:rsid w:val="00A83455"/>
    <w:rsid w:val="00A87CD2"/>
    <w:rsid w:val="00A87E0D"/>
    <w:rsid w:val="00AA1A3F"/>
    <w:rsid w:val="00AA2870"/>
    <w:rsid w:val="00AA4187"/>
    <w:rsid w:val="00AA4197"/>
    <w:rsid w:val="00AA50F1"/>
    <w:rsid w:val="00AA674A"/>
    <w:rsid w:val="00AA7FC0"/>
    <w:rsid w:val="00AB00B7"/>
    <w:rsid w:val="00AB0C86"/>
    <w:rsid w:val="00AB39BA"/>
    <w:rsid w:val="00AB41CA"/>
    <w:rsid w:val="00AB5F45"/>
    <w:rsid w:val="00AC02B7"/>
    <w:rsid w:val="00AC20AD"/>
    <w:rsid w:val="00AC29A3"/>
    <w:rsid w:val="00AC3765"/>
    <w:rsid w:val="00AC37BD"/>
    <w:rsid w:val="00AC3858"/>
    <w:rsid w:val="00AC40EB"/>
    <w:rsid w:val="00AC62C2"/>
    <w:rsid w:val="00AC7033"/>
    <w:rsid w:val="00AD550C"/>
    <w:rsid w:val="00AD7F19"/>
    <w:rsid w:val="00AE0A7C"/>
    <w:rsid w:val="00AE10E6"/>
    <w:rsid w:val="00AE1774"/>
    <w:rsid w:val="00AE1C26"/>
    <w:rsid w:val="00AE3B56"/>
    <w:rsid w:val="00AF3183"/>
    <w:rsid w:val="00AF5A77"/>
    <w:rsid w:val="00AF5E40"/>
    <w:rsid w:val="00AF7BB2"/>
    <w:rsid w:val="00B00250"/>
    <w:rsid w:val="00B04A10"/>
    <w:rsid w:val="00B056AD"/>
    <w:rsid w:val="00B07422"/>
    <w:rsid w:val="00B10497"/>
    <w:rsid w:val="00B14CEE"/>
    <w:rsid w:val="00B23AC0"/>
    <w:rsid w:val="00B23E75"/>
    <w:rsid w:val="00B24527"/>
    <w:rsid w:val="00B2492B"/>
    <w:rsid w:val="00B25751"/>
    <w:rsid w:val="00B276E4"/>
    <w:rsid w:val="00B3107E"/>
    <w:rsid w:val="00B314FB"/>
    <w:rsid w:val="00B33AB3"/>
    <w:rsid w:val="00B34EBA"/>
    <w:rsid w:val="00B4433A"/>
    <w:rsid w:val="00B44E3E"/>
    <w:rsid w:val="00B4789F"/>
    <w:rsid w:val="00B527CD"/>
    <w:rsid w:val="00B5395D"/>
    <w:rsid w:val="00B561E5"/>
    <w:rsid w:val="00B60EB7"/>
    <w:rsid w:val="00B6181E"/>
    <w:rsid w:val="00B6482E"/>
    <w:rsid w:val="00B65ECC"/>
    <w:rsid w:val="00B66398"/>
    <w:rsid w:val="00B66DCF"/>
    <w:rsid w:val="00B6735A"/>
    <w:rsid w:val="00B67A5F"/>
    <w:rsid w:val="00B70661"/>
    <w:rsid w:val="00B72BD6"/>
    <w:rsid w:val="00B73E77"/>
    <w:rsid w:val="00B749D2"/>
    <w:rsid w:val="00B801CF"/>
    <w:rsid w:val="00B80D34"/>
    <w:rsid w:val="00B83E35"/>
    <w:rsid w:val="00B85066"/>
    <w:rsid w:val="00B86A9E"/>
    <w:rsid w:val="00B87695"/>
    <w:rsid w:val="00B91B57"/>
    <w:rsid w:val="00B97A74"/>
    <w:rsid w:val="00BA07DC"/>
    <w:rsid w:val="00BA3666"/>
    <w:rsid w:val="00BA3DE7"/>
    <w:rsid w:val="00BA43F7"/>
    <w:rsid w:val="00BB1445"/>
    <w:rsid w:val="00BB623E"/>
    <w:rsid w:val="00BC01ED"/>
    <w:rsid w:val="00BC0F5E"/>
    <w:rsid w:val="00BC21D4"/>
    <w:rsid w:val="00BC3B52"/>
    <w:rsid w:val="00BD0ED8"/>
    <w:rsid w:val="00BD24A1"/>
    <w:rsid w:val="00BD25C7"/>
    <w:rsid w:val="00BD30AF"/>
    <w:rsid w:val="00BD69E5"/>
    <w:rsid w:val="00BE1792"/>
    <w:rsid w:val="00BE29CC"/>
    <w:rsid w:val="00BE602C"/>
    <w:rsid w:val="00BF01F5"/>
    <w:rsid w:val="00BF15F9"/>
    <w:rsid w:val="00BF1D1E"/>
    <w:rsid w:val="00BF1D33"/>
    <w:rsid w:val="00BF582F"/>
    <w:rsid w:val="00BF6540"/>
    <w:rsid w:val="00BF6595"/>
    <w:rsid w:val="00BF6BF5"/>
    <w:rsid w:val="00BF7159"/>
    <w:rsid w:val="00BF7689"/>
    <w:rsid w:val="00C021ED"/>
    <w:rsid w:val="00C0397D"/>
    <w:rsid w:val="00C04483"/>
    <w:rsid w:val="00C04C5C"/>
    <w:rsid w:val="00C05EF6"/>
    <w:rsid w:val="00C1018A"/>
    <w:rsid w:val="00C12B3E"/>
    <w:rsid w:val="00C15141"/>
    <w:rsid w:val="00C15518"/>
    <w:rsid w:val="00C15887"/>
    <w:rsid w:val="00C17373"/>
    <w:rsid w:val="00C22390"/>
    <w:rsid w:val="00C22F97"/>
    <w:rsid w:val="00C2473D"/>
    <w:rsid w:val="00C25DE7"/>
    <w:rsid w:val="00C26166"/>
    <w:rsid w:val="00C261B4"/>
    <w:rsid w:val="00C31B76"/>
    <w:rsid w:val="00C325D6"/>
    <w:rsid w:val="00C34694"/>
    <w:rsid w:val="00C37D82"/>
    <w:rsid w:val="00C4291F"/>
    <w:rsid w:val="00C43248"/>
    <w:rsid w:val="00C4633C"/>
    <w:rsid w:val="00C46CF2"/>
    <w:rsid w:val="00C515F2"/>
    <w:rsid w:val="00C52A3C"/>
    <w:rsid w:val="00C538F3"/>
    <w:rsid w:val="00C54564"/>
    <w:rsid w:val="00C5529A"/>
    <w:rsid w:val="00C55323"/>
    <w:rsid w:val="00C56737"/>
    <w:rsid w:val="00C61DA2"/>
    <w:rsid w:val="00C64A36"/>
    <w:rsid w:val="00C65296"/>
    <w:rsid w:val="00C70360"/>
    <w:rsid w:val="00C70CD1"/>
    <w:rsid w:val="00C731E2"/>
    <w:rsid w:val="00C75DE0"/>
    <w:rsid w:val="00C80C66"/>
    <w:rsid w:val="00C85599"/>
    <w:rsid w:val="00C9087A"/>
    <w:rsid w:val="00C90B96"/>
    <w:rsid w:val="00C91697"/>
    <w:rsid w:val="00C9569B"/>
    <w:rsid w:val="00CA00D2"/>
    <w:rsid w:val="00CA0630"/>
    <w:rsid w:val="00CA0916"/>
    <w:rsid w:val="00CB25F7"/>
    <w:rsid w:val="00CB2D79"/>
    <w:rsid w:val="00CB3319"/>
    <w:rsid w:val="00CC035D"/>
    <w:rsid w:val="00CC16E8"/>
    <w:rsid w:val="00CD0455"/>
    <w:rsid w:val="00CD0532"/>
    <w:rsid w:val="00CD277B"/>
    <w:rsid w:val="00CD568A"/>
    <w:rsid w:val="00CD5F17"/>
    <w:rsid w:val="00CE459A"/>
    <w:rsid w:val="00CE7C08"/>
    <w:rsid w:val="00CF18D8"/>
    <w:rsid w:val="00CF2134"/>
    <w:rsid w:val="00CF2373"/>
    <w:rsid w:val="00D00E22"/>
    <w:rsid w:val="00D05FB0"/>
    <w:rsid w:val="00D06AD1"/>
    <w:rsid w:val="00D109E3"/>
    <w:rsid w:val="00D112DF"/>
    <w:rsid w:val="00D15E41"/>
    <w:rsid w:val="00D211E5"/>
    <w:rsid w:val="00D221D9"/>
    <w:rsid w:val="00D268B0"/>
    <w:rsid w:val="00D32386"/>
    <w:rsid w:val="00D357C0"/>
    <w:rsid w:val="00D35818"/>
    <w:rsid w:val="00D35D80"/>
    <w:rsid w:val="00D407D7"/>
    <w:rsid w:val="00D43499"/>
    <w:rsid w:val="00D435BA"/>
    <w:rsid w:val="00D44C65"/>
    <w:rsid w:val="00D46095"/>
    <w:rsid w:val="00D50F8C"/>
    <w:rsid w:val="00D558A1"/>
    <w:rsid w:val="00D5606B"/>
    <w:rsid w:val="00D56469"/>
    <w:rsid w:val="00D5743A"/>
    <w:rsid w:val="00D576E6"/>
    <w:rsid w:val="00D57800"/>
    <w:rsid w:val="00D63E07"/>
    <w:rsid w:val="00D6436C"/>
    <w:rsid w:val="00D64CBB"/>
    <w:rsid w:val="00D72C4A"/>
    <w:rsid w:val="00D83A95"/>
    <w:rsid w:val="00D8560D"/>
    <w:rsid w:val="00D90E97"/>
    <w:rsid w:val="00D940FC"/>
    <w:rsid w:val="00D95D8F"/>
    <w:rsid w:val="00D964BE"/>
    <w:rsid w:val="00DA3426"/>
    <w:rsid w:val="00DA4575"/>
    <w:rsid w:val="00DB17CD"/>
    <w:rsid w:val="00DB34FA"/>
    <w:rsid w:val="00DB3FF7"/>
    <w:rsid w:val="00DB58D5"/>
    <w:rsid w:val="00DC195F"/>
    <w:rsid w:val="00DC1FDC"/>
    <w:rsid w:val="00DC2699"/>
    <w:rsid w:val="00DC2BE0"/>
    <w:rsid w:val="00DD61F2"/>
    <w:rsid w:val="00DE0911"/>
    <w:rsid w:val="00DE246C"/>
    <w:rsid w:val="00DE3EA7"/>
    <w:rsid w:val="00DE5098"/>
    <w:rsid w:val="00DE5281"/>
    <w:rsid w:val="00DE5511"/>
    <w:rsid w:val="00DF0F68"/>
    <w:rsid w:val="00DF6407"/>
    <w:rsid w:val="00E00374"/>
    <w:rsid w:val="00E037F0"/>
    <w:rsid w:val="00E05AF1"/>
    <w:rsid w:val="00E07091"/>
    <w:rsid w:val="00E108AD"/>
    <w:rsid w:val="00E13168"/>
    <w:rsid w:val="00E14D27"/>
    <w:rsid w:val="00E16842"/>
    <w:rsid w:val="00E22580"/>
    <w:rsid w:val="00E23DC5"/>
    <w:rsid w:val="00E249CE"/>
    <w:rsid w:val="00E304B6"/>
    <w:rsid w:val="00E340ED"/>
    <w:rsid w:val="00E3735A"/>
    <w:rsid w:val="00E40431"/>
    <w:rsid w:val="00E430F9"/>
    <w:rsid w:val="00E43159"/>
    <w:rsid w:val="00E43192"/>
    <w:rsid w:val="00E450FC"/>
    <w:rsid w:val="00E47B86"/>
    <w:rsid w:val="00E62688"/>
    <w:rsid w:val="00E62A97"/>
    <w:rsid w:val="00E62D87"/>
    <w:rsid w:val="00E704E5"/>
    <w:rsid w:val="00E72877"/>
    <w:rsid w:val="00E739CC"/>
    <w:rsid w:val="00E73A88"/>
    <w:rsid w:val="00E73FDE"/>
    <w:rsid w:val="00E77AA3"/>
    <w:rsid w:val="00E817F6"/>
    <w:rsid w:val="00E81E72"/>
    <w:rsid w:val="00E823E6"/>
    <w:rsid w:val="00E830D0"/>
    <w:rsid w:val="00E8491E"/>
    <w:rsid w:val="00E90ECE"/>
    <w:rsid w:val="00E924E6"/>
    <w:rsid w:val="00E9508E"/>
    <w:rsid w:val="00EA5924"/>
    <w:rsid w:val="00EB33BD"/>
    <w:rsid w:val="00EB606F"/>
    <w:rsid w:val="00EB66FD"/>
    <w:rsid w:val="00EC0EFB"/>
    <w:rsid w:val="00EC1451"/>
    <w:rsid w:val="00EC2901"/>
    <w:rsid w:val="00ED6210"/>
    <w:rsid w:val="00ED7001"/>
    <w:rsid w:val="00ED7172"/>
    <w:rsid w:val="00EE0409"/>
    <w:rsid w:val="00EE3186"/>
    <w:rsid w:val="00EF028F"/>
    <w:rsid w:val="00EF4D9E"/>
    <w:rsid w:val="00EF613F"/>
    <w:rsid w:val="00F03540"/>
    <w:rsid w:val="00F06F31"/>
    <w:rsid w:val="00F11C6A"/>
    <w:rsid w:val="00F13F81"/>
    <w:rsid w:val="00F14D6C"/>
    <w:rsid w:val="00F17603"/>
    <w:rsid w:val="00F231A5"/>
    <w:rsid w:val="00F24389"/>
    <w:rsid w:val="00F27569"/>
    <w:rsid w:val="00F27C19"/>
    <w:rsid w:val="00F30278"/>
    <w:rsid w:val="00F30334"/>
    <w:rsid w:val="00F30699"/>
    <w:rsid w:val="00F30C7A"/>
    <w:rsid w:val="00F31718"/>
    <w:rsid w:val="00F341B7"/>
    <w:rsid w:val="00F34395"/>
    <w:rsid w:val="00F350E7"/>
    <w:rsid w:val="00F37F76"/>
    <w:rsid w:val="00F419A8"/>
    <w:rsid w:val="00F52D7A"/>
    <w:rsid w:val="00F61200"/>
    <w:rsid w:val="00F65192"/>
    <w:rsid w:val="00F70719"/>
    <w:rsid w:val="00F71C5A"/>
    <w:rsid w:val="00F73B5E"/>
    <w:rsid w:val="00F7581B"/>
    <w:rsid w:val="00F800C2"/>
    <w:rsid w:val="00F820FF"/>
    <w:rsid w:val="00F85121"/>
    <w:rsid w:val="00F87097"/>
    <w:rsid w:val="00F879B7"/>
    <w:rsid w:val="00F9005C"/>
    <w:rsid w:val="00F90B74"/>
    <w:rsid w:val="00F92F62"/>
    <w:rsid w:val="00F96738"/>
    <w:rsid w:val="00F978CA"/>
    <w:rsid w:val="00FA274F"/>
    <w:rsid w:val="00FA3BB5"/>
    <w:rsid w:val="00FA462B"/>
    <w:rsid w:val="00FA57DD"/>
    <w:rsid w:val="00FB16C6"/>
    <w:rsid w:val="00FB382A"/>
    <w:rsid w:val="00FB41CF"/>
    <w:rsid w:val="00FB5079"/>
    <w:rsid w:val="00FC1217"/>
    <w:rsid w:val="00FC24C1"/>
    <w:rsid w:val="00FC28BC"/>
    <w:rsid w:val="00FC2B99"/>
    <w:rsid w:val="00FC737F"/>
    <w:rsid w:val="00FC7613"/>
    <w:rsid w:val="00FD1868"/>
    <w:rsid w:val="00FD2505"/>
    <w:rsid w:val="00FE0541"/>
    <w:rsid w:val="00FE134C"/>
    <w:rsid w:val="00FE4C94"/>
    <w:rsid w:val="00FE572A"/>
    <w:rsid w:val="00FE5D51"/>
    <w:rsid w:val="00FE7641"/>
    <w:rsid w:val="00FF37E9"/>
    <w:rsid w:val="00FF4976"/>
    <w:rsid w:val="00FF6EE2"/>
    <w:rsid w:val="00FF6F6A"/>
    <w:rsid w:val="08122365"/>
    <w:rsid w:val="1030F1CD"/>
    <w:rsid w:val="12906092"/>
    <w:rsid w:val="165238DB"/>
    <w:rsid w:val="1A8D66C1"/>
    <w:rsid w:val="1DBF4947"/>
    <w:rsid w:val="1F112B77"/>
    <w:rsid w:val="1FA707E2"/>
    <w:rsid w:val="2083C6D4"/>
    <w:rsid w:val="2193DCA5"/>
    <w:rsid w:val="21B2C192"/>
    <w:rsid w:val="21FA3F39"/>
    <w:rsid w:val="2220DB9C"/>
    <w:rsid w:val="223BAEC2"/>
    <w:rsid w:val="2304251F"/>
    <w:rsid w:val="266265D9"/>
    <w:rsid w:val="2876A24E"/>
    <w:rsid w:val="288EBB29"/>
    <w:rsid w:val="29425EDC"/>
    <w:rsid w:val="2DF4552F"/>
    <w:rsid w:val="330D0F6D"/>
    <w:rsid w:val="3473261D"/>
    <w:rsid w:val="38131DCB"/>
    <w:rsid w:val="38EC03D9"/>
    <w:rsid w:val="3B5C6562"/>
    <w:rsid w:val="419E1058"/>
    <w:rsid w:val="430B608E"/>
    <w:rsid w:val="4331740A"/>
    <w:rsid w:val="4421F4A2"/>
    <w:rsid w:val="45DD478D"/>
    <w:rsid w:val="45EDCC64"/>
    <w:rsid w:val="48469969"/>
    <w:rsid w:val="4DCCE48E"/>
    <w:rsid w:val="52AE507D"/>
    <w:rsid w:val="568CA789"/>
    <w:rsid w:val="572FDCE5"/>
    <w:rsid w:val="57BD1278"/>
    <w:rsid w:val="58378D22"/>
    <w:rsid w:val="5843E06E"/>
    <w:rsid w:val="5C7AD931"/>
    <w:rsid w:val="607F4F77"/>
    <w:rsid w:val="61404A10"/>
    <w:rsid w:val="633A1259"/>
    <w:rsid w:val="64420F80"/>
    <w:rsid w:val="65522531"/>
    <w:rsid w:val="67B5C888"/>
    <w:rsid w:val="68297081"/>
    <w:rsid w:val="69343AA3"/>
    <w:rsid w:val="696AF6C6"/>
    <w:rsid w:val="6B454317"/>
    <w:rsid w:val="6C21F19F"/>
    <w:rsid w:val="6D7E0FF8"/>
    <w:rsid w:val="75797B38"/>
    <w:rsid w:val="763DC7BB"/>
    <w:rsid w:val="79291D7C"/>
    <w:rsid w:val="7F0FC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3D7A"/>
  <w15:chartTrackingRefBased/>
  <w15:docId w15:val="{2C2BD981-DBED-478F-AA61-39DC0DC4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3E"/>
    <w:pPr>
      <w:spacing w:before="120" w:after="120"/>
    </w:pPr>
    <w:rPr>
      <w:rFonts w:asciiTheme="minorHAnsi" w:hAnsiTheme="minorHAnsi" w:cstheme="minorHAnsi"/>
      <w:sz w:val="22"/>
      <w:szCs w:val="22"/>
    </w:rPr>
  </w:style>
  <w:style w:type="paragraph" w:styleId="Heading1">
    <w:name w:val="heading 1"/>
    <w:basedOn w:val="Normal"/>
    <w:next w:val="Normal"/>
    <w:link w:val="Heading1Char"/>
    <w:uiPriority w:val="9"/>
    <w:qFormat/>
    <w:rsid w:val="003F7D75"/>
    <w:pPr>
      <w:keepNext/>
      <w:keepLines/>
      <w:spacing w:before="240" w:after="0"/>
      <w:ind w:left="1418" w:right="1418"/>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6023E"/>
    <w:pPr>
      <w:keepNext/>
      <w:keepLines/>
      <w:spacing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4078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0F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F1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023E"/>
    <w:rPr>
      <w:rFonts w:asciiTheme="minorHAnsi" w:eastAsiaTheme="majorEastAsia" w:hAnsiTheme="minorHAnsi" w:cstheme="majorBidi"/>
      <w:b/>
      <w:szCs w:val="26"/>
    </w:rPr>
  </w:style>
  <w:style w:type="character" w:customStyle="1" w:styleId="Heading1Char">
    <w:name w:val="Heading 1 Char"/>
    <w:basedOn w:val="DefaultParagraphFont"/>
    <w:link w:val="Heading1"/>
    <w:uiPriority w:val="9"/>
    <w:rsid w:val="003F7D75"/>
    <w:rPr>
      <w:rFonts w:asciiTheme="majorHAnsi" w:eastAsiaTheme="majorEastAsia" w:hAnsiTheme="majorHAnsi" w:cstheme="majorBidi"/>
      <w:b/>
      <w:bCs/>
      <w:sz w:val="32"/>
      <w:szCs w:val="32"/>
    </w:rPr>
  </w:style>
  <w:style w:type="character" w:styleId="CommentReference">
    <w:name w:val="annotation reference"/>
    <w:uiPriority w:val="99"/>
    <w:semiHidden/>
    <w:rsid w:val="00734FB3"/>
    <w:rPr>
      <w:sz w:val="16"/>
      <w:szCs w:val="16"/>
    </w:rPr>
  </w:style>
  <w:style w:type="paragraph" w:styleId="CommentText">
    <w:name w:val="annotation text"/>
    <w:basedOn w:val="Normal"/>
    <w:link w:val="CommentTextChar"/>
    <w:uiPriority w:val="99"/>
    <w:rsid w:val="00734FB3"/>
    <w:pPr>
      <w:spacing w:after="0"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734FB3"/>
    <w:rPr>
      <w:rFonts w:eastAsia="Times New Roman"/>
      <w:sz w:val="20"/>
      <w:szCs w:val="20"/>
      <w:lang w:eastAsia="en-AU"/>
    </w:rPr>
  </w:style>
  <w:style w:type="paragraph" w:styleId="ListParagraph">
    <w:name w:val="List Paragraph"/>
    <w:basedOn w:val="Normal"/>
    <w:uiPriority w:val="34"/>
    <w:qFormat/>
    <w:rsid w:val="00875CAF"/>
    <w:pPr>
      <w:ind w:left="720"/>
      <w:contextualSpacing/>
    </w:pPr>
  </w:style>
  <w:style w:type="paragraph" w:styleId="CommentSubject">
    <w:name w:val="annotation subject"/>
    <w:basedOn w:val="CommentText"/>
    <w:next w:val="CommentText"/>
    <w:link w:val="CommentSubjectChar"/>
    <w:uiPriority w:val="99"/>
    <w:semiHidden/>
    <w:unhideWhenUsed/>
    <w:rsid w:val="00D940FC"/>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D940FC"/>
    <w:rPr>
      <w:rFonts w:eastAsia="Times New Roman"/>
      <w:b/>
      <w:bCs/>
      <w:sz w:val="20"/>
      <w:szCs w:val="20"/>
      <w:lang w:eastAsia="en-AU"/>
    </w:rPr>
  </w:style>
  <w:style w:type="character" w:customStyle="1" w:styleId="Heading3Char">
    <w:name w:val="Heading 3 Char"/>
    <w:basedOn w:val="DefaultParagraphFont"/>
    <w:link w:val="Heading3"/>
    <w:uiPriority w:val="9"/>
    <w:rsid w:val="00A4078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6023E"/>
    <w:pPr>
      <w:tabs>
        <w:tab w:val="center" w:pos="4513"/>
        <w:tab w:val="right" w:pos="9026"/>
      </w:tabs>
      <w:spacing w:after="0" w:line="240" w:lineRule="auto"/>
      <w:jc w:val="center"/>
    </w:pPr>
  </w:style>
  <w:style w:type="character" w:customStyle="1" w:styleId="HeaderChar">
    <w:name w:val="Header Char"/>
    <w:basedOn w:val="DefaultParagraphFont"/>
    <w:link w:val="Header"/>
    <w:uiPriority w:val="99"/>
    <w:rsid w:val="0016023E"/>
    <w:rPr>
      <w:rFonts w:asciiTheme="minorHAnsi" w:hAnsiTheme="minorHAnsi" w:cstheme="minorHAnsi"/>
      <w:sz w:val="22"/>
      <w:szCs w:val="22"/>
    </w:rPr>
  </w:style>
  <w:style w:type="paragraph" w:styleId="Footer">
    <w:name w:val="footer"/>
    <w:basedOn w:val="Normal"/>
    <w:link w:val="FooterChar"/>
    <w:uiPriority w:val="99"/>
    <w:unhideWhenUsed/>
    <w:rsid w:val="00A40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78D"/>
  </w:style>
  <w:style w:type="paragraph" w:styleId="NormalWeb">
    <w:name w:val="Normal (Web)"/>
    <w:basedOn w:val="Normal"/>
    <w:uiPriority w:val="99"/>
    <w:semiHidden/>
    <w:unhideWhenUsed/>
    <w:rsid w:val="00287670"/>
    <w:pPr>
      <w:spacing w:before="100" w:beforeAutospacing="1" w:after="100" w:afterAutospacing="1" w:line="240" w:lineRule="auto"/>
    </w:pPr>
    <w:rPr>
      <w:rFonts w:eastAsia="Times New Roman"/>
      <w:lang w:eastAsia="en-AU"/>
    </w:rPr>
  </w:style>
  <w:style w:type="paragraph" w:styleId="Revision">
    <w:name w:val="Revision"/>
    <w:hidden/>
    <w:uiPriority w:val="99"/>
    <w:semiHidden/>
    <w:rsid w:val="009717FE"/>
    <w:pPr>
      <w:spacing w:after="0" w:line="240" w:lineRule="auto"/>
    </w:pPr>
  </w:style>
  <w:style w:type="paragraph" w:customStyle="1" w:styleId="Default">
    <w:name w:val="Default"/>
    <w:rsid w:val="00543EEA"/>
    <w:pPr>
      <w:autoSpaceDE w:val="0"/>
      <w:autoSpaceDN w:val="0"/>
      <w:adjustRightInd w:val="0"/>
      <w:spacing w:after="0" w:line="240" w:lineRule="auto"/>
    </w:pPr>
    <w:rPr>
      <w:rFonts w:ascii="Fira Sans Light" w:hAnsi="Fira Sans Light" w:cs="Fira Sans Light"/>
      <w:color w:val="000000"/>
    </w:rPr>
  </w:style>
  <w:style w:type="paragraph" w:styleId="FootnoteText">
    <w:name w:val="footnote text"/>
    <w:basedOn w:val="Normal"/>
    <w:link w:val="FootnoteTextChar"/>
    <w:uiPriority w:val="99"/>
    <w:semiHidden/>
    <w:unhideWhenUsed/>
    <w:rsid w:val="00950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F23"/>
    <w:rPr>
      <w:sz w:val="20"/>
      <w:szCs w:val="20"/>
    </w:rPr>
  </w:style>
  <w:style w:type="character" w:styleId="FootnoteReference">
    <w:name w:val="footnote reference"/>
    <w:basedOn w:val="DefaultParagraphFont"/>
    <w:uiPriority w:val="99"/>
    <w:semiHidden/>
    <w:unhideWhenUsed/>
    <w:rsid w:val="00950F23"/>
    <w:rPr>
      <w:vertAlign w:val="superscript"/>
    </w:rPr>
  </w:style>
  <w:style w:type="character" w:styleId="Hyperlink">
    <w:name w:val="Hyperlink"/>
    <w:basedOn w:val="DefaultParagraphFont"/>
    <w:uiPriority w:val="99"/>
    <w:unhideWhenUsed/>
    <w:rsid w:val="00811E13"/>
    <w:rPr>
      <w:color w:val="0563C1" w:themeColor="hyperlink"/>
      <w:u w:val="single"/>
    </w:rPr>
  </w:style>
  <w:style w:type="character" w:styleId="UnresolvedMention">
    <w:name w:val="Unresolved Mention"/>
    <w:basedOn w:val="DefaultParagraphFont"/>
    <w:uiPriority w:val="99"/>
    <w:semiHidden/>
    <w:unhideWhenUsed/>
    <w:rsid w:val="0081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718">
      <w:bodyDiv w:val="1"/>
      <w:marLeft w:val="0"/>
      <w:marRight w:val="0"/>
      <w:marTop w:val="0"/>
      <w:marBottom w:val="0"/>
      <w:divBdr>
        <w:top w:val="none" w:sz="0" w:space="0" w:color="auto"/>
        <w:left w:val="none" w:sz="0" w:space="0" w:color="auto"/>
        <w:bottom w:val="none" w:sz="0" w:space="0" w:color="auto"/>
        <w:right w:val="none" w:sz="0" w:space="0" w:color="auto"/>
      </w:divBdr>
    </w:div>
    <w:div w:id="399449501">
      <w:bodyDiv w:val="1"/>
      <w:marLeft w:val="0"/>
      <w:marRight w:val="0"/>
      <w:marTop w:val="0"/>
      <w:marBottom w:val="0"/>
      <w:divBdr>
        <w:top w:val="none" w:sz="0" w:space="0" w:color="auto"/>
        <w:left w:val="none" w:sz="0" w:space="0" w:color="auto"/>
        <w:bottom w:val="none" w:sz="0" w:space="0" w:color="auto"/>
        <w:right w:val="none" w:sz="0" w:space="0" w:color="auto"/>
      </w:divBdr>
    </w:div>
    <w:div w:id="456873092">
      <w:bodyDiv w:val="1"/>
      <w:marLeft w:val="0"/>
      <w:marRight w:val="0"/>
      <w:marTop w:val="0"/>
      <w:marBottom w:val="0"/>
      <w:divBdr>
        <w:top w:val="none" w:sz="0" w:space="0" w:color="auto"/>
        <w:left w:val="none" w:sz="0" w:space="0" w:color="auto"/>
        <w:bottom w:val="none" w:sz="0" w:space="0" w:color="auto"/>
        <w:right w:val="none" w:sz="0" w:space="0" w:color="auto"/>
      </w:divBdr>
    </w:div>
    <w:div w:id="637347410">
      <w:bodyDiv w:val="1"/>
      <w:marLeft w:val="0"/>
      <w:marRight w:val="0"/>
      <w:marTop w:val="0"/>
      <w:marBottom w:val="0"/>
      <w:divBdr>
        <w:top w:val="none" w:sz="0" w:space="0" w:color="auto"/>
        <w:left w:val="none" w:sz="0" w:space="0" w:color="auto"/>
        <w:bottom w:val="none" w:sz="0" w:space="0" w:color="auto"/>
        <w:right w:val="none" w:sz="0" w:space="0" w:color="auto"/>
      </w:divBdr>
    </w:div>
    <w:div w:id="726608462">
      <w:bodyDiv w:val="1"/>
      <w:marLeft w:val="0"/>
      <w:marRight w:val="0"/>
      <w:marTop w:val="0"/>
      <w:marBottom w:val="0"/>
      <w:divBdr>
        <w:top w:val="none" w:sz="0" w:space="0" w:color="auto"/>
        <w:left w:val="none" w:sz="0" w:space="0" w:color="auto"/>
        <w:bottom w:val="none" w:sz="0" w:space="0" w:color="auto"/>
        <w:right w:val="none" w:sz="0" w:space="0" w:color="auto"/>
      </w:divBdr>
    </w:div>
    <w:div w:id="1294218268">
      <w:bodyDiv w:val="1"/>
      <w:marLeft w:val="0"/>
      <w:marRight w:val="0"/>
      <w:marTop w:val="0"/>
      <w:marBottom w:val="0"/>
      <w:divBdr>
        <w:top w:val="none" w:sz="0" w:space="0" w:color="auto"/>
        <w:left w:val="none" w:sz="0" w:space="0" w:color="auto"/>
        <w:bottom w:val="none" w:sz="0" w:space="0" w:color="auto"/>
        <w:right w:val="none" w:sz="0" w:space="0" w:color="auto"/>
      </w:divBdr>
    </w:div>
    <w:div w:id="14254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21" ma:contentTypeDescription="Create a new document." ma:contentTypeScope="" ma:versionID="c4000355bad4b0ab69910cf1be8602d6">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50131140904e0c48ee46b0a926231aa8"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96c8b9-0522-4152-8c0c-53cd8979cf1f}"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bf5690-dfa9-46aa-9761-8b851342f711">
      <Terms xmlns="http://schemas.microsoft.com/office/infopath/2007/PartnerControls"/>
    </lcf76f155ced4ddcb4097134ff3c332f>
    <TaxCatchAll xmlns="d48bfc06-5762-4cfb-85f8-969387ebc8ab" xsi:nil="true"/>
  </documentManagement>
</p:properties>
</file>

<file path=customXml/itemProps1.xml><?xml version="1.0" encoding="utf-8"?>
<ds:datastoreItem xmlns:ds="http://schemas.openxmlformats.org/officeDocument/2006/customXml" ds:itemID="{957CBDAE-9D5F-4895-83F8-FB8C75AAC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EEF25-FCE2-4595-BF08-6AA0F0D410D5}">
  <ds:schemaRefs>
    <ds:schemaRef ds:uri="http://schemas.microsoft.com/sharepoint/v3/contenttype/forms"/>
  </ds:schemaRefs>
</ds:datastoreItem>
</file>

<file path=customXml/itemProps3.xml><?xml version="1.0" encoding="utf-8"?>
<ds:datastoreItem xmlns:ds="http://schemas.openxmlformats.org/officeDocument/2006/customXml" ds:itemID="{CFC52C17-BD05-437D-94AA-5870EFA58CBE}">
  <ds:schemaRefs>
    <ds:schemaRef ds:uri="http://schemas.openxmlformats.org/officeDocument/2006/bibliography"/>
  </ds:schemaRefs>
</ds:datastoreItem>
</file>

<file path=customXml/itemProps4.xml><?xml version="1.0" encoding="utf-8"?>
<ds:datastoreItem xmlns:ds="http://schemas.openxmlformats.org/officeDocument/2006/customXml" ds:itemID="{DC6B6B86-6EA9-4333-964D-55E188439C4E}">
  <ds:schemaRefs>
    <ds:schemaRef ds:uri="http://schemas.microsoft.com/office/2006/metadata/properties"/>
    <ds:schemaRef ds:uri="http://schemas.microsoft.com/office/infopath/2007/PartnerControls"/>
    <ds:schemaRef ds:uri="0ebf5690-dfa9-46aa-9761-8b851342f711"/>
    <ds:schemaRef ds:uri="d48bfc06-5762-4cfb-85f8-969387ebc8a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1518</Words>
  <Characters>8835</Characters>
  <Application>Microsoft Office Word</Application>
  <DocSecurity>0</DocSecurity>
  <Lines>128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Links>
    <vt:vector size="12" baseType="variant">
      <vt:variant>
        <vt:i4>1703982</vt:i4>
      </vt:variant>
      <vt:variant>
        <vt:i4>3</vt:i4>
      </vt:variant>
      <vt:variant>
        <vt:i4>0</vt:i4>
      </vt:variant>
      <vt:variant>
        <vt:i4>5</vt:i4>
      </vt:variant>
      <vt:variant>
        <vt:lpwstr>mailto:Timothy.Yap@agedcarequality.gov.au</vt:lpwstr>
      </vt:variant>
      <vt:variant>
        <vt:lpwstr/>
      </vt:variant>
      <vt:variant>
        <vt:i4>4849787</vt:i4>
      </vt:variant>
      <vt:variant>
        <vt:i4>0</vt:i4>
      </vt:variant>
      <vt:variant>
        <vt:i4>0</vt:i4>
      </vt:variant>
      <vt:variant>
        <vt:i4>5</vt:i4>
      </vt:variant>
      <vt:variant>
        <vt:lpwstr>mailto:Mel.Metz@agedcarequality.gov.au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to the Aged Care Quality and Safety Commission 2025–26</dc:title>
  <dc:subject>Aged care</dc:subject>
  <dc:creator>Australian Government Department of Health, Disability and Ageing</dc:creator>
  <cp:keywords>Aged care</cp:keywords>
  <dc:description/>
  <cp:lastModifiedBy>MASCHKE, Elvia</cp:lastModifiedBy>
  <cp:revision>10</cp:revision>
  <dcterms:created xsi:type="dcterms:W3CDTF">2025-05-26T03:53:00Z</dcterms:created>
  <dcterms:modified xsi:type="dcterms:W3CDTF">2025-06-20T04:13:00Z</dcterms:modified>
  <cp:category/>
</cp:coreProperties>
</file>