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A16A" w14:textId="52FEDAD5" w:rsidR="00633714" w:rsidRPr="00445A0C" w:rsidRDefault="00633714" w:rsidP="00445A0C">
      <w:pPr>
        <w:pStyle w:val="Title"/>
      </w:pPr>
      <w:r w:rsidRPr="00445A0C">
        <w:t xml:space="preserve">Schedule of </w:t>
      </w:r>
      <w:r w:rsidR="0057160C" w:rsidRPr="00445A0C">
        <w:t>f</w:t>
      </w:r>
      <w:r w:rsidRPr="00445A0C">
        <w:t xml:space="preserve">ees and </w:t>
      </w:r>
      <w:r w:rsidR="0057160C" w:rsidRPr="00445A0C">
        <w:t>c</w:t>
      </w:r>
      <w:r w:rsidRPr="00445A0C">
        <w:t xml:space="preserve">harges for </w:t>
      </w:r>
      <w:r w:rsidR="0057160C" w:rsidRPr="00445A0C">
        <w:t>r</w:t>
      </w:r>
      <w:r w:rsidRPr="00445A0C">
        <w:t xml:space="preserve">esidential and </w:t>
      </w:r>
      <w:r w:rsidR="0057160C" w:rsidRPr="00445A0C">
        <w:t>h</w:t>
      </w:r>
      <w:r w:rsidRPr="00445A0C">
        <w:t xml:space="preserve">ome </w:t>
      </w:r>
      <w:r w:rsidR="0057160C" w:rsidRPr="00445A0C">
        <w:t>c</w:t>
      </w:r>
      <w:r w:rsidRPr="00445A0C">
        <w:t>are</w:t>
      </w:r>
      <w:r w:rsidR="00445A0C" w:rsidRPr="00445A0C">
        <w:t xml:space="preserve"> </w:t>
      </w:r>
      <w:r w:rsidR="0057160C" w:rsidRPr="00445A0C">
        <w:t>f</w:t>
      </w:r>
      <w:r w:rsidRPr="00445A0C">
        <w:t xml:space="preserve">rom </w:t>
      </w:r>
      <w:r w:rsidR="00AC7590" w:rsidRPr="00445A0C">
        <w:t>1 July</w:t>
      </w:r>
      <w:r w:rsidR="00897FDB" w:rsidRPr="00445A0C">
        <w:t xml:space="preserve"> </w:t>
      </w:r>
      <w:r w:rsidR="007F1B00" w:rsidRPr="00445A0C">
        <w:t>2025</w:t>
      </w:r>
    </w:p>
    <w:p w14:paraId="575A20C5" w14:textId="77777777" w:rsidR="00633714" w:rsidRDefault="00000000"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A03D9F" w:rsidRPr="00865275" w14:paraId="6C04692C" w14:textId="77777777" w:rsidTr="008A1A60">
        <w:trPr>
          <w:trHeight w:val="317"/>
        </w:trPr>
        <w:tc>
          <w:tcPr>
            <w:tcW w:w="6091" w:type="dxa"/>
            <w:vAlign w:val="center"/>
          </w:tcPr>
          <w:p w14:paraId="45B23BEA" w14:textId="67616443" w:rsidR="00A03D9F" w:rsidRPr="003B2994" w:rsidRDefault="00A03D9F" w:rsidP="00A03D9F">
            <w:r w:rsidRPr="003B2994">
              <w:t xml:space="preserve">Home </w:t>
            </w:r>
            <w:r>
              <w:t>c</w:t>
            </w:r>
            <w:r w:rsidRPr="003B2994">
              <w:t xml:space="preserve">are - </w:t>
            </w:r>
            <w:r>
              <w:t>l</w:t>
            </w:r>
            <w:r w:rsidRPr="003B2994">
              <w:t xml:space="preserve">evel </w:t>
            </w:r>
            <w:r>
              <w:t>1 package</w:t>
            </w:r>
          </w:p>
        </w:tc>
        <w:tc>
          <w:tcPr>
            <w:tcW w:w="3260" w:type="dxa"/>
            <w:vAlign w:val="center"/>
          </w:tcPr>
          <w:p w14:paraId="61B15B32" w14:textId="12D07D9D" w:rsidR="00A03D9F" w:rsidRPr="00865275" w:rsidRDefault="00E048C3" w:rsidP="008A1A60">
            <w:pPr>
              <w:jc w:val="center"/>
              <w:rPr>
                <w:rFonts w:cs="Arial"/>
                <w:color w:val="000000"/>
              </w:rPr>
            </w:pPr>
            <w:r>
              <w:t>$11.77</w:t>
            </w:r>
          </w:p>
        </w:tc>
      </w:tr>
      <w:tr w:rsidR="00A03D9F" w:rsidRPr="00865275" w14:paraId="3436FC60" w14:textId="77777777" w:rsidTr="008A1A60">
        <w:trPr>
          <w:trHeight w:val="317"/>
        </w:trPr>
        <w:tc>
          <w:tcPr>
            <w:tcW w:w="6091" w:type="dxa"/>
            <w:vAlign w:val="center"/>
          </w:tcPr>
          <w:p w14:paraId="0043BF4A" w14:textId="0B61D684" w:rsidR="00A03D9F" w:rsidRPr="003B2994" w:rsidRDefault="00A03D9F" w:rsidP="00A03D9F">
            <w:r w:rsidRPr="003B2994">
              <w:t xml:space="preserve">Home </w:t>
            </w:r>
            <w:r>
              <w:t>c</w:t>
            </w:r>
            <w:r w:rsidRPr="003B2994">
              <w:t xml:space="preserve">are - </w:t>
            </w:r>
            <w:r>
              <w:t>l</w:t>
            </w:r>
            <w:r w:rsidRPr="003B2994">
              <w:t xml:space="preserve">evel </w:t>
            </w:r>
            <w:r>
              <w:t>2 package</w:t>
            </w:r>
          </w:p>
        </w:tc>
        <w:tc>
          <w:tcPr>
            <w:tcW w:w="3260" w:type="dxa"/>
            <w:vAlign w:val="center"/>
          </w:tcPr>
          <w:p w14:paraId="420E2890" w14:textId="4F956B18" w:rsidR="00A03D9F" w:rsidRPr="00865275" w:rsidRDefault="00E048C3" w:rsidP="008A1A60">
            <w:pPr>
              <w:jc w:val="center"/>
              <w:rPr>
                <w:rFonts w:cs="Arial"/>
                <w:color w:val="000000"/>
              </w:rPr>
            </w:pPr>
            <w:r>
              <w:t>$12.45</w:t>
            </w:r>
          </w:p>
        </w:tc>
      </w:tr>
      <w:tr w:rsidR="00A03D9F" w:rsidRPr="00865275" w14:paraId="4840EE33" w14:textId="77777777" w:rsidTr="008A1A60">
        <w:trPr>
          <w:trHeight w:val="317"/>
        </w:trPr>
        <w:tc>
          <w:tcPr>
            <w:tcW w:w="6091" w:type="dxa"/>
            <w:vAlign w:val="center"/>
          </w:tcPr>
          <w:p w14:paraId="3C7CAB7E" w14:textId="20539C19" w:rsidR="00A03D9F" w:rsidRPr="003B2994" w:rsidRDefault="00A03D9F" w:rsidP="00A03D9F">
            <w:r w:rsidRPr="003B2994">
              <w:t xml:space="preserve">Home </w:t>
            </w:r>
            <w:r>
              <w:t>c</w:t>
            </w:r>
            <w:r w:rsidRPr="003B2994">
              <w:t xml:space="preserve">are - </w:t>
            </w:r>
            <w:r>
              <w:t>l</w:t>
            </w:r>
            <w:r w:rsidRPr="003B2994">
              <w:t xml:space="preserve">evel </w:t>
            </w:r>
            <w:r>
              <w:t>3 package</w:t>
            </w:r>
          </w:p>
        </w:tc>
        <w:tc>
          <w:tcPr>
            <w:tcW w:w="3260" w:type="dxa"/>
            <w:vAlign w:val="center"/>
          </w:tcPr>
          <w:p w14:paraId="15CBD898" w14:textId="02EA4608" w:rsidR="00A03D9F" w:rsidRPr="00865275" w:rsidRDefault="00E048C3" w:rsidP="008A1A60">
            <w:pPr>
              <w:jc w:val="center"/>
              <w:rPr>
                <w:rFonts w:cs="Arial"/>
                <w:color w:val="000000"/>
              </w:rPr>
            </w:pPr>
            <w:r>
              <w:t>$12.80</w:t>
            </w:r>
          </w:p>
        </w:tc>
      </w:tr>
      <w:tr w:rsidR="00A03D9F" w:rsidRPr="00865275" w14:paraId="17E03CFD" w14:textId="77777777" w:rsidTr="008A1A60">
        <w:trPr>
          <w:trHeight w:val="317"/>
        </w:trPr>
        <w:tc>
          <w:tcPr>
            <w:tcW w:w="6091" w:type="dxa"/>
            <w:vAlign w:val="center"/>
          </w:tcPr>
          <w:p w14:paraId="7DFEF018" w14:textId="60B6A72C" w:rsidR="00A03D9F" w:rsidRDefault="00A03D9F" w:rsidP="00A03D9F">
            <w:r w:rsidRPr="003B2994">
              <w:t xml:space="preserve">Home </w:t>
            </w:r>
            <w:r>
              <w:t>c</w:t>
            </w:r>
            <w:r w:rsidRPr="003B2994">
              <w:t xml:space="preserve">are - </w:t>
            </w:r>
            <w:r>
              <w:t>l</w:t>
            </w:r>
            <w:r w:rsidRPr="003B2994">
              <w:t xml:space="preserve">evel </w:t>
            </w:r>
            <w:r>
              <w:t>4 package</w:t>
            </w:r>
          </w:p>
        </w:tc>
        <w:tc>
          <w:tcPr>
            <w:tcW w:w="3260" w:type="dxa"/>
            <w:vAlign w:val="center"/>
          </w:tcPr>
          <w:p w14:paraId="384DB331" w14:textId="761985BC" w:rsidR="00A03D9F" w:rsidRPr="00865275" w:rsidRDefault="00E048C3" w:rsidP="008A1A60">
            <w:pPr>
              <w:jc w:val="center"/>
              <w:rPr>
                <w:rFonts w:cs="Arial"/>
                <w:color w:val="000000"/>
              </w:rPr>
            </w:pPr>
            <w:r>
              <w:t>$13.14</w:t>
            </w:r>
          </w:p>
        </w:tc>
      </w:tr>
      <w:tr w:rsidR="00A03D9F" w:rsidRPr="00865275" w14:paraId="1844A291" w14:textId="77777777" w:rsidTr="008A1A60">
        <w:trPr>
          <w:trHeight w:val="317"/>
        </w:trPr>
        <w:tc>
          <w:tcPr>
            <w:tcW w:w="6091" w:type="dxa"/>
            <w:vAlign w:val="center"/>
            <w:hideMark/>
          </w:tcPr>
          <w:p w14:paraId="109075C1" w14:textId="7A5FE379" w:rsidR="00A03D9F" w:rsidRDefault="00A03D9F" w:rsidP="00A03D9F">
            <w:r>
              <w:t>Residential care</w:t>
            </w:r>
            <w:r>
              <w:rPr>
                <w:b/>
                <w:bCs/>
                <w:vertAlign w:val="superscript"/>
              </w:rPr>
              <w:t xml:space="preserve"> [</w:t>
            </w:r>
            <w:proofErr w:type="spellStart"/>
            <w:r>
              <w:rPr>
                <w:b/>
                <w:bCs/>
                <w:vertAlign w:val="superscript"/>
              </w:rPr>
              <w:t>i</w:t>
            </w:r>
            <w:proofErr w:type="spellEnd"/>
            <w:r>
              <w:rPr>
                <w:b/>
                <w:bCs/>
                <w:vertAlign w:val="superscript"/>
              </w:rPr>
              <w:t>]</w:t>
            </w:r>
          </w:p>
        </w:tc>
        <w:tc>
          <w:tcPr>
            <w:tcW w:w="3260" w:type="dxa"/>
            <w:vAlign w:val="center"/>
            <w:hideMark/>
          </w:tcPr>
          <w:p w14:paraId="1102174D" w14:textId="5F4246FD" w:rsidR="00A03D9F" w:rsidRPr="00865275" w:rsidRDefault="002B3012" w:rsidP="008A1A60">
            <w:pPr>
              <w:jc w:val="center"/>
              <w:rPr>
                <w:rFonts w:cs="Arial"/>
                <w:color w:val="000000"/>
              </w:rPr>
            </w:pPr>
            <w:r>
              <w:t>$63.82</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9037D0" w:rsidRPr="00F656CA" w14:paraId="6FBFDCAD" w14:textId="77777777" w:rsidTr="008A1A60">
        <w:trPr>
          <w:trHeight w:val="317"/>
        </w:trPr>
        <w:tc>
          <w:tcPr>
            <w:tcW w:w="6091" w:type="dxa"/>
            <w:vAlign w:val="center"/>
            <w:hideMark/>
          </w:tcPr>
          <w:p w14:paraId="637E28C8" w14:textId="777D8E67" w:rsidR="009037D0" w:rsidRDefault="009037D0" w:rsidP="009037D0">
            <w:r>
              <w:t>Single person</w:t>
            </w:r>
          </w:p>
        </w:tc>
        <w:tc>
          <w:tcPr>
            <w:tcW w:w="3260" w:type="dxa"/>
            <w:vAlign w:val="center"/>
            <w:hideMark/>
          </w:tcPr>
          <w:p w14:paraId="79EF6342" w14:textId="109E7710" w:rsidR="009037D0" w:rsidRPr="00F656CA" w:rsidRDefault="00654A06" w:rsidP="008A1A60">
            <w:pPr>
              <w:jc w:val="center"/>
              <w:rPr>
                <w:rFonts w:cs="Arial"/>
                <w:color w:val="000000"/>
                <w:highlight w:val="yellow"/>
              </w:rPr>
            </w:pPr>
            <w:r>
              <w:t>$34,005.40</w:t>
            </w:r>
          </w:p>
        </w:tc>
      </w:tr>
      <w:tr w:rsidR="009037D0" w:rsidRPr="00F656CA" w14:paraId="67520150" w14:textId="77777777" w:rsidTr="008A1A60">
        <w:trPr>
          <w:trHeight w:val="317"/>
        </w:trPr>
        <w:tc>
          <w:tcPr>
            <w:tcW w:w="6091" w:type="dxa"/>
            <w:vAlign w:val="center"/>
            <w:hideMark/>
          </w:tcPr>
          <w:p w14:paraId="2E81C2DF" w14:textId="777E1A66" w:rsidR="009037D0" w:rsidRDefault="009037D0" w:rsidP="009037D0">
            <w:r>
              <w:t xml:space="preserve">Couple, Illness separated (single rate) </w:t>
            </w:r>
          </w:p>
        </w:tc>
        <w:tc>
          <w:tcPr>
            <w:tcW w:w="3260" w:type="dxa"/>
            <w:vAlign w:val="center"/>
            <w:hideMark/>
          </w:tcPr>
          <w:p w14:paraId="431DBFC0" w14:textId="7FF81368" w:rsidR="009037D0" w:rsidRPr="00F656CA" w:rsidRDefault="00654A06" w:rsidP="008A1A60">
            <w:pPr>
              <w:jc w:val="center"/>
              <w:rPr>
                <w:rFonts w:cs="Arial"/>
                <w:color w:val="000000"/>
                <w:highlight w:val="yellow"/>
              </w:rPr>
            </w:pPr>
            <w:r>
              <w:t>$33,277.40</w:t>
            </w:r>
          </w:p>
        </w:tc>
      </w:tr>
      <w:tr w:rsidR="009037D0" w:rsidRPr="00F656CA" w14:paraId="6B30ED1A" w14:textId="77777777" w:rsidTr="008A1A60">
        <w:trPr>
          <w:trHeight w:val="317"/>
        </w:trPr>
        <w:tc>
          <w:tcPr>
            <w:tcW w:w="6091" w:type="dxa"/>
            <w:vAlign w:val="center"/>
            <w:hideMark/>
          </w:tcPr>
          <w:p w14:paraId="50094EBA" w14:textId="14364B60" w:rsidR="009037D0" w:rsidRDefault="009037D0" w:rsidP="009037D0">
            <w:r>
              <w:t>Couple, Living together (single rate) - relevant to home care only</w:t>
            </w:r>
          </w:p>
        </w:tc>
        <w:tc>
          <w:tcPr>
            <w:tcW w:w="3260" w:type="dxa"/>
            <w:vAlign w:val="center"/>
            <w:hideMark/>
          </w:tcPr>
          <w:p w14:paraId="101E084B" w14:textId="6B0D70C5" w:rsidR="009037D0" w:rsidRPr="00F656CA" w:rsidRDefault="0015293D" w:rsidP="008A1A60">
            <w:pPr>
              <w:jc w:val="center"/>
              <w:rPr>
                <w:rFonts w:cs="Arial"/>
                <w:color w:val="000000"/>
                <w:highlight w:val="yellow"/>
              </w:rPr>
            </w:pPr>
            <w:r>
              <w:t>$26,301.60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9037D0" w:rsidRPr="00B92848" w14:paraId="0BB8EC3F" w14:textId="77777777" w:rsidTr="008A1A60">
        <w:trPr>
          <w:trHeight w:val="317"/>
        </w:trPr>
        <w:tc>
          <w:tcPr>
            <w:tcW w:w="6091" w:type="dxa"/>
            <w:vAlign w:val="center"/>
            <w:hideMark/>
          </w:tcPr>
          <w:p w14:paraId="333BE5F1" w14:textId="09EDB57A" w:rsidR="009037D0" w:rsidRDefault="009037D0" w:rsidP="009037D0">
            <w:r>
              <w:t xml:space="preserve">Single person </w:t>
            </w:r>
          </w:p>
        </w:tc>
        <w:tc>
          <w:tcPr>
            <w:tcW w:w="3260" w:type="dxa"/>
            <w:vAlign w:val="center"/>
            <w:hideMark/>
          </w:tcPr>
          <w:p w14:paraId="1BF11B81" w14:textId="7DAC164C" w:rsidR="009037D0" w:rsidRPr="00B92848" w:rsidRDefault="00654A06" w:rsidP="008A1A60">
            <w:pPr>
              <w:jc w:val="center"/>
              <w:rPr>
                <w:rFonts w:cs="Arial"/>
                <w:color w:val="000000"/>
                <w:highlight w:val="yellow"/>
              </w:rPr>
            </w:pPr>
            <w:r>
              <w:t>$65,416.00</w:t>
            </w:r>
          </w:p>
        </w:tc>
      </w:tr>
      <w:tr w:rsidR="009037D0" w:rsidRPr="00B92848" w14:paraId="21E5D0E0" w14:textId="77777777" w:rsidTr="008A1A60">
        <w:trPr>
          <w:trHeight w:val="317"/>
        </w:trPr>
        <w:tc>
          <w:tcPr>
            <w:tcW w:w="6091" w:type="dxa"/>
            <w:vAlign w:val="center"/>
            <w:hideMark/>
          </w:tcPr>
          <w:p w14:paraId="504BF232" w14:textId="17D36794" w:rsidR="009037D0" w:rsidRDefault="009037D0" w:rsidP="009037D0">
            <w:r>
              <w:t xml:space="preserve">Couple, Illness separated (single rate) </w:t>
            </w:r>
          </w:p>
        </w:tc>
        <w:tc>
          <w:tcPr>
            <w:tcW w:w="3260" w:type="dxa"/>
            <w:vAlign w:val="center"/>
            <w:hideMark/>
          </w:tcPr>
          <w:p w14:paraId="0C9742AE" w14:textId="4DE04EA1" w:rsidR="009037D0" w:rsidRPr="00B92848" w:rsidRDefault="00654A06" w:rsidP="008A1A60">
            <w:pPr>
              <w:jc w:val="center"/>
              <w:rPr>
                <w:rFonts w:cs="Arial"/>
                <w:color w:val="000000"/>
                <w:highlight w:val="yellow"/>
              </w:rPr>
            </w:pPr>
            <w:r>
              <w:t>$64,688.00</w:t>
            </w:r>
          </w:p>
        </w:tc>
      </w:tr>
      <w:tr w:rsidR="009037D0" w:rsidRPr="00B92848" w14:paraId="57A72AD6" w14:textId="77777777" w:rsidTr="008A1A60">
        <w:trPr>
          <w:trHeight w:val="317"/>
        </w:trPr>
        <w:tc>
          <w:tcPr>
            <w:tcW w:w="6091" w:type="dxa"/>
            <w:vAlign w:val="center"/>
            <w:hideMark/>
          </w:tcPr>
          <w:p w14:paraId="088AD5AE" w14:textId="489E509F" w:rsidR="009037D0" w:rsidRDefault="009037D0" w:rsidP="009037D0">
            <w:r>
              <w:t xml:space="preserve">Couple, Living together (single rate) </w:t>
            </w:r>
          </w:p>
        </w:tc>
        <w:tc>
          <w:tcPr>
            <w:tcW w:w="3260" w:type="dxa"/>
            <w:vAlign w:val="center"/>
            <w:hideMark/>
          </w:tcPr>
          <w:p w14:paraId="51341F72" w14:textId="6700E50C" w:rsidR="009037D0" w:rsidRPr="00B92848" w:rsidRDefault="00654A06" w:rsidP="008A1A60">
            <w:pPr>
              <w:jc w:val="center"/>
              <w:rPr>
                <w:rFonts w:cs="Arial"/>
                <w:color w:val="000000"/>
                <w:highlight w:val="yellow"/>
              </w:rPr>
            </w:pPr>
            <w:r>
              <w:t>$49,977.20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 xml:space="preserve">are. To calculate the equivalent fortnightly </w:t>
      </w:r>
      <w:proofErr w:type="gramStart"/>
      <w:r w:rsidRPr="00ED67FF">
        <w:rPr>
          <w:rFonts w:cs="Arial"/>
          <w:iCs/>
          <w:sz w:val="20"/>
          <w:szCs w:val="20"/>
        </w:rPr>
        <w:t>income</w:t>
      </w:r>
      <w:proofErr w:type="gramEnd"/>
      <w:r w:rsidRPr="00ED67FF">
        <w:rPr>
          <w:rFonts w:cs="Arial"/>
          <w:iCs/>
          <w:sz w:val="20"/>
          <w:szCs w:val="20"/>
        </w:rPr>
        <w:t xml:space="preserv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65516D" w:rsidRPr="00865275" w14:paraId="4BA70299" w14:textId="77777777" w:rsidTr="008A1A60">
        <w:trPr>
          <w:trHeight w:val="317"/>
        </w:trPr>
        <w:tc>
          <w:tcPr>
            <w:tcW w:w="6091" w:type="dxa"/>
            <w:vAlign w:val="center"/>
            <w:hideMark/>
          </w:tcPr>
          <w:p w14:paraId="5773A4E1" w14:textId="7F760318" w:rsidR="0065516D" w:rsidRDefault="0065516D" w:rsidP="0065516D">
            <w:r>
              <w:t xml:space="preserve">Asset free threshold </w:t>
            </w:r>
          </w:p>
        </w:tc>
        <w:tc>
          <w:tcPr>
            <w:tcW w:w="3260" w:type="dxa"/>
            <w:vAlign w:val="center"/>
            <w:hideMark/>
          </w:tcPr>
          <w:p w14:paraId="0A892D99" w14:textId="5EBEB752" w:rsidR="0065516D" w:rsidRPr="00865275" w:rsidRDefault="0065516D" w:rsidP="008A1A60">
            <w:pPr>
              <w:jc w:val="center"/>
              <w:rPr>
                <w:rFonts w:cs="Arial"/>
                <w:color w:val="000000"/>
              </w:rPr>
            </w:pPr>
            <w:r w:rsidRPr="008960E8">
              <w:t>$</w:t>
            </w:r>
            <w:r w:rsidR="00436741">
              <w:t>61,500</w:t>
            </w:r>
          </w:p>
        </w:tc>
      </w:tr>
      <w:tr w:rsidR="0065516D" w:rsidRPr="00865275" w14:paraId="0A248D03" w14:textId="77777777" w:rsidTr="008A1A60">
        <w:trPr>
          <w:trHeight w:val="317"/>
        </w:trPr>
        <w:tc>
          <w:tcPr>
            <w:tcW w:w="6091" w:type="dxa"/>
            <w:vAlign w:val="center"/>
            <w:hideMark/>
          </w:tcPr>
          <w:p w14:paraId="611B9460" w14:textId="0FA63457" w:rsidR="0065516D" w:rsidRDefault="0065516D" w:rsidP="0065516D">
            <w:r>
              <w:t xml:space="preserve">First asset threshold </w:t>
            </w:r>
          </w:p>
        </w:tc>
        <w:tc>
          <w:tcPr>
            <w:tcW w:w="3260" w:type="dxa"/>
            <w:vAlign w:val="center"/>
            <w:hideMark/>
          </w:tcPr>
          <w:p w14:paraId="7A181D2F" w14:textId="03F8EFFD" w:rsidR="0065516D" w:rsidRPr="00865275" w:rsidRDefault="0047236F" w:rsidP="008A1A60">
            <w:pPr>
              <w:jc w:val="center"/>
              <w:rPr>
                <w:rFonts w:cs="Arial"/>
                <w:color w:val="000000"/>
              </w:rPr>
            </w:pPr>
            <w:r>
              <w:t>$206,663.20</w:t>
            </w:r>
          </w:p>
        </w:tc>
      </w:tr>
      <w:tr w:rsidR="0065516D" w:rsidRPr="00865275" w14:paraId="43E3091A" w14:textId="77777777" w:rsidTr="008A1A60">
        <w:trPr>
          <w:trHeight w:val="317"/>
        </w:trPr>
        <w:tc>
          <w:tcPr>
            <w:tcW w:w="6091" w:type="dxa"/>
            <w:vAlign w:val="center"/>
            <w:hideMark/>
          </w:tcPr>
          <w:p w14:paraId="37426629" w14:textId="63746FE7" w:rsidR="0065516D" w:rsidRDefault="0065516D" w:rsidP="0065516D">
            <w:r>
              <w:t xml:space="preserve">Second asset threshold </w:t>
            </w:r>
          </w:p>
        </w:tc>
        <w:tc>
          <w:tcPr>
            <w:tcW w:w="3260" w:type="dxa"/>
            <w:vAlign w:val="center"/>
            <w:hideMark/>
          </w:tcPr>
          <w:p w14:paraId="095603F8" w14:textId="3720BE3C" w:rsidR="0065516D" w:rsidRPr="00865275" w:rsidRDefault="00AC0751" w:rsidP="008A1A60">
            <w:pPr>
              <w:jc w:val="center"/>
              <w:rPr>
                <w:rFonts w:cs="Arial"/>
                <w:color w:val="000000"/>
              </w:rPr>
            </w:pPr>
            <w:r>
              <w:t>$496,989.60</w:t>
            </w:r>
          </w:p>
        </w:tc>
      </w:tr>
      <w:tr w:rsidR="00FD57C2" w:rsidRPr="00865275" w14:paraId="4BE7D309" w14:textId="77777777" w:rsidTr="008A1A60">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63E8D994" w:rsidR="00FD57C2" w:rsidRPr="00BC23EF" w:rsidRDefault="00AC0751" w:rsidP="008A1A60">
            <w:pPr>
              <w:jc w:val="center"/>
            </w:pPr>
            <w:r>
              <w:t>$206,663.20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F61C2B">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6C08AB4E" w:rsidR="000822C0" w:rsidRPr="000822C0" w:rsidRDefault="00AC695B" w:rsidP="00F61C2B">
            <w:pPr>
              <w:jc w:val="center"/>
              <w:rPr>
                <w:b/>
                <w:bCs/>
              </w:rPr>
            </w:pPr>
            <w:r>
              <w:t>$82,347.13</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65516D" w:rsidRPr="00865275" w14:paraId="78D7498D" w14:textId="77777777" w:rsidTr="008A1A60">
        <w:trPr>
          <w:gridAfter w:val="1"/>
          <w:wAfter w:w="7" w:type="dxa"/>
          <w:trHeight w:val="317"/>
        </w:trPr>
        <w:tc>
          <w:tcPr>
            <w:tcW w:w="6091" w:type="dxa"/>
            <w:vAlign w:val="center"/>
            <w:hideMark/>
          </w:tcPr>
          <w:p w14:paraId="46BD093B" w14:textId="7A66299C" w:rsidR="0065516D" w:rsidRDefault="0065516D" w:rsidP="0065516D">
            <w:r>
              <w:t xml:space="preserve">First cap </w:t>
            </w:r>
            <w:r>
              <w:rPr>
                <w:iCs/>
              </w:rPr>
              <w:t xml:space="preserve">(daily cap) </w:t>
            </w:r>
          </w:p>
        </w:tc>
        <w:tc>
          <w:tcPr>
            <w:tcW w:w="3260" w:type="dxa"/>
            <w:vAlign w:val="center"/>
            <w:hideMark/>
          </w:tcPr>
          <w:p w14:paraId="5D17E5C9" w14:textId="682D5692" w:rsidR="0065516D" w:rsidRPr="0015293D" w:rsidRDefault="00D25B09" w:rsidP="008A1A60">
            <w:pPr>
              <w:jc w:val="center"/>
              <w:rPr>
                <w:rFonts w:cs="Arial"/>
                <w:color w:val="000000"/>
              </w:rPr>
            </w:pPr>
            <w:r w:rsidRPr="0015293D">
              <w:t>$18.85</w:t>
            </w:r>
          </w:p>
        </w:tc>
      </w:tr>
      <w:tr w:rsidR="0065516D" w:rsidRPr="00865275" w14:paraId="0E84529E" w14:textId="77777777" w:rsidTr="008A1A60">
        <w:trPr>
          <w:gridAfter w:val="1"/>
          <w:wAfter w:w="7" w:type="dxa"/>
          <w:trHeight w:val="317"/>
        </w:trPr>
        <w:tc>
          <w:tcPr>
            <w:tcW w:w="6091" w:type="dxa"/>
            <w:vAlign w:val="center"/>
            <w:hideMark/>
          </w:tcPr>
          <w:p w14:paraId="762D97E3" w14:textId="53236B7B" w:rsidR="0065516D" w:rsidRDefault="0065516D" w:rsidP="0065516D">
            <w:r>
              <w:t>First annual cap</w:t>
            </w:r>
          </w:p>
        </w:tc>
        <w:tc>
          <w:tcPr>
            <w:tcW w:w="3260" w:type="dxa"/>
            <w:vAlign w:val="center"/>
            <w:hideMark/>
          </w:tcPr>
          <w:p w14:paraId="4E28CE6F" w14:textId="11330B3A" w:rsidR="0065516D" w:rsidRPr="0015293D" w:rsidRDefault="0092537E" w:rsidP="008A1A60">
            <w:pPr>
              <w:jc w:val="center"/>
              <w:rPr>
                <w:rFonts w:cs="Arial"/>
                <w:color w:val="000000"/>
              </w:rPr>
            </w:pPr>
            <w:r w:rsidRPr="0015293D">
              <w:t>$6,</w:t>
            </w:r>
            <w:r w:rsidR="00897862" w:rsidRPr="0015293D">
              <w:t>862.18</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15293D" w:rsidRDefault="000822C0" w:rsidP="00961D8B">
            <w:pPr>
              <w:rPr>
                <w:rStyle w:val="Strong"/>
              </w:rPr>
            </w:pPr>
            <w:r w:rsidRPr="0015293D">
              <w:rPr>
                <w:rStyle w:val="Strong"/>
              </w:rPr>
              <w:t>Where the consumer’s income exceeds the income threshold</w:t>
            </w:r>
          </w:p>
        </w:tc>
      </w:tr>
      <w:tr w:rsidR="00894DC1" w:rsidRPr="00865275" w14:paraId="296F5534" w14:textId="77777777" w:rsidTr="008A1A60">
        <w:trPr>
          <w:gridAfter w:val="1"/>
          <w:wAfter w:w="7" w:type="dxa"/>
          <w:cantSplit/>
          <w:trHeight w:val="317"/>
        </w:trPr>
        <w:tc>
          <w:tcPr>
            <w:tcW w:w="6091" w:type="dxa"/>
            <w:vAlign w:val="center"/>
            <w:hideMark/>
          </w:tcPr>
          <w:p w14:paraId="215E8D32" w14:textId="781E16C7" w:rsidR="00894DC1" w:rsidRDefault="00894DC1" w:rsidP="00894DC1">
            <w:r>
              <w:t xml:space="preserve">Second cap </w:t>
            </w:r>
            <w:r>
              <w:rPr>
                <w:iCs/>
              </w:rPr>
              <w:t xml:space="preserve">(daily cap) </w:t>
            </w:r>
          </w:p>
        </w:tc>
        <w:tc>
          <w:tcPr>
            <w:tcW w:w="3260" w:type="dxa"/>
            <w:vAlign w:val="center"/>
            <w:hideMark/>
          </w:tcPr>
          <w:p w14:paraId="435B87A3" w14:textId="03D224F5" w:rsidR="00894DC1" w:rsidRPr="0015293D" w:rsidRDefault="00B84914" w:rsidP="008A1A60">
            <w:pPr>
              <w:jc w:val="center"/>
              <w:rPr>
                <w:rFonts w:cs="Arial"/>
                <w:color w:val="000000"/>
              </w:rPr>
            </w:pPr>
            <w:r w:rsidRPr="0015293D">
              <w:t>$37.70</w:t>
            </w:r>
          </w:p>
        </w:tc>
      </w:tr>
      <w:tr w:rsidR="00894DC1" w:rsidRPr="00865275" w14:paraId="7183EE63" w14:textId="77777777" w:rsidTr="008A1A60">
        <w:trPr>
          <w:gridAfter w:val="1"/>
          <w:wAfter w:w="7" w:type="dxa"/>
          <w:cantSplit/>
          <w:trHeight w:val="317"/>
        </w:trPr>
        <w:tc>
          <w:tcPr>
            <w:tcW w:w="6091" w:type="dxa"/>
            <w:vAlign w:val="center"/>
          </w:tcPr>
          <w:p w14:paraId="2F246F54" w14:textId="10FADE01" w:rsidR="00894DC1" w:rsidRDefault="00894DC1" w:rsidP="00894DC1">
            <w:pPr>
              <w:rPr>
                <w:rFonts w:ascii="Calibri" w:eastAsia="Times New Roman" w:hAnsi="Calibri" w:cs="Arial"/>
                <w:color w:val="000000"/>
                <w:lang w:eastAsia="en-AU"/>
              </w:rPr>
            </w:pPr>
            <w:r>
              <w:t>Second annual cap</w:t>
            </w:r>
          </w:p>
        </w:tc>
        <w:tc>
          <w:tcPr>
            <w:tcW w:w="3260" w:type="dxa"/>
            <w:vAlign w:val="center"/>
          </w:tcPr>
          <w:p w14:paraId="23CFAF47" w14:textId="535DFAF9" w:rsidR="00894DC1" w:rsidRPr="00865275" w:rsidRDefault="00B84914" w:rsidP="008A1A60">
            <w:pPr>
              <w:jc w:val="center"/>
              <w:rPr>
                <w:rFonts w:cs="Arial"/>
                <w:color w:val="000000"/>
              </w:rPr>
            </w:pPr>
            <w:r>
              <w:t>$13,724.45</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8A1A60">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4DFC5DD8" w:rsidR="00320394" w:rsidRDefault="005F46C1" w:rsidP="008A1A60">
            <w:pPr>
              <w:spacing w:after="0" w:line="240" w:lineRule="auto"/>
              <w:jc w:val="center"/>
              <w:rPr>
                <w:rFonts w:asciiTheme="minorHAnsi" w:hAnsiTheme="minorHAnsi"/>
              </w:rPr>
            </w:pPr>
            <w:r>
              <w:t>$82,347.13</w:t>
            </w:r>
          </w:p>
        </w:tc>
      </w:tr>
      <w:tr w:rsidR="00320394" w14:paraId="068823E5" w14:textId="77777777" w:rsidTr="008A1A60">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22D460A5" w:rsidR="00320394" w:rsidRPr="0072017A" w:rsidRDefault="005F46C1" w:rsidP="008A1A60">
            <w:pPr>
              <w:spacing w:after="0" w:line="240" w:lineRule="auto"/>
              <w:jc w:val="center"/>
            </w:pPr>
            <w:r>
              <w:t>$34,311.23</w:t>
            </w:r>
          </w:p>
        </w:tc>
      </w:tr>
    </w:tbl>
    <w:p w14:paraId="1F61E902" w14:textId="4C45F3BA"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00EA01DB">
        <w:rPr>
          <w:b w:val="0"/>
          <w:bCs w:val="0"/>
          <w:sz w:val="22"/>
          <w:szCs w:val="22"/>
        </w:rPr>
        <w:t>$69.79</w:t>
      </w:r>
      <w:r w:rsidR="00D57E76">
        <w:rPr>
          <w:b w:val="0"/>
          <w:bCs w:val="0"/>
          <w:sz w:val="22"/>
          <w:szCs w:val="22"/>
        </w:rPr>
        <w:t xml:space="preserve"> (per day)</w:t>
      </w:r>
      <w:r w:rsidR="00F61C2B">
        <w:rPr>
          <w:b w:val="0"/>
          <w:bCs w:val="0"/>
          <w:sz w:val="22"/>
          <w:szCs w:val="22"/>
        </w:rPr>
        <w:t xml:space="preserve"> </w:t>
      </w:r>
      <w:r w:rsidR="00CA03D7" w:rsidRPr="00F823F7">
        <w:rPr>
          <w:rFonts w:eastAsia="Times New Roman" w:cs="Arial"/>
          <w:sz w:val="20"/>
          <w:szCs w:val="20"/>
          <w:vertAlign w:val="superscript"/>
          <w:lang w:eastAsia="en-AU"/>
        </w:rPr>
        <w:t>[i</w:t>
      </w:r>
      <w:r w:rsidR="00CA03D7">
        <w:rPr>
          <w:rFonts w:eastAsia="Times New Roman" w:cs="Arial"/>
          <w:sz w:val="20"/>
          <w:szCs w:val="20"/>
          <w:vertAlign w:val="superscript"/>
          <w:lang w:eastAsia="en-AU"/>
        </w:rPr>
        <w:t>ii</w:t>
      </w:r>
      <w:r w:rsidR="00CA03D7" w:rsidRPr="00F823F7">
        <w:rPr>
          <w:rFonts w:eastAsia="Times New Roman" w:cs="Arial"/>
          <w:sz w:val="20"/>
          <w:szCs w:val="20"/>
          <w:vertAlign w:val="superscript"/>
          <w:lang w:eastAsia="en-AU"/>
        </w:rPr>
        <w:t>]</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0053CB41"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 xml:space="preserve">from 1 July </w:t>
            </w:r>
            <w:r w:rsidR="00732CD8">
              <w:t>2025</w:t>
            </w:r>
          </w:p>
        </w:tc>
      </w:tr>
      <w:tr w:rsidR="00A41933" w:rsidRPr="005B027C" w14:paraId="2CE38FF8" w14:textId="77777777" w:rsidTr="008A1A60">
        <w:trPr>
          <w:gridAfter w:val="1"/>
          <w:wAfter w:w="7" w:type="dxa"/>
          <w:trHeight w:val="315"/>
        </w:trPr>
        <w:tc>
          <w:tcPr>
            <w:tcW w:w="6096" w:type="dxa"/>
            <w:vAlign w:val="center"/>
            <w:hideMark/>
          </w:tcPr>
          <w:p w14:paraId="01A9AA6D" w14:textId="77777777" w:rsidR="00A41933" w:rsidRDefault="00A41933" w:rsidP="00A41933">
            <w:pPr>
              <w:spacing w:after="0" w:line="240" w:lineRule="auto"/>
              <w:rPr>
                <w:bCs/>
              </w:rPr>
            </w:pPr>
            <w:r>
              <w:rPr>
                <w:bCs/>
              </w:rPr>
              <w:t>Threshold (single)</w:t>
            </w:r>
          </w:p>
        </w:tc>
        <w:tc>
          <w:tcPr>
            <w:tcW w:w="3260" w:type="dxa"/>
            <w:vAlign w:val="center"/>
            <w:hideMark/>
          </w:tcPr>
          <w:p w14:paraId="64FBD9E8" w14:textId="5AEBB0EC" w:rsidR="00A41933" w:rsidRPr="007B704A" w:rsidRDefault="007B704A" w:rsidP="008A1A60">
            <w:pPr>
              <w:spacing w:after="0" w:line="240" w:lineRule="auto"/>
              <w:jc w:val="center"/>
            </w:pPr>
            <w:r w:rsidRPr="007B704A">
              <w:t>$64,200</w:t>
            </w:r>
            <w:r w:rsidR="00981B94">
              <w:t>.00</w:t>
            </w:r>
          </w:p>
        </w:tc>
      </w:tr>
      <w:tr w:rsidR="00A41933" w:rsidRPr="005B027C" w14:paraId="1CF59A8B" w14:textId="77777777" w:rsidTr="008A1A60">
        <w:trPr>
          <w:gridAfter w:val="1"/>
          <w:wAfter w:w="7" w:type="dxa"/>
          <w:trHeight w:val="315"/>
        </w:trPr>
        <w:tc>
          <w:tcPr>
            <w:tcW w:w="6096" w:type="dxa"/>
            <w:vAlign w:val="center"/>
            <w:hideMark/>
          </w:tcPr>
          <w:p w14:paraId="3116F79C" w14:textId="77777777" w:rsidR="00A41933" w:rsidRDefault="00A41933" w:rsidP="00A41933">
            <w:pPr>
              <w:spacing w:after="0" w:line="240" w:lineRule="auto"/>
              <w:rPr>
                <w:bCs/>
              </w:rPr>
            </w:pPr>
            <w:r>
              <w:rPr>
                <w:bCs/>
              </w:rPr>
              <w:t>Threshold (couple – combined)</w:t>
            </w:r>
          </w:p>
        </w:tc>
        <w:tc>
          <w:tcPr>
            <w:tcW w:w="3260" w:type="dxa"/>
            <w:vAlign w:val="center"/>
            <w:hideMark/>
          </w:tcPr>
          <w:p w14:paraId="5925DF55" w14:textId="5C519015" w:rsidR="00A41933" w:rsidRPr="007B704A" w:rsidRDefault="007B704A" w:rsidP="008A1A60">
            <w:pPr>
              <w:spacing w:after="0" w:line="240" w:lineRule="auto"/>
              <w:jc w:val="center"/>
            </w:pPr>
            <w:r w:rsidRPr="007B704A">
              <w:t>$106,200</w:t>
            </w:r>
            <w:r w:rsidR="00981B94">
              <w:t>.00</w:t>
            </w:r>
          </w:p>
        </w:tc>
      </w:tr>
      <w:tr w:rsidR="00820A49" w:rsidRPr="00F823F7" w14:paraId="6A75A323" w14:textId="77777777" w:rsidTr="00F737FC">
        <w:trPr>
          <w:trHeight w:val="315"/>
        </w:trPr>
        <w:tc>
          <w:tcPr>
            <w:tcW w:w="9363" w:type="dxa"/>
            <w:gridSpan w:val="3"/>
            <w:vAlign w:val="center"/>
          </w:tcPr>
          <w:p w14:paraId="15369819" w14:textId="77276923" w:rsidR="00820A49" w:rsidRPr="00F823F7" w:rsidRDefault="00820A49" w:rsidP="00DE17E8">
            <w:pPr>
              <w:spacing w:after="0" w:line="240" w:lineRule="auto"/>
            </w:pPr>
            <w:r w:rsidRPr="00FE5FAA">
              <w:rPr>
                <w:b/>
                <w:bCs/>
              </w:rPr>
              <w:t xml:space="preserve">Deeming rates from </w:t>
            </w:r>
            <w:r w:rsidR="00255FF7" w:rsidRPr="00255FF7">
              <w:t xml:space="preserve">– from 1 </w:t>
            </w:r>
            <w:r w:rsidR="008A1A60">
              <w:t>June 2020</w:t>
            </w:r>
          </w:p>
        </w:tc>
      </w:tr>
      <w:tr w:rsidR="00820A49" w:rsidRPr="00F823F7" w14:paraId="59134451" w14:textId="77777777" w:rsidTr="008A1A60">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6E31E6" w:rsidRDefault="00820A49" w:rsidP="008A1A60">
            <w:pPr>
              <w:spacing w:after="0" w:line="240" w:lineRule="auto"/>
              <w:jc w:val="center"/>
              <w:rPr>
                <w:highlight w:val="yellow"/>
              </w:rPr>
            </w:pPr>
            <w:r w:rsidRPr="00A65A09">
              <w:t>0.25%</w:t>
            </w:r>
          </w:p>
        </w:tc>
      </w:tr>
      <w:tr w:rsidR="00820A49" w:rsidRPr="00F823F7" w14:paraId="232990EC" w14:textId="77777777" w:rsidTr="008A1A60">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6E31E6" w:rsidRDefault="00820A49" w:rsidP="008A1A60">
            <w:pPr>
              <w:spacing w:after="0" w:line="240" w:lineRule="auto"/>
              <w:jc w:val="center"/>
              <w:rPr>
                <w:highlight w:val="yellow"/>
              </w:rPr>
            </w:pPr>
            <w:r w:rsidRPr="00A65A09">
              <w:t>2.25%</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601D1A" w14:paraId="4D8430D4"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708E53E2" w14:textId="77C2CAFB" w:rsidR="00601D1A" w:rsidRDefault="001362EE" w:rsidP="00961D8B">
            <w:pPr>
              <w:spacing w:after="0" w:line="240" w:lineRule="auto"/>
            </w:pPr>
            <w:r>
              <w:t xml:space="preserve">from 1 </w:t>
            </w:r>
            <w:r w:rsidR="00904C43">
              <w:t xml:space="preserve">July </w:t>
            </w:r>
            <w:r>
              <w:t xml:space="preserve">2025 – 30 </w:t>
            </w:r>
            <w:r w:rsidR="00904C43">
              <w:t xml:space="preserve">September </w:t>
            </w:r>
            <w:r>
              <w:t>2025</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1F34F413" w14:textId="5228BE71" w:rsidR="00601D1A" w:rsidRDefault="000608DC" w:rsidP="00DE17E8">
            <w:pPr>
              <w:spacing w:after="0" w:line="240" w:lineRule="auto"/>
              <w:jc w:val="center"/>
            </w:pPr>
            <w:r>
              <w:t>7.78%</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6C18800C" w:rsidR="0099706C" w:rsidRPr="00F823F7" w:rsidRDefault="009E5857" w:rsidP="00DE17E8">
            <w:pPr>
              <w:spacing w:after="0" w:line="240" w:lineRule="auto"/>
              <w:jc w:val="center"/>
            </w:pPr>
            <w:r>
              <w:t>$61,500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001EDAE2" w:rsidR="0099706C" w:rsidRPr="00F823F7" w:rsidRDefault="006E31E6" w:rsidP="00DE17E8">
            <w:pPr>
              <w:spacing w:after="0" w:line="240" w:lineRule="auto"/>
              <w:jc w:val="center"/>
            </w:pPr>
            <w:r>
              <w:t>$758,627.00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280B5F" w:rsidRPr="00F823F7" w14:paraId="27311FAB" w14:textId="77777777" w:rsidTr="008A1A60">
        <w:trPr>
          <w:trHeight w:val="317"/>
        </w:trPr>
        <w:tc>
          <w:tcPr>
            <w:tcW w:w="6096" w:type="dxa"/>
            <w:vAlign w:val="center"/>
          </w:tcPr>
          <w:p w14:paraId="245DE71B" w14:textId="1E07EEBC" w:rsidR="00280B5F" w:rsidRPr="00F823F7" w:rsidRDefault="00280B5F" w:rsidP="00280B5F">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38146EDB" w:rsidR="00280B5F" w:rsidRPr="00F823F7" w:rsidRDefault="00E87D2E" w:rsidP="008A1A60">
            <w:pPr>
              <w:jc w:val="center"/>
            </w:pPr>
            <w:r>
              <w:t>$13.</w:t>
            </w:r>
            <w:r w:rsidR="00FA2BAB">
              <w:t>14</w:t>
            </w:r>
          </w:p>
        </w:tc>
      </w:tr>
      <w:tr w:rsidR="00280B5F" w:rsidRPr="00F823F7" w14:paraId="66272535" w14:textId="77777777" w:rsidTr="008A1A60">
        <w:trPr>
          <w:trHeight w:val="317"/>
        </w:trPr>
        <w:tc>
          <w:tcPr>
            <w:tcW w:w="6096" w:type="dxa"/>
            <w:vAlign w:val="center"/>
          </w:tcPr>
          <w:p w14:paraId="22989F5E" w14:textId="78CCC4B7" w:rsidR="00280B5F" w:rsidRPr="00F823F7" w:rsidRDefault="00280B5F" w:rsidP="00280B5F">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7249ECBB" w:rsidR="00280B5F" w:rsidRPr="00F823F7" w:rsidRDefault="00FA2BAB" w:rsidP="008A1A60">
            <w:pPr>
              <w:jc w:val="center"/>
            </w:pPr>
            <w:r>
              <w:t>$63.82</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280B5F" w:rsidRPr="00F823F7" w14:paraId="0BD508E1" w14:textId="77777777" w:rsidTr="008A1A60">
        <w:trPr>
          <w:trHeight w:val="317"/>
        </w:trPr>
        <w:tc>
          <w:tcPr>
            <w:tcW w:w="6096" w:type="dxa"/>
            <w:vAlign w:val="center"/>
          </w:tcPr>
          <w:p w14:paraId="6297C6F5" w14:textId="4089BE91" w:rsidR="00280B5F" w:rsidRPr="00F823F7" w:rsidRDefault="00280B5F" w:rsidP="00280B5F">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7251CAE7" w:rsidR="00280B5F" w:rsidRPr="00F823F7" w:rsidRDefault="00CA11CD" w:rsidP="008A1A60">
            <w:pPr>
              <w:jc w:val="center"/>
            </w:pPr>
            <w:r>
              <w:t>$13.14</w:t>
            </w:r>
          </w:p>
        </w:tc>
      </w:tr>
      <w:tr w:rsidR="00280B5F" w:rsidRPr="00F823F7" w14:paraId="6BE33830" w14:textId="77777777" w:rsidTr="008A1A60">
        <w:trPr>
          <w:trHeight w:val="317"/>
        </w:trPr>
        <w:tc>
          <w:tcPr>
            <w:tcW w:w="6096" w:type="dxa"/>
            <w:vAlign w:val="center"/>
          </w:tcPr>
          <w:p w14:paraId="06C26234" w14:textId="76EF79A8" w:rsidR="00280B5F" w:rsidRPr="00F823F7" w:rsidRDefault="00280B5F" w:rsidP="00280B5F">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65E0E5CE" w:rsidR="00280B5F" w:rsidRPr="00F823F7" w:rsidRDefault="00CA11CD" w:rsidP="008A1A60">
            <w:pPr>
              <w:jc w:val="center"/>
            </w:pPr>
            <w:r>
              <w:t>$63.82</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F7F792E" w14:textId="5AF46CE3" w:rsidR="00F61C2B" w:rsidRDefault="00014B68"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w:t>
      </w:r>
      <w:r w:rsidR="001362EE">
        <w:rPr>
          <w:rFonts w:eastAsia="Times New Roman" w:cs="Arial"/>
          <w:sz w:val="20"/>
          <w:szCs w:val="20"/>
          <w:lang w:eastAsia="en-AU"/>
        </w:rPr>
        <w:t>for calculating accommodation costs for</w:t>
      </w:r>
      <w:r w:rsidRPr="00014B68">
        <w:rPr>
          <w:rFonts w:eastAsia="Times New Roman" w:cs="Arial"/>
          <w:sz w:val="20"/>
          <w:szCs w:val="20"/>
          <w:lang w:eastAsia="en-AU"/>
        </w:rPr>
        <w:t xml:space="preserve">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w:t>
      </w:r>
      <w:r w:rsidR="001362EE">
        <w:rPr>
          <w:rFonts w:eastAsia="Times New Roman" w:cs="Arial"/>
          <w:sz w:val="20"/>
          <w:szCs w:val="20"/>
          <w:lang w:eastAsia="en-AU"/>
        </w:rPr>
        <w:t>for</w:t>
      </w:r>
      <w:r w:rsidR="001362EE" w:rsidRPr="00014B68">
        <w:rPr>
          <w:rFonts w:eastAsia="Times New Roman" w:cs="Arial"/>
          <w:sz w:val="20"/>
          <w:szCs w:val="20"/>
          <w:lang w:eastAsia="en-AU"/>
        </w:rPr>
        <w:t xml:space="preserve"> </w:t>
      </w:r>
      <w:r w:rsidRPr="00014B68">
        <w:rPr>
          <w:rFonts w:eastAsia="Times New Roman" w:cs="Arial"/>
          <w:sz w:val="20"/>
          <w:szCs w:val="20"/>
          <w:lang w:eastAsia="en-AU"/>
        </w:rPr>
        <w:t xml:space="preserve">those who were already in care prior to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p w14:paraId="4F10AA88" w14:textId="7BAF66C6" w:rsidR="00567E75" w:rsidRPr="00567E75" w:rsidRDefault="00CA03D7" w:rsidP="00567E75">
      <w:pPr>
        <w:spacing w:after="0" w:line="240" w:lineRule="auto"/>
        <w:rPr>
          <w:rFonts w:eastAsia="Times New Roman" w:cs="Arial"/>
          <w:sz w:val="20"/>
          <w:szCs w:val="20"/>
          <w:lang w:eastAsia="en-AU"/>
        </w:rPr>
      </w:pPr>
      <w:r w:rsidRPr="00601D1A">
        <w:rPr>
          <w:rFonts w:eastAsia="Times New Roman" w:cs="Arial"/>
          <w:sz w:val="20"/>
          <w:szCs w:val="20"/>
          <w:vertAlign w:val="superscript"/>
          <w:lang w:eastAsia="en-AU"/>
        </w:rPr>
        <w:t>[iii]</w:t>
      </w:r>
      <w:r w:rsidRPr="00601D1A">
        <w:rPr>
          <w:rFonts w:eastAsia="Times New Roman" w:cs="Arial"/>
          <w:sz w:val="20"/>
          <w:szCs w:val="20"/>
          <w:lang w:eastAsia="en-AU"/>
        </w:rPr>
        <w:t xml:space="preserve"> </w:t>
      </w:r>
      <w:r w:rsidR="00567E75" w:rsidRPr="00567E75">
        <w:rPr>
          <w:rFonts w:eastAsia="Times New Roman" w:cs="Arial"/>
          <w:sz w:val="20"/>
          <w:szCs w:val="20"/>
          <w:lang w:eastAsia="en-AU"/>
        </w:rPr>
        <w:t xml:space="preserve">A resident’s means tested care fee (care subsidy reduction) </w:t>
      </w:r>
      <w:r w:rsidR="001449B7">
        <w:rPr>
          <w:rFonts w:eastAsia="Times New Roman" w:cs="Arial"/>
          <w:sz w:val="20"/>
          <w:szCs w:val="20"/>
          <w:lang w:eastAsia="en-AU"/>
        </w:rPr>
        <w:t xml:space="preserve">is worked out under section 44-21 of the </w:t>
      </w:r>
      <w:r w:rsidR="001449B7" w:rsidRPr="001449B7">
        <w:rPr>
          <w:rFonts w:eastAsia="Times New Roman" w:cs="Arial"/>
          <w:i/>
          <w:iCs/>
          <w:sz w:val="20"/>
          <w:szCs w:val="20"/>
          <w:lang w:eastAsia="en-AU"/>
        </w:rPr>
        <w:t>Aged Care Act 1997</w:t>
      </w:r>
      <w:r w:rsidR="001449B7">
        <w:rPr>
          <w:rFonts w:eastAsia="Times New Roman" w:cs="Arial"/>
          <w:sz w:val="20"/>
          <w:szCs w:val="20"/>
          <w:lang w:eastAsia="en-AU"/>
        </w:rPr>
        <w:t xml:space="preserve"> a</w:t>
      </w:r>
      <w:r w:rsidR="00567E75" w:rsidRPr="00567E75">
        <w:rPr>
          <w:rFonts w:eastAsia="Times New Roman" w:cs="Arial"/>
          <w:sz w:val="20"/>
          <w:szCs w:val="20"/>
          <w:lang w:eastAsia="en-AU"/>
        </w:rPr>
        <w:t>s the lower of</w:t>
      </w:r>
      <w:r w:rsidR="001449B7">
        <w:rPr>
          <w:rFonts w:eastAsia="Times New Roman" w:cs="Arial"/>
          <w:sz w:val="20"/>
          <w:szCs w:val="20"/>
          <w:lang w:eastAsia="en-AU"/>
        </w:rPr>
        <w:t xml:space="preserve"> either</w:t>
      </w:r>
      <w:r w:rsidR="00567E75" w:rsidRPr="00567E75">
        <w:rPr>
          <w:rFonts w:eastAsia="Times New Roman" w:cs="Arial"/>
          <w:sz w:val="20"/>
          <w:szCs w:val="20"/>
          <w:lang w:eastAsia="en-AU"/>
        </w:rPr>
        <w:t xml:space="preserve">: </w:t>
      </w:r>
    </w:p>
    <w:p w14:paraId="4D6AFB12" w14:textId="20709CE3" w:rsidR="00567E75"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 amount by which their means tested amount (worked out under section 44-22 of th</w:t>
      </w:r>
      <w:r w:rsidR="001449B7">
        <w:rPr>
          <w:rFonts w:eastAsia="Times New Roman" w:cs="Arial"/>
          <w:sz w:val="20"/>
          <w:szCs w:val="20"/>
          <w:lang w:eastAsia="en-AU"/>
        </w:rPr>
        <w:t>e Act</w:t>
      </w:r>
      <w:r w:rsidRPr="00567E75">
        <w:rPr>
          <w:rFonts w:eastAsia="Times New Roman" w:cs="Arial"/>
          <w:sz w:val="20"/>
          <w:szCs w:val="20"/>
          <w:lang w:eastAsia="en-AU"/>
        </w:rPr>
        <w:t>) exceeds the maximum accommodation supplement</w:t>
      </w:r>
    </w:p>
    <w:p w14:paraId="3E47222A" w14:textId="6EAC2938" w:rsidR="00F61C2B"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their adjusted basic subsidy plus primary supplements.</w:t>
      </w:r>
    </w:p>
    <w:sectPr w:rsidR="00F61C2B" w:rsidRPr="00567E75"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A4C67" w14:textId="77777777" w:rsidR="004C0153" w:rsidRDefault="004C0153" w:rsidP="00FC40B4">
      <w:pPr>
        <w:spacing w:after="0" w:line="240" w:lineRule="auto"/>
      </w:pPr>
      <w:r>
        <w:separator/>
      </w:r>
    </w:p>
  </w:endnote>
  <w:endnote w:type="continuationSeparator" w:id="0">
    <w:p w14:paraId="329F56D2" w14:textId="77777777" w:rsidR="004C0153" w:rsidRDefault="004C0153"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9E384" w14:textId="77777777" w:rsidR="004C0153" w:rsidRDefault="004C0153" w:rsidP="00FC40B4">
      <w:pPr>
        <w:spacing w:after="0" w:line="240" w:lineRule="auto"/>
      </w:pPr>
      <w:r>
        <w:separator/>
      </w:r>
    </w:p>
  </w:footnote>
  <w:footnote w:type="continuationSeparator" w:id="0">
    <w:p w14:paraId="754AA3BE" w14:textId="77777777" w:rsidR="004C0153" w:rsidRDefault="004C0153"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2AF9" w14:textId="7AA50C2B" w:rsidR="00FC40B4" w:rsidRDefault="009C36B6" w:rsidP="00FC40B4">
    <w:pPr>
      <w:pStyle w:val="Header"/>
      <w:spacing w:before="120" w:after="120"/>
    </w:pPr>
    <w:r>
      <w:rPr>
        <w:noProof/>
      </w:rPr>
      <w:drawing>
        <wp:inline distT="0" distB="0" distL="0" distR="0" wp14:anchorId="7F000D0D" wp14:editId="4001A3D5">
          <wp:extent cx="5759450" cy="941705"/>
          <wp:effectExtent l="0" t="0" r="635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55DC0"/>
    <w:multiLevelType w:val="hybridMultilevel"/>
    <w:tmpl w:val="B5DE8764"/>
    <w:lvl w:ilvl="0" w:tplc="7472AC02">
      <w:start w:val="1"/>
      <w:numFmt w:val="bullet"/>
      <w:lvlText w:val=""/>
      <w:lvlJc w:val="left"/>
      <w:pPr>
        <w:ind w:left="720" w:hanging="360"/>
      </w:pPr>
      <w:rPr>
        <w:rFonts w:ascii="Symbol" w:hAnsi="Symbol"/>
      </w:rPr>
    </w:lvl>
    <w:lvl w:ilvl="1" w:tplc="45402328">
      <w:start w:val="1"/>
      <w:numFmt w:val="bullet"/>
      <w:lvlText w:val=""/>
      <w:lvlJc w:val="left"/>
      <w:pPr>
        <w:ind w:left="720" w:hanging="360"/>
      </w:pPr>
      <w:rPr>
        <w:rFonts w:ascii="Symbol" w:hAnsi="Symbol"/>
      </w:rPr>
    </w:lvl>
    <w:lvl w:ilvl="2" w:tplc="2A682980">
      <w:start w:val="1"/>
      <w:numFmt w:val="bullet"/>
      <w:lvlText w:val=""/>
      <w:lvlJc w:val="left"/>
      <w:pPr>
        <w:ind w:left="720" w:hanging="360"/>
      </w:pPr>
      <w:rPr>
        <w:rFonts w:ascii="Symbol" w:hAnsi="Symbol"/>
      </w:rPr>
    </w:lvl>
    <w:lvl w:ilvl="3" w:tplc="5C56AF60">
      <w:start w:val="1"/>
      <w:numFmt w:val="bullet"/>
      <w:lvlText w:val=""/>
      <w:lvlJc w:val="left"/>
      <w:pPr>
        <w:ind w:left="720" w:hanging="360"/>
      </w:pPr>
      <w:rPr>
        <w:rFonts w:ascii="Symbol" w:hAnsi="Symbol"/>
      </w:rPr>
    </w:lvl>
    <w:lvl w:ilvl="4" w:tplc="80C81658">
      <w:start w:val="1"/>
      <w:numFmt w:val="bullet"/>
      <w:lvlText w:val=""/>
      <w:lvlJc w:val="left"/>
      <w:pPr>
        <w:ind w:left="720" w:hanging="360"/>
      </w:pPr>
      <w:rPr>
        <w:rFonts w:ascii="Symbol" w:hAnsi="Symbol"/>
      </w:rPr>
    </w:lvl>
    <w:lvl w:ilvl="5" w:tplc="9BF4465E">
      <w:start w:val="1"/>
      <w:numFmt w:val="bullet"/>
      <w:lvlText w:val=""/>
      <w:lvlJc w:val="left"/>
      <w:pPr>
        <w:ind w:left="720" w:hanging="360"/>
      </w:pPr>
      <w:rPr>
        <w:rFonts w:ascii="Symbol" w:hAnsi="Symbol"/>
      </w:rPr>
    </w:lvl>
    <w:lvl w:ilvl="6" w:tplc="D50E1CBC">
      <w:start w:val="1"/>
      <w:numFmt w:val="bullet"/>
      <w:lvlText w:val=""/>
      <w:lvlJc w:val="left"/>
      <w:pPr>
        <w:ind w:left="720" w:hanging="360"/>
      </w:pPr>
      <w:rPr>
        <w:rFonts w:ascii="Symbol" w:hAnsi="Symbol"/>
      </w:rPr>
    </w:lvl>
    <w:lvl w:ilvl="7" w:tplc="D3E6E04E">
      <w:start w:val="1"/>
      <w:numFmt w:val="bullet"/>
      <w:lvlText w:val=""/>
      <w:lvlJc w:val="left"/>
      <w:pPr>
        <w:ind w:left="720" w:hanging="360"/>
      </w:pPr>
      <w:rPr>
        <w:rFonts w:ascii="Symbol" w:hAnsi="Symbol"/>
      </w:rPr>
    </w:lvl>
    <w:lvl w:ilvl="8" w:tplc="B1385DEC">
      <w:start w:val="1"/>
      <w:numFmt w:val="bullet"/>
      <w:lvlText w:val=""/>
      <w:lvlJc w:val="left"/>
      <w:pPr>
        <w:ind w:left="720" w:hanging="360"/>
      </w:pPr>
      <w:rPr>
        <w:rFonts w:ascii="Symbol" w:hAnsi="Symbol"/>
      </w:rPr>
    </w:lvl>
  </w:abstractNum>
  <w:abstractNum w:abstractNumId="11" w15:restartNumberingAfterBreak="0">
    <w:nsid w:val="0F363F7A"/>
    <w:multiLevelType w:val="hybridMultilevel"/>
    <w:tmpl w:val="78DE64F4"/>
    <w:lvl w:ilvl="0" w:tplc="99C24450">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CE72E1"/>
    <w:multiLevelType w:val="hybridMultilevel"/>
    <w:tmpl w:val="FB46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92547"/>
    <w:multiLevelType w:val="hybridMultilevel"/>
    <w:tmpl w:val="9C7CDC58"/>
    <w:lvl w:ilvl="0" w:tplc="CFF0DA30">
      <w:start w:val="1"/>
      <w:numFmt w:val="bullet"/>
      <w:lvlText w:val=""/>
      <w:lvlJc w:val="left"/>
      <w:pPr>
        <w:ind w:left="720" w:hanging="360"/>
      </w:pPr>
      <w:rPr>
        <w:rFonts w:ascii="Symbol" w:hAnsi="Symbol"/>
      </w:rPr>
    </w:lvl>
    <w:lvl w:ilvl="1" w:tplc="EEB89E34">
      <w:start w:val="1"/>
      <w:numFmt w:val="bullet"/>
      <w:lvlText w:val=""/>
      <w:lvlJc w:val="left"/>
      <w:pPr>
        <w:ind w:left="720" w:hanging="360"/>
      </w:pPr>
      <w:rPr>
        <w:rFonts w:ascii="Symbol" w:hAnsi="Symbol"/>
      </w:rPr>
    </w:lvl>
    <w:lvl w:ilvl="2" w:tplc="A5BEF79E">
      <w:start w:val="1"/>
      <w:numFmt w:val="bullet"/>
      <w:lvlText w:val=""/>
      <w:lvlJc w:val="left"/>
      <w:pPr>
        <w:ind w:left="720" w:hanging="360"/>
      </w:pPr>
      <w:rPr>
        <w:rFonts w:ascii="Symbol" w:hAnsi="Symbol"/>
      </w:rPr>
    </w:lvl>
    <w:lvl w:ilvl="3" w:tplc="341C9534">
      <w:start w:val="1"/>
      <w:numFmt w:val="bullet"/>
      <w:lvlText w:val=""/>
      <w:lvlJc w:val="left"/>
      <w:pPr>
        <w:ind w:left="720" w:hanging="360"/>
      </w:pPr>
      <w:rPr>
        <w:rFonts w:ascii="Symbol" w:hAnsi="Symbol"/>
      </w:rPr>
    </w:lvl>
    <w:lvl w:ilvl="4" w:tplc="8E549CE0">
      <w:start w:val="1"/>
      <w:numFmt w:val="bullet"/>
      <w:lvlText w:val=""/>
      <w:lvlJc w:val="left"/>
      <w:pPr>
        <w:ind w:left="720" w:hanging="360"/>
      </w:pPr>
      <w:rPr>
        <w:rFonts w:ascii="Symbol" w:hAnsi="Symbol"/>
      </w:rPr>
    </w:lvl>
    <w:lvl w:ilvl="5" w:tplc="D7380B84">
      <w:start w:val="1"/>
      <w:numFmt w:val="bullet"/>
      <w:lvlText w:val=""/>
      <w:lvlJc w:val="left"/>
      <w:pPr>
        <w:ind w:left="720" w:hanging="360"/>
      </w:pPr>
      <w:rPr>
        <w:rFonts w:ascii="Symbol" w:hAnsi="Symbol"/>
      </w:rPr>
    </w:lvl>
    <w:lvl w:ilvl="6" w:tplc="4B42977C">
      <w:start w:val="1"/>
      <w:numFmt w:val="bullet"/>
      <w:lvlText w:val=""/>
      <w:lvlJc w:val="left"/>
      <w:pPr>
        <w:ind w:left="720" w:hanging="360"/>
      </w:pPr>
      <w:rPr>
        <w:rFonts w:ascii="Symbol" w:hAnsi="Symbol"/>
      </w:rPr>
    </w:lvl>
    <w:lvl w:ilvl="7" w:tplc="DF5C71C6">
      <w:start w:val="1"/>
      <w:numFmt w:val="bullet"/>
      <w:lvlText w:val=""/>
      <w:lvlJc w:val="left"/>
      <w:pPr>
        <w:ind w:left="720" w:hanging="360"/>
      </w:pPr>
      <w:rPr>
        <w:rFonts w:ascii="Symbol" w:hAnsi="Symbol"/>
      </w:rPr>
    </w:lvl>
    <w:lvl w:ilvl="8" w:tplc="46FC94A4">
      <w:start w:val="1"/>
      <w:numFmt w:val="bullet"/>
      <w:lvlText w:val=""/>
      <w:lvlJc w:val="left"/>
      <w:pPr>
        <w:ind w:left="720" w:hanging="360"/>
      </w:pPr>
      <w:rPr>
        <w:rFonts w:ascii="Symbol" w:hAnsi="Symbol"/>
      </w:rPr>
    </w:lvl>
  </w:abstractNum>
  <w:abstractNum w:abstractNumId="16" w15:restartNumberingAfterBreak="0">
    <w:nsid w:val="4C4073FA"/>
    <w:multiLevelType w:val="hybridMultilevel"/>
    <w:tmpl w:val="42BA3FBC"/>
    <w:lvl w:ilvl="0" w:tplc="7632EDB2">
      <w:start w:val="1"/>
      <w:numFmt w:val="bullet"/>
      <w:lvlText w:val=""/>
      <w:lvlJc w:val="left"/>
      <w:pPr>
        <w:ind w:left="720" w:hanging="360"/>
      </w:pPr>
      <w:rPr>
        <w:rFonts w:ascii="Symbol" w:hAnsi="Symbol"/>
      </w:rPr>
    </w:lvl>
    <w:lvl w:ilvl="1" w:tplc="779AE53C">
      <w:start w:val="1"/>
      <w:numFmt w:val="bullet"/>
      <w:lvlText w:val=""/>
      <w:lvlJc w:val="left"/>
      <w:pPr>
        <w:ind w:left="720" w:hanging="360"/>
      </w:pPr>
      <w:rPr>
        <w:rFonts w:ascii="Symbol" w:hAnsi="Symbol"/>
      </w:rPr>
    </w:lvl>
    <w:lvl w:ilvl="2" w:tplc="B728ED9E">
      <w:start w:val="1"/>
      <w:numFmt w:val="bullet"/>
      <w:lvlText w:val=""/>
      <w:lvlJc w:val="left"/>
      <w:pPr>
        <w:ind w:left="720" w:hanging="360"/>
      </w:pPr>
      <w:rPr>
        <w:rFonts w:ascii="Symbol" w:hAnsi="Symbol"/>
      </w:rPr>
    </w:lvl>
    <w:lvl w:ilvl="3" w:tplc="633ED7E0">
      <w:start w:val="1"/>
      <w:numFmt w:val="bullet"/>
      <w:lvlText w:val=""/>
      <w:lvlJc w:val="left"/>
      <w:pPr>
        <w:ind w:left="720" w:hanging="360"/>
      </w:pPr>
      <w:rPr>
        <w:rFonts w:ascii="Symbol" w:hAnsi="Symbol"/>
      </w:rPr>
    </w:lvl>
    <w:lvl w:ilvl="4" w:tplc="56383818">
      <w:start w:val="1"/>
      <w:numFmt w:val="bullet"/>
      <w:lvlText w:val=""/>
      <w:lvlJc w:val="left"/>
      <w:pPr>
        <w:ind w:left="720" w:hanging="360"/>
      </w:pPr>
      <w:rPr>
        <w:rFonts w:ascii="Symbol" w:hAnsi="Symbol"/>
      </w:rPr>
    </w:lvl>
    <w:lvl w:ilvl="5" w:tplc="70F00A28">
      <w:start w:val="1"/>
      <w:numFmt w:val="bullet"/>
      <w:lvlText w:val=""/>
      <w:lvlJc w:val="left"/>
      <w:pPr>
        <w:ind w:left="720" w:hanging="360"/>
      </w:pPr>
      <w:rPr>
        <w:rFonts w:ascii="Symbol" w:hAnsi="Symbol"/>
      </w:rPr>
    </w:lvl>
    <w:lvl w:ilvl="6" w:tplc="0D2CC038">
      <w:start w:val="1"/>
      <w:numFmt w:val="bullet"/>
      <w:lvlText w:val=""/>
      <w:lvlJc w:val="left"/>
      <w:pPr>
        <w:ind w:left="720" w:hanging="360"/>
      </w:pPr>
      <w:rPr>
        <w:rFonts w:ascii="Symbol" w:hAnsi="Symbol"/>
      </w:rPr>
    </w:lvl>
    <w:lvl w:ilvl="7" w:tplc="CFC2DD02">
      <w:start w:val="1"/>
      <w:numFmt w:val="bullet"/>
      <w:lvlText w:val=""/>
      <w:lvlJc w:val="left"/>
      <w:pPr>
        <w:ind w:left="720" w:hanging="360"/>
      </w:pPr>
      <w:rPr>
        <w:rFonts w:ascii="Symbol" w:hAnsi="Symbol"/>
      </w:rPr>
    </w:lvl>
    <w:lvl w:ilvl="8" w:tplc="18942EF2">
      <w:start w:val="1"/>
      <w:numFmt w:val="bullet"/>
      <w:lvlText w:val=""/>
      <w:lvlJc w:val="left"/>
      <w:pPr>
        <w:ind w:left="720" w:hanging="360"/>
      </w:pPr>
      <w:rPr>
        <w:rFonts w:ascii="Symbol" w:hAnsi="Symbol"/>
      </w:rPr>
    </w:lvl>
  </w:abstractNum>
  <w:abstractNum w:abstractNumId="17" w15:restartNumberingAfterBreak="0">
    <w:nsid w:val="64DD3D32"/>
    <w:multiLevelType w:val="hybridMultilevel"/>
    <w:tmpl w:val="D28E1164"/>
    <w:lvl w:ilvl="0" w:tplc="8F80B6DA">
      <w:start w:val="1"/>
      <w:numFmt w:val="bullet"/>
      <w:lvlText w:val=""/>
      <w:lvlJc w:val="left"/>
      <w:pPr>
        <w:ind w:left="720" w:hanging="360"/>
      </w:pPr>
      <w:rPr>
        <w:rFonts w:ascii="Symbol" w:hAnsi="Symbol"/>
      </w:rPr>
    </w:lvl>
    <w:lvl w:ilvl="1" w:tplc="3C5CEA88">
      <w:start w:val="1"/>
      <w:numFmt w:val="bullet"/>
      <w:lvlText w:val=""/>
      <w:lvlJc w:val="left"/>
      <w:pPr>
        <w:ind w:left="720" w:hanging="360"/>
      </w:pPr>
      <w:rPr>
        <w:rFonts w:ascii="Symbol" w:hAnsi="Symbol"/>
      </w:rPr>
    </w:lvl>
    <w:lvl w:ilvl="2" w:tplc="18EC73D0">
      <w:start w:val="1"/>
      <w:numFmt w:val="bullet"/>
      <w:lvlText w:val=""/>
      <w:lvlJc w:val="left"/>
      <w:pPr>
        <w:ind w:left="720" w:hanging="360"/>
      </w:pPr>
      <w:rPr>
        <w:rFonts w:ascii="Symbol" w:hAnsi="Symbol"/>
      </w:rPr>
    </w:lvl>
    <w:lvl w:ilvl="3" w:tplc="8EC249D6">
      <w:start w:val="1"/>
      <w:numFmt w:val="bullet"/>
      <w:lvlText w:val=""/>
      <w:lvlJc w:val="left"/>
      <w:pPr>
        <w:ind w:left="720" w:hanging="360"/>
      </w:pPr>
      <w:rPr>
        <w:rFonts w:ascii="Symbol" w:hAnsi="Symbol"/>
      </w:rPr>
    </w:lvl>
    <w:lvl w:ilvl="4" w:tplc="F498036E">
      <w:start w:val="1"/>
      <w:numFmt w:val="bullet"/>
      <w:lvlText w:val=""/>
      <w:lvlJc w:val="left"/>
      <w:pPr>
        <w:ind w:left="720" w:hanging="360"/>
      </w:pPr>
      <w:rPr>
        <w:rFonts w:ascii="Symbol" w:hAnsi="Symbol"/>
      </w:rPr>
    </w:lvl>
    <w:lvl w:ilvl="5" w:tplc="0F627DAE">
      <w:start w:val="1"/>
      <w:numFmt w:val="bullet"/>
      <w:lvlText w:val=""/>
      <w:lvlJc w:val="left"/>
      <w:pPr>
        <w:ind w:left="720" w:hanging="360"/>
      </w:pPr>
      <w:rPr>
        <w:rFonts w:ascii="Symbol" w:hAnsi="Symbol"/>
      </w:rPr>
    </w:lvl>
    <w:lvl w:ilvl="6" w:tplc="067C100A">
      <w:start w:val="1"/>
      <w:numFmt w:val="bullet"/>
      <w:lvlText w:val=""/>
      <w:lvlJc w:val="left"/>
      <w:pPr>
        <w:ind w:left="720" w:hanging="360"/>
      </w:pPr>
      <w:rPr>
        <w:rFonts w:ascii="Symbol" w:hAnsi="Symbol"/>
      </w:rPr>
    </w:lvl>
    <w:lvl w:ilvl="7" w:tplc="9822D5AA">
      <w:start w:val="1"/>
      <w:numFmt w:val="bullet"/>
      <w:lvlText w:val=""/>
      <w:lvlJc w:val="left"/>
      <w:pPr>
        <w:ind w:left="720" w:hanging="360"/>
      </w:pPr>
      <w:rPr>
        <w:rFonts w:ascii="Symbol" w:hAnsi="Symbol"/>
      </w:rPr>
    </w:lvl>
    <w:lvl w:ilvl="8" w:tplc="9CFE6DD8">
      <w:start w:val="1"/>
      <w:numFmt w:val="bullet"/>
      <w:lvlText w:val=""/>
      <w:lvlJc w:val="left"/>
      <w:pPr>
        <w:ind w:left="720" w:hanging="360"/>
      </w:pPr>
      <w:rPr>
        <w:rFonts w:ascii="Symbol" w:hAnsi="Symbol"/>
      </w:rPr>
    </w:lvl>
  </w:abstractNum>
  <w:abstractNum w:abstractNumId="18"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9212">
    <w:abstractNumId w:val="12"/>
  </w:num>
  <w:num w:numId="2" w16cid:durableId="511991696">
    <w:abstractNumId w:val="14"/>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18"/>
  </w:num>
  <w:num w:numId="14" w16cid:durableId="2054235477">
    <w:abstractNumId w:val="15"/>
  </w:num>
  <w:num w:numId="15" w16cid:durableId="969481621">
    <w:abstractNumId w:val="16"/>
  </w:num>
  <w:num w:numId="16" w16cid:durableId="1531214939">
    <w:abstractNumId w:val="10"/>
  </w:num>
  <w:num w:numId="17" w16cid:durableId="805440380">
    <w:abstractNumId w:val="17"/>
  </w:num>
  <w:num w:numId="18" w16cid:durableId="1822194707">
    <w:abstractNumId w:val="13"/>
  </w:num>
  <w:num w:numId="19" w16cid:durableId="2056418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14B68"/>
    <w:rsid w:val="0002182E"/>
    <w:rsid w:val="000378BC"/>
    <w:rsid w:val="000541D6"/>
    <w:rsid w:val="000602AC"/>
    <w:rsid w:val="000608DC"/>
    <w:rsid w:val="00064C65"/>
    <w:rsid w:val="00066463"/>
    <w:rsid w:val="00071930"/>
    <w:rsid w:val="00076FB6"/>
    <w:rsid w:val="00080D57"/>
    <w:rsid w:val="000822C0"/>
    <w:rsid w:val="0008623D"/>
    <w:rsid w:val="00095ED2"/>
    <w:rsid w:val="000B4D85"/>
    <w:rsid w:val="000C0269"/>
    <w:rsid w:val="000C2133"/>
    <w:rsid w:val="000D3659"/>
    <w:rsid w:val="00104E1B"/>
    <w:rsid w:val="00115582"/>
    <w:rsid w:val="0012360D"/>
    <w:rsid w:val="00125B51"/>
    <w:rsid w:val="00126681"/>
    <w:rsid w:val="00130D5B"/>
    <w:rsid w:val="001362EE"/>
    <w:rsid w:val="001449B7"/>
    <w:rsid w:val="00145A52"/>
    <w:rsid w:val="0015293D"/>
    <w:rsid w:val="00152DD1"/>
    <w:rsid w:val="00163D16"/>
    <w:rsid w:val="00163FCC"/>
    <w:rsid w:val="00165A5A"/>
    <w:rsid w:val="001849C1"/>
    <w:rsid w:val="001A1691"/>
    <w:rsid w:val="001A3CEF"/>
    <w:rsid w:val="001B12A0"/>
    <w:rsid w:val="001B1A5D"/>
    <w:rsid w:val="001C1844"/>
    <w:rsid w:val="001D28E9"/>
    <w:rsid w:val="001D2FD5"/>
    <w:rsid w:val="001D56AA"/>
    <w:rsid w:val="001E630D"/>
    <w:rsid w:val="001F645C"/>
    <w:rsid w:val="002033FF"/>
    <w:rsid w:val="00206074"/>
    <w:rsid w:val="00215F39"/>
    <w:rsid w:val="00217779"/>
    <w:rsid w:val="00226B18"/>
    <w:rsid w:val="002276BC"/>
    <w:rsid w:val="002351DC"/>
    <w:rsid w:val="00240157"/>
    <w:rsid w:val="00242BA1"/>
    <w:rsid w:val="00247D46"/>
    <w:rsid w:val="00255FF7"/>
    <w:rsid w:val="00262B23"/>
    <w:rsid w:val="00263CE8"/>
    <w:rsid w:val="00266ED0"/>
    <w:rsid w:val="00280B5F"/>
    <w:rsid w:val="002A2EF3"/>
    <w:rsid w:val="002B0A79"/>
    <w:rsid w:val="002B3012"/>
    <w:rsid w:val="002B5C63"/>
    <w:rsid w:val="002E4106"/>
    <w:rsid w:val="002E5B6D"/>
    <w:rsid w:val="002F00C7"/>
    <w:rsid w:val="002F2B1C"/>
    <w:rsid w:val="0030233D"/>
    <w:rsid w:val="0031455A"/>
    <w:rsid w:val="00317C65"/>
    <w:rsid w:val="00320394"/>
    <w:rsid w:val="00320C50"/>
    <w:rsid w:val="00320E04"/>
    <w:rsid w:val="00322B3E"/>
    <w:rsid w:val="00326E4D"/>
    <w:rsid w:val="003312E9"/>
    <w:rsid w:val="003318BE"/>
    <w:rsid w:val="00333A44"/>
    <w:rsid w:val="00342FD9"/>
    <w:rsid w:val="00345C4F"/>
    <w:rsid w:val="00350D50"/>
    <w:rsid w:val="0035551D"/>
    <w:rsid w:val="003558B6"/>
    <w:rsid w:val="00364926"/>
    <w:rsid w:val="003828C9"/>
    <w:rsid w:val="0038569C"/>
    <w:rsid w:val="003B09FD"/>
    <w:rsid w:val="003B2083"/>
    <w:rsid w:val="003B2BB8"/>
    <w:rsid w:val="003C0CE9"/>
    <w:rsid w:val="003D34FF"/>
    <w:rsid w:val="003E1DCE"/>
    <w:rsid w:val="003F776A"/>
    <w:rsid w:val="00416A0B"/>
    <w:rsid w:val="004322C8"/>
    <w:rsid w:val="00434658"/>
    <w:rsid w:val="00436741"/>
    <w:rsid w:val="00441D00"/>
    <w:rsid w:val="004459CF"/>
    <w:rsid w:val="00445A0C"/>
    <w:rsid w:val="00466101"/>
    <w:rsid w:val="00466AB2"/>
    <w:rsid w:val="0047236F"/>
    <w:rsid w:val="00491A43"/>
    <w:rsid w:val="0049272C"/>
    <w:rsid w:val="004B42AB"/>
    <w:rsid w:val="004B54CA"/>
    <w:rsid w:val="004B56D6"/>
    <w:rsid w:val="004C0153"/>
    <w:rsid w:val="004E5CBF"/>
    <w:rsid w:val="004E7349"/>
    <w:rsid w:val="00500DA6"/>
    <w:rsid w:val="005020DF"/>
    <w:rsid w:val="00541455"/>
    <w:rsid w:val="005604E8"/>
    <w:rsid w:val="00567E75"/>
    <w:rsid w:val="0057160C"/>
    <w:rsid w:val="00572E54"/>
    <w:rsid w:val="0059044A"/>
    <w:rsid w:val="005A5423"/>
    <w:rsid w:val="005A55F4"/>
    <w:rsid w:val="005A7154"/>
    <w:rsid w:val="005A73FB"/>
    <w:rsid w:val="005B027C"/>
    <w:rsid w:val="005B1549"/>
    <w:rsid w:val="005B7D22"/>
    <w:rsid w:val="005C3AA9"/>
    <w:rsid w:val="005C486A"/>
    <w:rsid w:val="005E19D7"/>
    <w:rsid w:val="005F242F"/>
    <w:rsid w:val="005F24BB"/>
    <w:rsid w:val="005F46C1"/>
    <w:rsid w:val="00601C16"/>
    <w:rsid w:val="00601D1A"/>
    <w:rsid w:val="00602A5A"/>
    <w:rsid w:val="00604D5D"/>
    <w:rsid w:val="00611EED"/>
    <w:rsid w:val="00624262"/>
    <w:rsid w:val="00633714"/>
    <w:rsid w:val="006356CD"/>
    <w:rsid w:val="006405BA"/>
    <w:rsid w:val="00644E69"/>
    <w:rsid w:val="00646796"/>
    <w:rsid w:val="00654A06"/>
    <w:rsid w:val="0065516D"/>
    <w:rsid w:val="0065546F"/>
    <w:rsid w:val="00657B59"/>
    <w:rsid w:val="00681FAC"/>
    <w:rsid w:val="00683798"/>
    <w:rsid w:val="00691FBF"/>
    <w:rsid w:val="00696C3B"/>
    <w:rsid w:val="006A4CE7"/>
    <w:rsid w:val="006C3338"/>
    <w:rsid w:val="006C4979"/>
    <w:rsid w:val="006C6C7D"/>
    <w:rsid w:val="006D14CB"/>
    <w:rsid w:val="006E31E6"/>
    <w:rsid w:val="006F639C"/>
    <w:rsid w:val="00707716"/>
    <w:rsid w:val="0072017A"/>
    <w:rsid w:val="00732CD8"/>
    <w:rsid w:val="00745D24"/>
    <w:rsid w:val="00746C5B"/>
    <w:rsid w:val="0075619A"/>
    <w:rsid w:val="00761279"/>
    <w:rsid w:val="00770871"/>
    <w:rsid w:val="00771147"/>
    <w:rsid w:val="00782366"/>
    <w:rsid w:val="00785261"/>
    <w:rsid w:val="007B0256"/>
    <w:rsid w:val="007B030A"/>
    <w:rsid w:val="007B067F"/>
    <w:rsid w:val="007B704A"/>
    <w:rsid w:val="007C0A06"/>
    <w:rsid w:val="007D0476"/>
    <w:rsid w:val="007D5336"/>
    <w:rsid w:val="007E076C"/>
    <w:rsid w:val="007F13C5"/>
    <w:rsid w:val="007F1B00"/>
    <w:rsid w:val="007F4B2F"/>
    <w:rsid w:val="008040D4"/>
    <w:rsid w:val="00820A49"/>
    <w:rsid w:val="00834DED"/>
    <w:rsid w:val="0084290F"/>
    <w:rsid w:val="00857417"/>
    <w:rsid w:val="00861317"/>
    <w:rsid w:val="00863E74"/>
    <w:rsid w:val="00865275"/>
    <w:rsid w:val="00870413"/>
    <w:rsid w:val="008818F2"/>
    <w:rsid w:val="00893639"/>
    <w:rsid w:val="008944AB"/>
    <w:rsid w:val="00894DC1"/>
    <w:rsid w:val="00897862"/>
    <w:rsid w:val="00897FDB"/>
    <w:rsid w:val="008A18AF"/>
    <w:rsid w:val="008A1A60"/>
    <w:rsid w:val="008A2099"/>
    <w:rsid w:val="008A424A"/>
    <w:rsid w:val="008B29FD"/>
    <w:rsid w:val="008C14C6"/>
    <w:rsid w:val="008C2BE2"/>
    <w:rsid w:val="008C6B9C"/>
    <w:rsid w:val="008C7FC7"/>
    <w:rsid w:val="008D0686"/>
    <w:rsid w:val="008D241F"/>
    <w:rsid w:val="008D37C3"/>
    <w:rsid w:val="008E1032"/>
    <w:rsid w:val="008F7AFD"/>
    <w:rsid w:val="00901A6E"/>
    <w:rsid w:val="009037D0"/>
    <w:rsid w:val="00904559"/>
    <w:rsid w:val="00904C43"/>
    <w:rsid w:val="0091156D"/>
    <w:rsid w:val="009225F0"/>
    <w:rsid w:val="0092537E"/>
    <w:rsid w:val="00932AD1"/>
    <w:rsid w:val="0094757E"/>
    <w:rsid w:val="00954FE9"/>
    <w:rsid w:val="009564A9"/>
    <w:rsid w:val="0096192C"/>
    <w:rsid w:val="00961D8B"/>
    <w:rsid w:val="00981B94"/>
    <w:rsid w:val="0099706C"/>
    <w:rsid w:val="009B47AD"/>
    <w:rsid w:val="009B4C84"/>
    <w:rsid w:val="009B588C"/>
    <w:rsid w:val="009C2199"/>
    <w:rsid w:val="009C36B6"/>
    <w:rsid w:val="009E5857"/>
    <w:rsid w:val="009F7DC7"/>
    <w:rsid w:val="00A03D9F"/>
    <w:rsid w:val="00A12071"/>
    <w:rsid w:val="00A17101"/>
    <w:rsid w:val="00A37D3A"/>
    <w:rsid w:val="00A41933"/>
    <w:rsid w:val="00A446CB"/>
    <w:rsid w:val="00A64E13"/>
    <w:rsid w:val="00A65A09"/>
    <w:rsid w:val="00A6636D"/>
    <w:rsid w:val="00A67158"/>
    <w:rsid w:val="00A71AC1"/>
    <w:rsid w:val="00A870F0"/>
    <w:rsid w:val="00A97615"/>
    <w:rsid w:val="00AA243E"/>
    <w:rsid w:val="00AA510F"/>
    <w:rsid w:val="00AA6AB2"/>
    <w:rsid w:val="00AB1215"/>
    <w:rsid w:val="00AB5BFF"/>
    <w:rsid w:val="00AC0387"/>
    <w:rsid w:val="00AC0751"/>
    <w:rsid w:val="00AC695B"/>
    <w:rsid w:val="00AC7590"/>
    <w:rsid w:val="00AF3F6B"/>
    <w:rsid w:val="00AF6220"/>
    <w:rsid w:val="00B079F1"/>
    <w:rsid w:val="00B10A58"/>
    <w:rsid w:val="00B1394A"/>
    <w:rsid w:val="00B148A8"/>
    <w:rsid w:val="00B32AED"/>
    <w:rsid w:val="00B43094"/>
    <w:rsid w:val="00B61B0A"/>
    <w:rsid w:val="00B7345E"/>
    <w:rsid w:val="00B76713"/>
    <w:rsid w:val="00B77417"/>
    <w:rsid w:val="00B81430"/>
    <w:rsid w:val="00B81DA8"/>
    <w:rsid w:val="00B84914"/>
    <w:rsid w:val="00B84C15"/>
    <w:rsid w:val="00B86DC5"/>
    <w:rsid w:val="00B92848"/>
    <w:rsid w:val="00BA2DB9"/>
    <w:rsid w:val="00BB60BA"/>
    <w:rsid w:val="00BC564D"/>
    <w:rsid w:val="00BD1010"/>
    <w:rsid w:val="00BD3916"/>
    <w:rsid w:val="00BD606F"/>
    <w:rsid w:val="00BE5CAF"/>
    <w:rsid w:val="00BE6CEA"/>
    <w:rsid w:val="00BE7148"/>
    <w:rsid w:val="00BE7C66"/>
    <w:rsid w:val="00BF3F8C"/>
    <w:rsid w:val="00BF753F"/>
    <w:rsid w:val="00C04D23"/>
    <w:rsid w:val="00C16DF7"/>
    <w:rsid w:val="00C17022"/>
    <w:rsid w:val="00C314C1"/>
    <w:rsid w:val="00C4273B"/>
    <w:rsid w:val="00C53572"/>
    <w:rsid w:val="00C5364C"/>
    <w:rsid w:val="00C66EA8"/>
    <w:rsid w:val="00C67FFC"/>
    <w:rsid w:val="00C85257"/>
    <w:rsid w:val="00C92294"/>
    <w:rsid w:val="00CA03D7"/>
    <w:rsid w:val="00CA11CD"/>
    <w:rsid w:val="00CB4B7E"/>
    <w:rsid w:val="00CB77EB"/>
    <w:rsid w:val="00CD5FC7"/>
    <w:rsid w:val="00CD6745"/>
    <w:rsid w:val="00CE603E"/>
    <w:rsid w:val="00CE74B5"/>
    <w:rsid w:val="00CF57E2"/>
    <w:rsid w:val="00D10294"/>
    <w:rsid w:val="00D21F05"/>
    <w:rsid w:val="00D25B09"/>
    <w:rsid w:val="00D3347C"/>
    <w:rsid w:val="00D33EA3"/>
    <w:rsid w:val="00D57E76"/>
    <w:rsid w:val="00D73272"/>
    <w:rsid w:val="00DA75B8"/>
    <w:rsid w:val="00DB1523"/>
    <w:rsid w:val="00DB307A"/>
    <w:rsid w:val="00DC3D5F"/>
    <w:rsid w:val="00DC766F"/>
    <w:rsid w:val="00DE5A46"/>
    <w:rsid w:val="00DE79DF"/>
    <w:rsid w:val="00E0072C"/>
    <w:rsid w:val="00E01AEE"/>
    <w:rsid w:val="00E048C3"/>
    <w:rsid w:val="00E34DE2"/>
    <w:rsid w:val="00E358E4"/>
    <w:rsid w:val="00E43C05"/>
    <w:rsid w:val="00E46940"/>
    <w:rsid w:val="00E51A68"/>
    <w:rsid w:val="00E73EF9"/>
    <w:rsid w:val="00E84E7B"/>
    <w:rsid w:val="00E85AFA"/>
    <w:rsid w:val="00E86B21"/>
    <w:rsid w:val="00E87D2E"/>
    <w:rsid w:val="00E95F7F"/>
    <w:rsid w:val="00EA01DB"/>
    <w:rsid w:val="00EB6074"/>
    <w:rsid w:val="00EC4316"/>
    <w:rsid w:val="00EC5D3D"/>
    <w:rsid w:val="00ED67FF"/>
    <w:rsid w:val="00EE0E50"/>
    <w:rsid w:val="00EE3544"/>
    <w:rsid w:val="00EF264B"/>
    <w:rsid w:val="00EF3122"/>
    <w:rsid w:val="00F0107B"/>
    <w:rsid w:val="00F25B3A"/>
    <w:rsid w:val="00F26F66"/>
    <w:rsid w:val="00F34239"/>
    <w:rsid w:val="00F41793"/>
    <w:rsid w:val="00F424E6"/>
    <w:rsid w:val="00F55EA5"/>
    <w:rsid w:val="00F610B0"/>
    <w:rsid w:val="00F61C2B"/>
    <w:rsid w:val="00F656CA"/>
    <w:rsid w:val="00F7120C"/>
    <w:rsid w:val="00F737FC"/>
    <w:rsid w:val="00F73956"/>
    <w:rsid w:val="00F81D71"/>
    <w:rsid w:val="00F823F7"/>
    <w:rsid w:val="00FA2BAB"/>
    <w:rsid w:val="00FB093C"/>
    <w:rsid w:val="00FB38EB"/>
    <w:rsid w:val="00FC40B4"/>
    <w:rsid w:val="00FC6282"/>
    <w:rsid w:val="00FD57C2"/>
    <w:rsid w:val="00FD65F3"/>
    <w:rsid w:val="00FE2784"/>
    <w:rsid w:val="00FE5FAA"/>
    <w:rsid w:val="00FF55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45A0C"/>
    <w:pPr>
      <w:spacing w:before="120" w:after="120" w:line="240" w:lineRule="auto"/>
      <w:ind w:left="794" w:right="794"/>
      <w:jc w:val="center"/>
    </w:pPr>
    <w:rPr>
      <w:rFonts w:ascii="Times New Roman" w:eastAsia="Times New Roman" w:hAnsi="Times New Roman" w:cs="Times New Roman"/>
      <w:b/>
      <w:bCs/>
      <w:color w:val="000000"/>
      <w:sz w:val="28"/>
      <w:szCs w:val="28"/>
      <w:lang w:eastAsia="en-AU"/>
    </w:rPr>
  </w:style>
  <w:style w:type="character" w:customStyle="1" w:styleId="TitleChar">
    <w:name w:val="Title Char"/>
    <w:basedOn w:val="DefaultParagraphFont"/>
    <w:link w:val="Title"/>
    <w:uiPriority w:val="10"/>
    <w:rsid w:val="00445A0C"/>
    <w:rPr>
      <w:rFonts w:ascii="Times New Roman" w:eastAsia="Times New Roman" w:hAnsi="Times New Roman" w:cs="Times New Roman"/>
      <w:b/>
      <w:bCs/>
      <w:color w:val="000000"/>
      <w:sz w:val="28"/>
      <w:szCs w:val="28"/>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Props1.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2.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3.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 ds:uri="afb5d960-bb3a-4a93-9657-1be85aa79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703</Words>
  <Characters>3735</Characters>
  <Application>Microsoft Office Word</Application>
  <DocSecurity>0</DocSecurity>
  <Lines>139</Lines>
  <Paragraphs>121</Paragraphs>
  <ScaleCrop>false</ScaleCrop>
  <HeadingPairs>
    <vt:vector size="2" baseType="variant">
      <vt:variant>
        <vt:lpstr>Title</vt:lpstr>
      </vt:variant>
      <vt:variant>
        <vt:i4>1</vt:i4>
      </vt:variant>
    </vt:vector>
  </HeadingPairs>
  <TitlesOfParts>
    <vt:vector size="1" baseType="lpstr">
      <vt:lpstr>Schedule of fees and charges for residential and home care</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1 July 2025</dc:title>
  <dc:subject>Aged care</dc:subject>
  <dc:creator>Australian Government Department of Health&lt; Disability and Ageing</dc:creator>
  <cp:keywords>Aged Care; Finance; Schedule</cp:keywords>
  <cp:lastModifiedBy>MASCHKE, Elvia</cp:lastModifiedBy>
  <cp:revision>3</cp:revision>
  <cp:lastPrinted>2025-06-26T05:49:00Z</cp:lastPrinted>
  <dcterms:created xsi:type="dcterms:W3CDTF">2025-06-26T05:49:00Z</dcterms:created>
  <dcterms:modified xsi:type="dcterms:W3CDTF">2025-06-26T05:50:00Z</dcterms:modified>
  <cp:category>Aged Care;Finance;Schedule</cp:category>
</cp:coreProperties>
</file>