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7B4A" w14:textId="2FDFB953" w:rsidR="00DE28C1" w:rsidRPr="008267C7" w:rsidRDefault="00DE28C1" w:rsidP="008267C7">
      <w:pPr>
        <w:pStyle w:val="Title"/>
      </w:pPr>
      <w:r>
        <w:t>Integrated Team Care</w:t>
      </w:r>
      <w:r w:rsidR="008267C7">
        <w:t xml:space="preserve"> </w:t>
      </w:r>
      <w:r w:rsidR="00A456E0" w:rsidRPr="00A456E0">
        <w:t xml:space="preserve">– </w:t>
      </w:r>
      <w:r>
        <w:t>Program Implementation Guidelines</w:t>
      </w:r>
    </w:p>
    <w:p w14:paraId="7C401D97" w14:textId="77777777" w:rsidR="00CA79CF" w:rsidRDefault="00CA79CF" w:rsidP="008267C7"/>
    <w:p w14:paraId="258F3421" w14:textId="77777777" w:rsidR="008267C7" w:rsidRPr="008267C7" w:rsidRDefault="008267C7" w:rsidP="008267C7">
      <w:pPr>
        <w:ind w:right="2691"/>
        <w:sectPr w:rsidR="008267C7" w:rsidRPr="008267C7" w:rsidSect="00CA79CF">
          <w:headerReference w:type="default" r:id="rId13"/>
          <w:headerReference w:type="first" r:id="rId14"/>
          <w:type w:val="continuous"/>
          <w:pgSz w:w="11906" w:h="16838"/>
          <w:pgMar w:top="1701" w:right="1418" w:bottom="1418" w:left="1418" w:header="709" w:footer="709" w:gutter="0"/>
          <w:cols w:space="708"/>
          <w:titlePg/>
          <w:docGrid w:linePitch="360"/>
        </w:sectPr>
      </w:pPr>
    </w:p>
    <w:sdt>
      <w:sdtPr>
        <w:rPr>
          <w:rFonts w:eastAsia="Calibri"/>
          <w:b w:val="0"/>
          <w:bCs w:val="0"/>
          <w:color w:val="000000" w:themeColor="text1"/>
          <w:sz w:val="22"/>
          <w:szCs w:val="24"/>
          <w:lang w:val="en-AU" w:eastAsia="en-US"/>
        </w:rPr>
        <w:id w:val="1440019605"/>
        <w:docPartObj>
          <w:docPartGallery w:val="Table of Contents"/>
          <w:docPartUnique/>
        </w:docPartObj>
      </w:sdtPr>
      <w:sdtEndPr>
        <w:rPr>
          <w:noProof/>
        </w:rPr>
      </w:sdtEndPr>
      <w:sdtContent>
        <w:p w14:paraId="32B74B4E" w14:textId="77C71129" w:rsidR="0032237E" w:rsidRPr="007C32D0" w:rsidRDefault="0032237E">
          <w:pPr>
            <w:pStyle w:val="TOCHeading"/>
            <w:rPr>
              <w:color w:val="3F4A75"/>
              <w:sz w:val="40"/>
              <w:szCs w:val="40"/>
            </w:rPr>
          </w:pPr>
          <w:r w:rsidRPr="007C32D0">
            <w:rPr>
              <w:color w:val="3F4A75"/>
              <w:sz w:val="40"/>
              <w:szCs w:val="40"/>
            </w:rPr>
            <w:t>Contents</w:t>
          </w:r>
        </w:p>
        <w:p w14:paraId="486A866B" w14:textId="7BE93D3B" w:rsidR="0032237E" w:rsidRPr="0032237E" w:rsidRDefault="0032237E">
          <w:pPr>
            <w:pStyle w:val="TOC1"/>
          </w:pPr>
          <w:r>
            <w:fldChar w:fldCharType="begin"/>
          </w:r>
          <w:r>
            <w:instrText xml:space="preserve"> TOC \o "1-3" \h \z \u </w:instrText>
          </w:r>
          <w:r>
            <w:fldChar w:fldCharType="separate"/>
          </w:r>
          <w:hyperlink w:anchor="_Toc201167217" w:history="1">
            <w:r w:rsidRPr="00891BB6">
              <w:rPr>
                <w:rStyle w:val="Hyperlink"/>
                <w:noProof/>
              </w:rPr>
              <w:t>1</w:t>
            </w:r>
            <w:r w:rsidRPr="0032237E">
              <w:tab/>
            </w:r>
            <w:r w:rsidRPr="00891BB6">
              <w:rPr>
                <w:rStyle w:val="Hyperlink"/>
                <w:noProof/>
              </w:rPr>
              <w:t>Introduction</w:t>
            </w:r>
            <w:r>
              <w:rPr>
                <w:noProof/>
                <w:webHidden/>
              </w:rPr>
              <w:tab/>
            </w:r>
            <w:r>
              <w:rPr>
                <w:noProof/>
                <w:webHidden/>
              </w:rPr>
              <w:fldChar w:fldCharType="begin"/>
            </w:r>
            <w:r>
              <w:rPr>
                <w:noProof/>
                <w:webHidden/>
              </w:rPr>
              <w:instrText xml:space="preserve"> PAGEREF _Toc201167217 \h </w:instrText>
            </w:r>
            <w:r>
              <w:rPr>
                <w:noProof/>
                <w:webHidden/>
              </w:rPr>
            </w:r>
            <w:r>
              <w:rPr>
                <w:noProof/>
                <w:webHidden/>
              </w:rPr>
              <w:fldChar w:fldCharType="separate"/>
            </w:r>
            <w:r>
              <w:rPr>
                <w:noProof/>
                <w:webHidden/>
              </w:rPr>
              <w:t>4</w:t>
            </w:r>
            <w:r>
              <w:rPr>
                <w:noProof/>
                <w:webHidden/>
              </w:rPr>
              <w:fldChar w:fldCharType="end"/>
            </w:r>
          </w:hyperlink>
        </w:p>
        <w:p w14:paraId="39B39C40" w14:textId="4595DBB0" w:rsidR="0032237E" w:rsidRPr="0032237E" w:rsidRDefault="0032237E">
          <w:pPr>
            <w:pStyle w:val="TOC2"/>
          </w:pPr>
          <w:hyperlink w:anchor="_Toc201167218" w:history="1">
            <w:r w:rsidRPr="00891BB6">
              <w:rPr>
                <w:rStyle w:val="Hyperlink"/>
                <w:noProof/>
              </w:rPr>
              <w:t>1.1</w:t>
            </w:r>
            <w:r w:rsidRPr="0032237E">
              <w:tab/>
            </w:r>
            <w:r w:rsidRPr="00891BB6">
              <w:rPr>
                <w:rStyle w:val="Hyperlink"/>
                <w:noProof/>
              </w:rPr>
              <w:t>Objectives and outcomes of the Integrated Team Care Program</w:t>
            </w:r>
            <w:r>
              <w:rPr>
                <w:noProof/>
                <w:webHidden/>
              </w:rPr>
              <w:tab/>
            </w:r>
            <w:r>
              <w:rPr>
                <w:noProof/>
                <w:webHidden/>
              </w:rPr>
              <w:fldChar w:fldCharType="begin"/>
            </w:r>
            <w:r>
              <w:rPr>
                <w:noProof/>
                <w:webHidden/>
              </w:rPr>
              <w:instrText xml:space="preserve"> PAGEREF _Toc201167218 \h </w:instrText>
            </w:r>
            <w:r>
              <w:rPr>
                <w:noProof/>
                <w:webHidden/>
              </w:rPr>
            </w:r>
            <w:r>
              <w:rPr>
                <w:noProof/>
                <w:webHidden/>
              </w:rPr>
              <w:fldChar w:fldCharType="separate"/>
            </w:r>
            <w:r>
              <w:rPr>
                <w:noProof/>
                <w:webHidden/>
              </w:rPr>
              <w:t>4</w:t>
            </w:r>
            <w:r>
              <w:rPr>
                <w:noProof/>
                <w:webHidden/>
              </w:rPr>
              <w:fldChar w:fldCharType="end"/>
            </w:r>
          </w:hyperlink>
        </w:p>
        <w:p w14:paraId="3A7E13E0" w14:textId="08378E36" w:rsidR="0032237E" w:rsidRPr="0032237E" w:rsidRDefault="0032237E">
          <w:pPr>
            <w:pStyle w:val="TOC2"/>
          </w:pPr>
          <w:hyperlink w:anchor="_Toc201167219" w:history="1">
            <w:r w:rsidRPr="00891BB6">
              <w:rPr>
                <w:rStyle w:val="Hyperlink"/>
                <w:noProof/>
              </w:rPr>
              <w:t>1.2</w:t>
            </w:r>
            <w:r w:rsidRPr="0032237E">
              <w:tab/>
            </w:r>
            <w:r w:rsidRPr="00891BB6">
              <w:rPr>
                <w:rStyle w:val="Hyperlink"/>
                <w:noProof/>
              </w:rPr>
              <w:t>Program description</w:t>
            </w:r>
            <w:r>
              <w:rPr>
                <w:noProof/>
                <w:webHidden/>
              </w:rPr>
              <w:tab/>
            </w:r>
            <w:r>
              <w:rPr>
                <w:noProof/>
                <w:webHidden/>
              </w:rPr>
              <w:fldChar w:fldCharType="begin"/>
            </w:r>
            <w:r>
              <w:rPr>
                <w:noProof/>
                <w:webHidden/>
              </w:rPr>
              <w:instrText xml:space="preserve"> PAGEREF _Toc201167219 \h </w:instrText>
            </w:r>
            <w:r>
              <w:rPr>
                <w:noProof/>
                <w:webHidden/>
              </w:rPr>
            </w:r>
            <w:r>
              <w:rPr>
                <w:noProof/>
                <w:webHidden/>
              </w:rPr>
              <w:fldChar w:fldCharType="separate"/>
            </w:r>
            <w:r>
              <w:rPr>
                <w:noProof/>
                <w:webHidden/>
              </w:rPr>
              <w:t>5</w:t>
            </w:r>
            <w:r>
              <w:rPr>
                <w:noProof/>
                <w:webHidden/>
              </w:rPr>
              <w:fldChar w:fldCharType="end"/>
            </w:r>
          </w:hyperlink>
        </w:p>
        <w:p w14:paraId="11CD3CF0" w14:textId="3D849806" w:rsidR="0032237E" w:rsidRPr="0032237E" w:rsidRDefault="0032237E">
          <w:pPr>
            <w:pStyle w:val="TOC2"/>
          </w:pPr>
          <w:hyperlink w:anchor="_Toc201167220" w:history="1">
            <w:r w:rsidRPr="00891BB6">
              <w:rPr>
                <w:rStyle w:val="Hyperlink"/>
                <w:noProof/>
              </w:rPr>
              <w:t>1.3</w:t>
            </w:r>
            <w:r w:rsidRPr="0032237E">
              <w:tab/>
            </w:r>
            <w:r w:rsidRPr="00891BB6">
              <w:rPr>
                <w:rStyle w:val="Hyperlink"/>
                <w:noProof/>
              </w:rPr>
              <w:t>Service delivery principles</w:t>
            </w:r>
            <w:r>
              <w:rPr>
                <w:noProof/>
                <w:webHidden/>
              </w:rPr>
              <w:tab/>
            </w:r>
            <w:r>
              <w:rPr>
                <w:noProof/>
                <w:webHidden/>
              </w:rPr>
              <w:fldChar w:fldCharType="begin"/>
            </w:r>
            <w:r>
              <w:rPr>
                <w:noProof/>
                <w:webHidden/>
              </w:rPr>
              <w:instrText xml:space="preserve"> PAGEREF _Toc201167220 \h </w:instrText>
            </w:r>
            <w:r>
              <w:rPr>
                <w:noProof/>
                <w:webHidden/>
              </w:rPr>
            </w:r>
            <w:r>
              <w:rPr>
                <w:noProof/>
                <w:webHidden/>
              </w:rPr>
              <w:fldChar w:fldCharType="separate"/>
            </w:r>
            <w:r>
              <w:rPr>
                <w:noProof/>
                <w:webHidden/>
              </w:rPr>
              <w:t>6</w:t>
            </w:r>
            <w:r>
              <w:rPr>
                <w:noProof/>
                <w:webHidden/>
              </w:rPr>
              <w:fldChar w:fldCharType="end"/>
            </w:r>
          </w:hyperlink>
        </w:p>
        <w:p w14:paraId="09A77E62" w14:textId="64384B36" w:rsidR="0032237E" w:rsidRPr="0032237E" w:rsidRDefault="0032237E">
          <w:pPr>
            <w:pStyle w:val="TOC1"/>
          </w:pPr>
          <w:hyperlink w:anchor="_Toc201167221" w:history="1">
            <w:r w:rsidRPr="00891BB6">
              <w:rPr>
                <w:rStyle w:val="Hyperlink"/>
                <w:noProof/>
              </w:rPr>
              <w:t>2</w:t>
            </w:r>
            <w:r w:rsidRPr="0032237E">
              <w:tab/>
            </w:r>
            <w:r w:rsidRPr="00891BB6">
              <w:rPr>
                <w:rStyle w:val="Hyperlink"/>
                <w:noProof/>
              </w:rPr>
              <w:t>Care Coordination</w:t>
            </w:r>
            <w:r>
              <w:rPr>
                <w:noProof/>
                <w:webHidden/>
              </w:rPr>
              <w:tab/>
            </w:r>
            <w:r>
              <w:rPr>
                <w:noProof/>
                <w:webHidden/>
              </w:rPr>
              <w:fldChar w:fldCharType="begin"/>
            </w:r>
            <w:r>
              <w:rPr>
                <w:noProof/>
                <w:webHidden/>
              </w:rPr>
              <w:instrText xml:space="preserve"> PAGEREF _Toc201167221 \h </w:instrText>
            </w:r>
            <w:r>
              <w:rPr>
                <w:noProof/>
                <w:webHidden/>
              </w:rPr>
            </w:r>
            <w:r>
              <w:rPr>
                <w:noProof/>
                <w:webHidden/>
              </w:rPr>
              <w:fldChar w:fldCharType="separate"/>
            </w:r>
            <w:r>
              <w:rPr>
                <w:noProof/>
                <w:webHidden/>
              </w:rPr>
              <w:t>7</w:t>
            </w:r>
            <w:r>
              <w:rPr>
                <w:noProof/>
                <w:webHidden/>
              </w:rPr>
              <w:fldChar w:fldCharType="end"/>
            </w:r>
          </w:hyperlink>
        </w:p>
        <w:p w14:paraId="79A83C1B" w14:textId="13DBABBB" w:rsidR="0032237E" w:rsidRPr="0032237E" w:rsidRDefault="0032237E">
          <w:pPr>
            <w:pStyle w:val="TOC2"/>
          </w:pPr>
          <w:hyperlink w:anchor="_Toc201167222" w:history="1">
            <w:r w:rsidRPr="00891BB6">
              <w:rPr>
                <w:rStyle w:val="Hyperlink"/>
                <w:noProof/>
              </w:rPr>
              <w:t>2.1</w:t>
            </w:r>
            <w:r w:rsidRPr="0032237E">
              <w:tab/>
            </w:r>
            <w:r w:rsidRPr="00891BB6">
              <w:rPr>
                <w:rStyle w:val="Hyperlink"/>
                <w:noProof/>
              </w:rPr>
              <w:t>Definition of care coordination</w:t>
            </w:r>
            <w:r>
              <w:rPr>
                <w:noProof/>
                <w:webHidden/>
              </w:rPr>
              <w:tab/>
            </w:r>
            <w:r>
              <w:rPr>
                <w:noProof/>
                <w:webHidden/>
              </w:rPr>
              <w:fldChar w:fldCharType="begin"/>
            </w:r>
            <w:r>
              <w:rPr>
                <w:noProof/>
                <w:webHidden/>
              </w:rPr>
              <w:instrText xml:space="preserve"> PAGEREF _Toc201167222 \h </w:instrText>
            </w:r>
            <w:r>
              <w:rPr>
                <w:noProof/>
                <w:webHidden/>
              </w:rPr>
            </w:r>
            <w:r>
              <w:rPr>
                <w:noProof/>
                <w:webHidden/>
              </w:rPr>
              <w:fldChar w:fldCharType="separate"/>
            </w:r>
            <w:r>
              <w:rPr>
                <w:noProof/>
                <w:webHidden/>
              </w:rPr>
              <w:t>7</w:t>
            </w:r>
            <w:r>
              <w:rPr>
                <w:noProof/>
                <w:webHidden/>
              </w:rPr>
              <w:fldChar w:fldCharType="end"/>
            </w:r>
          </w:hyperlink>
        </w:p>
        <w:p w14:paraId="4616D517" w14:textId="62209159" w:rsidR="0032237E" w:rsidRPr="0032237E" w:rsidRDefault="0032237E">
          <w:pPr>
            <w:pStyle w:val="TOC2"/>
          </w:pPr>
          <w:hyperlink w:anchor="_Toc201167223" w:history="1">
            <w:r w:rsidRPr="00891BB6">
              <w:rPr>
                <w:rStyle w:val="Hyperlink"/>
                <w:noProof/>
              </w:rPr>
              <w:t>2.2</w:t>
            </w:r>
            <w:r w:rsidRPr="0032237E">
              <w:tab/>
            </w:r>
            <w:r w:rsidRPr="00891BB6">
              <w:rPr>
                <w:rStyle w:val="Hyperlink"/>
                <w:noProof/>
              </w:rPr>
              <w:t>Definition of chronic disease</w:t>
            </w:r>
            <w:r>
              <w:rPr>
                <w:noProof/>
                <w:webHidden/>
              </w:rPr>
              <w:tab/>
            </w:r>
            <w:r>
              <w:rPr>
                <w:noProof/>
                <w:webHidden/>
              </w:rPr>
              <w:fldChar w:fldCharType="begin"/>
            </w:r>
            <w:r>
              <w:rPr>
                <w:noProof/>
                <w:webHidden/>
              </w:rPr>
              <w:instrText xml:space="preserve"> PAGEREF _Toc201167223 \h </w:instrText>
            </w:r>
            <w:r>
              <w:rPr>
                <w:noProof/>
                <w:webHidden/>
              </w:rPr>
            </w:r>
            <w:r>
              <w:rPr>
                <w:noProof/>
                <w:webHidden/>
              </w:rPr>
              <w:fldChar w:fldCharType="separate"/>
            </w:r>
            <w:r>
              <w:rPr>
                <w:noProof/>
                <w:webHidden/>
              </w:rPr>
              <w:t>7</w:t>
            </w:r>
            <w:r>
              <w:rPr>
                <w:noProof/>
                <w:webHidden/>
              </w:rPr>
              <w:fldChar w:fldCharType="end"/>
            </w:r>
          </w:hyperlink>
        </w:p>
        <w:p w14:paraId="74F9A1CD" w14:textId="04A3DB6B" w:rsidR="0032237E" w:rsidRPr="0032237E" w:rsidRDefault="0032237E">
          <w:pPr>
            <w:pStyle w:val="TOC2"/>
          </w:pPr>
          <w:hyperlink w:anchor="_Toc201167224" w:history="1">
            <w:r w:rsidRPr="00891BB6">
              <w:rPr>
                <w:rStyle w:val="Hyperlink"/>
                <w:noProof/>
              </w:rPr>
              <w:t>2.3</w:t>
            </w:r>
            <w:r w:rsidRPr="0032237E">
              <w:tab/>
            </w:r>
            <w:r w:rsidRPr="00891BB6">
              <w:rPr>
                <w:rStyle w:val="Hyperlink"/>
                <w:noProof/>
              </w:rPr>
              <w:t>How might a care coordination service work?</w:t>
            </w:r>
            <w:r>
              <w:rPr>
                <w:noProof/>
                <w:webHidden/>
              </w:rPr>
              <w:tab/>
            </w:r>
            <w:r>
              <w:rPr>
                <w:noProof/>
                <w:webHidden/>
              </w:rPr>
              <w:fldChar w:fldCharType="begin"/>
            </w:r>
            <w:r>
              <w:rPr>
                <w:noProof/>
                <w:webHidden/>
              </w:rPr>
              <w:instrText xml:space="preserve"> PAGEREF _Toc201167224 \h </w:instrText>
            </w:r>
            <w:r>
              <w:rPr>
                <w:noProof/>
                <w:webHidden/>
              </w:rPr>
            </w:r>
            <w:r>
              <w:rPr>
                <w:noProof/>
                <w:webHidden/>
              </w:rPr>
              <w:fldChar w:fldCharType="separate"/>
            </w:r>
            <w:r>
              <w:rPr>
                <w:noProof/>
                <w:webHidden/>
              </w:rPr>
              <w:t>7</w:t>
            </w:r>
            <w:r>
              <w:rPr>
                <w:noProof/>
                <w:webHidden/>
              </w:rPr>
              <w:fldChar w:fldCharType="end"/>
            </w:r>
          </w:hyperlink>
        </w:p>
        <w:p w14:paraId="27C13C7F" w14:textId="548B94A1" w:rsidR="0032237E" w:rsidRPr="0032237E" w:rsidRDefault="0032237E">
          <w:pPr>
            <w:pStyle w:val="TOC2"/>
          </w:pPr>
          <w:hyperlink w:anchor="_Toc201167225" w:history="1">
            <w:r w:rsidRPr="00891BB6">
              <w:rPr>
                <w:rStyle w:val="Hyperlink"/>
                <w:noProof/>
              </w:rPr>
              <w:t>2.4</w:t>
            </w:r>
            <w:r w:rsidRPr="0032237E">
              <w:tab/>
            </w:r>
            <w:r w:rsidRPr="00891BB6">
              <w:rPr>
                <w:rStyle w:val="Hyperlink"/>
                <w:noProof/>
              </w:rPr>
              <w:t>Examples of care coordination</w:t>
            </w:r>
            <w:r>
              <w:rPr>
                <w:noProof/>
                <w:webHidden/>
              </w:rPr>
              <w:tab/>
            </w:r>
            <w:r>
              <w:rPr>
                <w:noProof/>
                <w:webHidden/>
              </w:rPr>
              <w:fldChar w:fldCharType="begin"/>
            </w:r>
            <w:r>
              <w:rPr>
                <w:noProof/>
                <w:webHidden/>
              </w:rPr>
              <w:instrText xml:space="preserve"> PAGEREF _Toc201167225 \h </w:instrText>
            </w:r>
            <w:r>
              <w:rPr>
                <w:noProof/>
                <w:webHidden/>
              </w:rPr>
            </w:r>
            <w:r>
              <w:rPr>
                <w:noProof/>
                <w:webHidden/>
              </w:rPr>
              <w:fldChar w:fldCharType="separate"/>
            </w:r>
            <w:r>
              <w:rPr>
                <w:noProof/>
                <w:webHidden/>
              </w:rPr>
              <w:t>8</w:t>
            </w:r>
            <w:r>
              <w:rPr>
                <w:noProof/>
                <w:webHidden/>
              </w:rPr>
              <w:fldChar w:fldCharType="end"/>
            </w:r>
          </w:hyperlink>
        </w:p>
        <w:p w14:paraId="3B3A93E7" w14:textId="6214B528" w:rsidR="0032237E" w:rsidRPr="0032237E" w:rsidRDefault="0032237E">
          <w:pPr>
            <w:pStyle w:val="TOC3"/>
          </w:pPr>
          <w:hyperlink w:anchor="_Toc201167226" w:history="1">
            <w:r w:rsidRPr="00891BB6">
              <w:rPr>
                <w:rStyle w:val="Hyperlink"/>
                <w:noProof/>
              </w:rPr>
              <w:t>2.4.1</w:t>
            </w:r>
            <w:r w:rsidRPr="0032237E">
              <w:tab/>
            </w:r>
            <w:r w:rsidRPr="00891BB6">
              <w:rPr>
                <w:rStyle w:val="Hyperlink"/>
                <w:noProof/>
              </w:rPr>
              <w:t>Occasion(s) of care</w:t>
            </w:r>
            <w:r>
              <w:rPr>
                <w:noProof/>
                <w:webHidden/>
              </w:rPr>
              <w:tab/>
            </w:r>
            <w:r>
              <w:rPr>
                <w:noProof/>
                <w:webHidden/>
              </w:rPr>
              <w:fldChar w:fldCharType="begin"/>
            </w:r>
            <w:r>
              <w:rPr>
                <w:noProof/>
                <w:webHidden/>
              </w:rPr>
              <w:instrText xml:space="preserve"> PAGEREF _Toc201167226 \h </w:instrText>
            </w:r>
            <w:r>
              <w:rPr>
                <w:noProof/>
                <w:webHidden/>
              </w:rPr>
            </w:r>
            <w:r>
              <w:rPr>
                <w:noProof/>
                <w:webHidden/>
              </w:rPr>
              <w:fldChar w:fldCharType="separate"/>
            </w:r>
            <w:r>
              <w:rPr>
                <w:noProof/>
                <w:webHidden/>
              </w:rPr>
              <w:t>8</w:t>
            </w:r>
            <w:r>
              <w:rPr>
                <w:noProof/>
                <w:webHidden/>
              </w:rPr>
              <w:fldChar w:fldCharType="end"/>
            </w:r>
          </w:hyperlink>
        </w:p>
        <w:p w14:paraId="5148CE7F" w14:textId="07558414" w:rsidR="0032237E" w:rsidRPr="0032237E" w:rsidRDefault="0032237E">
          <w:pPr>
            <w:pStyle w:val="TOC2"/>
          </w:pPr>
          <w:hyperlink w:anchor="_Toc201167227" w:history="1">
            <w:r w:rsidRPr="00891BB6">
              <w:rPr>
                <w:rStyle w:val="Hyperlink"/>
                <w:noProof/>
              </w:rPr>
              <w:t>2.5</w:t>
            </w:r>
            <w:r w:rsidRPr="0032237E">
              <w:tab/>
            </w:r>
            <w:r w:rsidRPr="00891BB6">
              <w:rPr>
                <w:rStyle w:val="Hyperlink"/>
                <w:noProof/>
              </w:rPr>
              <w:t>Client eligibility</w:t>
            </w:r>
            <w:r>
              <w:rPr>
                <w:noProof/>
                <w:webHidden/>
              </w:rPr>
              <w:tab/>
            </w:r>
            <w:r>
              <w:rPr>
                <w:noProof/>
                <w:webHidden/>
              </w:rPr>
              <w:fldChar w:fldCharType="begin"/>
            </w:r>
            <w:r>
              <w:rPr>
                <w:noProof/>
                <w:webHidden/>
              </w:rPr>
              <w:instrText xml:space="preserve"> PAGEREF _Toc201167227 \h </w:instrText>
            </w:r>
            <w:r>
              <w:rPr>
                <w:noProof/>
                <w:webHidden/>
              </w:rPr>
            </w:r>
            <w:r>
              <w:rPr>
                <w:noProof/>
                <w:webHidden/>
              </w:rPr>
              <w:fldChar w:fldCharType="separate"/>
            </w:r>
            <w:r>
              <w:rPr>
                <w:noProof/>
                <w:webHidden/>
              </w:rPr>
              <w:t>8</w:t>
            </w:r>
            <w:r>
              <w:rPr>
                <w:noProof/>
                <w:webHidden/>
              </w:rPr>
              <w:fldChar w:fldCharType="end"/>
            </w:r>
          </w:hyperlink>
        </w:p>
        <w:p w14:paraId="7126C636" w14:textId="501A8C0E" w:rsidR="0032237E" w:rsidRPr="0032237E" w:rsidRDefault="0032237E">
          <w:pPr>
            <w:pStyle w:val="TOC3"/>
          </w:pPr>
          <w:hyperlink w:anchor="_Toc201167228" w:history="1">
            <w:r w:rsidRPr="00891BB6">
              <w:rPr>
                <w:rStyle w:val="Hyperlink"/>
                <w:noProof/>
              </w:rPr>
              <w:t>2.5.1</w:t>
            </w:r>
            <w:r w:rsidRPr="0032237E">
              <w:tab/>
            </w:r>
            <w:r w:rsidRPr="00891BB6">
              <w:rPr>
                <w:rStyle w:val="Hyperlink"/>
                <w:noProof/>
              </w:rPr>
              <w:t>Prioritisation</w:t>
            </w:r>
            <w:r>
              <w:rPr>
                <w:noProof/>
                <w:webHidden/>
              </w:rPr>
              <w:tab/>
            </w:r>
            <w:r>
              <w:rPr>
                <w:noProof/>
                <w:webHidden/>
              </w:rPr>
              <w:fldChar w:fldCharType="begin"/>
            </w:r>
            <w:r>
              <w:rPr>
                <w:noProof/>
                <w:webHidden/>
              </w:rPr>
              <w:instrText xml:space="preserve"> PAGEREF _Toc201167228 \h </w:instrText>
            </w:r>
            <w:r>
              <w:rPr>
                <w:noProof/>
                <w:webHidden/>
              </w:rPr>
            </w:r>
            <w:r>
              <w:rPr>
                <w:noProof/>
                <w:webHidden/>
              </w:rPr>
              <w:fldChar w:fldCharType="separate"/>
            </w:r>
            <w:r>
              <w:rPr>
                <w:noProof/>
                <w:webHidden/>
              </w:rPr>
              <w:t>9</w:t>
            </w:r>
            <w:r>
              <w:rPr>
                <w:noProof/>
                <w:webHidden/>
              </w:rPr>
              <w:fldChar w:fldCharType="end"/>
            </w:r>
          </w:hyperlink>
        </w:p>
        <w:p w14:paraId="778EEAEB" w14:textId="09EA965B" w:rsidR="0032237E" w:rsidRPr="0032237E" w:rsidRDefault="0032237E">
          <w:pPr>
            <w:pStyle w:val="TOC1"/>
          </w:pPr>
          <w:hyperlink w:anchor="_Toc201167229" w:history="1">
            <w:r w:rsidRPr="00891BB6">
              <w:rPr>
                <w:rStyle w:val="Hyperlink"/>
                <w:noProof/>
              </w:rPr>
              <w:t>3</w:t>
            </w:r>
            <w:r w:rsidRPr="0032237E">
              <w:tab/>
            </w:r>
            <w:r w:rsidRPr="00891BB6">
              <w:rPr>
                <w:rStyle w:val="Hyperlink"/>
                <w:noProof/>
              </w:rPr>
              <w:t>Commissioning bodies</w:t>
            </w:r>
            <w:r>
              <w:rPr>
                <w:noProof/>
                <w:webHidden/>
              </w:rPr>
              <w:tab/>
            </w:r>
            <w:r>
              <w:rPr>
                <w:noProof/>
                <w:webHidden/>
              </w:rPr>
              <w:fldChar w:fldCharType="begin"/>
            </w:r>
            <w:r>
              <w:rPr>
                <w:noProof/>
                <w:webHidden/>
              </w:rPr>
              <w:instrText xml:space="preserve"> PAGEREF _Toc201167229 \h </w:instrText>
            </w:r>
            <w:r>
              <w:rPr>
                <w:noProof/>
                <w:webHidden/>
              </w:rPr>
            </w:r>
            <w:r>
              <w:rPr>
                <w:noProof/>
                <w:webHidden/>
              </w:rPr>
              <w:fldChar w:fldCharType="separate"/>
            </w:r>
            <w:r>
              <w:rPr>
                <w:noProof/>
                <w:webHidden/>
              </w:rPr>
              <w:t>9</w:t>
            </w:r>
            <w:r>
              <w:rPr>
                <w:noProof/>
                <w:webHidden/>
              </w:rPr>
              <w:fldChar w:fldCharType="end"/>
            </w:r>
          </w:hyperlink>
        </w:p>
        <w:p w14:paraId="40D72964" w14:textId="5756A65A" w:rsidR="0032237E" w:rsidRPr="0032237E" w:rsidRDefault="0032237E">
          <w:pPr>
            <w:pStyle w:val="TOC2"/>
          </w:pPr>
          <w:hyperlink w:anchor="_Toc201167230" w:history="1">
            <w:r w:rsidRPr="00891BB6">
              <w:rPr>
                <w:rStyle w:val="Hyperlink"/>
                <w:noProof/>
              </w:rPr>
              <w:t>3.1</w:t>
            </w:r>
            <w:r w:rsidRPr="0032237E">
              <w:tab/>
            </w:r>
            <w:r w:rsidRPr="00891BB6">
              <w:rPr>
                <w:rStyle w:val="Hyperlink"/>
                <w:noProof/>
              </w:rPr>
              <w:t>Service delivery and commissioning arrangements</w:t>
            </w:r>
            <w:r>
              <w:rPr>
                <w:noProof/>
                <w:webHidden/>
              </w:rPr>
              <w:tab/>
            </w:r>
            <w:r>
              <w:rPr>
                <w:noProof/>
                <w:webHidden/>
              </w:rPr>
              <w:fldChar w:fldCharType="begin"/>
            </w:r>
            <w:r>
              <w:rPr>
                <w:noProof/>
                <w:webHidden/>
              </w:rPr>
              <w:instrText xml:space="preserve"> PAGEREF _Toc201167230 \h </w:instrText>
            </w:r>
            <w:r>
              <w:rPr>
                <w:noProof/>
                <w:webHidden/>
              </w:rPr>
            </w:r>
            <w:r>
              <w:rPr>
                <w:noProof/>
                <w:webHidden/>
              </w:rPr>
              <w:fldChar w:fldCharType="separate"/>
            </w:r>
            <w:r>
              <w:rPr>
                <w:noProof/>
                <w:webHidden/>
              </w:rPr>
              <w:t>10</w:t>
            </w:r>
            <w:r>
              <w:rPr>
                <w:noProof/>
                <w:webHidden/>
              </w:rPr>
              <w:fldChar w:fldCharType="end"/>
            </w:r>
          </w:hyperlink>
        </w:p>
        <w:p w14:paraId="195BAA16" w14:textId="6D5164EC" w:rsidR="0032237E" w:rsidRPr="0032237E" w:rsidRDefault="0032237E">
          <w:pPr>
            <w:pStyle w:val="TOC1"/>
          </w:pPr>
          <w:hyperlink w:anchor="_Toc201167231" w:history="1">
            <w:r w:rsidRPr="00891BB6">
              <w:rPr>
                <w:rStyle w:val="Hyperlink"/>
                <w:noProof/>
              </w:rPr>
              <w:t>4</w:t>
            </w:r>
            <w:r w:rsidRPr="0032237E">
              <w:tab/>
            </w:r>
            <w:r w:rsidRPr="00891BB6">
              <w:rPr>
                <w:rStyle w:val="Hyperlink"/>
                <w:noProof/>
              </w:rPr>
              <w:t>Improving the Cultural Safety of Mainstream Primary Care</w:t>
            </w:r>
            <w:r>
              <w:rPr>
                <w:noProof/>
                <w:webHidden/>
              </w:rPr>
              <w:tab/>
            </w:r>
            <w:r>
              <w:rPr>
                <w:noProof/>
                <w:webHidden/>
              </w:rPr>
              <w:fldChar w:fldCharType="begin"/>
            </w:r>
            <w:r>
              <w:rPr>
                <w:noProof/>
                <w:webHidden/>
              </w:rPr>
              <w:instrText xml:space="preserve"> PAGEREF _Toc201167231 \h </w:instrText>
            </w:r>
            <w:r>
              <w:rPr>
                <w:noProof/>
                <w:webHidden/>
              </w:rPr>
            </w:r>
            <w:r>
              <w:rPr>
                <w:noProof/>
                <w:webHidden/>
              </w:rPr>
              <w:fldChar w:fldCharType="separate"/>
            </w:r>
            <w:r>
              <w:rPr>
                <w:noProof/>
                <w:webHidden/>
              </w:rPr>
              <w:t>11</w:t>
            </w:r>
            <w:r>
              <w:rPr>
                <w:noProof/>
                <w:webHidden/>
              </w:rPr>
              <w:fldChar w:fldCharType="end"/>
            </w:r>
          </w:hyperlink>
        </w:p>
        <w:p w14:paraId="6C98CFC7" w14:textId="13F1C68F" w:rsidR="0032237E" w:rsidRPr="0032237E" w:rsidRDefault="0032237E">
          <w:pPr>
            <w:pStyle w:val="TOC1"/>
          </w:pPr>
          <w:hyperlink w:anchor="_Toc201167232" w:history="1">
            <w:r w:rsidRPr="00891BB6">
              <w:rPr>
                <w:rStyle w:val="Hyperlink"/>
                <w:noProof/>
              </w:rPr>
              <w:t>5</w:t>
            </w:r>
            <w:r w:rsidRPr="0032237E">
              <w:tab/>
            </w:r>
            <w:r w:rsidRPr="00891BB6">
              <w:rPr>
                <w:rStyle w:val="Hyperlink"/>
                <w:noProof/>
              </w:rPr>
              <w:t>Aboriginal and Torres Strait Islander Project Officers</w:t>
            </w:r>
            <w:r>
              <w:rPr>
                <w:noProof/>
                <w:webHidden/>
              </w:rPr>
              <w:tab/>
            </w:r>
            <w:r>
              <w:rPr>
                <w:noProof/>
                <w:webHidden/>
              </w:rPr>
              <w:fldChar w:fldCharType="begin"/>
            </w:r>
            <w:r>
              <w:rPr>
                <w:noProof/>
                <w:webHidden/>
              </w:rPr>
              <w:instrText xml:space="preserve"> PAGEREF _Toc201167232 \h </w:instrText>
            </w:r>
            <w:r>
              <w:rPr>
                <w:noProof/>
                <w:webHidden/>
              </w:rPr>
            </w:r>
            <w:r>
              <w:rPr>
                <w:noProof/>
                <w:webHidden/>
              </w:rPr>
              <w:fldChar w:fldCharType="separate"/>
            </w:r>
            <w:r>
              <w:rPr>
                <w:noProof/>
                <w:webHidden/>
              </w:rPr>
              <w:t>12</w:t>
            </w:r>
            <w:r>
              <w:rPr>
                <w:noProof/>
                <w:webHidden/>
              </w:rPr>
              <w:fldChar w:fldCharType="end"/>
            </w:r>
          </w:hyperlink>
        </w:p>
        <w:p w14:paraId="3D67F191" w14:textId="5018534E" w:rsidR="0032237E" w:rsidRPr="0032237E" w:rsidRDefault="0032237E">
          <w:pPr>
            <w:pStyle w:val="TOC2"/>
          </w:pPr>
          <w:hyperlink w:anchor="_Toc201167233" w:history="1">
            <w:r w:rsidRPr="00891BB6">
              <w:rPr>
                <w:rStyle w:val="Hyperlink"/>
                <w:noProof/>
              </w:rPr>
              <w:t>5.1</w:t>
            </w:r>
            <w:r w:rsidRPr="0032237E">
              <w:tab/>
            </w:r>
            <w:r w:rsidRPr="00891BB6">
              <w:rPr>
                <w:rStyle w:val="Hyperlink"/>
                <w:noProof/>
              </w:rPr>
              <w:t>Roles and responsibilities</w:t>
            </w:r>
            <w:r>
              <w:rPr>
                <w:noProof/>
                <w:webHidden/>
              </w:rPr>
              <w:tab/>
            </w:r>
            <w:r>
              <w:rPr>
                <w:noProof/>
                <w:webHidden/>
              </w:rPr>
              <w:fldChar w:fldCharType="begin"/>
            </w:r>
            <w:r>
              <w:rPr>
                <w:noProof/>
                <w:webHidden/>
              </w:rPr>
              <w:instrText xml:space="preserve"> PAGEREF _Toc201167233 \h </w:instrText>
            </w:r>
            <w:r>
              <w:rPr>
                <w:noProof/>
                <w:webHidden/>
              </w:rPr>
            </w:r>
            <w:r>
              <w:rPr>
                <w:noProof/>
                <w:webHidden/>
              </w:rPr>
              <w:fldChar w:fldCharType="separate"/>
            </w:r>
            <w:r>
              <w:rPr>
                <w:noProof/>
                <w:webHidden/>
              </w:rPr>
              <w:t>12</w:t>
            </w:r>
            <w:r>
              <w:rPr>
                <w:noProof/>
                <w:webHidden/>
              </w:rPr>
              <w:fldChar w:fldCharType="end"/>
            </w:r>
          </w:hyperlink>
        </w:p>
        <w:p w14:paraId="57AB0D48" w14:textId="0BD1F160" w:rsidR="0032237E" w:rsidRPr="0032237E" w:rsidRDefault="0032237E">
          <w:pPr>
            <w:pStyle w:val="TOC2"/>
          </w:pPr>
          <w:hyperlink w:anchor="_Toc201167234" w:history="1">
            <w:r w:rsidRPr="00891BB6">
              <w:rPr>
                <w:rStyle w:val="Hyperlink"/>
                <w:noProof/>
              </w:rPr>
              <w:t>5.2</w:t>
            </w:r>
            <w:r w:rsidRPr="0032237E">
              <w:tab/>
            </w:r>
            <w:r w:rsidRPr="00891BB6">
              <w:rPr>
                <w:rStyle w:val="Hyperlink"/>
                <w:noProof/>
              </w:rPr>
              <w:t>Activities</w:t>
            </w:r>
            <w:r>
              <w:rPr>
                <w:noProof/>
                <w:webHidden/>
              </w:rPr>
              <w:tab/>
            </w:r>
            <w:r>
              <w:rPr>
                <w:noProof/>
                <w:webHidden/>
              </w:rPr>
              <w:fldChar w:fldCharType="begin"/>
            </w:r>
            <w:r>
              <w:rPr>
                <w:noProof/>
                <w:webHidden/>
              </w:rPr>
              <w:instrText xml:space="preserve"> PAGEREF _Toc201167234 \h </w:instrText>
            </w:r>
            <w:r>
              <w:rPr>
                <w:noProof/>
                <w:webHidden/>
              </w:rPr>
            </w:r>
            <w:r>
              <w:rPr>
                <w:noProof/>
                <w:webHidden/>
              </w:rPr>
              <w:fldChar w:fldCharType="separate"/>
            </w:r>
            <w:r>
              <w:rPr>
                <w:noProof/>
                <w:webHidden/>
              </w:rPr>
              <w:t>13</w:t>
            </w:r>
            <w:r>
              <w:rPr>
                <w:noProof/>
                <w:webHidden/>
              </w:rPr>
              <w:fldChar w:fldCharType="end"/>
            </w:r>
          </w:hyperlink>
        </w:p>
        <w:p w14:paraId="5829798B" w14:textId="1E3BFF5B" w:rsidR="0032237E" w:rsidRPr="0032237E" w:rsidRDefault="0032237E">
          <w:pPr>
            <w:pStyle w:val="TOC2"/>
          </w:pPr>
          <w:hyperlink w:anchor="_Toc201167235" w:history="1">
            <w:r w:rsidRPr="00891BB6">
              <w:rPr>
                <w:rStyle w:val="Hyperlink"/>
                <w:noProof/>
              </w:rPr>
              <w:t>5.3</w:t>
            </w:r>
            <w:r w:rsidRPr="0032237E">
              <w:tab/>
            </w:r>
            <w:r w:rsidRPr="00891BB6">
              <w:rPr>
                <w:rStyle w:val="Hyperlink"/>
                <w:noProof/>
              </w:rPr>
              <w:t>Qualifications and skill requirements</w:t>
            </w:r>
            <w:r>
              <w:rPr>
                <w:noProof/>
                <w:webHidden/>
              </w:rPr>
              <w:tab/>
            </w:r>
            <w:r>
              <w:rPr>
                <w:noProof/>
                <w:webHidden/>
              </w:rPr>
              <w:fldChar w:fldCharType="begin"/>
            </w:r>
            <w:r>
              <w:rPr>
                <w:noProof/>
                <w:webHidden/>
              </w:rPr>
              <w:instrText xml:space="preserve"> PAGEREF _Toc201167235 \h </w:instrText>
            </w:r>
            <w:r>
              <w:rPr>
                <w:noProof/>
                <w:webHidden/>
              </w:rPr>
            </w:r>
            <w:r>
              <w:rPr>
                <w:noProof/>
                <w:webHidden/>
              </w:rPr>
              <w:fldChar w:fldCharType="separate"/>
            </w:r>
            <w:r>
              <w:rPr>
                <w:noProof/>
                <w:webHidden/>
              </w:rPr>
              <w:t>13</w:t>
            </w:r>
            <w:r>
              <w:rPr>
                <w:noProof/>
                <w:webHidden/>
              </w:rPr>
              <w:fldChar w:fldCharType="end"/>
            </w:r>
          </w:hyperlink>
        </w:p>
        <w:p w14:paraId="4A28A309" w14:textId="16E43B8B" w:rsidR="0032237E" w:rsidRPr="0032237E" w:rsidRDefault="0032237E">
          <w:pPr>
            <w:pStyle w:val="TOC1"/>
          </w:pPr>
          <w:hyperlink w:anchor="_Toc201167236" w:history="1">
            <w:r w:rsidRPr="00891BB6">
              <w:rPr>
                <w:rStyle w:val="Hyperlink"/>
                <w:noProof/>
              </w:rPr>
              <w:t>6</w:t>
            </w:r>
            <w:r w:rsidRPr="0032237E">
              <w:tab/>
            </w:r>
            <w:r w:rsidRPr="00891BB6">
              <w:rPr>
                <w:rStyle w:val="Hyperlink"/>
                <w:noProof/>
              </w:rPr>
              <w:t>Aboriginal and Torres Strait Islander Outreach Workers</w:t>
            </w:r>
            <w:r>
              <w:rPr>
                <w:noProof/>
                <w:webHidden/>
              </w:rPr>
              <w:tab/>
            </w:r>
            <w:r>
              <w:rPr>
                <w:noProof/>
                <w:webHidden/>
              </w:rPr>
              <w:fldChar w:fldCharType="begin"/>
            </w:r>
            <w:r>
              <w:rPr>
                <w:noProof/>
                <w:webHidden/>
              </w:rPr>
              <w:instrText xml:space="preserve"> PAGEREF _Toc201167236 \h </w:instrText>
            </w:r>
            <w:r>
              <w:rPr>
                <w:noProof/>
                <w:webHidden/>
              </w:rPr>
            </w:r>
            <w:r>
              <w:rPr>
                <w:noProof/>
                <w:webHidden/>
              </w:rPr>
              <w:fldChar w:fldCharType="separate"/>
            </w:r>
            <w:r>
              <w:rPr>
                <w:noProof/>
                <w:webHidden/>
              </w:rPr>
              <w:t>14</w:t>
            </w:r>
            <w:r>
              <w:rPr>
                <w:noProof/>
                <w:webHidden/>
              </w:rPr>
              <w:fldChar w:fldCharType="end"/>
            </w:r>
          </w:hyperlink>
        </w:p>
        <w:p w14:paraId="14036C6F" w14:textId="099C2740" w:rsidR="0032237E" w:rsidRPr="0032237E" w:rsidRDefault="0032237E">
          <w:pPr>
            <w:pStyle w:val="TOC2"/>
          </w:pPr>
          <w:hyperlink w:anchor="_Toc201167237" w:history="1">
            <w:r w:rsidRPr="00891BB6">
              <w:rPr>
                <w:rStyle w:val="Hyperlink"/>
                <w:noProof/>
              </w:rPr>
              <w:t>6.1</w:t>
            </w:r>
            <w:r w:rsidRPr="0032237E">
              <w:tab/>
            </w:r>
            <w:r w:rsidRPr="00891BB6">
              <w:rPr>
                <w:rStyle w:val="Hyperlink"/>
                <w:noProof/>
              </w:rPr>
              <w:t>Roles and responsibilities</w:t>
            </w:r>
            <w:r>
              <w:rPr>
                <w:noProof/>
                <w:webHidden/>
              </w:rPr>
              <w:tab/>
            </w:r>
            <w:r>
              <w:rPr>
                <w:noProof/>
                <w:webHidden/>
              </w:rPr>
              <w:fldChar w:fldCharType="begin"/>
            </w:r>
            <w:r>
              <w:rPr>
                <w:noProof/>
                <w:webHidden/>
              </w:rPr>
              <w:instrText xml:space="preserve"> PAGEREF _Toc201167237 \h </w:instrText>
            </w:r>
            <w:r>
              <w:rPr>
                <w:noProof/>
                <w:webHidden/>
              </w:rPr>
            </w:r>
            <w:r>
              <w:rPr>
                <w:noProof/>
                <w:webHidden/>
              </w:rPr>
              <w:fldChar w:fldCharType="separate"/>
            </w:r>
            <w:r>
              <w:rPr>
                <w:noProof/>
                <w:webHidden/>
              </w:rPr>
              <w:t>14</w:t>
            </w:r>
            <w:r>
              <w:rPr>
                <w:noProof/>
                <w:webHidden/>
              </w:rPr>
              <w:fldChar w:fldCharType="end"/>
            </w:r>
          </w:hyperlink>
        </w:p>
        <w:p w14:paraId="6263A1D5" w14:textId="2A31EC2A" w:rsidR="0032237E" w:rsidRPr="0032237E" w:rsidRDefault="0032237E">
          <w:pPr>
            <w:pStyle w:val="TOC2"/>
          </w:pPr>
          <w:hyperlink w:anchor="_Toc201167238" w:history="1">
            <w:r w:rsidRPr="00891BB6">
              <w:rPr>
                <w:rStyle w:val="Hyperlink"/>
                <w:noProof/>
              </w:rPr>
              <w:t>6.2</w:t>
            </w:r>
            <w:r w:rsidRPr="0032237E">
              <w:tab/>
            </w:r>
            <w:r w:rsidRPr="00891BB6">
              <w:rPr>
                <w:rStyle w:val="Hyperlink"/>
                <w:noProof/>
              </w:rPr>
              <w:t>Activities</w:t>
            </w:r>
            <w:r>
              <w:rPr>
                <w:noProof/>
                <w:webHidden/>
              </w:rPr>
              <w:tab/>
            </w:r>
            <w:r>
              <w:rPr>
                <w:noProof/>
                <w:webHidden/>
              </w:rPr>
              <w:fldChar w:fldCharType="begin"/>
            </w:r>
            <w:r>
              <w:rPr>
                <w:noProof/>
                <w:webHidden/>
              </w:rPr>
              <w:instrText xml:space="preserve"> PAGEREF _Toc201167238 \h </w:instrText>
            </w:r>
            <w:r>
              <w:rPr>
                <w:noProof/>
                <w:webHidden/>
              </w:rPr>
            </w:r>
            <w:r>
              <w:rPr>
                <w:noProof/>
                <w:webHidden/>
              </w:rPr>
              <w:fldChar w:fldCharType="separate"/>
            </w:r>
            <w:r>
              <w:rPr>
                <w:noProof/>
                <w:webHidden/>
              </w:rPr>
              <w:t>14</w:t>
            </w:r>
            <w:r>
              <w:rPr>
                <w:noProof/>
                <w:webHidden/>
              </w:rPr>
              <w:fldChar w:fldCharType="end"/>
            </w:r>
          </w:hyperlink>
        </w:p>
        <w:p w14:paraId="23445B79" w14:textId="6D9FB8B3" w:rsidR="0032237E" w:rsidRPr="0032237E" w:rsidRDefault="0032237E">
          <w:pPr>
            <w:pStyle w:val="TOC2"/>
          </w:pPr>
          <w:hyperlink w:anchor="_Toc201167239" w:history="1">
            <w:r w:rsidRPr="00891BB6">
              <w:rPr>
                <w:rStyle w:val="Hyperlink"/>
                <w:noProof/>
              </w:rPr>
              <w:t>6.3</w:t>
            </w:r>
            <w:r w:rsidRPr="0032237E">
              <w:tab/>
            </w:r>
            <w:r w:rsidRPr="00891BB6">
              <w:rPr>
                <w:rStyle w:val="Hyperlink"/>
                <w:noProof/>
              </w:rPr>
              <w:t>Qualifications and skill requirements</w:t>
            </w:r>
            <w:r>
              <w:rPr>
                <w:noProof/>
                <w:webHidden/>
              </w:rPr>
              <w:tab/>
            </w:r>
            <w:r>
              <w:rPr>
                <w:noProof/>
                <w:webHidden/>
              </w:rPr>
              <w:fldChar w:fldCharType="begin"/>
            </w:r>
            <w:r>
              <w:rPr>
                <w:noProof/>
                <w:webHidden/>
              </w:rPr>
              <w:instrText xml:space="preserve"> PAGEREF _Toc201167239 \h </w:instrText>
            </w:r>
            <w:r>
              <w:rPr>
                <w:noProof/>
                <w:webHidden/>
              </w:rPr>
            </w:r>
            <w:r>
              <w:rPr>
                <w:noProof/>
                <w:webHidden/>
              </w:rPr>
              <w:fldChar w:fldCharType="separate"/>
            </w:r>
            <w:r>
              <w:rPr>
                <w:noProof/>
                <w:webHidden/>
              </w:rPr>
              <w:t>15</w:t>
            </w:r>
            <w:r>
              <w:rPr>
                <w:noProof/>
                <w:webHidden/>
              </w:rPr>
              <w:fldChar w:fldCharType="end"/>
            </w:r>
          </w:hyperlink>
        </w:p>
        <w:p w14:paraId="1075E470" w14:textId="21FEFB0A" w:rsidR="0032237E" w:rsidRPr="0032237E" w:rsidRDefault="0032237E">
          <w:pPr>
            <w:pStyle w:val="TOC1"/>
          </w:pPr>
          <w:hyperlink w:anchor="_Toc201167240" w:history="1">
            <w:r w:rsidRPr="00891BB6">
              <w:rPr>
                <w:rStyle w:val="Hyperlink"/>
                <w:noProof/>
              </w:rPr>
              <w:t>7</w:t>
            </w:r>
            <w:r w:rsidRPr="0032237E">
              <w:tab/>
            </w:r>
            <w:r w:rsidRPr="00891BB6">
              <w:rPr>
                <w:rStyle w:val="Hyperlink"/>
                <w:noProof/>
              </w:rPr>
              <w:t>Care Coordinators</w:t>
            </w:r>
            <w:r>
              <w:rPr>
                <w:noProof/>
                <w:webHidden/>
              </w:rPr>
              <w:tab/>
            </w:r>
            <w:r>
              <w:rPr>
                <w:noProof/>
                <w:webHidden/>
              </w:rPr>
              <w:fldChar w:fldCharType="begin"/>
            </w:r>
            <w:r>
              <w:rPr>
                <w:noProof/>
                <w:webHidden/>
              </w:rPr>
              <w:instrText xml:space="preserve"> PAGEREF _Toc201167240 \h </w:instrText>
            </w:r>
            <w:r>
              <w:rPr>
                <w:noProof/>
                <w:webHidden/>
              </w:rPr>
            </w:r>
            <w:r>
              <w:rPr>
                <w:noProof/>
                <w:webHidden/>
              </w:rPr>
              <w:fldChar w:fldCharType="separate"/>
            </w:r>
            <w:r>
              <w:rPr>
                <w:noProof/>
                <w:webHidden/>
              </w:rPr>
              <w:t>15</w:t>
            </w:r>
            <w:r>
              <w:rPr>
                <w:noProof/>
                <w:webHidden/>
              </w:rPr>
              <w:fldChar w:fldCharType="end"/>
            </w:r>
          </w:hyperlink>
        </w:p>
        <w:p w14:paraId="15C94800" w14:textId="4EFCF1AE" w:rsidR="0032237E" w:rsidRPr="0032237E" w:rsidRDefault="0032237E">
          <w:pPr>
            <w:pStyle w:val="TOC2"/>
          </w:pPr>
          <w:hyperlink w:anchor="_Toc201167241" w:history="1">
            <w:r w:rsidRPr="00891BB6">
              <w:rPr>
                <w:rStyle w:val="Hyperlink"/>
                <w:noProof/>
              </w:rPr>
              <w:t>7.1</w:t>
            </w:r>
            <w:r w:rsidRPr="0032237E">
              <w:tab/>
            </w:r>
            <w:r w:rsidRPr="00891BB6">
              <w:rPr>
                <w:rStyle w:val="Hyperlink"/>
                <w:noProof/>
              </w:rPr>
              <w:t>Roles and responsibilities</w:t>
            </w:r>
            <w:r>
              <w:rPr>
                <w:noProof/>
                <w:webHidden/>
              </w:rPr>
              <w:tab/>
            </w:r>
            <w:r>
              <w:rPr>
                <w:noProof/>
                <w:webHidden/>
              </w:rPr>
              <w:fldChar w:fldCharType="begin"/>
            </w:r>
            <w:r>
              <w:rPr>
                <w:noProof/>
                <w:webHidden/>
              </w:rPr>
              <w:instrText xml:space="preserve"> PAGEREF _Toc201167241 \h </w:instrText>
            </w:r>
            <w:r>
              <w:rPr>
                <w:noProof/>
                <w:webHidden/>
              </w:rPr>
            </w:r>
            <w:r>
              <w:rPr>
                <w:noProof/>
                <w:webHidden/>
              </w:rPr>
              <w:fldChar w:fldCharType="separate"/>
            </w:r>
            <w:r>
              <w:rPr>
                <w:noProof/>
                <w:webHidden/>
              </w:rPr>
              <w:t>15</w:t>
            </w:r>
            <w:r>
              <w:rPr>
                <w:noProof/>
                <w:webHidden/>
              </w:rPr>
              <w:fldChar w:fldCharType="end"/>
            </w:r>
          </w:hyperlink>
        </w:p>
        <w:p w14:paraId="65DBDB06" w14:textId="0997C118" w:rsidR="0032237E" w:rsidRPr="0032237E" w:rsidRDefault="0032237E">
          <w:pPr>
            <w:pStyle w:val="TOC2"/>
          </w:pPr>
          <w:hyperlink w:anchor="_Toc201167242" w:history="1">
            <w:r w:rsidRPr="00891BB6">
              <w:rPr>
                <w:rStyle w:val="Hyperlink"/>
                <w:noProof/>
              </w:rPr>
              <w:t>7.2</w:t>
            </w:r>
            <w:r w:rsidRPr="0032237E">
              <w:tab/>
            </w:r>
            <w:r w:rsidRPr="00891BB6">
              <w:rPr>
                <w:rStyle w:val="Hyperlink"/>
                <w:noProof/>
              </w:rPr>
              <w:t>Activities</w:t>
            </w:r>
            <w:r>
              <w:rPr>
                <w:noProof/>
                <w:webHidden/>
              </w:rPr>
              <w:tab/>
            </w:r>
            <w:r>
              <w:rPr>
                <w:noProof/>
                <w:webHidden/>
              </w:rPr>
              <w:fldChar w:fldCharType="begin"/>
            </w:r>
            <w:r>
              <w:rPr>
                <w:noProof/>
                <w:webHidden/>
              </w:rPr>
              <w:instrText xml:space="preserve"> PAGEREF _Toc201167242 \h </w:instrText>
            </w:r>
            <w:r>
              <w:rPr>
                <w:noProof/>
                <w:webHidden/>
              </w:rPr>
            </w:r>
            <w:r>
              <w:rPr>
                <w:noProof/>
                <w:webHidden/>
              </w:rPr>
              <w:fldChar w:fldCharType="separate"/>
            </w:r>
            <w:r>
              <w:rPr>
                <w:noProof/>
                <w:webHidden/>
              </w:rPr>
              <w:t>16</w:t>
            </w:r>
            <w:r>
              <w:rPr>
                <w:noProof/>
                <w:webHidden/>
              </w:rPr>
              <w:fldChar w:fldCharType="end"/>
            </w:r>
          </w:hyperlink>
        </w:p>
        <w:p w14:paraId="3E6E69C5" w14:textId="4A4B652C" w:rsidR="0032237E" w:rsidRPr="0032237E" w:rsidRDefault="0032237E">
          <w:pPr>
            <w:pStyle w:val="TOC2"/>
          </w:pPr>
          <w:hyperlink w:anchor="_Toc201167243" w:history="1">
            <w:r w:rsidRPr="00891BB6">
              <w:rPr>
                <w:rStyle w:val="Hyperlink"/>
                <w:noProof/>
              </w:rPr>
              <w:t>7.3</w:t>
            </w:r>
            <w:r w:rsidRPr="0032237E">
              <w:tab/>
            </w:r>
            <w:r w:rsidRPr="00891BB6">
              <w:rPr>
                <w:rStyle w:val="Hyperlink"/>
                <w:noProof/>
              </w:rPr>
              <w:t>Qualifications and skill requirements</w:t>
            </w:r>
            <w:r>
              <w:rPr>
                <w:noProof/>
                <w:webHidden/>
              </w:rPr>
              <w:tab/>
            </w:r>
            <w:r>
              <w:rPr>
                <w:noProof/>
                <w:webHidden/>
              </w:rPr>
              <w:fldChar w:fldCharType="begin"/>
            </w:r>
            <w:r>
              <w:rPr>
                <w:noProof/>
                <w:webHidden/>
              </w:rPr>
              <w:instrText xml:space="preserve"> PAGEREF _Toc201167243 \h </w:instrText>
            </w:r>
            <w:r>
              <w:rPr>
                <w:noProof/>
                <w:webHidden/>
              </w:rPr>
            </w:r>
            <w:r>
              <w:rPr>
                <w:noProof/>
                <w:webHidden/>
              </w:rPr>
              <w:fldChar w:fldCharType="separate"/>
            </w:r>
            <w:r>
              <w:rPr>
                <w:noProof/>
                <w:webHidden/>
              </w:rPr>
              <w:t>17</w:t>
            </w:r>
            <w:r>
              <w:rPr>
                <w:noProof/>
                <w:webHidden/>
              </w:rPr>
              <w:fldChar w:fldCharType="end"/>
            </w:r>
          </w:hyperlink>
        </w:p>
        <w:p w14:paraId="2CDC7652" w14:textId="4CBF168C" w:rsidR="0032237E" w:rsidRPr="0032237E" w:rsidRDefault="0032237E">
          <w:pPr>
            <w:pStyle w:val="TOC1"/>
          </w:pPr>
          <w:hyperlink w:anchor="_Toc201167244" w:history="1">
            <w:r w:rsidRPr="00891BB6">
              <w:rPr>
                <w:rStyle w:val="Hyperlink"/>
                <w:noProof/>
              </w:rPr>
              <w:t>8</w:t>
            </w:r>
            <w:r w:rsidRPr="0032237E">
              <w:tab/>
            </w:r>
            <w:r w:rsidRPr="00891BB6">
              <w:rPr>
                <w:rStyle w:val="Hyperlink"/>
                <w:noProof/>
              </w:rPr>
              <w:t>Workforce Support and Development</w:t>
            </w:r>
            <w:r>
              <w:rPr>
                <w:noProof/>
                <w:webHidden/>
              </w:rPr>
              <w:tab/>
            </w:r>
            <w:r>
              <w:rPr>
                <w:noProof/>
                <w:webHidden/>
              </w:rPr>
              <w:fldChar w:fldCharType="begin"/>
            </w:r>
            <w:r>
              <w:rPr>
                <w:noProof/>
                <w:webHidden/>
              </w:rPr>
              <w:instrText xml:space="preserve"> PAGEREF _Toc201167244 \h </w:instrText>
            </w:r>
            <w:r>
              <w:rPr>
                <w:noProof/>
                <w:webHidden/>
              </w:rPr>
            </w:r>
            <w:r>
              <w:rPr>
                <w:noProof/>
                <w:webHidden/>
              </w:rPr>
              <w:fldChar w:fldCharType="separate"/>
            </w:r>
            <w:r>
              <w:rPr>
                <w:noProof/>
                <w:webHidden/>
              </w:rPr>
              <w:t>17</w:t>
            </w:r>
            <w:r>
              <w:rPr>
                <w:noProof/>
                <w:webHidden/>
              </w:rPr>
              <w:fldChar w:fldCharType="end"/>
            </w:r>
          </w:hyperlink>
        </w:p>
        <w:p w14:paraId="20B3F3C5" w14:textId="6F7C5461" w:rsidR="0032237E" w:rsidRPr="0032237E" w:rsidRDefault="0032237E">
          <w:pPr>
            <w:pStyle w:val="TOC1"/>
          </w:pPr>
          <w:hyperlink w:anchor="_Toc201167245" w:history="1">
            <w:r w:rsidRPr="00891BB6">
              <w:rPr>
                <w:rStyle w:val="Hyperlink"/>
                <w:noProof/>
              </w:rPr>
              <w:t>9</w:t>
            </w:r>
            <w:r w:rsidRPr="0032237E">
              <w:tab/>
            </w:r>
            <w:r w:rsidRPr="00891BB6">
              <w:rPr>
                <w:rStyle w:val="Hyperlink"/>
                <w:noProof/>
              </w:rPr>
              <w:t>Supplementary Services</w:t>
            </w:r>
            <w:r>
              <w:rPr>
                <w:noProof/>
                <w:webHidden/>
              </w:rPr>
              <w:tab/>
            </w:r>
            <w:r>
              <w:rPr>
                <w:noProof/>
                <w:webHidden/>
              </w:rPr>
              <w:fldChar w:fldCharType="begin"/>
            </w:r>
            <w:r>
              <w:rPr>
                <w:noProof/>
                <w:webHidden/>
              </w:rPr>
              <w:instrText xml:space="preserve"> PAGEREF _Toc201167245 \h </w:instrText>
            </w:r>
            <w:r>
              <w:rPr>
                <w:noProof/>
                <w:webHidden/>
              </w:rPr>
            </w:r>
            <w:r>
              <w:rPr>
                <w:noProof/>
                <w:webHidden/>
              </w:rPr>
              <w:fldChar w:fldCharType="separate"/>
            </w:r>
            <w:r>
              <w:rPr>
                <w:noProof/>
                <w:webHidden/>
              </w:rPr>
              <w:t>18</w:t>
            </w:r>
            <w:r>
              <w:rPr>
                <w:noProof/>
                <w:webHidden/>
              </w:rPr>
              <w:fldChar w:fldCharType="end"/>
            </w:r>
          </w:hyperlink>
        </w:p>
        <w:p w14:paraId="329B8716" w14:textId="6421EC2D" w:rsidR="0032237E" w:rsidRPr="0032237E" w:rsidRDefault="0032237E">
          <w:pPr>
            <w:pStyle w:val="TOC2"/>
          </w:pPr>
          <w:hyperlink w:anchor="_Toc201167246" w:history="1">
            <w:r w:rsidRPr="00891BB6">
              <w:rPr>
                <w:rStyle w:val="Hyperlink"/>
                <w:noProof/>
              </w:rPr>
              <w:t>9.1</w:t>
            </w:r>
            <w:r w:rsidRPr="0032237E">
              <w:tab/>
            </w:r>
            <w:r w:rsidRPr="00891BB6">
              <w:rPr>
                <w:rStyle w:val="Hyperlink"/>
                <w:noProof/>
              </w:rPr>
              <w:t>Definition of the Supplementary Services Funding Pool</w:t>
            </w:r>
            <w:r>
              <w:rPr>
                <w:noProof/>
                <w:webHidden/>
              </w:rPr>
              <w:tab/>
            </w:r>
            <w:r>
              <w:rPr>
                <w:noProof/>
                <w:webHidden/>
              </w:rPr>
              <w:fldChar w:fldCharType="begin"/>
            </w:r>
            <w:r>
              <w:rPr>
                <w:noProof/>
                <w:webHidden/>
              </w:rPr>
              <w:instrText xml:space="preserve"> PAGEREF _Toc201167246 \h </w:instrText>
            </w:r>
            <w:r>
              <w:rPr>
                <w:noProof/>
                <w:webHidden/>
              </w:rPr>
            </w:r>
            <w:r>
              <w:rPr>
                <w:noProof/>
                <w:webHidden/>
              </w:rPr>
              <w:fldChar w:fldCharType="separate"/>
            </w:r>
            <w:r>
              <w:rPr>
                <w:noProof/>
                <w:webHidden/>
              </w:rPr>
              <w:t>18</w:t>
            </w:r>
            <w:r>
              <w:rPr>
                <w:noProof/>
                <w:webHidden/>
              </w:rPr>
              <w:fldChar w:fldCharType="end"/>
            </w:r>
          </w:hyperlink>
        </w:p>
        <w:p w14:paraId="139A2B84" w14:textId="72552921" w:rsidR="0032237E" w:rsidRPr="0032237E" w:rsidRDefault="0032237E">
          <w:pPr>
            <w:pStyle w:val="TOC2"/>
          </w:pPr>
          <w:hyperlink w:anchor="_Toc201167247" w:history="1">
            <w:r w:rsidRPr="00891BB6">
              <w:rPr>
                <w:rStyle w:val="Hyperlink"/>
                <w:noProof/>
              </w:rPr>
              <w:t>9.2</w:t>
            </w:r>
            <w:r w:rsidRPr="0032237E">
              <w:tab/>
            </w:r>
            <w:r w:rsidRPr="00891BB6">
              <w:rPr>
                <w:rStyle w:val="Hyperlink"/>
                <w:noProof/>
              </w:rPr>
              <w:t>Priority allocation of Supplementary Services Funding</w:t>
            </w:r>
            <w:r>
              <w:rPr>
                <w:noProof/>
                <w:webHidden/>
              </w:rPr>
              <w:tab/>
            </w:r>
            <w:r>
              <w:rPr>
                <w:noProof/>
                <w:webHidden/>
              </w:rPr>
              <w:fldChar w:fldCharType="begin"/>
            </w:r>
            <w:r>
              <w:rPr>
                <w:noProof/>
                <w:webHidden/>
              </w:rPr>
              <w:instrText xml:space="preserve"> PAGEREF _Toc201167247 \h </w:instrText>
            </w:r>
            <w:r>
              <w:rPr>
                <w:noProof/>
                <w:webHidden/>
              </w:rPr>
            </w:r>
            <w:r>
              <w:rPr>
                <w:noProof/>
                <w:webHidden/>
              </w:rPr>
              <w:fldChar w:fldCharType="separate"/>
            </w:r>
            <w:r>
              <w:rPr>
                <w:noProof/>
                <w:webHidden/>
              </w:rPr>
              <w:t>18</w:t>
            </w:r>
            <w:r>
              <w:rPr>
                <w:noProof/>
                <w:webHidden/>
              </w:rPr>
              <w:fldChar w:fldCharType="end"/>
            </w:r>
          </w:hyperlink>
        </w:p>
        <w:p w14:paraId="1C84163C" w14:textId="543E5F1B" w:rsidR="0032237E" w:rsidRPr="0032237E" w:rsidRDefault="0032237E">
          <w:pPr>
            <w:pStyle w:val="TOC1"/>
          </w:pPr>
          <w:hyperlink w:anchor="_Toc201167248" w:history="1">
            <w:r w:rsidRPr="00891BB6">
              <w:rPr>
                <w:rStyle w:val="Hyperlink"/>
                <w:noProof/>
              </w:rPr>
              <w:t>10</w:t>
            </w:r>
            <w:r w:rsidRPr="0032237E">
              <w:tab/>
            </w:r>
            <w:r w:rsidRPr="00891BB6">
              <w:rPr>
                <w:rStyle w:val="Hyperlink"/>
                <w:noProof/>
              </w:rPr>
              <w:t>Allowable use of funds for ITC</w:t>
            </w:r>
            <w:r>
              <w:rPr>
                <w:noProof/>
                <w:webHidden/>
              </w:rPr>
              <w:tab/>
            </w:r>
            <w:r>
              <w:rPr>
                <w:noProof/>
                <w:webHidden/>
              </w:rPr>
              <w:fldChar w:fldCharType="begin"/>
            </w:r>
            <w:r>
              <w:rPr>
                <w:noProof/>
                <w:webHidden/>
              </w:rPr>
              <w:instrText xml:space="preserve"> PAGEREF _Toc201167248 \h </w:instrText>
            </w:r>
            <w:r>
              <w:rPr>
                <w:noProof/>
                <w:webHidden/>
              </w:rPr>
            </w:r>
            <w:r>
              <w:rPr>
                <w:noProof/>
                <w:webHidden/>
              </w:rPr>
              <w:fldChar w:fldCharType="separate"/>
            </w:r>
            <w:r>
              <w:rPr>
                <w:noProof/>
                <w:webHidden/>
              </w:rPr>
              <w:t>19</w:t>
            </w:r>
            <w:r>
              <w:rPr>
                <w:noProof/>
                <w:webHidden/>
              </w:rPr>
              <w:fldChar w:fldCharType="end"/>
            </w:r>
          </w:hyperlink>
        </w:p>
        <w:p w14:paraId="1255C6E1" w14:textId="0A4626FD" w:rsidR="0032237E" w:rsidRPr="0032237E" w:rsidRDefault="0032237E">
          <w:pPr>
            <w:pStyle w:val="TOC2"/>
          </w:pPr>
          <w:hyperlink w:anchor="_Toc201167249" w:history="1">
            <w:r w:rsidRPr="00891BB6">
              <w:rPr>
                <w:rStyle w:val="Hyperlink"/>
                <w:noProof/>
              </w:rPr>
              <w:t>10.1</w:t>
            </w:r>
            <w:r w:rsidRPr="0032237E">
              <w:tab/>
            </w:r>
            <w:r w:rsidRPr="00891BB6">
              <w:rPr>
                <w:rStyle w:val="Hyperlink"/>
                <w:noProof/>
              </w:rPr>
              <w:t>Integrated Team Care</w:t>
            </w:r>
            <w:r>
              <w:rPr>
                <w:noProof/>
                <w:webHidden/>
              </w:rPr>
              <w:tab/>
            </w:r>
            <w:r>
              <w:rPr>
                <w:noProof/>
                <w:webHidden/>
              </w:rPr>
              <w:fldChar w:fldCharType="begin"/>
            </w:r>
            <w:r>
              <w:rPr>
                <w:noProof/>
                <w:webHidden/>
              </w:rPr>
              <w:instrText xml:space="preserve"> PAGEREF _Toc201167249 \h </w:instrText>
            </w:r>
            <w:r>
              <w:rPr>
                <w:noProof/>
                <w:webHidden/>
              </w:rPr>
            </w:r>
            <w:r>
              <w:rPr>
                <w:noProof/>
                <w:webHidden/>
              </w:rPr>
              <w:fldChar w:fldCharType="separate"/>
            </w:r>
            <w:r>
              <w:rPr>
                <w:noProof/>
                <w:webHidden/>
              </w:rPr>
              <w:t>19</w:t>
            </w:r>
            <w:r>
              <w:rPr>
                <w:noProof/>
                <w:webHidden/>
              </w:rPr>
              <w:fldChar w:fldCharType="end"/>
            </w:r>
          </w:hyperlink>
        </w:p>
        <w:p w14:paraId="7FBB595C" w14:textId="34DEECC2" w:rsidR="0032237E" w:rsidRPr="0032237E" w:rsidRDefault="0032237E">
          <w:pPr>
            <w:pStyle w:val="TOC2"/>
          </w:pPr>
          <w:hyperlink w:anchor="_Toc201167250" w:history="1">
            <w:r w:rsidRPr="00891BB6">
              <w:rPr>
                <w:rStyle w:val="Hyperlink"/>
                <w:noProof/>
              </w:rPr>
              <w:t>10.2</w:t>
            </w:r>
            <w:r w:rsidRPr="0032237E">
              <w:tab/>
            </w:r>
            <w:r w:rsidRPr="00891BB6">
              <w:rPr>
                <w:rStyle w:val="Hyperlink"/>
                <w:noProof/>
              </w:rPr>
              <w:t>Use of Supplementary Services Funds</w:t>
            </w:r>
            <w:r>
              <w:rPr>
                <w:noProof/>
                <w:webHidden/>
              </w:rPr>
              <w:tab/>
            </w:r>
            <w:r>
              <w:rPr>
                <w:noProof/>
                <w:webHidden/>
              </w:rPr>
              <w:fldChar w:fldCharType="begin"/>
            </w:r>
            <w:r>
              <w:rPr>
                <w:noProof/>
                <w:webHidden/>
              </w:rPr>
              <w:instrText xml:space="preserve"> PAGEREF _Toc201167250 \h </w:instrText>
            </w:r>
            <w:r>
              <w:rPr>
                <w:noProof/>
                <w:webHidden/>
              </w:rPr>
            </w:r>
            <w:r>
              <w:rPr>
                <w:noProof/>
                <w:webHidden/>
              </w:rPr>
              <w:fldChar w:fldCharType="separate"/>
            </w:r>
            <w:r>
              <w:rPr>
                <w:noProof/>
                <w:webHidden/>
              </w:rPr>
              <w:t>20</w:t>
            </w:r>
            <w:r>
              <w:rPr>
                <w:noProof/>
                <w:webHidden/>
              </w:rPr>
              <w:fldChar w:fldCharType="end"/>
            </w:r>
          </w:hyperlink>
        </w:p>
        <w:p w14:paraId="51602465" w14:textId="491A1795" w:rsidR="0032237E" w:rsidRPr="0032237E" w:rsidRDefault="0032237E">
          <w:pPr>
            <w:pStyle w:val="TOC3"/>
          </w:pPr>
          <w:hyperlink w:anchor="_Toc201167251" w:history="1">
            <w:r w:rsidRPr="00891BB6">
              <w:rPr>
                <w:rStyle w:val="Hyperlink"/>
                <w:noProof/>
              </w:rPr>
              <w:t>10.2.1</w:t>
            </w:r>
            <w:r w:rsidRPr="0032237E">
              <w:tab/>
            </w:r>
            <w:r w:rsidRPr="00891BB6">
              <w:rPr>
                <w:rStyle w:val="Hyperlink"/>
                <w:noProof/>
              </w:rPr>
              <w:t>Fees for service</w:t>
            </w:r>
            <w:r>
              <w:rPr>
                <w:noProof/>
                <w:webHidden/>
              </w:rPr>
              <w:tab/>
            </w:r>
            <w:r>
              <w:rPr>
                <w:noProof/>
                <w:webHidden/>
              </w:rPr>
              <w:fldChar w:fldCharType="begin"/>
            </w:r>
            <w:r>
              <w:rPr>
                <w:noProof/>
                <w:webHidden/>
              </w:rPr>
              <w:instrText xml:space="preserve"> PAGEREF _Toc201167251 \h </w:instrText>
            </w:r>
            <w:r>
              <w:rPr>
                <w:noProof/>
                <w:webHidden/>
              </w:rPr>
            </w:r>
            <w:r>
              <w:rPr>
                <w:noProof/>
                <w:webHidden/>
              </w:rPr>
              <w:fldChar w:fldCharType="separate"/>
            </w:r>
            <w:r>
              <w:rPr>
                <w:noProof/>
                <w:webHidden/>
              </w:rPr>
              <w:t>20</w:t>
            </w:r>
            <w:r>
              <w:rPr>
                <w:noProof/>
                <w:webHidden/>
              </w:rPr>
              <w:fldChar w:fldCharType="end"/>
            </w:r>
          </w:hyperlink>
        </w:p>
        <w:p w14:paraId="706107D6" w14:textId="19E40117" w:rsidR="0032237E" w:rsidRPr="0032237E" w:rsidRDefault="0032237E">
          <w:pPr>
            <w:pStyle w:val="TOC3"/>
          </w:pPr>
          <w:hyperlink w:anchor="_Toc201167252" w:history="1">
            <w:r w:rsidRPr="00891BB6">
              <w:rPr>
                <w:rStyle w:val="Hyperlink"/>
                <w:noProof/>
              </w:rPr>
              <w:t>10.2.2</w:t>
            </w:r>
            <w:r w:rsidRPr="0032237E">
              <w:tab/>
            </w:r>
            <w:r w:rsidRPr="00891BB6">
              <w:rPr>
                <w:rStyle w:val="Hyperlink"/>
                <w:noProof/>
              </w:rPr>
              <w:t>Medical aids</w:t>
            </w:r>
            <w:r>
              <w:rPr>
                <w:noProof/>
                <w:webHidden/>
              </w:rPr>
              <w:tab/>
            </w:r>
            <w:r>
              <w:rPr>
                <w:noProof/>
                <w:webHidden/>
              </w:rPr>
              <w:fldChar w:fldCharType="begin"/>
            </w:r>
            <w:r>
              <w:rPr>
                <w:noProof/>
                <w:webHidden/>
              </w:rPr>
              <w:instrText xml:space="preserve"> PAGEREF _Toc201167252 \h </w:instrText>
            </w:r>
            <w:r>
              <w:rPr>
                <w:noProof/>
                <w:webHidden/>
              </w:rPr>
            </w:r>
            <w:r>
              <w:rPr>
                <w:noProof/>
                <w:webHidden/>
              </w:rPr>
              <w:fldChar w:fldCharType="separate"/>
            </w:r>
            <w:r>
              <w:rPr>
                <w:noProof/>
                <w:webHidden/>
              </w:rPr>
              <w:t>21</w:t>
            </w:r>
            <w:r>
              <w:rPr>
                <w:noProof/>
                <w:webHidden/>
              </w:rPr>
              <w:fldChar w:fldCharType="end"/>
            </w:r>
          </w:hyperlink>
        </w:p>
        <w:p w14:paraId="55769214" w14:textId="00D87B76" w:rsidR="0032237E" w:rsidRPr="0032237E" w:rsidRDefault="0032237E">
          <w:pPr>
            <w:pStyle w:val="TOC3"/>
          </w:pPr>
          <w:hyperlink w:anchor="_Toc201167253" w:history="1">
            <w:r w:rsidRPr="00891BB6">
              <w:rPr>
                <w:rStyle w:val="Hyperlink"/>
                <w:noProof/>
              </w:rPr>
              <w:t>10.2.3</w:t>
            </w:r>
            <w:r w:rsidRPr="0032237E">
              <w:tab/>
            </w:r>
            <w:r w:rsidRPr="00891BB6">
              <w:rPr>
                <w:rStyle w:val="Hyperlink"/>
                <w:noProof/>
              </w:rPr>
              <w:t>Conditions for purchasing spectacles with Supplementary Services</w:t>
            </w:r>
            <w:r>
              <w:rPr>
                <w:noProof/>
                <w:webHidden/>
              </w:rPr>
              <w:tab/>
            </w:r>
            <w:r>
              <w:rPr>
                <w:noProof/>
                <w:webHidden/>
              </w:rPr>
              <w:fldChar w:fldCharType="begin"/>
            </w:r>
            <w:r>
              <w:rPr>
                <w:noProof/>
                <w:webHidden/>
              </w:rPr>
              <w:instrText xml:space="preserve"> PAGEREF _Toc201167253 \h </w:instrText>
            </w:r>
            <w:r>
              <w:rPr>
                <w:noProof/>
                <w:webHidden/>
              </w:rPr>
            </w:r>
            <w:r>
              <w:rPr>
                <w:noProof/>
                <w:webHidden/>
              </w:rPr>
              <w:fldChar w:fldCharType="separate"/>
            </w:r>
            <w:r>
              <w:rPr>
                <w:noProof/>
                <w:webHidden/>
              </w:rPr>
              <w:t>22</w:t>
            </w:r>
            <w:r>
              <w:rPr>
                <w:noProof/>
                <w:webHidden/>
              </w:rPr>
              <w:fldChar w:fldCharType="end"/>
            </w:r>
          </w:hyperlink>
        </w:p>
        <w:p w14:paraId="40CEF47D" w14:textId="2BE7D726" w:rsidR="0032237E" w:rsidRPr="0032237E" w:rsidRDefault="0032237E">
          <w:pPr>
            <w:pStyle w:val="TOC3"/>
          </w:pPr>
          <w:hyperlink w:anchor="_Toc201167254" w:history="1">
            <w:r w:rsidRPr="00891BB6">
              <w:rPr>
                <w:rStyle w:val="Hyperlink"/>
                <w:noProof/>
              </w:rPr>
              <w:t>10.2.4</w:t>
            </w:r>
            <w:r w:rsidRPr="0032237E">
              <w:tab/>
            </w:r>
            <w:r w:rsidRPr="00891BB6">
              <w:rPr>
                <w:rStyle w:val="Hyperlink"/>
                <w:noProof/>
              </w:rPr>
              <w:t>Exceptional Circumstances</w:t>
            </w:r>
            <w:r>
              <w:rPr>
                <w:noProof/>
                <w:webHidden/>
              </w:rPr>
              <w:tab/>
            </w:r>
            <w:r>
              <w:rPr>
                <w:noProof/>
                <w:webHidden/>
              </w:rPr>
              <w:fldChar w:fldCharType="begin"/>
            </w:r>
            <w:r>
              <w:rPr>
                <w:noProof/>
                <w:webHidden/>
              </w:rPr>
              <w:instrText xml:space="preserve"> PAGEREF _Toc201167254 \h </w:instrText>
            </w:r>
            <w:r>
              <w:rPr>
                <w:noProof/>
                <w:webHidden/>
              </w:rPr>
            </w:r>
            <w:r>
              <w:rPr>
                <w:noProof/>
                <w:webHidden/>
              </w:rPr>
              <w:fldChar w:fldCharType="separate"/>
            </w:r>
            <w:r>
              <w:rPr>
                <w:noProof/>
                <w:webHidden/>
              </w:rPr>
              <w:t>22</w:t>
            </w:r>
            <w:r>
              <w:rPr>
                <w:noProof/>
                <w:webHidden/>
              </w:rPr>
              <w:fldChar w:fldCharType="end"/>
            </w:r>
          </w:hyperlink>
        </w:p>
        <w:p w14:paraId="5E86367A" w14:textId="019D7C7D" w:rsidR="0032237E" w:rsidRPr="0032237E" w:rsidRDefault="0032237E">
          <w:pPr>
            <w:pStyle w:val="TOC3"/>
          </w:pPr>
          <w:hyperlink w:anchor="_Toc201167255" w:history="1">
            <w:r w:rsidRPr="00891BB6">
              <w:rPr>
                <w:rStyle w:val="Hyperlink"/>
                <w:noProof/>
              </w:rPr>
              <w:t>10.2.5</w:t>
            </w:r>
            <w:r w:rsidRPr="0032237E">
              <w:tab/>
            </w:r>
            <w:r w:rsidRPr="00891BB6">
              <w:rPr>
                <w:rStyle w:val="Hyperlink"/>
                <w:noProof/>
              </w:rPr>
              <w:t>Transport</w:t>
            </w:r>
            <w:r>
              <w:rPr>
                <w:noProof/>
                <w:webHidden/>
              </w:rPr>
              <w:tab/>
            </w:r>
            <w:r>
              <w:rPr>
                <w:noProof/>
                <w:webHidden/>
              </w:rPr>
              <w:fldChar w:fldCharType="begin"/>
            </w:r>
            <w:r>
              <w:rPr>
                <w:noProof/>
                <w:webHidden/>
              </w:rPr>
              <w:instrText xml:space="preserve"> PAGEREF _Toc201167255 \h </w:instrText>
            </w:r>
            <w:r>
              <w:rPr>
                <w:noProof/>
                <w:webHidden/>
              </w:rPr>
            </w:r>
            <w:r>
              <w:rPr>
                <w:noProof/>
                <w:webHidden/>
              </w:rPr>
              <w:fldChar w:fldCharType="separate"/>
            </w:r>
            <w:r>
              <w:rPr>
                <w:noProof/>
                <w:webHidden/>
              </w:rPr>
              <w:t>23</w:t>
            </w:r>
            <w:r>
              <w:rPr>
                <w:noProof/>
                <w:webHidden/>
              </w:rPr>
              <w:fldChar w:fldCharType="end"/>
            </w:r>
          </w:hyperlink>
        </w:p>
        <w:p w14:paraId="5DE4C2B5" w14:textId="2E42694E" w:rsidR="0032237E" w:rsidRPr="0032237E" w:rsidRDefault="0032237E">
          <w:pPr>
            <w:pStyle w:val="TOC1"/>
          </w:pPr>
          <w:hyperlink w:anchor="_Toc201167256" w:history="1">
            <w:r w:rsidRPr="00891BB6">
              <w:rPr>
                <w:rStyle w:val="Hyperlink"/>
                <w:noProof/>
              </w:rPr>
              <w:t>11</w:t>
            </w:r>
            <w:r w:rsidRPr="0032237E">
              <w:tab/>
            </w:r>
            <w:r w:rsidRPr="00891BB6">
              <w:rPr>
                <w:rStyle w:val="Hyperlink"/>
                <w:noProof/>
              </w:rPr>
              <w:t>Management of funds</w:t>
            </w:r>
            <w:r>
              <w:rPr>
                <w:noProof/>
                <w:webHidden/>
              </w:rPr>
              <w:tab/>
            </w:r>
            <w:r>
              <w:rPr>
                <w:noProof/>
                <w:webHidden/>
              </w:rPr>
              <w:fldChar w:fldCharType="begin"/>
            </w:r>
            <w:r>
              <w:rPr>
                <w:noProof/>
                <w:webHidden/>
              </w:rPr>
              <w:instrText xml:space="preserve"> PAGEREF _Toc201167256 \h </w:instrText>
            </w:r>
            <w:r>
              <w:rPr>
                <w:noProof/>
                <w:webHidden/>
              </w:rPr>
            </w:r>
            <w:r>
              <w:rPr>
                <w:noProof/>
                <w:webHidden/>
              </w:rPr>
              <w:fldChar w:fldCharType="separate"/>
            </w:r>
            <w:r>
              <w:rPr>
                <w:noProof/>
                <w:webHidden/>
              </w:rPr>
              <w:t>23</w:t>
            </w:r>
            <w:r>
              <w:rPr>
                <w:noProof/>
                <w:webHidden/>
              </w:rPr>
              <w:fldChar w:fldCharType="end"/>
            </w:r>
          </w:hyperlink>
        </w:p>
        <w:p w14:paraId="2C0E722C" w14:textId="10D38D42" w:rsidR="0032237E" w:rsidRPr="0032237E" w:rsidRDefault="0032237E">
          <w:pPr>
            <w:pStyle w:val="TOC1"/>
          </w:pPr>
          <w:hyperlink w:anchor="_Toc201167257" w:history="1">
            <w:r w:rsidRPr="00891BB6">
              <w:rPr>
                <w:rStyle w:val="Hyperlink"/>
                <w:noProof/>
              </w:rPr>
              <w:t>12</w:t>
            </w:r>
            <w:r w:rsidRPr="0032237E">
              <w:tab/>
            </w:r>
            <w:r w:rsidRPr="00891BB6">
              <w:rPr>
                <w:rStyle w:val="Hyperlink"/>
                <w:noProof/>
              </w:rPr>
              <w:t>Needs assessment</w:t>
            </w:r>
            <w:r>
              <w:rPr>
                <w:noProof/>
                <w:webHidden/>
              </w:rPr>
              <w:tab/>
            </w:r>
            <w:r>
              <w:rPr>
                <w:noProof/>
                <w:webHidden/>
              </w:rPr>
              <w:fldChar w:fldCharType="begin"/>
            </w:r>
            <w:r>
              <w:rPr>
                <w:noProof/>
                <w:webHidden/>
              </w:rPr>
              <w:instrText xml:space="preserve"> PAGEREF _Toc201167257 \h </w:instrText>
            </w:r>
            <w:r>
              <w:rPr>
                <w:noProof/>
                <w:webHidden/>
              </w:rPr>
            </w:r>
            <w:r>
              <w:rPr>
                <w:noProof/>
                <w:webHidden/>
              </w:rPr>
              <w:fldChar w:fldCharType="separate"/>
            </w:r>
            <w:r>
              <w:rPr>
                <w:noProof/>
                <w:webHidden/>
              </w:rPr>
              <w:t>23</w:t>
            </w:r>
            <w:r>
              <w:rPr>
                <w:noProof/>
                <w:webHidden/>
              </w:rPr>
              <w:fldChar w:fldCharType="end"/>
            </w:r>
          </w:hyperlink>
        </w:p>
        <w:p w14:paraId="413EC259" w14:textId="0846986E" w:rsidR="0032237E" w:rsidRPr="0032237E" w:rsidRDefault="0032237E">
          <w:pPr>
            <w:pStyle w:val="TOC1"/>
          </w:pPr>
          <w:hyperlink w:anchor="_Toc201167258" w:history="1">
            <w:r w:rsidRPr="00891BB6">
              <w:rPr>
                <w:rStyle w:val="Hyperlink"/>
                <w:noProof/>
              </w:rPr>
              <w:t>13</w:t>
            </w:r>
            <w:r w:rsidRPr="0032237E">
              <w:tab/>
            </w:r>
            <w:r w:rsidRPr="00891BB6">
              <w:rPr>
                <w:rStyle w:val="Hyperlink"/>
                <w:noProof/>
              </w:rPr>
              <w:t>Reporting</w:t>
            </w:r>
            <w:r>
              <w:rPr>
                <w:noProof/>
                <w:webHidden/>
              </w:rPr>
              <w:tab/>
            </w:r>
            <w:r>
              <w:rPr>
                <w:noProof/>
                <w:webHidden/>
              </w:rPr>
              <w:fldChar w:fldCharType="begin"/>
            </w:r>
            <w:r>
              <w:rPr>
                <w:noProof/>
                <w:webHidden/>
              </w:rPr>
              <w:instrText xml:space="preserve"> PAGEREF _Toc201167258 \h </w:instrText>
            </w:r>
            <w:r>
              <w:rPr>
                <w:noProof/>
                <w:webHidden/>
              </w:rPr>
            </w:r>
            <w:r>
              <w:rPr>
                <w:noProof/>
                <w:webHidden/>
              </w:rPr>
              <w:fldChar w:fldCharType="separate"/>
            </w:r>
            <w:r>
              <w:rPr>
                <w:noProof/>
                <w:webHidden/>
              </w:rPr>
              <w:t>24</w:t>
            </w:r>
            <w:r>
              <w:rPr>
                <w:noProof/>
                <w:webHidden/>
              </w:rPr>
              <w:fldChar w:fldCharType="end"/>
            </w:r>
          </w:hyperlink>
        </w:p>
        <w:p w14:paraId="1FB2AB4C" w14:textId="5E493D1C" w:rsidR="0032237E" w:rsidRPr="0032237E" w:rsidRDefault="0032237E">
          <w:pPr>
            <w:pStyle w:val="TOC1"/>
          </w:pPr>
          <w:hyperlink w:anchor="_Toc201167259" w:history="1">
            <w:r w:rsidRPr="00891BB6">
              <w:rPr>
                <w:rStyle w:val="Hyperlink"/>
                <w:noProof/>
              </w:rPr>
              <w:t>14</w:t>
            </w:r>
            <w:r w:rsidRPr="0032237E">
              <w:tab/>
            </w:r>
            <w:r w:rsidRPr="00891BB6">
              <w:rPr>
                <w:rStyle w:val="Hyperlink"/>
                <w:noProof/>
              </w:rPr>
              <w:t>Assessment and approval</w:t>
            </w:r>
            <w:r>
              <w:rPr>
                <w:noProof/>
                <w:webHidden/>
              </w:rPr>
              <w:tab/>
            </w:r>
            <w:r>
              <w:rPr>
                <w:noProof/>
                <w:webHidden/>
              </w:rPr>
              <w:fldChar w:fldCharType="begin"/>
            </w:r>
            <w:r>
              <w:rPr>
                <w:noProof/>
                <w:webHidden/>
              </w:rPr>
              <w:instrText xml:space="preserve"> PAGEREF _Toc201167259 \h </w:instrText>
            </w:r>
            <w:r>
              <w:rPr>
                <w:noProof/>
                <w:webHidden/>
              </w:rPr>
            </w:r>
            <w:r>
              <w:rPr>
                <w:noProof/>
                <w:webHidden/>
              </w:rPr>
              <w:fldChar w:fldCharType="separate"/>
            </w:r>
            <w:r>
              <w:rPr>
                <w:noProof/>
                <w:webHidden/>
              </w:rPr>
              <w:t>24</w:t>
            </w:r>
            <w:r>
              <w:rPr>
                <w:noProof/>
                <w:webHidden/>
              </w:rPr>
              <w:fldChar w:fldCharType="end"/>
            </w:r>
          </w:hyperlink>
        </w:p>
        <w:p w14:paraId="246249B8" w14:textId="5FE934AB" w:rsidR="0032237E" w:rsidRPr="0032237E" w:rsidRDefault="0032237E">
          <w:pPr>
            <w:pStyle w:val="TOC1"/>
          </w:pPr>
          <w:hyperlink w:anchor="_Toc201167260" w:history="1">
            <w:r w:rsidRPr="00891BB6">
              <w:rPr>
                <w:rStyle w:val="Hyperlink"/>
                <w:noProof/>
              </w:rPr>
              <w:t>15</w:t>
            </w:r>
            <w:r w:rsidRPr="0032237E">
              <w:tab/>
            </w:r>
            <w:r w:rsidRPr="00891BB6">
              <w:rPr>
                <w:rStyle w:val="Hyperlink"/>
                <w:noProof/>
              </w:rPr>
              <w:t>Maintenance of information and data</w:t>
            </w:r>
            <w:r>
              <w:rPr>
                <w:noProof/>
                <w:webHidden/>
              </w:rPr>
              <w:tab/>
            </w:r>
            <w:r>
              <w:rPr>
                <w:noProof/>
                <w:webHidden/>
              </w:rPr>
              <w:fldChar w:fldCharType="begin"/>
            </w:r>
            <w:r>
              <w:rPr>
                <w:noProof/>
                <w:webHidden/>
              </w:rPr>
              <w:instrText xml:space="preserve"> PAGEREF _Toc201167260 \h </w:instrText>
            </w:r>
            <w:r>
              <w:rPr>
                <w:noProof/>
                <w:webHidden/>
              </w:rPr>
            </w:r>
            <w:r>
              <w:rPr>
                <w:noProof/>
                <w:webHidden/>
              </w:rPr>
              <w:fldChar w:fldCharType="separate"/>
            </w:r>
            <w:r>
              <w:rPr>
                <w:noProof/>
                <w:webHidden/>
              </w:rPr>
              <w:t>25</w:t>
            </w:r>
            <w:r>
              <w:rPr>
                <w:noProof/>
                <w:webHidden/>
              </w:rPr>
              <w:fldChar w:fldCharType="end"/>
            </w:r>
          </w:hyperlink>
        </w:p>
        <w:p w14:paraId="69B2D9C7" w14:textId="3DAEEB2B" w:rsidR="0032237E" w:rsidRPr="0032237E" w:rsidRDefault="0032237E">
          <w:pPr>
            <w:pStyle w:val="TOC1"/>
          </w:pPr>
          <w:hyperlink w:anchor="_Toc201167261" w:history="1">
            <w:r w:rsidRPr="00891BB6">
              <w:rPr>
                <w:rStyle w:val="Hyperlink"/>
                <w:noProof/>
              </w:rPr>
              <w:t>16</w:t>
            </w:r>
            <w:r w:rsidRPr="0032237E">
              <w:tab/>
            </w:r>
            <w:r w:rsidRPr="00891BB6">
              <w:rPr>
                <w:rStyle w:val="Hyperlink"/>
                <w:noProof/>
              </w:rPr>
              <w:t>Further information</w:t>
            </w:r>
            <w:r>
              <w:rPr>
                <w:noProof/>
                <w:webHidden/>
              </w:rPr>
              <w:tab/>
            </w:r>
            <w:r>
              <w:rPr>
                <w:noProof/>
                <w:webHidden/>
              </w:rPr>
              <w:fldChar w:fldCharType="begin"/>
            </w:r>
            <w:r>
              <w:rPr>
                <w:noProof/>
                <w:webHidden/>
              </w:rPr>
              <w:instrText xml:space="preserve"> PAGEREF _Toc201167261 \h </w:instrText>
            </w:r>
            <w:r>
              <w:rPr>
                <w:noProof/>
                <w:webHidden/>
              </w:rPr>
            </w:r>
            <w:r>
              <w:rPr>
                <w:noProof/>
                <w:webHidden/>
              </w:rPr>
              <w:fldChar w:fldCharType="separate"/>
            </w:r>
            <w:r>
              <w:rPr>
                <w:noProof/>
                <w:webHidden/>
              </w:rPr>
              <w:t>25</w:t>
            </w:r>
            <w:r>
              <w:rPr>
                <w:noProof/>
                <w:webHidden/>
              </w:rPr>
              <w:fldChar w:fldCharType="end"/>
            </w:r>
          </w:hyperlink>
        </w:p>
        <w:p w14:paraId="0D59A181" w14:textId="573E531C" w:rsidR="0032237E" w:rsidRPr="0032237E" w:rsidRDefault="0032237E">
          <w:pPr>
            <w:pStyle w:val="TOC1"/>
          </w:pPr>
          <w:hyperlink w:anchor="_Toc201167262" w:history="1">
            <w:r w:rsidRPr="00891BB6">
              <w:rPr>
                <w:rStyle w:val="Hyperlink"/>
                <w:noProof/>
              </w:rPr>
              <w:t>Appendix 1 – Frequently Asked Questions (FAQs)</w:t>
            </w:r>
            <w:r>
              <w:rPr>
                <w:noProof/>
                <w:webHidden/>
              </w:rPr>
              <w:tab/>
            </w:r>
            <w:r>
              <w:rPr>
                <w:noProof/>
                <w:webHidden/>
              </w:rPr>
              <w:fldChar w:fldCharType="begin"/>
            </w:r>
            <w:r>
              <w:rPr>
                <w:noProof/>
                <w:webHidden/>
              </w:rPr>
              <w:instrText xml:space="preserve"> PAGEREF _Toc201167262 \h </w:instrText>
            </w:r>
            <w:r>
              <w:rPr>
                <w:noProof/>
                <w:webHidden/>
              </w:rPr>
            </w:r>
            <w:r>
              <w:rPr>
                <w:noProof/>
                <w:webHidden/>
              </w:rPr>
              <w:fldChar w:fldCharType="separate"/>
            </w:r>
            <w:r>
              <w:rPr>
                <w:noProof/>
                <w:webHidden/>
              </w:rPr>
              <w:t>26</w:t>
            </w:r>
            <w:r>
              <w:rPr>
                <w:noProof/>
                <w:webHidden/>
              </w:rPr>
              <w:fldChar w:fldCharType="end"/>
            </w:r>
          </w:hyperlink>
        </w:p>
        <w:p w14:paraId="525D9FA7" w14:textId="4AB520A5" w:rsidR="0032237E" w:rsidRPr="0032237E" w:rsidRDefault="0032237E">
          <w:pPr>
            <w:pStyle w:val="TOC1"/>
          </w:pPr>
          <w:hyperlink w:anchor="_Toc201167271" w:history="1">
            <w:r w:rsidRPr="00891BB6">
              <w:rPr>
                <w:rStyle w:val="Hyperlink"/>
                <w:noProof/>
              </w:rPr>
              <w:t>Appendix 2 – Decision Support Tool for the ITC activity</w:t>
            </w:r>
            <w:r>
              <w:rPr>
                <w:noProof/>
                <w:webHidden/>
              </w:rPr>
              <w:tab/>
            </w:r>
            <w:r>
              <w:rPr>
                <w:noProof/>
                <w:webHidden/>
              </w:rPr>
              <w:fldChar w:fldCharType="begin"/>
            </w:r>
            <w:r>
              <w:rPr>
                <w:noProof/>
                <w:webHidden/>
              </w:rPr>
              <w:instrText xml:space="preserve"> PAGEREF _Toc201167271 \h </w:instrText>
            </w:r>
            <w:r>
              <w:rPr>
                <w:noProof/>
                <w:webHidden/>
              </w:rPr>
            </w:r>
            <w:r>
              <w:rPr>
                <w:noProof/>
                <w:webHidden/>
              </w:rPr>
              <w:fldChar w:fldCharType="separate"/>
            </w:r>
            <w:r>
              <w:rPr>
                <w:noProof/>
                <w:webHidden/>
              </w:rPr>
              <w:t>32</w:t>
            </w:r>
            <w:r>
              <w:rPr>
                <w:noProof/>
                <w:webHidden/>
              </w:rPr>
              <w:fldChar w:fldCharType="end"/>
            </w:r>
          </w:hyperlink>
        </w:p>
        <w:p w14:paraId="3CD0BA57" w14:textId="2ECC8996" w:rsidR="0032237E" w:rsidRDefault="0032237E">
          <w:r>
            <w:rPr>
              <w:b/>
              <w:bCs/>
              <w:noProof/>
            </w:rPr>
            <w:fldChar w:fldCharType="end"/>
          </w:r>
        </w:p>
      </w:sdtContent>
    </w:sdt>
    <w:p w14:paraId="1F18C890" w14:textId="16AB7B75" w:rsidR="004B744B" w:rsidRPr="00555483" w:rsidRDefault="004B744B" w:rsidP="008267C7"/>
    <w:p w14:paraId="5CC03B3A" w14:textId="77777777" w:rsidR="004B744B" w:rsidRPr="004D1339" w:rsidRDefault="004B744B" w:rsidP="008267C7">
      <w:pPr>
        <w:sectPr w:rsidR="004B744B" w:rsidRPr="004D1339" w:rsidSect="00CF14A6">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709" w:gutter="0"/>
          <w:pgNumType w:fmt="lowerRoman"/>
          <w:cols w:space="708"/>
          <w:docGrid w:linePitch="360"/>
        </w:sectPr>
      </w:pPr>
    </w:p>
    <w:p w14:paraId="2A04B5AB" w14:textId="10A91E40" w:rsidR="004B744B" w:rsidRPr="00F32DBD" w:rsidRDefault="004B744B" w:rsidP="004460AE">
      <w:pPr>
        <w:pStyle w:val="Heading1"/>
      </w:pPr>
      <w:bookmarkStart w:id="0" w:name="_Toc5097087"/>
      <w:bookmarkStart w:id="1" w:name="_Toc169185729"/>
      <w:bookmarkStart w:id="2" w:name="_Toc201167217"/>
      <w:r w:rsidRPr="00F32DBD">
        <w:lastRenderedPageBreak/>
        <w:t>Introduction</w:t>
      </w:r>
      <w:bookmarkEnd w:id="0"/>
      <w:bookmarkEnd w:id="1"/>
      <w:bookmarkEnd w:id="2"/>
    </w:p>
    <w:p w14:paraId="11BA2070" w14:textId="33D33699" w:rsidR="004B744B" w:rsidRDefault="004B744B" w:rsidP="008267C7">
      <w:r w:rsidRPr="00F030A8">
        <w:t>Th</w:t>
      </w:r>
      <w:r>
        <w:t>is</w:t>
      </w:r>
      <w:r w:rsidRPr="00F030A8">
        <w:t xml:space="preserve"> document</w:t>
      </w:r>
      <w:r>
        <w:t xml:space="preserve"> describes the Integrated Team Care Program </w:t>
      </w:r>
      <w:r w:rsidR="00801CF4">
        <w:t xml:space="preserve">(ITC) </w:t>
      </w:r>
      <w:r>
        <w:t xml:space="preserve">and </w:t>
      </w:r>
      <w:r w:rsidRPr="00F030A8">
        <w:t>provides guidance for the implementation and management of ITC.</w:t>
      </w:r>
    </w:p>
    <w:p w14:paraId="2C7B2ED2" w14:textId="3DAB1877" w:rsidR="004B744B" w:rsidRDefault="004B744B" w:rsidP="008267C7">
      <w:r w:rsidRPr="00F030A8">
        <w:t xml:space="preserve">Funds for </w:t>
      </w:r>
      <w:r>
        <w:t xml:space="preserve">ITC </w:t>
      </w:r>
      <w:r w:rsidRPr="00F030A8">
        <w:t>will be managed by P</w:t>
      </w:r>
      <w:r>
        <w:t>rimary Health Networks (P</w:t>
      </w:r>
      <w:r w:rsidRPr="00F030A8">
        <w:t>HNs</w:t>
      </w:r>
      <w:r>
        <w:t>)</w:t>
      </w:r>
      <w:r w:rsidR="00B2221D">
        <w:t xml:space="preserve"> and other </w:t>
      </w:r>
      <w:r w:rsidR="00E7369C">
        <w:t xml:space="preserve">nominated </w:t>
      </w:r>
      <w:r w:rsidR="00B2221D">
        <w:t>organisations</w:t>
      </w:r>
      <w:r w:rsidR="00C45E59">
        <w:t xml:space="preserve"> (commissioning bodies)</w:t>
      </w:r>
      <w:r>
        <w:t>.</w:t>
      </w:r>
      <w:r w:rsidR="00670327">
        <w:t xml:space="preserve"> </w:t>
      </w:r>
      <w:r w:rsidR="00C10E60">
        <w:t>Commissioning bodies</w:t>
      </w:r>
      <w:r w:rsidR="00C10E60" w:rsidRPr="00F030A8">
        <w:t xml:space="preserve"> </w:t>
      </w:r>
      <w:r>
        <w:t>should</w:t>
      </w:r>
      <w:r w:rsidRPr="00F030A8">
        <w:t xml:space="preserve"> work with the </w:t>
      </w:r>
      <w:r w:rsidR="00C21477">
        <w:t>Aboriginal and Torres Strait Islander</w:t>
      </w:r>
      <w:r w:rsidR="00C21477" w:rsidRPr="00F030A8">
        <w:t xml:space="preserve"> </w:t>
      </w:r>
      <w:r w:rsidRPr="00F030A8">
        <w:t>health sector when planning</w:t>
      </w:r>
      <w:r w:rsidR="00B00C25">
        <w:t xml:space="preserve">, contracting </w:t>
      </w:r>
      <w:r w:rsidR="00AC2965">
        <w:t>service providers</w:t>
      </w:r>
      <w:r w:rsidR="00B00C25">
        <w:t xml:space="preserve"> or delivering ITC</w:t>
      </w:r>
      <w:r w:rsidR="00AC2965">
        <w:t xml:space="preserve"> to</w:t>
      </w:r>
      <w:r w:rsidRPr="00F030A8">
        <w:t xml:space="preserve"> ensure that </w:t>
      </w:r>
      <w:r>
        <w:t>eligible client</w:t>
      </w:r>
      <w:r w:rsidRPr="00F030A8">
        <w:t>s of mainstream</w:t>
      </w:r>
      <w:r w:rsidR="00842BC3">
        <w:t>,</w:t>
      </w:r>
      <w:r w:rsidRPr="00F030A8">
        <w:t xml:space="preserve"> </w:t>
      </w:r>
      <w:r>
        <w:t>Aboriginal Medical Services (AMS</w:t>
      </w:r>
      <w:r w:rsidRPr="00F030A8">
        <w:t>)</w:t>
      </w:r>
      <w:r>
        <w:rPr>
          <w:rStyle w:val="FootnoteReference"/>
        </w:rPr>
        <w:footnoteReference w:id="2"/>
      </w:r>
      <w:r w:rsidRPr="00F030A8">
        <w:t xml:space="preserve"> </w:t>
      </w:r>
      <w:r w:rsidR="00842BC3">
        <w:t>and Aboriginal Community Controlled Health Services (ACCHS)</w:t>
      </w:r>
      <w:r w:rsidR="00086196">
        <w:rPr>
          <w:rStyle w:val="FootnoteReference"/>
        </w:rPr>
        <w:footnoteReference w:id="3"/>
      </w:r>
      <w:r w:rsidR="00842BC3">
        <w:t xml:space="preserve"> </w:t>
      </w:r>
      <w:r w:rsidRPr="00F030A8">
        <w:t>have access to care coordination.</w:t>
      </w:r>
    </w:p>
    <w:p w14:paraId="0CC008BB" w14:textId="37271C5C" w:rsidR="004B744B" w:rsidRDefault="004B744B" w:rsidP="008267C7">
      <w:r>
        <w:t xml:space="preserve">ITC (and its predecessors the Care Coordination and Supplementary Services and Improving Indigenous Access to Mainstream Primary Care programs) was established to </w:t>
      </w:r>
      <w:r w:rsidR="00C30876">
        <w:t xml:space="preserve">empower </w:t>
      </w:r>
      <w:r>
        <w:t xml:space="preserve">Aboriginal and Torres Strait Islander people </w:t>
      </w:r>
      <w:r w:rsidR="00C30876">
        <w:t xml:space="preserve">facing </w:t>
      </w:r>
      <w:r>
        <w:t xml:space="preserve">complex chronic diseases </w:t>
      </w:r>
      <w:r w:rsidR="00536203">
        <w:t>and health decisions</w:t>
      </w:r>
      <w:r>
        <w:t xml:space="preserve"> </w:t>
      </w:r>
      <w:r w:rsidR="00B736CB">
        <w:t xml:space="preserve">by providing </w:t>
      </w:r>
      <w:r>
        <w:t xml:space="preserve">access to </w:t>
      </w:r>
      <w:r w:rsidR="00B736CB">
        <w:t xml:space="preserve">personalised </w:t>
      </w:r>
      <w:r>
        <w:t xml:space="preserve">one-on-one assistance by Care Coordinators. Since the establishment of ITC, the provision of care coordination, expediting access to necessary services, and developing care pathways and service linkages has resulted in </w:t>
      </w:r>
      <w:r w:rsidR="007757BF">
        <w:t xml:space="preserve">improved continuity </w:t>
      </w:r>
      <w:r w:rsidR="00FF4EC3">
        <w:t>of care</w:t>
      </w:r>
      <w:r w:rsidR="00382CBA">
        <w:t xml:space="preserve"> between client and provider</w:t>
      </w:r>
      <w:r w:rsidR="00FF4EC3">
        <w:t xml:space="preserve">, </w:t>
      </w:r>
      <w:r w:rsidR="00382CBA">
        <w:t xml:space="preserve">greater </w:t>
      </w:r>
      <w:r w:rsidR="00FF4EC3">
        <w:t>client self-efficacy and self-management</w:t>
      </w:r>
      <w:r>
        <w:t>.</w:t>
      </w:r>
      <w:r w:rsidR="00E62B6F">
        <w:rPr>
          <w:rStyle w:val="FootnoteReference"/>
        </w:rPr>
        <w:footnoteReference w:id="4"/>
      </w:r>
    </w:p>
    <w:p w14:paraId="3E1BAAA0" w14:textId="58CC7FA0" w:rsidR="004B744B" w:rsidRPr="00F030A8" w:rsidRDefault="004B744B" w:rsidP="008267C7">
      <w:r>
        <w:t xml:space="preserve">ITC provides the opportunity for </w:t>
      </w:r>
      <w:r w:rsidR="00E62B6F">
        <w:t xml:space="preserve">commissioning bodies </w:t>
      </w:r>
      <w:r>
        <w:t xml:space="preserve">to develop flexible approaches to improve Aboriginal and Torres Strait Islander people’s access to high quality, culturally appropriate health care, including care coordination services. It </w:t>
      </w:r>
      <w:r w:rsidR="00E22EEC">
        <w:t>also allows commissioning bodies to cultivate</w:t>
      </w:r>
      <w:r>
        <w:t xml:space="preserve"> innovative approaches that best meet local needs through the commissioning process.</w:t>
      </w:r>
    </w:p>
    <w:p w14:paraId="466D9AE9" w14:textId="3EFC66AF" w:rsidR="004B744B" w:rsidRPr="00555483" w:rsidRDefault="00486BBE" w:rsidP="004460AE">
      <w:pPr>
        <w:pStyle w:val="Heading2"/>
      </w:pPr>
      <w:bookmarkStart w:id="3" w:name="_Toc5097088"/>
      <w:bookmarkStart w:id="4" w:name="_Toc169185730"/>
      <w:bookmarkStart w:id="5" w:name="_Toc201167218"/>
      <w:r w:rsidRPr="00555483">
        <w:t xml:space="preserve">Objectives </w:t>
      </w:r>
      <w:r w:rsidR="004B744B" w:rsidRPr="00555483">
        <w:t xml:space="preserve">and </w:t>
      </w:r>
      <w:r w:rsidR="00CF29CE" w:rsidRPr="00555483">
        <w:t xml:space="preserve">outcomes </w:t>
      </w:r>
      <w:r w:rsidR="004B744B" w:rsidRPr="00555483">
        <w:t>of the Integrated Team Care Program</w:t>
      </w:r>
      <w:bookmarkEnd w:id="3"/>
      <w:bookmarkEnd w:id="4"/>
      <w:bookmarkEnd w:id="5"/>
    </w:p>
    <w:p w14:paraId="75DCADDD" w14:textId="535F99BE" w:rsidR="004B744B" w:rsidRPr="00083BB8" w:rsidRDefault="004B744B" w:rsidP="008267C7">
      <w:bookmarkStart w:id="6" w:name="OLE_LINK3"/>
      <w:bookmarkStart w:id="7" w:name="OLE_LINK4"/>
      <w:r w:rsidRPr="00083BB8">
        <w:t xml:space="preserve">The </w:t>
      </w:r>
      <w:r w:rsidR="00031751">
        <w:t>objectives</w:t>
      </w:r>
      <w:r w:rsidR="00031751" w:rsidRPr="00083BB8">
        <w:t xml:space="preserve"> </w:t>
      </w:r>
      <w:r w:rsidRPr="00083BB8">
        <w:t xml:space="preserve">of ITC are to: </w:t>
      </w:r>
    </w:p>
    <w:p w14:paraId="2E06F398" w14:textId="609D8C43" w:rsidR="004B744B" w:rsidRPr="00AB6972" w:rsidRDefault="004B744B" w:rsidP="008267C7">
      <w:pPr>
        <w:pStyle w:val="ListBullet"/>
      </w:pPr>
      <w:r w:rsidRPr="00AB6972">
        <w:t>contribute to improving health outcomes for Aboriginal and Torres Strait Islander people with chronic health conditions through access to care coordination, multidisciplinary care, and support for self-management; and</w:t>
      </w:r>
    </w:p>
    <w:p w14:paraId="5BBBCEE1" w14:textId="44683D42" w:rsidR="004B744B" w:rsidRPr="00AB6972" w:rsidRDefault="004B744B" w:rsidP="008267C7">
      <w:pPr>
        <w:pStyle w:val="ListBullet"/>
      </w:pPr>
      <w:r w:rsidRPr="00AB6972">
        <w:t xml:space="preserve">improve access to culturally </w:t>
      </w:r>
      <w:r w:rsidR="00E81ABF" w:rsidRPr="00AB6972">
        <w:t xml:space="preserve">safe </w:t>
      </w:r>
      <w:r w:rsidRPr="00AB6972">
        <w:t>primary care services (including but not limited to general practice, allied health and specialists) for Aboriginal and Torres Strait Islander people</w:t>
      </w:r>
      <w:r w:rsidR="00B916AB" w:rsidRPr="00AB6972">
        <w:t xml:space="preserve"> by </w:t>
      </w:r>
      <w:r w:rsidR="00E064DE" w:rsidRPr="00AB6972">
        <w:t>supporting</w:t>
      </w:r>
      <w:r w:rsidR="00FA0B56" w:rsidRPr="00AB6972">
        <w:t xml:space="preserve"> </w:t>
      </w:r>
      <w:proofErr w:type="gramStart"/>
      <w:r w:rsidR="00FA0B56" w:rsidRPr="00AB6972">
        <w:t>community controlled</w:t>
      </w:r>
      <w:proofErr w:type="gramEnd"/>
      <w:r w:rsidR="00FA0B56" w:rsidRPr="00AB6972">
        <w:t xml:space="preserve"> </w:t>
      </w:r>
      <w:r w:rsidR="00D53C85" w:rsidRPr="00AB6972">
        <w:t>services</w:t>
      </w:r>
      <w:r w:rsidR="00FA0B56" w:rsidRPr="00AB6972">
        <w:t xml:space="preserve">, while </w:t>
      </w:r>
      <w:r w:rsidR="009B0D99" w:rsidRPr="00AB6972">
        <w:t>also maintaining client choice with mainstream options</w:t>
      </w:r>
      <w:r w:rsidRPr="00AB6972">
        <w:t>.</w:t>
      </w:r>
    </w:p>
    <w:p w14:paraId="4EFC8493" w14:textId="7AB27C5C" w:rsidR="004B744B" w:rsidRPr="00083BB8" w:rsidRDefault="004B744B" w:rsidP="008267C7">
      <w:r w:rsidRPr="00083BB8">
        <w:t xml:space="preserve">The </w:t>
      </w:r>
      <w:r w:rsidR="00031751">
        <w:t>outcome</w:t>
      </w:r>
      <w:r w:rsidR="00031751" w:rsidRPr="00083BB8">
        <w:t xml:space="preserve">s </w:t>
      </w:r>
      <w:r w:rsidRPr="00083BB8">
        <w:t>are to:</w:t>
      </w:r>
    </w:p>
    <w:p w14:paraId="4876D863" w14:textId="59E8290E" w:rsidR="004B744B" w:rsidRPr="00DE5B76" w:rsidRDefault="004B744B" w:rsidP="008267C7">
      <w:pPr>
        <w:pStyle w:val="ListBullet"/>
      </w:pPr>
      <w:r w:rsidRPr="00DE5B76">
        <w:lastRenderedPageBreak/>
        <w:t xml:space="preserve">contribute to better treatment and management of chronic conditions for Aboriginal and Torres Strait Islander people enrolled </w:t>
      </w:r>
      <w:r w:rsidR="00BC3036" w:rsidRPr="00DE5B76">
        <w:t xml:space="preserve">on </w:t>
      </w:r>
      <w:proofErr w:type="gramStart"/>
      <w:r w:rsidR="00BC3036" w:rsidRPr="00DE5B76">
        <w:t>ITC</w:t>
      </w:r>
      <w:r w:rsidRPr="00DE5B76">
        <w:t>;</w:t>
      </w:r>
      <w:proofErr w:type="gramEnd"/>
    </w:p>
    <w:p w14:paraId="125837C4" w14:textId="10D9BBC6" w:rsidR="004B744B" w:rsidRPr="00DE5B76" w:rsidRDefault="004B744B" w:rsidP="008267C7">
      <w:pPr>
        <w:pStyle w:val="ListBullet"/>
      </w:pPr>
      <w:r w:rsidRPr="00DE5B76">
        <w:t xml:space="preserve">improve access to appropriate health care through care coordination and provision of </w:t>
      </w:r>
      <w:r w:rsidR="00E01723" w:rsidRPr="00DE5B76">
        <w:t>S</w:t>
      </w:r>
      <w:r w:rsidRPr="00DE5B76">
        <w:t xml:space="preserve">upplementary </w:t>
      </w:r>
      <w:r w:rsidR="00E01723" w:rsidRPr="00DE5B76">
        <w:t>S</w:t>
      </w:r>
      <w:r w:rsidRPr="00DE5B76">
        <w:t>ervices for eligible Aboriginal and Torres Strait Islander people with chronic disease</w:t>
      </w:r>
      <w:r w:rsidR="00165F38" w:rsidRPr="00DE5B76">
        <w:t>/</w:t>
      </w:r>
      <w:proofErr w:type="gramStart"/>
      <w:r w:rsidR="00165F38" w:rsidRPr="00DE5B76">
        <w:t>s</w:t>
      </w:r>
      <w:r w:rsidRPr="00DE5B76">
        <w:t>;</w:t>
      </w:r>
      <w:proofErr w:type="gramEnd"/>
    </w:p>
    <w:p w14:paraId="5D601FF6" w14:textId="747B274C" w:rsidR="004B744B" w:rsidRPr="00DE5B76" w:rsidRDefault="004B744B" w:rsidP="008267C7">
      <w:pPr>
        <w:pStyle w:val="ListBullet"/>
      </w:pPr>
      <w:r w:rsidRPr="00DE5B76">
        <w:t xml:space="preserve">foster collaboration and support between the mainstream primary care and the Aboriginal and Torres Strait Islander health </w:t>
      </w:r>
      <w:proofErr w:type="gramStart"/>
      <w:r w:rsidRPr="00DE5B76">
        <w:t>sector</w:t>
      </w:r>
      <w:r w:rsidR="00654ED1" w:rsidRPr="00DE5B76">
        <w:t>s</w:t>
      </w:r>
      <w:r w:rsidRPr="00DE5B76">
        <w:t>;</w:t>
      </w:r>
      <w:proofErr w:type="gramEnd"/>
    </w:p>
    <w:p w14:paraId="4BB6FE54" w14:textId="3D7D99F7" w:rsidR="004B744B" w:rsidRPr="00DE5B76" w:rsidRDefault="004B744B" w:rsidP="008267C7">
      <w:pPr>
        <w:pStyle w:val="ListBullet"/>
      </w:pPr>
      <w:r w:rsidRPr="00DE5B76">
        <w:t xml:space="preserve">improve the capacity of mainstream primary care services to deliver culturally </w:t>
      </w:r>
      <w:r w:rsidR="00165F38" w:rsidRPr="00DE5B76">
        <w:t xml:space="preserve">safe </w:t>
      </w:r>
      <w:r w:rsidRPr="00DE5B76">
        <w:t>services to Aboriginal and Torres Strait Islander people; and</w:t>
      </w:r>
    </w:p>
    <w:p w14:paraId="4647ADD0" w14:textId="77777777" w:rsidR="004B744B" w:rsidRPr="00DE5B76" w:rsidRDefault="004B744B" w:rsidP="008267C7">
      <w:pPr>
        <w:pStyle w:val="ListBullet"/>
      </w:pPr>
      <w:r w:rsidRPr="00DE5B76">
        <w:t>increase the uptake of Aboriginal and Torres Strait Islander specific Medicare Benefits Schedule (MBS) items, including Health Assessments for Aboriginal and Torres Strait Islander people and follow up items.</w:t>
      </w:r>
    </w:p>
    <w:p w14:paraId="46E3E179" w14:textId="0B0EDEC8" w:rsidR="004B744B" w:rsidRPr="00555483" w:rsidRDefault="004B744B" w:rsidP="00555483">
      <w:pPr>
        <w:pStyle w:val="Heading2"/>
      </w:pPr>
      <w:bookmarkStart w:id="8" w:name="_Toc5097089"/>
      <w:bookmarkStart w:id="9" w:name="_Toc169185731"/>
      <w:bookmarkStart w:id="10" w:name="_Toc201167219"/>
      <w:bookmarkEnd w:id="6"/>
      <w:bookmarkEnd w:id="7"/>
      <w:r w:rsidRPr="00555483">
        <w:t>Program description</w:t>
      </w:r>
      <w:bookmarkEnd w:id="8"/>
      <w:bookmarkEnd w:id="9"/>
      <w:bookmarkEnd w:id="10"/>
      <w:r w:rsidRPr="00555483">
        <w:t xml:space="preserve"> </w:t>
      </w:r>
    </w:p>
    <w:p w14:paraId="2F4DC1CA" w14:textId="04C32364" w:rsidR="004B744B" w:rsidRDefault="004B744B" w:rsidP="008267C7">
      <w:r w:rsidRPr="00083BB8">
        <w:t>ITC is provided by a team</w:t>
      </w:r>
      <w:r w:rsidR="00B014E1">
        <w:t xml:space="preserve"> and/or </w:t>
      </w:r>
      <w:r w:rsidRPr="00083BB8">
        <w:t xml:space="preserve">teams of </w:t>
      </w:r>
      <w:r w:rsidR="00C07C7D">
        <w:t>Aboriginal and Torres Strait Islander</w:t>
      </w:r>
      <w:r w:rsidRPr="00083BB8">
        <w:t xml:space="preserve"> Health Project Officers (</w:t>
      </w:r>
      <w:r w:rsidR="00C07C7D">
        <w:t>ATSI</w:t>
      </w:r>
      <w:r w:rsidRPr="00083BB8">
        <w:t>HPOs), Aboriginal and Torres Strait Islander Outreach Workers (Outreach Workers) and Care Coordinators.</w:t>
      </w:r>
      <w:r w:rsidR="005D1367">
        <w:t xml:space="preserve"> </w:t>
      </w:r>
      <w:r w:rsidRPr="00083BB8">
        <w:t>The team</w:t>
      </w:r>
      <w:r w:rsidR="00C20BC9">
        <w:t>s</w:t>
      </w:r>
      <w:r w:rsidRPr="00083BB8">
        <w:t xml:space="preserve"> work </w:t>
      </w:r>
      <w:r w:rsidR="00C20BC9">
        <w:t>with</w:t>
      </w:r>
      <w:r w:rsidRPr="00083BB8">
        <w:t xml:space="preserve">in their </w:t>
      </w:r>
      <w:r w:rsidR="00C20BC9">
        <w:t xml:space="preserve">respective </w:t>
      </w:r>
      <w:r w:rsidRPr="00083BB8">
        <w:t>PHN region</w:t>
      </w:r>
      <w:r w:rsidR="00CD5274">
        <w:t>/s</w:t>
      </w:r>
      <w:r w:rsidRPr="00083BB8">
        <w:t xml:space="preserve">, </w:t>
      </w:r>
      <w:r w:rsidR="00DF048C">
        <w:t>fostering cross-sector partnerships between</w:t>
      </w:r>
      <w:r w:rsidRPr="00083BB8">
        <w:t xml:space="preserve"> the </w:t>
      </w:r>
      <w:r w:rsidR="00A95B35">
        <w:t>community controlled</w:t>
      </w:r>
      <w:r w:rsidRPr="00083BB8">
        <w:t xml:space="preserve"> and mainstream primary care</w:t>
      </w:r>
      <w:r>
        <w:t xml:space="preserve"> sectors</w:t>
      </w:r>
      <w:r w:rsidR="00A95B35">
        <w:t xml:space="preserve"> whenever feasible</w:t>
      </w:r>
      <w:r>
        <w:t>,</w:t>
      </w:r>
      <w:r w:rsidRPr="00375BF6">
        <w:t xml:space="preserve"> to assist Aboriginal and Torres Strait Islander people to obtain primary health care as required, provide care coordination services to eligible Aboriginal and Torres Strait Islander people with chronic disease/s who require multidisciplinary care, and improve access for Aboriginal and Torres Strait Islander people to culturally </w:t>
      </w:r>
      <w:r w:rsidR="00E81ABF">
        <w:t>safe</w:t>
      </w:r>
      <w:r w:rsidR="00E81ABF" w:rsidRPr="00375BF6">
        <w:t xml:space="preserve"> </w:t>
      </w:r>
      <w:r w:rsidRPr="00375BF6">
        <w:t>mainstream primary care</w:t>
      </w:r>
      <w:r w:rsidR="0019240E">
        <w:t xml:space="preserve">. ITC </w:t>
      </w:r>
      <w:r w:rsidR="00C012AF">
        <w:t xml:space="preserve">can </w:t>
      </w:r>
      <w:r w:rsidR="0019240E">
        <w:t xml:space="preserve">also </w:t>
      </w:r>
      <w:r w:rsidR="00357C66">
        <w:t>assist</w:t>
      </w:r>
      <w:r w:rsidR="0019240E">
        <w:t xml:space="preserve"> clients to overcome barriers </w:t>
      </w:r>
      <w:r w:rsidR="00C012AF">
        <w:t xml:space="preserve">to their chronic disease management by </w:t>
      </w:r>
      <w:r w:rsidR="009E10D4">
        <w:t>providing access to</w:t>
      </w:r>
      <w:r w:rsidR="00357C66">
        <w:t xml:space="preserve"> medical devices, </w:t>
      </w:r>
      <w:r w:rsidR="00204583">
        <w:t>transportation,</w:t>
      </w:r>
      <w:r w:rsidR="00357C66">
        <w:t xml:space="preserve"> or </w:t>
      </w:r>
      <w:r w:rsidR="009E10D4">
        <w:t xml:space="preserve">healthcare services </w:t>
      </w:r>
      <w:r w:rsidR="005433BC">
        <w:t>that may not be a</w:t>
      </w:r>
      <w:r w:rsidR="00F10E86">
        <w:t>ttainable</w:t>
      </w:r>
      <w:r w:rsidR="005433BC">
        <w:t xml:space="preserve"> through</w:t>
      </w:r>
      <w:r w:rsidR="00204583">
        <w:t xml:space="preserve"> other funding sources, or </w:t>
      </w:r>
      <w:r w:rsidR="005433BC">
        <w:t>without considerable</w:t>
      </w:r>
      <w:r w:rsidR="00204583">
        <w:t xml:space="preserve"> delays</w:t>
      </w:r>
      <w:r w:rsidR="00357C66">
        <w:t xml:space="preserve">. </w:t>
      </w:r>
    </w:p>
    <w:p w14:paraId="55102C43" w14:textId="5C4644A0" w:rsidR="004B744B" w:rsidRDefault="004B744B" w:rsidP="008267C7">
      <w:r>
        <w:t xml:space="preserve">While the mix and number of positions will vary, it is expected that the roles and responsibilities of each of the workforce positions (see Sections </w:t>
      </w:r>
      <w:r w:rsidR="009639E7">
        <w:t>5</w:t>
      </w:r>
      <w:r>
        <w:t xml:space="preserve">, </w:t>
      </w:r>
      <w:r w:rsidR="009639E7">
        <w:t>6</w:t>
      </w:r>
      <w:r>
        <w:t xml:space="preserve">, and </w:t>
      </w:r>
      <w:r w:rsidR="009639E7">
        <w:t>7</w:t>
      </w:r>
      <w:r>
        <w:t>) will be carried out by the ITC workforce across the PHN region</w:t>
      </w:r>
      <w:r w:rsidR="00A60CCB">
        <w:t>/s</w:t>
      </w:r>
      <w:r>
        <w:t>.</w:t>
      </w:r>
    </w:p>
    <w:p w14:paraId="687EE3EC" w14:textId="102A3B28" w:rsidR="004B744B" w:rsidRDefault="00AD3CC0" w:rsidP="008267C7">
      <w:r>
        <w:t>An example of how the three primary roles may collaborate to implement and coordinate ITC is depicted below</w:t>
      </w:r>
      <w:r w:rsidR="004B744B">
        <w:t>:</w:t>
      </w:r>
    </w:p>
    <w:p w14:paraId="66FACFEA" w14:textId="6F0BDEF6" w:rsidR="004B744B" w:rsidRDefault="00C07C7D" w:rsidP="008267C7">
      <w:pPr>
        <w:pStyle w:val="ListBullet"/>
      </w:pPr>
      <w:r w:rsidRPr="00DE5B76">
        <w:t>ATSIHPO</w:t>
      </w:r>
      <w:r w:rsidR="004B744B" w:rsidRPr="00DE5B76">
        <w:t>s have a policy and leadership role within a PHN region. As team leaders</w:t>
      </w:r>
      <w:r w:rsidR="00AD3CC0" w:rsidRPr="00DE5B76">
        <w:t xml:space="preserve"> or program coordinators</w:t>
      </w:r>
      <w:r w:rsidR="00A814EC" w:rsidRPr="00DE5B76">
        <w:t>,</w:t>
      </w:r>
      <w:r w:rsidR="004B744B" w:rsidRPr="00DE5B76">
        <w:t xml:space="preserve"> they ensure there is a focus on Indigenous health and aim to improve the integration of care across the region.</w:t>
      </w:r>
      <w:r w:rsidR="005D1367" w:rsidRPr="00DE5B76">
        <w:t xml:space="preserve"> </w:t>
      </w:r>
      <w:r w:rsidR="004B744B" w:rsidRPr="00DE5B76">
        <w:t>This work includes needs assessment and planning, developing multi-program approaches and cross-sector linkages, and supporting both Outreach Workers and Care Coordinators (</w:t>
      </w:r>
      <w:r w:rsidR="007E494F" w:rsidRPr="00DE5B76">
        <w:t>s</w:t>
      </w:r>
      <w:r w:rsidR="004B744B" w:rsidRPr="00DE5B76">
        <w:t xml:space="preserve">ee Sections </w:t>
      </w:r>
      <w:r w:rsidR="006E6964" w:rsidRPr="00DE5B76">
        <w:t xml:space="preserve">5 – Aboriginal and Torres </w:t>
      </w:r>
      <w:r w:rsidR="00A13D17" w:rsidRPr="00DE5B76">
        <w:t>Strait</w:t>
      </w:r>
      <w:r w:rsidR="006E6964" w:rsidRPr="00DE5B76">
        <w:t xml:space="preserve"> Islander</w:t>
      </w:r>
      <w:r w:rsidR="006E6964">
        <w:t xml:space="preserve"> Project Officers</w:t>
      </w:r>
      <w:r w:rsidR="004B744B">
        <w:t>)</w:t>
      </w:r>
      <w:r w:rsidR="004B744B">
        <w:rPr>
          <w:rStyle w:val="FootnoteReference"/>
        </w:rPr>
        <w:footnoteReference w:id="5"/>
      </w:r>
      <w:r w:rsidR="007E494F">
        <w:t>;</w:t>
      </w:r>
    </w:p>
    <w:p w14:paraId="3F073586" w14:textId="19351799" w:rsidR="004B744B" w:rsidRDefault="004B744B" w:rsidP="008267C7">
      <w:pPr>
        <w:pStyle w:val="ListBullet"/>
      </w:pPr>
      <w:r>
        <w:lastRenderedPageBreak/>
        <w:t xml:space="preserve">Outreach </w:t>
      </w:r>
      <w:r w:rsidRPr="00DE5B76">
        <w:t xml:space="preserve">Workers encourage Aboriginal and Torres Strait Islander people to access health services and help to ensure that services are culturally </w:t>
      </w:r>
      <w:r w:rsidR="00165F38" w:rsidRPr="00DE5B76">
        <w:t>safe</w:t>
      </w:r>
      <w:r w:rsidRPr="00DE5B76">
        <w:t>. They have strong</w:t>
      </w:r>
      <w:r>
        <w:t xml:space="preserve"> links to the community they work in.</w:t>
      </w:r>
      <w:r w:rsidR="005D1367">
        <w:t xml:space="preserve"> </w:t>
      </w:r>
      <w:r>
        <w:t>Outreach Workers carry out non-clinical tasks, e.g. helping clients to travel to their medical appointments (</w:t>
      </w:r>
      <w:r w:rsidR="00630B8E">
        <w:t>s</w:t>
      </w:r>
      <w:r>
        <w:t>ee Section</w:t>
      </w:r>
      <w:r w:rsidR="008E4F87">
        <w:t xml:space="preserve"> 6</w:t>
      </w:r>
      <w:r w:rsidR="00DB37A9">
        <w:t xml:space="preserve"> – Aboriginal and Torres Strait Islander Outreach Workers</w:t>
      </w:r>
      <w:r>
        <w:t>); and</w:t>
      </w:r>
    </w:p>
    <w:p w14:paraId="129D36A4" w14:textId="14E884A9" w:rsidR="004B744B" w:rsidRPr="00F030A8" w:rsidRDefault="004B744B" w:rsidP="008267C7">
      <w:pPr>
        <w:pStyle w:val="ListBullet"/>
      </w:pPr>
      <w:r w:rsidRPr="00FD1E4D">
        <w:t>Care Coordinators</w:t>
      </w:r>
      <w:r>
        <w:t xml:space="preserve"> are qualified health workers </w:t>
      </w:r>
      <w:r w:rsidRPr="00F030A8">
        <w:t>(</w:t>
      </w:r>
      <w:r>
        <w:t>for example,</w:t>
      </w:r>
      <w:r w:rsidRPr="00F030A8">
        <w:t xml:space="preserve"> nurses, Aboriginal Health Workers</w:t>
      </w:r>
      <w:r w:rsidR="007E494F">
        <w:t>/Practitioners</w:t>
      </w:r>
      <w:r w:rsidRPr="00F030A8">
        <w:t xml:space="preserve">) </w:t>
      </w:r>
      <w:r>
        <w:t>who</w:t>
      </w:r>
      <w:r w:rsidRPr="00FD1E4D">
        <w:t xml:space="preserve"> </w:t>
      </w:r>
      <w:r>
        <w:t>support</w:t>
      </w:r>
      <w:r w:rsidRPr="00FD1E4D">
        <w:t xml:space="preserve"> eligible </w:t>
      </w:r>
      <w:r>
        <w:t>client</w:t>
      </w:r>
      <w:r w:rsidRPr="00FD1E4D">
        <w:t xml:space="preserve">s </w:t>
      </w:r>
      <w:r>
        <w:t xml:space="preserve">through one-on-one care coordination to access the services they need to treat their chronic disease </w:t>
      </w:r>
      <w:r w:rsidRPr="00FD1E4D">
        <w:t>acc</w:t>
      </w:r>
      <w:r>
        <w:t>ording to</w:t>
      </w:r>
      <w:r w:rsidRPr="00F030A8">
        <w:t xml:space="preserve"> the </w:t>
      </w:r>
      <w:r>
        <w:t>General Practitioner (</w:t>
      </w:r>
      <w:r w:rsidRPr="00F030A8">
        <w:t>GP</w:t>
      </w:r>
      <w:r>
        <w:t>)</w:t>
      </w:r>
      <w:r w:rsidRPr="00F030A8">
        <w:t xml:space="preserve"> care plan</w:t>
      </w:r>
      <w:r>
        <w:t>. The work of a Care Coordinator can include arranging the services in clients’ care plans, assisting clients to participate in regular reviews by their primary care providers, and providing clinical care. Care Coordinators work closely with Outreach Workers in many of these activities (</w:t>
      </w:r>
      <w:r w:rsidR="007E494F">
        <w:t>s</w:t>
      </w:r>
      <w:r>
        <w:t xml:space="preserve">ee Sections </w:t>
      </w:r>
      <w:r w:rsidR="00DB37A9">
        <w:t>7 – Care Coordinators</w:t>
      </w:r>
      <w:r>
        <w:t>)</w:t>
      </w:r>
      <w:r w:rsidR="007E494F">
        <w:t>.</w:t>
      </w:r>
      <w:r w:rsidR="005D1367">
        <w:t xml:space="preserve"> </w:t>
      </w:r>
    </w:p>
    <w:p w14:paraId="3445E6B4" w14:textId="1C6A1161" w:rsidR="004B744B" w:rsidRDefault="004B744B" w:rsidP="008267C7">
      <w:r>
        <w:t xml:space="preserve">Care Coordinators have access to a </w:t>
      </w:r>
      <w:r w:rsidRPr="00F030A8">
        <w:t>Supplementary Services</w:t>
      </w:r>
      <w:r>
        <w:t xml:space="preserve"> Funding Pool</w:t>
      </w:r>
      <w:r w:rsidRPr="00F030A8">
        <w:t xml:space="preserve"> when they need to expedite a </w:t>
      </w:r>
      <w:r>
        <w:t>client</w:t>
      </w:r>
      <w:r w:rsidRPr="00F030A8">
        <w:t>’s access to an urgent</w:t>
      </w:r>
      <w:r w:rsidR="0005694C">
        <w:t xml:space="preserve"> or </w:t>
      </w:r>
      <w:r w:rsidRPr="00F030A8">
        <w:t>essential allied health or specialist service</w:t>
      </w:r>
      <w:r>
        <w:t>,</w:t>
      </w:r>
      <w:r w:rsidRPr="00F030A8">
        <w:t xml:space="preserve"> or the necessary transport to access the service, where this is not publicly available in a clinically acceptable timeframe.</w:t>
      </w:r>
      <w:r>
        <w:t xml:space="preserve"> The Supplementary Services Funding Pool can also be used to assist clients to access </w:t>
      </w:r>
      <w:r w:rsidRPr="00F030A8">
        <w:t>GP-approved medical aids</w:t>
      </w:r>
      <w:r>
        <w:t xml:space="preserve"> (see Section 9).</w:t>
      </w:r>
    </w:p>
    <w:p w14:paraId="78B058E9" w14:textId="0AAE98F8" w:rsidR="004B744B" w:rsidRPr="00555483" w:rsidRDefault="004B744B" w:rsidP="00555483">
      <w:pPr>
        <w:pStyle w:val="Heading2"/>
      </w:pPr>
      <w:bookmarkStart w:id="11" w:name="_Toc5097090"/>
      <w:bookmarkStart w:id="12" w:name="_Toc169185732"/>
      <w:bookmarkStart w:id="13" w:name="_Toc201167220"/>
      <w:r w:rsidRPr="00555483">
        <w:t>Service delivery principles</w:t>
      </w:r>
      <w:bookmarkEnd w:id="11"/>
      <w:bookmarkEnd w:id="12"/>
      <w:bookmarkEnd w:id="13"/>
    </w:p>
    <w:p w14:paraId="391B35EC" w14:textId="459C44D9" w:rsidR="00A954A5" w:rsidRPr="00555483" w:rsidRDefault="001B4989" w:rsidP="008267C7">
      <w:pPr>
        <w:rPr>
          <w:rStyle w:val="Strong"/>
        </w:rPr>
      </w:pPr>
      <w:r>
        <w:t>Commissioning bodie</w:t>
      </w:r>
      <w:r w:rsidR="004B744B" w:rsidRPr="00F030A8">
        <w:t xml:space="preserve">s are required to consider the </w:t>
      </w:r>
      <w:hyperlink r:id="rId21" w:tooltip="Link to the Closing the Gap Priority Reforms website for more information on the National Agreement" w:history="1">
        <w:r w:rsidR="00A954A5" w:rsidRPr="00C82915">
          <w:rPr>
            <w:rStyle w:val="Hyperlink"/>
          </w:rPr>
          <w:t xml:space="preserve">Priority Reforms </w:t>
        </w:r>
        <w:r w:rsidR="007E494F" w:rsidRPr="00C82915">
          <w:rPr>
            <w:rStyle w:val="Hyperlink"/>
          </w:rPr>
          <w:t>of</w:t>
        </w:r>
        <w:r w:rsidR="00A954A5" w:rsidRPr="00C82915">
          <w:rPr>
            <w:rStyle w:val="Hyperlink"/>
          </w:rPr>
          <w:t xml:space="preserve"> the National Agreement on Closing the Gap</w:t>
        </w:r>
      </w:hyperlink>
      <w:r w:rsidR="00E63345">
        <w:t xml:space="preserve"> (the National Agreement)</w:t>
      </w:r>
      <w:r w:rsidR="004B744B" w:rsidRPr="00F030A8">
        <w:t xml:space="preserve"> when implementing </w:t>
      </w:r>
      <w:r w:rsidR="004B744B">
        <w:t>ITC</w:t>
      </w:r>
      <w:r w:rsidR="00C82915">
        <w:t>.</w:t>
      </w:r>
    </w:p>
    <w:p w14:paraId="75E48937" w14:textId="5EC6E638" w:rsidR="004B744B" w:rsidRDefault="00D17428" w:rsidP="008267C7">
      <w:r>
        <w:t xml:space="preserve">The </w:t>
      </w:r>
      <w:r w:rsidR="00E63345">
        <w:t xml:space="preserve">objective of the </w:t>
      </w:r>
      <w:r>
        <w:t xml:space="preserve">National Agreement </w:t>
      </w:r>
      <w:r w:rsidR="004B7627">
        <w:t xml:space="preserve">is to enable Aboriginal and Torres Strait Islander people, governments and all associated organisations to work in genuine partnership together to overcome the inequality experienced by Aboriginal and Torres </w:t>
      </w:r>
      <w:r w:rsidR="005A7191">
        <w:t>Isl</w:t>
      </w:r>
      <w:r w:rsidR="005A7191" w:rsidRPr="005A7191">
        <w:t>ander people and achieve life outcomes equal to all Australians.</w:t>
      </w:r>
      <w:r w:rsidR="00F648A5">
        <w:t xml:space="preserve"> </w:t>
      </w:r>
      <w:r w:rsidR="002231B1">
        <w:t>Commissioning bodie</w:t>
      </w:r>
      <w:r w:rsidR="004B744B" w:rsidRPr="009C6D7A">
        <w:t xml:space="preserve">s should </w:t>
      </w:r>
      <w:r w:rsidR="004B744B">
        <w:t>be aware of and consider</w:t>
      </w:r>
      <w:r w:rsidR="004B744B" w:rsidRPr="009C6D7A">
        <w:t xml:space="preserve"> the</w:t>
      </w:r>
      <w:r w:rsidR="00954B80">
        <w:t xml:space="preserve"> </w:t>
      </w:r>
      <w:hyperlink r:id="rId22" w:tooltip="Link to the 'Primary Health Networks (PHN) collection of administrative and guidance documents' on the Department of Health, Disability and Ageing website." w:history="1">
        <w:r w:rsidR="00954B80" w:rsidRPr="00954B80">
          <w:rPr>
            <w:rStyle w:val="Hyperlink"/>
          </w:rPr>
          <w:t>PHN guidance document</w:t>
        </w:r>
      </w:hyperlink>
      <w:r w:rsidR="00954B80">
        <w:t xml:space="preserve"> on working collaboratively with ACCH</w:t>
      </w:r>
      <w:r w:rsidR="005767B5">
        <w:t>S. Implementation of ITC should also align with the</w:t>
      </w:r>
      <w:r w:rsidR="00954B80">
        <w:t xml:space="preserve"> </w:t>
      </w:r>
      <w:hyperlink r:id="rId23" w:tooltip="Link to the National Aboriginal and Torres Strait Islander Health Plan 2021–2031 from the Department of Health, Disability and Ageing website" w:history="1">
        <w:r w:rsidR="00954B80" w:rsidRPr="005767B5">
          <w:rPr>
            <w:rStyle w:val="Hyperlink"/>
          </w:rPr>
          <w:t>National Aboriginal and Torres Strait Islander Health Plan</w:t>
        </w:r>
        <w:r w:rsidR="005767B5" w:rsidRPr="005767B5">
          <w:rPr>
            <w:rStyle w:val="Hyperlink"/>
          </w:rPr>
          <w:t xml:space="preserve"> 2021-2031</w:t>
        </w:r>
      </w:hyperlink>
      <w:r w:rsidR="00097BF4">
        <w:t xml:space="preserve"> (</w:t>
      </w:r>
      <w:r w:rsidR="0080721A">
        <w:t>t</w:t>
      </w:r>
      <w:r w:rsidR="00097BF4">
        <w:t>he Health Plan)</w:t>
      </w:r>
      <w:r w:rsidR="005767B5">
        <w:t xml:space="preserve">, which focuses on </w:t>
      </w:r>
      <w:r w:rsidR="005767B5" w:rsidRPr="005767B5">
        <w:t xml:space="preserve">systematic service improvement </w:t>
      </w:r>
      <w:r w:rsidR="005767B5">
        <w:t>to address</w:t>
      </w:r>
      <w:r w:rsidR="005767B5" w:rsidRPr="005767B5">
        <w:t xml:space="preserve"> geographic disparities through more effective and innovative regional arrangements</w:t>
      </w:r>
      <w:r w:rsidR="00954B80">
        <w:t>.</w:t>
      </w:r>
      <w:r w:rsidR="004B744B" w:rsidRPr="009C6D7A">
        <w:t xml:space="preserve"> </w:t>
      </w:r>
      <w:r w:rsidR="00617526">
        <w:t xml:space="preserve">As per the Health Plan, </w:t>
      </w:r>
      <w:r w:rsidR="009E3002">
        <w:t>commissioning bodie</w:t>
      </w:r>
      <w:r w:rsidR="00617526">
        <w:t>s should thoroughly explore ways in which ITC can drive:</w:t>
      </w:r>
    </w:p>
    <w:p w14:paraId="3975B302" w14:textId="09014740" w:rsidR="00617526" w:rsidRPr="00DE5B76" w:rsidRDefault="00617526" w:rsidP="008267C7">
      <w:pPr>
        <w:pStyle w:val="ListBullet"/>
      </w:pPr>
      <w:r w:rsidRPr="00DE5B76">
        <w:rPr>
          <w:rStyle w:val="Strong"/>
        </w:rPr>
        <w:t>Genuine shared decision making and partnerships</w:t>
      </w:r>
      <w:r w:rsidR="008E687C" w:rsidRPr="00DE5B76">
        <w:t>: shared decision making, partnerships, and collaborative cross-sector approaches which operate across all levels of health planning and services delivery, prioritising ACCHS and including mainstream services.</w:t>
      </w:r>
    </w:p>
    <w:p w14:paraId="0F9B6A9D" w14:textId="10DC1CA9" w:rsidR="00617526" w:rsidRPr="00DE5B76" w:rsidRDefault="00617526" w:rsidP="008267C7">
      <w:pPr>
        <w:pStyle w:val="ListBullet"/>
      </w:pPr>
      <w:r w:rsidRPr="00DE5B76">
        <w:rPr>
          <w:rStyle w:val="Strong"/>
        </w:rPr>
        <w:t>Aboriginal and Torres Strait Islander community controlled comprehensive primary health care</w:t>
      </w:r>
      <w:r w:rsidR="008E687C" w:rsidRPr="00DE5B76">
        <w:t>:</w:t>
      </w:r>
      <w:r w:rsidR="001C087D" w:rsidRPr="00DE5B76">
        <w:t xml:space="preserve"> a strong, sustainable and well-equipped ACCHS sector which can deliver</w:t>
      </w:r>
      <w:r w:rsidR="00776388" w:rsidRPr="00DE5B76">
        <w:t xml:space="preserve"> comprehensive health, social and emotional wellbeing services</w:t>
      </w:r>
      <w:r w:rsidR="001C087D" w:rsidRPr="00DE5B76">
        <w:t>.</w:t>
      </w:r>
    </w:p>
    <w:p w14:paraId="60BF3937" w14:textId="67C28C1B" w:rsidR="00617526" w:rsidRPr="00DE5B76" w:rsidRDefault="00617526" w:rsidP="008267C7">
      <w:pPr>
        <w:pStyle w:val="ListBullet"/>
      </w:pPr>
      <w:r w:rsidRPr="00DE5B76">
        <w:rPr>
          <w:rStyle w:val="Strong"/>
        </w:rPr>
        <w:t>Sustained Aboriginal and Torres Strait Islander workforce growth</w:t>
      </w:r>
      <w:r w:rsidR="001C087D" w:rsidRPr="00DE5B76">
        <w:t xml:space="preserve">: </w:t>
      </w:r>
      <w:r w:rsidR="0036137E" w:rsidRPr="00DE5B76">
        <w:t xml:space="preserve">grow </w:t>
      </w:r>
      <w:r w:rsidR="001C087D" w:rsidRPr="00DE5B76">
        <w:t>Aboriginal and Torres Strait Islander representation and leadership across the health, disability and aged care workforces of ACCHS and mainstream services, with a focus on personal and professional development.</w:t>
      </w:r>
    </w:p>
    <w:p w14:paraId="028D62E9" w14:textId="35C48F7B" w:rsidR="00617526" w:rsidRPr="00DE5B76" w:rsidRDefault="00617526" w:rsidP="008267C7">
      <w:pPr>
        <w:pStyle w:val="ListBullet"/>
      </w:pPr>
      <w:r w:rsidRPr="00DE5B76">
        <w:rPr>
          <w:rStyle w:val="Strong"/>
        </w:rPr>
        <w:lastRenderedPageBreak/>
        <w:t>Identif</w:t>
      </w:r>
      <w:r w:rsidR="007E494F" w:rsidRPr="00DE5B76">
        <w:rPr>
          <w:rStyle w:val="Strong"/>
        </w:rPr>
        <w:t>ication</w:t>
      </w:r>
      <w:r w:rsidRPr="00DE5B76">
        <w:rPr>
          <w:rStyle w:val="Strong"/>
        </w:rPr>
        <w:t xml:space="preserve"> and </w:t>
      </w:r>
      <w:r w:rsidR="007E494F" w:rsidRPr="00DE5B76">
        <w:rPr>
          <w:rStyle w:val="Strong"/>
        </w:rPr>
        <w:t>elimination of</w:t>
      </w:r>
      <w:r w:rsidRPr="00DE5B76">
        <w:rPr>
          <w:rStyle w:val="Strong"/>
        </w:rPr>
        <w:t xml:space="preserve"> racism</w:t>
      </w:r>
      <w:r w:rsidR="001C087D" w:rsidRPr="00DE5B76">
        <w:t>:</w:t>
      </w:r>
      <w:r w:rsidR="0036137E" w:rsidRPr="00DE5B76">
        <w:t xml:space="preserve"> implement mechanisms (e.g., reporting systems, data collation, feedback processes) to address individual and institutional racism in service delivery and improve cultural safety training across mainstream health services and settings.</w:t>
      </w:r>
    </w:p>
    <w:p w14:paraId="41686AA4" w14:textId="39587B1C" w:rsidR="00617526" w:rsidRPr="00DE5B76" w:rsidRDefault="00617526" w:rsidP="008267C7">
      <w:pPr>
        <w:pStyle w:val="ListBullet"/>
      </w:pPr>
      <w:r w:rsidRPr="00DE5B76">
        <w:rPr>
          <w:rStyle w:val="Strong"/>
        </w:rPr>
        <w:t>Access to person-centred and family centred care</w:t>
      </w:r>
      <w:r w:rsidR="0036137E" w:rsidRPr="00DE5B76">
        <w:t>: strengthen access to health care that is responsive to local context and different population groups by addressing barriers to access and harnessing emerging technologies.</w:t>
      </w:r>
    </w:p>
    <w:p w14:paraId="4972B767" w14:textId="5D1F6537" w:rsidR="00617526" w:rsidRDefault="00617526" w:rsidP="008267C7">
      <w:pPr>
        <w:pStyle w:val="ListBullet"/>
      </w:pPr>
      <w:r w:rsidRPr="00DE5B76">
        <w:rPr>
          <w:rStyle w:val="Strong"/>
        </w:rPr>
        <w:t>Shared access to data and information at a regional level</w:t>
      </w:r>
      <w:r w:rsidR="0036137E" w:rsidRPr="00DE5B76">
        <w:t>: establish partnerships between Aboriginal and Torres Strait Islander people and government agencies to improve collection, access, management and use of data, including identifying improvements to existing data collection and management at regional levels. Acknowledge that communities have ownership and control over their data in line with Aboriginal and Torres Strait Islander data sovereignty</w:t>
      </w:r>
      <w:r w:rsidR="0036137E">
        <w:t>.</w:t>
      </w:r>
    </w:p>
    <w:p w14:paraId="1900435D" w14:textId="67D2A0A7" w:rsidR="00233D38" w:rsidRPr="00EE60FD" w:rsidRDefault="00233D38" w:rsidP="00DE5B76">
      <w:pPr>
        <w:pStyle w:val="Heading1"/>
      </w:pPr>
      <w:bookmarkStart w:id="14" w:name="_Toc169185733"/>
      <w:bookmarkStart w:id="15" w:name="_Toc201167221"/>
      <w:r w:rsidRPr="00EE60FD">
        <w:t>Care Coordination</w:t>
      </w:r>
      <w:bookmarkEnd w:id="14"/>
      <w:bookmarkEnd w:id="15"/>
    </w:p>
    <w:p w14:paraId="3A24FD1C" w14:textId="7928CD79" w:rsidR="00233D38" w:rsidRPr="00555483" w:rsidRDefault="00233D38" w:rsidP="00DE5B76">
      <w:pPr>
        <w:pStyle w:val="Heading2"/>
      </w:pPr>
      <w:bookmarkStart w:id="16" w:name="_Toc169185734"/>
      <w:bookmarkStart w:id="17" w:name="_Toc201167222"/>
      <w:r w:rsidRPr="00555483">
        <w:t xml:space="preserve">Definition of </w:t>
      </w:r>
      <w:r w:rsidR="00B016EE" w:rsidRPr="00555483">
        <w:t>c</w:t>
      </w:r>
      <w:r w:rsidRPr="00555483">
        <w:t xml:space="preserve">are </w:t>
      </w:r>
      <w:r w:rsidR="00B016EE" w:rsidRPr="00555483">
        <w:t>c</w:t>
      </w:r>
      <w:r w:rsidRPr="00555483">
        <w:t>oordination</w:t>
      </w:r>
      <w:bookmarkEnd w:id="16"/>
      <w:bookmarkEnd w:id="17"/>
    </w:p>
    <w:p w14:paraId="380EE919" w14:textId="77777777" w:rsidR="00233D38" w:rsidRPr="00F030A8" w:rsidRDefault="00233D38" w:rsidP="008267C7">
      <w:r>
        <w:t>In the case</w:t>
      </w:r>
      <w:r w:rsidRPr="00F030A8">
        <w:t xml:space="preserve"> of </w:t>
      </w:r>
      <w:r>
        <w:t>ITC</w:t>
      </w:r>
      <w:r w:rsidRPr="00F030A8">
        <w:t xml:space="preserve">, care coordination means working collaboratively with </w:t>
      </w:r>
      <w:r>
        <w:t>client</w:t>
      </w:r>
      <w:r w:rsidRPr="00F030A8">
        <w:t xml:space="preserve">s, </w:t>
      </w:r>
      <w:r>
        <w:t>GPs, ACCHS, AMS</w:t>
      </w:r>
      <w:r w:rsidRPr="00F030A8">
        <w:t xml:space="preserve">, and other service providers to assist </w:t>
      </w:r>
      <w:r>
        <w:t>with the care coordination of eligible client</w:t>
      </w:r>
      <w:r w:rsidRPr="00F030A8">
        <w:t xml:space="preserve">s. </w:t>
      </w:r>
    </w:p>
    <w:p w14:paraId="2F113A53" w14:textId="77777777" w:rsidR="00233D38" w:rsidRPr="00F030A8" w:rsidRDefault="00233D38" w:rsidP="008267C7">
      <w:r w:rsidRPr="00F030A8">
        <w:t xml:space="preserve">Care </w:t>
      </w:r>
      <w:r>
        <w:t>C</w:t>
      </w:r>
      <w:r w:rsidRPr="00F030A8">
        <w:t>oordinators can:</w:t>
      </w:r>
    </w:p>
    <w:p w14:paraId="42F75E9D" w14:textId="77777777" w:rsidR="00233D38" w:rsidRPr="00DE5B76" w:rsidRDefault="00233D38" w:rsidP="008267C7">
      <w:pPr>
        <w:pStyle w:val="ListBullet"/>
      </w:pPr>
      <w:r w:rsidRPr="00DE5B76">
        <w:t>assist Aboriginal and Torres Strait Islander people to understand their chronic health condition and how to manage it; and</w:t>
      </w:r>
    </w:p>
    <w:p w14:paraId="26F58C6C" w14:textId="77777777" w:rsidR="00233D38" w:rsidRPr="00DE5B76" w:rsidRDefault="00233D38" w:rsidP="008267C7">
      <w:pPr>
        <w:pStyle w:val="ListBullet"/>
      </w:pPr>
      <w:r w:rsidRPr="00DE5B76">
        <w:t>assist Aboriginal and Torres Strait Islander people to follow their care plan, which may include support for chronic disease self-management and assistance with care plan compliance.</w:t>
      </w:r>
    </w:p>
    <w:p w14:paraId="6E89CCE0" w14:textId="77777777" w:rsidR="00233D38" w:rsidRPr="00555483" w:rsidRDefault="00233D38" w:rsidP="00555483">
      <w:pPr>
        <w:pStyle w:val="Heading2"/>
      </w:pPr>
      <w:bookmarkStart w:id="18" w:name="_Toc169184095"/>
      <w:bookmarkStart w:id="19" w:name="_Toc169185735"/>
      <w:bookmarkStart w:id="20" w:name="_Toc169184097"/>
      <w:bookmarkStart w:id="21" w:name="_Toc169185737"/>
      <w:bookmarkStart w:id="22" w:name="_Toc169185738"/>
      <w:bookmarkStart w:id="23" w:name="_Toc201167223"/>
      <w:bookmarkEnd w:id="18"/>
      <w:bookmarkEnd w:id="19"/>
      <w:bookmarkEnd w:id="20"/>
      <w:bookmarkEnd w:id="21"/>
      <w:r w:rsidRPr="00555483">
        <w:t>Definition of chronic disease</w:t>
      </w:r>
      <w:bookmarkEnd w:id="22"/>
      <w:bookmarkEnd w:id="23"/>
    </w:p>
    <w:p w14:paraId="3785A975" w14:textId="77777777" w:rsidR="00233D38" w:rsidRPr="00555483" w:rsidRDefault="00233D38" w:rsidP="008267C7">
      <w:r w:rsidRPr="00555483">
        <w:t xml:space="preserve">In the case of ITC, and consistent with the MBS, an eligible condition is one that has been, or is likely to be, present for at least six months. Dental is not an eligible condition for the purposes of ITC. Priority should be given to clients with complex chronic care needs who require multidisciplinary coordinated care </w:t>
      </w:r>
      <w:proofErr w:type="gramStart"/>
      <w:r w:rsidRPr="00555483">
        <w:t>in order to</w:t>
      </w:r>
      <w:proofErr w:type="gramEnd"/>
      <w:r w:rsidRPr="00555483">
        <w:t xml:space="preserve"> manage their chronic disease/s. </w:t>
      </w:r>
    </w:p>
    <w:p w14:paraId="1DC2BF8E" w14:textId="77777777" w:rsidR="00233D38" w:rsidRPr="00555483" w:rsidRDefault="00233D38" w:rsidP="00555483">
      <w:pPr>
        <w:pStyle w:val="Heading2"/>
      </w:pPr>
      <w:bookmarkStart w:id="24" w:name="_Toc169185739"/>
      <w:bookmarkStart w:id="25" w:name="_Toc201167224"/>
      <w:r w:rsidRPr="00555483">
        <w:t>How might a care coordination service work?</w:t>
      </w:r>
      <w:bookmarkEnd w:id="24"/>
      <w:bookmarkEnd w:id="25"/>
    </w:p>
    <w:p w14:paraId="533B5A17" w14:textId="77777777" w:rsidR="00233D38" w:rsidRPr="00F030A8" w:rsidRDefault="00233D38" w:rsidP="008267C7">
      <w:r w:rsidRPr="00F030A8">
        <w:t xml:space="preserve">If a GP in a </w:t>
      </w:r>
      <w:r>
        <w:t>general</w:t>
      </w:r>
      <w:r w:rsidRPr="00F030A8">
        <w:t xml:space="preserve"> practice or </w:t>
      </w:r>
      <w:r>
        <w:t>ACCHS</w:t>
      </w:r>
      <w:r w:rsidRPr="00F030A8">
        <w:t xml:space="preserve"> has prepared a care plan for a </w:t>
      </w:r>
      <w:r>
        <w:t>client</w:t>
      </w:r>
      <w:r w:rsidRPr="00F030A8">
        <w:t xml:space="preserve"> and considers that the </w:t>
      </w:r>
      <w:r>
        <w:t>client</w:t>
      </w:r>
      <w:r w:rsidRPr="00F030A8">
        <w:t xml:space="preserve"> would benefit from assistance with managing the activities and services needed to improve their health outcomes, the </w:t>
      </w:r>
      <w:r>
        <w:t>client</w:t>
      </w:r>
      <w:r w:rsidRPr="00F030A8">
        <w:t xml:space="preserve"> can be referred to </w:t>
      </w:r>
      <w:r>
        <w:t>ITC</w:t>
      </w:r>
      <w:r w:rsidRPr="00F030A8">
        <w:t>.</w:t>
      </w:r>
    </w:p>
    <w:p w14:paraId="26FC0457" w14:textId="77777777" w:rsidR="00233D38" w:rsidRPr="00F030A8" w:rsidRDefault="00233D38" w:rsidP="008267C7">
      <w:r w:rsidRPr="00F030A8">
        <w:t xml:space="preserve">Care coordination works best when a Care Coordinator </w:t>
      </w:r>
      <w:proofErr w:type="gramStart"/>
      <w:r w:rsidRPr="00F030A8">
        <w:t>is able to</w:t>
      </w:r>
      <w:proofErr w:type="gramEnd"/>
      <w:r w:rsidRPr="00F030A8">
        <w:t xml:space="preserve"> discuss with general practice</w:t>
      </w:r>
      <w:r>
        <w:t>s and ACCHS</w:t>
      </w:r>
      <w:r w:rsidRPr="00F030A8">
        <w:t xml:space="preserve"> the type of services that can be provided by practice staff and those that need to be sourced from </w:t>
      </w:r>
      <w:proofErr w:type="gramStart"/>
      <w:r w:rsidRPr="00F030A8">
        <w:t>elsewhere, or</w:t>
      </w:r>
      <w:proofErr w:type="gramEnd"/>
      <w:r w:rsidRPr="00F030A8">
        <w:t xml:space="preserve"> provided by a Care Coordinator.</w:t>
      </w:r>
    </w:p>
    <w:p w14:paraId="2D3F4B3C" w14:textId="4FD4FC50" w:rsidR="00233D38" w:rsidRDefault="00233D38" w:rsidP="008267C7">
      <w:r w:rsidRPr="00F030A8">
        <w:t xml:space="preserve">The Care Coordinator will work in accordance with the </w:t>
      </w:r>
      <w:r>
        <w:t>client</w:t>
      </w:r>
      <w:r w:rsidRPr="00F030A8">
        <w:t>’s care plan, in consultation with the referring GP</w:t>
      </w:r>
      <w:r>
        <w:t>,</w:t>
      </w:r>
      <w:r w:rsidRPr="00F030A8">
        <w:t xml:space="preserve"> and </w:t>
      </w:r>
      <w:r>
        <w:t>should</w:t>
      </w:r>
      <w:r w:rsidRPr="00F030A8">
        <w:t xml:space="preserve"> provide feedback to the GP about how the </w:t>
      </w:r>
      <w:r>
        <w:t>client</w:t>
      </w:r>
      <w:r w:rsidRPr="00F030A8">
        <w:t xml:space="preserve"> is managing </w:t>
      </w:r>
      <w:r w:rsidRPr="00F030A8">
        <w:lastRenderedPageBreak/>
        <w:t>their condition</w:t>
      </w:r>
      <w:r>
        <w:t xml:space="preserve">, the </w:t>
      </w:r>
      <w:r w:rsidRPr="00F030A8">
        <w:t>treatment</w:t>
      </w:r>
      <w:r>
        <w:t xml:space="preserve"> of their condition</w:t>
      </w:r>
      <w:r w:rsidRPr="00F030A8">
        <w:t xml:space="preserve">, </w:t>
      </w:r>
      <w:r>
        <w:t xml:space="preserve">including </w:t>
      </w:r>
      <w:r w:rsidRPr="00F030A8">
        <w:t xml:space="preserve">the services </w:t>
      </w:r>
      <w:r>
        <w:t xml:space="preserve">that have been </w:t>
      </w:r>
      <w:r w:rsidRPr="00F030A8">
        <w:t xml:space="preserve">arranged for the </w:t>
      </w:r>
      <w:r>
        <w:t>client,</w:t>
      </w:r>
      <w:r w:rsidRPr="00F030A8">
        <w:t xml:space="preserve"> and any other issues </w:t>
      </w:r>
      <w:r>
        <w:t>regarding</w:t>
      </w:r>
      <w:r w:rsidRPr="00F030A8">
        <w:t xml:space="preserve"> the </w:t>
      </w:r>
      <w:r>
        <w:t>client</w:t>
      </w:r>
      <w:r w:rsidRPr="00F030A8">
        <w:t>’s health</w:t>
      </w:r>
      <w:r>
        <w:t xml:space="preserve"> or preferences</w:t>
      </w:r>
      <w:r w:rsidRPr="00F030A8">
        <w:t>.</w:t>
      </w:r>
      <w:r>
        <w:t xml:space="preserve"> </w:t>
      </w:r>
      <w:r w:rsidRPr="00F030A8">
        <w:t xml:space="preserve">The Care Coordinator may also provide feedback to the GP about the </w:t>
      </w:r>
      <w:r>
        <w:t>client</w:t>
      </w:r>
      <w:r w:rsidRPr="00F030A8">
        <w:t>’s living environment when this information is relevant to the care plan</w:t>
      </w:r>
      <w:r>
        <w:t>, for example,</w:t>
      </w:r>
      <w:r w:rsidRPr="00F030A8">
        <w:t xml:space="preserve"> noting home safety or access issues t</w:t>
      </w:r>
      <w:r>
        <w:t xml:space="preserve">hat have a health implication. The </w:t>
      </w:r>
      <w:r w:rsidRPr="00F030A8">
        <w:t xml:space="preserve">Supplementary Services </w:t>
      </w:r>
      <w:r>
        <w:t>F</w:t>
      </w:r>
      <w:r w:rsidRPr="00F030A8">
        <w:t>unding</w:t>
      </w:r>
      <w:r>
        <w:t xml:space="preserve"> Pool</w:t>
      </w:r>
      <w:r w:rsidRPr="00F030A8">
        <w:t xml:space="preserve"> (refer Section </w:t>
      </w:r>
      <w:r>
        <w:t>9</w:t>
      </w:r>
      <w:r w:rsidRPr="00F030A8">
        <w:t xml:space="preserve">) may be used </w:t>
      </w:r>
      <w:r>
        <w:t xml:space="preserve">by Care Coordinators </w:t>
      </w:r>
      <w:r w:rsidRPr="00F030A8">
        <w:t>to help</w:t>
      </w:r>
      <w:r>
        <w:t xml:space="preserve"> eligible</w:t>
      </w:r>
      <w:r w:rsidRPr="00F030A8">
        <w:t xml:space="preserve"> </w:t>
      </w:r>
      <w:r>
        <w:t xml:space="preserve">clients </w:t>
      </w:r>
      <w:r w:rsidRPr="00F030A8">
        <w:t xml:space="preserve">access services </w:t>
      </w:r>
      <w:r>
        <w:t xml:space="preserve">that have been </w:t>
      </w:r>
      <w:r w:rsidRPr="00F030A8">
        <w:t>identified in the</w:t>
      </w:r>
      <w:r>
        <w:t>ir</w:t>
      </w:r>
      <w:r w:rsidRPr="00F030A8">
        <w:t xml:space="preserve"> care</w:t>
      </w:r>
      <w:r>
        <w:t xml:space="preserve"> </w:t>
      </w:r>
      <w:r w:rsidRPr="00F030A8">
        <w:t>plan.</w:t>
      </w:r>
      <w:r>
        <w:t xml:space="preserve"> </w:t>
      </w:r>
    </w:p>
    <w:p w14:paraId="7035F72A" w14:textId="77777777" w:rsidR="00233D38" w:rsidRPr="00555483" w:rsidRDefault="00233D38" w:rsidP="00555483">
      <w:pPr>
        <w:pStyle w:val="Heading2"/>
      </w:pPr>
      <w:bookmarkStart w:id="26" w:name="_Toc169185740"/>
      <w:bookmarkStart w:id="27" w:name="_Toc201167225"/>
      <w:r w:rsidRPr="00555483">
        <w:t>Examples of care coordination</w:t>
      </w:r>
      <w:bookmarkEnd w:id="26"/>
      <w:bookmarkEnd w:id="27"/>
    </w:p>
    <w:p w14:paraId="6157F334" w14:textId="6F731211" w:rsidR="00233D38" w:rsidRPr="00F030A8" w:rsidRDefault="00233D38" w:rsidP="008267C7">
      <w:r>
        <w:t>A client</w:t>
      </w:r>
      <w:r w:rsidRPr="00F030A8">
        <w:t xml:space="preserve"> </w:t>
      </w:r>
      <w:r>
        <w:t xml:space="preserve">diagnosed with diabetes </w:t>
      </w:r>
      <w:r w:rsidRPr="00F030A8">
        <w:t xml:space="preserve">may be referred </w:t>
      </w:r>
      <w:r>
        <w:t xml:space="preserve">by their GP to a Care Coordinator </w:t>
      </w:r>
      <w:r w:rsidRPr="00F030A8">
        <w:t>for assistance</w:t>
      </w:r>
      <w:r>
        <w:t xml:space="preserve">. </w:t>
      </w:r>
      <w:r w:rsidRPr="00F030A8">
        <w:t xml:space="preserve">The GP’s instructions in the </w:t>
      </w:r>
      <w:r>
        <w:t>client</w:t>
      </w:r>
      <w:r w:rsidRPr="00F030A8">
        <w:t xml:space="preserve">’s care plan </w:t>
      </w:r>
      <w:r>
        <w:t>may indicate that the client</w:t>
      </w:r>
      <w:r w:rsidRPr="00F030A8">
        <w:t xml:space="preserve"> </w:t>
      </w:r>
      <w:r>
        <w:t xml:space="preserve">urgently </w:t>
      </w:r>
      <w:r w:rsidRPr="00F030A8">
        <w:t>need</w:t>
      </w:r>
      <w:r>
        <w:t>s</w:t>
      </w:r>
      <w:r w:rsidRPr="00F030A8">
        <w:t xml:space="preserve"> podiatry services</w:t>
      </w:r>
      <w:r>
        <w:t>.</w:t>
      </w:r>
      <w:r w:rsidRPr="00F030A8">
        <w:t xml:space="preserve"> </w:t>
      </w:r>
      <w:r>
        <w:t>If the Care Coordinator is u</w:t>
      </w:r>
      <w:r w:rsidRPr="00F030A8">
        <w:t xml:space="preserve">nable to </w:t>
      </w:r>
      <w:r>
        <w:t xml:space="preserve">urgently </w:t>
      </w:r>
      <w:r w:rsidRPr="00F030A8">
        <w:t xml:space="preserve">access </w:t>
      </w:r>
      <w:r>
        <w:t xml:space="preserve">podiatry services for the client </w:t>
      </w:r>
      <w:r w:rsidRPr="00F030A8">
        <w:t xml:space="preserve">through the public health system, the Care Coordinator </w:t>
      </w:r>
      <w:r>
        <w:t>can</w:t>
      </w:r>
      <w:r w:rsidRPr="00F030A8">
        <w:t xml:space="preserve"> arrange </w:t>
      </w:r>
      <w:r>
        <w:t xml:space="preserve">to pay for </w:t>
      </w:r>
      <w:r w:rsidRPr="00F030A8">
        <w:t xml:space="preserve">an appointment with a private podiatrist, using </w:t>
      </w:r>
      <w:r>
        <w:t xml:space="preserve">the </w:t>
      </w:r>
      <w:r w:rsidRPr="00F030A8">
        <w:t xml:space="preserve">Supplementary Services </w:t>
      </w:r>
      <w:r>
        <w:t xml:space="preserve">Funding Pool, </w:t>
      </w:r>
      <w:r w:rsidRPr="00F030A8">
        <w:t>then</w:t>
      </w:r>
      <w:r>
        <w:t xml:space="preserve"> arrange</w:t>
      </w:r>
      <w:r w:rsidRPr="00F030A8">
        <w:t xml:space="preserve"> </w:t>
      </w:r>
      <w:r>
        <w:t xml:space="preserve">for </w:t>
      </w:r>
      <w:r w:rsidRPr="00F030A8">
        <w:t xml:space="preserve">ongoing care through the public system. </w:t>
      </w:r>
      <w:r>
        <w:t>If the</w:t>
      </w:r>
      <w:r w:rsidRPr="00F030A8">
        <w:t xml:space="preserve"> </w:t>
      </w:r>
      <w:r>
        <w:t>client cannot access or afford transport</w:t>
      </w:r>
      <w:r w:rsidRPr="00F030A8">
        <w:t xml:space="preserve"> to </w:t>
      </w:r>
      <w:r>
        <w:t>attend appointments relevant to their care plan, t</w:t>
      </w:r>
      <w:r w:rsidRPr="00F030A8">
        <w:t>he Care Coordinator</w:t>
      </w:r>
      <w:r>
        <w:t xml:space="preserve"> can </w:t>
      </w:r>
      <w:r w:rsidRPr="00F030A8">
        <w:t xml:space="preserve">contact the </w:t>
      </w:r>
      <w:r>
        <w:t>Outreach Worker</w:t>
      </w:r>
      <w:r w:rsidRPr="00F030A8">
        <w:t xml:space="preserve"> and arrange for the </w:t>
      </w:r>
      <w:r>
        <w:t>client</w:t>
      </w:r>
      <w:r w:rsidRPr="00F030A8">
        <w:t xml:space="preserve"> to be driven to the </w:t>
      </w:r>
      <w:r w:rsidR="00271178" w:rsidRPr="00F030A8">
        <w:t>appointment</w:t>
      </w:r>
      <w:r w:rsidR="00271178">
        <w:t>s</w:t>
      </w:r>
      <w:r w:rsidR="00271178" w:rsidRPr="00F030A8">
        <w:t xml:space="preserve"> or</w:t>
      </w:r>
      <w:r w:rsidRPr="00F030A8">
        <w:t xml:space="preserve"> use</w:t>
      </w:r>
      <w:r>
        <w:t xml:space="preserve"> the </w:t>
      </w:r>
      <w:r w:rsidRPr="00F030A8">
        <w:t xml:space="preserve">Supplementary Services </w:t>
      </w:r>
      <w:r>
        <w:t>Funding Pool</w:t>
      </w:r>
      <w:r w:rsidRPr="00F030A8">
        <w:t xml:space="preserve"> to </w:t>
      </w:r>
      <w:r>
        <w:t xml:space="preserve">pay for the necessary </w:t>
      </w:r>
      <w:r w:rsidRPr="00F030A8">
        <w:t>transport</w:t>
      </w:r>
      <w:r>
        <w:t xml:space="preserve">. </w:t>
      </w:r>
    </w:p>
    <w:p w14:paraId="0619EFEE" w14:textId="77777777" w:rsidR="00233D38" w:rsidRPr="008267C7" w:rsidRDefault="00233D38" w:rsidP="008267C7">
      <w:r>
        <w:t>A</w:t>
      </w:r>
      <w:r w:rsidRPr="00F030A8">
        <w:t xml:space="preserve"> </w:t>
      </w:r>
      <w:r>
        <w:t>client</w:t>
      </w:r>
      <w:r w:rsidRPr="00F030A8">
        <w:t xml:space="preserve"> </w:t>
      </w:r>
      <w:r>
        <w:t xml:space="preserve">who is </w:t>
      </w:r>
      <w:r w:rsidRPr="00F030A8">
        <w:t xml:space="preserve">newly diagnosed with diabetes may require assistance with learning </w:t>
      </w:r>
      <w:r>
        <w:t xml:space="preserve">how to monitor their </w:t>
      </w:r>
      <w:r w:rsidRPr="00F030A8">
        <w:t>blood glucose</w:t>
      </w:r>
      <w:r>
        <w:t xml:space="preserve"> levels.</w:t>
      </w:r>
      <w:r w:rsidRPr="00F030A8">
        <w:t xml:space="preserve"> </w:t>
      </w:r>
      <w:r>
        <w:t>In accordance with the client’s care plan, the referred</w:t>
      </w:r>
      <w:r w:rsidRPr="00F030A8">
        <w:t xml:space="preserve"> Care Coordinator</w:t>
      </w:r>
      <w:r>
        <w:t>, who has the relevant qualification and skills,</w:t>
      </w:r>
      <w:r w:rsidRPr="00F030A8">
        <w:t xml:space="preserve"> </w:t>
      </w:r>
      <w:r>
        <w:t>can teach the client how</w:t>
      </w:r>
      <w:r w:rsidRPr="00F030A8">
        <w:t xml:space="preserve"> </w:t>
      </w:r>
      <w:r>
        <w:t xml:space="preserve">to </w:t>
      </w:r>
      <w:r w:rsidRPr="008267C7">
        <w:t>monitor their blood glucose levels and support them as needed. The Care Coordinator may also link the client with a credentialled Diabetes Educator, who could provide expert advice on diabetes self-management and fast-track administrative access to support services like the National Diabetes Services Scheme (NDSS).</w:t>
      </w:r>
    </w:p>
    <w:p w14:paraId="0AB0E23C" w14:textId="79F94D0C" w:rsidR="00233D38" w:rsidRPr="00555483" w:rsidRDefault="00164447" w:rsidP="00DE5B76">
      <w:pPr>
        <w:pStyle w:val="Heading3"/>
      </w:pPr>
      <w:bookmarkStart w:id="28" w:name="_Toc169185753"/>
      <w:bookmarkStart w:id="29" w:name="_Toc201167226"/>
      <w:r>
        <w:t xml:space="preserve"> </w:t>
      </w:r>
      <w:r w:rsidR="00233D38" w:rsidRPr="00555483">
        <w:t>Occasion(s) of care</w:t>
      </w:r>
      <w:bookmarkEnd w:id="28"/>
      <w:bookmarkEnd w:id="29"/>
    </w:p>
    <w:p w14:paraId="32B7DBE2" w14:textId="3DBF5CD7" w:rsidR="00153D00" w:rsidRPr="007165C7" w:rsidRDefault="00153D00" w:rsidP="008267C7">
      <w:r w:rsidRPr="00A66A5D">
        <w:t>An occasion of care for the purposes of ITC is defined as each unique care coordination service provided to an ITC client. For example, organising an appointment for a client, attending the appointment with them, and providing follow-up assistance afterwards would be three unique occasions of care.</w:t>
      </w:r>
      <w:r>
        <w:t xml:space="preserve"> </w:t>
      </w:r>
    </w:p>
    <w:p w14:paraId="43D78FA7" w14:textId="77777777" w:rsidR="00233D38" w:rsidRPr="00555483" w:rsidRDefault="00233D38" w:rsidP="00DE5B76">
      <w:pPr>
        <w:pStyle w:val="Heading2"/>
      </w:pPr>
      <w:bookmarkStart w:id="30" w:name="_Toc169185754"/>
      <w:bookmarkStart w:id="31" w:name="_Toc201167227"/>
      <w:r w:rsidRPr="00555483">
        <w:t xml:space="preserve">Client </w:t>
      </w:r>
      <w:r w:rsidRPr="00DE5B76">
        <w:t>eligibility</w:t>
      </w:r>
      <w:bookmarkEnd w:id="30"/>
      <w:bookmarkEnd w:id="31"/>
    </w:p>
    <w:p w14:paraId="3FAEDE26" w14:textId="143BA4AF" w:rsidR="00233D38" w:rsidRDefault="00233D38" w:rsidP="008267C7">
      <w:r w:rsidRPr="00F030A8">
        <w:t xml:space="preserve">To be eligible for care coordination under </w:t>
      </w:r>
      <w:r>
        <w:t>ITC</w:t>
      </w:r>
      <w:r w:rsidRPr="00F030A8">
        <w:t xml:space="preserve">, Aboriginal and Torres Strait Islander </w:t>
      </w:r>
      <w:r>
        <w:t>client</w:t>
      </w:r>
      <w:r w:rsidRPr="00F030A8">
        <w:t xml:space="preserve">s </w:t>
      </w:r>
      <w:r>
        <w:t>must receive a referral from their GP and have in place, a suitable care plan (see Appendix 1 Frequently Asked Questions - 8(</w:t>
      </w:r>
      <w:proofErr w:type="spellStart"/>
      <w:r>
        <w:t>i</w:t>
      </w:r>
      <w:proofErr w:type="spellEnd"/>
      <w:r>
        <w:t xml:space="preserve">)). The healthcare professional and/or team should proactively work together with the client to manage their chronic condition/s to meet personalised health milestones which are reviewed regularly at </w:t>
      </w:r>
      <w:r w:rsidRPr="00F030A8">
        <w:t>general practice</w:t>
      </w:r>
      <w:r>
        <w:t>s</w:t>
      </w:r>
      <w:r w:rsidRPr="00F030A8">
        <w:t xml:space="preserve"> o</w:t>
      </w:r>
      <w:r>
        <w:t>r</w:t>
      </w:r>
      <w:r w:rsidRPr="00F030A8">
        <w:t xml:space="preserve"> </w:t>
      </w:r>
      <w:r>
        <w:t xml:space="preserve">ACCHS. </w:t>
      </w:r>
      <w:r w:rsidRPr="00555483">
        <w:t xml:space="preserve">Dental is </w:t>
      </w:r>
      <w:r w:rsidRPr="00555483">
        <w:rPr>
          <w:rStyle w:val="Strong"/>
        </w:rPr>
        <w:t>not</w:t>
      </w:r>
      <w:r w:rsidRPr="00555483">
        <w:t xml:space="preserve"> an eligible condition for the purposes of ITC</w:t>
      </w:r>
      <w:r>
        <w:t xml:space="preserve"> </w:t>
      </w:r>
      <w:r w:rsidRPr="00F030A8">
        <w:t xml:space="preserve">(See Section </w:t>
      </w:r>
      <w:r w:rsidR="007B0F66">
        <w:t>2.2</w:t>
      </w:r>
      <w:r w:rsidRPr="00F030A8">
        <w:t xml:space="preserve"> ‘Definition of </w:t>
      </w:r>
      <w:r>
        <w:t>c</w:t>
      </w:r>
      <w:r w:rsidRPr="00F030A8">
        <w:t xml:space="preserve">hronic </w:t>
      </w:r>
      <w:r>
        <w:t>d</w:t>
      </w:r>
      <w:r w:rsidRPr="00F030A8">
        <w:t>isease’).</w:t>
      </w:r>
      <w:r>
        <w:t xml:space="preserve"> For ITC enrolment,</w:t>
      </w:r>
      <w:r w:rsidRPr="003819C9">
        <w:t xml:space="preserve"> </w:t>
      </w:r>
      <w:r>
        <w:t xml:space="preserve">it is not necessary to obtain a complete copy of a client’s GP care plan, such as the 715 Health Assessment. PHNs and commissioned organisations should only seek sufficient information on each client </w:t>
      </w:r>
      <w:proofErr w:type="gramStart"/>
      <w:r>
        <w:t>in order to</w:t>
      </w:r>
      <w:proofErr w:type="gramEnd"/>
      <w:r>
        <w:t xml:space="preserve"> assess, prioritise and plan appropriate care and support. </w:t>
      </w:r>
    </w:p>
    <w:p w14:paraId="328D2189" w14:textId="0F7AD3E7" w:rsidR="00233D38" w:rsidRPr="00555483" w:rsidRDefault="00233D38" w:rsidP="008267C7">
      <w:r w:rsidRPr="00F54E97">
        <w:lastRenderedPageBreak/>
        <w:t xml:space="preserve">For </w:t>
      </w:r>
      <w:r>
        <w:t>client</w:t>
      </w:r>
      <w:r w:rsidRPr="00C642FF">
        <w:t>s</w:t>
      </w:r>
      <w:r>
        <w:t xml:space="preserve"> eligible for ITC care coordination</w:t>
      </w:r>
      <w:r w:rsidRPr="00C642FF">
        <w:t xml:space="preserve"> who have mental health conditions, PHNs </w:t>
      </w:r>
      <w:r>
        <w:t>should</w:t>
      </w:r>
      <w:r w:rsidRPr="00C642FF">
        <w:t xml:space="preserve"> consider the </w:t>
      </w:r>
      <w:r>
        <w:t>‘</w:t>
      </w:r>
      <w:hyperlink r:id="rId24" w:tooltip="Link to the Primary Health Networks (PHN) collection of primary mental health care resources on the Department of Health, Disability and Ageing website" w:history="1">
        <w:r w:rsidRPr="00BF58D3">
          <w:rPr>
            <w:rStyle w:val="Hyperlink"/>
          </w:rPr>
          <w:t>Primary Health Networks (PHN) primary mental health care guidance – Aboriginal and Torres Strait Islander mental health services’</w:t>
        </w:r>
      </w:hyperlink>
      <w:r>
        <w:t xml:space="preserve"> </w:t>
      </w:r>
      <w:r w:rsidRPr="00555483">
        <w:t>in the PHN Primary Mental Health Care Flexible Funding Pool Programme.</w:t>
      </w:r>
    </w:p>
    <w:p w14:paraId="6B4C546A" w14:textId="77777777" w:rsidR="00233D38" w:rsidRPr="00555483" w:rsidRDefault="00233D38" w:rsidP="008267C7">
      <w:r w:rsidRPr="00555483">
        <w:t xml:space="preserve">For clients who may be eligible for ITC care coordination in remote areas but are unable to attain a GP care plan and referral due to intermittent access to a GP, referral into ITC by a Remote Area Nurse or equivalent position may be permitted as an interim measure. During the interim period ITC teams would be able to provide limited support, for example coordination and provision of transport to health </w:t>
      </w:r>
      <w:proofErr w:type="gramStart"/>
      <w:r w:rsidRPr="00555483">
        <w:t>appointments, but</w:t>
      </w:r>
      <w:proofErr w:type="gramEnd"/>
      <w:r w:rsidRPr="00555483">
        <w:t xml:space="preserve"> not funding of services or medical aids and equipment. A GP care plan must be completed as a priority once a GP is able to attend the remote clinic.</w:t>
      </w:r>
    </w:p>
    <w:p w14:paraId="6A4F69EE" w14:textId="77777777" w:rsidR="00233D38" w:rsidRPr="00FA3EAC" w:rsidRDefault="00233D38" w:rsidP="008267C7">
      <w:r w:rsidRPr="00555483">
        <w:t xml:space="preserve">Aboriginal and Torres Strait Islander people in Residential Aged Care Facilities (RACF) are </w:t>
      </w:r>
      <w:r w:rsidRPr="00555483">
        <w:rPr>
          <w:rStyle w:val="Strong"/>
        </w:rPr>
        <w:t>not</w:t>
      </w:r>
      <w:r w:rsidRPr="00555483">
        <w:t xml:space="preserve"> eligible for ITC. People in RACFs have been assessed for an Aged Care Package, which has funding attached for the purpose of providing health care services in a clinically appropriate timeframe. ITC is not intended to supplement an Aged Care Package.</w:t>
      </w:r>
    </w:p>
    <w:p w14:paraId="039FC062" w14:textId="375753BF" w:rsidR="00233D38" w:rsidRPr="00555483" w:rsidRDefault="00164447" w:rsidP="00555483">
      <w:pPr>
        <w:pStyle w:val="Heading3"/>
      </w:pPr>
      <w:bookmarkStart w:id="32" w:name="_Toc169185755"/>
      <w:bookmarkStart w:id="33" w:name="_Toc201167228"/>
      <w:r>
        <w:t xml:space="preserve"> </w:t>
      </w:r>
      <w:r w:rsidR="00233D38" w:rsidRPr="00555483">
        <w:t>Prioritisation</w:t>
      </w:r>
      <w:bookmarkEnd w:id="32"/>
      <w:bookmarkEnd w:id="33"/>
    </w:p>
    <w:p w14:paraId="22A418D0" w14:textId="77777777" w:rsidR="00233D38" w:rsidRPr="00F030A8" w:rsidRDefault="00233D38" w:rsidP="008267C7">
      <w:r w:rsidRPr="00F030A8">
        <w:t xml:space="preserve">Not all </w:t>
      </w:r>
      <w:r>
        <w:t>client</w:t>
      </w:r>
      <w:r w:rsidRPr="00F030A8">
        <w:t xml:space="preserve">s with a chronic condition will need assistance through </w:t>
      </w:r>
      <w:r>
        <w:t>ITC</w:t>
      </w:r>
      <w:r w:rsidRPr="00F030A8">
        <w:t xml:space="preserve">. Priority should be given to </w:t>
      </w:r>
      <w:r>
        <w:t>clients</w:t>
      </w:r>
      <w:r w:rsidRPr="00F030A8">
        <w:t xml:space="preserve"> </w:t>
      </w:r>
      <w:r>
        <w:t>who have</w:t>
      </w:r>
      <w:r w:rsidRPr="00F030A8">
        <w:t xml:space="preserve"> complex needs, </w:t>
      </w:r>
      <w:r>
        <w:t xml:space="preserve">multimorbidity and </w:t>
      </w:r>
      <w:r w:rsidRPr="00F030A8">
        <w:t>requir</w:t>
      </w:r>
      <w:r>
        <w:t>e</w:t>
      </w:r>
      <w:r w:rsidRPr="00F030A8">
        <w:t xml:space="preserve"> multidisciplinary coordinated care for their chronic disease</w:t>
      </w:r>
      <w:r>
        <w:t xml:space="preserve">. </w:t>
      </w:r>
      <w:r w:rsidRPr="00F030A8">
        <w:t xml:space="preserve">This includes, but is not limited to, </w:t>
      </w:r>
      <w:r>
        <w:t>client</w:t>
      </w:r>
      <w:r w:rsidRPr="00F030A8">
        <w:t xml:space="preserve">s with diabetes, cancer, cardiovascular disease, chronic respiratory disease, chronic </w:t>
      </w:r>
      <w:r>
        <w:t>kidney</w:t>
      </w:r>
      <w:r w:rsidRPr="00F030A8">
        <w:t xml:space="preserve"> disease</w:t>
      </w:r>
      <w:r>
        <w:t xml:space="preserve">, </w:t>
      </w:r>
      <w:r w:rsidRPr="00F030A8">
        <w:t xml:space="preserve">eye health </w:t>
      </w:r>
      <w:r>
        <w:t xml:space="preserve">conditions </w:t>
      </w:r>
      <w:r w:rsidRPr="00F030A8">
        <w:t xml:space="preserve">associated with diabetes, </w:t>
      </w:r>
      <w:r>
        <w:t xml:space="preserve">and </w:t>
      </w:r>
      <w:r w:rsidRPr="00F030A8">
        <w:t>mental health conditions.</w:t>
      </w:r>
      <w:r>
        <w:t xml:space="preserve"> </w:t>
      </w:r>
    </w:p>
    <w:p w14:paraId="0C58B9A9" w14:textId="77777777" w:rsidR="00233D38" w:rsidRPr="00F030A8" w:rsidRDefault="00233D38" w:rsidP="008267C7">
      <w:r>
        <w:t>When considering prioritisation for ITC support, those</w:t>
      </w:r>
      <w:r w:rsidRPr="00F030A8">
        <w:t xml:space="preserve"> most likely to benefit </w:t>
      </w:r>
      <w:r>
        <w:t xml:space="preserve">from ITC </w:t>
      </w:r>
      <w:r w:rsidRPr="00F030A8">
        <w:t>include</w:t>
      </w:r>
      <w:r>
        <w:t xml:space="preserve"> clients</w:t>
      </w:r>
      <w:r w:rsidRPr="00F030A8">
        <w:t>:</w:t>
      </w:r>
    </w:p>
    <w:p w14:paraId="42D7308E" w14:textId="77777777" w:rsidR="00233D38" w:rsidRPr="00DE5B76" w:rsidRDefault="00233D38" w:rsidP="008267C7">
      <w:pPr>
        <w:pStyle w:val="ListBullet"/>
      </w:pPr>
      <w:r w:rsidRPr="00DE5B76">
        <w:t xml:space="preserve">who require more intensive care coordination than is currently able to be provided by general practice and/or ACCHS/AMS </w:t>
      </w:r>
      <w:proofErr w:type="gramStart"/>
      <w:r w:rsidRPr="00DE5B76">
        <w:t>staff;</w:t>
      </w:r>
      <w:proofErr w:type="gramEnd"/>
      <w:r w:rsidRPr="00DE5B76">
        <w:t xml:space="preserve"> </w:t>
      </w:r>
    </w:p>
    <w:p w14:paraId="546E9F36" w14:textId="77777777" w:rsidR="00233D38" w:rsidRPr="00DE5B76" w:rsidRDefault="00233D38" w:rsidP="008267C7">
      <w:pPr>
        <w:pStyle w:val="ListBullet"/>
      </w:pPr>
      <w:r w:rsidRPr="00DE5B76">
        <w:t xml:space="preserve">who are unable to manage a mix of multidisciplinary </w:t>
      </w:r>
      <w:proofErr w:type="gramStart"/>
      <w:r w:rsidRPr="00DE5B76">
        <w:t>services;</w:t>
      </w:r>
      <w:proofErr w:type="gramEnd"/>
    </w:p>
    <w:p w14:paraId="32DEBC7A" w14:textId="77777777" w:rsidR="00233D38" w:rsidRPr="00DE5B76" w:rsidRDefault="00233D38" w:rsidP="008267C7">
      <w:pPr>
        <w:pStyle w:val="ListBullet"/>
      </w:pPr>
      <w:r w:rsidRPr="00DE5B76">
        <w:t xml:space="preserve">who are at greatest risk of experiencing otherwise avoidable hospital </w:t>
      </w:r>
      <w:proofErr w:type="gramStart"/>
      <w:r w:rsidRPr="00DE5B76">
        <w:t>admissions;</w:t>
      </w:r>
      <w:proofErr w:type="gramEnd"/>
    </w:p>
    <w:p w14:paraId="25F15057" w14:textId="77777777" w:rsidR="00233D38" w:rsidRPr="00DE5B76" w:rsidRDefault="00233D38" w:rsidP="008267C7">
      <w:pPr>
        <w:pStyle w:val="ListBullet"/>
      </w:pPr>
      <w:r w:rsidRPr="00DE5B76">
        <w:t xml:space="preserve">who are at risk of inappropriate use of services, such as hospital emergency </w:t>
      </w:r>
      <w:proofErr w:type="gramStart"/>
      <w:r w:rsidRPr="00DE5B76">
        <w:t>presentations;</w:t>
      </w:r>
      <w:proofErr w:type="gramEnd"/>
    </w:p>
    <w:p w14:paraId="35A3E00A" w14:textId="77777777" w:rsidR="00233D38" w:rsidRPr="00DE5B76" w:rsidRDefault="00233D38" w:rsidP="008267C7">
      <w:pPr>
        <w:pStyle w:val="ListBullet"/>
      </w:pPr>
      <w:r w:rsidRPr="00DE5B76">
        <w:t>who are not using community-based services appropriately or at all; and</w:t>
      </w:r>
    </w:p>
    <w:p w14:paraId="6AD6AF94" w14:textId="77777777" w:rsidR="00233D38" w:rsidRPr="00DE5B76" w:rsidRDefault="00233D38" w:rsidP="008267C7">
      <w:pPr>
        <w:pStyle w:val="ListBullet"/>
      </w:pPr>
      <w:r w:rsidRPr="00DE5B76">
        <w:t>who need help to overcome barriers to access services.</w:t>
      </w:r>
    </w:p>
    <w:p w14:paraId="7193B7C4" w14:textId="6E7FD9D4" w:rsidR="00233D38" w:rsidRDefault="00233D38" w:rsidP="008267C7">
      <w:r>
        <w:t>Commissioning bodies and contracted service providers should develop policies to manage referral, intake and discharge processes, including where clients experience continued challenges engaging with treatment and services to workshop solutions and identify barriers to care coordination. These arrangements should reflect the clients’ clinical needs and adopt a strengths-based approach.</w:t>
      </w:r>
    </w:p>
    <w:p w14:paraId="5B710235" w14:textId="12BC783A" w:rsidR="004B744B" w:rsidRPr="00F32DBD" w:rsidRDefault="000073C6" w:rsidP="00DE5B76">
      <w:pPr>
        <w:pStyle w:val="Heading1"/>
      </w:pPr>
      <w:bookmarkStart w:id="34" w:name="_Toc169185756"/>
      <w:bookmarkStart w:id="35" w:name="_Toc201167229"/>
      <w:r>
        <w:t>Commissioning</w:t>
      </w:r>
      <w:r w:rsidR="006B3EEA">
        <w:t xml:space="preserve"> bodies</w:t>
      </w:r>
      <w:bookmarkEnd w:id="34"/>
      <w:bookmarkEnd w:id="35"/>
    </w:p>
    <w:p w14:paraId="196E9594" w14:textId="1F034CB7" w:rsidR="004B744B" w:rsidRPr="00F030A8" w:rsidRDefault="00F75B2A" w:rsidP="008267C7">
      <w:r>
        <w:t>Commissioning bodie</w:t>
      </w:r>
      <w:r w:rsidR="004B744B" w:rsidRPr="00F030A8">
        <w:t xml:space="preserve">s have the flexibility to tailor the role and activities of the </w:t>
      </w:r>
      <w:r w:rsidR="00C07C7D">
        <w:t>ATSIHPO</w:t>
      </w:r>
      <w:r w:rsidR="004B744B">
        <w:t>s,</w:t>
      </w:r>
      <w:r w:rsidR="004B744B" w:rsidRPr="00F030A8">
        <w:t xml:space="preserve"> </w:t>
      </w:r>
      <w:r w:rsidR="004B744B">
        <w:t>Outreach Workers</w:t>
      </w:r>
      <w:r w:rsidR="004B744B" w:rsidRPr="00F030A8">
        <w:t xml:space="preserve"> </w:t>
      </w:r>
      <w:r w:rsidR="004B744B">
        <w:t xml:space="preserve">and </w:t>
      </w:r>
      <w:r w:rsidR="004B744B" w:rsidRPr="00F030A8">
        <w:t>Care Coordinators</w:t>
      </w:r>
      <w:r w:rsidR="004B744B">
        <w:t xml:space="preserve"> </w:t>
      </w:r>
      <w:r w:rsidR="004B744B" w:rsidRPr="00F030A8">
        <w:t xml:space="preserve">to suit the needs of </w:t>
      </w:r>
      <w:proofErr w:type="gramStart"/>
      <w:r w:rsidR="004B744B" w:rsidRPr="00F030A8">
        <w:t>particular communities</w:t>
      </w:r>
      <w:proofErr w:type="gramEnd"/>
      <w:r w:rsidR="004B744B" w:rsidRPr="00F030A8">
        <w:t xml:space="preserve">, </w:t>
      </w:r>
      <w:proofErr w:type="gramStart"/>
      <w:r w:rsidR="004B744B" w:rsidRPr="00F030A8">
        <w:t xml:space="preserve">taking </w:t>
      </w:r>
      <w:r w:rsidR="004B744B" w:rsidRPr="00F030A8">
        <w:lastRenderedPageBreak/>
        <w:t>into account</w:t>
      </w:r>
      <w:proofErr w:type="gramEnd"/>
      <w:r w:rsidR="004B744B" w:rsidRPr="00F030A8">
        <w:t xml:space="preserve"> the objectives of </w:t>
      </w:r>
      <w:r w:rsidR="004B744B">
        <w:t>ITC</w:t>
      </w:r>
      <w:r w:rsidR="004457A1">
        <w:t xml:space="preserve"> and remaining consistent with</w:t>
      </w:r>
      <w:r w:rsidR="004B744B">
        <w:t xml:space="preserve"> the Program </w:t>
      </w:r>
      <w:r w:rsidR="00FA3CC4">
        <w:t xml:space="preserve">Implementation </w:t>
      </w:r>
      <w:r w:rsidR="004B744B">
        <w:t>Guidelines</w:t>
      </w:r>
      <w:r w:rsidR="004B744B" w:rsidRPr="00F030A8">
        <w:t xml:space="preserve">. </w:t>
      </w:r>
    </w:p>
    <w:p w14:paraId="426D1EF0" w14:textId="3347A5E9" w:rsidR="004B744B" w:rsidRDefault="00C357BE" w:rsidP="008267C7">
      <w:r>
        <w:t xml:space="preserve">Commissioning bodies </w:t>
      </w:r>
      <w:r w:rsidR="004B744B">
        <w:t xml:space="preserve">and </w:t>
      </w:r>
      <w:r w:rsidR="000C4454">
        <w:t>commissioned service providers</w:t>
      </w:r>
      <w:r w:rsidR="004B744B" w:rsidRPr="00F030A8">
        <w:t xml:space="preserve"> are expected to </w:t>
      </w:r>
      <w:r w:rsidR="00D670BE">
        <w:t xml:space="preserve">ensure </w:t>
      </w:r>
      <w:r w:rsidR="00670A59">
        <w:t>and continue to build on providing</w:t>
      </w:r>
      <w:r w:rsidR="004B744B" w:rsidRPr="00F030A8">
        <w:t xml:space="preserve"> Aboriginal and Torres Strait Islander employees with a culturally safe working environment. </w:t>
      </w:r>
      <w:r w:rsidR="00BF32EC">
        <w:t xml:space="preserve">Organisations should consider </w:t>
      </w:r>
      <w:r w:rsidR="004B744B" w:rsidRPr="00F030A8">
        <w:t>developing a</w:t>
      </w:r>
      <w:r w:rsidR="004B744B">
        <w:t>nd implementing a</w:t>
      </w:r>
      <w:r w:rsidR="004B744B" w:rsidRPr="00F030A8">
        <w:t xml:space="preserve"> Re</w:t>
      </w:r>
      <w:r w:rsidR="004B744B">
        <w:t xml:space="preserve">conciliation Action Plan (RAP). </w:t>
      </w:r>
      <w:r w:rsidR="004B744B" w:rsidRPr="00F030A8">
        <w:t xml:space="preserve">Advice on the development of RAPs </w:t>
      </w:r>
      <w:r w:rsidR="000B738D">
        <w:t>can be accessed through</w:t>
      </w:r>
      <w:r w:rsidR="004B744B" w:rsidRPr="00F030A8">
        <w:t xml:space="preserve"> </w:t>
      </w:r>
      <w:hyperlink r:id="rId25" w:tooltip="Link to the official website of Reconciliation Australia" w:history="1">
        <w:r w:rsidR="004B744B" w:rsidRPr="009C2063">
          <w:rPr>
            <w:rStyle w:val="Hyperlink"/>
          </w:rPr>
          <w:t>Reconciliation Australia</w:t>
        </w:r>
      </w:hyperlink>
      <w:r w:rsidR="004B744B" w:rsidRPr="00F030A8">
        <w:t>.</w:t>
      </w:r>
      <w:r w:rsidR="0048144D">
        <w:t xml:space="preserve"> Cultural safety pr</w:t>
      </w:r>
      <w:r w:rsidR="00636C6F">
        <w:t xml:space="preserve">actice </w:t>
      </w:r>
      <w:r w:rsidR="0048144D">
        <w:t xml:space="preserve">is an ongoing learning </w:t>
      </w:r>
      <w:r w:rsidR="00BF32EC">
        <w:t>journey and requires an iterative framework of review and reflection</w:t>
      </w:r>
      <w:r w:rsidR="007267E3">
        <w:t xml:space="preserve">, where organisations should </w:t>
      </w:r>
      <w:r w:rsidR="00AE1E74">
        <w:t xml:space="preserve">routinely </w:t>
      </w:r>
      <w:r w:rsidR="007267E3">
        <w:t xml:space="preserve">seek the </w:t>
      </w:r>
      <w:r w:rsidR="00D6188F">
        <w:t>opinions</w:t>
      </w:r>
      <w:r w:rsidR="007267E3">
        <w:t xml:space="preserve"> of </w:t>
      </w:r>
      <w:r w:rsidR="00D6188F">
        <w:t>Aboriginal and Torres Strait Islander colleagues and health care users to drive systems improvement.</w:t>
      </w:r>
    </w:p>
    <w:p w14:paraId="6F48C4A9" w14:textId="51DF33EF" w:rsidR="004B744B" w:rsidRDefault="00513C2E" w:rsidP="008267C7">
      <w:r>
        <w:t>Commissioning bodie</w:t>
      </w:r>
      <w:r w:rsidR="00147A1C">
        <w:t>s h</w:t>
      </w:r>
      <w:r w:rsidR="004B744B">
        <w:t>a</w:t>
      </w:r>
      <w:r>
        <w:t>ve</w:t>
      </w:r>
      <w:r w:rsidR="004B744B">
        <w:t xml:space="preserve"> a responsibility to oversee the ITC workforce across </w:t>
      </w:r>
      <w:r w:rsidR="00A4537F">
        <w:t xml:space="preserve">their </w:t>
      </w:r>
      <w:r w:rsidR="004B744B">
        <w:t>region</w:t>
      </w:r>
      <w:r w:rsidR="00A4537F">
        <w:t>s</w:t>
      </w:r>
      <w:r w:rsidR="004B744B">
        <w:t xml:space="preserve">, including ensuring the workforce receives appropriate support and development as outlined at Section </w:t>
      </w:r>
      <w:r w:rsidR="007B0F66">
        <w:t>8</w:t>
      </w:r>
      <w:r w:rsidR="004B744B">
        <w:t>.</w:t>
      </w:r>
    </w:p>
    <w:p w14:paraId="2E52F089" w14:textId="13E367FD" w:rsidR="00F228CF" w:rsidRDefault="00BA56BE" w:rsidP="008267C7">
      <w:r>
        <w:t xml:space="preserve">Commissioning bodies </w:t>
      </w:r>
      <w:r w:rsidR="004B744B">
        <w:t xml:space="preserve">and </w:t>
      </w:r>
      <w:r w:rsidR="00BC27AE">
        <w:t xml:space="preserve">contracted service providers </w:t>
      </w:r>
      <w:r w:rsidR="004B744B">
        <w:t>should develop flexible approaches to ensure Aboriginal and Torres Strait Islander people are able to access high quality care, including through</w:t>
      </w:r>
      <w:r w:rsidR="00546E74">
        <w:t xml:space="preserve"> community controlled and</w:t>
      </w:r>
      <w:r w:rsidR="004B744B">
        <w:t xml:space="preserve"> mainstream practices</w:t>
      </w:r>
      <w:r w:rsidR="00B21A2D">
        <w:t xml:space="preserve"> </w:t>
      </w:r>
      <w:r w:rsidR="00A946D1">
        <w:t>in response to identified local needs or preferences</w:t>
      </w:r>
      <w:r w:rsidR="004B744B">
        <w:t>.</w:t>
      </w:r>
      <w:r w:rsidR="00097BF4">
        <w:t xml:space="preserve"> </w:t>
      </w:r>
      <w:r w:rsidR="00FE357D" w:rsidRPr="0037701D">
        <w:t xml:space="preserve">ACCHS are </w:t>
      </w:r>
      <w:r w:rsidR="00CA33C4">
        <w:t>well placed</w:t>
      </w:r>
      <w:r w:rsidR="00FE357D" w:rsidRPr="0037701D">
        <w:t xml:space="preserve"> </w:t>
      </w:r>
      <w:r w:rsidR="00CA33C4">
        <w:t>to provide targeted</w:t>
      </w:r>
      <w:r w:rsidR="00FE357D" w:rsidRPr="0037701D">
        <w:t xml:space="preserve"> primary health care </w:t>
      </w:r>
      <w:r w:rsidR="00CA33C4">
        <w:t>and</w:t>
      </w:r>
      <w:r w:rsidR="00FE357D">
        <w:t xml:space="preserve"> drive solutions</w:t>
      </w:r>
      <w:r w:rsidR="00C777EB">
        <w:t>, develop models of service and meaningful outcome indicators</w:t>
      </w:r>
      <w:r w:rsidR="00FE357D">
        <w:t xml:space="preserve"> </w:t>
      </w:r>
      <w:r w:rsidR="00FE357D" w:rsidRPr="0037701D">
        <w:t>for</w:t>
      </w:r>
      <w:r w:rsidR="00C777EB">
        <w:t xml:space="preserve"> the</w:t>
      </w:r>
      <w:r w:rsidR="00FE357D" w:rsidRPr="0037701D">
        <w:t xml:space="preserve"> Aboriginal and Torres Strait Islander communities</w:t>
      </w:r>
      <w:r w:rsidR="00C777EB">
        <w:t xml:space="preserve"> they serve</w:t>
      </w:r>
      <w:r w:rsidR="00FE357D" w:rsidRPr="0037701D">
        <w:t xml:space="preserve">. As such, where capacity allows, </w:t>
      </w:r>
      <w:r w:rsidR="00673C35">
        <w:t xml:space="preserve">support should be provided to building a strong and sustainable Aboriginal and Torres Strait Islander </w:t>
      </w:r>
      <w:proofErr w:type="gramStart"/>
      <w:r w:rsidR="00673C35">
        <w:t>community controlled</w:t>
      </w:r>
      <w:proofErr w:type="gramEnd"/>
      <w:r w:rsidR="00673C35">
        <w:t xml:space="preserve"> sector</w:t>
      </w:r>
      <w:r w:rsidR="00106129">
        <w:t xml:space="preserve"> as is </w:t>
      </w:r>
      <w:r w:rsidR="00636C6F">
        <w:t>outlined</w:t>
      </w:r>
      <w:r w:rsidR="00106129">
        <w:t xml:space="preserve"> in Priority Reform 2 of the National Agreement</w:t>
      </w:r>
      <w:r w:rsidR="00FE357D" w:rsidRPr="0037701D">
        <w:t>.</w:t>
      </w:r>
      <w:r w:rsidR="00FE357D">
        <w:t xml:space="preserve"> </w:t>
      </w:r>
      <w:r w:rsidR="00355B09">
        <w:t>C</w:t>
      </w:r>
      <w:r w:rsidR="00FE357D">
        <w:t xml:space="preserve">ommissioning </w:t>
      </w:r>
      <w:r w:rsidR="00F46DAA">
        <w:t>bodies</w:t>
      </w:r>
      <w:r w:rsidR="003E6502">
        <w:t xml:space="preserve"> (see Section </w:t>
      </w:r>
      <w:r w:rsidR="00547784">
        <w:t>3</w:t>
      </w:r>
      <w:r w:rsidR="003E6502">
        <w:t>.1)</w:t>
      </w:r>
      <w:r w:rsidR="00FE357D">
        <w:t xml:space="preserve"> should </w:t>
      </w:r>
      <w:r w:rsidR="00355B09">
        <w:t xml:space="preserve">follow a needs-based approach </w:t>
      </w:r>
      <w:r w:rsidR="0014437C">
        <w:t xml:space="preserve">to </w:t>
      </w:r>
      <w:r w:rsidR="00355B09">
        <w:t>enabl</w:t>
      </w:r>
      <w:r w:rsidR="0014437C">
        <w:t>e</w:t>
      </w:r>
      <w:r w:rsidR="00355B09">
        <w:t xml:space="preserve"> communities to have rights of choice in accessing ITC from service providers that best fit their health values</w:t>
      </w:r>
      <w:r w:rsidR="00FE357D">
        <w:t xml:space="preserve">. </w:t>
      </w:r>
      <w:r w:rsidR="00097BF4">
        <w:t xml:space="preserve">This represents an important commitment </w:t>
      </w:r>
      <w:r w:rsidR="00FE357D">
        <w:t>towards driving Aboriginal and Torres Strait Islander</w:t>
      </w:r>
      <w:r w:rsidR="00097BF4">
        <w:t xml:space="preserve"> self-determination</w:t>
      </w:r>
      <w:r w:rsidR="00FE357D">
        <w:t xml:space="preserve"> and </w:t>
      </w:r>
      <w:r w:rsidR="00D36F79">
        <w:t>building the community-controlled sector</w:t>
      </w:r>
      <w:r w:rsidR="00097BF4">
        <w:t xml:space="preserve">, consistent with </w:t>
      </w:r>
      <w:r w:rsidR="0080721A">
        <w:t>t</w:t>
      </w:r>
      <w:r w:rsidR="00097BF4">
        <w:t>he Health Plan</w:t>
      </w:r>
      <w:r w:rsidR="00F228CF">
        <w:t xml:space="preserve"> and Priority Reform 2 of the National Agreement</w:t>
      </w:r>
      <w:r w:rsidR="00097BF4">
        <w:t xml:space="preserve">. </w:t>
      </w:r>
    </w:p>
    <w:p w14:paraId="55AD81AD" w14:textId="58C19210" w:rsidR="004B744B" w:rsidRDefault="00F228CF" w:rsidP="008267C7">
      <w:r>
        <w:t xml:space="preserve">In regions </w:t>
      </w:r>
      <w:r w:rsidR="00D008E5">
        <w:t>lacking nearby or local</w:t>
      </w:r>
      <w:r>
        <w:t xml:space="preserve"> ACCHS, or where the community prefers a culturally safe mainstream provider, ITC delivery and service provider commissioning should prioritise offering clients a choice</w:t>
      </w:r>
      <w:r w:rsidR="00D36F79">
        <w:t xml:space="preserve"> based on </w:t>
      </w:r>
      <w:r w:rsidR="00A946D1">
        <w:t>local</w:t>
      </w:r>
      <w:r w:rsidR="00D36F79">
        <w:t xml:space="preserve"> needs-based assessment</w:t>
      </w:r>
      <w:r w:rsidR="00A946D1">
        <w:t>s and community input</w:t>
      </w:r>
      <w:r>
        <w:t>.</w:t>
      </w:r>
    </w:p>
    <w:p w14:paraId="7C54B478" w14:textId="02B40315" w:rsidR="004B744B" w:rsidRPr="00555483" w:rsidRDefault="004B744B" w:rsidP="00555483">
      <w:pPr>
        <w:pStyle w:val="Heading2"/>
      </w:pPr>
      <w:bookmarkStart w:id="36" w:name="_Toc5097092"/>
      <w:bookmarkStart w:id="37" w:name="_Toc169185757"/>
      <w:bookmarkStart w:id="38" w:name="_Toc201167230"/>
      <w:r w:rsidRPr="00555483">
        <w:t>Service delivery and commissioning arrangements</w:t>
      </w:r>
      <w:bookmarkEnd w:id="36"/>
      <w:bookmarkEnd w:id="37"/>
      <w:bookmarkEnd w:id="38"/>
    </w:p>
    <w:p w14:paraId="7F0EA9B7" w14:textId="2AED09F1" w:rsidR="004B744B" w:rsidRDefault="00492511" w:rsidP="008267C7">
      <w:r>
        <w:t xml:space="preserve">Commissioning bodies </w:t>
      </w:r>
      <w:r w:rsidR="004B744B">
        <w:t xml:space="preserve">should seek to commission service delivery arrangements that </w:t>
      </w:r>
      <w:r w:rsidR="004D163F">
        <w:t xml:space="preserve">best meet </w:t>
      </w:r>
      <w:r w:rsidR="00147A1C">
        <w:t>place-based</w:t>
      </w:r>
      <w:r w:rsidR="00976837">
        <w:t xml:space="preserve"> </w:t>
      </w:r>
      <w:r w:rsidR="006E74E0">
        <w:t xml:space="preserve">client needs </w:t>
      </w:r>
      <w:r w:rsidR="00976837">
        <w:t>or</w:t>
      </w:r>
      <w:r w:rsidR="006E74E0">
        <w:t xml:space="preserve"> preferences</w:t>
      </w:r>
      <w:r w:rsidR="00C3312D">
        <w:t xml:space="preserve">, </w:t>
      </w:r>
      <w:proofErr w:type="gramStart"/>
      <w:r w:rsidR="00C3312D">
        <w:t>taking into account</w:t>
      </w:r>
      <w:proofErr w:type="gramEnd"/>
      <w:r w:rsidR="00C3312D">
        <w:t xml:space="preserve"> regional capacity to ensure effective ITC coverage</w:t>
      </w:r>
      <w:r w:rsidR="006E74E0">
        <w:t>. This includes leveraging</w:t>
      </w:r>
      <w:r w:rsidR="0091645E">
        <w:t xml:space="preserve"> </w:t>
      </w:r>
      <w:r w:rsidR="004B744B">
        <w:t xml:space="preserve">existing service arrangements </w:t>
      </w:r>
      <w:r w:rsidR="0091645E">
        <w:t xml:space="preserve">such as </w:t>
      </w:r>
      <w:r w:rsidR="004B744B">
        <w:t xml:space="preserve">those delivered by the Aboriginal Community Controlled Health Sector. </w:t>
      </w:r>
    </w:p>
    <w:p w14:paraId="7091DB32" w14:textId="4C258662" w:rsidR="004B744B" w:rsidRPr="007E0494" w:rsidRDefault="004B744B" w:rsidP="008267C7">
      <w:r w:rsidRPr="007E0494">
        <w:t xml:space="preserve">Open approaches to the market </w:t>
      </w:r>
      <w:r>
        <w:t xml:space="preserve">for commissioning </w:t>
      </w:r>
      <w:r w:rsidRPr="007E0494">
        <w:t xml:space="preserve">may be </w:t>
      </w:r>
      <w:r w:rsidR="00513C2E" w:rsidRPr="007E0494">
        <w:t>considered</w:t>
      </w:r>
      <w:r w:rsidR="00513C2E">
        <w:t xml:space="preserve"> but</w:t>
      </w:r>
      <w:r w:rsidRPr="007E0494">
        <w:t xml:space="preserve"> may not be required in all situations.</w:t>
      </w:r>
    </w:p>
    <w:p w14:paraId="71A5AA34" w14:textId="72EEAF3D" w:rsidR="004B744B" w:rsidRPr="007E0494" w:rsidRDefault="000073C6" w:rsidP="008267C7">
      <w:r>
        <w:t>Commissioning bodie</w:t>
      </w:r>
      <w:r w:rsidR="004B744B">
        <w:t xml:space="preserve">s should base decisions about the service delivery, workforce needs, workforce </w:t>
      </w:r>
      <w:r w:rsidR="004B744B" w:rsidRPr="007E0494">
        <w:t xml:space="preserve">placement and whether a direct, targeted or open approach to the market is undertaken, upon a framework that includes needs assessment, market analyses, and clinical and consumer input including through Clinical Councils and Community Advisory Committees. </w:t>
      </w:r>
      <w:r w:rsidR="00585630">
        <w:t>This process</w:t>
      </w:r>
      <w:r w:rsidR="004B744B" w:rsidRPr="007E0494">
        <w:t xml:space="preserve"> must be transparent, defensible, well documented and made available to the Commonwealth upon request.</w:t>
      </w:r>
      <w:r w:rsidR="00483AD1">
        <w:t xml:space="preserve"> Funding arrangements with service providers </w:t>
      </w:r>
      <w:r w:rsidR="00707AA6">
        <w:lastRenderedPageBreak/>
        <w:t>stemming</w:t>
      </w:r>
      <w:r w:rsidR="00483AD1">
        <w:t xml:space="preserve"> from this process </w:t>
      </w:r>
      <w:r w:rsidR="00157D3D">
        <w:t>should</w:t>
      </w:r>
      <w:r w:rsidR="00707AA6">
        <w:t xml:space="preserve"> align with the </w:t>
      </w:r>
      <w:proofErr w:type="gramStart"/>
      <w:r w:rsidR="0007298A">
        <w:t>aforementioned analyses</w:t>
      </w:r>
      <w:proofErr w:type="gramEnd"/>
      <w:r w:rsidR="0007298A">
        <w:t xml:space="preserve"> </w:t>
      </w:r>
      <w:r w:rsidR="00F3402D">
        <w:t>and may, additionally integrate specific regional factors, client preferences or community feedback.</w:t>
      </w:r>
    </w:p>
    <w:p w14:paraId="66C7C9E0" w14:textId="071070E0" w:rsidR="004B744B" w:rsidRDefault="004B744B" w:rsidP="008267C7">
      <w:r w:rsidRPr="007E0494">
        <w:t xml:space="preserve">Appropriate workforce placement across a region, and in particular the location of </w:t>
      </w:r>
      <w:r w:rsidR="00C07C7D">
        <w:t>ATSIHPO</w:t>
      </w:r>
      <w:r w:rsidRPr="007E0494">
        <w:t>s as team leaders</w:t>
      </w:r>
      <w:r w:rsidR="00747C43">
        <w:t xml:space="preserve"> or progra</w:t>
      </w:r>
      <w:r w:rsidR="00966891">
        <w:t>m coordinators</w:t>
      </w:r>
      <w:r w:rsidRPr="007E0494">
        <w:t xml:space="preserve">, may involve </w:t>
      </w:r>
      <w:r w:rsidR="00C07C7D">
        <w:t>ATSIHPO</w:t>
      </w:r>
      <w:r w:rsidRPr="007E0494">
        <w:t>s being placed in strategic locations across areas within a region</w:t>
      </w:r>
      <w:r>
        <w:t>, including</w:t>
      </w:r>
      <w:r w:rsidRPr="007E0494">
        <w:t xml:space="preserve"> within</w:t>
      </w:r>
      <w:r w:rsidR="00724F35">
        <w:t xml:space="preserve"> commissioning bodies </w:t>
      </w:r>
      <w:r>
        <w:t>if appropriate</w:t>
      </w:r>
      <w:r w:rsidRPr="007E0494">
        <w:t xml:space="preserve">. Decisions on </w:t>
      </w:r>
      <w:r w:rsidR="00C07C7D">
        <w:t>ATSIHPO</w:t>
      </w:r>
      <w:r w:rsidRPr="007E0494">
        <w:t xml:space="preserve"> placement will depend on the outcome of the above decision framework. Care Coordinator and Outreach Worker services should be delivered from</w:t>
      </w:r>
      <w:r>
        <w:t xml:space="preserve"> the most appropriate service</w:t>
      </w:r>
      <w:r w:rsidRPr="007E0494">
        <w:t>, and wherever possible work between AMS</w:t>
      </w:r>
      <w:r w:rsidR="004D6417">
        <w:t>, ACCHS</w:t>
      </w:r>
      <w:r w:rsidRPr="007E0494">
        <w:t xml:space="preserve"> and mainstream practices.</w:t>
      </w:r>
    </w:p>
    <w:p w14:paraId="199887E5" w14:textId="7CC575FF" w:rsidR="004B744B" w:rsidRPr="00F32DBD" w:rsidRDefault="004B744B" w:rsidP="00DE5B76">
      <w:pPr>
        <w:pStyle w:val="Heading1"/>
      </w:pPr>
      <w:bookmarkStart w:id="39" w:name="_Toc5097093"/>
      <w:bookmarkStart w:id="40" w:name="_Toc169185758"/>
      <w:bookmarkStart w:id="41" w:name="_Toc201167231"/>
      <w:r w:rsidRPr="00F32DBD">
        <w:t xml:space="preserve">Improving the Cultural </w:t>
      </w:r>
      <w:r w:rsidR="003E0544">
        <w:t>Safety</w:t>
      </w:r>
      <w:r w:rsidR="003E0544" w:rsidRPr="00F32DBD">
        <w:t xml:space="preserve"> </w:t>
      </w:r>
      <w:r w:rsidRPr="00F32DBD">
        <w:t>of Mainstream Primary Care</w:t>
      </w:r>
      <w:bookmarkEnd w:id="39"/>
      <w:bookmarkEnd w:id="40"/>
      <w:bookmarkEnd w:id="41"/>
    </w:p>
    <w:p w14:paraId="39AD3EE6" w14:textId="22DBC193" w:rsidR="00153D00" w:rsidRDefault="00153D00" w:rsidP="008267C7">
      <w:r>
        <w:t>According to data from the most recent National Aboriginal and Torres Strait Islander Health Survey 2018-2019</w:t>
      </w:r>
      <w:r>
        <w:rPr>
          <w:rStyle w:val="FootnoteReference"/>
        </w:rPr>
        <w:footnoteReference w:id="6"/>
      </w:r>
      <w:r>
        <w:t>, approximately 54% of survey participants reported visiting a mainstream GP when they sought medical care. Use of mainstream practice as the usual source of health care was greater in major cities (75%), compared to remote (27%) or very remote regions (6%). This highlights the importance of reinforcing a health system that is responsive and culturally safe for Aboriginal and Torres Strait Islander health needs.</w:t>
      </w:r>
    </w:p>
    <w:p w14:paraId="6450F881" w14:textId="6395C97F" w:rsidR="004B744B" w:rsidRDefault="004B744B" w:rsidP="008267C7">
      <w:r>
        <w:t xml:space="preserve">ITC plays a key role improving the cultural competency of mainstream primary care services </w:t>
      </w:r>
      <w:r w:rsidR="00A5140E">
        <w:t>so Aboriginal</w:t>
      </w:r>
      <w:r>
        <w:t xml:space="preserve"> and Torres Strait Islander people can access</w:t>
      </w:r>
      <w:r w:rsidR="00A45650">
        <w:t xml:space="preserve"> safe and</w:t>
      </w:r>
      <w:r>
        <w:t xml:space="preserve"> </w:t>
      </w:r>
      <w:r w:rsidR="00097BF4">
        <w:t>responsive</w:t>
      </w:r>
      <w:r w:rsidR="00A45650">
        <w:t xml:space="preserve"> </w:t>
      </w:r>
      <w:r>
        <w:t>care.</w:t>
      </w:r>
    </w:p>
    <w:p w14:paraId="115A64C0" w14:textId="3933A23B" w:rsidR="004B744B" w:rsidRDefault="004B744B" w:rsidP="008267C7">
      <w:r>
        <w:t xml:space="preserve">Activities to improve the cultural </w:t>
      </w:r>
      <w:r w:rsidR="003A33CB">
        <w:t xml:space="preserve">safety </w:t>
      </w:r>
      <w:r>
        <w:t>of mainstream primary care include, but are not limited to:</w:t>
      </w:r>
    </w:p>
    <w:p w14:paraId="799A0B52" w14:textId="32A95C45" w:rsidR="00D63598" w:rsidRDefault="00D63598" w:rsidP="008267C7">
      <w:pPr>
        <w:pStyle w:val="ListBullet"/>
      </w:pPr>
      <w:r>
        <w:t xml:space="preserve">Developing </w:t>
      </w:r>
      <w:r w:rsidR="001B5049">
        <w:t>a Reconciliation Action Plan</w:t>
      </w:r>
      <w:r w:rsidR="004470BA">
        <w:t xml:space="preserve"> (RAP</w:t>
      </w:r>
      <w:proofErr w:type="gramStart"/>
      <w:r w:rsidR="004470BA">
        <w:t>)</w:t>
      </w:r>
      <w:r w:rsidR="001B5049">
        <w:t>;</w:t>
      </w:r>
      <w:proofErr w:type="gramEnd"/>
    </w:p>
    <w:p w14:paraId="53D7E534" w14:textId="414D2C97" w:rsidR="004B744B" w:rsidRDefault="004B744B" w:rsidP="008267C7">
      <w:pPr>
        <w:pStyle w:val="ListBullet"/>
      </w:pPr>
      <w:r>
        <w:t xml:space="preserve">Delivering or organising cultural </w:t>
      </w:r>
      <w:r w:rsidR="003A33CB">
        <w:t xml:space="preserve">competency </w:t>
      </w:r>
      <w:r>
        <w:t xml:space="preserve">training for </w:t>
      </w:r>
      <w:proofErr w:type="gramStart"/>
      <w:r>
        <w:t>staff;</w:t>
      </w:r>
      <w:proofErr w:type="gramEnd"/>
    </w:p>
    <w:p w14:paraId="1C80D25C" w14:textId="3C19384E" w:rsidR="004B744B" w:rsidRDefault="004B744B" w:rsidP="008267C7">
      <w:pPr>
        <w:pStyle w:val="ListBullet"/>
      </w:pPr>
      <w:r>
        <w:t xml:space="preserve">Encouraging uptake of </w:t>
      </w:r>
      <w:r w:rsidR="001C4632">
        <w:t xml:space="preserve">Aboriginal and Torres Strait Islander </w:t>
      </w:r>
      <w:r>
        <w:t>MBS items such as 715 health checks and ensuring follow-up services are utilised; and</w:t>
      </w:r>
    </w:p>
    <w:p w14:paraId="1512DE6E" w14:textId="68B34224" w:rsidR="004B744B" w:rsidRDefault="004B744B" w:rsidP="008267C7">
      <w:pPr>
        <w:pStyle w:val="ListBullet"/>
      </w:pPr>
      <w:r>
        <w:t xml:space="preserve">Helping practices create a more welcoming environment </w:t>
      </w:r>
      <w:r w:rsidR="00727C9D">
        <w:t xml:space="preserve">by considering the space </w:t>
      </w:r>
      <w:r w:rsidR="00306A49">
        <w:t xml:space="preserve">and co-designing </w:t>
      </w:r>
      <w:r w:rsidR="00FF654D">
        <w:t>display materials</w:t>
      </w:r>
      <w:r w:rsidR="00306A49">
        <w:t>, inclusive signage</w:t>
      </w:r>
      <w:r w:rsidR="007C75DF">
        <w:t>, language resources</w:t>
      </w:r>
      <w:r w:rsidR="00FF654D">
        <w:t xml:space="preserve"> or dedicated private spaces</w:t>
      </w:r>
      <w:r w:rsidR="00603760">
        <w:t xml:space="preserve"> with community Elders and local artists</w:t>
      </w:r>
      <w:r w:rsidR="00FF654D">
        <w:t>.</w:t>
      </w:r>
    </w:p>
    <w:p w14:paraId="0FEBCE9F" w14:textId="2FC60C96" w:rsidR="004B744B" w:rsidRDefault="004B744B" w:rsidP="008267C7">
      <w:r>
        <w:t xml:space="preserve">Note: this list is not intended to be exhaustive and should represent the minimum activities conducted as part of improving the cultural </w:t>
      </w:r>
      <w:r w:rsidR="003A33CB">
        <w:t xml:space="preserve">safety </w:t>
      </w:r>
      <w:r>
        <w:t>of mainstream primary care.</w:t>
      </w:r>
    </w:p>
    <w:p w14:paraId="34C232BA" w14:textId="256FAB4C" w:rsidR="0089172B" w:rsidRPr="008D7C95" w:rsidRDefault="002F38A3" w:rsidP="008267C7">
      <w:r>
        <w:t>Commissioning bodies</w:t>
      </w:r>
      <w:r w:rsidR="000D2658">
        <w:t xml:space="preserve"> should </w:t>
      </w:r>
      <w:r w:rsidR="00C118FC">
        <w:t xml:space="preserve">appoint </w:t>
      </w:r>
      <w:r w:rsidR="00E966FA">
        <w:t>an individual from the</w:t>
      </w:r>
      <w:r w:rsidR="005D1367">
        <w:t xml:space="preserve"> </w:t>
      </w:r>
      <w:r w:rsidR="004470BA">
        <w:t>ITC workforce</w:t>
      </w:r>
      <w:r w:rsidR="004F2C11">
        <w:t xml:space="preserve"> (AT</w:t>
      </w:r>
      <w:r w:rsidR="00D1598E">
        <w:t>SIHPO, Care Coordinator, Outreach Worker)</w:t>
      </w:r>
      <w:r w:rsidR="004B744B">
        <w:t xml:space="preserve"> take the lead in improving the cultural </w:t>
      </w:r>
      <w:r w:rsidR="003A33CB">
        <w:t xml:space="preserve">safety </w:t>
      </w:r>
      <w:r w:rsidR="004B744B">
        <w:t xml:space="preserve">of mainstream primary care services, however each of the ITC workforce positions may assist with working towards this objective as appropriate for local circumstances. While </w:t>
      </w:r>
      <w:r w:rsidR="001B77C9">
        <w:t xml:space="preserve">commissioning bodies </w:t>
      </w:r>
      <w:r w:rsidR="004B744B">
        <w:t xml:space="preserve">have primary responsibility for ensuring this objective is met, each organisation commissioned to deliver ITC should ensure that this activity is being undertaken. </w:t>
      </w:r>
      <w:r w:rsidR="0089172B">
        <w:t xml:space="preserve">It is expected that commissioning bodies include a requirement that these activities will be </w:t>
      </w:r>
      <w:r w:rsidR="0089172B">
        <w:lastRenderedPageBreak/>
        <w:t xml:space="preserve">undertaken in their funding agreements with organisations commissioned to deliver ITC services </w:t>
      </w:r>
      <w:r w:rsidR="0089172B" w:rsidRPr="008D7C95">
        <w:t>(see Program Outcomes 3 and 4 in Section 1).</w:t>
      </w:r>
    </w:p>
    <w:p w14:paraId="64626720" w14:textId="3A9174BF" w:rsidR="004B744B" w:rsidRPr="00DE5B76" w:rsidRDefault="0091552B" w:rsidP="008267C7">
      <w:r w:rsidRPr="00DE5B76">
        <w:t>With reference to</w:t>
      </w:r>
      <w:r w:rsidR="00F46928" w:rsidRPr="00DE5B76">
        <w:t xml:space="preserve"> Priority Reform 4 of the National Agreement, PHNs</w:t>
      </w:r>
      <w:r w:rsidR="00E14DE2" w:rsidRPr="00DE5B76">
        <w:t xml:space="preserve"> are strategically positioned to collaborate with other commissioning bodies and service </w:t>
      </w:r>
      <w:r w:rsidR="006D4CF8" w:rsidRPr="00DE5B76">
        <w:t>providers and should endeavour to facilitate</w:t>
      </w:r>
      <w:r w:rsidR="00E14DE2" w:rsidRPr="00DE5B76">
        <w:t xml:space="preserve"> mutual access to data and information. This collaboration extends to areas such as </w:t>
      </w:r>
      <w:r w:rsidR="006D4CF8" w:rsidRPr="00DE5B76">
        <w:t>identifying</w:t>
      </w:r>
      <w:r w:rsidR="00E14DE2" w:rsidRPr="00DE5B76">
        <w:t xml:space="preserve"> GP practices</w:t>
      </w:r>
      <w:r w:rsidR="00720772" w:rsidRPr="00DE5B76">
        <w:t xml:space="preserve"> with may benefit from capacity uplift in cultural awareness training</w:t>
      </w:r>
      <w:r w:rsidR="00E14DE2" w:rsidRPr="00DE5B76">
        <w:t xml:space="preserve">. </w:t>
      </w:r>
    </w:p>
    <w:p w14:paraId="2E1B2DC3" w14:textId="458E3EDD" w:rsidR="004B744B" w:rsidRPr="007A6162" w:rsidRDefault="00C07C7D" w:rsidP="00DE5B76">
      <w:pPr>
        <w:pStyle w:val="Heading1"/>
      </w:pPr>
      <w:bookmarkStart w:id="42" w:name="_Toc5097094"/>
      <w:bookmarkStart w:id="43" w:name="_Toc169185759"/>
      <w:bookmarkStart w:id="44" w:name="_Toc201167232"/>
      <w:r>
        <w:t>Aboriginal and Torres Strait Islander</w:t>
      </w:r>
      <w:r w:rsidR="004B744B" w:rsidRPr="007A6162">
        <w:t xml:space="preserve"> Project Officers</w:t>
      </w:r>
      <w:bookmarkEnd w:id="42"/>
      <w:bookmarkEnd w:id="43"/>
      <w:bookmarkEnd w:id="44"/>
    </w:p>
    <w:p w14:paraId="63B76456" w14:textId="16B87B84" w:rsidR="004B744B" w:rsidRPr="00555483" w:rsidRDefault="004B744B" w:rsidP="00555483">
      <w:pPr>
        <w:pStyle w:val="Heading2"/>
      </w:pPr>
      <w:bookmarkStart w:id="45" w:name="_Toc5097095"/>
      <w:bookmarkStart w:id="46" w:name="_Toc169185760"/>
      <w:bookmarkStart w:id="47" w:name="_Toc201167233"/>
      <w:r w:rsidRPr="00555483">
        <w:t>Roles and responsibilities</w:t>
      </w:r>
      <w:bookmarkEnd w:id="45"/>
      <w:bookmarkEnd w:id="46"/>
      <w:bookmarkEnd w:id="47"/>
    </w:p>
    <w:p w14:paraId="0D91108F" w14:textId="29F85C2B" w:rsidR="004B744B" w:rsidRPr="00F030A8" w:rsidRDefault="00C07C7D" w:rsidP="008267C7">
      <w:r>
        <w:t>ATSIHPO</w:t>
      </w:r>
      <w:r w:rsidR="004B744B">
        <w:t>s</w:t>
      </w:r>
      <w:r w:rsidR="004B744B" w:rsidRPr="00F030A8">
        <w:t xml:space="preserve"> provide leadership</w:t>
      </w:r>
      <w:r w:rsidR="000173A2">
        <w:t xml:space="preserve"> and strategic direction</w:t>
      </w:r>
      <w:r w:rsidR="004B744B" w:rsidRPr="00F030A8">
        <w:t xml:space="preserve"> on </w:t>
      </w:r>
      <w:r w:rsidR="009E6E9B">
        <w:t>Aboriginal and Torres Strait Islander</w:t>
      </w:r>
      <w:r w:rsidR="004B744B" w:rsidRPr="00F030A8">
        <w:t xml:space="preserve"> health issues.</w:t>
      </w:r>
    </w:p>
    <w:p w14:paraId="11350536" w14:textId="623D9C25" w:rsidR="004B744B" w:rsidRPr="00FD1E4D" w:rsidRDefault="004B744B" w:rsidP="008267C7">
      <w:r w:rsidRPr="00FD1E4D">
        <w:t xml:space="preserve">Responsibilities for </w:t>
      </w:r>
      <w:r w:rsidR="00C07C7D" w:rsidRPr="00C07C7D">
        <w:t>ATSIHPO</w:t>
      </w:r>
      <w:r>
        <w:t>s</w:t>
      </w:r>
      <w:r w:rsidRPr="00FD1E4D">
        <w:t xml:space="preserve"> include:</w:t>
      </w:r>
    </w:p>
    <w:p w14:paraId="3A159221" w14:textId="1E644877" w:rsidR="004B744B" w:rsidRPr="00FD1E4D" w:rsidRDefault="00D660F1" w:rsidP="008267C7">
      <w:pPr>
        <w:pStyle w:val="ListBullet"/>
      </w:pPr>
      <w:r>
        <w:t>working</w:t>
      </w:r>
      <w:r w:rsidR="004B744B" w:rsidRPr="00FD1E4D">
        <w:t xml:space="preserve"> as team leaders</w:t>
      </w:r>
      <w:r w:rsidR="0010323F">
        <w:t>, liaison officers or program coordinators</w:t>
      </w:r>
      <w:r w:rsidR="004B744B" w:rsidRPr="00FD1E4D">
        <w:t xml:space="preserve"> in the PHN region</w:t>
      </w:r>
      <w:r w:rsidR="0010323F">
        <w:t>s</w:t>
      </w:r>
      <w:r w:rsidR="004B744B">
        <w:t xml:space="preserve">, i.e. overall </w:t>
      </w:r>
      <w:r w:rsidR="00C3755A">
        <w:t>ITC lead</w:t>
      </w:r>
      <w:r w:rsidR="004B744B">
        <w:t xml:space="preserve">, including providing regional guidance and strategic direction for the </w:t>
      </w:r>
      <w:proofErr w:type="gramStart"/>
      <w:r w:rsidR="004B744B">
        <w:t>team;</w:t>
      </w:r>
      <w:proofErr w:type="gramEnd"/>
    </w:p>
    <w:p w14:paraId="6893C797" w14:textId="43F04E53" w:rsidR="004B744B" w:rsidRPr="00100CA1" w:rsidRDefault="002B31B1" w:rsidP="008267C7">
      <w:pPr>
        <w:pStyle w:val="ListBullet"/>
      </w:pPr>
      <w:r>
        <w:t>providing</w:t>
      </w:r>
      <w:r w:rsidR="00D660F1">
        <w:t xml:space="preserve"> input</w:t>
      </w:r>
      <w:r>
        <w:t xml:space="preserve"> into</w:t>
      </w:r>
      <w:r w:rsidR="00D660F1">
        <w:t xml:space="preserve"> </w:t>
      </w:r>
      <w:r w:rsidR="004B744B" w:rsidRPr="00FD1E4D">
        <w:t>developing and implementing a coordinated team</w:t>
      </w:r>
      <w:r w:rsidR="004B744B" w:rsidRPr="00F030A8">
        <w:t xml:space="preserve">-based approach to Aboriginal and Torres Strait Islander health, </w:t>
      </w:r>
      <w:r w:rsidR="00A265E5">
        <w:t>particularly in defining the scope of roles among</w:t>
      </w:r>
      <w:r w:rsidR="004B744B" w:rsidRPr="00F030A8">
        <w:t xml:space="preserve"> the </w:t>
      </w:r>
      <w:r w:rsidR="00C07C7D" w:rsidRPr="00C07C7D">
        <w:t>ATSIHPO</w:t>
      </w:r>
      <w:r w:rsidR="004B744B" w:rsidRPr="00F030A8">
        <w:t xml:space="preserve">, </w:t>
      </w:r>
      <w:r w:rsidR="004B744B">
        <w:t>Outreach Worker</w:t>
      </w:r>
      <w:r w:rsidR="004B744B" w:rsidRPr="00F030A8">
        <w:t xml:space="preserve"> and Care Coordinator </w:t>
      </w:r>
      <w:proofErr w:type="gramStart"/>
      <w:r w:rsidR="004B744B" w:rsidRPr="00100CA1">
        <w:t>positions;</w:t>
      </w:r>
      <w:proofErr w:type="gramEnd"/>
    </w:p>
    <w:p w14:paraId="085CD043" w14:textId="77777777" w:rsidR="004B744B" w:rsidRPr="00100CA1" w:rsidRDefault="004B744B" w:rsidP="008267C7">
      <w:pPr>
        <w:pStyle w:val="ListBullet"/>
      </w:pPr>
      <w:r w:rsidRPr="00100CA1">
        <w:t xml:space="preserve">supporting Care Coordinators and Outreach </w:t>
      </w:r>
      <w:proofErr w:type="gramStart"/>
      <w:r w:rsidRPr="00100CA1">
        <w:t>Workers;</w:t>
      </w:r>
      <w:proofErr w:type="gramEnd"/>
    </w:p>
    <w:p w14:paraId="6BAE5D19" w14:textId="111620B4" w:rsidR="004B744B" w:rsidRPr="00F030A8" w:rsidRDefault="004B744B" w:rsidP="008267C7">
      <w:pPr>
        <w:pStyle w:val="ListBullet"/>
      </w:pPr>
      <w:r w:rsidRPr="00F030A8">
        <w:t xml:space="preserve">developing and implementing strategies to improve the capacity of mainstream primary care providers to deliver culturally </w:t>
      </w:r>
      <w:r w:rsidR="00E81ABF">
        <w:t>safe</w:t>
      </w:r>
      <w:r w:rsidR="00E81ABF" w:rsidRPr="00F030A8">
        <w:t xml:space="preserve"> </w:t>
      </w:r>
      <w:r w:rsidRPr="00F030A8">
        <w:t>primary care services to Aboriginal and Torres Strait Islander people, including</w:t>
      </w:r>
      <w:r>
        <w:t xml:space="preserve"> taking an advocacy role in</w:t>
      </w:r>
      <w:r w:rsidRPr="00F030A8">
        <w:t>:</w:t>
      </w:r>
    </w:p>
    <w:p w14:paraId="1B368238" w14:textId="069AF39E" w:rsidR="004B744B" w:rsidRPr="00F030A8" w:rsidRDefault="004B744B" w:rsidP="008267C7">
      <w:pPr>
        <w:pStyle w:val="ListBullet2"/>
      </w:pPr>
      <w:r w:rsidRPr="00F030A8">
        <w:t>self-identification</w:t>
      </w:r>
      <w:r w:rsidR="0065271F">
        <w:t xml:space="preserve"> of Aboriginal and/or Torres Strait Islander </w:t>
      </w:r>
      <w:proofErr w:type="gramStart"/>
      <w:r w:rsidR="0065271F">
        <w:t>status</w:t>
      </w:r>
      <w:r w:rsidRPr="00F030A8">
        <w:t>;</w:t>
      </w:r>
      <w:proofErr w:type="gramEnd"/>
      <w:r w:rsidRPr="00F030A8">
        <w:t xml:space="preserve"> </w:t>
      </w:r>
    </w:p>
    <w:p w14:paraId="152E54D2" w14:textId="77777777" w:rsidR="004B744B" w:rsidRPr="00F030A8" w:rsidRDefault="004B744B" w:rsidP="008267C7">
      <w:pPr>
        <w:pStyle w:val="ListBullet2"/>
      </w:pPr>
      <w:r w:rsidRPr="00F030A8">
        <w:t xml:space="preserve">uptake of Aboriginal and Torres Strait Islander specific MBS items including </w:t>
      </w:r>
      <w:r>
        <w:t xml:space="preserve">item 715 - </w:t>
      </w:r>
      <w:r w:rsidRPr="00F030A8">
        <w:t xml:space="preserve">Health Assessments for Aboriginal and Torres Strait Islander </w:t>
      </w:r>
      <w:r>
        <w:t>P</w:t>
      </w:r>
      <w:r w:rsidRPr="00F030A8">
        <w:t xml:space="preserve">eople, care planning and follow up </w:t>
      </w:r>
      <w:proofErr w:type="gramStart"/>
      <w:r w:rsidRPr="00F030A8">
        <w:t>items;</w:t>
      </w:r>
      <w:proofErr w:type="gramEnd"/>
      <w:r w:rsidRPr="00F030A8">
        <w:t xml:space="preserve"> </w:t>
      </w:r>
    </w:p>
    <w:p w14:paraId="2D78B1CA" w14:textId="76709249" w:rsidR="004B744B" w:rsidRDefault="004B744B" w:rsidP="008267C7">
      <w:pPr>
        <w:pStyle w:val="ListBullet"/>
      </w:pPr>
      <w:r w:rsidRPr="00100CA1">
        <w:t>increasing awareness of and maximising links between services</w:t>
      </w:r>
      <w:r w:rsidRPr="00F030A8">
        <w:t xml:space="preserve"> for Aboriginal and Torres Strait Islander people, including those provided by Commonwealth and </w:t>
      </w:r>
      <w:r>
        <w:t>s</w:t>
      </w:r>
      <w:r w:rsidRPr="00F030A8">
        <w:t>tate/</w:t>
      </w:r>
      <w:r>
        <w:t>t</w:t>
      </w:r>
      <w:r w:rsidRPr="00F030A8">
        <w:t>erritory governments</w:t>
      </w:r>
      <w:r>
        <w:t>, AMS,</w:t>
      </w:r>
      <w:r w:rsidR="000B72C1">
        <w:t xml:space="preserve"> ACCHS</w:t>
      </w:r>
      <w:r w:rsidRPr="00F030A8">
        <w:t xml:space="preserve"> and other </w:t>
      </w:r>
      <w:proofErr w:type="gramStart"/>
      <w:r w:rsidRPr="00F030A8">
        <w:t>organisations;</w:t>
      </w:r>
      <w:proofErr w:type="gramEnd"/>
    </w:p>
    <w:p w14:paraId="0A496063" w14:textId="2C07047E" w:rsidR="004B744B" w:rsidRPr="00F030A8" w:rsidRDefault="004B744B" w:rsidP="008267C7">
      <w:pPr>
        <w:pStyle w:val="ListBullet"/>
      </w:pPr>
      <w:r>
        <w:t>facilitate working relationships and communication exchange between mainstream organisations, AMS</w:t>
      </w:r>
      <w:r w:rsidR="000B72C1">
        <w:t>, ACCHS</w:t>
      </w:r>
      <w:r>
        <w:t xml:space="preserve"> and their peak </w:t>
      </w:r>
      <w:proofErr w:type="gramStart"/>
      <w:r>
        <w:t>bodies;</w:t>
      </w:r>
      <w:proofErr w:type="gramEnd"/>
    </w:p>
    <w:p w14:paraId="3C036CD0" w14:textId="77777777" w:rsidR="004B744B" w:rsidRPr="00F030A8" w:rsidRDefault="004B744B" w:rsidP="008267C7">
      <w:pPr>
        <w:pStyle w:val="ListBullet"/>
      </w:pPr>
      <w:r w:rsidRPr="00F030A8">
        <w:t>developing and implementing strategies to improve access to mainstream primary care for Aboriginal and Torres Strait Islander people, including through outreach programs such as the Medical Outreach – Indigenous Chronic Disease Program (MOICDP), the Rural Health Outreach Fund (RHOF), and the Visiting Optometrists Scheme (VOS</w:t>
      </w:r>
      <w:proofErr w:type="gramStart"/>
      <w:r w:rsidRPr="00F030A8">
        <w:t>);</w:t>
      </w:r>
      <w:proofErr w:type="gramEnd"/>
    </w:p>
    <w:p w14:paraId="6A723FE7" w14:textId="0A41CD12" w:rsidR="004B744B" w:rsidRPr="00F030A8" w:rsidRDefault="004B744B" w:rsidP="008267C7">
      <w:pPr>
        <w:pStyle w:val="ListBullet"/>
      </w:pPr>
      <w:r w:rsidRPr="00F030A8">
        <w:t xml:space="preserve">increasing awareness and understanding of the </w:t>
      </w:r>
      <w:r w:rsidR="003F087F">
        <w:t>Priority Reforms</w:t>
      </w:r>
      <w:r w:rsidR="00442ED2">
        <w:t xml:space="preserve"> and </w:t>
      </w:r>
      <w:r w:rsidR="00A578AD">
        <w:t>targets/outcomes of the National Agreement</w:t>
      </w:r>
      <w:r w:rsidR="0080721A">
        <w:t xml:space="preserve"> and the Health Plan</w:t>
      </w:r>
      <w:r w:rsidRPr="00F030A8">
        <w:t>; and</w:t>
      </w:r>
    </w:p>
    <w:p w14:paraId="3C0A60AD" w14:textId="615F8D80" w:rsidR="004B744B" w:rsidRDefault="004B744B" w:rsidP="008267C7">
      <w:pPr>
        <w:pStyle w:val="ListBullet"/>
      </w:pPr>
      <w:r w:rsidRPr="00F030A8">
        <w:lastRenderedPageBreak/>
        <w:t xml:space="preserve">collaborating with local </w:t>
      </w:r>
      <w:r w:rsidR="00C21477">
        <w:t>Aboriginal and Torres Strait Islander</w:t>
      </w:r>
      <w:r w:rsidR="003D1162" w:rsidRPr="00F030A8">
        <w:t xml:space="preserve"> </w:t>
      </w:r>
      <w:r w:rsidRPr="00F030A8">
        <w:t xml:space="preserve">health </w:t>
      </w:r>
      <w:r w:rsidRPr="00313E95">
        <w:t>services and mainstream health services in</w:t>
      </w:r>
      <w:r w:rsidRPr="00F030A8">
        <w:t xml:space="preserve"> a partnership approach for the delivery of primary care services.</w:t>
      </w:r>
    </w:p>
    <w:p w14:paraId="752BABEE" w14:textId="40F0271B" w:rsidR="004B744B" w:rsidRPr="00F030A8" w:rsidRDefault="00C07C7D" w:rsidP="008267C7">
      <w:r w:rsidRPr="00C07C7D">
        <w:t>ATSIHPO</w:t>
      </w:r>
      <w:r w:rsidR="004B744B">
        <w:t xml:space="preserve">s </w:t>
      </w:r>
      <w:r w:rsidR="009E6E9B">
        <w:t xml:space="preserve">may </w:t>
      </w:r>
      <w:r w:rsidR="004B744B">
        <w:t>provide high level guidance and strategic direction for the ITC workforce at a regional level</w:t>
      </w:r>
      <w:r w:rsidR="009E6E9B">
        <w:t>, but this will depend on specific program and team structures and position descriptions</w:t>
      </w:r>
      <w:r w:rsidR="004B744B">
        <w:t>. Depending on local circumstances and preferences of the clinical workforce, it may be appropriate for a senior Care Coordinator to provide clinical leadership for a smaller team of ITC workers within PHN region</w:t>
      </w:r>
      <w:r w:rsidR="00E1328B">
        <w:t>s</w:t>
      </w:r>
      <w:r w:rsidR="004B744B">
        <w:t>.</w:t>
      </w:r>
    </w:p>
    <w:p w14:paraId="276FB68F" w14:textId="17362D53" w:rsidR="004B744B" w:rsidRPr="00555483" w:rsidRDefault="004B744B" w:rsidP="00555483">
      <w:pPr>
        <w:pStyle w:val="Heading2"/>
      </w:pPr>
      <w:bookmarkStart w:id="48" w:name="_Toc169185761"/>
      <w:bookmarkStart w:id="49" w:name="_Toc201167234"/>
      <w:bookmarkStart w:id="50" w:name="_Toc5097096"/>
      <w:r w:rsidRPr="00555483">
        <w:t>Activities</w:t>
      </w:r>
      <w:bookmarkEnd w:id="48"/>
      <w:bookmarkEnd w:id="49"/>
      <w:r w:rsidRPr="00555483">
        <w:t xml:space="preserve"> </w:t>
      </w:r>
      <w:bookmarkEnd w:id="50"/>
    </w:p>
    <w:p w14:paraId="03BB5169" w14:textId="3FA40E01" w:rsidR="004B744B" w:rsidRPr="00F030A8" w:rsidRDefault="004B744B" w:rsidP="008267C7">
      <w:r>
        <w:t>T</w:t>
      </w:r>
      <w:r w:rsidRPr="00F030A8">
        <w:t xml:space="preserve">he work of </w:t>
      </w:r>
      <w:r w:rsidR="00C07C7D" w:rsidRPr="00C07C7D">
        <w:t>ATSIHPO</w:t>
      </w:r>
      <w:r>
        <w:t>s</w:t>
      </w:r>
      <w:r w:rsidRPr="00F030A8">
        <w:t xml:space="preserve"> should be tailored to meet the needs of the communities within the PHN</w:t>
      </w:r>
      <w:r>
        <w:t xml:space="preserve"> region</w:t>
      </w:r>
      <w:r w:rsidRPr="00F030A8">
        <w:t>.</w:t>
      </w:r>
      <w:r w:rsidR="005D1367">
        <w:t xml:space="preserve"> </w:t>
      </w:r>
      <w:r w:rsidRPr="00F030A8">
        <w:t>This work could involve</w:t>
      </w:r>
      <w:r>
        <w:t>, but is not limited to</w:t>
      </w:r>
      <w:r w:rsidRPr="00F030A8">
        <w:t>:</w:t>
      </w:r>
    </w:p>
    <w:p w14:paraId="442EEB3B" w14:textId="47E9AB73" w:rsidR="004B744B" w:rsidRPr="00F030A8" w:rsidRDefault="004B744B" w:rsidP="008267C7">
      <w:pPr>
        <w:pStyle w:val="ListBullet"/>
      </w:pPr>
      <w:r w:rsidRPr="00F030A8">
        <w:t xml:space="preserve">promoting the objectives and outcomes of </w:t>
      </w:r>
      <w:r>
        <w:t xml:space="preserve">ITC </w:t>
      </w:r>
      <w:r w:rsidRPr="00F030A8">
        <w:t xml:space="preserve">to </w:t>
      </w:r>
      <w:r>
        <w:t xml:space="preserve">the broader </w:t>
      </w:r>
      <w:r w:rsidRPr="00F030A8">
        <w:t>community, for example through</w:t>
      </w:r>
      <w:r>
        <w:t xml:space="preserve"> community days,</w:t>
      </w:r>
      <w:r w:rsidRPr="00F030A8">
        <w:t xml:space="preserve"> websites, conference presentations, at meetings and in reference groups for other </w:t>
      </w:r>
      <w:proofErr w:type="gramStart"/>
      <w:r w:rsidRPr="00F030A8">
        <w:t>projects;</w:t>
      </w:r>
      <w:proofErr w:type="gramEnd"/>
    </w:p>
    <w:p w14:paraId="57031837" w14:textId="77777777" w:rsidR="004B744B" w:rsidRPr="00F030A8" w:rsidRDefault="004B744B" w:rsidP="008267C7">
      <w:pPr>
        <w:pStyle w:val="ListBullet"/>
      </w:pPr>
      <w:r w:rsidRPr="00F030A8">
        <w:t xml:space="preserve">identifying and addressing barriers </w:t>
      </w:r>
      <w:r>
        <w:t>faced by</w:t>
      </w:r>
      <w:r w:rsidRPr="00F030A8">
        <w:t xml:space="preserve"> Aboriginal and Torres Strait Islander people </w:t>
      </w:r>
      <w:r>
        <w:t xml:space="preserve">when </w:t>
      </w:r>
      <w:r w:rsidRPr="00F030A8">
        <w:t xml:space="preserve">accessing mainstream primary care services, including but not limited to primary care, pharmacy, allied health and </w:t>
      </w:r>
      <w:proofErr w:type="gramStart"/>
      <w:r w:rsidRPr="00F030A8">
        <w:t>specialists;</w:t>
      </w:r>
      <w:proofErr w:type="gramEnd"/>
    </w:p>
    <w:p w14:paraId="2CC4D165" w14:textId="5E5D7417" w:rsidR="004B744B" w:rsidRPr="00F030A8" w:rsidRDefault="001665B3" w:rsidP="008267C7">
      <w:pPr>
        <w:pStyle w:val="ListBullet"/>
      </w:pPr>
      <w:r>
        <w:t xml:space="preserve">empowering </w:t>
      </w:r>
      <w:r w:rsidRPr="00F030A8">
        <w:t xml:space="preserve">Aboriginal and Torres Strait Islander </w:t>
      </w:r>
      <w:r>
        <w:t xml:space="preserve">clients with the autonomy to select their preferred healthcare provider by </w:t>
      </w:r>
      <w:r w:rsidR="00636B7F">
        <w:t>facilitating connections to</w:t>
      </w:r>
      <w:r w:rsidR="00636B7F" w:rsidRPr="00F030A8">
        <w:t xml:space="preserve"> </w:t>
      </w:r>
      <w:r w:rsidR="004B744B" w:rsidRPr="00F030A8">
        <w:t xml:space="preserve">mainstream primary care </w:t>
      </w:r>
      <w:r w:rsidR="00E41BB4">
        <w:t xml:space="preserve">where </w:t>
      </w:r>
      <w:proofErr w:type="gramStart"/>
      <w:r w:rsidR="00E41BB4">
        <w:t>appropriat</w:t>
      </w:r>
      <w:r w:rsidR="004B744B">
        <w:t>e;</w:t>
      </w:r>
      <w:proofErr w:type="gramEnd"/>
      <w:r w:rsidR="004B744B" w:rsidRPr="00F030A8">
        <w:t xml:space="preserve"> </w:t>
      </w:r>
    </w:p>
    <w:p w14:paraId="15A1DA3F" w14:textId="77777777" w:rsidR="004B744B" w:rsidRPr="00F030A8" w:rsidRDefault="004B744B" w:rsidP="008267C7">
      <w:pPr>
        <w:pStyle w:val="ListBullet"/>
      </w:pPr>
      <w:r w:rsidRPr="00F030A8">
        <w:t xml:space="preserve">assisting mainstream primary care providers to manage specific Aboriginal and Torres Strait Islander health needs and </w:t>
      </w:r>
      <w:proofErr w:type="gramStart"/>
      <w:r w:rsidRPr="00F030A8">
        <w:t>issues;</w:t>
      </w:r>
      <w:proofErr w:type="gramEnd"/>
    </w:p>
    <w:p w14:paraId="7D3E7275" w14:textId="308E59AF" w:rsidR="004B744B" w:rsidRPr="00F030A8" w:rsidRDefault="004B744B" w:rsidP="008267C7">
      <w:pPr>
        <w:pStyle w:val="ListBullet"/>
      </w:pPr>
      <w:r w:rsidRPr="00F030A8">
        <w:t xml:space="preserve">providing support to mainstream primary care providers to encourage Aboriginal and Torres Strait Islander people to </w:t>
      </w:r>
      <w:r>
        <w:t>self-</w:t>
      </w:r>
      <w:r w:rsidRPr="00F030A8">
        <w:t xml:space="preserve">identify their </w:t>
      </w:r>
      <w:r w:rsidR="001665B3" w:rsidRPr="001665B3">
        <w:t>Aboriginal and Torres Strait Islander </w:t>
      </w:r>
      <w:r w:rsidRPr="00F030A8">
        <w:t xml:space="preserve">status when accessing mainstream primary care </w:t>
      </w:r>
      <w:proofErr w:type="gramStart"/>
      <w:r w:rsidRPr="00F030A8">
        <w:t>services;</w:t>
      </w:r>
      <w:proofErr w:type="gramEnd"/>
    </w:p>
    <w:p w14:paraId="5FB9EEF5" w14:textId="37D1214D" w:rsidR="004B744B" w:rsidRPr="00F030A8" w:rsidRDefault="004B744B" w:rsidP="008267C7">
      <w:pPr>
        <w:pStyle w:val="ListBullet"/>
      </w:pPr>
      <w:r w:rsidRPr="00F030A8">
        <w:t xml:space="preserve">delivering or coordinating cultural </w:t>
      </w:r>
      <w:r w:rsidR="001C4632">
        <w:t>competency</w:t>
      </w:r>
      <w:r w:rsidR="001C4632" w:rsidRPr="00F030A8">
        <w:t xml:space="preserve"> </w:t>
      </w:r>
      <w:r w:rsidRPr="00F030A8">
        <w:t xml:space="preserve">training and quality improvement </w:t>
      </w:r>
      <w:proofErr w:type="gramStart"/>
      <w:r w:rsidRPr="00F030A8">
        <w:t>activities;</w:t>
      </w:r>
      <w:proofErr w:type="gramEnd"/>
      <w:r w:rsidRPr="00F030A8">
        <w:t xml:space="preserve"> </w:t>
      </w:r>
    </w:p>
    <w:p w14:paraId="7B1121F7" w14:textId="538D3AFC" w:rsidR="004B744B" w:rsidRPr="00F030A8" w:rsidRDefault="004B744B" w:rsidP="008267C7">
      <w:pPr>
        <w:pStyle w:val="ListBullet"/>
      </w:pPr>
      <w:r w:rsidRPr="00F030A8">
        <w:t xml:space="preserve">coordinating </w:t>
      </w:r>
      <w:r>
        <w:t xml:space="preserve">relevant </w:t>
      </w:r>
      <w:r w:rsidRPr="00F030A8">
        <w:t>education</w:t>
      </w:r>
      <w:r w:rsidR="00FB3401">
        <w:t xml:space="preserve"> or health promotion</w:t>
      </w:r>
      <w:r w:rsidRPr="00F030A8">
        <w:t xml:space="preserve"> </w:t>
      </w:r>
      <w:proofErr w:type="gramStart"/>
      <w:r w:rsidRPr="00F030A8">
        <w:t>events;</w:t>
      </w:r>
      <w:proofErr w:type="gramEnd"/>
      <w:r w:rsidRPr="00F030A8">
        <w:t xml:space="preserve"> </w:t>
      </w:r>
    </w:p>
    <w:p w14:paraId="5B50EF53" w14:textId="77777777" w:rsidR="004B744B" w:rsidRPr="00F030A8" w:rsidRDefault="004B744B" w:rsidP="008267C7">
      <w:pPr>
        <w:pStyle w:val="ListBullet"/>
      </w:pPr>
      <w:r w:rsidRPr="00F030A8">
        <w:t xml:space="preserve">disseminating information about the availability of programs (Commonwealth, </w:t>
      </w:r>
      <w:r>
        <w:t>s</w:t>
      </w:r>
      <w:r w:rsidRPr="00F030A8">
        <w:t>tate and local) that provide services for Aboriginal and Torres Strait Islander people (e.g. MOICDP, VOS, and RHOF</w:t>
      </w:r>
      <w:proofErr w:type="gramStart"/>
      <w:r w:rsidRPr="00F030A8">
        <w:t>);</w:t>
      </w:r>
      <w:proofErr w:type="gramEnd"/>
    </w:p>
    <w:p w14:paraId="4AFA20E3" w14:textId="01758F2F" w:rsidR="004B744B" w:rsidRPr="00F030A8" w:rsidRDefault="004B744B" w:rsidP="008267C7">
      <w:pPr>
        <w:pStyle w:val="ListBullet"/>
      </w:pPr>
      <w:r w:rsidRPr="00F030A8">
        <w:t xml:space="preserve">developing and </w:t>
      </w:r>
      <w:r w:rsidR="00FB3401" w:rsidRPr="00F030A8">
        <w:t>disseminating resources</w:t>
      </w:r>
      <w:r w:rsidRPr="00F030A8">
        <w:t xml:space="preserve"> for Aboriginal and Torres Strait Islander people about accessing services and managing chronic </w:t>
      </w:r>
      <w:proofErr w:type="gramStart"/>
      <w:r w:rsidRPr="00F030A8">
        <w:t>disease;</w:t>
      </w:r>
      <w:proofErr w:type="gramEnd"/>
      <w:r w:rsidRPr="00F030A8">
        <w:t xml:space="preserve"> </w:t>
      </w:r>
    </w:p>
    <w:p w14:paraId="78CC8738" w14:textId="77777777" w:rsidR="004B744B" w:rsidRPr="00F030A8" w:rsidRDefault="004B744B" w:rsidP="008267C7">
      <w:pPr>
        <w:pStyle w:val="ListBullet"/>
      </w:pPr>
      <w:r w:rsidRPr="00F030A8">
        <w:t xml:space="preserve">developing and mapping referral pathways that </w:t>
      </w:r>
      <w:r>
        <w:t>incorporate</w:t>
      </w:r>
      <w:r w:rsidRPr="00F030A8">
        <w:t xml:space="preserve"> available services at the local, regional and jurisdictional level; and</w:t>
      </w:r>
    </w:p>
    <w:p w14:paraId="42705A5B" w14:textId="62F40F95" w:rsidR="00520C67" w:rsidRPr="00520C67" w:rsidRDefault="004B744B" w:rsidP="008267C7">
      <w:pPr>
        <w:pStyle w:val="ListBullet"/>
      </w:pPr>
      <w:r w:rsidRPr="00F030A8">
        <w:t>assisting with</w:t>
      </w:r>
      <w:r>
        <w:t xml:space="preserve"> program and service</w:t>
      </w:r>
      <w:r w:rsidRPr="00F030A8">
        <w:t xml:space="preserve"> coordination.</w:t>
      </w:r>
    </w:p>
    <w:p w14:paraId="6B472BC0" w14:textId="7E7095B8" w:rsidR="00520C67" w:rsidRPr="00555483" w:rsidRDefault="00520C67" w:rsidP="00555483">
      <w:pPr>
        <w:pStyle w:val="Heading2"/>
      </w:pPr>
      <w:bookmarkStart w:id="51" w:name="_Toc169185762"/>
      <w:bookmarkStart w:id="52" w:name="_Toc201167235"/>
      <w:r w:rsidRPr="00555483">
        <w:t>Qualifications and skill requirements</w:t>
      </w:r>
      <w:bookmarkEnd w:id="51"/>
      <w:bookmarkEnd w:id="52"/>
    </w:p>
    <w:p w14:paraId="583D32B2" w14:textId="4AF17044" w:rsidR="003F7D44" w:rsidRPr="00F030A8" w:rsidRDefault="003F7D44" w:rsidP="008267C7">
      <w:r>
        <w:t>Qualifications, skills and experience are not specified for those undertaking the ATSIHPO role. I</w:t>
      </w:r>
      <w:r w:rsidRPr="00F030A8">
        <w:t xml:space="preserve">t is expected that </w:t>
      </w:r>
      <w:r w:rsidRPr="00C07C7D">
        <w:t>ATSIHPO</w:t>
      </w:r>
      <w:r>
        <w:t>s</w:t>
      </w:r>
      <w:r w:rsidRPr="00F030A8">
        <w:t xml:space="preserve"> will have the qualifications and/or skills and experience in </w:t>
      </w:r>
      <w:r w:rsidRPr="00F030A8">
        <w:lastRenderedPageBreak/>
        <w:t xml:space="preserve">working with Aboriginal and Torres Strait Islander people required for the performance of the </w:t>
      </w:r>
      <w:r>
        <w:t>roles and responsibilities</w:t>
      </w:r>
      <w:r w:rsidRPr="00F030A8">
        <w:t xml:space="preserve"> outlined in </w:t>
      </w:r>
      <w:r>
        <w:t>Section</w:t>
      </w:r>
      <w:r w:rsidR="00876927">
        <w:t xml:space="preserve"> 5</w:t>
      </w:r>
      <w:r w:rsidR="00C00DBC">
        <w:t>.1</w:t>
      </w:r>
      <w:r w:rsidRPr="00F030A8">
        <w:t xml:space="preserve">. </w:t>
      </w:r>
    </w:p>
    <w:p w14:paraId="034B739B" w14:textId="1830A0BC" w:rsidR="00520C67" w:rsidRPr="00F030A8" w:rsidRDefault="003F7D44" w:rsidP="008267C7">
      <w:r w:rsidRPr="00F030A8">
        <w:t xml:space="preserve">Aboriginal and Torres Strait Islander people should be engaged to work as </w:t>
      </w:r>
      <w:r>
        <w:t>ATSIHPOs</w:t>
      </w:r>
      <w:r w:rsidRPr="00F030A8">
        <w:t xml:space="preserve"> where possible.</w:t>
      </w:r>
    </w:p>
    <w:p w14:paraId="2C90872E" w14:textId="74A98157" w:rsidR="004B744B" w:rsidRPr="00A07045" w:rsidRDefault="004B744B" w:rsidP="00DE5B76">
      <w:pPr>
        <w:pStyle w:val="Heading1"/>
      </w:pPr>
      <w:bookmarkStart w:id="53" w:name="_Toc5097097"/>
      <w:bookmarkStart w:id="54" w:name="_Toc169185763"/>
      <w:bookmarkStart w:id="55" w:name="_Toc201167236"/>
      <w:r w:rsidRPr="00A07045">
        <w:t>Aboriginal and Torres Strait Islander Outreach Workers</w:t>
      </w:r>
      <w:bookmarkEnd w:id="53"/>
      <w:bookmarkEnd w:id="54"/>
      <w:bookmarkEnd w:id="55"/>
    </w:p>
    <w:p w14:paraId="3F9ECB20" w14:textId="08EA2C9F" w:rsidR="004B744B" w:rsidRPr="00555483" w:rsidRDefault="004B744B" w:rsidP="00555483">
      <w:pPr>
        <w:pStyle w:val="Heading2"/>
      </w:pPr>
      <w:bookmarkStart w:id="56" w:name="_Toc5097098"/>
      <w:bookmarkStart w:id="57" w:name="_Toc169185764"/>
      <w:bookmarkStart w:id="58" w:name="_Toc201167237"/>
      <w:r w:rsidRPr="00555483">
        <w:t>Roles and responsibilities</w:t>
      </w:r>
      <w:bookmarkEnd w:id="56"/>
      <w:bookmarkEnd w:id="57"/>
      <w:bookmarkEnd w:id="58"/>
    </w:p>
    <w:p w14:paraId="49E3552E" w14:textId="51106154" w:rsidR="004B744B" w:rsidRPr="00F030A8" w:rsidRDefault="004B744B" w:rsidP="008267C7">
      <w:r>
        <w:t>Outreach Workers</w:t>
      </w:r>
      <w:r w:rsidRPr="00F030A8">
        <w:t xml:space="preserve"> will work with </w:t>
      </w:r>
      <w:r w:rsidR="00C07C7D" w:rsidRPr="00C07C7D">
        <w:t>ATSIHPO</w:t>
      </w:r>
      <w:r>
        <w:t>s</w:t>
      </w:r>
      <w:r w:rsidR="00E77157">
        <w:t xml:space="preserve"> and Care Coordinators</w:t>
      </w:r>
      <w:r w:rsidRPr="00F030A8">
        <w:t xml:space="preserve"> to help local Aboriginal and Torres Strait Islander people make better use of available health care services. </w:t>
      </w:r>
      <w:r w:rsidR="008E3370">
        <w:t xml:space="preserve">With the support of clinical teams, </w:t>
      </w:r>
      <w:r>
        <w:t xml:space="preserve">Outreach Workers </w:t>
      </w:r>
      <w:r w:rsidR="00262A3C">
        <w:t>play a pivotal role</w:t>
      </w:r>
      <w:r w:rsidR="004469F0">
        <w:t xml:space="preserve"> in</w:t>
      </w:r>
      <w:r w:rsidR="00262A3C">
        <w:t xml:space="preserve"> the </w:t>
      </w:r>
      <w:r w:rsidRPr="00F030A8">
        <w:t xml:space="preserve">following non-clinical </w:t>
      </w:r>
      <w:r w:rsidR="001913A5">
        <w:t>responsibilities</w:t>
      </w:r>
      <w:r w:rsidRPr="00F030A8">
        <w:t xml:space="preserve">: </w:t>
      </w:r>
    </w:p>
    <w:p w14:paraId="31479549" w14:textId="478CB719" w:rsidR="004B744B" w:rsidRPr="00DE5B76" w:rsidRDefault="004B744B" w:rsidP="008267C7">
      <w:pPr>
        <w:pStyle w:val="ListBullet"/>
      </w:pPr>
      <w:r w:rsidRPr="00DE5B76">
        <w:rPr>
          <w:rStyle w:val="Strong"/>
        </w:rPr>
        <w:t>community liaison</w:t>
      </w:r>
      <w:r w:rsidRPr="00DE5B76">
        <w:t>: establish links with local Aboriginal and Torres Strait Islander communities to promote the importance of improving health outcomes and encourage and support the increased use of health services.</w:t>
      </w:r>
      <w:r w:rsidR="005D1367" w:rsidRPr="00DE5B76">
        <w:t xml:space="preserve"> </w:t>
      </w:r>
      <w:r w:rsidRPr="00DE5B76">
        <w:t>This includes MBS Health Assessments for Aboriginal and Torres Strait Islander people, and MBS care planning and follow-up items.</w:t>
      </w:r>
      <w:r w:rsidR="005D1367" w:rsidRPr="00DE5B76">
        <w:t xml:space="preserve"> </w:t>
      </w:r>
      <w:r w:rsidRPr="00DE5B76">
        <w:t xml:space="preserve">They should also identify Aboriginal and Torres Strait Islander people who would benefit from improved access to these health </w:t>
      </w:r>
      <w:proofErr w:type="gramStart"/>
      <w:r w:rsidRPr="00DE5B76">
        <w:t>services;</w:t>
      </w:r>
      <w:proofErr w:type="gramEnd"/>
    </w:p>
    <w:p w14:paraId="2236E79D" w14:textId="6A5CC178" w:rsidR="004B744B" w:rsidRPr="00DE5B76" w:rsidRDefault="004B744B" w:rsidP="008267C7">
      <w:pPr>
        <w:pStyle w:val="ListBullet"/>
      </w:pPr>
      <w:r w:rsidRPr="00DE5B76">
        <w:rPr>
          <w:rStyle w:val="Strong"/>
        </w:rPr>
        <w:t xml:space="preserve">administration and </w:t>
      </w:r>
      <w:proofErr w:type="gramStart"/>
      <w:r w:rsidRPr="00DE5B76">
        <w:rPr>
          <w:rStyle w:val="Strong"/>
        </w:rPr>
        <w:t>support</w:t>
      </w:r>
      <w:r w:rsidRPr="00DE5B76">
        <w:t>:</w:t>
      </w:r>
      <w:proofErr w:type="gramEnd"/>
      <w:r w:rsidRPr="00DE5B76">
        <w:t xml:space="preserve"> </w:t>
      </w:r>
      <w:r w:rsidR="004C4620" w:rsidRPr="00DE5B76">
        <w:t xml:space="preserve">communicates barriers </w:t>
      </w:r>
      <w:r w:rsidR="00D63928" w:rsidRPr="00DE5B76">
        <w:t>faced by ITC clients</w:t>
      </w:r>
      <w:r w:rsidR="00B93480" w:rsidRPr="00DE5B76">
        <w:t xml:space="preserve"> to the</w:t>
      </w:r>
      <w:r w:rsidRPr="00DE5B76">
        <w:t xml:space="preserve"> </w:t>
      </w:r>
      <w:r w:rsidR="00C07C7D" w:rsidRPr="00DE5B76">
        <w:t>ATSIHPO</w:t>
      </w:r>
      <w:r w:rsidR="00B93480" w:rsidRPr="00DE5B76">
        <w:t xml:space="preserve"> or Care Coordinator</w:t>
      </w:r>
      <w:r w:rsidRPr="00DE5B76">
        <w:t xml:space="preserve"> to</w:t>
      </w:r>
      <w:r w:rsidR="00B93480" w:rsidRPr="00DE5B76">
        <w:t xml:space="preserve"> identify areas for program </w:t>
      </w:r>
      <w:proofErr w:type="gramStart"/>
      <w:r w:rsidR="00B93480" w:rsidRPr="00DE5B76">
        <w:t>improvement</w:t>
      </w:r>
      <w:r w:rsidRPr="00DE5B76">
        <w:t>;</w:t>
      </w:r>
      <w:proofErr w:type="gramEnd"/>
      <w:r w:rsidRPr="00DE5B76">
        <w:t xml:space="preserve"> </w:t>
      </w:r>
    </w:p>
    <w:p w14:paraId="2F604090" w14:textId="4CAD0649" w:rsidR="004B744B" w:rsidRPr="00DE5B76" w:rsidRDefault="004B744B" w:rsidP="008267C7">
      <w:pPr>
        <w:pStyle w:val="ListBullet"/>
      </w:pPr>
      <w:r w:rsidRPr="00DE5B76">
        <w:rPr>
          <w:rStyle w:val="Strong"/>
        </w:rPr>
        <w:t>provide practical assistance</w:t>
      </w:r>
      <w:r w:rsidRPr="00DE5B76">
        <w:t xml:space="preserve">: </w:t>
      </w:r>
      <w:proofErr w:type="gramStart"/>
      <w:r w:rsidR="00791A20" w:rsidRPr="00DE5B76">
        <w:t>provide assistance</w:t>
      </w:r>
      <w:r w:rsidRPr="00DE5B76">
        <w:t xml:space="preserve"> to</w:t>
      </w:r>
      <w:proofErr w:type="gramEnd"/>
      <w:r w:rsidRPr="00DE5B76">
        <w:t xml:space="preserve"> identified Aboriginal and Torres Strait Islander people to access services and attend appointments (including GP care planning, follow-up care, specialist services and community pharmacies); and</w:t>
      </w:r>
    </w:p>
    <w:p w14:paraId="1A999594" w14:textId="79EF5BBC" w:rsidR="004B744B" w:rsidRPr="00DE5B76" w:rsidRDefault="004B744B" w:rsidP="008267C7">
      <w:pPr>
        <w:pStyle w:val="ListBullet"/>
      </w:pPr>
      <w:r w:rsidRPr="00DE5B76">
        <w:rPr>
          <w:rStyle w:val="Strong"/>
        </w:rPr>
        <w:t>provide feedback regarding access problems</w:t>
      </w:r>
      <w:r w:rsidRPr="00DE5B76">
        <w:t xml:space="preserve">: provide feedback to the PHN regarding barriers to health services for Aboriginal and Torres Strait Islander people, and, in conjunction with the </w:t>
      </w:r>
      <w:r w:rsidR="00C07C7D" w:rsidRPr="00DE5B76">
        <w:t>ATSIHPO</w:t>
      </w:r>
      <w:r w:rsidRPr="00DE5B76">
        <w:t>, work to implement solutions.</w:t>
      </w:r>
    </w:p>
    <w:p w14:paraId="110C0A43" w14:textId="5CAF2099" w:rsidR="004B744B" w:rsidRPr="00555483" w:rsidRDefault="004B744B" w:rsidP="00555483">
      <w:pPr>
        <w:pStyle w:val="Heading2"/>
      </w:pPr>
      <w:bookmarkStart w:id="59" w:name="_Toc169185765"/>
      <w:bookmarkStart w:id="60" w:name="_Toc201167238"/>
      <w:bookmarkStart w:id="61" w:name="_Toc5097099"/>
      <w:r w:rsidRPr="00555483">
        <w:t>Activities</w:t>
      </w:r>
      <w:bookmarkEnd w:id="59"/>
      <w:bookmarkEnd w:id="60"/>
      <w:r w:rsidRPr="00555483">
        <w:t xml:space="preserve"> </w:t>
      </w:r>
      <w:bookmarkEnd w:id="61"/>
    </w:p>
    <w:p w14:paraId="15F2685C" w14:textId="238450ED" w:rsidR="004B744B" w:rsidRPr="00F030A8" w:rsidRDefault="004B744B" w:rsidP="008267C7">
      <w:r>
        <w:t>T</w:t>
      </w:r>
      <w:r w:rsidRPr="00F030A8">
        <w:t xml:space="preserve">he work of </w:t>
      </w:r>
      <w:r>
        <w:t>Outreach Workers</w:t>
      </w:r>
      <w:r w:rsidRPr="00F030A8">
        <w:t xml:space="preserve"> should be tailored to meet the needs of the communities within the PHN</w:t>
      </w:r>
      <w:r>
        <w:t xml:space="preserve"> region</w:t>
      </w:r>
      <w:r w:rsidRPr="00F030A8">
        <w:t>.</w:t>
      </w:r>
      <w:r w:rsidR="005D1367">
        <w:t xml:space="preserve"> </w:t>
      </w:r>
      <w:r w:rsidRPr="00F030A8">
        <w:t xml:space="preserve">This work could </w:t>
      </w:r>
      <w:r>
        <w:t>include, but is not limited to</w:t>
      </w:r>
      <w:r w:rsidRPr="00F030A8">
        <w:t>:</w:t>
      </w:r>
    </w:p>
    <w:p w14:paraId="0F9A57DC" w14:textId="77777777" w:rsidR="004B744B" w:rsidRPr="00F030A8" w:rsidRDefault="004B744B" w:rsidP="008267C7">
      <w:pPr>
        <w:pStyle w:val="ListBullet"/>
      </w:pPr>
      <w:r w:rsidRPr="00F030A8">
        <w:t xml:space="preserve">distributing information/resources to Aboriginal and Torres Strait Islander communities about services that are available to/for them, and encouraging them to use primary health care services in their </w:t>
      </w:r>
      <w:proofErr w:type="gramStart"/>
      <w:r w:rsidRPr="00F030A8">
        <w:t>region;</w:t>
      </w:r>
      <w:proofErr w:type="gramEnd"/>
    </w:p>
    <w:p w14:paraId="2F293C82" w14:textId="77777777" w:rsidR="004B744B" w:rsidRPr="00F030A8" w:rsidRDefault="004B744B" w:rsidP="008267C7">
      <w:pPr>
        <w:pStyle w:val="ListBullet"/>
      </w:pPr>
      <w:r w:rsidRPr="00F030A8">
        <w:t xml:space="preserve">encouraging and helping Aboriginal and Torres Strait Islander people to attend appointments with GPs, including for Aboriginal and Torres Strait Islander Health Assessments and care </w:t>
      </w:r>
      <w:proofErr w:type="gramStart"/>
      <w:r w:rsidRPr="00F030A8">
        <w:t>planning;</w:t>
      </w:r>
      <w:proofErr w:type="gramEnd"/>
    </w:p>
    <w:p w14:paraId="5C0319CC" w14:textId="77777777" w:rsidR="004B744B" w:rsidRPr="00F030A8" w:rsidRDefault="004B744B" w:rsidP="008267C7">
      <w:pPr>
        <w:pStyle w:val="ListBullet"/>
      </w:pPr>
      <w:r w:rsidRPr="00F030A8">
        <w:t xml:space="preserve">assisting Aboriginal and Torres Strait Islander people to travel to and from </w:t>
      </w:r>
      <w:proofErr w:type="gramStart"/>
      <w:r w:rsidRPr="00F030A8">
        <w:t>appointments;</w:t>
      </w:r>
      <w:proofErr w:type="gramEnd"/>
    </w:p>
    <w:p w14:paraId="7E018764" w14:textId="2994EFAE" w:rsidR="004B744B" w:rsidRPr="00F030A8" w:rsidRDefault="001C4632" w:rsidP="008267C7">
      <w:pPr>
        <w:pStyle w:val="ListBullet"/>
      </w:pPr>
      <w:r>
        <w:t>empowering</w:t>
      </w:r>
      <w:r w:rsidRPr="00F030A8">
        <w:t xml:space="preserve"> </w:t>
      </w:r>
      <w:r w:rsidR="004B744B" w:rsidRPr="00F030A8">
        <w:t>and assisting Aboriginal and Torres Strait Islander people to:</w:t>
      </w:r>
    </w:p>
    <w:p w14:paraId="417282B6" w14:textId="6EAD6865" w:rsidR="000B1796" w:rsidRPr="00DE5B76" w:rsidRDefault="000B1796" w:rsidP="008267C7">
      <w:pPr>
        <w:pStyle w:val="ListBullet3"/>
      </w:pPr>
      <w:r w:rsidRPr="00DE5B76">
        <w:t>navigate the</w:t>
      </w:r>
      <w:r w:rsidR="001746E1" w:rsidRPr="00DE5B76">
        <w:t xml:space="preserve"> </w:t>
      </w:r>
      <w:r w:rsidR="00F14701" w:rsidRPr="00DE5B76">
        <w:t>complex</w:t>
      </w:r>
      <w:r w:rsidRPr="00DE5B76">
        <w:t xml:space="preserve"> health</w:t>
      </w:r>
      <w:r w:rsidR="009F6FB6" w:rsidRPr="00DE5B76">
        <w:t>care</w:t>
      </w:r>
      <w:r w:rsidRPr="00DE5B76">
        <w:t xml:space="preserve"> </w:t>
      </w:r>
      <w:proofErr w:type="gramStart"/>
      <w:r w:rsidRPr="00DE5B76">
        <w:t>system</w:t>
      </w:r>
      <w:r w:rsidR="009F6FB6" w:rsidRPr="00DE5B76">
        <w:t>;</w:t>
      </w:r>
      <w:proofErr w:type="gramEnd"/>
      <w:r w:rsidRPr="00DE5B76">
        <w:t xml:space="preserve"> </w:t>
      </w:r>
    </w:p>
    <w:p w14:paraId="1BB3F0D4" w14:textId="21AB3DE7" w:rsidR="004B744B" w:rsidRPr="00DE5B76" w:rsidRDefault="004B744B" w:rsidP="008267C7">
      <w:pPr>
        <w:pStyle w:val="ListBullet3"/>
      </w:pPr>
      <w:r w:rsidRPr="00DE5B76">
        <w:lastRenderedPageBreak/>
        <w:t xml:space="preserve">attend appointments with referred specialist services and Care Coordinators, as </w:t>
      </w:r>
      <w:proofErr w:type="gramStart"/>
      <w:r w:rsidRPr="00DE5B76">
        <w:t>necessary;</w:t>
      </w:r>
      <w:proofErr w:type="gramEnd"/>
    </w:p>
    <w:p w14:paraId="612AC543" w14:textId="2575ED9B" w:rsidR="004B744B" w:rsidRPr="00DE5B76" w:rsidRDefault="004B744B" w:rsidP="008267C7">
      <w:pPr>
        <w:pStyle w:val="ListBullet3"/>
      </w:pPr>
      <w:r w:rsidRPr="00DE5B76">
        <w:t>attend appointments for relevant diagnostic tests and/or referrals to other primary health care providers (including allied health</w:t>
      </w:r>
      <w:proofErr w:type="gramStart"/>
      <w:r w:rsidRPr="00DE5B76">
        <w:t>);</w:t>
      </w:r>
      <w:proofErr w:type="gramEnd"/>
    </w:p>
    <w:p w14:paraId="3301EB83" w14:textId="301A6F30" w:rsidR="00C10A49" w:rsidRPr="00DE5B76" w:rsidRDefault="00C10A49" w:rsidP="008267C7">
      <w:pPr>
        <w:pStyle w:val="ListBullet3"/>
      </w:pPr>
      <w:r w:rsidRPr="00DE5B76">
        <w:t>understand complex therapeutic management plans, diagnostic results</w:t>
      </w:r>
      <w:r w:rsidR="00DC7F47" w:rsidRPr="00DE5B76">
        <w:t>, personalised action plans</w:t>
      </w:r>
      <w:r w:rsidRPr="00DE5B76">
        <w:t xml:space="preserve"> or </w:t>
      </w:r>
      <w:r w:rsidR="000B1796" w:rsidRPr="00DE5B76">
        <w:t>instructions from health professionals</w:t>
      </w:r>
      <w:r w:rsidR="00703385" w:rsidRPr="00DE5B76">
        <w:t xml:space="preserve"> to build on health </w:t>
      </w:r>
      <w:proofErr w:type="gramStart"/>
      <w:r w:rsidR="00703385" w:rsidRPr="00DE5B76">
        <w:t>literacy</w:t>
      </w:r>
      <w:r w:rsidRPr="00DE5B76">
        <w:t>;</w:t>
      </w:r>
      <w:proofErr w:type="gramEnd"/>
    </w:p>
    <w:p w14:paraId="40DE89C9" w14:textId="2E7D7472" w:rsidR="004B744B" w:rsidRPr="00DE5B76" w:rsidRDefault="004B744B" w:rsidP="008267C7">
      <w:pPr>
        <w:pStyle w:val="ListBullet3"/>
      </w:pPr>
      <w:r w:rsidRPr="00DE5B76">
        <w:t>collect prescribed medications from the pharmacist</w:t>
      </w:r>
      <w:r w:rsidR="00DC7F47" w:rsidRPr="00DE5B76">
        <w:t xml:space="preserve"> and/or organise for dose administration aids where </w:t>
      </w:r>
      <w:proofErr w:type="gramStart"/>
      <w:r w:rsidR="00DC7F47" w:rsidRPr="00DE5B76">
        <w:t>required</w:t>
      </w:r>
      <w:r w:rsidRPr="00DE5B76">
        <w:t>;</w:t>
      </w:r>
      <w:proofErr w:type="gramEnd"/>
    </w:p>
    <w:p w14:paraId="3458B3D2" w14:textId="77777777" w:rsidR="004B744B" w:rsidRPr="00DE5B76" w:rsidRDefault="004B744B" w:rsidP="008267C7">
      <w:pPr>
        <w:pStyle w:val="ListBullet3"/>
      </w:pPr>
      <w:r w:rsidRPr="00DE5B76">
        <w:t>return for follow up appointments with their GP and/or practice nurse; and</w:t>
      </w:r>
    </w:p>
    <w:p w14:paraId="49F743EC" w14:textId="26E9D3E4" w:rsidR="004B744B" w:rsidRPr="00F030A8" w:rsidRDefault="004B744B" w:rsidP="008267C7">
      <w:pPr>
        <w:pStyle w:val="ListBullet3"/>
      </w:pPr>
      <w:r w:rsidRPr="00DE5B76">
        <w:t>fill out forms and</w:t>
      </w:r>
      <w:r w:rsidRPr="00F030A8">
        <w:t xml:space="preserve"> understand </w:t>
      </w:r>
      <w:r w:rsidR="00464786">
        <w:t xml:space="preserve">administrative </w:t>
      </w:r>
      <w:r w:rsidRPr="00F030A8">
        <w:t>instructions from reception staff.</w:t>
      </w:r>
    </w:p>
    <w:p w14:paraId="2DF59D43" w14:textId="634F6297" w:rsidR="004B744B" w:rsidRPr="00F030A8" w:rsidRDefault="004B744B" w:rsidP="008267C7">
      <w:pPr>
        <w:pStyle w:val="ListBullet"/>
      </w:pPr>
      <w:r w:rsidRPr="00F030A8">
        <w:t xml:space="preserve">encouraging </w:t>
      </w:r>
      <w:r w:rsidR="001665B3">
        <w:t xml:space="preserve">and supporting </w:t>
      </w:r>
      <w:r w:rsidRPr="00F030A8">
        <w:t>Aboriginal and Torres Strait Islander people to:</w:t>
      </w:r>
    </w:p>
    <w:p w14:paraId="429ED5BA" w14:textId="258687F8" w:rsidR="004B744B" w:rsidRDefault="004B744B" w:rsidP="008267C7">
      <w:pPr>
        <w:pStyle w:val="ListBullet3"/>
      </w:pPr>
      <w:r w:rsidRPr="00F030A8">
        <w:t xml:space="preserve">identify their </w:t>
      </w:r>
      <w:r>
        <w:t>Aboriginal and/ or Torres Strait Islander</w:t>
      </w:r>
      <w:r w:rsidRPr="00F030A8">
        <w:t xml:space="preserve"> </w:t>
      </w:r>
      <w:proofErr w:type="gramStart"/>
      <w:r w:rsidRPr="00F030A8">
        <w:t>status;</w:t>
      </w:r>
      <w:proofErr w:type="gramEnd"/>
      <w:r w:rsidRPr="00F030A8">
        <w:t xml:space="preserve"> </w:t>
      </w:r>
    </w:p>
    <w:p w14:paraId="723E5524" w14:textId="15E64622" w:rsidR="001665B3" w:rsidRPr="00F030A8" w:rsidRDefault="001665B3" w:rsidP="008267C7">
      <w:pPr>
        <w:pStyle w:val="ListBullet3"/>
      </w:pPr>
      <w:r>
        <w:t>register for MyMedicare; and</w:t>
      </w:r>
    </w:p>
    <w:p w14:paraId="627A17DC" w14:textId="55FC8CD9" w:rsidR="004B744B" w:rsidRPr="00F030A8" w:rsidRDefault="004B744B" w:rsidP="008267C7">
      <w:pPr>
        <w:pStyle w:val="ListBullet3"/>
      </w:pPr>
      <w:r w:rsidRPr="00F030A8">
        <w:t>register for a Medicare card</w:t>
      </w:r>
      <w:r w:rsidR="001665B3">
        <w:t xml:space="preserve"> and/or concession and health care cards (if applicable</w:t>
      </w:r>
      <w:r w:rsidR="001337C1">
        <w:t>).</w:t>
      </w:r>
    </w:p>
    <w:p w14:paraId="00F24438" w14:textId="3DFCDBC8" w:rsidR="004B744B" w:rsidRPr="00F030A8" w:rsidRDefault="0048027C" w:rsidP="008267C7">
      <w:pPr>
        <w:pStyle w:val="ListBullet"/>
      </w:pPr>
      <w:r>
        <w:t>p</w:t>
      </w:r>
      <w:r w:rsidR="004B744B" w:rsidRPr="00F030A8">
        <w:t>roviding support for outreach/visiting health professionals</w:t>
      </w:r>
      <w:r w:rsidR="004B744B">
        <w:t xml:space="preserve"> where </w:t>
      </w:r>
      <w:proofErr w:type="gramStart"/>
      <w:r w:rsidR="004B744B">
        <w:t>required</w:t>
      </w:r>
      <w:r w:rsidR="004B744B" w:rsidRPr="00F030A8">
        <w:t>;</w:t>
      </w:r>
      <w:proofErr w:type="gramEnd"/>
    </w:p>
    <w:p w14:paraId="692FBE08" w14:textId="7D10C239" w:rsidR="004B744B" w:rsidRDefault="0048027C" w:rsidP="008267C7">
      <w:pPr>
        <w:pStyle w:val="ListBullet"/>
      </w:pPr>
      <w:r>
        <w:t>d</w:t>
      </w:r>
      <w:r w:rsidR="004B744B" w:rsidRPr="00F030A8">
        <w:t xml:space="preserve">istributing information to Aboriginal and Torres Strait Islander people about how to access available services (e.g. care coordination, </w:t>
      </w:r>
      <w:r w:rsidR="004B744B">
        <w:t>PBS</w:t>
      </w:r>
      <w:r w:rsidR="004B744B" w:rsidRPr="00F030A8">
        <w:t xml:space="preserve"> co-payment).</w:t>
      </w:r>
    </w:p>
    <w:p w14:paraId="01FCFE9B" w14:textId="4E16FC61" w:rsidR="00AD6882" w:rsidRPr="00555483" w:rsidRDefault="00AD6882" w:rsidP="00555483">
      <w:pPr>
        <w:pStyle w:val="Heading2"/>
      </w:pPr>
      <w:bookmarkStart w:id="62" w:name="_Toc169185766"/>
      <w:bookmarkStart w:id="63" w:name="_Toc201167239"/>
      <w:r w:rsidRPr="00555483">
        <w:t>Qualifications and skill requirements</w:t>
      </w:r>
      <w:bookmarkEnd w:id="62"/>
      <w:bookmarkEnd w:id="63"/>
      <w:r w:rsidRPr="00555483">
        <w:t xml:space="preserve"> </w:t>
      </w:r>
    </w:p>
    <w:p w14:paraId="11524387" w14:textId="77777777" w:rsidR="00AD6882" w:rsidRPr="00F030A8" w:rsidRDefault="00AD6882" w:rsidP="008267C7">
      <w:r>
        <w:t>Outreach Worker</w:t>
      </w:r>
      <w:r w:rsidRPr="00F030A8">
        <w:t xml:space="preserve">s </w:t>
      </w:r>
      <w:r>
        <w:t>must</w:t>
      </w:r>
      <w:r w:rsidRPr="00F030A8">
        <w:t xml:space="preserve"> have strong links with the community in which they work and possess effective communication skills. </w:t>
      </w:r>
    </w:p>
    <w:p w14:paraId="1BF54A77" w14:textId="726734D0" w:rsidR="00AD6882" w:rsidRPr="00F030A8" w:rsidRDefault="00AD6882" w:rsidP="008267C7">
      <w:r>
        <w:t>The role of an Outreach Worker</w:t>
      </w:r>
      <w:r w:rsidRPr="00F030A8">
        <w:t xml:space="preserve"> </w:t>
      </w:r>
      <w:r>
        <w:t>is to provide non-clinical services and does not require formal qualifications. The achievement of formal qualifications by an individual who is employed as an Outreach Worker will have no bearing on the job description.</w:t>
      </w:r>
      <w:r w:rsidRPr="00F030A8" w:rsidDel="00E0774A">
        <w:t xml:space="preserve"> </w:t>
      </w:r>
    </w:p>
    <w:p w14:paraId="2C368874" w14:textId="77777777" w:rsidR="00AD6882" w:rsidRPr="00F030A8" w:rsidRDefault="00AD6882" w:rsidP="008267C7">
      <w:r>
        <w:t>There is</w:t>
      </w:r>
      <w:r w:rsidRPr="00F030A8">
        <w:t xml:space="preserve"> flexibility to tailor the role and activities of the </w:t>
      </w:r>
      <w:r>
        <w:t>Outreach Workers</w:t>
      </w:r>
      <w:r w:rsidRPr="00F030A8">
        <w:t xml:space="preserve"> to suit local needs, </w:t>
      </w:r>
      <w:proofErr w:type="gramStart"/>
      <w:r w:rsidRPr="00F030A8">
        <w:t>taking into account</w:t>
      </w:r>
      <w:proofErr w:type="gramEnd"/>
      <w:r w:rsidRPr="00F030A8">
        <w:t xml:space="preserve"> the </w:t>
      </w:r>
      <w:r>
        <w:t>objectives and outcomes</w:t>
      </w:r>
      <w:r w:rsidRPr="00F030A8">
        <w:t xml:space="preserve"> outlined in these</w:t>
      </w:r>
      <w:r>
        <w:t xml:space="preserve"> Program</w:t>
      </w:r>
      <w:r w:rsidRPr="00F030A8">
        <w:t xml:space="preserve"> Implementation Guidelines. </w:t>
      </w:r>
    </w:p>
    <w:p w14:paraId="431DA015" w14:textId="77777777" w:rsidR="00AD6882" w:rsidRPr="00F030A8" w:rsidRDefault="00AD6882" w:rsidP="008267C7">
      <w:r w:rsidRPr="00F030A8">
        <w:t>It is strongly recommended that Aboriginal and Torres Strait Islander people are recruited to</w:t>
      </w:r>
      <w:r>
        <w:t xml:space="preserve"> work in</w:t>
      </w:r>
      <w:r w:rsidRPr="00F030A8">
        <w:t xml:space="preserve"> </w:t>
      </w:r>
      <w:r>
        <w:t>Outreach Worker</w:t>
      </w:r>
      <w:r w:rsidRPr="00F030A8">
        <w:t xml:space="preserve"> positions. Non-Indigenous candidates can be considered if no suitable</w:t>
      </w:r>
      <w:r>
        <w:t xml:space="preserve"> Aboriginal and Torres Strait Islander</w:t>
      </w:r>
      <w:r w:rsidRPr="00F030A8">
        <w:t xml:space="preserve"> candidates are available. Non-Indigenous candidates need to demonstrate significant links with the </w:t>
      </w:r>
      <w:r>
        <w:t xml:space="preserve">local </w:t>
      </w:r>
      <w:r w:rsidRPr="00F030A8">
        <w:t>community</w:t>
      </w:r>
      <w:r>
        <w:t>, cultural competency,</w:t>
      </w:r>
      <w:r w:rsidRPr="00F030A8">
        <w:t xml:space="preserve"> and capacity to fulfil the role as an </w:t>
      </w:r>
      <w:r>
        <w:t>Outreach Worker</w:t>
      </w:r>
      <w:r w:rsidRPr="00F030A8">
        <w:t>.</w:t>
      </w:r>
    </w:p>
    <w:p w14:paraId="679A20C2" w14:textId="4261FB7A" w:rsidR="004B744B" w:rsidRPr="002D4559" w:rsidRDefault="004B744B" w:rsidP="00DE5B76">
      <w:pPr>
        <w:pStyle w:val="Heading1"/>
      </w:pPr>
      <w:bookmarkStart w:id="64" w:name="_Toc169184127"/>
      <w:bookmarkStart w:id="65" w:name="_Toc169185767"/>
      <w:bookmarkStart w:id="66" w:name="_Toc5097100"/>
      <w:bookmarkStart w:id="67" w:name="_Toc169185768"/>
      <w:bookmarkStart w:id="68" w:name="_Toc201167240"/>
      <w:bookmarkEnd w:id="64"/>
      <w:bookmarkEnd w:id="65"/>
      <w:r w:rsidRPr="002D4559">
        <w:t>Care Coordinators</w:t>
      </w:r>
      <w:bookmarkEnd w:id="66"/>
      <w:bookmarkEnd w:id="67"/>
      <w:bookmarkEnd w:id="68"/>
    </w:p>
    <w:p w14:paraId="1EE78E57" w14:textId="729FB8B7" w:rsidR="004B744B" w:rsidRPr="00555483" w:rsidRDefault="002D4559" w:rsidP="00555483">
      <w:pPr>
        <w:pStyle w:val="Heading2"/>
      </w:pPr>
      <w:bookmarkStart w:id="69" w:name="_Toc169185769"/>
      <w:bookmarkStart w:id="70" w:name="_Toc201167241"/>
      <w:r w:rsidRPr="00555483">
        <w:t>Roles and responsibilities</w:t>
      </w:r>
      <w:bookmarkEnd w:id="69"/>
      <w:bookmarkEnd w:id="70"/>
    </w:p>
    <w:p w14:paraId="2221B6A9" w14:textId="0E066F08" w:rsidR="004B744B" w:rsidRPr="00555483" w:rsidRDefault="004B744B" w:rsidP="008267C7">
      <w:r w:rsidRPr="00555483">
        <w:t xml:space="preserve">Care Coordinators should work with their clients to improve their capacity to engage with the broader health system. Health care providers may be unaware of the personal, social, and environmental circumstances that impact on a client’s capacity to access and follow recommended treatment and Care Coordinators </w:t>
      </w:r>
      <w:r w:rsidR="00506607" w:rsidRPr="00555483">
        <w:t xml:space="preserve">can </w:t>
      </w:r>
      <w:r w:rsidRPr="00555483">
        <w:t xml:space="preserve">help bridge this gap. One-on-one care coordination helps provide a level of care that would otherwise not be available to clients with </w:t>
      </w:r>
      <w:r w:rsidRPr="00555483">
        <w:lastRenderedPageBreak/>
        <w:t>complex chronic care needs enrolled on the program</w:t>
      </w:r>
      <w:r w:rsidR="008E3F95" w:rsidRPr="00555483">
        <w:t>.</w:t>
      </w:r>
      <w:r w:rsidR="005D1367" w:rsidRPr="00555483">
        <w:t xml:space="preserve"> </w:t>
      </w:r>
      <w:r w:rsidRPr="00555483">
        <w:t>Care Coordinators</w:t>
      </w:r>
      <w:r w:rsidR="008E3F95" w:rsidRPr="00555483">
        <w:t xml:space="preserve"> are</w:t>
      </w:r>
      <w:r w:rsidR="003D7282" w:rsidRPr="00555483">
        <w:t xml:space="preserve"> clinical staff (see Section </w:t>
      </w:r>
      <w:r w:rsidR="00876927" w:rsidRPr="00555483">
        <w:t>7</w:t>
      </w:r>
      <w:r w:rsidR="003D7282" w:rsidRPr="00555483">
        <w:t>.3)</w:t>
      </w:r>
      <w:r w:rsidR="008E3F95" w:rsidRPr="00555483">
        <w:t xml:space="preserve"> well placed to</w:t>
      </w:r>
      <w:r w:rsidRPr="00555483">
        <w:t xml:space="preserve"> ensure that </w:t>
      </w:r>
      <w:r w:rsidR="00591243" w:rsidRPr="00555483">
        <w:t>a</w:t>
      </w:r>
      <w:r w:rsidRPr="00555483">
        <w:t xml:space="preserve"> level of </w:t>
      </w:r>
      <w:r w:rsidR="00506607" w:rsidRPr="00555483">
        <w:t xml:space="preserve">personalised </w:t>
      </w:r>
      <w:r w:rsidRPr="00555483">
        <w:t>support</w:t>
      </w:r>
      <w:r w:rsidR="00DD051F" w:rsidRPr="00555483">
        <w:t xml:space="preserve"> which meets the individual </w:t>
      </w:r>
      <w:r w:rsidR="001C4632" w:rsidRPr="00555483">
        <w:t>clients</w:t>
      </w:r>
      <w:r w:rsidR="00DD051F" w:rsidRPr="00555483">
        <w:t>’ needs</w:t>
      </w:r>
      <w:r w:rsidR="005D1367" w:rsidRPr="00555483">
        <w:t xml:space="preserve"> </w:t>
      </w:r>
      <w:r w:rsidRPr="00555483">
        <w:t>is provided.</w:t>
      </w:r>
    </w:p>
    <w:p w14:paraId="756602AA" w14:textId="295EFE22" w:rsidR="00F11ADD" w:rsidRDefault="00F11ADD" w:rsidP="008267C7">
      <w:r w:rsidRPr="00F030A8">
        <w:t xml:space="preserve">Care </w:t>
      </w:r>
      <w:r>
        <w:t>C</w:t>
      </w:r>
      <w:r w:rsidRPr="00F030A8">
        <w:t>oordina</w:t>
      </w:r>
      <w:r>
        <w:t>tors</w:t>
      </w:r>
      <w:r w:rsidRPr="00F030A8">
        <w:t xml:space="preserve"> </w:t>
      </w:r>
      <w:r>
        <w:t>should develop and maintain</w:t>
      </w:r>
      <w:r w:rsidRPr="00F030A8">
        <w:t xml:space="preserve"> a close relationship </w:t>
      </w:r>
      <w:r>
        <w:t>with</w:t>
      </w:r>
      <w:r w:rsidRPr="00F030A8">
        <w:t xml:space="preserve"> the</w:t>
      </w:r>
      <w:r>
        <w:t>ir</w:t>
      </w:r>
      <w:r w:rsidRPr="00F030A8">
        <w:t xml:space="preserve"> </w:t>
      </w:r>
      <w:r w:rsidR="00970347">
        <w:t>client and their respective GP</w:t>
      </w:r>
      <w:r>
        <w:t>.</w:t>
      </w:r>
      <w:r w:rsidRPr="00F030A8">
        <w:t xml:space="preserve"> </w:t>
      </w:r>
      <w:r>
        <w:t>An example of where this works well is when a</w:t>
      </w:r>
      <w:r w:rsidRPr="00F030A8">
        <w:t xml:space="preserve"> Care Coordinator assist</w:t>
      </w:r>
      <w:r>
        <w:t>s</w:t>
      </w:r>
      <w:r w:rsidRPr="00F030A8">
        <w:t xml:space="preserve"> the GP by</w:t>
      </w:r>
      <w:r>
        <w:t xml:space="preserve"> helping</w:t>
      </w:r>
      <w:r w:rsidRPr="00F030A8">
        <w:t xml:space="preserve"> </w:t>
      </w:r>
      <w:r>
        <w:t>client</w:t>
      </w:r>
      <w:r w:rsidRPr="00F030A8">
        <w:t>s to access a range of services such as appointments with specialists and allied health professionals, arrangements for home help and making connections with support groups.</w:t>
      </w:r>
      <w:r>
        <w:t xml:space="preserve"> </w:t>
      </w:r>
      <w:r w:rsidRPr="00F030A8">
        <w:t xml:space="preserve">Information on the services the </w:t>
      </w:r>
      <w:r>
        <w:t>client</w:t>
      </w:r>
      <w:r w:rsidRPr="00F030A8">
        <w:t xml:space="preserve"> has </w:t>
      </w:r>
      <w:proofErr w:type="gramStart"/>
      <w:r w:rsidRPr="00F030A8">
        <w:t>been connected with</w:t>
      </w:r>
      <w:proofErr w:type="gramEnd"/>
      <w:r w:rsidRPr="00F030A8">
        <w:t xml:space="preserve"> </w:t>
      </w:r>
      <w:r>
        <w:t>is</w:t>
      </w:r>
      <w:r w:rsidRPr="00F030A8">
        <w:t xml:space="preserve"> then fed back to the GP for inclusion in the </w:t>
      </w:r>
      <w:r>
        <w:t>client</w:t>
      </w:r>
      <w:r w:rsidRPr="00F030A8">
        <w:t>’s care plan so that it can be considered in future reviews of the plan.</w:t>
      </w:r>
    </w:p>
    <w:p w14:paraId="287C810B" w14:textId="77777777" w:rsidR="00F11ADD" w:rsidRPr="00F030A8" w:rsidRDefault="00F11ADD" w:rsidP="008267C7">
      <w:r w:rsidRPr="00F030A8">
        <w:t xml:space="preserve">Care Coordinators </w:t>
      </w:r>
      <w:r>
        <w:t>should identify when a</w:t>
      </w:r>
      <w:r w:rsidRPr="00F030A8">
        <w:t xml:space="preserve"> </w:t>
      </w:r>
      <w:r>
        <w:t>client</w:t>
      </w:r>
      <w:r w:rsidRPr="00F030A8">
        <w:t>’s condition may require further assistance from</w:t>
      </w:r>
      <w:r>
        <w:t xml:space="preserve"> other</w:t>
      </w:r>
      <w:r w:rsidRPr="00F030A8">
        <w:t xml:space="preserve"> health professional</w:t>
      </w:r>
      <w:r>
        <w:t>s</w:t>
      </w:r>
      <w:r w:rsidRPr="00F030A8">
        <w:t>.</w:t>
      </w:r>
    </w:p>
    <w:p w14:paraId="02692ADE" w14:textId="18F5656A" w:rsidR="004B744B" w:rsidRPr="00555483" w:rsidRDefault="004B744B" w:rsidP="00555483">
      <w:pPr>
        <w:pStyle w:val="Heading2"/>
      </w:pPr>
      <w:bookmarkStart w:id="71" w:name="_Toc169184130"/>
      <w:bookmarkStart w:id="72" w:name="_Toc169185770"/>
      <w:bookmarkStart w:id="73" w:name="_Toc169185771"/>
      <w:bookmarkStart w:id="74" w:name="_Toc5097102"/>
      <w:bookmarkStart w:id="75" w:name="_Toc201167242"/>
      <w:bookmarkEnd w:id="71"/>
      <w:bookmarkEnd w:id="72"/>
      <w:r w:rsidRPr="00555483">
        <w:t>Activities</w:t>
      </w:r>
      <w:bookmarkEnd w:id="73"/>
      <w:bookmarkEnd w:id="74"/>
      <w:bookmarkEnd w:id="75"/>
    </w:p>
    <w:p w14:paraId="179E4657" w14:textId="22B1B77E" w:rsidR="004B744B" w:rsidRPr="00F030A8" w:rsidRDefault="004B744B" w:rsidP="008267C7">
      <w:r w:rsidRPr="00F030A8">
        <w:t>Care coordination activities undertaken by Care Coordinators must be in accordance with a care pl</w:t>
      </w:r>
      <w:r>
        <w:t>an developed by a referring GP for eligible clients.</w:t>
      </w:r>
      <w:r w:rsidR="005D1367">
        <w:t xml:space="preserve"> </w:t>
      </w:r>
      <w:r w:rsidRPr="00F030A8">
        <w:t>Care coordination activities may include</w:t>
      </w:r>
      <w:r>
        <w:t xml:space="preserve">, but </w:t>
      </w:r>
      <w:r w:rsidR="00F11ADD">
        <w:t>are</w:t>
      </w:r>
      <w:r>
        <w:t xml:space="preserve"> not limited to</w:t>
      </w:r>
      <w:r w:rsidRPr="00F030A8">
        <w:t>:</w:t>
      </w:r>
    </w:p>
    <w:p w14:paraId="2DFD3A38" w14:textId="77777777" w:rsidR="004B744B" w:rsidRPr="00F030A8" w:rsidRDefault="004B744B" w:rsidP="008267C7">
      <w:pPr>
        <w:pStyle w:val="ListBullet"/>
      </w:pPr>
      <w:r w:rsidRPr="00F030A8">
        <w:t xml:space="preserve">arranging the required services outlined in the </w:t>
      </w:r>
      <w:r>
        <w:t>client</w:t>
      </w:r>
      <w:r w:rsidRPr="00F030A8">
        <w:t xml:space="preserve">’s care plan, in close consultation with their home </w:t>
      </w:r>
      <w:proofErr w:type="gramStart"/>
      <w:r w:rsidRPr="00F030A8">
        <w:t>practice;</w:t>
      </w:r>
      <w:proofErr w:type="gramEnd"/>
    </w:p>
    <w:p w14:paraId="66AF532E" w14:textId="77777777" w:rsidR="004B744B" w:rsidRPr="00F030A8" w:rsidRDefault="004B744B" w:rsidP="008267C7">
      <w:pPr>
        <w:pStyle w:val="ListBullet"/>
      </w:pPr>
      <w:r w:rsidRPr="00F030A8">
        <w:t xml:space="preserve">ensuring there are arrangements in place for the </w:t>
      </w:r>
      <w:r>
        <w:t>client</w:t>
      </w:r>
      <w:r w:rsidRPr="00F030A8">
        <w:t xml:space="preserve"> to get to </w:t>
      </w:r>
      <w:proofErr w:type="gramStart"/>
      <w:r w:rsidRPr="00F030A8">
        <w:t>appointments;</w:t>
      </w:r>
      <w:proofErr w:type="gramEnd"/>
    </w:p>
    <w:p w14:paraId="6F16E792" w14:textId="77777777" w:rsidR="004B744B" w:rsidRPr="00F030A8" w:rsidRDefault="004B744B" w:rsidP="008267C7">
      <w:pPr>
        <w:pStyle w:val="ListBullet"/>
      </w:pPr>
      <w:r w:rsidRPr="00F030A8">
        <w:t xml:space="preserve">involving the </w:t>
      </w:r>
      <w:r>
        <w:t>client</w:t>
      </w:r>
      <w:r w:rsidRPr="00F030A8">
        <w:t xml:space="preserve">’s family or carer as </w:t>
      </w:r>
      <w:proofErr w:type="gramStart"/>
      <w:r w:rsidRPr="00F030A8">
        <w:t>appropriate;</w:t>
      </w:r>
      <w:proofErr w:type="gramEnd"/>
    </w:p>
    <w:p w14:paraId="5CBEC067" w14:textId="77777777" w:rsidR="004B744B" w:rsidRPr="00F030A8" w:rsidRDefault="004B744B" w:rsidP="008267C7">
      <w:pPr>
        <w:pStyle w:val="ListBullet"/>
      </w:pPr>
      <w:r w:rsidRPr="00F030A8">
        <w:t xml:space="preserve">transferring and updating the </w:t>
      </w:r>
      <w:r>
        <w:t>client</w:t>
      </w:r>
      <w:r w:rsidRPr="00F030A8">
        <w:t xml:space="preserve">’s medical </w:t>
      </w:r>
      <w:proofErr w:type="gramStart"/>
      <w:r w:rsidRPr="00F030A8">
        <w:t>records;</w:t>
      </w:r>
      <w:proofErr w:type="gramEnd"/>
    </w:p>
    <w:p w14:paraId="1CE80CB5" w14:textId="77777777" w:rsidR="004B744B" w:rsidRPr="00F030A8" w:rsidRDefault="004B744B" w:rsidP="008267C7">
      <w:pPr>
        <w:pStyle w:val="ListBullet"/>
      </w:pPr>
      <w:r w:rsidRPr="00F030A8">
        <w:t xml:space="preserve">assisting the </w:t>
      </w:r>
      <w:r>
        <w:t>client</w:t>
      </w:r>
      <w:r w:rsidRPr="00F030A8">
        <w:t xml:space="preserve"> to participate in regular reviews by th</w:t>
      </w:r>
      <w:r>
        <w:t xml:space="preserve">eir primary care </w:t>
      </w:r>
      <w:proofErr w:type="gramStart"/>
      <w:r>
        <w:t>providers;</w:t>
      </w:r>
      <w:proofErr w:type="gramEnd"/>
    </w:p>
    <w:p w14:paraId="0D3C34B4" w14:textId="77777777" w:rsidR="004B744B" w:rsidRPr="00F030A8" w:rsidRDefault="004B744B" w:rsidP="008267C7">
      <w:pPr>
        <w:pStyle w:val="ListBullet"/>
      </w:pPr>
      <w:r w:rsidRPr="00F030A8">
        <w:t xml:space="preserve">assisting </w:t>
      </w:r>
      <w:r>
        <w:t>client</w:t>
      </w:r>
      <w:r w:rsidRPr="00F030A8">
        <w:t>s to:</w:t>
      </w:r>
    </w:p>
    <w:p w14:paraId="22EB744D" w14:textId="48764D07" w:rsidR="001337C1" w:rsidRDefault="001337C1" w:rsidP="008267C7">
      <w:pPr>
        <w:pStyle w:val="ListBullet3"/>
      </w:pPr>
      <w:r w:rsidRPr="001337C1">
        <w:t xml:space="preserve">actively engage in actions arising from their care plan goals, for example, encouraging regular medication </w:t>
      </w:r>
      <w:proofErr w:type="gramStart"/>
      <w:r w:rsidRPr="001337C1">
        <w:t>uptake</w:t>
      </w:r>
      <w:r>
        <w:t>;</w:t>
      </w:r>
      <w:proofErr w:type="gramEnd"/>
      <w:r w:rsidRPr="001337C1" w:rsidDel="001337C1">
        <w:t xml:space="preserve"> </w:t>
      </w:r>
    </w:p>
    <w:p w14:paraId="4468CFB4" w14:textId="60654479" w:rsidR="001337C1" w:rsidRDefault="001337C1" w:rsidP="008267C7">
      <w:pPr>
        <w:pStyle w:val="ListBullet3"/>
      </w:pPr>
      <w:r>
        <w:t>manage upkeep of medical devices (e.g., asthma puffers, blood pressure monitors, blood glucose monitors etc</w:t>
      </w:r>
      <w:proofErr w:type="gramStart"/>
      <w:r>
        <w:t>);</w:t>
      </w:r>
      <w:proofErr w:type="gramEnd"/>
    </w:p>
    <w:p w14:paraId="7F0D6337" w14:textId="1EFFB686" w:rsidR="004B744B" w:rsidRPr="00F030A8" w:rsidRDefault="004B744B" w:rsidP="008267C7">
      <w:pPr>
        <w:pStyle w:val="ListBullet3"/>
      </w:pPr>
      <w:r w:rsidRPr="00F030A8">
        <w:t xml:space="preserve">develop chronic condition self-management </w:t>
      </w:r>
      <w:proofErr w:type="gramStart"/>
      <w:r w:rsidRPr="00F030A8">
        <w:t>skills;</w:t>
      </w:r>
      <w:proofErr w:type="gramEnd"/>
    </w:p>
    <w:p w14:paraId="3FA41E8E" w14:textId="77777777" w:rsidR="004B744B" w:rsidRDefault="004B744B" w:rsidP="008267C7">
      <w:pPr>
        <w:pStyle w:val="ListBullet3"/>
      </w:pPr>
      <w:r w:rsidRPr="00F030A8">
        <w:t xml:space="preserve">connect with appropriate community-based services such as those </w:t>
      </w:r>
      <w:r>
        <w:t xml:space="preserve">that </w:t>
      </w:r>
      <w:r w:rsidRPr="00F030A8">
        <w:t>provid</w:t>
      </w:r>
      <w:r>
        <w:t>e</w:t>
      </w:r>
      <w:r w:rsidRPr="00F030A8">
        <w:t xml:space="preserve"> support for daily living</w:t>
      </w:r>
      <w:r>
        <w:t>; and</w:t>
      </w:r>
    </w:p>
    <w:p w14:paraId="163504E1" w14:textId="77777777" w:rsidR="004B744B" w:rsidRPr="00F030A8" w:rsidRDefault="004B744B" w:rsidP="008267C7">
      <w:pPr>
        <w:pStyle w:val="ListBullet"/>
      </w:pPr>
      <w:r w:rsidRPr="00F030A8">
        <w:t>providing appropriate clinical care, consistent with the skills and qualifi</w:t>
      </w:r>
      <w:r>
        <w:t>cations of the Care Coordinator.</w:t>
      </w:r>
    </w:p>
    <w:p w14:paraId="0B08F6AC" w14:textId="2A263053" w:rsidR="004B744B" w:rsidRPr="00F030A8" w:rsidRDefault="004B744B" w:rsidP="008267C7">
      <w:r w:rsidRPr="00F030A8">
        <w:t xml:space="preserve">Through the Supplementary Services </w:t>
      </w:r>
      <w:r>
        <w:t>F</w:t>
      </w:r>
      <w:r w:rsidRPr="00F030A8">
        <w:t xml:space="preserve">unding </w:t>
      </w:r>
      <w:r>
        <w:t xml:space="preserve">Pool </w:t>
      </w:r>
      <w:r w:rsidRPr="00F030A8">
        <w:t xml:space="preserve">(refer </w:t>
      </w:r>
      <w:r w:rsidR="00D3363A">
        <w:t xml:space="preserve">to </w:t>
      </w:r>
      <w:r w:rsidRPr="00F030A8">
        <w:t xml:space="preserve">Section </w:t>
      </w:r>
      <w:r>
        <w:t>9</w:t>
      </w:r>
      <w:r w:rsidR="00AC4DD7" w:rsidRPr="00F030A8">
        <w:t>), ITC</w:t>
      </w:r>
      <w:r>
        <w:t xml:space="preserve"> </w:t>
      </w:r>
      <w:r w:rsidRPr="00F030A8">
        <w:t>also enables Care Coordinators to assist</w:t>
      </w:r>
      <w:r>
        <w:t xml:space="preserve"> eligible</w:t>
      </w:r>
      <w:r w:rsidRPr="00F030A8">
        <w:t xml:space="preserve"> </w:t>
      </w:r>
      <w:r>
        <w:t>client</w:t>
      </w:r>
      <w:r w:rsidRPr="00F030A8">
        <w:t xml:space="preserve">s to access specialist, allied health and other support services in line with their care </w:t>
      </w:r>
      <w:r w:rsidR="00AC4DD7" w:rsidRPr="00F030A8">
        <w:t>plan</w:t>
      </w:r>
      <w:r w:rsidR="00AC4DD7">
        <w:t xml:space="preserve"> and</w:t>
      </w:r>
      <w:r w:rsidRPr="00F030A8">
        <w:t xml:space="preserve"> specified medical aids they need to manage their condition effectively.</w:t>
      </w:r>
    </w:p>
    <w:p w14:paraId="71EBCA2C" w14:textId="11812A35" w:rsidR="004B744B" w:rsidRPr="00F030A8" w:rsidRDefault="004B744B" w:rsidP="008267C7">
      <w:r w:rsidRPr="00F030A8">
        <w:t>For care coordination to be effective, Care Coordinators need to work collaboratively with the services in their local areas, including services provided by state/territory governments,</w:t>
      </w:r>
      <w:r w:rsidR="009A5FA7">
        <w:t xml:space="preserve"> ACCHS</w:t>
      </w:r>
      <w:r w:rsidR="00CA7EB3">
        <w:t>/AMS</w:t>
      </w:r>
      <w:r w:rsidR="009A5FA7">
        <w:t>,</w:t>
      </w:r>
      <w:r w:rsidRPr="00F030A8">
        <w:t xml:space="preserve"> local governments and non-government organisations, </w:t>
      </w:r>
      <w:proofErr w:type="gramStart"/>
      <w:r w:rsidRPr="00F030A8">
        <w:t>in order to</w:t>
      </w:r>
      <w:proofErr w:type="gramEnd"/>
      <w:r w:rsidRPr="00F030A8">
        <w:t xml:space="preserve"> link </w:t>
      </w:r>
      <w:r>
        <w:t>client</w:t>
      </w:r>
      <w:r w:rsidRPr="00F030A8">
        <w:t xml:space="preserve">s with the services </w:t>
      </w:r>
      <w:r>
        <w:t>they need.</w:t>
      </w:r>
    </w:p>
    <w:p w14:paraId="72B038C8" w14:textId="0354D667" w:rsidR="00040AAB" w:rsidRPr="00F030A8" w:rsidRDefault="004B744B" w:rsidP="008267C7">
      <w:r w:rsidRPr="00F030A8">
        <w:lastRenderedPageBreak/>
        <w:t xml:space="preserve">Where appropriate, Care Coordinators </w:t>
      </w:r>
      <w:r w:rsidR="004A6247">
        <w:t>should</w:t>
      </w:r>
      <w:r w:rsidR="00A25745">
        <w:t xml:space="preserve"> forge program connections to optimise client access to services and capitalise on funding opportunities afforded by other schemes</w:t>
      </w:r>
      <w:r w:rsidRPr="00F030A8">
        <w:t xml:space="preserve"> (</w:t>
      </w:r>
      <w:r>
        <w:t>for example,</w:t>
      </w:r>
      <w:r w:rsidRPr="00F030A8">
        <w:t xml:space="preserve"> M</w:t>
      </w:r>
      <w:r>
        <w:t>OICDP</w:t>
      </w:r>
      <w:r w:rsidRPr="00F030A8">
        <w:t xml:space="preserve">, which provides for outreach services </w:t>
      </w:r>
      <w:r>
        <w:t>delivered</w:t>
      </w:r>
      <w:r w:rsidRPr="00F030A8">
        <w:t xml:space="preserve"> by multidisciplinary teams). They are also expected to work in collaboration with </w:t>
      </w:r>
      <w:r w:rsidR="00C07C7D">
        <w:t>ATSIHPO</w:t>
      </w:r>
      <w:r>
        <w:t xml:space="preserve">s </w:t>
      </w:r>
      <w:r w:rsidRPr="00F030A8">
        <w:t xml:space="preserve">and </w:t>
      </w:r>
      <w:r>
        <w:t>Outreach Workers</w:t>
      </w:r>
      <w:r w:rsidRPr="00F030A8">
        <w:t>.</w:t>
      </w:r>
    </w:p>
    <w:p w14:paraId="6D7F36EE" w14:textId="26829017" w:rsidR="00040AAB" w:rsidRPr="00555483" w:rsidRDefault="00040AAB" w:rsidP="00555483">
      <w:pPr>
        <w:pStyle w:val="Heading2"/>
      </w:pPr>
      <w:bookmarkStart w:id="76" w:name="_Toc169185772"/>
      <w:bookmarkStart w:id="77" w:name="_Toc201167243"/>
      <w:r w:rsidRPr="00555483">
        <w:t>Qualifications and skill requirements</w:t>
      </w:r>
      <w:bookmarkEnd w:id="76"/>
      <w:bookmarkEnd w:id="77"/>
    </w:p>
    <w:p w14:paraId="615C77B3" w14:textId="65893567" w:rsidR="00040AAB" w:rsidRPr="00F030A8" w:rsidRDefault="000059C9" w:rsidP="008267C7">
      <w:r w:rsidRPr="000059C9">
        <w:t>Care Coordinators are qualified health workers</w:t>
      </w:r>
      <w:r>
        <w:t xml:space="preserve"> with a good working knowledge of the health system</w:t>
      </w:r>
      <w:r w:rsidRPr="00F030A8">
        <w:t>, such as</w:t>
      </w:r>
      <w:r>
        <w:t xml:space="preserve"> </w:t>
      </w:r>
      <w:r w:rsidRPr="000059C9">
        <w:t xml:space="preserve">nurses, </w:t>
      </w:r>
      <w:r>
        <w:t xml:space="preserve">Aboriginal and Torres Strait Islander Health Practitioners and </w:t>
      </w:r>
      <w:r w:rsidRPr="000059C9">
        <w:t>Aboriginal Health Workers</w:t>
      </w:r>
      <w:r>
        <w:t xml:space="preserve"> (current registration with the </w:t>
      </w:r>
      <w:r w:rsidRPr="00492831">
        <w:t xml:space="preserve">Australian Health Practitioner Regulation Agency </w:t>
      </w:r>
      <w:r>
        <w:t>where applicable, is preferred but not mandatory).</w:t>
      </w:r>
      <w:r w:rsidRPr="000059C9">
        <w:t xml:space="preserve"> </w:t>
      </w:r>
      <w:r w:rsidR="00040AAB">
        <w:t xml:space="preserve">Clinical skills </w:t>
      </w:r>
      <w:r w:rsidR="00040AAB" w:rsidRPr="00F030A8">
        <w:t>allow Care Coordinator</w:t>
      </w:r>
      <w:r w:rsidR="00040AAB">
        <w:t>s</w:t>
      </w:r>
      <w:r w:rsidR="00040AAB" w:rsidRPr="00F030A8">
        <w:t xml:space="preserve"> to </w:t>
      </w:r>
      <w:r w:rsidR="00040AAB">
        <w:t xml:space="preserve">have sound knowledge of the health system and how best to navigate it for ITC clients. This, in addition to a good </w:t>
      </w:r>
      <w:r w:rsidR="00040AAB" w:rsidRPr="00F030A8">
        <w:t>understand</w:t>
      </w:r>
      <w:r w:rsidR="00040AAB">
        <w:t>ing of</w:t>
      </w:r>
      <w:r w:rsidR="00040AAB" w:rsidRPr="00F030A8">
        <w:t xml:space="preserve"> the </w:t>
      </w:r>
      <w:r w:rsidR="00040AAB">
        <w:t>client</w:t>
      </w:r>
      <w:r w:rsidR="00040AAB" w:rsidRPr="00F030A8">
        <w:t>’s health needs</w:t>
      </w:r>
      <w:r w:rsidR="00040AAB">
        <w:t>,</w:t>
      </w:r>
      <w:r w:rsidR="00040AAB" w:rsidRPr="00F030A8">
        <w:t xml:space="preserve"> </w:t>
      </w:r>
      <w:r w:rsidR="00040AAB">
        <w:t xml:space="preserve">will allow for timely delivery of health care services </w:t>
      </w:r>
      <w:r w:rsidR="00040AAB" w:rsidRPr="00F030A8">
        <w:t>and, where approp</w:t>
      </w:r>
      <w:r w:rsidR="00040AAB">
        <w:t xml:space="preserve">riate, targeted intervention. </w:t>
      </w:r>
      <w:r w:rsidR="00040AAB" w:rsidRPr="00F030A8">
        <w:t xml:space="preserve">Consideration can be given to other appropriate qualifications or training in specific circumstances and in consultation with the </w:t>
      </w:r>
      <w:r w:rsidR="002917CE">
        <w:t xml:space="preserve">Department of Health, Disability and Ageing </w:t>
      </w:r>
      <w:r w:rsidR="00040AAB">
        <w:t xml:space="preserve">(the </w:t>
      </w:r>
      <w:r w:rsidR="002917CE">
        <w:t>d</w:t>
      </w:r>
      <w:r w:rsidR="00040AAB">
        <w:t>epartment)</w:t>
      </w:r>
      <w:r w:rsidR="00040AAB" w:rsidRPr="00F030A8">
        <w:t>.</w:t>
      </w:r>
    </w:p>
    <w:p w14:paraId="3369010B" w14:textId="77777777" w:rsidR="00040AAB" w:rsidRPr="00F030A8" w:rsidRDefault="00040AAB" w:rsidP="008267C7">
      <w:r w:rsidRPr="00F030A8">
        <w:t>Care Coordinators are also expected to:</w:t>
      </w:r>
    </w:p>
    <w:p w14:paraId="5E59D5DE" w14:textId="77777777" w:rsidR="00040AAB" w:rsidRPr="00F030A8" w:rsidRDefault="00040AAB" w:rsidP="008267C7">
      <w:pPr>
        <w:pStyle w:val="ListBullet"/>
      </w:pPr>
      <w:r w:rsidRPr="00F030A8">
        <w:t xml:space="preserve">provide culturally </w:t>
      </w:r>
      <w:r>
        <w:t>safe</w:t>
      </w:r>
      <w:r w:rsidRPr="00F030A8">
        <w:t xml:space="preserve"> </w:t>
      </w:r>
      <w:proofErr w:type="gramStart"/>
      <w:r w:rsidRPr="00F030A8">
        <w:t>care;</w:t>
      </w:r>
      <w:proofErr w:type="gramEnd"/>
    </w:p>
    <w:p w14:paraId="376E7B71" w14:textId="77777777" w:rsidR="00040AAB" w:rsidRPr="00F030A8" w:rsidRDefault="00040AAB" w:rsidP="008267C7">
      <w:pPr>
        <w:pStyle w:val="ListBullet"/>
      </w:pPr>
      <w:r w:rsidRPr="00F030A8">
        <w:t xml:space="preserve">advocate on behalf of Aboriginal and Torres Strait Islander </w:t>
      </w:r>
      <w:proofErr w:type="gramStart"/>
      <w:r>
        <w:t>client</w:t>
      </w:r>
      <w:r w:rsidRPr="00F030A8">
        <w:t>s;</w:t>
      </w:r>
      <w:proofErr w:type="gramEnd"/>
      <w:r w:rsidRPr="00F030A8">
        <w:t xml:space="preserve"> </w:t>
      </w:r>
    </w:p>
    <w:p w14:paraId="24827711" w14:textId="77777777" w:rsidR="00040AAB" w:rsidRPr="00F030A8" w:rsidRDefault="00040AAB" w:rsidP="008267C7">
      <w:pPr>
        <w:pStyle w:val="ListBullet"/>
      </w:pPr>
      <w:r w:rsidRPr="00F030A8">
        <w:t xml:space="preserve">have a good understanding of the local health system, including referral </w:t>
      </w:r>
      <w:proofErr w:type="gramStart"/>
      <w:r w:rsidRPr="00F030A8">
        <w:t>pathways;</w:t>
      </w:r>
      <w:proofErr w:type="gramEnd"/>
    </w:p>
    <w:p w14:paraId="3C1E98EC" w14:textId="77777777" w:rsidR="00040AAB" w:rsidRPr="00F030A8" w:rsidRDefault="00040AAB" w:rsidP="008267C7">
      <w:pPr>
        <w:pStyle w:val="ListBullet"/>
      </w:pPr>
      <w:r w:rsidRPr="00F030A8">
        <w:t xml:space="preserve">work collaboratively with a range of health professionals, including specialists, GPs, nurses and allied health </w:t>
      </w:r>
      <w:proofErr w:type="gramStart"/>
      <w:r w:rsidRPr="00F030A8">
        <w:t>professionals;</w:t>
      </w:r>
      <w:proofErr w:type="gramEnd"/>
    </w:p>
    <w:p w14:paraId="7CDD7617" w14:textId="77777777" w:rsidR="00040AAB" w:rsidRPr="00F030A8" w:rsidRDefault="00040AAB" w:rsidP="008267C7">
      <w:pPr>
        <w:pStyle w:val="ListBullet"/>
      </w:pPr>
      <w:r w:rsidRPr="00F030A8">
        <w:t>be able to capture and share clinical information with relevant health care providers, including in electronic formats; and</w:t>
      </w:r>
    </w:p>
    <w:p w14:paraId="570840D2" w14:textId="77777777" w:rsidR="00040AAB" w:rsidRPr="00F030A8" w:rsidRDefault="00040AAB" w:rsidP="008267C7">
      <w:pPr>
        <w:pStyle w:val="ListBullet"/>
      </w:pPr>
      <w:r w:rsidRPr="00F030A8">
        <w:t xml:space="preserve">work as a team with </w:t>
      </w:r>
      <w:r>
        <w:t>ATSIHPOs</w:t>
      </w:r>
      <w:r w:rsidRPr="00F030A8">
        <w:t xml:space="preserve"> and </w:t>
      </w:r>
      <w:r>
        <w:t>Outreach Workers</w:t>
      </w:r>
      <w:r w:rsidRPr="00F030A8">
        <w:t>.</w:t>
      </w:r>
    </w:p>
    <w:p w14:paraId="6170FE0B" w14:textId="67277541" w:rsidR="00040AAB" w:rsidRDefault="00040AAB" w:rsidP="008267C7">
      <w:r w:rsidRPr="00F030A8">
        <w:t xml:space="preserve">Care Coordinators must operate in accordance with the treating </w:t>
      </w:r>
      <w:r>
        <w:t>GP</w:t>
      </w:r>
      <w:r w:rsidRPr="00F030A8">
        <w:t>’s instructions</w:t>
      </w:r>
      <w:r>
        <w:t xml:space="preserve"> as part of a </w:t>
      </w:r>
      <w:r w:rsidR="003D7282">
        <w:t>formal management plan.</w:t>
      </w:r>
      <w:r w:rsidRPr="00547EB6">
        <w:t xml:space="preserve"> </w:t>
      </w:r>
      <w:r>
        <w:t xml:space="preserve">It is recommended that </w:t>
      </w:r>
      <w:r w:rsidRPr="00547EB6">
        <w:t xml:space="preserve">Aboriginal and Torres Strait Islander people </w:t>
      </w:r>
      <w:r>
        <w:t>are recruited</w:t>
      </w:r>
      <w:r w:rsidRPr="00547EB6">
        <w:t xml:space="preserve"> to work as </w:t>
      </w:r>
      <w:r>
        <w:t>Care Coordinators</w:t>
      </w:r>
      <w:r w:rsidRPr="00547EB6">
        <w:t xml:space="preserve"> where possible</w:t>
      </w:r>
      <w:r>
        <w:t>.</w:t>
      </w:r>
    </w:p>
    <w:p w14:paraId="125F9F4B" w14:textId="0BB7303F" w:rsidR="004B744B" w:rsidRPr="00C5557F" w:rsidRDefault="00040AAB" w:rsidP="00DE5B76">
      <w:pPr>
        <w:pStyle w:val="Heading1"/>
      </w:pPr>
      <w:bookmarkStart w:id="78" w:name="_Toc5097103"/>
      <w:bookmarkStart w:id="79" w:name="_Toc169185773"/>
      <w:bookmarkStart w:id="80" w:name="_Toc201167244"/>
      <w:r>
        <w:t>W</w:t>
      </w:r>
      <w:r w:rsidR="004B744B" w:rsidRPr="00C5557F">
        <w:t>o</w:t>
      </w:r>
      <w:r>
        <w:t>rkforce Support and Development</w:t>
      </w:r>
      <w:bookmarkEnd w:id="78"/>
      <w:bookmarkEnd w:id="79"/>
      <w:bookmarkEnd w:id="80"/>
    </w:p>
    <w:p w14:paraId="7837F83B" w14:textId="3C9A40A0" w:rsidR="004B744B" w:rsidRPr="00793614" w:rsidRDefault="003D7282" w:rsidP="008267C7">
      <w:r>
        <w:t>Commi</w:t>
      </w:r>
      <w:r w:rsidR="00B32FB5">
        <w:t>s</w:t>
      </w:r>
      <w:r w:rsidR="004B744B" w:rsidRPr="00F030A8">
        <w:t>s</w:t>
      </w:r>
      <w:r w:rsidR="00B32FB5">
        <w:t>ioning bod</w:t>
      </w:r>
      <w:r>
        <w:t>i</w:t>
      </w:r>
      <w:r w:rsidR="00B32FB5">
        <w:t>es</w:t>
      </w:r>
      <w:r w:rsidR="004B744B" w:rsidRPr="00F030A8">
        <w:t xml:space="preserve"> and </w:t>
      </w:r>
      <w:r w:rsidR="00B32FB5">
        <w:t>service providers</w:t>
      </w:r>
      <w:r w:rsidR="004B744B" w:rsidRPr="00F030A8">
        <w:t xml:space="preserve"> are expected to ensure that appropriate ongoing </w:t>
      </w:r>
      <w:r w:rsidR="004B744B">
        <w:t xml:space="preserve">support and development activities are provided to the ITC workforce. This includes formal training, </w:t>
      </w:r>
      <w:r w:rsidR="004B744B" w:rsidRPr="00F030A8">
        <w:t>peer support, professional guidance and mentoring</w:t>
      </w:r>
      <w:r w:rsidR="004B744B">
        <w:t>.</w:t>
      </w:r>
      <w:r w:rsidR="004B744B" w:rsidRPr="00F030A8">
        <w:t xml:space="preserve"> </w:t>
      </w:r>
      <w:r w:rsidR="004B744B">
        <w:t>P</w:t>
      </w:r>
      <w:r w:rsidR="004B744B" w:rsidRPr="00F030A8">
        <w:t>rovision of peer support</w:t>
      </w:r>
      <w:r w:rsidR="004B744B">
        <w:t>,</w:t>
      </w:r>
      <w:r w:rsidR="004B744B" w:rsidRPr="00F030A8">
        <w:t xml:space="preserve"> professional networking opportunities, </w:t>
      </w:r>
      <w:r w:rsidR="004B744B">
        <w:t xml:space="preserve">training courses or other professional development, </w:t>
      </w:r>
      <w:r w:rsidR="004B744B" w:rsidRPr="00F030A8">
        <w:t xml:space="preserve">discussions </w:t>
      </w:r>
      <w:r w:rsidR="004B744B">
        <w:t>on case studies or</w:t>
      </w:r>
      <w:r w:rsidR="004B744B" w:rsidRPr="00F030A8">
        <w:t xml:space="preserve"> models of care, </w:t>
      </w:r>
      <w:r w:rsidR="004B744B">
        <w:t>will</w:t>
      </w:r>
      <w:r w:rsidR="004B744B" w:rsidRPr="00F030A8">
        <w:t xml:space="preserve"> enhance on-the-job learning, quality of service and retention rates. This could involve liaison with other PHNs to </w:t>
      </w:r>
      <w:r w:rsidR="004B744B" w:rsidRPr="00793614">
        <w:t>enhance skills, share information and facilitate peer support.</w:t>
      </w:r>
    </w:p>
    <w:p w14:paraId="163AF2F0" w14:textId="558DDAC9" w:rsidR="004B744B" w:rsidRPr="00F030A8" w:rsidRDefault="004B744B" w:rsidP="008267C7">
      <w:r w:rsidRPr="00793614">
        <w:t xml:space="preserve">Professional and peer support should be provided by </w:t>
      </w:r>
      <w:r w:rsidR="005C03B3">
        <w:t>commissioning bodies</w:t>
      </w:r>
      <w:r w:rsidR="005C03B3" w:rsidRPr="00793614">
        <w:t xml:space="preserve"> </w:t>
      </w:r>
      <w:r w:rsidRPr="00793614">
        <w:t>or the organisations they commission as appropriate.</w:t>
      </w:r>
      <w:r>
        <w:t xml:space="preserve"> Up to 3% of program funds should</w:t>
      </w:r>
      <w:r w:rsidR="009D7477">
        <w:t xml:space="preserve"> be</w:t>
      </w:r>
      <w:r>
        <w:t xml:space="preserve"> allocated to support and development of the ITC workforce.</w:t>
      </w:r>
      <w:r w:rsidR="007F77B2">
        <w:t xml:space="preserve"> Capacity building initiatives extended to the ITC workforce must prioritise cultural safety and responsiveness</w:t>
      </w:r>
      <w:r w:rsidR="007F77B2" w:rsidRPr="007F77B2">
        <w:t>,</w:t>
      </w:r>
      <w:r w:rsidR="007F77B2">
        <w:t xml:space="preserve"> ideally </w:t>
      </w:r>
      <w:r w:rsidR="007F77B2">
        <w:lastRenderedPageBreak/>
        <w:t xml:space="preserve">delivered by or in partnership with </w:t>
      </w:r>
      <w:r w:rsidR="00FB554D">
        <w:t xml:space="preserve">Aboriginal and Torres Strait Islander </w:t>
      </w:r>
      <w:r w:rsidR="00FB554D" w:rsidRPr="007F77B2">
        <w:t>community-controlled</w:t>
      </w:r>
      <w:r w:rsidR="007F77B2" w:rsidRPr="007F77B2">
        <w:t xml:space="preserve"> organisations wherever possible.</w:t>
      </w:r>
    </w:p>
    <w:p w14:paraId="310F02FA" w14:textId="77777777" w:rsidR="004B744B" w:rsidRPr="00076B1F" w:rsidRDefault="004B744B" w:rsidP="00DE5B76">
      <w:pPr>
        <w:pStyle w:val="Heading1"/>
      </w:pPr>
      <w:bookmarkStart w:id="81" w:name="_Toc169184135"/>
      <w:bookmarkStart w:id="82" w:name="_Toc169185775"/>
      <w:bookmarkStart w:id="83" w:name="_Toc169184136"/>
      <w:bookmarkStart w:id="84" w:name="_Toc169185776"/>
      <w:bookmarkStart w:id="85" w:name="_Toc169184137"/>
      <w:bookmarkStart w:id="86" w:name="_Toc169185777"/>
      <w:bookmarkStart w:id="87" w:name="_Toc169184138"/>
      <w:bookmarkStart w:id="88" w:name="_Toc169185778"/>
      <w:bookmarkStart w:id="89" w:name="_Toc169184139"/>
      <w:bookmarkStart w:id="90" w:name="_Toc169185779"/>
      <w:bookmarkStart w:id="91" w:name="_Toc160628733"/>
      <w:bookmarkStart w:id="92" w:name="_Toc160695829"/>
      <w:bookmarkStart w:id="93" w:name="_Toc160698429"/>
      <w:bookmarkStart w:id="94" w:name="_Toc160698600"/>
      <w:bookmarkStart w:id="95" w:name="_Toc162334651"/>
      <w:bookmarkStart w:id="96" w:name="_Toc162342607"/>
      <w:bookmarkStart w:id="97" w:name="_Toc162361939"/>
      <w:bookmarkStart w:id="98" w:name="_Toc164252016"/>
      <w:bookmarkStart w:id="99" w:name="_Toc165021600"/>
      <w:bookmarkStart w:id="100" w:name="_Toc168585472"/>
      <w:bookmarkStart w:id="101" w:name="_Toc169184140"/>
      <w:bookmarkStart w:id="102" w:name="_Toc169185780"/>
      <w:bookmarkStart w:id="103" w:name="_Toc160628734"/>
      <w:bookmarkStart w:id="104" w:name="_Toc160695830"/>
      <w:bookmarkStart w:id="105" w:name="_Toc160698430"/>
      <w:bookmarkStart w:id="106" w:name="_Toc160698601"/>
      <w:bookmarkStart w:id="107" w:name="_Toc162334652"/>
      <w:bookmarkStart w:id="108" w:name="_Toc162342608"/>
      <w:bookmarkStart w:id="109" w:name="_Toc162361940"/>
      <w:bookmarkStart w:id="110" w:name="_Toc164252017"/>
      <w:bookmarkStart w:id="111" w:name="_Toc165021601"/>
      <w:bookmarkStart w:id="112" w:name="_Toc168585473"/>
      <w:bookmarkStart w:id="113" w:name="_Toc169184141"/>
      <w:bookmarkStart w:id="114" w:name="_Toc169185781"/>
      <w:bookmarkStart w:id="115" w:name="_Toc160628735"/>
      <w:bookmarkStart w:id="116" w:name="_Toc160695831"/>
      <w:bookmarkStart w:id="117" w:name="_Toc160698431"/>
      <w:bookmarkStart w:id="118" w:name="_Toc160698602"/>
      <w:bookmarkStart w:id="119" w:name="_Toc162334653"/>
      <w:bookmarkStart w:id="120" w:name="_Toc162342609"/>
      <w:bookmarkStart w:id="121" w:name="_Toc162361941"/>
      <w:bookmarkStart w:id="122" w:name="_Toc164252018"/>
      <w:bookmarkStart w:id="123" w:name="_Toc165021602"/>
      <w:bookmarkStart w:id="124" w:name="_Toc168585474"/>
      <w:bookmarkStart w:id="125" w:name="_Toc169184142"/>
      <w:bookmarkStart w:id="126" w:name="_Toc169185782"/>
      <w:bookmarkStart w:id="127" w:name="_Toc169184143"/>
      <w:bookmarkStart w:id="128" w:name="_Toc169185783"/>
      <w:bookmarkStart w:id="129" w:name="_Toc169184144"/>
      <w:bookmarkStart w:id="130" w:name="_Toc169185784"/>
      <w:bookmarkStart w:id="131" w:name="_Toc169184145"/>
      <w:bookmarkStart w:id="132" w:name="_Toc169185785"/>
      <w:bookmarkStart w:id="133" w:name="_Toc169184146"/>
      <w:bookmarkStart w:id="134" w:name="_Toc169185786"/>
      <w:bookmarkStart w:id="135" w:name="_Toc169184147"/>
      <w:bookmarkStart w:id="136" w:name="_Toc169185787"/>
      <w:bookmarkStart w:id="137" w:name="_Toc169184148"/>
      <w:bookmarkStart w:id="138" w:name="_Toc169185788"/>
      <w:bookmarkStart w:id="139" w:name="_Toc169184149"/>
      <w:bookmarkStart w:id="140" w:name="_Toc169185789"/>
      <w:bookmarkStart w:id="141" w:name="_Toc169184150"/>
      <w:bookmarkStart w:id="142" w:name="_Toc169185790"/>
      <w:bookmarkStart w:id="143" w:name="_Toc160628739"/>
      <w:bookmarkStart w:id="144" w:name="_Toc160695835"/>
      <w:bookmarkStart w:id="145" w:name="_Toc160698435"/>
      <w:bookmarkStart w:id="146" w:name="_Toc160698606"/>
      <w:bookmarkStart w:id="147" w:name="_Toc162334657"/>
      <w:bookmarkStart w:id="148" w:name="_Toc162342613"/>
      <w:bookmarkStart w:id="149" w:name="_Toc162361945"/>
      <w:bookmarkStart w:id="150" w:name="_Toc164252022"/>
      <w:bookmarkStart w:id="151" w:name="_Toc165021606"/>
      <w:bookmarkStart w:id="152" w:name="_Toc168585478"/>
      <w:bookmarkStart w:id="153" w:name="_Toc169184151"/>
      <w:bookmarkStart w:id="154" w:name="_Toc169185791"/>
      <w:bookmarkStart w:id="155" w:name="_Toc160698436"/>
      <w:bookmarkStart w:id="156" w:name="_Toc160698607"/>
      <w:bookmarkStart w:id="157" w:name="_Toc162334658"/>
      <w:bookmarkStart w:id="158" w:name="_Toc162342614"/>
      <w:bookmarkStart w:id="159" w:name="_Toc162361946"/>
      <w:bookmarkStart w:id="160" w:name="_Toc164252023"/>
      <w:bookmarkStart w:id="161" w:name="_Toc165021607"/>
      <w:bookmarkStart w:id="162" w:name="_Toc168585479"/>
      <w:bookmarkStart w:id="163" w:name="_Toc169184152"/>
      <w:bookmarkStart w:id="164" w:name="_Toc169185792"/>
      <w:bookmarkStart w:id="165" w:name="_Toc160698437"/>
      <w:bookmarkStart w:id="166" w:name="_Toc160698608"/>
      <w:bookmarkStart w:id="167" w:name="_Toc162334659"/>
      <w:bookmarkStart w:id="168" w:name="_Toc162342615"/>
      <w:bookmarkStart w:id="169" w:name="_Toc162361947"/>
      <w:bookmarkStart w:id="170" w:name="_Toc164252024"/>
      <w:bookmarkStart w:id="171" w:name="_Toc165021608"/>
      <w:bookmarkStart w:id="172" w:name="_Toc168585480"/>
      <w:bookmarkStart w:id="173" w:name="_Toc169184153"/>
      <w:bookmarkStart w:id="174" w:name="_Toc169185793"/>
      <w:bookmarkStart w:id="175" w:name="_Toc160698438"/>
      <w:bookmarkStart w:id="176" w:name="_Toc160698609"/>
      <w:bookmarkStart w:id="177" w:name="_Toc162334660"/>
      <w:bookmarkStart w:id="178" w:name="_Toc162342616"/>
      <w:bookmarkStart w:id="179" w:name="_Toc162361948"/>
      <w:bookmarkStart w:id="180" w:name="_Toc164252025"/>
      <w:bookmarkStart w:id="181" w:name="_Toc165021609"/>
      <w:bookmarkStart w:id="182" w:name="_Toc168585481"/>
      <w:bookmarkStart w:id="183" w:name="_Toc169184154"/>
      <w:bookmarkStart w:id="184" w:name="_Toc169185794"/>
      <w:bookmarkStart w:id="185" w:name="_Toc160698439"/>
      <w:bookmarkStart w:id="186" w:name="_Toc160698610"/>
      <w:bookmarkStart w:id="187" w:name="_Toc162334661"/>
      <w:bookmarkStart w:id="188" w:name="_Toc162342617"/>
      <w:bookmarkStart w:id="189" w:name="_Toc162361949"/>
      <w:bookmarkStart w:id="190" w:name="_Toc164252026"/>
      <w:bookmarkStart w:id="191" w:name="_Toc165021610"/>
      <w:bookmarkStart w:id="192" w:name="_Toc168585482"/>
      <w:bookmarkStart w:id="193" w:name="_Toc169184155"/>
      <w:bookmarkStart w:id="194" w:name="_Toc169185795"/>
      <w:bookmarkStart w:id="195" w:name="_Toc160698440"/>
      <w:bookmarkStart w:id="196" w:name="_Toc160698611"/>
      <w:bookmarkStart w:id="197" w:name="_Toc162334662"/>
      <w:bookmarkStart w:id="198" w:name="_Toc162342618"/>
      <w:bookmarkStart w:id="199" w:name="_Toc162361950"/>
      <w:bookmarkStart w:id="200" w:name="_Toc164252027"/>
      <w:bookmarkStart w:id="201" w:name="_Toc165021611"/>
      <w:bookmarkStart w:id="202" w:name="_Toc168585483"/>
      <w:bookmarkStart w:id="203" w:name="_Toc169184156"/>
      <w:bookmarkStart w:id="204" w:name="_Toc169185796"/>
      <w:bookmarkStart w:id="205" w:name="_Toc160698441"/>
      <w:bookmarkStart w:id="206" w:name="_Toc160698612"/>
      <w:bookmarkStart w:id="207" w:name="_Toc162334663"/>
      <w:bookmarkStart w:id="208" w:name="_Toc162342619"/>
      <w:bookmarkStart w:id="209" w:name="_Toc162361951"/>
      <w:bookmarkStart w:id="210" w:name="_Toc164252028"/>
      <w:bookmarkStart w:id="211" w:name="_Toc165021612"/>
      <w:bookmarkStart w:id="212" w:name="_Toc168585484"/>
      <w:bookmarkStart w:id="213" w:name="_Toc169184157"/>
      <w:bookmarkStart w:id="214" w:name="_Toc169185797"/>
      <w:bookmarkStart w:id="215" w:name="_Toc160698442"/>
      <w:bookmarkStart w:id="216" w:name="_Toc160698613"/>
      <w:bookmarkStart w:id="217" w:name="_Toc162334664"/>
      <w:bookmarkStart w:id="218" w:name="_Toc162342620"/>
      <w:bookmarkStart w:id="219" w:name="_Toc162361952"/>
      <w:bookmarkStart w:id="220" w:name="_Toc164252029"/>
      <w:bookmarkStart w:id="221" w:name="_Toc165021613"/>
      <w:bookmarkStart w:id="222" w:name="_Toc168585485"/>
      <w:bookmarkStart w:id="223" w:name="_Toc169184158"/>
      <w:bookmarkStart w:id="224" w:name="_Toc169185798"/>
      <w:bookmarkStart w:id="225" w:name="_Toc160698443"/>
      <w:bookmarkStart w:id="226" w:name="_Toc160698614"/>
      <w:bookmarkStart w:id="227" w:name="_Toc162334665"/>
      <w:bookmarkStart w:id="228" w:name="_Toc162342621"/>
      <w:bookmarkStart w:id="229" w:name="_Toc162361953"/>
      <w:bookmarkStart w:id="230" w:name="_Toc164252030"/>
      <w:bookmarkStart w:id="231" w:name="_Toc165021614"/>
      <w:bookmarkStart w:id="232" w:name="_Toc168585486"/>
      <w:bookmarkStart w:id="233" w:name="_Toc169184159"/>
      <w:bookmarkStart w:id="234" w:name="_Toc169185799"/>
      <w:bookmarkStart w:id="235" w:name="_Toc160698444"/>
      <w:bookmarkStart w:id="236" w:name="_Toc160698615"/>
      <w:bookmarkStart w:id="237" w:name="_Toc162334666"/>
      <w:bookmarkStart w:id="238" w:name="_Toc162342622"/>
      <w:bookmarkStart w:id="239" w:name="_Toc162361954"/>
      <w:bookmarkStart w:id="240" w:name="_Toc164252031"/>
      <w:bookmarkStart w:id="241" w:name="_Toc165021615"/>
      <w:bookmarkStart w:id="242" w:name="_Toc168585487"/>
      <w:bookmarkStart w:id="243" w:name="_Toc169184160"/>
      <w:bookmarkStart w:id="244" w:name="_Toc169185800"/>
      <w:bookmarkStart w:id="245" w:name="_Toc160698445"/>
      <w:bookmarkStart w:id="246" w:name="_Toc160698616"/>
      <w:bookmarkStart w:id="247" w:name="_Toc162334667"/>
      <w:bookmarkStart w:id="248" w:name="_Toc162342623"/>
      <w:bookmarkStart w:id="249" w:name="_Toc162361955"/>
      <w:bookmarkStart w:id="250" w:name="_Toc164252032"/>
      <w:bookmarkStart w:id="251" w:name="_Toc165021616"/>
      <w:bookmarkStart w:id="252" w:name="_Toc168585488"/>
      <w:bookmarkStart w:id="253" w:name="_Toc169184161"/>
      <w:bookmarkStart w:id="254" w:name="_Toc169185801"/>
      <w:bookmarkStart w:id="255" w:name="_Toc160698446"/>
      <w:bookmarkStart w:id="256" w:name="_Toc160698617"/>
      <w:bookmarkStart w:id="257" w:name="_Toc162334668"/>
      <w:bookmarkStart w:id="258" w:name="_Toc162342624"/>
      <w:bookmarkStart w:id="259" w:name="_Toc162361956"/>
      <w:bookmarkStart w:id="260" w:name="_Toc164252033"/>
      <w:bookmarkStart w:id="261" w:name="_Toc165021617"/>
      <w:bookmarkStart w:id="262" w:name="_Toc168585489"/>
      <w:bookmarkStart w:id="263" w:name="_Toc169184162"/>
      <w:bookmarkStart w:id="264" w:name="_Toc169185802"/>
      <w:bookmarkStart w:id="265" w:name="_Toc169184163"/>
      <w:bookmarkStart w:id="266" w:name="_Toc169185803"/>
      <w:bookmarkStart w:id="267" w:name="_Toc169184164"/>
      <w:bookmarkStart w:id="268" w:name="_Toc169185804"/>
      <w:bookmarkStart w:id="269" w:name="_Toc160628751"/>
      <w:bookmarkStart w:id="270" w:name="_Toc160695847"/>
      <w:bookmarkStart w:id="271" w:name="_Toc160698448"/>
      <w:bookmarkStart w:id="272" w:name="_Toc160698619"/>
      <w:bookmarkStart w:id="273" w:name="_Toc162334670"/>
      <w:bookmarkStart w:id="274" w:name="_Toc162342626"/>
      <w:bookmarkStart w:id="275" w:name="_Toc162361958"/>
      <w:bookmarkStart w:id="276" w:name="_Toc169184165"/>
      <w:bookmarkStart w:id="277" w:name="_Toc169185805"/>
      <w:bookmarkStart w:id="278" w:name="_Toc169184166"/>
      <w:bookmarkStart w:id="279" w:name="_Toc169185806"/>
      <w:bookmarkStart w:id="280" w:name="_Toc169184167"/>
      <w:bookmarkStart w:id="281" w:name="_Toc169185807"/>
      <w:bookmarkStart w:id="282" w:name="_Toc169184168"/>
      <w:bookmarkStart w:id="283" w:name="_Toc169185808"/>
      <w:bookmarkStart w:id="284" w:name="_Toc169184169"/>
      <w:bookmarkStart w:id="285" w:name="_Toc169185809"/>
      <w:bookmarkStart w:id="286" w:name="_Toc169184170"/>
      <w:bookmarkStart w:id="287" w:name="_Toc169185810"/>
      <w:bookmarkStart w:id="288" w:name="_Toc169184171"/>
      <w:bookmarkStart w:id="289" w:name="_Toc169185811"/>
      <w:bookmarkStart w:id="290" w:name="_Toc169184172"/>
      <w:bookmarkStart w:id="291" w:name="_Toc169185812"/>
      <w:bookmarkStart w:id="292" w:name="_Toc169184173"/>
      <w:bookmarkStart w:id="293" w:name="_Toc169185813"/>
      <w:bookmarkStart w:id="294" w:name="_Toc169184174"/>
      <w:bookmarkStart w:id="295" w:name="_Toc169185814"/>
      <w:bookmarkStart w:id="296" w:name="_Toc169184175"/>
      <w:bookmarkStart w:id="297" w:name="_Toc169185815"/>
      <w:bookmarkStart w:id="298" w:name="_Toc169184176"/>
      <w:bookmarkStart w:id="299" w:name="_Toc169185816"/>
      <w:bookmarkStart w:id="300" w:name="_Toc169184177"/>
      <w:bookmarkStart w:id="301" w:name="_Toc169185817"/>
      <w:bookmarkStart w:id="302" w:name="_Toc169184178"/>
      <w:bookmarkStart w:id="303" w:name="_Toc169185818"/>
      <w:bookmarkStart w:id="304" w:name="_Toc169184179"/>
      <w:bookmarkStart w:id="305" w:name="_Toc169185819"/>
      <w:bookmarkStart w:id="306" w:name="_Toc5097115"/>
      <w:bookmarkStart w:id="307" w:name="_Toc169185820"/>
      <w:bookmarkStart w:id="308" w:name="_Toc20116724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076B1F">
        <w:t>Supplementary Services</w:t>
      </w:r>
      <w:bookmarkEnd w:id="306"/>
      <w:bookmarkEnd w:id="307"/>
      <w:bookmarkEnd w:id="308"/>
    </w:p>
    <w:p w14:paraId="27F20CAF" w14:textId="77777777" w:rsidR="004B744B" w:rsidRPr="00555483" w:rsidRDefault="004B744B" w:rsidP="00555483">
      <w:pPr>
        <w:pStyle w:val="Heading2"/>
      </w:pPr>
      <w:bookmarkStart w:id="309" w:name="_Toc5097116"/>
      <w:bookmarkStart w:id="310" w:name="_Toc169185821"/>
      <w:bookmarkStart w:id="311" w:name="_Toc201167246"/>
      <w:r w:rsidRPr="00555483">
        <w:t>Definition of the Supplementary Services Funding Pool</w:t>
      </w:r>
      <w:bookmarkEnd w:id="309"/>
      <w:bookmarkEnd w:id="310"/>
      <w:bookmarkEnd w:id="311"/>
    </w:p>
    <w:p w14:paraId="0BDD6394" w14:textId="3804E94C" w:rsidR="004B744B" w:rsidRPr="00555483" w:rsidRDefault="004B744B" w:rsidP="008267C7">
      <w:r w:rsidRPr="00555483">
        <w:t xml:space="preserve">The Supplementary Services Funding Pool can be used to assist clients who are enrolled </w:t>
      </w:r>
      <w:r w:rsidR="00C826C7" w:rsidRPr="00555483">
        <w:t>in ITC</w:t>
      </w:r>
      <w:r w:rsidRPr="00555483">
        <w:t xml:space="preserve"> to access medical specialist and allied health services (as well as certain associated medical aids – refer </w:t>
      </w:r>
      <w:r w:rsidR="00995DFF" w:rsidRPr="00555483">
        <w:t xml:space="preserve">to </w:t>
      </w:r>
      <w:r w:rsidRPr="00555483">
        <w:t xml:space="preserve">Section 10.2 ‘Use of Supplementary Services </w:t>
      </w:r>
      <w:r w:rsidR="00AD510C" w:rsidRPr="00555483">
        <w:t>F</w:t>
      </w:r>
      <w:r w:rsidRPr="00555483">
        <w:t>unds’ below) where these services align with the client’s care plan.</w:t>
      </w:r>
      <w:r w:rsidR="005D1367" w:rsidRPr="00555483">
        <w:t xml:space="preserve"> </w:t>
      </w:r>
      <w:r w:rsidRPr="00555483">
        <w:t>The funds may also be used to assist with the cost of transport to appointments.</w:t>
      </w:r>
    </w:p>
    <w:p w14:paraId="4492EE60" w14:textId="5DAC5F47" w:rsidR="004B744B" w:rsidRPr="00F030A8" w:rsidRDefault="004B744B" w:rsidP="008267C7">
      <w:r>
        <w:t>Client</w:t>
      </w:r>
      <w:r w:rsidRPr="00F030A8">
        <w:t xml:space="preserve">s </w:t>
      </w:r>
      <w:r>
        <w:t>registered under</w:t>
      </w:r>
      <w:r w:rsidRPr="00F030A8">
        <w:t xml:space="preserve"> </w:t>
      </w:r>
      <w:r w:rsidR="00C21477">
        <w:t>ITC</w:t>
      </w:r>
      <w:r w:rsidRPr="00F030A8">
        <w:t xml:space="preserve"> may be referred by their GP to services that are not accessible </w:t>
      </w:r>
      <w:r>
        <w:t xml:space="preserve">through the public health system in a clinically acceptable timeframe, </w:t>
      </w:r>
      <w:r w:rsidRPr="00F030A8">
        <w:t xml:space="preserve">or </w:t>
      </w:r>
      <w:r>
        <w:t xml:space="preserve">where </w:t>
      </w:r>
      <w:r w:rsidRPr="00F030A8">
        <w:t>transport</w:t>
      </w:r>
      <w:r>
        <w:t xml:space="preserve"> is inaccessible or unaffordable</w:t>
      </w:r>
      <w:r w:rsidRPr="00F030A8">
        <w:t>.</w:t>
      </w:r>
      <w:r w:rsidR="005D1367">
        <w:t xml:space="preserve"> </w:t>
      </w:r>
      <w:r w:rsidRPr="00F030A8">
        <w:t xml:space="preserve">When barriers such as these exist, the Care Coordinator may use the Supplementary Services </w:t>
      </w:r>
      <w:r>
        <w:t>Funding Pool</w:t>
      </w:r>
      <w:r w:rsidRPr="00F030A8">
        <w:t xml:space="preserve"> to expedite the </w:t>
      </w:r>
      <w:r>
        <w:t>client</w:t>
      </w:r>
      <w:r w:rsidRPr="00F030A8">
        <w:t>’s access to these services in the private sector.</w:t>
      </w:r>
    </w:p>
    <w:p w14:paraId="53CFB8A2" w14:textId="225C03A2" w:rsidR="004B744B" w:rsidRPr="00555483" w:rsidRDefault="004B744B" w:rsidP="00555483">
      <w:pPr>
        <w:pStyle w:val="Heading2"/>
      </w:pPr>
      <w:bookmarkStart w:id="312" w:name="_Toc5097117"/>
      <w:bookmarkStart w:id="313" w:name="_Toc169185822"/>
      <w:bookmarkStart w:id="314" w:name="_Toc201167247"/>
      <w:r w:rsidRPr="00555483">
        <w:t xml:space="preserve">Priority allocation of Supplementary Services </w:t>
      </w:r>
      <w:r w:rsidR="00AD510C" w:rsidRPr="00555483">
        <w:t>F</w:t>
      </w:r>
      <w:r w:rsidRPr="00555483">
        <w:t>unding</w:t>
      </w:r>
      <w:bookmarkEnd w:id="312"/>
      <w:bookmarkEnd w:id="313"/>
      <w:bookmarkEnd w:id="314"/>
    </w:p>
    <w:p w14:paraId="62EAFDEF" w14:textId="11DCB9B9" w:rsidR="004B744B" w:rsidRPr="00BF1022" w:rsidRDefault="004B744B" w:rsidP="008267C7">
      <w:r w:rsidRPr="00E67A82">
        <w:t xml:space="preserve">The Supplementary Services Funding Pool is not intended to fund </w:t>
      </w:r>
      <w:r w:rsidR="002707CB">
        <w:t xml:space="preserve">the totality </w:t>
      </w:r>
      <w:r w:rsidRPr="00E67A82">
        <w:t xml:space="preserve">of follow up care required by </w:t>
      </w:r>
      <w:r>
        <w:t>client</w:t>
      </w:r>
      <w:r w:rsidRPr="00E67A82">
        <w:t xml:space="preserve">s who are registered under </w:t>
      </w:r>
      <w:r w:rsidR="00C21477">
        <w:t>ITC</w:t>
      </w:r>
      <w:r w:rsidRPr="00E67A82">
        <w:t>.</w:t>
      </w:r>
      <w:r w:rsidR="005D1367">
        <w:t xml:space="preserve"> </w:t>
      </w:r>
      <w:r w:rsidRPr="00E67A82">
        <w:t xml:space="preserve">Supplementary Services </w:t>
      </w:r>
      <w:r w:rsidR="00E01723">
        <w:t>F</w:t>
      </w:r>
      <w:r w:rsidRPr="00E67A82">
        <w:t>unds should only be used where other services are not available in a clinically acceptable timeframe</w:t>
      </w:r>
      <w:r>
        <w:t xml:space="preserve"> and other sources of funding are not available</w:t>
      </w:r>
      <w:r w:rsidRPr="00E67A82">
        <w:t>.</w:t>
      </w:r>
      <w:r w:rsidRPr="00F42A49">
        <w:t xml:space="preserve"> </w:t>
      </w:r>
      <w:r w:rsidR="00651AAF" w:rsidRPr="00BC203D">
        <w:t>The commissioning body holds discretion regarding the overall allocation of Supplementary Services Funds and determines the eligibility of items</w:t>
      </w:r>
      <w:r w:rsidR="001A7725" w:rsidRPr="00BC203D">
        <w:t xml:space="preserve"> or services</w:t>
      </w:r>
      <w:r w:rsidR="00651AAF" w:rsidRPr="00BC203D">
        <w:t xml:space="preserve"> for expenditure. The Care Coordinator's responsibility is to evaluate patient requirements and allocate the fund appropriately to meet the client's needs within the limits defined by the commissioning body.</w:t>
      </w:r>
    </w:p>
    <w:p w14:paraId="6C1CA6EB" w14:textId="77777777" w:rsidR="004B744B" w:rsidRPr="00BF1022" w:rsidRDefault="004B744B" w:rsidP="008267C7">
      <w:r w:rsidRPr="00E67A82">
        <w:t>As the Supplementary Services Funding Pool is a limited resource, urgent priority should be given to purchase services that:</w:t>
      </w:r>
    </w:p>
    <w:p w14:paraId="223C7132" w14:textId="77777777" w:rsidR="004B744B" w:rsidRPr="00AA6EE9" w:rsidRDefault="004B744B" w:rsidP="008267C7">
      <w:pPr>
        <w:pStyle w:val="ListBullet"/>
      </w:pPr>
      <w:r w:rsidRPr="00AA6EE9">
        <w:t xml:space="preserve">address risk factors, such as a waiting period for a service that is longer than is clinically </w:t>
      </w:r>
      <w:proofErr w:type="gramStart"/>
      <w:r w:rsidRPr="00AA6EE9">
        <w:t>appropriate;</w:t>
      </w:r>
      <w:proofErr w:type="gramEnd"/>
    </w:p>
    <w:p w14:paraId="03CF4D54" w14:textId="77777777" w:rsidR="004B744B" w:rsidRPr="00AA6EE9" w:rsidRDefault="004B744B" w:rsidP="008267C7">
      <w:pPr>
        <w:pStyle w:val="ListBullet"/>
      </w:pPr>
      <w:r w:rsidRPr="00AA6EE9">
        <w:t xml:space="preserve">reduce the likelihood of a hospital </w:t>
      </w:r>
      <w:proofErr w:type="gramStart"/>
      <w:r w:rsidRPr="00AA6EE9">
        <w:t>admission;</w:t>
      </w:r>
      <w:proofErr w:type="gramEnd"/>
    </w:p>
    <w:p w14:paraId="42D651E7" w14:textId="4B104E60" w:rsidR="004B744B" w:rsidRPr="00AA6EE9" w:rsidRDefault="004B744B" w:rsidP="008267C7">
      <w:pPr>
        <w:pStyle w:val="ListBullet"/>
      </w:pPr>
      <w:r w:rsidRPr="00AA6EE9">
        <w:t xml:space="preserve">are likely to reduce a </w:t>
      </w:r>
      <w:r>
        <w:t>client</w:t>
      </w:r>
      <w:r w:rsidR="00225D96">
        <w:t>’</w:t>
      </w:r>
      <w:r w:rsidRPr="00AA6EE9">
        <w:t xml:space="preserve">s length of stay in a </w:t>
      </w:r>
      <w:proofErr w:type="gramStart"/>
      <w:r w:rsidRPr="00AA6EE9">
        <w:t>hospital;</w:t>
      </w:r>
      <w:proofErr w:type="gramEnd"/>
    </w:p>
    <w:p w14:paraId="3310E236" w14:textId="77777777" w:rsidR="004B744B" w:rsidRPr="00BF1022" w:rsidRDefault="004B744B" w:rsidP="008267C7">
      <w:pPr>
        <w:pStyle w:val="ListBullet"/>
      </w:pPr>
      <w:r w:rsidRPr="00E67A82">
        <w:t>are not available through other funding sources</w:t>
      </w:r>
      <w:r w:rsidRPr="00BF1022">
        <w:t>; and/or</w:t>
      </w:r>
    </w:p>
    <w:p w14:paraId="29C2FC8C" w14:textId="1FD31D9F" w:rsidR="004B744B" w:rsidRPr="00F030A8" w:rsidRDefault="004B744B" w:rsidP="008267C7">
      <w:pPr>
        <w:pStyle w:val="ListBullet"/>
      </w:pPr>
      <w:r w:rsidRPr="00F030A8">
        <w:t>ensure access to a clinical service that would not be accessible because of the cost</w:t>
      </w:r>
      <w:r w:rsidR="00076B1F">
        <w:t>s</w:t>
      </w:r>
      <w:r w:rsidRPr="00F030A8">
        <w:t xml:space="preserve"> of</w:t>
      </w:r>
      <w:r w:rsidR="005D1367">
        <w:t xml:space="preserve"> </w:t>
      </w:r>
      <w:r w:rsidRPr="00F030A8">
        <w:t>transport service</w:t>
      </w:r>
      <w:r w:rsidR="00076B1F">
        <w:t>(s)</w:t>
      </w:r>
      <w:r w:rsidRPr="00F030A8">
        <w:t>.</w:t>
      </w:r>
    </w:p>
    <w:p w14:paraId="385F52EA" w14:textId="2A3519E4" w:rsidR="004B744B" w:rsidRPr="00F030A8" w:rsidRDefault="004B744B" w:rsidP="008267C7">
      <w:r w:rsidRPr="00F030A8">
        <w:t xml:space="preserve">As access to the Supplementary Services </w:t>
      </w:r>
      <w:r>
        <w:t xml:space="preserve">Funding Pool </w:t>
      </w:r>
      <w:r w:rsidRPr="00F030A8">
        <w:t xml:space="preserve">may be required in urgent circumstances, local arrangements need to accommodate rapid approval of expenditure and access to Supplementary Services </w:t>
      </w:r>
      <w:r w:rsidR="00E01723">
        <w:t>F</w:t>
      </w:r>
      <w:r w:rsidRPr="00F030A8">
        <w:t>unds.</w:t>
      </w:r>
    </w:p>
    <w:p w14:paraId="754B2B69" w14:textId="77777777" w:rsidR="00F17FF7" w:rsidRPr="00DE5B76" w:rsidRDefault="00F17FF7" w:rsidP="008267C7">
      <w:pPr>
        <w:sectPr w:rsidR="00F17FF7" w:rsidRPr="00DE5B76" w:rsidSect="00205A93">
          <w:headerReference w:type="even" r:id="rId26"/>
          <w:headerReference w:type="default" r:id="rId27"/>
          <w:footerReference w:type="even" r:id="rId28"/>
          <w:footerReference w:type="default" r:id="rId29"/>
          <w:headerReference w:type="first" r:id="rId30"/>
          <w:footerReference w:type="first" r:id="rId31"/>
          <w:pgSz w:w="11906" w:h="16838"/>
          <w:pgMar w:top="1701" w:right="1418" w:bottom="1418" w:left="1418" w:header="709" w:footer="709" w:gutter="0"/>
          <w:cols w:space="708"/>
          <w:docGrid w:linePitch="360"/>
        </w:sectPr>
      </w:pPr>
      <w:bookmarkStart w:id="315" w:name="_Toc5097118"/>
    </w:p>
    <w:p w14:paraId="4D38B149" w14:textId="5EC52B1B" w:rsidR="00B10CCE" w:rsidRDefault="004B744B" w:rsidP="00DE5B76">
      <w:pPr>
        <w:pStyle w:val="Heading1"/>
      </w:pPr>
      <w:bookmarkStart w:id="316" w:name="_Toc169185823"/>
      <w:bookmarkStart w:id="317" w:name="_Toc201167248"/>
      <w:r w:rsidRPr="00F17FF7">
        <w:lastRenderedPageBreak/>
        <w:t xml:space="preserve">Allowable use of funds for </w:t>
      </w:r>
      <w:bookmarkEnd w:id="315"/>
      <w:r w:rsidR="00C21477">
        <w:t>ITC</w:t>
      </w:r>
      <w:bookmarkEnd w:id="316"/>
      <w:bookmarkEnd w:id="317"/>
    </w:p>
    <w:p w14:paraId="5CD03AED" w14:textId="680D9FEF" w:rsidR="00C437FF" w:rsidRDefault="009F11AF" w:rsidP="008267C7">
      <w:r>
        <w:t xml:space="preserve">The </w:t>
      </w:r>
      <w:r w:rsidR="00B10CCE">
        <w:t xml:space="preserve">ITC budget </w:t>
      </w:r>
      <w:r>
        <w:t>should allocate at least</w:t>
      </w:r>
      <w:r w:rsidR="007C5C97">
        <w:t xml:space="preserve"> 60% of funds to workforce as part of the</w:t>
      </w:r>
      <w:r w:rsidR="00B10CCE">
        <w:t xml:space="preserve"> Integrated Team Care </w:t>
      </w:r>
      <w:r w:rsidR="005D1367">
        <w:t xml:space="preserve">component </w:t>
      </w:r>
      <w:r w:rsidR="00B10CCE">
        <w:t>(see Section 10.1)</w:t>
      </w:r>
      <w:r>
        <w:t xml:space="preserve">, with the remainder attributed </w:t>
      </w:r>
      <w:r w:rsidR="005D1367">
        <w:t xml:space="preserve">to the </w:t>
      </w:r>
      <w:r w:rsidR="00B10CCE">
        <w:t xml:space="preserve">Supplementary Services Fund </w:t>
      </w:r>
      <w:r w:rsidR="005D1367">
        <w:t xml:space="preserve">component </w:t>
      </w:r>
      <w:r w:rsidR="00B10CCE">
        <w:t xml:space="preserve">(see Section 10.2) of ITC. </w:t>
      </w:r>
    </w:p>
    <w:p w14:paraId="33764881" w14:textId="38146BE1" w:rsidR="00B10CCE" w:rsidRDefault="00140ECE" w:rsidP="008267C7">
      <w:r>
        <w:t>Approval should be sought</w:t>
      </w:r>
      <w:r w:rsidR="00B51C9B">
        <w:t xml:space="preserve"> from the </w:t>
      </w:r>
      <w:r w:rsidR="002917CE">
        <w:t>d</w:t>
      </w:r>
      <w:r w:rsidR="00B51C9B">
        <w:t xml:space="preserve">epartment </w:t>
      </w:r>
      <w:r w:rsidR="009F11AF">
        <w:t xml:space="preserve">if the forecasted or actual </w:t>
      </w:r>
      <w:r w:rsidR="00B51C9B">
        <w:t>workforce allocation</w:t>
      </w:r>
      <w:r w:rsidR="009F11AF">
        <w:t xml:space="preserve"> is expected to</w:t>
      </w:r>
      <w:r w:rsidR="00B51C9B">
        <w:t xml:space="preserve"> fall below </w:t>
      </w:r>
      <w:r w:rsidR="009F11AF">
        <w:t>6</w:t>
      </w:r>
      <w:r w:rsidR="00B51C9B">
        <w:t>0%</w:t>
      </w:r>
      <w:r w:rsidR="00576D9B">
        <w:t>,</w:t>
      </w:r>
      <w:r w:rsidR="00B51C9B">
        <w:t xml:space="preserve"> </w:t>
      </w:r>
      <w:r w:rsidR="009F11AF">
        <w:t>accompanied by appropriate justification</w:t>
      </w:r>
      <w:r w:rsidR="00B10CCE">
        <w:t>.</w:t>
      </w:r>
      <w:r w:rsidR="00576D9B">
        <w:t xml:space="preserve"> </w:t>
      </w:r>
      <w:r w:rsidR="00B93C3A">
        <w:t>A</w:t>
      </w:r>
      <w:r w:rsidR="00B93C3A" w:rsidRPr="00B93C3A">
        <w:t xml:space="preserve"> minimum allocation of 20% should be reserved for the Supplementary Services Funds to ensure both</w:t>
      </w:r>
      <w:r w:rsidR="00B93C3A">
        <w:t xml:space="preserve"> the</w:t>
      </w:r>
      <w:r w:rsidR="00B93C3A" w:rsidRPr="00B93C3A">
        <w:t xml:space="preserve"> care coordination and Supplementary Services objectives</w:t>
      </w:r>
      <w:r w:rsidR="00B93C3A">
        <w:t xml:space="preserve"> of ITC</w:t>
      </w:r>
      <w:r w:rsidR="00B93C3A" w:rsidRPr="00B93C3A">
        <w:t xml:space="preserve"> can be adequately met. The </w:t>
      </w:r>
      <w:r w:rsidR="002917CE">
        <w:t>d</w:t>
      </w:r>
      <w:r w:rsidR="00B93C3A" w:rsidRPr="00B93C3A">
        <w:t>epartment may consider lesser allocations on a case-by-case basis</w:t>
      </w:r>
      <w:r w:rsidR="00B93C3A">
        <w:t>.</w:t>
      </w:r>
    </w:p>
    <w:p w14:paraId="650C8488" w14:textId="257D2444" w:rsidR="004B744B" w:rsidRPr="00555483" w:rsidRDefault="00206846" w:rsidP="00555483">
      <w:pPr>
        <w:pStyle w:val="Heading2"/>
      </w:pPr>
      <w:bookmarkStart w:id="318" w:name="_Toc162342633"/>
      <w:bookmarkStart w:id="319" w:name="_Toc162361965"/>
      <w:bookmarkStart w:id="320" w:name="_Toc5097119"/>
      <w:bookmarkStart w:id="321" w:name="_Toc169185824"/>
      <w:bookmarkStart w:id="322" w:name="_Toc201167249"/>
      <w:bookmarkEnd w:id="318"/>
      <w:bookmarkEnd w:id="319"/>
      <w:r>
        <w:t xml:space="preserve"> </w:t>
      </w:r>
      <w:r w:rsidR="004B744B" w:rsidRPr="00555483">
        <w:t>Integrated Team Care</w:t>
      </w:r>
      <w:bookmarkEnd w:id="320"/>
      <w:bookmarkEnd w:id="321"/>
      <w:bookmarkEnd w:id="322"/>
    </w:p>
    <w:p w14:paraId="2C4551CA" w14:textId="77777777" w:rsidR="004B744B" w:rsidRPr="00F030A8" w:rsidRDefault="004B744B" w:rsidP="008267C7">
      <w:r>
        <w:t>ITC</w:t>
      </w:r>
      <w:r w:rsidRPr="00F030A8">
        <w:t xml:space="preserve"> funding can be applied to:</w:t>
      </w:r>
    </w:p>
    <w:p w14:paraId="7A5F79F0" w14:textId="5026713E" w:rsidR="004B744B" w:rsidRPr="00F030A8" w:rsidRDefault="004B744B" w:rsidP="008267C7">
      <w:pPr>
        <w:pStyle w:val="ListBullet"/>
      </w:pPr>
      <w:r w:rsidRPr="00F030A8">
        <w:t xml:space="preserve">salaries, salary on-costs, </w:t>
      </w:r>
      <w:r>
        <w:t xml:space="preserve">and </w:t>
      </w:r>
      <w:r w:rsidRPr="00F030A8">
        <w:t xml:space="preserve">travel </w:t>
      </w:r>
      <w:r>
        <w:t>associated with</w:t>
      </w:r>
      <w:r w:rsidRPr="00F030A8">
        <w:t xml:space="preserve"> the employment of </w:t>
      </w:r>
      <w:r w:rsidR="00C07C7D">
        <w:t>ATSIHPO</w:t>
      </w:r>
      <w:r>
        <w:t>s</w:t>
      </w:r>
      <w:r w:rsidRPr="00F030A8">
        <w:t xml:space="preserve">, </w:t>
      </w:r>
      <w:r>
        <w:t>Outreach Workers</w:t>
      </w:r>
      <w:r w:rsidRPr="00F030A8">
        <w:t>, and Care Coordinators.</w:t>
      </w:r>
      <w:r w:rsidR="005D1367">
        <w:t xml:space="preserve"> </w:t>
      </w:r>
      <w:r w:rsidRPr="00F030A8">
        <w:t xml:space="preserve">It can include travel and accommodation costs for Care Coordinators, </w:t>
      </w:r>
      <w:r w:rsidR="00C07C7D">
        <w:t>ATSIHPO</w:t>
      </w:r>
      <w:r>
        <w:t>s</w:t>
      </w:r>
      <w:r w:rsidRPr="00F030A8">
        <w:t xml:space="preserve"> and </w:t>
      </w:r>
      <w:r>
        <w:t>Outreach Workers</w:t>
      </w:r>
      <w:r w:rsidRPr="00F030A8">
        <w:t xml:space="preserve"> to attend meetings and orientation and training activities.</w:t>
      </w:r>
      <w:r w:rsidR="005D1367">
        <w:t xml:space="preserve"> </w:t>
      </w:r>
      <w:r w:rsidRPr="00F030A8">
        <w:t xml:space="preserve">PHNs have the flexibility to allocate funds to employ an appropriate mix of </w:t>
      </w:r>
      <w:r w:rsidR="00C07C7D">
        <w:t>ATSIHPO</w:t>
      </w:r>
      <w:r>
        <w:t>s</w:t>
      </w:r>
      <w:r w:rsidR="00225D96">
        <w:t>,</w:t>
      </w:r>
      <w:r w:rsidRPr="00F030A8">
        <w:t xml:space="preserve"> </w:t>
      </w:r>
      <w:r>
        <w:t>Outreach Workers</w:t>
      </w:r>
      <w:r w:rsidRPr="00F030A8">
        <w:t xml:space="preserve"> </w:t>
      </w:r>
      <w:r w:rsidR="00225D96">
        <w:t xml:space="preserve">and </w:t>
      </w:r>
      <w:r w:rsidR="00225D96" w:rsidRPr="00F030A8">
        <w:t xml:space="preserve">Care Coordinators </w:t>
      </w:r>
      <w:r w:rsidRPr="00F030A8">
        <w:t xml:space="preserve">as determined by regional </w:t>
      </w:r>
      <w:proofErr w:type="gramStart"/>
      <w:r w:rsidRPr="00F030A8">
        <w:t>needs;</w:t>
      </w:r>
      <w:proofErr w:type="gramEnd"/>
    </w:p>
    <w:p w14:paraId="3BD5D7EF" w14:textId="77777777" w:rsidR="004B744B" w:rsidRPr="00F030A8" w:rsidRDefault="004B744B" w:rsidP="008267C7">
      <w:pPr>
        <w:pStyle w:val="ListBullet"/>
      </w:pPr>
      <w:r w:rsidRPr="00F030A8">
        <w:t xml:space="preserve">care coordination service support costs such as professional indemnity insurance directly attributable to the care coordination </w:t>
      </w:r>
      <w:proofErr w:type="gramStart"/>
      <w:r w:rsidRPr="00F030A8">
        <w:t>service;</w:t>
      </w:r>
      <w:proofErr w:type="gramEnd"/>
    </w:p>
    <w:p w14:paraId="15C9CD75" w14:textId="75B3A0CA" w:rsidR="004B744B" w:rsidRDefault="004B744B" w:rsidP="008267C7">
      <w:pPr>
        <w:pStyle w:val="ListBullet"/>
      </w:pPr>
      <w:r w:rsidRPr="00F030A8">
        <w:t>cover travel</w:t>
      </w:r>
      <w:r>
        <w:t xml:space="preserve"> costs of Outreach Workers</w:t>
      </w:r>
      <w:r w:rsidRPr="00F030A8">
        <w:t xml:space="preserve"> </w:t>
      </w:r>
      <w:r>
        <w:t xml:space="preserve">who </w:t>
      </w:r>
      <w:r w:rsidRPr="00F030A8">
        <w:t>assist Aboriginal and Torres Strait Islander people to attend appointments (e.g. leasing a vehicle or reimbursing staff for use of private vehicles).</w:t>
      </w:r>
      <w:r>
        <w:t xml:space="preserve"> This program is considered separate to any travel assistance provided by Care Coordinators using funds from the Supplementary Services Funding </w:t>
      </w:r>
      <w:proofErr w:type="gramStart"/>
      <w:r>
        <w:t>Pool;</w:t>
      </w:r>
      <w:proofErr w:type="gramEnd"/>
    </w:p>
    <w:p w14:paraId="79DBCEFA" w14:textId="59F28CE0" w:rsidR="004B744B" w:rsidRPr="00AC36E0" w:rsidRDefault="004B744B" w:rsidP="008267C7">
      <w:pPr>
        <w:pStyle w:val="ListBullet"/>
      </w:pPr>
      <w:r>
        <w:t xml:space="preserve">peer support and professional development activities for </w:t>
      </w:r>
      <w:r w:rsidR="00C07C7D">
        <w:t>ATSIHPO</w:t>
      </w:r>
      <w:r>
        <w:t xml:space="preserve">s, Care Coordinators and Outreach </w:t>
      </w:r>
      <w:proofErr w:type="gramStart"/>
      <w:r>
        <w:t>Workers;</w:t>
      </w:r>
      <w:proofErr w:type="gramEnd"/>
      <w:r w:rsidRPr="00AC36E0">
        <w:t xml:space="preserve"> </w:t>
      </w:r>
    </w:p>
    <w:p w14:paraId="00A045FC" w14:textId="46352657" w:rsidR="004B744B" w:rsidRDefault="00225D96" w:rsidP="008267C7">
      <w:pPr>
        <w:pStyle w:val="ListBullet"/>
      </w:pPr>
      <w:r>
        <w:t>p</w:t>
      </w:r>
      <w:r w:rsidR="004B744B">
        <w:t>rogram</w:t>
      </w:r>
      <w:r w:rsidR="004B744B" w:rsidRPr="009C6D7A">
        <w:t xml:space="preserve"> administration </w:t>
      </w:r>
      <w:r w:rsidR="004B744B">
        <w:t xml:space="preserve">of up </w:t>
      </w:r>
      <w:r w:rsidR="004B744B" w:rsidRPr="00A93CEB">
        <w:t>to</w:t>
      </w:r>
      <w:r w:rsidR="004B744B">
        <w:t>, but no more than,</w:t>
      </w:r>
      <w:r w:rsidR="004B744B" w:rsidRPr="00A93CEB">
        <w:t xml:space="preserve"> </w:t>
      </w:r>
      <w:r w:rsidR="004B744B">
        <w:t>8</w:t>
      </w:r>
      <w:r w:rsidR="004B744B" w:rsidRPr="00A93CEB">
        <w:t>%</w:t>
      </w:r>
      <w:r w:rsidR="004B744B">
        <w:t xml:space="preserve"> of total funding for </w:t>
      </w:r>
      <w:r w:rsidR="002F38C1">
        <w:t>commi</w:t>
      </w:r>
      <w:r w:rsidR="004B744B">
        <w:t>s</w:t>
      </w:r>
      <w:r w:rsidR="002F38C1">
        <w:t>sioning bodies</w:t>
      </w:r>
      <w:r w:rsidR="004B744B">
        <w:t xml:space="preserve">. There are different circumstances and challenges in different PHN regions, and an administrative fee of up to 8% of total Program funding is considered a reasonable benchmark for organisations commissioned to deliver ITC services. </w:t>
      </w:r>
      <w:r w:rsidR="002345F2">
        <w:t xml:space="preserve">Commissioning bodies </w:t>
      </w:r>
      <w:r w:rsidR="004B744B">
        <w:t>can consider the individual circumstances of commissioned organisations when finalising contracting arrangements with commissioned organisations, noting that value for money should be a key consideration. Program</w:t>
      </w:r>
      <w:r w:rsidR="004B744B" w:rsidRPr="00375BF6">
        <w:t xml:space="preserve"> administration</w:t>
      </w:r>
      <w:r w:rsidR="004B744B">
        <w:t xml:space="preserve"> </w:t>
      </w:r>
      <w:r w:rsidR="004B744B" w:rsidRPr="00375BF6">
        <w:t>include</w:t>
      </w:r>
      <w:r w:rsidR="004B744B">
        <w:t>s</w:t>
      </w:r>
      <w:r w:rsidR="004B744B" w:rsidRPr="00375BF6">
        <w:t xml:space="preserve"> commissioning, ongoing contract management and reporting requirements</w:t>
      </w:r>
      <w:r w:rsidR="004B744B">
        <w:t xml:space="preserve">. </w:t>
      </w:r>
    </w:p>
    <w:p w14:paraId="1FA97D16" w14:textId="77777777" w:rsidR="004B744B" w:rsidRDefault="004B744B" w:rsidP="008267C7">
      <w:pPr>
        <w:pStyle w:val="ListBullet2"/>
      </w:pPr>
      <w:r>
        <w:t>This allocation may be used, if appropriate and necessary, to fund staff involved in program administration, e.g., managing program expenditure including Supplementary Services and reporting. Where this is the case, ITC funding must only be used to fund the proportion of staff wages that is the same as the proportion of their time spent on ITC work. ITC funds must not be used to pay 100% of the wages to support staff unless 100% of the work is on ITC.</w:t>
      </w:r>
    </w:p>
    <w:p w14:paraId="443072BC" w14:textId="4A8CBA20" w:rsidR="004B744B" w:rsidRDefault="008F48D3" w:rsidP="008267C7">
      <w:pPr>
        <w:pStyle w:val="ListBullet"/>
      </w:pPr>
      <w:r w:rsidRPr="00555483">
        <w:rPr>
          <w:rStyle w:val="Strong"/>
        </w:rPr>
        <w:lastRenderedPageBreak/>
        <w:t>c</w:t>
      </w:r>
      <w:r w:rsidR="004B744B" w:rsidRPr="00555483">
        <w:rPr>
          <w:rStyle w:val="Strong"/>
        </w:rPr>
        <w:t xml:space="preserve">osts such as rent and other utilities must come from </w:t>
      </w:r>
      <w:r w:rsidR="008D3725" w:rsidRPr="00555483">
        <w:rPr>
          <w:rStyle w:val="Strong"/>
        </w:rPr>
        <w:t xml:space="preserve">the </w:t>
      </w:r>
      <w:r w:rsidR="004B744B" w:rsidRPr="00555483">
        <w:rPr>
          <w:rStyle w:val="Strong"/>
        </w:rPr>
        <w:t>core funding</w:t>
      </w:r>
      <w:r w:rsidR="008D3725" w:rsidRPr="00555483">
        <w:rPr>
          <w:rStyle w:val="Strong"/>
        </w:rPr>
        <w:t xml:space="preserve"> of commissioning bodies</w:t>
      </w:r>
      <w:r w:rsidR="00152FD0" w:rsidRPr="00555483">
        <w:rPr>
          <w:rStyle w:val="Strong"/>
        </w:rPr>
        <w:t xml:space="preserve"> and</w:t>
      </w:r>
      <w:r w:rsidR="004B744B" w:rsidRPr="00555483">
        <w:rPr>
          <w:rStyle w:val="Strong"/>
        </w:rPr>
        <w:t xml:space="preserve"> not </w:t>
      </w:r>
      <w:r w:rsidR="00C21477" w:rsidRPr="00555483">
        <w:rPr>
          <w:rStyle w:val="Strong"/>
        </w:rPr>
        <w:t>ITC</w:t>
      </w:r>
      <w:r w:rsidR="004B744B" w:rsidRPr="00555483">
        <w:rPr>
          <w:rStyle w:val="Strong"/>
        </w:rPr>
        <w:t xml:space="preserve"> funding</w:t>
      </w:r>
      <w:r w:rsidR="004B744B">
        <w:t>; and</w:t>
      </w:r>
    </w:p>
    <w:p w14:paraId="11AE6F0D" w14:textId="7744F106" w:rsidR="004B744B" w:rsidRPr="009C6D7A" w:rsidRDefault="004B744B" w:rsidP="008267C7">
      <w:pPr>
        <w:pStyle w:val="ListBullet"/>
      </w:pPr>
      <w:r w:rsidRPr="00DE5B76">
        <w:t xml:space="preserve">needs assessments and market analyses might result in more than one </w:t>
      </w:r>
      <w:r w:rsidR="00627884" w:rsidRPr="00DE5B76">
        <w:t>commissioning body contracting t</w:t>
      </w:r>
      <w:r w:rsidRPr="00DE5B76">
        <w:t>he same service provider. If this situation occurs</w:t>
      </w:r>
      <w:r w:rsidR="008F48D3" w:rsidRPr="00DE5B76">
        <w:t>,</w:t>
      </w:r>
      <w:r w:rsidRPr="00DE5B76">
        <w:t xml:space="preserve"> the </w:t>
      </w:r>
      <w:r w:rsidR="00627884" w:rsidRPr="00DE5B76">
        <w:t>respective</w:t>
      </w:r>
      <w:r w:rsidR="00627884">
        <w:t xml:space="preserve"> commis</w:t>
      </w:r>
      <w:r w:rsidRPr="00793614">
        <w:t>s</w:t>
      </w:r>
      <w:r w:rsidR="00627884">
        <w:t>ioning bodies</w:t>
      </w:r>
      <w:r w:rsidRPr="00793614">
        <w:t xml:space="preserve"> and the service provider would be expected to work together to ensure that the most efficient administrative approach is implemented</w:t>
      </w:r>
      <w:r w:rsidRPr="001B4BCD">
        <w:t>.</w:t>
      </w:r>
    </w:p>
    <w:p w14:paraId="6BE7124C" w14:textId="77777777" w:rsidR="004B744B" w:rsidRDefault="004B744B" w:rsidP="008267C7">
      <w:r w:rsidRPr="00F030A8">
        <w:t xml:space="preserve">Funding must not be used to provide clinical services, other than those provided </w:t>
      </w:r>
      <w:r>
        <w:t xml:space="preserve">by Care Coordinators where appropriate. </w:t>
      </w:r>
    </w:p>
    <w:p w14:paraId="1AB5DFE1" w14:textId="77777777" w:rsidR="004B744B" w:rsidRPr="00F030A8" w:rsidRDefault="004B744B" w:rsidP="008267C7">
      <w:r>
        <w:t>Funding must also not be used</w:t>
      </w:r>
      <w:r w:rsidRPr="00F030A8">
        <w:t xml:space="preserve"> to purchase assets. </w:t>
      </w:r>
    </w:p>
    <w:p w14:paraId="4E5A6E5D" w14:textId="72197309" w:rsidR="004B744B" w:rsidRPr="00F030A8" w:rsidRDefault="00627884" w:rsidP="008267C7">
      <w:r>
        <w:t>Commissioning bodie</w:t>
      </w:r>
      <w:r w:rsidRPr="00F030A8">
        <w:t xml:space="preserve">s </w:t>
      </w:r>
      <w:r w:rsidR="004B744B" w:rsidRPr="00F030A8">
        <w:t xml:space="preserve">have the flexibility to work with neighbouring </w:t>
      </w:r>
      <w:r w:rsidR="00854F9A">
        <w:t xml:space="preserve">commissioning bodies, </w:t>
      </w:r>
      <w:r w:rsidR="004B744B" w:rsidRPr="00F030A8">
        <w:t>PHNs</w:t>
      </w:r>
      <w:r w:rsidR="004B744B">
        <w:t xml:space="preserve">, </w:t>
      </w:r>
      <w:r w:rsidR="0088550D">
        <w:t>ACCHS/</w:t>
      </w:r>
      <w:r w:rsidR="004B744B">
        <w:t>AMS</w:t>
      </w:r>
      <w:r w:rsidR="004B744B" w:rsidRPr="00F030A8">
        <w:t xml:space="preserve"> </w:t>
      </w:r>
      <w:r w:rsidR="004B744B">
        <w:t xml:space="preserve">or mainstream services </w:t>
      </w:r>
      <w:r w:rsidR="004B744B" w:rsidRPr="00F030A8">
        <w:t>following agreement by all parties. This may include pooling of resources.</w:t>
      </w:r>
    </w:p>
    <w:p w14:paraId="5548C76D" w14:textId="027B78C0" w:rsidR="00B10CCE" w:rsidRDefault="004B744B" w:rsidP="008267C7">
      <w:r w:rsidRPr="00F030A8">
        <w:t xml:space="preserve">Such arrangements would need to be reflected in the </w:t>
      </w:r>
      <w:r w:rsidR="007C5C97">
        <w:t>Activity</w:t>
      </w:r>
      <w:r w:rsidR="007C5C97" w:rsidRPr="00F030A8">
        <w:t xml:space="preserve"> </w:t>
      </w:r>
      <w:r>
        <w:t>Work P</w:t>
      </w:r>
      <w:r w:rsidRPr="00F030A8">
        <w:t xml:space="preserve">lans of the </w:t>
      </w:r>
      <w:r w:rsidR="00854F9A">
        <w:t>commi</w:t>
      </w:r>
      <w:r w:rsidRPr="00F030A8">
        <w:t>s</w:t>
      </w:r>
      <w:r w:rsidR="00854F9A">
        <w:t>sioning bodies</w:t>
      </w:r>
      <w:r w:rsidRPr="00F030A8">
        <w:t xml:space="preserve"> involved. The relevant </w:t>
      </w:r>
      <w:r w:rsidR="004A5470">
        <w:t xml:space="preserve">Grant Officer or Funding Arrangement Manager (FAM) </w:t>
      </w:r>
      <w:r w:rsidRPr="00F030A8">
        <w:t>must be advised of any such arrangement an</w:t>
      </w:r>
      <w:r w:rsidR="009C0356">
        <w:t>d</w:t>
      </w:r>
      <w:r w:rsidRPr="00F030A8">
        <w:t xml:space="preserve"> will need to receive prior approval from the </w:t>
      </w:r>
      <w:r w:rsidR="002917CE">
        <w:t>d</w:t>
      </w:r>
      <w:r w:rsidRPr="00F030A8">
        <w:t xml:space="preserve">epartment through the </w:t>
      </w:r>
      <w:r w:rsidR="005D1367">
        <w:t>Activity</w:t>
      </w:r>
      <w:r w:rsidR="005D1367" w:rsidRPr="00F030A8">
        <w:t xml:space="preserve"> </w:t>
      </w:r>
      <w:r>
        <w:t>Work P</w:t>
      </w:r>
      <w:r w:rsidRPr="00F030A8">
        <w:t xml:space="preserve">lan </w:t>
      </w:r>
      <w:r>
        <w:t xml:space="preserve">development </w:t>
      </w:r>
      <w:r w:rsidRPr="00F030A8">
        <w:t>process.</w:t>
      </w:r>
    </w:p>
    <w:p w14:paraId="48C984D7" w14:textId="2C59318F" w:rsidR="004B744B" w:rsidRDefault="00DE5B76" w:rsidP="00DE5B76">
      <w:pPr>
        <w:pStyle w:val="Boxtype"/>
      </w:pPr>
      <w:r w:rsidRPr="00DE5B76">
        <w:t>If you are unsure whether ITC funds can be used for a particular item or activity, please contact your relevant Grant Officer or FAM.</w:t>
      </w:r>
    </w:p>
    <w:p w14:paraId="75F9FB27" w14:textId="19936B1B" w:rsidR="004B744B" w:rsidRPr="00555483" w:rsidRDefault="00206846" w:rsidP="00555483">
      <w:pPr>
        <w:pStyle w:val="Heading2"/>
      </w:pPr>
      <w:bookmarkStart w:id="323" w:name="_Toc5097120"/>
      <w:bookmarkStart w:id="324" w:name="_Toc169185825"/>
      <w:bookmarkStart w:id="325" w:name="_Toc201167250"/>
      <w:r>
        <w:t xml:space="preserve"> </w:t>
      </w:r>
      <w:r w:rsidR="004B744B" w:rsidRPr="00555483">
        <w:t>Use of Supplementary Services Funds</w:t>
      </w:r>
      <w:bookmarkEnd w:id="323"/>
      <w:bookmarkEnd w:id="324"/>
      <w:bookmarkEnd w:id="325"/>
    </w:p>
    <w:p w14:paraId="1224F936" w14:textId="74044B98" w:rsidR="004B744B" w:rsidRDefault="000B3967" w:rsidP="008267C7">
      <w:r>
        <w:t xml:space="preserve">Commissioning bodies </w:t>
      </w:r>
      <w:r w:rsidR="00DD35DD">
        <w:t>may</w:t>
      </w:r>
      <w:r w:rsidR="004B744B">
        <w:t xml:space="preserve"> manage the Supplementary Services Funding Pool </w:t>
      </w:r>
      <w:proofErr w:type="gramStart"/>
      <w:r w:rsidR="004B744B">
        <w:t>centrally, and</w:t>
      </w:r>
      <w:proofErr w:type="gramEnd"/>
      <w:r w:rsidR="004B744B">
        <w:t xml:space="preserve"> have responsibility for reporting to the </w:t>
      </w:r>
      <w:r w:rsidR="002917CE">
        <w:t>d</w:t>
      </w:r>
      <w:r w:rsidR="004B744B">
        <w:t xml:space="preserve">epartment on the number and type of services purchased and how the Supplementary Services Funding Pool is expended. In certain circumstances, the </w:t>
      </w:r>
      <w:r w:rsidR="006302CA">
        <w:t xml:space="preserve">commissioning body </w:t>
      </w:r>
      <w:r w:rsidR="004B744B">
        <w:t xml:space="preserve">may choose to provide an allocation of Supplementary Services Funding to a commissioned organisation. In such cases, the commissioned organisation will report the above information to the </w:t>
      </w:r>
      <w:r w:rsidR="006302CA">
        <w:t>commissioning body</w:t>
      </w:r>
      <w:r w:rsidR="004B744B">
        <w:t xml:space="preserve">, which will include this information in its reporting to the </w:t>
      </w:r>
      <w:r w:rsidR="002917CE">
        <w:t>d</w:t>
      </w:r>
      <w:r w:rsidR="004B744B">
        <w:t>epartment.</w:t>
      </w:r>
    </w:p>
    <w:p w14:paraId="2F7951C7" w14:textId="03D95812" w:rsidR="004B744B" w:rsidRPr="00F030A8" w:rsidRDefault="004B744B" w:rsidP="008267C7">
      <w:r w:rsidRPr="00F030A8">
        <w:t xml:space="preserve">Supplementary Services </w:t>
      </w:r>
      <w:r>
        <w:t>F</w:t>
      </w:r>
      <w:r w:rsidRPr="00F030A8">
        <w:t xml:space="preserve">unds can only be accessed by Care Coordinators. Funds may not be accessed by </w:t>
      </w:r>
      <w:r w:rsidR="00C07C7D">
        <w:t>ATSIHPO</w:t>
      </w:r>
      <w:r>
        <w:t>s</w:t>
      </w:r>
      <w:r w:rsidRPr="00F030A8">
        <w:t xml:space="preserve"> or </w:t>
      </w:r>
      <w:r>
        <w:t>Outreach Workers</w:t>
      </w:r>
      <w:r w:rsidRPr="00F030A8">
        <w:t>.</w:t>
      </w:r>
    </w:p>
    <w:p w14:paraId="5C430BDE" w14:textId="15C26A07" w:rsidR="004B744B" w:rsidRPr="00F030A8" w:rsidRDefault="004B744B" w:rsidP="008267C7">
      <w:r w:rsidRPr="00F030A8">
        <w:t xml:space="preserve">Dental is </w:t>
      </w:r>
      <w:r w:rsidRPr="00555483">
        <w:rPr>
          <w:rStyle w:val="Strong"/>
        </w:rPr>
        <w:t>not</w:t>
      </w:r>
      <w:r w:rsidRPr="00F030A8">
        <w:t xml:space="preserve"> considered an eligible condition for the purposes of </w:t>
      </w:r>
      <w:r w:rsidR="00C21477">
        <w:t>ITC</w:t>
      </w:r>
      <w:r w:rsidRPr="00F030A8">
        <w:t xml:space="preserve">, and Supplementary Services </w:t>
      </w:r>
      <w:r w:rsidR="00E01723">
        <w:t>F</w:t>
      </w:r>
      <w:r w:rsidRPr="00F030A8">
        <w:t>unds cannot be used to pay for dental aids, procedures or services.</w:t>
      </w:r>
    </w:p>
    <w:p w14:paraId="132B35EB" w14:textId="77777777" w:rsidR="004B744B" w:rsidRPr="00555483" w:rsidRDefault="004B744B" w:rsidP="00555483">
      <w:pPr>
        <w:pStyle w:val="Heading3"/>
      </w:pPr>
      <w:bookmarkStart w:id="326" w:name="_Toc5097121"/>
      <w:bookmarkStart w:id="327" w:name="_Toc169185826"/>
      <w:bookmarkStart w:id="328" w:name="_Toc201167251"/>
      <w:r w:rsidRPr="00555483">
        <w:t>Fees for service</w:t>
      </w:r>
      <w:bookmarkEnd w:id="326"/>
      <w:bookmarkEnd w:id="327"/>
      <w:bookmarkEnd w:id="328"/>
    </w:p>
    <w:p w14:paraId="7BC02BEB" w14:textId="77777777" w:rsidR="004B744B" w:rsidRPr="00F030A8" w:rsidRDefault="004B744B" w:rsidP="008267C7">
      <w:r w:rsidRPr="00F030A8">
        <w:t xml:space="preserve">Care Coordinators can draw on Supplementary Services </w:t>
      </w:r>
      <w:r>
        <w:t>F</w:t>
      </w:r>
      <w:r w:rsidRPr="00F030A8">
        <w:t>und</w:t>
      </w:r>
      <w:r>
        <w:t>s</w:t>
      </w:r>
      <w:r w:rsidRPr="00F030A8">
        <w:t xml:space="preserve"> to assist </w:t>
      </w:r>
      <w:r>
        <w:t>client</w:t>
      </w:r>
      <w:r w:rsidRPr="00F030A8">
        <w:t xml:space="preserve">s to access medical specialist and allied health services, where these services are not otherwise available in a clinically acceptable timeframe. </w:t>
      </w:r>
    </w:p>
    <w:p w14:paraId="1661D561" w14:textId="1B251612" w:rsidR="004B744B" w:rsidRPr="00F030A8" w:rsidRDefault="004B744B" w:rsidP="008267C7">
      <w:r w:rsidRPr="00F030A8">
        <w:t xml:space="preserve">Supplementary Services </w:t>
      </w:r>
      <w:r>
        <w:t>F</w:t>
      </w:r>
      <w:r w:rsidRPr="00F030A8">
        <w:t>unds may be used to directly pay fees for services by allied health providers or to pay in full or meet the difference between MBS rebates and fees charged by private specialists or allied health providers.</w:t>
      </w:r>
      <w:r w:rsidR="00670327">
        <w:t xml:space="preserve"> </w:t>
      </w:r>
      <w:r>
        <w:t xml:space="preserve">A panel </w:t>
      </w:r>
      <w:r w:rsidRPr="00F030A8">
        <w:t xml:space="preserve">of preferred providers and organisations </w:t>
      </w:r>
      <w:r w:rsidRPr="00F030A8">
        <w:lastRenderedPageBreak/>
        <w:t xml:space="preserve">that provide services in a culturally </w:t>
      </w:r>
      <w:r w:rsidR="00A45650">
        <w:t>safe</w:t>
      </w:r>
      <w:r w:rsidR="00A45650" w:rsidRPr="00F030A8">
        <w:t xml:space="preserve"> </w:t>
      </w:r>
      <w:r w:rsidRPr="00F030A8">
        <w:t xml:space="preserve">way, or providers who agree to bulk bill </w:t>
      </w:r>
      <w:r>
        <w:t>client</w:t>
      </w:r>
      <w:r w:rsidRPr="00F030A8">
        <w:t xml:space="preserve">s being referred under </w:t>
      </w:r>
      <w:r w:rsidR="00C21477">
        <w:t>ITC</w:t>
      </w:r>
      <w:r w:rsidRPr="00F030A8">
        <w:t>, may be established at the local level.</w:t>
      </w:r>
    </w:p>
    <w:p w14:paraId="42439938" w14:textId="59D25F73" w:rsidR="004B744B" w:rsidRPr="00F030A8" w:rsidRDefault="00DF65D0" w:rsidP="008267C7">
      <w:r>
        <w:t>Commi</w:t>
      </w:r>
      <w:r w:rsidR="004B744B" w:rsidRPr="008B0426">
        <w:t>s</w:t>
      </w:r>
      <w:r>
        <w:t>sioning bodies</w:t>
      </w:r>
      <w:r w:rsidR="004B744B" w:rsidRPr="008B0426">
        <w:t xml:space="preserve"> and the</w:t>
      </w:r>
      <w:r w:rsidR="00CB5E51">
        <w:t>ir</w:t>
      </w:r>
      <w:r w:rsidR="004B744B" w:rsidRPr="008B0426">
        <w:t xml:space="preserve"> </w:t>
      </w:r>
      <w:r>
        <w:t xml:space="preserve">contracted organisations </w:t>
      </w:r>
      <w:r w:rsidR="004B744B" w:rsidRPr="008B0426">
        <w:t xml:space="preserve">should refer to the information outlined in the ITC Frequently Asked Questions </w:t>
      </w:r>
      <w:r w:rsidR="004B744B">
        <w:t>at Appendix 1</w:t>
      </w:r>
      <w:r w:rsidR="004B744B" w:rsidRPr="008B0426">
        <w:t xml:space="preserve"> for more detail.</w:t>
      </w:r>
      <w:r w:rsidR="00670327">
        <w:t xml:space="preserve"> </w:t>
      </w:r>
      <w:r w:rsidR="004B744B" w:rsidRPr="00F030A8">
        <w:t xml:space="preserve">For further </w:t>
      </w:r>
      <w:r w:rsidR="004B744B">
        <w:t>information</w:t>
      </w:r>
      <w:r w:rsidR="004B744B" w:rsidRPr="00F030A8">
        <w:t xml:space="preserve"> relating to claiming Medicare items, please contact </w:t>
      </w:r>
      <w:r w:rsidR="00F6684F">
        <w:t>Services</w:t>
      </w:r>
      <w:r w:rsidR="00F6684F" w:rsidRPr="00F030A8">
        <w:t xml:space="preserve"> </w:t>
      </w:r>
      <w:r w:rsidR="004B744B" w:rsidRPr="00F030A8">
        <w:t>Australia</w:t>
      </w:r>
      <w:r w:rsidR="004B744B">
        <w:t xml:space="preserve"> </w:t>
      </w:r>
      <w:r w:rsidR="004B744B" w:rsidRPr="00F030A8">
        <w:t xml:space="preserve">at </w:t>
      </w:r>
      <w:hyperlink r:id="rId32" w:tooltip="Link to the Services Australia website" w:history="1">
        <w:r w:rsidR="00ED1580" w:rsidRPr="00ED1580">
          <w:rPr>
            <w:rStyle w:val="Hyperlink"/>
          </w:rPr>
          <w:t>www.servi</w:t>
        </w:r>
        <w:r w:rsidR="00ED1580" w:rsidRPr="008B5064">
          <w:rPr>
            <w:rStyle w:val="Hyperlink"/>
          </w:rPr>
          <w:t>cesaustralia.gov.au</w:t>
        </w:r>
      </w:hyperlink>
      <w:r w:rsidR="00ED1580">
        <w:t xml:space="preserve"> </w:t>
      </w:r>
      <w:r w:rsidR="004B744B" w:rsidRPr="00F030A8">
        <w:t>or telephone 132 011. For provider enquiries, telephone 132 150.</w:t>
      </w:r>
    </w:p>
    <w:p w14:paraId="3659CEEA" w14:textId="77777777" w:rsidR="004B744B" w:rsidRPr="00555483" w:rsidRDefault="004B744B" w:rsidP="00555483">
      <w:pPr>
        <w:pStyle w:val="Heading3"/>
      </w:pPr>
      <w:bookmarkStart w:id="329" w:name="_Toc5097122"/>
      <w:bookmarkStart w:id="330" w:name="_Toc169185827"/>
      <w:bookmarkStart w:id="331" w:name="_Toc201167252"/>
      <w:r w:rsidRPr="00555483">
        <w:t>Medical aids</w:t>
      </w:r>
      <w:bookmarkEnd w:id="329"/>
      <w:bookmarkEnd w:id="330"/>
      <w:bookmarkEnd w:id="331"/>
      <w:r w:rsidRPr="00555483">
        <w:t xml:space="preserve"> </w:t>
      </w:r>
    </w:p>
    <w:p w14:paraId="2E63AB1E" w14:textId="664F1956" w:rsidR="004B744B" w:rsidRPr="00F030A8" w:rsidRDefault="004B744B" w:rsidP="008267C7">
      <w:r w:rsidRPr="00F030A8">
        <w:t xml:space="preserve">Medical </w:t>
      </w:r>
      <w:r>
        <w:t>a</w:t>
      </w:r>
      <w:r w:rsidRPr="00F030A8">
        <w:t xml:space="preserve">ids may only be acquired using Supplementary Services </w:t>
      </w:r>
      <w:r w:rsidR="00E01723">
        <w:t>F</w:t>
      </w:r>
      <w:r w:rsidRPr="00F030A8">
        <w:t>unding where:</w:t>
      </w:r>
    </w:p>
    <w:p w14:paraId="40A87C02" w14:textId="77777777" w:rsidR="004B744B" w:rsidRPr="00BB3E0C" w:rsidRDefault="004B744B" w:rsidP="008267C7">
      <w:pPr>
        <w:pStyle w:val="ListBullet"/>
      </w:pPr>
      <w:r w:rsidRPr="00BB3E0C">
        <w:t xml:space="preserve">the medical aid is not available through any other </w:t>
      </w:r>
      <w:r>
        <w:t>funding source</w:t>
      </w:r>
      <w:r w:rsidRPr="00BB3E0C">
        <w:t xml:space="preserve"> in a clinically acceptable </w:t>
      </w:r>
      <w:proofErr w:type="gramStart"/>
      <w:r w:rsidRPr="00BB3E0C">
        <w:t>time;</w:t>
      </w:r>
      <w:proofErr w:type="gramEnd"/>
    </w:p>
    <w:p w14:paraId="1AAA37F7" w14:textId="77777777" w:rsidR="004B744B" w:rsidRPr="00F030A8" w:rsidRDefault="004B744B" w:rsidP="008267C7">
      <w:pPr>
        <w:pStyle w:val="ListBullet"/>
      </w:pPr>
      <w:r w:rsidRPr="00F030A8">
        <w:t xml:space="preserve">the need for the medical aid is related to the </w:t>
      </w:r>
      <w:r>
        <w:t>client</w:t>
      </w:r>
      <w:r w:rsidRPr="00F030A8">
        <w:t xml:space="preserve">’s chronic disease and is documented in the </w:t>
      </w:r>
      <w:r>
        <w:t>client</w:t>
      </w:r>
      <w:r w:rsidRPr="00F030A8">
        <w:t xml:space="preserve">’s care </w:t>
      </w:r>
      <w:proofErr w:type="gramStart"/>
      <w:r w:rsidRPr="00F030A8">
        <w:t>plan;</w:t>
      </w:r>
      <w:proofErr w:type="gramEnd"/>
      <w:r w:rsidRPr="00F030A8">
        <w:t xml:space="preserve"> </w:t>
      </w:r>
    </w:p>
    <w:p w14:paraId="0F31AD0A" w14:textId="77777777" w:rsidR="004B744B" w:rsidRPr="00F030A8" w:rsidRDefault="004B744B" w:rsidP="008267C7">
      <w:pPr>
        <w:pStyle w:val="ListBullet"/>
      </w:pPr>
      <w:r w:rsidRPr="00F030A8">
        <w:t>provision of the medical aid is part of a primary health care service provided by a GP, specialist or allied health provider (e.g. a pharmacist or podiatrist); and</w:t>
      </w:r>
    </w:p>
    <w:p w14:paraId="7FC815D8" w14:textId="77777777" w:rsidR="004B744B" w:rsidRPr="00F030A8" w:rsidRDefault="004B744B" w:rsidP="008267C7">
      <w:pPr>
        <w:pStyle w:val="ListBullet"/>
      </w:pPr>
      <w:r w:rsidRPr="00F030A8">
        <w:t xml:space="preserve">the </w:t>
      </w:r>
      <w:r>
        <w:t>client</w:t>
      </w:r>
      <w:r w:rsidRPr="00F030A8">
        <w:t xml:space="preserve"> is educated on the use and maintenance of the medical aid.</w:t>
      </w:r>
    </w:p>
    <w:p w14:paraId="39FB0F08" w14:textId="7D4E73AD" w:rsidR="004B744B" w:rsidRPr="00F030A8" w:rsidRDefault="004B744B" w:rsidP="008267C7">
      <w:r w:rsidRPr="00F030A8">
        <w:t xml:space="preserve">Care Coordinators will be expected to work with the </w:t>
      </w:r>
      <w:r>
        <w:t>client</w:t>
      </w:r>
      <w:r w:rsidRPr="00F030A8">
        <w:t xml:space="preserve">’s GP and other health practitioners to determine whether access to a medical aid is appropriate, taking into consideration the </w:t>
      </w:r>
      <w:r>
        <w:t>client</w:t>
      </w:r>
      <w:r w:rsidRPr="00F030A8">
        <w:t>’s ability to use and maintain the medical aid and associated accessories/consumables.</w:t>
      </w:r>
      <w:r>
        <w:t xml:space="preserve"> Supplementary Services </w:t>
      </w:r>
      <w:r w:rsidR="00E01723">
        <w:t>F</w:t>
      </w:r>
      <w:r>
        <w:t>unds may be used for maintenance costs for the specified list of medical aids.</w:t>
      </w:r>
    </w:p>
    <w:p w14:paraId="6F7C80A4" w14:textId="77777777" w:rsidR="004B744B" w:rsidRPr="00F030A8" w:rsidRDefault="004B744B" w:rsidP="008267C7">
      <w:r>
        <w:t>The m</w:t>
      </w:r>
      <w:r w:rsidRPr="00F030A8">
        <w:t xml:space="preserve">edical </w:t>
      </w:r>
      <w:r>
        <w:t>a</w:t>
      </w:r>
      <w:r w:rsidRPr="00F030A8">
        <w:t xml:space="preserve">ids allowable under Supplementary Services </w:t>
      </w:r>
      <w:r>
        <w:t>are</w:t>
      </w:r>
      <w:r w:rsidRPr="00F030A8">
        <w:t>:</w:t>
      </w:r>
    </w:p>
    <w:p w14:paraId="16601282" w14:textId="13CDBE3B" w:rsidR="004B744B" w:rsidRPr="00F030A8" w:rsidRDefault="00B21A2D" w:rsidP="008267C7">
      <w:pPr>
        <w:pStyle w:val="ListBullet"/>
      </w:pPr>
      <w:r>
        <w:t>a</w:t>
      </w:r>
      <w:r w:rsidR="004B744B" w:rsidRPr="00F030A8">
        <w:t>ssist</w:t>
      </w:r>
      <w:r w:rsidR="004B744B">
        <w:t>ed</w:t>
      </w:r>
      <w:r w:rsidR="004B744B" w:rsidRPr="00F030A8">
        <w:t xml:space="preserve"> </w:t>
      </w:r>
      <w:r w:rsidR="004B744B">
        <w:t>b</w:t>
      </w:r>
      <w:r w:rsidR="004B744B" w:rsidRPr="00F030A8">
        <w:t xml:space="preserve">reathing </w:t>
      </w:r>
      <w:r w:rsidR="004B744B">
        <w:t>e</w:t>
      </w:r>
      <w:r w:rsidR="004B744B" w:rsidRPr="00F030A8">
        <w:t xml:space="preserve">quipment (including asthma spacers; nebulisers; masks for asthma spacers and nebulisers; </w:t>
      </w:r>
      <w:r w:rsidR="004B744B">
        <w:t>c</w:t>
      </w:r>
      <w:r w:rsidR="004B744B" w:rsidRPr="00F030A8">
        <w:t xml:space="preserve">ontinuous </w:t>
      </w:r>
      <w:r w:rsidR="004B744B">
        <w:t>p</w:t>
      </w:r>
      <w:r w:rsidR="004B744B" w:rsidRPr="00F030A8">
        <w:t xml:space="preserve">ositive </w:t>
      </w:r>
      <w:r w:rsidR="004B744B">
        <w:t>a</w:t>
      </w:r>
      <w:r w:rsidR="004B744B" w:rsidRPr="00F030A8">
        <w:t xml:space="preserve">irways </w:t>
      </w:r>
      <w:r w:rsidR="004B744B">
        <w:t>p</w:t>
      </w:r>
      <w:r w:rsidR="004B744B" w:rsidRPr="00F030A8">
        <w:t>ressure (CPAP) machines; accessories for CPAP machines</w:t>
      </w:r>
      <w:proofErr w:type="gramStart"/>
      <w:r w:rsidR="004B744B" w:rsidRPr="00F030A8">
        <w:t>);</w:t>
      </w:r>
      <w:proofErr w:type="gramEnd"/>
    </w:p>
    <w:p w14:paraId="4E71AEFE" w14:textId="4657A8AF" w:rsidR="003411FF" w:rsidRDefault="00B21A2D" w:rsidP="008267C7">
      <w:pPr>
        <w:pStyle w:val="ListBullet"/>
      </w:pPr>
      <w:r>
        <w:t>b</w:t>
      </w:r>
      <w:r w:rsidR="004B744B" w:rsidRPr="00F030A8">
        <w:t xml:space="preserve">lood </w:t>
      </w:r>
      <w:r w:rsidR="004B744B">
        <w:t>s</w:t>
      </w:r>
      <w:r w:rsidR="004B744B" w:rsidRPr="00F030A8">
        <w:t>ugar/</w:t>
      </w:r>
      <w:r w:rsidR="004B744B">
        <w:t>g</w:t>
      </w:r>
      <w:r w:rsidR="004B744B" w:rsidRPr="00F030A8">
        <w:t xml:space="preserve">lucose </w:t>
      </w:r>
      <w:r w:rsidR="004B744B">
        <w:t>m</w:t>
      </w:r>
      <w:r w:rsidR="004B744B" w:rsidRPr="00F030A8">
        <w:t xml:space="preserve">onitoring </w:t>
      </w:r>
      <w:proofErr w:type="gramStart"/>
      <w:r w:rsidR="004B744B">
        <w:t>e</w:t>
      </w:r>
      <w:r w:rsidR="004B744B" w:rsidRPr="00F030A8">
        <w:t>quipment;</w:t>
      </w:r>
      <w:proofErr w:type="gramEnd"/>
    </w:p>
    <w:p w14:paraId="2D6F7482" w14:textId="50E6A318" w:rsidR="004B744B" w:rsidRPr="00F030A8" w:rsidRDefault="008F48D3" w:rsidP="008267C7">
      <w:pPr>
        <w:pStyle w:val="ListBullet2"/>
      </w:pPr>
      <w:r>
        <w:t>c</w:t>
      </w:r>
      <w:r w:rsidR="004B744B">
        <w:t xml:space="preserve">ontinuous glucose monitoring (CGM) devices are </w:t>
      </w:r>
      <w:r w:rsidR="004B744B" w:rsidRPr="00555483">
        <w:rPr>
          <w:rStyle w:val="Strong"/>
        </w:rPr>
        <w:t>not</w:t>
      </w:r>
      <w:r w:rsidR="004B744B">
        <w:t xml:space="preserve"> eligible for funding under Supplementary Services. Eligibility for access to subsidised CGM products under the National Diabetes Services Scheme is available from</w:t>
      </w:r>
      <w:r w:rsidR="006E703E">
        <w:t xml:space="preserve"> the</w:t>
      </w:r>
      <w:r w:rsidR="004B744B">
        <w:t xml:space="preserve"> </w:t>
      </w:r>
      <w:hyperlink r:id="rId33" w:tooltip="Link to the National Diabetes Services Scheme website" w:history="1">
        <w:r w:rsidR="006E703E" w:rsidRPr="006E703E">
          <w:rPr>
            <w:rStyle w:val="Hyperlink"/>
          </w:rPr>
          <w:t>NDSS website</w:t>
        </w:r>
      </w:hyperlink>
      <w:r w:rsidR="006E703E">
        <w:t xml:space="preserve">. </w:t>
      </w:r>
    </w:p>
    <w:p w14:paraId="27D55EFE" w14:textId="6F83E90D" w:rsidR="004B744B" w:rsidRDefault="00B21A2D" w:rsidP="008267C7">
      <w:pPr>
        <w:pStyle w:val="ListBullet"/>
      </w:pPr>
      <w:r>
        <w:t>d</w:t>
      </w:r>
      <w:r w:rsidR="004B744B" w:rsidRPr="00F030A8">
        <w:t xml:space="preserve">ose </w:t>
      </w:r>
      <w:r w:rsidR="004B744B">
        <w:t>a</w:t>
      </w:r>
      <w:r w:rsidR="004B744B" w:rsidRPr="00F030A8">
        <w:t xml:space="preserve">dministration </w:t>
      </w:r>
      <w:proofErr w:type="gramStart"/>
      <w:r w:rsidR="004B744B">
        <w:t>a</w:t>
      </w:r>
      <w:r w:rsidR="004B744B" w:rsidRPr="00F030A8">
        <w:t>ids;</w:t>
      </w:r>
      <w:proofErr w:type="gramEnd"/>
    </w:p>
    <w:p w14:paraId="3FA9FFDA" w14:textId="145E5ABB" w:rsidR="004B744B" w:rsidRPr="00F030A8" w:rsidRDefault="00B21A2D" w:rsidP="008267C7">
      <w:pPr>
        <w:pStyle w:val="ListBullet"/>
      </w:pPr>
      <w:r>
        <w:t>m</w:t>
      </w:r>
      <w:r w:rsidR="004B744B" w:rsidRPr="00F030A8">
        <w:t xml:space="preserve">edical </w:t>
      </w:r>
      <w:r w:rsidR="004B744B">
        <w:t>f</w:t>
      </w:r>
      <w:r w:rsidR="004B744B" w:rsidRPr="00F030A8">
        <w:t xml:space="preserve">ootwear that is prescribed and fitted by a </w:t>
      </w:r>
      <w:proofErr w:type="gramStart"/>
      <w:r w:rsidR="004B744B" w:rsidRPr="00F030A8">
        <w:t>podiatrist;</w:t>
      </w:r>
      <w:proofErr w:type="gramEnd"/>
      <w:r w:rsidR="004B744B">
        <w:t xml:space="preserve"> </w:t>
      </w:r>
    </w:p>
    <w:p w14:paraId="77C93645" w14:textId="76A4A307" w:rsidR="004B744B" w:rsidRDefault="00B21A2D" w:rsidP="008267C7">
      <w:pPr>
        <w:pStyle w:val="ListBullet"/>
      </w:pPr>
      <w:r>
        <w:t>m</w:t>
      </w:r>
      <w:r w:rsidR="004B744B" w:rsidRPr="00F030A8">
        <w:t>obility aids (e.g., crutches, walking frames, or non-electric wheelchairs)</w:t>
      </w:r>
      <w:r w:rsidR="004B744B">
        <w:t xml:space="preserve"> or shower chairs</w:t>
      </w:r>
      <w:r w:rsidR="003A0CB4">
        <w:t>; and</w:t>
      </w:r>
    </w:p>
    <w:p w14:paraId="7D33DA5E" w14:textId="23C81AE5" w:rsidR="004B744B" w:rsidRDefault="00B21A2D" w:rsidP="008267C7">
      <w:pPr>
        <w:pStyle w:val="ListBullet"/>
      </w:pPr>
      <w:r>
        <w:t>s</w:t>
      </w:r>
      <w:r w:rsidR="004B744B" w:rsidRPr="00E877C2">
        <w:t xml:space="preserve">pectacles (see Section </w:t>
      </w:r>
      <w:r w:rsidR="004B744B">
        <w:t>10</w:t>
      </w:r>
      <w:r w:rsidR="004B744B" w:rsidRPr="00E877C2">
        <w:t>.2.3 for conditions)</w:t>
      </w:r>
    </w:p>
    <w:p w14:paraId="31D02B01" w14:textId="77777777" w:rsidR="00F26F55" w:rsidRDefault="004B744B" w:rsidP="008267C7">
      <w:r w:rsidRPr="00F030A8">
        <w:t>Where possible, spacers should be used rather than nebulisers.</w:t>
      </w:r>
      <w:r w:rsidR="00F26F55">
        <w:t xml:space="preserve"> </w:t>
      </w:r>
    </w:p>
    <w:p w14:paraId="494D382A" w14:textId="63D4EF0B" w:rsidR="004B744B" w:rsidRDefault="00F26F55" w:rsidP="008267C7">
      <w:r>
        <w:t xml:space="preserve">Requests for medical aids which are not listed in Section 10.2.2 can be submitted to the </w:t>
      </w:r>
      <w:r w:rsidR="002917CE">
        <w:t>d</w:t>
      </w:r>
      <w:r>
        <w:t>epartment for consideration on a case-by-case basis, accompanied by the appropriate justification.</w:t>
      </w:r>
    </w:p>
    <w:p w14:paraId="4D0C3858" w14:textId="62673B1B" w:rsidR="00B333D9" w:rsidRDefault="00B333D9" w:rsidP="008267C7">
      <w:r>
        <w:t xml:space="preserve">Many of the quality use of medicines (QUM) devices listed above are available through the </w:t>
      </w:r>
      <w:r w:rsidR="006D769E" w:rsidRPr="00555483">
        <w:rPr>
          <w:rStyle w:val="Emphasis"/>
        </w:rPr>
        <w:t xml:space="preserve">Indigenous Health Services Pharmacy Support </w:t>
      </w:r>
      <w:r w:rsidR="004026E9" w:rsidRPr="00555483">
        <w:rPr>
          <w:rStyle w:val="Emphasis"/>
        </w:rPr>
        <w:t xml:space="preserve">(IHSPS) </w:t>
      </w:r>
      <w:r w:rsidR="004026E9">
        <w:t xml:space="preserve">and </w:t>
      </w:r>
      <w:r w:rsidR="004026E9" w:rsidRPr="00555483">
        <w:rPr>
          <w:rStyle w:val="Emphasis"/>
        </w:rPr>
        <w:t xml:space="preserve">Indigenous Dose Administration </w:t>
      </w:r>
      <w:r w:rsidR="004026E9" w:rsidRPr="00555483">
        <w:rPr>
          <w:rStyle w:val="Emphasis"/>
        </w:rPr>
        <w:lastRenderedPageBreak/>
        <w:t xml:space="preserve">Aids Program </w:t>
      </w:r>
      <w:r w:rsidR="004026E9">
        <w:t xml:space="preserve">administered by the pharmacy sector. </w:t>
      </w:r>
      <w:r w:rsidR="00AB4132">
        <w:t>These programs replace the Quality Use of Medicine Maximised for Aboriginal and Torres Strait Islander People (QUMAX)</w:t>
      </w:r>
      <w:r w:rsidR="00A5357C">
        <w:t xml:space="preserve">. </w:t>
      </w:r>
      <w:r w:rsidR="00AD4930">
        <w:t xml:space="preserve">Where possible and when available, PHNs and organisations commissioned to deliver ITC must preferentially use these programs to support ITC </w:t>
      </w:r>
      <w:r w:rsidR="00FE1A0F">
        <w:t>clients before utilising the Supplementary Services Funds. More information on each of the programs is available from the following links:</w:t>
      </w:r>
    </w:p>
    <w:p w14:paraId="415FD56D" w14:textId="1898D828" w:rsidR="00B43A04" w:rsidRDefault="008F1783" w:rsidP="008267C7">
      <w:pPr>
        <w:pStyle w:val="ListBullet"/>
      </w:pPr>
      <w:r w:rsidRPr="008267C7">
        <w:rPr>
          <w:rStyle w:val="Strong"/>
        </w:rPr>
        <w:t>Indigenous Health Services Pharmacy Support (IHSPS)</w:t>
      </w:r>
      <w:r>
        <w:t xml:space="preserve">: </w:t>
      </w:r>
      <w:hyperlink r:id="rId34" w:tooltip="Link to the Indigenous Health Services Pharmacy Support (IHSPS) resource via the Pharmacy Programs Administrator website" w:history="1">
        <w:r w:rsidR="00E83DF2" w:rsidRPr="00E83DF2">
          <w:rPr>
            <w:rStyle w:val="Hyperlink"/>
          </w:rPr>
          <w:t>Indigenous Health Services Pharmacy Support Program – Pharmacy Programs Administrator (ppaonline.com.au)</w:t>
        </w:r>
      </w:hyperlink>
      <w:r w:rsidR="00E83DF2">
        <w:t xml:space="preserve"> </w:t>
      </w:r>
    </w:p>
    <w:p w14:paraId="4105911A" w14:textId="13D3E71F" w:rsidR="00FE1A0F" w:rsidRDefault="00B43A04" w:rsidP="008267C7">
      <w:pPr>
        <w:pStyle w:val="ListBullet"/>
      </w:pPr>
      <w:r w:rsidRPr="008267C7">
        <w:rPr>
          <w:rStyle w:val="Strong"/>
        </w:rPr>
        <w:t>Indigenous Dose Administration Aids</w:t>
      </w:r>
      <w:r>
        <w:t xml:space="preserve">: </w:t>
      </w:r>
      <w:hyperlink r:id="rId35" w:tooltip="Link to the Indigenous Dose Administration Aids supporting resource via the Pharmacy Programs Administrator website" w:history="1">
        <w:r>
          <w:rPr>
            <w:rStyle w:val="Hyperlink"/>
          </w:rPr>
          <w:t>Indigenous Dose Administration Aids - Pharmacy Programs Administrator (ppaonline.com.au)</w:t>
        </w:r>
      </w:hyperlink>
    </w:p>
    <w:p w14:paraId="23AC5507" w14:textId="7AE35754" w:rsidR="004B744B" w:rsidRDefault="004B744B" w:rsidP="008267C7">
      <w:r w:rsidRPr="00F030A8">
        <w:t xml:space="preserve">Care Coordinators will be required to include in the </w:t>
      </w:r>
      <w:r w:rsidR="00E83DF2">
        <w:t>12–</w:t>
      </w:r>
      <w:r w:rsidRPr="00F030A8">
        <w:t xml:space="preserve">monthly </w:t>
      </w:r>
      <w:r>
        <w:t xml:space="preserve">progress </w:t>
      </w:r>
      <w:r w:rsidRPr="00F030A8">
        <w:t>reports</w:t>
      </w:r>
      <w:r>
        <w:t xml:space="preserve"> to the </w:t>
      </w:r>
      <w:r w:rsidR="002917CE">
        <w:t>d</w:t>
      </w:r>
      <w:r>
        <w:t>epartment</w:t>
      </w:r>
      <w:r w:rsidRPr="00F030A8">
        <w:t xml:space="preserve"> the details of Supplementary Services </w:t>
      </w:r>
      <w:r w:rsidR="00E01723">
        <w:t>F</w:t>
      </w:r>
      <w:r w:rsidRPr="00F030A8">
        <w:t xml:space="preserve">unding used to acquire approved medical aids (e.g. </w:t>
      </w:r>
      <w:r w:rsidR="00613E86">
        <w:t xml:space="preserve">number and </w:t>
      </w:r>
      <w:r w:rsidRPr="00F030A8">
        <w:t>type of aid</w:t>
      </w:r>
      <w:r w:rsidR="00255B65">
        <w:t>(s)</w:t>
      </w:r>
      <w:r w:rsidRPr="00F030A8">
        <w:t xml:space="preserve">, </w:t>
      </w:r>
      <w:r w:rsidR="00255B65">
        <w:t>relevant costs to</w:t>
      </w:r>
      <w:r w:rsidRPr="00F030A8">
        <w:t xml:space="preserve"> purchase/hire).</w:t>
      </w:r>
    </w:p>
    <w:p w14:paraId="2546B374" w14:textId="591135DA" w:rsidR="004B744B" w:rsidRPr="00555483" w:rsidRDefault="004B744B" w:rsidP="007C32D0">
      <w:pPr>
        <w:pStyle w:val="Heading3"/>
        <w:ind w:left="1418" w:hanging="1418"/>
      </w:pPr>
      <w:bookmarkStart w:id="332" w:name="_Toc5097123"/>
      <w:bookmarkStart w:id="333" w:name="_Toc169185828"/>
      <w:bookmarkStart w:id="334" w:name="_Toc201167253"/>
      <w:r w:rsidRPr="00555483">
        <w:t>Conditions for purchasing spectacles with Supplementary Services</w:t>
      </w:r>
      <w:bookmarkEnd w:id="332"/>
      <w:bookmarkEnd w:id="333"/>
      <w:bookmarkEnd w:id="334"/>
    </w:p>
    <w:p w14:paraId="245F2EAD" w14:textId="77777777" w:rsidR="004B744B" w:rsidRPr="00E877C2" w:rsidRDefault="004B744B" w:rsidP="008267C7">
      <w:r w:rsidRPr="00E877C2">
        <w:t xml:space="preserve">Spectacles may only be purchased under the following conditions: </w:t>
      </w:r>
    </w:p>
    <w:p w14:paraId="728E6BE6" w14:textId="40432EAE" w:rsidR="004B744B" w:rsidRPr="00E877C2" w:rsidRDefault="004B744B" w:rsidP="008267C7">
      <w:pPr>
        <w:pStyle w:val="ListBullet"/>
      </w:pPr>
      <w:r w:rsidRPr="00E877C2">
        <w:t xml:space="preserve">Supplementary Services </w:t>
      </w:r>
      <w:r w:rsidR="00E01723">
        <w:t>F</w:t>
      </w:r>
      <w:r w:rsidRPr="00E877C2">
        <w:t xml:space="preserve">unds can be used only where the state/territory funded scheme is fully subscribed, or there is likely to be a reasonable delay in </w:t>
      </w:r>
      <w:proofErr w:type="gramStart"/>
      <w:r w:rsidRPr="00E877C2">
        <w:t>supply;</w:t>
      </w:r>
      <w:proofErr w:type="gramEnd"/>
    </w:p>
    <w:p w14:paraId="5CCE5A94" w14:textId="0E040F6B" w:rsidR="004B744B" w:rsidRPr="00E877C2" w:rsidRDefault="007710AD" w:rsidP="008267C7">
      <w:pPr>
        <w:pStyle w:val="ListBullet"/>
      </w:pPr>
      <w:r>
        <w:t>n</w:t>
      </w:r>
      <w:r w:rsidR="004B744B" w:rsidRPr="00E877C2">
        <w:t xml:space="preserve">ew spectacles are available once every two years unless there is a significant change in prescription within the </w:t>
      </w:r>
      <w:r w:rsidR="00EC1A9B" w:rsidRPr="00E877C2">
        <w:t>two-year</w:t>
      </w:r>
      <w:r w:rsidR="00EC1A9B">
        <w:t xml:space="preserve"> </w:t>
      </w:r>
      <w:proofErr w:type="gramStart"/>
      <w:r w:rsidR="00EC1A9B">
        <w:t>window</w:t>
      </w:r>
      <w:r w:rsidR="004B744B" w:rsidRPr="00E877C2">
        <w:t>;</w:t>
      </w:r>
      <w:proofErr w:type="gramEnd"/>
    </w:p>
    <w:p w14:paraId="7375BBB3" w14:textId="6D6B30F4" w:rsidR="004B744B" w:rsidRPr="00E877C2" w:rsidRDefault="007710AD" w:rsidP="008267C7">
      <w:pPr>
        <w:pStyle w:val="ListBullet"/>
      </w:pPr>
      <w:r>
        <w:t>t</w:t>
      </w:r>
      <w:r w:rsidR="004B744B" w:rsidRPr="00E877C2">
        <w:t>he maximum Supplementary Services spend for entire product is $250</w:t>
      </w:r>
      <w:r w:rsidR="004B744B">
        <w:t>.</w:t>
      </w:r>
      <w:r w:rsidR="004B744B" w:rsidRPr="00E877C2">
        <w:t xml:space="preserve"> </w:t>
      </w:r>
      <w:r w:rsidR="004B744B">
        <w:t>T</w:t>
      </w:r>
      <w:r w:rsidR="004B744B" w:rsidRPr="00E877C2">
        <w:t xml:space="preserve">his includes multi-vision, bifocal, </w:t>
      </w:r>
      <w:proofErr w:type="gramStart"/>
      <w:r w:rsidR="004B744B" w:rsidRPr="00E877C2">
        <w:t>anti–glare</w:t>
      </w:r>
      <w:proofErr w:type="gramEnd"/>
      <w:r w:rsidR="004B744B" w:rsidRPr="00E877C2">
        <w:t xml:space="preserve">, polarising, frames </w:t>
      </w:r>
      <w:proofErr w:type="gramStart"/>
      <w:r w:rsidR="004B744B" w:rsidRPr="00E877C2">
        <w:t>etc.</w:t>
      </w:r>
      <w:r w:rsidR="004B744B">
        <w:t>;</w:t>
      </w:r>
      <w:proofErr w:type="gramEnd"/>
    </w:p>
    <w:p w14:paraId="06AEBD5D" w14:textId="4E314115" w:rsidR="004B744B" w:rsidRPr="00E877C2" w:rsidRDefault="007710AD" w:rsidP="008267C7">
      <w:pPr>
        <w:pStyle w:val="ListBullet"/>
      </w:pPr>
      <w:r>
        <w:t>t</w:t>
      </w:r>
      <w:r w:rsidR="004B744B" w:rsidRPr="00E877C2">
        <w:t xml:space="preserve">he Outreach Worker or Care Coordinator must attend the appointment with the </w:t>
      </w:r>
      <w:r w:rsidR="004B744B">
        <w:t>client</w:t>
      </w:r>
      <w:r w:rsidR="004B744B" w:rsidRPr="00E877C2">
        <w:t xml:space="preserve"> to ensure the cost is kept to within the maximum spend </w:t>
      </w:r>
      <w:proofErr w:type="gramStart"/>
      <w:r w:rsidR="004B744B" w:rsidRPr="00E877C2">
        <w:t>allowable;</w:t>
      </w:r>
      <w:proofErr w:type="gramEnd"/>
    </w:p>
    <w:p w14:paraId="78A34BA9" w14:textId="7CEF0E57" w:rsidR="004B744B" w:rsidRPr="00E877C2" w:rsidRDefault="007710AD" w:rsidP="008267C7">
      <w:pPr>
        <w:pStyle w:val="ListBullet"/>
      </w:pPr>
      <w:r>
        <w:t>i</w:t>
      </w:r>
      <w:r w:rsidR="004B744B" w:rsidRPr="00E877C2">
        <w:t xml:space="preserve">t is up to each </w:t>
      </w:r>
      <w:r w:rsidR="004B744B">
        <w:t>organisation providing care coordination services</w:t>
      </w:r>
      <w:r w:rsidR="004B744B" w:rsidRPr="00E877C2">
        <w:t xml:space="preserve"> to discuss/negotiate </w:t>
      </w:r>
      <w:r w:rsidR="004B744B">
        <w:t>fee arrangements</w:t>
      </w:r>
      <w:r w:rsidR="004B744B" w:rsidRPr="00E877C2">
        <w:t xml:space="preserve"> with each Optometrist; </w:t>
      </w:r>
      <w:r w:rsidR="003A0CB4">
        <w:t>and</w:t>
      </w:r>
    </w:p>
    <w:p w14:paraId="2B9A790C" w14:textId="31E4ACEF" w:rsidR="004B744B" w:rsidRPr="00E877C2" w:rsidRDefault="007710AD" w:rsidP="008267C7">
      <w:pPr>
        <w:pStyle w:val="ListBullet"/>
      </w:pPr>
      <w:r>
        <w:t>w</w:t>
      </w:r>
      <w:r w:rsidR="004B744B" w:rsidRPr="00E877C2">
        <w:t xml:space="preserve">here </w:t>
      </w:r>
      <w:r w:rsidR="004B744B">
        <w:t>Supplementary Services</w:t>
      </w:r>
      <w:r w:rsidR="004B744B" w:rsidRPr="00E877C2">
        <w:t xml:space="preserve"> funded spectacles have been lost, broken or stolen, replacement using further </w:t>
      </w:r>
      <w:r w:rsidR="004B744B">
        <w:t>Supplementary Services</w:t>
      </w:r>
      <w:r w:rsidR="004B744B" w:rsidRPr="00E877C2">
        <w:t xml:space="preserve"> </w:t>
      </w:r>
      <w:r w:rsidR="00E01723">
        <w:t>F</w:t>
      </w:r>
      <w:r w:rsidR="004B744B" w:rsidRPr="00E877C2">
        <w:t>unds is not allowable</w:t>
      </w:r>
      <w:r w:rsidR="003A0CB4">
        <w:t>.</w:t>
      </w:r>
      <w:r w:rsidR="004B744B" w:rsidRPr="00E877C2">
        <w:t xml:space="preserve"> </w:t>
      </w:r>
    </w:p>
    <w:p w14:paraId="60229581" w14:textId="77777777" w:rsidR="004B744B" w:rsidRPr="00555483" w:rsidRDefault="004B744B" w:rsidP="008267C7">
      <w:proofErr w:type="gramStart"/>
      <w:r w:rsidRPr="00555483">
        <w:t>All of</w:t>
      </w:r>
      <w:proofErr w:type="gramEnd"/>
      <w:r w:rsidRPr="00555483">
        <w:t xml:space="preserve"> these conditions must be clearly communicated to the client.</w:t>
      </w:r>
    </w:p>
    <w:p w14:paraId="29CE4F08" w14:textId="77777777" w:rsidR="004B744B" w:rsidRPr="00555483" w:rsidRDefault="004B744B" w:rsidP="00555483">
      <w:pPr>
        <w:pStyle w:val="Heading3"/>
      </w:pPr>
      <w:bookmarkStart w:id="335" w:name="_Toc5097124"/>
      <w:bookmarkStart w:id="336" w:name="_Toc169185829"/>
      <w:bookmarkStart w:id="337" w:name="_Toc201167254"/>
      <w:r w:rsidRPr="00555483">
        <w:t>Exceptional Circumstances</w:t>
      </w:r>
      <w:bookmarkEnd w:id="335"/>
      <w:bookmarkEnd w:id="336"/>
      <w:bookmarkEnd w:id="337"/>
    </w:p>
    <w:p w14:paraId="6ABA9F39" w14:textId="4464651A" w:rsidR="004B744B" w:rsidRDefault="004B744B" w:rsidP="008267C7">
      <w:r>
        <w:t xml:space="preserve">Where a request for a medical aid to be paid through Supplementary Services Funding is made, but the item falls outside the list of allowable Medical Aids, consideration may be made for exceptional circumstances by the </w:t>
      </w:r>
      <w:r w:rsidR="00CB2F42">
        <w:t>commissioning body</w:t>
      </w:r>
      <w:r>
        <w:t xml:space="preserve">. The item must be on the client’s GP </w:t>
      </w:r>
      <w:r w:rsidR="00BC0A50">
        <w:t>care plan</w:t>
      </w:r>
      <w:r>
        <w:t xml:space="preserve">, be considered clinically necessary, </w:t>
      </w:r>
      <w:proofErr w:type="gramStart"/>
      <w:r>
        <w:t>take into account</w:t>
      </w:r>
      <w:proofErr w:type="gramEnd"/>
      <w:r>
        <w:t xml:space="preserve"> client needs, and funding must be available. Supplementary Services </w:t>
      </w:r>
      <w:r w:rsidR="00E01723">
        <w:t>F</w:t>
      </w:r>
      <w:r>
        <w:t xml:space="preserve">unds cannot be used for maintenance costs of medical aids purchased under exceptional circumstances. </w:t>
      </w:r>
      <w:r w:rsidR="00BC0A50">
        <w:t>Commissioning bodie</w:t>
      </w:r>
      <w:r>
        <w:t xml:space="preserve">s and commissioned organisations must consider the financial impact on their annual budgets as well as the ITC client’s ability to use and maintain the aid before considering purchasing a medical aid under exceptional circumstances. </w:t>
      </w:r>
    </w:p>
    <w:p w14:paraId="147B4C30" w14:textId="55DA85CE" w:rsidR="004B744B" w:rsidRPr="00F030A8" w:rsidRDefault="004B744B" w:rsidP="008267C7">
      <w:r>
        <w:lastRenderedPageBreak/>
        <w:t xml:space="preserve">If required, </w:t>
      </w:r>
      <w:r w:rsidR="00A20603">
        <w:t>commissioning bodies</w:t>
      </w:r>
      <w:r>
        <w:t xml:space="preserve"> may send the request to the relevant </w:t>
      </w:r>
      <w:r w:rsidR="00B72CBC">
        <w:t>Grant Officer</w:t>
      </w:r>
      <w:r w:rsidR="006A67C3">
        <w:t xml:space="preserve"> or Funding Arrangement Manager (FAM).</w:t>
      </w:r>
      <w:r w:rsidR="004A5470">
        <w:t xml:space="preserve"> </w:t>
      </w:r>
      <w:r w:rsidRPr="008B0426">
        <w:t xml:space="preserve">Please refer to the ITC Decision Tool </w:t>
      </w:r>
      <w:r>
        <w:t xml:space="preserve">at Appendix 2 </w:t>
      </w:r>
      <w:r w:rsidRPr="008B0426">
        <w:t>for further information about this process.</w:t>
      </w:r>
    </w:p>
    <w:p w14:paraId="5926984A" w14:textId="77777777" w:rsidR="004B744B" w:rsidRPr="00555483" w:rsidRDefault="004B744B" w:rsidP="00555483">
      <w:pPr>
        <w:pStyle w:val="Heading3"/>
      </w:pPr>
      <w:bookmarkStart w:id="338" w:name="_Toc5097125"/>
      <w:bookmarkStart w:id="339" w:name="_Toc169185830"/>
      <w:bookmarkStart w:id="340" w:name="_Toc201167255"/>
      <w:r w:rsidRPr="00555483">
        <w:t>Transport</w:t>
      </w:r>
      <w:bookmarkEnd w:id="338"/>
      <w:bookmarkEnd w:id="339"/>
      <w:bookmarkEnd w:id="340"/>
    </w:p>
    <w:p w14:paraId="38AD3A55" w14:textId="0B9F2D0A" w:rsidR="004B744B" w:rsidRPr="00F030A8" w:rsidRDefault="004B744B" w:rsidP="008267C7">
      <w:r w:rsidRPr="00F030A8">
        <w:t xml:space="preserve">Supplementary Services </w:t>
      </w:r>
      <w:r w:rsidR="00E01723">
        <w:t>F</w:t>
      </w:r>
      <w:r w:rsidRPr="00F030A8">
        <w:t xml:space="preserve">unding can be used to support </w:t>
      </w:r>
      <w:r>
        <w:t>client</w:t>
      </w:r>
      <w:r w:rsidRPr="00F030A8">
        <w:t xml:space="preserve">s’ </w:t>
      </w:r>
      <w:r>
        <w:t>transport</w:t>
      </w:r>
      <w:r w:rsidRPr="00F030A8">
        <w:t xml:space="preserve"> to the closest regionally available health care professional, where this is necessary </w:t>
      </w:r>
      <w:proofErr w:type="gramStart"/>
      <w:r>
        <w:t xml:space="preserve">in order </w:t>
      </w:r>
      <w:r w:rsidRPr="00F030A8">
        <w:t>to</w:t>
      </w:r>
      <w:proofErr w:type="gramEnd"/>
      <w:r w:rsidRPr="00F030A8">
        <w:t xml:space="preserve"> access the required health care in a clinically appropriate timeframe.</w:t>
      </w:r>
    </w:p>
    <w:p w14:paraId="68A3947C" w14:textId="61ABC082" w:rsidR="004B744B" w:rsidRPr="00F030A8" w:rsidRDefault="004B744B" w:rsidP="008267C7">
      <w:r w:rsidRPr="00F030A8">
        <w:t xml:space="preserve">In such cases, the manager of the Supplementary Services </w:t>
      </w:r>
      <w:r>
        <w:t>Funding Pool</w:t>
      </w:r>
      <w:r w:rsidRPr="00F030A8">
        <w:t xml:space="preserve"> must ensure that all other funding options (e.g. </w:t>
      </w:r>
      <w:r w:rsidR="00AD510C">
        <w:t>client</w:t>
      </w:r>
      <w:r w:rsidR="00AD510C" w:rsidRPr="00F030A8">
        <w:t xml:space="preserve"> </w:t>
      </w:r>
      <w:r w:rsidRPr="00F030A8">
        <w:t xml:space="preserve">assisted travel schemes) have been exhausted and that the most </w:t>
      </w:r>
      <w:r w:rsidR="00847E84" w:rsidRPr="00F030A8">
        <w:t>cost-effective</w:t>
      </w:r>
      <w:r w:rsidRPr="00F030A8">
        <w:t xml:space="preserve"> means of transport (and any essential accommodation) is</w:t>
      </w:r>
      <w:r>
        <w:t xml:space="preserve"> used</w:t>
      </w:r>
      <w:r w:rsidRPr="00F030A8">
        <w:t>.</w:t>
      </w:r>
      <w:r w:rsidR="005D1367">
        <w:t xml:space="preserve"> </w:t>
      </w:r>
      <w:r w:rsidRPr="00F030A8">
        <w:t xml:space="preserve">For example, Supplementary Services </w:t>
      </w:r>
      <w:r w:rsidR="00E01723">
        <w:t>F</w:t>
      </w:r>
      <w:r w:rsidRPr="00F030A8">
        <w:t xml:space="preserve">unds may be used to fund the difference between the full cost of travel and any funds provided through alternative funding mechanisms. </w:t>
      </w:r>
    </w:p>
    <w:p w14:paraId="66844F6E" w14:textId="77777777" w:rsidR="004B744B" w:rsidRPr="00F030A8" w:rsidRDefault="004B744B" w:rsidP="008267C7">
      <w:r w:rsidRPr="00F030A8">
        <w:t>Travel beyond the closest available regional service can be supported in cases of extreme urgency.</w:t>
      </w:r>
    </w:p>
    <w:p w14:paraId="7CE82EDC" w14:textId="58933D46" w:rsidR="004B744B" w:rsidRPr="00F030A8" w:rsidRDefault="00FB52AC" w:rsidP="008267C7">
      <w:r>
        <w:t>Commissioning bodies and service providers</w:t>
      </w:r>
      <w:r w:rsidR="004B744B" w:rsidRPr="00F030A8">
        <w:t xml:space="preserve"> should liaise with the relevant fund holder for the MOICDP/</w:t>
      </w:r>
      <w:r w:rsidR="004B744B">
        <w:t>RHOF</w:t>
      </w:r>
      <w:r w:rsidR="004B744B" w:rsidRPr="00F030A8">
        <w:t>/</w:t>
      </w:r>
      <w:r w:rsidR="004B744B">
        <w:t>VOS</w:t>
      </w:r>
      <w:r w:rsidR="004B744B" w:rsidRPr="00F030A8">
        <w:t xml:space="preserve"> regarding opportunities to access outreach services. </w:t>
      </w:r>
    </w:p>
    <w:p w14:paraId="725AB072" w14:textId="77777777" w:rsidR="004B744B" w:rsidRPr="00F030A8" w:rsidRDefault="004B744B" w:rsidP="008267C7">
      <w:r w:rsidRPr="00F030A8">
        <w:t>Financial reports must provide a breakdown by the following categories: fees for medical specialist and for allied health services, medical aids and transport</w:t>
      </w:r>
      <w:r>
        <w:t xml:space="preserve"> (see Section 13)</w:t>
      </w:r>
      <w:r w:rsidRPr="00F030A8">
        <w:t>.</w:t>
      </w:r>
    </w:p>
    <w:p w14:paraId="1C2FEF71" w14:textId="77777777" w:rsidR="004B744B" w:rsidRPr="00847E84" w:rsidRDefault="004B744B" w:rsidP="00DE5B76">
      <w:pPr>
        <w:pStyle w:val="Heading1"/>
      </w:pPr>
      <w:bookmarkStart w:id="341" w:name="_Toc5097126"/>
      <w:bookmarkStart w:id="342" w:name="_Toc169185831"/>
      <w:bookmarkStart w:id="343" w:name="_Toc201167256"/>
      <w:r w:rsidRPr="00847E84">
        <w:t>Management of funds</w:t>
      </w:r>
      <w:bookmarkEnd w:id="341"/>
      <w:bookmarkEnd w:id="342"/>
      <w:bookmarkEnd w:id="343"/>
    </w:p>
    <w:p w14:paraId="7601766C" w14:textId="7E9A25A7" w:rsidR="004B744B" w:rsidRDefault="00B67184" w:rsidP="008267C7">
      <w:r>
        <w:t>Commis</w:t>
      </w:r>
      <w:r w:rsidR="004B744B">
        <w:t>s</w:t>
      </w:r>
      <w:r>
        <w:t>ioning bodies</w:t>
      </w:r>
      <w:r w:rsidR="004B744B">
        <w:t xml:space="preserve"> are the fund holders </w:t>
      </w:r>
      <w:r w:rsidR="00066F74" w:rsidRPr="00F030A8">
        <w:t>for ITC</w:t>
      </w:r>
      <w:r w:rsidR="00E96F78">
        <w:t xml:space="preserve"> and</w:t>
      </w:r>
      <w:r w:rsidR="004B744B">
        <w:t xml:space="preserve"> will be responsible for all ITC </w:t>
      </w:r>
      <w:r w:rsidR="003A0CB4">
        <w:t>reporting</w:t>
      </w:r>
      <w:r w:rsidR="004B744B">
        <w:t xml:space="preserve"> to the </w:t>
      </w:r>
      <w:r w:rsidR="002917CE">
        <w:t>d</w:t>
      </w:r>
      <w:r w:rsidR="004B744B">
        <w:t xml:space="preserve">epartment (More information is provided </w:t>
      </w:r>
      <w:r w:rsidR="00847E84">
        <w:t>at Section</w:t>
      </w:r>
      <w:r w:rsidR="004B744B">
        <w:t xml:space="preserve"> 13 ‘Reporting’).</w:t>
      </w:r>
      <w:r w:rsidR="004B744B" w:rsidRPr="00F030A8">
        <w:t xml:space="preserve"> </w:t>
      </w:r>
      <w:r w:rsidR="004B744B">
        <w:t>For management of the Supplementary Services Funding Pool, see Section 10.2.</w:t>
      </w:r>
    </w:p>
    <w:p w14:paraId="31290C2A" w14:textId="77777777" w:rsidR="004B744B" w:rsidRPr="00013B89" w:rsidRDefault="004B744B" w:rsidP="00DE5B76">
      <w:pPr>
        <w:pStyle w:val="Heading1"/>
      </w:pPr>
      <w:bookmarkStart w:id="344" w:name="_Toc5097127"/>
      <w:bookmarkStart w:id="345" w:name="_Toc169185832"/>
      <w:bookmarkStart w:id="346" w:name="_Toc201167257"/>
      <w:r w:rsidRPr="00013B89">
        <w:t>Needs assessment</w:t>
      </w:r>
      <w:bookmarkEnd w:id="344"/>
      <w:bookmarkEnd w:id="345"/>
      <w:bookmarkEnd w:id="346"/>
    </w:p>
    <w:p w14:paraId="00BA28DD" w14:textId="788C37BA" w:rsidR="0074543F" w:rsidRDefault="004B744B" w:rsidP="008267C7">
      <w:r>
        <w:t xml:space="preserve">The </w:t>
      </w:r>
      <w:r w:rsidR="00CE0402" w:rsidRPr="00CE0402">
        <w:t xml:space="preserve">Primary Health Networks (PHNs) </w:t>
      </w:r>
      <w:r w:rsidR="002917CE">
        <w:t>n</w:t>
      </w:r>
      <w:r w:rsidR="00CE0402" w:rsidRPr="00CE0402">
        <w:t xml:space="preserve">eeds </w:t>
      </w:r>
      <w:r w:rsidR="002917CE">
        <w:t>a</w:t>
      </w:r>
      <w:r w:rsidR="00CE0402" w:rsidRPr="00CE0402">
        <w:t xml:space="preserve">ssessment </w:t>
      </w:r>
      <w:r w:rsidR="002917CE">
        <w:t>p</w:t>
      </w:r>
      <w:r w:rsidR="00CE0402">
        <w:t xml:space="preserve">olicy </w:t>
      </w:r>
      <w:r w:rsidR="002917CE" w:rsidRPr="00555483">
        <w:t>g</w:t>
      </w:r>
      <w:r w:rsidR="00CE0402" w:rsidRPr="00555483">
        <w:t>uide</w:t>
      </w:r>
      <w:r w:rsidR="00A462AE">
        <w:t xml:space="preserve"> </w:t>
      </w:r>
      <w:r w:rsidR="00FE040E">
        <w:t>provides</w:t>
      </w:r>
      <w:r w:rsidR="00400593">
        <w:t xml:space="preserve"> a model</w:t>
      </w:r>
      <w:r w:rsidR="00A462AE">
        <w:t xml:space="preserve"> for undertaking a needs assessment</w:t>
      </w:r>
      <w:r w:rsidR="00400593">
        <w:t xml:space="preserve"> and can be used a general guide for commissioning bodies in this process</w:t>
      </w:r>
      <w:r w:rsidR="00CE0402">
        <w:t xml:space="preserve">. </w:t>
      </w:r>
      <w:r w:rsidR="00013B89">
        <w:t xml:space="preserve">This is accessible via the following link: </w:t>
      </w:r>
      <w:hyperlink r:id="rId36" w:tooltip="Link to the Primary Health Networks (PHNs) needs assessment policy guide via the Department of Health, Disability and Ageing website" w:history="1">
        <w:r w:rsidR="002917CE">
          <w:rPr>
            <w:rStyle w:val="Hyperlink"/>
          </w:rPr>
          <w:t>Primary Health Networks (PHNs) needs assessment policy guide</w:t>
        </w:r>
      </w:hyperlink>
      <w:r w:rsidR="00013B89">
        <w:t>.</w:t>
      </w:r>
      <w:r w:rsidR="00A462AE">
        <w:t xml:space="preserve"> </w:t>
      </w:r>
    </w:p>
    <w:p w14:paraId="0EC475B6" w14:textId="26A85890" w:rsidR="004B744B" w:rsidRPr="00555483" w:rsidRDefault="00A462AE" w:rsidP="008267C7">
      <w:r w:rsidRPr="00555483">
        <w:t>Commissioning bodies</w:t>
      </w:r>
      <w:r w:rsidR="00E42866" w:rsidRPr="00555483">
        <w:t xml:space="preserve"> are expected to conduct a needs assessment that span the duration of ITC delivery but</w:t>
      </w:r>
      <w:r w:rsidRPr="00555483">
        <w:t xml:space="preserve"> have the </w:t>
      </w:r>
      <w:r w:rsidR="00704ACF" w:rsidRPr="00555483">
        <w:t>flexibility</w:t>
      </w:r>
      <w:r w:rsidRPr="00555483">
        <w:t xml:space="preserve"> to customise the needs assessment to align with their organisation’s requirements and </w:t>
      </w:r>
      <w:r w:rsidR="00704ACF" w:rsidRPr="00555483">
        <w:t>operational structure</w:t>
      </w:r>
      <w:r w:rsidRPr="00555483">
        <w:t>.</w:t>
      </w:r>
      <w:r w:rsidR="00B32D44" w:rsidRPr="00555483">
        <w:t xml:space="preserve"> This ensures that the health needs of Aboriginal and Torres Strait Islander people can be met through targeted activity at the local level</w:t>
      </w:r>
      <w:r w:rsidR="00235971" w:rsidRPr="00555483">
        <w:t xml:space="preserve">. </w:t>
      </w:r>
      <w:r w:rsidR="00044E08" w:rsidRPr="00555483">
        <w:t>Commissioning</w:t>
      </w:r>
      <w:r w:rsidR="00235971" w:rsidRPr="00555483">
        <w:t xml:space="preserve"> bodies may also explore or collaborate with PHNs within the regions of their service areas to access existing</w:t>
      </w:r>
      <w:r w:rsidR="00044E08" w:rsidRPr="00555483">
        <w:t>, up-to-date needs assessments.</w:t>
      </w:r>
    </w:p>
    <w:p w14:paraId="56457F1F" w14:textId="0227AD32" w:rsidR="004B744B" w:rsidRPr="00555483" w:rsidRDefault="00EE0EEC" w:rsidP="008267C7">
      <w:r w:rsidRPr="00555483">
        <w:t xml:space="preserve">Commissioning bodies </w:t>
      </w:r>
      <w:r w:rsidR="004B744B" w:rsidRPr="00555483">
        <w:t>should consider the following issues when undertaking or updating their needs assessments:</w:t>
      </w:r>
    </w:p>
    <w:p w14:paraId="432AAA45" w14:textId="11AC0A0B" w:rsidR="004B744B" w:rsidRPr="00555483" w:rsidRDefault="00E67527" w:rsidP="008267C7">
      <w:pPr>
        <w:pStyle w:val="ListBullet"/>
      </w:pPr>
      <w:r w:rsidRPr="00555483">
        <w:t xml:space="preserve">characteristics of the </w:t>
      </w:r>
      <w:r w:rsidR="004B744B" w:rsidRPr="00555483">
        <w:t xml:space="preserve">local Aboriginal and Torres Strait Islander </w:t>
      </w:r>
      <w:proofErr w:type="gramStart"/>
      <w:r w:rsidR="004B744B" w:rsidRPr="00555483">
        <w:t>population;</w:t>
      </w:r>
      <w:proofErr w:type="gramEnd"/>
    </w:p>
    <w:p w14:paraId="56D2E305" w14:textId="7C358C83" w:rsidR="004B744B" w:rsidRPr="00555483" w:rsidRDefault="004B744B" w:rsidP="008267C7">
      <w:pPr>
        <w:pStyle w:val="ListBullet"/>
      </w:pPr>
      <w:r w:rsidRPr="00555483">
        <w:t xml:space="preserve">existing mainstream and </w:t>
      </w:r>
      <w:r w:rsidR="00DF49AE" w:rsidRPr="00555483">
        <w:t xml:space="preserve">Aboriginal and/or Torres Strait Islander </w:t>
      </w:r>
      <w:r w:rsidRPr="00555483">
        <w:t xml:space="preserve">health </w:t>
      </w:r>
      <w:proofErr w:type="gramStart"/>
      <w:r w:rsidRPr="00555483">
        <w:t>services;</w:t>
      </w:r>
      <w:proofErr w:type="gramEnd"/>
    </w:p>
    <w:p w14:paraId="735C1B5E" w14:textId="77777777" w:rsidR="004B744B" w:rsidRPr="00555483" w:rsidRDefault="004B744B" w:rsidP="008267C7">
      <w:pPr>
        <w:pStyle w:val="ListBullet"/>
      </w:pPr>
      <w:r w:rsidRPr="00555483">
        <w:t xml:space="preserve">stakeholder views and </w:t>
      </w:r>
      <w:proofErr w:type="gramStart"/>
      <w:r w:rsidRPr="00555483">
        <w:t>expectations;</w:t>
      </w:r>
      <w:proofErr w:type="gramEnd"/>
      <w:r w:rsidRPr="00555483">
        <w:t xml:space="preserve"> </w:t>
      </w:r>
    </w:p>
    <w:p w14:paraId="2F92DC36" w14:textId="77777777" w:rsidR="004B744B" w:rsidRPr="00555483" w:rsidRDefault="004B744B" w:rsidP="008267C7">
      <w:pPr>
        <w:pStyle w:val="ListBullet"/>
      </w:pPr>
      <w:r w:rsidRPr="00555483">
        <w:lastRenderedPageBreak/>
        <w:t>analysis of health care and access needs; and</w:t>
      </w:r>
    </w:p>
    <w:p w14:paraId="3016CF39" w14:textId="77777777" w:rsidR="004B744B" w:rsidRPr="00555483" w:rsidRDefault="004B744B" w:rsidP="008267C7">
      <w:pPr>
        <w:pStyle w:val="ListBullet"/>
      </w:pPr>
      <w:r w:rsidRPr="00555483">
        <w:t xml:space="preserve">changing patterns of uptake and demand. </w:t>
      </w:r>
    </w:p>
    <w:p w14:paraId="76187BBF" w14:textId="77777777" w:rsidR="004B744B" w:rsidRPr="00A7268B" w:rsidRDefault="004B744B" w:rsidP="00DE5B76">
      <w:pPr>
        <w:pStyle w:val="Heading1"/>
      </w:pPr>
      <w:bookmarkStart w:id="347" w:name="_Toc5097128"/>
      <w:bookmarkStart w:id="348" w:name="_Toc169185833"/>
      <w:bookmarkStart w:id="349" w:name="_Toc201167258"/>
      <w:r w:rsidRPr="00A7268B">
        <w:t>Reporting</w:t>
      </w:r>
      <w:bookmarkEnd w:id="347"/>
      <w:bookmarkEnd w:id="348"/>
      <w:bookmarkEnd w:id="349"/>
    </w:p>
    <w:p w14:paraId="24503783" w14:textId="26B3C88A" w:rsidR="004B744B" w:rsidRPr="00AB6972" w:rsidRDefault="004B744B" w:rsidP="008267C7">
      <w:r w:rsidRPr="00AB6972">
        <w:t xml:space="preserve">As part of the deliverables under </w:t>
      </w:r>
      <w:r w:rsidR="00C21477" w:rsidRPr="00AB6972">
        <w:t>ITC</w:t>
      </w:r>
      <w:r w:rsidRPr="00AB6972">
        <w:t xml:space="preserve"> in the </w:t>
      </w:r>
      <w:r w:rsidR="00E42CB7" w:rsidRPr="00AB6972">
        <w:t>Indigenous Australians’ Health Programme</w:t>
      </w:r>
      <w:r w:rsidR="00E42CB7" w:rsidRPr="00AB6972" w:rsidDel="00E42CB7">
        <w:t xml:space="preserve"> </w:t>
      </w:r>
      <w:r w:rsidR="00E42CB7" w:rsidRPr="00AB6972">
        <w:t>Funding Schedule</w:t>
      </w:r>
      <w:r w:rsidR="00810205" w:rsidRPr="00AB6972">
        <w:t xml:space="preserve"> or Standard Grant Agreements</w:t>
      </w:r>
      <w:r w:rsidRPr="00AB6972">
        <w:t xml:space="preserve">, </w:t>
      </w:r>
      <w:r w:rsidR="00810205" w:rsidRPr="00AB6972">
        <w:t xml:space="preserve">commissioning bodies </w:t>
      </w:r>
      <w:r w:rsidRPr="00AB6972">
        <w:t xml:space="preserve">are required to submit Needs Assessments, Activity Work Plans, annual budgets and </w:t>
      </w:r>
      <w:r w:rsidR="004A5470" w:rsidRPr="00AB6972">
        <w:t>twelve-monthly</w:t>
      </w:r>
      <w:r w:rsidRPr="00AB6972">
        <w:t xml:space="preserve"> performance reports (including financial reports). </w:t>
      </w:r>
      <w:r w:rsidR="00810205" w:rsidRPr="00AB6972">
        <w:t xml:space="preserve">Commissioning bodies </w:t>
      </w:r>
      <w:r w:rsidRPr="00AB6972">
        <w:t xml:space="preserve">must complete </w:t>
      </w:r>
      <w:proofErr w:type="gramStart"/>
      <w:r w:rsidRPr="00AB6972">
        <w:t>all of</w:t>
      </w:r>
      <w:proofErr w:type="gramEnd"/>
      <w:r w:rsidRPr="00AB6972">
        <w:t xml:space="preserve"> the report and budget templates, this includes budget information about </w:t>
      </w:r>
      <w:proofErr w:type="gramStart"/>
      <w:r w:rsidRPr="00AB6972">
        <w:t>all of</w:t>
      </w:r>
      <w:proofErr w:type="gramEnd"/>
      <w:r w:rsidRPr="00AB6972">
        <w:t xml:space="preserve"> the commissioned workforce positions.</w:t>
      </w:r>
      <w:r w:rsidR="00AE2B64" w:rsidRPr="00AB6972">
        <w:t xml:space="preserve"> Commissioning bodies</w:t>
      </w:r>
      <w:r w:rsidRPr="00AB6972">
        <w:t xml:space="preserve"> must meet these requirements, and to an appropriate standard, </w:t>
      </w:r>
      <w:proofErr w:type="gramStart"/>
      <w:r w:rsidRPr="00AB6972">
        <w:t>in order to</w:t>
      </w:r>
      <w:proofErr w:type="gramEnd"/>
      <w:r w:rsidRPr="00AB6972">
        <w:t xml:space="preserve"> receive </w:t>
      </w:r>
      <w:r w:rsidR="00C21477" w:rsidRPr="00AB6972">
        <w:t>ITC</w:t>
      </w:r>
      <w:r w:rsidRPr="00AB6972">
        <w:t xml:space="preserve"> funding.</w:t>
      </w:r>
    </w:p>
    <w:p w14:paraId="346E7070" w14:textId="3642E377" w:rsidR="004B744B" w:rsidRPr="00F030A8" w:rsidRDefault="004B744B" w:rsidP="008267C7">
      <w:r w:rsidRPr="00F030A8">
        <w:t xml:space="preserve">Financial statements must be provided in </w:t>
      </w:r>
      <w:r>
        <w:t>the budget template</w:t>
      </w:r>
      <w:r w:rsidRPr="00F030A8">
        <w:t xml:space="preserve"> determined by the </w:t>
      </w:r>
      <w:r w:rsidR="002917CE">
        <w:t>d</w:t>
      </w:r>
      <w:r w:rsidRPr="00F030A8">
        <w:t>epartment and must include details of expenditure against:</w:t>
      </w:r>
    </w:p>
    <w:p w14:paraId="321A6574" w14:textId="6827A3C0" w:rsidR="00937D7A" w:rsidRPr="00555483" w:rsidRDefault="00F96CE1" w:rsidP="008267C7">
      <w:pPr>
        <w:pStyle w:val="ListBullet"/>
      </w:pPr>
      <w:r w:rsidRPr="00555483">
        <w:t xml:space="preserve">ITC workforce </w:t>
      </w:r>
      <w:proofErr w:type="gramStart"/>
      <w:r w:rsidR="00937D7A" w:rsidRPr="00555483">
        <w:t>expenses;</w:t>
      </w:r>
      <w:proofErr w:type="gramEnd"/>
      <w:r w:rsidRPr="00555483">
        <w:t xml:space="preserve"> </w:t>
      </w:r>
    </w:p>
    <w:p w14:paraId="6FA7682A" w14:textId="49C0CBC7" w:rsidR="00F96CE1" w:rsidRPr="00555483" w:rsidRDefault="00937D7A" w:rsidP="008267C7">
      <w:pPr>
        <w:pStyle w:val="ListBullet"/>
      </w:pPr>
      <w:r w:rsidRPr="00555483">
        <w:t>S</w:t>
      </w:r>
      <w:r w:rsidR="00F96CE1" w:rsidRPr="00555483">
        <w:t xml:space="preserve">upplementary </w:t>
      </w:r>
      <w:r w:rsidR="00E01723" w:rsidRPr="00555483">
        <w:t>S</w:t>
      </w:r>
      <w:r w:rsidR="00F96CE1" w:rsidRPr="00555483">
        <w:t>ervice</w:t>
      </w:r>
      <w:r w:rsidRPr="00555483">
        <w:t>s</w:t>
      </w:r>
      <w:r w:rsidR="00F96CE1" w:rsidRPr="00555483">
        <w:t>; and</w:t>
      </w:r>
    </w:p>
    <w:p w14:paraId="65AC6B86" w14:textId="77777777" w:rsidR="004B744B" w:rsidRPr="00555483" w:rsidRDefault="004B744B" w:rsidP="008267C7">
      <w:pPr>
        <w:pStyle w:val="ListBullet"/>
      </w:pPr>
      <w:r w:rsidRPr="00555483">
        <w:t>Program administration.</w:t>
      </w:r>
    </w:p>
    <w:p w14:paraId="53677853" w14:textId="77777777" w:rsidR="004B744B" w:rsidRPr="00F030A8" w:rsidRDefault="004B744B" w:rsidP="008267C7">
      <w:r w:rsidRPr="00F030A8">
        <w:t>Commissioning arrangements must also include a requirement to report against these components.</w:t>
      </w:r>
    </w:p>
    <w:p w14:paraId="437FECA2" w14:textId="357A2EA4" w:rsidR="004B744B" w:rsidRDefault="004F3781" w:rsidP="008267C7">
      <w:r>
        <w:t>Commis</w:t>
      </w:r>
      <w:r w:rsidRPr="00F030A8">
        <w:t>s</w:t>
      </w:r>
      <w:r>
        <w:t>ioning bodies</w:t>
      </w:r>
      <w:r w:rsidRPr="00F030A8">
        <w:t xml:space="preserve"> </w:t>
      </w:r>
      <w:r w:rsidR="004B744B" w:rsidRPr="00F030A8">
        <w:t xml:space="preserve">must collect and report data for monitoring the performance of </w:t>
      </w:r>
      <w:r w:rsidR="00C21477">
        <w:t>ITC</w:t>
      </w:r>
      <w:r w:rsidR="004B744B" w:rsidRPr="00F030A8">
        <w:t>.</w:t>
      </w:r>
      <w:r w:rsidR="005D1367">
        <w:t xml:space="preserve"> </w:t>
      </w:r>
      <w:r w:rsidR="004B744B" w:rsidRPr="00F030A8">
        <w:t>PHN</w:t>
      </w:r>
      <w:r w:rsidR="004B744B">
        <w:t>s</w:t>
      </w:r>
      <w:r w:rsidR="004B744B" w:rsidRPr="00F030A8">
        <w:t xml:space="preserve"> </w:t>
      </w:r>
      <w:r w:rsidR="004B744B">
        <w:t>must</w:t>
      </w:r>
      <w:r w:rsidR="004B744B" w:rsidRPr="00F030A8">
        <w:t xml:space="preserve"> use the reporting template</w:t>
      </w:r>
      <w:r w:rsidR="004B744B">
        <w:t>s</w:t>
      </w:r>
      <w:r w:rsidR="00E02F59">
        <w:t xml:space="preserve"> and </w:t>
      </w:r>
      <w:r w:rsidR="0041011E">
        <w:t>submit</w:t>
      </w:r>
      <w:r w:rsidR="00E02F59">
        <w:t xml:space="preserve"> deliverables</w:t>
      </w:r>
      <w:r w:rsidR="004B744B" w:rsidRPr="00F030A8">
        <w:t xml:space="preserve"> </w:t>
      </w:r>
      <w:r w:rsidR="00F41420">
        <w:t>through the</w:t>
      </w:r>
      <w:r w:rsidR="005D1367">
        <w:t xml:space="preserve"> </w:t>
      </w:r>
      <w:r w:rsidR="00E02F59" w:rsidRPr="00E02F59">
        <w:t>Primary Health Networks Program Electronic Reporting System (PPERS)</w:t>
      </w:r>
      <w:r w:rsidR="00E02F59">
        <w:t xml:space="preserve">. </w:t>
      </w:r>
      <w:r>
        <w:t>Other commissioning bodies</w:t>
      </w:r>
      <w:r w:rsidR="00191CB3">
        <w:t xml:space="preserve"> will submit </w:t>
      </w:r>
      <w:r w:rsidR="0060795F">
        <w:t xml:space="preserve">the reports to their respective </w:t>
      </w:r>
      <w:r w:rsidR="00894C1C">
        <w:t>FAM</w:t>
      </w:r>
      <w:r w:rsidR="0060795F">
        <w:t>.</w:t>
      </w:r>
    </w:p>
    <w:p w14:paraId="1DA5CC95" w14:textId="156C73C9" w:rsidR="004B744B" w:rsidRPr="00F030A8" w:rsidRDefault="004B744B" w:rsidP="008267C7">
      <w:r>
        <w:t xml:space="preserve">Reports from </w:t>
      </w:r>
      <w:r w:rsidR="00810205">
        <w:t xml:space="preserve">commissioning bodies </w:t>
      </w:r>
      <w:r>
        <w:t xml:space="preserve">should provide a summary of the of the Program data across their region. </w:t>
      </w:r>
    </w:p>
    <w:p w14:paraId="7CA63FC6" w14:textId="1CDA8ED3" w:rsidR="004B744B" w:rsidRPr="00F030A8" w:rsidRDefault="00810205" w:rsidP="008267C7">
      <w:r>
        <w:t>Commis</w:t>
      </w:r>
      <w:r w:rsidRPr="00F030A8">
        <w:t>s</w:t>
      </w:r>
      <w:r>
        <w:t>ioning bodies</w:t>
      </w:r>
      <w:r w:rsidRPr="00F030A8">
        <w:t xml:space="preserve"> </w:t>
      </w:r>
      <w:r w:rsidR="004B744B" w:rsidRPr="00F030A8">
        <w:t xml:space="preserve">must make themselves familiar with </w:t>
      </w:r>
      <w:proofErr w:type="gramStart"/>
      <w:r w:rsidR="004B744B" w:rsidRPr="00F030A8">
        <w:t>all of</w:t>
      </w:r>
      <w:proofErr w:type="gramEnd"/>
      <w:r w:rsidR="004B744B" w:rsidRPr="00F030A8">
        <w:t xml:space="preserve"> the reporting requirements and ensure that they have systems in place to collect and collate the necessary information/data from all commissioned organisations</w:t>
      </w:r>
      <w:r w:rsidR="004B744B">
        <w:t>, especially the financial data</w:t>
      </w:r>
      <w:r w:rsidR="004B744B" w:rsidRPr="00F030A8">
        <w:t xml:space="preserve">. This should include systems for the protection of private information and adherence to principles of confidentiality in accordance with Commonwealth and </w:t>
      </w:r>
      <w:r w:rsidR="004B744B">
        <w:t>s</w:t>
      </w:r>
      <w:r w:rsidR="004B744B" w:rsidRPr="00F030A8">
        <w:t>tate/</w:t>
      </w:r>
      <w:r w:rsidR="004B744B">
        <w:t>t</w:t>
      </w:r>
      <w:r w:rsidR="004B744B" w:rsidRPr="00F030A8">
        <w:t>erritory legislation where relevant.</w:t>
      </w:r>
    </w:p>
    <w:p w14:paraId="10E9925B" w14:textId="450D2B98" w:rsidR="004B744B" w:rsidRPr="00D01BD2" w:rsidRDefault="004B744B" w:rsidP="00DE5B76">
      <w:pPr>
        <w:pStyle w:val="Heading1"/>
      </w:pPr>
      <w:bookmarkStart w:id="350" w:name="_Toc392056159"/>
      <w:bookmarkStart w:id="351" w:name="_Toc5097129"/>
      <w:bookmarkStart w:id="352" w:name="_Toc169185834"/>
      <w:bookmarkStart w:id="353" w:name="_Toc201167259"/>
      <w:r w:rsidRPr="00D01BD2">
        <w:t>Assessment and approval</w:t>
      </w:r>
      <w:bookmarkEnd w:id="350"/>
      <w:bookmarkEnd w:id="351"/>
      <w:bookmarkEnd w:id="352"/>
      <w:bookmarkEnd w:id="353"/>
    </w:p>
    <w:p w14:paraId="6BA0779C" w14:textId="5B7B5B85" w:rsidR="004B744B" w:rsidRPr="008267C7" w:rsidRDefault="004B744B" w:rsidP="008267C7">
      <w:r w:rsidRPr="008267C7">
        <w:t xml:space="preserve">Payments to </w:t>
      </w:r>
      <w:r w:rsidR="00894C1C" w:rsidRPr="008267C7">
        <w:t>commissioning bodies</w:t>
      </w:r>
      <w:r w:rsidRPr="008267C7">
        <w:t xml:space="preserve"> will be dependent on approval of deliverables by the </w:t>
      </w:r>
      <w:r w:rsidR="002917CE" w:rsidRPr="008267C7">
        <w:t>d</w:t>
      </w:r>
      <w:r w:rsidRPr="008267C7">
        <w:t xml:space="preserve">epartment. In assessing Needs Assessments, Activity Work Plans, annual budgets and </w:t>
      </w:r>
      <w:r w:rsidR="00162527" w:rsidRPr="008267C7">
        <w:t>12-</w:t>
      </w:r>
      <w:r w:rsidRPr="008267C7">
        <w:t xml:space="preserve">monthly performance reports for the Program, the </w:t>
      </w:r>
      <w:r w:rsidR="002917CE" w:rsidRPr="008267C7">
        <w:t>d</w:t>
      </w:r>
      <w:r w:rsidRPr="008267C7">
        <w:t>epartment will consider:</w:t>
      </w:r>
    </w:p>
    <w:p w14:paraId="0619919D" w14:textId="39D5FA10" w:rsidR="004B744B" w:rsidRPr="00555483" w:rsidRDefault="004B744B" w:rsidP="008267C7">
      <w:pPr>
        <w:pStyle w:val="ListBullet"/>
      </w:pPr>
      <w:r w:rsidRPr="00555483">
        <w:t xml:space="preserve">how well the objectives of </w:t>
      </w:r>
      <w:r w:rsidR="00C21477" w:rsidRPr="00555483">
        <w:t>ITC</w:t>
      </w:r>
      <w:r w:rsidRPr="00555483">
        <w:t xml:space="preserve"> are being </w:t>
      </w:r>
      <w:proofErr w:type="gramStart"/>
      <w:r w:rsidRPr="00555483">
        <w:t>met;</w:t>
      </w:r>
      <w:proofErr w:type="gramEnd"/>
    </w:p>
    <w:p w14:paraId="1DF3E3EB" w14:textId="77777777" w:rsidR="004B744B" w:rsidRPr="00555483" w:rsidRDefault="004B744B" w:rsidP="008267C7">
      <w:pPr>
        <w:pStyle w:val="ListBullet"/>
      </w:pPr>
      <w:r w:rsidRPr="00555483">
        <w:t xml:space="preserve">how well the identified needs are being </w:t>
      </w:r>
      <w:proofErr w:type="gramStart"/>
      <w:r w:rsidRPr="00555483">
        <w:t>met;</w:t>
      </w:r>
      <w:proofErr w:type="gramEnd"/>
    </w:p>
    <w:p w14:paraId="307B6478" w14:textId="77777777" w:rsidR="004B744B" w:rsidRPr="00555483" w:rsidRDefault="004B744B" w:rsidP="008267C7">
      <w:pPr>
        <w:pStyle w:val="ListBullet"/>
      </w:pPr>
      <w:r w:rsidRPr="00555483">
        <w:t>reporting against performance indicators (where required</w:t>
      </w:r>
      <w:proofErr w:type="gramStart"/>
      <w:r w:rsidRPr="00555483">
        <w:t>);</w:t>
      </w:r>
      <w:proofErr w:type="gramEnd"/>
    </w:p>
    <w:p w14:paraId="08CA2EFB" w14:textId="77777777" w:rsidR="004B744B" w:rsidRPr="00555483" w:rsidRDefault="004B744B" w:rsidP="008267C7">
      <w:pPr>
        <w:pStyle w:val="ListBullet"/>
      </w:pPr>
      <w:r w:rsidRPr="00555483">
        <w:t>whether the requirements of the Funding Schedule and these Guidelines are being met; and</w:t>
      </w:r>
    </w:p>
    <w:p w14:paraId="4F790F6D" w14:textId="28C6FD80" w:rsidR="004B744B" w:rsidRPr="00555483" w:rsidRDefault="004B744B" w:rsidP="008267C7">
      <w:pPr>
        <w:pStyle w:val="ListBullet"/>
      </w:pPr>
      <w:r w:rsidRPr="00555483">
        <w:lastRenderedPageBreak/>
        <w:t xml:space="preserve">whether activities are cost-effective and align with </w:t>
      </w:r>
      <w:r w:rsidR="00C21477" w:rsidRPr="00555483">
        <w:t>ITC</w:t>
      </w:r>
      <w:r w:rsidRPr="00555483">
        <w:t xml:space="preserve"> outcomes.</w:t>
      </w:r>
    </w:p>
    <w:p w14:paraId="7251A3EF" w14:textId="42ED884D" w:rsidR="004B744B" w:rsidRPr="00D01BD2" w:rsidRDefault="004B744B" w:rsidP="00DE5B76">
      <w:pPr>
        <w:pStyle w:val="Heading1"/>
      </w:pPr>
      <w:bookmarkStart w:id="354" w:name="_Toc5097130"/>
      <w:bookmarkStart w:id="355" w:name="_Toc169185835"/>
      <w:bookmarkStart w:id="356" w:name="_Toc201167260"/>
      <w:r w:rsidRPr="00D01BD2">
        <w:t>Maintenance of information and data</w:t>
      </w:r>
      <w:bookmarkEnd w:id="354"/>
      <w:bookmarkEnd w:id="355"/>
      <w:bookmarkEnd w:id="356"/>
      <w:r w:rsidR="005D1367">
        <w:t xml:space="preserve"> </w:t>
      </w:r>
    </w:p>
    <w:p w14:paraId="410AF1C6" w14:textId="2185D7B2" w:rsidR="004B744B" w:rsidRPr="000F0B6F" w:rsidRDefault="00894C1C" w:rsidP="008267C7">
      <w:r w:rsidRPr="000F0B6F">
        <w:t>Commissioning bodies</w:t>
      </w:r>
      <w:r w:rsidR="004B744B" w:rsidRPr="000F0B6F">
        <w:t xml:space="preserve"> are required to collect and maintain the information and data needed to meet the planning and reporting requirements.</w:t>
      </w:r>
    </w:p>
    <w:p w14:paraId="5BEA0CC6" w14:textId="77777777" w:rsidR="004B744B" w:rsidRPr="00D01BD2" w:rsidRDefault="004B744B" w:rsidP="00DE5B76">
      <w:pPr>
        <w:pStyle w:val="Heading1"/>
      </w:pPr>
      <w:bookmarkStart w:id="357" w:name="_Toc392056163"/>
      <w:bookmarkStart w:id="358" w:name="_Toc5097131"/>
      <w:bookmarkStart w:id="359" w:name="_Toc169185836"/>
      <w:bookmarkStart w:id="360" w:name="_Toc201167261"/>
      <w:r w:rsidRPr="00D01BD2">
        <w:t>Further information</w:t>
      </w:r>
      <w:bookmarkEnd w:id="357"/>
      <w:bookmarkEnd w:id="358"/>
      <w:bookmarkEnd w:id="359"/>
      <w:bookmarkEnd w:id="360"/>
    </w:p>
    <w:p w14:paraId="584D4654" w14:textId="279E1CAB" w:rsidR="00DE5B76" w:rsidRDefault="00DE5B76" w:rsidP="008267C7">
      <w:r w:rsidRPr="00DE5B76">
        <w:t>For further information regarding ITC implementation, please contact your relevant Grant Officer in the department or FAM.</w:t>
      </w:r>
    </w:p>
    <w:p w14:paraId="3472A34C" w14:textId="09608EA7" w:rsidR="004B744B" w:rsidRPr="00555483" w:rsidRDefault="004B744B" w:rsidP="008267C7">
      <w:r w:rsidRPr="00555483">
        <w:br w:type="page"/>
      </w:r>
    </w:p>
    <w:p w14:paraId="78D79702" w14:textId="3DDCDD05" w:rsidR="004B744B" w:rsidRDefault="004B744B" w:rsidP="00555483">
      <w:pPr>
        <w:pStyle w:val="Appendixheading"/>
      </w:pPr>
      <w:bookmarkStart w:id="361" w:name="_Toc5097132"/>
      <w:bookmarkStart w:id="362" w:name="_Toc169185837"/>
      <w:bookmarkStart w:id="363" w:name="_Toc201167262"/>
      <w:r w:rsidRPr="006F67EA">
        <w:lastRenderedPageBreak/>
        <w:t>Appendix 1 – Frequently Asked Questions (FAQs)</w:t>
      </w:r>
      <w:bookmarkEnd w:id="361"/>
      <w:bookmarkEnd w:id="362"/>
      <w:bookmarkEnd w:id="363"/>
    </w:p>
    <w:p w14:paraId="01C918DF" w14:textId="59B6EE30" w:rsidR="004B744B" w:rsidRDefault="004B744B" w:rsidP="008267C7">
      <w:r>
        <w:t>The FAQs are not meant to be an exhaustive list o</w:t>
      </w:r>
      <w:r w:rsidR="00E67527">
        <w:t>f</w:t>
      </w:r>
      <w:r>
        <w:t xml:space="preserve"> what is excluded/out of scope </w:t>
      </w:r>
      <w:r w:rsidR="00E67527">
        <w:t>for</w:t>
      </w:r>
      <w:r>
        <w:t xml:space="preserve"> ITC funding. If you have any </w:t>
      </w:r>
      <w:r w:rsidR="009470E4">
        <w:t>further</w:t>
      </w:r>
      <w:r w:rsidR="001423FD">
        <w:t xml:space="preserve"> </w:t>
      </w:r>
      <w:r>
        <w:t xml:space="preserve">questions on activities and items eligible for ITC funding, please consult </w:t>
      </w:r>
      <w:r w:rsidR="001423FD">
        <w:t>the</w:t>
      </w:r>
      <w:r w:rsidR="00862201">
        <w:t xml:space="preserve"> relevant</w:t>
      </w:r>
      <w:r w:rsidR="001423FD">
        <w:t xml:space="preserve"> commissioning body, FAM or </w:t>
      </w:r>
      <w:r w:rsidR="00B72CBC">
        <w:t>Grant Officer</w:t>
      </w:r>
      <w:r>
        <w:t>.</w:t>
      </w:r>
    </w:p>
    <w:p w14:paraId="1ACBE148" w14:textId="1A729557" w:rsidR="004B744B" w:rsidRDefault="00082B5A" w:rsidP="008267C7">
      <w:r>
        <w:t>Services Australia</w:t>
      </w:r>
      <w:r w:rsidR="004B744B">
        <w:t xml:space="preserve"> should be contacted for all questions regarding claiming Medicare rebates for services.</w:t>
      </w:r>
    </w:p>
    <w:p w14:paraId="1A8E3877" w14:textId="52CCD321" w:rsidR="004B744B" w:rsidRDefault="004B744B" w:rsidP="008267C7">
      <w:r>
        <w:t xml:space="preserve">Website - </w:t>
      </w:r>
      <w:hyperlink r:id="rId37" w:tooltip="Link to the Services Australia website" w:history="1">
        <w:r w:rsidR="00174E81" w:rsidRPr="008B5064">
          <w:rPr>
            <w:rStyle w:val="Hyperlink"/>
          </w:rPr>
          <w:t>www.servicesaustralia.gov.au</w:t>
        </w:r>
      </w:hyperlink>
      <w:r w:rsidR="00174E81">
        <w:t xml:space="preserve"> </w:t>
      </w:r>
      <w:r w:rsidR="00174E81" w:rsidRPr="00174E81" w:rsidDel="00174E81">
        <w:t xml:space="preserve"> </w:t>
      </w:r>
    </w:p>
    <w:p w14:paraId="5D18E546" w14:textId="77777777" w:rsidR="004B744B" w:rsidRDefault="004B744B" w:rsidP="008267C7">
      <w:r>
        <w:t xml:space="preserve">General Enquiries – </w:t>
      </w:r>
      <w:r w:rsidRPr="00555483">
        <w:rPr>
          <w:rStyle w:val="Strong"/>
        </w:rPr>
        <w:t xml:space="preserve">132 011 </w:t>
      </w:r>
      <w:r>
        <w:t>(local call rate)</w:t>
      </w:r>
    </w:p>
    <w:p w14:paraId="7ED1C453" w14:textId="5D17D312" w:rsidR="004908E0" w:rsidRDefault="004B744B" w:rsidP="008267C7">
      <w:r>
        <w:t xml:space="preserve">Provider Enquiries – </w:t>
      </w:r>
      <w:r w:rsidRPr="00555483">
        <w:rPr>
          <w:rStyle w:val="Strong"/>
        </w:rPr>
        <w:t>132 150</w:t>
      </w:r>
      <w:r>
        <w:t xml:space="preserve"> (local call rate)</w:t>
      </w:r>
    </w:p>
    <w:p w14:paraId="4314D751" w14:textId="77777777" w:rsidR="004B744B" w:rsidRPr="00DE5B76" w:rsidRDefault="004B744B" w:rsidP="008267C7">
      <w:pPr>
        <w:pStyle w:val="List"/>
      </w:pPr>
      <w:bookmarkStart w:id="364" w:name="_Toc201167198"/>
      <w:bookmarkStart w:id="365" w:name="_Toc201167263"/>
      <w:r w:rsidRPr="00DE5B76">
        <w:t>Client Eligibility</w:t>
      </w:r>
      <w:bookmarkEnd w:id="364"/>
      <w:bookmarkEnd w:id="365"/>
    </w:p>
    <w:p w14:paraId="11952382" w14:textId="40A443AA" w:rsidR="004B744B" w:rsidRPr="00EC5150" w:rsidRDefault="004B744B" w:rsidP="000F0B6F">
      <w:pPr>
        <w:pStyle w:val="List2"/>
      </w:pPr>
      <w:r w:rsidRPr="00EC5150">
        <w:t xml:space="preserve">Who </w:t>
      </w:r>
      <w:r w:rsidRPr="00DE5B76">
        <w:t>can</w:t>
      </w:r>
      <w:r w:rsidRPr="00EC5150">
        <w:t xml:space="preserve"> refer a client for care coordination?</w:t>
      </w:r>
    </w:p>
    <w:p w14:paraId="0D4DB61F" w14:textId="76B59528" w:rsidR="004C33AE" w:rsidRPr="00555483" w:rsidRDefault="004B744B" w:rsidP="008267C7">
      <w:r w:rsidRPr="00555483">
        <w:t xml:space="preserve">The </w:t>
      </w:r>
      <w:r w:rsidR="00776C8D" w:rsidRPr="00555483">
        <w:t xml:space="preserve">client should receive a referral from </w:t>
      </w:r>
      <w:r w:rsidRPr="00555483">
        <w:t>a GP</w:t>
      </w:r>
      <w:r w:rsidR="00776C8D" w:rsidRPr="00555483">
        <w:t xml:space="preserve"> associated with </w:t>
      </w:r>
      <w:r w:rsidRPr="00555483">
        <w:t>the</w:t>
      </w:r>
      <w:r w:rsidR="00396F5A" w:rsidRPr="00555483">
        <w:t xml:space="preserve"> primary</w:t>
      </w:r>
      <w:r w:rsidRPr="00555483">
        <w:t xml:space="preserve"> practice</w:t>
      </w:r>
      <w:r w:rsidR="00396F5A" w:rsidRPr="00555483">
        <w:t xml:space="preserve"> responsible for delivering</w:t>
      </w:r>
      <w:r w:rsidRPr="00555483">
        <w:t xml:space="preserve"> </w:t>
      </w:r>
      <w:proofErr w:type="gramStart"/>
      <w:r w:rsidRPr="00555483">
        <w:t>the majority of</w:t>
      </w:r>
      <w:proofErr w:type="gramEnd"/>
      <w:r w:rsidRPr="00555483">
        <w:t xml:space="preserve"> care </w:t>
      </w:r>
      <w:r w:rsidR="002109A3" w:rsidRPr="00555483">
        <w:t>to</w:t>
      </w:r>
      <w:r w:rsidRPr="00555483">
        <w:t xml:space="preserve"> the client and</w:t>
      </w:r>
      <w:r w:rsidR="002109A3" w:rsidRPr="00555483">
        <w:t xml:space="preserve"> for</w:t>
      </w:r>
      <w:r w:rsidRPr="00555483">
        <w:t xml:space="preserve"> developing</w:t>
      </w:r>
      <w:r w:rsidR="002109A3" w:rsidRPr="00555483">
        <w:t xml:space="preserve"> </w:t>
      </w:r>
      <w:r w:rsidR="00483438" w:rsidRPr="00555483">
        <w:t xml:space="preserve">the client’s care plan. </w:t>
      </w:r>
      <w:r w:rsidR="007C5910" w:rsidRPr="00555483">
        <w:t xml:space="preserve">Referral </w:t>
      </w:r>
      <w:r w:rsidR="00D974A7" w:rsidRPr="00555483">
        <w:t xml:space="preserve">from a GP who regularly interacts with the client </w:t>
      </w:r>
      <w:r w:rsidR="001B2A7F" w:rsidRPr="00555483">
        <w:t>to review and maintain a care plan established by another provider is also acceptable.</w:t>
      </w:r>
      <w:r w:rsidRPr="00555483">
        <w:t xml:space="preserve"> This can be in a mainstream general practice or Aboriginal </w:t>
      </w:r>
      <w:r w:rsidR="00DA5FE7" w:rsidRPr="00555483">
        <w:t>Community Controlled Health Service / Aboriginal Medical Service</w:t>
      </w:r>
      <w:r w:rsidRPr="00555483">
        <w:t>.</w:t>
      </w:r>
    </w:p>
    <w:p w14:paraId="2E9FD55F" w14:textId="7F54E3D6" w:rsidR="009217FB" w:rsidRPr="00555483" w:rsidRDefault="004C33AE" w:rsidP="008267C7">
      <w:r w:rsidRPr="00555483">
        <w:t xml:space="preserve">For clients who may be eligible for ITC care coordination in remote areas but are unable to attain a GP care plan and referral due to intermittent access to a GP, referral into ITC by a Remote Area Nurse or equivalent position may be permitted as an interim measure. During the interim period ITC teams would be able to provide limited support, for example coordination and provision of transport to health </w:t>
      </w:r>
      <w:proofErr w:type="gramStart"/>
      <w:r w:rsidRPr="00555483">
        <w:t>appointments, but</w:t>
      </w:r>
      <w:proofErr w:type="gramEnd"/>
      <w:r w:rsidRPr="00555483">
        <w:t xml:space="preserve"> not funding of services or medical aids and equipment. A GP care plan must be completed as a priority once a GP is able to attend the remote clinic.</w:t>
      </w:r>
    </w:p>
    <w:p w14:paraId="42CCD9DD" w14:textId="603B465E" w:rsidR="004B744B" w:rsidRPr="00EC5150" w:rsidRDefault="004B744B" w:rsidP="000F0B6F">
      <w:pPr>
        <w:pStyle w:val="List2"/>
      </w:pPr>
      <w:r w:rsidRPr="00EC5150">
        <w:t xml:space="preserve">Can clients with a high risk of chronic disease be included </w:t>
      </w:r>
      <w:r w:rsidR="00D25174" w:rsidRPr="00EC5150">
        <w:t>in ITC</w:t>
      </w:r>
      <w:r w:rsidRPr="00EC5150">
        <w:t xml:space="preserve"> even though they have not yet developed a chronic disease? </w:t>
      </w:r>
    </w:p>
    <w:p w14:paraId="6720E2A0" w14:textId="50238FEA" w:rsidR="00916522" w:rsidRPr="00555483" w:rsidRDefault="004B744B" w:rsidP="008267C7">
      <w:r w:rsidRPr="00555483">
        <w:t xml:space="preserve">No. High risk clients are not eligible. The care coordination component of </w:t>
      </w:r>
      <w:r w:rsidR="00C21477" w:rsidRPr="00555483">
        <w:t>ITC</w:t>
      </w:r>
      <w:r w:rsidRPr="00555483">
        <w:t xml:space="preserve"> is not aimed at tackling risk factors for chronic disease. The aim of the </w:t>
      </w:r>
      <w:r w:rsidR="00E67527" w:rsidRPr="00555483">
        <w:t>p</w:t>
      </w:r>
      <w:r w:rsidRPr="00555483">
        <w:t>rogram is to contribute to improved health outcomes for Aboriginal and Torres Strait Islander people already diagnosed with chronic conditions through better access to coordinated and multi-disciplinary care.</w:t>
      </w:r>
    </w:p>
    <w:p w14:paraId="648EAB90" w14:textId="0DD73A30" w:rsidR="004B744B" w:rsidRPr="00942081" w:rsidRDefault="004B744B" w:rsidP="000F0B6F">
      <w:pPr>
        <w:pStyle w:val="List2"/>
      </w:pPr>
      <w:r w:rsidRPr="00942081">
        <w:t xml:space="preserve">What is considered a chronic disease for the purposes </w:t>
      </w:r>
      <w:r w:rsidR="00D25174" w:rsidRPr="00942081">
        <w:t>of ITC</w:t>
      </w:r>
      <w:r w:rsidRPr="00942081">
        <w:t>?</w:t>
      </w:r>
    </w:p>
    <w:p w14:paraId="50588FEC" w14:textId="681F29D0" w:rsidR="004B744B" w:rsidRPr="00555483" w:rsidRDefault="00C21477" w:rsidP="008267C7">
      <w:r w:rsidRPr="00555483">
        <w:t>ITC</w:t>
      </w:r>
      <w:r w:rsidR="004B744B" w:rsidRPr="00555483">
        <w:t xml:space="preserve"> uses the Medicare Benefits Schedule (MBS) definition of a chronic disease, which is: a </w:t>
      </w:r>
      <w:r w:rsidR="0075715E" w:rsidRPr="00555483">
        <w:t xml:space="preserve">disease or condition that has </w:t>
      </w:r>
      <w:r w:rsidR="001D1048" w:rsidRPr="00555483">
        <w:t>been or</w:t>
      </w:r>
      <w:r w:rsidR="0075715E" w:rsidRPr="00555483">
        <w:t xml:space="preserve"> is likely to be present for at least six months</w:t>
      </w:r>
      <w:r w:rsidR="00140160" w:rsidRPr="00555483">
        <w:footnoteReference w:id="7"/>
      </w:r>
      <w:r w:rsidR="0075715E" w:rsidRPr="00555483">
        <w:t>, including (but not limited to) asthma, cancer, cardiovascular illness, diabetes mellitus, a mental health condition, arthritis or a musculoskeletal condition.</w:t>
      </w:r>
    </w:p>
    <w:p w14:paraId="70963E0D" w14:textId="2387AE7C" w:rsidR="004B744B" w:rsidRPr="00555483" w:rsidRDefault="004B744B" w:rsidP="008267C7">
      <w:r w:rsidRPr="00555483">
        <w:lastRenderedPageBreak/>
        <w:t xml:space="preserve">Dental is not an eligible condition for the purposes </w:t>
      </w:r>
      <w:r w:rsidR="001D1048" w:rsidRPr="00555483">
        <w:t>of ITC</w:t>
      </w:r>
      <w:r w:rsidRPr="00555483">
        <w:t>.</w:t>
      </w:r>
    </w:p>
    <w:p w14:paraId="4ED77973" w14:textId="4FDF2BF4" w:rsidR="004B744B" w:rsidRPr="00555483" w:rsidRDefault="004B744B" w:rsidP="008267C7">
      <w:r w:rsidRPr="00555483">
        <w:t xml:space="preserve">Priority should be given to clients with complex chronic care needs who require multidisciplinary coordinated care </w:t>
      </w:r>
      <w:proofErr w:type="gramStart"/>
      <w:r w:rsidRPr="00555483">
        <w:t>in order to</w:t>
      </w:r>
      <w:proofErr w:type="gramEnd"/>
      <w:r w:rsidRPr="00555483">
        <w:t xml:space="preserve"> manage their chronic disease/s.</w:t>
      </w:r>
      <w:r w:rsidR="005D1367" w:rsidRPr="00555483">
        <w:t xml:space="preserve"> </w:t>
      </w:r>
      <w:r w:rsidRPr="00555483">
        <w:t>This includes, but is not limited to, clients with diabetes, eye health conditions associated with diabetes, mental health conditions, cancer, cardiovascular disease, chronic respiratory disease and chronic renal disease.</w:t>
      </w:r>
    </w:p>
    <w:p w14:paraId="3B5B0D04" w14:textId="58D27B3B" w:rsidR="004B744B" w:rsidRPr="00942081" w:rsidRDefault="004B744B" w:rsidP="000F0B6F">
      <w:pPr>
        <w:pStyle w:val="List2"/>
      </w:pPr>
      <w:r w:rsidRPr="00942081">
        <w:t xml:space="preserve">Can children </w:t>
      </w:r>
      <w:r w:rsidR="00A5626F" w:rsidRPr="00942081">
        <w:t>access ITC</w:t>
      </w:r>
      <w:r w:rsidRPr="00942081">
        <w:t xml:space="preserve">? </w:t>
      </w:r>
    </w:p>
    <w:p w14:paraId="2F0F1CEF" w14:textId="2FF93036" w:rsidR="004B744B" w:rsidRPr="00555483" w:rsidRDefault="004B744B" w:rsidP="008267C7">
      <w:r w:rsidRPr="00555483">
        <w:t>Yes. Children must be referred by their usual practice GP and have a care plan for their chronic disease</w:t>
      </w:r>
      <w:r w:rsidR="00E67527" w:rsidRPr="00555483">
        <w:t>/</w:t>
      </w:r>
      <w:r w:rsidR="00213948" w:rsidRPr="00555483">
        <w:t>s</w:t>
      </w:r>
      <w:r w:rsidRPr="00555483">
        <w:t>.</w:t>
      </w:r>
    </w:p>
    <w:p w14:paraId="71D5C56D" w14:textId="77777777" w:rsidR="004B744B" w:rsidRPr="00942081" w:rsidRDefault="004B744B" w:rsidP="000F0B6F">
      <w:pPr>
        <w:pStyle w:val="List2"/>
      </w:pPr>
      <w:r w:rsidRPr="00942081">
        <w:t>Can ITC clients seek treatment across PHN regions?</w:t>
      </w:r>
    </w:p>
    <w:p w14:paraId="47D77FDC" w14:textId="75B8F974" w:rsidR="00213948" w:rsidRPr="00555483" w:rsidRDefault="004B744B" w:rsidP="008267C7">
      <w:r w:rsidRPr="00555483">
        <w:t xml:space="preserve">Yes. Where clients enrolled </w:t>
      </w:r>
      <w:r w:rsidR="00E67527" w:rsidRPr="00555483">
        <w:t>i</w:t>
      </w:r>
      <w:r w:rsidRPr="00555483">
        <w:t xml:space="preserve">n ITC seek treatment across PHN regions, the relevant </w:t>
      </w:r>
      <w:r w:rsidR="00EE1A24" w:rsidRPr="00555483">
        <w:t>commissioning bodies</w:t>
      </w:r>
      <w:r w:rsidRPr="00555483">
        <w:t xml:space="preserve"> should work together to develop processes that best meet local circumstances.</w:t>
      </w:r>
    </w:p>
    <w:p w14:paraId="0E9D2E4A" w14:textId="1D8962E3" w:rsidR="004B744B" w:rsidRPr="00AB6972" w:rsidRDefault="004B744B" w:rsidP="008267C7">
      <w:pPr>
        <w:pStyle w:val="List"/>
      </w:pPr>
      <w:bookmarkStart w:id="366" w:name="_Toc201167199"/>
      <w:bookmarkStart w:id="367" w:name="_Toc201167264"/>
      <w:r w:rsidRPr="00F6141A">
        <w:t>Care Coordinator Eligibility</w:t>
      </w:r>
      <w:bookmarkEnd w:id="366"/>
      <w:bookmarkEnd w:id="367"/>
    </w:p>
    <w:p w14:paraId="3F0576C5" w14:textId="77777777" w:rsidR="004B744B" w:rsidRPr="00F6141A" w:rsidRDefault="004B744B" w:rsidP="000F0B6F">
      <w:pPr>
        <w:pStyle w:val="List2"/>
        <w:numPr>
          <w:ilvl w:val="0"/>
          <w:numId w:val="100"/>
        </w:numPr>
      </w:pPr>
      <w:r w:rsidRPr="00F6141A">
        <w:t xml:space="preserve">Can a non-clinical person work in the Care Coordinator role? </w:t>
      </w:r>
    </w:p>
    <w:p w14:paraId="0DE6C93A" w14:textId="77777777" w:rsidR="002917CE" w:rsidRPr="00555483" w:rsidRDefault="004B744B" w:rsidP="008267C7">
      <w:r w:rsidRPr="00555483">
        <w:t xml:space="preserve">Wherever possible, Care Coordinator positions should be filled by an individual with </w:t>
      </w:r>
      <w:r w:rsidR="001200AE" w:rsidRPr="00555483">
        <w:t xml:space="preserve">the </w:t>
      </w:r>
      <w:r w:rsidRPr="00555483">
        <w:t xml:space="preserve">relevant clinical skills. In specific circumstances and in consultation with the </w:t>
      </w:r>
    </w:p>
    <w:p w14:paraId="4E594F1A" w14:textId="247D4ECA" w:rsidR="004B744B" w:rsidRPr="008267C7" w:rsidRDefault="002917CE" w:rsidP="008267C7">
      <w:r w:rsidRPr="00555483">
        <w:t>Department of Health, Disability and Ageing</w:t>
      </w:r>
      <w:r w:rsidR="004B744B" w:rsidRPr="00555483">
        <w:t>, consideration may be given to people who have other appropriate qualifications, training, skills and personal attributes.</w:t>
      </w:r>
    </w:p>
    <w:p w14:paraId="533C8371" w14:textId="357EAFD7" w:rsidR="004B744B" w:rsidRPr="000F0B6F" w:rsidRDefault="004B744B" w:rsidP="008267C7">
      <w:pPr>
        <w:pStyle w:val="List"/>
      </w:pPr>
      <w:bookmarkStart w:id="368" w:name="_Toc201167200"/>
      <w:bookmarkStart w:id="369" w:name="_Toc201167265"/>
      <w:r w:rsidRPr="001075D9">
        <w:t>Travel</w:t>
      </w:r>
      <w:bookmarkEnd w:id="368"/>
      <w:bookmarkEnd w:id="369"/>
    </w:p>
    <w:p w14:paraId="538B6E93" w14:textId="7AFC87A4" w:rsidR="004B744B" w:rsidRPr="00BA0200" w:rsidRDefault="004B744B" w:rsidP="000F0B6F">
      <w:pPr>
        <w:pStyle w:val="List2"/>
        <w:numPr>
          <w:ilvl w:val="0"/>
          <w:numId w:val="101"/>
        </w:numPr>
      </w:pPr>
      <w:r w:rsidRPr="001075D9">
        <w:t xml:space="preserve">Can Supplementary Services </w:t>
      </w:r>
      <w:r w:rsidR="00E01723">
        <w:t>F</w:t>
      </w:r>
      <w:r w:rsidRPr="00A5626F">
        <w:t xml:space="preserve">unding be used for a health care provider to travel to a client (e.g. a home visit) rather than the client travelling to visit them? </w:t>
      </w:r>
    </w:p>
    <w:p w14:paraId="271DE627" w14:textId="292CF989" w:rsidR="004B744B" w:rsidRPr="00555483" w:rsidRDefault="004B744B" w:rsidP="008267C7">
      <w:r w:rsidRPr="00555483">
        <w:t xml:space="preserve">Supplementary Services </w:t>
      </w:r>
      <w:r w:rsidR="00E01723" w:rsidRPr="00555483">
        <w:t>F</w:t>
      </w:r>
      <w:r w:rsidRPr="00555483">
        <w:t xml:space="preserve">unds can be used to allow a health care provider to visit the client’s home. For example, if a client is unable to leave their home, or if it is clinically necessary to deliver the service in the client’s normal home setting (e.g. for Activities of Daily Living, mobility, and falls prevention assessments). </w:t>
      </w:r>
    </w:p>
    <w:p w14:paraId="41133D76" w14:textId="1C6A4909" w:rsidR="004B744B" w:rsidRPr="00BA0200" w:rsidRDefault="004B744B" w:rsidP="000F0B6F">
      <w:pPr>
        <w:pStyle w:val="List2"/>
      </w:pPr>
      <w:r w:rsidRPr="001075D9">
        <w:t xml:space="preserve">Can Supplementary Services </w:t>
      </w:r>
      <w:r w:rsidR="00E01723">
        <w:t>F</w:t>
      </w:r>
      <w:r w:rsidRPr="00A5626F">
        <w:t xml:space="preserve">unding be provided for a client to travel out of town to visit a health care provider, rather than arranging for the provider to travel to the client’s location? </w:t>
      </w:r>
    </w:p>
    <w:p w14:paraId="1A29A2CC" w14:textId="032F4417" w:rsidR="004B744B" w:rsidRPr="00555483" w:rsidRDefault="004B744B" w:rsidP="008267C7">
      <w:r w:rsidRPr="00555483">
        <w:t xml:space="preserve">When it is necessary for a client to access required health care in a clinically appropriate timeframe, Supplementary Services </w:t>
      </w:r>
      <w:r w:rsidR="00E01723" w:rsidRPr="00555483">
        <w:t>F</w:t>
      </w:r>
      <w:r w:rsidRPr="00555483">
        <w:t>unding can be used to support a client’s travel to the closest regionally available health care provider (i.e. GP, specialist or allied health practitioner).</w:t>
      </w:r>
    </w:p>
    <w:p w14:paraId="4A573829" w14:textId="4C45B2D0" w:rsidR="004B744B" w:rsidRPr="00555483" w:rsidRDefault="004B744B" w:rsidP="008267C7">
      <w:r w:rsidRPr="00555483">
        <w:t xml:space="preserve">In such cases, the manager of the Supplementary Services </w:t>
      </w:r>
      <w:r w:rsidR="00E01723" w:rsidRPr="00555483">
        <w:t>F</w:t>
      </w:r>
      <w:r w:rsidRPr="00555483">
        <w:t xml:space="preserve">und must ensure that all other funding options (e.g. </w:t>
      </w:r>
      <w:r w:rsidR="00AD510C" w:rsidRPr="00555483">
        <w:t>client</w:t>
      </w:r>
      <w:r w:rsidRPr="00555483">
        <w:t xml:space="preserve"> </w:t>
      </w:r>
      <w:r w:rsidR="008900B8" w:rsidRPr="00555483">
        <w:t>a</w:t>
      </w:r>
      <w:r w:rsidRPr="00555483">
        <w:t xml:space="preserve">ssisted </w:t>
      </w:r>
      <w:r w:rsidR="008900B8" w:rsidRPr="00555483">
        <w:t>t</w:t>
      </w:r>
      <w:r w:rsidRPr="00555483">
        <w:t xml:space="preserve">ravel </w:t>
      </w:r>
      <w:r w:rsidR="008900B8" w:rsidRPr="00555483">
        <w:t>s</w:t>
      </w:r>
      <w:r w:rsidRPr="00555483">
        <w:t xml:space="preserve">chemes) have been exhausted and that the most </w:t>
      </w:r>
      <w:r w:rsidR="006527D2" w:rsidRPr="00555483">
        <w:t>cost-effective</w:t>
      </w:r>
      <w:r w:rsidRPr="00555483">
        <w:t xml:space="preserve"> means of transport (and any essential accommodation) is used. For example, Supplementary Services </w:t>
      </w:r>
      <w:r w:rsidR="00E01723" w:rsidRPr="00555483">
        <w:t>F</w:t>
      </w:r>
      <w:r w:rsidRPr="00555483">
        <w:t xml:space="preserve">unds may be used to fund the difference between the full cost of travel and any funds provided through alternative funding mechanisms. </w:t>
      </w:r>
    </w:p>
    <w:p w14:paraId="0F1264C0" w14:textId="0070A226" w:rsidR="004B744B" w:rsidRPr="00555483" w:rsidRDefault="004B744B" w:rsidP="008267C7">
      <w:r w:rsidRPr="00555483">
        <w:lastRenderedPageBreak/>
        <w:t xml:space="preserve">Note: Managers of the Supplementary Services </w:t>
      </w:r>
      <w:r w:rsidR="00E01723" w:rsidRPr="00555483">
        <w:t>F</w:t>
      </w:r>
      <w:r w:rsidRPr="00555483">
        <w:t>und are encouraged to liaise with the relevant fund holder for the Medical Outreach - Indigenous Chronic Disease Program (MOICDP) and/or the Rural Health Outreach Fund (RHOF) and/or the Visiting Optometrists Scheme (VOS) regarding opportunities to access outreach specialist services.</w:t>
      </w:r>
    </w:p>
    <w:p w14:paraId="4FAFC3C9" w14:textId="568F9EDB" w:rsidR="004B744B" w:rsidRPr="00BA0200" w:rsidRDefault="004B744B" w:rsidP="000F0B6F">
      <w:pPr>
        <w:pStyle w:val="List2"/>
      </w:pPr>
      <w:r w:rsidRPr="001075D9">
        <w:t xml:space="preserve">Can Supplementary Services </w:t>
      </w:r>
      <w:r w:rsidR="00E01723">
        <w:t>F</w:t>
      </w:r>
      <w:r w:rsidRPr="00A5626F">
        <w:t xml:space="preserve">unds be used to support travel and accommodation costs of the client’s parent, carer or other support provider? </w:t>
      </w:r>
    </w:p>
    <w:p w14:paraId="69A0A344" w14:textId="2F0AAF4B" w:rsidR="00A82887" w:rsidRPr="00555483" w:rsidRDefault="004B744B" w:rsidP="008267C7">
      <w:r w:rsidRPr="00555483">
        <w:t xml:space="preserve">If </w:t>
      </w:r>
      <w:r w:rsidR="00A82887" w:rsidRPr="00555483">
        <w:t xml:space="preserve">a client requires a parent, carer or other support provider to </w:t>
      </w:r>
      <w:r w:rsidRPr="00555483">
        <w:t xml:space="preserve">enable access to a health care appointment and all other options have been explored and excluded, Supplementary Services </w:t>
      </w:r>
      <w:r w:rsidR="00E01723" w:rsidRPr="00555483">
        <w:t>F</w:t>
      </w:r>
      <w:r w:rsidRPr="00555483">
        <w:t xml:space="preserve">unds can be used for this purpose. </w:t>
      </w:r>
    </w:p>
    <w:p w14:paraId="24F6CC0A" w14:textId="73DFBE9E" w:rsidR="004B744B" w:rsidRPr="00555483" w:rsidRDefault="004B744B" w:rsidP="008267C7">
      <w:r w:rsidRPr="00555483">
        <w:t xml:space="preserve">Only the number of client transports should be recorded. Do not record the parent or carer’s transport in the number of transport services used. </w:t>
      </w:r>
    </w:p>
    <w:p w14:paraId="2AFE6331" w14:textId="63234AE7" w:rsidR="004B744B" w:rsidRPr="00BA0200" w:rsidRDefault="004B744B" w:rsidP="000F0B6F">
      <w:pPr>
        <w:pStyle w:val="List2"/>
      </w:pPr>
      <w:r w:rsidRPr="001075D9">
        <w:t>Can Supplementary Services be used to cover parking for a</w:t>
      </w:r>
      <w:r w:rsidR="00F01220">
        <w:t>n</w:t>
      </w:r>
      <w:r w:rsidRPr="001075D9">
        <w:t xml:space="preserve"> </w:t>
      </w:r>
      <w:r w:rsidR="00F01220">
        <w:t>ITC</w:t>
      </w:r>
      <w:r w:rsidRPr="001075D9">
        <w:t xml:space="preserve"> client attending a health care appointment? </w:t>
      </w:r>
    </w:p>
    <w:p w14:paraId="7C30142E" w14:textId="5950C273" w:rsidR="004B744B" w:rsidRPr="00555483" w:rsidRDefault="004B744B" w:rsidP="008267C7">
      <w:r w:rsidRPr="00555483">
        <w:t xml:space="preserve">Yes. </w:t>
      </w:r>
      <w:r w:rsidR="00A82887" w:rsidRPr="00555483">
        <w:t>Parking costs can be covered for a client attending a health care appointment.</w:t>
      </w:r>
    </w:p>
    <w:p w14:paraId="5B83308E" w14:textId="6D7EE169" w:rsidR="004B744B" w:rsidRPr="00BA0200" w:rsidRDefault="004B744B" w:rsidP="000F0B6F">
      <w:pPr>
        <w:pStyle w:val="List2"/>
      </w:pPr>
      <w:r w:rsidRPr="001075D9">
        <w:t xml:space="preserve">Should </w:t>
      </w:r>
      <w:r w:rsidR="00F01220">
        <w:t>commissioning bodies</w:t>
      </w:r>
      <w:r w:rsidRPr="001075D9">
        <w:t xml:space="preserve"> contact the </w:t>
      </w:r>
      <w:r w:rsidR="00566B18">
        <w:t xml:space="preserve">FAM or relevant </w:t>
      </w:r>
      <w:r w:rsidR="00B72CBC">
        <w:t>Grant Officer</w:t>
      </w:r>
      <w:r w:rsidRPr="001075D9">
        <w:t xml:space="preserve"> to discuss options when travel beyond the closest available regional service has been requested due to an urgent need to access treatment?</w:t>
      </w:r>
    </w:p>
    <w:p w14:paraId="73676350" w14:textId="0E0C2FEE" w:rsidR="00F6141A" w:rsidRPr="00555483" w:rsidRDefault="004B744B" w:rsidP="008267C7">
      <w:r w:rsidRPr="00555483">
        <w:t xml:space="preserve">No, this is not necessary. Travel beyond the closest available regional service is acceptable when there is no regional solution. Decisions regarding an individual client’s care needs should be made at the </w:t>
      </w:r>
      <w:r w:rsidR="00566B18" w:rsidRPr="00555483">
        <w:t>discretion of the commissioning body</w:t>
      </w:r>
      <w:r w:rsidRPr="00555483">
        <w:t xml:space="preserve">. </w:t>
      </w:r>
    </w:p>
    <w:p w14:paraId="0DAB7F52" w14:textId="334692E8" w:rsidR="004B744B" w:rsidRPr="000F0B6F" w:rsidRDefault="004B744B" w:rsidP="008267C7">
      <w:pPr>
        <w:pStyle w:val="List"/>
      </w:pPr>
      <w:bookmarkStart w:id="370" w:name="_Toc201167201"/>
      <w:bookmarkStart w:id="371" w:name="_Toc201167266"/>
      <w:r w:rsidRPr="000F0B6F">
        <w:t>Medical Aids</w:t>
      </w:r>
      <w:bookmarkEnd w:id="370"/>
      <w:bookmarkEnd w:id="371"/>
    </w:p>
    <w:p w14:paraId="074036BF" w14:textId="77777777" w:rsidR="004B744B" w:rsidRPr="001075D9" w:rsidRDefault="004B744B" w:rsidP="000F0B6F">
      <w:pPr>
        <w:pStyle w:val="List2"/>
        <w:numPr>
          <w:ilvl w:val="0"/>
          <w:numId w:val="102"/>
        </w:numPr>
      </w:pPr>
      <w:r w:rsidRPr="001075D9">
        <w:t xml:space="preserve">Can Supplementary Services </w:t>
      </w:r>
      <w:r w:rsidRPr="000F0B6F">
        <w:t>funding</w:t>
      </w:r>
      <w:r w:rsidRPr="001075D9">
        <w:t xml:space="preserve"> be used to provide medical aids? </w:t>
      </w:r>
    </w:p>
    <w:p w14:paraId="00402D78" w14:textId="43CC33BE" w:rsidR="004B744B" w:rsidRPr="008267C7" w:rsidRDefault="004B744B" w:rsidP="008267C7">
      <w:r w:rsidRPr="00555483">
        <w:t>Yes. See the ITC</w:t>
      </w:r>
      <w:r w:rsidR="00CA117B" w:rsidRPr="00555483">
        <w:t xml:space="preserve"> </w:t>
      </w:r>
      <w:r w:rsidRPr="00555483">
        <w:t>Program Implementation Guidelines Section 10.2.2 for information on medical aids.</w:t>
      </w:r>
    </w:p>
    <w:p w14:paraId="391CF9C2" w14:textId="0BE9D42C" w:rsidR="004B744B" w:rsidRPr="000F0B6F" w:rsidRDefault="004B744B" w:rsidP="008267C7">
      <w:pPr>
        <w:pStyle w:val="List"/>
      </w:pPr>
      <w:bookmarkStart w:id="372" w:name="_Toc201167202"/>
      <w:bookmarkStart w:id="373" w:name="_Toc201167267"/>
      <w:r w:rsidRPr="000F0B6F">
        <w:t>Other Services</w:t>
      </w:r>
      <w:bookmarkEnd w:id="372"/>
      <w:bookmarkEnd w:id="373"/>
    </w:p>
    <w:p w14:paraId="27A664EA" w14:textId="77777777" w:rsidR="004B744B" w:rsidRPr="001075D9" w:rsidRDefault="004B744B" w:rsidP="000F0B6F">
      <w:pPr>
        <w:pStyle w:val="List2"/>
      </w:pPr>
      <w:r w:rsidRPr="001075D9">
        <w:t xml:space="preserve">Can Supplementary Services funding be used to provide care coordination clients with services such as ‘Meals on Wheels’? </w:t>
      </w:r>
    </w:p>
    <w:p w14:paraId="357A3A47" w14:textId="5D81EAFB" w:rsidR="004B744B" w:rsidRPr="00555483" w:rsidRDefault="004B744B" w:rsidP="008267C7">
      <w:r w:rsidRPr="00555483">
        <w:t xml:space="preserve">Supplementary Services </w:t>
      </w:r>
      <w:r w:rsidR="00E01723" w:rsidRPr="00555483">
        <w:t>F</w:t>
      </w:r>
      <w:r w:rsidRPr="00555483">
        <w:t xml:space="preserve">unding may be used for services other than those detailed in the Implementation Guidelines, e.g. </w:t>
      </w:r>
      <w:r w:rsidR="00F6141A" w:rsidRPr="00555483">
        <w:t>‘</w:t>
      </w:r>
      <w:r w:rsidRPr="00555483">
        <w:t>meals on wheels</w:t>
      </w:r>
      <w:r w:rsidR="00F6141A" w:rsidRPr="00555483">
        <w:t>’</w:t>
      </w:r>
      <w:r w:rsidRPr="00555483">
        <w:t xml:space="preserve">, if that service will assist with the management of the client’s chronic disease and is detailed in the client’s care plan. All other funding options need to be explored prior to using Supplementary Services </w:t>
      </w:r>
      <w:r w:rsidR="00E01723" w:rsidRPr="00555483">
        <w:t>F</w:t>
      </w:r>
      <w:r w:rsidRPr="00555483">
        <w:t>unds.</w:t>
      </w:r>
    </w:p>
    <w:p w14:paraId="2D1A8465" w14:textId="22818160" w:rsidR="004B744B" w:rsidRPr="00555483" w:rsidRDefault="004B744B" w:rsidP="008267C7">
      <w:r w:rsidRPr="00555483">
        <w:t xml:space="preserve">The allocation of priorities within limited funding is at the discretion of </w:t>
      </w:r>
      <w:r w:rsidR="008269D9" w:rsidRPr="00555483">
        <w:t>commissioning bod</w:t>
      </w:r>
      <w:r w:rsidR="002C3F86" w:rsidRPr="00555483">
        <w:t>ies</w:t>
      </w:r>
      <w:r w:rsidRPr="00555483">
        <w:t xml:space="preserve">. </w:t>
      </w:r>
    </w:p>
    <w:p w14:paraId="6D55DEEB" w14:textId="1A49E79A" w:rsidR="004B744B" w:rsidRPr="001075D9" w:rsidRDefault="004B744B" w:rsidP="000F0B6F">
      <w:pPr>
        <w:pStyle w:val="List2"/>
      </w:pPr>
      <w:r w:rsidRPr="001075D9">
        <w:t xml:space="preserve">Can Supplementary Services </w:t>
      </w:r>
      <w:r w:rsidR="00E01723">
        <w:t>F</w:t>
      </w:r>
      <w:r w:rsidRPr="00A5626F">
        <w:t xml:space="preserve">unding be used to pay for health services that clients accessed prior to being enrolled in </w:t>
      </w:r>
      <w:r w:rsidR="00C21477">
        <w:t>ITC</w:t>
      </w:r>
      <w:r w:rsidRPr="001075D9">
        <w:t xml:space="preserve">? </w:t>
      </w:r>
    </w:p>
    <w:p w14:paraId="20F3BCD8" w14:textId="4CE34FE6" w:rsidR="00A82887" w:rsidRPr="00555483" w:rsidRDefault="004B744B" w:rsidP="008267C7">
      <w:r w:rsidRPr="00555483">
        <w:t xml:space="preserve">No. Supplementary Services </w:t>
      </w:r>
      <w:r w:rsidR="00E01723" w:rsidRPr="00555483">
        <w:t>F</w:t>
      </w:r>
      <w:r w:rsidRPr="00555483">
        <w:t xml:space="preserve">unds cannot be used to pay for costs incurred by clients prior to being referred to and accepted into </w:t>
      </w:r>
      <w:r w:rsidR="00C21477" w:rsidRPr="00555483">
        <w:t>ITC</w:t>
      </w:r>
      <w:r w:rsidRPr="00555483">
        <w:t xml:space="preserve">. </w:t>
      </w:r>
    </w:p>
    <w:p w14:paraId="03B79B6E" w14:textId="66F35AEA" w:rsidR="004B744B" w:rsidRPr="00555483" w:rsidRDefault="004B744B" w:rsidP="000F0B6F">
      <w:pPr>
        <w:pStyle w:val="List2"/>
      </w:pPr>
      <w:r w:rsidRPr="001075D9">
        <w:t xml:space="preserve">Can Supplementary Services </w:t>
      </w:r>
      <w:r w:rsidR="00E01723">
        <w:t>F</w:t>
      </w:r>
      <w:r w:rsidRPr="00A5626F">
        <w:t xml:space="preserve">unds be used to access dietary resources such as nutrition information and healthy recipes needed to aid healthy eating and the management of chronic disease? </w:t>
      </w:r>
    </w:p>
    <w:p w14:paraId="35D26E7A" w14:textId="77777777" w:rsidR="004B744B" w:rsidRPr="00555483" w:rsidRDefault="004B744B" w:rsidP="008267C7">
      <w:r w:rsidRPr="00555483">
        <w:lastRenderedPageBreak/>
        <w:t xml:space="preserve">Yes, provided a relevant health professional has advised that the client should use these </w:t>
      </w:r>
      <w:proofErr w:type="gramStart"/>
      <w:r w:rsidRPr="00555483">
        <w:t>resources</w:t>
      </w:r>
      <w:proofErr w:type="gramEnd"/>
      <w:r w:rsidRPr="00555483">
        <w:t xml:space="preserve"> and they have been included on the client’s care plan under consultation with the client’s primary care provider. </w:t>
      </w:r>
    </w:p>
    <w:p w14:paraId="64E51BE7" w14:textId="1800F1E9" w:rsidR="004B744B" w:rsidRPr="00555483" w:rsidRDefault="004B744B" w:rsidP="000F0B6F">
      <w:pPr>
        <w:pStyle w:val="List2"/>
      </w:pPr>
      <w:r w:rsidRPr="001075D9">
        <w:t xml:space="preserve">Can Supplementary Services </w:t>
      </w:r>
      <w:r w:rsidR="00E01723">
        <w:t>F</w:t>
      </w:r>
      <w:r w:rsidRPr="00A5626F">
        <w:t xml:space="preserve">unding be used to pay for food-related dietary supplements e.g. Sustagen? </w:t>
      </w:r>
    </w:p>
    <w:p w14:paraId="308A68ED" w14:textId="1C175AF3" w:rsidR="00F6141A" w:rsidRPr="00555483" w:rsidRDefault="004B744B" w:rsidP="008267C7">
      <w:r w:rsidRPr="00555483">
        <w:t xml:space="preserve">Yes, provided a relevant health professional has recommended that the client should use dietary </w:t>
      </w:r>
      <w:proofErr w:type="gramStart"/>
      <w:r w:rsidRPr="00555483">
        <w:t>supplements</w:t>
      </w:r>
      <w:proofErr w:type="gramEnd"/>
      <w:r w:rsidRPr="00555483">
        <w:t xml:space="preserve"> and they have been included on the client’s care plan under consultation with the client’s primary care provider. This is not intended to cover vitamins or other similar products.</w:t>
      </w:r>
    </w:p>
    <w:p w14:paraId="0DE2789A" w14:textId="77777777" w:rsidR="004B744B" w:rsidRPr="000F0B6F" w:rsidRDefault="004B744B" w:rsidP="008267C7">
      <w:pPr>
        <w:pStyle w:val="List"/>
      </w:pPr>
      <w:bookmarkStart w:id="374" w:name="_Toc201167203"/>
      <w:bookmarkStart w:id="375" w:name="_Toc201167268"/>
      <w:r w:rsidRPr="000F0B6F">
        <w:t>Client Consent and Confidentiality</w:t>
      </w:r>
      <w:bookmarkEnd w:id="374"/>
      <w:bookmarkEnd w:id="375"/>
      <w:r w:rsidRPr="000F0B6F">
        <w:t xml:space="preserve"> </w:t>
      </w:r>
    </w:p>
    <w:p w14:paraId="4439668A" w14:textId="726A19BB" w:rsidR="004B744B" w:rsidRPr="001075D9" w:rsidRDefault="004B744B" w:rsidP="000F0B6F">
      <w:pPr>
        <w:pStyle w:val="List2"/>
        <w:numPr>
          <w:ilvl w:val="0"/>
          <w:numId w:val="103"/>
        </w:numPr>
      </w:pPr>
      <w:r w:rsidRPr="001075D9">
        <w:t xml:space="preserve">Does </w:t>
      </w:r>
      <w:r w:rsidRPr="000F0B6F">
        <w:t>client</w:t>
      </w:r>
      <w:r w:rsidRPr="001075D9">
        <w:t xml:space="preserve"> consent need to be obtained for participation </w:t>
      </w:r>
      <w:r w:rsidR="00A5626F" w:rsidRPr="001075D9">
        <w:t>in ITC</w:t>
      </w:r>
      <w:r w:rsidRPr="001075D9">
        <w:t xml:space="preserve">? </w:t>
      </w:r>
    </w:p>
    <w:p w14:paraId="691F979E" w14:textId="77777777" w:rsidR="004B744B" w:rsidRPr="00555483" w:rsidRDefault="004B744B" w:rsidP="008267C7">
      <w:r w:rsidRPr="00555483">
        <w:t>Yes. To ensure privacy requirements are met, Care Coordinators must obtain and record written informed consent from each client, or the client’s legal guardian. This will include consent for both the provision of ITC services and for the collection of information for the minimum data set.</w:t>
      </w:r>
    </w:p>
    <w:p w14:paraId="7C088048" w14:textId="33F2A2C0" w:rsidR="004B744B" w:rsidRPr="00555483" w:rsidRDefault="004B744B" w:rsidP="008267C7">
      <w:r w:rsidRPr="00555483">
        <w:t>Care Coordinators should confirm that the client wishes that the practice recorded on the client consent form to be their usual care provider and be responsible for their chronic disease management.</w:t>
      </w:r>
    </w:p>
    <w:p w14:paraId="21BF9600" w14:textId="6291AAF5" w:rsidR="004B744B" w:rsidRPr="000F0B6F" w:rsidRDefault="004B744B" w:rsidP="008267C7">
      <w:pPr>
        <w:pStyle w:val="List"/>
      </w:pPr>
      <w:bookmarkStart w:id="376" w:name="_Toc201167204"/>
      <w:bookmarkStart w:id="377" w:name="_Toc201167269"/>
      <w:r w:rsidRPr="00985061">
        <w:t>Medicare Benefits Scheme (MBS) and Pharmaceutical Benefits Scheme (PBS) – Gap Costs</w:t>
      </w:r>
      <w:bookmarkEnd w:id="376"/>
      <w:bookmarkEnd w:id="377"/>
    </w:p>
    <w:p w14:paraId="4DEA500C" w14:textId="5D52C298" w:rsidR="004B744B" w:rsidRPr="00985061" w:rsidRDefault="004B744B" w:rsidP="000F0B6F">
      <w:pPr>
        <w:pStyle w:val="List2"/>
        <w:numPr>
          <w:ilvl w:val="0"/>
          <w:numId w:val="104"/>
        </w:numPr>
      </w:pPr>
      <w:r w:rsidRPr="001075D9">
        <w:t xml:space="preserve">Can Supplementary Services </w:t>
      </w:r>
      <w:r w:rsidR="00E01723">
        <w:t>F</w:t>
      </w:r>
      <w:r w:rsidRPr="00985061">
        <w:t xml:space="preserve">unding be used for a client to undergo surgery? </w:t>
      </w:r>
    </w:p>
    <w:p w14:paraId="310DB23A" w14:textId="57391208" w:rsidR="004B744B" w:rsidRPr="00555483" w:rsidRDefault="004B744B" w:rsidP="008267C7">
      <w:r w:rsidRPr="00555483">
        <w:t xml:space="preserve">No. Supplementary Services </w:t>
      </w:r>
      <w:r w:rsidR="00E01723" w:rsidRPr="00555483">
        <w:t>F</w:t>
      </w:r>
      <w:r w:rsidRPr="00555483">
        <w:t xml:space="preserve">unds cannot be used for surgery in acute or sub-acute settings. Use of Supplementary Services </w:t>
      </w:r>
      <w:r w:rsidR="00E01723" w:rsidRPr="00555483">
        <w:t>F</w:t>
      </w:r>
      <w:r w:rsidRPr="00555483">
        <w:t>unding is restricted to funding primary care follow-up services.</w:t>
      </w:r>
    </w:p>
    <w:p w14:paraId="757B3B0D" w14:textId="07D808CB" w:rsidR="004B744B" w:rsidRPr="00985061" w:rsidRDefault="004B744B" w:rsidP="000F0B6F">
      <w:pPr>
        <w:pStyle w:val="List2"/>
      </w:pPr>
      <w:r w:rsidRPr="001075D9">
        <w:t xml:space="preserve">Can Supplementary Services </w:t>
      </w:r>
      <w:r w:rsidR="00E01723">
        <w:t>F</w:t>
      </w:r>
      <w:r w:rsidRPr="00985061">
        <w:t xml:space="preserve">unding be used for services performed by a specialist or allied health practitioner in their private rooms? </w:t>
      </w:r>
    </w:p>
    <w:p w14:paraId="139555B7" w14:textId="46C8456E" w:rsidR="004B744B" w:rsidRPr="00555483" w:rsidRDefault="004B744B" w:rsidP="008267C7">
      <w:r w:rsidRPr="00555483">
        <w:t xml:space="preserve">Yes. Supplementary Services </w:t>
      </w:r>
      <w:r w:rsidR="00E01723" w:rsidRPr="00555483">
        <w:t>F</w:t>
      </w:r>
      <w:r w:rsidRPr="00555483">
        <w:t xml:space="preserve">unds can be used for specialist or allied health services, including those in private rooms, </w:t>
      </w:r>
      <w:proofErr w:type="gramStart"/>
      <w:r w:rsidRPr="00555483">
        <w:t>as long as</w:t>
      </w:r>
      <w:proofErr w:type="gramEnd"/>
      <w:r w:rsidRPr="00555483">
        <w:t xml:space="preserve"> the services are detailed in the client’s care plan. Rooms that are located within hospital grounds but are privately leased by the specialist or allied health professional </w:t>
      </w:r>
      <w:proofErr w:type="gramStart"/>
      <w:r w:rsidRPr="00555483">
        <w:t>are considered to be</w:t>
      </w:r>
      <w:proofErr w:type="gramEnd"/>
      <w:r w:rsidRPr="00555483">
        <w:t xml:space="preserve"> private rooms. This advice does not supersede Section</w:t>
      </w:r>
      <w:r w:rsidR="00E01723" w:rsidRPr="00555483">
        <w:t xml:space="preserve"> 10.2</w:t>
      </w:r>
      <w:r w:rsidR="004F5717" w:rsidRPr="00555483">
        <w:t>.</w:t>
      </w:r>
    </w:p>
    <w:p w14:paraId="630607D9" w14:textId="48D40E39" w:rsidR="004B744B" w:rsidRPr="001075D9" w:rsidRDefault="004B744B" w:rsidP="000F0B6F">
      <w:pPr>
        <w:pStyle w:val="List2"/>
      </w:pPr>
      <w:r w:rsidRPr="001075D9">
        <w:t xml:space="preserve">Can Supplementary Services </w:t>
      </w:r>
      <w:r w:rsidR="00E01723">
        <w:t>F</w:t>
      </w:r>
      <w:r w:rsidRPr="007C4F47">
        <w:t>unding be used for treatments provided at a hospital</w:t>
      </w:r>
      <w:r w:rsidRPr="001075D9">
        <w:t xml:space="preserve"> outpatient clinic? </w:t>
      </w:r>
    </w:p>
    <w:p w14:paraId="7967FCC6" w14:textId="59AEF07A" w:rsidR="004B744B" w:rsidRPr="00555483" w:rsidRDefault="004B744B" w:rsidP="008267C7">
      <w:r w:rsidRPr="00555483">
        <w:t xml:space="preserve">No. Any treatments or procedures that occur in a hospital (public or private) cannot be funded under </w:t>
      </w:r>
      <w:r w:rsidR="00C21477" w:rsidRPr="00555483">
        <w:t>ITC</w:t>
      </w:r>
      <w:r w:rsidRPr="00555483">
        <w:t xml:space="preserve">. </w:t>
      </w:r>
    </w:p>
    <w:p w14:paraId="25593C2E" w14:textId="2B9279D2" w:rsidR="004B744B" w:rsidRPr="00555483" w:rsidRDefault="004B744B" w:rsidP="008267C7">
      <w:r w:rsidRPr="00555483">
        <w:t xml:space="preserve">However, Supplementary Services </w:t>
      </w:r>
      <w:r w:rsidR="00E01723" w:rsidRPr="00555483">
        <w:t>F</w:t>
      </w:r>
      <w:r w:rsidRPr="00555483">
        <w:t>unds can be used for treatments or procedures that occur in rooms that are located within a hospital but are privately leased by a specialist or allied health professional (refer to Section</w:t>
      </w:r>
      <w:r w:rsidR="003F7EDC" w:rsidRPr="00555483">
        <w:t>s 9 and</w:t>
      </w:r>
      <w:r w:rsidRPr="00555483">
        <w:t xml:space="preserve"> 10). </w:t>
      </w:r>
    </w:p>
    <w:p w14:paraId="6B667B1D" w14:textId="11C33702" w:rsidR="004B744B" w:rsidRPr="007C4F47" w:rsidRDefault="004B744B" w:rsidP="000F0B6F">
      <w:pPr>
        <w:pStyle w:val="List2"/>
      </w:pPr>
      <w:r w:rsidRPr="001075D9">
        <w:lastRenderedPageBreak/>
        <w:t xml:space="preserve">Can Supplementary Services </w:t>
      </w:r>
      <w:r w:rsidR="00E01723">
        <w:t>F</w:t>
      </w:r>
      <w:r w:rsidRPr="007C4F47">
        <w:t xml:space="preserve">unding be used to pay the gap between the MBS rebate and the fee charged for diagnostic tests e.g. MRI, blood tests and x-ray? </w:t>
      </w:r>
    </w:p>
    <w:p w14:paraId="558DEF89" w14:textId="77777777" w:rsidR="004B744B" w:rsidRPr="00555483" w:rsidRDefault="004B744B" w:rsidP="008267C7">
      <w:r w:rsidRPr="00555483">
        <w:t>Yes. See question 7(ix) for more information.</w:t>
      </w:r>
    </w:p>
    <w:p w14:paraId="412B391B" w14:textId="397930E5" w:rsidR="004B744B" w:rsidRPr="007C4F47" w:rsidRDefault="004B744B" w:rsidP="000F0B6F">
      <w:pPr>
        <w:pStyle w:val="List2"/>
      </w:pPr>
      <w:r w:rsidRPr="001075D9">
        <w:t xml:space="preserve">Can Supplementary Services </w:t>
      </w:r>
      <w:r w:rsidR="00E01723">
        <w:t>F</w:t>
      </w:r>
      <w:r w:rsidRPr="007C4F47">
        <w:t xml:space="preserve">unding be used to fund private diagnostic tests e.g. MRI, blood tests and x-ray? </w:t>
      </w:r>
    </w:p>
    <w:p w14:paraId="323A8E96" w14:textId="1E35473A" w:rsidR="004B744B" w:rsidRPr="00555483" w:rsidRDefault="004B744B" w:rsidP="008267C7">
      <w:r w:rsidRPr="00555483">
        <w:t xml:space="preserve">Private services can be purchased with Supplementary Services </w:t>
      </w:r>
      <w:r w:rsidR="00E01723" w:rsidRPr="00555483">
        <w:t>F</w:t>
      </w:r>
      <w:r w:rsidRPr="00555483">
        <w:t xml:space="preserve">unding if publicly funded services are not available in clinically appropriate timeframes, as determined by the referring GP, and provided that all other funding options have been explored. The allocation of priorities within limited funding is at the discretion of the </w:t>
      </w:r>
      <w:r w:rsidR="00776E01" w:rsidRPr="00555483">
        <w:t>commissioning bodies</w:t>
      </w:r>
      <w:r w:rsidRPr="00555483">
        <w:t xml:space="preserve">. </w:t>
      </w:r>
    </w:p>
    <w:p w14:paraId="0B7CD8CD" w14:textId="5AD76063" w:rsidR="004B744B" w:rsidRPr="001075D9" w:rsidRDefault="004B744B" w:rsidP="000F0B6F">
      <w:pPr>
        <w:pStyle w:val="List2"/>
      </w:pPr>
      <w:r w:rsidRPr="001075D9">
        <w:t xml:space="preserve">Can Supplementary Services </w:t>
      </w:r>
      <w:r w:rsidR="00E01723">
        <w:t>F</w:t>
      </w:r>
      <w:r w:rsidRPr="001075D9">
        <w:t xml:space="preserve">unding be used to cover the gap </w:t>
      </w:r>
      <w:r w:rsidR="00A82887">
        <w:t xml:space="preserve">following </w:t>
      </w:r>
      <w:r w:rsidRPr="001075D9">
        <w:t xml:space="preserve">the PBS Co-payment? </w:t>
      </w:r>
    </w:p>
    <w:p w14:paraId="4F95EED0" w14:textId="086FDC93" w:rsidR="004B744B" w:rsidRPr="00555483" w:rsidRDefault="004B744B" w:rsidP="008267C7">
      <w:r w:rsidRPr="00555483">
        <w:t xml:space="preserve">No. Supplementary Services </w:t>
      </w:r>
      <w:r w:rsidR="00E01723" w:rsidRPr="00555483">
        <w:t>F</w:t>
      </w:r>
      <w:r w:rsidRPr="00555483">
        <w:t xml:space="preserve">unding cannot be used to pay the PBS Co-payment gap. </w:t>
      </w:r>
    </w:p>
    <w:p w14:paraId="45F78032" w14:textId="21EE2F27" w:rsidR="004B744B" w:rsidRPr="007C4F47" w:rsidRDefault="004B744B" w:rsidP="000F0B6F">
      <w:pPr>
        <w:pStyle w:val="List2"/>
      </w:pPr>
      <w:r w:rsidRPr="001075D9">
        <w:t xml:space="preserve">Can Supplementary Services </w:t>
      </w:r>
      <w:r w:rsidR="00E01723">
        <w:t>F</w:t>
      </w:r>
      <w:r w:rsidRPr="007C4F47">
        <w:t xml:space="preserve">unding be used to pay for non-PBS listed medications? </w:t>
      </w:r>
    </w:p>
    <w:p w14:paraId="1663537A" w14:textId="77777777" w:rsidR="000F0B6F" w:rsidRDefault="004B744B" w:rsidP="008267C7">
      <w:r w:rsidRPr="00555483">
        <w:t xml:space="preserve">No. Supplementary Services </w:t>
      </w:r>
      <w:r w:rsidR="00E01723" w:rsidRPr="00555483">
        <w:t>F</w:t>
      </w:r>
      <w:r w:rsidRPr="00555483">
        <w:t xml:space="preserve">unding cannot be used for the purchase of non-PBS medications. </w:t>
      </w:r>
    </w:p>
    <w:p w14:paraId="21B2F4C0" w14:textId="1F68E69A" w:rsidR="004B744B" w:rsidRPr="007C4F47" w:rsidRDefault="004B744B" w:rsidP="000F0B6F">
      <w:pPr>
        <w:pStyle w:val="List2"/>
      </w:pPr>
      <w:r w:rsidRPr="001075D9">
        <w:t xml:space="preserve">Can Supplementary Services </w:t>
      </w:r>
      <w:r w:rsidR="00E01723">
        <w:t>F</w:t>
      </w:r>
      <w:r w:rsidRPr="007C4F47">
        <w:t xml:space="preserve">unding be used to pay the full amount of the health care provider fee upfront? </w:t>
      </w:r>
    </w:p>
    <w:p w14:paraId="5C77EE21" w14:textId="7FA17963" w:rsidR="008B0304" w:rsidRPr="00555483" w:rsidRDefault="004B744B" w:rsidP="008267C7">
      <w:r w:rsidRPr="00555483">
        <w:t xml:space="preserve">Yes. However, if the organisation providing care coordination services decides to pay the full cost of the service up front, the Medicare rebate for the service cannot be claimed. </w:t>
      </w:r>
    </w:p>
    <w:p w14:paraId="02AB9160" w14:textId="77777777" w:rsidR="004B744B" w:rsidRPr="007C4F47" w:rsidRDefault="004B744B" w:rsidP="000F0B6F">
      <w:pPr>
        <w:pStyle w:val="List2"/>
      </w:pPr>
      <w:r w:rsidRPr="007C4F47">
        <w:t>Can Supplementary Services be used to pay the gap between the Medicare rebate and a health practitioner’s fee?</w:t>
      </w:r>
    </w:p>
    <w:p w14:paraId="0AF4CF31" w14:textId="6C7700DB" w:rsidR="004B744B" w:rsidRPr="00555483" w:rsidRDefault="004B744B" w:rsidP="008267C7">
      <w:r w:rsidRPr="00555483">
        <w:t>Yes.</w:t>
      </w:r>
      <w:r w:rsidR="005D1367" w:rsidRPr="00555483">
        <w:t xml:space="preserve"> </w:t>
      </w:r>
      <w:r w:rsidRPr="00555483">
        <w:t xml:space="preserve">To pay the gap between the Medicare benefit and the fee charged by the health practitioner, the </w:t>
      </w:r>
      <w:r w:rsidR="00AD510C" w:rsidRPr="00555483">
        <w:t>PHN</w:t>
      </w:r>
      <w:r w:rsidRPr="00555483">
        <w:t>/commissioned organisation must follow the claiming advice provided below.</w:t>
      </w:r>
      <w:r w:rsidR="005D1367" w:rsidRPr="00555483">
        <w:t xml:space="preserve"> </w:t>
      </w:r>
      <w:r w:rsidR="00B7155A" w:rsidRPr="00555483">
        <w:t>PHNs</w:t>
      </w:r>
      <w:r w:rsidRPr="00555483">
        <w:t>/commissioned organisations can call 132 150 (Medicare Provider enquiry line) if they have any further questions.</w:t>
      </w:r>
    </w:p>
    <w:p w14:paraId="6CBD50EF" w14:textId="1CB3E206" w:rsidR="004B744B" w:rsidRPr="00555483" w:rsidRDefault="004B744B" w:rsidP="008267C7">
      <w:r w:rsidRPr="000F0B6F">
        <w:rPr>
          <w:rStyle w:val="Strong"/>
        </w:rPr>
        <w:t>Note:</w:t>
      </w:r>
      <w:r w:rsidRPr="00555483">
        <w:t xml:space="preserve"> The </w:t>
      </w:r>
      <w:r w:rsidR="00B7155A" w:rsidRPr="00555483">
        <w:t>PHN</w:t>
      </w:r>
      <w:r w:rsidRPr="00555483">
        <w:t>/commissioned organisation accounts cannot be submitted electronically.</w:t>
      </w:r>
    </w:p>
    <w:p w14:paraId="35D6D242" w14:textId="4DC1B2C6" w:rsidR="004B744B" w:rsidRPr="005B2CAE" w:rsidRDefault="004B744B" w:rsidP="008267C7">
      <w:pPr>
        <w:pStyle w:val="ListNumber"/>
      </w:pPr>
      <w:r w:rsidRPr="005B2CAE">
        <w:t xml:space="preserve">Specialist/Allied Health Practitioners issue an unpaid account to the </w:t>
      </w:r>
      <w:r w:rsidR="00B7155A">
        <w:t>PHN</w:t>
      </w:r>
      <w:r w:rsidRPr="005B2CAE">
        <w:t>/commissioned organisation.</w:t>
      </w:r>
    </w:p>
    <w:p w14:paraId="0D4CF8D5" w14:textId="0E47A4A3" w:rsidR="004B744B" w:rsidRPr="005B2CAE" w:rsidRDefault="004B744B" w:rsidP="008267C7">
      <w:pPr>
        <w:pStyle w:val="ListNumber"/>
      </w:pPr>
      <w:r w:rsidRPr="005B2CAE">
        <w:t xml:space="preserve">The Primary Health Network/commissioned organisation submits the unpaid account together with the </w:t>
      </w:r>
      <w:hyperlink r:id="rId38" w:tooltip="Link to the Medicare Claim form (MS014) via the Services Australia website" w:history="1">
        <w:r w:rsidRPr="007966B6">
          <w:rPr>
            <w:rStyle w:val="Hyperlink"/>
          </w:rPr>
          <w:t>Medicare claim form</w:t>
        </w:r>
      </w:hyperlink>
      <w:r w:rsidR="007966B6">
        <w:t>.</w:t>
      </w:r>
      <w:r w:rsidR="005D1367">
        <w:t xml:space="preserve"> </w:t>
      </w:r>
      <w:r w:rsidR="00485F4A" w:rsidRPr="00485F4A">
        <w:t xml:space="preserve">When lodging the account and completed claim form, it can be either sent directly to the Services Australia - Medicare, GPO Box 9822 in your capital city or returned to a Service Centre. </w:t>
      </w:r>
      <w:r w:rsidRPr="005B2CAE">
        <w:t>The claim cannot be submitted electronically.</w:t>
      </w:r>
    </w:p>
    <w:p w14:paraId="5CF2C876" w14:textId="77777777" w:rsidR="004B744B" w:rsidRPr="005B2CAE" w:rsidRDefault="004B744B" w:rsidP="008267C7">
      <w:pPr>
        <w:pStyle w:val="ListNumber"/>
      </w:pPr>
      <w:r w:rsidRPr="005B2CAE">
        <w:t>Once the account and claim form are received, Medicare will process the account and send a Medicare benefit cheque (made payable to the servicing provider) to the Primary Health Network/commissioned organisation.</w:t>
      </w:r>
    </w:p>
    <w:p w14:paraId="690142D6" w14:textId="2A4C5F8C" w:rsidR="004B744B" w:rsidRDefault="004B744B" w:rsidP="008267C7">
      <w:pPr>
        <w:pStyle w:val="ListNumber"/>
      </w:pPr>
      <w:r w:rsidRPr="005B2CAE">
        <w:t xml:space="preserve">The </w:t>
      </w:r>
      <w:r w:rsidR="00B7155A">
        <w:t>PHN</w:t>
      </w:r>
      <w:r w:rsidRPr="005B2CAE">
        <w:t xml:space="preserve">/commissioned organisation must forward the Medicare cheque along with a </w:t>
      </w:r>
      <w:r w:rsidR="00B7155A">
        <w:t>PHN</w:t>
      </w:r>
      <w:r w:rsidRPr="005B2CAE">
        <w:t>/commissioned organisation cheque for the gap amount to the servicing provider.</w:t>
      </w:r>
    </w:p>
    <w:p w14:paraId="706E0220" w14:textId="119847F3" w:rsidR="004B744B" w:rsidRPr="001B7846" w:rsidRDefault="004B744B" w:rsidP="000F0B6F">
      <w:pPr>
        <w:pStyle w:val="List2"/>
      </w:pPr>
      <w:r w:rsidRPr="001075D9">
        <w:t xml:space="preserve">Can Supplementary Services </w:t>
      </w:r>
      <w:r w:rsidR="00AD510C">
        <w:t>F</w:t>
      </w:r>
      <w:r w:rsidRPr="001B7846">
        <w:t xml:space="preserve">unding be used for private dental services, including the purchase of dentures? </w:t>
      </w:r>
    </w:p>
    <w:p w14:paraId="47548587" w14:textId="6842A367" w:rsidR="004B744B" w:rsidRPr="00555483" w:rsidRDefault="004B744B" w:rsidP="008267C7">
      <w:r w:rsidRPr="00555483">
        <w:lastRenderedPageBreak/>
        <w:t xml:space="preserve">No. The Commonwealth is currently implementing </w:t>
      </w:r>
      <w:proofErr w:type="gramStart"/>
      <w:r w:rsidRPr="00555483">
        <w:t>a number of</w:t>
      </w:r>
      <w:proofErr w:type="gramEnd"/>
      <w:r w:rsidRPr="00555483">
        <w:t xml:space="preserve"> dental programs designed to reduce waiting times and expand services for adults in the public dental system. More information regarding the new dental programs and commencement timeframes can be found at </w:t>
      </w:r>
      <w:hyperlink r:id="rId39" w:tooltip="Link to dental information on the Department of Health, Disability and Ageing website" w:history="1">
        <w:r w:rsidRPr="00555483">
          <w:rPr>
            <w:rStyle w:val="Hyperlink"/>
          </w:rPr>
          <w:t>www.health.gov.au/dental</w:t>
        </w:r>
      </w:hyperlink>
      <w:r w:rsidR="00252D67" w:rsidRPr="00555483">
        <w:t>.</w:t>
      </w:r>
    </w:p>
    <w:p w14:paraId="10936848" w14:textId="59005742" w:rsidR="004B744B" w:rsidRPr="00555483" w:rsidRDefault="004B744B" w:rsidP="008267C7">
      <w:r w:rsidRPr="00555483">
        <w:t xml:space="preserve">Supplementary Services funds cannot be used to fund private dental services. </w:t>
      </w:r>
    </w:p>
    <w:p w14:paraId="02145CA4" w14:textId="7772C8E5" w:rsidR="004B744B" w:rsidRPr="000F0B6F" w:rsidRDefault="004B744B" w:rsidP="008267C7">
      <w:pPr>
        <w:pStyle w:val="List"/>
      </w:pPr>
      <w:bookmarkStart w:id="378" w:name="_Toc201167205"/>
      <w:bookmarkStart w:id="379" w:name="_Toc201167270"/>
      <w:r w:rsidRPr="000F0B6F">
        <w:t>Care Plans</w:t>
      </w:r>
      <w:bookmarkEnd w:id="378"/>
      <w:bookmarkEnd w:id="379"/>
    </w:p>
    <w:p w14:paraId="6232A1D2" w14:textId="77777777" w:rsidR="004B744B" w:rsidRPr="001075D9" w:rsidRDefault="004B744B" w:rsidP="000F0B6F">
      <w:pPr>
        <w:pStyle w:val="List2"/>
        <w:numPr>
          <w:ilvl w:val="0"/>
          <w:numId w:val="105"/>
        </w:numPr>
      </w:pPr>
      <w:r w:rsidRPr="001075D9">
        <w:t xml:space="preserve">What type of care plan do GPs need to provide for a client to be eligible for ITC assistance? </w:t>
      </w:r>
    </w:p>
    <w:p w14:paraId="4F5479FF" w14:textId="6D2EA783" w:rsidR="00493430" w:rsidRPr="00555483" w:rsidRDefault="004B744B" w:rsidP="008267C7">
      <w:r w:rsidRPr="00555483">
        <w:t xml:space="preserve">The </w:t>
      </w:r>
      <w:r w:rsidR="00BA0200" w:rsidRPr="00555483">
        <w:t xml:space="preserve">ITC </w:t>
      </w:r>
      <w:r w:rsidR="009A3E80" w:rsidRPr="00555483">
        <w:t xml:space="preserve">Program </w:t>
      </w:r>
      <w:r w:rsidRPr="00555483">
        <w:t>Implementation Guidelines specify that Aboriginal and Torres Strait Islander clients must be enrolled for chronic disease management in a general practice or an A</w:t>
      </w:r>
      <w:r w:rsidR="00252D67" w:rsidRPr="00555483">
        <w:t>CCHS/AMS</w:t>
      </w:r>
      <w:r w:rsidRPr="00555483">
        <w:t xml:space="preserve">, have a </w:t>
      </w:r>
      <w:r w:rsidR="00E53972" w:rsidRPr="00555483">
        <w:t>GP chronic condition management plan (</w:t>
      </w:r>
      <w:r w:rsidR="00493430" w:rsidRPr="00555483">
        <w:t>previously known as GP management plan and</w:t>
      </w:r>
      <w:r w:rsidR="00D72144" w:rsidRPr="00555483">
        <w:t>/or</w:t>
      </w:r>
      <w:r w:rsidR="00493430" w:rsidRPr="00555483">
        <w:t xml:space="preserve"> team care arrangement)</w:t>
      </w:r>
      <w:r w:rsidR="00E53972" w:rsidRPr="00555483">
        <w:t xml:space="preserve"> </w:t>
      </w:r>
      <w:r w:rsidRPr="00555483">
        <w:t xml:space="preserve">and be referred by their GP. </w:t>
      </w:r>
    </w:p>
    <w:p w14:paraId="085A66AB" w14:textId="4714F532" w:rsidR="00301BFD" w:rsidRPr="000F0B6F" w:rsidRDefault="00301BFD" w:rsidP="000F0B6F">
      <w:pPr>
        <w:pStyle w:val="Boxtype"/>
      </w:pPr>
      <w:r w:rsidRPr="000F0B6F">
        <w:t xml:space="preserve">Note: </w:t>
      </w:r>
      <w:r w:rsidR="00493430" w:rsidRPr="000F0B6F">
        <w:t>Changes to the chronic disease management</w:t>
      </w:r>
      <w:r w:rsidRPr="000F0B6F">
        <w:t xml:space="preserve"> MBS</w:t>
      </w:r>
      <w:r w:rsidR="00493430" w:rsidRPr="000F0B6F">
        <w:t xml:space="preserve"> items took effect on 1 July 2025, with a two-year transition period to maintain service access for existing patients. </w:t>
      </w:r>
      <w:r w:rsidRPr="000F0B6F">
        <w:t>The GP management plans (GPMPs</w:t>
      </w:r>
      <w:r w:rsidR="00B15B99" w:rsidRPr="000F0B6F">
        <w:t>),</w:t>
      </w:r>
      <w:r w:rsidRPr="000F0B6F">
        <w:t xml:space="preserve"> and team care arrangements (TCAs) were replaced with a single GP chronic condition management plan (GPCCMP). Factsheets on the major changes to the MBS framework for chronic disease management in primary care and the impact on provider</w:t>
      </w:r>
      <w:r w:rsidR="00376764" w:rsidRPr="000F0B6F">
        <w:t>s</w:t>
      </w:r>
      <w:r w:rsidRPr="000F0B6F">
        <w:t xml:space="preserve"> and patients are linked </w:t>
      </w:r>
      <w:hyperlink r:id="rId40" w:tooltip="Link to the Medical Benefits Schedule (MBS) factsheets which provide guidance on the revised MBS framework for managing patients with chronic conditions in primary care." w:history="1">
        <w:r w:rsidRPr="000F0B6F">
          <w:rPr>
            <w:rStyle w:val="Hyperlink"/>
          </w:rPr>
          <w:t>here</w:t>
        </w:r>
      </w:hyperlink>
      <w:r w:rsidRPr="000F0B6F">
        <w:t>.</w:t>
      </w:r>
    </w:p>
    <w:p w14:paraId="4B76CF81" w14:textId="6D1D6A7B" w:rsidR="004B744B" w:rsidRPr="00555483" w:rsidRDefault="004B744B" w:rsidP="008267C7">
      <w:r w:rsidRPr="00555483">
        <w:t>The GP is encouraged to provide an eligible client with a Medicare care plan such as, but not limited to, an Aboriginal and Torres Strait Islander health check (MBS item 715)</w:t>
      </w:r>
      <w:r w:rsidR="00493430" w:rsidRPr="00555483">
        <w:t xml:space="preserve"> and</w:t>
      </w:r>
      <w:r w:rsidRPr="00555483">
        <w:t xml:space="preserve"> GP </w:t>
      </w:r>
      <w:r w:rsidR="002A0F79" w:rsidRPr="00555483">
        <w:t>chronic condition m</w:t>
      </w:r>
      <w:r w:rsidRPr="00555483">
        <w:t xml:space="preserve">anagement </w:t>
      </w:r>
      <w:r w:rsidR="002A0F79" w:rsidRPr="00555483">
        <w:t>p</w:t>
      </w:r>
      <w:r w:rsidRPr="00555483">
        <w:t>lan (</w:t>
      </w:r>
      <w:r w:rsidR="002A0F79" w:rsidRPr="00555483">
        <w:t xml:space="preserve">GPCCMP </w:t>
      </w:r>
      <w:r w:rsidRPr="00555483">
        <w:t>–</w:t>
      </w:r>
      <w:r w:rsidR="00493430" w:rsidRPr="00555483">
        <w:t xml:space="preserve"> items </w:t>
      </w:r>
      <w:r w:rsidR="002A0F79" w:rsidRPr="00555483">
        <w:t>965</w:t>
      </w:r>
      <w:r w:rsidR="00493430" w:rsidRPr="00555483">
        <w:t>, 392, 92029, 92060</w:t>
      </w:r>
      <w:r w:rsidRPr="00555483">
        <w:t>).</w:t>
      </w:r>
      <w:r w:rsidRPr="00555483" w:rsidDel="00614B0A">
        <w:t xml:space="preserve"> </w:t>
      </w:r>
    </w:p>
    <w:p w14:paraId="267A1489" w14:textId="708082FD" w:rsidR="004B744B" w:rsidRPr="008267C7" w:rsidRDefault="004B744B" w:rsidP="008267C7">
      <w:r w:rsidRPr="00555483">
        <w:t xml:space="preserve">The benefits of the GP </w:t>
      </w:r>
      <w:r w:rsidR="002A0F79" w:rsidRPr="00555483">
        <w:t>chronic condition m</w:t>
      </w:r>
      <w:r w:rsidRPr="00555483">
        <w:t xml:space="preserve">anagement </w:t>
      </w:r>
      <w:r w:rsidR="002A0F79" w:rsidRPr="00555483">
        <w:t>p</w:t>
      </w:r>
      <w:r w:rsidRPr="00555483">
        <w:t xml:space="preserve">lan for ITC clients </w:t>
      </w:r>
      <w:proofErr w:type="gramStart"/>
      <w:r w:rsidR="00493430" w:rsidRPr="00555483">
        <w:t>is</w:t>
      </w:r>
      <w:proofErr w:type="gramEnd"/>
      <w:r w:rsidR="00493430" w:rsidRPr="00555483">
        <w:t xml:space="preserve"> </w:t>
      </w:r>
      <w:r w:rsidRPr="00555483">
        <w:t xml:space="preserve">that it provides for more formal care planning, such as agreeing to management goals, identifying actions to be taken by the client, documenting these, and including a review date. The </w:t>
      </w:r>
      <w:r w:rsidR="00493430" w:rsidRPr="00555483">
        <w:t xml:space="preserve">GPCCMP </w:t>
      </w:r>
      <w:r w:rsidRPr="00555483">
        <w:t xml:space="preserve">review process (Review of a </w:t>
      </w:r>
      <w:r w:rsidR="00493430" w:rsidRPr="00555483">
        <w:t>GPCCMP – items 967, 393, 92030, 92061</w:t>
      </w:r>
      <w:r w:rsidRPr="00555483">
        <w:t xml:space="preserve">) helps ensure an ITC client is receiving the appropriate care for their current health needs. </w:t>
      </w:r>
    </w:p>
    <w:p w14:paraId="34729CB1" w14:textId="77777777" w:rsidR="004B744B" w:rsidRPr="00DE31DA" w:rsidRDefault="004B744B" w:rsidP="000F0B6F">
      <w:pPr>
        <w:pStyle w:val="List2"/>
      </w:pPr>
      <w:r w:rsidRPr="00DE31DA">
        <w:t xml:space="preserve">Can Supplementary Services be used to support people to get a care plan? </w:t>
      </w:r>
    </w:p>
    <w:p w14:paraId="0463B415" w14:textId="0A83C4F3" w:rsidR="002B0903" w:rsidRPr="00555483" w:rsidRDefault="004B744B" w:rsidP="008267C7">
      <w:r w:rsidRPr="00555483">
        <w:t>No. The</w:t>
      </w:r>
      <w:r w:rsidR="009A3E80" w:rsidRPr="00555483">
        <w:t xml:space="preserve"> Program Implementation</w:t>
      </w:r>
      <w:r w:rsidRPr="00555483">
        <w:t xml:space="preserve"> Guidelines state that the client must have a care plan, be enrolled for chronic disease management in a general practice</w:t>
      </w:r>
      <w:r w:rsidR="00943605" w:rsidRPr="00555483">
        <w:t>,</w:t>
      </w:r>
      <w:r w:rsidR="005D1367" w:rsidRPr="00555483">
        <w:t xml:space="preserve"> </w:t>
      </w:r>
      <w:r w:rsidRPr="00555483">
        <w:t xml:space="preserve">Aboriginal </w:t>
      </w:r>
      <w:r w:rsidR="00943605" w:rsidRPr="00555483">
        <w:t>Community Controlled Health Service or Aboriginal Medical Service and</w:t>
      </w:r>
      <w:r w:rsidRPr="00555483">
        <w:t xml:space="preserve"> be referred by their GP for care coordination services</w:t>
      </w:r>
      <w:r w:rsidR="000335D1" w:rsidRPr="00555483">
        <w:t xml:space="preserve"> </w:t>
      </w:r>
      <w:r w:rsidR="008900B8" w:rsidRPr="00555483">
        <w:t>to be eligible to access</w:t>
      </w:r>
      <w:r w:rsidR="000335D1" w:rsidRPr="00555483">
        <w:t xml:space="preserve"> ITC.</w:t>
      </w:r>
      <w:r w:rsidRPr="00555483">
        <w:t xml:space="preserve"> </w:t>
      </w:r>
      <w:r w:rsidR="002B0903" w:rsidRPr="00555483">
        <w:t xml:space="preserve">Clients who may be eligible for ITC in remote areas can be referred into the program by a </w:t>
      </w:r>
      <w:r w:rsidR="005C22DA" w:rsidRPr="00555483">
        <w:t>Remote Area Nurse</w:t>
      </w:r>
      <w:r w:rsidR="002B0903" w:rsidRPr="00555483">
        <w:t xml:space="preserve"> or </w:t>
      </w:r>
      <w:r w:rsidR="005C22DA" w:rsidRPr="00555483">
        <w:t>O</w:t>
      </w:r>
      <w:r w:rsidR="002B0903" w:rsidRPr="00555483">
        <w:t xml:space="preserve">utreach </w:t>
      </w:r>
      <w:r w:rsidR="005C22DA" w:rsidRPr="00555483">
        <w:t>W</w:t>
      </w:r>
      <w:r w:rsidR="002B0903" w:rsidRPr="00555483">
        <w:t>orker, where limited support including transport</w:t>
      </w:r>
      <w:r w:rsidR="005C22DA" w:rsidRPr="00555483">
        <w:t xml:space="preserve"> can be provided</w:t>
      </w:r>
      <w:r w:rsidR="002B0903" w:rsidRPr="00555483">
        <w:t xml:space="preserve"> to attend GP appointments </w:t>
      </w:r>
      <w:r w:rsidR="005C22DA" w:rsidRPr="00555483">
        <w:t xml:space="preserve">and </w:t>
      </w:r>
      <w:r w:rsidR="002B0903" w:rsidRPr="00555483">
        <w:t xml:space="preserve">enable access to care plans (see Section </w:t>
      </w:r>
      <w:r w:rsidR="00B80528" w:rsidRPr="00555483">
        <w:t>2</w:t>
      </w:r>
      <w:r w:rsidR="002B0903" w:rsidRPr="00555483">
        <w:t>.5).</w:t>
      </w:r>
    </w:p>
    <w:p w14:paraId="00C58760" w14:textId="77777777" w:rsidR="004B744B" w:rsidRDefault="004B744B" w:rsidP="008267C7">
      <w:r>
        <w:br w:type="page"/>
      </w:r>
    </w:p>
    <w:p w14:paraId="34E70F85" w14:textId="77777777" w:rsidR="004B744B" w:rsidRPr="00DE31DA" w:rsidRDefault="004B744B" w:rsidP="00555483">
      <w:pPr>
        <w:pStyle w:val="Appendixheading"/>
      </w:pPr>
      <w:bookmarkStart w:id="380" w:name="_Toc5097133"/>
      <w:bookmarkStart w:id="381" w:name="_Toc169185838"/>
      <w:bookmarkStart w:id="382" w:name="_Toc201167271"/>
      <w:r w:rsidRPr="00DE31DA">
        <w:lastRenderedPageBreak/>
        <w:t>Appendix 2 – Decision Support Tool for the ITC activity</w:t>
      </w:r>
      <w:bookmarkEnd w:id="380"/>
      <w:bookmarkEnd w:id="381"/>
      <w:bookmarkEnd w:id="382"/>
    </w:p>
    <w:p w14:paraId="1F4B2A26" w14:textId="77777777" w:rsidR="004B744B" w:rsidRPr="00555483" w:rsidRDefault="004B744B" w:rsidP="008267C7">
      <w:pPr>
        <w:rPr>
          <w:rStyle w:val="Strong"/>
        </w:rPr>
      </w:pPr>
      <w:r w:rsidRPr="00555483">
        <w:rPr>
          <w:rStyle w:val="Strong"/>
        </w:rPr>
        <w:t>For ITC workers and their teams managing the care coordination and supplementary services components</w:t>
      </w:r>
    </w:p>
    <w:p w14:paraId="219CC810" w14:textId="77777777" w:rsidR="004B744B" w:rsidRPr="00555483" w:rsidRDefault="004B744B" w:rsidP="008267C7">
      <w:pPr>
        <w:pStyle w:val="Appendixheadinglevel2"/>
      </w:pPr>
      <w:bookmarkStart w:id="383" w:name="_Toc201167207"/>
      <w:bookmarkStart w:id="384" w:name="_Toc201167272"/>
      <w:r w:rsidRPr="00555483">
        <w:t>Purpose of decision support tool</w:t>
      </w:r>
      <w:bookmarkEnd w:id="383"/>
      <w:bookmarkEnd w:id="384"/>
    </w:p>
    <w:p w14:paraId="16B3DE40" w14:textId="77777777" w:rsidR="004B744B" w:rsidRDefault="004B744B" w:rsidP="008267C7">
      <w:r>
        <w:t>This tool is primarily designed to assist with decisions about allocating care coordination services and supplementary services funding under the ITC activity, particularly for determining whether to use, or to not use, supplementary services funding for exceptional circumstances.</w:t>
      </w:r>
    </w:p>
    <w:p w14:paraId="0D620393" w14:textId="2BA11135" w:rsidR="004B744B" w:rsidRDefault="004B744B" w:rsidP="008267C7">
      <w:r>
        <w:t xml:space="preserve">It aims to support the internal decision </w:t>
      </w:r>
      <w:r w:rsidRPr="007902E1">
        <w:t>process</w:t>
      </w:r>
      <w:r>
        <w:t>es</w:t>
      </w:r>
      <w:r w:rsidRPr="007902E1">
        <w:t xml:space="preserve"> </w:t>
      </w:r>
      <w:r>
        <w:t xml:space="preserve">and </w:t>
      </w:r>
      <w:r w:rsidRPr="007902E1">
        <w:t xml:space="preserve">build the </w:t>
      </w:r>
      <w:r>
        <w:t xml:space="preserve">organisational </w:t>
      </w:r>
      <w:r w:rsidRPr="007902E1">
        <w:t xml:space="preserve">capacity of </w:t>
      </w:r>
      <w:r w:rsidR="005C22DA">
        <w:t>commi</w:t>
      </w:r>
      <w:r w:rsidR="008900B8">
        <w:t>s</w:t>
      </w:r>
      <w:r w:rsidR="005C22DA">
        <w:t>sioning bodies</w:t>
      </w:r>
      <w:r w:rsidR="005D1367">
        <w:t xml:space="preserve"> </w:t>
      </w:r>
      <w:r>
        <w:t xml:space="preserve">and the organisations they commission </w:t>
      </w:r>
      <w:r w:rsidRPr="007902E1">
        <w:t xml:space="preserve">to make </w:t>
      </w:r>
      <w:r>
        <w:t>more timely d</w:t>
      </w:r>
      <w:r w:rsidRPr="007902E1">
        <w:t>ecisions a</w:t>
      </w:r>
      <w:r>
        <w:t>bout how they prioritise and allocate services and supplementary services funding</w:t>
      </w:r>
      <w:r w:rsidRPr="007902E1">
        <w:t>.</w:t>
      </w:r>
    </w:p>
    <w:p w14:paraId="39241CBB" w14:textId="0D2E2624" w:rsidR="009A3E80" w:rsidRDefault="009A3E80" w:rsidP="008267C7">
      <w:r w:rsidRPr="00C12B42">
        <w:t xml:space="preserve">Once you have read the </w:t>
      </w:r>
      <w:r>
        <w:t>ITC Program Implementation</w:t>
      </w:r>
      <w:r w:rsidRPr="00C12B42">
        <w:t xml:space="preserve"> </w:t>
      </w:r>
      <w:r>
        <w:t>G</w:t>
      </w:r>
      <w:r w:rsidRPr="00C12B42">
        <w:t xml:space="preserve">uidelines and the </w:t>
      </w:r>
      <w:r>
        <w:t>ITC</w:t>
      </w:r>
      <w:r w:rsidRPr="00C12B42">
        <w:t xml:space="preserve"> FAQs, use this tool to </w:t>
      </w:r>
      <w:r>
        <w:t xml:space="preserve">assist you in </w:t>
      </w:r>
      <w:r w:rsidRPr="00C12B42">
        <w:t>answer</w:t>
      </w:r>
      <w:r>
        <w:t>ing</w:t>
      </w:r>
      <w:r w:rsidRPr="00C12B42">
        <w:t xml:space="preserve"> questions/queries you</w:t>
      </w:r>
      <w:r>
        <w:t xml:space="preserve"> may</w:t>
      </w:r>
      <w:r w:rsidRPr="00C12B42">
        <w:t xml:space="preserve"> initially </w:t>
      </w:r>
      <w:r>
        <w:t>be un</w:t>
      </w:r>
      <w:r w:rsidRPr="00C12B42">
        <w:t>sure about. If you</w:t>
      </w:r>
      <w:r>
        <w:t xml:space="preserve"> have completed these questions, discussed with your relevant managemen</w:t>
      </w:r>
      <w:r w:rsidRPr="00C12B42">
        <w:t>t</w:t>
      </w:r>
      <w:r>
        <w:t xml:space="preserve"> team and </w:t>
      </w:r>
      <w:proofErr w:type="gramStart"/>
      <w:r w:rsidRPr="000D067C">
        <w:t>still remain</w:t>
      </w:r>
      <w:proofErr w:type="gramEnd"/>
      <w:r w:rsidRPr="000D067C">
        <w:t xml:space="preserve"> unsure</w:t>
      </w:r>
      <w:r>
        <w:t xml:space="preserve">, </w:t>
      </w:r>
      <w:r w:rsidRPr="00C12B42">
        <w:t>send your</w:t>
      </w:r>
      <w:r>
        <w:t xml:space="preserve"> query, together with this</w:t>
      </w:r>
      <w:r w:rsidRPr="00C12B42">
        <w:t xml:space="preserve"> completed form to </w:t>
      </w:r>
      <w:r w:rsidR="005C22DA">
        <w:t>the relevant commissioning body</w:t>
      </w:r>
      <w:r w:rsidRPr="00746213">
        <w:t>.</w:t>
      </w:r>
      <w:r>
        <w:t xml:space="preserve"> The </w:t>
      </w:r>
      <w:r w:rsidR="005C22DA">
        <w:t>commissioning body</w:t>
      </w:r>
      <w:r>
        <w:t xml:space="preserve"> may forward this request to their </w:t>
      </w:r>
      <w:r w:rsidR="005C22DA">
        <w:t xml:space="preserve">FAM or </w:t>
      </w:r>
      <w:r w:rsidR="00E138DA">
        <w:t>Grant Officer</w:t>
      </w:r>
      <w:r>
        <w:t xml:space="preserve"> and the </w:t>
      </w:r>
      <w:r w:rsidR="002917CE">
        <w:t>d</w:t>
      </w:r>
      <w:r>
        <w:t>epartment will consider the request. A</w:t>
      </w:r>
      <w:r w:rsidRPr="00C12B42">
        <w:t xml:space="preserve">dvice will be </w:t>
      </w:r>
      <w:r>
        <w:t>provided based on the information in this decision tool</w:t>
      </w:r>
      <w:r w:rsidRPr="00C12B42">
        <w:t>.</w:t>
      </w:r>
      <w:r>
        <w:t xml:space="preserve"> </w:t>
      </w:r>
    </w:p>
    <w:p w14:paraId="042FD0B8" w14:textId="261687DD" w:rsidR="004B744B" w:rsidRPr="00555483" w:rsidRDefault="009A3E80" w:rsidP="008267C7">
      <w:pPr>
        <w:pStyle w:val="Appendixheadinglevel2"/>
      </w:pPr>
      <w:bookmarkStart w:id="385" w:name="_Toc201167208"/>
      <w:bookmarkStart w:id="386" w:name="_Toc201167273"/>
      <w:r w:rsidRPr="00555483">
        <w:t>Key questions</w:t>
      </w:r>
      <w:bookmarkEnd w:id="385"/>
      <w:bookmarkEnd w:id="386"/>
    </w:p>
    <w:p w14:paraId="503F59A5" w14:textId="77777777" w:rsidR="009A3E80" w:rsidRDefault="004B744B" w:rsidP="008267C7">
      <w:r w:rsidRPr="004A767A">
        <w:t>Always consider the</w:t>
      </w:r>
      <w:r>
        <w:t xml:space="preserve"> ITC </w:t>
      </w:r>
      <w:r w:rsidRPr="004A767A">
        <w:t>aims</w:t>
      </w:r>
      <w:r>
        <w:t xml:space="preserve"> and objectives; </w:t>
      </w:r>
      <w:proofErr w:type="gramStart"/>
      <w:r>
        <w:t>however</w:t>
      </w:r>
      <w:proofErr w:type="gramEnd"/>
      <w:r>
        <w:t xml:space="preserve"> the following considerations will be helpful in your decision </w:t>
      </w:r>
      <w:r w:rsidRPr="00D575AC">
        <w:t>making</w:t>
      </w:r>
      <w:r>
        <w:t>.</w:t>
      </w:r>
      <w:r w:rsidR="005D1367">
        <w:t xml:space="preserve"> </w:t>
      </w:r>
    </w:p>
    <w:p w14:paraId="3BEF0A3B" w14:textId="43773BD6" w:rsidR="004B744B" w:rsidRPr="004A767A" w:rsidRDefault="004B744B" w:rsidP="008267C7">
      <w:r>
        <w:t>Will the proposed service or aid:</w:t>
      </w:r>
    </w:p>
    <w:p w14:paraId="5C6841D0" w14:textId="77777777" w:rsidR="004B744B" w:rsidRPr="00555483" w:rsidRDefault="004B744B" w:rsidP="008267C7">
      <w:pPr>
        <w:pStyle w:val="ListBullet"/>
      </w:pPr>
      <w:r w:rsidRPr="00555483">
        <w:t>Contribute to improved health outcomes for the Aboriginal and Torres Strait Islander person with chronic disease(s) through better access to coordinated and multidisciplinary care?</w:t>
      </w:r>
    </w:p>
    <w:p w14:paraId="26B1B43C" w14:textId="77777777" w:rsidR="004B744B" w:rsidRPr="00555483" w:rsidRDefault="004B744B" w:rsidP="008267C7">
      <w:pPr>
        <w:pStyle w:val="ListBullet"/>
      </w:pPr>
      <w:r w:rsidRPr="00555483">
        <w:t>Contribute to better self-management of the person’s chronic disease(s)?</w:t>
      </w:r>
    </w:p>
    <w:p w14:paraId="0A5C3C50" w14:textId="77777777" w:rsidR="004B744B" w:rsidRPr="00555483" w:rsidRDefault="004B744B" w:rsidP="008267C7">
      <w:pPr>
        <w:pStyle w:val="ListBullet"/>
      </w:pPr>
      <w:r w:rsidRPr="00555483">
        <w:t>Keep the person well and out of hospital?</w:t>
      </w:r>
    </w:p>
    <w:p w14:paraId="0F828CBA" w14:textId="77777777" w:rsidR="004B744B" w:rsidRPr="00555483" w:rsidRDefault="004B744B" w:rsidP="008267C7">
      <w:pPr>
        <w:pStyle w:val="ListBullet"/>
      </w:pPr>
      <w:r w:rsidRPr="00555483">
        <w:t>Reduce unplanned and avoidable attendances and/or presentations to an emergency department?</w:t>
      </w:r>
    </w:p>
    <w:p w14:paraId="1E5D6FDF" w14:textId="77777777" w:rsidR="004B744B" w:rsidRPr="00555483" w:rsidRDefault="004B744B" w:rsidP="008267C7">
      <w:pPr>
        <w:pStyle w:val="ListBullet"/>
      </w:pPr>
      <w:r w:rsidRPr="00555483">
        <w:t>Reduce the likelihood of inappropriate use of emergency departments?</w:t>
      </w:r>
    </w:p>
    <w:p w14:paraId="01998F9D" w14:textId="77777777" w:rsidR="004B744B" w:rsidRPr="00555483" w:rsidRDefault="004B744B" w:rsidP="008267C7">
      <w:pPr>
        <w:pStyle w:val="ListBullet"/>
      </w:pPr>
      <w:r w:rsidRPr="00555483">
        <w:t>Reduce the person’s length of stay in a hospital?</w:t>
      </w:r>
    </w:p>
    <w:p w14:paraId="7B272617" w14:textId="77777777" w:rsidR="004B744B" w:rsidRPr="00555483" w:rsidRDefault="004B744B" w:rsidP="008267C7">
      <w:pPr>
        <w:pStyle w:val="ListBullet"/>
      </w:pPr>
      <w:r w:rsidRPr="00555483">
        <w:t>Provide for a better quality of life for the person with a chronic disease(s)?</w:t>
      </w:r>
    </w:p>
    <w:p w14:paraId="27ED3911" w14:textId="0F2FF2EC" w:rsidR="004B744B" w:rsidRPr="00555483" w:rsidRDefault="004B744B" w:rsidP="008267C7">
      <w:pPr>
        <w:pStyle w:val="Appendixheadinglevel2"/>
      </w:pPr>
      <w:bookmarkStart w:id="387" w:name="_Toc201167209"/>
      <w:bookmarkStart w:id="388" w:name="_Toc201167274"/>
      <w:r w:rsidRPr="00555483">
        <w:t>Process for e</w:t>
      </w:r>
      <w:r w:rsidR="005C22DA" w:rsidRPr="00555483">
        <w:t>scal</w:t>
      </w:r>
      <w:r w:rsidRPr="00555483">
        <w:t>ating an ITC query</w:t>
      </w:r>
      <w:bookmarkEnd w:id="387"/>
      <w:bookmarkEnd w:id="388"/>
    </w:p>
    <w:p w14:paraId="52B3182B" w14:textId="1D8BC2CB" w:rsidR="004B744B" w:rsidRDefault="004B744B" w:rsidP="008267C7">
      <w:r w:rsidRPr="00746213">
        <w:t xml:space="preserve">Where </w:t>
      </w:r>
      <w:r>
        <w:t xml:space="preserve">there is </w:t>
      </w:r>
      <w:r w:rsidRPr="00746213">
        <w:t xml:space="preserve">a request for a medical aid to be paid through Supplementary Services Funding, but the item falls outside the list of allowable Medical Aids, </w:t>
      </w:r>
      <w:r>
        <w:t xml:space="preserve">it may be </w:t>
      </w:r>
      <w:r w:rsidRPr="00746213">
        <w:t>consider</w:t>
      </w:r>
      <w:r>
        <w:t>ed</w:t>
      </w:r>
      <w:r w:rsidRPr="00746213">
        <w:t xml:space="preserve"> for exceptional circumstances</w:t>
      </w:r>
      <w:r>
        <w:t xml:space="preserve"> </w:t>
      </w:r>
      <w:r w:rsidRPr="00D575AC">
        <w:t xml:space="preserve">funding by the </w:t>
      </w:r>
      <w:r w:rsidR="00533520">
        <w:t>commissioning body</w:t>
      </w:r>
      <w:r w:rsidRPr="00D575AC">
        <w:t>. The</w:t>
      </w:r>
      <w:r w:rsidRPr="00746213">
        <w:t xml:space="preserve"> item must be on the </w:t>
      </w:r>
      <w:r w:rsidR="00E01723">
        <w:t>clien</w:t>
      </w:r>
      <w:r w:rsidR="00E01723" w:rsidRPr="00746213">
        <w:t xml:space="preserve">t’s </w:t>
      </w:r>
      <w:r w:rsidRPr="00746213">
        <w:t>GP</w:t>
      </w:r>
      <w:r w:rsidR="006C0BD9">
        <w:t xml:space="preserve"> care plan</w:t>
      </w:r>
      <w:r w:rsidRPr="00746213">
        <w:t xml:space="preserve">, be considered clinically necessary, </w:t>
      </w:r>
      <w:proofErr w:type="gramStart"/>
      <w:r w:rsidRPr="00746213">
        <w:t>take into account</w:t>
      </w:r>
      <w:proofErr w:type="gramEnd"/>
      <w:r w:rsidRPr="00746213">
        <w:t xml:space="preserve"> </w:t>
      </w:r>
      <w:r w:rsidR="00AD510C">
        <w:t>client</w:t>
      </w:r>
      <w:r w:rsidRPr="00746213">
        <w:t xml:space="preserve"> needs, and </w:t>
      </w:r>
      <w:r w:rsidRPr="00746213">
        <w:lastRenderedPageBreak/>
        <w:t xml:space="preserve">funding must be available. If required, the </w:t>
      </w:r>
      <w:r w:rsidR="006C0BD9">
        <w:t>commissioning body</w:t>
      </w:r>
      <w:r w:rsidR="006C0BD9" w:rsidRPr="00746213">
        <w:t xml:space="preserve"> </w:t>
      </w:r>
      <w:r w:rsidRPr="00746213">
        <w:t xml:space="preserve">may send the request to the relevant </w:t>
      </w:r>
      <w:r w:rsidR="00533520">
        <w:t>Grant Officer or FAM</w:t>
      </w:r>
      <w:r w:rsidRPr="00746213">
        <w:t xml:space="preserve"> for a decision.</w:t>
      </w:r>
    </w:p>
    <w:p w14:paraId="5B532FF0" w14:textId="661AB10B" w:rsidR="000F0B6F" w:rsidRPr="00746213" w:rsidRDefault="000F0B6F" w:rsidP="008267C7">
      <w:pPr>
        <w:pStyle w:val="Appendixheadinglevel2"/>
      </w:pPr>
      <w:bookmarkStart w:id="389" w:name="_Toc201167210"/>
      <w:bookmarkStart w:id="390" w:name="_Toc201167275"/>
      <w:r w:rsidRPr="000F0B6F">
        <w:t>Decision Support Tool for ITC Care Coordination or Supplementary Services</w:t>
      </w:r>
      <w:bookmarkEnd w:id="389"/>
      <w:bookmarkEnd w:id="390"/>
    </w:p>
    <w:tbl>
      <w:tblPr>
        <w:tblStyle w:val="TableGrid"/>
        <w:tblW w:w="9774" w:type="dxa"/>
        <w:tblInd w:w="-147" w:type="dxa"/>
        <w:tblLook w:val="04A0" w:firstRow="1" w:lastRow="0" w:firstColumn="1" w:lastColumn="0" w:noHBand="0" w:noVBand="1"/>
        <w:tblCaption w:val="ITC Decision Tool template"/>
        <w:tblDescription w:val="Decision Tool to assist Care Coordinators to determine whether a medical aid is eligible for consideration under exceptional circumstances for Supplementary Services funding."/>
      </w:tblPr>
      <w:tblGrid>
        <w:gridCol w:w="8506"/>
        <w:gridCol w:w="1268"/>
      </w:tblGrid>
      <w:tr w:rsidR="004B744B" w:rsidRPr="007902E1" w14:paraId="394365C4" w14:textId="77777777" w:rsidTr="000F0B6F">
        <w:trPr>
          <w:tblHeader/>
        </w:trPr>
        <w:tc>
          <w:tcPr>
            <w:tcW w:w="0" w:type="auto"/>
            <w:shd w:val="clear" w:color="auto" w:fill="000000" w:themeFill="text1"/>
          </w:tcPr>
          <w:p w14:paraId="7B0C00F0" w14:textId="77777777" w:rsidR="004B744B" w:rsidRPr="00555483" w:rsidRDefault="004B744B" w:rsidP="008267C7">
            <w:pPr>
              <w:pStyle w:val="TableHeaderWhite"/>
            </w:pPr>
            <w:r w:rsidRPr="00555483">
              <w:t>Question</w:t>
            </w:r>
          </w:p>
        </w:tc>
        <w:tc>
          <w:tcPr>
            <w:tcW w:w="0" w:type="auto"/>
            <w:shd w:val="clear" w:color="auto" w:fill="000000" w:themeFill="text1"/>
          </w:tcPr>
          <w:p w14:paraId="168CF944" w14:textId="77777777" w:rsidR="004B744B" w:rsidRPr="00555483" w:rsidRDefault="004B744B" w:rsidP="008267C7">
            <w:pPr>
              <w:pStyle w:val="TableHeaderWhite"/>
            </w:pPr>
            <w:r w:rsidRPr="00555483">
              <w:t>Response</w:t>
            </w:r>
          </w:p>
        </w:tc>
      </w:tr>
      <w:tr w:rsidR="004B744B" w:rsidRPr="007902E1" w14:paraId="5F7EF53E" w14:textId="77777777" w:rsidTr="000F0B6F">
        <w:tc>
          <w:tcPr>
            <w:tcW w:w="0" w:type="auto"/>
          </w:tcPr>
          <w:p w14:paraId="5214059F" w14:textId="730374EE" w:rsidR="004B744B" w:rsidRPr="007902E1" w:rsidRDefault="004B744B" w:rsidP="008267C7">
            <w:r w:rsidRPr="007902E1">
              <w:t xml:space="preserve">What is your interpretation of the </w:t>
            </w:r>
            <w:r>
              <w:t xml:space="preserve">ITC </w:t>
            </w:r>
            <w:r w:rsidR="009A3E80">
              <w:t xml:space="preserve">Program </w:t>
            </w:r>
            <w:r>
              <w:t>Implementation G</w:t>
            </w:r>
            <w:r w:rsidRPr="007902E1">
              <w:t xml:space="preserve">uidelines </w:t>
            </w:r>
            <w:r>
              <w:t xml:space="preserve">in relation to </w:t>
            </w:r>
            <w:r w:rsidRPr="007902E1">
              <w:t>th</w:t>
            </w:r>
            <w:r>
              <w:t>is</w:t>
            </w:r>
            <w:r w:rsidR="008900B8">
              <w:t xml:space="preserve"> </w:t>
            </w:r>
            <w:r>
              <w:t>request</w:t>
            </w:r>
            <w:r w:rsidRPr="007902E1">
              <w:t>?</w:t>
            </w:r>
          </w:p>
        </w:tc>
        <w:tc>
          <w:tcPr>
            <w:tcW w:w="0" w:type="auto"/>
          </w:tcPr>
          <w:p w14:paraId="65288B90" w14:textId="77777777" w:rsidR="004B744B" w:rsidRPr="007902E1" w:rsidRDefault="004B744B" w:rsidP="008267C7"/>
        </w:tc>
      </w:tr>
      <w:tr w:rsidR="004B744B" w:rsidRPr="007902E1" w14:paraId="0C452B44" w14:textId="77777777" w:rsidTr="000F0B6F">
        <w:tc>
          <w:tcPr>
            <w:tcW w:w="0" w:type="auto"/>
            <w:shd w:val="clear" w:color="auto" w:fill="000000" w:themeFill="text1"/>
          </w:tcPr>
          <w:p w14:paraId="249334E0" w14:textId="77777777" w:rsidR="004B744B" w:rsidRPr="00555483" w:rsidRDefault="004B744B" w:rsidP="008267C7">
            <w:pPr>
              <w:pStyle w:val="TableHeaderWhite"/>
            </w:pPr>
            <w:r w:rsidRPr="00555483">
              <w:t>Question</w:t>
            </w:r>
          </w:p>
        </w:tc>
        <w:tc>
          <w:tcPr>
            <w:tcW w:w="0" w:type="auto"/>
            <w:shd w:val="clear" w:color="auto" w:fill="000000" w:themeFill="text1"/>
          </w:tcPr>
          <w:p w14:paraId="3E6037B0" w14:textId="77777777" w:rsidR="004B744B" w:rsidRPr="00555483" w:rsidRDefault="004B744B" w:rsidP="008267C7">
            <w:pPr>
              <w:pStyle w:val="TableHeaderWhite"/>
            </w:pPr>
            <w:r w:rsidRPr="00555483">
              <w:t>Response</w:t>
            </w:r>
          </w:p>
        </w:tc>
      </w:tr>
      <w:tr w:rsidR="004B744B" w:rsidRPr="007902E1" w14:paraId="55EBF1BC" w14:textId="77777777" w:rsidTr="000F0B6F">
        <w:tc>
          <w:tcPr>
            <w:tcW w:w="0" w:type="auto"/>
          </w:tcPr>
          <w:p w14:paraId="54997863" w14:textId="3C24A9F1" w:rsidR="004B744B" w:rsidRPr="007902E1" w:rsidRDefault="004B744B" w:rsidP="008267C7">
            <w:r w:rsidRPr="007902E1">
              <w:t xml:space="preserve">Do you think the </w:t>
            </w:r>
            <w:r w:rsidR="00AD510C">
              <w:t>client</w:t>
            </w:r>
            <w:r w:rsidR="00AD510C" w:rsidRPr="007902E1">
              <w:t xml:space="preserve"> </w:t>
            </w:r>
            <w:r w:rsidRPr="007902E1">
              <w:t>is likely to improve and benefit from th</w:t>
            </w:r>
            <w:r>
              <w:t>is</w:t>
            </w:r>
            <w:r w:rsidRPr="007902E1">
              <w:t xml:space="preserve"> </w:t>
            </w:r>
            <w:r>
              <w:t>ITC</w:t>
            </w:r>
            <w:r w:rsidRPr="007902E1">
              <w:t xml:space="preserve"> </w:t>
            </w:r>
            <w:r>
              <w:t>service/aid</w:t>
            </w:r>
            <w:r w:rsidRPr="007902E1">
              <w:t>?</w:t>
            </w:r>
          </w:p>
        </w:tc>
        <w:tc>
          <w:tcPr>
            <w:tcW w:w="0" w:type="auto"/>
          </w:tcPr>
          <w:p w14:paraId="1EAC6002" w14:textId="77777777" w:rsidR="004B744B" w:rsidRPr="007902E1" w:rsidRDefault="004B744B" w:rsidP="008267C7"/>
        </w:tc>
      </w:tr>
      <w:tr w:rsidR="004B744B" w:rsidRPr="007902E1" w14:paraId="098E8C11" w14:textId="77777777" w:rsidTr="000F0B6F">
        <w:tc>
          <w:tcPr>
            <w:tcW w:w="0" w:type="auto"/>
          </w:tcPr>
          <w:p w14:paraId="57A59E4D" w14:textId="454C19CB" w:rsidR="004B744B" w:rsidRPr="007902E1" w:rsidRDefault="004B744B" w:rsidP="008267C7">
            <w:r w:rsidRPr="007902E1">
              <w:t xml:space="preserve">Do you think the </w:t>
            </w:r>
            <w:r w:rsidR="00AD510C">
              <w:t>client</w:t>
            </w:r>
            <w:r w:rsidRPr="007902E1">
              <w:t xml:space="preserve">’s access to </w:t>
            </w:r>
            <w:r>
              <w:t>this</w:t>
            </w:r>
            <w:r w:rsidRPr="007902E1">
              <w:t xml:space="preserve"> </w:t>
            </w:r>
            <w:r>
              <w:t>ITC</w:t>
            </w:r>
            <w:r w:rsidRPr="007902E1">
              <w:t xml:space="preserve"> service</w:t>
            </w:r>
            <w:r>
              <w:t>/aid</w:t>
            </w:r>
            <w:r w:rsidRPr="007902E1">
              <w:t xml:space="preserve"> is justified – from </w:t>
            </w:r>
            <w:r>
              <w:t xml:space="preserve">both </w:t>
            </w:r>
            <w:r w:rsidRPr="007902E1">
              <w:t>a clinical and ethical perspective?</w:t>
            </w:r>
          </w:p>
        </w:tc>
        <w:tc>
          <w:tcPr>
            <w:tcW w:w="0" w:type="auto"/>
          </w:tcPr>
          <w:p w14:paraId="07B6C41F" w14:textId="77777777" w:rsidR="004B744B" w:rsidRPr="007902E1" w:rsidRDefault="004B744B" w:rsidP="008267C7"/>
        </w:tc>
      </w:tr>
      <w:tr w:rsidR="004B744B" w:rsidRPr="007902E1" w14:paraId="2201D178" w14:textId="77777777" w:rsidTr="000F0B6F">
        <w:tc>
          <w:tcPr>
            <w:tcW w:w="0" w:type="auto"/>
          </w:tcPr>
          <w:p w14:paraId="3CA0217F" w14:textId="6218845C" w:rsidR="004B744B" w:rsidRPr="00555483" w:rsidRDefault="004B744B" w:rsidP="008267C7">
            <w:r w:rsidRPr="00555483">
              <w:t xml:space="preserve">Have you explored other </w:t>
            </w:r>
            <w:r w:rsidR="00C567AF" w:rsidRPr="00555483">
              <w:t>publicly</w:t>
            </w:r>
            <w:r w:rsidRPr="00555483">
              <w:t xml:space="preserve"> funded/affordable programs relevant to this request?</w:t>
            </w:r>
          </w:p>
        </w:tc>
        <w:tc>
          <w:tcPr>
            <w:tcW w:w="0" w:type="auto"/>
          </w:tcPr>
          <w:p w14:paraId="6631DD40" w14:textId="77777777" w:rsidR="004B744B" w:rsidRPr="007902E1" w:rsidRDefault="004B744B" w:rsidP="008267C7"/>
        </w:tc>
      </w:tr>
      <w:tr w:rsidR="004B744B" w:rsidRPr="007902E1" w14:paraId="538E9550" w14:textId="77777777" w:rsidTr="000F0B6F">
        <w:tc>
          <w:tcPr>
            <w:tcW w:w="0" w:type="auto"/>
          </w:tcPr>
          <w:p w14:paraId="3ACDADAE" w14:textId="61C71F17" w:rsidR="004B744B" w:rsidRPr="007902E1" w:rsidRDefault="00A946D1" w:rsidP="008267C7">
            <w:r w:rsidRPr="00A946D1">
              <w:t>Are there any potential barriers to the client engaging with treatment and services? If so, how could these be managed?</w:t>
            </w:r>
          </w:p>
        </w:tc>
        <w:tc>
          <w:tcPr>
            <w:tcW w:w="0" w:type="auto"/>
          </w:tcPr>
          <w:p w14:paraId="7F8CB1D1" w14:textId="77777777" w:rsidR="004B744B" w:rsidRPr="007902E1" w:rsidRDefault="004B744B" w:rsidP="008267C7"/>
        </w:tc>
      </w:tr>
      <w:tr w:rsidR="004B744B" w:rsidRPr="007902E1" w14:paraId="686E14AE" w14:textId="77777777" w:rsidTr="000F0B6F">
        <w:tc>
          <w:tcPr>
            <w:tcW w:w="0" w:type="auto"/>
          </w:tcPr>
          <w:p w14:paraId="2002F79B" w14:textId="2F54C541" w:rsidR="004B744B" w:rsidRPr="007902E1" w:rsidRDefault="004B744B" w:rsidP="008267C7">
            <w:r w:rsidRPr="007902E1">
              <w:t xml:space="preserve">Will the </w:t>
            </w:r>
            <w:r w:rsidR="00AD510C">
              <w:t>client</w:t>
            </w:r>
            <w:r w:rsidRPr="007902E1">
              <w:t xml:space="preserve"> be at risk of an unplanned/avoidable hospital admission</w:t>
            </w:r>
            <w:r>
              <w:t>/presentation</w:t>
            </w:r>
            <w:r w:rsidRPr="007902E1">
              <w:t xml:space="preserve"> if this request is not </w:t>
            </w:r>
            <w:r w:rsidR="009A3E80">
              <w:t>approved</w:t>
            </w:r>
            <w:r w:rsidRPr="007902E1">
              <w:t>?</w:t>
            </w:r>
          </w:p>
        </w:tc>
        <w:tc>
          <w:tcPr>
            <w:tcW w:w="0" w:type="auto"/>
          </w:tcPr>
          <w:p w14:paraId="2CE1AB1C" w14:textId="77777777" w:rsidR="004B744B" w:rsidRPr="007902E1" w:rsidRDefault="004B744B" w:rsidP="008267C7"/>
        </w:tc>
      </w:tr>
      <w:tr w:rsidR="004B744B" w:rsidRPr="007902E1" w14:paraId="32920E3C" w14:textId="77777777" w:rsidTr="000F0B6F">
        <w:tc>
          <w:tcPr>
            <w:tcW w:w="0" w:type="auto"/>
          </w:tcPr>
          <w:p w14:paraId="621C4A4D" w14:textId="4257BAAD" w:rsidR="004B744B" w:rsidRPr="007902E1" w:rsidRDefault="004B744B" w:rsidP="008267C7">
            <w:r w:rsidRPr="007902E1">
              <w:t xml:space="preserve">Will the </w:t>
            </w:r>
            <w:r w:rsidR="00AD510C">
              <w:t>client</w:t>
            </w:r>
            <w:r w:rsidRPr="007902E1">
              <w:t xml:space="preserve">’s self-management of their chronic disease be significantly compromised if this request is not </w:t>
            </w:r>
            <w:r w:rsidR="009A3E80">
              <w:t>approved</w:t>
            </w:r>
            <w:r w:rsidRPr="007902E1">
              <w:t>?</w:t>
            </w:r>
          </w:p>
        </w:tc>
        <w:tc>
          <w:tcPr>
            <w:tcW w:w="0" w:type="auto"/>
          </w:tcPr>
          <w:p w14:paraId="725B45CF" w14:textId="77777777" w:rsidR="004B744B" w:rsidRPr="007902E1" w:rsidRDefault="004B744B" w:rsidP="008267C7"/>
        </w:tc>
      </w:tr>
      <w:tr w:rsidR="004B744B" w:rsidRPr="007902E1" w14:paraId="347BD14B" w14:textId="77777777" w:rsidTr="000F0B6F">
        <w:tc>
          <w:tcPr>
            <w:tcW w:w="0" w:type="auto"/>
          </w:tcPr>
          <w:p w14:paraId="2838ED57" w14:textId="20F82D82" w:rsidR="004B744B" w:rsidRPr="007902E1" w:rsidRDefault="004B744B" w:rsidP="008267C7">
            <w:r w:rsidRPr="007902E1">
              <w:t xml:space="preserve">Is </w:t>
            </w:r>
            <w:r>
              <w:t>there</w:t>
            </w:r>
            <w:r w:rsidRPr="007902E1">
              <w:t xml:space="preserve"> an immediate clinical risk to the </w:t>
            </w:r>
            <w:r w:rsidR="00AD510C">
              <w:t>client</w:t>
            </w:r>
            <w:r w:rsidRPr="007902E1">
              <w:t xml:space="preserve"> if the service</w:t>
            </w:r>
            <w:r>
              <w:t>/aid</w:t>
            </w:r>
            <w:r w:rsidRPr="007902E1">
              <w:t xml:space="preserve"> is not provided </w:t>
            </w:r>
            <w:r>
              <w:t xml:space="preserve">(i.e. </w:t>
            </w:r>
            <w:r w:rsidR="00AD510C">
              <w:t>client</w:t>
            </w:r>
            <w:r w:rsidRPr="007902E1">
              <w:t xml:space="preserve"> is in a </w:t>
            </w:r>
            <w:proofErr w:type="gramStart"/>
            <w:r w:rsidRPr="007902E1">
              <w:t>high risk</w:t>
            </w:r>
            <w:proofErr w:type="gramEnd"/>
            <w:r w:rsidRPr="007902E1">
              <w:t xml:space="preserve"> category for infection or spread of disease to the community</w:t>
            </w:r>
            <w:r>
              <w:t>)</w:t>
            </w:r>
            <w:r w:rsidR="009A3E80">
              <w:t>?</w:t>
            </w:r>
          </w:p>
        </w:tc>
        <w:tc>
          <w:tcPr>
            <w:tcW w:w="0" w:type="auto"/>
          </w:tcPr>
          <w:p w14:paraId="2AF5D868" w14:textId="77777777" w:rsidR="004B744B" w:rsidRPr="007902E1" w:rsidRDefault="004B744B" w:rsidP="008267C7"/>
        </w:tc>
      </w:tr>
      <w:tr w:rsidR="004B744B" w:rsidRPr="007902E1" w14:paraId="2EC49D48" w14:textId="77777777" w:rsidTr="000F0B6F">
        <w:tc>
          <w:tcPr>
            <w:tcW w:w="0" w:type="auto"/>
          </w:tcPr>
          <w:p w14:paraId="0D18F6FA" w14:textId="19E880CC" w:rsidR="004B744B" w:rsidRPr="007902E1" w:rsidRDefault="004B744B" w:rsidP="008267C7">
            <w:r>
              <w:t>Do you have</w:t>
            </w:r>
            <w:r w:rsidRPr="007902E1">
              <w:t xml:space="preserve"> GP/Allied Health Provider/Medical Specialist sign off on the </w:t>
            </w:r>
            <w:r w:rsidR="00AD510C">
              <w:t>client</w:t>
            </w:r>
            <w:r w:rsidRPr="007902E1">
              <w:t xml:space="preserve">’s </w:t>
            </w:r>
            <w:r>
              <w:t>GP C</w:t>
            </w:r>
            <w:r w:rsidRPr="007902E1">
              <w:t xml:space="preserve">are </w:t>
            </w:r>
            <w:r>
              <w:t>P</w:t>
            </w:r>
            <w:r w:rsidRPr="007902E1">
              <w:t>lan</w:t>
            </w:r>
            <w:r>
              <w:t>,</w:t>
            </w:r>
            <w:r w:rsidRPr="007902E1">
              <w:t xml:space="preserve"> and </w:t>
            </w:r>
            <w:r>
              <w:t xml:space="preserve">are they </w:t>
            </w:r>
            <w:r w:rsidRPr="007902E1">
              <w:t>willing to support the</w:t>
            </w:r>
            <w:r>
              <w:t xml:space="preserve"> </w:t>
            </w:r>
            <w:r w:rsidR="00AD510C">
              <w:t>client</w:t>
            </w:r>
            <w:r>
              <w:t xml:space="preserve">’s </w:t>
            </w:r>
            <w:r w:rsidRPr="007902E1">
              <w:t xml:space="preserve">access to </w:t>
            </w:r>
            <w:r>
              <w:t>this</w:t>
            </w:r>
            <w:r w:rsidRPr="007902E1">
              <w:t xml:space="preserve"> service</w:t>
            </w:r>
            <w:r>
              <w:t>/aid</w:t>
            </w:r>
            <w:r w:rsidRPr="007902E1">
              <w:t>?</w:t>
            </w:r>
          </w:p>
        </w:tc>
        <w:tc>
          <w:tcPr>
            <w:tcW w:w="0" w:type="auto"/>
          </w:tcPr>
          <w:p w14:paraId="11C7884D" w14:textId="77777777" w:rsidR="004B744B" w:rsidRPr="007902E1" w:rsidRDefault="004B744B" w:rsidP="008267C7"/>
        </w:tc>
      </w:tr>
      <w:tr w:rsidR="004B744B" w:rsidRPr="007902E1" w14:paraId="3B9128BF" w14:textId="77777777" w:rsidTr="000F0B6F">
        <w:tc>
          <w:tcPr>
            <w:tcW w:w="0" w:type="auto"/>
          </w:tcPr>
          <w:p w14:paraId="47D2AC8C" w14:textId="77777777" w:rsidR="004B744B" w:rsidRPr="007902E1" w:rsidRDefault="004B744B" w:rsidP="008267C7">
            <w:r>
              <w:t xml:space="preserve">Do you have </w:t>
            </w:r>
            <w:r w:rsidRPr="007902E1">
              <w:t>management and team support for this request?</w:t>
            </w:r>
          </w:p>
        </w:tc>
        <w:tc>
          <w:tcPr>
            <w:tcW w:w="0" w:type="auto"/>
          </w:tcPr>
          <w:p w14:paraId="78324515" w14:textId="77777777" w:rsidR="004B744B" w:rsidRPr="007902E1" w:rsidRDefault="004B744B" w:rsidP="008267C7"/>
        </w:tc>
      </w:tr>
      <w:tr w:rsidR="004B744B" w:rsidRPr="007902E1" w14:paraId="22A43988" w14:textId="77777777" w:rsidTr="000F0B6F">
        <w:tc>
          <w:tcPr>
            <w:tcW w:w="0" w:type="auto"/>
          </w:tcPr>
          <w:p w14:paraId="4AD4F370" w14:textId="5E698D0F" w:rsidR="004B744B" w:rsidRPr="007902E1" w:rsidRDefault="004B744B" w:rsidP="008267C7">
            <w:r w:rsidRPr="007902E1">
              <w:t xml:space="preserve">Have you considered how this request could be applied equitably across the community for </w:t>
            </w:r>
            <w:r>
              <w:t xml:space="preserve">other </w:t>
            </w:r>
            <w:r w:rsidR="00AD510C">
              <w:t>client</w:t>
            </w:r>
            <w:r w:rsidRPr="007902E1">
              <w:t xml:space="preserve">s with a </w:t>
            </w:r>
            <w:r>
              <w:t xml:space="preserve">similar </w:t>
            </w:r>
            <w:r w:rsidRPr="007902E1">
              <w:t>case?</w:t>
            </w:r>
          </w:p>
        </w:tc>
        <w:tc>
          <w:tcPr>
            <w:tcW w:w="0" w:type="auto"/>
          </w:tcPr>
          <w:p w14:paraId="668BF789" w14:textId="77777777" w:rsidR="004B744B" w:rsidRPr="007902E1" w:rsidRDefault="004B744B" w:rsidP="008267C7"/>
        </w:tc>
      </w:tr>
      <w:tr w:rsidR="004B744B" w:rsidRPr="007902E1" w14:paraId="176098EB" w14:textId="77777777" w:rsidTr="000F0B6F">
        <w:tc>
          <w:tcPr>
            <w:tcW w:w="0" w:type="auto"/>
          </w:tcPr>
          <w:p w14:paraId="113FEC6D" w14:textId="77777777" w:rsidR="004B744B" w:rsidRPr="007902E1" w:rsidRDefault="004B744B" w:rsidP="008267C7">
            <w:r>
              <w:br w:type="page"/>
            </w:r>
            <w:r w:rsidRPr="007902E1">
              <w:t>Have you considered what the community expectations will be if you supported this request?</w:t>
            </w:r>
          </w:p>
        </w:tc>
        <w:tc>
          <w:tcPr>
            <w:tcW w:w="0" w:type="auto"/>
          </w:tcPr>
          <w:p w14:paraId="5C5DD927" w14:textId="77777777" w:rsidR="004B744B" w:rsidRPr="007902E1" w:rsidRDefault="004B744B" w:rsidP="008267C7"/>
        </w:tc>
      </w:tr>
      <w:tr w:rsidR="004B744B" w:rsidRPr="007902E1" w14:paraId="276E4F1A" w14:textId="77777777" w:rsidTr="000F0B6F">
        <w:tc>
          <w:tcPr>
            <w:tcW w:w="0" w:type="auto"/>
          </w:tcPr>
          <w:p w14:paraId="6FD72A7D" w14:textId="77777777" w:rsidR="004B744B" w:rsidRPr="007902E1" w:rsidRDefault="004B744B" w:rsidP="008267C7">
            <w:r>
              <w:t>How will this affect your budget for this financial year?</w:t>
            </w:r>
          </w:p>
        </w:tc>
        <w:tc>
          <w:tcPr>
            <w:tcW w:w="0" w:type="auto"/>
          </w:tcPr>
          <w:p w14:paraId="2C85E350" w14:textId="77777777" w:rsidR="004B744B" w:rsidRPr="007902E1" w:rsidRDefault="004B744B" w:rsidP="008267C7"/>
        </w:tc>
      </w:tr>
      <w:tr w:rsidR="004B744B" w:rsidRPr="007902E1" w14:paraId="065B3C5C" w14:textId="77777777" w:rsidTr="000F0B6F">
        <w:tc>
          <w:tcPr>
            <w:tcW w:w="0" w:type="auto"/>
          </w:tcPr>
          <w:p w14:paraId="4DDD6685" w14:textId="63CE3B6E" w:rsidR="004B744B" w:rsidRPr="007902E1" w:rsidRDefault="004B744B" w:rsidP="008267C7">
            <w:r w:rsidRPr="007902E1">
              <w:t>How will you report this service</w:t>
            </w:r>
            <w:r>
              <w:t>/aid</w:t>
            </w:r>
            <w:r w:rsidRPr="007902E1">
              <w:t xml:space="preserve"> to </w:t>
            </w:r>
            <w:r>
              <w:t xml:space="preserve">the </w:t>
            </w:r>
            <w:r w:rsidR="002917CE">
              <w:t>Department of Health, Disability and Ageing</w:t>
            </w:r>
            <w:r w:rsidRPr="007902E1">
              <w:t>?</w:t>
            </w:r>
          </w:p>
        </w:tc>
        <w:tc>
          <w:tcPr>
            <w:tcW w:w="0" w:type="auto"/>
          </w:tcPr>
          <w:p w14:paraId="41B2E07F" w14:textId="77777777" w:rsidR="004B744B" w:rsidRPr="007902E1" w:rsidRDefault="004B744B" w:rsidP="008267C7"/>
        </w:tc>
      </w:tr>
      <w:tr w:rsidR="004B744B" w:rsidRPr="007902E1" w14:paraId="6333566C" w14:textId="77777777" w:rsidTr="000F0B6F">
        <w:tc>
          <w:tcPr>
            <w:tcW w:w="0" w:type="auto"/>
          </w:tcPr>
          <w:p w14:paraId="75274F30" w14:textId="77777777" w:rsidR="004B744B" w:rsidRPr="007902E1" w:rsidRDefault="004B744B" w:rsidP="008267C7">
            <w:r w:rsidRPr="007902E1">
              <w:lastRenderedPageBreak/>
              <w:t xml:space="preserve">Have you consulted with </w:t>
            </w:r>
            <w:r>
              <w:t>your</w:t>
            </w:r>
            <w:r w:rsidRPr="007902E1">
              <w:t xml:space="preserve"> local </w:t>
            </w:r>
            <w:r>
              <w:t xml:space="preserve">clinical advisory team? Do they support this request? </w:t>
            </w:r>
          </w:p>
        </w:tc>
        <w:tc>
          <w:tcPr>
            <w:tcW w:w="0" w:type="auto"/>
          </w:tcPr>
          <w:p w14:paraId="0015E65E" w14:textId="77777777" w:rsidR="004B744B" w:rsidRPr="007902E1" w:rsidRDefault="004B744B" w:rsidP="008267C7"/>
        </w:tc>
      </w:tr>
    </w:tbl>
    <w:p w14:paraId="3CCEE8E3" w14:textId="0F700A05" w:rsidR="004B744B" w:rsidRPr="00555483" w:rsidRDefault="004B744B" w:rsidP="008267C7">
      <w:pPr>
        <w:rPr>
          <w:rStyle w:val="Emphasis"/>
        </w:rPr>
      </w:pPr>
      <w:r w:rsidRPr="00555483">
        <w:rPr>
          <w:rStyle w:val="Emphasis"/>
        </w:rPr>
        <w:t xml:space="preserve">It is the responsibility of the Care Coordinator, Program Manager and </w:t>
      </w:r>
      <w:r w:rsidR="006C0BD9" w:rsidRPr="00555483">
        <w:rPr>
          <w:rStyle w:val="Emphasis"/>
        </w:rPr>
        <w:t>commissioning body</w:t>
      </w:r>
      <w:r w:rsidRPr="00555483">
        <w:rPr>
          <w:rStyle w:val="Emphasis"/>
        </w:rPr>
        <w:t xml:space="preserve"> to justify use of funds for the provision of any service and for the purchase of Medical Aid(s) for a </w:t>
      </w:r>
      <w:r w:rsidR="00AD510C" w:rsidRPr="00555483">
        <w:rPr>
          <w:rStyle w:val="Emphasis"/>
        </w:rPr>
        <w:t>client</w:t>
      </w:r>
      <w:r w:rsidRPr="00555483">
        <w:rPr>
          <w:rStyle w:val="Emphasis"/>
        </w:rPr>
        <w:t>.</w:t>
      </w:r>
    </w:p>
    <w:p w14:paraId="68C916F1" w14:textId="6B454DCB" w:rsidR="004B744B" w:rsidRPr="00555483" w:rsidRDefault="004B744B" w:rsidP="008267C7">
      <w:r w:rsidRPr="00555483">
        <w:t xml:space="preserve">If you have any further questions, please contact your relevant </w:t>
      </w:r>
      <w:r w:rsidR="00A57B70" w:rsidRPr="00555483">
        <w:t>Grant Officer or Funding Arrangement Manager (FAM).</w:t>
      </w:r>
    </w:p>
    <w:p w14:paraId="7AA5FF16" w14:textId="77777777" w:rsidR="00205A93" w:rsidRPr="004D1339" w:rsidRDefault="00205A93" w:rsidP="008267C7">
      <w:pPr>
        <w:sectPr w:rsidR="00205A93" w:rsidRPr="004D1339" w:rsidSect="00205A93">
          <w:pgSz w:w="11906" w:h="16838"/>
          <w:pgMar w:top="1701" w:right="1418" w:bottom="1418" w:left="1418" w:header="709" w:footer="709" w:gutter="0"/>
          <w:cols w:space="708"/>
          <w:docGrid w:linePitch="360"/>
        </w:sectPr>
      </w:pPr>
    </w:p>
    <w:p w14:paraId="4D37E527" w14:textId="77777777" w:rsidR="00205A93" w:rsidRPr="004D1339" w:rsidRDefault="00205A93" w:rsidP="008267C7">
      <w:pPr>
        <w:pStyle w:val="URL"/>
      </w:pPr>
      <w:r w:rsidRPr="004D1339">
        <w:lastRenderedPageBreak/>
        <w:t>Health.gov.au</w:t>
      </w:r>
    </w:p>
    <w:p w14:paraId="745EF43D" w14:textId="56B714A5" w:rsidR="00205A93" w:rsidRPr="004D1339" w:rsidRDefault="00205A93" w:rsidP="007C32D0">
      <w:pPr>
        <w:jc w:val="center"/>
      </w:pPr>
      <w:r w:rsidRPr="004D1339">
        <w:t xml:space="preserve">All information in this publication is correct as </w:t>
      </w:r>
      <w:proofErr w:type="gramStart"/>
      <w:r w:rsidRPr="004D1339">
        <w:t>at</w:t>
      </w:r>
      <w:proofErr w:type="gramEnd"/>
      <w:r w:rsidRPr="004D1339">
        <w:t xml:space="preserve"> </w:t>
      </w:r>
      <w:r w:rsidR="00206846">
        <w:t xml:space="preserve">July </w:t>
      </w:r>
      <w:r w:rsidR="00376764">
        <w:t>2025</w:t>
      </w:r>
    </w:p>
    <w:sectPr w:rsidR="00205A93" w:rsidRPr="004D1339" w:rsidSect="00205A93">
      <w:headerReference w:type="default" r:id="rId41"/>
      <w:footerReference w:type="default" r:id="rId42"/>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E005" w14:textId="77777777" w:rsidR="00332D66" w:rsidRDefault="00332D66" w:rsidP="008267C7">
      <w:r>
        <w:separator/>
      </w:r>
    </w:p>
    <w:p w14:paraId="6CBEF263" w14:textId="77777777" w:rsidR="00332D66" w:rsidRDefault="00332D66" w:rsidP="008267C7"/>
  </w:endnote>
  <w:endnote w:type="continuationSeparator" w:id="0">
    <w:p w14:paraId="79C17A75" w14:textId="77777777" w:rsidR="00332D66" w:rsidRDefault="00332D66" w:rsidP="008267C7">
      <w:r>
        <w:continuationSeparator/>
      </w:r>
    </w:p>
    <w:p w14:paraId="0E83D829" w14:textId="77777777" w:rsidR="00332D66" w:rsidRDefault="00332D66" w:rsidP="008267C7"/>
  </w:endnote>
  <w:endnote w:type="continuationNotice" w:id="1">
    <w:p w14:paraId="2486B594" w14:textId="77777777" w:rsidR="00332D66" w:rsidRDefault="00332D66" w:rsidP="00826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E897" w14:textId="77777777" w:rsidR="00841111" w:rsidRDefault="00841111"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636394"/>
      <w:docPartObj>
        <w:docPartGallery w:val="Page Numbers (Bottom of Page)"/>
        <w:docPartUnique/>
      </w:docPartObj>
    </w:sdtPr>
    <w:sdtEndPr>
      <w:rPr>
        <w:noProof/>
      </w:rPr>
    </w:sdtEndPr>
    <w:sdtContent>
      <w:p w14:paraId="2C82156B" w14:textId="77777777" w:rsidR="00841111" w:rsidRDefault="00000000" w:rsidP="000D56E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7C89" w14:textId="77777777" w:rsidR="00841111" w:rsidRDefault="00841111"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2E3B"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5969F513" w14:textId="3B990289" w:rsidR="00236073" w:rsidRDefault="00842BC3" w:rsidP="000D56E4">
        <w:pPr>
          <w:pStyle w:val="Footer"/>
        </w:pPr>
        <w:r>
          <w:t>Integrated Team Care</w:t>
        </w:r>
        <w:r w:rsidR="001C4632">
          <w:t xml:space="preserve"> </w:t>
        </w:r>
        <w:r>
          <w:t>Program Implementation Guidelines</w:t>
        </w:r>
        <w:r w:rsidR="006423C3">
          <w:t xml:space="preserve"> (</w:t>
        </w:r>
        <w:r w:rsidR="007E494F">
          <w:t>u</w:t>
        </w:r>
        <w:r w:rsidR="006423C3">
          <w:t xml:space="preserve">pdated </w:t>
        </w:r>
        <w:r w:rsidR="000F061D">
          <w:t>Ju</w:t>
        </w:r>
        <w:r w:rsidR="003B1D80">
          <w:t>ly</w:t>
        </w:r>
        <w:r w:rsidR="000F061D">
          <w:t xml:space="preserve"> 2025</w:t>
        </w:r>
        <w:r w:rsidR="006423C3">
          <w:t>)</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753A6BF3"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4A4A"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7139" w14:textId="77777777" w:rsidR="00332D66" w:rsidRDefault="00332D66" w:rsidP="008267C7">
      <w:r>
        <w:separator/>
      </w:r>
    </w:p>
  </w:footnote>
  <w:footnote w:type="continuationSeparator" w:id="0">
    <w:p w14:paraId="4F640316" w14:textId="77777777" w:rsidR="00332D66" w:rsidRDefault="00332D66" w:rsidP="008267C7">
      <w:r>
        <w:continuationSeparator/>
      </w:r>
    </w:p>
    <w:p w14:paraId="4AD733C4" w14:textId="77777777" w:rsidR="00332D66" w:rsidRDefault="00332D66" w:rsidP="008267C7"/>
  </w:footnote>
  <w:footnote w:type="continuationNotice" w:id="1">
    <w:p w14:paraId="6D5F8457" w14:textId="77777777" w:rsidR="00332D66" w:rsidRDefault="00332D66" w:rsidP="008267C7"/>
  </w:footnote>
  <w:footnote w:id="2">
    <w:p w14:paraId="1E35B18F" w14:textId="051768B4" w:rsidR="004B744B" w:rsidRDefault="004B744B" w:rsidP="004B744B">
      <w:pPr>
        <w:pStyle w:val="FootnoteText"/>
      </w:pPr>
      <w:r>
        <w:rPr>
          <w:rStyle w:val="FootnoteReference"/>
        </w:rPr>
        <w:footnoteRef/>
      </w:r>
      <w:r>
        <w:t xml:space="preserve"> </w:t>
      </w:r>
      <w:hyperlink r:id="rId1" w:tooltip="Link to AMS definition from Australian Indigenous Health InfoNet" w:history="1">
        <w:r w:rsidRPr="00DA7F62">
          <w:rPr>
            <w:rStyle w:val="Hyperlink"/>
          </w:rPr>
          <w:t>AMS</w:t>
        </w:r>
      </w:hyperlink>
      <w:r>
        <w:t xml:space="preserve"> refers to </w:t>
      </w:r>
      <w:r w:rsidR="009A2880">
        <w:t>health service</w:t>
      </w:r>
      <w:r w:rsidR="001C087D">
        <w:t>s</w:t>
      </w:r>
      <w:r w:rsidR="009A2880">
        <w:t xml:space="preserve"> </w:t>
      </w:r>
      <w:r w:rsidR="00B53127">
        <w:t xml:space="preserve">solely </w:t>
      </w:r>
      <w:r w:rsidR="009A2880">
        <w:t xml:space="preserve">funded to provide </w:t>
      </w:r>
      <w:r w:rsidR="00B53127">
        <w:t xml:space="preserve">services to </w:t>
      </w:r>
      <w:r w:rsidR="0007102D">
        <w:t>Aboriginal and Torres Strait Islander</w:t>
      </w:r>
      <w:r w:rsidR="00B53127">
        <w:t xml:space="preserve"> people</w:t>
      </w:r>
      <w:r w:rsidR="00D20FDF">
        <w:t xml:space="preserve"> (</w:t>
      </w:r>
      <w:r w:rsidR="00DA7F62">
        <w:t>Australian Indigenous Health</w:t>
      </w:r>
      <w:r w:rsidR="00DA7F62">
        <w:rPr>
          <w:i/>
          <w:iCs/>
        </w:rPr>
        <w:t>InfoNet</w:t>
      </w:r>
      <w:r w:rsidR="00D20FDF">
        <w:t>, 2024)</w:t>
      </w:r>
      <w:r w:rsidR="00B53127">
        <w:t xml:space="preserve">. </w:t>
      </w:r>
    </w:p>
  </w:footnote>
  <w:footnote w:id="3">
    <w:p w14:paraId="3662BCBE" w14:textId="6E1879E2" w:rsidR="00086196" w:rsidRDefault="00086196">
      <w:pPr>
        <w:pStyle w:val="FootnoteText"/>
      </w:pPr>
      <w:r>
        <w:rPr>
          <w:rStyle w:val="FootnoteReference"/>
        </w:rPr>
        <w:footnoteRef/>
      </w:r>
      <w:r>
        <w:t xml:space="preserve"> </w:t>
      </w:r>
      <w:hyperlink r:id="rId2" w:tooltip="Link to ACCHS definition from the National Aboriginal Community Controlled Health Organisation (NACCHO)" w:history="1">
        <w:r w:rsidRPr="00D20FDF">
          <w:rPr>
            <w:rStyle w:val="Hyperlink"/>
          </w:rPr>
          <w:t>ACCHS</w:t>
        </w:r>
      </w:hyperlink>
      <w:r w:rsidR="00A941E1">
        <w:t xml:space="preserve"> refers to</w:t>
      </w:r>
      <w:r w:rsidR="00CC253D">
        <w:t xml:space="preserve"> primary health care service</w:t>
      </w:r>
      <w:r w:rsidR="00C777EB">
        <w:t>s</w:t>
      </w:r>
      <w:r w:rsidR="00CC253D">
        <w:t xml:space="preserve"> initiated and operated </w:t>
      </w:r>
      <w:r w:rsidR="00066860">
        <w:t xml:space="preserve">by the local community to deliver </w:t>
      </w:r>
      <w:r w:rsidR="00B31C48">
        <w:t xml:space="preserve">holistic, comprehensive, and </w:t>
      </w:r>
      <w:r w:rsidR="00066860">
        <w:t xml:space="preserve">culturally </w:t>
      </w:r>
      <w:r w:rsidR="00954B80">
        <w:t>safe</w:t>
      </w:r>
      <w:r w:rsidR="00472834">
        <w:t xml:space="preserve"> </w:t>
      </w:r>
      <w:r w:rsidR="00B31C48">
        <w:t xml:space="preserve">health care </w:t>
      </w:r>
      <w:r w:rsidR="00472834">
        <w:t xml:space="preserve">which target and address the needs of </w:t>
      </w:r>
      <w:r w:rsidR="006739D9">
        <w:t>the community which control it (through a locally elected Board of Management)</w:t>
      </w:r>
      <w:r w:rsidR="00D20FDF">
        <w:t xml:space="preserve"> (NACCHO, 2024)</w:t>
      </w:r>
      <w:r w:rsidR="006739D9">
        <w:t>.</w:t>
      </w:r>
    </w:p>
  </w:footnote>
  <w:footnote w:id="4">
    <w:p w14:paraId="77D04343" w14:textId="70B564E9" w:rsidR="00E62B6F" w:rsidRDefault="00E62B6F">
      <w:pPr>
        <w:pStyle w:val="FootnoteText"/>
      </w:pPr>
      <w:r>
        <w:rPr>
          <w:rStyle w:val="FootnoteReference"/>
        </w:rPr>
        <w:footnoteRef/>
      </w:r>
      <w:r>
        <w:t xml:space="preserve"> </w:t>
      </w:r>
      <w:r w:rsidRPr="00E62B6F">
        <w:t>Health Policy Analysis 2018, Review of Care Coordination within the Integrated Team Care (ITC) Program – Summary report, Commonwealth Department of Health.</w:t>
      </w:r>
    </w:p>
  </w:footnote>
  <w:footnote w:id="5">
    <w:p w14:paraId="0CE97FBD" w14:textId="6D5F2F1A" w:rsidR="004B744B" w:rsidRDefault="004B744B" w:rsidP="004B744B">
      <w:pPr>
        <w:pStyle w:val="FootnoteText"/>
      </w:pPr>
      <w:r>
        <w:rPr>
          <w:rStyle w:val="FootnoteReference"/>
        </w:rPr>
        <w:footnoteRef/>
      </w:r>
      <w:r>
        <w:t xml:space="preserve"> Historically the </w:t>
      </w:r>
      <w:r w:rsidR="00C07C7D">
        <w:t>ATSIHPO</w:t>
      </w:r>
      <w:r>
        <w:t xml:space="preserve"> engaged with mainstream practices and worked with Outreach Workers </w:t>
      </w:r>
      <w:r w:rsidR="00B014E1">
        <w:t>to</w:t>
      </w:r>
      <w:r>
        <w:t xml:space="preserve"> improve access to mainstream services.</w:t>
      </w:r>
      <w:r w:rsidR="005D1367">
        <w:t xml:space="preserve"> </w:t>
      </w:r>
      <w:r>
        <w:t>As these activities have progressed</w:t>
      </w:r>
      <w:r w:rsidR="007E494F">
        <w:t>,</w:t>
      </w:r>
      <w:r>
        <w:t xml:space="preserve"> the Commonwealth is aware that many </w:t>
      </w:r>
      <w:r w:rsidR="00C07C7D">
        <w:t>ATSIHPO</w:t>
      </w:r>
      <w:r>
        <w:t>s have also developed a strong liaison role with Care Coordinators and an Integrated Team Care approach has already been evolving.</w:t>
      </w:r>
    </w:p>
  </w:footnote>
  <w:footnote w:id="6">
    <w:p w14:paraId="3967D45A" w14:textId="690742C8" w:rsidR="00153D00" w:rsidRPr="00705DDB" w:rsidRDefault="00153D00" w:rsidP="00153D00">
      <w:pPr>
        <w:pStyle w:val="FootnoteText"/>
      </w:pPr>
      <w:r>
        <w:rPr>
          <w:rStyle w:val="FootnoteReference"/>
        </w:rPr>
        <w:footnoteRef/>
      </w:r>
      <w:r>
        <w:t xml:space="preserve"> </w:t>
      </w:r>
      <w:r w:rsidRPr="002D6B7F">
        <w:t xml:space="preserve">Australian Institute of Health and Welfare (AIHW). </w:t>
      </w:r>
      <w:hyperlink r:id="rId3" w:tooltip="Link to the Aboriginal and Torres Strait Islander Health Performance Framework - Summary report on access to primary healthcare on the Australian Institute of Health and Welfare website" w:history="1">
        <w:r w:rsidRPr="00705DDB">
          <w:rPr>
            <w:rStyle w:val="Hyperlink"/>
          </w:rPr>
          <w:t>Access to primary care</w:t>
        </w:r>
      </w:hyperlink>
      <w:r>
        <w:t xml:space="preserve">. </w:t>
      </w:r>
      <w:r w:rsidRPr="008D7C95">
        <w:rPr>
          <w:i/>
          <w:iCs/>
        </w:rPr>
        <w:t>Aboriginal and Torres Strait Islander Health Performance Framework - Summary report</w:t>
      </w:r>
      <w:r>
        <w:rPr>
          <w:i/>
          <w:iCs/>
        </w:rPr>
        <w:t xml:space="preserve">. </w:t>
      </w:r>
    </w:p>
  </w:footnote>
  <w:footnote w:id="7">
    <w:p w14:paraId="3DFE9BC4" w14:textId="3C08D1A8" w:rsidR="00140160" w:rsidRPr="00EE1A24" w:rsidRDefault="00140160">
      <w:pPr>
        <w:pStyle w:val="FootnoteText"/>
      </w:pPr>
      <w:r>
        <w:rPr>
          <w:rStyle w:val="FootnoteReference"/>
        </w:rPr>
        <w:footnoteRef/>
      </w:r>
      <w:r>
        <w:t xml:space="preserve"> </w:t>
      </w:r>
      <w:r w:rsidR="00DF1A7F">
        <w:t xml:space="preserve">MBS Online. </w:t>
      </w:r>
      <w:hyperlink r:id="rId4" w:tooltip="Link to the Medical Benefits Schedule (MBS) online website for more information on the chronic disease management items" w:history="1">
        <w:r w:rsidRPr="00DF1A7F">
          <w:rPr>
            <w:rStyle w:val="Hyperlink"/>
          </w:rPr>
          <w:t xml:space="preserve">Medicare Benefits Schedule </w:t>
        </w:r>
        <w:r w:rsidR="00DF1A7F" w:rsidRPr="00DF1A7F">
          <w:rPr>
            <w:rStyle w:val="Hyperlink"/>
          </w:rPr>
          <w:t>–</w:t>
        </w:r>
        <w:r w:rsidRPr="00DF1A7F">
          <w:rPr>
            <w:rStyle w:val="Hyperlink"/>
          </w:rPr>
          <w:t xml:space="preserve"> Not</w:t>
        </w:r>
        <w:r w:rsidR="00DF1A7F" w:rsidRPr="00DF1A7F">
          <w:rPr>
            <w:rStyle w:val="Hyperlink"/>
          </w:rPr>
          <w:t>e AN.0.47</w:t>
        </w:r>
      </w:hyperlink>
      <w:r w:rsidR="00EE1A24">
        <w:t xml:space="preserve"> </w:t>
      </w:r>
      <w:r w:rsidR="00EE1A24">
        <w:rPr>
          <w:i/>
          <w:iCs/>
        </w:rPr>
        <w:t>Chronic Disease Management Items (Items 721 to 732)</w:t>
      </w:r>
      <w:r w:rsidR="00EE1A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35F42"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4864DE9E" wp14:editId="60BD1DCD">
          <wp:simplePos x="0" y="0"/>
          <wp:positionH relativeFrom="page">
            <wp:align>center</wp:align>
          </wp:positionH>
          <wp:positionV relativeFrom="page">
            <wp:align>center</wp:align>
          </wp:positionV>
          <wp:extent cx="7560000" cy="10692000"/>
          <wp:effectExtent l="0" t="0" r="3175" b="0"/>
          <wp:wrapNone/>
          <wp:docPr id="390368996" name="Picture 390368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B215" w14:textId="09F3A80E" w:rsidR="00CA79CF" w:rsidRDefault="00E53972" w:rsidP="00205A93">
    <w:pPr>
      <w:pStyle w:val="Header"/>
      <w:tabs>
        <w:tab w:val="clear" w:pos="4513"/>
        <w:tab w:val="clear" w:pos="9026"/>
        <w:tab w:val="center" w:pos="4535"/>
      </w:tabs>
    </w:pPr>
    <w:r>
      <w:rPr>
        <w:noProof/>
        <w:lang w:eastAsia="en-AU"/>
      </w:rPr>
      <w:drawing>
        <wp:anchor distT="0" distB="0" distL="114300" distR="114300" simplePos="0" relativeHeight="251665408" behindDoc="1" locked="0" layoutInCell="1" allowOverlap="1" wp14:anchorId="6382D862" wp14:editId="200975B3">
          <wp:simplePos x="0" y="0"/>
          <wp:positionH relativeFrom="page">
            <wp:posOffset>-4242</wp:posOffset>
          </wp:positionH>
          <wp:positionV relativeFrom="page">
            <wp:posOffset>2107</wp:posOffset>
          </wp:positionV>
          <wp:extent cx="7559245" cy="10692673"/>
          <wp:effectExtent l="0" t="0" r="0" b="1270"/>
          <wp:wrapNone/>
          <wp:docPr id="1926774066" name="Picture 1926774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7DD5" w14:textId="77777777" w:rsidR="00CA79CF" w:rsidRDefault="00CA7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E6C9" w14:textId="77777777" w:rsidR="00841111" w:rsidRDefault="00841111"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AFD2" w14:textId="77777777" w:rsidR="00CA79CF" w:rsidRDefault="00CA79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8C3E" w14:textId="77777777"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B911" w14:textId="77777777" w:rsidR="000D56E4" w:rsidRDefault="000D56E4"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D33E" w14:textId="77777777" w:rsidR="000D56E4" w:rsidRDefault="000D56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2AEA"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03153C07" wp14:editId="60AC7A7C">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1E0E8F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1CF97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E3E18"/>
    <w:multiLevelType w:val="multilevel"/>
    <w:tmpl w:val="82FC83A2"/>
    <w:lvl w:ilvl="0">
      <w:start w:val="1"/>
      <w:numFmt w:val="decimal"/>
      <w:lvlText w:val="%1."/>
      <w:lvlJc w:val="left"/>
      <w:pPr>
        <w:ind w:left="360" w:hanging="360"/>
      </w:pPr>
      <w:rPr>
        <w:b w:val="0"/>
        <w:bCs w:val="0"/>
        <w:sz w:val="32"/>
        <w:szCs w:val="32"/>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2644C4"/>
    <w:multiLevelType w:val="hybridMultilevel"/>
    <w:tmpl w:val="B7609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582C7F"/>
    <w:multiLevelType w:val="hybridMultilevel"/>
    <w:tmpl w:val="681C6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16F2308"/>
    <w:multiLevelType w:val="hybridMultilevel"/>
    <w:tmpl w:val="5582A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7E3B33"/>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60C3161"/>
    <w:multiLevelType w:val="hybridMultilevel"/>
    <w:tmpl w:val="8BACD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6A21C01"/>
    <w:multiLevelType w:val="hybridMultilevel"/>
    <w:tmpl w:val="19B24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7C257AD"/>
    <w:multiLevelType w:val="hybridMultilevel"/>
    <w:tmpl w:val="A574DF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A53D1E"/>
    <w:multiLevelType w:val="hybridMultilevel"/>
    <w:tmpl w:val="D068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7979F4"/>
    <w:multiLevelType w:val="hybridMultilevel"/>
    <w:tmpl w:val="A4443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C303834"/>
    <w:multiLevelType w:val="hybridMultilevel"/>
    <w:tmpl w:val="78D85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D192818"/>
    <w:multiLevelType w:val="hybridMultilevel"/>
    <w:tmpl w:val="B0288410"/>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2" w15:restartNumberingAfterBreak="0">
    <w:nsid w:val="0F172527"/>
    <w:multiLevelType w:val="hybridMultilevel"/>
    <w:tmpl w:val="0E9E1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FB7146F"/>
    <w:multiLevelType w:val="hybridMultilevel"/>
    <w:tmpl w:val="590C8D6C"/>
    <w:lvl w:ilvl="0" w:tplc="EDA09648">
      <w:start w:val="1"/>
      <w:numFmt w:val="decimal"/>
      <w:pStyle w:val="List"/>
      <w:lvlText w:val="%1."/>
      <w:lvlJc w:val="left"/>
      <w:pPr>
        <w:ind w:left="717" w:hanging="360"/>
      </w:pPr>
      <w:rPr>
        <w:rFonts w:cs="Arial" w:hint="default"/>
        <w:b w:val="0"/>
        <w:bCs w:val="0"/>
        <w:i w:val="0"/>
        <w:iCs w:val="0"/>
        <w:color w:val="3F4A75" w:themeColor="text2"/>
        <w:sz w:val="3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09A0404"/>
    <w:multiLevelType w:val="hybridMultilevel"/>
    <w:tmpl w:val="8AB4B30A"/>
    <w:lvl w:ilvl="0" w:tplc="D2047848">
      <w:start w:val="4"/>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BC3628"/>
    <w:multiLevelType w:val="multilevel"/>
    <w:tmpl w:val="8D6A7EC0"/>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7" w15:restartNumberingAfterBreak="0">
    <w:nsid w:val="13F71E67"/>
    <w:multiLevelType w:val="hybridMultilevel"/>
    <w:tmpl w:val="24CAC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5076ACE"/>
    <w:multiLevelType w:val="hybridMultilevel"/>
    <w:tmpl w:val="48229EDA"/>
    <w:lvl w:ilvl="0" w:tplc="4412B47C">
      <w:start w:val="7"/>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5480DFA"/>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55E7BEA"/>
    <w:multiLevelType w:val="hybridMultilevel"/>
    <w:tmpl w:val="E67CAC5A"/>
    <w:lvl w:ilvl="0" w:tplc="E4FE757E">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F841B5"/>
    <w:multiLevelType w:val="hybridMultilevel"/>
    <w:tmpl w:val="0EF65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D04679B"/>
    <w:multiLevelType w:val="hybridMultilevel"/>
    <w:tmpl w:val="000C3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F680239"/>
    <w:multiLevelType w:val="hybridMultilevel"/>
    <w:tmpl w:val="C6BA5332"/>
    <w:lvl w:ilvl="0" w:tplc="28B041B4">
      <w:start w:val="1"/>
      <w:numFmt w:val="bullet"/>
      <w:pStyle w:val="ListBullet3"/>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3497123"/>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623142"/>
    <w:multiLevelType w:val="hybridMultilevel"/>
    <w:tmpl w:val="68B430E2"/>
    <w:lvl w:ilvl="0" w:tplc="20B07716">
      <w:start w:val="1"/>
      <w:numFmt w:val="decimal"/>
      <w:lvlText w:val="%1"/>
      <w:lvlJc w:val="left"/>
      <w:pPr>
        <w:ind w:left="720" w:hanging="360"/>
      </w:pPr>
      <w:rPr>
        <w:rFonts w:hint="default"/>
      </w:rPr>
    </w:lvl>
    <w:lvl w:ilvl="1" w:tplc="418E60C0">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E71713A"/>
    <w:multiLevelType w:val="hybridMultilevel"/>
    <w:tmpl w:val="271CE71E"/>
    <w:lvl w:ilvl="0" w:tplc="3710B84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E134E8"/>
    <w:multiLevelType w:val="hybridMultilevel"/>
    <w:tmpl w:val="D1E4C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EFA7212"/>
    <w:multiLevelType w:val="multilevel"/>
    <w:tmpl w:val="4678D0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39BA4CC1"/>
    <w:multiLevelType w:val="hybridMultilevel"/>
    <w:tmpl w:val="C7CA23EE"/>
    <w:lvl w:ilvl="0" w:tplc="BE28868C">
      <w:start w:val="1"/>
      <w:numFmt w:val="lowerRoman"/>
      <w:pStyle w:val="List2"/>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A813438"/>
    <w:multiLevelType w:val="hybridMultilevel"/>
    <w:tmpl w:val="749C1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B351420"/>
    <w:multiLevelType w:val="hybridMultilevel"/>
    <w:tmpl w:val="8BCED06E"/>
    <w:lvl w:ilvl="0" w:tplc="3710B84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877B39"/>
    <w:multiLevelType w:val="hybridMultilevel"/>
    <w:tmpl w:val="39F2684C"/>
    <w:lvl w:ilvl="0" w:tplc="D2047848">
      <w:start w:val="4"/>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EB034E"/>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464915A0"/>
    <w:multiLevelType w:val="hybridMultilevel"/>
    <w:tmpl w:val="90908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6C06ED6"/>
    <w:multiLevelType w:val="hybridMultilevel"/>
    <w:tmpl w:val="A9443D90"/>
    <w:lvl w:ilvl="0" w:tplc="2982CA58">
      <w:start w:val="1"/>
      <w:numFmt w:val="bullet"/>
      <w:lvlText w:val=""/>
      <w:lvlJc w:val="left"/>
      <w:pPr>
        <w:ind w:left="720" w:hanging="360"/>
      </w:pPr>
      <w:rPr>
        <w:rFonts w:ascii="Symbol" w:hAnsi="Symbol"/>
      </w:rPr>
    </w:lvl>
    <w:lvl w:ilvl="1" w:tplc="5052E5E2">
      <w:start w:val="1"/>
      <w:numFmt w:val="bullet"/>
      <w:lvlText w:val=""/>
      <w:lvlJc w:val="left"/>
      <w:pPr>
        <w:ind w:left="720" w:hanging="360"/>
      </w:pPr>
      <w:rPr>
        <w:rFonts w:ascii="Symbol" w:hAnsi="Symbol"/>
      </w:rPr>
    </w:lvl>
    <w:lvl w:ilvl="2" w:tplc="A0E05C18">
      <w:start w:val="1"/>
      <w:numFmt w:val="bullet"/>
      <w:lvlText w:val=""/>
      <w:lvlJc w:val="left"/>
      <w:pPr>
        <w:ind w:left="720" w:hanging="360"/>
      </w:pPr>
      <w:rPr>
        <w:rFonts w:ascii="Symbol" w:hAnsi="Symbol"/>
      </w:rPr>
    </w:lvl>
    <w:lvl w:ilvl="3" w:tplc="771E2F3C">
      <w:start w:val="1"/>
      <w:numFmt w:val="bullet"/>
      <w:lvlText w:val=""/>
      <w:lvlJc w:val="left"/>
      <w:pPr>
        <w:ind w:left="720" w:hanging="360"/>
      </w:pPr>
      <w:rPr>
        <w:rFonts w:ascii="Symbol" w:hAnsi="Symbol"/>
      </w:rPr>
    </w:lvl>
    <w:lvl w:ilvl="4" w:tplc="9A04FDEC">
      <w:start w:val="1"/>
      <w:numFmt w:val="bullet"/>
      <w:lvlText w:val=""/>
      <w:lvlJc w:val="left"/>
      <w:pPr>
        <w:ind w:left="720" w:hanging="360"/>
      </w:pPr>
      <w:rPr>
        <w:rFonts w:ascii="Symbol" w:hAnsi="Symbol"/>
      </w:rPr>
    </w:lvl>
    <w:lvl w:ilvl="5" w:tplc="DDEC5C6A">
      <w:start w:val="1"/>
      <w:numFmt w:val="bullet"/>
      <w:lvlText w:val=""/>
      <w:lvlJc w:val="left"/>
      <w:pPr>
        <w:ind w:left="720" w:hanging="360"/>
      </w:pPr>
      <w:rPr>
        <w:rFonts w:ascii="Symbol" w:hAnsi="Symbol"/>
      </w:rPr>
    </w:lvl>
    <w:lvl w:ilvl="6" w:tplc="A5309BCC">
      <w:start w:val="1"/>
      <w:numFmt w:val="bullet"/>
      <w:lvlText w:val=""/>
      <w:lvlJc w:val="left"/>
      <w:pPr>
        <w:ind w:left="720" w:hanging="360"/>
      </w:pPr>
      <w:rPr>
        <w:rFonts w:ascii="Symbol" w:hAnsi="Symbol"/>
      </w:rPr>
    </w:lvl>
    <w:lvl w:ilvl="7" w:tplc="4CDC11EE">
      <w:start w:val="1"/>
      <w:numFmt w:val="bullet"/>
      <w:lvlText w:val=""/>
      <w:lvlJc w:val="left"/>
      <w:pPr>
        <w:ind w:left="720" w:hanging="360"/>
      </w:pPr>
      <w:rPr>
        <w:rFonts w:ascii="Symbol" w:hAnsi="Symbol"/>
      </w:rPr>
    </w:lvl>
    <w:lvl w:ilvl="8" w:tplc="274CDF68">
      <w:start w:val="1"/>
      <w:numFmt w:val="bullet"/>
      <w:lvlText w:val=""/>
      <w:lvlJc w:val="left"/>
      <w:pPr>
        <w:ind w:left="720" w:hanging="360"/>
      </w:pPr>
      <w:rPr>
        <w:rFonts w:ascii="Symbol" w:hAnsi="Symbol"/>
      </w:rPr>
    </w:lvl>
  </w:abstractNum>
  <w:abstractNum w:abstractNumId="49" w15:restartNumberingAfterBreak="0">
    <w:nsid w:val="4BE01117"/>
    <w:multiLevelType w:val="hybridMultilevel"/>
    <w:tmpl w:val="B08A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BA04B8"/>
    <w:multiLevelType w:val="multilevel"/>
    <w:tmpl w:val="F454E88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b w:val="0"/>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34251C"/>
    <w:multiLevelType w:val="hybridMultilevel"/>
    <w:tmpl w:val="8746134C"/>
    <w:lvl w:ilvl="0" w:tplc="D2047848">
      <w:start w:val="4"/>
      <w:numFmt w:val="decimal"/>
      <w:lvlText w:val="%1.1"/>
      <w:lvlJc w:val="left"/>
      <w:pPr>
        <w:ind w:left="1440" w:hanging="360"/>
      </w:pPr>
      <w:rPr>
        <w:rFonts w:hint="default"/>
      </w:rPr>
    </w:lvl>
    <w:lvl w:ilvl="1" w:tplc="0C090019">
      <w:start w:val="1"/>
      <w:numFmt w:val="lowerLetter"/>
      <w:lvlText w:val="%2."/>
      <w:lvlJc w:val="left"/>
      <w:pPr>
        <w:ind w:left="2160" w:hanging="360"/>
      </w:pPr>
    </w:lvl>
    <w:lvl w:ilvl="2" w:tplc="418E60C0">
      <w:start w:val="1"/>
      <w:numFmt w:val="decimal"/>
      <w:lvlText w:val="%3.1"/>
      <w:lvlJc w:val="left"/>
      <w:pPr>
        <w:ind w:left="144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507C70F3"/>
    <w:multiLevelType w:val="hybridMultilevel"/>
    <w:tmpl w:val="A574DF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101528B"/>
    <w:multiLevelType w:val="hybridMultilevel"/>
    <w:tmpl w:val="BA748C32"/>
    <w:lvl w:ilvl="0" w:tplc="10ECA5E4">
      <w:start w:val="8"/>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1993206"/>
    <w:multiLevelType w:val="multilevel"/>
    <w:tmpl w:val="5832D88A"/>
    <w:lvl w:ilvl="0">
      <w:start w:val="8"/>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6"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2166414"/>
    <w:multiLevelType w:val="hybridMultilevel"/>
    <w:tmpl w:val="230E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2DC7FC7"/>
    <w:multiLevelType w:val="multilevel"/>
    <w:tmpl w:val="AD4CB27E"/>
    <w:lvl w:ilvl="0">
      <w:start w:val="4"/>
      <w:numFmt w:val="decimal"/>
      <w:lvlText w:val="%1"/>
      <w:lvlJc w:val="left"/>
      <w:pPr>
        <w:ind w:left="495" w:hanging="49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59" w15:restartNumberingAfterBreak="0">
    <w:nsid w:val="53052CD5"/>
    <w:multiLevelType w:val="hybridMultilevel"/>
    <w:tmpl w:val="2DA0A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4910194"/>
    <w:multiLevelType w:val="hybridMultilevel"/>
    <w:tmpl w:val="726E6004"/>
    <w:lvl w:ilvl="0" w:tplc="4EF2269A">
      <w:start w:val="5"/>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6210530"/>
    <w:multiLevelType w:val="hybridMultilevel"/>
    <w:tmpl w:val="8A600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6D5621E"/>
    <w:multiLevelType w:val="hybridMultilevel"/>
    <w:tmpl w:val="C3F6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4153E0"/>
    <w:multiLevelType w:val="multilevel"/>
    <w:tmpl w:val="BDACF3C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ADA167B"/>
    <w:multiLevelType w:val="hybridMultilevel"/>
    <w:tmpl w:val="3DC0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DF565F"/>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C5F7874"/>
    <w:multiLevelType w:val="hybridMultilevel"/>
    <w:tmpl w:val="79563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D0134DC"/>
    <w:multiLevelType w:val="hybridMultilevel"/>
    <w:tmpl w:val="1E74B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0921277"/>
    <w:multiLevelType w:val="hybridMultilevel"/>
    <w:tmpl w:val="06625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1792A34"/>
    <w:multiLevelType w:val="multilevel"/>
    <w:tmpl w:val="8BEA20CC"/>
    <w:lvl w:ilvl="0">
      <w:start w:val="2"/>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70" w15:restartNumberingAfterBreak="0">
    <w:nsid w:val="625C1C9E"/>
    <w:multiLevelType w:val="multilevel"/>
    <w:tmpl w:val="37F2871C"/>
    <w:lvl w:ilvl="0">
      <w:start w:val="1"/>
      <w:numFmt w:val="decimal"/>
      <w:lvlText w:val="%1"/>
      <w:lvlJc w:val="left"/>
      <w:pPr>
        <w:ind w:left="495" w:hanging="495"/>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15:restartNumberingAfterBreak="0">
    <w:nsid w:val="630E5CCE"/>
    <w:multiLevelType w:val="hybridMultilevel"/>
    <w:tmpl w:val="32F09EF4"/>
    <w:lvl w:ilvl="0" w:tplc="20B07716">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3C370D4"/>
    <w:multiLevelType w:val="hybridMultilevel"/>
    <w:tmpl w:val="B97446A8"/>
    <w:lvl w:ilvl="0" w:tplc="418E60C0">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5E017E3"/>
    <w:multiLevelType w:val="multilevel"/>
    <w:tmpl w:val="886276E8"/>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66C7DDC"/>
    <w:multiLevelType w:val="multilevel"/>
    <w:tmpl w:val="D41A95D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5" w15:restartNumberingAfterBreak="0">
    <w:nsid w:val="67B37E69"/>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7DE741C"/>
    <w:multiLevelType w:val="hybridMultilevel"/>
    <w:tmpl w:val="4D46F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8984DCC"/>
    <w:multiLevelType w:val="multilevel"/>
    <w:tmpl w:val="87E24CE4"/>
    <w:lvl w:ilvl="0">
      <w:start w:val="7"/>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8" w15:restartNumberingAfterBreak="0">
    <w:nsid w:val="68C2200A"/>
    <w:multiLevelType w:val="hybridMultilevel"/>
    <w:tmpl w:val="CC1036EA"/>
    <w:lvl w:ilvl="0" w:tplc="32A8CD74">
      <w:start w:val="1"/>
      <w:numFmt w:val="bullet"/>
      <w:lvlText w:val=""/>
      <w:lvlJc w:val="left"/>
      <w:pPr>
        <w:ind w:left="720" w:hanging="360"/>
      </w:pPr>
      <w:rPr>
        <w:rFonts w:ascii="Symbol" w:hAnsi="Symbol"/>
      </w:rPr>
    </w:lvl>
    <w:lvl w:ilvl="1" w:tplc="75D84D98">
      <w:start w:val="1"/>
      <w:numFmt w:val="bullet"/>
      <w:lvlText w:val=""/>
      <w:lvlJc w:val="left"/>
      <w:pPr>
        <w:ind w:left="720" w:hanging="360"/>
      </w:pPr>
      <w:rPr>
        <w:rFonts w:ascii="Symbol" w:hAnsi="Symbol"/>
      </w:rPr>
    </w:lvl>
    <w:lvl w:ilvl="2" w:tplc="36720122">
      <w:start w:val="1"/>
      <w:numFmt w:val="bullet"/>
      <w:lvlText w:val=""/>
      <w:lvlJc w:val="left"/>
      <w:pPr>
        <w:ind w:left="720" w:hanging="360"/>
      </w:pPr>
      <w:rPr>
        <w:rFonts w:ascii="Symbol" w:hAnsi="Symbol"/>
      </w:rPr>
    </w:lvl>
    <w:lvl w:ilvl="3" w:tplc="F72A9A64">
      <w:start w:val="1"/>
      <w:numFmt w:val="bullet"/>
      <w:lvlText w:val=""/>
      <w:lvlJc w:val="left"/>
      <w:pPr>
        <w:ind w:left="720" w:hanging="360"/>
      </w:pPr>
      <w:rPr>
        <w:rFonts w:ascii="Symbol" w:hAnsi="Symbol"/>
      </w:rPr>
    </w:lvl>
    <w:lvl w:ilvl="4" w:tplc="97A629EC">
      <w:start w:val="1"/>
      <w:numFmt w:val="bullet"/>
      <w:lvlText w:val=""/>
      <w:lvlJc w:val="left"/>
      <w:pPr>
        <w:ind w:left="720" w:hanging="360"/>
      </w:pPr>
      <w:rPr>
        <w:rFonts w:ascii="Symbol" w:hAnsi="Symbol"/>
      </w:rPr>
    </w:lvl>
    <w:lvl w:ilvl="5" w:tplc="94A614DE">
      <w:start w:val="1"/>
      <w:numFmt w:val="bullet"/>
      <w:lvlText w:val=""/>
      <w:lvlJc w:val="left"/>
      <w:pPr>
        <w:ind w:left="720" w:hanging="360"/>
      </w:pPr>
      <w:rPr>
        <w:rFonts w:ascii="Symbol" w:hAnsi="Symbol"/>
      </w:rPr>
    </w:lvl>
    <w:lvl w:ilvl="6" w:tplc="E570A270">
      <w:start w:val="1"/>
      <w:numFmt w:val="bullet"/>
      <w:lvlText w:val=""/>
      <w:lvlJc w:val="left"/>
      <w:pPr>
        <w:ind w:left="720" w:hanging="360"/>
      </w:pPr>
      <w:rPr>
        <w:rFonts w:ascii="Symbol" w:hAnsi="Symbol"/>
      </w:rPr>
    </w:lvl>
    <w:lvl w:ilvl="7" w:tplc="4492E4A6">
      <w:start w:val="1"/>
      <w:numFmt w:val="bullet"/>
      <w:lvlText w:val=""/>
      <w:lvlJc w:val="left"/>
      <w:pPr>
        <w:ind w:left="720" w:hanging="360"/>
      </w:pPr>
      <w:rPr>
        <w:rFonts w:ascii="Symbol" w:hAnsi="Symbol"/>
      </w:rPr>
    </w:lvl>
    <w:lvl w:ilvl="8" w:tplc="470C093C">
      <w:start w:val="1"/>
      <w:numFmt w:val="bullet"/>
      <w:lvlText w:val=""/>
      <w:lvlJc w:val="left"/>
      <w:pPr>
        <w:ind w:left="720" w:hanging="360"/>
      </w:pPr>
      <w:rPr>
        <w:rFonts w:ascii="Symbol" w:hAnsi="Symbol"/>
      </w:rPr>
    </w:lvl>
  </w:abstractNum>
  <w:abstractNum w:abstractNumId="7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1B33EA"/>
    <w:multiLevelType w:val="multilevel"/>
    <w:tmpl w:val="7AE4F748"/>
    <w:lvl w:ilvl="0">
      <w:start w:val="1"/>
      <w:numFmt w:val="decimal"/>
      <w:lvlText w:val="%1)"/>
      <w:lvlJc w:val="left"/>
      <w:pPr>
        <w:ind w:left="360" w:hanging="360"/>
      </w:pPr>
    </w:lvl>
    <w:lvl w:ilvl="1">
      <w:start w:val="1"/>
      <w:numFmt w:val="lowerRoman"/>
      <w:lvlText w:val="%2."/>
      <w:lvlJc w:val="right"/>
      <w:pPr>
        <w:ind w:left="720" w:hanging="360"/>
      </w:pPr>
      <w:rPr>
        <w:rFonts w:ascii="Arial" w:hAnsi="Arial" w:cs="Arial" w:hint="default"/>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BA3227D"/>
    <w:multiLevelType w:val="hybridMultilevel"/>
    <w:tmpl w:val="7A4A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287EBC"/>
    <w:multiLevelType w:val="multilevel"/>
    <w:tmpl w:val="886276E8"/>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867C3A"/>
    <w:multiLevelType w:val="hybridMultilevel"/>
    <w:tmpl w:val="A574DF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101CB6"/>
    <w:multiLevelType w:val="hybridMultilevel"/>
    <w:tmpl w:val="60D441BE"/>
    <w:lvl w:ilvl="0" w:tplc="919C9A1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24E7D77"/>
    <w:multiLevelType w:val="hybridMultilevel"/>
    <w:tmpl w:val="3FA29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2E350D7"/>
    <w:multiLevelType w:val="hybridMultilevel"/>
    <w:tmpl w:val="616E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4301A80"/>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DBA208D"/>
    <w:multiLevelType w:val="multilevel"/>
    <w:tmpl w:val="07E42F54"/>
    <w:lvl w:ilvl="0">
      <w:start w:val="8"/>
      <w:numFmt w:val="decimal"/>
      <w:lvlText w:val="%1"/>
      <w:lvlJc w:val="left"/>
      <w:pPr>
        <w:ind w:left="495" w:hanging="49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9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1" w15:restartNumberingAfterBreak="0">
    <w:nsid w:val="7E747557"/>
    <w:multiLevelType w:val="hybridMultilevel"/>
    <w:tmpl w:val="D0EED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F4A131E"/>
    <w:multiLevelType w:val="hybridMultilevel"/>
    <w:tmpl w:val="4E48B818"/>
    <w:lvl w:ilvl="0" w:tplc="13E8F268">
      <w:start w:val="2"/>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027825">
    <w:abstractNumId w:val="7"/>
  </w:num>
  <w:num w:numId="2" w16cid:durableId="2017489213">
    <w:abstractNumId w:val="56"/>
  </w:num>
  <w:num w:numId="3" w16cid:durableId="1593272465">
    <w:abstractNumId w:val="83"/>
  </w:num>
  <w:num w:numId="4" w16cid:durableId="328169588">
    <w:abstractNumId w:val="12"/>
  </w:num>
  <w:num w:numId="5" w16cid:durableId="907963895">
    <w:abstractNumId w:val="12"/>
    <w:lvlOverride w:ilvl="0">
      <w:startOverride w:val="1"/>
    </w:lvlOverride>
  </w:num>
  <w:num w:numId="6" w16cid:durableId="1517302479">
    <w:abstractNumId w:val="18"/>
  </w:num>
  <w:num w:numId="7" w16cid:durableId="537930695">
    <w:abstractNumId w:val="46"/>
  </w:num>
  <w:num w:numId="8" w16cid:durableId="44108334">
    <w:abstractNumId w:val="79"/>
  </w:num>
  <w:num w:numId="9" w16cid:durableId="259291922">
    <w:abstractNumId w:val="5"/>
  </w:num>
  <w:num w:numId="10" w16cid:durableId="2101439177">
    <w:abstractNumId w:val="4"/>
  </w:num>
  <w:num w:numId="11" w16cid:durableId="1923876742">
    <w:abstractNumId w:val="3"/>
  </w:num>
  <w:num w:numId="12" w16cid:durableId="765345830">
    <w:abstractNumId w:val="2"/>
  </w:num>
  <w:num w:numId="13" w16cid:durableId="617680944">
    <w:abstractNumId w:val="6"/>
  </w:num>
  <w:num w:numId="14" w16cid:durableId="1548419273">
    <w:abstractNumId w:val="1"/>
  </w:num>
  <w:num w:numId="15" w16cid:durableId="367609824">
    <w:abstractNumId w:val="0"/>
  </w:num>
  <w:num w:numId="16" w16cid:durableId="316424453">
    <w:abstractNumId w:val="90"/>
  </w:num>
  <w:num w:numId="17" w16cid:durableId="252278594">
    <w:abstractNumId w:val="25"/>
  </w:num>
  <w:num w:numId="18" w16cid:durableId="1775857017">
    <w:abstractNumId w:val="33"/>
  </w:num>
  <w:num w:numId="19" w16cid:durableId="646974916">
    <w:abstractNumId w:val="40"/>
  </w:num>
  <w:num w:numId="20" w16cid:durableId="839665133">
    <w:abstractNumId w:val="51"/>
  </w:num>
  <w:num w:numId="21" w16cid:durableId="1190606470">
    <w:abstractNumId w:val="19"/>
  </w:num>
  <w:num w:numId="22" w16cid:durableId="1700933558">
    <w:abstractNumId w:val="11"/>
  </w:num>
  <w:num w:numId="23" w16cid:durableId="137384638">
    <w:abstractNumId w:val="42"/>
  </w:num>
  <w:num w:numId="24" w16cid:durableId="1042442712">
    <w:abstractNumId w:val="67"/>
  </w:num>
  <w:num w:numId="25" w16cid:durableId="1373967781">
    <w:abstractNumId w:val="61"/>
  </w:num>
  <w:num w:numId="26" w16cid:durableId="2128544371">
    <w:abstractNumId w:val="59"/>
  </w:num>
  <w:num w:numId="27" w16cid:durableId="73355639">
    <w:abstractNumId w:val="91"/>
  </w:num>
  <w:num w:numId="28" w16cid:durableId="951937862">
    <w:abstractNumId w:val="86"/>
  </w:num>
  <w:num w:numId="29" w16cid:durableId="1429738446">
    <w:abstractNumId w:val="32"/>
  </w:num>
  <w:num w:numId="30" w16cid:durableId="676811333">
    <w:abstractNumId w:val="37"/>
  </w:num>
  <w:num w:numId="31" w16cid:durableId="888953689">
    <w:abstractNumId w:val="20"/>
  </w:num>
  <w:num w:numId="32" w16cid:durableId="1117680567">
    <w:abstractNumId w:val="15"/>
  </w:num>
  <w:num w:numId="33" w16cid:durableId="355549078">
    <w:abstractNumId w:val="21"/>
  </w:num>
  <w:num w:numId="34" w16cid:durableId="1452820254">
    <w:abstractNumId w:val="47"/>
  </w:num>
  <w:num w:numId="35" w16cid:durableId="932788156">
    <w:abstractNumId w:val="27"/>
  </w:num>
  <w:num w:numId="36" w16cid:durableId="1067456333">
    <w:abstractNumId w:val="68"/>
  </w:num>
  <w:num w:numId="37" w16cid:durableId="1784616628">
    <w:abstractNumId w:val="9"/>
  </w:num>
  <w:num w:numId="38" w16cid:durableId="319308529">
    <w:abstractNumId w:val="14"/>
  </w:num>
  <w:num w:numId="39" w16cid:durableId="1591233911">
    <w:abstractNumId w:val="43"/>
  </w:num>
  <w:num w:numId="40" w16cid:durableId="739985685">
    <w:abstractNumId w:val="34"/>
  </w:num>
  <w:num w:numId="41" w16cid:durableId="2067146713">
    <w:abstractNumId w:val="66"/>
  </w:num>
  <w:num w:numId="42" w16cid:durableId="1764033260">
    <w:abstractNumId w:val="10"/>
  </w:num>
  <w:num w:numId="43" w16cid:durableId="1975325426">
    <w:abstractNumId w:val="39"/>
  </w:num>
  <w:num w:numId="44" w16cid:durableId="481196261">
    <w:abstractNumId w:val="38"/>
  </w:num>
  <w:num w:numId="45" w16cid:durableId="1169058708">
    <w:abstractNumId w:val="31"/>
  </w:num>
  <w:num w:numId="46" w16cid:durableId="1776560503">
    <w:abstractNumId w:val="76"/>
  </w:num>
  <w:num w:numId="47" w16cid:durableId="1994721841">
    <w:abstractNumId w:val="85"/>
  </w:num>
  <w:num w:numId="48" w16cid:durableId="445664049">
    <w:abstractNumId w:val="75"/>
  </w:num>
  <w:num w:numId="49" w16cid:durableId="653528203">
    <w:abstractNumId w:val="82"/>
  </w:num>
  <w:num w:numId="50" w16cid:durableId="1357543363">
    <w:abstractNumId w:val="35"/>
  </w:num>
  <w:num w:numId="51" w16cid:durableId="181630309">
    <w:abstractNumId w:val="13"/>
  </w:num>
  <w:num w:numId="52" w16cid:durableId="343166977">
    <w:abstractNumId w:val="65"/>
  </w:num>
  <w:num w:numId="53" w16cid:durableId="1367676209">
    <w:abstractNumId w:val="80"/>
  </w:num>
  <w:num w:numId="54" w16cid:durableId="657075173">
    <w:abstractNumId w:val="88"/>
  </w:num>
  <w:num w:numId="55" w16cid:durableId="1739552413">
    <w:abstractNumId w:val="29"/>
  </w:num>
  <w:num w:numId="56" w16cid:durableId="1038091169">
    <w:abstractNumId w:val="73"/>
  </w:num>
  <w:num w:numId="57" w16cid:durableId="1501775276">
    <w:abstractNumId w:val="62"/>
  </w:num>
  <w:num w:numId="58" w16cid:durableId="1662851980">
    <w:abstractNumId w:val="87"/>
  </w:num>
  <w:num w:numId="59" w16cid:durableId="1323435515">
    <w:abstractNumId w:val="36"/>
  </w:num>
  <w:num w:numId="60" w16cid:durableId="375857313">
    <w:abstractNumId w:val="70"/>
  </w:num>
  <w:num w:numId="61" w16cid:durableId="688262224">
    <w:abstractNumId w:val="17"/>
  </w:num>
  <w:num w:numId="62" w16cid:durableId="1638798654">
    <w:abstractNumId w:val="22"/>
  </w:num>
  <w:num w:numId="63" w16cid:durableId="96608207">
    <w:abstractNumId w:val="92"/>
  </w:num>
  <w:num w:numId="64" w16cid:durableId="1996906712">
    <w:abstractNumId w:val="24"/>
  </w:num>
  <w:num w:numId="65" w16cid:durableId="476535232">
    <w:abstractNumId w:val="60"/>
  </w:num>
  <w:num w:numId="66" w16cid:durableId="514541719">
    <w:abstractNumId w:val="71"/>
  </w:num>
  <w:num w:numId="67" w16cid:durableId="1355695777">
    <w:abstractNumId w:val="72"/>
  </w:num>
  <w:num w:numId="68" w16cid:durableId="1188955758">
    <w:abstractNumId w:val="74"/>
  </w:num>
  <w:num w:numId="69" w16cid:durableId="1470052739">
    <w:abstractNumId w:val="28"/>
  </w:num>
  <w:num w:numId="70" w16cid:durableId="277874225">
    <w:abstractNumId w:val="77"/>
  </w:num>
  <w:num w:numId="71" w16cid:durableId="113407152">
    <w:abstractNumId w:val="55"/>
  </w:num>
  <w:num w:numId="72" w16cid:durableId="1218013976">
    <w:abstractNumId w:val="54"/>
  </w:num>
  <w:num w:numId="73" w16cid:durableId="280842750">
    <w:abstractNumId w:val="44"/>
  </w:num>
  <w:num w:numId="74" w16cid:durableId="1191142495">
    <w:abstractNumId w:val="64"/>
  </w:num>
  <w:num w:numId="75" w16cid:durableId="237177764">
    <w:abstractNumId w:val="52"/>
  </w:num>
  <w:num w:numId="76" w16cid:durableId="163937900">
    <w:abstractNumId w:val="50"/>
  </w:num>
  <w:num w:numId="77" w16cid:durableId="6102116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953731">
    <w:abstractNumId w:val="57"/>
  </w:num>
  <w:num w:numId="79" w16cid:durableId="679627229">
    <w:abstractNumId w:val="81"/>
  </w:num>
  <w:num w:numId="80" w16cid:durableId="1805925617">
    <w:abstractNumId w:val="8"/>
  </w:num>
  <w:num w:numId="81" w16cid:durableId="1758285179">
    <w:abstractNumId w:val="41"/>
  </w:num>
  <w:num w:numId="82" w16cid:durableId="1138261338">
    <w:abstractNumId w:val="16"/>
  </w:num>
  <w:num w:numId="83" w16cid:durableId="197548259">
    <w:abstractNumId w:val="84"/>
  </w:num>
  <w:num w:numId="84" w16cid:durableId="2145386844">
    <w:abstractNumId w:val="63"/>
  </w:num>
  <w:num w:numId="85" w16cid:durableId="1870950654">
    <w:abstractNumId w:val="45"/>
  </w:num>
  <w:num w:numId="86" w16cid:durableId="343899426">
    <w:abstractNumId w:val="50"/>
  </w:num>
  <w:num w:numId="87" w16cid:durableId="1120996558">
    <w:abstractNumId w:val="78"/>
  </w:num>
  <w:num w:numId="88" w16cid:durableId="285425810">
    <w:abstractNumId w:val="48"/>
  </w:num>
  <w:num w:numId="89" w16cid:durableId="970087368">
    <w:abstractNumId w:val="49"/>
  </w:num>
  <w:num w:numId="90" w16cid:durableId="1627422072">
    <w:abstractNumId w:val="53"/>
  </w:num>
  <w:num w:numId="91" w16cid:durableId="371928609">
    <w:abstractNumId w:val="30"/>
  </w:num>
  <w:num w:numId="92" w16cid:durableId="1531600276">
    <w:abstractNumId w:val="50"/>
  </w:num>
  <w:num w:numId="93" w16cid:durableId="341129638">
    <w:abstractNumId w:val="58"/>
  </w:num>
  <w:num w:numId="94" w16cid:durableId="1453203852">
    <w:abstractNumId w:val="69"/>
  </w:num>
  <w:num w:numId="95" w16cid:durableId="299963554">
    <w:abstractNumId w:val="89"/>
  </w:num>
  <w:num w:numId="96" w16cid:durableId="1285649073">
    <w:abstractNumId w:val="50"/>
  </w:num>
  <w:num w:numId="97" w16cid:durableId="1816606798">
    <w:abstractNumId w:val="26"/>
  </w:num>
  <w:num w:numId="98" w16cid:durableId="1366371690">
    <w:abstractNumId w:val="6"/>
  </w:num>
  <w:num w:numId="99" w16cid:durableId="849754999">
    <w:abstractNumId w:val="23"/>
  </w:num>
  <w:num w:numId="100" w16cid:durableId="1256597627">
    <w:abstractNumId w:val="41"/>
    <w:lvlOverride w:ilvl="0">
      <w:startOverride w:val="1"/>
    </w:lvlOverride>
  </w:num>
  <w:num w:numId="101" w16cid:durableId="74717375">
    <w:abstractNumId w:val="41"/>
    <w:lvlOverride w:ilvl="0">
      <w:startOverride w:val="1"/>
    </w:lvlOverride>
  </w:num>
  <w:num w:numId="102" w16cid:durableId="1452893968">
    <w:abstractNumId w:val="41"/>
    <w:lvlOverride w:ilvl="0">
      <w:startOverride w:val="1"/>
    </w:lvlOverride>
  </w:num>
  <w:num w:numId="103" w16cid:durableId="208998308">
    <w:abstractNumId w:val="41"/>
    <w:lvlOverride w:ilvl="0">
      <w:startOverride w:val="1"/>
    </w:lvlOverride>
  </w:num>
  <w:num w:numId="104" w16cid:durableId="714042882">
    <w:abstractNumId w:val="41"/>
    <w:lvlOverride w:ilvl="0">
      <w:startOverride w:val="1"/>
    </w:lvlOverride>
  </w:num>
  <w:num w:numId="105" w16cid:durableId="1136332760">
    <w:abstractNumId w:val="41"/>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1"/>
    <w:rsid w:val="00003743"/>
    <w:rsid w:val="000047B4"/>
    <w:rsid w:val="00005712"/>
    <w:rsid w:val="000059C9"/>
    <w:rsid w:val="000073C6"/>
    <w:rsid w:val="00007FD8"/>
    <w:rsid w:val="000117F8"/>
    <w:rsid w:val="00013B89"/>
    <w:rsid w:val="00015023"/>
    <w:rsid w:val="000164B5"/>
    <w:rsid w:val="000173A2"/>
    <w:rsid w:val="0002336C"/>
    <w:rsid w:val="00026139"/>
    <w:rsid w:val="00027071"/>
    <w:rsid w:val="00027601"/>
    <w:rsid w:val="00027DD9"/>
    <w:rsid w:val="00031751"/>
    <w:rsid w:val="00033321"/>
    <w:rsid w:val="000335D1"/>
    <w:rsid w:val="000338E5"/>
    <w:rsid w:val="00033C4A"/>
    <w:rsid w:val="00033ECC"/>
    <w:rsid w:val="0003422F"/>
    <w:rsid w:val="00040AAB"/>
    <w:rsid w:val="00044E08"/>
    <w:rsid w:val="00046FF0"/>
    <w:rsid w:val="00050176"/>
    <w:rsid w:val="0005694C"/>
    <w:rsid w:val="000616C6"/>
    <w:rsid w:val="00062B65"/>
    <w:rsid w:val="00066860"/>
    <w:rsid w:val="00066F74"/>
    <w:rsid w:val="00067456"/>
    <w:rsid w:val="0007102D"/>
    <w:rsid w:val="00071506"/>
    <w:rsid w:val="0007154F"/>
    <w:rsid w:val="0007298A"/>
    <w:rsid w:val="00076B1F"/>
    <w:rsid w:val="000806FA"/>
    <w:rsid w:val="00081AB1"/>
    <w:rsid w:val="00081FB9"/>
    <w:rsid w:val="00082B5A"/>
    <w:rsid w:val="00086196"/>
    <w:rsid w:val="00090316"/>
    <w:rsid w:val="00092A01"/>
    <w:rsid w:val="00093981"/>
    <w:rsid w:val="00093CD9"/>
    <w:rsid w:val="00097BF4"/>
    <w:rsid w:val="000A0982"/>
    <w:rsid w:val="000B067A"/>
    <w:rsid w:val="000B1540"/>
    <w:rsid w:val="000B1796"/>
    <w:rsid w:val="000B33FD"/>
    <w:rsid w:val="000B3967"/>
    <w:rsid w:val="000B4ABA"/>
    <w:rsid w:val="000B5C2B"/>
    <w:rsid w:val="000B72C1"/>
    <w:rsid w:val="000B738D"/>
    <w:rsid w:val="000C4454"/>
    <w:rsid w:val="000C4B16"/>
    <w:rsid w:val="000C50C3"/>
    <w:rsid w:val="000C59B1"/>
    <w:rsid w:val="000C5AE5"/>
    <w:rsid w:val="000C727F"/>
    <w:rsid w:val="000C7BA3"/>
    <w:rsid w:val="000D21F6"/>
    <w:rsid w:val="000D2658"/>
    <w:rsid w:val="000D42C3"/>
    <w:rsid w:val="000D4500"/>
    <w:rsid w:val="000D481A"/>
    <w:rsid w:val="000D56E4"/>
    <w:rsid w:val="000D65F3"/>
    <w:rsid w:val="000D7AEA"/>
    <w:rsid w:val="000E01A9"/>
    <w:rsid w:val="000E0A73"/>
    <w:rsid w:val="000E18E1"/>
    <w:rsid w:val="000E2C66"/>
    <w:rsid w:val="000E6E7D"/>
    <w:rsid w:val="000F061D"/>
    <w:rsid w:val="000F0A8C"/>
    <w:rsid w:val="000F0B6F"/>
    <w:rsid w:val="000F123C"/>
    <w:rsid w:val="000F2FED"/>
    <w:rsid w:val="000F7C60"/>
    <w:rsid w:val="00100F6D"/>
    <w:rsid w:val="0010323F"/>
    <w:rsid w:val="00104D6F"/>
    <w:rsid w:val="00106129"/>
    <w:rsid w:val="0010616D"/>
    <w:rsid w:val="001075D9"/>
    <w:rsid w:val="00110478"/>
    <w:rsid w:val="00112E64"/>
    <w:rsid w:val="001152FF"/>
    <w:rsid w:val="0011711B"/>
    <w:rsid w:val="00117F8A"/>
    <w:rsid w:val="001200AE"/>
    <w:rsid w:val="00121B9B"/>
    <w:rsid w:val="0012290E"/>
    <w:rsid w:val="00122ADC"/>
    <w:rsid w:val="00122C2B"/>
    <w:rsid w:val="001272E7"/>
    <w:rsid w:val="00130F59"/>
    <w:rsid w:val="00131DD2"/>
    <w:rsid w:val="001337C1"/>
    <w:rsid w:val="00133EC0"/>
    <w:rsid w:val="0013599D"/>
    <w:rsid w:val="00140160"/>
    <w:rsid w:val="00140ECE"/>
    <w:rsid w:val="00141CE5"/>
    <w:rsid w:val="001423FD"/>
    <w:rsid w:val="0014437C"/>
    <w:rsid w:val="00144908"/>
    <w:rsid w:val="0014794A"/>
    <w:rsid w:val="00147A1C"/>
    <w:rsid w:val="00147AB7"/>
    <w:rsid w:val="00151F2D"/>
    <w:rsid w:val="00152FD0"/>
    <w:rsid w:val="00153D00"/>
    <w:rsid w:val="001555A5"/>
    <w:rsid w:val="0015562C"/>
    <w:rsid w:val="001571C7"/>
    <w:rsid w:val="00157D3D"/>
    <w:rsid w:val="00160E9E"/>
    <w:rsid w:val="00161094"/>
    <w:rsid w:val="00162527"/>
    <w:rsid w:val="00164447"/>
    <w:rsid w:val="00164849"/>
    <w:rsid w:val="001659E9"/>
    <w:rsid w:val="00165F38"/>
    <w:rsid w:val="001665B3"/>
    <w:rsid w:val="0017289F"/>
    <w:rsid w:val="00172A55"/>
    <w:rsid w:val="001746E1"/>
    <w:rsid w:val="00174E81"/>
    <w:rsid w:val="001758CD"/>
    <w:rsid w:val="0017665C"/>
    <w:rsid w:val="00177AD2"/>
    <w:rsid w:val="001800B7"/>
    <w:rsid w:val="00180437"/>
    <w:rsid w:val="001815A8"/>
    <w:rsid w:val="001830CE"/>
    <w:rsid w:val="001840FA"/>
    <w:rsid w:val="001847F0"/>
    <w:rsid w:val="00190079"/>
    <w:rsid w:val="0019120E"/>
    <w:rsid w:val="001913A5"/>
    <w:rsid w:val="00191CB3"/>
    <w:rsid w:val="001920F3"/>
    <w:rsid w:val="0019240E"/>
    <w:rsid w:val="00192FB1"/>
    <w:rsid w:val="001952E6"/>
    <w:rsid w:val="00195BB4"/>
    <w:rsid w:val="00195C6A"/>
    <w:rsid w:val="0019622E"/>
    <w:rsid w:val="001966A7"/>
    <w:rsid w:val="001A4627"/>
    <w:rsid w:val="001A4979"/>
    <w:rsid w:val="001A618F"/>
    <w:rsid w:val="001A7725"/>
    <w:rsid w:val="001A7861"/>
    <w:rsid w:val="001B15D3"/>
    <w:rsid w:val="001B1E10"/>
    <w:rsid w:val="001B2A7F"/>
    <w:rsid w:val="001B3443"/>
    <w:rsid w:val="001B4989"/>
    <w:rsid w:val="001B5049"/>
    <w:rsid w:val="001B77C9"/>
    <w:rsid w:val="001B7846"/>
    <w:rsid w:val="001C0326"/>
    <w:rsid w:val="001C087D"/>
    <w:rsid w:val="001C192F"/>
    <w:rsid w:val="001C3C42"/>
    <w:rsid w:val="001C4632"/>
    <w:rsid w:val="001D1048"/>
    <w:rsid w:val="001D279F"/>
    <w:rsid w:val="001D7869"/>
    <w:rsid w:val="001E016F"/>
    <w:rsid w:val="001F27E5"/>
    <w:rsid w:val="001F2F78"/>
    <w:rsid w:val="001F4E18"/>
    <w:rsid w:val="001F4FB4"/>
    <w:rsid w:val="001F7E68"/>
    <w:rsid w:val="001F7EAE"/>
    <w:rsid w:val="00200AB2"/>
    <w:rsid w:val="002026CD"/>
    <w:rsid w:val="002033FC"/>
    <w:rsid w:val="002044BB"/>
    <w:rsid w:val="00204583"/>
    <w:rsid w:val="00205A93"/>
    <w:rsid w:val="00206846"/>
    <w:rsid w:val="00207793"/>
    <w:rsid w:val="002109A3"/>
    <w:rsid w:val="00210B09"/>
    <w:rsid w:val="00210C9E"/>
    <w:rsid w:val="00211840"/>
    <w:rsid w:val="00213948"/>
    <w:rsid w:val="00214C58"/>
    <w:rsid w:val="00220E5F"/>
    <w:rsid w:val="002212B5"/>
    <w:rsid w:val="002231B1"/>
    <w:rsid w:val="00223E00"/>
    <w:rsid w:val="00225D96"/>
    <w:rsid w:val="00226668"/>
    <w:rsid w:val="00233809"/>
    <w:rsid w:val="00233D38"/>
    <w:rsid w:val="002345F2"/>
    <w:rsid w:val="00235971"/>
    <w:rsid w:val="00236073"/>
    <w:rsid w:val="002366BA"/>
    <w:rsid w:val="00236A31"/>
    <w:rsid w:val="00240046"/>
    <w:rsid w:val="00243AC8"/>
    <w:rsid w:val="00243CF7"/>
    <w:rsid w:val="0024685F"/>
    <w:rsid w:val="0024797F"/>
    <w:rsid w:val="0025119E"/>
    <w:rsid w:val="00251269"/>
    <w:rsid w:val="00252D67"/>
    <w:rsid w:val="002535C0"/>
    <w:rsid w:val="00255B65"/>
    <w:rsid w:val="002579FE"/>
    <w:rsid w:val="00262A3C"/>
    <w:rsid w:val="0026311C"/>
    <w:rsid w:val="00263C32"/>
    <w:rsid w:val="0026668C"/>
    <w:rsid w:val="00266AC1"/>
    <w:rsid w:val="002707CB"/>
    <w:rsid w:val="00271178"/>
    <w:rsid w:val="002711EA"/>
    <w:rsid w:val="0027178C"/>
    <w:rsid w:val="002719FA"/>
    <w:rsid w:val="00272668"/>
    <w:rsid w:val="002727AC"/>
    <w:rsid w:val="0027330B"/>
    <w:rsid w:val="00275AA2"/>
    <w:rsid w:val="002803AD"/>
    <w:rsid w:val="00280961"/>
    <w:rsid w:val="0028142F"/>
    <w:rsid w:val="00282052"/>
    <w:rsid w:val="0028519E"/>
    <w:rsid w:val="002856A5"/>
    <w:rsid w:val="002872ED"/>
    <w:rsid w:val="00287932"/>
    <w:rsid w:val="002905C2"/>
    <w:rsid w:val="002917CE"/>
    <w:rsid w:val="00295AF2"/>
    <w:rsid w:val="00295C91"/>
    <w:rsid w:val="00296A74"/>
    <w:rsid w:val="00297151"/>
    <w:rsid w:val="002A0F79"/>
    <w:rsid w:val="002A2226"/>
    <w:rsid w:val="002A6ED4"/>
    <w:rsid w:val="002B0724"/>
    <w:rsid w:val="002B0903"/>
    <w:rsid w:val="002B20E6"/>
    <w:rsid w:val="002B31B1"/>
    <w:rsid w:val="002B42A3"/>
    <w:rsid w:val="002C0CDD"/>
    <w:rsid w:val="002C14EF"/>
    <w:rsid w:val="002C2053"/>
    <w:rsid w:val="002C38FA"/>
    <w:rsid w:val="002C3DEE"/>
    <w:rsid w:val="002C3F86"/>
    <w:rsid w:val="002D1ACF"/>
    <w:rsid w:val="002D4559"/>
    <w:rsid w:val="002D609B"/>
    <w:rsid w:val="002D6554"/>
    <w:rsid w:val="002D6B7F"/>
    <w:rsid w:val="002E1A1D"/>
    <w:rsid w:val="002E4081"/>
    <w:rsid w:val="002E5B78"/>
    <w:rsid w:val="002E64A8"/>
    <w:rsid w:val="002F024A"/>
    <w:rsid w:val="002F0457"/>
    <w:rsid w:val="002F38A3"/>
    <w:rsid w:val="002F38C1"/>
    <w:rsid w:val="002F3AE3"/>
    <w:rsid w:val="00301BFD"/>
    <w:rsid w:val="00301D2C"/>
    <w:rsid w:val="003039C1"/>
    <w:rsid w:val="0030464B"/>
    <w:rsid w:val="00306A49"/>
    <w:rsid w:val="00306DA6"/>
    <w:rsid w:val="0030786C"/>
    <w:rsid w:val="0031445B"/>
    <w:rsid w:val="00315070"/>
    <w:rsid w:val="00317432"/>
    <w:rsid w:val="0032237E"/>
    <w:rsid w:val="003233DE"/>
    <w:rsid w:val="0032466B"/>
    <w:rsid w:val="00324861"/>
    <w:rsid w:val="00327B44"/>
    <w:rsid w:val="00331A57"/>
    <w:rsid w:val="00332D66"/>
    <w:rsid w:val="003330EB"/>
    <w:rsid w:val="00333C0B"/>
    <w:rsid w:val="0033558D"/>
    <w:rsid w:val="00336605"/>
    <w:rsid w:val="00336ED3"/>
    <w:rsid w:val="003411FF"/>
    <w:rsid w:val="003415FD"/>
    <w:rsid w:val="003429F0"/>
    <w:rsid w:val="00346C4A"/>
    <w:rsid w:val="0035097A"/>
    <w:rsid w:val="003540A4"/>
    <w:rsid w:val="00355B09"/>
    <w:rsid w:val="00357C66"/>
    <w:rsid w:val="00360E4E"/>
    <w:rsid w:val="0036137E"/>
    <w:rsid w:val="00363E60"/>
    <w:rsid w:val="00366C90"/>
    <w:rsid w:val="00370AAA"/>
    <w:rsid w:val="00375F77"/>
    <w:rsid w:val="00376764"/>
    <w:rsid w:val="0037701D"/>
    <w:rsid w:val="00377A78"/>
    <w:rsid w:val="00380D2E"/>
    <w:rsid w:val="00381BBE"/>
    <w:rsid w:val="00381C73"/>
    <w:rsid w:val="00382903"/>
    <w:rsid w:val="00382CBA"/>
    <w:rsid w:val="003846FF"/>
    <w:rsid w:val="00384EE0"/>
    <w:rsid w:val="00385AD4"/>
    <w:rsid w:val="00387924"/>
    <w:rsid w:val="00387DB7"/>
    <w:rsid w:val="0039384D"/>
    <w:rsid w:val="00394ADC"/>
    <w:rsid w:val="00395C23"/>
    <w:rsid w:val="00396417"/>
    <w:rsid w:val="00396C0E"/>
    <w:rsid w:val="00396F5A"/>
    <w:rsid w:val="003A0CB4"/>
    <w:rsid w:val="003A1185"/>
    <w:rsid w:val="003A2E4F"/>
    <w:rsid w:val="003A33CB"/>
    <w:rsid w:val="003A39FD"/>
    <w:rsid w:val="003A4438"/>
    <w:rsid w:val="003A5013"/>
    <w:rsid w:val="003A5078"/>
    <w:rsid w:val="003A62DD"/>
    <w:rsid w:val="003A775A"/>
    <w:rsid w:val="003A7DE6"/>
    <w:rsid w:val="003B0DAB"/>
    <w:rsid w:val="003B1D80"/>
    <w:rsid w:val="003B213A"/>
    <w:rsid w:val="003B2ED4"/>
    <w:rsid w:val="003B329D"/>
    <w:rsid w:val="003B43AD"/>
    <w:rsid w:val="003C0FEC"/>
    <w:rsid w:val="003C15B8"/>
    <w:rsid w:val="003C2AC8"/>
    <w:rsid w:val="003C37D1"/>
    <w:rsid w:val="003C5C0E"/>
    <w:rsid w:val="003C6F0B"/>
    <w:rsid w:val="003D1162"/>
    <w:rsid w:val="003D17F9"/>
    <w:rsid w:val="003D22C0"/>
    <w:rsid w:val="003D2D88"/>
    <w:rsid w:val="003D41EA"/>
    <w:rsid w:val="003D4850"/>
    <w:rsid w:val="003D4EC2"/>
    <w:rsid w:val="003D535A"/>
    <w:rsid w:val="003D7282"/>
    <w:rsid w:val="003E0544"/>
    <w:rsid w:val="003E10B8"/>
    <w:rsid w:val="003E10BC"/>
    <w:rsid w:val="003E504E"/>
    <w:rsid w:val="003E5265"/>
    <w:rsid w:val="003E6502"/>
    <w:rsid w:val="003F087F"/>
    <w:rsid w:val="003F0955"/>
    <w:rsid w:val="003F36A2"/>
    <w:rsid w:val="003F4BA6"/>
    <w:rsid w:val="003F5008"/>
    <w:rsid w:val="003F5C6F"/>
    <w:rsid w:val="003F6FE1"/>
    <w:rsid w:val="003F7AC2"/>
    <w:rsid w:val="003F7D44"/>
    <w:rsid w:val="003F7EDC"/>
    <w:rsid w:val="00400593"/>
    <w:rsid w:val="00400F00"/>
    <w:rsid w:val="00402095"/>
    <w:rsid w:val="004026E9"/>
    <w:rsid w:val="00402AC7"/>
    <w:rsid w:val="00404F8B"/>
    <w:rsid w:val="00405256"/>
    <w:rsid w:val="00410031"/>
    <w:rsid w:val="0041011E"/>
    <w:rsid w:val="004115A2"/>
    <w:rsid w:val="00415C81"/>
    <w:rsid w:val="00416731"/>
    <w:rsid w:val="0042708B"/>
    <w:rsid w:val="00432378"/>
    <w:rsid w:val="00435713"/>
    <w:rsid w:val="00440D65"/>
    <w:rsid w:val="00442ED2"/>
    <w:rsid w:val="004435E6"/>
    <w:rsid w:val="004457A1"/>
    <w:rsid w:val="004460AE"/>
    <w:rsid w:val="004469F0"/>
    <w:rsid w:val="004470BA"/>
    <w:rsid w:val="00447E31"/>
    <w:rsid w:val="00453923"/>
    <w:rsid w:val="00454B9B"/>
    <w:rsid w:val="004561E1"/>
    <w:rsid w:val="00457858"/>
    <w:rsid w:val="00460B0B"/>
    <w:rsid w:val="00461023"/>
    <w:rsid w:val="00462FAC"/>
    <w:rsid w:val="00464631"/>
    <w:rsid w:val="00464786"/>
    <w:rsid w:val="00464B79"/>
    <w:rsid w:val="00467BBF"/>
    <w:rsid w:val="00472834"/>
    <w:rsid w:val="00476F75"/>
    <w:rsid w:val="0048027C"/>
    <w:rsid w:val="00480A68"/>
    <w:rsid w:val="0048144D"/>
    <w:rsid w:val="00483438"/>
    <w:rsid w:val="00483AD1"/>
    <w:rsid w:val="00485F4A"/>
    <w:rsid w:val="004867E2"/>
    <w:rsid w:val="00486BBE"/>
    <w:rsid w:val="004908E0"/>
    <w:rsid w:val="00492511"/>
    <w:rsid w:val="00492831"/>
    <w:rsid w:val="004929A9"/>
    <w:rsid w:val="00493430"/>
    <w:rsid w:val="00493BE8"/>
    <w:rsid w:val="00496EA0"/>
    <w:rsid w:val="004A5470"/>
    <w:rsid w:val="004A6247"/>
    <w:rsid w:val="004A67F6"/>
    <w:rsid w:val="004B10C9"/>
    <w:rsid w:val="004B3843"/>
    <w:rsid w:val="004B744B"/>
    <w:rsid w:val="004B7627"/>
    <w:rsid w:val="004C2FEC"/>
    <w:rsid w:val="004C33AE"/>
    <w:rsid w:val="004C33DA"/>
    <w:rsid w:val="004C4620"/>
    <w:rsid w:val="004C6BCF"/>
    <w:rsid w:val="004D1339"/>
    <w:rsid w:val="004D163F"/>
    <w:rsid w:val="004D58BF"/>
    <w:rsid w:val="004D6417"/>
    <w:rsid w:val="004E0A0A"/>
    <w:rsid w:val="004E2DF9"/>
    <w:rsid w:val="004E3AC2"/>
    <w:rsid w:val="004E4335"/>
    <w:rsid w:val="004E5ACF"/>
    <w:rsid w:val="004E763A"/>
    <w:rsid w:val="004F098C"/>
    <w:rsid w:val="004F13EE"/>
    <w:rsid w:val="004F2022"/>
    <w:rsid w:val="004F2C11"/>
    <w:rsid w:val="004F3781"/>
    <w:rsid w:val="004F4321"/>
    <w:rsid w:val="004F4C23"/>
    <w:rsid w:val="004F5717"/>
    <w:rsid w:val="004F62D8"/>
    <w:rsid w:val="004F6659"/>
    <w:rsid w:val="004F7C05"/>
    <w:rsid w:val="00501C94"/>
    <w:rsid w:val="0050460D"/>
    <w:rsid w:val="00504E01"/>
    <w:rsid w:val="00505977"/>
    <w:rsid w:val="00506174"/>
    <w:rsid w:val="00506432"/>
    <w:rsid w:val="00506607"/>
    <w:rsid w:val="00510E8F"/>
    <w:rsid w:val="00511E18"/>
    <w:rsid w:val="0051242B"/>
    <w:rsid w:val="00513C2E"/>
    <w:rsid w:val="00517394"/>
    <w:rsid w:val="0052051D"/>
    <w:rsid w:val="00520C67"/>
    <w:rsid w:val="00522FC4"/>
    <w:rsid w:val="0052748F"/>
    <w:rsid w:val="00530E7C"/>
    <w:rsid w:val="00533520"/>
    <w:rsid w:val="00533B2F"/>
    <w:rsid w:val="00534F24"/>
    <w:rsid w:val="00536203"/>
    <w:rsid w:val="00540B2F"/>
    <w:rsid w:val="005433BC"/>
    <w:rsid w:val="00545EE6"/>
    <w:rsid w:val="00546E74"/>
    <w:rsid w:val="00547638"/>
    <w:rsid w:val="00547784"/>
    <w:rsid w:val="00547EB6"/>
    <w:rsid w:val="00553DB8"/>
    <w:rsid w:val="005550E7"/>
    <w:rsid w:val="00555483"/>
    <w:rsid w:val="005563C8"/>
    <w:rsid w:val="005564FB"/>
    <w:rsid w:val="005572C7"/>
    <w:rsid w:val="00557D5A"/>
    <w:rsid w:val="00561C9A"/>
    <w:rsid w:val="0056486D"/>
    <w:rsid w:val="005650ED"/>
    <w:rsid w:val="00566B18"/>
    <w:rsid w:val="0056722A"/>
    <w:rsid w:val="00575754"/>
    <w:rsid w:val="005767B5"/>
    <w:rsid w:val="00576D9B"/>
    <w:rsid w:val="0058382A"/>
    <w:rsid w:val="00585630"/>
    <w:rsid w:val="00585E8C"/>
    <w:rsid w:val="00591243"/>
    <w:rsid w:val="00591E20"/>
    <w:rsid w:val="00591FE8"/>
    <w:rsid w:val="0059438C"/>
    <w:rsid w:val="00595408"/>
    <w:rsid w:val="00595E84"/>
    <w:rsid w:val="00596BCE"/>
    <w:rsid w:val="005A0C59"/>
    <w:rsid w:val="005A1CD4"/>
    <w:rsid w:val="005A1D24"/>
    <w:rsid w:val="005A45D4"/>
    <w:rsid w:val="005A48EB"/>
    <w:rsid w:val="005A6CFB"/>
    <w:rsid w:val="005A7191"/>
    <w:rsid w:val="005B2BB8"/>
    <w:rsid w:val="005B6920"/>
    <w:rsid w:val="005C03B3"/>
    <w:rsid w:val="005C22DA"/>
    <w:rsid w:val="005C591F"/>
    <w:rsid w:val="005C5AEB"/>
    <w:rsid w:val="005D05E5"/>
    <w:rsid w:val="005D1367"/>
    <w:rsid w:val="005D35C3"/>
    <w:rsid w:val="005D6598"/>
    <w:rsid w:val="005D7372"/>
    <w:rsid w:val="005E0A3F"/>
    <w:rsid w:val="005E6883"/>
    <w:rsid w:val="005E772F"/>
    <w:rsid w:val="005F0305"/>
    <w:rsid w:val="005F34F7"/>
    <w:rsid w:val="005F4ECA"/>
    <w:rsid w:val="005F7E85"/>
    <w:rsid w:val="00603760"/>
    <w:rsid w:val="006041BE"/>
    <w:rsid w:val="006043C7"/>
    <w:rsid w:val="0060795F"/>
    <w:rsid w:val="00607E0F"/>
    <w:rsid w:val="0061225E"/>
    <w:rsid w:val="006132B8"/>
    <w:rsid w:val="00613E86"/>
    <w:rsid w:val="00616A47"/>
    <w:rsid w:val="00617526"/>
    <w:rsid w:val="0062125F"/>
    <w:rsid w:val="00624B52"/>
    <w:rsid w:val="00627884"/>
    <w:rsid w:val="006302CA"/>
    <w:rsid w:val="00630B8E"/>
    <w:rsid w:val="00630F74"/>
    <w:rsid w:val="00631DF4"/>
    <w:rsid w:val="00634175"/>
    <w:rsid w:val="00634BCE"/>
    <w:rsid w:val="00636B7F"/>
    <w:rsid w:val="00636C6F"/>
    <w:rsid w:val="00637A59"/>
    <w:rsid w:val="006408AC"/>
    <w:rsid w:val="006423C3"/>
    <w:rsid w:val="006511B6"/>
    <w:rsid w:val="00651AAF"/>
    <w:rsid w:val="0065271F"/>
    <w:rsid w:val="00652742"/>
    <w:rsid w:val="006527D2"/>
    <w:rsid w:val="00654ED1"/>
    <w:rsid w:val="006563FD"/>
    <w:rsid w:val="00657FF8"/>
    <w:rsid w:val="00663DDF"/>
    <w:rsid w:val="00666C84"/>
    <w:rsid w:val="00670327"/>
    <w:rsid w:val="00670A59"/>
    <w:rsid w:val="00670D99"/>
    <w:rsid w:val="00670E2B"/>
    <w:rsid w:val="006734BB"/>
    <w:rsid w:val="006739D9"/>
    <w:rsid w:val="00673C35"/>
    <w:rsid w:val="006748E8"/>
    <w:rsid w:val="00681A34"/>
    <w:rsid w:val="00681E31"/>
    <w:rsid w:val="006821EB"/>
    <w:rsid w:val="006859C6"/>
    <w:rsid w:val="0068603F"/>
    <w:rsid w:val="00695757"/>
    <w:rsid w:val="00695B42"/>
    <w:rsid w:val="00696074"/>
    <w:rsid w:val="006A3B3B"/>
    <w:rsid w:val="006A50B4"/>
    <w:rsid w:val="006A6312"/>
    <w:rsid w:val="006A67C3"/>
    <w:rsid w:val="006B2286"/>
    <w:rsid w:val="006B3EEA"/>
    <w:rsid w:val="006B56BB"/>
    <w:rsid w:val="006C027C"/>
    <w:rsid w:val="006C05F0"/>
    <w:rsid w:val="006C0BD9"/>
    <w:rsid w:val="006C1A1B"/>
    <w:rsid w:val="006C1EBF"/>
    <w:rsid w:val="006C6BFF"/>
    <w:rsid w:val="006C77A8"/>
    <w:rsid w:val="006C7BD4"/>
    <w:rsid w:val="006D18C1"/>
    <w:rsid w:val="006D3999"/>
    <w:rsid w:val="006D4098"/>
    <w:rsid w:val="006D4CF8"/>
    <w:rsid w:val="006D7681"/>
    <w:rsid w:val="006D769E"/>
    <w:rsid w:val="006D7B2E"/>
    <w:rsid w:val="006E02EA"/>
    <w:rsid w:val="006E08E6"/>
    <w:rsid w:val="006E0968"/>
    <w:rsid w:val="006E12A6"/>
    <w:rsid w:val="006E210F"/>
    <w:rsid w:val="006E2AF6"/>
    <w:rsid w:val="006E4E6E"/>
    <w:rsid w:val="006E4F49"/>
    <w:rsid w:val="006E558A"/>
    <w:rsid w:val="006E6964"/>
    <w:rsid w:val="006E703E"/>
    <w:rsid w:val="006E74E0"/>
    <w:rsid w:val="006F0FB0"/>
    <w:rsid w:val="006F14A3"/>
    <w:rsid w:val="006F67EA"/>
    <w:rsid w:val="00701275"/>
    <w:rsid w:val="00703385"/>
    <w:rsid w:val="00704ACF"/>
    <w:rsid w:val="00705DDB"/>
    <w:rsid w:val="00707AA6"/>
    <w:rsid w:val="00707F56"/>
    <w:rsid w:val="00713558"/>
    <w:rsid w:val="00716355"/>
    <w:rsid w:val="007165C7"/>
    <w:rsid w:val="00720772"/>
    <w:rsid w:val="00720D08"/>
    <w:rsid w:val="00724F35"/>
    <w:rsid w:val="00725DEF"/>
    <w:rsid w:val="00725F63"/>
    <w:rsid w:val="007263B9"/>
    <w:rsid w:val="007267E3"/>
    <w:rsid w:val="00727C9D"/>
    <w:rsid w:val="007334F8"/>
    <w:rsid w:val="007339CD"/>
    <w:rsid w:val="007359D8"/>
    <w:rsid w:val="007362D4"/>
    <w:rsid w:val="0074150C"/>
    <w:rsid w:val="0074543F"/>
    <w:rsid w:val="00747C43"/>
    <w:rsid w:val="00751A23"/>
    <w:rsid w:val="0075715E"/>
    <w:rsid w:val="0076411D"/>
    <w:rsid w:val="007666C8"/>
    <w:rsid w:val="0076672A"/>
    <w:rsid w:val="0077059F"/>
    <w:rsid w:val="007710AD"/>
    <w:rsid w:val="00775772"/>
    <w:rsid w:val="007757BF"/>
    <w:rsid w:val="00775E45"/>
    <w:rsid w:val="00776388"/>
    <w:rsid w:val="00776C8D"/>
    <w:rsid w:val="00776E01"/>
    <w:rsid w:val="00776E74"/>
    <w:rsid w:val="00780EF8"/>
    <w:rsid w:val="00781E0D"/>
    <w:rsid w:val="00785169"/>
    <w:rsid w:val="007866F1"/>
    <w:rsid w:val="00791A20"/>
    <w:rsid w:val="007954AB"/>
    <w:rsid w:val="007966B6"/>
    <w:rsid w:val="007A14C5"/>
    <w:rsid w:val="007A3E38"/>
    <w:rsid w:val="007A48DE"/>
    <w:rsid w:val="007A4A10"/>
    <w:rsid w:val="007A6162"/>
    <w:rsid w:val="007B0F66"/>
    <w:rsid w:val="007B1760"/>
    <w:rsid w:val="007B4E65"/>
    <w:rsid w:val="007C32D0"/>
    <w:rsid w:val="007C4F47"/>
    <w:rsid w:val="007C5910"/>
    <w:rsid w:val="007C5C97"/>
    <w:rsid w:val="007C6077"/>
    <w:rsid w:val="007C6D9C"/>
    <w:rsid w:val="007C75DF"/>
    <w:rsid w:val="007C7DDB"/>
    <w:rsid w:val="007D00C2"/>
    <w:rsid w:val="007D2CC7"/>
    <w:rsid w:val="007D673D"/>
    <w:rsid w:val="007D6F92"/>
    <w:rsid w:val="007E3055"/>
    <w:rsid w:val="007E494F"/>
    <w:rsid w:val="007E4F33"/>
    <w:rsid w:val="007E6D4C"/>
    <w:rsid w:val="007F2220"/>
    <w:rsid w:val="007F4B3E"/>
    <w:rsid w:val="007F588A"/>
    <w:rsid w:val="007F77B2"/>
    <w:rsid w:val="00801CF4"/>
    <w:rsid w:val="00802AAB"/>
    <w:rsid w:val="008033EF"/>
    <w:rsid w:val="0080721A"/>
    <w:rsid w:val="00810205"/>
    <w:rsid w:val="008106DE"/>
    <w:rsid w:val="00811ABA"/>
    <w:rsid w:val="008127AF"/>
    <w:rsid w:val="00812B46"/>
    <w:rsid w:val="00815700"/>
    <w:rsid w:val="00817B70"/>
    <w:rsid w:val="00820CA5"/>
    <w:rsid w:val="008264EB"/>
    <w:rsid w:val="008267C7"/>
    <w:rsid w:val="008269D9"/>
    <w:rsid w:val="00826B8F"/>
    <w:rsid w:val="008303A9"/>
    <w:rsid w:val="00831E8A"/>
    <w:rsid w:val="00834EBF"/>
    <w:rsid w:val="00835C76"/>
    <w:rsid w:val="00841111"/>
    <w:rsid w:val="00842BC3"/>
    <w:rsid w:val="00843049"/>
    <w:rsid w:val="00847873"/>
    <w:rsid w:val="00847E84"/>
    <w:rsid w:val="0085090D"/>
    <w:rsid w:val="00851EB2"/>
    <w:rsid w:val="0085209B"/>
    <w:rsid w:val="00854F9A"/>
    <w:rsid w:val="00856B66"/>
    <w:rsid w:val="00861A5F"/>
    <w:rsid w:val="00862201"/>
    <w:rsid w:val="0086361D"/>
    <w:rsid w:val="008644AD"/>
    <w:rsid w:val="00865735"/>
    <w:rsid w:val="00865DDB"/>
    <w:rsid w:val="008666CA"/>
    <w:rsid w:val="0086723A"/>
    <w:rsid w:val="00867538"/>
    <w:rsid w:val="00873D90"/>
    <w:rsid w:val="00873FC8"/>
    <w:rsid w:val="00874CEB"/>
    <w:rsid w:val="00876927"/>
    <w:rsid w:val="00884C63"/>
    <w:rsid w:val="0088550D"/>
    <w:rsid w:val="00885908"/>
    <w:rsid w:val="008859D5"/>
    <w:rsid w:val="008864B7"/>
    <w:rsid w:val="008900B8"/>
    <w:rsid w:val="00890D07"/>
    <w:rsid w:val="0089172B"/>
    <w:rsid w:val="008924E6"/>
    <w:rsid w:val="008946AC"/>
    <w:rsid w:val="00894C1C"/>
    <w:rsid w:val="0089677E"/>
    <w:rsid w:val="00896E8C"/>
    <w:rsid w:val="008974CB"/>
    <w:rsid w:val="008A6E9E"/>
    <w:rsid w:val="008A7438"/>
    <w:rsid w:val="008B0304"/>
    <w:rsid w:val="008B1334"/>
    <w:rsid w:val="008C0278"/>
    <w:rsid w:val="008C24E9"/>
    <w:rsid w:val="008C2911"/>
    <w:rsid w:val="008C4674"/>
    <w:rsid w:val="008C4A46"/>
    <w:rsid w:val="008C6B72"/>
    <w:rsid w:val="008C72CA"/>
    <w:rsid w:val="008D0533"/>
    <w:rsid w:val="008D1ACC"/>
    <w:rsid w:val="008D3077"/>
    <w:rsid w:val="008D3725"/>
    <w:rsid w:val="008D42CB"/>
    <w:rsid w:val="008D48C9"/>
    <w:rsid w:val="008D5B79"/>
    <w:rsid w:val="008D6381"/>
    <w:rsid w:val="008D7C95"/>
    <w:rsid w:val="008E0C77"/>
    <w:rsid w:val="008E3370"/>
    <w:rsid w:val="008E3F95"/>
    <w:rsid w:val="008E4F87"/>
    <w:rsid w:val="008E625F"/>
    <w:rsid w:val="008E687C"/>
    <w:rsid w:val="008F11D0"/>
    <w:rsid w:val="008F1783"/>
    <w:rsid w:val="008F264D"/>
    <w:rsid w:val="008F48D3"/>
    <w:rsid w:val="008F5451"/>
    <w:rsid w:val="008F6B23"/>
    <w:rsid w:val="00900F01"/>
    <w:rsid w:val="0090237B"/>
    <w:rsid w:val="009074E1"/>
    <w:rsid w:val="00907C68"/>
    <w:rsid w:val="009112F7"/>
    <w:rsid w:val="009122AF"/>
    <w:rsid w:val="009127BC"/>
    <w:rsid w:val="00912D54"/>
    <w:rsid w:val="0091389F"/>
    <w:rsid w:val="00913F57"/>
    <w:rsid w:val="0091552B"/>
    <w:rsid w:val="0091645E"/>
    <w:rsid w:val="00916522"/>
    <w:rsid w:val="00916B75"/>
    <w:rsid w:val="009208F7"/>
    <w:rsid w:val="009217FB"/>
    <w:rsid w:val="00922517"/>
    <w:rsid w:val="00922722"/>
    <w:rsid w:val="00922DD3"/>
    <w:rsid w:val="009261E6"/>
    <w:rsid w:val="009268E1"/>
    <w:rsid w:val="00931DE6"/>
    <w:rsid w:val="009344A9"/>
    <w:rsid w:val="00937D7A"/>
    <w:rsid w:val="00941EC8"/>
    <w:rsid w:val="00942081"/>
    <w:rsid w:val="00943605"/>
    <w:rsid w:val="00944271"/>
    <w:rsid w:val="00945574"/>
    <w:rsid w:val="00945E7F"/>
    <w:rsid w:val="00946639"/>
    <w:rsid w:val="009470E4"/>
    <w:rsid w:val="00953DF7"/>
    <w:rsid w:val="00954B80"/>
    <w:rsid w:val="009557C1"/>
    <w:rsid w:val="00960300"/>
    <w:rsid w:val="00960D6E"/>
    <w:rsid w:val="009639E7"/>
    <w:rsid w:val="00966891"/>
    <w:rsid w:val="00967148"/>
    <w:rsid w:val="0097033E"/>
    <w:rsid w:val="00970347"/>
    <w:rsid w:val="00972BC1"/>
    <w:rsid w:val="00974B59"/>
    <w:rsid w:val="00974EA0"/>
    <w:rsid w:val="00976837"/>
    <w:rsid w:val="00977CF8"/>
    <w:rsid w:val="0098340B"/>
    <w:rsid w:val="0098372F"/>
    <w:rsid w:val="0098406B"/>
    <w:rsid w:val="00985061"/>
    <w:rsid w:val="00986830"/>
    <w:rsid w:val="00987CEA"/>
    <w:rsid w:val="00990643"/>
    <w:rsid w:val="009915F9"/>
    <w:rsid w:val="009924C3"/>
    <w:rsid w:val="00992B04"/>
    <w:rsid w:val="00993102"/>
    <w:rsid w:val="00995DFF"/>
    <w:rsid w:val="009A2880"/>
    <w:rsid w:val="009A3A80"/>
    <w:rsid w:val="009A3E80"/>
    <w:rsid w:val="009A5FA7"/>
    <w:rsid w:val="009A6C53"/>
    <w:rsid w:val="009B0D99"/>
    <w:rsid w:val="009B1266"/>
    <w:rsid w:val="009B1607"/>
    <w:rsid w:val="009B162F"/>
    <w:rsid w:val="009B28CB"/>
    <w:rsid w:val="009B7AAF"/>
    <w:rsid w:val="009C0356"/>
    <w:rsid w:val="009C0CA2"/>
    <w:rsid w:val="009C2063"/>
    <w:rsid w:val="009C4A39"/>
    <w:rsid w:val="009C5D95"/>
    <w:rsid w:val="009C6F10"/>
    <w:rsid w:val="009C7BAA"/>
    <w:rsid w:val="009D012E"/>
    <w:rsid w:val="009D148F"/>
    <w:rsid w:val="009D3D70"/>
    <w:rsid w:val="009D4BCE"/>
    <w:rsid w:val="009D605C"/>
    <w:rsid w:val="009D7477"/>
    <w:rsid w:val="009E10D4"/>
    <w:rsid w:val="009E1810"/>
    <w:rsid w:val="009E2B0B"/>
    <w:rsid w:val="009E3002"/>
    <w:rsid w:val="009E37B4"/>
    <w:rsid w:val="009E3E20"/>
    <w:rsid w:val="009E6E9B"/>
    <w:rsid w:val="009E6F7E"/>
    <w:rsid w:val="009E7A57"/>
    <w:rsid w:val="009F11AF"/>
    <w:rsid w:val="009F4F6A"/>
    <w:rsid w:val="009F6599"/>
    <w:rsid w:val="009F6FB6"/>
    <w:rsid w:val="00A01E34"/>
    <w:rsid w:val="00A02AB6"/>
    <w:rsid w:val="00A04084"/>
    <w:rsid w:val="00A07045"/>
    <w:rsid w:val="00A11BBF"/>
    <w:rsid w:val="00A12223"/>
    <w:rsid w:val="00A13D17"/>
    <w:rsid w:val="00A15174"/>
    <w:rsid w:val="00A16A64"/>
    <w:rsid w:val="00A16E36"/>
    <w:rsid w:val="00A20603"/>
    <w:rsid w:val="00A24961"/>
    <w:rsid w:val="00A24B10"/>
    <w:rsid w:val="00A25738"/>
    <w:rsid w:val="00A25745"/>
    <w:rsid w:val="00A265E5"/>
    <w:rsid w:val="00A269D1"/>
    <w:rsid w:val="00A27DB2"/>
    <w:rsid w:val="00A30E9B"/>
    <w:rsid w:val="00A31926"/>
    <w:rsid w:val="00A333DF"/>
    <w:rsid w:val="00A407A1"/>
    <w:rsid w:val="00A4512D"/>
    <w:rsid w:val="00A4537F"/>
    <w:rsid w:val="00A45650"/>
    <w:rsid w:val="00A456E0"/>
    <w:rsid w:val="00A462AE"/>
    <w:rsid w:val="00A50244"/>
    <w:rsid w:val="00A5140E"/>
    <w:rsid w:val="00A51B61"/>
    <w:rsid w:val="00A5357C"/>
    <w:rsid w:val="00A5626F"/>
    <w:rsid w:val="00A56F17"/>
    <w:rsid w:val="00A578AD"/>
    <w:rsid w:val="00A57B70"/>
    <w:rsid w:val="00A60CCB"/>
    <w:rsid w:val="00A627D7"/>
    <w:rsid w:val="00A656C7"/>
    <w:rsid w:val="00A66A5D"/>
    <w:rsid w:val="00A67AEB"/>
    <w:rsid w:val="00A705AF"/>
    <w:rsid w:val="00A72454"/>
    <w:rsid w:val="00A7268B"/>
    <w:rsid w:val="00A77696"/>
    <w:rsid w:val="00A77C7A"/>
    <w:rsid w:val="00A80557"/>
    <w:rsid w:val="00A814EC"/>
    <w:rsid w:val="00A81D33"/>
    <w:rsid w:val="00A82887"/>
    <w:rsid w:val="00A8783C"/>
    <w:rsid w:val="00A930AE"/>
    <w:rsid w:val="00A941E1"/>
    <w:rsid w:val="00A946D1"/>
    <w:rsid w:val="00A954A5"/>
    <w:rsid w:val="00A959BC"/>
    <w:rsid w:val="00A95B35"/>
    <w:rsid w:val="00AA1A95"/>
    <w:rsid w:val="00AA260F"/>
    <w:rsid w:val="00AA3388"/>
    <w:rsid w:val="00AA382B"/>
    <w:rsid w:val="00AA763F"/>
    <w:rsid w:val="00AB0067"/>
    <w:rsid w:val="00AB1EE7"/>
    <w:rsid w:val="00AB4132"/>
    <w:rsid w:val="00AB4B37"/>
    <w:rsid w:val="00AB5762"/>
    <w:rsid w:val="00AB6972"/>
    <w:rsid w:val="00AC0C70"/>
    <w:rsid w:val="00AC2679"/>
    <w:rsid w:val="00AC2965"/>
    <w:rsid w:val="00AC49EE"/>
    <w:rsid w:val="00AC4BE4"/>
    <w:rsid w:val="00AC4DD7"/>
    <w:rsid w:val="00AC6BF9"/>
    <w:rsid w:val="00AD05E6"/>
    <w:rsid w:val="00AD0D3F"/>
    <w:rsid w:val="00AD127B"/>
    <w:rsid w:val="00AD3CC0"/>
    <w:rsid w:val="00AD4930"/>
    <w:rsid w:val="00AD510C"/>
    <w:rsid w:val="00AD6882"/>
    <w:rsid w:val="00AE1D7D"/>
    <w:rsid w:val="00AE1E74"/>
    <w:rsid w:val="00AE2A09"/>
    <w:rsid w:val="00AE2A8B"/>
    <w:rsid w:val="00AE2B64"/>
    <w:rsid w:val="00AE3F64"/>
    <w:rsid w:val="00AF6FDD"/>
    <w:rsid w:val="00AF7386"/>
    <w:rsid w:val="00AF7934"/>
    <w:rsid w:val="00B00B81"/>
    <w:rsid w:val="00B00C25"/>
    <w:rsid w:val="00B014E1"/>
    <w:rsid w:val="00B016EE"/>
    <w:rsid w:val="00B031C4"/>
    <w:rsid w:val="00B03F0F"/>
    <w:rsid w:val="00B04580"/>
    <w:rsid w:val="00B04B09"/>
    <w:rsid w:val="00B10CCE"/>
    <w:rsid w:val="00B1233F"/>
    <w:rsid w:val="00B12A42"/>
    <w:rsid w:val="00B15B99"/>
    <w:rsid w:val="00B16A51"/>
    <w:rsid w:val="00B21A2D"/>
    <w:rsid w:val="00B21C58"/>
    <w:rsid w:val="00B2221D"/>
    <w:rsid w:val="00B228D5"/>
    <w:rsid w:val="00B236B9"/>
    <w:rsid w:val="00B25440"/>
    <w:rsid w:val="00B262ED"/>
    <w:rsid w:val="00B3011D"/>
    <w:rsid w:val="00B31C48"/>
    <w:rsid w:val="00B32222"/>
    <w:rsid w:val="00B32D44"/>
    <w:rsid w:val="00B32FB5"/>
    <w:rsid w:val="00B333D9"/>
    <w:rsid w:val="00B34F7A"/>
    <w:rsid w:val="00B3618D"/>
    <w:rsid w:val="00B36233"/>
    <w:rsid w:val="00B37999"/>
    <w:rsid w:val="00B37F00"/>
    <w:rsid w:val="00B41A4E"/>
    <w:rsid w:val="00B42851"/>
    <w:rsid w:val="00B43A04"/>
    <w:rsid w:val="00B45AC7"/>
    <w:rsid w:val="00B51C9B"/>
    <w:rsid w:val="00B53127"/>
    <w:rsid w:val="00B5372F"/>
    <w:rsid w:val="00B557D5"/>
    <w:rsid w:val="00B60415"/>
    <w:rsid w:val="00B61129"/>
    <w:rsid w:val="00B656D6"/>
    <w:rsid w:val="00B67184"/>
    <w:rsid w:val="00B67E7F"/>
    <w:rsid w:val="00B70BDD"/>
    <w:rsid w:val="00B7155A"/>
    <w:rsid w:val="00B7222E"/>
    <w:rsid w:val="00B72CBC"/>
    <w:rsid w:val="00B736CB"/>
    <w:rsid w:val="00B75A04"/>
    <w:rsid w:val="00B761B5"/>
    <w:rsid w:val="00B80528"/>
    <w:rsid w:val="00B839B2"/>
    <w:rsid w:val="00B916AB"/>
    <w:rsid w:val="00B93480"/>
    <w:rsid w:val="00B93C3A"/>
    <w:rsid w:val="00B94252"/>
    <w:rsid w:val="00B94828"/>
    <w:rsid w:val="00B9715A"/>
    <w:rsid w:val="00BA0200"/>
    <w:rsid w:val="00BA14BE"/>
    <w:rsid w:val="00BA2732"/>
    <w:rsid w:val="00BA293D"/>
    <w:rsid w:val="00BA2D64"/>
    <w:rsid w:val="00BA4175"/>
    <w:rsid w:val="00BA49BC"/>
    <w:rsid w:val="00BA512E"/>
    <w:rsid w:val="00BA56B7"/>
    <w:rsid w:val="00BA56BE"/>
    <w:rsid w:val="00BA70AB"/>
    <w:rsid w:val="00BA79B9"/>
    <w:rsid w:val="00BA7A1E"/>
    <w:rsid w:val="00BA7CA9"/>
    <w:rsid w:val="00BB042F"/>
    <w:rsid w:val="00BB2F6C"/>
    <w:rsid w:val="00BB3875"/>
    <w:rsid w:val="00BB54E8"/>
    <w:rsid w:val="00BB5860"/>
    <w:rsid w:val="00BB6AAD"/>
    <w:rsid w:val="00BB7F9C"/>
    <w:rsid w:val="00BC070A"/>
    <w:rsid w:val="00BC0A50"/>
    <w:rsid w:val="00BC203D"/>
    <w:rsid w:val="00BC27AE"/>
    <w:rsid w:val="00BC3036"/>
    <w:rsid w:val="00BC4A19"/>
    <w:rsid w:val="00BC4E6D"/>
    <w:rsid w:val="00BC625B"/>
    <w:rsid w:val="00BD0617"/>
    <w:rsid w:val="00BD2E9B"/>
    <w:rsid w:val="00BE393A"/>
    <w:rsid w:val="00BE4E89"/>
    <w:rsid w:val="00BE5BAC"/>
    <w:rsid w:val="00BF0FEF"/>
    <w:rsid w:val="00BF1113"/>
    <w:rsid w:val="00BF32EC"/>
    <w:rsid w:val="00BF58D3"/>
    <w:rsid w:val="00BF7370"/>
    <w:rsid w:val="00C00930"/>
    <w:rsid w:val="00C00DBC"/>
    <w:rsid w:val="00C012AF"/>
    <w:rsid w:val="00C045CD"/>
    <w:rsid w:val="00C060AD"/>
    <w:rsid w:val="00C0670D"/>
    <w:rsid w:val="00C07B2C"/>
    <w:rsid w:val="00C07C7D"/>
    <w:rsid w:val="00C10A49"/>
    <w:rsid w:val="00C10E60"/>
    <w:rsid w:val="00C113BF"/>
    <w:rsid w:val="00C118FC"/>
    <w:rsid w:val="00C11A7C"/>
    <w:rsid w:val="00C148E9"/>
    <w:rsid w:val="00C1630E"/>
    <w:rsid w:val="00C1796D"/>
    <w:rsid w:val="00C20BC9"/>
    <w:rsid w:val="00C21477"/>
    <w:rsid w:val="00C2176E"/>
    <w:rsid w:val="00C23430"/>
    <w:rsid w:val="00C26877"/>
    <w:rsid w:val="00C27B28"/>
    <w:rsid w:val="00C27D67"/>
    <w:rsid w:val="00C30876"/>
    <w:rsid w:val="00C31A7C"/>
    <w:rsid w:val="00C3312D"/>
    <w:rsid w:val="00C357BE"/>
    <w:rsid w:val="00C35D08"/>
    <w:rsid w:val="00C3755A"/>
    <w:rsid w:val="00C40A09"/>
    <w:rsid w:val="00C437FF"/>
    <w:rsid w:val="00C45E59"/>
    <w:rsid w:val="00C4631F"/>
    <w:rsid w:val="00C46A65"/>
    <w:rsid w:val="00C50B26"/>
    <w:rsid w:val="00C50E16"/>
    <w:rsid w:val="00C50FD5"/>
    <w:rsid w:val="00C55258"/>
    <w:rsid w:val="00C5557F"/>
    <w:rsid w:val="00C567AF"/>
    <w:rsid w:val="00C56ACD"/>
    <w:rsid w:val="00C57A6E"/>
    <w:rsid w:val="00C57A98"/>
    <w:rsid w:val="00C64042"/>
    <w:rsid w:val="00C6456A"/>
    <w:rsid w:val="00C65AAC"/>
    <w:rsid w:val="00C752C3"/>
    <w:rsid w:val="00C7555F"/>
    <w:rsid w:val="00C769C0"/>
    <w:rsid w:val="00C77627"/>
    <w:rsid w:val="00C777EB"/>
    <w:rsid w:val="00C826C7"/>
    <w:rsid w:val="00C82915"/>
    <w:rsid w:val="00C82ABE"/>
    <w:rsid w:val="00C82EEB"/>
    <w:rsid w:val="00C846BA"/>
    <w:rsid w:val="00C85381"/>
    <w:rsid w:val="00C865E6"/>
    <w:rsid w:val="00C8695B"/>
    <w:rsid w:val="00C872F2"/>
    <w:rsid w:val="00C971DC"/>
    <w:rsid w:val="00CA117B"/>
    <w:rsid w:val="00CA16B7"/>
    <w:rsid w:val="00CA33C4"/>
    <w:rsid w:val="00CA4785"/>
    <w:rsid w:val="00CA4BE3"/>
    <w:rsid w:val="00CA62AE"/>
    <w:rsid w:val="00CA69EA"/>
    <w:rsid w:val="00CA79CF"/>
    <w:rsid w:val="00CA7EB3"/>
    <w:rsid w:val="00CB1397"/>
    <w:rsid w:val="00CB2F42"/>
    <w:rsid w:val="00CB5B1A"/>
    <w:rsid w:val="00CB5E51"/>
    <w:rsid w:val="00CC0FD5"/>
    <w:rsid w:val="00CC1DA7"/>
    <w:rsid w:val="00CC20D1"/>
    <w:rsid w:val="00CC220B"/>
    <w:rsid w:val="00CC253D"/>
    <w:rsid w:val="00CC4523"/>
    <w:rsid w:val="00CC5C43"/>
    <w:rsid w:val="00CD02AE"/>
    <w:rsid w:val="00CD04B9"/>
    <w:rsid w:val="00CD2A4F"/>
    <w:rsid w:val="00CD337A"/>
    <w:rsid w:val="00CD3ACB"/>
    <w:rsid w:val="00CD5274"/>
    <w:rsid w:val="00CD56F8"/>
    <w:rsid w:val="00CD7912"/>
    <w:rsid w:val="00CE03CA"/>
    <w:rsid w:val="00CE0402"/>
    <w:rsid w:val="00CE22F1"/>
    <w:rsid w:val="00CE50F2"/>
    <w:rsid w:val="00CE6502"/>
    <w:rsid w:val="00CF14A6"/>
    <w:rsid w:val="00CF29CE"/>
    <w:rsid w:val="00CF38B2"/>
    <w:rsid w:val="00CF7D3C"/>
    <w:rsid w:val="00D008E5"/>
    <w:rsid w:val="00D0173E"/>
    <w:rsid w:val="00D01BD2"/>
    <w:rsid w:val="00D02B78"/>
    <w:rsid w:val="00D04471"/>
    <w:rsid w:val="00D07169"/>
    <w:rsid w:val="00D077E4"/>
    <w:rsid w:val="00D13CC0"/>
    <w:rsid w:val="00D147EB"/>
    <w:rsid w:val="00D1598E"/>
    <w:rsid w:val="00D17428"/>
    <w:rsid w:val="00D20FDF"/>
    <w:rsid w:val="00D23891"/>
    <w:rsid w:val="00D25174"/>
    <w:rsid w:val="00D26A2F"/>
    <w:rsid w:val="00D3012E"/>
    <w:rsid w:val="00D3363A"/>
    <w:rsid w:val="00D34667"/>
    <w:rsid w:val="00D36F79"/>
    <w:rsid w:val="00D37128"/>
    <w:rsid w:val="00D378AD"/>
    <w:rsid w:val="00D37B02"/>
    <w:rsid w:val="00D401E1"/>
    <w:rsid w:val="00D408B4"/>
    <w:rsid w:val="00D4110C"/>
    <w:rsid w:val="00D457B9"/>
    <w:rsid w:val="00D45D94"/>
    <w:rsid w:val="00D4639D"/>
    <w:rsid w:val="00D524C8"/>
    <w:rsid w:val="00D53030"/>
    <w:rsid w:val="00D53C85"/>
    <w:rsid w:val="00D54161"/>
    <w:rsid w:val="00D54442"/>
    <w:rsid w:val="00D54F2D"/>
    <w:rsid w:val="00D55DAC"/>
    <w:rsid w:val="00D60E25"/>
    <w:rsid w:val="00D6188F"/>
    <w:rsid w:val="00D63598"/>
    <w:rsid w:val="00D63720"/>
    <w:rsid w:val="00D63928"/>
    <w:rsid w:val="00D65B60"/>
    <w:rsid w:val="00D660F1"/>
    <w:rsid w:val="00D670BE"/>
    <w:rsid w:val="00D70E24"/>
    <w:rsid w:val="00D71302"/>
    <w:rsid w:val="00D716B3"/>
    <w:rsid w:val="00D72144"/>
    <w:rsid w:val="00D72B61"/>
    <w:rsid w:val="00D76486"/>
    <w:rsid w:val="00D82A7B"/>
    <w:rsid w:val="00D83102"/>
    <w:rsid w:val="00D85C19"/>
    <w:rsid w:val="00D92085"/>
    <w:rsid w:val="00D93D45"/>
    <w:rsid w:val="00D95486"/>
    <w:rsid w:val="00D95E70"/>
    <w:rsid w:val="00D974A7"/>
    <w:rsid w:val="00DA3D1D"/>
    <w:rsid w:val="00DA5FE7"/>
    <w:rsid w:val="00DA7F62"/>
    <w:rsid w:val="00DB0138"/>
    <w:rsid w:val="00DB37A9"/>
    <w:rsid w:val="00DB54ED"/>
    <w:rsid w:val="00DB6286"/>
    <w:rsid w:val="00DB645F"/>
    <w:rsid w:val="00DB76E9"/>
    <w:rsid w:val="00DC0A67"/>
    <w:rsid w:val="00DC1D5E"/>
    <w:rsid w:val="00DC2313"/>
    <w:rsid w:val="00DC5220"/>
    <w:rsid w:val="00DC57C0"/>
    <w:rsid w:val="00DC72F4"/>
    <w:rsid w:val="00DC7910"/>
    <w:rsid w:val="00DC7F47"/>
    <w:rsid w:val="00DD00F7"/>
    <w:rsid w:val="00DD051F"/>
    <w:rsid w:val="00DD2061"/>
    <w:rsid w:val="00DD35DD"/>
    <w:rsid w:val="00DD7DAB"/>
    <w:rsid w:val="00DE0536"/>
    <w:rsid w:val="00DE1164"/>
    <w:rsid w:val="00DE28C1"/>
    <w:rsid w:val="00DE31DA"/>
    <w:rsid w:val="00DE3278"/>
    <w:rsid w:val="00DE3355"/>
    <w:rsid w:val="00DE5B76"/>
    <w:rsid w:val="00DF048C"/>
    <w:rsid w:val="00DF1A7F"/>
    <w:rsid w:val="00DF486F"/>
    <w:rsid w:val="00DF49AE"/>
    <w:rsid w:val="00DF5698"/>
    <w:rsid w:val="00DF5B5B"/>
    <w:rsid w:val="00DF65D0"/>
    <w:rsid w:val="00DF6DD0"/>
    <w:rsid w:val="00DF7619"/>
    <w:rsid w:val="00DF7E40"/>
    <w:rsid w:val="00E01723"/>
    <w:rsid w:val="00E02F59"/>
    <w:rsid w:val="00E042D8"/>
    <w:rsid w:val="00E04AAC"/>
    <w:rsid w:val="00E064DE"/>
    <w:rsid w:val="00E07EE7"/>
    <w:rsid w:val="00E10342"/>
    <w:rsid w:val="00E1103B"/>
    <w:rsid w:val="00E12CFD"/>
    <w:rsid w:val="00E1328B"/>
    <w:rsid w:val="00E138DA"/>
    <w:rsid w:val="00E14DE2"/>
    <w:rsid w:val="00E17B44"/>
    <w:rsid w:val="00E20514"/>
    <w:rsid w:val="00E22EEC"/>
    <w:rsid w:val="00E27FEA"/>
    <w:rsid w:val="00E325E4"/>
    <w:rsid w:val="00E36F41"/>
    <w:rsid w:val="00E40098"/>
    <w:rsid w:val="00E4086F"/>
    <w:rsid w:val="00E41BB4"/>
    <w:rsid w:val="00E42866"/>
    <w:rsid w:val="00E4293C"/>
    <w:rsid w:val="00E42A82"/>
    <w:rsid w:val="00E42CB7"/>
    <w:rsid w:val="00E43B3C"/>
    <w:rsid w:val="00E4659E"/>
    <w:rsid w:val="00E50188"/>
    <w:rsid w:val="00E50C4B"/>
    <w:rsid w:val="00E515CB"/>
    <w:rsid w:val="00E516F7"/>
    <w:rsid w:val="00E51901"/>
    <w:rsid w:val="00E52260"/>
    <w:rsid w:val="00E53972"/>
    <w:rsid w:val="00E53A62"/>
    <w:rsid w:val="00E555F6"/>
    <w:rsid w:val="00E5560B"/>
    <w:rsid w:val="00E62B6F"/>
    <w:rsid w:val="00E63345"/>
    <w:rsid w:val="00E639B6"/>
    <w:rsid w:val="00E6434B"/>
    <w:rsid w:val="00E6463D"/>
    <w:rsid w:val="00E6520E"/>
    <w:rsid w:val="00E65605"/>
    <w:rsid w:val="00E665C4"/>
    <w:rsid w:val="00E66C4B"/>
    <w:rsid w:val="00E66E6B"/>
    <w:rsid w:val="00E67527"/>
    <w:rsid w:val="00E72E9B"/>
    <w:rsid w:val="00E7369C"/>
    <w:rsid w:val="00E77157"/>
    <w:rsid w:val="00E80672"/>
    <w:rsid w:val="00E81ABF"/>
    <w:rsid w:val="00E83DF2"/>
    <w:rsid w:val="00E849DA"/>
    <w:rsid w:val="00E84A64"/>
    <w:rsid w:val="00E85C86"/>
    <w:rsid w:val="00E911F2"/>
    <w:rsid w:val="00E91381"/>
    <w:rsid w:val="00E9199E"/>
    <w:rsid w:val="00E91E8E"/>
    <w:rsid w:val="00E92503"/>
    <w:rsid w:val="00E9445A"/>
    <w:rsid w:val="00E9462E"/>
    <w:rsid w:val="00E966FA"/>
    <w:rsid w:val="00E96F78"/>
    <w:rsid w:val="00E97C26"/>
    <w:rsid w:val="00EA470E"/>
    <w:rsid w:val="00EA47A7"/>
    <w:rsid w:val="00EA57EB"/>
    <w:rsid w:val="00EB3226"/>
    <w:rsid w:val="00EB4CA8"/>
    <w:rsid w:val="00EB5CFD"/>
    <w:rsid w:val="00EC1A9B"/>
    <w:rsid w:val="00EC213A"/>
    <w:rsid w:val="00EC2C7B"/>
    <w:rsid w:val="00EC448D"/>
    <w:rsid w:val="00EC5150"/>
    <w:rsid w:val="00EC6603"/>
    <w:rsid w:val="00EC7744"/>
    <w:rsid w:val="00ED0DAD"/>
    <w:rsid w:val="00ED0F46"/>
    <w:rsid w:val="00ED1580"/>
    <w:rsid w:val="00ED2373"/>
    <w:rsid w:val="00EE0EEC"/>
    <w:rsid w:val="00EE1A24"/>
    <w:rsid w:val="00EE3E8A"/>
    <w:rsid w:val="00EE4E26"/>
    <w:rsid w:val="00EE5EBC"/>
    <w:rsid w:val="00EE60FD"/>
    <w:rsid w:val="00EF190F"/>
    <w:rsid w:val="00EF19FF"/>
    <w:rsid w:val="00EF20C7"/>
    <w:rsid w:val="00EF6ECA"/>
    <w:rsid w:val="00F01220"/>
    <w:rsid w:val="00F01B23"/>
    <w:rsid w:val="00F024E1"/>
    <w:rsid w:val="00F03E56"/>
    <w:rsid w:val="00F06C10"/>
    <w:rsid w:val="00F1096F"/>
    <w:rsid w:val="00F10E86"/>
    <w:rsid w:val="00F11ADD"/>
    <w:rsid w:val="00F12589"/>
    <w:rsid w:val="00F12595"/>
    <w:rsid w:val="00F128A5"/>
    <w:rsid w:val="00F134D9"/>
    <w:rsid w:val="00F1403D"/>
    <w:rsid w:val="00F1463F"/>
    <w:rsid w:val="00F14701"/>
    <w:rsid w:val="00F15866"/>
    <w:rsid w:val="00F16B04"/>
    <w:rsid w:val="00F16E23"/>
    <w:rsid w:val="00F17FF7"/>
    <w:rsid w:val="00F21302"/>
    <w:rsid w:val="00F228CF"/>
    <w:rsid w:val="00F26F55"/>
    <w:rsid w:val="00F321DE"/>
    <w:rsid w:val="00F322AC"/>
    <w:rsid w:val="00F32DBD"/>
    <w:rsid w:val="00F3328B"/>
    <w:rsid w:val="00F33777"/>
    <w:rsid w:val="00F3402D"/>
    <w:rsid w:val="00F40648"/>
    <w:rsid w:val="00F41420"/>
    <w:rsid w:val="00F46928"/>
    <w:rsid w:val="00F46DAA"/>
    <w:rsid w:val="00F478FE"/>
    <w:rsid w:val="00F47DA2"/>
    <w:rsid w:val="00F500A0"/>
    <w:rsid w:val="00F519FC"/>
    <w:rsid w:val="00F573DB"/>
    <w:rsid w:val="00F57A4D"/>
    <w:rsid w:val="00F6141A"/>
    <w:rsid w:val="00F617AC"/>
    <w:rsid w:val="00F6239D"/>
    <w:rsid w:val="00F62C18"/>
    <w:rsid w:val="00F62D4A"/>
    <w:rsid w:val="00F648A5"/>
    <w:rsid w:val="00F64BB8"/>
    <w:rsid w:val="00F665FE"/>
    <w:rsid w:val="00F6684F"/>
    <w:rsid w:val="00F715D2"/>
    <w:rsid w:val="00F7274F"/>
    <w:rsid w:val="00F75B2A"/>
    <w:rsid w:val="00F76EF0"/>
    <w:rsid w:val="00F76FA8"/>
    <w:rsid w:val="00F86F85"/>
    <w:rsid w:val="00F906D6"/>
    <w:rsid w:val="00F9160A"/>
    <w:rsid w:val="00F9227C"/>
    <w:rsid w:val="00F93C2D"/>
    <w:rsid w:val="00F93F08"/>
    <w:rsid w:val="00F93F1F"/>
    <w:rsid w:val="00F94CED"/>
    <w:rsid w:val="00F95C67"/>
    <w:rsid w:val="00F96CE1"/>
    <w:rsid w:val="00FA0B56"/>
    <w:rsid w:val="00FA2CEE"/>
    <w:rsid w:val="00FA318C"/>
    <w:rsid w:val="00FA3CC4"/>
    <w:rsid w:val="00FA3D2E"/>
    <w:rsid w:val="00FA4AB6"/>
    <w:rsid w:val="00FB3401"/>
    <w:rsid w:val="00FB3AD9"/>
    <w:rsid w:val="00FB52AC"/>
    <w:rsid w:val="00FB554D"/>
    <w:rsid w:val="00FB683D"/>
    <w:rsid w:val="00FB6F92"/>
    <w:rsid w:val="00FC026E"/>
    <w:rsid w:val="00FC22B8"/>
    <w:rsid w:val="00FC3396"/>
    <w:rsid w:val="00FC5124"/>
    <w:rsid w:val="00FC7F2B"/>
    <w:rsid w:val="00FD0C6D"/>
    <w:rsid w:val="00FD0E07"/>
    <w:rsid w:val="00FD4731"/>
    <w:rsid w:val="00FD60F1"/>
    <w:rsid w:val="00FE040E"/>
    <w:rsid w:val="00FE0B9D"/>
    <w:rsid w:val="00FE0D84"/>
    <w:rsid w:val="00FE1A0F"/>
    <w:rsid w:val="00FE357D"/>
    <w:rsid w:val="00FF0AB0"/>
    <w:rsid w:val="00FF28AC"/>
    <w:rsid w:val="00FF4EC3"/>
    <w:rsid w:val="00FF654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466DF"/>
  <w15:docId w15:val="{EA0B0193-648A-474C-A0A4-8E971211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267C7"/>
    <w:pPr>
      <w:spacing w:before="120" w:after="120" w:line="276" w:lineRule="auto"/>
    </w:pPr>
    <w:rPr>
      <w:rFonts w:ascii="Arial" w:eastAsia="Calibri" w:hAnsi="Arial"/>
      <w:color w:val="000000" w:themeColor="text1"/>
      <w:sz w:val="22"/>
      <w:szCs w:val="24"/>
      <w:lang w:eastAsia="en-US"/>
    </w:rPr>
  </w:style>
  <w:style w:type="paragraph" w:styleId="Heading1">
    <w:name w:val="heading 1"/>
    <w:next w:val="Normal"/>
    <w:link w:val="Heading1Char"/>
    <w:qFormat/>
    <w:rsid w:val="007E4F33"/>
    <w:pPr>
      <w:keepNext/>
      <w:numPr>
        <w:numId w:val="76"/>
      </w:numPr>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555483"/>
    <w:pPr>
      <w:keepNext/>
      <w:numPr>
        <w:ilvl w:val="1"/>
        <w:numId w:val="76"/>
      </w:numPr>
      <w:spacing w:before="240" w:after="60"/>
      <w:outlineLvl w:val="1"/>
    </w:pPr>
    <w:rPr>
      <w:rFonts w:ascii="Arial" w:hAnsi="Arial" w:cs="Arial"/>
      <w:bCs/>
      <w:iCs/>
      <w:color w:val="358189"/>
      <w:sz w:val="36"/>
      <w:szCs w:val="28"/>
      <w:lang w:eastAsia="en-US"/>
    </w:rPr>
  </w:style>
  <w:style w:type="paragraph" w:styleId="Heading3">
    <w:name w:val="heading 3"/>
    <w:next w:val="Normal"/>
    <w:link w:val="Heading3Char"/>
    <w:qFormat/>
    <w:rsid w:val="00555483"/>
    <w:pPr>
      <w:keepNext/>
      <w:numPr>
        <w:ilvl w:val="2"/>
        <w:numId w:val="76"/>
      </w:numPr>
      <w:spacing w:before="180" w:after="60"/>
      <w:outlineLvl w:val="2"/>
    </w:pPr>
    <w:rPr>
      <w:rFonts w:ascii="Arial" w:hAnsi="Arial" w:cs="Arial"/>
      <w:bCs/>
      <w:color w:val="358189"/>
      <w:sz w:val="32"/>
      <w:szCs w:val="26"/>
      <w:lang w:eastAsia="en-US"/>
    </w:rPr>
  </w:style>
  <w:style w:type="paragraph" w:styleId="Heading4">
    <w:name w:val="heading 4"/>
    <w:next w:val="Normal"/>
    <w:link w:val="Heading4Char"/>
    <w:qFormat/>
    <w:rsid w:val="00F86F85"/>
    <w:pPr>
      <w:keepNext/>
      <w:numPr>
        <w:ilvl w:val="3"/>
        <w:numId w:val="76"/>
      </w:numPr>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F86F85"/>
    <w:pPr>
      <w:keepNext/>
      <w:numPr>
        <w:ilvl w:val="4"/>
        <w:numId w:val="76"/>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qFormat/>
    <w:rsid w:val="00207793"/>
    <w:pPr>
      <w:keepNext/>
      <w:numPr>
        <w:ilvl w:val="5"/>
        <w:numId w:val="76"/>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qFormat/>
    <w:rsid w:val="00207793"/>
    <w:pPr>
      <w:keepNext/>
      <w:keepLines/>
      <w:numPr>
        <w:ilvl w:val="6"/>
        <w:numId w:val="76"/>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4B744B"/>
    <w:pPr>
      <w:numPr>
        <w:ilvl w:val="7"/>
        <w:numId w:val="76"/>
      </w:numPr>
      <w:spacing w:before="240" w:after="60" w:line="240" w:lineRule="auto"/>
      <w:outlineLvl w:val="7"/>
    </w:pPr>
    <w:rPr>
      <w:rFonts w:ascii="Calibri" w:hAnsi="Calibri"/>
      <w:i/>
      <w:iCs/>
      <w:color w:val="auto"/>
      <w:sz w:val="24"/>
      <w:lang w:eastAsia="en-AU"/>
    </w:rPr>
  </w:style>
  <w:style w:type="paragraph" w:styleId="Heading9">
    <w:name w:val="heading 9"/>
    <w:basedOn w:val="Normal"/>
    <w:next w:val="Normal"/>
    <w:link w:val="Heading9Char"/>
    <w:semiHidden/>
    <w:unhideWhenUsed/>
    <w:qFormat/>
    <w:rsid w:val="004B744B"/>
    <w:pPr>
      <w:numPr>
        <w:ilvl w:val="8"/>
        <w:numId w:val="76"/>
      </w:numPr>
      <w:spacing w:before="240" w:after="60" w:line="240" w:lineRule="auto"/>
      <w:outlineLvl w:val="8"/>
    </w:pPr>
    <w:rPr>
      <w:rFonts w:ascii="Cambria" w:hAnsi="Cambria"/>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7C32D0"/>
    <w:pPr>
      <w:numPr>
        <w:numId w:val="17"/>
      </w:numPr>
      <w:spacing w:before="60" w:after="60"/>
      <w:ind w:left="510" w:hanging="340"/>
    </w:pPr>
  </w:style>
  <w:style w:type="paragraph" w:customStyle="1" w:styleId="Appendixheading">
    <w:name w:val="Appendix heading"/>
    <w:basedOn w:val="Heading1"/>
    <w:link w:val="AppendixheadingChar"/>
    <w:qFormat/>
    <w:rsid w:val="00555483"/>
    <w:pPr>
      <w:numPr>
        <w:numId w:val="0"/>
      </w:numPr>
    </w:pPr>
    <w:rPr>
      <w:sz w:val="40"/>
      <w:szCs w:val="32"/>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customStyle="1" w:styleId="Heading8Char">
    <w:name w:val="Heading 8 Char"/>
    <w:basedOn w:val="DefaultParagraphFont"/>
    <w:link w:val="Heading8"/>
    <w:semiHidden/>
    <w:rsid w:val="004B744B"/>
    <w:rPr>
      <w:rFonts w:ascii="Calibri" w:hAnsi="Calibri"/>
      <w:i/>
      <w:iCs/>
      <w:sz w:val="24"/>
      <w:szCs w:val="24"/>
    </w:rPr>
  </w:style>
  <w:style w:type="character" w:customStyle="1" w:styleId="Heading9Char">
    <w:name w:val="Heading 9 Char"/>
    <w:basedOn w:val="DefaultParagraphFont"/>
    <w:link w:val="Heading9"/>
    <w:semiHidden/>
    <w:rsid w:val="004B744B"/>
    <w:rPr>
      <w:rFonts w:ascii="Cambria" w:hAnsi="Cambria"/>
      <w:sz w:val="22"/>
      <w:szCs w:val="22"/>
    </w:rPr>
  </w:style>
  <w:style w:type="character" w:customStyle="1" w:styleId="Heading2Char">
    <w:name w:val="Heading 2 Char"/>
    <w:link w:val="Heading2"/>
    <w:rsid w:val="00555483"/>
    <w:rPr>
      <w:rFonts w:ascii="Arial" w:hAnsi="Arial" w:cs="Arial"/>
      <w:bCs/>
      <w:iCs/>
      <w:color w:val="358189"/>
      <w:sz w:val="36"/>
      <w:szCs w:val="28"/>
      <w:lang w:eastAsia="en-US"/>
    </w:rPr>
  </w:style>
  <w:style w:type="character" w:styleId="PageNumber">
    <w:name w:val="page number"/>
    <w:basedOn w:val="DefaultParagraphFont"/>
    <w:rsid w:val="004B744B"/>
  </w:style>
  <w:style w:type="character" w:styleId="FollowedHyperlink">
    <w:name w:val="FollowedHyperlink"/>
    <w:rsid w:val="004B744B"/>
    <w:rPr>
      <w:color w:val="008080"/>
      <w:u w:val="single"/>
    </w:rPr>
  </w:style>
  <w:style w:type="character" w:styleId="CommentReference">
    <w:name w:val="annotation reference"/>
    <w:semiHidden/>
    <w:rsid w:val="004B744B"/>
    <w:rPr>
      <w:sz w:val="16"/>
      <w:szCs w:val="16"/>
    </w:rPr>
  </w:style>
  <w:style w:type="paragraph" w:styleId="CommentText">
    <w:name w:val="annotation text"/>
    <w:basedOn w:val="Normal"/>
    <w:link w:val="CommentTextChar"/>
    <w:semiHidden/>
    <w:rsid w:val="004B744B"/>
    <w:pPr>
      <w:spacing w:before="0" w:line="240" w:lineRule="auto"/>
    </w:pPr>
    <w:rPr>
      <w:rFonts w:ascii="Times New Roman" w:hAnsi="Times New Roman"/>
      <w:color w:val="auto"/>
      <w:sz w:val="20"/>
      <w:szCs w:val="20"/>
      <w:lang w:eastAsia="en-AU"/>
    </w:rPr>
  </w:style>
  <w:style w:type="character" w:customStyle="1" w:styleId="CommentTextChar">
    <w:name w:val="Comment Text Char"/>
    <w:basedOn w:val="DefaultParagraphFont"/>
    <w:link w:val="CommentText"/>
    <w:semiHidden/>
    <w:rsid w:val="004B744B"/>
  </w:style>
  <w:style w:type="paragraph" w:styleId="CommentSubject">
    <w:name w:val="annotation subject"/>
    <w:basedOn w:val="CommentText"/>
    <w:next w:val="CommentText"/>
    <w:link w:val="CommentSubjectChar"/>
    <w:semiHidden/>
    <w:rsid w:val="004B744B"/>
    <w:rPr>
      <w:b/>
      <w:bCs/>
    </w:rPr>
  </w:style>
  <w:style w:type="character" w:customStyle="1" w:styleId="CommentSubjectChar">
    <w:name w:val="Comment Subject Char"/>
    <w:basedOn w:val="CommentTextChar"/>
    <w:link w:val="CommentSubject"/>
    <w:semiHidden/>
    <w:rsid w:val="004B744B"/>
    <w:rPr>
      <w:b/>
      <w:bCs/>
    </w:rPr>
  </w:style>
  <w:style w:type="character" w:customStyle="1" w:styleId="Heading1Char">
    <w:name w:val="Heading 1 Char"/>
    <w:link w:val="Heading1"/>
    <w:rsid w:val="004B744B"/>
    <w:rPr>
      <w:rFonts w:ascii="Arial" w:hAnsi="Arial" w:cs="Arial"/>
      <w:b/>
      <w:bCs/>
      <w:color w:val="3F4A75"/>
      <w:kern w:val="28"/>
      <w:sz w:val="44"/>
      <w:szCs w:val="36"/>
      <w:lang w:eastAsia="en-US"/>
    </w:rPr>
  </w:style>
  <w:style w:type="character" w:customStyle="1" w:styleId="Heading3Char">
    <w:name w:val="Heading 3 Char"/>
    <w:link w:val="Heading3"/>
    <w:rsid w:val="00555483"/>
    <w:rPr>
      <w:rFonts w:ascii="Arial" w:hAnsi="Arial" w:cs="Arial"/>
      <w:bCs/>
      <w:color w:val="358189"/>
      <w:sz w:val="32"/>
      <w:szCs w:val="26"/>
      <w:lang w:eastAsia="en-US"/>
    </w:rPr>
  </w:style>
  <w:style w:type="character" w:customStyle="1" w:styleId="Heading4Char">
    <w:name w:val="Heading 4 Char"/>
    <w:link w:val="Heading4"/>
    <w:rsid w:val="004B744B"/>
    <w:rPr>
      <w:rFonts w:ascii="Arial" w:hAnsi="Arial"/>
      <w:b/>
      <w:bCs/>
      <w:i/>
      <w:color w:val="358189" w:themeColor="accent2"/>
      <w:sz w:val="28"/>
      <w:szCs w:val="28"/>
      <w:lang w:eastAsia="en-US"/>
    </w:rPr>
  </w:style>
  <w:style w:type="character" w:customStyle="1" w:styleId="Heading5Char">
    <w:name w:val="Heading 5 Char"/>
    <w:link w:val="Heading5"/>
    <w:rsid w:val="004B744B"/>
    <w:rPr>
      <w:rFonts w:ascii="Arial" w:hAnsi="Arial"/>
      <w:b/>
      <w:bCs/>
      <w:iCs/>
      <w:color w:val="358189" w:themeColor="accent2"/>
      <w:sz w:val="24"/>
      <w:szCs w:val="26"/>
      <w:lang w:eastAsia="en-US"/>
    </w:rPr>
  </w:style>
  <w:style w:type="character" w:customStyle="1" w:styleId="Heading6Char">
    <w:name w:val="Heading 6 Char"/>
    <w:link w:val="Heading6"/>
    <w:rsid w:val="004B744B"/>
    <w:rPr>
      <w:rFonts w:ascii="Arial" w:hAnsi="Arial"/>
      <w:b/>
      <w:bCs/>
      <w:sz w:val="22"/>
      <w:szCs w:val="22"/>
      <w:lang w:eastAsia="en-US"/>
    </w:rPr>
  </w:style>
  <w:style w:type="paragraph" w:styleId="TOCHeading">
    <w:name w:val="TOC Heading"/>
    <w:next w:val="Normal"/>
    <w:uiPriority w:val="39"/>
    <w:unhideWhenUsed/>
    <w:qFormat/>
    <w:rsid w:val="0032237E"/>
    <w:pPr>
      <w:keepLines/>
      <w:spacing w:before="480" w:line="276" w:lineRule="auto"/>
    </w:pPr>
    <w:rPr>
      <w:rFonts w:ascii="Arial" w:hAnsi="Arial"/>
      <w:b/>
      <w:bCs/>
      <w:color w:val="365F91"/>
      <w:sz w:val="28"/>
      <w:szCs w:val="28"/>
      <w:lang w:val="en-US" w:eastAsia="ja-JP"/>
    </w:rPr>
  </w:style>
  <w:style w:type="paragraph" w:styleId="TOC1">
    <w:name w:val="toc 1"/>
    <w:basedOn w:val="Normal"/>
    <w:next w:val="Normal"/>
    <w:autoRedefine/>
    <w:uiPriority w:val="39"/>
    <w:rsid w:val="0032237E"/>
    <w:pPr>
      <w:tabs>
        <w:tab w:val="left" w:pos="480"/>
        <w:tab w:val="right" w:leader="dot" w:pos="9016"/>
      </w:tabs>
      <w:spacing w:before="0" w:after="0" w:line="360" w:lineRule="auto"/>
    </w:pPr>
    <w:rPr>
      <w:color w:val="auto"/>
      <w:szCs w:val="20"/>
      <w:lang w:eastAsia="en-AU"/>
    </w:rPr>
  </w:style>
  <w:style w:type="paragraph" w:styleId="TOC2">
    <w:name w:val="toc 2"/>
    <w:basedOn w:val="Normal"/>
    <w:next w:val="Normal"/>
    <w:autoRedefine/>
    <w:uiPriority w:val="39"/>
    <w:rsid w:val="0032237E"/>
    <w:pPr>
      <w:tabs>
        <w:tab w:val="left" w:pos="880"/>
        <w:tab w:val="right" w:leader="dot" w:pos="9016"/>
      </w:tabs>
      <w:spacing w:before="0" w:after="0" w:line="300" w:lineRule="auto"/>
      <w:ind w:left="238"/>
    </w:pPr>
    <w:rPr>
      <w:color w:val="auto"/>
      <w:szCs w:val="20"/>
      <w:lang w:eastAsia="en-AU"/>
    </w:rPr>
  </w:style>
  <w:style w:type="paragraph" w:styleId="TOC3">
    <w:name w:val="toc 3"/>
    <w:basedOn w:val="Normal"/>
    <w:next w:val="Normal"/>
    <w:autoRedefine/>
    <w:uiPriority w:val="39"/>
    <w:rsid w:val="0032237E"/>
    <w:pPr>
      <w:tabs>
        <w:tab w:val="left" w:pos="1320"/>
        <w:tab w:val="right" w:leader="dot" w:pos="9060"/>
      </w:tabs>
      <w:spacing w:before="0" w:line="240" w:lineRule="auto"/>
      <w:ind w:left="480"/>
    </w:pPr>
    <w:rPr>
      <w:color w:val="auto"/>
      <w:sz w:val="21"/>
      <w:szCs w:val="20"/>
      <w:lang w:eastAsia="en-AU"/>
    </w:rPr>
  </w:style>
  <w:style w:type="paragraph" w:customStyle="1" w:styleId="Body">
    <w:name w:val="Body"/>
    <w:basedOn w:val="Normal"/>
    <w:rsid w:val="004B744B"/>
    <w:pPr>
      <w:widowControl w:val="0"/>
      <w:tabs>
        <w:tab w:val="left" w:pos="1820"/>
        <w:tab w:val="left" w:pos="7140"/>
      </w:tabs>
      <w:autoSpaceDE w:val="0"/>
      <w:autoSpaceDN w:val="0"/>
      <w:adjustRightInd w:val="0"/>
      <w:spacing w:before="0" w:after="113" w:line="288" w:lineRule="auto"/>
      <w:ind w:left="600"/>
      <w:textAlignment w:val="center"/>
    </w:pPr>
    <w:rPr>
      <w:rFonts w:ascii="ArialMT" w:hAnsi="ArialMT" w:cs="ArialMT"/>
      <w:color w:val="000000"/>
      <w:sz w:val="24"/>
      <w:u w:color="000000"/>
      <w:lang w:val="en-US"/>
    </w:rPr>
  </w:style>
  <w:style w:type="paragraph" w:customStyle="1" w:styleId="Bullets">
    <w:name w:val="Bullets"/>
    <w:basedOn w:val="Normal"/>
    <w:rsid w:val="004B744B"/>
    <w:pPr>
      <w:widowControl w:val="0"/>
      <w:tabs>
        <w:tab w:val="left" w:pos="9016"/>
      </w:tabs>
      <w:suppressAutoHyphens/>
      <w:autoSpaceDE w:val="0"/>
      <w:autoSpaceDN w:val="0"/>
      <w:adjustRightInd w:val="0"/>
      <w:spacing w:before="0" w:after="113" w:line="288" w:lineRule="auto"/>
      <w:ind w:left="1040" w:hanging="480"/>
      <w:textAlignment w:val="center"/>
    </w:pPr>
    <w:rPr>
      <w:rFonts w:ascii="ArialMT" w:hAnsi="ArialMT" w:cs="ArialMT"/>
      <w:color w:val="000000"/>
      <w:sz w:val="24"/>
      <w:u w:color="000000"/>
      <w:lang w:val="en-US"/>
    </w:rPr>
  </w:style>
  <w:style w:type="paragraph" w:customStyle="1" w:styleId="SubHeading2x">
    <w:name w:val="Sub Heading 2.x"/>
    <w:basedOn w:val="Normal"/>
    <w:rsid w:val="004B744B"/>
    <w:pPr>
      <w:widowControl w:val="0"/>
      <w:tabs>
        <w:tab w:val="left" w:pos="1820"/>
        <w:tab w:val="left" w:pos="7140"/>
      </w:tabs>
      <w:autoSpaceDE w:val="0"/>
      <w:autoSpaceDN w:val="0"/>
      <w:adjustRightInd w:val="0"/>
      <w:spacing w:before="227" w:after="113" w:line="288" w:lineRule="auto"/>
      <w:ind w:left="1220" w:hanging="640"/>
      <w:textAlignment w:val="center"/>
    </w:pPr>
    <w:rPr>
      <w:rFonts w:ascii="Arial-BoldMT" w:hAnsi="Arial-BoldMT" w:cs="Arial-BoldMT"/>
      <w:b/>
      <w:bCs/>
      <w:color w:val="000000"/>
      <w:sz w:val="28"/>
      <w:szCs w:val="28"/>
      <w:u w:color="000000"/>
      <w:lang w:val="en-US"/>
    </w:rPr>
  </w:style>
  <w:style w:type="paragraph" w:styleId="ListBullet3">
    <w:name w:val="List Bullet 3"/>
    <w:basedOn w:val="Normal"/>
    <w:unhideWhenUsed/>
    <w:rsid w:val="00DE5B76"/>
    <w:pPr>
      <w:numPr>
        <w:numId w:val="40"/>
      </w:numPr>
      <w:spacing w:before="0" w:line="240" w:lineRule="auto"/>
    </w:pPr>
  </w:style>
  <w:style w:type="paragraph" w:styleId="Revision">
    <w:name w:val="Revision"/>
    <w:hidden/>
    <w:uiPriority w:val="99"/>
    <w:semiHidden/>
    <w:rsid w:val="004B744B"/>
    <w:rPr>
      <w:sz w:val="24"/>
    </w:rPr>
  </w:style>
  <w:style w:type="character" w:styleId="FootnoteReference">
    <w:name w:val="footnote reference"/>
    <w:uiPriority w:val="99"/>
    <w:rsid w:val="004B744B"/>
    <w:rPr>
      <w:vertAlign w:val="superscript"/>
    </w:rPr>
  </w:style>
  <w:style w:type="paragraph" w:styleId="ListNumber">
    <w:name w:val="List Number"/>
    <w:basedOn w:val="Normal"/>
    <w:rsid w:val="00555483"/>
    <w:pPr>
      <w:numPr>
        <w:numId w:val="98"/>
      </w:numPr>
      <w:contextualSpacing/>
    </w:pPr>
  </w:style>
  <w:style w:type="character" w:styleId="UnresolvedMention">
    <w:name w:val="Unresolved Mention"/>
    <w:basedOn w:val="DefaultParagraphFont"/>
    <w:uiPriority w:val="99"/>
    <w:semiHidden/>
    <w:unhideWhenUsed/>
    <w:rsid w:val="009C2063"/>
    <w:rPr>
      <w:color w:val="605E5C"/>
      <w:shd w:val="clear" w:color="auto" w:fill="E1DFDD"/>
    </w:rPr>
  </w:style>
  <w:style w:type="character" w:customStyle="1" w:styleId="AppendixheadingChar">
    <w:name w:val="Appendix heading Char"/>
    <w:basedOn w:val="Heading1Char"/>
    <w:link w:val="Appendixheading"/>
    <w:rsid w:val="00555483"/>
    <w:rPr>
      <w:rFonts w:ascii="Arial" w:hAnsi="Arial" w:cs="Arial"/>
      <w:b/>
      <w:bCs/>
      <w:color w:val="3F4A75"/>
      <w:kern w:val="28"/>
      <w:sz w:val="40"/>
      <w:szCs w:val="32"/>
      <w:lang w:eastAsia="en-US"/>
    </w:rPr>
  </w:style>
  <w:style w:type="paragraph" w:customStyle="1" w:styleId="Appendixheadinglevel2">
    <w:name w:val="Appendix heading (level 2)"/>
    <w:basedOn w:val="Normal"/>
    <w:link w:val="Appendixheadinglevel2Char"/>
    <w:qFormat/>
    <w:rsid w:val="000F0B6F"/>
    <w:pPr>
      <w:outlineLvl w:val="1"/>
    </w:pPr>
    <w:rPr>
      <w:rFonts w:eastAsiaTheme="majorEastAsia"/>
      <w:color w:val="3F4A75" w:themeColor="text2"/>
      <w:sz w:val="28"/>
    </w:rPr>
  </w:style>
  <w:style w:type="character" w:customStyle="1" w:styleId="Appendixheadinglevel2Char">
    <w:name w:val="Appendix heading (level 2) Char"/>
    <w:basedOn w:val="DefaultParagraphFont"/>
    <w:link w:val="Appendixheadinglevel2"/>
    <w:rsid w:val="000F0B6F"/>
    <w:rPr>
      <w:rFonts w:ascii="Arial" w:eastAsiaTheme="majorEastAsia" w:hAnsi="Arial"/>
      <w:color w:val="3F4A75" w:themeColor="text2"/>
      <w:sz w:val="28"/>
      <w:szCs w:val="24"/>
      <w:lang w:eastAsia="en-US"/>
    </w:rPr>
  </w:style>
  <w:style w:type="paragraph" w:styleId="List">
    <w:name w:val="List"/>
    <w:basedOn w:val="Normal"/>
    <w:unhideWhenUsed/>
    <w:rsid w:val="000F0B6F"/>
    <w:pPr>
      <w:numPr>
        <w:numId w:val="99"/>
      </w:numPr>
      <w:ind w:left="454" w:hanging="454"/>
      <w:outlineLvl w:val="1"/>
    </w:pPr>
    <w:rPr>
      <w:rFonts w:eastAsiaTheme="majorEastAsia"/>
      <w:color w:val="3F4A75" w:themeColor="text2"/>
      <w:sz w:val="32"/>
    </w:rPr>
  </w:style>
  <w:style w:type="paragraph" w:styleId="List2">
    <w:name w:val="List 2"/>
    <w:unhideWhenUsed/>
    <w:rsid w:val="007C32D0"/>
    <w:pPr>
      <w:numPr>
        <w:numId w:val="81"/>
      </w:numPr>
      <w:spacing w:before="120" w:line="276" w:lineRule="auto"/>
      <w:ind w:left="368" w:hanging="198"/>
    </w:pPr>
    <w:rPr>
      <w:rFonts w:ascii="Arial" w:hAnsi="Arial"/>
      <w:color w:val="358189"/>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300316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86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yperlink" Target="http://www.health.gov.au/dental" TargetMode="External"/><Relationship Id="rId3" Type="http://schemas.openxmlformats.org/officeDocument/2006/relationships/customXml" Target="../customXml/item3.xml"/><Relationship Id="rId21" Type="http://schemas.openxmlformats.org/officeDocument/2006/relationships/hyperlink" Target="https://www.closingthegap.gov.au/national-agreement/priority-reforms" TargetMode="External"/><Relationship Id="rId34" Type="http://schemas.openxmlformats.org/officeDocument/2006/relationships/hyperlink" Target="https://www.ppaonline.com.au/programs/aboriginal-and-torres-strait-islander/indigenous-health-services-pharmacy-support-program" TargetMode="External"/><Relationship Id="rId42"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reconciliation.org.au/reconciliation-action-plans/" TargetMode="External"/><Relationship Id="rId33" Type="http://schemas.openxmlformats.org/officeDocument/2006/relationships/hyperlink" Target="https://www.ndss.com.au/living-with-diabetes/management-and-care/continuous-glucose-monitoring/" TargetMode="External"/><Relationship Id="rId38" Type="http://schemas.openxmlformats.org/officeDocument/2006/relationships/hyperlink" Target="http://www.humanservices.gov.au/customer/forms/pc1"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ealth.gov.au/resources/collections/primary-health-networks-phn-collection-of-primary-mental-health-care-resources" TargetMode="External"/><Relationship Id="rId32" Type="http://schemas.openxmlformats.org/officeDocument/2006/relationships/hyperlink" Target="http://www.servicesaustralia.gov.au/" TargetMode="External"/><Relationship Id="rId37" Type="http://schemas.openxmlformats.org/officeDocument/2006/relationships/hyperlink" Target="http://www.servicesaustralia.gov.au/" TargetMode="External"/><Relationship Id="rId40" Type="http://schemas.openxmlformats.org/officeDocument/2006/relationships/hyperlink" Target="https://www.mbsonline.gov.au/internet/mbsonline/publishing.nsf/Content/Factsheet-Upcoming%20changes%20to%20the%20MBS%20Chronic%20Disease%20Management%20Framework"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health.gov.au/resources/publications/national-aboriginal-and-torres-strait-islander-health-plan-2021-2031?language=en" TargetMode="External"/><Relationship Id="rId28" Type="http://schemas.openxmlformats.org/officeDocument/2006/relationships/footer" Target="footer4.xml"/><Relationship Id="rId36" Type="http://schemas.openxmlformats.org/officeDocument/2006/relationships/hyperlink" Target="https://www.health.gov.au/resources/publications/primary-health-networks-phns-needs-assessment-policy-guide?language=en" TargetMode="Externa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health.gov.au/resources/collections/primary-health-networks-phn-collection-of-administrative-and-guidance-documents"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s://www.ppaonline.com.au/programs/medication-adherence-programs-2/indigenous-dose-administration-aid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igenoushpf.gov.au/report-overview/overview/summary-report/6-tier-3-%E2%80%93-health-system-performance/access-to-primary-health-care" TargetMode="External"/><Relationship Id="rId2" Type="http://schemas.openxmlformats.org/officeDocument/2006/relationships/hyperlink" Target="https://www.naccho.org.au/acchos/" TargetMode="External"/><Relationship Id="rId1" Type="http://schemas.openxmlformats.org/officeDocument/2006/relationships/hyperlink" Target="https://healthinfonet.ecu.edu.au/learn/health-system/community-controlled-health-sector/" TargetMode="External"/><Relationship Id="rId4" Type="http://schemas.openxmlformats.org/officeDocument/2006/relationships/hyperlink" Target="https://www9.health.gov.au/mbs/fullDisplay.cfm?type=note&amp;q=AN.0.47&amp;qt=noteID&amp;criteria=chronic%20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CAS\Downloads\Department-of-Health-and-Aged-Care_Long-document-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2.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2.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6.xml><?xml version="1.0" encoding="utf-8"?>
<ds:datastoreItem xmlns:ds="http://schemas.openxmlformats.org/officeDocument/2006/customXml" ds:itemID="{73B81935-54AF-4612-A1AC-7B8F8C7133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Department-of-Health-and-Aged-Care_Long-document-template.dotx</Template>
  <TotalTime>8</TotalTime>
  <Pages>35</Pages>
  <Words>12886</Words>
  <Characters>73452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Integrated Team Care program implementation guidelines – July 2024</vt:lpstr>
    </vt:vector>
  </TitlesOfParts>
  <Company/>
  <LinksUpToDate>false</LinksUpToDate>
  <CharactersWithSpaces>86166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Team Care program implementation guidelines – July 2024</dc:title>
  <dc:subject>Aboriginal and Torres Strait Islander health</dc:subject>
  <dc:creator>Australian Government Department of Health, Disability and Ageing</dc:creator>
  <cp:keywords>Integrated Team Care; Aboriginal and Torres Strait Islander health</cp:keywords>
  <cp:lastModifiedBy>MASCHKE, Elvia</cp:lastModifiedBy>
  <cp:revision>2</cp:revision>
  <dcterms:created xsi:type="dcterms:W3CDTF">2025-06-18T23:17:00Z</dcterms:created>
  <dcterms:modified xsi:type="dcterms:W3CDTF">2025-06-18T23:17:00Z</dcterms:modified>
</cp:coreProperties>
</file>