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78923" w14:textId="77777777" w:rsidR="00A27E43" w:rsidRDefault="5918CB09" w:rsidP="00A27E43">
      <w:pPr>
        <w:pStyle w:val="Title"/>
      </w:pPr>
      <w:r w:rsidRPr="00A27E43">
        <w:t>Dementia Expert Reference Group</w:t>
      </w:r>
    </w:p>
    <w:p w14:paraId="28BD3B8D" w14:textId="4C31BAC9" w:rsidR="004338CE" w:rsidRPr="00A27E43" w:rsidRDefault="004338CE" w:rsidP="00A27E43">
      <w:pPr>
        <w:pStyle w:val="Title"/>
      </w:pPr>
      <w:r w:rsidRPr="00A27E43">
        <w:t>Terms of Reference</w:t>
      </w:r>
    </w:p>
    <w:p w14:paraId="0ACF3B10" w14:textId="22EA9AB2" w:rsidR="5918CB09" w:rsidRDefault="5918CB09" w:rsidP="00A27E43">
      <w:pPr>
        <w:pStyle w:val="Heading1"/>
      </w:pPr>
      <w:r w:rsidRPr="71E494E6">
        <w:t>Purpose</w:t>
      </w:r>
    </w:p>
    <w:p w14:paraId="19030708" w14:textId="65311E31" w:rsidR="00F555A1" w:rsidRPr="00A27E43" w:rsidRDefault="5918CB09" w:rsidP="00A27E43">
      <w:pPr>
        <w:rPr>
          <w:rFonts w:asciiTheme="minorHAnsi" w:hAnsiTheme="minorHAnsi"/>
          <w:sz w:val="24"/>
        </w:rPr>
      </w:pPr>
      <w:r w:rsidRPr="71E494E6">
        <w:t>The Dementia Expert Reference Group will provide expert insight and feedback to the Department of Health</w:t>
      </w:r>
      <w:r w:rsidR="00D7168B">
        <w:t>, Disability</w:t>
      </w:r>
      <w:r w:rsidR="00967A7E">
        <w:t xml:space="preserve"> and Age</w:t>
      </w:r>
      <w:r w:rsidR="00D7168B">
        <w:t>ing</w:t>
      </w:r>
      <w:r w:rsidRPr="71E494E6">
        <w:t xml:space="preserve"> concerning dementia related information, research and initiatives to support monitoring and continuous improvements of dementia policy, programs and activities.</w:t>
      </w:r>
    </w:p>
    <w:p w14:paraId="483FEE15" w14:textId="7CF33346" w:rsidR="5918CB09" w:rsidRDefault="5918CB09" w:rsidP="00A27E43">
      <w:pPr>
        <w:pStyle w:val="Heading1"/>
      </w:pPr>
      <w:r w:rsidRPr="71E494E6">
        <w:t>Governance</w:t>
      </w:r>
    </w:p>
    <w:p w14:paraId="09AC9BFE" w14:textId="3711C7D5" w:rsidR="5918CB09" w:rsidRDefault="5918CB09" w:rsidP="00A27E43">
      <w:r w:rsidRPr="71E494E6">
        <w:t xml:space="preserve">The Dementia Expert Reference Group will work in close partnership with the </w:t>
      </w:r>
      <w:r w:rsidR="00D7168B" w:rsidRPr="71E494E6">
        <w:t>Department of Health</w:t>
      </w:r>
      <w:r w:rsidR="00D7168B">
        <w:t>, Disability and Ageing</w:t>
      </w:r>
      <w:r w:rsidRPr="71E494E6">
        <w:t>.</w:t>
      </w:r>
    </w:p>
    <w:p w14:paraId="4B8D3677" w14:textId="24318876" w:rsidR="5918CB09" w:rsidRDefault="5918CB09" w:rsidP="00A27E43">
      <w:pPr>
        <w:pStyle w:val="Heading1"/>
      </w:pPr>
      <w:r w:rsidRPr="71E494E6">
        <w:t>Role and Function</w:t>
      </w:r>
    </w:p>
    <w:p w14:paraId="109CEBF3" w14:textId="75FA2365" w:rsidR="5918CB09" w:rsidRDefault="5918CB09" w:rsidP="00A27E43">
      <w:r w:rsidRPr="71E494E6">
        <w:t xml:space="preserve">The Dementia Expert Reference Group (the Reference Group) is a consultative and advisory body that will provide expertise and advice to the </w:t>
      </w:r>
      <w:r w:rsidR="001A1E41" w:rsidRPr="71E494E6">
        <w:t>Department of Health</w:t>
      </w:r>
      <w:r w:rsidR="001A1E41">
        <w:t>, Disability and Ageing</w:t>
      </w:r>
      <w:r w:rsidR="001A1E41" w:rsidRPr="71E494E6">
        <w:t xml:space="preserve"> </w:t>
      </w:r>
      <w:r w:rsidRPr="71E494E6">
        <w:t>on the development, implementation and evaluation of dementia policy and initiatives.</w:t>
      </w:r>
      <w:r w:rsidR="003B65D1">
        <w:t xml:space="preserve"> </w:t>
      </w:r>
      <w:r w:rsidRPr="71E494E6">
        <w:t xml:space="preserve">The Reference Group may consider a broad range of dementia-related issues, including clinical care, psychosocial services and supports, workforce and training, and behaviour supports, </w:t>
      </w:r>
      <w:proofErr w:type="gramStart"/>
      <w:r w:rsidRPr="71E494E6">
        <w:t>in order to</w:t>
      </w:r>
      <w:proofErr w:type="gramEnd"/>
      <w:r w:rsidRPr="71E494E6">
        <w:t xml:space="preserve"> bring a range of perspectives to each of these aspects of dementia policy. </w:t>
      </w:r>
      <w:r w:rsidRPr="71E494E6">
        <w:rPr>
          <w:color w:val="000000" w:themeColor="text1"/>
        </w:rPr>
        <w:t xml:space="preserve">The </w:t>
      </w:r>
      <w:r w:rsidR="00A412AA">
        <w:rPr>
          <w:color w:val="000000" w:themeColor="text1"/>
        </w:rPr>
        <w:t xml:space="preserve">Reference </w:t>
      </w:r>
      <w:r w:rsidRPr="71E494E6">
        <w:rPr>
          <w:color w:val="000000" w:themeColor="text1"/>
        </w:rPr>
        <w:t>Group will also serve an engagement function, whereby the Department can inform and update members about dementia specific policy and programs.</w:t>
      </w:r>
    </w:p>
    <w:p w14:paraId="0394E606" w14:textId="70315324" w:rsidR="5918CB09" w:rsidRDefault="5918CB09" w:rsidP="00A27E43">
      <w:r w:rsidRPr="71E494E6">
        <w:t>The Dementia Expert Reference Group’s role and functions may include:</w:t>
      </w:r>
    </w:p>
    <w:p w14:paraId="6565D254" w14:textId="53BA387A" w:rsidR="5918CB09" w:rsidRDefault="5918CB09" w:rsidP="00A27E43">
      <w:pPr>
        <w:pStyle w:val="ListBullet"/>
      </w:pPr>
      <w:r w:rsidRPr="71E494E6">
        <w:t xml:space="preserve">To inform and provide advice about dementia policy development, implementation and evaluation. </w:t>
      </w:r>
    </w:p>
    <w:p w14:paraId="771A0AC5" w14:textId="27586F88" w:rsidR="5918CB09" w:rsidRDefault="5918CB09" w:rsidP="00A27E43">
      <w:pPr>
        <w:pStyle w:val="ListBullet"/>
      </w:pPr>
      <w:r w:rsidRPr="71E494E6">
        <w:t xml:space="preserve">Provision of feedback on the evaluation outcomes and impact of Australian Government-funded dementia programs to assist in monitoring and continuous improvement of these programs.  </w:t>
      </w:r>
    </w:p>
    <w:p w14:paraId="2FD5567B" w14:textId="3BF248DD" w:rsidR="5918CB09" w:rsidRDefault="5918CB09" w:rsidP="00A27E43">
      <w:pPr>
        <w:pStyle w:val="ListBullet"/>
      </w:pPr>
      <w:r w:rsidRPr="71E494E6">
        <w:t xml:space="preserve">Provision of advice and recommendations in response to requests from the Department on specific topics or about </w:t>
      </w:r>
      <w:proofErr w:type="gramStart"/>
      <w:r w:rsidRPr="71E494E6">
        <w:t>particular policy</w:t>
      </w:r>
      <w:proofErr w:type="gramEnd"/>
      <w:r w:rsidRPr="71E494E6">
        <w:t xml:space="preserve"> or implementation issues.  </w:t>
      </w:r>
    </w:p>
    <w:p w14:paraId="04490E75" w14:textId="3D89FF40" w:rsidR="5918CB09" w:rsidRDefault="5918CB09" w:rsidP="00A27E43">
      <w:pPr>
        <w:pStyle w:val="ListBullet"/>
      </w:pPr>
      <w:r w:rsidRPr="71E494E6">
        <w:t xml:space="preserve">To identify and update the Department and other members on trends, initiatives and evolving issues related to dementia research, dementia care and training that should inform future policy and program management. </w:t>
      </w:r>
    </w:p>
    <w:p w14:paraId="4A8AF11B" w14:textId="237654E8" w:rsidR="5918CB09" w:rsidRDefault="5918CB09" w:rsidP="00A27E43">
      <w:pPr>
        <w:pStyle w:val="ListBullet"/>
      </w:pPr>
      <w:r w:rsidRPr="71E494E6">
        <w:t xml:space="preserve">Share information and evidence with the Department and other members to foster collaboration and support alignment and integration of dementia policies, programs and reform measures. </w:t>
      </w:r>
    </w:p>
    <w:p w14:paraId="5A229C86" w14:textId="69D04C1F" w:rsidR="5918CB09" w:rsidRDefault="5918CB09" w:rsidP="00A27E43">
      <w:pPr>
        <w:pStyle w:val="ListBullet"/>
      </w:pPr>
      <w:r w:rsidRPr="71E494E6">
        <w:t xml:space="preserve">Provide different expert perspectives on dementia policies and programs. </w:t>
      </w:r>
    </w:p>
    <w:p w14:paraId="5ACDBE0F" w14:textId="47346AB0" w:rsidR="5918CB09" w:rsidRDefault="5918CB09" w:rsidP="00A27E43">
      <w:pPr>
        <w:pStyle w:val="ListBullet"/>
      </w:pPr>
      <w:r w:rsidRPr="71E494E6">
        <w:t>Identify risks, and provide advice about potential mitigation strategies, which have the potential to impact the delivery of dementia specific policies, programs or other activities.</w:t>
      </w:r>
    </w:p>
    <w:p w14:paraId="3E3BE342" w14:textId="5469D12F" w:rsidR="5918CB09" w:rsidRPr="00A27E43" w:rsidRDefault="5918CB09" w:rsidP="00A27E43">
      <w:pPr>
        <w:pStyle w:val="ListBullet"/>
      </w:pPr>
      <w:r w:rsidRPr="71E494E6">
        <w:t xml:space="preserve">Consider other matters as referred by the Chair of the Dementia Expert Reference Group. </w:t>
      </w:r>
    </w:p>
    <w:p w14:paraId="514D44EA" w14:textId="3E9D61E6" w:rsidR="5918CB09" w:rsidRDefault="5918CB09" w:rsidP="00A27E43">
      <w:r w:rsidRPr="71E494E6">
        <w:t xml:space="preserve">The Reference Group has no formal decision-making authority. </w:t>
      </w:r>
    </w:p>
    <w:p w14:paraId="091B7BE7" w14:textId="3A470CF3" w:rsidR="5918CB09" w:rsidRDefault="5918CB09" w:rsidP="00A27E43">
      <w:r w:rsidRPr="71E494E6">
        <w:t xml:space="preserve">The Reference Group complements mechanisms for stakeholder engagement, including those to engage with people living with dementia and their carers. The Reference Group is not intended as a mechanism to enable broader engagement with stakeholders in dementia policy and programs. </w:t>
      </w:r>
    </w:p>
    <w:p w14:paraId="7E13FE52" w14:textId="39900EB8" w:rsidR="5918CB09" w:rsidRDefault="5918CB09" w:rsidP="00A27E43">
      <w:pPr>
        <w:pStyle w:val="Heading1"/>
      </w:pPr>
      <w:r w:rsidRPr="71E494E6">
        <w:lastRenderedPageBreak/>
        <w:t>Membership</w:t>
      </w:r>
    </w:p>
    <w:p w14:paraId="3C0A63EA" w14:textId="27335EC7" w:rsidR="00F555A1" w:rsidRDefault="002C2F66" w:rsidP="00A27E43">
      <w:r w:rsidRPr="0173A861">
        <w:t>Membership</w:t>
      </w:r>
      <w:r w:rsidR="00833DCD" w:rsidRPr="0173A861">
        <w:t xml:space="preserve"> of the Reference Group</w:t>
      </w:r>
      <w:r w:rsidRPr="0173A861">
        <w:t xml:space="preserve"> is determined by </w:t>
      </w:r>
      <w:r w:rsidR="008216B8" w:rsidRPr="71E494E6">
        <w:t>the Department of Health</w:t>
      </w:r>
      <w:r w:rsidR="008216B8">
        <w:t>, Disability and Ageing</w:t>
      </w:r>
      <w:r w:rsidR="008216B8" w:rsidRPr="71E494E6">
        <w:t xml:space="preserve"> </w:t>
      </w:r>
      <w:r w:rsidR="464B1270" w:rsidRPr="0173A861">
        <w:t>to ensure an appropriate representation of skills, experience and diversity</w:t>
      </w:r>
      <w:r w:rsidRPr="0173A861">
        <w:t xml:space="preserve">. </w:t>
      </w:r>
      <w:r w:rsidR="00CA0A21">
        <w:t xml:space="preserve">Members are unpaid. </w:t>
      </w:r>
    </w:p>
    <w:p w14:paraId="49E7FF32" w14:textId="75A7EA63" w:rsidR="005C4A12" w:rsidRDefault="002105B9" w:rsidP="00A27E43">
      <w:r>
        <w:t>The m</w:t>
      </w:r>
      <w:r w:rsidR="005C4A12">
        <w:t xml:space="preserve">embership </w:t>
      </w:r>
      <w:r w:rsidR="00CF2B01">
        <w:t xml:space="preserve">will be reviewed by the Department periodically. </w:t>
      </w:r>
    </w:p>
    <w:p w14:paraId="14BCE3F5" w14:textId="78C7BA74" w:rsidR="00F555A1" w:rsidRPr="00A27E43" w:rsidRDefault="5918CB09" w:rsidP="00A27E43">
      <w:r w:rsidRPr="67598C5C">
        <w:t xml:space="preserve">The Assistant Secretary of the Dementia, Diversity and Design Branch of the Australian Government </w:t>
      </w:r>
      <w:r w:rsidR="00C43A2A" w:rsidRPr="71E494E6">
        <w:t>Department of Health</w:t>
      </w:r>
      <w:r w:rsidR="00C43A2A">
        <w:t>, Disability and Ageing</w:t>
      </w:r>
      <w:r w:rsidRPr="67598C5C">
        <w:t>, or delegate, is the Chair of the Dementia Expert Reference Group.</w:t>
      </w:r>
    </w:p>
    <w:p w14:paraId="3FFF89CF" w14:textId="01A43CCB" w:rsidR="5918CB09" w:rsidRDefault="5918CB09" w:rsidP="00A27E43">
      <w:pPr>
        <w:pStyle w:val="Heading2"/>
      </w:pPr>
      <w:r w:rsidRPr="71E494E6">
        <w:t>Regular Observers/Advisers</w:t>
      </w:r>
    </w:p>
    <w:p w14:paraId="6BAB3DBC" w14:textId="0617A5EF" w:rsidR="00F555A1" w:rsidRPr="00A27E43" w:rsidRDefault="5918CB09" w:rsidP="00A27E43">
      <w:pPr>
        <w:rPr>
          <w:rFonts w:asciiTheme="minorHAnsi" w:hAnsiTheme="minorHAnsi"/>
          <w:sz w:val="24"/>
        </w:rPr>
      </w:pPr>
      <w:r w:rsidRPr="71E494E6">
        <w:t xml:space="preserve">The Chair may invite non-members to observe and/or advise the Group as required. </w:t>
      </w:r>
    </w:p>
    <w:p w14:paraId="03077623" w14:textId="2D81E7ED" w:rsidR="5918CB09" w:rsidRDefault="5918CB09" w:rsidP="00A27E43">
      <w:pPr>
        <w:pStyle w:val="Heading2"/>
      </w:pPr>
      <w:r w:rsidRPr="71E494E6">
        <w:t>Quorum</w:t>
      </w:r>
    </w:p>
    <w:p w14:paraId="1DEB8EA6" w14:textId="38D2C7C8" w:rsidR="003B65D1" w:rsidRDefault="5918CB09" w:rsidP="00A27E43">
      <w:r w:rsidRPr="71E494E6">
        <w:t>There will be no quorum for meetings to take place. The most convenient time for a majority of members will be considered when scheduling meetings.</w:t>
      </w:r>
    </w:p>
    <w:p w14:paraId="580525BD" w14:textId="4A7EE4DD" w:rsidR="5918CB09" w:rsidRDefault="5918CB09" w:rsidP="00A27E43">
      <w:pPr>
        <w:pStyle w:val="Heading1"/>
      </w:pPr>
      <w:r w:rsidRPr="71E494E6">
        <w:t>Meeting Operation</w:t>
      </w:r>
    </w:p>
    <w:p w14:paraId="18D8BAAD" w14:textId="5F2BAB03" w:rsidR="5918CB09" w:rsidRDefault="5918CB09" w:rsidP="00A27E43">
      <w:pPr>
        <w:pStyle w:val="Heading2"/>
      </w:pPr>
      <w:r w:rsidRPr="71E494E6">
        <w:t>Meeting Frequency, Duration and Form</w:t>
      </w:r>
    </w:p>
    <w:p w14:paraId="7F7A5A4C" w14:textId="15E1815C" w:rsidR="5918CB09" w:rsidRDefault="5918CB09" w:rsidP="00A27E43">
      <w:r w:rsidRPr="71E494E6">
        <w:t xml:space="preserve">The Chair of the Group, in consultation with members, will determine the frequency and duration of meetings. </w:t>
      </w:r>
      <w:r w:rsidR="007C712E">
        <w:t>T</w:t>
      </w:r>
      <w:r w:rsidRPr="71E494E6">
        <w:t>he Group will meet quarterly</w:t>
      </w:r>
      <w:r w:rsidR="007C712E">
        <w:t xml:space="preserve">. Additional meetings may be convened </w:t>
      </w:r>
      <w:r w:rsidR="00357BDA">
        <w:t>to seek advice for particularly time-critical</w:t>
      </w:r>
      <w:r w:rsidR="00CA0A21">
        <w:t>/high priority issues</w:t>
      </w:r>
      <w:r w:rsidRPr="71E494E6">
        <w:t xml:space="preserve">. Meetings will be conducted by video/teleconference. </w:t>
      </w:r>
    </w:p>
    <w:p w14:paraId="091B2AC6" w14:textId="69084F6A" w:rsidR="00F555A1" w:rsidRPr="00A27E43" w:rsidRDefault="5918CB09" w:rsidP="00A27E43">
      <w:pPr>
        <w:rPr>
          <w:rFonts w:asciiTheme="minorHAnsi" w:hAnsiTheme="minorHAnsi"/>
          <w:sz w:val="24"/>
        </w:rPr>
      </w:pPr>
      <w:r w:rsidRPr="71E494E6">
        <w:t>Papers may be circulated outside scheduled meetings, and individuals may be contacted as needed on a reasonable basis between meetings.</w:t>
      </w:r>
    </w:p>
    <w:p w14:paraId="4DFF43CE" w14:textId="7EDB934F" w:rsidR="00F555A1" w:rsidRPr="00A27E43" w:rsidRDefault="5918CB09" w:rsidP="00A27E43">
      <w:pPr>
        <w:rPr>
          <w:rFonts w:asciiTheme="minorHAnsi" w:hAnsiTheme="minorHAnsi"/>
          <w:sz w:val="24"/>
        </w:rPr>
      </w:pPr>
      <w:r w:rsidRPr="71E494E6">
        <w:t>Members will be advised at the outset of meetings where discussion and information from meetings is suitable for sharing. Members, however, will not be considered spokespersons for the Department.</w:t>
      </w:r>
    </w:p>
    <w:p w14:paraId="67F7D135" w14:textId="48AF3CED" w:rsidR="00675000" w:rsidRPr="00A27E43" w:rsidRDefault="5918CB09" w:rsidP="00A27E43">
      <w:pPr>
        <w:rPr>
          <w:rFonts w:asciiTheme="minorHAnsi" w:hAnsiTheme="minorHAnsi"/>
          <w:sz w:val="24"/>
        </w:rPr>
      </w:pPr>
      <w:r w:rsidRPr="71E494E6">
        <w:t xml:space="preserve">Sensitive or confidential information or discussions will be explicitly called out ahead of meetings, or at the time, to indicate the status of such, and information will not be attributed to any </w:t>
      </w:r>
      <w:proofErr w:type="gramStart"/>
      <w:r w:rsidRPr="71E494E6">
        <w:t>particular individual</w:t>
      </w:r>
      <w:proofErr w:type="gramEnd"/>
      <w:r w:rsidR="00017F74">
        <w:t>.</w:t>
      </w:r>
    </w:p>
    <w:p w14:paraId="59A7B074" w14:textId="493B58FB" w:rsidR="5918CB09" w:rsidRDefault="5918CB09" w:rsidP="00A27E43">
      <w:pPr>
        <w:pStyle w:val="Heading2"/>
      </w:pPr>
      <w:r w:rsidRPr="71E494E6">
        <w:t>Secretariat</w:t>
      </w:r>
    </w:p>
    <w:p w14:paraId="565021A4" w14:textId="05E0BD4D" w:rsidR="5918CB09" w:rsidRDefault="5918CB09" w:rsidP="00A27E43">
      <w:r w:rsidRPr="71E494E6">
        <w:t xml:space="preserve">The </w:t>
      </w:r>
      <w:r w:rsidR="001742F2" w:rsidRPr="71E494E6">
        <w:t>Department of Health</w:t>
      </w:r>
      <w:r w:rsidR="001742F2">
        <w:t>, Disability and Ageing</w:t>
      </w:r>
      <w:r w:rsidR="001742F2" w:rsidRPr="71E494E6">
        <w:t xml:space="preserve"> </w:t>
      </w:r>
      <w:r w:rsidRPr="71E494E6">
        <w:t xml:space="preserve">will provide the Secretariat for the </w:t>
      </w:r>
      <w:r w:rsidR="00C10F48">
        <w:t xml:space="preserve">Reference </w:t>
      </w:r>
      <w:r w:rsidRPr="71E494E6">
        <w:t>Group. The meeting agenda and any papers or discussion points will be circulated prior to meetings. Key actions and outcomes arising from the meetings will be circulated by the Secretariat as required.</w:t>
      </w:r>
    </w:p>
    <w:p w14:paraId="38EFD229" w14:textId="37B78B57" w:rsidR="5918CB09" w:rsidRDefault="5918CB09" w:rsidP="00A27E43">
      <w:pPr>
        <w:pStyle w:val="Heading1"/>
      </w:pPr>
      <w:r w:rsidRPr="71E494E6">
        <w:t>Conflict of Interest</w:t>
      </w:r>
    </w:p>
    <w:p w14:paraId="2BC822F1" w14:textId="09619C53" w:rsidR="5918CB09" w:rsidRDefault="5918CB09" w:rsidP="00A27E43">
      <w:r w:rsidRPr="71E494E6">
        <w:t xml:space="preserve">Members will be required to complete a </w:t>
      </w:r>
      <w:r w:rsidR="001B059F" w:rsidRPr="71E494E6">
        <w:t>conflict-of-interest</w:t>
      </w:r>
      <w:r w:rsidRPr="71E494E6">
        <w:t xml:space="preserve"> declaration. Members will be required to declare any</w:t>
      </w:r>
      <w:r w:rsidR="00A45BCC">
        <w:t xml:space="preserve"> conflict of</w:t>
      </w:r>
      <w:r w:rsidRPr="71E494E6">
        <w:t xml:space="preserve"> interest in specific topics of discussion prior to or at the commencement of meetings.</w:t>
      </w:r>
    </w:p>
    <w:p w14:paraId="5E2FE0F1" w14:textId="40BBE38B" w:rsidR="5918CB09" w:rsidRDefault="5918CB09" w:rsidP="00A27E43">
      <w:pPr>
        <w:pStyle w:val="Heading1"/>
      </w:pPr>
      <w:r w:rsidRPr="71E494E6">
        <w:t>Terms of Reference</w:t>
      </w:r>
    </w:p>
    <w:p w14:paraId="572D9657" w14:textId="685EB206" w:rsidR="00675000" w:rsidRDefault="5918CB09" w:rsidP="00A27E43">
      <w:pPr>
        <w:rPr>
          <w:b/>
          <w:bCs/>
        </w:rPr>
      </w:pPr>
      <w:r w:rsidRPr="71E494E6">
        <w:t xml:space="preserve">The Terms of Reference will be agreed by the </w:t>
      </w:r>
      <w:r w:rsidR="00445726">
        <w:t xml:space="preserve">Reference </w:t>
      </w:r>
      <w:r w:rsidRPr="71E494E6">
        <w:t>Group and reviewed thereafter as required.</w:t>
      </w:r>
    </w:p>
    <w:sectPr w:rsidR="006750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EC4CC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68FF2BF"/>
    <w:multiLevelType w:val="hybridMultilevel"/>
    <w:tmpl w:val="7E5CF2D8"/>
    <w:lvl w:ilvl="0" w:tplc="FF1A42B2">
      <w:start w:val="1"/>
      <w:numFmt w:val="bullet"/>
      <w:lvlText w:val=""/>
      <w:lvlJc w:val="left"/>
      <w:pPr>
        <w:ind w:left="720" w:hanging="360"/>
      </w:pPr>
      <w:rPr>
        <w:rFonts w:ascii="Symbol" w:hAnsi="Symbol" w:hint="default"/>
      </w:rPr>
    </w:lvl>
    <w:lvl w:ilvl="1" w:tplc="11C285B4">
      <w:start w:val="1"/>
      <w:numFmt w:val="bullet"/>
      <w:lvlText w:val="o"/>
      <w:lvlJc w:val="left"/>
      <w:pPr>
        <w:ind w:left="1440" w:hanging="360"/>
      </w:pPr>
      <w:rPr>
        <w:rFonts w:ascii="Courier New" w:hAnsi="Courier New" w:hint="default"/>
      </w:rPr>
    </w:lvl>
    <w:lvl w:ilvl="2" w:tplc="E60CDD18">
      <w:start w:val="1"/>
      <w:numFmt w:val="bullet"/>
      <w:lvlText w:val=""/>
      <w:lvlJc w:val="left"/>
      <w:pPr>
        <w:ind w:left="2160" w:hanging="360"/>
      </w:pPr>
      <w:rPr>
        <w:rFonts w:ascii="Wingdings" w:hAnsi="Wingdings" w:hint="default"/>
      </w:rPr>
    </w:lvl>
    <w:lvl w:ilvl="3" w:tplc="5ED8E8C0">
      <w:start w:val="1"/>
      <w:numFmt w:val="bullet"/>
      <w:lvlText w:val=""/>
      <w:lvlJc w:val="left"/>
      <w:pPr>
        <w:ind w:left="2880" w:hanging="360"/>
      </w:pPr>
      <w:rPr>
        <w:rFonts w:ascii="Symbol" w:hAnsi="Symbol" w:hint="default"/>
      </w:rPr>
    </w:lvl>
    <w:lvl w:ilvl="4" w:tplc="BAD2931A">
      <w:start w:val="1"/>
      <w:numFmt w:val="bullet"/>
      <w:lvlText w:val="o"/>
      <w:lvlJc w:val="left"/>
      <w:pPr>
        <w:ind w:left="3600" w:hanging="360"/>
      </w:pPr>
      <w:rPr>
        <w:rFonts w:ascii="Courier New" w:hAnsi="Courier New" w:hint="default"/>
      </w:rPr>
    </w:lvl>
    <w:lvl w:ilvl="5" w:tplc="EF90EDCE">
      <w:start w:val="1"/>
      <w:numFmt w:val="bullet"/>
      <w:lvlText w:val=""/>
      <w:lvlJc w:val="left"/>
      <w:pPr>
        <w:ind w:left="4320" w:hanging="360"/>
      </w:pPr>
      <w:rPr>
        <w:rFonts w:ascii="Wingdings" w:hAnsi="Wingdings" w:hint="default"/>
      </w:rPr>
    </w:lvl>
    <w:lvl w:ilvl="6" w:tplc="BEFA2E52">
      <w:start w:val="1"/>
      <w:numFmt w:val="bullet"/>
      <w:lvlText w:val=""/>
      <w:lvlJc w:val="left"/>
      <w:pPr>
        <w:ind w:left="5040" w:hanging="360"/>
      </w:pPr>
      <w:rPr>
        <w:rFonts w:ascii="Symbol" w:hAnsi="Symbol" w:hint="default"/>
      </w:rPr>
    </w:lvl>
    <w:lvl w:ilvl="7" w:tplc="81643B08">
      <w:start w:val="1"/>
      <w:numFmt w:val="bullet"/>
      <w:lvlText w:val="o"/>
      <w:lvlJc w:val="left"/>
      <w:pPr>
        <w:ind w:left="5760" w:hanging="360"/>
      </w:pPr>
      <w:rPr>
        <w:rFonts w:ascii="Courier New" w:hAnsi="Courier New" w:hint="default"/>
      </w:rPr>
    </w:lvl>
    <w:lvl w:ilvl="8" w:tplc="23D29588">
      <w:start w:val="1"/>
      <w:numFmt w:val="bullet"/>
      <w:lvlText w:val=""/>
      <w:lvlJc w:val="left"/>
      <w:pPr>
        <w:ind w:left="6480" w:hanging="360"/>
      </w:pPr>
      <w:rPr>
        <w:rFonts w:ascii="Wingdings" w:hAnsi="Wingdings" w:hint="default"/>
      </w:rPr>
    </w:lvl>
  </w:abstractNum>
  <w:num w:numId="1" w16cid:durableId="1550191826">
    <w:abstractNumId w:val="1"/>
  </w:num>
  <w:num w:numId="2" w16cid:durableId="968171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A6A92B"/>
    <w:rsid w:val="000046D3"/>
    <w:rsid w:val="00017F74"/>
    <w:rsid w:val="00030449"/>
    <w:rsid w:val="000463DE"/>
    <w:rsid w:val="00090749"/>
    <w:rsid w:val="000B1155"/>
    <w:rsid w:val="00110CA0"/>
    <w:rsid w:val="00135E4D"/>
    <w:rsid w:val="00141B83"/>
    <w:rsid w:val="001629F7"/>
    <w:rsid w:val="001742F2"/>
    <w:rsid w:val="00181DCB"/>
    <w:rsid w:val="001A1E41"/>
    <w:rsid w:val="001B059F"/>
    <w:rsid w:val="001C39AA"/>
    <w:rsid w:val="001E138E"/>
    <w:rsid w:val="001F137A"/>
    <w:rsid w:val="002105B9"/>
    <w:rsid w:val="0027697F"/>
    <w:rsid w:val="002C2F66"/>
    <w:rsid w:val="003477C7"/>
    <w:rsid w:val="00357BDA"/>
    <w:rsid w:val="00361E9E"/>
    <w:rsid w:val="003626FA"/>
    <w:rsid w:val="003A1190"/>
    <w:rsid w:val="003B65D1"/>
    <w:rsid w:val="004338CE"/>
    <w:rsid w:val="00445726"/>
    <w:rsid w:val="0045051E"/>
    <w:rsid w:val="004663FB"/>
    <w:rsid w:val="004A330A"/>
    <w:rsid w:val="004B050D"/>
    <w:rsid w:val="004B6309"/>
    <w:rsid w:val="004C2345"/>
    <w:rsid w:val="00513205"/>
    <w:rsid w:val="00517C90"/>
    <w:rsid w:val="0053747D"/>
    <w:rsid w:val="005A23A3"/>
    <w:rsid w:val="005C45D3"/>
    <w:rsid w:val="005C4A12"/>
    <w:rsid w:val="00642467"/>
    <w:rsid w:val="00661D64"/>
    <w:rsid w:val="00675000"/>
    <w:rsid w:val="00693AAB"/>
    <w:rsid w:val="006B1A33"/>
    <w:rsid w:val="006B71F7"/>
    <w:rsid w:val="006D2004"/>
    <w:rsid w:val="006D4305"/>
    <w:rsid w:val="007009A4"/>
    <w:rsid w:val="00707BD6"/>
    <w:rsid w:val="0077583F"/>
    <w:rsid w:val="007C712E"/>
    <w:rsid w:val="008216B8"/>
    <w:rsid w:val="00821728"/>
    <w:rsid w:val="00833DCD"/>
    <w:rsid w:val="00873BE2"/>
    <w:rsid w:val="008A5CF2"/>
    <w:rsid w:val="00962BBF"/>
    <w:rsid w:val="00967A7E"/>
    <w:rsid w:val="00970562"/>
    <w:rsid w:val="00976326"/>
    <w:rsid w:val="009A180F"/>
    <w:rsid w:val="009B1BE2"/>
    <w:rsid w:val="00A04204"/>
    <w:rsid w:val="00A17F18"/>
    <w:rsid w:val="00A26E67"/>
    <w:rsid w:val="00A27E43"/>
    <w:rsid w:val="00A302A9"/>
    <w:rsid w:val="00A412AA"/>
    <w:rsid w:val="00A45BCC"/>
    <w:rsid w:val="00A60D38"/>
    <w:rsid w:val="00A86389"/>
    <w:rsid w:val="00A95388"/>
    <w:rsid w:val="00AA6D98"/>
    <w:rsid w:val="00B06374"/>
    <w:rsid w:val="00B14E2E"/>
    <w:rsid w:val="00B2723A"/>
    <w:rsid w:val="00B5696B"/>
    <w:rsid w:val="00BA3231"/>
    <w:rsid w:val="00BA37E2"/>
    <w:rsid w:val="00BD0994"/>
    <w:rsid w:val="00C10F48"/>
    <w:rsid w:val="00C4118B"/>
    <w:rsid w:val="00C43A2A"/>
    <w:rsid w:val="00C648B5"/>
    <w:rsid w:val="00CA0A21"/>
    <w:rsid w:val="00CD1E69"/>
    <w:rsid w:val="00CF2B01"/>
    <w:rsid w:val="00D20C3F"/>
    <w:rsid w:val="00D2117C"/>
    <w:rsid w:val="00D7168B"/>
    <w:rsid w:val="00D774F5"/>
    <w:rsid w:val="00D779EA"/>
    <w:rsid w:val="00E468A7"/>
    <w:rsid w:val="00E558F9"/>
    <w:rsid w:val="00E85DC3"/>
    <w:rsid w:val="00F019B7"/>
    <w:rsid w:val="00F555A1"/>
    <w:rsid w:val="00F6020A"/>
    <w:rsid w:val="00F64CEA"/>
    <w:rsid w:val="00FD74C2"/>
    <w:rsid w:val="00FF027F"/>
    <w:rsid w:val="0173A861"/>
    <w:rsid w:val="1E13C724"/>
    <w:rsid w:val="29526A59"/>
    <w:rsid w:val="2B2D786F"/>
    <w:rsid w:val="30A6A92B"/>
    <w:rsid w:val="464B1270"/>
    <w:rsid w:val="5918CB09"/>
    <w:rsid w:val="67598C5C"/>
    <w:rsid w:val="70EB87E7"/>
    <w:rsid w:val="71E494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A92B"/>
  <w15:chartTrackingRefBased/>
  <w15:docId w15:val="{F64F0DA1-AE80-4DAA-AC41-741A7B63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E43"/>
    <w:pPr>
      <w:spacing w:after="120" w:line="276" w:lineRule="auto"/>
    </w:pPr>
    <w:rPr>
      <w:rFonts w:ascii="Calibri" w:hAnsi="Calibri"/>
      <w:sz w:val="22"/>
    </w:rPr>
  </w:style>
  <w:style w:type="paragraph" w:styleId="Heading1">
    <w:name w:val="heading 1"/>
    <w:basedOn w:val="Normal"/>
    <w:next w:val="Normal"/>
    <w:link w:val="Heading1Char"/>
    <w:uiPriority w:val="9"/>
    <w:qFormat/>
    <w:rsid w:val="00A27E43"/>
    <w:pPr>
      <w:keepNext/>
      <w:keepLines/>
      <w:spacing w:before="120"/>
      <w:outlineLvl w:val="0"/>
    </w:pPr>
    <w:rPr>
      <w:rFonts w:eastAsiaTheme="majorEastAsia" w:cstheme="majorBidi"/>
      <w:b/>
      <w:color w:val="0F4761" w:themeColor="accent1" w:themeShade="BF"/>
      <w:sz w:val="28"/>
      <w:szCs w:val="40"/>
    </w:rPr>
  </w:style>
  <w:style w:type="paragraph" w:styleId="Heading2">
    <w:name w:val="heading 2"/>
    <w:basedOn w:val="Normal"/>
    <w:next w:val="Normal"/>
    <w:link w:val="Heading2Char"/>
    <w:uiPriority w:val="9"/>
    <w:unhideWhenUsed/>
    <w:qFormat/>
    <w:rsid w:val="00A27E43"/>
    <w:pPr>
      <w:keepNext/>
      <w:keepLines/>
      <w:spacing w:before="80" w:after="80"/>
      <w:outlineLvl w:val="1"/>
    </w:pPr>
    <w:rPr>
      <w:rFonts w:eastAsiaTheme="majorEastAsia" w:cstheme="majorBidi"/>
      <w:color w:val="0F4761" w:themeColor="accent1" w:themeShade="BF"/>
      <w:sz w:val="24"/>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E43"/>
    <w:rPr>
      <w:rFonts w:ascii="Calibri" w:eastAsiaTheme="majorEastAsia" w:hAnsi="Calibri" w:cstheme="majorBidi"/>
      <w:b/>
      <w:color w:val="0F4761" w:themeColor="accent1" w:themeShade="BF"/>
      <w:sz w:val="28"/>
      <w:szCs w:val="40"/>
    </w:rPr>
  </w:style>
  <w:style w:type="character" w:customStyle="1" w:styleId="Heading2Char">
    <w:name w:val="Heading 2 Char"/>
    <w:basedOn w:val="DefaultParagraphFont"/>
    <w:link w:val="Heading2"/>
    <w:uiPriority w:val="9"/>
    <w:rsid w:val="00A27E43"/>
    <w:rPr>
      <w:rFonts w:ascii="Calibri" w:eastAsiaTheme="majorEastAsia" w:hAnsi="Calibri" w:cstheme="majorBidi"/>
      <w:color w:val="0F4761" w:themeColor="accent1" w:themeShade="BF"/>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sid w:val="00A27E43"/>
    <w:rPr>
      <w:rFonts w:ascii="Calibri" w:eastAsia="Calibri" w:hAnsi="Calibri" w:cs="Calibri"/>
      <w:b/>
      <w:bCs/>
      <w:sz w:val="28"/>
      <w:szCs w:val="22"/>
    </w:rPr>
  </w:style>
  <w:style w:type="paragraph" w:styleId="Title">
    <w:name w:val="Title"/>
    <w:basedOn w:val="Normal"/>
    <w:next w:val="Normal"/>
    <w:link w:val="TitleChar"/>
    <w:uiPriority w:val="10"/>
    <w:qFormat/>
    <w:rsid w:val="00A27E43"/>
    <w:pPr>
      <w:spacing w:after="0" w:line="240" w:lineRule="auto"/>
      <w:jc w:val="center"/>
    </w:pPr>
    <w:rPr>
      <w:rFonts w:eastAsia="Calibri" w:cs="Calibri"/>
      <w:b/>
      <w:bCs/>
      <w:sz w:val="28"/>
      <w:szCs w:val="22"/>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71E494E6"/>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967A7E"/>
    <w:pPr>
      <w:spacing w:after="0" w:line="240" w:lineRule="auto"/>
    </w:pPr>
  </w:style>
  <w:style w:type="character" w:styleId="CommentReference">
    <w:name w:val="annotation reference"/>
    <w:basedOn w:val="DefaultParagraphFont"/>
    <w:uiPriority w:val="99"/>
    <w:semiHidden/>
    <w:unhideWhenUsed/>
    <w:rsid w:val="00CA0A21"/>
    <w:rPr>
      <w:sz w:val="16"/>
      <w:szCs w:val="16"/>
    </w:rPr>
  </w:style>
  <w:style w:type="paragraph" w:styleId="CommentText">
    <w:name w:val="annotation text"/>
    <w:basedOn w:val="Normal"/>
    <w:link w:val="CommentTextChar"/>
    <w:uiPriority w:val="99"/>
    <w:unhideWhenUsed/>
    <w:rsid w:val="00CA0A21"/>
    <w:pPr>
      <w:spacing w:line="240" w:lineRule="auto"/>
    </w:pPr>
    <w:rPr>
      <w:sz w:val="20"/>
      <w:szCs w:val="20"/>
    </w:rPr>
  </w:style>
  <w:style w:type="character" w:customStyle="1" w:styleId="CommentTextChar">
    <w:name w:val="Comment Text Char"/>
    <w:basedOn w:val="DefaultParagraphFont"/>
    <w:link w:val="CommentText"/>
    <w:uiPriority w:val="99"/>
    <w:rsid w:val="00CA0A21"/>
    <w:rPr>
      <w:sz w:val="20"/>
      <w:szCs w:val="20"/>
    </w:rPr>
  </w:style>
  <w:style w:type="paragraph" w:styleId="CommentSubject">
    <w:name w:val="annotation subject"/>
    <w:basedOn w:val="CommentText"/>
    <w:next w:val="CommentText"/>
    <w:link w:val="CommentSubjectChar"/>
    <w:uiPriority w:val="99"/>
    <w:semiHidden/>
    <w:unhideWhenUsed/>
    <w:rsid w:val="00CA0A21"/>
    <w:rPr>
      <w:b/>
      <w:bCs/>
    </w:rPr>
  </w:style>
  <w:style w:type="character" w:customStyle="1" w:styleId="CommentSubjectChar">
    <w:name w:val="Comment Subject Char"/>
    <w:basedOn w:val="CommentTextChar"/>
    <w:link w:val="CommentSubject"/>
    <w:uiPriority w:val="99"/>
    <w:semiHidden/>
    <w:rsid w:val="00CA0A21"/>
    <w:rPr>
      <w:b/>
      <w:bCs/>
      <w:sz w:val="20"/>
      <w:szCs w:val="20"/>
    </w:rPr>
  </w:style>
  <w:style w:type="paragraph" w:styleId="ListBullet">
    <w:name w:val="List Bullet"/>
    <w:basedOn w:val="Normal"/>
    <w:uiPriority w:val="99"/>
    <w:unhideWhenUsed/>
    <w:rsid w:val="00A27E43"/>
    <w:pPr>
      <w:numPr>
        <w:numId w:val="2"/>
      </w:numPr>
      <w:tabs>
        <w:tab w:val="clear" w:pos="360"/>
      </w:tabs>
      <w:ind w:left="584" w:hanging="35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10a292-e042-440d-aef8-ab5a9bd10e41" xsi:nil="true"/>
    <_Flow_SignoffStatus xmlns="f482729e-2cfb-42d6-a767-262eef245714" xsi:nil="true"/>
    <Comments xmlns="f482729e-2cfb-42d6-a767-262eef245714" xsi:nil="true"/>
    <lcf76f155ced4ddcb4097134ff3c332f xmlns="f482729e-2cfb-42d6-a767-262eef2457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E0E35EFD4F464680E6AF1C0D13EB20" ma:contentTypeVersion="20" ma:contentTypeDescription="Create a new document." ma:contentTypeScope="" ma:versionID="ddff67cb3d661b45dfa890f5a130603b">
  <xsd:schema xmlns:xsd="http://www.w3.org/2001/XMLSchema" xmlns:xs="http://www.w3.org/2001/XMLSchema" xmlns:p="http://schemas.microsoft.com/office/2006/metadata/properties" xmlns:ns2="f482729e-2cfb-42d6-a767-262eef245714" xmlns:ns3="2410a292-e042-440d-aef8-ab5a9bd10e41" targetNamespace="http://schemas.microsoft.com/office/2006/metadata/properties" ma:root="true" ma:fieldsID="082d54a1fefc0e8eea86bc908608d2b9" ns2:_="" ns3:_="">
    <xsd:import namespace="f482729e-2cfb-42d6-a767-262eef245714"/>
    <xsd:import namespace="2410a292-e042-440d-aef8-ab5a9bd10e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mments" minOccurs="0"/>
                <xsd:element ref="ns2:_Flow_SignoffStatu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2729e-2cfb-42d6-a767-262eef245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s" ma:index="14" nillable="true" ma:displayName="Comments " ma:description="STWG Draft for HW and NB input 08.10.21" ma:format="Dropdown" ma:internalName="Comments">
      <xsd:simpleType>
        <xsd:restriction base="dms:Note">
          <xsd:maxLength value="255"/>
        </xsd:restriction>
      </xsd:simpleType>
    </xsd:element>
    <xsd:element name="_Flow_SignoffStatus" ma:index="15" nillable="true" ma:displayName="Sign-off status" ma:internalName="Sign_x002d_off_x0020_status">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0a292-e042-440d-aef8-ab5a9bd10e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f512d8b-9c52-4944-9918-727092f52010}" ma:internalName="TaxCatchAll" ma:showField="CatchAllData" ma:web="2410a292-e042-440d-aef8-ab5a9bd10e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BD462E-6A31-433E-A5F8-2AA3A6B1E668}">
  <ds:schemaRefs>
    <ds:schemaRef ds:uri="http://schemas.microsoft.com/office/2006/metadata/properties"/>
    <ds:schemaRef ds:uri="http://schemas.microsoft.com/office/infopath/2007/PartnerControls"/>
    <ds:schemaRef ds:uri="2410a292-e042-440d-aef8-ab5a9bd10e41"/>
    <ds:schemaRef ds:uri="f482729e-2cfb-42d6-a767-262eef245714"/>
  </ds:schemaRefs>
</ds:datastoreItem>
</file>

<file path=customXml/itemProps2.xml><?xml version="1.0" encoding="utf-8"?>
<ds:datastoreItem xmlns:ds="http://schemas.openxmlformats.org/officeDocument/2006/customXml" ds:itemID="{5A2E13B4-A385-4B15-A141-F44502108F86}">
  <ds:schemaRefs>
    <ds:schemaRef ds:uri="http://schemas.microsoft.com/sharepoint/v3/contenttype/forms"/>
  </ds:schemaRefs>
</ds:datastoreItem>
</file>

<file path=customXml/itemProps3.xml><?xml version="1.0" encoding="utf-8"?>
<ds:datastoreItem xmlns:ds="http://schemas.openxmlformats.org/officeDocument/2006/customXml" ds:itemID="{A1271615-4878-40A3-8C54-92C23B520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82729e-2cfb-42d6-a767-262eef245714"/>
    <ds:schemaRef ds:uri="2410a292-e042-440d-aef8-ab5a9bd10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732</Words>
  <Characters>4359</Characters>
  <Application>Microsoft Office Word</Application>
  <DocSecurity>0</DocSecurity>
  <Lines>76</Lines>
  <Paragraphs>39</Paragraphs>
  <ScaleCrop>false</ScaleCrop>
  <HeadingPairs>
    <vt:vector size="2" baseType="variant">
      <vt:variant>
        <vt:lpstr>Title</vt:lpstr>
      </vt:variant>
      <vt:variant>
        <vt:i4>1</vt:i4>
      </vt:variant>
    </vt:vector>
  </HeadingPairs>
  <TitlesOfParts>
    <vt:vector size="1" baseType="lpstr">
      <vt:lpstr>Dementia Expert Reference Group (DERG) – Terms of reference</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Dementia Expert Reference Group (DERG) – Terms of reference</dc:title>
  <dc:subject>Aged care</dc:subject>
  <dc:creator>Australian Government Department of Health, Disability and Ageing</dc:creator>
  <cp:keywords>Aged Care; Dementia</cp:keywords>
  <dc:description/>
  <cp:lastModifiedBy>MASCHKE, Elvia</cp:lastModifiedBy>
  <cp:revision>5</cp:revision>
  <cp:lastPrinted>2025-06-30T02:03:00Z</cp:lastPrinted>
  <dcterms:created xsi:type="dcterms:W3CDTF">2025-06-29T23:08:00Z</dcterms:created>
  <dcterms:modified xsi:type="dcterms:W3CDTF">2025-06-30T02:04:00Z</dcterms:modified>
</cp:coreProperties>
</file>