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AE03" w14:textId="77777777" w:rsidR="00AE1CDB" w:rsidRPr="00812CE5" w:rsidRDefault="00AE1CDB" w:rsidP="001B13DC">
      <w:pPr>
        <w:pStyle w:val="Title"/>
      </w:pPr>
      <w:r w:rsidRPr="001B13DC">
        <w:t>Disability</w:t>
      </w:r>
      <w:r w:rsidRPr="00812CE5">
        <w:t xml:space="preserve"> Provider Alert</w:t>
      </w:r>
    </w:p>
    <w:p w14:paraId="4CDC62A2" w14:textId="222A1533" w:rsidR="00AE1CDB" w:rsidRPr="00812CE5" w:rsidRDefault="00C376DD" w:rsidP="00AE1CDB">
      <w:pPr>
        <w:rPr>
          <w:rFonts w:ascii="Arial" w:hAnsi="Arial" w:cs="Arial"/>
        </w:rPr>
      </w:pPr>
      <w:r>
        <w:rPr>
          <w:rFonts w:ascii="Arial" w:hAnsi="Arial" w:cs="Arial"/>
        </w:rPr>
        <w:t>June</w:t>
      </w:r>
      <w:r w:rsidR="00AE1CDB" w:rsidRPr="00812CE5">
        <w:rPr>
          <w:rFonts w:ascii="Arial" w:hAnsi="Arial" w:cs="Arial"/>
        </w:rPr>
        <w:t xml:space="preserve"> 2025</w:t>
      </w:r>
    </w:p>
    <w:p w14:paraId="3DC0CDE0" w14:textId="77777777" w:rsidR="00AE1CDB" w:rsidRPr="00E04C97" w:rsidRDefault="00AE1CDB" w:rsidP="001B13DC">
      <w:pPr>
        <w:pStyle w:val="Heading1"/>
      </w:pPr>
      <w:r w:rsidRPr="00E04C97">
        <w:t xml:space="preserve">2025 </w:t>
      </w:r>
      <w:r w:rsidRPr="001B13DC">
        <w:t>COVID</w:t>
      </w:r>
      <w:r w:rsidRPr="00E04C97">
        <w:t>-19 vaccine advice and recommendations</w:t>
      </w:r>
    </w:p>
    <w:p w14:paraId="28A6DFDF" w14:textId="5A450745" w:rsidR="00AE1CDB" w:rsidRPr="00812CE5" w:rsidRDefault="00AE1CDB" w:rsidP="00AE1CDB">
      <w:pPr>
        <w:rPr>
          <w:rFonts w:ascii="Arial" w:hAnsi="Arial" w:cs="Arial"/>
        </w:rPr>
      </w:pPr>
      <w:r w:rsidRPr="00812CE5">
        <w:rPr>
          <w:rFonts w:ascii="Arial" w:hAnsi="Arial" w:cs="Arial"/>
        </w:rPr>
        <w:t xml:space="preserve">In 2025, all adults can consider a COVID-19 vaccine </w:t>
      </w:r>
      <w:r w:rsidR="00366E06">
        <w:rPr>
          <w:rFonts w:ascii="Arial" w:hAnsi="Arial" w:cs="Arial"/>
        </w:rPr>
        <w:t>dose</w:t>
      </w:r>
      <w:r w:rsidRPr="00812CE5">
        <w:rPr>
          <w:rFonts w:ascii="Arial" w:hAnsi="Arial" w:cs="Arial"/>
        </w:rPr>
        <w:t xml:space="preserve"> depending on their age and health status.</w:t>
      </w:r>
    </w:p>
    <w:p w14:paraId="24E72B28" w14:textId="77777777" w:rsidR="00AE1CDB" w:rsidRPr="00812CE5" w:rsidRDefault="00AE1CDB" w:rsidP="00AE1CDB">
      <w:pPr>
        <w:rPr>
          <w:rFonts w:ascii="Arial" w:hAnsi="Arial" w:cs="Arial"/>
        </w:rPr>
      </w:pPr>
      <w:r w:rsidRPr="00812CE5">
        <w:rPr>
          <w:rFonts w:ascii="Arial" w:hAnsi="Arial" w:cs="Arial"/>
        </w:rPr>
        <w:t>The COVID-19 vaccine protects against severe illness and death, but this protection reduces over time. This means regular vaccinations are important for those most at risk of serious illness, particularly older adults and those with severe immunocompromise.</w:t>
      </w:r>
    </w:p>
    <w:p w14:paraId="536F5966" w14:textId="058F3086" w:rsidR="00AE1CDB" w:rsidRPr="00E04C97" w:rsidRDefault="00AE1CDB" w:rsidP="001B13DC">
      <w:pPr>
        <w:pStyle w:val="Heading2"/>
      </w:pPr>
      <w:r w:rsidRPr="00E04C97">
        <w:t xml:space="preserve">Timing of </w:t>
      </w:r>
      <w:r w:rsidRPr="001B13DC">
        <w:t>COVID</w:t>
      </w:r>
      <w:r w:rsidRPr="00E04C97">
        <w:t xml:space="preserve">-19 vaccine </w:t>
      </w:r>
      <w:r w:rsidR="00366E06">
        <w:t>doses</w:t>
      </w:r>
      <w:r w:rsidRPr="00E04C97">
        <w:t xml:space="preserve"> by age group and risk status</w:t>
      </w:r>
    </w:p>
    <w:tbl>
      <w:tblPr>
        <w:tblStyle w:val="TableGrid"/>
        <w:tblW w:w="5000" w:type="pct"/>
        <w:tblLook w:val="04A0" w:firstRow="1" w:lastRow="0" w:firstColumn="1" w:lastColumn="0" w:noHBand="0" w:noVBand="1"/>
        <w:tblCaption w:val="Timing of COVID-19 vaccine boosters by age group and risk status"/>
        <w:tblDescription w:val="Table shows that for people 75 years or older with or without severe immunocompromise, a booster is recommended every 6 months.&#10;&#10;For people aged 65 to 74 years with or without severe immunocompromise a booster is recommended every 12 months and they are eligible for a dose every 6 months.&#10;&#10;People 18 to 64 years with severe immunocompromise are recommended a booster every 12 months and eligible every 6 months. If they are not immunocompromised they are eligible for a dose every 12 months.&#10;&#10;People 5 to 17 years with severe immunocompromise are eligble for a booster every 12 months. If they are not immuncompromised, they are not recommended to have a booster.&#10;&#10;People aged less than 5 years are not recommended to have a booster."/>
      </w:tblPr>
      <w:tblGrid>
        <w:gridCol w:w="1414"/>
        <w:gridCol w:w="7602"/>
      </w:tblGrid>
      <w:tr w:rsidR="00FC2F1D" w:rsidRPr="00722071" w14:paraId="6A797440" w14:textId="77777777" w:rsidTr="001B13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pct"/>
            <w:hideMark/>
          </w:tcPr>
          <w:p w14:paraId="39B6A659" w14:textId="61452EA3" w:rsidR="00FC2F1D" w:rsidRPr="001B13DC" w:rsidRDefault="00FC2F1D" w:rsidP="001B13DC">
            <w:r w:rsidRPr="001B13DC">
              <w:t>Age</w:t>
            </w:r>
          </w:p>
        </w:tc>
        <w:tc>
          <w:tcPr>
            <w:tcW w:w="4216" w:type="pct"/>
            <w:hideMark/>
          </w:tcPr>
          <w:p w14:paraId="56829420" w14:textId="5636B6A1" w:rsidR="00FC2F1D" w:rsidRPr="001B13DC" w:rsidRDefault="00143F40" w:rsidP="001B13DC">
            <w:pPr>
              <w:cnfStyle w:val="100000000000" w:firstRow="1" w:lastRow="0" w:firstColumn="0" w:lastColumn="0" w:oddVBand="0" w:evenVBand="0" w:oddHBand="0" w:evenHBand="0" w:firstRowFirstColumn="0" w:firstRowLastColumn="0" w:lastRowFirstColumn="0" w:lastRowLastColumn="0"/>
            </w:pPr>
            <w:r w:rsidRPr="001B13DC">
              <w:t>Timing</w:t>
            </w:r>
          </w:p>
        </w:tc>
      </w:tr>
      <w:tr w:rsidR="00722071" w:rsidRPr="00722071" w14:paraId="20F36020" w14:textId="77777777" w:rsidTr="001B13DC">
        <w:trPr>
          <w:trHeight w:val="371"/>
        </w:trPr>
        <w:tc>
          <w:tcPr>
            <w:cnfStyle w:val="001000000000" w:firstRow="0" w:lastRow="0" w:firstColumn="1" w:lastColumn="0" w:oddVBand="0" w:evenVBand="0" w:oddHBand="0" w:evenHBand="0" w:firstRowFirstColumn="0" w:firstRowLastColumn="0" w:lastRowFirstColumn="0" w:lastRowLastColumn="0"/>
            <w:tcW w:w="784" w:type="pct"/>
          </w:tcPr>
          <w:p w14:paraId="506DB947" w14:textId="77777777" w:rsidR="00FB159B" w:rsidRPr="001B13DC" w:rsidRDefault="00FB159B" w:rsidP="001B13DC">
            <w:r w:rsidRPr="001B13DC">
              <w:t>≥ 75 years</w:t>
            </w:r>
          </w:p>
        </w:tc>
        <w:tc>
          <w:tcPr>
            <w:tcW w:w="4216" w:type="pct"/>
          </w:tcPr>
          <w:p w14:paraId="1C69C691" w14:textId="31C8A3AE" w:rsidR="00FB159B" w:rsidRPr="001B13DC" w:rsidRDefault="005031F8" w:rsidP="001B13DC">
            <w:pPr>
              <w:cnfStyle w:val="000000000000" w:firstRow="0" w:lastRow="0" w:firstColumn="0" w:lastColumn="0" w:oddVBand="0" w:evenVBand="0" w:oddHBand="0" w:evenHBand="0" w:firstRowFirstColumn="0" w:firstRowLastColumn="0" w:lastRowFirstColumn="0" w:lastRowLastColumn="0"/>
            </w:pPr>
            <w:r w:rsidRPr="001B13DC">
              <w:t>With or without severe immunocompromise - r</w:t>
            </w:r>
            <w:r w:rsidR="00FB159B" w:rsidRPr="001B13DC">
              <w:t>ecommended every 6 months</w:t>
            </w:r>
            <w:r w:rsidR="005874DE" w:rsidRPr="001B13DC">
              <w:t>.</w:t>
            </w:r>
          </w:p>
        </w:tc>
      </w:tr>
      <w:tr w:rsidR="00722071" w:rsidRPr="00722071" w14:paraId="11DE1B1D" w14:textId="77777777" w:rsidTr="001B13DC">
        <w:trPr>
          <w:trHeight w:val="420"/>
        </w:trPr>
        <w:tc>
          <w:tcPr>
            <w:cnfStyle w:val="001000000000" w:firstRow="0" w:lastRow="0" w:firstColumn="1" w:lastColumn="0" w:oddVBand="0" w:evenVBand="0" w:oddHBand="0" w:evenHBand="0" w:firstRowFirstColumn="0" w:firstRowLastColumn="0" w:lastRowFirstColumn="0" w:lastRowLastColumn="0"/>
            <w:tcW w:w="784" w:type="pct"/>
          </w:tcPr>
          <w:p w14:paraId="33BB6EFD" w14:textId="77777777" w:rsidR="00FB159B" w:rsidRPr="001B13DC" w:rsidRDefault="00FB159B" w:rsidP="001B13DC">
            <w:r w:rsidRPr="001B13DC">
              <w:t>65-74 years</w:t>
            </w:r>
          </w:p>
        </w:tc>
        <w:tc>
          <w:tcPr>
            <w:tcW w:w="4216" w:type="pct"/>
          </w:tcPr>
          <w:p w14:paraId="389D9EB3" w14:textId="793C2313" w:rsidR="00FB159B" w:rsidRPr="001B13DC" w:rsidRDefault="00FC2F1D" w:rsidP="001B13DC">
            <w:pPr>
              <w:cnfStyle w:val="000000000000" w:firstRow="0" w:lastRow="0" w:firstColumn="0" w:lastColumn="0" w:oddVBand="0" w:evenVBand="0" w:oddHBand="0" w:evenHBand="0" w:firstRowFirstColumn="0" w:firstRowLastColumn="0" w:lastRowFirstColumn="0" w:lastRowLastColumn="0"/>
            </w:pPr>
            <w:r w:rsidRPr="001B13DC">
              <w:t>With or without severe immunocompromise - r</w:t>
            </w:r>
            <w:r w:rsidR="00FB159B" w:rsidRPr="001B13DC">
              <w:t>ecommended every 12 months and eligible for a dose every 6 months</w:t>
            </w:r>
            <w:r w:rsidR="005874DE" w:rsidRPr="001B13DC">
              <w:t>.</w:t>
            </w:r>
          </w:p>
        </w:tc>
      </w:tr>
      <w:tr w:rsidR="005874DE" w:rsidRPr="00722071" w14:paraId="04159289" w14:textId="77777777" w:rsidTr="001B13DC">
        <w:tc>
          <w:tcPr>
            <w:cnfStyle w:val="001000000000" w:firstRow="0" w:lastRow="0" w:firstColumn="1" w:lastColumn="0" w:oddVBand="0" w:evenVBand="0" w:oddHBand="0" w:evenHBand="0" w:firstRowFirstColumn="0" w:firstRowLastColumn="0" w:lastRowFirstColumn="0" w:lastRowLastColumn="0"/>
            <w:tcW w:w="784" w:type="pct"/>
          </w:tcPr>
          <w:p w14:paraId="10C2D219" w14:textId="77777777" w:rsidR="005874DE" w:rsidRPr="001B13DC" w:rsidRDefault="005874DE" w:rsidP="001B13DC">
            <w:r w:rsidRPr="001B13DC">
              <w:t>18-64 years</w:t>
            </w:r>
          </w:p>
        </w:tc>
        <w:tc>
          <w:tcPr>
            <w:tcW w:w="4216" w:type="pct"/>
          </w:tcPr>
          <w:p w14:paraId="3E3DFA80" w14:textId="2AB8EDEC" w:rsidR="005874DE" w:rsidRPr="001B13DC" w:rsidRDefault="005874DE" w:rsidP="001B13DC">
            <w:pPr>
              <w:cnfStyle w:val="000000000000" w:firstRow="0" w:lastRow="0" w:firstColumn="0" w:lastColumn="0" w:oddVBand="0" w:evenVBand="0" w:oddHBand="0" w:evenHBand="0" w:firstRowFirstColumn="0" w:firstRowLastColumn="0" w:lastRowFirstColumn="0" w:lastRowLastColumn="0"/>
            </w:pPr>
            <w:r w:rsidRPr="001B13DC">
              <w:t>With severe immunocompromise - recommended every 12 months and eligible for a dose every 6 months.</w:t>
            </w:r>
          </w:p>
          <w:p w14:paraId="0E05803E" w14:textId="131A7A14" w:rsidR="005874DE" w:rsidRPr="001B13DC" w:rsidRDefault="005874DE" w:rsidP="001B13DC">
            <w:pPr>
              <w:cnfStyle w:val="000000000000" w:firstRow="0" w:lastRow="0" w:firstColumn="0" w:lastColumn="0" w:oddVBand="0" w:evenVBand="0" w:oddHBand="0" w:evenHBand="0" w:firstRowFirstColumn="0" w:firstRowLastColumn="0" w:lastRowFirstColumn="0" w:lastRowLastColumn="0"/>
            </w:pPr>
            <w:r w:rsidRPr="001B13DC">
              <w:t>Without severe immunocompromise – eligible for a dose every 12 months.</w:t>
            </w:r>
          </w:p>
        </w:tc>
      </w:tr>
      <w:tr w:rsidR="005874DE" w:rsidRPr="00722071" w14:paraId="73B8AFF3" w14:textId="77777777" w:rsidTr="001B13DC">
        <w:trPr>
          <w:trHeight w:val="417"/>
        </w:trPr>
        <w:tc>
          <w:tcPr>
            <w:cnfStyle w:val="001000000000" w:firstRow="0" w:lastRow="0" w:firstColumn="1" w:lastColumn="0" w:oddVBand="0" w:evenVBand="0" w:oddHBand="0" w:evenHBand="0" w:firstRowFirstColumn="0" w:firstRowLastColumn="0" w:lastRowFirstColumn="0" w:lastRowLastColumn="0"/>
            <w:tcW w:w="784" w:type="pct"/>
          </w:tcPr>
          <w:p w14:paraId="4AA3343C" w14:textId="77777777" w:rsidR="005874DE" w:rsidRPr="001B13DC" w:rsidRDefault="005874DE" w:rsidP="001B13DC">
            <w:r w:rsidRPr="001B13DC">
              <w:t>5-17 years</w:t>
            </w:r>
          </w:p>
        </w:tc>
        <w:tc>
          <w:tcPr>
            <w:tcW w:w="4216" w:type="pct"/>
          </w:tcPr>
          <w:p w14:paraId="6873CB75" w14:textId="138C39B9" w:rsidR="005874DE" w:rsidRPr="001B13DC" w:rsidRDefault="005874DE" w:rsidP="001B13DC">
            <w:pPr>
              <w:cnfStyle w:val="000000000000" w:firstRow="0" w:lastRow="0" w:firstColumn="0" w:lastColumn="0" w:oddVBand="0" w:evenVBand="0" w:oddHBand="0" w:evenHBand="0" w:firstRowFirstColumn="0" w:firstRowLastColumn="0" w:lastRowFirstColumn="0" w:lastRowLastColumn="0"/>
            </w:pPr>
            <w:r w:rsidRPr="001B13DC">
              <w:t>With severe immunocompromise - eligible every 12 months.</w:t>
            </w:r>
          </w:p>
          <w:p w14:paraId="16B68929" w14:textId="48D5B160" w:rsidR="005874DE" w:rsidRPr="001B13DC" w:rsidRDefault="005874DE" w:rsidP="001B13DC">
            <w:pPr>
              <w:cnfStyle w:val="000000000000" w:firstRow="0" w:lastRow="0" w:firstColumn="0" w:lastColumn="0" w:oddVBand="0" w:evenVBand="0" w:oddHBand="0" w:evenHBand="0" w:firstRowFirstColumn="0" w:firstRowLastColumn="0" w:lastRowFirstColumn="0" w:lastRowLastColumn="0"/>
            </w:pPr>
            <w:r w:rsidRPr="001B13DC">
              <w:t>Without severe immunocompromise - not recommended.</w:t>
            </w:r>
          </w:p>
        </w:tc>
      </w:tr>
      <w:tr w:rsidR="00722071" w:rsidRPr="00722071" w14:paraId="2EFAF87C" w14:textId="77777777" w:rsidTr="001B13DC">
        <w:trPr>
          <w:trHeight w:val="410"/>
        </w:trPr>
        <w:tc>
          <w:tcPr>
            <w:cnfStyle w:val="001000000000" w:firstRow="0" w:lastRow="0" w:firstColumn="1" w:lastColumn="0" w:oddVBand="0" w:evenVBand="0" w:oddHBand="0" w:evenHBand="0" w:firstRowFirstColumn="0" w:firstRowLastColumn="0" w:lastRowFirstColumn="0" w:lastRowLastColumn="0"/>
            <w:tcW w:w="784" w:type="pct"/>
          </w:tcPr>
          <w:p w14:paraId="0F42F71D" w14:textId="77777777" w:rsidR="00FB159B" w:rsidRPr="001B13DC" w:rsidRDefault="00FB159B" w:rsidP="001B13DC">
            <w:r w:rsidRPr="001B13DC">
              <w:t>&lt;5 years</w:t>
            </w:r>
          </w:p>
        </w:tc>
        <w:tc>
          <w:tcPr>
            <w:tcW w:w="4216" w:type="pct"/>
          </w:tcPr>
          <w:p w14:paraId="170ED480" w14:textId="49107A99" w:rsidR="00FB159B" w:rsidRPr="001B13DC" w:rsidRDefault="005874DE" w:rsidP="001B13DC">
            <w:pPr>
              <w:cnfStyle w:val="000000000000" w:firstRow="0" w:lastRow="0" w:firstColumn="0" w:lastColumn="0" w:oddVBand="0" w:evenVBand="0" w:oddHBand="0" w:evenHBand="0" w:firstRowFirstColumn="0" w:firstRowLastColumn="0" w:lastRowFirstColumn="0" w:lastRowLastColumn="0"/>
            </w:pPr>
            <w:r w:rsidRPr="001B13DC">
              <w:t>With or without severe immunocompromise - n</w:t>
            </w:r>
            <w:r w:rsidR="00FB159B" w:rsidRPr="001B13DC">
              <w:t>ot recommended</w:t>
            </w:r>
            <w:r w:rsidRPr="001B13DC">
              <w:t>.</w:t>
            </w:r>
          </w:p>
        </w:tc>
      </w:tr>
    </w:tbl>
    <w:p w14:paraId="3C8DEF54" w14:textId="77777777" w:rsidR="00AE1CDB" w:rsidRPr="00812CE5" w:rsidRDefault="00AE1CDB" w:rsidP="00AE1CDB">
      <w:pPr>
        <w:rPr>
          <w:rFonts w:ascii="Arial" w:hAnsi="Arial" w:cs="Arial"/>
        </w:rPr>
      </w:pPr>
      <w:r w:rsidRPr="00812CE5">
        <w:rPr>
          <w:rFonts w:ascii="Arial" w:hAnsi="Arial" w:cs="Arial"/>
        </w:rPr>
        <w:t>#for details refer to the Australian Immunisation Handbook</w:t>
      </w:r>
    </w:p>
    <w:p w14:paraId="2C2332F2" w14:textId="77777777" w:rsidR="00AE1CDB" w:rsidRPr="00812CE5" w:rsidRDefault="00AE1CDB" w:rsidP="00AE1CDB">
      <w:pPr>
        <w:rPr>
          <w:rFonts w:ascii="Arial" w:hAnsi="Arial" w:cs="Arial"/>
        </w:rPr>
      </w:pPr>
      <w:r w:rsidRPr="00812CE5">
        <w:rPr>
          <w:rFonts w:ascii="Arial" w:hAnsi="Arial" w:cs="Arial"/>
        </w:rPr>
        <w:t xml:space="preserve">People can use the Department’s online eligibility checker to work out </w:t>
      </w:r>
      <w:proofErr w:type="gramStart"/>
      <w:r w:rsidRPr="00812CE5">
        <w:rPr>
          <w:rFonts w:ascii="Arial" w:hAnsi="Arial" w:cs="Arial"/>
        </w:rPr>
        <w:t>if and when</w:t>
      </w:r>
      <w:proofErr w:type="gramEnd"/>
      <w:r w:rsidRPr="00812CE5">
        <w:rPr>
          <w:rFonts w:ascii="Arial" w:hAnsi="Arial" w:cs="Arial"/>
        </w:rPr>
        <w:t xml:space="preserve"> they are eligible for a COVID-19 vaccination. This does not replace advice from health professionals. People should still speak with their health professional about COVID-19 vaccination.</w:t>
      </w:r>
    </w:p>
    <w:p w14:paraId="5D66480D" w14:textId="4424382D" w:rsidR="00AE1CDB" w:rsidRPr="00812CE5" w:rsidRDefault="00AE1CDB" w:rsidP="00AE1CDB">
      <w:pPr>
        <w:rPr>
          <w:rFonts w:ascii="Arial" w:hAnsi="Arial" w:cs="Arial"/>
        </w:rPr>
      </w:pPr>
      <w:r w:rsidRPr="00812CE5">
        <w:rPr>
          <w:rFonts w:ascii="Arial" w:hAnsi="Arial" w:cs="Arial"/>
        </w:rPr>
        <w:t>It is important to remember when considering a COVID-19 vaccination</w:t>
      </w:r>
      <w:r w:rsidR="008B4E64">
        <w:rPr>
          <w:rFonts w:ascii="Arial" w:hAnsi="Arial" w:cs="Arial"/>
        </w:rPr>
        <w:t xml:space="preserve"> that</w:t>
      </w:r>
      <w:r w:rsidRPr="00812CE5">
        <w:rPr>
          <w:rFonts w:ascii="Arial" w:hAnsi="Arial" w:cs="Arial"/>
        </w:rPr>
        <w:t>:</w:t>
      </w:r>
    </w:p>
    <w:p w14:paraId="37E70845" w14:textId="16EBF6A4" w:rsidR="00AE1CDB" w:rsidRPr="00322AD1" w:rsidRDefault="00AE1CDB" w:rsidP="00322AD1">
      <w:pPr>
        <w:pStyle w:val="ListParagraph"/>
        <w:numPr>
          <w:ilvl w:val="0"/>
          <w:numId w:val="1"/>
        </w:numPr>
        <w:rPr>
          <w:rFonts w:ascii="Arial" w:hAnsi="Arial" w:cs="Arial"/>
        </w:rPr>
      </w:pPr>
      <w:r w:rsidRPr="00322AD1">
        <w:rPr>
          <w:rFonts w:ascii="Arial" w:hAnsi="Arial" w:cs="Arial"/>
        </w:rPr>
        <w:t>you do not need to wait a minimum time between your last COVID-19 infection and having your recommended COVID</w:t>
      </w:r>
      <w:r w:rsidR="005B44AA">
        <w:rPr>
          <w:rFonts w:ascii="Arial" w:hAnsi="Arial" w:cs="Arial"/>
        </w:rPr>
        <w:t>-19</w:t>
      </w:r>
      <w:r w:rsidRPr="00322AD1">
        <w:rPr>
          <w:rFonts w:ascii="Arial" w:hAnsi="Arial" w:cs="Arial"/>
        </w:rPr>
        <w:t xml:space="preserve"> vaccination.</w:t>
      </w:r>
    </w:p>
    <w:p w14:paraId="353507F9" w14:textId="18AFF84F" w:rsidR="00AE1CDB" w:rsidRPr="00322AD1" w:rsidRDefault="00AE1CDB" w:rsidP="00322AD1">
      <w:pPr>
        <w:pStyle w:val="ListParagraph"/>
        <w:numPr>
          <w:ilvl w:val="0"/>
          <w:numId w:val="1"/>
        </w:numPr>
        <w:rPr>
          <w:rFonts w:ascii="Arial" w:hAnsi="Arial" w:cs="Arial"/>
        </w:rPr>
      </w:pPr>
      <w:r w:rsidRPr="00322AD1">
        <w:rPr>
          <w:rFonts w:ascii="Arial" w:hAnsi="Arial" w:cs="Arial"/>
        </w:rPr>
        <w:t>it is safe to get your COVID-19 and annual flu vaccines at the same time.</w:t>
      </w:r>
    </w:p>
    <w:p w14:paraId="4E7FAB2E" w14:textId="77777777" w:rsidR="00AE1CDB" w:rsidRPr="00E04C97" w:rsidRDefault="00AE1CDB" w:rsidP="001B13DC">
      <w:pPr>
        <w:pStyle w:val="Heading1"/>
      </w:pPr>
      <w:r w:rsidRPr="00E04C97">
        <w:t>How to get a COVID-19 vaccination</w:t>
      </w:r>
    </w:p>
    <w:p w14:paraId="12D6E7BE" w14:textId="2C2B1283" w:rsidR="00AE1CDB" w:rsidRPr="00812CE5" w:rsidRDefault="00AE1CDB" w:rsidP="00AE1CDB">
      <w:pPr>
        <w:rPr>
          <w:rFonts w:ascii="Arial" w:hAnsi="Arial" w:cs="Arial"/>
        </w:rPr>
      </w:pPr>
      <w:r w:rsidRPr="00812CE5">
        <w:rPr>
          <w:rFonts w:ascii="Arial" w:hAnsi="Arial" w:cs="Arial"/>
        </w:rPr>
        <w:t>People can find a clinic and book their COVID-19 vaccination using the Health Direct Service Finder or the Disability Gateway.</w:t>
      </w:r>
    </w:p>
    <w:p w14:paraId="093752EF" w14:textId="16633B6A" w:rsidR="00AE1CDB" w:rsidRPr="00812CE5" w:rsidRDefault="00AE1CDB" w:rsidP="00AE1CDB">
      <w:pPr>
        <w:rPr>
          <w:rFonts w:ascii="Arial" w:hAnsi="Arial" w:cs="Arial"/>
        </w:rPr>
      </w:pPr>
      <w:r w:rsidRPr="00812CE5">
        <w:rPr>
          <w:rFonts w:ascii="Arial" w:hAnsi="Arial" w:cs="Arial"/>
        </w:rPr>
        <w:t>It is important that people with disability in residential accommodation settings can get COVID-19 vaccinations.</w:t>
      </w:r>
    </w:p>
    <w:p w14:paraId="2A7553FF" w14:textId="77777777" w:rsidR="00AE1CDB" w:rsidRPr="00812CE5" w:rsidRDefault="00AE1CDB" w:rsidP="00AE1CDB">
      <w:pPr>
        <w:rPr>
          <w:rFonts w:ascii="Arial" w:hAnsi="Arial" w:cs="Arial"/>
        </w:rPr>
      </w:pPr>
      <w:r w:rsidRPr="00812CE5">
        <w:rPr>
          <w:rFonts w:ascii="Arial" w:hAnsi="Arial" w:cs="Arial"/>
        </w:rPr>
        <w:t>If you provide live-in disability residential accommodation, a primary care vaccination service can visit your facility if you cannot use another service. Contact your Primary Health Network for help finding primary care vaccination options, including in-reach services provided on site.</w:t>
      </w:r>
    </w:p>
    <w:p w14:paraId="722427D0" w14:textId="77777777" w:rsidR="00AE1CDB" w:rsidRPr="00812CE5" w:rsidRDefault="00AE1CDB" w:rsidP="00AE1CDB">
      <w:pPr>
        <w:rPr>
          <w:rFonts w:ascii="Arial" w:hAnsi="Arial" w:cs="Arial"/>
        </w:rPr>
      </w:pPr>
      <w:r w:rsidRPr="00812CE5">
        <w:rPr>
          <w:rFonts w:ascii="Arial" w:hAnsi="Arial" w:cs="Arial"/>
        </w:rPr>
        <w:lastRenderedPageBreak/>
        <w:t>For any other questions about COVID-19 vaccinations, email the Department’s COVID-19 Vaccine - Disability team.</w:t>
      </w:r>
    </w:p>
    <w:p w14:paraId="70185005" w14:textId="77777777" w:rsidR="00AE1CDB" w:rsidRPr="00E04C97" w:rsidRDefault="00AE1CDB" w:rsidP="001B13DC">
      <w:pPr>
        <w:pStyle w:val="Heading1"/>
      </w:pPr>
      <w:r w:rsidRPr="00E04C97">
        <w:t>COVID-19 vaccine information flyers</w:t>
      </w:r>
    </w:p>
    <w:p w14:paraId="6FC2BA96" w14:textId="1FEB2F9B" w:rsidR="00AE1CDB" w:rsidRPr="00812CE5" w:rsidRDefault="00AE1CDB" w:rsidP="00AE1CDB">
      <w:pPr>
        <w:rPr>
          <w:rFonts w:ascii="Arial" w:hAnsi="Arial" w:cs="Arial"/>
        </w:rPr>
      </w:pPr>
      <w:r w:rsidRPr="00812CE5">
        <w:rPr>
          <w:rFonts w:ascii="Arial" w:hAnsi="Arial" w:cs="Arial"/>
        </w:rPr>
        <w:t>The Department of Health</w:t>
      </w:r>
      <w:r w:rsidR="00FE4749">
        <w:rPr>
          <w:rFonts w:ascii="Arial" w:hAnsi="Arial" w:cs="Arial"/>
        </w:rPr>
        <w:t xml:space="preserve">, Disability and Ageing </w:t>
      </w:r>
      <w:r w:rsidRPr="00812CE5">
        <w:rPr>
          <w:rFonts w:ascii="Arial" w:hAnsi="Arial" w:cs="Arial"/>
        </w:rPr>
        <w:t xml:space="preserve">has published two flyers about the 2025 COVID-19 </w:t>
      </w:r>
      <w:r w:rsidR="00DD65FC">
        <w:rPr>
          <w:rFonts w:ascii="Arial" w:hAnsi="Arial" w:cs="Arial"/>
        </w:rPr>
        <w:t>vaccines</w:t>
      </w:r>
      <w:r w:rsidRPr="00812CE5">
        <w:rPr>
          <w:rFonts w:ascii="Arial" w:hAnsi="Arial" w:cs="Arial"/>
        </w:rPr>
        <w:t>, including how to book a vaccination appointment</w:t>
      </w:r>
      <w:r w:rsidR="00A63084">
        <w:rPr>
          <w:rFonts w:ascii="Arial" w:hAnsi="Arial" w:cs="Arial"/>
        </w:rPr>
        <w:t xml:space="preserve"> for</w:t>
      </w:r>
      <w:r w:rsidRPr="00812CE5">
        <w:rPr>
          <w:rFonts w:ascii="Arial" w:hAnsi="Arial" w:cs="Arial"/>
        </w:rPr>
        <w:t>:</w:t>
      </w:r>
    </w:p>
    <w:p w14:paraId="1C7D068E" w14:textId="5195F6D7" w:rsidR="00AE1CDB" w:rsidRPr="00322AD1" w:rsidRDefault="00AE1CDB" w:rsidP="00322AD1">
      <w:pPr>
        <w:pStyle w:val="ListParagraph"/>
        <w:numPr>
          <w:ilvl w:val="0"/>
          <w:numId w:val="2"/>
        </w:numPr>
        <w:rPr>
          <w:rFonts w:ascii="Arial" w:hAnsi="Arial" w:cs="Arial"/>
        </w:rPr>
      </w:pPr>
      <w:r w:rsidRPr="00322AD1">
        <w:rPr>
          <w:rFonts w:ascii="Arial" w:hAnsi="Arial" w:cs="Arial"/>
        </w:rPr>
        <w:t>disability service providers and</w:t>
      </w:r>
    </w:p>
    <w:p w14:paraId="03712505" w14:textId="175E5999" w:rsidR="00AE1CDB" w:rsidRPr="00322AD1" w:rsidRDefault="00AE1CDB" w:rsidP="00322AD1">
      <w:pPr>
        <w:pStyle w:val="ListParagraph"/>
        <w:numPr>
          <w:ilvl w:val="0"/>
          <w:numId w:val="2"/>
        </w:numPr>
        <w:rPr>
          <w:rFonts w:ascii="Arial" w:hAnsi="Arial" w:cs="Arial"/>
        </w:rPr>
      </w:pPr>
      <w:r w:rsidRPr="00322AD1">
        <w:rPr>
          <w:rFonts w:ascii="Arial" w:hAnsi="Arial" w:cs="Arial"/>
        </w:rPr>
        <w:t xml:space="preserve">people with disability, their </w:t>
      </w:r>
      <w:proofErr w:type="spellStart"/>
      <w:r w:rsidRPr="00322AD1">
        <w:rPr>
          <w:rFonts w:ascii="Arial" w:hAnsi="Arial" w:cs="Arial"/>
        </w:rPr>
        <w:t>carers</w:t>
      </w:r>
      <w:proofErr w:type="spellEnd"/>
      <w:r w:rsidR="00322AD1">
        <w:rPr>
          <w:rFonts w:ascii="Arial" w:hAnsi="Arial" w:cs="Arial"/>
        </w:rPr>
        <w:t>,</w:t>
      </w:r>
      <w:r w:rsidRPr="00322AD1">
        <w:rPr>
          <w:rFonts w:ascii="Arial" w:hAnsi="Arial" w:cs="Arial"/>
        </w:rPr>
        <w:t xml:space="preserve"> and families.</w:t>
      </w:r>
    </w:p>
    <w:p w14:paraId="45144457" w14:textId="77777777" w:rsidR="00AE1CDB" w:rsidRPr="00E04C97" w:rsidRDefault="00AE1CDB" w:rsidP="001B13DC">
      <w:pPr>
        <w:pStyle w:val="Heading1"/>
      </w:pPr>
      <w:r w:rsidRPr="00E04C97">
        <w:t>COVID-19 stakeholder kit for disability service providers</w:t>
      </w:r>
    </w:p>
    <w:p w14:paraId="358E9DF7" w14:textId="47D019CA" w:rsidR="00AE1CDB" w:rsidRPr="00812CE5" w:rsidRDefault="00AE1CDB" w:rsidP="00AE1CDB">
      <w:pPr>
        <w:rPr>
          <w:rFonts w:ascii="Arial" w:hAnsi="Arial" w:cs="Arial"/>
        </w:rPr>
      </w:pPr>
      <w:r w:rsidRPr="00812CE5">
        <w:rPr>
          <w:rFonts w:ascii="Arial" w:hAnsi="Arial" w:cs="Arial"/>
        </w:rPr>
        <w:t>The COVID-19 Stakeholder Kit has information and resources to support disability service providers and organisations that deliver services to people with disability. The kit will help communicate the continued importance of preventive behaviours to mitigate the risks posed by COVID-19 during winter. It will help you locate shareable information, including links to videos and factsheets.</w:t>
      </w:r>
    </w:p>
    <w:p w14:paraId="3B4ED6D6" w14:textId="77777777" w:rsidR="00AE1CDB" w:rsidRPr="00812CE5" w:rsidRDefault="00AE1CDB" w:rsidP="00AE1CDB">
      <w:pPr>
        <w:rPr>
          <w:rFonts w:ascii="Arial" w:hAnsi="Arial" w:cs="Arial"/>
        </w:rPr>
      </w:pPr>
      <w:r w:rsidRPr="00812CE5">
        <w:rPr>
          <w:rFonts w:ascii="Arial" w:hAnsi="Arial" w:cs="Arial"/>
        </w:rPr>
        <w:t>You can get the kit from the Disability Gateway under COVID-19 support.</w:t>
      </w:r>
    </w:p>
    <w:p w14:paraId="5A949BDE" w14:textId="77777777" w:rsidR="00AE1CDB" w:rsidRPr="00E04C97" w:rsidRDefault="00AE1CDB" w:rsidP="001B13DC">
      <w:pPr>
        <w:pStyle w:val="Heading1"/>
      </w:pPr>
      <w:r w:rsidRPr="00E04C97">
        <w:t>COVID-19 oral treatments for people with disability</w:t>
      </w:r>
    </w:p>
    <w:p w14:paraId="122C8278" w14:textId="77777777" w:rsidR="00AE1CDB" w:rsidRPr="00812CE5" w:rsidRDefault="00AE1CDB" w:rsidP="001B13DC">
      <w:r w:rsidRPr="00812CE5">
        <w:t xml:space="preserve">Oral antiviral treatments are most effective when started </w:t>
      </w:r>
      <w:proofErr w:type="gramStart"/>
      <w:r w:rsidRPr="00812CE5">
        <w:t>as soon as possible, and</w:t>
      </w:r>
      <w:proofErr w:type="gramEnd"/>
      <w:r w:rsidRPr="00812CE5">
        <w:t xml:space="preserve"> must be started within 5 days of symptoms starting or testing positive for COVID-19.</w:t>
      </w:r>
    </w:p>
    <w:p w14:paraId="509601DF" w14:textId="77777777" w:rsidR="00AE1CDB" w:rsidRPr="00812CE5" w:rsidRDefault="00AE1CDB" w:rsidP="00AE1CDB">
      <w:pPr>
        <w:rPr>
          <w:rFonts w:ascii="Arial" w:hAnsi="Arial" w:cs="Arial"/>
        </w:rPr>
      </w:pPr>
      <w:r w:rsidRPr="00812CE5">
        <w:rPr>
          <w:rFonts w:ascii="Arial" w:hAnsi="Arial" w:cs="Arial"/>
        </w:rPr>
        <w:t>People who are at higher risk of severe illness are encouraged to talk to their doctor or nurse practitioner before they get sick to discuss if a COVID-19 treatment will be right for them and develop a COVID-19 plan. This will assist in getting quick access to treatment when needed.</w:t>
      </w:r>
    </w:p>
    <w:p w14:paraId="25D29E68" w14:textId="77777777" w:rsidR="00AE1CDB" w:rsidRPr="00812CE5" w:rsidRDefault="00AE1CDB" w:rsidP="00AE1CDB">
      <w:pPr>
        <w:rPr>
          <w:rFonts w:ascii="Arial" w:hAnsi="Arial" w:cs="Arial"/>
        </w:rPr>
      </w:pPr>
      <w:r w:rsidRPr="00812CE5">
        <w:rPr>
          <w:rFonts w:ascii="Arial" w:hAnsi="Arial" w:cs="Arial"/>
        </w:rPr>
        <w:t>Eligible people who test positive to COVID-19 can get these medicines from their local community pharmacy on a prescription from a medical practitioner or an authorised nurse practitioner, in accordance with the PBS requirements.</w:t>
      </w:r>
    </w:p>
    <w:p w14:paraId="1C13BFD2" w14:textId="77777777" w:rsidR="00AE1CDB" w:rsidRPr="00812CE5" w:rsidRDefault="00AE1CDB" w:rsidP="00AE1CDB">
      <w:pPr>
        <w:rPr>
          <w:rFonts w:ascii="Arial" w:hAnsi="Arial" w:cs="Arial"/>
        </w:rPr>
      </w:pPr>
      <w:r w:rsidRPr="00812CE5">
        <w:rPr>
          <w:rFonts w:ascii="Arial" w:hAnsi="Arial" w:cs="Arial"/>
        </w:rPr>
        <w:t>People with swallowing difficulties (and their supporters) should discuss options for consuming COVID-19 oral treatments:</w:t>
      </w:r>
    </w:p>
    <w:p w14:paraId="3CB28C11" w14:textId="19126EB2" w:rsidR="00AE1CDB" w:rsidRPr="00322AD1" w:rsidRDefault="00AE1CDB" w:rsidP="00322AD1">
      <w:pPr>
        <w:pStyle w:val="ListParagraph"/>
        <w:numPr>
          <w:ilvl w:val="0"/>
          <w:numId w:val="3"/>
        </w:numPr>
        <w:rPr>
          <w:rFonts w:ascii="Arial" w:hAnsi="Arial" w:cs="Arial"/>
        </w:rPr>
      </w:pPr>
      <w:r w:rsidRPr="00322AD1">
        <w:rPr>
          <w:rFonts w:ascii="Arial" w:hAnsi="Arial" w:cs="Arial"/>
        </w:rPr>
        <w:t>with their doctor before they get sick, when discussing eligibility and if these medicines are suitable for them, and</w:t>
      </w:r>
    </w:p>
    <w:p w14:paraId="28B44B88" w14:textId="2D5FB3FA" w:rsidR="00AE1CDB" w:rsidRPr="00322AD1" w:rsidRDefault="00AE1CDB" w:rsidP="00322AD1">
      <w:pPr>
        <w:pStyle w:val="ListParagraph"/>
        <w:numPr>
          <w:ilvl w:val="0"/>
          <w:numId w:val="3"/>
        </w:numPr>
        <w:rPr>
          <w:rFonts w:ascii="Arial" w:hAnsi="Arial" w:cs="Arial"/>
        </w:rPr>
      </w:pPr>
      <w:r w:rsidRPr="00322AD1">
        <w:rPr>
          <w:rFonts w:ascii="Arial" w:hAnsi="Arial" w:cs="Arial"/>
        </w:rPr>
        <w:t>with the prescriber at the time of prescription.</w:t>
      </w:r>
    </w:p>
    <w:p w14:paraId="27C274B4" w14:textId="77777777" w:rsidR="00AE1CDB" w:rsidRPr="001B13DC" w:rsidRDefault="00AE1CDB" w:rsidP="001B13DC">
      <w:pPr>
        <w:rPr>
          <w:rStyle w:val="Strong"/>
        </w:rPr>
      </w:pPr>
      <w:r w:rsidRPr="001B13DC">
        <w:rPr>
          <w:rStyle w:val="Strong"/>
        </w:rPr>
        <w:t>Support for people with disability, providers, carers, and families Disability Gateway 1800 643 787, open 8 am to 8 pm, Monday to Friday.</w:t>
      </w:r>
    </w:p>
    <w:p w14:paraId="6A03DE20" w14:textId="562000E5" w:rsidR="00AE1CDB" w:rsidRPr="00812CE5" w:rsidRDefault="00AE1CDB" w:rsidP="001B13DC">
      <w:r w:rsidRPr="00812CE5">
        <w:t>Department of Health</w:t>
      </w:r>
      <w:r w:rsidR="00FE4749">
        <w:t xml:space="preserve">, Disability and Ageing </w:t>
      </w:r>
      <w:r w:rsidRPr="00812CE5">
        <w:t xml:space="preserve">website at </w:t>
      </w:r>
      <w:hyperlink r:id="rId10" w:history="1">
        <w:r w:rsidR="001B13DC" w:rsidRPr="001B13DC">
          <w:rPr>
            <w:rStyle w:val="Hyperlink"/>
            <w:rFonts w:ascii="Arial" w:hAnsi="Arial" w:cs="Arial"/>
          </w:rPr>
          <w:t>https://www.health.gov.au/</w:t>
        </w:r>
      </w:hyperlink>
    </w:p>
    <w:p w14:paraId="316D6F6E" w14:textId="77777777" w:rsidR="00AE1CDB" w:rsidRPr="00812CE5" w:rsidRDefault="00AE1CDB" w:rsidP="001B13DC">
      <w:r w:rsidRPr="00812CE5">
        <w:t>The Translating and Interpreting Service is available on 131 450.</w:t>
      </w:r>
    </w:p>
    <w:p w14:paraId="4E58A7D3" w14:textId="77777777" w:rsidR="00AE1CDB" w:rsidRPr="00812CE5" w:rsidRDefault="00AE1CDB" w:rsidP="001B13DC">
      <w:r w:rsidRPr="00812CE5">
        <w:t>For people who are deaf, or have a hearing or speech impairment, call the National Relay Service on 133 677.</w:t>
      </w:r>
    </w:p>
    <w:p w14:paraId="76CE760D" w14:textId="242F54A8" w:rsidR="00280050" w:rsidRPr="00812CE5" w:rsidRDefault="00AE1CDB" w:rsidP="001B13DC">
      <w:r w:rsidRPr="00812CE5">
        <w:t>Don't miss the latest news and updates about COVID-19 and other health matters – follow the Department of Health</w:t>
      </w:r>
      <w:r w:rsidR="00FE4749">
        <w:t xml:space="preserve">, Disability </w:t>
      </w:r>
      <w:r w:rsidRPr="00812CE5">
        <w:t>and Age</w:t>
      </w:r>
      <w:r w:rsidR="00FE4749">
        <w:t>ing</w:t>
      </w:r>
      <w:r w:rsidRPr="00812CE5">
        <w:t xml:space="preserve"> on Facebook.</w:t>
      </w:r>
    </w:p>
    <w:sectPr w:rsidR="00280050" w:rsidRPr="00812CE5" w:rsidSect="00451F8E">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EC72" w14:textId="77777777" w:rsidR="00AE540D" w:rsidRDefault="00AE540D" w:rsidP="00E63AA9">
      <w:pPr>
        <w:spacing w:after="0" w:line="240" w:lineRule="auto"/>
      </w:pPr>
      <w:r>
        <w:separator/>
      </w:r>
    </w:p>
    <w:p w14:paraId="387BAE07" w14:textId="77777777" w:rsidR="00AE540D" w:rsidRDefault="00AE540D"/>
  </w:endnote>
  <w:endnote w:type="continuationSeparator" w:id="0">
    <w:p w14:paraId="77094DDC" w14:textId="77777777" w:rsidR="00AE540D" w:rsidRDefault="00AE540D" w:rsidP="00E63AA9">
      <w:pPr>
        <w:spacing w:after="0" w:line="240" w:lineRule="auto"/>
      </w:pPr>
      <w:r>
        <w:continuationSeparator/>
      </w:r>
    </w:p>
    <w:p w14:paraId="3AFCF386" w14:textId="77777777" w:rsidR="00AE540D" w:rsidRDefault="00AE5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549895"/>
      <w:docPartObj>
        <w:docPartGallery w:val="Page Numbers (Bottom of Page)"/>
        <w:docPartUnique/>
      </w:docPartObj>
    </w:sdtPr>
    <w:sdtEndPr>
      <w:rPr>
        <w:rFonts w:ascii="Arial" w:hAnsi="Arial" w:cs="Arial"/>
        <w:noProof/>
        <w:szCs w:val="22"/>
      </w:rPr>
    </w:sdtEndPr>
    <w:sdtContent>
      <w:p w14:paraId="070263D7" w14:textId="13190C9C" w:rsidR="00000000" w:rsidRPr="001B13DC" w:rsidRDefault="00EC5B10" w:rsidP="001B13DC">
        <w:pPr>
          <w:pStyle w:val="Footer"/>
          <w:tabs>
            <w:tab w:val="left" w:pos="90"/>
          </w:tabs>
          <w:rPr>
            <w:rFonts w:ascii="Arial" w:hAnsi="Arial" w:cs="Arial"/>
            <w:szCs w:val="22"/>
          </w:rPr>
        </w:pPr>
        <w:r w:rsidRPr="00EC5B10">
          <w:rPr>
            <w:rFonts w:ascii="Arial" w:hAnsi="Arial" w:cs="Arial"/>
            <w:szCs w:val="22"/>
          </w:rPr>
          <w:t>health.gov.au/covid19-vaccines</w:t>
        </w:r>
        <w:r>
          <w:tab/>
        </w:r>
        <w:r>
          <w:tab/>
        </w:r>
        <w:r w:rsidRPr="00EC5B10">
          <w:rPr>
            <w:rFonts w:ascii="Arial" w:hAnsi="Arial" w:cs="Arial"/>
            <w:szCs w:val="22"/>
          </w:rPr>
          <w:t xml:space="preserve">Page </w:t>
        </w:r>
        <w:r w:rsidRPr="00EC5B10">
          <w:rPr>
            <w:rFonts w:ascii="Arial" w:hAnsi="Arial" w:cs="Arial"/>
            <w:szCs w:val="22"/>
          </w:rPr>
          <w:fldChar w:fldCharType="begin"/>
        </w:r>
        <w:r w:rsidRPr="00EC5B10">
          <w:rPr>
            <w:rFonts w:ascii="Arial" w:hAnsi="Arial" w:cs="Arial"/>
            <w:szCs w:val="22"/>
          </w:rPr>
          <w:instrText xml:space="preserve"> PAGE   \* MERGEFORMAT </w:instrText>
        </w:r>
        <w:r w:rsidRPr="00EC5B10">
          <w:rPr>
            <w:rFonts w:ascii="Arial" w:hAnsi="Arial" w:cs="Arial"/>
            <w:szCs w:val="22"/>
          </w:rPr>
          <w:fldChar w:fldCharType="separate"/>
        </w:r>
        <w:r w:rsidRPr="00EC5B10">
          <w:rPr>
            <w:rFonts w:ascii="Arial" w:hAnsi="Arial" w:cs="Arial"/>
            <w:noProof/>
            <w:szCs w:val="22"/>
          </w:rPr>
          <w:t>2</w:t>
        </w:r>
        <w:r w:rsidRPr="00EC5B10">
          <w:rPr>
            <w:rFonts w:ascii="Arial" w:hAnsi="Arial" w:cs="Arial"/>
            <w:noProof/>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A5BB" w14:textId="77777777" w:rsidR="00AE540D" w:rsidRDefault="00AE540D" w:rsidP="00E63AA9">
      <w:pPr>
        <w:spacing w:after="0" w:line="240" w:lineRule="auto"/>
      </w:pPr>
      <w:r>
        <w:separator/>
      </w:r>
    </w:p>
    <w:p w14:paraId="0D52E17C" w14:textId="77777777" w:rsidR="00AE540D" w:rsidRDefault="00AE540D"/>
  </w:footnote>
  <w:footnote w:type="continuationSeparator" w:id="0">
    <w:p w14:paraId="210CE3F4" w14:textId="77777777" w:rsidR="00AE540D" w:rsidRDefault="00AE540D" w:rsidP="00E63AA9">
      <w:pPr>
        <w:spacing w:after="0" w:line="240" w:lineRule="auto"/>
      </w:pPr>
      <w:r>
        <w:continuationSeparator/>
      </w:r>
    </w:p>
    <w:p w14:paraId="0691DCB0" w14:textId="77777777" w:rsidR="00AE540D" w:rsidRDefault="00AE54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D61F4"/>
    <w:multiLevelType w:val="hybridMultilevel"/>
    <w:tmpl w:val="4CF2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4D01BB"/>
    <w:multiLevelType w:val="hybridMultilevel"/>
    <w:tmpl w:val="1092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EC0019"/>
    <w:multiLevelType w:val="hybridMultilevel"/>
    <w:tmpl w:val="DF262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6070753">
    <w:abstractNumId w:val="0"/>
  </w:num>
  <w:num w:numId="2" w16cid:durableId="506100396">
    <w:abstractNumId w:val="1"/>
  </w:num>
  <w:num w:numId="3" w16cid:durableId="34277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DB"/>
    <w:rsid w:val="000A6B35"/>
    <w:rsid w:val="001036B5"/>
    <w:rsid w:val="00143F40"/>
    <w:rsid w:val="0018775E"/>
    <w:rsid w:val="001B13DC"/>
    <w:rsid w:val="00241A5C"/>
    <w:rsid w:val="00274DF1"/>
    <w:rsid w:val="0027533E"/>
    <w:rsid w:val="00280050"/>
    <w:rsid w:val="002835AF"/>
    <w:rsid w:val="002B4DD9"/>
    <w:rsid w:val="002F45BA"/>
    <w:rsid w:val="00322AD1"/>
    <w:rsid w:val="00360A48"/>
    <w:rsid w:val="00366E06"/>
    <w:rsid w:val="0037402C"/>
    <w:rsid w:val="00387B1E"/>
    <w:rsid w:val="003D3D65"/>
    <w:rsid w:val="00451F8E"/>
    <w:rsid w:val="00467A88"/>
    <w:rsid w:val="00495040"/>
    <w:rsid w:val="005031F8"/>
    <w:rsid w:val="005874DE"/>
    <w:rsid w:val="005B44AA"/>
    <w:rsid w:val="006643D0"/>
    <w:rsid w:val="006D7C66"/>
    <w:rsid w:val="007127BA"/>
    <w:rsid w:val="00717AFD"/>
    <w:rsid w:val="00722071"/>
    <w:rsid w:val="007344B2"/>
    <w:rsid w:val="00812CE5"/>
    <w:rsid w:val="00841D84"/>
    <w:rsid w:val="0089581B"/>
    <w:rsid w:val="008B4E64"/>
    <w:rsid w:val="00993086"/>
    <w:rsid w:val="009F1350"/>
    <w:rsid w:val="00A63084"/>
    <w:rsid w:val="00AA718C"/>
    <w:rsid w:val="00AE1CDB"/>
    <w:rsid w:val="00AE540D"/>
    <w:rsid w:val="00BB0CC2"/>
    <w:rsid w:val="00C376DD"/>
    <w:rsid w:val="00C945DD"/>
    <w:rsid w:val="00CA551E"/>
    <w:rsid w:val="00D722CB"/>
    <w:rsid w:val="00D8057E"/>
    <w:rsid w:val="00D8445C"/>
    <w:rsid w:val="00DD65FC"/>
    <w:rsid w:val="00DE1B1C"/>
    <w:rsid w:val="00DF5AA5"/>
    <w:rsid w:val="00E04C97"/>
    <w:rsid w:val="00E34A64"/>
    <w:rsid w:val="00E63AA9"/>
    <w:rsid w:val="00EC5B10"/>
    <w:rsid w:val="00F14D6C"/>
    <w:rsid w:val="00FB159B"/>
    <w:rsid w:val="00FC2F1D"/>
    <w:rsid w:val="00FE4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4857"/>
  <w15:chartTrackingRefBased/>
  <w15:docId w15:val="{F133D77D-B752-4561-A811-1AFA83A4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DC"/>
    <w:rPr>
      <w:rFonts w:asciiTheme="minorBidi" w:hAnsiTheme="minorBidi"/>
      <w:sz w:val="22"/>
    </w:rPr>
  </w:style>
  <w:style w:type="paragraph" w:styleId="Heading1">
    <w:name w:val="heading 1"/>
    <w:basedOn w:val="Normal"/>
    <w:next w:val="Normal"/>
    <w:link w:val="Heading1Char"/>
    <w:uiPriority w:val="9"/>
    <w:qFormat/>
    <w:rsid w:val="001B13DC"/>
    <w:pPr>
      <w:keepNext/>
      <w:keepLines/>
      <w:spacing w:before="360" w:after="80"/>
      <w:outlineLvl w:val="0"/>
    </w:pPr>
    <w:rPr>
      <w:rFonts w:ascii="Arial" w:eastAsiaTheme="majorEastAsia" w:hAnsi="Arial" w:cs="Arial"/>
      <w:sz w:val="40"/>
      <w:szCs w:val="40"/>
    </w:rPr>
  </w:style>
  <w:style w:type="paragraph" w:styleId="Heading2">
    <w:name w:val="heading 2"/>
    <w:basedOn w:val="Normal"/>
    <w:next w:val="Normal"/>
    <w:link w:val="Heading2Char"/>
    <w:uiPriority w:val="9"/>
    <w:unhideWhenUsed/>
    <w:qFormat/>
    <w:rsid w:val="001B13DC"/>
    <w:pPr>
      <w:keepNext/>
      <w:keepLines/>
      <w:spacing w:before="160" w:after="80"/>
      <w:outlineLvl w:val="1"/>
    </w:pPr>
    <w:rPr>
      <w:rFonts w:ascii="Arial" w:eastAsiaTheme="majorEastAsia" w:hAnsi="Arial" w:cs="Arial"/>
      <w:sz w:val="32"/>
      <w:szCs w:val="32"/>
    </w:rPr>
  </w:style>
  <w:style w:type="paragraph" w:styleId="Heading3">
    <w:name w:val="heading 3"/>
    <w:basedOn w:val="Normal"/>
    <w:next w:val="Normal"/>
    <w:link w:val="Heading3Char"/>
    <w:uiPriority w:val="9"/>
    <w:semiHidden/>
    <w:unhideWhenUsed/>
    <w:qFormat/>
    <w:rsid w:val="00AE1C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C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1C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1C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1C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1C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1C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3DC"/>
    <w:rPr>
      <w:rFonts w:ascii="Arial" w:eastAsiaTheme="majorEastAsia" w:hAnsi="Arial" w:cs="Arial"/>
      <w:sz w:val="40"/>
      <w:szCs w:val="40"/>
    </w:rPr>
  </w:style>
  <w:style w:type="character" w:customStyle="1" w:styleId="Heading2Char">
    <w:name w:val="Heading 2 Char"/>
    <w:basedOn w:val="DefaultParagraphFont"/>
    <w:link w:val="Heading2"/>
    <w:uiPriority w:val="9"/>
    <w:rsid w:val="001B13DC"/>
    <w:rPr>
      <w:rFonts w:ascii="Arial" w:eastAsiaTheme="majorEastAsia" w:hAnsi="Arial" w:cs="Arial"/>
      <w:sz w:val="32"/>
      <w:szCs w:val="32"/>
    </w:rPr>
  </w:style>
  <w:style w:type="character" w:customStyle="1" w:styleId="Heading3Char">
    <w:name w:val="Heading 3 Char"/>
    <w:basedOn w:val="DefaultParagraphFont"/>
    <w:link w:val="Heading3"/>
    <w:uiPriority w:val="9"/>
    <w:semiHidden/>
    <w:rsid w:val="00AE1C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C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1C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1C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1C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1C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1C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13DC"/>
    <w:pPr>
      <w:spacing w:after="8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rsid w:val="001B13DC"/>
    <w:rPr>
      <w:rFonts w:ascii="Arial" w:eastAsiaTheme="majorEastAsia" w:hAnsi="Arial" w:cs="Arial"/>
      <w:spacing w:val="-10"/>
      <w:kern w:val="28"/>
      <w:sz w:val="56"/>
      <w:szCs w:val="56"/>
    </w:rPr>
  </w:style>
  <w:style w:type="paragraph" w:styleId="Subtitle">
    <w:name w:val="Subtitle"/>
    <w:basedOn w:val="Normal"/>
    <w:next w:val="Normal"/>
    <w:link w:val="SubtitleChar"/>
    <w:uiPriority w:val="11"/>
    <w:qFormat/>
    <w:rsid w:val="00AE1C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C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1CDB"/>
    <w:pPr>
      <w:spacing w:before="160"/>
      <w:jc w:val="center"/>
    </w:pPr>
    <w:rPr>
      <w:i/>
      <w:iCs/>
      <w:color w:val="404040" w:themeColor="text1" w:themeTint="BF"/>
    </w:rPr>
  </w:style>
  <w:style w:type="character" w:customStyle="1" w:styleId="QuoteChar">
    <w:name w:val="Quote Char"/>
    <w:basedOn w:val="DefaultParagraphFont"/>
    <w:link w:val="Quote"/>
    <w:uiPriority w:val="29"/>
    <w:rsid w:val="00AE1CDB"/>
    <w:rPr>
      <w:i/>
      <w:iCs/>
      <w:color w:val="404040" w:themeColor="text1" w:themeTint="BF"/>
    </w:rPr>
  </w:style>
  <w:style w:type="paragraph" w:styleId="ListParagraph">
    <w:name w:val="List Paragraph"/>
    <w:basedOn w:val="Normal"/>
    <w:uiPriority w:val="34"/>
    <w:qFormat/>
    <w:rsid w:val="00AE1CDB"/>
    <w:pPr>
      <w:ind w:left="720"/>
      <w:contextualSpacing/>
    </w:pPr>
  </w:style>
  <w:style w:type="character" w:styleId="IntenseEmphasis">
    <w:name w:val="Intense Emphasis"/>
    <w:basedOn w:val="DefaultParagraphFont"/>
    <w:uiPriority w:val="21"/>
    <w:qFormat/>
    <w:rsid w:val="00AE1CDB"/>
    <w:rPr>
      <w:i/>
      <w:iCs/>
      <w:color w:val="0F4761" w:themeColor="accent1" w:themeShade="BF"/>
    </w:rPr>
  </w:style>
  <w:style w:type="paragraph" w:styleId="IntenseQuote">
    <w:name w:val="Intense Quote"/>
    <w:basedOn w:val="Normal"/>
    <w:next w:val="Normal"/>
    <w:link w:val="IntenseQuoteChar"/>
    <w:uiPriority w:val="30"/>
    <w:qFormat/>
    <w:rsid w:val="00AE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CDB"/>
    <w:rPr>
      <w:i/>
      <w:iCs/>
      <w:color w:val="0F4761" w:themeColor="accent1" w:themeShade="BF"/>
    </w:rPr>
  </w:style>
  <w:style w:type="character" w:styleId="IntenseReference">
    <w:name w:val="Intense Reference"/>
    <w:basedOn w:val="DefaultParagraphFont"/>
    <w:uiPriority w:val="32"/>
    <w:qFormat/>
    <w:rsid w:val="00AE1CDB"/>
    <w:rPr>
      <w:b/>
      <w:bCs/>
      <w:smallCaps/>
      <w:color w:val="0F4761" w:themeColor="accent1" w:themeShade="BF"/>
      <w:spacing w:val="5"/>
    </w:rPr>
  </w:style>
  <w:style w:type="table" w:styleId="GridTable4-Accent1">
    <w:name w:val="Grid Table 4 Accent 1"/>
    <w:basedOn w:val="TableNormal"/>
    <w:uiPriority w:val="49"/>
    <w:rsid w:val="00FB159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E63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AA9"/>
  </w:style>
  <w:style w:type="paragraph" w:styleId="Footer">
    <w:name w:val="footer"/>
    <w:basedOn w:val="Normal"/>
    <w:link w:val="FooterChar"/>
    <w:uiPriority w:val="99"/>
    <w:unhideWhenUsed/>
    <w:rsid w:val="00E63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AA9"/>
  </w:style>
  <w:style w:type="character" w:styleId="Strong">
    <w:name w:val="Strong"/>
    <w:basedOn w:val="DefaultParagraphFont"/>
    <w:uiPriority w:val="22"/>
    <w:qFormat/>
    <w:rsid w:val="001B13DC"/>
    <w:rPr>
      <w:rFonts w:asciiTheme="minorBidi" w:hAnsiTheme="minorBidi"/>
      <w:b/>
      <w:bCs/>
    </w:rPr>
  </w:style>
  <w:style w:type="character" w:styleId="Hyperlink">
    <w:name w:val="Hyperlink"/>
    <w:basedOn w:val="DefaultParagraphFont"/>
    <w:uiPriority w:val="99"/>
    <w:unhideWhenUsed/>
    <w:rsid w:val="001B13DC"/>
    <w:rPr>
      <w:color w:val="467886" w:themeColor="hyperlink"/>
      <w:u w:val="single"/>
    </w:rPr>
  </w:style>
  <w:style w:type="character" w:styleId="UnresolvedMention">
    <w:name w:val="Unresolved Mention"/>
    <w:basedOn w:val="DefaultParagraphFont"/>
    <w:uiPriority w:val="99"/>
    <w:semiHidden/>
    <w:unhideWhenUsed/>
    <w:rsid w:val="001B13DC"/>
    <w:rPr>
      <w:color w:val="605E5C"/>
      <w:shd w:val="clear" w:color="auto" w:fill="E1DFDD"/>
    </w:rPr>
  </w:style>
  <w:style w:type="table" w:styleId="TableGrid">
    <w:name w:val="Table Grid"/>
    <w:basedOn w:val="TableNormal"/>
    <w:uiPriority w:val="39"/>
    <w:rsid w:val="007127BA"/>
    <w:pPr>
      <w:spacing w:after="0" w:line="240" w:lineRule="auto"/>
    </w:pPr>
    <w:rPr>
      <w:rFonts w:asciiTheme="minorBidi" w:hAnsi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Bidi" w:hAnsiTheme="minorBidi"/>
        <w:b/>
        <w:sz w:val="22"/>
      </w:rPr>
    </w:tblStylePr>
    <w:tblStylePr w:type="firstCol">
      <w:rPr>
        <w:rFonts w:asciiTheme="minorBidi" w:hAnsiTheme="minorBidi"/>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ealth.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60791-97F8-4E8E-9861-8E9266476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0BD918-B07B-41BD-AE95-388695E05261}">
  <ds:schemaRefs>
    <ds:schemaRef ds:uri="http://schemas.microsoft.com/sharepoint/v3/contenttype/forms"/>
  </ds:schemaRefs>
</ds:datastoreItem>
</file>

<file path=customXml/itemProps3.xml><?xml version="1.0" encoding="utf-8"?>
<ds:datastoreItem xmlns:ds="http://schemas.openxmlformats.org/officeDocument/2006/customXml" ds:itemID="{83F47A8B-8A61-444F-B647-05D80A676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719</Words>
  <Characters>4061</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COVID-19 disability provider alert June 2025</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disability provider alert June 2025</dc:title>
  <dc:subject>COVID-19</dc:subject>
  <dc:creator>Australian Government Department of Health, Disability and Ageing</dc:creator>
  <cp:keywords>COVID-19, vaccine, vaccinations,immunisation, booster, doses, disability</cp:keywords>
  <dc:description/>
  <cp:lastModifiedBy>MASCHKE, Elvia</cp:lastModifiedBy>
  <cp:revision>35</cp:revision>
  <dcterms:created xsi:type="dcterms:W3CDTF">2025-05-06T06:18:00Z</dcterms:created>
  <dcterms:modified xsi:type="dcterms:W3CDTF">2025-06-20T04:34:00Z</dcterms:modified>
</cp:coreProperties>
</file>