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F040" w14:textId="4BF0C28C" w:rsidR="00F40565" w:rsidRPr="00325519" w:rsidRDefault="00F40565" w:rsidP="00325519">
      <w:pPr>
        <w:pStyle w:val="Heading1"/>
      </w:pPr>
      <w:bookmarkStart w:id="0" w:name="_Toc201312643"/>
      <w:bookmarkStart w:id="1" w:name="_Toc201313034"/>
      <w:bookmarkStart w:id="2" w:name="_Toc201313203"/>
      <w:bookmarkStart w:id="3" w:name="_Toc201313486"/>
      <w:r w:rsidRPr="00325519">
        <w:t>National Cervical Screening Program –</w:t>
      </w:r>
      <w:bookmarkEnd w:id="0"/>
      <w:bookmarkEnd w:id="1"/>
      <w:bookmarkEnd w:id="2"/>
      <w:bookmarkEnd w:id="3"/>
      <w:r w:rsidRPr="00325519">
        <w:t xml:space="preserve"> </w:t>
      </w:r>
      <w:bookmarkStart w:id="4" w:name="_Toc201312644"/>
      <w:bookmarkStart w:id="5" w:name="_Toc201313035"/>
      <w:bookmarkStart w:id="6" w:name="_Toc201313204"/>
      <w:bookmarkStart w:id="7" w:name="_Toc201313487"/>
      <w:r w:rsidRPr="00325519">
        <w:t xml:space="preserve">Cervical </w:t>
      </w:r>
      <w:r w:rsidR="00313A0F" w:rsidRPr="00325519">
        <w:t>s</w:t>
      </w:r>
      <w:r w:rsidRPr="00325519">
        <w:t xml:space="preserve">creening for </w:t>
      </w:r>
      <w:r w:rsidR="00313A0F" w:rsidRPr="00325519">
        <w:t>t</w:t>
      </w:r>
      <w:r w:rsidRPr="00325519">
        <w:t xml:space="preserve">rans and </w:t>
      </w:r>
      <w:r w:rsidR="00313A0F" w:rsidRPr="00325519">
        <w:t>g</w:t>
      </w:r>
      <w:r w:rsidRPr="00325519">
        <w:t xml:space="preserve">ender </w:t>
      </w:r>
      <w:r w:rsidR="00313A0F" w:rsidRPr="00325519">
        <w:t>d</w:t>
      </w:r>
      <w:r w:rsidRPr="00325519">
        <w:t>iverse</w:t>
      </w:r>
      <w:r w:rsidR="00D273E7" w:rsidRPr="00325519">
        <w:t xml:space="preserve"> p</w:t>
      </w:r>
      <w:r w:rsidRPr="00325519">
        <w:t>eople</w:t>
      </w:r>
      <w:bookmarkEnd w:id="4"/>
      <w:bookmarkEnd w:id="5"/>
      <w:bookmarkEnd w:id="6"/>
      <w:bookmarkEnd w:id="7"/>
    </w:p>
    <w:p w14:paraId="2B300D2D" w14:textId="724FD17B" w:rsidR="00390E61" w:rsidRPr="00020AD8" w:rsidRDefault="00390E61" w:rsidP="00325519">
      <w:r w:rsidRPr="00020AD8">
        <w:t xml:space="preserve">This guide </w:t>
      </w:r>
      <w:r w:rsidR="00581A00" w:rsidRPr="00020AD8">
        <w:t>was</w:t>
      </w:r>
      <w:r w:rsidRPr="00020AD8">
        <w:t xml:space="preserve"> co-developed </w:t>
      </w:r>
      <w:r w:rsidR="00581A00" w:rsidRPr="00020AD8">
        <w:t>by</w:t>
      </w:r>
      <w:r w:rsidRPr="00020AD8">
        <w:t>:</w:t>
      </w:r>
    </w:p>
    <w:p w14:paraId="6D763696" w14:textId="77777777" w:rsidR="00390E61" w:rsidRPr="00020AD8" w:rsidRDefault="00390E61" w:rsidP="00325519">
      <w:pPr>
        <w:pStyle w:val="ListBullet"/>
      </w:pPr>
      <w:r w:rsidRPr="00020AD8">
        <w:t>The Australian Centre for the Prevention of Cervical Cancer (ACPCC)</w:t>
      </w:r>
    </w:p>
    <w:p w14:paraId="6B18FE05" w14:textId="77777777" w:rsidR="00390E61" w:rsidRPr="00020AD8" w:rsidRDefault="00390E61" w:rsidP="00325519">
      <w:pPr>
        <w:pStyle w:val="ListBullet"/>
      </w:pPr>
      <w:r w:rsidRPr="00020AD8">
        <w:t>ACON</w:t>
      </w:r>
    </w:p>
    <w:p w14:paraId="38D5E474" w14:textId="77777777" w:rsidR="00390E61" w:rsidRPr="00020AD8" w:rsidRDefault="00390E61" w:rsidP="00325519">
      <w:pPr>
        <w:pStyle w:val="ListBullet"/>
      </w:pPr>
      <w:proofErr w:type="spellStart"/>
      <w:r w:rsidRPr="00020AD8">
        <w:t>TransHUB</w:t>
      </w:r>
      <w:proofErr w:type="spellEnd"/>
    </w:p>
    <w:p w14:paraId="758A4C96" w14:textId="0EDF3AC9" w:rsidR="00CD6717" w:rsidRPr="00A51716" w:rsidRDefault="00E254B4" w:rsidP="00325519">
      <w:pPr>
        <w:pStyle w:val="TOAHeading"/>
      </w:pPr>
      <w:r w:rsidRPr="00A51716">
        <w:t>Contents</w:t>
      </w:r>
    </w:p>
    <w:p w14:paraId="708E2A8E" w14:textId="0443FF26" w:rsidR="0041043D" w:rsidRDefault="0041043D" w:rsidP="0041043D">
      <w:pPr>
        <w:pStyle w:val="TOC1"/>
        <w:rPr>
          <w:rFonts w:asciiTheme="minorHAnsi" w:eastAsiaTheme="minorEastAsia" w:hAnsiTheme="minorHAnsi" w:cstheme="minorBidi"/>
          <w:b w:val="0"/>
          <w:bCs w:val="0"/>
          <w:sz w:val="24"/>
          <w:szCs w:val="24"/>
          <w:lang w:eastAsia="en-AU"/>
        </w:rPr>
      </w:pPr>
      <w:r>
        <w:rPr>
          <w:b w:val="0"/>
          <w:bCs w:val="0"/>
          <w:sz w:val="28"/>
          <w:szCs w:val="28"/>
        </w:rPr>
        <w:fldChar w:fldCharType="begin"/>
      </w:r>
      <w:r>
        <w:rPr>
          <w:b w:val="0"/>
          <w:bCs w:val="0"/>
          <w:sz w:val="28"/>
          <w:szCs w:val="28"/>
        </w:rPr>
        <w:instrText xml:space="preserve"> TOC \o "1-3" \h \z \u </w:instrText>
      </w:r>
      <w:r>
        <w:rPr>
          <w:b w:val="0"/>
          <w:bCs w:val="0"/>
          <w:sz w:val="28"/>
          <w:szCs w:val="28"/>
        </w:rPr>
        <w:fldChar w:fldCharType="separate"/>
      </w:r>
      <w:hyperlink w:anchor="_Toc201313488" w:history="1">
        <w:r w:rsidRPr="007D0132">
          <w:rPr>
            <w:rStyle w:val="Hyperlink"/>
          </w:rPr>
          <w:t>Important Considerations</w:t>
        </w:r>
        <w:r>
          <w:rPr>
            <w:webHidden/>
          </w:rPr>
          <w:tab/>
        </w:r>
        <w:r>
          <w:rPr>
            <w:webHidden/>
          </w:rPr>
          <w:fldChar w:fldCharType="begin"/>
        </w:r>
        <w:r>
          <w:rPr>
            <w:webHidden/>
          </w:rPr>
          <w:instrText xml:space="preserve"> PAGEREF _Toc201313488 \h </w:instrText>
        </w:r>
        <w:r>
          <w:rPr>
            <w:webHidden/>
          </w:rPr>
        </w:r>
        <w:r>
          <w:rPr>
            <w:webHidden/>
          </w:rPr>
          <w:fldChar w:fldCharType="separate"/>
        </w:r>
        <w:r w:rsidR="00BE0CA2">
          <w:rPr>
            <w:webHidden/>
          </w:rPr>
          <w:t>1</w:t>
        </w:r>
        <w:r>
          <w:rPr>
            <w:webHidden/>
          </w:rPr>
          <w:fldChar w:fldCharType="end"/>
        </w:r>
      </w:hyperlink>
    </w:p>
    <w:p w14:paraId="19038B84" w14:textId="77DDD5AC" w:rsidR="0041043D" w:rsidRDefault="0041043D" w:rsidP="0041043D">
      <w:pPr>
        <w:pStyle w:val="TOC3"/>
        <w:rPr>
          <w:rFonts w:asciiTheme="minorHAnsi" w:eastAsiaTheme="minorEastAsia" w:hAnsiTheme="minorHAnsi" w:cstheme="minorBidi"/>
          <w:noProof/>
          <w:sz w:val="24"/>
          <w:szCs w:val="24"/>
          <w:lang w:eastAsia="en-AU"/>
        </w:rPr>
      </w:pPr>
      <w:hyperlink w:anchor="_Toc201313489" w:history="1">
        <w:r w:rsidRPr="007D0132">
          <w:rPr>
            <w:rStyle w:val="Hyperlink"/>
            <w:noProof/>
          </w:rPr>
          <w:t>Pronouns</w:t>
        </w:r>
        <w:r>
          <w:rPr>
            <w:noProof/>
            <w:webHidden/>
          </w:rPr>
          <w:tab/>
        </w:r>
        <w:r>
          <w:rPr>
            <w:noProof/>
            <w:webHidden/>
          </w:rPr>
          <w:fldChar w:fldCharType="begin"/>
        </w:r>
        <w:r>
          <w:rPr>
            <w:noProof/>
            <w:webHidden/>
          </w:rPr>
          <w:instrText xml:space="preserve"> PAGEREF _Toc201313489 \h </w:instrText>
        </w:r>
        <w:r>
          <w:rPr>
            <w:noProof/>
            <w:webHidden/>
          </w:rPr>
        </w:r>
        <w:r>
          <w:rPr>
            <w:noProof/>
            <w:webHidden/>
          </w:rPr>
          <w:fldChar w:fldCharType="separate"/>
        </w:r>
        <w:r w:rsidR="00BE0CA2">
          <w:rPr>
            <w:noProof/>
            <w:webHidden/>
          </w:rPr>
          <w:t>1</w:t>
        </w:r>
        <w:r>
          <w:rPr>
            <w:noProof/>
            <w:webHidden/>
          </w:rPr>
          <w:fldChar w:fldCharType="end"/>
        </w:r>
      </w:hyperlink>
    </w:p>
    <w:p w14:paraId="380BF93B" w14:textId="06FA691A" w:rsidR="0041043D" w:rsidRDefault="0041043D" w:rsidP="0041043D">
      <w:pPr>
        <w:pStyle w:val="TOC3"/>
        <w:rPr>
          <w:rFonts w:asciiTheme="minorHAnsi" w:eastAsiaTheme="minorEastAsia" w:hAnsiTheme="minorHAnsi" w:cstheme="minorBidi"/>
          <w:noProof/>
          <w:sz w:val="24"/>
          <w:szCs w:val="24"/>
          <w:lang w:eastAsia="en-AU"/>
        </w:rPr>
      </w:pPr>
      <w:hyperlink w:anchor="_Toc201313490" w:history="1">
        <w:r w:rsidRPr="007D0132">
          <w:rPr>
            <w:rStyle w:val="Hyperlink"/>
            <w:noProof/>
          </w:rPr>
          <w:t>Preferred term for genital area</w:t>
        </w:r>
        <w:r>
          <w:rPr>
            <w:noProof/>
            <w:webHidden/>
          </w:rPr>
          <w:tab/>
        </w:r>
        <w:r>
          <w:rPr>
            <w:noProof/>
            <w:webHidden/>
          </w:rPr>
          <w:fldChar w:fldCharType="begin"/>
        </w:r>
        <w:r>
          <w:rPr>
            <w:noProof/>
            <w:webHidden/>
          </w:rPr>
          <w:instrText xml:space="preserve"> PAGEREF _Toc201313490 \h </w:instrText>
        </w:r>
        <w:r>
          <w:rPr>
            <w:noProof/>
            <w:webHidden/>
          </w:rPr>
        </w:r>
        <w:r>
          <w:rPr>
            <w:noProof/>
            <w:webHidden/>
          </w:rPr>
          <w:fldChar w:fldCharType="separate"/>
        </w:r>
        <w:r w:rsidR="00BE0CA2">
          <w:rPr>
            <w:noProof/>
            <w:webHidden/>
          </w:rPr>
          <w:t>1</w:t>
        </w:r>
        <w:r>
          <w:rPr>
            <w:noProof/>
            <w:webHidden/>
          </w:rPr>
          <w:fldChar w:fldCharType="end"/>
        </w:r>
      </w:hyperlink>
    </w:p>
    <w:p w14:paraId="3E6521B4" w14:textId="1AAED877" w:rsidR="0041043D" w:rsidRDefault="0041043D" w:rsidP="0041043D">
      <w:pPr>
        <w:pStyle w:val="TOC3"/>
        <w:rPr>
          <w:rFonts w:asciiTheme="minorHAnsi" w:eastAsiaTheme="minorEastAsia" w:hAnsiTheme="minorHAnsi" w:cstheme="minorBidi"/>
          <w:noProof/>
          <w:sz w:val="24"/>
          <w:szCs w:val="24"/>
          <w:lang w:eastAsia="en-AU"/>
        </w:rPr>
      </w:pPr>
      <w:hyperlink w:anchor="_Toc201313491" w:history="1">
        <w:r w:rsidRPr="007D0132">
          <w:rPr>
            <w:rStyle w:val="Hyperlink"/>
            <w:noProof/>
          </w:rPr>
          <w:t>Previous experience with Cervical Screening Tests</w:t>
        </w:r>
        <w:r>
          <w:rPr>
            <w:noProof/>
            <w:webHidden/>
          </w:rPr>
          <w:tab/>
        </w:r>
        <w:r>
          <w:rPr>
            <w:noProof/>
            <w:webHidden/>
          </w:rPr>
          <w:fldChar w:fldCharType="begin"/>
        </w:r>
        <w:r>
          <w:rPr>
            <w:noProof/>
            <w:webHidden/>
          </w:rPr>
          <w:instrText xml:space="preserve"> PAGEREF _Toc201313491 \h </w:instrText>
        </w:r>
        <w:r>
          <w:rPr>
            <w:noProof/>
            <w:webHidden/>
          </w:rPr>
        </w:r>
        <w:r>
          <w:rPr>
            <w:noProof/>
            <w:webHidden/>
          </w:rPr>
          <w:fldChar w:fldCharType="separate"/>
        </w:r>
        <w:r w:rsidR="00BE0CA2">
          <w:rPr>
            <w:noProof/>
            <w:webHidden/>
          </w:rPr>
          <w:t>2</w:t>
        </w:r>
        <w:r>
          <w:rPr>
            <w:noProof/>
            <w:webHidden/>
          </w:rPr>
          <w:fldChar w:fldCharType="end"/>
        </w:r>
      </w:hyperlink>
    </w:p>
    <w:p w14:paraId="48CAC4FD" w14:textId="30CCB34B" w:rsidR="0041043D" w:rsidRDefault="0041043D" w:rsidP="0041043D">
      <w:pPr>
        <w:pStyle w:val="TOC3"/>
        <w:rPr>
          <w:rFonts w:asciiTheme="minorHAnsi" w:eastAsiaTheme="minorEastAsia" w:hAnsiTheme="minorHAnsi" w:cstheme="minorBidi"/>
          <w:noProof/>
          <w:sz w:val="24"/>
          <w:szCs w:val="24"/>
          <w:lang w:eastAsia="en-AU"/>
        </w:rPr>
      </w:pPr>
      <w:hyperlink w:anchor="_Toc201313492" w:history="1">
        <w:r w:rsidRPr="007D0132">
          <w:rPr>
            <w:rStyle w:val="Hyperlink"/>
            <w:noProof/>
          </w:rPr>
          <w:t>Medicare demographic details</w:t>
        </w:r>
        <w:r>
          <w:rPr>
            <w:noProof/>
            <w:webHidden/>
          </w:rPr>
          <w:tab/>
        </w:r>
        <w:r>
          <w:rPr>
            <w:noProof/>
            <w:webHidden/>
          </w:rPr>
          <w:fldChar w:fldCharType="begin"/>
        </w:r>
        <w:r>
          <w:rPr>
            <w:noProof/>
            <w:webHidden/>
          </w:rPr>
          <w:instrText xml:space="preserve"> PAGEREF _Toc201313492 \h </w:instrText>
        </w:r>
        <w:r>
          <w:rPr>
            <w:noProof/>
            <w:webHidden/>
          </w:rPr>
        </w:r>
        <w:r>
          <w:rPr>
            <w:noProof/>
            <w:webHidden/>
          </w:rPr>
          <w:fldChar w:fldCharType="separate"/>
        </w:r>
        <w:r w:rsidR="00BE0CA2">
          <w:rPr>
            <w:noProof/>
            <w:webHidden/>
          </w:rPr>
          <w:t>2</w:t>
        </w:r>
        <w:r>
          <w:rPr>
            <w:noProof/>
            <w:webHidden/>
          </w:rPr>
          <w:fldChar w:fldCharType="end"/>
        </w:r>
      </w:hyperlink>
    </w:p>
    <w:p w14:paraId="25F40C82" w14:textId="03DDA662" w:rsidR="0041043D" w:rsidRDefault="0041043D" w:rsidP="0041043D">
      <w:pPr>
        <w:pStyle w:val="TOC3"/>
        <w:rPr>
          <w:rFonts w:asciiTheme="minorHAnsi" w:eastAsiaTheme="minorEastAsia" w:hAnsiTheme="minorHAnsi" w:cstheme="minorBidi"/>
          <w:noProof/>
          <w:sz w:val="24"/>
          <w:szCs w:val="24"/>
          <w:lang w:eastAsia="en-AU"/>
        </w:rPr>
      </w:pPr>
      <w:hyperlink w:anchor="_Toc201313493" w:history="1">
        <w:r w:rsidRPr="007D0132">
          <w:rPr>
            <w:rStyle w:val="Hyperlink"/>
            <w:noProof/>
          </w:rPr>
          <w:t>Screening preference</w:t>
        </w:r>
        <w:r>
          <w:rPr>
            <w:noProof/>
            <w:webHidden/>
          </w:rPr>
          <w:tab/>
        </w:r>
        <w:r>
          <w:rPr>
            <w:noProof/>
            <w:webHidden/>
          </w:rPr>
          <w:fldChar w:fldCharType="begin"/>
        </w:r>
        <w:r>
          <w:rPr>
            <w:noProof/>
            <w:webHidden/>
          </w:rPr>
          <w:instrText xml:space="preserve"> PAGEREF _Toc201313493 \h </w:instrText>
        </w:r>
        <w:r>
          <w:rPr>
            <w:noProof/>
            <w:webHidden/>
          </w:rPr>
        </w:r>
        <w:r>
          <w:rPr>
            <w:noProof/>
            <w:webHidden/>
          </w:rPr>
          <w:fldChar w:fldCharType="separate"/>
        </w:r>
        <w:r w:rsidR="00BE0CA2">
          <w:rPr>
            <w:noProof/>
            <w:webHidden/>
          </w:rPr>
          <w:t>2</w:t>
        </w:r>
        <w:r>
          <w:rPr>
            <w:noProof/>
            <w:webHidden/>
          </w:rPr>
          <w:fldChar w:fldCharType="end"/>
        </w:r>
      </w:hyperlink>
    </w:p>
    <w:p w14:paraId="1E908E9A" w14:textId="0CB16DC6" w:rsidR="0041043D" w:rsidRDefault="0041043D" w:rsidP="0041043D">
      <w:pPr>
        <w:pStyle w:val="TOC3"/>
        <w:rPr>
          <w:rFonts w:asciiTheme="minorHAnsi" w:eastAsiaTheme="minorEastAsia" w:hAnsiTheme="minorHAnsi" w:cstheme="minorBidi"/>
          <w:noProof/>
          <w:sz w:val="24"/>
          <w:szCs w:val="24"/>
          <w:lang w:eastAsia="en-AU"/>
        </w:rPr>
      </w:pPr>
      <w:hyperlink w:anchor="_Toc201313494" w:history="1">
        <w:r w:rsidRPr="007D0132">
          <w:rPr>
            <w:rStyle w:val="Hyperlink"/>
            <w:noProof/>
          </w:rPr>
          <w:t>Further considerations</w:t>
        </w:r>
        <w:r>
          <w:rPr>
            <w:noProof/>
            <w:webHidden/>
          </w:rPr>
          <w:tab/>
        </w:r>
        <w:r>
          <w:rPr>
            <w:noProof/>
            <w:webHidden/>
          </w:rPr>
          <w:fldChar w:fldCharType="begin"/>
        </w:r>
        <w:r>
          <w:rPr>
            <w:noProof/>
            <w:webHidden/>
          </w:rPr>
          <w:instrText xml:space="preserve"> PAGEREF _Toc201313494 \h </w:instrText>
        </w:r>
        <w:r>
          <w:rPr>
            <w:noProof/>
            <w:webHidden/>
          </w:rPr>
        </w:r>
        <w:r>
          <w:rPr>
            <w:noProof/>
            <w:webHidden/>
          </w:rPr>
          <w:fldChar w:fldCharType="separate"/>
        </w:r>
        <w:r w:rsidR="00BE0CA2">
          <w:rPr>
            <w:noProof/>
            <w:webHidden/>
          </w:rPr>
          <w:t>3</w:t>
        </w:r>
        <w:r>
          <w:rPr>
            <w:noProof/>
            <w:webHidden/>
          </w:rPr>
          <w:fldChar w:fldCharType="end"/>
        </w:r>
      </w:hyperlink>
    </w:p>
    <w:p w14:paraId="2ABB6657" w14:textId="0E9B7A57" w:rsidR="0041043D" w:rsidRDefault="0041043D">
      <w:pPr>
        <w:pStyle w:val="TOC2"/>
        <w:rPr>
          <w:rFonts w:asciiTheme="minorHAnsi" w:eastAsiaTheme="minorEastAsia" w:hAnsiTheme="minorHAnsi" w:cstheme="minorBidi"/>
          <w:b w:val="0"/>
          <w:bCs w:val="0"/>
          <w:sz w:val="24"/>
          <w:szCs w:val="24"/>
          <w:lang w:eastAsia="en-AU"/>
        </w:rPr>
      </w:pPr>
      <w:hyperlink w:anchor="_Toc201313495" w:history="1">
        <w:r w:rsidRPr="007D0132">
          <w:rPr>
            <w:rStyle w:val="Hyperlink"/>
          </w:rPr>
          <w:t>Clinical considerations</w:t>
        </w:r>
        <w:r>
          <w:rPr>
            <w:webHidden/>
          </w:rPr>
          <w:tab/>
        </w:r>
        <w:r>
          <w:rPr>
            <w:webHidden/>
          </w:rPr>
          <w:fldChar w:fldCharType="begin"/>
        </w:r>
        <w:r>
          <w:rPr>
            <w:webHidden/>
          </w:rPr>
          <w:instrText xml:space="preserve"> PAGEREF _Toc201313495 \h </w:instrText>
        </w:r>
        <w:r>
          <w:rPr>
            <w:webHidden/>
          </w:rPr>
        </w:r>
        <w:r>
          <w:rPr>
            <w:webHidden/>
          </w:rPr>
          <w:fldChar w:fldCharType="separate"/>
        </w:r>
        <w:r w:rsidR="00BE0CA2">
          <w:rPr>
            <w:webHidden/>
          </w:rPr>
          <w:t>3</w:t>
        </w:r>
        <w:r>
          <w:rPr>
            <w:webHidden/>
          </w:rPr>
          <w:fldChar w:fldCharType="end"/>
        </w:r>
      </w:hyperlink>
    </w:p>
    <w:p w14:paraId="7251DA84" w14:textId="0D853FD4" w:rsidR="0041043D" w:rsidRDefault="0041043D" w:rsidP="0041043D">
      <w:pPr>
        <w:pStyle w:val="TOC3"/>
        <w:rPr>
          <w:rFonts w:asciiTheme="minorHAnsi" w:eastAsiaTheme="minorEastAsia" w:hAnsiTheme="minorHAnsi" w:cstheme="minorBidi"/>
          <w:noProof/>
          <w:sz w:val="24"/>
          <w:szCs w:val="24"/>
          <w:lang w:eastAsia="en-AU"/>
        </w:rPr>
      </w:pPr>
      <w:hyperlink w:anchor="_Toc201313496" w:history="1">
        <w:r w:rsidRPr="007D0132">
          <w:rPr>
            <w:rStyle w:val="Hyperlink"/>
            <w:noProof/>
          </w:rPr>
          <w:t>If the patient is taking any gender affirming androgen hormones such as testosterone</w:t>
        </w:r>
        <w:r>
          <w:rPr>
            <w:noProof/>
            <w:webHidden/>
          </w:rPr>
          <w:tab/>
        </w:r>
        <w:r>
          <w:rPr>
            <w:noProof/>
            <w:webHidden/>
          </w:rPr>
          <w:fldChar w:fldCharType="begin"/>
        </w:r>
        <w:r>
          <w:rPr>
            <w:noProof/>
            <w:webHidden/>
          </w:rPr>
          <w:instrText xml:space="preserve"> PAGEREF _Toc201313496 \h </w:instrText>
        </w:r>
        <w:r>
          <w:rPr>
            <w:noProof/>
            <w:webHidden/>
          </w:rPr>
        </w:r>
        <w:r>
          <w:rPr>
            <w:noProof/>
            <w:webHidden/>
          </w:rPr>
          <w:fldChar w:fldCharType="separate"/>
        </w:r>
        <w:r w:rsidR="00BE0CA2">
          <w:rPr>
            <w:noProof/>
            <w:webHidden/>
          </w:rPr>
          <w:t>3</w:t>
        </w:r>
        <w:r>
          <w:rPr>
            <w:noProof/>
            <w:webHidden/>
          </w:rPr>
          <w:fldChar w:fldCharType="end"/>
        </w:r>
      </w:hyperlink>
    </w:p>
    <w:p w14:paraId="4938DBA9" w14:textId="13E22F4F" w:rsidR="0041043D" w:rsidRDefault="0041043D" w:rsidP="0041043D">
      <w:pPr>
        <w:pStyle w:val="TOC3"/>
        <w:rPr>
          <w:rFonts w:asciiTheme="minorHAnsi" w:eastAsiaTheme="minorEastAsia" w:hAnsiTheme="minorHAnsi" w:cstheme="minorBidi"/>
          <w:noProof/>
          <w:sz w:val="24"/>
          <w:szCs w:val="24"/>
          <w:lang w:eastAsia="en-AU"/>
        </w:rPr>
      </w:pPr>
      <w:hyperlink w:anchor="_Toc201313497" w:history="1">
        <w:r w:rsidRPr="007D0132">
          <w:rPr>
            <w:rStyle w:val="Hyperlink"/>
            <w:noProof/>
          </w:rPr>
          <w:t>Question: Has the patient undergone any surgical procedures such as a hysterectomy as part of their gender affirming therapy?</w:t>
        </w:r>
        <w:r>
          <w:rPr>
            <w:noProof/>
            <w:webHidden/>
          </w:rPr>
          <w:tab/>
        </w:r>
        <w:r>
          <w:rPr>
            <w:noProof/>
            <w:webHidden/>
          </w:rPr>
          <w:fldChar w:fldCharType="begin"/>
        </w:r>
        <w:r>
          <w:rPr>
            <w:noProof/>
            <w:webHidden/>
          </w:rPr>
          <w:instrText xml:space="preserve"> PAGEREF _Toc201313497 \h </w:instrText>
        </w:r>
        <w:r>
          <w:rPr>
            <w:noProof/>
            <w:webHidden/>
          </w:rPr>
        </w:r>
        <w:r>
          <w:rPr>
            <w:noProof/>
            <w:webHidden/>
          </w:rPr>
          <w:fldChar w:fldCharType="separate"/>
        </w:r>
        <w:r w:rsidR="00BE0CA2">
          <w:rPr>
            <w:noProof/>
            <w:webHidden/>
          </w:rPr>
          <w:t>3</w:t>
        </w:r>
        <w:r>
          <w:rPr>
            <w:noProof/>
            <w:webHidden/>
          </w:rPr>
          <w:fldChar w:fldCharType="end"/>
        </w:r>
      </w:hyperlink>
    </w:p>
    <w:p w14:paraId="254FB6D7" w14:textId="4247D312" w:rsidR="0041043D" w:rsidRDefault="0041043D" w:rsidP="0041043D">
      <w:pPr>
        <w:pStyle w:val="TOC3"/>
        <w:rPr>
          <w:rFonts w:asciiTheme="minorHAnsi" w:eastAsiaTheme="minorEastAsia" w:hAnsiTheme="minorHAnsi" w:cstheme="minorBidi"/>
          <w:noProof/>
          <w:sz w:val="24"/>
          <w:szCs w:val="24"/>
          <w:lang w:eastAsia="en-AU"/>
        </w:rPr>
      </w:pPr>
      <w:hyperlink w:anchor="_Toc201313498" w:history="1">
        <w:r w:rsidRPr="007D0132">
          <w:rPr>
            <w:rStyle w:val="Hyperlink"/>
            <w:noProof/>
          </w:rPr>
          <w:t>Consider opportunistic testing as appropriate to the patient’s context and sexual practices</w:t>
        </w:r>
        <w:r>
          <w:rPr>
            <w:noProof/>
            <w:webHidden/>
          </w:rPr>
          <w:tab/>
        </w:r>
        <w:r>
          <w:rPr>
            <w:noProof/>
            <w:webHidden/>
          </w:rPr>
          <w:fldChar w:fldCharType="begin"/>
        </w:r>
        <w:r>
          <w:rPr>
            <w:noProof/>
            <w:webHidden/>
          </w:rPr>
          <w:instrText xml:space="preserve"> PAGEREF _Toc201313498 \h </w:instrText>
        </w:r>
        <w:r>
          <w:rPr>
            <w:noProof/>
            <w:webHidden/>
          </w:rPr>
        </w:r>
        <w:r>
          <w:rPr>
            <w:noProof/>
            <w:webHidden/>
          </w:rPr>
          <w:fldChar w:fldCharType="separate"/>
        </w:r>
        <w:r w:rsidR="00BE0CA2">
          <w:rPr>
            <w:noProof/>
            <w:webHidden/>
          </w:rPr>
          <w:t>3</w:t>
        </w:r>
        <w:r>
          <w:rPr>
            <w:noProof/>
            <w:webHidden/>
          </w:rPr>
          <w:fldChar w:fldCharType="end"/>
        </w:r>
      </w:hyperlink>
    </w:p>
    <w:p w14:paraId="709053D7" w14:textId="53CBC927" w:rsidR="00D27107" w:rsidRPr="00CD6717" w:rsidRDefault="0041043D" w:rsidP="00325519">
      <w:pPr>
        <w:pStyle w:val="Heading2"/>
      </w:pPr>
      <w:r>
        <w:rPr>
          <w:sz w:val="28"/>
          <w:szCs w:val="28"/>
        </w:rPr>
        <w:fldChar w:fldCharType="end"/>
      </w:r>
      <w:bookmarkStart w:id="8" w:name="_Toc201312645"/>
      <w:bookmarkStart w:id="9" w:name="_Toc201313205"/>
      <w:bookmarkStart w:id="10" w:name="_Toc201313488"/>
      <w:r w:rsidR="00D27107" w:rsidRPr="00CD6717">
        <w:t>Important Considerations</w:t>
      </w:r>
      <w:bookmarkEnd w:id="8"/>
      <w:bookmarkEnd w:id="9"/>
      <w:bookmarkEnd w:id="10"/>
    </w:p>
    <w:p w14:paraId="6CFD6710" w14:textId="36749EAF" w:rsidR="00B36893" w:rsidRPr="00020AD8" w:rsidRDefault="00B36893" w:rsidP="00AF0A1C">
      <w:r w:rsidRPr="00020AD8">
        <w:t>Trans and gender diverse people with a cervix are still at risk of cervical cancer and are recommended to have a Cervical Screening Test every 5 years.</w:t>
      </w:r>
    </w:p>
    <w:p w14:paraId="5390AFB0" w14:textId="43ABB1AA" w:rsidR="0098143F" w:rsidRPr="00FC434E" w:rsidRDefault="00735AD8" w:rsidP="00AF0A1C">
      <w:pPr>
        <w:pStyle w:val="Heading3"/>
      </w:pPr>
      <w:bookmarkStart w:id="11" w:name="_Toc201312646"/>
      <w:bookmarkStart w:id="12" w:name="_Toc201313206"/>
      <w:bookmarkStart w:id="13" w:name="_Toc201313489"/>
      <w:r w:rsidRPr="00FC434E">
        <w:t>Pronouns</w:t>
      </w:r>
      <w:bookmarkEnd w:id="11"/>
      <w:bookmarkEnd w:id="12"/>
      <w:bookmarkEnd w:id="13"/>
    </w:p>
    <w:p w14:paraId="36F125AA" w14:textId="42530F75" w:rsidR="00735AD8" w:rsidRPr="006C262F" w:rsidRDefault="00735AD8" w:rsidP="00AF0A1C">
      <w:pPr>
        <w:pStyle w:val="Heading4"/>
      </w:pPr>
      <w:r w:rsidRPr="006C262F">
        <w:t>Why is this important?</w:t>
      </w:r>
    </w:p>
    <w:p w14:paraId="09F400A8" w14:textId="2290F3CF" w:rsidR="00CF1D86" w:rsidRPr="00020AD8" w:rsidRDefault="00767853" w:rsidP="00AF0A1C">
      <w:r w:rsidRPr="00020AD8">
        <w:t>Asking about your patient’s pronouns is a simple way to affirm their identity and will contribute to a feeling of safety during the consultation.</w:t>
      </w:r>
    </w:p>
    <w:p w14:paraId="0A249E0A" w14:textId="20E3BE82" w:rsidR="00767853" w:rsidRPr="00020AD8" w:rsidRDefault="00767853" w:rsidP="00AF0A1C">
      <w:pPr>
        <w:pStyle w:val="Heading4"/>
      </w:pPr>
      <w:r w:rsidRPr="00020AD8">
        <w:t>Example question to ask</w:t>
      </w:r>
    </w:p>
    <w:p w14:paraId="0EBD9D52" w14:textId="3223B51C" w:rsidR="00D95328" w:rsidRPr="00020AD8" w:rsidRDefault="005402AB" w:rsidP="00325519">
      <w:r w:rsidRPr="00020AD8">
        <w:t>I choose to use she/her pronouns. What pronouns do you use?</w:t>
      </w:r>
    </w:p>
    <w:p w14:paraId="7775CD2F" w14:textId="2CCB913D" w:rsidR="00D95328" w:rsidRPr="00020AD8" w:rsidRDefault="00AA67A7" w:rsidP="00AF0A1C">
      <w:pPr>
        <w:pStyle w:val="Heading3"/>
      </w:pPr>
      <w:bookmarkStart w:id="14" w:name="_Toc201312647"/>
      <w:bookmarkStart w:id="15" w:name="_Toc201313207"/>
      <w:bookmarkStart w:id="16" w:name="_Toc201313490"/>
      <w:r w:rsidRPr="00020AD8">
        <w:t>Preferred term for genital area</w:t>
      </w:r>
      <w:bookmarkEnd w:id="14"/>
      <w:bookmarkEnd w:id="15"/>
      <w:bookmarkEnd w:id="16"/>
    </w:p>
    <w:p w14:paraId="22E3BD71" w14:textId="77777777" w:rsidR="00D95328" w:rsidRPr="00020AD8" w:rsidRDefault="00D95328" w:rsidP="00AF0A1C">
      <w:pPr>
        <w:pStyle w:val="Heading4"/>
      </w:pPr>
      <w:r w:rsidRPr="00020AD8">
        <w:t>Why is this important?</w:t>
      </w:r>
    </w:p>
    <w:p w14:paraId="15E74B88" w14:textId="28D5007A" w:rsidR="00D95328" w:rsidRPr="00020AD8" w:rsidRDefault="007374F5" w:rsidP="00AF0A1C">
      <w:r w:rsidRPr="00020AD8">
        <w:t>Not all trans and gender diverse people with a cervix will use the same terminology. Some may prefer terms like ‘front hole’ or ‘genitals’ whereas as others may be okay with terms like vagina. Be guided by the patient and their preferences</w:t>
      </w:r>
      <w:r w:rsidR="00D95328" w:rsidRPr="00020AD8">
        <w:t>.</w:t>
      </w:r>
    </w:p>
    <w:p w14:paraId="47EA84DF" w14:textId="77777777" w:rsidR="00D95328" w:rsidRPr="00020AD8" w:rsidRDefault="00D95328" w:rsidP="00AF0A1C">
      <w:pPr>
        <w:pStyle w:val="Heading4"/>
      </w:pPr>
      <w:r w:rsidRPr="00020AD8">
        <w:lastRenderedPageBreak/>
        <w:t>Example question to ask</w:t>
      </w:r>
    </w:p>
    <w:p w14:paraId="1C24D7BE" w14:textId="1EE7BA48" w:rsidR="00F330F5" w:rsidRPr="00020AD8" w:rsidRDefault="00F330F5" w:rsidP="00325519">
      <w:r w:rsidRPr="00020AD8">
        <w:t>Before we get started, do you have any language or terms you prefer to use for your body or your genitals, so that I can help you feel comfortable?</w:t>
      </w:r>
    </w:p>
    <w:p w14:paraId="369AEACA" w14:textId="77777777" w:rsidR="007222AE" w:rsidRPr="00020AD8" w:rsidRDefault="007222AE" w:rsidP="00AF0A1C">
      <w:pPr>
        <w:pStyle w:val="Heading3"/>
      </w:pPr>
      <w:bookmarkStart w:id="17" w:name="_Toc201312648"/>
      <w:bookmarkStart w:id="18" w:name="_Toc201313208"/>
      <w:bookmarkStart w:id="19" w:name="_Toc201313491"/>
      <w:r w:rsidRPr="00020AD8">
        <w:t>Previous experience with Cervical Screening Tests</w:t>
      </w:r>
      <w:bookmarkEnd w:id="17"/>
      <w:bookmarkEnd w:id="18"/>
      <w:bookmarkEnd w:id="19"/>
      <w:r w:rsidRPr="00020AD8">
        <w:t xml:space="preserve"> </w:t>
      </w:r>
    </w:p>
    <w:p w14:paraId="36A254D6" w14:textId="10A21F64" w:rsidR="00D95328" w:rsidRPr="00020AD8" w:rsidRDefault="00D95328" w:rsidP="00AF0A1C">
      <w:pPr>
        <w:pStyle w:val="Heading4"/>
      </w:pPr>
      <w:r w:rsidRPr="00020AD8">
        <w:t>Why is this important?</w:t>
      </w:r>
    </w:p>
    <w:p w14:paraId="224A8997" w14:textId="77777777" w:rsidR="0008406D" w:rsidRPr="00020AD8" w:rsidRDefault="0008406D" w:rsidP="00AF0A1C">
      <w:pPr>
        <w:rPr>
          <w:b/>
          <w:bCs/>
        </w:rPr>
      </w:pPr>
      <w:r w:rsidRPr="00020AD8">
        <w:t>Asking directly about previous screening experiences is important as some trans and gender diverse people with a cervix may feel particularly uncomfortable or vulnerable during cervical screening. Knowing the history can inform safe practices for this consultation.</w:t>
      </w:r>
    </w:p>
    <w:p w14:paraId="6D0EA1BF" w14:textId="44CA5C7A" w:rsidR="00D95328" w:rsidRPr="00020AD8" w:rsidRDefault="00D95328" w:rsidP="00AF0A1C">
      <w:pPr>
        <w:pStyle w:val="Heading4"/>
      </w:pPr>
      <w:r w:rsidRPr="00020AD8">
        <w:t>Example question to ask</w:t>
      </w:r>
    </w:p>
    <w:p w14:paraId="4ED77449" w14:textId="3AE21E18" w:rsidR="00CF0CCD" w:rsidRPr="00020AD8" w:rsidRDefault="00CF0CCD" w:rsidP="00325519">
      <w:r w:rsidRPr="00020AD8">
        <w:t>I understand cervical screening can be uncomfortable for some people. Would you like to discuss your previous experiences or is there anything I can do, or avoid doing, to make this a more comfortable experience for you?</w:t>
      </w:r>
    </w:p>
    <w:p w14:paraId="61CC7496" w14:textId="77777777" w:rsidR="00660D69" w:rsidRPr="00CD6717" w:rsidRDefault="00660D69" w:rsidP="00AF0A1C">
      <w:pPr>
        <w:pStyle w:val="Heading3"/>
      </w:pPr>
      <w:bookmarkStart w:id="20" w:name="_Toc201312649"/>
      <w:bookmarkStart w:id="21" w:name="_Toc201313209"/>
      <w:bookmarkStart w:id="22" w:name="_Toc201313492"/>
      <w:r w:rsidRPr="00CD6717">
        <w:t>Medicare demographic details</w:t>
      </w:r>
      <w:bookmarkEnd w:id="20"/>
      <w:bookmarkEnd w:id="21"/>
      <w:bookmarkEnd w:id="22"/>
    </w:p>
    <w:p w14:paraId="2FE70933" w14:textId="43565374" w:rsidR="00CF0CCD" w:rsidRPr="00020AD8" w:rsidRDefault="00CF0CCD" w:rsidP="00AF0A1C">
      <w:pPr>
        <w:pStyle w:val="Heading4"/>
      </w:pPr>
      <w:r w:rsidRPr="00020AD8">
        <w:t>Why is this important?</w:t>
      </w:r>
    </w:p>
    <w:p w14:paraId="0CEC8503" w14:textId="77777777" w:rsidR="002343B7" w:rsidRPr="00020AD8" w:rsidRDefault="002343B7" w:rsidP="00AF0A1C">
      <w:pPr>
        <w:rPr>
          <w:b/>
          <w:bCs/>
        </w:rPr>
      </w:pPr>
      <w:r w:rsidRPr="00020AD8">
        <w:t>If the patient has not changed their details with Medicare, inform them that you will need to use their legal name on any Medicare related forms, including the pathology form, for benefit payments to be made. You can offer to write a brief letter to Medicare confirming their affirmed gender and request their name be changed.</w:t>
      </w:r>
    </w:p>
    <w:p w14:paraId="5DDC2664" w14:textId="356C0AF1" w:rsidR="00CF0CCD" w:rsidRPr="00020AD8" w:rsidRDefault="00CF0CCD" w:rsidP="00AF0A1C">
      <w:pPr>
        <w:pStyle w:val="Heading4"/>
      </w:pPr>
      <w:r w:rsidRPr="00020AD8">
        <w:t>Example question to ask</w:t>
      </w:r>
    </w:p>
    <w:p w14:paraId="3699D1BE" w14:textId="0FA95291" w:rsidR="00766D45" w:rsidRPr="00020AD8" w:rsidRDefault="004A4BDD" w:rsidP="00325519">
      <w:r w:rsidRPr="00020AD8">
        <w:t>I’m happy to refer to you as</w:t>
      </w:r>
      <w:r w:rsidR="00766D45" w:rsidRPr="00020AD8">
        <w:t xml:space="preserve"> __</w:t>
      </w:r>
      <w:r w:rsidR="00CD6717">
        <w:t>,</w:t>
      </w:r>
      <w:r w:rsidRPr="00020AD8">
        <w:t xml:space="preserve"> but I will need to write your legal name on any Medicare related forms. If you would like to update the name you have on file with Medicare, I am happy to assist you with that.</w:t>
      </w:r>
    </w:p>
    <w:p w14:paraId="1040C6F9" w14:textId="77777777" w:rsidR="00014A3C" w:rsidRPr="00020AD8" w:rsidRDefault="00014A3C" w:rsidP="00AF0A1C">
      <w:pPr>
        <w:pStyle w:val="Heading3"/>
      </w:pPr>
      <w:bookmarkStart w:id="23" w:name="_Toc201312650"/>
      <w:bookmarkStart w:id="24" w:name="_Toc201313210"/>
      <w:bookmarkStart w:id="25" w:name="_Toc201313493"/>
      <w:r w:rsidRPr="00020AD8">
        <w:t>Screening preference</w:t>
      </w:r>
      <w:bookmarkEnd w:id="23"/>
      <w:bookmarkEnd w:id="24"/>
      <w:bookmarkEnd w:id="25"/>
    </w:p>
    <w:p w14:paraId="067D541C" w14:textId="73D0119E" w:rsidR="004A4BDD" w:rsidRPr="00020AD8" w:rsidRDefault="004A4BDD" w:rsidP="00AF0A1C">
      <w:pPr>
        <w:pStyle w:val="Heading4"/>
      </w:pPr>
      <w:r w:rsidRPr="00020AD8">
        <w:t>Why is this important?</w:t>
      </w:r>
    </w:p>
    <w:p w14:paraId="3BA602D8" w14:textId="77777777" w:rsidR="006E34E5" w:rsidRDefault="00B7108B" w:rsidP="00AF0A1C">
      <w:r w:rsidRPr="00020AD8">
        <w:t>Clinic</w:t>
      </w:r>
      <w:r w:rsidRPr="00CD6717">
        <w:t>ian-collection</w:t>
      </w:r>
      <w:r w:rsidRPr="00020AD8">
        <w:t xml:space="preserve"> with a speculum may be unacceptable to some trans and gender diverse people with a cervix and may exacerbate any existing body dysphoria</w:t>
      </w:r>
      <w:r w:rsidR="00CE29C2" w:rsidRPr="0041043D">
        <w:rPr>
          <w:rStyle w:val="FootnoteReference"/>
          <w:sz w:val="24"/>
          <w:szCs w:val="24"/>
        </w:rPr>
        <w:footnoteReference w:id="2"/>
      </w:r>
      <w:r w:rsidR="00D87B9E" w:rsidRPr="0041043D">
        <w:rPr>
          <w:vertAlign w:val="superscript"/>
        </w:rPr>
        <w:t>,</w:t>
      </w:r>
      <w:r w:rsidR="00A45426" w:rsidRPr="0041043D">
        <w:rPr>
          <w:rStyle w:val="FootnoteReference"/>
          <w:sz w:val="24"/>
          <w:szCs w:val="24"/>
        </w:rPr>
        <w:footnoteReference w:id="3"/>
      </w:r>
      <w:r w:rsidRPr="00020AD8">
        <w:t>. HPV self-collection can overcome this barrier and may be more comfortable and acceptable, provided the patient is asymptomatic</w:t>
      </w:r>
      <w:r w:rsidR="002E27B8" w:rsidRPr="00020AD8">
        <w:rPr>
          <w:rStyle w:val="EndnoteReference"/>
          <w:sz w:val="24"/>
          <w:szCs w:val="24"/>
        </w:rPr>
        <w:endnoteReference w:id="2"/>
      </w:r>
      <w:r w:rsidR="00772E5F" w:rsidRPr="00020AD8">
        <w:t>.</w:t>
      </w:r>
      <w:r w:rsidR="006E34E5" w:rsidRPr="00020AD8">
        <w:t xml:space="preserve"> Approach this topic sensitively and ensure you support your patient to make an informed choice about how they screen.</w:t>
      </w:r>
    </w:p>
    <w:p w14:paraId="600864DD" w14:textId="77777777" w:rsidR="002D4E4D" w:rsidRPr="002D4E4D" w:rsidRDefault="002D4E4D" w:rsidP="0041043D">
      <w:pPr>
        <w:pStyle w:val="Heading4"/>
      </w:pPr>
      <w:r w:rsidRPr="002D4E4D">
        <w:t>Example question to ask</w:t>
      </w:r>
    </w:p>
    <w:p w14:paraId="4504F09E" w14:textId="77777777" w:rsidR="002D4E4D" w:rsidRDefault="002D4E4D" w:rsidP="00325519">
      <w:r w:rsidRPr="002D4E4D">
        <w:t>For your screening test today, you can choose to have your test taken by me with a speculum and a small brush, or you can self-collect your test using a soft swab. Would you like me to talk you through these options in more detail?</w:t>
      </w:r>
    </w:p>
    <w:p w14:paraId="005CC6DA" w14:textId="77777777" w:rsidR="00325519" w:rsidRDefault="00325519" w:rsidP="00325519"/>
    <w:p w14:paraId="17F09FD6" w14:textId="6DD141F7" w:rsidR="00325519" w:rsidRPr="00020AD8" w:rsidRDefault="00325519" w:rsidP="00325519">
      <w:pPr>
        <w:sectPr w:rsidR="00325519" w:rsidRPr="00020AD8" w:rsidSect="00CD6717">
          <w:endnotePr>
            <w:numFmt w:val="chicago"/>
            <w:numRestart w:val="eachSect"/>
          </w:endnotePr>
          <w:type w:val="continuous"/>
          <w:pgSz w:w="11906" w:h="16838"/>
          <w:pgMar w:top="964" w:right="964" w:bottom="964" w:left="964" w:header="709" w:footer="709" w:gutter="0"/>
          <w:cols w:space="708"/>
          <w:docGrid w:linePitch="360"/>
        </w:sectPr>
      </w:pPr>
    </w:p>
    <w:p w14:paraId="03BC9210" w14:textId="02453F0A" w:rsidR="00325519" w:rsidRDefault="00325519">
      <w:pPr>
        <w:spacing w:after="160" w:line="278" w:lineRule="auto"/>
      </w:pPr>
      <w:r>
        <w:br w:type="page"/>
      </w:r>
    </w:p>
    <w:p w14:paraId="58112623" w14:textId="2E0148B9" w:rsidR="007222AE" w:rsidRPr="00020AD8" w:rsidRDefault="007222AE" w:rsidP="00AF0A1C">
      <w:pPr>
        <w:pStyle w:val="Heading3"/>
      </w:pPr>
      <w:bookmarkStart w:id="26" w:name="_Toc201312651"/>
      <w:bookmarkStart w:id="27" w:name="_Toc201313211"/>
      <w:bookmarkStart w:id="28" w:name="_Toc201313494"/>
      <w:r w:rsidRPr="00020AD8">
        <w:lastRenderedPageBreak/>
        <w:t>Further considerations</w:t>
      </w:r>
      <w:bookmarkEnd w:id="26"/>
      <w:bookmarkEnd w:id="27"/>
      <w:bookmarkEnd w:id="28"/>
    </w:p>
    <w:p w14:paraId="204DEB39" w14:textId="5D5CAF4D" w:rsidR="00E17C0D" w:rsidRPr="00020AD8" w:rsidRDefault="00E17C0D" w:rsidP="00CE1F4F">
      <w:pPr>
        <w:pStyle w:val="ListParagraph"/>
        <w:numPr>
          <w:ilvl w:val="0"/>
          <w:numId w:val="2"/>
        </w:numPr>
        <w:ind w:left="357" w:hanging="357"/>
        <w:contextualSpacing w:val="0"/>
      </w:pPr>
      <w:r w:rsidRPr="00020AD8">
        <w:t>Trans and gender diverse people with a cervix experience unique barriers to cervical screening in Australia</w:t>
      </w:r>
      <w:r w:rsidRPr="00020AD8">
        <w:rPr>
          <w:rStyle w:val="FootnoteReference"/>
          <w:sz w:val="24"/>
          <w:szCs w:val="24"/>
        </w:rPr>
        <w:footnoteReference w:id="4"/>
      </w:r>
      <w:r w:rsidRPr="00020AD8">
        <w:t xml:space="preserve"> and having a regular GP who affirms their gender can make them more likely to participate in cervical screening.</w:t>
      </w:r>
    </w:p>
    <w:p w14:paraId="6845BD8D" w14:textId="2E78859E" w:rsidR="00E17C0D" w:rsidRPr="00020AD8" w:rsidRDefault="00E17C0D" w:rsidP="00CE1F4F">
      <w:pPr>
        <w:pStyle w:val="ListParagraph"/>
        <w:numPr>
          <w:ilvl w:val="0"/>
          <w:numId w:val="2"/>
        </w:numPr>
        <w:ind w:left="357" w:hanging="357"/>
        <w:contextualSpacing w:val="0"/>
      </w:pPr>
      <w:r w:rsidRPr="00020AD8">
        <w:t>Use the patient’s preferred terminology when asking questions about their body and when explaining what the screening options involve.</w:t>
      </w:r>
    </w:p>
    <w:p w14:paraId="2A2161B4" w14:textId="41CE3714" w:rsidR="006C262F" w:rsidRDefault="00E17C0D" w:rsidP="00325519">
      <w:pPr>
        <w:pStyle w:val="ListParagraph"/>
        <w:numPr>
          <w:ilvl w:val="0"/>
          <w:numId w:val="2"/>
        </w:numPr>
        <w:ind w:left="357" w:hanging="357"/>
        <w:contextualSpacing w:val="0"/>
      </w:pPr>
      <w:r w:rsidRPr="00020AD8">
        <w:t>Ensure you document the patient’s responses to the questions on this page to reduce the number of times they are asked to provide this information and ensure you obtain the patient’s consent to share their preferred language with other staff/on referral forms.</w:t>
      </w:r>
    </w:p>
    <w:p w14:paraId="53FA4D49" w14:textId="46189AAC" w:rsidR="00247B1D" w:rsidRPr="00020AD8" w:rsidRDefault="00B36893" w:rsidP="00AF0A1C">
      <w:pPr>
        <w:pStyle w:val="Heading2"/>
      </w:pPr>
      <w:bookmarkStart w:id="29" w:name="_Toc201312652"/>
      <w:bookmarkStart w:id="30" w:name="_Toc201313212"/>
      <w:bookmarkStart w:id="31" w:name="_Toc201313495"/>
      <w:r w:rsidRPr="00020AD8">
        <w:t>Clinical considerations</w:t>
      </w:r>
      <w:bookmarkEnd w:id="29"/>
      <w:bookmarkEnd w:id="30"/>
      <w:bookmarkEnd w:id="31"/>
    </w:p>
    <w:p w14:paraId="3811DEFC" w14:textId="0DA3F24D" w:rsidR="00194E57" w:rsidRPr="00020AD8" w:rsidRDefault="00930F02" w:rsidP="00AF0A1C">
      <w:pPr>
        <w:pStyle w:val="Heading3"/>
      </w:pPr>
      <w:bookmarkStart w:id="32" w:name="_Toc201313213"/>
      <w:bookmarkStart w:id="33" w:name="_Toc201313496"/>
      <w:r w:rsidRPr="00020AD8">
        <w:t>I</w:t>
      </w:r>
      <w:r w:rsidR="00DC30F8" w:rsidRPr="00020AD8">
        <w:t>f the</w:t>
      </w:r>
      <w:r w:rsidRPr="00020AD8">
        <w:t xml:space="preserve"> patient</w:t>
      </w:r>
      <w:r w:rsidR="00DC30F8" w:rsidRPr="00020AD8">
        <w:t xml:space="preserve"> is</w:t>
      </w:r>
      <w:r w:rsidRPr="00020AD8">
        <w:t xml:space="preserve"> taking any gender affirming androgen hormones such as testosterone</w:t>
      </w:r>
      <w:bookmarkEnd w:id="32"/>
      <w:bookmarkEnd w:id="33"/>
    </w:p>
    <w:p w14:paraId="1A04E4A2" w14:textId="5E48335E" w:rsidR="00930F02" w:rsidRPr="00020AD8" w:rsidRDefault="00FA717A" w:rsidP="00AF0A1C">
      <w:r w:rsidRPr="00020AD8">
        <w:t>Consider t</w:t>
      </w:r>
      <w:r w:rsidRPr="00AF0A1C">
        <w:t>ha</w:t>
      </w:r>
      <w:r w:rsidRPr="00020AD8">
        <w:t>t the patient may have atrophic vaginal</w:t>
      </w:r>
      <w:r w:rsidR="000C0889" w:rsidRPr="00020AD8">
        <w:rPr>
          <w:rStyle w:val="EndnoteReference"/>
          <w:sz w:val="24"/>
          <w:szCs w:val="24"/>
        </w:rPr>
        <w:endnoteReference w:id="3"/>
      </w:r>
      <w:r w:rsidRPr="00020AD8">
        <w:t xml:space="preserve"> changes which can cause increased discomfort during speculum examination.</w:t>
      </w:r>
    </w:p>
    <w:p w14:paraId="3ED392C5" w14:textId="34B62AE9" w:rsidR="00DC30F8" w:rsidRPr="00020AD8" w:rsidRDefault="00DC30F8" w:rsidP="00CE1F4F">
      <w:pPr>
        <w:pStyle w:val="ListParagraph"/>
        <w:numPr>
          <w:ilvl w:val="0"/>
          <w:numId w:val="6"/>
        </w:numPr>
        <w:contextualSpacing w:val="0"/>
      </w:pPr>
      <w:r w:rsidRPr="00020AD8">
        <w:rPr>
          <w:b/>
          <w:bCs/>
        </w:rPr>
        <w:t>Clinician-collection</w:t>
      </w:r>
      <w:r w:rsidRPr="00020AD8">
        <w:t>: consider prescribing topical estrogen. For example: daily use of cream or pessaries for 3–7 nights before liquid- based cytology sample collection or daily use of cream or pessaries for at least 2 weeks before colposcopy, ceasing 1–2</w:t>
      </w:r>
      <w:r w:rsidR="003430FE" w:rsidRPr="00020AD8">
        <w:t xml:space="preserve"> </w:t>
      </w:r>
      <w:r w:rsidRPr="00020AD8">
        <w:t>days prior to appointment.</w:t>
      </w:r>
    </w:p>
    <w:p w14:paraId="5A0C6704" w14:textId="0D01FDAB" w:rsidR="0019789B" w:rsidRPr="00020AD8" w:rsidRDefault="00DC30F8" w:rsidP="00CE1F4F">
      <w:r w:rsidRPr="00020AD8">
        <w:t>A 2-week course of estrogen is recommended before clinician-collected samples for people who are likely to have severe vaginal atrophy</w:t>
      </w:r>
      <w:r w:rsidR="00CB7259" w:rsidRPr="00020AD8">
        <w:rPr>
          <w:rStyle w:val="FootnoteReference"/>
          <w:sz w:val="24"/>
          <w:szCs w:val="24"/>
        </w:rPr>
        <w:footnoteReference w:id="5"/>
      </w:r>
      <w:r w:rsidRPr="00020AD8">
        <w:t>.</w:t>
      </w:r>
    </w:p>
    <w:p w14:paraId="6115CB54" w14:textId="372D549F" w:rsidR="00157F48" w:rsidRPr="00020AD8" w:rsidRDefault="004A74F1" w:rsidP="00325519">
      <w:pPr>
        <w:pStyle w:val="ListParagraph"/>
        <w:numPr>
          <w:ilvl w:val="0"/>
          <w:numId w:val="6"/>
        </w:numPr>
        <w:contextualSpacing w:val="0"/>
      </w:pPr>
      <w:r w:rsidRPr="00020AD8">
        <w:rPr>
          <w:b/>
          <w:bCs/>
        </w:rPr>
        <w:t xml:space="preserve">Self-collection: </w:t>
      </w:r>
      <w:r w:rsidRPr="00020AD8">
        <w:t>May be a more comfortable option. Consider wetting tip of swab with sterile saline to increase comfort. This will not interfere with results.</w:t>
      </w:r>
    </w:p>
    <w:p w14:paraId="29F75EDB" w14:textId="13E55C62" w:rsidR="00157F48" w:rsidRPr="00157F48" w:rsidRDefault="00157F48" w:rsidP="00AF0A1C">
      <w:pPr>
        <w:pStyle w:val="Heading3"/>
      </w:pPr>
      <w:bookmarkStart w:id="34" w:name="_Toc201313214"/>
      <w:bookmarkStart w:id="35" w:name="_Toc201313497"/>
      <w:r w:rsidRPr="00157F48">
        <w:t>Question: Has the patient undergone any surgical procedures such as a hysterectomy as part of their gender affirming therapy?</w:t>
      </w:r>
      <w:bookmarkEnd w:id="34"/>
      <w:bookmarkEnd w:id="35"/>
    </w:p>
    <w:p w14:paraId="11FEC2DD" w14:textId="77777777" w:rsidR="00157F48" w:rsidRPr="00157F48" w:rsidRDefault="00157F48" w:rsidP="00AF0A1C">
      <w:r w:rsidRPr="00157F48">
        <w:t>Do they still have a cervix?</w:t>
      </w:r>
    </w:p>
    <w:p w14:paraId="758660D0" w14:textId="77777777" w:rsidR="00157F48" w:rsidRPr="00157F48" w:rsidRDefault="00157F48" w:rsidP="00CE1F4F">
      <w:pPr>
        <w:pStyle w:val="ListParagraph"/>
        <w:numPr>
          <w:ilvl w:val="0"/>
          <w:numId w:val="5"/>
        </w:numPr>
        <w:ind w:left="357" w:hanging="357"/>
        <w:contextualSpacing w:val="0"/>
      </w:pPr>
      <w:r w:rsidRPr="00CD6717">
        <w:rPr>
          <w:b/>
          <w:bCs/>
        </w:rPr>
        <w:t xml:space="preserve">Yes: </w:t>
      </w:r>
      <w:r w:rsidRPr="00157F48">
        <w:t>Proceed with CST consultation</w:t>
      </w:r>
    </w:p>
    <w:p w14:paraId="3F3D052C" w14:textId="77777777" w:rsidR="00157F48" w:rsidRPr="00157F48" w:rsidRDefault="00157F48" w:rsidP="00CE1F4F">
      <w:pPr>
        <w:pStyle w:val="ListParagraph"/>
        <w:numPr>
          <w:ilvl w:val="0"/>
          <w:numId w:val="5"/>
        </w:numPr>
        <w:ind w:left="357" w:hanging="357"/>
        <w:contextualSpacing w:val="0"/>
      </w:pPr>
      <w:r w:rsidRPr="00CD6717">
        <w:rPr>
          <w:b/>
          <w:bCs/>
        </w:rPr>
        <w:t>No:</w:t>
      </w:r>
      <w:r w:rsidRPr="00157F48">
        <w:t xml:space="preserve"> Consult the NCSP Guidelines (flowchart 7.3) to inform management</w:t>
      </w:r>
    </w:p>
    <w:p w14:paraId="72266E79" w14:textId="48688A48" w:rsidR="00157F48" w:rsidRPr="00157F48" w:rsidRDefault="00157F48" w:rsidP="00325519">
      <w:pPr>
        <w:pStyle w:val="ListParagraph"/>
        <w:numPr>
          <w:ilvl w:val="0"/>
          <w:numId w:val="5"/>
        </w:numPr>
        <w:ind w:left="357" w:hanging="357"/>
        <w:contextualSpacing w:val="0"/>
      </w:pPr>
      <w:r w:rsidRPr="00CD6717">
        <w:rPr>
          <w:b/>
          <w:bCs/>
        </w:rPr>
        <w:t xml:space="preserve">Unsure: </w:t>
      </w:r>
      <w:r w:rsidRPr="00157F48">
        <w:t>Consult patient records at relevant hospital</w:t>
      </w:r>
    </w:p>
    <w:p w14:paraId="47690D72" w14:textId="666D5974" w:rsidR="00157F48" w:rsidRPr="00157F48" w:rsidRDefault="00157F48" w:rsidP="00AF0A1C">
      <w:pPr>
        <w:pStyle w:val="Heading3"/>
      </w:pPr>
      <w:bookmarkStart w:id="36" w:name="_Toc201313215"/>
      <w:bookmarkStart w:id="37" w:name="_Toc201313498"/>
      <w:r w:rsidRPr="00242868">
        <w:t>Consider opportunistic testing as appropriate to the patient’s context and</w:t>
      </w:r>
      <w:r w:rsidRPr="00157F48">
        <w:t xml:space="preserve"> sexual practices</w:t>
      </w:r>
      <w:r w:rsidRPr="00020AD8">
        <w:rPr>
          <w:rStyle w:val="EndnoteReference"/>
          <w:b w:val="0"/>
          <w:bCs w:val="0"/>
          <w:szCs w:val="24"/>
        </w:rPr>
        <w:endnoteReference w:id="4"/>
      </w:r>
      <w:bookmarkEnd w:id="36"/>
      <w:bookmarkEnd w:id="37"/>
    </w:p>
    <w:p w14:paraId="6CBEFD1D" w14:textId="6D8DD85A" w:rsidR="00157F48" w:rsidRPr="00020AD8" w:rsidRDefault="00157F48" w:rsidP="00325519">
      <w:r w:rsidRPr="0041043D">
        <w:rPr>
          <w:b/>
          <w:bCs/>
        </w:rPr>
        <w:t xml:space="preserve">Question: </w:t>
      </w:r>
      <w:r w:rsidRPr="00157F48">
        <w:t>Is the patient recommended for any STI/BBV testing including syphilis? Offer risk-based testing if required</w:t>
      </w:r>
      <w:r w:rsidR="009334F6" w:rsidRPr="00020AD8">
        <w:rPr>
          <w:rStyle w:val="FootnoteReference"/>
          <w:sz w:val="24"/>
          <w:szCs w:val="24"/>
        </w:rPr>
        <w:footnoteReference w:id="6"/>
      </w:r>
      <w:r w:rsidRPr="00157F48">
        <w:t>.</w:t>
      </w:r>
    </w:p>
    <w:sectPr w:rsidR="00157F48" w:rsidRPr="00020AD8" w:rsidSect="00D87B9E">
      <w:endnotePr>
        <w:numFmt w:val="chicago"/>
      </w:endnotePr>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238C" w14:textId="77777777" w:rsidR="00211B83" w:rsidRDefault="00211B83" w:rsidP="00AF0A1C">
      <w:r>
        <w:separator/>
      </w:r>
    </w:p>
  </w:endnote>
  <w:endnote w:type="continuationSeparator" w:id="0">
    <w:p w14:paraId="2F79579A" w14:textId="77777777" w:rsidR="00211B83" w:rsidRDefault="00211B83" w:rsidP="00AF0A1C">
      <w:r>
        <w:continuationSeparator/>
      </w:r>
    </w:p>
  </w:endnote>
  <w:endnote w:type="continuationNotice" w:id="1">
    <w:p w14:paraId="0D34A33E" w14:textId="77777777" w:rsidR="00211B83" w:rsidRPr="00325519" w:rsidRDefault="00211B83" w:rsidP="00325519">
      <w:pPr>
        <w:pStyle w:val="Footer"/>
      </w:pPr>
    </w:p>
  </w:endnote>
  <w:endnote w:id="2">
    <w:p w14:paraId="7D1E431F" w14:textId="167C9E58" w:rsidR="00425793" w:rsidRPr="0041043D" w:rsidRDefault="002E27B8" w:rsidP="00AF0A1C">
      <w:pPr>
        <w:pStyle w:val="EndnoteText"/>
        <w:rPr>
          <w:sz w:val="18"/>
          <w:szCs w:val="18"/>
        </w:rPr>
      </w:pPr>
      <w:r w:rsidRPr="0041043D">
        <w:rPr>
          <w:rStyle w:val="EndnoteReference"/>
          <w:sz w:val="18"/>
          <w:szCs w:val="18"/>
        </w:rPr>
        <w:endnoteRef/>
      </w:r>
      <w:r w:rsidRPr="0041043D">
        <w:rPr>
          <w:sz w:val="18"/>
          <w:szCs w:val="18"/>
        </w:rPr>
        <w:t xml:space="preserve"> Self-collection is not appropriate for people who have the following symptoms: post coital bleeding, unexplained intermenstrual bleeding, or any post-menopausal bleeding and/or unexplained persistent unusual vaginal (use patients preferred term) discharge.</w:t>
      </w:r>
    </w:p>
  </w:endnote>
  <w:endnote w:id="3">
    <w:p w14:paraId="52868E82" w14:textId="50D97FDC" w:rsidR="00C659A5" w:rsidRPr="0041043D" w:rsidRDefault="000C0889" w:rsidP="00AF0A1C">
      <w:pPr>
        <w:pStyle w:val="EndnoteText"/>
        <w:rPr>
          <w:sz w:val="18"/>
          <w:szCs w:val="18"/>
        </w:rPr>
      </w:pPr>
      <w:r w:rsidRPr="0041043D">
        <w:rPr>
          <w:rStyle w:val="EndnoteReference"/>
          <w:sz w:val="18"/>
          <w:szCs w:val="18"/>
        </w:rPr>
        <w:endnoteRef/>
      </w:r>
      <w:r w:rsidRPr="0041043D">
        <w:rPr>
          <w:sz w:val="18"/>
          <w:szCs w:val="18"/>
        </w:rPr>
        <w:t xml:space="preserve"> Use patients preferred term.</w:t>
      </w:r>
    </w:p>
  </w:endnote>
  <w:endnote w:id="4">
    <w:p w14:paraId="0C0DAE0E" w14:textId="609720CA" w:rsidR="00157F48" w:rsidRPr="0041043D" w:rsidRDefault="00157F48" w:rsidP="00AF0A1C">
      <w:pPr>
        <w:rPr>
          <w:sz w:val="18"/>
          <w:szCs w:val="18"/>
        </w:rPr>
      </w:pPr>
      <w:r w:rsidRPr="0041043D">
        <w:rPr>
          <w:rStyle w:val="EndnoteReference"/>
          <w:sz w:val="18"/>
          <w:szCs w:val="18"/>
        </w:rPr>
        <w:endnoteRef/>
      </w:r>
      <w:r w:rsidRPr="0041043D">
        <w:rPr>
          <w:sz w:val="18"/>
          <w:szCs w:val="18"/>
        </w:rPr>
        <w:t xml:space="preserve"> </w:t>
      </w:r>
      <w:r w:rsidR="003D2136" w:rsidRPr="0041043D">
        <w:rPr>
          <w:sz w:val="18"/>
          <w:szCs w:val="18"/>
        </w:rPr>
        <w:t xml:space="preserve">ACON’s </w:t>
      </w:r>
      <w:proofErr w:type="spellStart"/>
      <w:r w:rsidR="003D2136" w:rsidRPr="0041043D">
        <w:rPr>
          <w:sz w:val="18"/>
          <w:szCs w:val="18"/>
        </w:rPr>
        <w:t>TransHub</w:t>
      </w:r>
      <w:proofErr w:type="spellEnd"/>
      <w:r w:rsidR="003D2136" w:rsidRPr="0041043D">
        <w:rPr>
          <w:sz w:val="18"/>
          <w:szCs w:val="18"/>
        </w:rPr>
        <w:t xml:space="preserve"> has helpful information on the ‘parts and practices’ model. For more information visit</w:t>
      </w:r>
      <w:r w:rsidR="00F96E07" w:rsidRPr="0041043D">
        <w:rPr>
          <w:sz w:val="18"/>
          <w:szCs w:val="18"/>
        </w:rPr>
        <w:t xml:space="preserve"> </w:t>
      </w:r>
      <w:hyperlink r:id="rId1" w:history="1">
        <w:r w:rsidR="00F96E07" w:rsidRPr="0041043D">
          <w:rPr>
            <w:rStyle w:val="Hyperlink"/>
            <w:kern w:val="0"/>
            <w:sz w:val="18"/>
            <w:szCs w:val="18"/>
          </w:rPr>
          <w:t>https://www.transhub.org.au/clinicians/sexual-health?rq=parts%20and%20practices</w:t>
        </w:r>
      </w:hyperlink>
      <w:r w:rsidR="00F96E07" w:rsidRPr="0041043D">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2259" w14:textId="77777777" w:rsidR="00211B83" w:rsidRDefault="00211B83" w:rsidP="00AF0A1C">
      <w:r>
        <w:separator/>
      </w:r>
    </w:p>
  </w:footnote>
  <w:footnote w:type="continuationSeparator" w:id="0">
    <w:p w14:paraId="73AEED13" w14:textId="77777777" w:rsidR="00211B83" w:rsidRDefault="00211B83" w:rsidP="00AF0A1C">
      <w:r>
        <w:continuationSeparator/>
      </w:r>
    </w:p>
  </w:footnote>
  <w:footnote w:type="continuationNotice" w:id="1">
    <w:p w14:paraId="1753DC62" w14:textId="77777777" w:rsidR="00211B83" w:rsidRDefault="00211B83"/>
  </w:footnote>
  <w:footnote w:id="2">
    <w:p w14:paraId="3226CB11" w14:textId="41C8134C" w:rsidR="00CE29C2" w:rsidRPr="0041043D" w:rsidRDefault="00CE29C2" w:rsidP="0041043D">
      <w:pPr>
        <w:pStyle w:val="FootnoteText"/>
        <w:spacing w:after="60"/>
        <w:rPr>
          <w:sz w:val="16"/>
          <w:szCs w:val="16"/>
        </w:rPr>
      </w:pPr>
      <w:r w:rsidRPr="0041043D">
        <w:rPr>
          <w:rStyle w:val="FootnoteReference"/>
          <w:sz w:val="16"/>
          <w:szCs w:val="16"/>
        </w:rPr>
        <w:footnoteRef/>
      </w:r>
      <w:r w:rsidRPr="0041043D">
        <w:rPr>
          <w:sz w:val="16"/>
          <w:szCs w:val="16"/>
        </w:rPr>
        <w:t xml:space="preserve"> </w:t>
      </w:r>
      <w:r w:rsidR="00A45426" w:rsidRPr="0041043D">
        <w:rPr>
          <w:sz w:val="16"/>
          <w:szCs w:val="16"/>
        </w:rPr>
        <w:t xml:space="preserve"> Carroll et al. Uptake, experiences and barriers to cervical screening for trans and non-binary people in Aotearoa New Zealand. Australian and New Zealand Journal of Obstetrics and Gynaecology. 2023 Jun;63(3):448-53.</w:t>
      </w:r>
    </w:p>
  </w:footnote>
  <w:footnote w:id="3">
    <w:p w14:paraId="148B47CA" w14:textId="7AB579BB" w:rsidR="00A45426" w:rsidRPr="005979BA" w:rsidRDefault="00A45426" w:rsidP="0041043D">
      <w:pPr>
        <w:pStyle w:val="FootnoteText"/>
        <w:spacing w:after="60"/>
      </w:pPr>
      <w:r w:rsidRPr="0041043D">
        <w:rPr>
          <w:rStyle w:val="FootnoteReference"/>
          <w:sz w:val="16"/>
          <w:szCs w:val="16"/>
        </w:rPr>
        <w:footnoteRef/>
      </w:r>
      <w:r w:rsidRPr="0041043D">
        <w:rPr>
          <w:sz w:val="16"/>
          <w:szCs w:val="16"/>
        </w:rPr>
        <w:t xml:space="preserve"> </w:t>
      </w:r>
      <w:r w:rsidR="00766D45" w:rsidRPr="0041043D">
        <w:rPr>
          <w:sz w:val="16"/>
          <w:szCs w:val="16"/>
        </w:rPr>
        <w:t xml:space="preserve"> </w:t>
      </w:r>
      <w:r w:rsidR="00247B1D" w:rsidRPr="0041043D">
        <w:rPr>
          <w:sz w:val="16"/>
          <w:szCs w:val="16"/>
        </w:rPr>
        <w:t>Berner et al. Attitudes of transgender men and non-binary people to cervical screening: a cross-sectional mixed-methods study in the UK. British Journal of General Practice. 2021 Aug 1;71(709):</w:t>
      </w:r>
      <w:r w:rsidR="00766D45" w:rsidRPr="0041043D">
        <w:rPr>
          <w:sz w:val="16"/>
          <w:szCs w:val="16"/>
        </w:rPr>
        <w:t xml:space="preserve"> </w:t>
      </w:r>
      <w:r w:rsidR="00247B1D" w:rsidRPr="0041043D">
        <w:rPr>
          <w:sz w:val="16"/>
          <w:szCs w:val="16"/>
        </w:rPr>
        <w:t>e614-25</w:t>
      </w:r>
    </w:p>
  </w:footnote>
  <w:footnote w:id="4">
    <w:p w14:paraId="47BDF3E4" w14:textId="0380B465" w:rsidR="00E17C0D" w:rsidRPr="0041043D" w:rsidRDefault="00E17C0D" w:rsidP="0041043D">
      <w:pPr>
        <w:pStyle w:val="FootnoteText"/>
        <w:spacing w:after="60"/>
        <w:rPr>
          <w:sz w:val="16"/>
          <w:szCs w:val="16"/>
        </w:rPr>
      </w:pPr>
      <w:r w:rsidRPr="0041043D">
        <w:rPr>
          <w:rStyle w:val="FootnoteReference"/>
          <w:sz w:val="16"/>
          <w:szCs w:val="16"/>
        </w:rPr>
        <w:footnoteRef/>
      </w:r>
      <w:r w:rsidRPr="0041043D">
        <w:rPr>
          <w:sz w:val="16"/>
          <w:szCs w:val="16"/>
        </w:rPr>
        <w:t xml:space="preserve"> </w:t>
      </w:r>
      <w:r w:rsidR="00E57426" w:rsidRPr="0041043D">
        <w:rPr>
          <w:sz w:val="16"/>
          <w:szCs w:val="16"/>
        </w:rPr>
        <w:t xml:space="preserve"> Kerr et al. Improving cervical screening in trans and gender- diverse people. Cancer Nursing. 2022 Jan 1;45(1):37-42.</w:t>
      </w:r>
    </w:p>
  </w:footnote>
  <w:footnote w:id="5">
    <w:p w14:paraId="5E68976E" w14:textId="096624A9" w:rsidR="00CB7259" w:rsidRPr="0041043D" w:rsidRDefault="00CB7259" w:rsidP="0041043D">
      <w:pPr>
        <w:pStyle w:val="FootnoteText"/>
        <w:spacing w:after="60"/>
        <w:rPr>
          <w:sz w:val="16"/>
          <w:szCs w:val="16"/>
        </w:rPr>
      </w:pPr>
      <w:r w:rsidRPr="0041043D">
        <w:rPr>
          <w:rStyle w:val="FootnoteReference"/>
          <w:rFonts w:asciiTheme="minorHAnsi" w:hAnsiTheme="minorHAnsi"/>
          <w:sz w:val="16"/>
          <w:szCs w:val="16"/>
        </w:rPr>
        <w:footnoteRef/>
      </w:r>
      <w:r w:rsidRPr="0041043D">
        <w:rPr>
          <w:sz w:val="16"/>
          <w:szCs w:val="16"/>
        </w:rPr>
        <w:t xml:space="preserve">  National Cervical Screening Program Guidelines. Available from </w:t>
      </w:r>
      <w:hyperlink r:id="rId1" w:anchor="/guideline/Eez2Kj" w:history="1">
        <w:r w:rsidR="0008656E" w:rsidRPr="0041043D">
          <w:rPr>
            <w:rStyle w:val="Hyperlink"/>
            <w:sz w:val="16"/>
            <w:szCs w:val="16"/>
          </w:rPr>
          <w:t>https://app.magicapp.org/#/guideline/Eez2Kj</w:t>
        </w:r>
      </w:hyperlink>
      <w:r w:rsidR="0008656E" w:rsidRPr="0041043D">
        <w:rPr>
          <w:sz w:val="16"/>
          <w:szCs w:val="16"/>
        </w:rPr>
        <w:t xml:space="preserve">  </w:t>
      </w:r>
    </w:p>
  </w:footnote>
  <w:footnote w:id="6">
    <w:p w14:paraId="11D4FB8E" w14:textId="03ADC8CA" w:rsidR="009334F6" w:rsidRPr="0041043D" w:rsidRDefault="009334F6" w:rsidP="0041043D">
      <w:pPr>
        <w:pStyle w:val="FootnoteText"/>
        <w:spacing w:after="60"/>
        <w:rPr>
          <w:sz w:val="16"/>
          <w:szCs w:val="16"/>
        </w:rPr>
      </w:pPr>
      <w:r w:rsidRPr="0041043D">
        <w:rPr>
          <w:rStyle w:val="FootnoteReference"/>
          <w:rFonts w:asciiTheme="minorHAnsi" w:hAnsiTheme="minorHAnsi"/>
          <w:sz w:val="16"/>
          <w:szCs w:val="16"/>
        </w:rPr>
        <w:footnoteRef/>
      </w:r>
      <w:r w:rsidRPr="0041043D">
        <w:rPr>
          <w:sz w:val="16"/>
          <w:szCs w:val="16"/>
        </w:rPr>
        <w:t xml:space="preserve">  Van Gerwen OT et al. Prevalence of sexually transmitted infections and human immunodeficiency virus in transgender persons: a systematic review. Transgender Health. 2020 Jun 1;5(2):90-103.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34E6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8137A8"/>
    <w:multiLevelType w:val="hybridMultilevel"/>
    <w:tmpl w:val="D9460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164872"/>
    <w:multiLevelType w:val="hybridMultilevel"/>
    <w:tmpl w:val="E09C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B0F30"/>
    <w:multiLevelType w:val="hybridMultilevel"/>
    <w:tmpl w:val="9A7AD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850C49"/>
    <w:multiLevelType w:val="hybridMultilevel"/>
    <w:tmpl w:val="33B0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B9255B"/>
    <w:multiLevelType w:val="hybridMultilevel"/>
    <w:tmpl w:val="882EB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6FB3CDF"/>
    <w:multiLevelType w:val="hybridMultilevel"/>
    <w:tmpl w:val="FCE0D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44639655">
    <w:abstractNumId w:val="5"/>
  </w:num>
  <w:num w:numId="2" w16cid:durableId="2006350872">
    <w:abstractNumId w:val="6"/>
  </w:num>
  <w:num w:numId="3" w16cid:durableId="1501965521">
    <w:abstractNumId w:val="2"/>
  </w:num>
  <w:num w:numId="4" w16cid:durableId="537205404">
    <w:abstractNumId w:val="1"/>
  </w:num>
  <w:num w:numId="5" w16cid:durableId="1459374765">
    <w:abstractNumId w:val="3"/>
  </w:num>
  <w:num w:numId="6" w16cid:durableId="448820022">
    <w:abstractNumId w:val="4"/>
  </w:num>
  <w:num w:numId="7" w16cid:durableId="196916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pos w:val="sectEnd"/>
    <w:numFmt w:val="chicago"/>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C"/>
    <w:rsid w:val="00010CA0"/>
    <w:rsid w:val="00014A3C"/>
    <w:rsid w:val="00020AD8"/>
    <w:rsid w:val="0003620C"/>
    <w:rsid w:val="000568D1"/>
    <w:rsid w:val="0008406D"/>
    <w:rsid w:val="0008656E"/>
    <w:rsid w:val="000C0889"/>
    <w:rsid w:val="000D30FF"/>
    <w:rsid w:val="00134D31"/>
    <w:rsid w:val="00157F48"/>
    <w:rsid w:val="00194E57"/>
    <w:rsid w:val="0019789B"/>
    <w:rsid w:val="001A6D8B"/>
    <w:rsid w:val="001E0462"/>
    <w:rsid w:val="001E77CD"/>
    <w:rsid w:val="00211B83"/>
    <w:rsid w:val="002343B7"/>
    <w:rsid w:val="00242868"/>
    <w:rsid w:val="00242E0F"/>
    <w:rsid w:val="00247B1D"/>
    <w:rsid w:val="002D4E4D"/>
    <w:rsid w:val="002E27B8"/>
    <w:rsid w:val="00313A0F"/>
    <w:rsid w:val="00325519"/>
    <w:rsid w:val="003430FE"/>
    <w:rsid w:val="00390E61"/>
    <w:rsid w:val="003D2136"/>
    <w:rsid w:val="003D5E82"/>
    <w:rsid w:val="0041043D"/>
    <w:rsid w:val="00425793"/>
    <w:rsid w:val="0049648E"/>
    <w:rsid w:val="004A4BDD"/>
    <w:rsid w:val="004A74F1"/>
    <w:rsid w:val="004E04A3"/>
    <w:rsid w:val="005402AB"/>
    <w:rsid w:val="0055687A"/>
    <w:rsid w:val="00573ED0"/>
    <w:rsid w:val="00581A00"/>
    <w:rsid w:val="005979BA"/>
    <w:rsid w:val="0062582C"/>
    <w:rsid w:val="00660D69"/>
    <w:rsid w:val="006A68F3"/>
    <w:rsid w:val="006A77C2"/>
    <w:rsid w:val="006C262F"/>
    <w:rsid w:val="006D5FF7"/>
    <w:rsid w:val="006E34E5"/>
    <w:rsid w:val="007222AE"/>
    <w:rsid w:val="0072273F"/>
    <w:rsid w:val="00735AD8"/>
    <w:rsid w:val="007374F5"/>
    <w:rsid w:val="00766D45"/>
    <w:rsid w:val="00767853"/>
    <w:rsid w:val="00772E5F"/>
    <w:rsid w:val="00797AB4"/>
    <w:rsid w:val="007D5B3D"/>
    <w:rsid w:val="00870A21"/>
    <w:rsid w:val="00930F02"/>
    <w:rsid w:val="009334F6"/>
    <w:rsid w:val="0098143F"/>
    <w:rsid w:val="009A2E09"/>
    <w:rsid w:val="009C6A7B"/>
    <w:rsid w:val="00A04DA3"/>
    <w:rsid w:val="00A45426"/>
    <w:rsid w:val="00A51716"/>
    <w:rsid w:val="00A940E2"/>
    <w:rsid w:val="00A96A3A"/>
    <w:rsid w:val="00AA2EBB"/>
    <w:rsid w:val="00AA67A7"/>
    <w:rsid w:val="00AF0A1C"/>
    <w:rsid w:val="00B36893"/>
    <w:rsid w:val="00B7108B"/>
    <w:rsid w:val="00BD13D4"/>
    <w:rsid w:val="00BE0CA2"/>
    <w:rsid w:val="00BF4FFD"/>
    <w:rsid w:val="00C14143"/>
    <w:rsid w:val="00C5746A"/>
    <w:rsid w:val="00C659A5"/>
    <w:rsid w:val="00CB590C"/>
    <w:rsid w:val="00CB7259"/>
    <w:rsid w:val="00CD09B2"/>
    <w:rsid w:val="00CD6717"/>
    <w:rsid w:val="00CE1F4F"/>
    <w:rsid w:val="00CE29C2"/>
    <w:rsid w:val="00CE6F61"/>
    <w:rsid w:val="00CF0CCD"/>
    <w:rsid w:val="00CF1D86"/>
    <w:rsid w:val="00D27107"/>
    <w:rsid w:val="00D273E7"/>
    <w:rsid w:val="00D33AC5"/>
    <w:rsid w:val="00D72F9A"/>
    <w:rsid w:val="00D87B9E"/>
    <w:rsid w:val="00D95328"/>
    <w:rsid w:val="00DC30F8"/>
    <w:rsid w:val="00DC796A"/>
    <w:rsid w:val="00DD4826"/>
    <w:rsid w:val="00E17C0D"/>
    <w:rsid w:val="00E254B4"/>
    <w:rsid w:val="00E57426"/>
    <w:rsid w:val="00F2174B"/>
    <w:rsid w:val="00F330F5"/>
    <w:rsid w:val="00F35C54"/>
    <w:rsid w:val="00F40565"/>
    <w:rsid w:val="00F96E07"/>
    <w:rsid w:val="00FA717A"/>
    <w:rsid w:val="00FC43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7138"/>
  <w15:chartTrackingRefBased/>
  <w15:docId w15:val="{78ABB9AB-1F02-46A1-BC90-2C85BD98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19"/>
    <w:pPr>
      <w:spacing w:before="120" w:after="120" w:line="240" w:lineRule="auto"/>
    </w:pPr>
    <w:rPr>
      <w:rFonts w:ascii="Segoe UI" w:hAnsi="Segoe UI" w:cs="Segoe UI"/>
      <w:sz w:val="21"/>
      <w:szCs w:val="21"/>
    </w:rPr>
  </w:style>
  <w:style w:type="paragraph" w:styleId="Heading1">
    <w:name w:val="heading 1"/>
    <w:basedOn w:val="Normal"/>
    <w:next w:val="Normal"/>
    <w:link w:val="Heading1Char"/>
    <w:uiPriority w:val="9"/>
    <w:qFormat/>
    <w:rsid w:val="00581A00"/>
    <w:pPr>
      <w:keepNext/>
      <w:keepLines/>
      <w:outlineLvl w:val="0"/>
    </w:pPr>
    <w:rPr>
      <w:rFonts w:ascii="Gotham Rounded Bold" w:eastAsiaTheme="majorEastAsia" w:hAnsi="Gotham Rounded Bold" w:cs="Arial"/>
      <w:b/>
      <w:bCs/>
      <w:sz w:val="38"/>
      <w:szCs w:val="38"/>
    </w:rPr>
  </w:style>
  <w:style w:type="paragraph" w:styleId="Heading2">
    <w:name w:val="heading 2"/>
    <w:basedOn w:val="Normal"/>
    <w:next w:val="Normal"/>
    <w:link w:val="Heading2Char"/>
    <w:uiPriority w:val="9"/>
    <w:unhideWhenUsed/>
    <w:qFormat/>
    <w:rsid w:val="00325519"/>
    <w:pPr>
      <w:keepNext/>
      <w:keepLines/>
      <w:spacing w:before="240" w:after="240"/>
      <w:outlineLvl w:val="1"/>
    </w:pPr>
    <w:rPr>
      <w:rFonts w:ascii="Gotham Rounded Bold" w:eastAsiaTheme="majorEastAsia" w:hAnsi="Gotham Rounded Bold" w:cstheme="majorBidi"/>
      <w:b/>
      <w:bCs/>
      <w:sz w:val="32"/>
      <w:szCs w:val="32"/>
    </w:rPr>
  </w:style>
  <w:style w:type="paragraph" w:styleId="Heading3">
    <w:name w:val="heading 3"/>
    <w:basedOn w:val="Heading2"/>
    <w:next w:val="Normal"/>
    <w:link w:val="Heading3Char"/>
    <w:uiPriority w:val="9"/>
    <w:unhideWhenUsed/>
    <w:qFormat/>
    <w:rsid w:val="00325519"/>
    <w:pPr>
      <w:outlineLvl w:val="2"/>
    </w:pPr>
    <w:rPr>
      <w:rFonts w:ascii="Segoe UI" w:hAnsi="Segoe UI" w:cs="Segoe UI"/>
      <w:color w:val="7030A0"/>
      <w:sz w:val="24"/>
      <w:szCs w:val="28"/>
    </w:rPr>
  </w:style>
  <w:style w:type="paragraph" w:styleId="Heading4">
    <w:name w:val="heading 4"/>
    <w:basedOn w:val="Heading3"/>
    <w:next w:val="Normal"/>
    <w:link w:val="Heading4Char"/>
    <w:uiPriority w:val="9"/>
    <w:unhideWhenUsed/>
    <w:qFormat/>
    <w:rsid w:val="006C262F"/>
    <w:pPr>
      <w:spacing w:before="120"/>
      <w:outlineLvl w:val="3"/>
    </w:pPr>
    <w:rPr>
      <w:color w:val="auto"/>
      <w:szCs w:val="24"/>
    </w:rPr>
  </w:style>
  <w:style w:type="paragraph" w:styleId="Heading5">
    <w:name w:val="heading 5"/>
    <w:basedOn w:val="Normal"/>
    <w:next w:val="Normal"/>
    <w:link w:val="Heading5Char"/>
    <w:uiPriority w:val="9"/>
    <w:unhideWhenUsed/>
    <w:qFormat/>
    <w:rsid w:val="00CB5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9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9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9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9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A00"/>
    <w:rPr>
      <w:rFonts w:ascii="Gotham Rounded Bold" w:eastAsiaTheme="majorEastAsia" w:hAnsi="Gotham Rounded Bold" w:cs="Arial"/>
      <w:b/>
      <w:bCs/>
      <w:sz w:val="38"/>
      <w:szCs w:val="38"/>
    </w:rPr>
  </w:style>
  <w:style w:type="character" w:customStyle="1" w:styleId="Heading2Char">
    <w:name w:val="Heading 2 Char"/>
    <w:basedOn w:val="DefaultParagraphFont"/>
    <w:link w:val="Heading2"/>
    <w:uiPriority w:val="9"/>
    <w:rsid w:val="00325519"/>
    <w:rPr>
      <w:rFonts w:ascii="Gotham Rounded Bold" w:eastAsiaTheme="majorEastAsia" w:hAnsi="Gotham Rounded Bold" w:cstheme="majorBidi"/>
      <w:b/>
      <w:bCs/>
      <w:sz w:val="32"/>
      <w:szCs w:val="32"/>
    </w:rPr>
  </w:style>
  <w:style w:type="character" w:customStyle="1" w:styleId="Heading3Char">
    <w:name w:val="Heading 3 Char"/>
    <w:basedOn w:val="DefaultParagraphFont"/>
    <w:link w:val="Heading3"/>
    <w:uiPriority w:val="9"/>
    <w:rsid w:val="00325519"/>
    <w:rPr>
      <w:rFonts w:ascii="Segoe UI" w:eastAsiaTheme="majorEastAsia" w:hAnsi="Segoe UI" w:cs="Segoe UI"/>
      <w:b/>
      <w:bCs/>
      <w:color w:val="7030A0"/>
      <w:szCs w:val="28"/>
    </w:rPr>
  </w:style>
  <w:style w:type="character" w:customStyle="1" w:styleId="Heading4Char">
    <w:name w:val="Heading 4 Char"/>
    <w:basedOn w:val="DefaultParagraphFont"/>
    <w:link w:val="Heading4"/>
    <w:uiPriority w:val="9"/>
    <w:rsid w:val="006C262F"/>
    <w:rPr>
      <w:rFonts w:ascii="Segoe UI" w:eastAsiaTheme="majorEastAsia" w:hAnsi="Segoe UI" w:cs="Segoe UI"/>
      <w:b/>
      <w:bCs/>
    </w:rPr>
  </w:style>
  <w:style w:type="character" w:customStyle="1" w:styleId="Heading5Char">
    <w:name w:val="Heading 5 Char"/>
    <w:basedOn w:val="DefaultParagraphFont"/>
    <w:link w:val="Heading5"/>
    <w:uiPriority w:val="9"/>
    <w:rsid w:val="00CB5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90C"/>
    <w:rPr>
      <w:rFonts w:eastAsiaTheme="majorEastAsia" w:cstheme="majorBidi"/>
      <w:color w:val="272727" w:themeColor="text1" w:themeTint="D8"/>
    </w:rPr>
  </w:style>
  <w:style w:type="paragraph" w:styleId="Title">
    <w:name w:val="Title"/>
    <w:basedOn w:val="Normal"/>
    <w:next w:val="Normal"/>
    <w:link w:val="TitleChar"/>
    <w:uiPriority w:val="10"/>
    <w:qFormat/>
    <w:rsid w:val="00CB59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90C"/>
    <w:pPr>
      <w:spacing w:before="160"/>
      <w:jc w:val="center"/>
    </w:pPr>
    <w:rPr>
      <w:i/>
      <w:iCs/>
      <w:color w:val="404040" w:themeColor="text1" w:themeTint="BF"/>
    </w:rPr>
  </w:style>
  <w:style w:type="character" w:customStyle="1" w:styleId="QuoteChar">
    <w:name w:val="Quote Char"/>
    <w:basedOn w:val="DefaultParagraphFont"/>
    <w:link w:val="Quote"/>
    <w:uiPriority w:val="29"/>
    <w:rsid w:val="00CB590C"/>
    <w:rPr>
      <w:i/>
      <w:iCs/>
      <w:color w:val="404040" w:themeColor="text1" w:themeTint="BF"/>
    </w:rPr>
  </w:style>
  <w:style w:type="paragraph" w:styleId="ListParagraph">
    <w:name w:val="List Paragraph"/>
    <w:basedOn w:val="Normal"/>
    <w:uiPriority w:val="34"/>
    <w:qFormat/>
    <w:rsid w:val="00CB590C"/>
    <w:pPr>
      <w:ind w:left="720"/>
      <w:contextualSpacing/>
    </w:pPr>
  </w:style>
  <w:style w:type="character" w:styleId="IntenseEmphasis">
    <w:name w:val="Intense Emphasis"/>
    <w:basedOn w:val="DefaultParagraphFont"/>
    <w:uiPriority w:val="21"/>
    <w:qFormat/>
    <w:rsid w:val="00CB590C"/>
    <w:rPr>
      <w:i/>
      <w:iCs/>
      <w:color w:val="0F4761" w:themeColor="accent1" w:themeShade="BF"/>
    </w:rPr>
  </w:style>
  <w:style w:type="paragraph" w:styleId="IntenseQuote">
    <w:name w:val="Intense Quote"/>
    <w:basedOn w:val="Normal"/>
    <w:next w:val="Normal"/>
    <w:link w:val="IntenseQuoteChar"/>
    <w:uiPriority w:val="30"/>
    <w:qFormat/>
    <w:rsid w:val="00CB5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90C"/>
    <w:rPr>
      <w:i/>
      <w:iCs/>
      <w:color w:val="0F4761" w:themeColor="accent1" w:themeShade="BF"/>
    </w:rPr>
  </w:style>
  <w:style w:type="character" w:styleId="IntenseReference">
    <w:name w:val="Intense Reference"/>
    <w:basedOn w:val="DefaultParagraphFont"/>
    <w:uiPriority w:val="32"/>
    <w:qFormat/>
    <w:rsid w:val="00CB590C"/>
    <w:rPr>
      <w:b/>
      <w:bCs/>
      <w:smallCaps/>
      <w:color w:val="0F4761" w:themeColor="accent1" w:themeShade="BF"/>
      <w:spacing w:val="5"/>
    </w:rPr>
  </w:style>
  <w:style w:type="paragraph" w:styleId="FootnoteText">
    <w:name w:val="footnote text"/>
    <w:basedOn w:val="Normal"/>
    <w:link w:val="FootnoteTextChar"/>
    <w:uiPriority w:val="99"/>
    <w:unhideWhenUsed/>
    <w:rsid w:val="00E17C0D"/>
    <w:rPr>
      <w:sz w:val="20"/>
      <w:szCs w:val="20"/>
    </w:rPr>
  </w:style>
  <w:style w:type="character" w:customStyle="1" w:styleId="FootnoteTextChar">
    <w:name w:val="Footnote Text Char"/>
    <w:basedOn w:val="DefaultParagraphFont"/>
    <w:link w:val="FootnoteText"/>
    <w:uiPriority w:val="99"/>
    <w:rsid w:val="00E17C0D"/>
    <w:rPr>
      <w:sz w:val="20"/>
      <w:szCs w:val="20"/>
    </w:rPr>
  </w:style>
  <w:style w:type="character" w:styleId="FootnoteReference">
    <w:name w:val="footnote reference"/>
    <w:basedOn w:val="DefaultParagraphFont"/>
    <w:uiPriority w:val="99"/>
    <w:semiHidden/>
    <w:unhideWhenUsed/>
    <w:rsid w:val="00E17C0D"/>
    <w:rPr>
      <w:vertAlign w:val="superscript"/>
    </w:rPr>
  </w:style>
  <w:style w:type="paragraph" w:styleId="EndnoteText">
    <w:name w:val="endnote text"/>
    <w:basedOn w:val="Normal"/>
    <w:link w:val="EndnoteTextChar"/>
    <w:uiPriority w:val="99"/>
    <w:unhideWhenUsed/>
    <w:rsid w:val="00D87B9E"/>
    <w:rPr>
      <w:sz w:val="20"/>
      <w:szCs w:val="20"/>
    </w:rPr>
  </w:style>
  <w:style w:type="character" w:customStyle="1" w:styleId="EndnoteTextChar">
    <w:name w:val="Endnote Text Char"/>
    <w:basedOn w:val="DefaultParagraphFont"/>
    <w:link w:val="EndnoteText"/>
    <w:uiPriority w:val="99"/>
    <w:rsid w:val="00D87B9E"/>
    <w:rPr>
      <w:sz w:val="20"/>
      <w:szCs w:val="20"/>
    </w:rPr>
  </w:style>
  <w:style w:type="character" w:styleId="EndnoteReference">
    <w:name w:val="endnote reference"/>
    <w:basedOn w:val="DefaultParagraphFont"/>
    <w:uiPriority w:val="99"/>
    <w:semiHidden/>
    <w:unhideWhenUsed/>
    <w:rsid w:val="00D87B9E"/>
    <w:rPr>
      <w:vertAlign w:val="superscript"/>
    </w:rPr>
  </w:style>
  <w:style w:type="character" w:styleId="Hyperlink">
    <w:name w:val="Hyperlink"/>
    <w:basedOn w:val="DefaultParagraphFont"/>
    <w:uiPriority w:val="99"/>
    <w:unhideWhenUsed/>
    <w:rsid w:val="0008656E"/>
    <w:rPr>
      <w:color w:val="467886" w:themeColor="hyperlink"/>
      <w:u w:val="single"/>
    </w:rPr>
  </w:style>
  <w:style w:type="character" w:styleId="UnresolvedMention">
    <w:name w:val="Unresolved Mention"/>
    <w:basedOn w:val="DefaultParagraphFont"/>
    <w:uiPriority w:val="99"/>
    <w:semiHidden/>
    <w:unhideWhenUsed/>
    <w:rsid w:val="0008656E"/>
    <w:rPr>
      <w:color w:val="605E5C"/>
      <w:shd w:val="clear" w:color="auto" w:fill="E1DFDD"/>
    </w:rPr>
  </w:style>
  <w:style w:type="paragraph" w:styleId="TOC1">
    <w:name w:val="toc 1"/>
    <w:basedOn w:val="Normal"/>
    <w:next w:val="Normal"/>
    <w:autoRedefine/>
    <w:uiPriority w:val="39"/>
    <w:unhideWhenUsed/>
    <w:rsid w:val="007D5B3D"/>
    <w:pPr>
      <w:tabs>
        <w:tab w:val="right" w:leader="dot" w:pos="9968"/>
      </w:tabs>
      <w:spacing w:after="100"/>
    </w:pPr>
    <w:rPr>
      <w:b/>
      <w:bCs/>
      <w:noProof/>
    </w:rPr>
  </w:style>
  <w:style w:type="paragraph" w:styleId="TOC2">
    <w:name w:val="toc 2"/>
    <w:basedOn w:val="Normal"/>
    <w:next w:val="Normal"/>
    <w:autoRedefine/>
    <w:uiPriority w:val="39"/>
    <w:unhideWhenUsed/>
    <w:rsid w:val="007D5B3D"/>
    <w:pPr>
      <w:tabs>
        <w:tab w:val="right" w:leader="dot" w:pos="9968"/>
      </w:tabs>
      <w:spacing w:after="100"/>
    </w:pPr>
    <w:rPr>
      <w:b/>
      <w:bCs/>
      <w:noProof/>
    </w:rPr>
  </w:style>
  <w:style w:type="paragraph" w:styleId="TOC3">
    <w:name w:val="toc 3"/>
    <w:basedOn w:val="Normal"/>
    <w:next w:val="Normal"/>
    <w:autoRedefine/>
    <w:uiPriority w:val="39"/>
    <w:unhideWhenUsed/>
    <w:rsid w:val="0041043D"/>
    <w:pPr>
      <w:tabs>
        <w:tab w:val="right" w:leader="dot" w:pos="9968"/>
      </w:tabs>
      <w:spacing w:after="100"/>
      <w:ind w:left="227"/>
    </w:pPr>
  </w:style>
  <w:style w:type="paragraph" w:styleId="TOAHeading">
    <w:name w:val="toa heading"/>
    <w:basedOn w:val="Normal"/>
    <w:next w:val="Normal"/>
    <w:uiPriority w:val="99"/>
    <w:unhideWhenUsed/>
    <w:rsid w:val="00325519"/>
    <w:pPr>
      <w:spacing w:before="240"/>
    </w:pPr>
    <w:rPr>
      <w:rFonts w:asciiTheme="minorHAnsi" w:eastAsiaTheme="majorEastAsia" w:hAnsiTheme="minorHAnsi" w:cstheme="majorBidi"/>
      <w:b/>
      <w:bCs/>
      <w:color w:val="7030A0"/>
      <w:sz w:val="28"/>
      <w:szCs w:val="24"/>
    </w:rPr>
  </w:style>
  <w:style w:type="paragraph" w:styleId="Footer">
    <w:name w:val="footer"/>
    <w:basedOn w:val="Normal"/>
    <w:link w:val="FooterChar"/>
    <w:uiPriority w:val="99"/>
    <w:semiHidden/>
    <w:unhideWhenUsed/>
    <w:rsid w:val="00325519"/>
    <w:pPr>
      <w:tabs>
        <w:tab w:val="center" w:pos="4513"/>
        <w:tab w:val="right" w:pos="9026"/>
      </w:tabs>
    </w:pPr>
  </w:style>
  <w:style w:type="character" w:customStyle="1" w:styleId="FooterChar">
    <w:name w:val="Footer Char"/>
    <w:basedOn w:val="DefaultParagraphFont"/>
    <w:link w:val="Footer"/>
    <w:uiPriority w:val="99"/>
    <w:semiHidden/>
    <w:rsid w:val="00325519"/>
    <w:rPr>
      <w:rFonts w:ascii="Segoe UI" w:hAnsi="Segoe UI" w:cs="Segoe UI"/>
      <w:sz w:val="21"/>
      <w:szCs w:val="21"/>
    </w:rPr>
  </w:style>
  <w:style w:type="paragraph" w:styleId="ListBullet">
    <w:name w:val="List Bullet"/>
    <w:basedOn w:val="Normal"/>
    <w:uiPriority w:val="99"/>
    <w:unhideWhenUsed/>
    <w:rsid w:val="00325519"/>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transhub.org.au/clinicians/sexual-health?rq=parts%20and%20practi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magica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839094c7-44eb-41ba-bf13-17cd8e527726" xsi:nil="true"/>
    <TaxCatchAll xmlns="2af0ad07-0ce2-4345-92b0-b87809ef53a8"/>
    <Sort xmlns="839094c7-44eb-41ba-bf13-17cd8e527726" xsi:nil="true"/>
    <lcf76f155ced4ddcb4097134ff3c332f xmlns="839094c7-44eb-41ba-bf13-17cd8e527726">
      <Terms xmlns="http://schemas.microsoft.com/office/infopath/2007/PartnerControls"/>
    </lcf76f155ced4ddcb4097134ff3c332f>
    <Number xmlns="839094c7-44eb-41ba-bf13-17cd8e5277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4" ma:contentTypeDescription="Create a new document." ma:contentTypeScope="" ma:versionID="6e6cd46959d5777aa13388b8fa97bfb5">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3f3a2a8c09a0ada932ef2c7938880fd6" ns2:_="" ns3:_="">
    <xsd:import namespace="839094c7-44eb-41ba-bf13-17cd8e527726"/>
    <xsd:import namespace="2af0ad07-0ce2-4345-92b0-b87809ef53a8"/>
    <xsd:element name="properties">
      <xsd:complexType>
        <xsd:sequence>
          <xsd:element name="documentManagement">
            <xsd:complexType>
              <xsd:all>
                <xsd:element ref="ns2:Number" minOccurs="0"/>
                <xsd:element ref="ns2:Sort" minOccurs="0"/>
                <xsd:element ref="ns2:dateandtim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Number" ma:index="3" nillable="true" ma:displayName="Number" ma:format="Dropdown" ma:indexed="true" ma:internalName="Number" ma:percentage="FALSE">
      <xsd:simpleType>
        <xsd:restriction base="dms:Number"/>
      </xsd:simpleType>
    </xsd:element>
    <xsd:element name="Sort" ma:index="4" nillable="true" ma:displayName="Sort" ma:format="Dropdown" ma:internalName="Sort" ma:percentage="FALSE">
      <xsd:simpleType>
        <xsd:restriction base="dms:Number"/>
      </xsd:simpleType>
    </xsd:element>
    <xsd:element name="dateandtime" ma:index="5" nillable="true" ma:displayName="date and time" ma:format="DateOnly"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8179E-A451-462C-9025-69DA6A466A8E}">
  <ds:schemaRefs>
    <ds:schemaRef ds:uri="http://schemas.microsoft.com/sharepoint/v3/contenttype/forms"/>
  </ds:schemaRefs>
</ds:datastoreItem>
</file>

<file path=customXml/itemProps2.xml><?xml version="1.0" encoding="utf-8"?>
<ds:datastoreItem xmlns:ds="http://schemas.openxmlformats.org/officeDocument/2006/customXml" ds:itemID="{7594C84F-B013-460C-901F-9E4987A5254D}">
  <ds:schemaRefs>
    <ds:schemaRef ds:uri="http://schemas.microsoft.com/office/2006/metadata/properties"/>
    <ds:schemaRef ds:uri="http://schemas.microsoft.com/office/infopath/2007/PartnerControls"/>
    <ds:schemaRef ds:uri="839094c7-44eb-41ba-bf13-17cd8e527726"/>
    <ds:schemaRef ds:uri="2af0ad07-0ce2-4345-92b0-b87809ef53a8"/>
  </ds:schemaRefs>
</ds:datastoreItem>
</file>

<file path=customXml/itemProps3.xml><?xml version="1.0" encoding="utf-8"?>
<ds:datastoreItem xmlns:ds="http://schemas.openxmlformats.org/officeDocument/2006/customXml" ds:itemID="{7B89CD35-F14C-4221-833D-BCCEDA34E770}">
  <ds:schemaRefs>
    <ds:schemaRef ds:uri="http://schemas.openxmlformats.org/officeDocument/2006/bibliography"/>
  </ds:schemaRefs>
</ds:datastoreItem>
</file>

<file path=customXml/itemProps4.xml><?xml version="1.0" encoding="utf-8"?>
<ds:datastoreItem xmlns:ds="http://schemas.openxmlformats.org/officeDocument/2006/customXml" ds:itemID="{E2B8CB14-AF6D-4F4D-86A6-245A7A0A1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 – Cervical screening for trans and gender diverse people</dc:title>
  <dc:subject>National Cervical Screening Program</dc:subject>
  <dc:creator>Australian Government Department of Health, Disability and Ageing</dc:creator>
  <cp:keywords>LGBTIQA+ people’s health; Cancer; Women's Health,</cp:keywords>
  <dc:description/>
  <cp:lastModifiedBy>MASCHKE, Elvia</cp:lastModifiedBy>
  <cp:revision>100</cp:revision>
  <dcterms:created xsi:type="dcterms:W3CDTF">2025-06-10T23:52:00Z</dcterms:created>
  <dcterms:modified xsi:type="dcterms:W3CDTF">2025-06-20T06:28:00Z</dcterms:modified>
</cp:coreProperties>
</file>