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4AB" w14:textId="7A9BDCB7" w:rsidR="002C31CD" w:rsidRDefault="002C31CD" w:rsidP="002C31CD">
      <w:pPr>
        <w:pStyle w:val="Heading1"/>
      </w:pPr>
      <w:r w:rsidRPr="002C31CD">
        <w:t>Aged Care Transition Taskforce – Summary of ninth meeting – 12 June 2025</w:t>
      </w:r>
    </w:p>
    <w:p w14:paraId="66AE0022" w14:textId="370DAE81" w:rsidR="008B2137" w:rsidRDefault="00485507" w:rsidP="002C31CD">
      <w:r w:rsidRPr="13FF9E4B">
        <w:t xml:space="preserve">Aged Care Transition Taskforce (Transition Taskforce) </w:t>
      </w:r>
      <w:r w:rsidR="00905478" w:rsidRPr="13FF9E4B">
        <w:t xml:space="preserve">members </w:t>
      </w:r>
      <w:r w:rsidR="00263789" w:rsidRPr="13FF9E4B">
        <w:t>supported</w:t>
      </w:r>
      <w:r w:rsidR="00101451" w:rsidRPr="13FF9E4B">
        <w:t xml:space="preserve"> the </w:t>
      </w:r>
      <w:r w:rsidR="00263789" w:rsidRPr="13FF9E4B">
        <w:t>Australian</w:t>
      </w:r>
      <w:r w:rsidR="008B2137" w:rsidRPr="13FF9E4B">
        <w:t> </w:t>
      </w:r>
      <w:r w:rsidR="00263789" w:rsidRPr="13FF9E4B">
        <w:t>G</w:t>
      </w:r>
      <w:r w:rsidR="00101451" w:rsidRPr="13FF9E4B">
        <w:t xml:space="preserve">overnment’s decision to </w:t>
      </w:r>
      <w:r w:rsidR="004C350E" w:rsidRPr="13FF9E4B">
        <w:t xml:space="preserve">seek to </w:t>
      </w:r>
      <w:r w:rsidR="00985BAE" w:rsidRPr="13FF9E4B">
        <w:t xml:space="preserve">commence the </w:t>
      </w:r>
      <w:r w:rsidR="00985BAE" w:rsidRPr="13FF9E4B">
        <w:rPr>
          <w:i/>
          <w:iCs/>
        </w:rPr>
        <w:t>Aged Care Act 2024</w:t>
      </w:r>
      <w:r w:rsidR="00985BAE" w:rsidRPr="13FF9E4B">
        <w:t xml:space="preserve"> and t</w:t>
      </w:r>
      <w:r w:rsidR="00CC1CBB" w:rsidRPr="13FF9E4B">
        <w:t xml:space="preserve">he Support at Home program </w:t>
      </w:r>
      <w:r w:rsidR="004C350E" w:rsidRPr="13FF9E4B">
        <w:t>on</w:t>
      </w:r>
      <w:r w:rsidR="00CC1CBB" w:rsidRPr="13FF9E4B">
        <w:t xml:space="preserve"> 1 November 2025</w:t>
      </w:r>
      <w:r w:rsidR="00B90987" w:rsidRPr="13FF9E4B">
        <w:t xml:space="preserve">. </w:t>
      </w:r>
      <w:r w:rsidR="2B8AB404" w:rsidRPr="13FF9E4B">
        <w:t>Members noted that w</w:t>
      </w:r>
      <w:r w:rsidR="7457122D" w:rsidRPr="13FF9E4B">
        <w:t>hile some providers were well prepare</w:t>
      </w:r>
      <w:r w:rsidR="263876A9" w:rsidRPr="13FF9E4B">
        <w:t>d,</w:t>
      </w:r>
      <w:r w:rsidR="36BD48E8" w:rsidRPr="13FF9E4B">
        <w:t xml:space="preserve"> the announcement has been received positively and</w:t>
      </w:r>
      <w:r w:rsidR="263876A9" w:rsidRPr="13FF9E4B">
        <w:t xml:space="preserve"> </w:t>
      </w:r>
      <w:r w:rsidR="45107EBF" w:rsidRPr="13FF9E4B">
        <w:t xml:space="preserve">was </w:t>
      </w:r>
      <w:r w:rsidR="263876A9" w:rsidRPr="13FF9E4B">
        <w:t>overall</w:t>
      </w:r>
      <w:r w:rsidR="574B862B" w:rsidRPr="13FF9E4B">
        <w:t xml:space="preserve"> </w:t>
      </w:r>
      <w:r w:rsidR="263876A9" w:rsidRPr="13FF9E4B">
        <w:t>the right decision to make.</w:t>
      </w:r>
    </w:p>
    <w:p w14:paraId="65D3DD4D" w14:textId="6CA862C9" w:rsidR="00FF2354" w:rsidRDefault="4C09C050" w:rsidP="002C31CD">
      <w:r w:rsidRPr="5EA678E3">
        <w:t>Members discussed</w:t>
      </w:r>
      <w:r w:rsidR="575E5C73" w:rsidRPr="5EA678E3">
        <w:t xml:space="preserve"> the </w:t>
      </w:r>
      <w:r w:rsidR="575E5C73" w:rsidRPr="002C31CD">
        <w:t>importance</w:t>
      </w:r>
      <w:r w:rsidR="575E5C73" w:rsidRPr="5EA678E3">
        <w:t xml:space="preserve"> of maintaining </w:t>
      </w:r>
      <w:r w:rsidR="626D704A" w:rsidRPr="5EA678E3">
        <w:t>momentum</w:t>
      </w:r>
      <w:r w:rsidR="7358B50C" w:rsidRPr="5EA678E3">
        <w:t xml:space="preserve"> </w:t>
      </w:r>
      <w:r w:rsidR="603357B6" w:rsidRPr="5EA678E3">
        <w:t xml:space="preserve">and identified priorities </w:t>
      </w:r>
      <w:r w:rsidR="147A818C" w:rsidRPr="5EA678E3">
        <w:t>for</w:t>
      </w:r>
      <w:r w:rsidR="603357B6" w:rsidRPr="5EA678E3">
        <w:t xml:space="preserve"> action </w:t>
      </w:r>
      <w:r w:rsidR="174AF383" w:rsidRPr="5EA678E3">
        <w:t>prior to implementation</w:t>
      </w:r>
      <w:r w:rsidR="626D704A" w:rsidRPr="5EA678E3">
        <w:t>.</w:t>
      </w:r>
      <w:r w:rsidR="229E4F3A" w:rsidRPr="5EA678E3">
        <w:t xml:space="preserve"> </w:t>
      </w:r>
      <w:r w:rsidR="07D3B0F8" w:rsidRPr="5EA678E3">
        <w:t>These include timeframes for when things will occur</w:t>
      </w:r>
      <w:r w:rsidR="2DA73F51" w:rsidRPr="5EA678E3">
        <w:t>, finalising the Aged Care Rules,</w:t>
      </w:r>
      <w:r w:rsidR="12AB681F" w:rsidRPr="5EA678E3">
        <w:t xml:space="preserve"> means testing, co-contributions and Service Agreements</w:t>
      </w:r>
      <w:r w:rsidR="4EF7FB94" w:rsidRPr="5EA678E3">
        <w:t>, IT testing</w:t>
      </w:r>
      <w:r w:rsidR="0C2E172C" w:rsidRPr="5EA678E3">
        <w:t xml:space="preserve"> and monitoring sector viability.</w:t>
      </w:r>
    </w:p>
    <w:p w14:paraId="7E58F321" w14:textId="37F896BC" w:rsidR="00FF2354" w:rsidRDefault="00342195" w:rsidP="002C31CD">
      <w:r w:rsidRPr="13FF9E4B">
        <w:t xml:space="preserve">Members agreed to the </w:t>
      </w:r>
      <w:r w:rsidR="005362F8" w:rsidRPr="13FF9E4B">
        <w:t>Department of Health, Disability and Ageing</w:t>
      </w:r>
      <w:r w:rsidR="00C25AB2" w:rsidRPr="13FF9E4B">
        <w:t>’s</w:t>
      </w:r>
      <w:r w:rsidR="005362F8" w:rsidRPr="13FF9E4B">
        <w:t xml:space="preserve"> (the </w:t>
      </w:r>
      <w:r w:rsidRPr="13FF9E4B">
        <w:t>department</w:t>
      </w:r>
      <w:r w:rsidR="00C25AB2" w:rsidRPr="13FF9E4B">
        <w:t xml:space="preserve">) </w:t>
      </w:r>
      <w:r w:rsidRPr="13FF9E4B">
        <w:t xml:space="preserve">proposal to extend </w:t>
      </w:r>
      <w:r w:rsidR="00A33429" w:rsidRPr="13FF9E4B">
        <w:t>T</w:t>
      </w:r>
      <w:r w:rsidRPr="13FF9E4B">
        <w:t xml:space="preserve">ransition Taskforce </w:t>
      </w:r>
      <w:r w:rsidR="00A33429" w:rsidRPr="13FF9E4B">
        <w:t xml:space="preserve">membership to the end of the year, with meetings to continue to occur every few weeks. </w:t>
      </w:r>
      <w:r w:rsidR="006919C6" w:rsidRPr="13FF9E4B">
        <w:t>Members agreed to changes to the Terms of Reference to reflect this decision.</w:t>
      </w:r>
    </w:p>
    <w:p w14:paraId="2C347187" w14:textId="01A58D8D" w:rsidR="00C25AB2" w:rsidRDefault="00251DDF" w:rsidP="002C31CD">
      <w:r>
        <w:t>Members</w:t>
      </w:r>
      <w:r w:rsidR="00C25AB2">
        <w:t xml:space="preserve"> sought clarification around </w:t>
      </w:r>
      <w:r w:rsidR="00800CD3" w:rsidRPr="00800CD3">
        <w:t>the remaining legislative components for completion ahead of the 1 November 2025 commencement of the new aged care framework</w:t>
      </w:r>
      <w:r w:rsidR="0048637C">
        <w:t xml:space="preserve"> and advised on the importance of </w:t>
      </w:r>
      <w:r w:rsidR="004F2A54">
        <w:t>publishing</w:t>
      </w:r>
      <w:r w:rsidR="0048637C">
        <w:t xml:space="preserve"> </w:t>
      </w:r>
      <w:r w:rsidR="004F2A54">
        <w:t>clear guidance, particularly around timelines.</w:t>
      </w:r>
    </w:p>
    <w:p w14:paraId="414D8B43" w14:textId="3D426A66" w:rsidR="0052415D" w:rsidRDefault="5B0352C6" w:rsidP="002C31CD">
      <w:r w:rsidRPr="5EA678E3">
        <w:t xml:space="preserve">Members sought </w:t>
      </w:r>
      <w:r w:rsidR="64F66830" w:rsidRPr="5EA678E3">
        <w:t xml:space="preserve">clarification around </w:t>
      </w:r>
      <w:r w:rsidR="0AEF81F5" w:rsidRPr="5EA678E3">
        <w:t xml:space="preserve">the </w:t>
      </w:r>
      <w:r w:rsidR="64F66830" w:rsidRPr="5EA678E3">
        <w:t>management of</w:t>
      </w:r>
      <w:r w:rsidR="3E21832D" w:rsidRPr="5EA678E3">
        <w:t xml:space="preserve"> </w:t>
      </w:r>
      <w:r w:rsidR="3ABF1B51" w:rsidRPr="5EA678E3">
        <w:t xml:space="preserve">the </w:t>
      </w:r>
      <w:r w:rsidR="0AEF81F5" w:rsidRPr="5EA678E3">
        <w:t>continuation</w:t>
      </w:r>
      <w:r w:rsidR="1F2CBDA0" w:rsidRPr="5EA678E3">
        <w:t xml:space="preserve"> of </w:t>
      </w:r>
      <w:r w:rsidR="0AEF81F5" w:rsidRPr="5EA678E3">
        <w:t xml:space="preserve">the </w:t>
      </w:r>
      <w:r w:rsidR="3ABF1B51" w:rsidRPr="5EA678E3">
        <w:t>Home</w:t>
      </w:r>
      <w:r w:rsidR="0AEF81F5" w:rsidRPr="5EA678E3">
        <w:t> </w:t>
      </w:r>
      <w:r w:rsidR="3ABF1B51" w:rsidRPr="5EA678E3">
        <w:t xml:space="preserve">Care Package Program, </w:t>
      </w:r>
      <w:r w:rsidR="1F2CBDA0" w:rsidRPr="5EA678E3">
        <w:t xml:space="preserve">including </w:t>
      </w:r>
      <w:proofErr w:type="gramStart"/>
      <w:r w:rsidR="5B1E040E" w:rsidRPr="5EA678E3">
        <w:t>in regard to</w:t>
      </w:r>
      <w:proofErr w:type="gramEnd"/>
      <w:r w:rsidRPr="5EA678E3">
        <w:t xml:space="preserve"> </w:t>
      </w:r>
      <w:r w:rsidR="7FF936FD" w:rsidRPr="5EA678E3">
        <w:t>maintenance packages</w:t>
      </w:r>
      <w:r w:rsidR="1F2CBDA0" w:rsidRPr="5EA678E3">
        <w:t>. The department confirmed that maintenance packages would</w:t>
      </w:r>
      <w:r w:rsidR="7FF936FD" w:rsidRPr="5EA678E3">
        <w:t xml:space="preserve"> continue to 1</w:t>
      </w:r>
      <w:r w:rsidR="336BF269" w:rsidRPr="5EA678E3">
        <w:t> </w:t>
      </w:r>
      <w:r w:rsidR="7FF936FD" w:rsidRPr="5EA678E3">
        <w:t>November</w:t>
      </w:r>
      <w:r w:rsidR="336BF269" w:rsidRPr="5EA678E3">
        <w:t> 2025.</w:t>
      </w:r>
    </w:p>
    <w:p w14:paraId="61B33A66" w14:textId="443C85FF" w:rsidR="18A0140C" w:rsidRDefault="18A0140C" w:rsidP="002C31CD">
      <w:r w:rsidRPr="5EA678E3">
        <w:t xml:space="preserve">Members considered </w:t>
      </w:r>
      <w:r w:rsidR="24F4B287" w:rsidRPr="5EA678E3">
        <w:t xml:space="preserve">the proposed implementation and </w:t>
      </w:r>
      <w:r w:rsidRPr="5EA678E3">
        <w:t>o</w:t>
      </w:r>
      <w:r w:rsidR="4AC24077" w:rsidRPr="5EA678E3">
        <w:t>peration of the new Higher Everyday Living Fee arrangements.</w:t>
      </w:r>
    </w:p>
    <w:p w14:paraId="5F571A5F" w14:textId="56BB6F4E" w:rsidR="000B35A7" w:rsidRDefault="006411FD" w:rsidP="002C31CD">
      <w:r>
        <w:t xml:space="preserve">Members acknowledged </w:t>
      </w:r>
      <w:r w:rsidR="00794080">
        <w:t xml:space="preserve">the department’s </w:t>
      </w:r>
      <w:r>
        <w:t>work</w:t>
      </w:r>
      <w:r w:rsidR="00794080">
        <w:t xml:space="preserve"> to </w:t>
      </w:r>
      <w:r w:rsidR="000B35A7" w:rsidRPr="000B35A7">
        <w:t>support the transition for Aboriginal and Torres Strait Islander peoples and providers</w:t>
      </w:r>
      <w:r w:rsidR="00183D75">
        <w:t>.</w:t>
      </w:r>
    </w:p>
    <w:p w14:paraId="2ECE7C46" w14:textId="6826044B" w:rsidR="00C82A15" w:rsidRDefault="10A00368" w:rsidP="002C31CD">
      <w:r w:rsidRPr="5EA678E3">
        <w:t xml:space="preserve">Members </w:t>
      </w:r>
      <w:r w:rsidR="7319A380" w:rsidRPr="5EA678E3">
        <w:t>noted</w:t>
      </w:r>
      <w:r w:rsidRPr="5EA678E3">
        <w:t xml:space="preserve"> the updates provided by the working groups for Digital, Education and Training, and Care Management.</w:t>
      </w:r>
      <w:r w:rsidR="125CD37E" w:rsidRPr="5EA678E3">
        <w:t xml:space="preserve"> Members considered the training approach for aged care workers outlined by the department and the Aged Care Quality and Safety </w:t>
      </w:r>
      <w:r w:rsidR="7319A380" w:rsidRPr="5EA678E3">
        <w:t>Commission and</w:t>
      </w:r>
      <w:r w:rsidR="125CD37E" w:rsidRPr="5EA678E3">
        <w:t xml:space="preserve"> agreed to continue discussion </w:t>
      </w:r>
      <w:r w:rsidR="7319A380" w:rsidRPr="5EA678E3">
        <w:t>as a priority at</w:t>
      </w:r>
      <w:r w:rsidR="125CD37E" w:rsidRPr="5EA678E3">
        <w:t xml:space="preserve"> the next meeting.</w:t>
      </w:r>
    </w:p>
    <w:p w14:paraId="157F95BA" w14:textId="77777777" w:rsidR="00C82A15" w:rsidRDefault="00C82A15">
      <w:pPr>
        <w:spacing w:after="160" w:line="279" w:lineRule="auto"/>
      </w:pPr>
      <w:r>
        <w:br w:type="page"/>
      </w:r>
    </w:p>
    <w:p w14:paraId="642A886C" w14:textId="11F2B80F" w:rsidR="003056AF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lastRenderedPageBreak/>
        <w:t>In attendance (in-person and virtual):</w:t>
      </w:r>
    </w:p>
    <w:p w14:paraId="4EC0927E" w14:textId="18A13CCB" w:rsidR="003056AF" w:rsidRPr="000C4C20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Anne Burgess AM</w:t>
      </w:r>
      <w:r w:rsidRPr="000C4C20">
        <w:rPr>
          <w:lang w:val="en-AU"/>
        </w:rPr>
        <w:tab/>
        <w:t>Chair</w:t>
      </w:r>
    </w:p>
    <w:p w14:paraId="6C0AC300" w14:textId="46665E73" w:rsidR="003056AF" w:rsidRDefault="003056AF" w:rsidP="002C31CD">
      <w:pPr>
        <w:tabs>
          <w:tab w:val="left" w:pos="3119"/>
        </w:tabs>
        <w:ind w:left="3119" w:hanging="3119"/>
      </w:pPr>
      <w:r w:rsidRPr="000C4C20">
        <w:rPr>
          <w:lang w:val="en-AU"/>
        </w:rPr>
        <w:t>Sonja Stewart</w:t>
      </w:r>
      <w:r w:rsidR="002C31CD">
        <w:rPr>
          <w:lang w:val="en-AU"/>
        </w:rPr>
        <w:tab/>
      </w:r>
      <w:r w:rsidRPr="000C4C20">
        <w:rPr>
          <w:lang w:val="en-AU"/>
        </w:rPr>
        <w:t>Deputy Chair</w:t>
      </w:r>
      <w:r>
        <w:rPr>
          <w:lang w:val="en-AU"/>
        </w:rPr>
        <w:t xml:space="preserve">, Deputy Secretary, </w:t>
      </w:r>
      <w:r w:rsidRPr="0015559C">
        <w:t>Ageing and Aged Care Group</w:t>
      </w:r>
    </w:p>
    <w:p w14:paraId="6B95AB15" w14:textId="6506D2E2" w:rsidR="00832031" w:rsidRDefault="00832031" w:rsidP="002C31CD">
      <w:pPr>
        <w:tabs>
          <w:tab w:val="left" w:pos="3119"/>
        </w:tabs>
        <w:rPr>
          <w:lang w:val="en-AU"/>
        </w:rPr>
      </w:pPr>
      <w:r w:rsidRPr="2DEF11B3">
        <w:rPr>
          <w:lang w:val="en-AU"/>
        </w:rPr>
        <w:t>Annie Butler</w:t>
      </w:r>
      <w:r>
        <w:tab/>
      </w:r>
      <w:r w:rsidRPr="2DEF11B3">
        <w:rPr>
          <w:lang w:val="en-AU"/>
        </w:rPr>
        <w:t>Federal Secretary, Australian Nursing and Midwifery Federation</w:t>
      </w:r>
    </w:p>
    <w:p w14:paraId="7B94F99A" w14:textId="77777777" w:rsidR="003056AF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Tanya Buchanan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</w:t>
      </w:r>
      <w:r>
        <w:rPr>
          <w:lang w:val="en-AU"/>
        </w:rPr>
        <w:t xml:space="preserve">, </w:t>
      </w:r>
      <w:r w:rsidRPr="000C4C20">
        <w:rPr>
          <w:lang w:val="en-AU"/>
        </w:rPr>
        <w:t>Dementia Australia </w:t>
      </w:r>
    </w:p>
    <w:p w14:paraId="57A2E12F" w14:textId="1EBB5205" w:rsidR="00BD3BF9" w:rsidRDefault="00BD3BF9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Jody Currie</w:t>
      </w:r>
      <w:r>
        <w:rPr>
          <w:lang w:val="en-AU"/>
        </w:rPr>
        <w:tab/>
      </w:r>
      <w:r w:rsidRPr="000C4C20">
        <w:rPr>
          <w:lang w:val="en-AU"/>
        </w:rPr>
        <w:t>Professor of Practice Queensland University of Technology </w:t>
      </w:r>
    </w:p>
    <w:p w14:paraId="5B51C03C" w14:textId="77777777" w:rsidR="00BD3BF9" w:rsidRDefault="00BD3BF9" w:rsidP="002C31CD">
      <w:pPr>
        <w:tabs>
          <w:tab w:val="left" w:pos="3119"/>
        </w:tabs>
        <w:ind w:left="3119" w:hanging="3119"/>
        <w:rPr>
          <w:lang w:val="en-AU"/>
        </w:rPr>
      </w:pPr>
      <w:r w:rsidRPr="238AB2A6">
        <w:rPr>
          <w:lang w:val="en-AU"/>
        </w:rPr>
        <w:t>Dr Paresh Dawda</w:t>
      </w:r>
      <w:r>
        <w:tab/>
      </w:r>
      <w:r w:rsidRPr="238AB2A6">
        <w:rPr>
          <w:lang w:val="en-AU"/>
        </w:rPr>
        <w:t>General Practitioner, Principal and Director</w:t>
      </w:r>
      <w:r>
        <w:rPr>
          <w:lang w:val="en-AU"/>
        </w:rPr>
        <w:t>,</w:t>
      </w:r>
      <w:r w:rsidRPr="238AB2A6">
        <w:rPr>
          <w:lang w:val="en-AU"/>
        </w:rPr>
        <w:t xml:space="preserve"> </w:t>
      </w:r>
      <w:proofErr w:type="spellStart"/>
      <w:r w:rsidRPr="238AB2A6">
        <w:rPr>
          <w:lang w:val="en-AU"/>
        </w:rPr>
        <w:t>Presantia</w:t>
      </w:r>
      <w:proofErr w:type="spellEnd"/>
      <w:r w:rsidRPr="238AB2A6">
        <w:rPr>
          <w:lang w:val="en-AU"/>
        </w:rPr>
        <w:t xml:space="preserve"> Health and Next Practice </w:t>
      </w:r>
    </w:p>
    <w:p w14:paraId="1D3874D8" w14:textId="4F69AE28" w:rsidR="003056AF" w:rsidRPr="000C4C20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Tim Dymond</w:t>
      </w:r>
      <w:r>
        <w:rPr>
          <w:lang w:val="en-AU"/>
        </w:rPr>
        <w:tab/>
      </w:r>
      <w:r w:rsidRPr="000C4C20">
        <w:rPr>
          <w:lang w:val="en-AU"/>
        </w:rPr>
        <w:t>Senior Policy Analyst, United Workers Union   </w:t>
      </w:r>
    </w:p>
    <w:p w14:paraId="19E74B87" w14:textId="106BD541" w:rsidR="003056AF" w:rsidRPr="000C4C20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Officer,</w:t>
      </w:r>
      <w:r w:rsidRPr="000C4C20">
        <w:rPr>
          <w:lang w:val="en-AU"/>
        </w:rPr>
        <w:t xml:space="preserve"> Older Persons Advocacy Network </w:t>
      </w:r>
    </w:p>
    <w:p w14:paraId="59493157" w14:textId="13E0C8F3" w:rsidR="003056AF" w:rsidRDefault="003056AF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Amanda Hawton</w:t>
      </w:r>
      <w:r w:rsidRPr="005A5901">
        <w:rPr>
          <w:lang w:val="en-AU"/>
        </w:rPr>
        <w:tab/>
      </w:r>
      <w:r>
        <w:rPr>
          <w:lang w:val="en-AU"/>
        </w:rPr>
        <w:t>General Manager</w:t>
      </w:r>
      <w:r w:rsidRPr="005A5901">
        <w:rPr>
          <w:lang w:val="en-AU"/>
        </w:rPr>
        <w:t xml:space="preserve">, </w:t>
      </w:r>
      <w:r>
        <w:rPr>
          <w:lang w:val="en-AU"/>
        </w:rPr>
        <w:t>Home Health,</w:t>
      </w:r>
      <w:r w:rsidRPr="005A5901">
        <w:rPr>
          <w:lang w:val="en-AU"/>
        </w:rPr>
        <w:t xml:space="preserve"> Australian Unity </w:t>
      </w:r>
    </w:p>
    <w:p w14:paraId="7A8A5C6A" w14:textId="1891C171" w:rsidR="0082406B" w:rsidRPr="005A5901" w:rsidRDefault="0082406B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Emma Hossack</w:t>
      </w:r>
      <w:r w:rsidRPr="005A5901">
        <w:rPr>
          <w:lang w:val="en-AU"/>
        </w:rPr>
        <w:tab/>
        <w:t>Chief Executive Officer, Medical Software Industry Association</w:t>
      </w:r>
    </w:p>
    <w:p w14:paraId="5EBD4EB5" w14:textId="250A5523" w:rsidR="00F7476D" w:rsidRDefault="00F7476D" w:rsidP="002C31CD">
      <w:pPr>
        <w:tabs>
          <w:tab w:val="left" w:pos="3119"/>
        </w:tabs>
        <w:ind w:left="3119" w:hanging="3119"/>
        <w:rPr>
          <w:lang w:val="en-AU"/>
        </w:rPr>
      </w:pPr>
      <w:r w:rsidRPr="00F7476D">
        <w:rPr>
          <w:lang w:val="en-AU"/>
        </w:rPr>
        <w:t>Corey Irlam</w:t>
      </w:r>
      <w:r>
        <w:rPr>
          <w:lang w:val="en-AU"/>
        </w:rPr>
        <w:tab/>
      </w:r>
      <w:r w:rsidR="005923F0" w:rsidRPr="005923F0">
        <w:rPr>
          <w:lang w:val="en-AU"/>
        </w:rPr>
        <w:t>Deputy Chief Executive Officer</w:t>
      </w:r>
      <w:r w:rsidR="005923F0">
        <w:rPr>
          <w:lang w:val="en-AU"/>
        </w:rPr>
        <w:t xml:space="preserve">, </w:t>
      </w:r>
      <w:r w:rsidR="005923F0" w:rsidRPr="005923F0">
        <w:rPr>
          <w:lang w:val="en-AU"/>
        </w:rPr>
        <w:t>COTA</w:t>
      </w:r>
    </w:p>
    <w:p w14:paraId="24C21D49" w14:textId="19376F4C" w:rsidR="00F7476D" w:rsidRPr="00F7476D" w:rsidRDefault="00F7476D" w:rsidP="002C31CD">
      <w:pPr>
        <w:rPr>
          <w:lang w:val="en-AU"/>
        </w:rPr>
      </w:pPr>
      <w:r>
        <w:rPr>
          <w:lang w:val="en-US"/>
        </w:rPr>
        <w:t>(</w:t>
      </w:r>
      <w:r>
        <w:rPr>
          <w:lang w:val="en-AU"/>
        </w:rPr>
        <w:t xml:space="preserve">Nominated Alternative for </w:t>
      </w:r>
      <w:r w:rsidRPr="00F7476D">
        <w:rPr>
          <w:lang w:val="en-AU"/>
        </w:rPr>
        <w:t>Patricia Sparrow)</w:t>
      </w:r>
    </w:p>
    <w:p w14:paraId="7E2693B8" w14:textId="196CD40E" w:rsidR="003056AF" w:rsidRPr="005A5901" w:rsidRDefault="003056AF" w:rsidP="002C31CD">
      <w:pPr>
        <w:tabs>
          <w:tab w:val="left" w:pos="3119"/>
        </w:tabs>
        <w:rPr>
          <w:lang w:val="en-AU"/>
        </w:rPr>
      </w:pPr>
      <w:proofErr w:type="spellStart"/>
      <w:r w:rsidRPr="005A5901">
        <w:rPr>
          <w:lang w:val="en-AU"/>
        </w:rPr>
        <w:t>Claerwen</w:t>
      </w:r>
      <w:proofErr w:type="spellEnd"/>
      <w:r w:rsidRPr="005A5901">
        <w:rPr>
          <w:lang w:val="en-AU"/>
        </w:rPr>
        <w:t xml:space="preserve"> Little</w:t>
      </w:r>
      <w:r w:rsidRPr="005A5901">
        <w:rPr>
          <w:lang w:val="en-AU"/>
        </w:rPr>
        <w:tab/>
        <w:t>National Director, UnitingCare Australia  </w:t>
      </w:r>
    </w:p>
    <w:p w14:paraId="165C749D" w14:textId="0BB778C8" w:rsidR="00ED2595" w:rsidRDefault="00ED2595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Andrea Kelly</w:t>
      </w:r>
      <w:r w:rsidRPr="000C4C20">
        <w:rPr>
          <w:lang w:val="en-AU"/>
        </w:rPr>
        <w:tab/>
        <w:t xml:space="preserve">Interim First Nations Aged Care Commissioner </w:t>
      </w:r>
    </w:p>
    <w:p w14:paraId="28FE018A" w14:textId="2D704FEB" w:rsidR="003056AF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Deidre McGill</w:t>
      </w:r>
      <w:r w:rsidRPr="000C4C20">
        <w:rPr>
          <w:lang w:val="en-AU"/>
        </w:rPr>
        <w:tab/>
        <w:t>Chief Operating Officer, Home &amp; Community Support</w:t>
      </w:r>
      <w:r>
        <w:rPr>
          <w:lang w:val="en-AU"/>
        </w:rPr>
        <w:t>,</w:t>
      </w:r>
      <w:r w:rsidRPr="000C4C20">
        <w:rPr>
          <w:lang w:val="en-AU"/>
        </w:rPr>
        <w:t xml:space="preserve"> Bolton Clarke</w:t>
      </w:r>
    </w:p>
    <w:p w14:paraId="338DE32D" w14:textId="7F12B505" w:rsidR="003056AF" w:rsidRDefault="003056AF" w:rsidP="002C31CD">
      <w:pPr>
        <w:tabs>
          <w:tab w:val="left" w:pos="3119"/>
        </w:tabs>
        <w:ind w:left="3119" w:hanging="3119"/>
        <w:rPr>
          <w:lang w:val="en-US"/>
        </w:rPr>
      </w:pPr>
      <w:r w:rsidRPr="005802F0">
        <w:rPr>
          <w:lang w:val="en-AU"/>
        </w:rPr>
        <w:t>Me</w:t>
      </w:r>
      <w:r>
        <w:rPr>
          <w:lang w:val="en-AU"/>
        </w:rPr>
        <w:t>l</w:t>
      </w:r>
      <w:r w:rsidRPr="005802F0">
        <w:rPr>
          <w:lang w:val="en-AU"/>
        </w:rPr>
        <w:t xml:space="preserve"> Metz</w:t>
      </w:r>
      <w:r>
        <w:rPr>
          <w:lang w:val="en-AU"/>
        </w:rPr>
        <w:tab/>
      </w:r>
      <w:r w:rsidRPr="00F419EC">
        <w:rPr>
          <w:lang w:val="en-US"/>
        </w:rPr>
        <w:t>Deputy Commissioner, Sector Capability and Regulatory Strategy</w:t>
      </w:r>
      <w:r w:rsidRPr="00F419EC">
        <w:t> </w:t>
      </w:r>
      <w:r w:rsidRPr="00F419EC">
        <w:rPr>
          <w:lang w:val="en-US"/>
        </w:rPr>
        <w:t>Aged Care Quality and Safety Commission </w:t>
      </w:r>
    </w:p>
    <w:p w14:paraId="6550F93B" w14:textId="77777777" w:rsidR="003056AF" w:rsidRPr="005802F0" w:rsidRDefault="003056AF" w:rsidP="002C31CD">
      <w:pPr>
        <w:rPr>
          <w:lang w:val="en-AU"/>
        </w:rPr>
      </w:pPr>
      <w:r>
        <w:rPr>
          <w:lang w:val="en-US"/>
        </w:rPr>
        <w:t>(</w:t>
      </w:r>
      <w:r>
        <w:rPr>
          <w:lang w:val="en-AU"/>
        </w:rPr>
        <w:t xml:space="preserve">Nominated Alternative for </w:t>
      </w:r>
      <w:r w:rsidRPr="005802F0">
        <w:rPr>
          <w:lang w:val="en-AU"/>
        </w:rPr>
        <w:t>Liz Hefren-Webb</w:t>
      </w:r>
      <w:r>
        <w:rPr>
          <w:lang w:val="en-AU"/>
        </w:rPr>
        <w:t>)</w:t>
      </w:r>
    </w:p>
    <w:p w14:paraId="6E763C00" w14:textId="4F5E50C2" w:rsidR="003056AF" w:rsidRPr="005A5901" w:rsidRDefault="003056AF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Simon Miller</w:t>
      </w:r>
      <w:r w:rsidRPr="005A5901">
        <w:rPr>
          <w:lang w:val="en-AU"/>
        </w:rPr>
        <w:tab/>
        <w:t>Chief Executive Officer, Anglicare </w:t>
      </w:r>
    </w:p>
    <w:p w14:paraId="48E8B799" w14:textId="384BB7EB" w:rsidR="003056AF" w:rsidRPr="005A5901" w:rsidRDefault="003056AF" w:rsidP="002C31CD">
      <w:pPr>
        <w:tabs>
          <w:tab w:val="left" w:pos="3119"/>
        </w:tabs>
        <w:ind w:left="3119" w:hanging="3119"/>
        <w:rPr>
          <w:lang w:val="en-AU"/>
        </w:rPr>
      </w:pPr>
      <w:r w:rsidRPr="005A5901">
        <w:rPr>
          <w:lang w:val="en-AU"/>
        </w:rPr>
        <w:t>Natalie Molloy</w:t>
      </w:r>
      <w:r w:rsidRPr="005A5901">
        <w:rPr>
          <w:lang w:val="en-AU"/>
        </w:rPr>
        <w:tab/>
      </w:r>
      <w:r w:rsidRPr="005A5901">
        <w:rPr>
          <w:lang w:val="en-US"/>
        </w:rPr>
        <w:t>Head of Operations and Clinical Governance</w:t>
      </w:r>
      <w:r w:rsidRPr="005A5901">
        <w:rPr>
          <w:lang w:val="en-AU"/>
        </w:rPr>
        <w:t xml:space="preserve">, </w:t>
      </w:r>
      <w:proofErr w:type="spellStart"/>
      <w:r w:rsidRPr="005A5901">
        <w:rPr>
          <w:lang w:val="en-US"/>
        </w:rPr>
        <w:t>HammondCare</w:t>
      </w:r>
      <w:proofErr w:type="spellEnd"/>
      <w:r w:rsidRPr="005A5901">
        <w:rPr>
          <w:lang w:val="en-AU"/>
        </w:rPr>
        <w:t> </w:t>
      </w:r>
    </w:p>
    <w:p w14:paraId="5C8785C5" w14:textId="372DFBDE" w:rsidR="003056AF" w:rsidRPr="005A5901" w:rsidRDefault="003056AF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Tom Symondson</w:t>
      </w:r>
      <w:r w:rsidRPr="005A5901">
        <w:rPr>
          <w:lang w:val="en-AU"/>
        </w:rPr>
        <w:tab/>
        <w:t xml:space="preserve">Chief Executive Officer, Ageing Australia </w:t>
      </w:r>
    </w:p>
    <w:p w14:paraId="5623B0DB" w14:textId="549FAA11" w:rsidR="003056AF" w:rsidRPr="005A5901" w:rsidRDefault="003056AF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 xml:space="preserve">Stephen </w:t>
      </w:r>
      <w:proofErr w:type="spellStart"/>
      <w:r w:rsidRPr="005A5901">
        <w:rPr>
          <w:lang w:val="en-AU"/>
        </w:rPr>
        <w:t>Teulan</w:t>
      </w:r>
      <w:proofErr w:type="spellEnd"/>
      <w:r w:rsidRPr="005A5901">
        <w:rPr>
          <w:lang w:val="en-AU"/>
        </w:rPr>
        <w:tab/>
        <w:t xml:space="preserve">Board Chair, Catholic Healthcare </w:t>
      </w:r>
    </w:p>
    <w:p w14:paraId="324496AE" w14:textId="2DE4E90E" w:rsidR="003056AF" w:rsidRDefault="003056AF" w:rsidP="002C31CD">
      <w:pPr>
        <w:tabs>
          <w:tab w:val="left" w:pos="3119"/>
        </w:tabs>
        <w:rPr>
          <w:lang w:val="en-AU"/>
        </w:rPr>
      </w:pPr>
      <w:r w:rsidRPr="000C4C20">
        <w:rPr>
          <w:lang w:val="en-AU"/>
        </w:rPr>
        <w:t>Lloyd Williams</w:t>
      </w:r>
      <w:r>
        <w:rPr>
          <w:lang w:val="en-AU"/>
        </w:rPr>
        <w:tab/>
      </w:r>
      <w:r w:rsidRPr="000C4C20">
        <w:rPr>
          <w:lang w:val="en-AU"/>
        </w:rPr>
        <w:t>National Secretary</w:t>
      </w:r>
      <w:r>
        <w:rPr>
          <w:lang w:val="en-AU"/>
        </w:rPr>
        <w:t>,</w:t>
      </w:r>
      <w:r w:rsidRPr="000C4C20">
        <w:rPr>
          <w:lang w:val="en-AU"/>
        </w:rPr>
        <w:t xml:space="preserve"> Health Services </w:t>
      </w:r>
      <w:r w:rsidRPr="00C61302">
        <w:rPr>
          <w:lang w:val="en-AU"/>
        </w:rPr>
        <w:t>Union</w:t>
      </w:r>
    </w:p>
    <w:p w14:paraId="2CD1722B" w14:textId="668948FB" w:rsidR="003056AF" w:rsidRPr="000C4C20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t>Apologies</w:t>
      </w:r>
    </w:p>
    <w:p w14:paraId="0CABCB7B" w14:textId="420BF310" w:rsidR="003056AF" w:rsidRDefault="003056AF" w:rsidP="002C31CD">
      <w:pPr>
        <w:tabs>
          <w:tab w:val="left" w:pos="3119"/>
        </w:tabs>
        <w:rPr>
          <w:lang w:val="en-US"/>
        </w:rPr>
      </w:pPr>
      <w:r w:rsidRPr="005A5901">
        <w:rPr>
          <w:lang w:val="en-AU"/>
        </w:rPr>
        <w:t xml:space="preserve">Liz </w:t>
      </w:r>
      <w:proofErr w:type="spellStart"/>
      <w:r w:rsidRPr="005A5901">
        <w:rPr>
          <w:lang w:val="en-AU"/>
        </w:rPr>
        <w:t>Hefren</w:t>
      </w:r>
      <w:proofErr w:type="spellEnd"/>
      <w:r w:rsidRPr="005A5901">
        <w:rPr>
          <w:lang w:val="en-AU"/>
        </w:rPr>
        <w:t>-Webb</w:t>
      </w:r>
      <w:r w:rsidRPr="005A5901">
        <w:rPr>
          <w:lang w:val="en-AU"/>
        </w:rPr>
        <w:tab/>
      </w:r>
      <w:r w:rsidRPr="005A5901">
        <w:rPr>
          <w:lang w:val="en-US"/>
        </w:rPr>
        <w:t xml:space="preserve">Aged Care Quality and Safety </w:t>
      </w:r>
      <w:r w:rsidRPr="005A5901">
        <w:rPr>
          <w:lang w:val="en-AU"/>
        </w:rPr>
        <w:t>Commissioner</w:t>
      </w:r>
      <w:r w:rsidRPr="005A5901">
        <w:rPr>
          <w:lang w:val="en-US"/>
        </w:rPr>
        <w:t xml:space="preserve"> </w:t>
      </w:r>
    </w:p>
    <w:p w14:paraId="5E5787A5" w14:textId="3902601E" w:rsidR="007C7D41" w:rsidRPr="002C31CD" w:rsidRDefault="00BD3BF9" w:rsidP="002C31CD">
      <w:pPr>
        <w:tabs>
          <w:tab w:val="left" w:pos="3119"/>
        </w:tabs>
        <w:rPr>
          <w:lang w:val="en-AU"/>
        </w:rPr>
      </w:pPr>
      <w:r w:rsidRPr="005A5901">
        <w:rPr>
          <w:lang w:val="en-AU"/>
        </w:rPr>
        <w:t>Patricia Sparrow</w:t>
      </w:r>
      <w:r w:rsidRPr="005A5901">
        <w:rPr>
          <w:lang w:val="en-AU"/>
        </w:rPr>
        <w:tab/>
        <w:t>Chief Executive Officer, COTA</w:t>
      </w:r>
    </w:p>
    <w:sectPr w:rsidR="007C7D41" w:rsidRPr="002C31CD" w:rsidSect="002C31CD">
      <w:foot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F5E3" w14:textId="77777777" w:rsidR="00707487" w:rsidRDefault="00707487" w:rsidP="002C31CD">
      <w:r>
        <w:separator/>
      </w:r>
    </w:p>
  </w:endnote>
  <w:endnote w:type="continuationSeparator" w:id="0">
    <w:p w14:paraId="5CD163D8" w14:textId="77777777" w:rsidR="00707487" w:rsidRDefault="00707487" w:rsidP="002C31CD">
      <w:r>
        <w:continuationSeparator/>
      </w:r>
    </w:p>
  </w:endnote>
  <w:endnote w:type="continuationNotice" w:id="1">
    <w:p w14:paraId="047359F4" w14:textId="77777777" w:rsidR="00707487" w:rsidRDefault="00707487" w:rsidP="002C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C7286" w14:textId="4D9320CF" w:rsidR="00224781" w:rsidRDefault="00224781" w:rsidP="002C3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2FBE" w14:textId="77777777" w:rsidR="00707487" w:rsidRDefault="00707487" w:rsidP="002C31CD">
      <w:r>
        <w:separator/>
      </w:r>
    </w:p>
  </w:footnote>
  <w:footnote w:type="continuationSeparator" w:id="0">
    <w:p w14:paraId="42715111" w14:textId="77777777" w:rsidR="00707487" w:rsidRDefault="00707487" w:rsidP="002C31CD">
      <w:r>
        <w:continuationSeparator/>
      </w:r>
    </w:p>
  </w:footnote>
  <w:footnote w:type="continuationNotice" w:id="1">
    <w:p w14:paraId="7B4A153A" w14:textId="77777777" w:rsidR="00707487" w:rsidRDefault="00707487" w:rsidP="002C3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6"/>
  </w:num>
  <w:num w:numId="2" w16cid:durableId="1109666265">
    <w:abstractNumId w:val="4"/>
  </w:num>
  <w:num w:numId="3" w16cid:durableId="144008203">
    <w:abstractNumId w:val="1"/>
  </w:num>
  <w:num w:numId="4" w16cid:durableId="1176992683">
    <w:abstractNumId w:val="3"/>
  </w:num>
  <w:num w:numId="5" w16cid:durableId="133063368">
    <w:abstractNumId w:val="5"/>
  </w:num>
  <w:num w:numId="6" w16cid:durableId="135614706">
    <w:abstractNumId w:val="0"/>
  </w:num>
  <w:num w:numId="7" w16cid:durableId="17611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29EB"/>
    <w:rsid w:val="00011E8D"/>
    <w:rsid w:val="00012F38"/>
    <w:rsid w:val="00020133"/>
    <w:rsid w:val="00032671"/>
    <w:rsid w:val="00041759"/>
    <w:rsid w:val="000430FC"/>
    <w:rsid w:val="0005108F"/>
    <w:rsid w:val="000574DC"/>
    <w:rsid w:val="00060B6C"/>
    <w:rsid w:val="0006153C"/>
    <w:rsid w:val="00070CB9"/>
    <w:rsid w:val="00081E7D"/>
    <w:rsid w:val="00085B42"/>
    <w:rsid w:val="00091B2E"/>
    <w:rsid w:val="000945E8"/>
    <w:rsid w:val="000A2F5E"/>
    <w:rsid w:val="000A50F9"/>
    <w:rsid w:val="000A5D11"/>
    <w:rsid w:val="000B28CA"/>
    <w:rsid w:val="000B35A7"/>
    <w:rsid w:val="000C4153"/>
    <w:rsid w:val="000C4C20"/>
    <w:rsid w:val="000E6517"/>
    <w:rsid w:val="000E6EE3"/>
    <w:rsid w:val="000F3C3B"/>
    <w:rsid w:val="000F3F2B"/>
    <w:rsid w:val="000F7940"/>
    <w:rsid w:val="00101451"/>
    <w:rsid w:val="00105FE0"/>
    <w:rsid w:val="001130C3"/>
    <w:rsid w:val="00113D4E"/>
    <w:rsid w:val="001156B8"/>
    <w:rsid w:val="00120A17"/>
    <w:rsid w:val="001248EE"/>
    <w:rsid w:val="00126E08"/>
    <w:rsid w:val="00132AE1"/>
    <w:rsid w:val="00136059"/>
    <w:rsid w:val="0014446F"/>
    <w:rsid w:val="001467EF"/>
    <w:rsid w:val="00146FB5"/>
    <w:rsid w:val="00147984"/>
    <w:rsid w:val="0015201E"/>
    <w:rsid w:val="0015249C"/>
    <w:rsid w:val="0015559C"/>
    <w:rsid w:val="001607EA"/>
    <w:rsid w:val="00160871"/>
    <w:rsid w:val="001629AD"/>
    <w:rsid w:val="00171E89"/>
    <w:rsid w:val="00174524"/>
    <w:rsid w:val="00177C2E"/>
    <w:rsid w:val="00181B9A"/>
    <w:rsid w:val="00183D75"/>
    <w:rsid w:val="00194369"/>
    <w:rsid w:val="0019706C"/>
    <w:rsid w:val="001C4409"/>
    <w:rsid w:val="001C517F"/>
    <w:rsid w:val="001C655C"/>
    <w:rsid w:val="001C731A"/>
    <w:rsid w:val="001E092F"/>
    <w:rsid w:val="001E5CE4"/>
    <w:rsid w:val="001E6BEC"/>
    <w:rsid w:val="001F023E"/>
    <w:rsid w:val="001F19C6"/>
    <w:rsid w:val="001F2606"/>
    <w:rsid w:val="001F6C1C"/>
    <w:rsid w:val="0020206B"/>
    <w:rsid w:val="00206AD2"/>
    <w:rsid w:val="002219AA"/>
    <w:rsid w:val="00224781"/>
    <w:rsid w:val="00244E44"/>
    <w:rsid w:val="00245523"/>
    <w:rsid w:val="00245953"/>
    <w:rsid w:val="00246E7F"/>
    <w:rsid w:val="00251DDF"/>
    <w:rsid w:val="0025405B"/>
    <w:rsid w:val="0025527F"/>
    <w:rsid w:val="00257945"/>
    <w:rsid w:val="00260CB6"/>
    <w:rsid w:val="00263789"/>
    <w:rsid w:val="002673AD"/>
    <w:rsid w:val="0027057B"/>
    <w:rsid w:val="00273E07"/>
    <w:rsid w:val="0027413B"/>
    <w:rsid w:val="00275423"/>
    <w:rsid w:val="002763DB"/>
    <w:rsid w:val="002866BE"/>
    <w:rsid w:val="00292EAC"/>
    <w:rsid w:val="0029302D"/>
    <w:rsid w:val="00294129"/>
    <w:rsid w:val="002A2C20"/>
    <w:rsid w:val="002A3680"/>
    <w:rsid w:val="002A5A29"/>
    <w:rsid w:val="002B71C8"/>
    <w:rsid w:val="002B7807"/>
    <w:rsid w:val="002C31CD"/>
    <w:rsid w:val="002C407B"/>
    <w:rsid w:val="002C48D6"/>
    <w:rsid w:val="002D5ED1"/>
    <w:rsid w:val="002D740F"/>
    <w:rsid w:val="002E4DD1"/>
    <w:rsid w:val="002E6C78"/>
    <w:rsid w:val="002E7489"/>
    <w:rsid w:val="002E77F8"/>
    <w:rsid w:val="002F312D"/>
    <w:rsid w:val="002F4D8A"/>
    <w:rsid w:val="003038B8"/>
    <w:rsid w:val="003056AF"/>
    <w:rsid w:val="00306C0B"/>
    <w:rsid w:val="0031033E"/>
    <w:rsid w:val="0031239F"/>
    <w:rsid w:val="00312D95"/>
    <w:rsid w:val="00316B9A"/>
    <w:rsid w:val="00317BBF"/>
    <w:rsid w:val="00320C44"/>
    <w:rsid w:val="0032434A"/>
    <w:rsid w:val="003344E4"/>
    <w:rsid w:val="00334F67"/>
    <w:rsid w:val="00342195"/>
    <w:rsid w:val="0035119D"/>
    <w:rsid w:val="00353D22"/>
    <w:rsid w:val="003562E5"/>
    <w:rsid w:val="00356355"/>
    <w:rsid w:val="00356CC5"/>
    <w:rsid w:val="003603AC"/>
    <w:rsid w:val="00362D69"/>
    <w:rsid w:val="0036324C"/>
    <w:rsid w:val="003665B8"/>
    <w:rsid w:val="00382F80"/>
    <w:rsid w:val="00383295"/>
    <w:rsid w:val="00391402"/>
    <w:rsid w:val="00391797"/>
    <w:rsid w:val="00393685"/>
    <w:rsid w:val="003956B6"/>
    <w:rsid w:val="003A2FE5"/>
    <w:rsid w:val="003A31D9"/>
    <w:rsid w:val="003A35CA"/>
    <w:rsid w:val="003A4076"/>
    <w:rsid w:val="003B6A7C"/>
    <w:rsid w:val="003C4346"/>
    <w:rsid w:val="003D2003"/>
    <w:rsid w:val="003D2E9B"/>
    <w:rsid w:val="003D449B"/>
    <w:rsid w:val="003E3361"/>
    <w:rsid w:val="003E389D"/>
    <w:rsid w:val="003F4675"/>
    <w:rsid w:val="003F58B9"/>
    <w:rsid w:val="003F6B3E"/>
    <w:rsid w:val="00401CCC"/>
    <w:rsid w:val="00402CD2"/>
    <w:rsid w:val="004175A9"/>
    <w:rsid w:val="00421535"/>
    <w:rsid w:val="00423A0A"/>
    <w:rsid w:val="00423A4D"/>
    <w:rsid w:val="0042447D"/>
    <w:rsid w:val="0043412A"/>
    <w:rsid w:val="0043732A"/>
    <w:rsid w:val="004409E7"/>
    <w:rsid w:val="00440D40"/>
    <w:rsid w:val="00446E05"/>
    <w:rsid w:val="004505A2"/>
    <w:rsid w:val="00451302"/>
    <w:rsid w:val="00463372"/>
    <w:rsid w:val="00464FB8"/>
    <w:rsid w:val="0046687B"/>
    <w:rsid w:val="00474B30"/>
    <w:rsid w:val="00475CDB"/>
    <w:rsid w:val="00485507"/>
    <w:rsid w:val="0048637C"/>
    <w:rsid w:val="004A083D"/>
    <w:rsid w:val="004A366D"/>
    <w:rsid w:val="004A39C8"/>
    <w:rsid w:val="004A7C1B"/>
    <w:rsid w:val="004B3798"/>
    <w:rsid w:val="004B4617"/>
    <w:rsid w:val="004B799A"/>
    <w:rsid w:val="004B7B25"/>
    <w:rsid w:val="004C350E"/>
    <w:rsid w:val="004C72ED"/>
    <w:rsid w:val="004D1BDD"/>
    <w:rsid w:val="004D2C89"/>
    <w:rsid w:val="004D4F44"/>
    <w:rsid w:val="004D73AB"/>
    <w:rsid w:val="004E079D"/>
    <w:rsid w:val="004E0D87"/>
    <w:rsid w:val="004E158C"/>
    <w:rsid w:val="004E196D"/>
    <w:rsid w:val="004E33AD"/>
    <w:rsid w:val="004E5899"/>
    <w:rsid w:val="004E5FD3"/>
    <w:rsid w:val="004E6458"/>
    <w:rsid w:val="004F1393"/>
    <w:rsid w:val="004F2A54"/>
    <w:rsid w:val="004F5427"/>
    <w:rsid w:val="005040CA"/>
    <w:rsid w:val="0050765D"/>
    <w:rsid w:val="005109D7"/>
    <w:rsid w:val="00515151"/>
    <w:rsid w:val="00515201"/>
    <w:rsid w:val="0051656A"/>
    <w:rsid w:val="005203D5"/>
    <w:rsid w:val="0052415D"/>
    <w:rsid w:val="005334F4"/>
    <w:rsid w:val="00535439"/>
    <w:rsid w:val="0053551C"/>
    <w:rsid w:val="005362F8"/>
    <w:rsid w:val="00541440"/>
    <w:rsid w:val="0054169B"/>
    <w:rsid w:val="00546131"/>
    <w:rsid w:val="00553891"/>
    <w:rsid w:val="00557778"/>
    <w:rsid w:val="00570399"/>
    <w:rsid w:val="005735E2"/>
    <w:rsid w:val="005738EC"/>
    <w:rsid w:val="00583501"/>
    <w:rsid w:val="005923F0"/>
    <w:rsid w:val="00592FA8"/>
    <w:rsid w:val="00595383"/>
    <w:rsid w:val="005A10B0"/>
    <w:rsid w:val="005B2962"/>
    <w:rsid w:val="005C5D06"/>
    <w:rsid w:val="005D68A1"/>
    <w:rsid w:val="005E3D86"/>
    <w:rsid w:val="005F402C"/>
    <w:rsid w:val="005F5BBA"/>
    <w:rsid w:val="005F6663"/>
    <w:rsid w:val="00600404"/>
    <w:rsid w:val="006133CC"/>
    <w:rsid w:val="00622558"/>
    <w:rsid w:val="00622FA1"/>
    <w:rsid w:val="00636A4F"/>
    <w:rsid w:val="00637140"/>
    <w:rsid w:val="006411FD"/>
    <w:rsid w:val="0064695B"/>
    <w:rsid w:val="0065399C"/>
    <w:rsid w:val="00656A72"/>
    <w:rsid w:val="006645F3"/>
    <w:rsid w:val="006655F9"/>
    <w:rsid w:val="00665B22"/>
    <w:rsid w:val="006710A4"/>
    <w:rsid w:val="00671D30"/>
    <w:rsid w:val="00676152"/>
    <w:rsid w:val="00681F4B"/>
    <w:rsid w:val="00690562"/>
    <w:rsid w:val="006919C6"/>
    <w:rsid w:val="006920D2"/>
    <w:rsid w:val="00695B0B"/>
    <w:rsid w:val="00697007"/>
    <w:rsid w:val="006A57F9"/>
    <w:rsid w:val="006A6711"/>
    <w:rsid w:val="006B6C1F"/>
    <w:rsid w:val="006D5716"/>
    <w:rsid w:val="00701E71"/>
    <w:rsid w:val="00705AC2"/>
    <w:rsid w:val="00707487"/>
    <w:rsid w:val="007075F6"/>
    <w:rsid w:val="00721A66"/>
    <w:rsid w:val="0073671F"/>
    <w:rsid w:val="007449B2"/>
    <w:rsid w:val="00744C3C"/>
    <w:rsid w:val="00747CA1"/>
    <w:rsid w:val="0076216B"/>
    <w:rsid w:val="00764307"/>
    <w:rsid w:val="0077127A"/>
    <w:rsid w:val="00771DFA"/>
    <w:rsid w:val="00774835"/>
    <w:rsid w:val="00783FF3"/>
    <w:rsid w:val="007847F5"/>
    <w:rsid w:val="00784A28"/>
    <w:rsid w:val="00785DA6"/>
    <w:rsid w:val="0079043B"/>
    <w:rsid w:val="00794080"/>
    <w:rsid w:val="007A3CAE"/>
    <w:rsid w:val="007A475C"/>
    <w:rsid w:val="007A6F51"/>
    <w:rsid w:val="007B507A"/>
    <w:rsid w:val="007B59C7"/>
    <w:rsid w:val="007B600F"/>
    <w:rsid w:val="007B7C50"/>
    <w:rsid w:val="007C0824"/>
    <w:rsid w:val="007C7D41"/>
    <w:rsid w:val="007D2450"/>
    <w:rsid w:val="007D2B69"/>
    <w:rsid w:val="007D415F"/>
    <w:rsid w:val="007D4278"/>
    <w:rsid w:val="007D5CEC"/>
    <w:rsid w:val="007F461B"/>
    <w:rsid w:val="00800CD3"/>
    <w:rsid w:val="0080340B"/>
    <w:rsid w:val="00804DC3"/>
    <w:rsid w:val="00806339"/>
    <w:rsid w:val="0082406B"/>
    <w:rsid w:val="00831DCE"/>
    <w:rsid w:val="00831DF0"/>
    <w:rsid w:val="00832031"/>
    <w:rsid w:val="00834010"/>
    <w:rsid w:val="00835D8A"/>
    <w:rsid w:val="008429FB"/>
    <w:rsid w:val="008467C3"/>
    <w:rsid w:val="008467D7"/>
    <w:rsid w:val="00853969"/>
    <w:rsid w:val="0087332A"/>
    <w:rsid w:val="00874506"/>
    <w:rsid w:val="00881DE3"/>
    <w:rsid w:val="00885653"/>
    <w:rsid w:val="00890652"/>
    <w:rsid w:val="008A5F62"/>
    <w:rsid w:val="008A6CEB"/>
    <w:rsid w:val="008A6DE7"/>
    <w:rsid w:val="008B0D23"/>
    <w:rsid w:val="008B2137"/>
    <w:rsid w:val="008C02B0"/>
    <w:rsid w:val="008C035C"/>
    <w:rsid w:val="008C2B4C"/>
    <w:rsid w:val="008C2F31"/>
    <w:rsid w:val="008C5863"/>
    <w:rsid w:val="008C756C"/>
    <w:rsid w:val="008D0045"/>
    <w:rsid w:val="008E776A"/>
    <w:rsid w:val="008F53A0"/>
    <w:rsid w:val="008F7BCD"/>
    <w:rsid w:val="00905478"/>
    <w:rsid w:val="009072CF"/>
    <w:rsid w:val="0091506B"/>
    <w:rsid w:val="00931269"/>
    <w:rsid w:val="0093469F"/>
    <w:rsid w:val="00937FAE"/>
    <w:rsid w:val="00941450"/>
    <w:rsid w:val="0094291A"/>
    <w:rsid w:val="009454C2"/>
    <w:rsid w:val="009455DC"/>
    <w:rsid w:val="00950818"/>
    <w:rsid w:val="00952AAF"/>
    <w:rsid w:val="00956CBF"/>
    <w:rsid w:val="00957DCE"/>
    <w:rsid w:val="0097118C"/>
    <w:rsid w:val="00974E73"/>
    <w:rsid w:val="0097570D"/>
    <w:rsid w:val="00976936"/>
    <w:rsid w:val="009822B1"/>
    <w:rsid w:val="00983D12"/>
    <w:rsid w:val="00985BAE"/>
    <w:rsid w:val="00986003"/>
    <w:rsid w:val="00993B9F"/>
    <w:rsid w:val="009A3C93"/>
    <w:rsid w:val="009A5934"/>
    <w:rsid w:val="009A6C02"/>
    <w:rsid w:val="009A7EC3"/>
    <w:rsid w:val="009A7F7F"/>
    <w:rsid w:val="009B0D42"/>
    <w:rsid w:val="009D0476"/>
    <w:rsid w:val="009D092D"/>
    <w:rsid w:val="009D4997"/>
    <w:rsid w:val="009D5238"/>
    <w:rsid w:val="009E1A11"/>
    <w:rsid w:val="009E2EE5"/>
    <w:rsid w:val="00A06A50"/>
    <w:rsid w:val="00A12261"/>
    <w:rsid w:val="00A1408A"/>
    <w:rsid w:val="00A24C2E"/>
    <w:rsid w:val="00A304BA"/>
    <w:rsid w:val="00A315DC"/>
    <w:rsid w:val="00A31DFF"/>
    <w:rsid w:val="00A32E66"/>
    <w:rsid w:val="00A33429"/>
    <w:rsid w:val="00A35D59"/>
    <w:rsid w:val="00A410F6"/>
    <w:rsid w:val="00A507EE"/>
    <w:rsid w:val="00A5208D"/>
    <w:rsid w:val="00A56E8D"/>
    <w:rsid w:val="00A64E88"/>
    <w:rsid w:val="00A70A82"/>
    <w:rsid w:val="00A72AC0"/>
    <w:rsid w:val="00A731D0"/>
    <w:rsid w:val="00A74C2A"/>
    <w:rsid w:val="00A909BD"/>
    <w:rsid w:val="00A9132B"/>
    <w:rsid w:val="00AA037E"/>
    <w:rsid w:val="00AC530F"/>
    <w:rsid w:val="00AD1794"/>
    <w:rsid w:val="00AE306A"/>
    <w:rsid w:val="00AE524E"/>
    <w:rsid w:val="00AE5EE0"/>
    <w:rsid w:val="00AE7F3F"/>
    <w:rsid w:val="00AF4FF2"/>
    <w:rsid w:val="00B00E77"/>
    <w:rsid w:val="00B0655E"/>
    <w:rsid w:val="00B100FF"/>
    <w:rsid w:val="00B13BCC"/>
    <w:rsid w:val="00B224BC"/>
    <w:rsid w:val="00B2380A"/>
    <w:rsid w:val="00B250BA"/>
    <w:rsid w:val="00B32F07"/>
    <w:rsid w:val="00B35DC6"/>
    <w:rsid w:val="00B54924"/>
    <w:rsid w:val="00B577D8"/>
    <w:rsid w:val="00B76A2C"/>
    <w:rsid w:val="00B80D30"/>
    <w:rsid w:val="00B849BB"/>
    <w:rsid w:val="00B85BCE"/>
    <w:rsid w:val="00B90987"/>
    <w:rsid w:val="00BA2449"/>
    <w:rsid w:val="00BA28C2"/>
    <w:rsid w:val="00BB2D46"/>
    <w:rsid w:val="00BC1A58"/>
    <w:rsid w:val="00BC2E2A"/>
    <w:rsid w:val="00BC4B66"/>
    <w:rsid w:val="00BC5425"/>
    <w:rsid w:val="00BD1C33"/>
    <w:rsid w:val="00BD33DA"/>
    <w:rsid w:val="00BD3BF9"/>
    <w:rsid w:val="00BD4028"/>
    <w:rsid w:val="00BE0FC6"/>
    <w:rsid w:val="00BE2D3C"/>
    <w:rsid w:val="00BF41DF"/>
    <w:rsid w:val="00C0004A"/>
    <w:rsid w:val="00C00FCF"/>
    <w:rsid w:val="00C01DC9"/>
    <w:rsid w:val="00C02E9A"/>
    <w:rsid w:val="00C07C01"/>
    <w:rsid w:val="00C11C71"/>
    <w:rsid w:val="00C1682E"/>
    <w:rsid w:val="00C2005D"/>
    <w:rsid w:val="00C25AB2"/>
    <w:rsid w:val="00C333CD"/>
    <w:rsid w:val="00C42DC5"/>
    <w:rsid w:val="00C46F82"/>
    <w:rsid w:val="00C54CDB"/>
    <w:rsid w:val="00C55A47"/>
    <w:rsid w:val="00C60F72"/>
    <w:rsid w:val="00C634DA"/>
    <w:rsid w:val="00C661C4"/>
    <w:rsid w:val="00C67CDB"/>
    <w:rsid w:val="00C7357C"/>
    <w:rsid w:val="00C82A15"/>
    <w:rsid w:val="00C85840"/>
    <w:rsid w:val="00C97796"/>
    <w:rsid w:val="00CA7C24"/>
    <w:rsid w:val="00CB5C56"/>
    <w:rsid w:val="00CC1CBB"/>
    <w:rsid w:val="00CC204A"/>
    <w:rsid w:val="00CC4798"/>
    <w:rsid w:val="00CC49C9"/>
    <w:rsid w:val="00CE1FD3"/>
    <w:rsid w:val="00CE45A8"/>
    <w:rsid w:val="00CE4A0D"/>
    <w:rsid w:val="00CE5987"/>
    <w:rsid w:val="00CE6C8D"/>
    <w:rsid w:val="00CE7EF4"/>
    <w:rsid w:val="00CE7FA9"/>
    <w:rsid w:val="00CF2007"/>
    <w:rsid w:val="00CF416F"/>
    <w:rsid w:val="00D01236"/>
    <w:rsid w:val="00D04577"/>
    <w:rsid w:val="00D20EF1"/>
    <w:rsid w:val="00D21CDA"/>
    <w:rsid w:val="00D31D2D"/>
    <w:rsid w:val="00D348F2"/>
    <w:rsid w:val="00D405CC"/>
    <w:rsid w:val="00D41056"/>
    <w:rsid w:val="00D44645"/>
    <w:rsid w:val="00D459DE"/>
    <w:rsid w:val="00D46CD3"/>
    <w:rsid w:val="00D51F05"/>
    <w:rsid w:val="00D52DDA"/>
    <w:rsid w:val="00D5414A"/>
    <w:rsid w:val="00D5515F"/>
    <w:rsid w:val="00D5741B"/>
    <w:rsid w:val="00D61D79"/>
    <w:rsid w:val="00D72E4C"/>
    <w:rsid w:val="00D76E5F"/>
    <w:rsid w:val="00D84BA0"/>
    <w:rsid w:val="00D861E5"/>
    <w:rsid w:val="00D91041"/>
    <w:rsid w:val="00D914F3"/>
    <w:rsid w:val="00DA3285"/>
    <w:rsid w:val="00DB1C6E"/>
    <w:rsid w:val="00DB3887"/>
    <w:rsid w:val="00DB5910"/>
    <w:rsid w:val="00DC0AF9"/>
    <w:rsid w:val="00DC2BBC"/>
    <w:rsid w:val="00DC305A"/>
    <w:rsid w:val="00DD7CE9"/>
    <w:rsid w:val="00DE12F9"/>
    <w:rsid w:val="00DE3C43"/>
    <w:rsid w:val="00DE4AC1"/>
    <w:rsid w:val="00DF1032"/>
    <w:rsid w:val="00DF6224"/>
    <w:rsid w:val="00DF6C21"/>
    <w:rsid w:val="00E02104"/>
    <w:rsid w:val="00E210BA"/>
    <w:rsid w:val="00E31E8E"/>
    <w:rsid w:val="00E33CA9"/>
    <w:rsid w:val="00E441F8"/>
    <w:rsid w:val="00E44ABA"/>
    <w:rsid w:val="00E50F92"/>
    <w:rsid w:val="00E6182E"/>
    <w:rsid w:val="00E75E53"/>
    <w:rsid w:val="00E82961"/>
    <w:rsid w:val="00E849FB"/>
    <w:rsid w:val="00E85035"/>
    <w:rsid w:val="00E8647D"/>
    <w:rsid w:val="00E91E60"/>
    <w:rsid w:val="00EA45FA"/>
    <w:rsid w:val="00EA73C3"/>
    <w:rsid w:val="00EB7119"/>
    <w:rsid w:val="00EC3221"/>
    <w:rsid w:val="00ED2595"/>
    <w:rsid w:val="00ED4052"/>
    <w:rsid w:val="00EE3484"/>
    <w:rsid w:val="00F00457"/>
    <w:rsid w:val="00F1110C"/>
    <w:rsid w:val="00F31D4F"/>
    <w:rsid w:val="00F326D9"/>
    <w:rsid w:val="00F32949"/>
    <w:rsid w:val="00F415A8"/>
    <w:rsid w:val="00F4187D"/>
    <w:rsid w:val="00F4415C"/>
    <w:rsid w:val="00F45885"/>
    <w:rsid w:val="00F47413"/>
    <w:rsid w:val="00F54318"/>
    <w:rsid w:val="00F54C3F"/>
    <w:rsid w:val="00F66A6F"/>
    <w:rsid w:val="00F73819"/>
    <w:rsid w:val="00F7476D"/>
    <w:rsid w:val="00F861DE"/>
    <w:rsid w:val="00FA0BA2"/>
    <w:rsid w:val="00FA283B"/>
    <w:rsid w:val="00FB14FA"/>
    <w:rsid w:val="00FB5E17"/>
    <w:rsid w:val="00FB658A"/>
    <w:rsid w:val="00FC04FC"/>
    <w:rsid w:val="00FC1D50"/>
    <w:rsid w:val="00FD46B8"/>
    <w:rsid w:val="00FE1155"/>
    <w:rsid w:val="00FF2354"/>
    <w:rsid w:val="00FF2711"/>
    <w:rsid w:val="00FF4E84"/>
    <w:rsid w:val="00FF6C1D"/>
    <w:rsid w:val="03021C42"/>
    <w:rsid w:val="0308FC33"/>
    <w:rsid w:val="06332991"/>
    <w:rsid w:val="0733480B"/>
    <w:rsid w:val="07D3B0F8"/>
    <w:rsid w:val="08F22BF2"/>
    <w:rsid w:val="0909365D"/>
    <w:rsid w:val="0AEF81F5"/>
    <w:rsid w:val="0B84D4F8"/>
    <w:rsid w:val="0C2E172C"/>
    <w:rsid w:val="0F0005B8"/>
    <w:rsid w:val="0F43CF4A"/>
    <w:rsid w:val="10A00368"/>
    <w:rsid w:val="125CD37E"/>
    <w:rsid w:val="125F6EAB"/>
    <w:rsid w:val="12AB681F"/>
    <w:rsid w:val="13FF9E4B"/>
    <w:rsid w:val="147A818C"/>
    <w:rsid w:val="15372A68"/>
    <w:rsid w:val="174AF383"/>
    <w:rsid w:val="18A0140C"/>
    <w:rsid w:val="1A2EA0B4"/>
    <w:rsid w:val="1F2CBDA0"/>
    <w:rsid w:val="1F91C3D9"/>
    <w:rsid w:val="2165BA9C"/>
    <w:rsid w:val="229E4F3A"/>
    <w:rsid w:val="249A43DF"/>
    <w:rsid w:val="249DBCBF"/>
    <w:rsid w:val="24F4B287"/>
    <w:rsid w:val="263876A9"/>
    <w:rsid w:val="2A820B8F"/>
    <w:rsid w:val="2B8AB404"/>
    <w:rsid w:val="2DA73F51"/>
    <w:rsid w:val="2E0B40D2"/>
    <w:rsid w:val="30AC4DAE"/>
    <w:rsid w:val="336BF269"/>
    <w:rsid w:val="33A4BD8C"/>
    <w:rsid w:val="35E88270"/>
    <w:rsid w:val="36A7A6C3"/>
    <w:rsid w:val="36BD48E8"/>
    <w:rsid w:val="38389F06"/>
    <w:rsid w:val="38BB1100"/>
    <w:rsid w:val="39CC0726"/>
    <w:rsid w:val="3ABF1B51"/>
    <w:rsid w:val="3AC88E43"/>
    <w:rsid w:val="3E21832D"/>
    <w:rsid w:val="45107EBF"/>
    <w:rsid w:val="495E330F"/>
    <w:rsid w:val="4AC24077"/>
    <w:rsid w:val="4C09C050"/>
    <w:rsid w:val="4E533E9B"/>
    <w:rsid w:val="4EF7FB94"/>
    <w:rsid w:val="5072E115"/>
    <w:rsid w:val="547FDDDA"/>
    <w:rsid w:val="57315E80"/>
    <w:rsid w:val="574B862B"/>
    <w:rsid w:val="575E5C73"/>
    <w:rsid w:val="58165879"/>
    <w:rsid w:val="58741EE7"/>
    <w:rsid w:val="5B0352C6"/>
    <w:rsid w:val="5B1E040E"/>
    <w:rsid w:val="5C2AD86D"/>
    <w:rsid w:val="5E1FDFD8"/>
    <w:rsid w:val="5EA678E3"/>
    <w:rsid w:val="603357B6"/>
    <w:rsid w:val="626D704A"/>
    <w:rsid w:val="63456D8D"/>
    <w:rsid w:val="6488D0C9"/>
    <w:rsid w:val="64F66830"/>
    <w:rsid w:val="6B716A00"/>
    <w:rsid w:val="7319A380"/>
    <w:rsid w:val="7358B50C"/>
    <w:rsid w:val="7457122D"/>
    <w:rsid w:val="791BCD70"/>
    <w:rsid w:val="7A9F8BFE"/>
    <w:rsid w:val="7D7CA693"/>
    <w:rsid w:val="7FA006EE"/>
    <w:rsid w:val="7F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A2EF1624-4633-4BC9-847F-26C111D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15"/>
    <w:pPr>
      <w:spacing w:after="80" w:line="27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1CD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C31CD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basedOn w:val="Normal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39"/>
    <w:rsid w:val="002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31C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D7638-39AA-4B12-BFCC-F227ACDC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DFA4-08A1-4189-8352-4F9FEFAC376F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customXml/itemProps3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ninth meeting – 12 June 2025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ninth meeting – 12 June 2025</dc:title>
  <dc:subject>Aged Care</dc:subject>
  <dc:creator>Australian Government Department of Health, Disability and Ageing</dc:creator>
  <cp:keywords>Aged Care Transition Taskforce; Aged Care Transition to Practice Program; New Aged Care Act; </cp:keywords>
  <dc:description/>
  <cp:lastModifiedBy>MASCHKE, Elvia</cp:lastModifiedBy>
  <cp:revision>6</cp:revision>
  <dcterms:created xsi:type="dcterms:W3CDTF">2025-06-17T06:32:00Z</dcterms:created>
  <dcterms:modified xsi:type="dcterms:W3CDTF">2025-06-18T06:51:00Z</dcterms:modified>
</cp:coreProperties>
</file>