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9ED7E" w14:textId="77777777" w:rsidR="008A3DCF" w:rsidRDefault="00A85276" w:rsidP="00690E26">
      <w:pPr>
        <w:pStyle w:val="Heading1"/>
        <w:spacing w:before="3120" w:line="360" w:lineRule="auto"/>
        <w:rPr>
          <w:lang w:val="es"/>
        </w:rPr>
      </w:pPr>
      <w:r>
        <w:rPr>
          <w:lang w:val="es"/>
        </w:rPr>
        <w:t>Sobre la Ley de Atención a los Adultos Mayores de 2024</w:t>
      </w:r>
    </w:p>
    <w:p w14:paraId="66CA4859" w14:textId="42E2E7AF" w:rsidR="00780831" w:rsidRPr="004A5A75" w:rsidRDefault="00780831" w:rsidP="00780831">
      <w:pPr>
        <w:rPr>
          <w:rFonts w:eastAsiaTheme="majorEastAsia" w:cs="Arial"/>
          <w:b/>
          <w:bCs/>
          <w:color w:val="1E1544" w:themeColor="text1"/>
          <w:sz w:val="60"/>
          <w:szCs w:val="60"/>
          <w:lang w:val="en-US"/>
        </w:rPr>
      </w:pPr>
      <w:r w:rsidRPr="004A5A75">
        <w:rPr>
          <w:rFonts w:eastAsiaTheme="majorEastAsia" w:cs="Arial"/>
          <w:b/>
          <w:bCs/>
          <w:color w:val="1E1544" w:themeColor="text1"/>
          <w:sz w:val="60"/>
          <w:szCs w:val="60"/>
          <w:lang w:val="en-US"/>
        </w:rPr>
        <w:t xml:space="preserve">About the </w:t>
      </w:r>
      <w:r w:rsidRPr="004A5A75">
        <w:rPr>
          <w:rFonts w:eastAsiaTheme="majorEastAsia" w:cs="Arial"/>
          <w:b/>
          <w:bCs/>
          <w:i/>
          <w:iCs/>
          <w:color w:val="1E1544" w:themeColor="text1"/>
          <w:sz w:val="60"/>
          <w:szCs w:val="60"/>
          <w:lang w:val="en-US"/>
        </w:rPr>
        <w:t>Aged Care Act 2024</w:t>
      </w:r>
    </w:p>
    <w:p w14:paraId="3AF08DBB" w14:textId="5F08D9F1" w:rsidR="00780831" w:rsidRPr="004A5A75" w:rsidRDefault="00780831" w:rsidP="00780831">
      <w:pPr>
        <w:rPr>
          <w:lang w:val="en-US"/>
        </w:rPr>
      </w:pPr>
    </w:p>
    <w:p w14:paraId="695E6E2E" w14:textId="247740B4" w:rsidR="00677BC9" w:rsidRPr="00463F68" w:rsidRDefault="00A85276" w:rsidP="00677BC9">
      <w:pPr>
        <w:pStyle w:val="Introduction"/>
        <w:rPr>
          <w:lang w:val="es-AR"/>
        </w:rPr>
      </w:pPr>
      <w:bookmarkStart w:id="0" w:name="_Hlk163461193"/>
      <w:r w:rsidRPr="00DD3603">
        <w:rPr>
          <w:lang w:val="es"/>
        </w:rPr>
        <w:t xml:space="preserve">La nueva </w:t>
      </w:r>
      <w:proofErr w:type="spellStart"/>
      <w:r w:rsidR="007E6732" w:rsidRPr="00DA5C02">
        <w:rPr>
          <w:lang w:val="es-AR"/>
        </w:rPr>
        <w:t>Aged</w:t>
      </w:r>
      <w:proofErr w:type="spellEnd"/>
      <w:r w:rsidR="007E6732" w:rsidRPr="00DA5C02">
        <w:rPr>
          <w:lang w:val="es-AR"/>
        </w:rPr>
        <w:t xml:space="preserve"> Care </w:t>
      </w:r>
      <w:proofErr w:type="spellStart"/>
      <w:r w:rsidR="007E6732" w:rsidRPr="00DA5C02">
        <w:rPr>
          <w:lang w:val="es-AR"/>
        </w:rPr>
        <w:t>Act</w:t>
      </w:r>
      <w:proofErr w:type="spellEnd"/>
      <w:r w:rsidR="007E6732" w:rsidRPr="00DA5C02">
        <w:rPr>
          <w:lang w:val="es-AR"/>
        </w:rPr>
        <w:t xml:space="preserve"> 2024</w:t>
      </w:r>
      <w:r w:rsidR="007E6732" w:rsidRPr="007E6732">
        <w:rPr>
          <w:lang w:val="es"/>
        </w:rPr>
        <w:t xml:space="preserve"> [</w:t>
      </w:r>
      <w:r w:rsidRPr="00DD3603">
        <w:rPr>
          <w:lang w:val="es"/>
        </w:rPr>
        <w:t>Ley de Atención a los Adultos Mayores</w:t>
      </w:r>
      <w:r w:rsidR="007E6732" w:rsidRPr="007E6732">
        <w:rPr>
          <w:lang w:val="es"/>
        </w:rPr>
        <w:t>]</w:t>
      </w:r>
      <w:r w:rsidRPr="00DD3603">
        <w:rPr>
          <w:lang w:val="es"/>
        </w:rPr>
        <w:t xml:space="preserve"> entrará en vigor el 1</w:t>
      </w:r>
      <w:r w:rsidR="00463F68">
        <w:rPr>
          <w:lang w:val="es"/>
        </w:rPr>
        <w:t> </w:t>
      </w:r>
      <w:r w:rsidRPr="00DD3603">
        <w:rPr>
          <w:lang w:val="es"/>
        </w:rPr>
        <w:t xml:space="preserve">de noviembre de 2025. Será la principal ley que establecerá cómo </w:t>
      </w:r>
      <w:r w:rsidR="00463F68">
        <w:rPr>
          <w:lang w:val="es"/>
        </w:rPr>
        <w:t>ser</w:t>
      </w:r>
      <w:r w:rsidR="00463F68">
        <w:rPr>
          <w:lang w:val="es-AR"/>
        </w:rPr>
        <w:t>á el funcionamiento d</w:t>
      </w:r>
      <w:r w:rsidRPr="00DD3603">
        <w:rPr>
          <w:lang w:val="es"/>
        </w:rPr>
        <w:t xml:space="preserve">el sistema de atención </w:t>
      </w:r>
      <w:r w:rsidR="00463F68">
        <w:rPr>
          <w:lang w:val="es"/>
        </w:rPr>
        <w:t>par</w:t>
      </w:r>
      <w:r w:rsidRPr="00DD3603">
        <w:rPr>
          <w:lang w:val="es"/>
        </w:rPr>
        <w:t xml:space="preserve">a los adultos mayores. Esta hoja informativa ofrece un resumen de cada capítulo de la Ley y explica qué está haciendo </w:t>
      </w:r>
      <w:r w:rsidR="00463F68">
        <w:rPr>
          <w:lang w:val="es"/>
        </w:rPr>
        <w:t>en la actualidad</w:t>
      </w:r>
      <w:r w:rsidR="00463F68" w:rsidRPr="00DD3603">
        <w:rPr>
          <w:lang w:val="es"/>
        </w:rPr>
        <w:t xml:space="preserve"> </w:t>
      </w:r>
      <w:r w:rsidRPr="00DD3603">
        <w:rPr>
          <w:lang w:val="es"/>
        </w:rPr>
        <w:t xml:space="preserve">el Gobierno de Australia para apoyar los cambios, tanto ahora como en el futuro. </w:t>
      </w:r>
    </w:p>
    <w:p w14:paraId="66B5CE06" w14:textId="77777777" w:rsidR="00DD3603" w:rsidRPr="00463F68" w:rsidRDefault="00A85276" w:rsidP="00677BC9">
      <w:pPr>
        <w:pStyle w:val="Heading2"/>
        <w:rPr>
          <w:lang w:val="es-AR"/>
        </w:rPr>
      </w:pPr>
      <w:bookmarkStart w:id="1" w:name="_Hlk163461203"/>
      <w:bookmarkEnd w:id="0"/>
      <w:r>
        <w:rPr>
          <w:lang w:val="es"/>
        </w:rPr>
        <w:t>Antecedentes de la nueva Ley</w:t>
      </w:r>
    </w:p>
    <w:p w14:paraId="67ADAAEC" w14:textId="7927FAF6" w:rsidR="00DD3603" w:rsidRPr="00463F68" w:rsidRDefault="00A85276" w:rsidP="00DD3603">
      <w:pPr>
        <w:rPr>
          <w:color w:val="1E1544" w:themeColor="text1"/>
          <w:lang w:val="es-AR"/>
        </w:rPr>
      </w:pPr>
      <w:r w:rsidRPr="00BB69BF">
        <w:rPr>
          <w:color w:val="1E1544" w:themeColor="text1"/>
          <w:lang w:val="es"/>
        </w:rPr>
        <w:t xml:space="preserve">La </w:t>
      </w:r>
      <w:hyperlink r:id="rId11">
        <w:r w:rsidR="00DD3603" w:rsidRPr="58E88ED4">
          <w:rPr>
            <w:rStyle w:val="Hyperlink"/>
            <w:color w:val="0070C0"/>
            <w:lang w:val="es"/>
          </w:rPr>
          <w:t xml:space="preserve">Royal </w:t>
        </w:r>
        <w:proofErr w:type="spellStart"/>
        <w:r w:rsidR="00DD3603" w:rsidRPr="58E88ED4">
          <w:rPr>
            <w:rStyle w:val="Hyperlink"/>
            <w:color w:val="0070C0"/>
            <w:lang w:val="es"/>
          </w:rPr>
          <w:t>Commission</w:t>
        </w:r>
        <w:proofErr w:type="spellEnd"/>
        <w:r w:rsidR="00DD3603" w:rsidRPr="58E88ED4">
          <w:rPr>
            <w:rStyle w:val="Hyperlink"/>
            <w:color w:val="0070C0"/>
            <w:lang w:val="es"/>
          </w:rPr>
          <w:t xml:space="preserve"> </w:t>
        </w:r>
        <w:proofErr w:type="spellStart"/>
        <w:r w:rsidR="00DD3603" w:rsidRPr="58E88ED4">
          <w:rPr>
            <w:rStyle w:val="Hyperlink"/>
            <w:color w:val="0070C0"/>
            <w:lang w:val="es"/>
          </w:rPr>
          <w:t>into</w:t>
        </w:r>
        <w:proofErr w:type="spellEnd"/>
        <w:r w:rsidR="00DD3603" w:rsidRPr="58E88ED4">
          <w:rPr>
            <w:rStyle w:val="Hyperlink"/>
            <w:color w:val="0070C0"/>
            <w:lang w:val="es"/>
          </w:rPr>
          <w:t xml:space="preserve"> </w:t>
        </w:r>
        <w:proofErr w:type="spellStart"/>
        <w:r w:rsidR="00DD3603" w:rsidRPr="58E88ED4">
          <w:rPr>
            <w:rStyle w:val="Hyperlink"/>
            <w:color w:val="0070C0"/>
            <w:lang w:val="es"/>
          </w:rPr>
          <w:t>Aged</w:t>
        </w:r>
        <w:proofErr w:type="spellEnd"/>
        <w:r w:rsidR="00DD3603" w:rsidRPr="58E88ED4">
          <w:rPr>
            <w:rStyle w:val="Hyperlink"/>
            <w:color w:val="0070C0"/>
            <w:lang w:val="es"/>
          </w:rPr>
          <w:t xml:space="preserve"> Care Quality and Safety </w:t>
        </w:r>
      </w:hyperlink>
      <w:r w:rsidRPr="00BB69BF">
        <w:rPr>
          <w:color w:val="1E1544" w:themeColor="text1"/>
          <w:lang w:val="es"/>
        </w:rPr>
        <w:t>(</w:t>
      </w:r>
      <w:r w:rsidR="00463F68">
        <w:rPr>
          <w:color w:val="1E1544" w:themeColor="text1"/>
          <w:lang w:val="es"/>
        </w:rPr>
        <w:t>en adelante, la “</w:t>
      </w:r>
      <w:r w:rsidRPr="00BB69BF">
        <w:rPr>
          <w:color w:val="1E1544" w:themeColor="text1"/>
          <w:lang w:val="es"/>
        </w:rPr>
        <w:t xml:space="preserve">Royal </w:t>
      </w:r>
      <w:proofErr w:type="spellStart"/>
      <w:r w:rsidRPr="00BB69BF">
        <w:rPr>
          <w:color w:val="1E1544" w:themeColor="text1"/>
          <w:lang w:val="es"/>
        </w:rPr>
        <w:t>Commission</w:t>
      </w:r>
      <w:proofErr w:type="spellEnd"/>
      <w:r w:rsidR="00463F68">
        <w:rPr>
          <w:color w:val="1E1544" w:themeColor="text1"/>
          <w:lang w:val="es"/>
        </w:rPr>
        <w:t>”</w:t>
      </w:r>
      <w:r w:rsidRPr="00BB69BF">
        <w:rPr>
          <w:color w:val="1E1544" w:themeColor="text1"/>
          <w:lang w:val="es"/>
        </w:rPr>
        <w:t>)</w:t>
      </w:r>
      <w:r w:rsidR="00463F68">
        <w:rPr>
          <w:color w:val="1E1544" w:themeColor="text1"/>
          <w:lang w:val="es"/>
        </w:rPr>
        <w:t xml:space="preserve"> </w:t>
      </w:r>
      <w:r w:rsidRPr="00BB69BF">
        <w:rPr>
          <w:color w:val="1E1544" w:themeColor="text1"/>
          <w:lang w:val="es"/>
        </w:rPr>
        <w:t>[Comisión Real para la Calidad y Seguridad de la Atención a Personas Mayores] publicó su informe final en marzo de 2021. El informe propuso formas de mejorar el sistema de atención. La recomendación principal de la Royal Commission al Gobierno australiano fue desarrollar una nueva ley de atención a los adultos mayores basada en los derechos de las personas.</w:t>
      </w:r>
    </w:p>
    <w:p w14:paraId="0C830B69" w14:textId="77777777" w:rsidR="00DD3603" w:rsidRPr="00463F68" w:rsidRDefault="00A85276" w:rsidP="00DD3603">
      <w:pPr>
        <w:rPr>
          <w:color w:val="1E1544" w:themeColor="text1"/>
          <w:lang w:val="es-AR"/>
        </w:rPr>
      </w:pPr>
      <w:r w:rsidRPr="00BB69BF">
        <w:rPr>
          <w:color w:val="1E1544" w:themeColor="text1"/>
          <w:lang w:val="es"/>
        </w:rPr>
        <w:lastRenderedPageBreak/>
        <w:t>Se solicitó a la población que brindara su opinión sobre los cambios propuestos a la legislación vigente, y en septiembre de 2024 se presentó el Proyecto de Ley de Atención a los Adultos Mayores de 2024. El Parlamento de Australia (el Parlamento) lo aprobó en noviembre de 2024 y fue promulgado como ley el 2 de diciembre de 2024. La nueva ley entrará en vigor a partir del 1 de noviembre de 2025.</w:t>
      </w:r>
    </w:p>
    <w:p w14:paraId="1A596F4C" w14:textId="77777777" w:rsidR="0071041D" w:rsidRPr="00463F68" w:rsidRDefault="00A85276" w:rsidP="00DD3603">
      <w:pPr>
        <w:rPr>
          <w:color w:val="1E1544" w:themeColor="text1"/>
          <w:lang w:val="es-AR"/>
        </w:rPr>
      </w:pPr>
      <w:r>
        <w:rPr>
          <w:color w:val="1E1544" w:themeColor="text1"/>
          <w:lang w:val="es"/>
        </w:rPr>
        <w:t>El Parlamento también aprobó el proyecto de Ley de Disposiciones Consecuentes y Transitorias sobre la Atención a los Adultos Mayores de 2024 en noviembre de 2024, la cual respalda el cambio hacia la nueva Ley.</w:t>
      </w:r>
    </w:p>
    <w:p w14:paraId="740F7A44" w14:textId="77777777" w:rsidR="008436F8" w:rsidRPr="00463F68" w:rsidRDefault="00A85276" w:rsidP="00672B43">
      <w:pPr>
        <w:pStyle w:val="Heading2"/>
        <w:rPr>
          <w:lang w:val="es-AR"/>
        </w:rPr>
      </w:pPr>
      <w:r>
        <w:rPr>
          <w:lang w:val="es"/>
        </w:rPr>
        <w:t>Resumen general de la nueva Ley</w:t>
      </w:r>
    </w:p>
    <w:p w14:paraId="10D283BC" w14:textId="77777777" w:rsidR="00DD3603" w:rsidRPr="00BB69BF" w:rsidRDefault="00A85276" w:rsidP="00DD3603">
      <w:pPr>
        <w:rPr>
          <w:color w:val="1E1544" w:themeColor="text1"/>
        </w:rPr>
      </w:pPr>
      <w:r w:rsidRPr="00BB69BF">
        <w:rPr>
          <w:color w:val="1E1544" w:themeColor="text1"/>
          <w:lang w:val="es"/>
        </w:rPr>
        <w:t>La nueva Ley responde a 58 recomendaciones de la Comisión Real. También establece normas sobre:</w:t>
      </w:r>
    </w:p>
    <w:p w14:paraId="77146E87" w14:textId="482070E6" w:rsidR="00381509" w:rsidRPr="00463F68" w:rsidRDefault="00A85276" w:rsidP="00DD3603">
      <w:pPr>
        <w:pStyle w:val="ListParagraph"/>
        <w:numPr>
          <w:ilvl w:val="0"/>
          <w:numId w:val="7"/>
        </w:numPr>
        <w:rPr>
          <w:color w:val="1E1544" w:themeColor="text1"/>
          <w:lang w:val="es-AR"/>
        </w:rPr>
      </w:pPr>
      <w:proofErr w:type="spellStart"/>
      <w:r w:rsidRPr="00BB69BF">
        <w:rPr>
          <w:color w:val="1E1544" w:themeColor="text1"/>
          <w:lang w:val="es"/>
        </w:rPr>
        <w:t>Statement</w:t>
      </w:r>
      <w:proofErr w:type="spellEnd"/>
      <w:r w:rsidRPr="00BB69BF">
        <w:rPr>
          <w:color w:val="1E1544" w:themeColor="text1"/>
          <w:lang w:val="es"/>
        </w:rPr>
        <w:t xml:space="preserve"> </w:t>
      </w:r>
      <w:proofErr w:type="spellStart"/>
      <w:r w:rsidRPr="00BB69BF">
        <w:rPr>
          <w:color w:val="1E1544" w:themeColor="text1"/>
          <w:lang w:val="es"/>
        </w:rPr>
        <w:t>of</w:t>
      </w:r>
      <w:proofErr w:type="spellEnd"/>
      <w:r w:rsidRPr="00BB69BF">
        <w:rPr>
          <w:color w:val="1E1544" w:themeColor="text1"/>
          <w:lang w:val="es"/>
        </w:rPr>
        <w:t xml:space="preserve"> </w:t>
      </w:r>
      <w:proofErr w:type="spellStart"/>
      <w:r w:rsidRPr="00BB69BF">
        <w:rPr>
          <w:color w:val="1E1544" w:themeColor="text1"/>
          <w:lang w:val="es"/>
        </w:rPr>
        <w:t>Rights</w:t>
      </w:r>
      <w:proofErr w:type="spellEnd"/>
      <w:r w:rsidRPr="00BB69BF">
        <w:rPr>
          <w:color w:val="1E1544" w:themeColor="text1"/>
          <w:lang w:val="es"/>
        </w:rPr>
        <w:t xml:space="preserve"> [</w:t>
      </w:r>
      <w:r w:rsidR="00463F68">
        <w:rPr>
          <w:color w:val="1E1544" w:themeColor="text1"/>
          <w:lang w:val="es"/>
        </w:rPr>
        <w:t>d</w:t>
      </w:r>
      <w:r w:rsidR="00463F68" w:rsidRPr="00BB69BF">
        <w:rPr>
          <w:color w:val="1E1544" w:themeColor="text1"/>
          <w:lang w:val="es"/>
        </w:rPr>
        <w:t xml:space="preserve">eclaración </w:t>
      </w:r>
      <w:r w:rsidRPr="00BB69BF">
        <w:rPr>
          <w:color w:val="1E1544" w:themeColor="text1"/>
          <w:lang w:val="es"/>
        </w:rPr>
        <w:t xml:space="preserve">de </w:t>
      </w:r>
      <w:r w:rsidR="00463F68">
        <w:rPr>
          <w:color w:val="1E1544" w:themeColor="text1"/>
          <w:lang w:val="es"/>
        </w:rPr>
        <w:t>d</w:t>
      </w:r>
      <w:r w:rsidR="00463F68" w:rsidRPr="00BB69BF">
        <w:rPr>
          <w:color w:val="1E1544" w:themeColor="text1"/>
          <w:lang w:val="es"/>
        </w:rPr>
        <w:t xml:space="preserve">erechos </w:t>
      </w:r>
      <w:r w:rsidRPr="00BB69BF">
        <w:rPr>
          <w:color w:val="1E1544" w:themeColor="text1"/>
          <w:lang w:val="es"/>
        </w:rPr>
        <w:t>para las personas mayores];</w:t>
      </w:r>
    </w:p>
    <w:p w14:paraId="65E129D3" w14:textId="77777777" w:rsidR="0091716D" w:rsidRPr="00463F68" w:rsidRDefault="00A85276" w:rsidP="00DD3603">
      <w:pPr>
        <w:pStyle w:val="ListParagraph"/>
        <w:numPr>
          <w:ilvl w:val="0"/>
          <w:numId w:val="7"/>
        </w:numPr>
        <w:rPr>
          <w:color w:val="1E1544" w:themeColor="text1"/>
          <w:lang w:val="es-AR"/>
        </w:rPr>
      </w:pPr>
      <w:r w:rsidRPr="782CCA5E">
        <w:rPr>
          <w:color w:val="1E1544" w:themeColor="text1"/>
          <w:lang w:val="es"/>
        </w:rPr>
        <w:t>quién puede acceder a los servicios de atención;</w:t>
      </w:r>
    </w:p>
    <w:p w14:paraId="0A0E7C5E" w14:textId="77777777" w:rsidR="5D949EA9" w:rsidRPr="00463F68" w:rsidRDefault="00A85276">
      <w:pPr>
        <w:pStyle w:val="ListParagraph"/>
        <w:numPr>
          <w:ilvl w:val="0"/>
          <w:numId w:val="7"/>
        </w:numPr>
        <w:rPr>
          <w:color w:val="1E1544" w:themeColor="text1"/>
          <w:lang w:val="es-AR"/>
        </w:rPr>
      </w:pPr>
      <w:r w:rsidRPr="0020329E">
        <w:rPr>
          <w:color w:val="1E1544" w:themeColor="text1"/>
          <w:lang w:val="es"/>
        </w:rPr>
        <w:t>la financiación de los servicios de atención conforme a la nueva Ley, incluyendo lo que el Gobierno cubrirá y lo que se podrá pedir a la persona mayor que pague;</w:t>
      </w:r>
    </w:p>
    <w:p w14:paraId="68C5C729" w14:textId="77777777" w:rsidR="00DD3603" w:rsidRPr="00463F68" w:rsidRDefault="00A85276" w:rsidP="00DD3603">
      <w:pPr>
        <w:pStyle w:val="ListParagraph"/>
        <w:numPr>
          <w:ilvl w:val="0"/>
          <w:numId w:val="7"/>
        </w:numPr>
        <w:rPr>
          <w:color w:val="1E1544" w:themeColor="text1"/>
          <w:lang w:val="es-AR"/>
        </w:rPr>
      </w:pPr>
      <w:r w:rsidRPr="00DD3603">
        <w:rPr>
          <w:color w:val="1E1544" w:themeColor="text1"/>
          <w:lang w:val="es"/>
        </w:rPr>
        <w:t>el programa Support at Home [Apoyo en el Hogar];</w:t>
      </w:r>
    </w:p>
    <w:p w14:paraId="067665C3" w14:textId="77777777" w:rsidR="00DD3603" w:rsidRPr="00463F68" w:rsidRDefault="00A85276" w:rsidP="00DD3603">
      <w:pPr>
        <w:pStyle w:val="ListParagraph"/>
        <w:numPr>
          <w:ilvl w:val="0"/>
          <w:numId w:val="7"/>
        </w:numPr>
        <w:rPr>
          <w:color w:val="1E1544" w:themeColor="text1"/>
          <w:lang w:val="es-AR"/>
        </w:rPr>
      </w:pPr>
      <w:r w:rsidRPr="00DD3603">
        <w:rPr>
          <w:color w:val="1E1544" w:themeColor="text1"/>
          <w:lang w:val="es"/>
        </w:rPr>
        <w:t xml:space="preserve">el fortalecimiento de las </w:t>
      </w:r>
      <w:proofErr w:type="spellStart"/>
      <w:r w:rsidRPr="00DD3603">
        <w:rPr>
          <w:color w:val="1E1544" w:themeColor="text1"/>
          <w:lang w:val="es"/>
        </w:rPr>
        <w:t>Aged</w:t>
      </w:r>
      <w:proofErr w:type="spellEnd"/>
      <w:r w:rsidRPr="00DD3603">
        <w:rPr>
          <w:color w:val="1E1544" w:themeColor="text1"/>
          <w:lang w:val="es"/>
        </w:rPr>
        <w:t xml:space="preserve"> Care </w:t>
      </w:r>
      <w:proofErr w:type="spellStart"/>
      <w:r w:rsidRPr="00DD3603">
        <w:rPr>
          <w:color w:val="1E1544" w:themeColor="text1"/>
          <w:lang w:val="es"/>
        </w:rPr>
        <w:t>Quality</w:t>
      </w:r>
      <w:proofErr w:type="spellEnd"/>
      <w:r w:rsidRPr="00DD3603">
        <w:rPr>
          <w:color w:val="1E1544" w:themeColor="text1"/>
          <w:lang w:val="es"/>
        </w:rPr>
        <w:t xml:space="preserve"> </w:t>
      </w:r>
      <w:proofErr w:type="spellStart"/>
      <w:r w:rsidRPr="00DD3603">
        <w:rPr>
          <w:color w:val="1E1544" w:themeColor="text1"/>
          <w:lang w:val="es"/>
        </w:rPr>
        <w:t>Standards</w:t>
      </w:r>
      <w:proofErr w:type="spellEnd"/>
      <w:r w:rsidRPr="00DD3603">
        <w:rPr>
          <w:color w:val="1E1544" w:themeColor="text1"/>
          <w:lang w:val="es"/>
        </w:rPr>
        <w:t xml:space="preserve"> [Normas de Calidad para la Atención a los Adultos Mayores], que definen cómo deben ser los servicios seguros y de calidad;</w:t>
      </w:r>
    </w:p>
    <w:p w14:paraId="072A929B" w14:textId="77777777" w:rsidR="00DD3603" w:rsidRPr="00463F68" w:rsidRDefault="00A85276" w:rsidP="00BB69BF">
      <w:pPr>
        <w:pStyle w:val="ListParagraph"/>
        <w:numPr>
          <w:ilvl w:val="0"/>
          <w:numId w:val="7"/>
        </w:numPr>
        <w:rPr>
          <w:color w:val="1E1544" w:themeColor="text1"/>
          <w:lang w:val="es-AR"/>
        </w:rPr>
      </w:pPr>
      <w:r w:rsidRPr="00BB69BF">
        <w:rPr>
          <w:color w:val="1E1544" w:themeColor="text1"/>
          <w:lang w:val="es"/>
        </w:rPr>
        <w:t>mayores atribuciones para el organismo regulador, la Aged Care Quality and Safety Commission [Comisión de Calidad y Seguridad en el Cuidado de Personas Mayores].</w:t>
      </w:r>
    </w:p>
    <w:p w14:paraId="0746F098" w14:textId="77777777" w:rsidR="00DD3603" w:rsidRPr="00463F68" w:rsidRDefault="00A85276" w:rsidP="00DD3603">
      <w:pPr>
        <w:rPr>
          <w:color w:val="1E1544" w:themeColor="text1"/>
          <w:lang w:val="es-AR"/>
        </w:rPr>
      </w:pPr>
      <w:r w:rsidRPr="00BB69BF">
        <w:rPr>
          <w:color w:val="1E1544" w:themeColor="text1"/>
          <w:lang w:val="es"/>
        </w:rPr>
        <w:t>La nueva Ley tiene como objetivo fortalecer el sistema australiano de atención a los adultos mayores. Afectará a todas las personas involucradas en este sistema. Permitirá:</w:t>
      </w:r>
    </w:p>
    <w:p w14:paraId="4788B81B" w14:textId="77777777" w:rsidR="00DD3603" w:rsidRPr="00463F68" w:rsidRDefault="00A85276" w:rsidP="00BB69BF">
      <w:pPr>
        <w:pStyle w:val="ListParagraph"/>
        <w:numPr>
          <w:ilvl w:val="0"/>
          <w:numId w:val="7"/>
        </w:numPr>
        <w:rPr>
          <w:color w:val="1E1544" w:themeColor="text1"/>
          <w:lang w:val="es-AR"/>
        </w:rPr>
      </w:pPr>
      <w:r w:rsidRPr="00BB69BF">
        <w:rPr>
          <w:color w:val="1E1544" w:themeColor="text1"/>
          <w:lang w:val="es"/>
        </w:rPr>
        <w:t>cambiar la forma en que los proveedores prestan servicios a las personas mayores en sus hogares, en la comunidad y en residencias;</w:t>
      </w:r>
    </w:p>
    <w:p w14:paraId="630BC92F" w14:textId="77777777" w:rsidR="00DD3603" w:rsidRPr="00463F68" w:rsidRDefault="00A85276" w:rsidP="00BB69BF">
      <w:pPr>
        <w:pStyle w:val="ListParagraph"/>
        <w:numPr>
          <w:ilvl w:val="0"/>
          <w:numId w:val="7"/>
        </w:numPr>
        <w:rPr>
          <w:color w:val="1E1544" w:themeColor="text1"/>
          <w:lang w:val="es-AR"/>
        </w:rPr>
      </w:pPr>
      <w:r w:rsidRPr="00BB69BF">
        <w:rPr>
          <w:color w:val="1E1544" w:themeColor="text1"/>
          <w:lang w:val="es"/>
        </w:rPr>
        <w:t xml:space="preserve">introducir leyes para garantizar que la atención sea segura, respetuosa y de calidad; </w:t>
      </w:r>
    </w:p>
    <w:p w14:paraId="5632070F" w14:textId="77777777" w:rsidR="00DD3603" w:rsidRPr="00463F68" w:rsidRDefault="00A85276" w:rsidP="00BB69BF">
      <w:pPr>
        <w:pStyle w:val="ListParagraph"/>
        <w:numPr>
          <w:ilvl w:val="0"/>
          <w:numId w:val="7"/>
        </w:numPr>
        <w:rPr>
          <w:color w:val="1E1544" w:themeColor="text1"/>
          <w:lang w:val="es-AR"/>
        </w:rPr>
      </w:pPr>
      <w:r w:rsidRPr="00BB69BF">
        <w:rPr>
          <w:color w:val="1E1544" w:themeColor="text1"/>
          <w:lang w:val="es"/>
        </w:rPr>
        <w:t>reemplazar la legislación actual sobre atención a los adultos mayores.</w:t>
      </w:r>
    </w:p>
    <w:p w14:paraId="5845B55F" w14:textId="77777777" w:rsidR="00DD3603" w:rsidRPr="00463F68" w:rsidRDefault="00A85276" w:rsidP="00DD3603">
      <w:pPr>
        <w:rPr>
          <w:color w:val="1E1544" w:themeColor="text1"/>
          <w:lang w:val="es-AR"/>
        </w:rPr>
      </w:pPr>
      <w:r w:rsidRPr="00BB69BF">
        <w:rPr>
          <w:color w:val="1E1544" w:themeColor="text1"/>
          <w:lang w:val="es"/>
        </w:rPr>
        <w:t>La nueva Ley abarca los servicios financiados por el Gobierno, incluyendo programas que antes no estaban contemplados por la legislación, como el National Aboriginal and Torres Strait Islander Flexible Aged Care (NATSIFAC) [Programa de Atención Flexible para Personas Mayores Aborígenes e Isleños del Estrecho de Torres] y el Commonwealth Home Support Programme (CHSP) [Programa de Ayuda en el Hogar del Gobierno federal].</w:t>
      </w:r>
    </w:p>
    <w:p w14:paraId="054BDF12" w14:textId="77777777" w:rsidR="00DD3603" w:rsidRPr="00463F68" w:rsidRDefault="00A85276" w:rsidP="00DD3603">
      <w:pPr>
        <w:rPr>
          <w:color w:val="1E1544" w:themeColor="text1"/>
          <w:lang w:val="es-AR"/>
        </w:rPr>
      </w:pPr>
      <w:r w:rsidRPr="00BB69BF">
        <w:rPr>
          <w:color w:val="1E1544" w:themeColor="text1"/>
          <w:lang w:val="es"/>
        </w:rPr>
        <w:t>La nueva Ley también incluye un nuevo modelo regulador para la gestión del sistema de atención a los adultos mayores. Este modelo busca apoyar a los proveedores registrados para que brinden atención de alta calidad y rindan cuentas de manera más efectiva.</w:t>
      </w:r>
    </w:p>
    <w:p w14:paraId="4AB97C0C" w14:textId="77777777" w:rsidR="00DD3603" w:rsidRPr="00463F68" w:rsidRDefault="00A85276" w:rsidP="00672B43">
      <w:pPr>
        <w:pStyle w:val="Heading3"/>
        <w:rPr>
          <w:lang w:val="es-AR"/>
        </w:rPr>
      </w:pPr>
      <w:r>
        <w:rPr>
          <w:lang w:val="es"/>
        </w:rPr>
        <w:t>Capítulo 1 – Introducción</w:t>
      </w:r>
    </w:p>
    <w:p w14:paraId="48D8AF47" w14:textId="77777777" w:rsidR="00206F50" w:rsidRPr="00463F68" w:rsidRDefault="00A85276" w:rsidP="00206F50">
      <w:pPr>
        <w:rPr>
          <w:color w:val="1E1544" w:themeColor="text1"/>
          <w:lang w:val="es-AR"/>
        </w:rPr>
      </w:pPr>
      <w:r w:rsidRPr="00206F50">
        <w:rPr>
          <w:color w:val="1E1544" w:themeColor="text1"/>
          <w:lang w:val="es"/>
        </w:rPr>
        <w:t>El capítulo 1 explica las ideas y términos utilizados en la nueva Ley. Esto garantiza que todos usen los términos de la misma manera y que los roles y responsabilidades queden claros.</w:t>
      </w:r>
    </w:p>
    <w:p w14:paraId="3BC9053E" w14:textId="77777777" w:rsidR="00206F50" w:rsidRPr="00206F50" w:rsidRDefault="00A85276" w:rsidP="00206F50">
      <w:pPr>
        <w:rPr>
          <w:color w:val="1E1544" w:themeColor="text1"/>
        </w:rPr>
      </w:pPr>
      <w:r w:rsidRPr="00206F50">
        <w:rPr>
          <w:color w:val="1E1544" w:themeColor="text1"/>
          <w:lang w:val="es"/>
        </w:rPr>
        <w:lastRenderedPageBreak/>
        <w:t>Este capítulo incluye:</w:t>
      </w:r>
    </w:p>
    <w:p w14:paraId="29DAFC2F" w14:textId="77777777" w:rsidR="003F7BFE" w:rsidRPr="00463F68" w:rsidRDefault="00A85276" w:rsidP="00206F50">
      <w:pPr>
        <w:pStyle w:val="ListParagraph"/>
        <w:numPr>
          <w:ilvl w:val="0"/>
          <w:numId w:val="7"/>
        </w:numPr>
        <w:rPr>
          <w:color w:val="1E1544" w:themeColor="text1"/>
          <w:lang w:val="es-AR"/>
        </w:rPr>
      </w:pPr>
      <w:r w:rsidRPr="00206F50">
        <w:rPr>
          <w:color w:val="1E1544" w:themeColor="text1"/>
          <w:lang w:val="es"/>
        </w:rPr>
        <w:t>los objetivos de la nueva Ley – describen el propósito de la legislación;</w:t>
      </w:r>
    </w:p>
    <w:p w14:paraId="510956B0" w14:textId="77777777" w:rsidR="00206F50" w:rsidRPr="00463F68" w:rsidRDefault="00A85276" w:rsidP="00206F50">
      <w:pPr>
        <w:pStyle w:val="ListParagraph"/>
        <w:numPr>
          <w:ilvl w:val="0"/>
          <w:numId w:val="7"/>
        </w:numPr>
        <w:rPr>
          <w:color w:val="1E1544" w:themeColor="text1"/>
          <w:lang w:val="es-AR"/>
        </w:rPr>
      </w:pPr>
      <w:r w:rsidRPr="00206F50">
        <w:rPr>
          <w:color w:val="1E1544" w:themeColor="text1"/>
          <w:lang w:val="es"/>
        </w:rPr>
        <w:t>la Declaración de Derechos – expone los derechos de las personas mayores dentro del sistema;</w:t>
      </w:r>
    </w:p>
    <w:p w14:paraId="6E4F7FF1" w14:textId="77777777" w:rsidR="00206F50" w:rsidRPr="00463F68" w:rsidRDefault="00A85276" w:rsidP="00206F50">
      <w:pPr>
        <w:pStyle w:val="ListParagraph"/>
        <w:numPr>
          <w:ilvl w:val="0"/>
          <w:numId w:val="7"/>
        </w:numPr>
        <w:rPr>
          <w:color w:val="1E1544" w:themeColor="text1"/>
          <w:lang w:val="es-AR"/>
        </w:rPr>
      </w:pPr>
      <w:r w:rsidRPr="00206F50">
        <w:rPr>
          <w:color w:val="1E1544" w:themeColor="text1"/>
          <w:lang w:val="es"/>
        </w:rPr>
        <w:t xml:space="preserve">la </w:t>
      </w:r>
      <w:proofErr w:type="spellStart"/>
      <w:r w:rsidRPr="00206F50">
        <w:rPr>
          <w:color w:val="1E1544" w:themeColor="text1"/>
          <w:lang w:val="es"/>
        </w:rPr>
        <w:t>Statement</w:t>
      </w:r>
      <w:proofErr w:type="spellEnd"/>
      <w:r w:rsidRPr="00206F50">
        <w:rPr>
          <w:color w:val="1E1544" w:themeColor="text1"/>
          <w:lang w:val="es"/>
        </w:rPr>
        <w:t xml:space="preserve"> </w:t>
      </w:r>
      <w:proofErr w:type="spellStart"/>
      <w:r w:rsidRPr="00206F50">
        <w:rPr>
          <w:color w:val="1E1544" w:themeColor="text1"/>
          <w:lang w:val="es"/>
        </w:rPr>
        <w:t>of</w:t>
      </w:r>
      <w:proofErr w:type="spellEnd"/>
      <w:r w:rsidRPr="00206F50">
        <w:rPr>
          <w:color w:val="1E1544" w:themeColor="text1"/>
          <w:lang w:val="es"/>
        </w:rPr>
        <w:t xml:space="preserve"> </w:t>
      </w:r>
      <w:proofErr w:type="spellStart"/>
      <w:r w:rsidRPr="00206F50">
        <w:rPr>
          <w:color w:val="1E1544" w:themeColor="text1"/>
          <w:lang w:val="es"/>
        </w:rPr>
        <w:t>Principles</w:t>
      </w:r>
      <w:proofErr w:type="spellEnd"/>
      <w:r w:rsidRPr="00206F50">
        <w:rPr>
          <w:color w:val="1E1544" w:themeColor="text1"/>
          <w:lang w:val="es"/>
        </w:rPr>
        <w:t xml:space="preserve"> [Declaración de Principios] – orienta cómo deben actuar y tomar decisiones las personas trabajadoras y organizaciones conforme a la nueva Ley.</w:t>
      </w:r>
    </w:p>
    <w:p w14:paraId="7AEC30DD" w14:textId="77777777" w:rsidR="00206F50" w:rsidRPr="00463F68" w:rsidRDefault="00A85276" w:rsidP="008D091F">
      <w:pPr>
        <w:rPr>
          <w:color w:val="1E1544" w:themeColor="text1"/>
          <w:lang w:val="es-AR"/>
        </w:rPr>
      </w:pPr>
      <w:r w:rsidRPr="00206F50">
        <w:rPr>
          <w:color w:val="1E1544" w:themeColor="text1"/>
          <w:lang w:val="es"/>
        </w:rPr>
        <w:t xml:space="preserve">También se explica el rol de las personas de apoyo, que ayudan a las personas mayores a tomar decisiones. </w:t>
      </w:r>
    </w:p>
    <w:p w14:paraId="521B9947" w14:textId="77777777" w:rsidR="009F3E3B" w:rsidRPr="00463F68" w:rsidRDefault="00A85276" w:rsidP="00672B43">
      <w:pPr>
        <w:pStyle w:val="Heading3"/>
        <w:rPr>
          <w:lang w:val="es-AR"/>
        </w:rPr>
      </w:pPr>
      <w:r>
        <w:rPr>
          <w:lang w:val="es"/>
        </w:rPr>
        <w:t>Capítulo 2 – Acceso al sistema de atención a los adultos mayores</w:t>
      </w:r>
    </w:p>
    <w:p w14:paraId="07D4108A" w14:textId="77777777" w:rsidR="009F3E3B" w:rsidRPr="00463F68" w:rsidRDefault="00A85276" w:rsidP="00085179">
      <w:pPr>
        <w:rPr>
          <w:color w:val="1E1544" w:themeColor="text1"/>
          <w:lang w:val="es-AR"/>
        </w:rPr>
      </w:pPr>
      <w:r w:rsidRPr="00517BF5">
        <w:rPr>
          <w:color w:val="1E1544" w:themeColor="text1"/>
          <w:lang w:val="es"/>
        </w:rPr>
        <w:t>El capítulo 2 establece quiénes pueden acceder a los servicios financiados del sistema.</w:t>
      </w:r>
    </w:p>
    <w:p w14:paraId="6D8B2624" w14:textId="77777777" w:rsidR="009F3E3B" w:rsidRPr="00463F68" w:rsidRDefault="00A85276" w:rsidP="00085179">
      <w:pPr>
        <w:rPr>
          <w:color w:val="1E1544" w:themeColor="text1"/>
          <w:lang w:val="es-AR"/>
        </w:rPr>
      </w:pPr>
      <w:r w:rsidRPr="00517BF5">
        <w:rPr>
          <w:color w:val="1E1544" w:themeColor="text1"/>
          <w:lang w:val="es"/>
        </w:rPr>
        <w:t>Incluye la edad mínima que se debe tener para acceder a la atención. Esto ayudará a alcanzar el objetivo del Gobierno de que no haya personas jóvenes viviendo en residencias para adultos mayores.</w:t>
      </w:r>
    </w:p>
    <w:p w14:paraId="0E433322" w14:textId="77777777" w:rsidR="009F3E3B" w:rsidRPr="00463F68" w:rsidRDefault="00A85276" w:rsidP="00085179">
      <w:pPr>
        <w:rPr>
          <w:color w:val="1E1544" w:themeColor="text1"/>
          <w:lang w:val="es-AR"/>
        </w:rPr>
      </w:pPr>
      <w:r w:rsidRPr="00517BF5">
        <w:rPr>
          <w:color w:val="1E1544" w:themeColor="text1"/>
          <w:lang w:val="es"/>
        </w:rPr>
        <w:t>El capítulo detalla cómo las personas obtienen la aprobación para acceder a los servicios. Un sistema de evaluación único reunirá los distintos servicios de evaluación en un solo proceso.</w:t>
      </w:r>
    </w:p>
    <w:p w14:paraId="430D6329" w14:textId="77777777" w:rsidR="009F3E3B" w:rsidRPr="00463F68" w:rsidRDefault="00A85276" w:rsidP="00AF07DC">
      <w:pPr>
        <w:keepNext/>
        <w:rPr>
          <w:color w:val="1E1544" w:themeColor="text1"/>
          <w:lang w:val="es-AR"/>
        </w:rPr>
      </w:pPr>
      <w:r w:rsidRPr="00517BF5">
        <w:rPr>
          <w:color w:val="1E1544" w:themeColor="text1"/>
          <w:lang w:val="es"/>
        </w:rPr>
        <w:t>También se describe el proceso para:</w:t>
      </w:r>
    </w:p>
    <w:p w14:paraId="73A2047E" w14:textId="77777777" w:rsidR="009F3E3B" w:rsidRPr="00463F68" w:rsidRDefault="00A85276" w:rsidP="009F3E3B">
      <w:pPr>
        <w:pStyle w:val="ListParagraph"/>
        <w:numPr>
          <w:ilvl w:val="0"/>
          <w:numId w:val="7"/>
        </w:numPr>
        <w:rPr>
          <w:color w:val="1E1544" w:themeColor="text1"/>
          <w:lang w:val="es-AR"/>
        </w:rPr>
      </w:pPr>
      <w:r>
        <w:rPr>
          <w:color w:val="1E1544" w:themeColor="text1"/>
          <w:lang w:val="es"/>
        </w:rPr>
        <w:t>evaluar necesidades y determinar la financiación de la atención residencial mediante la Australian National Aged Care Classification (AN-ACC) [Clasificación Nacional Australiana de Atención a los Adultos Mayores];</w:t>
      </w:r>
    </w:p>
    <w:p w14:paraId="2993457E" w14:textId="77777777" w:rsidR="009F3E3B" w:rsidRPr="00DA5C02" w:rsidRDefault="00A85276" w:rsidP="009F3E3B">
      <w:pPr>
        <w:pStyle w:val="ListParagraph"/>
        <w:numPr>
          <w:ilvl w:val="0"/>
          <w:numId w:val="7"/>
        </w:numPr>
        <w:rPr>
          <w:color w:val="1E1544" w:themeColor="text1"/>
          <w:lang w:val="es-AR"/>
        </w:rPr>
      </w:pPr>
      <w:r w:rsidRPr="00DA5C02">
        <w:rPr>
          <w:color w:val="1E1544" w:themeColor="text1"/>
          <w:lang w:val="es"/>
        </w:rPr>
        <w:t xml:space="preserve">evaluar necesidades y determinar los servicios y la financiación en el marco del programa </w:t>
      </w:r>
      <w:proofErr w:type="spellStart"/>
      <w:r w:rsidRPr="00DA5C02">
        <w:rPr>
          <w:color w:val="1E1544" w:themeColor="text1"/>
          <w:lang w:val="es"/>
        </w:rPr>
        <w:t>Support</w:t>
      </w:r>
      <w:proofErr w:type="spellEnd"/>
      <w:r w:rsidRPr="00DA5C02">
        <w:rPr>
          <w:color w:val="1E1544" w:themeColor="text1"/>
          <w:lang w:val="es"/>
        </w:rPr>
        <w:t xml:space="preserve"> at Home programa </w:t>
      </w:r>
    </w:p>
    <w:p w14:paraId="11DDC606" w14:textId="77777777" w:rsidR="003A4176" w:rsidRPr="00463F68" w:rsidRDefault="00A85276" w:rsidP="003A4176">
      <w:pPr>
        <w:pStyle w:val="ListParagraph"/>
        <w:numPr>
          <w:ilvl w:val="0"/>
          <w:numId w:val="7"/>
        </w:numPr>
        <w:rPr>
          <w:color w:val="1E1544" w:themeColor="text1"/>
          <w:lang w:val="es-AR"/>
        </w:rPr>
      </w:pPr>
      <w:r>
        <w:rPr>
          <w:color w:val="1E1544" w:themeColor="text1"/>
          <w:lang w:val="es"/>
        </w:rPr>
        <w:t>asignar prioridades de acceso a los servicios financiados;</w:t>
      </w:r>
    </w:p>
    <w:p w14:paraId="04028017" w14:textId="77777777" w:rsidR="00F416D6" w:rsidRPr="00463F68" w:rsidRDefault="00A85276" w:rsidP="009F3E3B">
      <w:pPr>
        <w:pStyle w:val="ListParagraph"/>
        <w:numPr>
          <w:ilvl w:val="0"/>
          <w:numId w:val="7"/>
        </w:numPr>
        <w:rPr>
          <w:color w:val="1E1544" w:themeColor="text1"/>
          <w:lang w:val="es-AR"/>
        </w:rPr>
      </w:pPr>
      <w:r w:rsidRPr="009F3E3B">
        <w:rPr>
          <w:color w:val="1E1544" w:themeColor="text1"/>
          <w:lang w:val="es"/>
        </w:rPr>
        <w:t>obtener una plaza para acceder a los servicios del sistema.</w:t>
      </w:r>
    </w:p>
    <w:p w14:paraId="6EF8B6C3" w14:textId="77777777" w:rsidR="009F3E3B" w:rsidRPr="00463F68" w:rsidRDefault="00A85276" w:rsidP="00672B43">
      <w:pPr>
        <w:pStyle w:val="Heading3"/>
        <w:rPr>
          <w:lang w:val="es-AR"/>
        </w:rPr>
      </w:pPr>
      <w:r w:rsidRPr="00085179">
        <w:rPr>
          <w:lang w:val="es"/>
        </w:rPr>
        <w:t>Capítulo 3 – Proveedores registrados, personal y operadores de plataformas digitales</w:t>
      </w:r>
    </w:p>
    <w:p w14:paraId="568850D2" w14:textId="1F97F9FA" w:rsidR="00085179" w:rsidRPr="00463F68" w:rsidRDefault="00A85276" w:rsidP="00085179">
      <w:pPr>
        <w:rPr>
          <w:color w:val="1E1544" w:themeColor="text1"/>
          <w:lang w:val="es-AR"/>
        </w:rPr>
      </w:pPr>
      <w:r w:rsidRPr="00085179">
        <w:rPr>
          <w:color w:val="1E1544" w:themeColor="text1"/>
          <w:lang w:val="es"/>
        </w:rPr>
        <w:t xml:space="preserve">Los proveedores deben registrarse ante la </w:t>
      </w:r>
      <w:r w:rsidR="00463F68" w:rsidRPr="00BB69BF">
        <w:rPr>
          <w:color w:val="1E1544" w:themeColor="text1"/>
          <w:lang w:val="es"/>
        </w:rPr>
        <w:t>Comisión de Calidad y Seguridad en el Cuidado de Personas Mayores</w:t>
      </w:r>
      <w:r w:rsidR="00463F68" w:rsidRPr="00085179" w:rsidDel="00463F68">
        <w:rPr>
          <w:color w:val="1E1544" w:themeColor="text1"/>
          <w:lang w:val="es"/>
        </w:rPr>
        <w:t xml:space="preserve"> </w:t>
      </w:r>
      <w:r w:rsidRPr="00085179">
        <w:rPr>
          <w:color w:val="1E1544" w:themeColor="text1"/>
          <w:lang w:val="es"/>
        </w:rPr>
        <w:t>(</w:t>
      </w:r>
      <w:proofErr w:type="spellStart"/>
      <w:r w:rsidRPr="00085179">
        <w:rPr>
          <w:color w:val="1E1544" w:themeColor="text1"/>
          <w:lang w:val="es"/>
        </w:rPr>
        <w:t>Commission</w:t>
      </w:r>
      <w:proofErr w:type="spellEnd"/>
      <w:r w:rsidRPr="00085179">
        <w:rPr>
          <w:color w:val="1E1544" w:themeColor="text1"/>
          <w:lang w:val="es"/>
        </w:rPr>
        <w:t>) antes de ofrecer servicios. El capítulo 3 explica cómo la Comisión evaluará las solicitudes de registro. Como parte de este proceso, también se aprobarán las residencias de atención.</w:t>
      </w:r>
    </w:p>
    <w:p w14:paraId="46917D67" w14:textId="77777777" w:rsidR="00085179" w:rsidRPr="00463F68" w:rsidRDefault="00A85276" w:rsidP="00AF2960">
      <w:pPr>
        <w:keepNext/>
        <w:rPr>
          <w:color w:val="1E1544" w:themeColor="text1"/>
          <w:lang w:val="es-AR"/>
        </w:rPr>
      </w:pPr>
      <w:r w:rsidRPr="00085179">
        <w:rPr>
          <w:color w:val="1E1544" w:themeColor="text1"/>
          <w:lang w:val="es"/>
        </w:rPr>
        <w:t>Este capítulo describe las normas y obligaciones para:</w:t>
      </w:r>
    </w:p>
    <w:p w14:paraId="5684AE96" w14:textId="77777777" w:rsidR="00085179" w:rsidRPr="00463F68" w:rsidRDefault="00A85276" w:rsidP="00085179">
      <w:pPr>
        <w:pStyle w:val="ListParagraph"/>
        <w:numPr>
          <w:ilvl w:val="0"/>
          <w:numId w:val="7"/>
        </w:numPr>
        <w:rPr>
          <w:color w:val="1E1544" w:themeColor="text1"/>
          <w:lang w:val="es-AR"/>
        </w:rPr>
      </w:pPr>
      <w:r w:rsidRPr="00085179">
        <w:rPr>
          <w:color w:val="1E1544" w:themeColor="text1"/>
          <w:lang w:val="es"/>
        </w:rPr>
        <w:t>los proveedores registrados, incluso si subcontratan algunos servicios;</w:t>
      </w:r>
    </w:p>
    <w:p w14:paraId="3B2A85FC" w14:textId="77777777" w:rsidR="0078216F" w:rsidRPr="00CC2FF7" w:rsidRDefault="00A85276" w:rsidP="00CC2FF7">
      <w:pPr>
        <w:pStyle w:val="ListParagraph"/>
        <w:numPr>
          <w:ilvl w:val="0"/>
          <w:numId w:val="7"/>
        </w:numPr>
        <w:rPr>
          <w:color w:val="1E1544" w:themeColor="text1"/>
        </w:rPr>
      </w:pPr>
      <w:r w:rsidRPr="00085179">
        <w:rPr>
          <w:color w:val="1E1544" w:themeColor="text1"/>
          <w:lang w:val="es"/>
        </w:rPr>
        <w:t>el personal;</w:t>
      </w:r>
    </w:p>
    <w:p w14:paraId="6962F80D" w14:textId="77777777" w:rsidR="00085179" w:rsidRPr="00463F68" w:rsidRDefault="00A85276" w:rsidP="00085179">
      <w:pPr>
        <w:pStyle w:val="ListParagraph"/>
        <w:numPr>
          <w:ilvl w:val="0"/>
          <w:numId w:val="7"/>
        </w:numPr>
        <w:rPr>
          <w:color w:val="1E1544" w:themeColor="text1"/>
          <w:lang w:val="es-AR"/>
        </w:rPr>
      </w:pPr>
      <w:r w:rsidRPr="00085179">
        <w:rPr>
          <w:color w:val="1E1544" w:themeColor="text1"/>
          <w:lang w:val="es"/>
        </w:rPr>
        <w:t>las personas responsables de tomar decisiones, quienes ocupan cargos de liderazgo dentro de las organizaciones proveedoras.</w:t>
      </w:r>
    </w:p>
    <w:p w14:paraId="14D2ECF5" w14:textId="77777777" w:rsidR="00EC051C" w:rsidRPr="00463F68" w:rsidRDefault="00A85276" w:rsidP="001C6F4C">
      <w:pPr>
        <w:rPr>
          <w:color w:val="1E1544" w:themeColor="text1"/>
          <w:lang w:val="es-AR"/>
        </w:rPr>
      </w:pPr>
      <w:r w:rsidRPr="00085179">
        <w:rPr>
          <w:color w:val="1E1544" w:themeColor="text1"/>
          <w:lang w:val="es"/>
        </w:rPr>
        <w:t>La Comisión podrá tomar medidas reguladoras si un proveedor no cumple las condiciones del registro. Estas medidas pueden incluir sanciones civiles graves</w:t>
      </w:r>
    </w:p>
    <w:p w14:paraId="7AD92B7F" w14:textId="77777777" w:rsidR="00085179" w:rsidRPr="00463F68" w:rsidRDefault="00A85276" w:rsidP="00F5173F">
      <w:pPr>
        <w:rPr>
          <w:color w:val="1E1544" w:themeColor="text1"/>
          <w:lang w:val="es-AR"/>
        </w:rPr>
      </w:pPr>
      <w:r>
        <w:rPr>
          <w:color w:val="1E1544" w:themeColor="text1"/>
          <w:lang w:val="es"/>
        </w:rPr>
        <w:lastRenderedPageBreak/>
        <w:t xml:space="preserve">También se establecen nuevas obligaciones para proveedores registrados y personas responsables. Asimismo, se introducen obligaciones para operadores de plataformas digitales que desarrollen sitios web, aplicaciones o sistemas que respalden la prestación de servicios de atención.  </w:t>
      </w:r>
    </w:p>
    <w:p w14:paraId="7866A5B0" w14:textId="77777777" w:rsidR="00085179" w:rsidRPr="00463F68" w:rsidRDefault="00A85276" w:rsidP="00672B43">
      <w:pPr>
        <w:pStyle w:val="Heading3"/>
        <w:rPr>
          <w:lang w:val="es-AR"/>
        </w:rPr>
      </w:pPr>
      <w:r w:rsidRPr="009D0D71">
        <w:rPr>
          <w:lang w:val="es"/>
        </w:rPr>
        <w:t>Capítulo 4 – Tarifas, pagos y subsidios</w:t>
      </w:r>
    </w:p>
    <w:p w14:paraId="14EF4933" w14:textId="77777777" w:rsidR="009D0D71" w:rsidRPr="00463F68" w:rsidRDefault="00A85276" w:rsidP="009D0D71">
      <w:pPr>
        <w:rPr>
          <w:color w:val="1E1544" w:themeColor="text1"/>
          <w:lang w:val="es-AR"/>
        </w:rPr>
      </w:pPr>
      <w:r w:rsidRPr="0047738E">
        <w:rPr>
          <w:color w:val="1E1544" w:themeColor="text1"/>
          <w:lang w:val="es"/>
        </w:rPr>
        <w:t>El capítulo 4 explica cómo funcionará la financiación de los servicios. Incluye lo que el Gobierno pagará y lo que los proveedores registrados pueden cobrar a las personas mayores.</w:t>
      </w:r>
    </w:p>
    <w:p w14:paraId="3AD7F189" w14:textId="77777777" w:rsidR="009D0D71" w:rsidRPr="0047738E" w:rsidRDefault="00A85276" w:rsidP="009D0D71">
      <w:pPr>
        <w:rPr>
          <w:color w:val="1E1544" w:themeColor="text1"/>
        </w:rPr>
      </w:pPr>
      <w:r w:rsidRPr="0047738E">
        <w:rPr>
          <w:color w:val="1E1544" w:themeColor="text1"/>
          <w:lang w:val="es"/>
        </w:rPr>
        <w:t>Este capítulo establece:</w:t>
      </w:r>
    </w:p>
    <w:p w14:paraId="0959DD9A" w14:textId="77777777" w:rsidR="009D0D71" w:rsidRPr="00463F68" w:rsidRDefault="00A85276" w:rsidP="00DB64EC">
      <w:pPr>
        <w:pStyle w:val="ListParagraph"/>
        <w:numPr>
          <w:ilvl w:val="0"/>
          <w:numId w:val="7"/>
        </w:numPr>
        <w:rPr>
          <w:color w:val="1E1544" w:themeColor="text1"/>
          <w:lang w:val="es-AR"/>
        </w:rPr>
      </w:pPr>
      <w:r w:rsidRPr="0047738E">
        <w:rPr>
          <w:color w:val="1E1544" w:themeColor="text1"/>
          <w:lang w:val="es"/>
        </w:rPr>
        <w:t>cuándo la financiación gubernamental se basará en subsidios o subvenciones;</w:t>
      </w:r>
    </w:p>
    <w:p w14:paraId="579725B3" w14:textId="77777777" w:rsidR="009D0D71" w:rsidRPr="00463F68" w:rsidRDefault="00A85276" w:rsidP="00DB64EC">
      <w:pPr>
        <w:pStyle w:val="ListParagraph"/>
        <w:numPr>
          <w:ilvl w:val="0"/>
          <w:numId w:val="7"/>
        </w:numPr>
        <w:rPr>
          <w:color w:val="1E1544" w:themeColor="text1"/>
          <w:lang w:val="es-AR"/>
        </w:rPr>
      </w:pPr>
      <w:r>
        <w:rPr>
          <w:color w:val="1E1544" w:themeColor="text1"/>
          <w:lang w:val="es"/>
        </w:rPr>
        <w:t>cuándo los fondos se distribuirán mediante programas especializados, como el CHSP o el NATSIFAC.</w:t>
      </w:r>
    </w:p>
    <w:p w14:paraId="5C8E2C2D" w14:textId="77777777" w:rsidR="009D0D71" w:rsidRPr="00463F68" w:rsidRDefault="00A85276" w:rsidP="009D0D71">
      <w:pPr>
        <w:rPr>
          <w:color w:val="1E1544" w:themeColor="text1"/>
          <w:lang w:val="es-AR"/>
        </w:rPr>
      </w:pPr>
      <w:r w:rsidRPr="0047738E">
        <w:rPr>
          <w:color w:val="1E1544" w:themeColor="text1"/>
          <w:lang w:val="es"/>
        </w:rPr>
        <w:t>También se distingue qué parte del subsidio se basa en las necesidades de la persona y qué parte en los costos fijos del proveedor.</w:t>
      </w:r>
    </w:p>
    <w:p w14:paraId="5541A69E" w14:textId="77777777" w:rsidR="008F0B55" w:rsidRPr="00463F68" w:rsidRDefault="00A85276" w:rsidP="009D0D71">
      <w:pPr>
        <w:rPr>
          <w:color w:val="1E1544" w:themeColor="text1"/>
          <w:lang w:val="es-AR"/>
        </w:rPr>
      </w:pPr>
      <w:r w:rsidRPr="0047738E">
        <w:rPr>
          <w:color w:val="1E1544" w:themeColor="text1"/>
          <w:lang w:val="es"/>
        </w:rPr>
        <w:t xml:space="preserve">Se detalla lo que las personas podrían tener que pagar por servicios financiados y cómo los proveedores deben gestionar esos pagos. </w:t>
      </w:r>
    </w:p>
    <w:p w14:paraId="52A1E74B" w14:textId="224D281F" w:rsidR="009D0D71" w:rsidRPr="00463F68" w:rsidRDefault="00A85276" w:rsidP="009D0D71">
      <w:pPr>
        <w:rPr>
          <w:color w:val="1E1544" w:themeColor="text1"/>
          <w:lang w:val="es-AR"/>
        </w:rPr>
      </w:pPr>
      <w:r w:rsidRPr="00DA5C02">
        <w:rPr>
          <w:color w:val="1E1544" w:themeColor="text1"/>
          <w:lang w:val="es"/>
        </w:rPr>
        <w:t>El capítulo describe cómo funcionará la evaluación de recursos económicos para la atención residencial y el programa Support at Home</w:t>
      </w:r>
      <w:r w:rsidR="00463F68" w:rsidRPr="00DA5C02">
        <w:rPr>
          <w:color w:val="1E1544" w:themeColor="text1"/>
          <w:lang w:val="es"/>
        </w:rPr>
        <w:t>.</w:t>
      </w:r>
      <w:r w:rsidRPr="00DA5C02">
        <w:rPr>
          <w:color w:val="1E1544" w:themeColor="text1"/>
          <w:lang w:val="es"/>
        </w:rPr>
        <w:t xml:space="preserve">  Esta evaluación no se aplica a los programas especializados de atención a personas mayores.</w:t>
      </w:r>
    </w:p>
    <w:p w14:paraId="283317AB" w14:textId="77777777" w:rsidR="009D0D71" w:rsidRPr="00463F68" w:rsidRDefault="00A85276" w:rsidP="009D0D71">
      <w:pPr>
        <w:rPr>
          <w:color w:val="1E1544" w:themeColor="text1"/>
          <w:lang w:val="es-AR"/>
        </w:rPr>
      </w:pPr>
      <w:r w:rsidRPr="0047738E">
        <w:rPr>
          <w:color w:val="1E1544" w:themeColor="text1"/>
          <w:lang w:val="es"/>
        </w:rPr>
        <w:t>Finalmente, se establecen directrices sobre cómo los proveedores registrados pueden:</w:t>
      </w:r>
    </w:p>
    <w:p w14:paraId="4B1FB26B" w14:textId="77777777" w:rsidR="009D0D71" w:rsidRPr="00463F68" w:rsidRDefault="00A85276" w:rsidP="00DB64EC">
      <w:pPr>
        <w:pStyle w:val="ListParagraph"/>
        <w:numPr>
          <w:ilvl w:val="0"/>
          <w:numId w:val="7"/>
        </w:numPr>
        <w:rPr>
          <w:color w:val="1E1544" w:themeColor="text1"/>
          <w:lang w:val="es-AR"/>
        </w:rPr>
      </w:pPr>
      <w:r w:rsidRPr="0047738E">
        <w:rPr>
          <w:color w:val="1E1544" w:themeColor="text1"/>
          <w:lang w:val="es"/>
        </w:rPr>
        <w:t>firmar acuerdos de alojamiento con personas mayores;</w:t>
      </w:r>
    </w:p>
    <w:p w14:paraId="1A0C8EA9" w14:textId="77777777" w:rsidR="009D0D71" w:rsidRPr="0047738E" w:rsidRDefault="00A85276" w:rsidP="00DB64EC">
      <w:pPr>
        <w:pStyle w:val="ListParagraph"/>
        <w:numPr>
          <w:ilvl w:val="0"/>
          <w:numId w:val="7"/>
        </w:numPr>
        <w:rPr>
          <w:color w:val="1E1544" w:themeColor="text1"/>
        </w:rPr>
      </w:pPr>
      <w:r w:rsidRPr="0047738E">
        <w:rPr>
          <w:color w:val="1E1544" w:themeColor="text1"/>
          <w:lang w:val="es"/>
        </w:rPr>
        <w:t>cobrar por el alojamiento;</w:t>
      </w:r>
    </w:p>
    <w:p w14:paraId="6EC9B06D" w14:textId="77777777" w:rsidR="005C6C80" w:rsidRPr="004A5A75" w:rsidRDefault="00A85276" w:rsidP="00AF07DC">
      <w:pPr>
        <w:pStyle w:val="ListParagraph"/>
        <w:numPr>
          <w:ilvl w:val="0"/>
          <w:numId w:val="7"/>
        </w:numPr>
        <w:rPr>
          <w:color w:val="1E1544" w:themeColor="text1"/>
          <w:lang w:val="es-AR"/>
        </w:rPr>
      </w:pPr>
      <w:r w:rsidRPr="005B2639">
        <w:rPr>
          <w:color w:val="1E1544" w:themeColor="text1"/>
          <w:lang w:val="es"/>
        </w:rPr>
        <w:t>administrar depósitos reembolsables por concepto de alojamiento.</w:t>
      </w:r>
    </w:p>
    <w:p w14:paraId="4A8226EE" w14:textId="77777777" w:rsidR="00041808" w:rsidRPr="00463F68" w:rsidRDefault="00A85276" w:rsidP="00672B43">
      <w:pPr>
        <w:pStyle w:val="Heading3"/>
        <w:rPr>
          <w:lang w:val="es-AR"/>
        </w:rPr>
      </w:pPr>
      <w:r>
        <w:rPr>
          <w:lang w:val="es"/>
        </w:rPr>
        <w:t>Capítulo 5 – Gobernanza del sistema de atención a los adultos mayores</w:t>
      </w:r>
    </w:p>
    <w:p w14:paraId="7E1C5080" w14:textId="77777777" w:rsidR="00041808" w:rsidRPr="00463F68" w:rsidRDefault="00A85276" w:rsidP="00041808">
      <w:pPr>
        <w:rPr>
          <w:color w:val="1E1544" w:themeColor="text1"/>
          <w:lang w:val="es-AR"/>
        </w:rPr>
      </w:pPr>
      <w:r w:rsidRPr="0047738E">
        <w:rPr>
          <w:color w:val="1E1544" w:themeColor="text1"/>
          <w:lang w:val="es"/>
        </w:rPr>
        <w:t>El capítulo 5 explica quién administrará el sistema de atención a los adultos mayores y cómo lo hará, lo que se denomina como gobernanza.</w:t>
      </w:r>
    </w:p>
    <w:p w14:paraId="1F4928C0" w14:textId="77777777" w:rsidR="00041808" w:rsidRPr="00463F68" w:rsidRDefault="00A85276" w:rsidP="00041808">
      <w:pPr>
        <w:rPr>
          <w:color w:val="1E1544" w:themeColor="text1"/>
          <w:lang w:val="es-AR"/>
        </w:rPr>
      </w:pPr>
      <w:r w:rsidRPr="0047738E">
        <w:rPr>
          <w:color w:val="1E1544" w:themeColor="text1"/>
          <w:lang w:val="es"/>
        </w:rPr>
        <w:t>Distintos roles participarán en la gestión del sistema:</w:t>
      </w:r>
    </w:p>
    <w:p w14:paraId="54AD16F4" w14:textId="04981252" w:rsidR="00C537B1" w:rsidRPr="00463F68" w:rsidRDefault="00A85276" w:rsidP="00C537B1">
      <w:pPr>
        <w:pStyle w:val="ListParagraph"/>
        <w:numPr>
          <w:ilvl w:val="0"/>
          <w:numId w:val="7"/>
        </w:numPr>
        <w:rPr>
          <w:color w:val="1E1544" w:themeColor="text1"/>
          <w:lang w:val="es-AR"/>
        </w:rPr>
      </w:pPr>
      <w:r w:rsidRPr="0047738E">
        <w:rPr>
          <w:color w:val="1E1544" w:themeColor="text1"/>
          <w:lang w:val="es"/>
        </w:rPr>
        <w:t xml:space="preserve">El </w:t>
      </w:r>
      <w:proofErr w:type="gramStart"/>
      <w:r w:rsidRPr="0047738E">
        <w:rPr>
          <w:color w:val="1E1544" w:themeColor="text1"/>
          <w:lang w:val="es"/>
        </w:rPr>
        <w:t>Secretario</w:t>
      </w:r>
      <w:proofErr w:type="gramEnd"/>
      <w:r w:rsidRPr="0047738E">
        <w:rPr>
          <w:color w:val="1E1544" w:themeColor="text1"/>
          <w:lang w:val="es"/>
        </w:rPr>
        <w:t xml:space="preserve"> del </w:t>
      </w:r>
      <w:proofErr w:type="spellStart"/>
      <w:r w:rsidR="002334A4">
        <w:rPr>
          <w:color w:val="1E1544" w:themeColor="text1"/>
          <w:lang w:val="es"/>
        </w:rPr>
        <w:t>Department</w:t>
      </w:r>
      <w:proofErr w:type="spellEnd"/>
      <w:r w:rsidR="002334A4">
        <w:rPr>
          <w:color w:val="1E1544" w:themeColor="text1"/>
          <w:lang w:val="es"/>
        </w:rPr>
        <w:t xml:space="preserve"> </w:t>
      </w:r>
      <w:proofErr w:type="spellStart"/>
      <w:r w:rsidR="002334A4">
        <w:rPr>
          <w:color w:val="1E1544" w:themeColor="text1"/>
          <w:lang w:val="es"/>
        </w:rPr>
        <w:t>of</w:t>
      </w:r>
      <w:proofErr w:type="spellEnd"/>
      <w:r w:rsidR="002334A4">
        <w:rPr>
          <w:color w:val="1E1544" w:themeColor="text1"/>
          <w:lang w:val="es"/>
        </w:rPr>
        <w:t xml:space="preserve"> </w:t>
      </w:r>
      <w:proofErr w:type="spellStart"/>
      <w:r w:rsidR="007143CF">
        <w:rPr>
          <w:color w:val="1E1544" w:themeColor="text1"/>
          <w:lang w:val="es"/>
        </w:rPr>
        <w:t>Health</w:t>
      </w:r>
      <w:proofErr w:type="spellEnd"/>
      <w:r w:rsidR="007143CF">
        <w:rPr>
          <w:color w:val="1E1544" w:themeColor="text1"/>
          <w:lang w:val="es"/>
        </w:rPr>
        <w:t xml:space="preserve">, </w:t>
      </w:r>
      <w:proofErr w:type="spellStart"/>
      <w:r w:rsidR="002334A4">
        <w:rPr>
          <w:color w:val="1E1544" w:themeColor="text1"/>
          <w:lang w:val="es"/>
        </w:rPr>
        <w:t>Disability</w:t>
      </w:r>
      <w:proofErr w:type="spellEnd"/>
      <w:r w:rsidR="002334A4">
        <w:rPr>
          <w:color w:val="1E1544" w:themeColor="text1"/>
          <w:lang w:val="es"/>
        </w:rPr>
        <w:t xml:space="preserve"> and </w:t>
      </w:r>
      <w:proofErr w:type="spellStart"/>
      <w:r w:rsidR="002334A4">
        <w:rPr>
          <w:color w:val="1E1544" w:themeColor="text1"/>
          <w:lang w:val="es"/>
        </w:rPr>
        <w:t>Ageing</w:t>
      </w:r>
      <w:proofErr w:type="spellEnd"/>
      <w:r w:rsidR="002334A4">
        <w:rPr>
          <w:color w:val="1E1544" w:themeColor="text1"/>
          <w:lang w:val="es"/>
        </w:rPr>
        <w:t xml:space="preserve"> [</w:t>
      </w:r>
      <w:r w:rsidRPr="0047738E">
        <w:rPr>
          <w:color w:val="1E1544" w:themeColor="text1"/>
          <w:lang w:val="es"/>
        </w:rPr>
        <w:t>Departamento de Salud</w:t>
      </w:r>
      <w:r w:rsidR="004A5A75">
        <w:rPr>
          <w:color w:val="1E1544" w:themeColor="text1"/>
          <w:lang w:val="es"/>
        </w:rPr>
        <w:t>, Discapacidad</w:t>
      </w:r>
      <w:r w:rsidRPr="0047738E">
        <w:rPr>
          <w:color w:val="1E1544" w:themeColor="text1"/>
          <w:lang w:val="es"/>
        </w:rPr>
        <w:t xml:space="preserve"> y Atención a los Adultos Mayores</w:t>
      </w:r>
      <w:r w:rsidR="002334A4">
        <w:rPr>
          <w:color w:val="1E1544" w:themeColor="text1"/>
          <w:lang w:val="es"/>
        </w:rPr>
        <w:t>]</w:t>
      </w:r>
      <w:r w:rsidRPr="0047738E">
        <w:rPr>
          <w:color w:val="1E1544" w:themeColor="text1"/>
          <w:lang w:val="es"/>
        </w:rPr>
        <w:t xml:space="preserve">, llamado </w:t>
      </w:r>
      <w:proofErr w:type="spellStart"/>
      <w:r w:rsidRPr="0047738E">
        <w:rPr>
          <w:color w:val="1E1544" w:themeColor="text1"/>
          <w:lang w:val="es"/>
        </w:rPr>
        <w:t>System</w:t>
      </w:r>
      <w:proofErr w:type="spellEnd"/>
      <w:r w:rsidRPr="0047738E">
        <w:rPr>
          <w:color w:val="1E1544" w:themeColor="text1"/>
          <w:lang w:val="es"/>
        </w:rPr>
        <w:t xml:space="preserve"> </w:t>
      </w:r>
      <w:proofErr w:type="spellStart"/>
      <w:r w:rsidRPr="0047738E">
        <w:rPr>
          <w:color w:val="1E1544" w:themeColor="text1"/>
          <w:lang w:val="es"/>
        </w:rPr>
        <w:t>Governor</w:t>
      </w:r>
      <w:proofErr w:type="spellEnd"/>
      <w:r w:rsidRPr="0047738E">
        <w:rPr>
          <w:color w:val="1E1544" w:themeColor="text1"/>
          <w:lang w:val="es"/>
        </w:rPr>
        <w:t xml:space="preserve"> [Gobernador del Sistema], gestionará el funcionamiento del sistema, incluyendo el acceso equitativo a los servicios.</w:t>
      </w:r>
    </w:p>
    <w:p w14:paraId="0F567A3E" w14:textId="77777777" w:rsidR="00C537B1" w:rsidRPr="00463F68" w:rsidRDefault="00A85276" w:rsidP="00C537B1">
      <w:pPr>
        <w:pStyle w:val="ListParagraph"/>
        <w:numPr>
          <w:ilvl w:val="0"/>
          <w:numId w:val="7"/>
        </w:numPr>
        <w:rPr>
          <w:color w:val="1E1544" w:themeColor="text1"/>
          <w:lang w:val="es-AR"/>
        </w:rPr>
      </w:pPr>
      <w:r w:rsidRPr="0047738E">
        <w:rPr>
          <w:color w:val="1E1544" w:themeColor="text1"/>
          <w:lang w:val="es"/>
        </w:rPr>
        <w:t xml:space="preserve">El Inspector-General </w:t>
      </w:r>
      <w:proofErr w:type="spellStart"/>
      <w:r w:rsidRPr="0047738E">
        <w:rPr>
          <w:color w:val="1E1544" w:themeColor="text1"/>
          <w:lang w:val="es"/>
        </w:rPr>
        <w:t>of</w:t>
      </w:r>
      <w:proofErr w:type="spellEnd"/>
      <w:r w:rsidRPr="0047738E">
        <w:rPr>
          <w:color w:val="1E1544" w:themeColor="text1"/>
          <w:lang w:val="es"/>
        </w:rPr>
        <w:t xml:space="preserve"> </w:t>
      </w:r>
      <w:proofErr w:type="spellStart"/>
      <w:r w:rsidRPr="0047738E">
        <w:rPr>
          <w:color w:val="1E1544" w:themeColor="text1"/>
          <w:lang w:val="es"/>
        </w:rPr>
        <w:t>Aged</w:t>
      </w:r>
      <w:proofErr w:type="spellEnd"/>
      <w:r w:rsidRPr="0047738E">
        <w:rPr>
          <w:color w:val="1E1544" w:themeColor="text1"/>
          <w:lang w:val="es"/>
        </w:rPr>
        <w:t xml:space="preserve"> Care [Inspector General de Atención a los Adultos Mayores] supervisará el sistema y presentará informes al Parlamento.</w:t>
      </w:r>
    </w:p>
    <w:p w14:paraId="039C49B6" w14:textId="6F99C743" w:rsidR="00041808" w:rsidRPr="00463F68" w:rsidRDefault="00A85276" w:rsidP="00DB64EC">
      <w:pPr>
        <w:pStyle w:val="ListParagraph"/>
        <w:numPr>
          <w:ilvl w:val="0"/>
          <w:numId w:val="7"/>
        </w:numPr>
        <w:rPr>
          <w:color w:val="1E1544" w:themeColor="text1"/>
          <w:lang w:val="es-AR"/>
        </w:rPr>
      </w:pPr>
      <w:r w:rsidRPr="0047738E">
        <w:rPr>
          <w:color w:val="1E1544" w:themeColor="text1"/>
          <w:lang w:val="es"/>
        </w:rPr>
        <w:t xml:space="preserve">El </w:t>
      </w:r>
      <w:proofErr w:type="spellStart"/>
      <w:r w:rsidRPr="0047738E">
        <w:rPr>
          <w:color w:val="1E1544" w:themeColor="text1"/>
          <w:lang w:val="es"/>
        </w:rPr>
        <w:t>Aged</w:t>
      </w:r>
      <w:proofErr w:type="spellEnd"/>
      <w:r w:rsidRPr="0047738E">
        <w:rPr>
          <w:color w:val="1E1544" w:themeColor="text1"/>
          <w:lang w:val="es"/>
        </w:rPr>
        <w:t xml:space="preserve"> Care </w:t>
      </w:r>
      <w:proofErr w:type="spellStart"/>
      <w:r w:rsidRPr="0047738E">
        <w:rPr>
          <w:color w:val="1E1544" w:themeColor="text1"/>
          <w:lang w:val="es"/>
        </w:rPr>
        <w:t>Quality</w:t>
      </w:r>
      <w:proofErr w:type="spellEnd"/>
      <w:r w:rsidRPr="0047738E">
        <w:rPr>
          <w:color w:val="1E1544" w:themeColor="text1"/>
          <w:lang w:val="es"/>
        </w:rPr>
        <w:t xml:space="preserve"> and Safety </w:t>
      </w:r>
      <w:proofErr w:type="spellStart"/>
      <w:r w:rsidRPr="0047738E">
        <w:rPr>
          <w:color w:val="1E1544" w:themeColor="text1"/>
          <w:lang w:val="es"/>
        </w:rPr>
        <w:t>Commissioner</w:t>
      </w:r>
      <w:proofErr w:type="spellEnd"/>
      <w:r w:rsidRPr="0047738E">
        <w:rPr>
          <w:color w:val="1E1544" w:themeColor="text1"/>
          <w:lang w:val="es"/>
        </w:rPr>
        <w:t xml:space="preserve"> </w:t>
      </w:r>
      <w:r w:rsidR="007143CF" w:rsidRPr="0047738E">
        <w:rPr>
          <w:color w:val="1E1544" w:themeColor="text1"/>
          <w:lang w:val="es"/>
        </w:rPr>
        <w:t xml:space="preserve">(el Comisionado) </w:t>
      </w:r>
      <w:r w:rsidRPr="0047738E">
        <w:rPr>
          <w:color w:val="1E1544" w:themeColor="text1"/>
          <w:lang w:val="es"/>
        </w:rPr>
        <w:t>[Comisionado de Calidad y Seguridad en la Atención a los Adultos Mayores] gestionará el registro de los proveedores y regulará la calidad, la seguridad y los aspectos financieros de la atención. También garantizará que los proveedores trabajen de forma ética y transparente.</w:t>
      </w:r>
    </w:p>
    <w:p w14:paraId="1DC46C8A" w14:textId="77777777" w:rsidR="00041808" w:rsidRPr="00463F68" w:rsidRDefault="00A85276" w:rsidP="00DB64EC">
      <w:pPr>
        <w:pStyle w:val="ListParagraph"/>
        <w:numPr>
          <w:ilvl w:val="0"/>
          <w:numId w:val="7"/>
        </w:numPr>
        <w:rPr>
          <w:color w:val="1E1544" w:themeColor="text1"/>
          <w:lang w:val="es-AR"/>
        </w:rPr>
      </w:pPr>
      <w:r w:rsidRPr="0047738E">
        <w:rPr>
          <w:color w:val="1E1544" w:themeColor="text1"/>
          <w:lang w:val="es"/>
        </w:rPr>
        <w:lastRenderedPageBreak/>
        <w:t xml:space="preserve">El </w:t>
      </w:r>
      <w:proofErr w:type="spellStart"/>
      <w:r w:rsidRPr="0047738E">
        <w:rPr>
          <w:color w:val="1E1544" w:themeColor="text1"/>
          <w:lang w:val="es"/>
        </w:rPr>
        <w:t>Complaints</w:t>
      </w:r>
      <w:proofErr w:type="spellEnd"/>
      <w:r w:rsidRPr="0047738E">
        <w:rPr>
          <w:color w:val="1E1544" w:themeColor="text1"/>
          <w:lang w:val="es"/>
        </w:rPr>
        <w:t xml:space="preserve"> </w:t>
      </w:r>
      <w:proofErr w:type="spellStart"/>
      <w:r w:rsidRPr="0047738E">
        <w:rPr>
          <w:color w:val="1E1544" w:themeColor="text1"/>
          <w:lang w:val="es"/>
        </w:rPr>
        <w:t>Commissioner</w:t>
      </w:r>
      <w:proofErr w:type="spellEnd"/>
      <w:r w:rsidRPr="0047738E">
        <w:rPr>
          <w:color w:val="1E1544" w:themeColor="text1"/>
          <w:lang w:val="es"/>
        </w:rPr>
        <w:t xml:space="preserve"> [Comisionado de Quejas] será responsable de atender las quejas que se presenten ante la Comisión.</w:t>
      </w:r>
    </w:p>
    <w:p w14:paraId="13849E10" w14:textId="797E5610" w:rsidR="00041808" w:rsidRPr="00463F68" w:rsidRDefault="00A85276" w:rsidP="00DB64EC">
      <w:pPr>
        <w:pStyle w:val="ListParagraph"/>
        <w:numPr>
          <w:ilvl w:val="0"/>
          <w:numId w:val="7"/>
        </w:numPr>
        <w:rPr>
          <w:color w:val="1E1544" w:themeColor="text1"/>
          <w:lang w:val="es-AR"/>
        </w:rPr>
      </w:pPr>
      <w:r w:rsidRPr="0047738E">
        <w:rPr>
          <w:color w:val="1E1544" w:themeColor="text1"/>
          <w:lang w:val="es"/>
        </w:rPr>
        <w:t xml:space="preserve">El </w:t>
      </w:r>
      <w:proofErr w:type="spellStart"/>
      <w:r w:rsidRPr="0047738E">
        <w:rPr>
          <w:color w:val="1E1544" w:themeColor="text1"/>
          <w:lang w:val="es"/>
        </w:rPr>
        <w:t>Aged</w:t>
      </w:r>
      <w:proofErr w:type="spellEnd"/>
      <w:r w:rsidRPr="0047738E">
        <w:rPr>
          <w:color w:val="1E1544" w:themeColor="text1"/>
          <w:lang w:val="es"/>
        </w:rPr>
        <w:t xml:space="preserve"> Care </w:t>
      </w:r>
      <w:proofErr w:type="spellStart"/>
      <w:r w:rsidRPr="0047738E">
        <w:rPr>
          <w:color w:val="1E1544" w:themeColor="text1"/>
          <w:lang w:val="es"/>
        </w:rPr>
        <w:t>Quality</w:t>
      </w:r>
      <w:proofErr w:type="spellEnd"/>
      <w:r w:rsidRPr="0047738E">
        <w:rPr>
          <w:color w:val="1E1544" w:themeColor="text1"/>
          <w:lang w:val="es"/>
        </w:rPr>
        <w:t xml:space="preserve"> and Safety </w:t>
      </w:r>
      <w:proofErr w:type="spellStart"/>
      <w:r w:rsidRPr="0047738E">
        <w:rPr>
          <w:color w:val="1E1544" w:themeColor="text1"/>
          <w:lang w:val="es"/>
        </w:rPr>
        <w:t>Advisory</w:t>
      </w:r>
      <w:proofErr w:type="spellEnd"/>
      <w:r w:rsidRPr="0047738E">
        <w:rPr>
          <w:color w:val="1E1544" w:themeColor="text1"/>
          <w:lang w:val="es"/>
        </w:rPr>
        <w:t xml:space="preserve"> Council [Consejo Asesor de Calidad y Seguridad en la Atención a los Adultos Mayores] supervisará el trabajo de la Comisión.</w:t>
      </w:r>
    </w:p>
    <w:p w14:paraId="61B07A91" w14:textId="77777777" w:rsidR="00041808" w:rsidRPr="00463F68" w:rsidRDefault="00A85276" w:rsidP="00672B43">
      <w:pPr>
        <w:pStyle w:val="Heading3"/>
        <w:rPr>
          <w:lang w:val="es-AR"/>
        </w:rPr>
      </w:pPr>
      <w:r>
        <w:rPr>
          <w:lang w:val="es"/>
        </w:rPr>
        <w:t>Capítulo 6 – Mecanismos de regulación</w:t>
      </w:r>
    </w:p>
    <w:p w14:paraId="4A5AF3B4" w14:textId="77777777" w:rsidR="00041808" w:rsidRPr="00463F68" w:rsidRDefault="00A85276" w:rsidP="00041808">
      <w:pPr>
        <w:rPr>
          <w:color w:val="1E1544" w:themeColor="text1"/>
          <w:lang w:val="es-AR"/>
        </w:rPr>
      </w:pPr>
      <w:r w:rsidRPr="0047738E">
        <w:rPr>
          <w:color w:val="1E1544" w:themeColor="text1"/>
          <w:lang w:val="es"/>
        </w:rPr>
        <w:t>El Comisionado, el Comisionado de Quejas y el Gobernador del Sistema tendrán diversas atribuciones para cumplir sus funciones. El capítulo 6 explica cómo pueden ejercer esos poderes. También detalla en qué situaciones el Comisionado podrá autorizar a una persona a ingresar a una residencia sin el consentimiento del proveedor ni una orden judicial.</w:t>
      </w:r>
    </w:p>
    <w:p w14:paraId="1E4410DE" w14:textId="77777777" w:rsidR="00041808" w:rsidRPr="00463F68" w:rsidRDefault="00A85276" w:rsidP="00041808">
      <w:pPr>
        <w:rPr>
          <w:color w:val="1E1544" w:themeColor="text1"/>
          <w:lang w:val="es-AR"/>
        </w:rPr>
      </w:pPr>
      <w:r w:rsidRPr="0047738E">
        <w:rPr>
          <w:color w:val="1E1544" w:themeColor="text1"/>
          <w:lang w:val="es"/>
        </w:rPr>
        <w:t>Este capítulo también otorga facultades para obtener información y emitir notificaciones. Estas facultades garantizan que el Comisionado, el Comisionado de Quejas y el Gobernador del Sistema puedan obtener la información que necesitan para cumplir las funciones de su papel.</w:t>
      </w:r>
    </w:p>
    <w:p w14:paraId="3447CB46" w14:textId="77777777" w:rsidR="00041808" w:rsidRPr="00463F68" w:rsidRDefault="00A85276" w:rsidP="00041808">
      <w:pPr>
        <w:rPr>
          <w:color w:val="1E1544" w:themeColor="text1"/>
          <w:lang w:val="es-AR"/>
        </w:rPr>
      </w:pPr>
      <w:r w:rsidRPr="0047738E">
        <w:rPr>
          <w:color w:val="1E1544" w:themeColor="text1"/>
          <w:lang w:val="es"/>
        </w:rPr>
        <w:t>Además, en este capítulo también se contempla el uso de órdenes de prohibición. Estas órdenes permiten impedir que trabajadores o proveedores que hayan actuado incorrectamente presten ciertos servicios de atención.</w:t>
      </w:r>
    </w:p>
    <w:p w14:paraId="414DFFDE" w14:textId="77777777" w:rsidR="00041808" w:rsidRPr="00463F68" w:rsidRDefault="00A85276" w:rsidP="00672B43">
      <w:pPr>
        <w:pStyle w:val="Heading3"/>
        <w:rPr>
          <w:lang w:val="es-AR"/>
        </w:rPr>
      </w:pPr>
      <w:r>
        <w:rPr>
          <w:lang w:val="es"/>
        </w:rPr>
        <w:t xml:space="preserve">Capítulo 7 – Gestión de la información </w:t>
      </w:r>
    </w:p>
    <w:p w14:paraId="685DAD68" w14:textId="77777777" w:rsidR="00041808" w:rsidRPr="00463F68" w:rsidRDefault="00A85276" w:rsidP="00041808">
      <w:pPr>
        <w:rPr>
          <w:color w:val="1E1544" w:themeColor="text1"/>
          <w:lang w:val="es-AR"/>
        </w:rPr>
      </w:pPr>
      <w:r w:rsidRPr="0047738E">
        <w:rPr>
          <w:color w:val="1E1544" w:themeColor="text1"/>
          <w:lang w:val="es"/>
        </w:rPr>
        <w:t>El capítulo 7 incluye nuevas normas para la gestión de la información dentro del sistema; esto tiene el fin de proteger la privacidad de las personas y asegurar la transparencia de la información sobre los proveedores registrados.</w:t>
      </w:r>
    </w:p>
    <w:p w14:paraId="6CD24CBD" w14:textId="77777777" w:rsidR="00041808" w:rsidRPr="0047738E" w:rsidRDefault="00A85276" w:rsidP="00041808">
      <w:pPr>
        <w:rPr>
          <w:color w:val="1E1544" w:themeColor="text1"/>
        </w:rPr>
      </w:pPr>
      <w:r w:rsidRPr="0047738E">
        <w:rPr>
          <w:color w:val="1E1544" w:themeColor="text1"/>
          <w:lang w:val="es"/>
        </w:rPr>
        <w:t>Incluye:</w:t>
      </w:r>
    </w:p>
    <w:p w14:paraId="5AD6E652" w14:textId="77777777" w:rsidR="00041808" w:rsidRPr="00463F68" w:rsidRDefault="00A85276" w:rsidP="00DB64EC">
      <w:pPr>
        <w:pStyle w:val="ListParagraph"/>
        <w:numPr>
          <w:ilvl w:val="0"/>
          <w:numId w:val="7"/>
        </w:numPr>
        <w:rPr>
          <w:color w:val="1E1544" w:themeColor="text1"/>
          <w:lang w:val="es-AR"/>
        </w:rPr>
      </w:pPr>
      <w:r w:rsidRPr="0047738E">
        <w:rPr>
          <w:color w:val="1E1544" w:themeColor="text1"/>
          <w:lang w:val="es"/>
        </w:rPr>
        <w:t>un marco actualizado para la gestión de información;</w:t>
      </w:r>
    </w:p>
    <w:p w14:paraId="014EB4C7" w14:textId="77777777" w:rsidR="00041808" w:rsidRPr="00463F68" w:rsidRDefault="00A85276" w:rsidP="00DB64EC">
      <w:pPr>
        <w:pStyle w:val="ListParagraph"/>
        <w:numPr>
          <w:ilvl w:val="0"/>
          <w:numId w:val="7"/>
        </w:numPr>
        <w:rPr>
          <w:color w:val="1E1544" w:themeColor="text1"/>
          <w:lang w:val="es-AR"/>
        </w:rPr>
      </w:pPr>
      <w:r w:rsidRPr="0047738E">
        <w:rPr>
          <w:color w:val="1E1544" w:themeColor="text1"/>
          <w:lang w:val="es"/>
        </w:rPr>
        <w:t>una nueva definición de “información protegida”;</w:t>
      </w:r>
    </w:p>
    <w:p w14:paraId="4379F9BB" w14:textId="77777777" w:rsidR="00041808" w:rsidRPr="00463F68" w:rsidRDefault="00A85276" w:rsidP="00DB64EC">
      <w:pPr>
        <w:pStyle w:val="ListParagraph"/>
        <w:numPr>
          <w:ilvl w:val="0"/>
          <w:numId w:val="7"/>
        </w:numPr>
        <w:rPr>
          <w:color w:val="1E1544" w:themeColor="text1"/>
          <w:lang w:val="es-AR"/>
        </w:rPr>
      </w:pPr>
      <w:r w:rsidRPr="0047738E">
        <w:rPr>
          <w:color w:val="1E1544" w:themeColor="text1"/>
          <w:lang w:val="es"/>
        </w:rPr>
        <w:t>quién puede recopilar, usar y divulgar dicha información y en qué casos.</w:t>
      </w:r>
    </w:p>
    <w:p w14:paraId="396E40B2" w14:textId="77777777" w:rsidR="00041808" w:rsidRPr="00463F68" w:rsidRDefault="00A85276" w:rsidP="00041808">
      <w:pPr>
        <w:rPr>
          <w:color w:val="1E1544" w:themeColor="text1"/>
          <w:lang w:val="es-AR"/>
        </w:rPr>
      </w:pPr>
      <w:r w:rsidRPr="0047738E">
        <w:rPr>
          <w:color w:val="1E1544" w:themeColor="text1"/>
          <w:lang w:val="es"/>
        </w:rPr>
        <w:t>También se refuerzan las medidas para proteger a los denunciantes (personas que informan sobre irregularidades),  de modo que las personas mayores, sus familias, cuidadores y trabajadores puedan reportar problemas sin temor a represalias o tratos injustos.</w:t>
      </w:r>
    </w:p>
    <w:p w14:paraId="55B4AFB9" w14:textId="77777777" w:rsidR="005C6C80" w:rsidRPr="00463F68" w:rsidRDefault="00A85276" w:rsidP="0079574F">
      <w:pPr>
        <w:rPr>
          <w:rFonts w:eastAsiaTheme="majorEastAsia" w:cstheme="majorBidi"/>
          <w:b/>
          <w:color w:val="1E1544" w:themeColor="text1"/>
          <w:sz w:val="32"/>
          <w:szCs w:val="26"/>
          <w:lang w:val="es-AR"/>
        </w:rPr>
      </w:pPr>
      <w:r w:rsidRPr="0047738E">
        <w:rPr>
          <w:color w:val="1E1544" w:themeColor="text1"/>
          <w:lang w:val="es"/>
        </w:rPr>
        <w:t>Cualquier persona puede presentar una denuncia si sabe o sospecha que alguien ha incumplido la ley.</w:t>
      </w:r>
    </w:p>
    <w:p w14:paraId="0FC63BDA" w14:textId="77777777" w:rsidR="00041808" w:rsidRPr="00463F68" w:rsidRDefault="00A85276" w:rsidP="00672B43">
      <w:pPr>
        <w:pStyle w:val="Heading3"/>
        <w:rPr>
          <w:lang w:val="es-AR"/>
        </w:rPr>
      </w:pPr>
      <w:r>
        <w:rPr>
          <w:lang w:val="es"/>
        </w:rPr>
        <w:t>Capítulo 8 – Disposiciones complementarias</w:t>
      </w:r>
    </w:p>
    <w:p w14:paraId="42F2E666" w14:textId="77777777" w:rsidR="00041808" w:rsidRPr="0047738E" w:rsidRDefault="00A85276" w:rsidP="00041808">
      <w:pPr>
        <w:rPr>
          <w:color w:val="1E1544" w:themeColor="text1"/>
        </w:rPr>
      </w:pPr>
      <w:r w:rsidRPr="0047738E">
        <w:rPr>
          <w:color w:val="1E1544" w:themeColor="text1"/>
          <w:lang w:val="es"/>
        </w:rPr>
        <w:t>El capítulo 8 abarca otras cuestiones que respaldan el funcionamiento del sistema. Se incluye:</w:t>
      </w:r>
    </w:p>
    <w:p w14:paraId="7B7DA67A" w14:textId="77777777" w:rsidR="00041808" w:rsidRPr="00463F68" w:rsidRDefault="00A85276" w:rsidP="00DB64EC">
      <w:pPr>
        <w:pStyle w:val="ListParagraph"/>
        <w:numPr>
          <w:ilvl w:val="0"/>
          <w:numId w:val="7"/>
        </w:numPr>
        <w:rPr>
          <w:color w:val="1E1544" w:themeColor="text1"/>
          <w:lang w:val="es-AR"/>
        </w:rPr>
      </w:pPr>
      <w:r w:rsidRPr="0047738E">
        <w:rPr>
          <w:color w:val="1E1544" w:themeColor="text1"/>
          <w:lang w:val="es"/>
        </w:rPr>
        <w:t>cómo y cuándo el Gobernador del Sistema, el Comisionado y el Comisionado de Quejas pueden delegar funciones;</w:t>
      </w:r>
    </w:p>
    <w:p w14:paraId="1E6884D8" w14:textId="77777777" w:rsidR="00041808" w:rsidRPr="00463F68" w:rsidRDefault="00A85276" w:rsidP="00DB64EC">
      <w:pPr>
        <w:pStyle w:val="ListParagraph"/>
        <w:numPr>
          <w:ilvl w:val="0"/>
          <w:numId w:val="7"/>
        </w:numPr>
        <w:rPr>
          <w:color w:val="1E1544" w:themeColor="text1"/>
          <w:lang w:val="es-AR"/>
        </w:rPr>
      </w:pPr>
      <w:r w:rsidRPr="0047738E">
        <w:rPr>
          <w:color w:val="1E1544" w:themeColor="text1"/>
          <w:lang w:val="es"/>
        </w:rPr>
        <w:t>cuándo el Gobernador del Sistema, el Comisionado y el Comisionado de Quejas pueden aprobar formularios, cobrar tarifas y usar programas informáticos para tomar decisiones específicas;</w:t>
      </w:r>
    </w:p>
    <w:p w14:paraId="2ABD02F3" w14:textId="77777777" w:rsidR="00041808" w:rsidRPr="00463F68" w:rsidRDefault="00A85276" w:rsidP="00DB64EC">
      <w:pPr>
        <w:pStyle w:val="ListParagraph"/>
        <w:numPr>
          <w:ilvl w:val="0"/>
          <w:numId w:val="7"/>
        </w:numPr>
        <w:rPr>
          <w:color w:val="1E1544" w:themeColor="text1"/>
          <w:lang w:val="es-AR"/>
        </w:rPr>
      </w:pPr>
      <w:r>
        <w:rPr>
          <w:color w:val="1E1544" w:themeColor="text1"/>
          <w:lang w:val="es"/>
        </w:rPr>
        <w:t>que el Ministro de Atención a los Adultos Mayores podrá dictar normas.</w:t>
      </w:r>
    </w:p>
    <w:p w14:paraId="3026EBC3" w14:textId="77777777" w:rsidR="00041808" w:rsidRPr="00463F68" w:rsidRDefault="00A85276" w:rsidP="00041808">
      <w:pPr>
        <w:rPr>
          <w:color w:val="1E1544" w:themeColor="text1"/>
          <w:lang w:val="es-AR"/>
        </w:rPr>
      </w:pPr>
      <w:r w:rsidRPr="0047738E">
        <w:rPr>
          <w:color w:val="1E1544" w:themeColor="text1"/>
          <w:lang w:val="es"/>
        </w:rPr>
        <w:lastRenderedPageBreak/>
        <w:t>Este capítulo también permite solicitar revisiones de ciertas decisiones tomadas por el Comisionado, el Comisionado de Quejas, el Gobernador del Sistema y la Autoridad Independiente de Precios en Salud y Atención a los Adultos Mayores.</w:t>
      </w:r>
    </w:p>
    <w:p w14:paraId="602F5641" w14:textId="77777777" w:rsidR="00041808" w:rsidRPr="00463F68" w:rsidRDefault="00A85276" w:rsidP="00041808">
      <w:pPr>
        <w:rPr>
          <w:color w:val="1E1544" w:themeColor="text1"/>
          <w:lang w:val="es-AR"/>
        </w:rPr>
      </w:pPr>
      <w:r w:rsidRPr="0047738E">
        <w:rPr>
          <w:color w:val="1E1544" w:themeColor="text1"/>
          <w:lang w:val="es"/>
        </w:rPr>
        <w:t>Además, indica que el Gobernador del Sistema deberá presentar informes sobre sus actividades y revisar anualmente los depósitos reembolsables de alojamiento.</w:t>
      </w:r>
    </w:p>
    <w:p w14:paraId="130CE138" w14:textId="77777777" w:rsidR="001D508F" w:rsidRPr="00463F68" w:rsidRDefault="00A85276" w:rsidP="00672B43">
      <w:pPr>
        <w:pStyle w:val="Heading2"/>
        <w:rPr>
          <w:lang w:val="es-AR"/>
        </w:rPr>
      </w:pPr>
      <w:r>
        <w:rPr>
          <w:lang w:val="es"/>
        </w:rPr>
        <w:t>Apoyo a la nueva Ley y próximos pasos</w:t>
      </w:r>
    </w:p>
    <w:bookmarkEnd w:id="1"/>
    <w:p w14:paraId="7028E081" w14:textId="74571984" w:rsidR="00CF5B48" w:rsidRPr="00463F68" w:rsidRDefault="00A85276" w:rsidP="00672B43">
      <w:pPr>
        <w:pStyle w:val="Heading3"/>
        <w:rPr>
          <w:lang w:val="es-AR"/>
        </w:rPr>
      </w:pPr>
      <w:proofErr w:type="spellStart"/>
      <w:r w:rsidRPr="00672B43">
        <w:rPr>
          <w:lang w:val="es"/>
        </w:rPr>
        <w:t>Aged</w:t>
      </w:r>
      <w:proofErr w:type="spellEnd"/>
      <w:r w:rsidRPr="00672B43">
        <w:rPr>
          <w:lang w:val="es"/>
        </w:rPr>
        <w:t xml:space="preserve"> Care (</w:t>
      </w:r>
      <w:proofErr w:type="spellStart"/>
      <w:r w:rsidRPr="00672B43">
        <w:rPr>
          <w:lang w:val="es"/>
        </w:rPr>
        <w:t>Consequential</w:t>
      </w:r>
      <w:proofErr w:type="spellEnd"/>
      <w:r w:rsidRPr="00672B43">
        <w:rPr>
          <w:lang w:val="es"/>
        </w:rPr>
        <w:t xml:space="preserve"> and </w:t>
      </w:r>
      <w:proofErr w:type="spellStart"/>
      <w:r w:rsidRPr="00672B43">
        <w:rPr>
          <w:lang w:val="es"/>
        </w:rPr>
        <w:t>Transitional</w:t>
      </w:r>
      <w:proofErr w:type="spellEnd"/>
      <w:r w:rsidRPr="00672B43">
        <w:rPr>
          <w:lang w:val="es"/>
        </w:rPr>
        <w:t xml:space="preserve"> </w:t>
      </w:r>
      <w:proofErr w:type="spellStart"/>
      <w:r w:rsidRPr="00672B43">
        <w:rPr>
          <w:lang w:val="es"/>
        </w:rPr>
        <w:t>Provisions</w:t>
      </w:r>
      <w:proofErr w:type="spellEnd"/>
      <w:r w:rsidRPr="00672B43">
        <w:rPr>
          <w:lang w:val="es"/>
        </w:rPr>
        <w:t xml:space="preserve">) </w:t>
      </w:r>
      <w:proofErr w:type="spellStart"/>
      <w:r w:rsidRPr="00672B43">
        <w:rPr>
          <w:lang w:val="es"/>
        </w:rPr>
        <w:t>Act</w:t>
      </w:r>
      <w:proofErr w:type="spellEnd"/>
      <w:r w:rsidRPr="00672B43">
        <w:rPr>
          <w:lang w:val="es"/>
        </w:rPr>
        <w:t xml:space="preserve"> 2024 [Ley de Disposiciones Consecuentes y Transitorias sobre la Atención a los Adultos Mayores de 2024]</w:t>
      </w:r>
    </w:p>
    <w:p w14:paraId="6B39B9C9" w14:textId="77777777" w:rsidR="00CF5B48" w:rsidRPr="00463F68" w:rsidRDefault="00A85276" w:rsidP="00E82EDB">
      <w:pPr>
        <w:rPr>
          <w:rFonts w:cs="Arial"/>
          <w:color w:val="1E1544" w:themeColor="text1"/>
          <w:lang w:val="es-AR"/>
        </w:rPr>
      </w:pPr>
      <w:r w:rsidRPr="00672B43">
        <w:rPr>
          <w:rFonts w:cs="Arial"/>
          <w:color w:val="1E1544" w:themeColor="text1"/>
          <w:lang w:val="es"/>
        </w:rPr>
        <w:t xml:space="preserve">La </w:t>
      </w:r>
      <w:r w:rsidRPr="00672B43">
        <w:rPr>
          <w:rFonts w:cs="Arial"/>
          <w:i/>
          <w:iCs/>
          <w:color w:val="1E1544" w:themeColor="text1"/>
          <w:lang w:val="es"/>
        </w:rPr>
        <w:t xml:space="preserve">Ley de Disposiciones Consecuentes y Transitorias sobre la Atención a los Adultos Mayores de 2024 </w:t>
      </w:r>
      <w:r w:rsidRPr="00672B43">
        <w:rPr>
          <w:rFonts w:cs="Arial"/>
          <w:color w:val="1E1544" w:themeColor="text1"/>
          <w:lang w:val="es"/>
        </w:rPr>
        <w:t xml:space="preserve">fue promulgada el 10 de diciembre. Esta ley permite la entrada en vigor de la nueva ley y facilita el proceso de transición.  </w:t>
      </w:r>
    </w:p>
    <w:p w14:paraId="209936B4" w14:textId="77777777" w:rsidR="00CF5B48" w:rsidRPr="00463F68" w:rsidRDefault="00A85276" w:rsidP="00AF07DC">
      <w:pPr>
        <w:keepNext/>
        <w:spacing w:line="240" w:lineRule="auto"/>
        <w:rPr>
          <w:rFonts w:eastAsia="Times New Roman" w:cs="Arial"/>
          <w:color w:val="1E1544" w:themeColor="text1"/>
          <w:lang w:val="es-AR"/>
        </w:rPr>
      </w:pPr>
      <w:r w:rsidRPr="00672B43">
        <w:rPr>
          <w:rFonts w:cs="Arial"/>
          <w:color w:val="1E1544" w:themeColor="text1"/>
          <w:lang w:val="es"/>
        </w:rPr>
        <w:t>Sus cuatro objetivos principales son:</w:t>
      </w:r>
    </w:p>
    <w:p w14:paraId="30D45369" w14:textId="3A0353B0" w:rsidR="00CF5B48" w:rsidRPr="00DA5C02" w:rsidRDefault="00A85276" w:rsidP="00E82EDB">
      <w:pPr>
        <w:pStyle w:val="ListParagraph"/>
        <w:numPr>
          <w:ilvl w:val="0"/>
          <w:numId w:val="23"/>
        </w:numPr>
        <w:rPr>
          <w:color w:val="1E1544" w:themeColor="text1"/>
          <w:lang w:val="es-AR"/>
        </w:rPr>
      </w:pPr>
      <w:r w:rsidRPr="00DA5C02">
        <w:rPr>
          <w:color w:val="1E1544" w:themeColor="text1"/>
          <w:lang w:val="es"/>
        </w:rPr>
        <w:t xml:space="preserve">establecer la nueva Ley de Atención a los Adultos Mayores como el marco legal principal, derogando leyes actuales como la </w:t>
      </w:r>
      <w:r w:rsidRPr="00DA5C02">
        <w:rPr>
          <w:i/>
          <w:iCs/>
          <w:color w:val="1E1544" w:themeColor="text1"/>
          <w:lang w:val="es"/>
        </w:rPr>
        <w:t xml:space="preserve">Aged Care Act 1997 </w:t>
      </w:r>
      <w:r w:rsidRPr="00DA5C02">
        <w:rPr>
          <w:color w:val="1E1544" w:themeColor="text1"/>
          <w:lang w:val="es"/>
        </w:rPr>
        <w:t xml:space="preserve">[Ley de Atención a los Adultos Mayores de 1997], la </w:t>
      </w:r>
      <w:r w:rsidRPr="00DA5C02">
        <w:rPr>
          <w:i/>
          <w:iCs/>
          <w:color w:val="1E1544" w:themeColor="text1"/>
          <w:lang w:val="es"/>
        </w:rPr>
        <w:t>Aged Care Quality and Safety Commission Act 2018</w:t>
      </w:r>
      <w:r w:rsidRPr="00DA5C02">
        <w:rPr>
          <w:color w:val="1E1544" w:themeColor="text1"/>
          <w:lang w:val="es"/>
        </w:rPr>
        <w:t xml:space="preserve"> [Ley de la Comisión de Calidad y Seguridad de 2018]</w:t>
      </w:r>
      <w:r w:rsidR="007143CF">
        <w:rPr>
          <w:color w:val="1E1544" w:themeColor="text1"/>
          <w:lang w:val="es"/>
        </w:rPr>
        <w:t xml:space="preserve"> </w:t>
      </w:r>
      <w:r w:rsidRPr="00DA5C02">
        <w:rPr>
          <w:color w:val="1E1544" w:themeColor="text1"/>
          <w:lang w:val="es"/>
        </w:rPr>
        <w:t xml:space="preserve">y la </w:t>
      </w:r>
      <w:proofErr w:type="spellStart"/>
      <w:r w:rsidRPr="00DA5C02">
        <w:rPr>
          <w:i/>
          <w:iCs/>
          <w:color w:val="1E1544" w:themeColor="text1"/>
          <w:lang w:val="es"/>
        </w:rPr>
        <w:t>Aged</w:t>
      </w:r>
      <w:proofErr w:type="spellEnd"/>
      <w:r w:rsidRPr="00DA5C02">
        <w:rPr>
          <w:i/>
          <w:iCs/>
          <w:color w:val="1E1544" w:themeColor="text1"/>
          <w:lang w:val="es"/>
        </w:rPr>
        <w:t xml:space="preserve"> Care (</w:t>
      </w:r>
      <w:proofErr w:type="spellStart"/>
      <w:r w:rsidRPr="00DA5C02">
        <w:rPr>
          <w:i/>
          <w:iCs/>
          <w:color w:val="1E1544" w:themeColor="text1"/>
          <w:lang w:val="es"/>
        </w:rPr>
        <w:t>Transitional</w:t>
      </w:r>
      <w:proofErr w:type="spellEnd"/>
      <w:r w:rsidRPr="00DA5C02">
        <w:rPr>
          <w:i/>
          <w:iCs/>
          <w:color w:val="1E1544" w:themeColor="text1"/>
          <w:lang w:val="es"/>
        </w:rPr>
        <w:t xml:space="preserve"> Provisions) Act 1997</w:t>
      </w:r>
      <w:r w:rsidRPr="00DA5C02">
        <w:rPr>
          <w:color w:val="1E1544" w:themeColor="text1"/>
          <w:lang w:val="es"/>
        </w:rPr>
        <w:t xml:space="preserve"> [Ley de Disposiciones Transitorias de 1997]; </w:t>
      </w:r>
    </w:p>
    <w:p w14:paraId="5C90A993" w14:textId="77777777" w:rsidR="00CF5B48" w:rsidRPr="00463F68" w:rsidRDefault="00A85276" w:rsidP="00E82EDB">
      <w:pPr>
        <w:pStyle w:val="ListParagraph"/>
        <w:numPr>
          <w:ilvl w:val="0"/>
          <w:numId w:val="23"/>
        </w:numPr>
        <w:rPr>
          <w:color w:val="1E1544" w:themeColor="text1"/>
          <w:lang w:val="es-AR"/>
        </w:rPr>
      </w:pPr>
      <w:r>
        <w:rPr>
          <w:color w:val="1E1544" w:themeColor="text1"/>
          <w:lang w:val="es"/>
        </w:rPr>
        <w:t xml:space="preserve">garantizar que toda la información legal relacionada con la atención a los adultos mayores haga referencia a la </w:t>
      </w:r>
      <w:r w:rsidRPr="00E82EDB">
        <w:rPr>
          <w:i/>
          <w:iCs/>
          <w:color w:val="1E1544" w:themeColor="text1"/>
          <w:lang w:val="es"/>
        </w:rPr>
        <w:t>Ley de Atención a los Adultos Mayores de 2024</w:t>
      </w:r>
      <w:r>
        <w:rPr>
          <w:color w:val="1E1544" w:themeColor="text1"/>
          <w:lang w:val="es"/>
        </w:rPr>
        <w:t xml:space="preserve"> en lugar de a las leyes anteriores;</w:t>
      </w:r>
    </w:p>
    <w:p w14:paraId="34C662B7" w14:textId="77777777" w:rsidR="00CF5B48" w:rsidRPr="00463F68" w:rsidRDefault="00A85276" w:rsidP="00E82EDB">
      <w:pPr>
        <w:pStyle w:val="ListParagraph"/>
        <w:numPr>
          <w:ilvl w:val="0"/>
          <w:numId w:val="23"/>
        </w:numPr>
        <w:rPr>
          <w:color w:val="1E1544" w:themeColor="text1"/>
          <w:lang w:val="es-AR"/>
        </w:rPr>
      </w:pPr>
      <w:r>
        <w:rPr>
          <w:color w:val="1E1544" w:themeColor="text1"/>
          <w:lang w:val="es"/>
        </w:rPr>
        <w:t>explicar cómo las leyes actuales cambiarán a partir del 1 de noviembre de 2025;</w:t>
      </w:r>
    </w:p>
    <w:p w14:paraId="39C5D90D" w14:textId="2CAE5CCF" w:rsidR="00CF5B48" w:rsidRPr="00463F68" w:rsidRDefault="00A85276" w:rsidP="00E82EDB">
      <w:pPr>
        <w:pStyle w:val="ListParagraph"/>
        <w:numPr>
          <w:ilvl w:val="0"/>
          <w:numId w:val="23"/>
        </w:numPr>
        <w:rPr>
          <w:color w:val="1E1544" w:themeColor="text1"/>
          <w:lang w:val="es-AR"/>
        </w:rPr>
      </w:pPr>
      <w:r>
        <w:rPr>
          <w:color w:val="1E1544" w:themeColor="text1"/>
          <w:lang w:val="es"/>
        </w:rPr>
        <w:t xml:space="preserve">modificar la legislación sobre libertad de información, la </w:t>
      </w:r>
      <w:r w:rsidR="00E82EDB" w:rsidRPr="00E82EDB">
        <w:rPr>
          <w:i/>
          <w:iCs/>
          <w:color w:val="1E1544" w:themeColor="text1"/>
          <w:lang w:val="es"/>
        </w:rPr>
        <w:t>National Disability Insurance Act 2013</w:t>
      </w:r>
      <w:r>
        <w:rPr>
          <w:color w:val="1E1544" w:themeColor="text1"/>
          <w:lang w:val="es"/>
        </w:rPr>
        <w:t xml:space="preserve"> [Ley del Seguro Nacional de Discapacidad de 2013]</w:t>
      </w:r>
      <w:r w:rsidR="007143CF">
        <w:rPr>
          <w:color w:val="1E1544" w:themeColor="text1"/>
          <w:lang w:val="es"/>
        </w:rPr>
        <w:t xml:space="preserve"> </w:t>
      </w:r>
      <w:r>
        <w:rPr>
          <w:color w:val="1E1544" w:themeColor="text1"/>
          <w:lang w:val="es"/>
        </w:rPr>
        <w:t xml:space="preserve">y la </w:t>
      </w:r>
      <w:proofErr w:type="spellStart"/>
      <w:r w:rsidRPr="00E82EDB">
        <w:rPr>
          <w:i/>
          <w:iCs/>
          <w:color w:val="1E1544" w:themeColor="text1"/>
          <w:lang w:val="es"/>
        </w:rPr>
        <w:t>Crimes</w:t>
      </w:r>
      <w:proofErr w:type="spellEnd"/>
      <w:r w:rsidRPr="00E82EDB">
        <w:rPr>
          <w:i/>
          <w:iCs/>
          <w:color w:val="1E1544" w:themeColor="text1"/>
          <w:lang w:val="es"/>
        </w:rPr>
        <w:t xml:space="preserve"> </w:t>
      </w:r>
      <w:proofErr w:type="spellStart"/>
      <w:r w:rsidRPr="00E82EDB">
        <w:rPr>
          <w:i/>
          <w:iCs/>
          <w:color w:val="1E1544" w:themeColor="text1"/>
          <w:lang w:val="es"/>
        </w:rPr>
        <w:t>Act</w:t>
      </w:r>
      <w:proofErr w:type="spellEnd"/>
      <w:r w:rsidRPr="00E82EDB">
        <w:rPr>
          <w:i/>
          <w:iCs/>
          <w:color w:val="1E1544" w:themeColor="text1"/>
          <w:lang w:val="es"/>
        </w:rPr>
        <w:t xml:space="preserve"> 1958</w:t>
      </w:r>
      <w:r>
        <w:rPr>
          <w:color w:val="1E1544" w:themeColor="text1"/>
          <w:lang w:val="es"/>
        </w:rPr>
        <w:t xml:space="preserve"> [Ley de Delitos de 1958] para dar cumplimiento a las recomendaciones 77 y 88 de la Comisión Real.</w:t>
      </w:r>
    </w:p>
    <w:p w14:paraId="7624A801" w14:textId="77777777" w:rsidR="00CF5B48" w:rsidRPr="00463F68" w:rsidRDefault="00A85276" w:rsidP="00E82EDB">
      <w:pPr>
        <w:rPr>
          <w:color w:val="1E1544" w:themeColor="text1"/>
          <w:lang w:val="es-AR"/>
        </w:rPr>
      </w:pPr>
      <w:r>
        <w:rPr>
          <w:color w:val="1E1544" w:themeColor="text1"/>
          <w:lang w:val="es"/>
        </w:rPr>
        <w:t xml:space="preserve">La Ley garantiza que las personas mayores continúen recibiendo atención segura y de calidad durante el período de transición. También permite que los proveedores actuales pasen a ser proveedores registrados bajo el nuevo sistema. </w:t>
      </w:r>
    </w:p>
    <w:p w14:paraId="774E17DC" w14:textId="77777777" w:rsidR="00D7346A" w:rsidRPr="00463F68" w:rsidRDefault="00A85276" w:rsidP="00672B43">
      <w:pPr>
        <w:pStyle w:val="Heading3"/>
        <w:rPr>
          <w:lang w:val="es-AR"/>
        </w:rPr>
      </w:pPr>
      <w:r>
        <w:rPr>
          <w:lang w:val="es"/>
        </w:rPr>
        <w:t xml:space="preserve">Comentarios sobre las Normas </w:t>
      </w:r>
    </w:p>
    <w:p w14:paraId="09F64989" w14:textId="77777777" w:rsidR="00E44C2B" w:rsidRPr="00463F68" w:rsidRDefault="00A85276" w:rsidP="00512678">
      <w:pPr>
        <w:rPr>
          <w:color w:val="1E1544" w:themeColor="text1"/>
          <w:lang w:val="es-AR"/>
        </w:rPr>
      </w:pPr>
      <w:r>
        <w:rPr>
          <w:color w:val="1E1544" w:themeColor="text1"/>
          <w:lang w:val="es"/>
        </w:rPr>
        <w:t>La nueva Ley estará respaldada por un conjunto de Normas. Estas explican cómo se aplicará la Ley en la práctica. y podrán revisarse y ajustarse con el tiempo si así debemos hacerlo. Por ejemplo, si surge algún problema o hay cambios en las buenas prácticas.</w:t>
      </w:r>
    </w:p>
    <w:p w14:paraId="486FD4ED" w14:textId="77777777" w:rsidR="00E44C2B" w:rsidRPr="00463F68" w:rsidRDefault="00A85276" w:rsidP="00E44C2B">
      <w:pPr>
        <w:rPr>
          <w:color w:val="1E1544" w:themeColor="text1"/>
          <w:lang w:val="es-AR"/>
        </w:rPr>
      </w:pPr>
      <w:r w:rsidRPr="006C593D">
        <w:rPr>
          <w:color w:val="1E1544" w:themeColor="text1"/>
          <w:lang w:val="es"/>
        </w:rPr>
        <w:t>Muchas de las Normas ya existen y pasarán a formar parte de la nueva Ley, pero también habrá Normas nuevas, como, por ejemplo, sobre cómo se financiará el programa Support at Home.</w:t>
      </w:r>
    </w:p>
    <w:p w14:paraId="05485EDE" w14:textId="77777777" w:rsidR="00E44C2B" w:rsidRPr="004A7266" w:rsidRDefault="00A85276" w:rsidP="00E44C2B">
      <w:pPr>
        <w:rPr>
          <w:color w:val="1E1544" w:themeColor="text1"/>
        </w:rPr>
      </w:pPr>
      <w:r>
        <w:rPr>
          <w:color w:val="1E1544" w:themeColor="text1"/>
          <w:lang w:val="es"/>
        </w:rPr>
        <w:t>Queremos recibir comentarios para:</w:t>
      </w:r>
    </w:p>
    <w:p w14:paraId="446C2B29" w14:textId="77777777" w:rsidR="00E44C2B" w:rsidRPr="00463F68" w:rsidRDefault="00A85276" w:rsidP="00E44C2B">
      <w:pPr>
        <w:pStyle w:val="ListParagraph"/>
        <w:numPr>
          <w:ilvl w:val="0"/>
          <w:numId w:val="23"/>
        </w:numPr>
        <w:rPr>
          <w:color w:val="1E1544" w:themeColor="text1"/>
          <w:lang w:val="es-AR"/>
        </w:rPr>
      </w:pPr>
      <w:r>
        <w:rPr>
          <w:color w:val="1E1544" w:themeColor="text1"/>
          <w:lang w:val="es"/>
        </w:rPr>
        <w:lastRenderedPageBreak/>
        <w:t>mejorar las Normas a partir de las opiniones de la comunidad; </w:t>
      </w:r>
    </w:p>
    <w:p w14:paraId="04C0ACCC" w14:textId="77777777" w:rsidR="00E44C2B" w:rsidRPr="00463F68" w:rsidRDefault="00A85276" w:rsidP="00E44C2B">
      <w:pPr>
        <w:pStyle w:val="ListParagraph"/>
        <w:numPr>
          <w:ilvl w:val="0"/>
          <w:numId w:val="23"/>
        </w:numPr>
        <w:rPr>
          <w:color w:val="1E1544" w:themeColor="text1"/>
          <w:lang w:val="es-AR"/>
        </w:rPr>
      </w:pPr>
      <w:r>
        <w:rPr>
          <w:color w:val="1E1544" w:themeColor="text1"/>
          <w:lang w:val="es"/>
        </w:rPr>
        <w:t>asegurarnos de que las Normas reflejen los aportes de consultas anteriores ;</w:t>
      </w:r>
    </w:p>
    <w:p w14:paraId="6EB1CCF9" w14:textId="77777777" w:rsidR="00AC46F0" w:rsidRPr="00463F68" w:rsidRDefault="00A85276" w:rsidP="00672B43">
      <w:pPr>
        <w:pStyle w:val="ListParagraph"/>
        <w:numPr>
          <w:ilvl w:val="0"/>
          <w:numId w:val="23"/>
        </w:numPr>
        <w:rPr>
          <w:color w:val="1E1544" w:themeColor="text1"/>
          <w:lang w:val="es-AR"/>
        </w:rPr>
      </w:pPr>
      <w:r>
        <w:rPr>
          <w:color w:val="1E1544" w:themeColor="text1"/>
          <w:lang w:val="es"/>
        </w:rPr>
        <w:t>conocer qué necesitan los proveedores para prepararse para la nueva Ley.</w:t>
      </w:r>
    </w:p>
    <w:p w14:paraId="36115582" w14:textId="77777777" w:rsidR="002850BC" w:rsidRPr="00463F68" w:rsidRDefault="00A85276" w:rsidP="00672B43">
      <w:pPr>
        <w:rPr>
          <w:color w:val="1E1544" w:themeColor="text1"/>
          <w:lang w:val="es-AR"/>
        </w:rPr>
      </w:pPr>
      <w:r>
        <w:rPr>
          <w:color w:val="1E1544" w:themeColor="text1"/>
          <w:lang w:val="es"/>
        </w:rPr>
        <w:t>La consulta también servirá para que todos comprendan cómo estas Normas afectarán a las personas mayores y su atención.</w:t>
      </w:r>
    </w:p>
    <w:p w14:paraId="520A2907" w14:textId="77777777" w:rsidR="00E44C2B" w:rsidRPr="00463F68" w:rsidRDefault="00A85276" w:rsidP="00E44C2B">
      <w:pPr>
        <w:spacing w:after="0"/>
        <w:rPr>
          <w:color w:val="1E1544" w:themeColor="text1"/>
          <w:lang w:val="es-AR"/>
        </w:rPr>
      </w:pPr>
      <w:r>
        <w:rPr>
          <w:color w:val="1E1544" w:themeColor="text1"/>
          <w:lang w:val="es"/>
        </w:rPr>
        <w:t xml:space="preserve">Para más información sobre la consulta, ingrese a  </w:t>
      </w:r>
    </w:p>
    <w:p w14:paraId="6AD4D259" w14:textId="77777777" w:rsidR="007479BC" w:rsidRPr="00463F68" w:rsidRDefault="007479BC" w:rsidP="00E44C2B">
      <w:pPr>
        <w:spacing w:before="0"/>
        <w:rPr>
          <w:color w:val="1E1544" w:themeColor="text1"/>
          <w:lang w:val="es-AR"/>
        </w:rPr>
      </w:pPr>
      <w:hyperlink r:id="rId12" w:history="1">
        <w:r w:rsidRPr="00E24489">
          <w:rPr>
            <w:rStyle w:val="Hyperlink"/>
            <w:lang w:val="es"/>
          </w:rPr>
          <w:t>www.health.gov.au/our-work/aged-care-act/consultation</w:t>
        </w:r>
      </w:hyperlink>
      <w:r>
        <w:rPr>
          <w:color w:val="1E1544" w:themeColor="text1"/>
          <w:lang w:val="es"/>
        </w:rPr>
        <w:t>.</w:t>
      </w:r>
    </w:p>
    <w:p w14:paraId="01969440" w14:textId="77777777" w:rsidR="007479BC" w:rsidRPr="00463F68" w:rsidRDefault="00A85276" w:rsidP="00672B43">
      <w:pPr>
        <w:pStyle w:val="Heading3"/>
        <w:rPr>
          <w:lang w:val="es-AR"/>
        </w:rPr>
      </w:pPr>
      <w:r>
        <w:rPr>
          <w:lang w:val="es"/>
        </w:rPr>
        <w:t>Apoyo para prepararse ante la nueva Ley</w:t>
      </w:r>
    </w:p>
    <w:p w14:paraId="08C20EBB" w14:textId="77777777" w:rsidR="00E44C2B" w:rsidRPr="00463F68" w:rsidRDefault="00A85276" w:rsidP="00E44C2B">
      <w:pPr>
        <w:rPr>
          <w:color w:val="1E1544" w:themeColor="text1"/>
          <w:lang w:val="es-AR"/>
        </w:rPr>
      </w:pPr>
      <w:r w:rsidRPr="6AB69127">
        <w:rPr>
          <w:color w:val="1E1544" w:themeColor="text1"/>
          <w:lang w:val="es"/>
        </w:rPr>
        <w:t>Apoyaremos a las personas mayores, sus familias y cuidadores, así como al sector de atención, para prepararse ante la entrada en vigor de la nueva Ley.</w:t>
      </w:r>
    </w:p>
    <w:p w14:paraId="17BBC73F" w14:textId="77777777" w:rsidR="00E44C2B" w:rsidRPr="004A5A75" w:rsidRDefault="00A85276" w:rsidP="00E44C2B">
      <w:pPr>
        <w:rPr>
          <w:color w:val="1E1544" w:themeColor="text1"/>
          <w:lang w:val="es-AR"/>
        </w:rPr>
      </w:pPr>
      <w:r>
        <w:rPr>
          <w:color w:val="1E1544" w:themeColor="text1"/>
          <w:lang w:val="es"/>
        </w:rPr>
        <w:t>Nos aseguraremos de que las personas afectadas comprendan: </w:t>
      </w:r>
    </w:p>
    <w:p w14:paraId="19D77A6B" w14:textId="77777777" w:rsidR="00E44C2B" w:rsidRPr="00463F68" w:rsidRDefault="00A85276" w:rsidP="00E44C2B">
      <w:pPr>
        <w:pStyle w:val="ListParagraph"/>
        <w:numPr>
          <w:ilvl w:val="0"/>
          <w:numId w:val="23"/>
        </w:numPr>
        <w:rPr>
          <w:color w:val="1E1544" w:themeColor="text1"/>
          <w:lang w:val="es-AR"/>
        </w:rPr>
      </w:pPr>
      <w:r w:rsidRPr="006C593D">
        <w:rPr>
          <w:color w:val="1E1544" w:themeColor="text1"/>
          <w:lang w:val="es"/>
        </w:rPr>
        <w:t>qué implica la nueva Ley, qué aspectos cambian y cuáles se mantienen; </w:t>
      </w:r>
    </w:p>
    <w:p w14:paraId="7A801161" w14:textId="77777777" w:rsidR="00E44C2B" w:rsidRPr="00463F68" w:rsidRDefault="00A85276" w:rsidP="00E44C2B">
      <w:pPr>
        <w:pStyle w:val="ListParagraph"/>
        <w:numPr>
          <w:ilvl w:val="0"/>
          <w:numId w:val="23"/>
        </w:numPr>
        <w:rPr>
          <w:color w:val="1E1544" w:themeColor="text1"/>
          <w:lang w:val="es-AR"/>
        </w:rPr>
      </w:pPr>
      <w:r w:rsidRPr="006C593D">
        <w:rPr>
          <w:color w:val="1E1544" w:themeColor="text1"/>
          <w:lang w:val="es"/>
        </w:rPr>
        <w:t>qué deben hacer para prepararse y en qué momento; </w:t>
      </w:r>
    </w:p>
    <w:p w14:paraId="1E27A8C5" w14:textId="77777777" w:rsidR="00E44C2B" w:rsidRPr="00463F68" w:rsidRDefault="00A85276" w:rsidP="00E44C2B">
      <w:pPr>
        <w:pStyle w:val="ListParagraph"/>
        <w:numPr>
          <w:ilvl w:val="0"/>
          <w:numId w:val="23"/>
        </w:numPr>
        <w:rPr>
          <w:color w:val="1E1544" w:themeColor="text1"/>
          <w:lang w:val="es-AR"/>
        </w:rPr>
      </w:pPr>
      <w:r w:rsidRPr="6F830E35">
        <w:rPr>
          <w:color w:val="1E1544" w:themeColor="text1"/>
          <w:lang w:val="es"/>
        </w:rPr>
        <w:t>qué información y pautas brindaremos, cómo y cuándo podrán acceder a ellas.</w:t>
      </w:r>
    </w:p>
    <w:p w14:paraId="72824649" w14:textId="77777777" w:rsidR="00E44C2B" w:rsidRPr="00463F68" w:rsidRDefault="00A85276" w:rsidP="00E44C2B">
      <w:pPr>
        <w:rPr>
          <w:color w:val="1E1544" w:themeColor="text1"/>
          <w:lang w:val="es-AR"/>
        </w:rPr>
      </w:pPr>
      <w:r w:rsidRPr="2A5E2F64">
        <w:rPr>
          <w:color w:val="1E1544" w:themeColor="text1"/>
          <w:lang w:val="es"/>
        </w:rPr>
        <w:t>También hemos creado el Grupo de Trabajo para la Transición en la Atención a los Adultos Mayores para acompañar al sector durante este proceso. Este grupo colaborará con el sector para identificar y resolver problemas, además de asesorar al Gobierno.</w:t>
      </w:r>
    </w:p>
    <w:p w14:paraId="0ACF4B9E" w14:textId="77777777" w:rsidR="00E44C2B" w:rsidRPr="00463F68" w:rsidRDefault="00A85276" w:rsidP="00E44C2B">
      <w:pPr>
        <w:rPr>
          <w:color w:val="1E1544" w:themeColor="text1"/>
          <w:lang w:val="es-AR"/>
        </w:rPr>
      </w:pPr>
      <w:r w:rsidRPr="2A5E2F64">
        <w:rPr>
          <w:color w:val="1E1544" w:themeColor="text1"/>
          <w:lang w:val="es"/>
        </w:rPr>
        <w:t>Los miembros del Grupo de Trabajo son expertos con amplia experiencia en el sector de la asistencia a la tercera edad, compuesto por personas expertas con experiencia en regulación, prestación de servicios, formación y capacitación, datos y tecnología, pueblos originarios, personas mayores y la fuerza laboral del sector, atención clínica y atención primaria.</w:t>
      </w:r>
    </w:p>
    <w:p w14:paraId="4D94B1DB" w14:textId="77777777" w:rsidR="00E44C2B" w:rsidRPr="00463F68" w:rsidRDefault="00A85276" w:rsidP="00E44C2B">
      <w:pPr>
        <w:rPr>
          <w:color w:val="1E1544" w:themeColor="text1"/>
          <w:lang w:val="es-AR"/>
        </w:rPr>
      </w:pPr>
      <w:r w:rsidRPr="37D46798">
        <w:rPr>
          <w:color w:val="1E1544" w:themeColor="text1"/>
          <w:lang w:val="es"/>
        </w:rPr>
        <w:t>El Grupo de Trabajo supervisará y guiará la implementación de los cambios para asegurar que se realicen correctamente.</w:t>
      </w:r>
    </w:p>
    <w:p w14:paraId="5C780702" w14:textId="77777777" w:rsidR="000660E3" w:rsidRPr="00463F68" w:rsidRDefault="00A85276" w:rsidP="00E82EDB">
      <w:pPr>
        <w:rPr>
          <w:color w:val="1E1544" w:themeColor="text1"/>
          <w:lang w:val="es-AR"/>
        </w:rPr>
      </w:pPr>
      <w:r>
        <w:rPr>
          <w:color w:val="1E1544" w:themeColor="text1"/>
          <w:lang w:val="es"/>
        </w:rPr>
        <w:t xml:space="preserve">Más información sobre el Grupo de Trabajo para la Transición: </w:t>
      </w:r>
      <w:hyperlink r:id="rId13" w:history="1">
        <w:r w:rsidR="00E44C2B" w:rsidRPr="00E24489">
          <w:rPr>
            <w:rStyle w:val="Hyperlink"/>
            <w:lang w:val="es"/>
          </w:rPr>
          <w:t>https://www.health.gov.au/committees-and-groups/aged-care-transition-taskforce</w:t>
        </w:r>
      </w:hyperlink>
      <w:r>
        <w:rPr>
          <w:color w:val="1E1544" w:themeColor="text1"/>
          <w:lang w:val="es"/>
        </w:rPr>
        <w:t xml:space="preserve">. </w:t>
      </w:r>
    </w:p>
    <w:p w14:paraId="03B1B983" w14:textId="77777777" w:rsidR="000660E3" w:rsidRPr="00463F68" w:rsidRDefault="000660E3" w:rsidP="000660E3">
      <w:pPr>
        <w:rPr>
          <w:lang w:val="es-AR"/>
        </w:rPr>
      </w:pPr>
    </w:p>
    <w:sectPr w:rsidR="000660E3" w:rsidRPr="00463F68" w:rsidSect="005C6C80">
      <w:footerReference w:type="default" r:id="rId14"/>
      <w:headerReference w:type="first" r:id="rId15"/>
      <w:pgSz w:w="11906" w:h="16838"/>
      <w:pgMar w:top="1440" w:right="851"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083A7" w14:textId="77777777" w:rsidR="001D6FA4" w:rsidRDefault="001D6FA4" w:rsidP="0076491B">
      <w:pPr>
        <w:spacing w:before="0" w:after="0" w:line="240" w:lineRule="auto"/>
      </w:pPr>
      <w:r>
        <w:separator/>
      </w:r>
    </w:p>
  </w:endnote>
  <w:endnote w:type="continuationSeparator" w:id="0">
    <w:p w14:paraId="009DCD64" w14:textId="77777777" w:rsidR="001D6FA4" w:rsidRDefault="001D6FA4" w:rsidP="0076491B">
      <w:pPr>
        <w:spacing w:before="0" w:after="0" w:line="240" w:lineRule="auto"/>
      </w:pPr>
      <w:r>
        <w:continuationSeparator/>
      </w:r>
    </w:p>
  </w:endnote>
  <w:endnote w:type="continuationNotice" w:id="1">
    <w:p w14:paraId="7F453A93" w14:textId="77777777" w:rsidR="001D6FA4" w:rsidRDefault="001D6FA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rPr>
      <w:id w:val="1336338398"/>
      <w:docPartObj>
        <w:docPartGallery w:val="Page Numbers (Bottom of Page)"/>
        <w:docPartUnique/>
      </w:docPartObj>
    </w:sdtPr>
    <w:sdtEndPr>
      <w:rPr>
        <w:noProof/>
      </w:rPr>
    </w:sdtEndPr>
    <w:sdtContent>
      <w:p w14:paraId="1CC7802C" w14:textId="31A675FD" w:rsidR="008A3DCF" w:rsidRPr="00463F68" w:rsidRDefault="00143F04" w:rsidP="008A3DCF">
        <w:pPr>
          <w:pStyle w:val="Footer"/>
          <w:rPr>
            <w:color w:val="1E1544" w:themeColor="text1"/>
            <w:lang w:val="es-AR"/>
          </w:rPr>
        </w:pPr>
        <w:r w:rsidRPr="004A5A75">
          <w:rPr>
            <w:color w:val="1E1544" w:themeColor="text1"/>
            <w:lang w:val="es-AR"/>
          </w:rPr>
          <w:t xml:space="preserve">Spanish – Español </w:t>
        </w:r>
      </w:p>
      <w:p w14:paraId="2C8CE816" w14:textId="77777777" w:rsidR="00F9618C" w:rsidRPr="00463F68" w:rsidRDefault="00A85276" w:rsidP="005C1AC3">
        <w:pPr>
          <w:pStyle w:val="Footer"/>
          <w:jc w:val="both"/>
          <w:rPr>
            <w:color w:val="1E1544" w:themeColor="text1"/>
            <w:lang w:val="es-AR"/>
          </w:rPr>
        </w:pPr>
        <w:r w:rsidRPr="000D7D18">
          <w:rPr>
            <w:color w:val="1E1544" w:themeColor="text1"/>
            <w:lang w:val="es"/>
          </w:rPr>
          <w:t>Hoja informativa – Sobre la Ley de Atención a los Adultos Mayores de 2024</w:t>
        </w:r>
        <w:r w:rsidRPr="000D7D18">
          <w:rPr>
            <w:color w:val="1E1544" w:themeColor="text1"/>
            <w:lang w:val="es"/>
          </w:rPr>
          <w:tab/>
        </w:r>
        <w:r w:rsidRPr="000D7D18">
          <w:rPr>
            <w:color w:val="1E1544" w:themeColor="text1"/>
            <w:lang w:val="es"/>
          </w:rPr>
          <w:tab/>
        </w:r>
        <w:r w:rsidR="0074427C" w:rsidRPr="000D7D18">
          <w:rPr>
            <w:color w:val="1E1544" w:themeColor="text1"/>
          </w:rPr>
          <w:fldChar w:fldCharType="begin"/>
        </w:r>
        <w:r w:rsidR="0074427C" w:rsidRPr="000D7D18">
          <w:rPr>
            <w:color w:val="1E1544" w:themeColor="text1"/>
            <w:lang w:val="es"/>
          </w:rPr>
          <w:instrText xml:space="preserve"> PAGE   \* MERGEFORMAT </w:instrText>
        </w:r>
        <w:r w:rsidR="0074427C" w:rsidRPr="000D7D18">
          <w:rPr>
            <w:color w:val="1E1544" w:themeColor="text1"/>
          </w:rPr>
          <w:fldChar w:fldCharType="separate"/>
        </w:r>
        <w:r w:rsidR="0074427C" w:rsidRPr="000D7D18">
          <w:rPr>
            <w:noProof/>
            <w:color w:val="1E1544" w:themeColor="text1"/>
            <w:lang w:val="es"/>
          </w:rPr>
          <w:t>8</w:t>
        </w:r>
        <w:r w:rsidR="0074427C" w:rsidRPr="000D7D18">
          <w:rPr>
            <w:noProof/>
            <w:color w:val="1E1544"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7ACB5" w14:textId="77777777" w:rsidR="001D6FA4" w:rsidRDefault="001D6FA4" w:rsidP="0076491B">
      <w:pPr>
        <w:spacing w:before="0" w:after="0" w:line="240" w:lineRule="auto"/>
      </w:pPr>
      <w:r>
        <w:separator/>
      </w:r>
    </w:p>
  </w:footnote>
  <w:footnote w:type="continuationSeparator" w:id="0">
    <w:p w14:paraId="20FABCAA" w14:textId="77777777" w:rsidR="001D6FA4" w:rsidRDefault="001D6FA4" w:rsidP="0076491B">
      <w:pPr>
        <w:spacing w:before="0" w:after="0" w:line="240" w:lineRule="auto"/>
      </w:pPr>
      <w:r>
        <w:continuationSeparator/>
      </w:r>
    </w:p>
  </w:footnote>
  <w:footnote w:type="continuationNotice" w:id="1">
    <w:p w14:paraId="6C621564" w14:textId="77777777" w:rsidR="001D6FA4" w:rsidRDefault="001D6FA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26CC1" w14:textId="3A9D745F" w:rsidR="0076491B" w:rsidRDefault="00143F04">
    <w:pPr>
      <w:pStyle w:val="Header"/>
    </w:pPr>
    <w:r>
      <w:rPr>
        <w:noProof/>
        <w:lang w:val="en-US"/>
      </w:rPr>
      <w:drawing>
        <wp:anchor distT="0" distB="0" distL="114300" distR="114300" simplePos="0" relativeHeight="251661312" behindDoc="0" locked="0" layoutInCell="1" allowOverlap="1" wp14:anchorId="0D58DDD3" wp14:editId="75F403CF">
          <wp:simplePos x="0" y="0"/>
          <wp:positionH relativeFrom="page">
            <wp:posOffset>10367</wp:posOffset>
          </wp:positionH>
          <wp:positionV relativeFrom="page">
            <wp:posOffset>-99634</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6AA50B7" wp14:editId="4B3F6066">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0D54C078">
      <w:start w:val="1"/>
      <w:numFmt w:val="bullet"/>
      <w:lvlText w:val=""/>
      <w:lvlJc w:val="left"/>
      <w:pPr>
        <w:ind w:left="360" w:hanging="360"/>
      </w:pPr>
      <w:rPr>
        <w:rFonts w:ascii="Symbol" w:hAnsi="Symbol" w:hint="default"/>
        <w:color w:val="2AB1BB" w:themeColor="accent1"/>
      </w:rPr>
    </w:lvl>
    <w:lvl w:ilvl="1" w:tplc="774AD948" w:tentative="1">
      <w:start w:val="1"/>
      <w:numFmt w:val="bullet"/>
      <w:lvlText w:val="o"/>
      <w:lvlJc w:val="left"/>
      <w:pPr>
        <w:ind w:left="1080" w:hanging="360"/>
      </w:pPr>
      <w:rPr>
        <w:rFonts w:ascii="Courier New" w:hAnsi="Courier New" w:cs="Courier New" w:hint="default"/>
      </w:rPr>
    </w:lvl>
    <w:lvl w:ilvl="2" w:tplc="5C966842" w:tentative="1">
      <w:start w:val="1"/>
      <w:numFmt w:val="bullet"/>
      <w:lvlText w:val=""/>
      <w:lvlJc w:val="left"/>
      <w:pPr>
        <w:ind w:left="1800" w:hanging="360"/>
      </w:pPr>
      <w:rPr>
        <w:rFonts w:ascii="Wingdings" w:hAnsi="Wingdings" w:hint="default"/>
      </w:rPr>
    </w:lvl>
    <w:lvl w:ilvl="3" w:tplc="06262BE8" w:tentative="1">
      <w:start w:val="1"/>
      <w:numFmt w:val="bullet"/>
      <w:lvlText w:val=""/>
      <w:lvlJc w:val="left"/>
      <w:pPr>
        <w:ind w:left="2520" w:hanging="360"/>
      </w:pPr>
      <w:rPr>
        <w:rFonts w:ascii="Symbol" w:hAnsi="Symbol" w:hint="default"/>
      </w:rPr>
    </w:lvl>
    <w:lvl w:ilvl="4" w:tplc="C54CAED2" w:tentative="1">
      <w:start w:val="1"/>
      <w:numFmt w:val="bullet"/>
      <w:lvlText w:val="o"/>
      <w:lvlJc w:val="left"/>
      <w:pPr>
        <w:ind w:left="3240" w:hanging="360"/>
      </w:pPr>
      <w:rPr>
        <w:rFonts w:ascii="Courier New" w:hAnsi="Courier New" w:cs="Courier New" w:hint="default"/>
      </w:rPr>
    </w:lvl>
    <w:lvl w:ilvl="5" w:tplc="33E0A450" w:tentative="1">
      <w:start w:val="1"/>
      <w:numFmt w:val="bullet"/>
      <w:lvlText w:val=""/>
      <w:lvlJc w:val="left"/>
      <w:pPr>
        <w:ind w:left="3960" w:hanging="360"/>
      </w:pPr>
      <w:rPr>
        <w:rFonts w:ascii="Wingdings" w:hAnsi="Wingdings" w:hint="default"/>
      </w:rPr>
    </w:lvl>
    <w:lvl w:ilvl="6" w:tplc="32FE8784" w:tentative="1">
      <w:start w:val="1"/>
      <w:numFmt w:val="bullet"/>
      <w:lvlText w:val=""/>
      <w:lvlJc w:val="left"/>
      <w:pPr>
        <w:ind w:left="4680" w:hanging="360"/>
      </w:pPr>
      <w:rPr>
        <w:rFonts w:ascii="Symbol" w:hAnsi="Symbol" w:hint="default"/>
      </w:rPr>
    </w:lvl>
    <w:lvl w:ilvl="7" w:tplc="3B4C2BF6" w:tentative="1">
      <w:start w:val="1"/>
      <w:numFmt w:val="bullet"/>
      <w:lvlText w:val="o"/>
      <w:lvlJc w:val="left"/>
      <w:pPr>
        <w:ind w:left="5400" w:hanging="360"/>
      </w:pPr>
      <w:rPr>
        <w:rFonts w:ascii="Courier New" w:hAnsi="Courier New" w:cs="Courier New" w:hint="default"/>
      </w:rPr>
    </w:lvl>
    <w:lvl w:ilvl="8" w:tplc="D486B10A"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1B726D4A">
      <w:start w:val="1"/>
      <w:numFmt w:val="bullet"/>
      <w:lvlText w:val=""/>
      <w:lvlJc w:val="left"/>
      <w:pPr>
        <w:ind w:left="720" w:hanging="360"/>
      </w:pPr>
      <w:rPr>
        <w:rFonts w:ascii="Symbol" w:hAnsi="Symbol" w:hint="default"/>
        <w:color w:val="2AB1BB" w:themeColor="accent1"/>
      </w:rPr>
    </w:lvl>
    <w:lvl w:ilvl="1" w:tplc="51FA37B2" w:tentative="1">
      <w:start w:val="1"/>
      <w:numFmt w:val="bullet"/>
      <w:lvlText w:val="o"/>
      <w:lvlJc w:val="left"/>
      <w:pPr>
        <w:ind w:left="1440" w:hanging="360"/>
      </w:pPr>
      <w:rPr>
        <w:rFonts w:ascii="Courier New" w:hAnsi="Courier New" w:cs="Courier New" w:hint="default"/>
      </w:rPr>
    </w:lvl>
    <w:lvl w:ilvl="2" w:tplc="180E2686" w:tentative="1">
      <w:start w:val="1"/>
      <w:numFmt w:val="bullet"/>
      <w:lvlText w:val=""/>
      <w:lvlJc w:val="left"/>
      <w:pPr>
        <w:ind w:left="2160" w:hanging="360"/>
      </w:pPr>
      <w:rPr>
        <w:rFonts w:ascii="Wingdings" w:hAnsi="Wingdings" w:hint="default"/>
      </w:rPr>
    </w:lvl>
    <w:lvl w:ilvl="3" w:tplc="2C7C069E" w:tentative="1">
      <w:start w:val="1"/>
      <w:numFmt w:val="bullet"/>
      <w:lvlText w:val=""/>
      <w:lvlJc w:val="left"/>
      <w:pPr>
        <w:ind w:left="2880" w:hanging="360"/>
      </w:pPr>
      <w:rPr>
        <w:rFonts w:ascii="Symbol" w:hAnsi="Symbol" w:hint="default"/>
      </w:rPr>
    </w:lvl>
    <w:lvl w:ilvl="4" w:tplc="5C48D17C" w:tentative="1">
      <w:start w:val="1"/>
      <w:numFmt w:val="bullet"/>
      <w:lvlText w:val="o"/>
      <w:lvlJc w:val="left"/>
      <w:pPr>
        <w:ind w:left="3600" w:hanging="360"/>
      </w:pPr>
      <w:rPr>
        <w:rFonts w:ascii="Courier New" w:hAnsi="Courier New" w:cs="Courier New" w:hint="default"/>
      </w:rPr>
    </w:lvl>
    <w:lvl w:ilvl="5" w:tplc="338CD150" w:tentative="1">
      <w:start w:val="1"/>
      <w:numFmt w:val="bullet"/>
      <w:lvlText w:val=""/>
      <w:lvlJc w:val="left"/>
      <w:pPr>
        <w:ind w:left="4320" w:hanging="360"/>
      </w:pPr>
      <w:rPr>
        <w:rFonts w:ascii="Wingdings" w:hAnsi="Wingdings" w:hint="default"/>
      </w:rPr>
    </w:lvl>
    <w:lvl w:ilvl="6" w:tplc="5F2E04A6" w:tentative="1">
      <w:start w:val="1"/>
      <w:numFmt w:val="bullet"/>
      <w:lvlText w:val=""/>
      <w:lvlJc w:val="left"/>
      <w:pPr>
        <w:ind w:left="5040" w:hanging="360"/>
      </w:pPr>
      <w:rPr>
        <w:rFonts w:ascii="Symbol" w:hAnsi="Symbol" w:hint="default"/>
      </w:rPr>
    </w:lvl>
    <w:lvl w:ilvl="7" w:tplc="8DF44CF8" w:tentative="1">
      <w:start w:val="1"/>
      <w:numFmt w:val="bullet"/>
      <w:lvlText w:val="o"/>
      <w:lvlJc w:val="left"/>
      <w:pPr>
        <w:ind w:left="5760" w:hanging="360"/>
      </w:pPr>
      <w:rPr>
        <w:rFonts w:ascii="Courier New" w:hAnsi="Courier New" w:cs="Courier New" w:hint="default"/>
      </w:rPr>
    </w:lvl>
    <w:lvl w:ilvl="8" w:tplc="2DF69BFE"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431E673E">
      <w:numFmt w:val="bullet"/>
      <w:lvlText w:val="•"/>
      <w:lvlJc w:val="left"/>
      <w:pPr>
        <w:ind w:left="720" w:hanging="720"/>
      </w:pPr>
      <w:rPr>
        <w:rFonts w:ascii="Arial" w:eastAsiaTheme="minorHAnsi" w:hAnsi="Arial" w:cs="Arial" w:hint="default"/>
      </w:rPr>
    </w:lvl>
    <w:lvl w:ilvl="1" w:tplc="37B0B794" w:tentative="1">
      <w:start w:val="1"/>
      <w:numFmt w:val="bullet"/>
      <w:lvlText w:val="o"/>
      <w:lvlJc w:val="left"/>
      <w:pPr>
        <w:ind w:left="1080" w:hanging="360"/>
      </w:pPr>
      <w:rPr>
        <w:rFonts w:ascii="Courier New" w:hAnsi="Courier New" w:cs="Courier New" w:hint="default"/>
      </w:rPr>
    </w:lvl>
    <w:lvl w:ilvl="2" w:tplc="581C9DAE" w:tentative="1">
      <w:start w:val="1"/>
      <w:numFmt w:val="bullet"/>
      <w:lvlText w:val=""/>
      <w:lvlJc w:val="left"/>
      <w:pPr>
        <w:ind w:left="1800" w:hanging="360"/>
      </w:pPr>
      <w:rPr>
        <w:rFonts w:ascii="Wingdings" w:hAnsi="Wingdings" w:hint="default"/>
      </w:rPr>
    </w:lvl>
    <w:lvl w:ilvl="3" w:tplc="BC92A820" w:tentative="1">
      <w:start w:val="1"/>
      <w:numFmt w:val="bullet"/>
      <w:lvlText w:val=""/>
      <w:lvlJc w:val="left"/>
      <w:pPr>
        <w:ind w:left="2520" w:hanging="360"/>
      </w:pPr>
      <w:rPr>
        <w:rFonts w:ascii="Symbol" w:hAnsi="Symbol" w:hint="default"/>
      </w:rPr>
    </w:lvl>
    <w:lvl w:ilvl="4" w:tplc="76F07430" w:tentative="1">
      <w:start w:val="1"/>
      <w:numFmt w:val="bullet"/>
      <w:lvlText w:val="o"/>
      <w:lvlJc w:val="left"/>
      <w:pPr>
        <w:ind w:left="3240" w:hanging="360"/>
      </w:pPr>
      <w:rPr>
        <w:rFonts w:ascii="Courier New" w:hAnsi="Courier New" w:cs="Courier New" w:hint="default"/>
      </w:rPr>
    </w:lvl>
    <w:lvl w:ilvl="5" w:tplc="D39CB4DE" w:tentative="1">
      <w:start w:val="1"/>
      <w:numFmt w:val="bullet"/>
      <w:lvlText w:val=""/>
      <w:lvlJc w:val="left"/>
      <w:pPr>
        <w:ind w:left="3960" w:hanging="360"/>
      </w:pPr>
      <w:rPr>
        <w:rFonts w:ascii="Wingdings" w:hAnsi="Wingdings" w:hint="default"/>
      </w:rPr>
    </w:lvl>
    <w:lvl w:ilvl="6" w:tplc="1870DC92" w:tentative="1">
      <w:start w:val="1"/>
      <w:numFmt w:val="bullet"/>
      <w:lvlText w:val=""/>
      <w:lvlJc w:val="left"/>
      <w:pPr>
        <w:ind w:left="4680" w:hanging="360"/>
      </w:pPr>
      <w:rPr>
        <w:rFonts w:ascii="Symbol" w:hAnsi="Symbol" w:hint="default"/>
      </w:rPr>
    </w:lvl>
    <w:lvl w:ilvl="7" w:tplc="474CBE2C" w:tentative="1">
      <w:start w:val="1"/>
      <w:numFmt w:val="bullet"/>
      <w:lvlText w:val="o"/>
      <w:lvlJc w:val="left"/>
      <w:pPr>
        <w:ind w:left="5400" w:hanging="360"/>
      </w:pPr>
      <w:rPr>
        <w:rFonts w:ascii="Courier New" w:hAnsi="Courier New" w:cs="Courier New" w:hint="default"/>
      </w:rPr>
    </w:lvl>
    <w:lvl w:ilvl="8" w:tplc="5210BEA2"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3280D438">
      <w:start w:val="1"/>
      <w:numFmt w:val="bullet"/>
      <w:lvlText w:val="·"/>
      <w:lvlJc w:val="left"/>
      <w:pPr>
        <w:ind w:left="360" w:hanging="360"/>
      </w:pPr>
      <w:rPr>
        <w:rFonts w:ascii="Symbol" w:hAnsi="Symbol" w:hint="default"/>
      </w:rPr>
    </w:lvl>
    <w:lvl w:ilvl="1" w:tplc="17708D52">
      <w:start w:val="1"/>
      <w:numFmt w:val="bullet"/>
      <w:lvlText w:val="o"/>
      <w:lvlJc w:val="left"/>
      <w:pPr>
        <w:ind w:left="1080" w:hanging="360"/>
      </w:pPr>
      <w:rPr>
        <w:rFonts w:ascii="Courier New" w:hAnsi="Courier New" w:cs="Courier New" w:hint="default"/>
      </w:rPr>
    </w:lvl>
    <w:lvl w:ilvl="2" w:tplc="16089ED0" w:tentative="1">
      <w:start w:val="1"/>
      <w:numFmt w:val="bullet"/>
      <w:lvlText w:val=""/>
      <w:lvlJc w:val="left"/>
      <w:pPr>
        <w:ind w:left="1800" w:hanging="360"/>
      </w:pPr>
      <w:rPr>
        <w:rFonts w:ascii="Wingdings" w:hAnsi="Wingdings" w:hint="default"/>
      </w:rPr>
    </w:lvl>
    <w:lvl w:ilvl="3" w:tplc="178CBE4E" w:tentative="1">
      <w:start w:val="1"/>
      <w:numFmt w:val="bullet"/>
      <w:lvlText w:val=""/>
      <w:lvlJc w:val="left"/>
      <w:pPr>
        <w:ind w:left="2520" w:hanging="360"/>
      </w:pPr>
      <w:rPr>
        <w:rFonts w:ascii="Symbol" w:hAnsi="Symbol" w:hint="default"/>
      </w:rPr>
    </w:lvl>
    <w:lvl w:ilvl="4" w:tplc="33A4A2EE" w:tentative="1">
      <w:start w:val="1"/>
      <w:numFmt w:val="bullet"/>
      <w:lvlText w:val="o"/>
      <w:lvlJc w:val="left"/>
      <w:pPr>
        <w:ind w:left="3240" w:hanging="360"/>
      </w:pPr>
      <w:rPr>
        <w:rFonts w:ascii="Courier New" w:hAnsi="Courier New" w:cs="Courier New" w:hint="default"/>
      </w:rPr>
    </w:lvl>
    <w:lvl w:ilvl="5" w:tplc="30CC7588" w:tentative="1">
      <w:start w:val="1"/>
      <w:numFmt w:val="bullet"/>
      <w:lvlText w:val=""/>
      <w:lvlJc w:val="left"/>
      <w:pPr>
        <w:ind w:left="3960" w:hanging="360"/>
      </w:pPr>
      <w:rPr>
        <w:rFonts w:ascii="Wingdings" w:hAnsi="Wingdings" w:hint="default"/>
      </w:rPr>
    </w:lvl>
    <w:lvl w:ilvl="6" w:tplc="79F40546" w:tentative="1">
      <w:start w:val="1"/>
      <w:numFmt w:val="bullet"/>
      <w:lvlText w:val=""/>
      <w:lvlJc w:val="left"/>
      <w:pPr>
        <w:ind w:left="4680" w:hanging="360"/>
      </w:pPr>
      <w:rPr>
        <w:rFonts w:ascii="Symbol" w:hAnsi="Symbol" w:hint="default"/>
      </w:rPr>
    </w:lvl>
    <w:lvl w:ilvl="7" w:tplc="B406D4C8" w:tentative="1">
      <w:start w:val="1"/>
      <w:numFmt w:val="bullet"/>
      <w:lvlText w:val="o"/>
      <w:lvlJc w:val="left"/>
      <w:pPr>
        <w:ind w:left="5400" w:hanging="360"/>
      </w:pPr>
      <w:rPr>
        <w:rFonts w:ascii="Courier New" w:hAnsi="Courier New" w:cs="Courier New" w:hint="default"/>
      </w:rPr>
    </w:lvl>
    <w:lvl w:ilvl="8" w:tplc="89F02BEA"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3CE8D99E">
      <w:start w:val="1"/>
      <w:numFmt w:val="bullet"/>
      <w:lvlText w:val=""/>
      <w:lvlJc w:val="left"/>
      <w:pPr>
        <w:ind w:left="360" w:hanging="360"/>
      </w:pPr>
      <w:rPr>
        <w:rFonts w:ascii="Symbol" w:hAnsi="Symbol" w:hint="default"/>
      </w:rPr>
    </w:lvl>
    <w:lvl w:ilvl="1" w:tplc="FACCF7DE" w:tentative="1">
      <w:start w:val="1"/>
      <w:numFmt w:val="bullet"/>
      <w:lvlText w:val="o"/>
      <w:lvlJc w:val="left"/>
      <w:pPr>
        <w:ind w:left="1080" w:hanging="360"/>
      </w:pPr>
      <w:rPr>
        <w:rFonts w:ascii="Courier New" w:hAnsi="Courier New" w:cs="Courier New" w:hint="default"/>
      </w:rPr>
    </w:lvl>
    <w:lvl w:ilvl="2" w:tplc="C27E0248" w:tentative="1">
      <w:start w:val="1"/>
      <w:numFmt w:val="bullet"/>
      <w:lvlText w:val=""/>
      <w:lvlJc w:val="left"/>
      <w:pPr>
        <w:ind w:left="1800" w:hanging="360"/>
      </w:pPr>
      <w:rPr>
        <w:rFonts w:ascii="Wingdings" w:hAnsi="Wingdings" w:hint="default"/>
      </w:rPr>
    </w:lvl>
    <w:lvl w:ilvl="3" w:tplc="BC78D92C" w:tentative="1">
      <w:start w:val="1"/>
      <w:numFmt w:val="bullet"/>
      <w:lvlText w:val=""/>
      <w:lvlJc w:val="left"/>
      <w:pPr>
        <w:ind w:left="2520" w:hanging="360"/>
      </w:pPr>
      <w:rPr>
        <w:rFonts w:ascii="Symbol" w:hAnsi="Symbol" w:hint="default"/>
      </w:rPr>
    </w:lvl>
    <w:lvl w:ilvl="4" w:tplc="EDC0787E" w:tentative="1">
      <w:start w:val="1"/>
      <w:numFmt w:val="bullet"/>
      <w:lvlText w:val="o"/>
      <w:lvlJc w:val="left"/>
      <w:pPr>
        <w:ind w:left="3240" w:hanging="360"/>
      </w:pPr>
      <w:rPr>
        <w:rFonts w:ascii="Courier New" w:hAnsi="Courier New" w:cs="Courier New" w:hint="default"/>
      </w:rPr>
    </w:lvl>
    <w:lvl w:ilvl="5" w:tplc="D8DE5A10" w:tentative="1">
      <w:start w:val="1"/>
      <w:numFmt w:val="bullet"/>
      <w:lvlText w:val=""/>
      <w:lvlJc w:val="left"/>
      <w:pPr>
        <w:ind w:left="3960" w:hanging="360"/>
      </w:pPr>
      <w:rPr>
        <w:rFonts w:ascii="Wingdings" w:hAnsi="Wingdings" w:hint="default"/>
      </w:rPr>
    </w:lvl>
    <w:lvl w:ilvl="6" w:tplc="739A76EA" w:tentative="1">
      <w:start w:val="1"/>
      <w:numFmt w:val="bullet"/>
      <w:lvlText w:val=""/>
      <w:lvlJc w:val="left"/>
      <w:pPr>
        <w:ind w:left="4680" w:hanging="360"/>
      </w:pPr>
      <w:rPr>
        <w:rFonts w:ascii="Symbol" w:hAnsi="Symbol" w:hint="default"/>
      </w:rPr>
    </w:lvl>
    <w:lvl w:ilvl="7" w:tplc="8E328D14" w:tentative="1">
      <w:start w:val="1"/>
      <w:numFmt w:val="bullet"/>
      <w:lvlText w:val="o"/>
      <w:lvlJc w:val="left"/>
      <w:pPr>
        <w:ind w:left="5400" w:hanging="360"/>
      </w:pPr>
      <w:rPr>
        <w:rFonts w:ascii="Courier New" w:hAnsi="Courier New" w:cs="Courier New" w:hint="default"/>
      </w:rPr>
    </w:lvl>
    <w:lvl w:ilvl="8" w:tplc="A7A86D0A"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B8FAFEDE">
      <w:numFmt w:val="bullet"/>
      <w:lvlText w:val="•"/>
      <w:lvlJc w:val="left"/>
      <w:pPr>
        <w:ind w:left="720" w:hanging="720"/>
      </w:pPr>
      <w:rPr>
        <w:rFonts w:ascii="Arial" w:eastAsiaTheme="minorHAnsi" w:hAnsi="Arial" w:cs="Arial" w:hint="default"/>
      </w:rPr>
    </w:lvl>
    <w:lvl w:ilvl="1" w:tplc="579097FE" w:tentative="1">
      <w:start w:val="1"/>
      <w:numFmt w:val="bullet"/>
      <w:lvlText w:val="o"/>
      <w:lvlJc w:val="left"/>
      <w:pPr>
        <w:ind w:left="1080" w:hanging="360"/>
      </w:pPr>
      <w:rPr>
        <w:rFonts w:ascii="Courier New" w:hAnsi="Courier New" w:cs="Courier New" w:hint="default"/>
      </w:rPr>
    </w:lvl>
    <w:lvl w:ilvl="2" w:tplc="6D0CED4C" w:tentative="1">
      <w:start w:val="1"/>
      <w:numFmt w:val="bullet"/>
      <w:lvlText w:val=""/>
      <w:lvlJc w:val="left"/>
      <w:pPr>
        <w:ind w:left="1800" w:hanging="360"/>
      </w:pPr>
      <w:rPr>
        <w:rFonts w:ascii="Wingdings" w:hAnsi="Wingdings" w:hint="default"/>
      </w:rPr>
    </w:lvl>
    <w:lvl w:ilvl="3" w:tplc="31C4AB78" w:tentative="1">
      <w:start w:val="1"/>
      <w:numFmt w:val="bullet"/>
      <w:lvlText w:val=""/>
      <w:lvlJc w:val="left"/>
      <w:pPr>
        <w:ind w:left="2520" w:hanging="360"/>
      </w:pPr>
      <w:rPr>
        <w:rFonts w:ascii="Symbol" w:hAnsi="Symbol" w:hint="default"/>
      </w:rPr>
    </w:lvl>
    <w:lvl w:ilvl="4" w:tplc="88B4F03A" w:tentative="1">
      <w:start w:val="1"/>
      <w:numFmt w:val="bullet"/>
      <w:lvlText w:val="o"/>
      <w:lvlJc w:val="left"/>
      <w:pPr>
        <w:ind w:left="3240" w:hanging="360"/>
      </w:pPr>
      <w:rPr>
        <w:rFonts w:ascii="Courier New" w:hAnsi="Courier New" w:cs="Courier New" w:hint="default"/>
      </w:rPr>
    </w:lvl>
    <w:lvl w:ilvl="5" w:tplc="7D4C4C68" w:tentative="1">
      <w:start w:val="1"/>
      <w:numFmt w:val="bullet"/>
      <w:lvlText w:val=""/>
      <w:lvlJc w:val="left"/>
      <w:pPr>
        <w:ind w:left="3960" w:hanging="360"/>
      </w:pPr>
      <w:rPr>
        <w:rFonts w:ascii="Wingdings" w:hAnsi="Wingdings" w:hint="default"/>
      </w:rPr>
    </w:lvl>
    <w:lvl w:ilvl="6" w:tplc="AA90DCE2" w:tentative="1">
      <w:start w:val="1"/>
      <w:numFmt w:val="bullet"/>
      <w:lvlText w:val=""/>
      <w:lvlJc w:val="left"/>
      <w:pPr>
        <w:ind w:left="4680" w:hanging="360"/>
      </w:pPr>
      <w:rPr>
        <w:rFonts w:ascii="Symbol" w:hAnsi="Symbol" w:hint="default"/>
      </w:rPr>
    </w:lvl>
    <w:lvl w:ilvl="7" w:tplc="6484806C" w:tentative="1">
      <w:start w:val="1"/>
      <w:numFmt w:val="bullet"/>
      <w:lvlText w:val="o"/>
      <w:lvlJc w:val="left"/>
      <w:pPr>
        <w:ind w:left="5400" w:hanging="360"/>
      </w:pPr>
      <w:rPr>
        <w:rFonts w:ascii="Courier New" w:hAnsi="Courier New" w:cs="Courier New" w:hint="default"/>
      </w:rPr>
    </w:lvl>
    <w:lvl w:ilvl="8" w:tplc="51E08BDA"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096E16E6">
      <w:start w:val="1"/>
      <w:numFmt w:val="bullet"/>
      <w:lvlText w:val=""/>
      <w:lvlJc w:val="left"/>
      <w:pPr>
        <w:ind w:left="1222" w:hanging="360"/>
      </w:pPr>
      <w:rPr>
        <w:rFonts w:ascii="Symbol" w:hAnsi="Symbol" w:hint="default"/>
      </w:rPr>
    </w:lvl>
    <w:lvl w:ilvl="1" w:tplc="D7A0938C" w:tentative="1">
      <w:start w:val="1"/>
      <w:numFmt w:val="bullet"/>
      <w:lvlText w:val="o"/>
      <w:lvlJc w:val="left"/>
      <w:pPr>
        <w:ind w:left="1942" w:hanging="360"/>
      </w:pPr>
      <w:rPr>
        <w:rFonts w:ascii="Courier New" w:hAnsi="Courier New" w:cs="Courier New" w:hint="default"/>
      </w:rPr>
    </w:lvl>
    <w:lvl w:ilvl="2" w:tplc="07EAD668" w:tentative="1">
      <w:start w:val="1"/>
      <w:numFmt w:val="bullet"/>
      <w:lvlText w:val=""/>
      <w:lvlJc w:val="left"/>
      <w:pPr>
        <w:ind w:left="2662" w:hanging="360"/>
      </w:pPr>
      <w:rPr>
        <w:rFonts w:ascii="Wingdings" w:hAnsi="Wingdings" w:hint="default"/>
      </w:rPr>
    </w:lvl>
    <w:lvl w:ilvl="3" w:tplc="D6D8AF52" w:tentative="1">
      <w:start w:val="1"/>
      <w:numFmt w:val="bullet"/>
      <w:lvlText w:val=""/>
      <w:lvlJc w:val="left"/>
      <w:pPr>
        <w:ind w:left="3382" w:hanging="360"/>
      </w:pPr>
      <w:rPr>
        <w:rFonts w:ascii="Symbol" w:hAnsi="Symbol" w:hint="default"/>
      </w:rPr>
    </w:lvl>
    <w:lvl w:ilvl="4" w:tplc="85B62E2C" w:tentative="1">
      <w:start w:val="1"/>
      <w:numFmt w:val="bullet"/>
      <w:lvlText w:val="o"/>
      <w:lvlJc w:val="left"/>
      <w:pPr>
        <w:ind w:left="4102" w:hanging="360"/>
      </w:pPr>
      <w:rPr>
        <w:rFonts w:ascii="Courier New" w:hAnsi="Courier New" w:cs="Courier New" w:hint="default"/>
      </w:rPr>
    </w:lvl>
    <w:lvl w:ilvl="5" w:tplc="95A09D46" w:tentative="1">
      <w:start w:val="1"/>
      <w:numFmt w:val="bullet"/>
      <w:lvlText w:val=""/>
      <w:lvlJc w:val="left"/>
      <w:pPr>
        <w:ind w:left="4822" w:hanging="360"/>
      </w:pPr>
      <w:rPr>
        <w:rFonts w:ascii="Wingdings" w:hAnsi="Wingdings" w:hint="default"/>
      </w:rPr>
    </w:lvl>
    <w:lvl w:ilvl="6" w:tplc="32E003AE" w:tentative="1">
      <w:start w:val="1"/>
      <w:numFmt w:val="bullet"/>
      <w:lvlText w:val=""/>
      <w:lvlJc w:val="left"/>
      <w:pPr>
        <w:ind w:left="5542" w:hanging="360"/>
      </w:pPr>
      <w:rPr>
        <w:rFonts w:ascii="Symbol" w:hAnsi="Symbol" w:hint="default"/>
      </w:rPr>
    </w:lvl>
    <w:lvl w:ilvl="7" w:tplc="662ACBBC" w:tentative="1">
      <w:start w:val="1"/>
      <w:numFmt w:val="bullet"/>
      <w:lvlText w:val="o"/>
      <w:lvlJc w:val="left"/>
      <w:pPr>
        <w:ind w:left="6262" w:hanging="360"/>
      </w:pPr>
      <w:rPr>
        <w:rFonts w:ascii="Courier New" w:hAnsi="Courier New" w:cs="Courier New" w:hint="default"/>
      </w:rPr>
    </w:lvl>
    <w:lvl w:ilvl="8" w:tplc="93409624"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DFEC05CA">
      <w:numFmt w:val="bullet"/>
      <w:lvlText w:val="•"/>
      <w:lvlJc w:val="left"/>
      <w:pPr>
        <w:ind w:left="1080" w:hanging="720"/>
      </w:pPr>
      <w:rPr>
        <w:rFonts w:ascii="Arial" w:eastAsiaTheme="minorHAnsi" w:hAnsi="Arial" w:cs="Arial" w:hint="default"/>
      </w:rPr>
    </w:lvl>
    <w:lvl w:ilvl="1" w:tplc="7A9E6E42" w:tentative="1">
      <w:start w:val="1"/>
      <w:numFmt w:val="bullet"/>
      <w:lvlText w:val="o"/>
      <w:lvlJc w:val="left"/>
      <w:pPr>
        <w:ind w:left="1440" w:hanging="360"/>
      </w:pPr>
      <w:rPr>
        <w:rFonts w:ascii="Courier New" w:hAnsi="Courier New" w:cs="Courier New" w:hint="default"/>
      </w:rPr>
    </w:lvl>
    <w:lvl w:ilvl="2" w:tplc="3CDA0A78" w:tentative="1">
      <w:start w:val="1"/>
      <w:numFmt w:val="bullet"/>
      <w:lvlText w:val=""/>
      <w:lvlJc w:val="left"/>
      <w:pPr>
        <w:ind w:left="2160" w:hanging="360"/>
      </w:pPr>
      <w:rPr>
        <w:rFonts w:ascii="Wingdings" w:hAnsi="Wingdings" w:hint="default"/>
      </w:rPr>
    </w:lvl>
    <w:lvl w:ilvl="3" w:tplc="F73089A8" w:tentative="1">
      <w:start w:val="1"/>
      <w:numFmt w:val="bullet"/>
      <w:lvlText w:val=""/>
      <w:lvlJc w:val="left"/>
      <w:pPr>
        <w:ind w:left="2880" w:hanging="360"/>
      </w:pPr>
      <w:rPr>
        <w:rFonts w:ascii="Symbol" w:hAnsi="Symbol" w:hint="default"/>
      </w:rPr>
    </w:lvl>
    <w:lvl w:ilvl="4" w:tplc="990270F2" w:tentative="1">
      <w:start w:val="1"/>
      <w:numFmt w:val="bullet"/>
      <w:lvlText w:val="o"/>
      <w:lvlJc w:val="left"/>
      <w:pPr>
        <w:ind w:left="3600" w:hanging="360"/>
      </w:pPr>
      <w:rPr>
        <w:rFonts w:ascii="Courier New" w:hAnsi="Courier New" w:cs="Courier New" w:hint="default"/>
      </w:rPr>
    </w:lvl>
    <w:lvl w:ilvl="5" w:tplc="978A2674" w:tentative="1">
      <w:start w:val="1"/>
      <w:numFmt w:val="bullet"/>
      <w:lvlText w:val=""/>
      <w:lvlJc w:val="left"/>
      <w:pPr>
        <w:ind w:left="4320" w:hanging="360"/>
      </w:pPr>
      <w:rPr>
        <w:rFonts w:ascii="Wingdings" w:hAnsi="Wingdings" w:hint="default"/>
      </w:rPr>
    </w:lvl>
    <w:lvl w:ilvl="6" w:tplc="7E388E58" w:tentative="1">
      <w:start w:val="1"/>
      <w:numFmt w:val="bullet"/>
      <w:lvlText w:val=""/>
      <w:lvlJc w:val="left"/>
      <w:pPr>
        <w:ind w:left="5040" w:hanging="360"/>
      </w:pPr>
      <w:rPr>
        <w:rFonts w:ascii="Symbol" w:hAnsi="Symbol" w:hint="default"/>
      </w:rPr>
    </w:lvl>
    <w:lvl w:ilvl="7" w:tplc="48D6AC54" w:tentative="1">
      <w:start w:val="1"/>
      <w:numFmt w:val="bullet"/>
      <w:lvlText w:val="o"/>
      <w:lvlJc w:val="left"/>
      <w:pPr>
        <w:ind w:left="5760" w:hanging="360"/>
      </w:pPr>
      <w:rPr>
        <w:rFonts w:ascii="Courier New" w:hAnsi="Courier New" w:cs="Courier New" w:hint="default"/>
      </w:rPr>
    </w:lvl>
    <w:lvl w:ilvl="8" w:tplc="8B862F94"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301C1A06">
      <w:start w:val="1"/>
      <w:numFmt w:val="bullet"/>
      <w:lvlText w:val=""/>
      <w:lvlJc w:val="left"/>
      <w:pPr>
        <w:ind w:left="360" w:hanging="360"/>
      </w:pPr>
      <w:rPr>
        <w:rFonts w:ascii="Symbol" w:hAnsi="Symbol" w:hint="default"/>
        <w:color w:val="F2692B" w:themeColor="accent5"/>
      </w:rPr>
    </w:lvl>
    <w:lvl w:ilvl="1" w:tplc="AF7EE57E">
      <w:start w:val="1"/>
      <w:numFmt w:val="bullet"/>
      <w:lvlText w:val="o"/>
      <w:lvlJc w:val="left"/>
      <w:pPr>
        <w:ind w:left="1440" w:hanging="360"/>
      </w:pPr>
      <w:rPr>
        <w:rFonts w:ascii="Courier New" w:hAnsi="Courier New" w:cs="Courier New" w:hint="default"/>
      </w:rPr>
    </w:lvl>
    <w:lvl w:ilvl="2" w:tplc="9C586F74" w:tentative="1">
      <w:start w:val="1"/>
      <w:numFmt w:val="bullet"/>
      <w:lvlText w:val=""/>
      <w:lvlJc w:val="left"/>
      <w:pPr>
        <w:ind w:left="2160" w:hanging="360"/>
      </w:pPr>
      <w:rPr>
        <w:rFonts w:ascii="Wingdings" w:hAnsi="Wingdings" w:hint="default"/>
      </w:rPr>
    </w:lvl>
    <w:lvl w:ilvl="3" w:tplc="2320F4D8" w:tentative="1">
      <w:start w:val="1"/>
      <w:numFmt w:val="bullet"/>
      <w:lvlText w:val=""/>
      <w:lvlJc w:val="left"/>
      <w:pPr>
        <w:ind w:left="2880" w:hanging="360"/>
      </w:pPr>
      <w:rPr>
        <w:rFonts w:ascii="Symbol" w:hAnsi="Symbol" w:hint="default"/>
      </w:rPr>
    </w:lvl>
    <w:lvl w:ilvl="4" w:tplc="8C4251D8" w:tentative="1">
      <w:start w:val="1"/>
      <w:numFmt w:val="bullet"/>
      <w:lvlText w:val="o"/>
      <w:lvlJc w:val="left"/>
      <w:pPr>
        <w:ind w:left="3600" w:hanging="360"/>
      </w:pPr>
      <w:rPr>
        <w:rFonts w:ascii="Courier New" w:hAnsi="Courier New" w:cs="Courier New" w:hint="default"/>
      </w:rPr>
    </w:lvl>
    <w:lvl w:ilvl="5" w:tplc="6632ED16" w:tentative="1">
      <w:start w:val="1"/>
      <w:numFmt w:val="bullet"/>
      <w:lvlText w:val=""/>
      <w:lvlJc w:val="left"/>
      <w:pPr>
        <w:ind w:left="4320" w:hanging="360"/>
      </w:pPr>
      <w:rPr>
        <w:rFonts w:ascii="Wingdings" w:hAnsi="Wingdings" w:hint="default"/>
      </w:rPr>
    </w:lvl>
    <w:lvl w:ilvl="6" w:tplc="F784473C" w:tentative="1">
      <w:start w:val="1"/>
      <w:numFmt w:val="bullet"/>
      <w:lvlText w:val=""/>
      <w:lvlJc w:val="left"/>
      <w:pPr>
        <w:ind w:left="5040" w:hanging="360"/>
      </w:pPr>
      <w:rPr>
        <w:rFonts w:ascii="Symbol" w:hAnsi="Symbol" w:hint="default"/>
      </w:rPr>
    </w:lvl>
    <w:lvl w:ilvl="7" w:tplc="4CC0CF50" w:tentative="1">
      <w:start w:val="1"/>
      <w:numFmt w:val="bullet"/>
      <w:lvlText w:val="o"/>
      <w:lvlJc w:val="left"/>
      <w:pPr>
        <w:ind w:left="5760" w:hanging="360"/>
      </w:pPr>
      <w:rPr>
        <w:rFonts w:ascii="Courier New" w:hAnsi="Courier New" w:cs="Courier New" w:hint="default"/>
      </w:rPr>
    </w:lvl>
    <w:lvl w:ilvl="8" w:tplc="DEBEC32C"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D376D042">
      <w:numFmt w:val="bullet"/>
      <w:lvlText w:val="•"/>
      <w:lvlJc w:val="left"/>
      <w:pPr>
        <w:ind w:left="720" w:hanging="720"/>
      </w:pPr>
      <w:rPr>
        <w:rFonts w:ascii="Arial" w:eastAsiaTheme="minorHAnsi" w:hAnsi="Arial" w:cs="Arial" w:hint="default"/>
      </w:rPr>
    </w:lvl>
    <w:lvl w:ilvl="1" w:tplc="31B696D2" w:tentative="1">
      <w:start w:val="1"/>
      <w:numFmt w:val="bullet"/>
      <w:lvlText w:val="o"/>
      <w:lvlJc w:val="left"/>
      <w:pPr>
        <w:ind w:left="1080" w:hanging="360"/>
      </w:pPr>
      <w:rPr>
        <w:rFonts w:ascii="Courier New" w:hAnsi="Courier New" w:cs="Courier New" w:hint="default"/>
      </w:rPr>
    </w:lvl>
    <w:lvl w:ilvl="2" w:tplc="94E810DE" w:tentative="1">
      <w:start w:val="1"/>
      <w:numFmt w:val="bullet"/>
      <w:lvlText w:val=""/>
      <w:lvlJc w:val="left"/>
      <w:pPr>
        <w:ind w:left="1800" w:hanging="360"/>
      </w:pPr>
      <w:rPr>
        <w:rFonts w:ascii="Wingdings" w:hAnsi="Wingdings" w:hint="default"/>
      </w:rPr>
    </w:lvl>
    <w:lvl w:ilvl="3" w:tplc="7BFE5AC2" w:tentative="1">
      <w:start w:val="1"/>
      <w:numFmt w:val="bullet"/>
      <w:lvlText w:val=""/>
      <w:lvlJc w:val="left"/>
      <w:pPr>
        <w:ind w:left="2520" w:hanging="360"/>
      </w:pPr>
      <w:rPr>
        <w:rFonts w:ascii="Symbol" w:hAnsi="Symbol" w:hint="default"/>
      </w:rPr>
    </w:lvl>
    <w:lvl w:ilvl="4" w:tplc="1804A134" w:tentative="1">
      <w:start w:val="1"/>
      <w:numFmt w:val="bullet"/>
      <w:lvlText w:val="o"/>
      <w:lvlJc w:val="left"/>
      <w:pPr>
        <w:ind w:left="3240" w:hanging="360"/>
      </w:pPr>
      <w:rPr>
        <w:rFonts w:ascii="Courier New" w:hAnsi="Courier New" w:cs="Courier New" w:hint="default"/>
      </w:rPr>
    </w:lvl>
    <w:lvl w:ilvl="5" w:tplc="DCC4EDB6" w:tentative="1">
      <w:start w:val="1"/>
      <w:numFmt w:val="bullet"/>
      <w:lvlText w:val=""/>
      <w:lvlJc w:val="left"/>
      <w:pPr>
        <w:ind w:left="3960" w:hanging="360"/>
      </w:pPr>
      <w:rPr>
        <w:rFonts w:ascii="Wingdings" w:hAnsi="Wingdings" w:hint="default"/>
      </w:rPr>
    </w:lvl>
    <w:lvl w:ilvl="6" w:tplc="11E042EC" w:tentative="1">
      <w:start w:val="1"/>
      <w:numFmt w:val="bullet"/>
      <w:lvlText w:val=""/>
      <w:lvlJc w:val="left"/>
      <w:pPr>
        <w:ind w:left="4680" w:hanging="360"/>
      </w:pPr>
      <w:rPr>
        <w:rFonts w:ascii="Symbol" w:hAnsi="Symbol" w:hint="default"/>
      </w:rPr>
    </w:lvl>
    <w:lvl w:ilvl="7" w:tplc="E3889228" w:tentative="1">
      <w:start w:val="1"/>
      <w:numFmt w:val="bullet"/>
      <w:lvlText w:val="o"/>
      <w:lvlJc w:val="left"/>
      <w:pPr>
        <w:ind w:left="5400" w:hanging="360"/>
      </w:pPr>
      <w:rPr>
        <w:rFonts w:ascii="Courier New" w:hAnsi="Courier New" w:cs="Courier New" w:hint="default"/>
      </w:rPr>
    </w:lvl>
    <w:lvl w:ilvl="8" w:tplc="6B681320"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B4C8DDE0">
      <w:start w:val="1"/>
      <w:numFmt w:val="bullet"/>
      <w:lvlText w:val=""/>
      <w:lvlJc w:val="left"/>
      <w:pPr>
        <w:ind w:left="720" w:hanging="360"/>
      </w:pPr>
      <w:rPr>
        <w:rFonts w:ascii="Symbol" w:hAnsi="Symbol" w:hint="default"/>
      </w:rPr>
    </w:lvl>
    <w:lvl w:ilvl="1" w:tplc="5E102574" w:tentative="1">
      <w:start w:val="1"/>
      <w:numFmt w:val="bullet"/>
      <w:lvlText w:val="o"/>
      <w:lvlJc w:val="left"/>
      <w:pPr>
        <w:ind w:left="1440" w:hanging="360"/>
      </w:pPr>
      <w:rPr>
        <w:rFonts w:ascii="Courier New" w:hAnsi="Courier New" w:cs="Courier New" w:hint="default"/>
      </w:rPr>
    </w:lvl>
    <w:lvl w:ilvl="2" w:tplc="30B604AA" w:tentative="1">
      <w:start w:val="1"/>
      <w:numFmt w:val="bullet"/>
      <w:lvlText w:val=""/>
      <w:lvlJc w:val="left"/>
      <w:pPr>
        <w:ind w:left="2160" w:hanging="360"/>
      </w:pPr>
      <w:rPr>
        <w:rFonts w:ascii="Wingdings" w:hAnsi="Wingdings" w:hint="default"/>
      </w:rPr>
    </w:lvl>
    <w:lvl w:ilvl="3" w:tplc="471EA102" w:tentative="1">
      <w:start w:val="1"/>
      <w:numFmt w:val="bullet"/>
      <w:lvlText w:val=""/>
      <w:lvlJc w:val="left"/>
      <w:pPr>
        <w:ind w:left="2880" w:hanging="360"/>
      </w:pPr>
      <w:rPr>
        <w:rFonts w:ascii="Symbol" w:hAnsi="Symbol" w:hint="default"/>
      </w:rPr>
    </w:lvl>
    <w:lvl w:ilvl="4" w:tplc="65BC6640" w:tentative="1">
      <w:start w:val="1"/>
      <w:numFmt w:val="bullet"/>
      <w:lvlText w:val="o"/>
      <w:lvlJc w:val="left"/>
      <w:pPr>
        <w:ind w:left="3600" w:hanging="360"/>
      </w:pPr>
      <w:rPr>
        <w:rFonts w:ascii="Courier New" w:hAnsi="Courier New" w:cs="Courier New" w:hint="default"/>
      </w:rPr>
    </w:lvl>
    <w:lvl w:ilvl="5" w:tplc="30FA3A2C" w:tentative="1">
      <w:start w:val="1"/>
      <w:numFmt w:val="bullet"/>
      <w:lvlText w:val=""/>
      <w:lvlJc w:val="left"/>
      <w:pPr>
        <w:ind w:left="4320" w:hanging="360"/>
      </w:pPr>
      <w:rPr>
        <w:rFonts w:ascii="Wingdings" w:hAnsi="Wingdings" w:hint="default"/>
      </w:rPr>
    </w:lvl>
    <w:lvl w:ilvl="6" w:tplc="3058ED88" w:tentative="1">
      <w:start w:val="1"/>
      <w:numFmt w:val="bullet"/>
      <w:lvlText w:val=""/>
      <w:lvlJc w:val="left"/>
      <w:pPr>
        <w:ind w:left="5040" w:hanging="360"/>
      </w:pPr>
      <w:rPr>
        <w:rFonts w:ascii="Symbol" w:hAnsi="Symbol" w:hint="default"/>
      </w:rPr>
    </w:lvl>
    <w:lvl w:ilvl="7" w:tplc="31C84204" w:tentative="1">
      <w:start w:val="1"/>
      <w:numFmt w:val="bullet"/>
      <w:lvlText w:val="o"/>
      <w:lvlJc w:val="left"/>
      <w:pPr>
        <w:ind w:left="5760" w:hanging="360"/>
      </w:pPr>
      <w:rPr>
        <w:rFonts w:ascii="Courier New" w:hAnsi="Courier New" w:cs="Courier New" w:hint="default"/>
      </w:rPr>
    </w:lvl>
    <w:lvl w:ilvl="8" w:tplc="EEFE4DBA"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F176DD0C">
      <w:start w:val="1"/>
      <w:numFmt w:val="bullet"/>
      <w:lvlText w:val=""/>
      <w:lvlJc w:val="left"/>
      <w:pPr>
        <w:ind w:left="360" w:hanging="360"/>
      </w:pPr>
      <w:rPr>
        <w:rFonts w:ascii="Symbol" w:hAnsi="Symbol" w:hint="default"/>
        <w:color w:val="2AB1BB" w:themeColor="accent1"/>
      </w:rPr>
    </w:lvl>
    <w:lvl w:ilvl="1" w:tplc="DA6023B0" w:tentative="1">
      <w:start w:val="1"/>
      <w:numFmt w:val="bullet"/>
      <w:lvlText w:val="o"/>
      <w:lvlJc w:val="left"/>
      <w:pPr>
        <w:ind w:left="1080" w:hanging="360"/>
      </w:pPr>
      <w:rPr>
        <w:rFonts w:ascii="Courier New" w:hAnsi="Courier New" w:cs="Courier New" w:hint="default"/>
      </w:rPr>
    </w:lvl>
    <w:lvl w:ilvl="2" w:tplc="8570962E" w:tentative="1">
      <w:start w:val="1"/>
      <w:numFmt w:val="bullet"/>
      <w:lvlText w:val=""/>
      <w:lvlJc w:val="left"/>
      <w:pPr>
        <w:ind w:left="1800" w:hanging="360"/>
      </w:pPr>
      <w:rPr>
        <w:rFonts w:ascii="Wingdings" w:hAnsi="Wingdings" w:hint="default"/>
      </w:rPr>
    </w:lvl>
    <w:lvl w:ilvl="3" w:tplc="D7A69976" w:tentative="1">
      <w:start w:val="1"/>
      <w:numFmt w:val="bullet"/>
      <w:lvlText w:val=""/>
      <w:lvlJc w:val="left"/>
      <w:pPr>
        <w:ind w:left="2520" w:hanging="360"/>
      </w:pPr>
      <w:rPr>
        <w:rFonts w:ascii="Symbol" w:hAnsi="Symbol" w:hint="default"/>
      </w:rPr>
    </w:lvl>
    <w:lvl w:ilvl="4" w:tplc="F412FC98" w:tentative="1">
      <w:start w:val="1"/>
      <w:numFmt w:val="bullet"/>
      <w:lvlText w:val="o"/>
      <w:lvlJc w:val="left"/>
      <w:pPr>
        <w:ind w:left="3240" w:hanging="360"/>
      </w:pPr>
      <w:rPr>
        <w:rFonts w:ascii="Courier New" w:hAnsi="Courier New" w:cs="Courier New" w:hint="default"/>
      </w:rPr>
    </w:lvl>
    <w:lvl w:ilvl="5" w:tplc="109CAE3C" w:tentative="1">
      <w:start w:val="1"/>
      <w:numFmt w:val="bullet"/>
      <w:lvlText w:val=""/>
      <w:lvlJc w:val="left"/>
      <w:pPr>
        <w:ind w:left="3960" w:hanging="360"/>
      </w:pPr>
      <w:rPr>
        <w:rFonts w:ascii="Wingdings" w:hAnsi="Wingdings" w:hint="default"/>
      </w:rPr>
    </w:lvl>
    <w:lvl w:ilvl="6" w:tplc="B25E33E2" w:tentative="1">
      <w:start w:val="1"/>
      <w:numFmt w:val="bullet"/>
      <w:lvlText w:val=""/>
      <w:lvlJc w:val="left"/>
      <w:pPr>
        <w:ind w:left="4680" w:hanging="360"/>
      </w:pPr>
      <w:rPr>
        <w:rFonts w:ascii="Symbol" w:hAnsi="Symbol" w:hint="default"/>
      </w:rPr>
    </w:lvl>
    <w:lvl w:ilvl="7" w:tplc="E95ADC56" w:tentative="1">
      <w:start w:val="1"/>
      <w:numFmt w:val="bullet"/>
      <w:lvlText w:val="o"/>
      <w:lvlJc w:val="left"/>
      <w:pPr>
        <w:ind w:left="5400" w:hanging="360"/>
      </w:pPr>
      <w:rPr>
        <w:rFonts w:ascii="Courier New" w:hAnsi="Courier New" w:cs="Courier New" w:hint="default"/>
      </w:rPr>
    </w:lvl>
    <w:lvl w:ilvl="8" w:tplc="6ED675CE"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14D2FCDE">
      <w:start w:val="1"/>
      <w:numFmt w:val="bullet"/>
      <w:lvlText w:val=""/>
      <w:lvlJc w:val="left"/>
      <w:pPr>
        <w:ind w:left="1582" w:hanging="360"/>
      </w:pPr>
      <w:rPr>
        <w:rFonts w:ascii="Symbol" w:hAnsi="Symbol" w:hint="default"/>
      </w:rPr>
    </w:lvl>
    <w:lvl w:ilvl="1" w:tplc="83806E6C" w:tentative="1">
      <w:start w:val="1"/>
      <w:numFmt w:val="bullet"/>
      <w:lvlText w:val="o"/>
      <w:lvlJc w:val="left"/>
      <w:pPr>
        <w:ind w:left="2302" w:hanging="360"/>
      </w:pPr>
      <w:rPr>
        <w:rFonts w:ascii="Courier New" w:hAnsi="Courier New" w:cs="Courier New" w:hint="default"/>
      </w:rPr>
    </w:lvl>
    <w:lvl w:ilvl="2" w:tplc="B848509C" w:tentative="1">
      <w:start w:val="1"/>
      <w:numFmt w:val="bullet"/>
      <w:lvlText w:val=""/>
      <w:lvlJc w:val="left"/>
      <w:pPr>
        <w:ind w:left="3022" w:hanging="360"/>
      </w:pPr>
      <w:rPr>
        <w:rFonts w:ascii="Wingdings" w:hAnsi="Wingdings" w:hint="default"/>
      </w:rPr>
    </w:lvl>
    <w:lvl w:ilvl="3" w:tplc="C2B631CA" w:tentative="1">
      <w:start w:val="1"/>
      <w:numFmt w:val="bullet"/>
      <w:lvlText w:val=""/>
      <w:lvlJc w:val="left"/>
      <w:pPr>
        <w:ind w:left="3742" w:hanging="360"/>
      </w:pPr>
      <w:rPr>
        <w:rFonts w:ascii="Symbol" w:hAnsi="Symbol" w:hint="default"/>
      </w:rPr>
    </w:lvl>
    <w:lvl w:ilvl="4" w:tplc="6DF6D714" w:tentative="1">
      <w:start w:val="1"/>
      <w:numFmt w:val="bullet"/>
      <w:lvlText w:val="o"/>
      <w:lvlJc w:val="left"/>
      <w:pPr>
        <w:ind w:left="4462" w:hanging="360"/>
      </w:pPr>
      <w:rPr>
        <w:rFonts w:ascii="Courier New" w:hAnsi="Courier New" w:cs="Courier New" w:hint="default"/>
      </w:rPr>
    </w:lvl>
    <w:lvl w:ilvl="5" w:tplc="AADE9C86" w:tentative="1">
      <w:start w:val="1"/>
      <w:numFmt w:val="bullet"/>
      <w:lvlText w:val=""/>
      <w:lvlJc w:val="left"/>
      <w:pPr>
        <w:ind w:left="5182" w:hanging="360"/>
      </w:pPr>
      <w:rPr>
        <w:rFonts w:ascii="Wingdings" w:hAnsi="Wingdings" w:hint="default"/>
      </w:rPr>
    </w:lvl>
    <w:lvl w:ilvl="6" w:tplc="62748F60" w:tentative="1">
      <w:start w:val="1"/>
      <w:numFmt w:val="bullet"/>
      <w:lvlText w:val=""/>
      <w:lvlJc w:val="left"/>
      <w:pPr>
        <w:ind w:left="5902" w:hanging="360"/>
      </w:pPr>
      <w:rPr>
        <w:rFonts w:ascii="Symbol" w:hAnsi="Symbol" w:hint="default"/>
      </w:rPr>
    </w:lvl>
    <w:lvl w:ilvl="7" w:tplc="FD262F04" w:tentative="1">
      <w:start w:val="1"/>
      <w:numFmt w:val="bullet"/>
      <w:lvlText w:val="o"/>
      <w:lvlJc w:val="left"/>
      <w:pPr>
        <w:ind w:left="6622" w:hanging="360"/>
      </w:pPr>
      <w:rPr>
        <w:rFonts w:ascii="Courier New" w:hAnsi="Courier New" w:cs="Courier New" w:hint="default"/>
      </w:rPr>
    </w:lvl>
    <w:lvl w:ilvl="8" w:tplc="3724D8F8"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36C48D86">
      <w:start w:val="1"/>
      <w:numFmt w:val="bullet"/>
      <w:lvlText w:val=""/>
      <w:lvlJc w:val="left"/>
      <w:pPr>
        <w:ind w:left="360" w:hanging="360"/>
      </w:pPr>
      <w:rPr>
        <w:rFonts w:ascii="Symbol" w:hAnsi="Symbol" w:hint="default"/>
        <w:color w:val="2AB1BB" w:themeColor="accent1"/>
      </w:rPr>
    </w:lvl>
    <w:lvl w:ilvl="1" w:tplc="CA3261D2" w:tentative="1">
      <w:start w:val="1"/>
      <w:numFmt w:val="bullet"/>
      <w:lvlText w:val="o"/>
      <w:lvlJc w:val="left"/>
      <w:pPr>
        <w:ind w:left="1440" w:hanging="360"/>
      </w:pPr>
      <w:rPr>
        <w:rFonts w:ascii="Courier New" w:hAnsi="Courier New" w:cs="Courier New" w:hint="default"/>
      </w:rPr>
    </w:lvl>
    <w:lvl w:ilvl="2" w:tplc="2FDA1882" w:tentative="1">
      <w:start w:val="1"/>
      <w:numFmt w:val="bullet"/>
      <w:lvlText w:val=""/>
      <w:lvlJc w:val="left"/>
      <w:pPr>
        <w:ind w:left="2160" w:hanging="360"/>
      </w:pPr>
      <w:rPr>
        <w:rFonts w:ascii="Wingdings" w:hAnsi="Wingdings" w:hint="default"/>
      </w:rPr>
    </w:lvl>
    <w:lvl w:ilvl="3" w:tplc="B80E7BD8" w:tentative="1">
      <w:start w:val="1"/>
      <w:numFmt w:val="bullet"/>
      <w:lvlText w:val=""/>
      <w:lvlJc w:val="left"/>
      <w:pPr>
        <w:ind w:left="2880" w:hanging="360"/>
      </w:pPr>
      <w:rPr>
        <w:rFonts w:ascii="Symbol" w:hAnsi="Symbol" w:hint="default"/>
      </w:rPr>
    </w:lvl>
    <w:lvl w:ilvl="4" w:tplc="7B7604C2" w:tentative="1">
      <w:start w:val="1"/>
      <w:numFmt w:val="bullet"/>
      <w:lvlText w:val="o"/>
      <w:lvlJc w:val="left"/>
      <w:pPr>
        <w:ind w:left="3600" w:hanging="360"/>
      </w:pPr>
      <w:rPr>
        <w:rFonts w:ascii="Courier New" w:hAnsi="Courier New" w:cs="Courier New" w:hint="default"/>
      </w:rPr>
    </w:lvl>
    <w:lvl w:ilvl="5" w:tplc="03EE22C8" w:tentative="1">
      <w:start w:val="1"/>
      <w:numFmt w:val="bullet"/>
      <w:lvlText w:val=""/>
      <w:lvlJc w:val="left"/>
      <w:pPr>
        <w:ind w:left="4320" w:hanging="360"/>
      </w:pPr>
      <w:rPr>
        <w:rFonts w:ascii="Wingdings" w:hAnsi="Wingdings" w:hint="default"/>
      </w:rPr>
    </w:lvl>
    <w:lvl w:ilvl="6" w:tplc="AF24851A" w:tentative="1">
      <w:start w:val="1"/>
      <w:numFmt w:val="bullet"/>
      <w:lvlText w:val=""/>
      <w:lvlJc w:val="left"/>
      <w:pPr>
        <w:ind w:left="5040" w:hanging="360"/>
      </w:pPr>
      <w:rPr>
        <w:rFonts w:ascii="Symbol" w:hAnsi="Symbol" w:hint="default"/>
      </w:rPr>
    </w:lvl>
    <w:lvl w:ilvl="7" w:tplc="D8EC862A" w:tentative="1">
      <w:start w:val="1"/>
      <w:numFmt w:val="bullet"/>
      <w:lvlText w:val="o"/>
      <w:lvlJc w:val="left"/>
      <w:pPr>
        <w:ind w:left="5760" w:hanging="360"/>
      </w:pPr>
      <w:rPr>
        <w:rFonts w:ascii="Courier New" w:hAnsi="Courier New" w:cs="Courier New" w:hint="default"/>
      </w:rPr>
    </w:lvl>
    <w:lvl w:ilvl="8" w:tplc="8DA21E1C"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68004AEA">
      <w:start w:val="1"/>
      <w:numFmt w:val="bullet"/>
      <w:lvlText w:val=""/>
      <w:lvlJc w:val="left"/>
      <w:pPr>
        <w:ind w:left="720" w:hanging="360"/>
      </w:pPr>
      <w:rPr>
        <w:rFonts w:ascii="Symbol" w:hAnsi="Symbol" w:hint="default"/>
        <w:color w:val="2AB1BB" w:themeColor="accent1"/>
      </w:rPr>
    </w:lvl>
    <w:lvl w:ilvl="1" w:tplc="52002CC0" w:tentative="1">
      <w:start w:val="1"/>
      <w:numFmt w:val="bullet"/>
      <w:lvlText w:val="o"/>
      <w:lvlJc w:val="left"/>
      <w:pPr>
        <w:ind w:left="1440" w:hanging="360"/>
      </w:pPr>
      <w:rPr>
        <w:rFonts w:ascii="Courier New" w:hAnsi="Courier New" w:cs="Courier New" w:hint="default"/>
      </w:rPr>
    </w:lvl>
    <w:lvl w:ilvl="2" w:tplc="314EF71A" w:tentative="1">
      <w:start w:val="1"/>
      <w:numFmt w:val="bullet"/>
      <w:lvlText w:val=""/>
      <w:lvlJc w:val="left"/>
      <w:pPr>
        <w:ind w:left="2160" w:hanging="360"/>
      </w:pPr>
      <w:rPr>
        <w:rFonts w:ascii="Wingdings" w:hAnsi="Wingdings" w:hint="default"/>
      </w:rPr>
    </w:lvl>
    <w:lvl w:ilvl="3" w:tplc="6616D628" w:tentative="1">
      <w:start w:val="1"/>
      <w:numFmt w:val="bullet"/>
      <w:lvlText w:val=""/>
      <w:lvlJc w:val="left"/>
      <w:pPr>
        <w:ind w:left="2880" w:hanging="360"/>
      </w:pPr>
      <w:rPr>
        <w:rFonts w:ascii="Symbol" w:hAnsi="Symbol" w:hint="default"/>
      </w:rPr>
    </w:lvl>
    <w:lvl w:ilvl="4" w:tplc="7EA4C83C" w:tentative="1">
      <w:start w:val="1"/>
      <w:numFmt w:val="bullet"/>
      <w:lvlText w:val="o"/>
      <w:lvlJc w:val="left"/>
      <w:pPr>
        <w:ind w:left="3600" w:hanging="360"/>
      </w:pPr>
      <w:rPr>
        <w:rFonts w:ascii="Courier New" w:hAnsi="Courier New" w:cs="Courier New" w:hint="default"/>
      </w:rPr>
    </w:lvl>
    <w:lvl w:ilvl="5" w:tplc="4792057A" w:tentative="1">
      <w:start w:val="1"/>
      <w:numFmt w:val="bullet"/>
      <w:lvlText w:val=""/>
      <w:lvlJc w:val="left"/>
      <w:pPr>
        <w:ind w:left="4320" w:hanging="360"/>
      </w:pPr>
      <w:rPr>
        <w:rFonts w:ascii="Wingdings" w:hAnsi="Wingdings" w:hint="default"/>
      </w:rPr>
    </w:lvl>
    <w:lvl w:ilvl="6" w:tplc="77BCC5FC" w:tentative="1">
      <w:start w:val="1"/>
      <w:numFmt w:val="bullet"/>
      <w:lvlText w:val=""/>
      <w:lvlJc w:val="left"/>
      <w:pPr>
        <w:ind w:left="5040" w:hanging="360"/>
      </w:pPr>
      <w:rPr>
        <w:rFonts w:ascii="Symbol" w:hAnsi="Symbol" w:hint="default"/>
      </w:rPr>
    </w:lvl>
    <w:lvl w:ilvl="7" w:tplc="0C381C36" w:tentative="1">
      <w:start w:val="1"/>
      <w:numFmt w:val="bullet"/>
      <w:lvlText w:val="o"/>
      <w:lvlJc w:val="left"/>
      <w:pPr>
        <w:ind w:left="5760" w:hanging="360"/>
      </w:pPr>
      <w:rPr>
        <w:rFonts w:ascii="Courier New" w:hAnsi="Courier New" w:cs="Courier New" w:hint="default"/>
      </w:rPr>
    </w:lvl>
    <w:lvl w:ilvl="8" w:tplc="AA1ED21C"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D710293C">
      <w:start w:val="1"/>
      <w:numFmt w:val="bullet"/>
      <w:lvlText w:val=""/>
      <w:lvlJc w:val="left"/>
      <w:pPr>
        <w:ind w:left="720" w:hanging="360"/>
      </w:pPr>
      <w:rPr>
        <w:rFonts w:ascii="Symbol" w:hAnsi="Symbol" w:hint="default"/>
      </w:rPr>
    </w:lvl>
    <w:lvl w:ilvl="1" w:tplc="6EFC4AB8" w:tentative="1">
      <w:start w:val="1"/>
      <w:numFmt w:val="bullet"/>
      <w:lvlText w:val="o"/>
      <w:lvlJc w:val="left"/>
      <w:pPr>
        <w:ind w:left="1440" w:hanging="360"/>
      </w:pPr>
      <w:rPr>
        <w:rFonts w:ascii="Courier New" w:hAnsi="Courier New" w:cs="Courier New" w:hint="default"/>
      </w:rPr>
    </w:lvl>
    <w:lvl w:ilvl="2" w:tplc="C3A06784" w:tentative="1">
      <w:start w:val="1"/>
      <w:numFmt w:val="bullet"/>
      <w:lvlText w:val=""/>
      <w:lvlJc w:val="left"/>
      <w:pPr>
        <w:ind w:left="2160" w:hanging="360"/>
      </w:pPr>
      <w:rPr>
        <w:rFonts w:ascii="Wingdings" w:hAnsi="Wingdings" w:hint="default"/>
      </w:rPr>
    </w:lvl>
    <w:lvl w:ilvl="3" w:tplc="CB0E78E4" w:tentative="1">
      <w:start w:val="1"/>
      <w:numFmt w:val="bullet"/>
      <w:lvlText w:val=""/>
      <w:lvlJc w:val="left"/>
      <w:pPr>
        <w:ind w:left="2880" w:hanging="360"/>
      </w:pPr>
      <w:rPr>
        <w:rFonts w:ascii="Symbol" w:hAnsi="Symbol" w:hint="default"/>
      </w:rPr>
    </w:lvl>
    <w:lvl w:ilvl="4" w:tplc="5EBE391E" w:tentative="1">
      <w:start w:val="1"/>
      <w:numFmt w:val="bullet"/>
      <w:lvlText w:val="o"/>
      <w:lvlJc w:val="left"/>
      <w:pPr>
        <w:ind w:left="3600" w:hanging="360"/>
      </w:pPr>
      <w:rPr>
        <w:rFonts w:ascii="Courier New" w:hAnsi="Courier New" w:cs="Courier New" w:hint="default"/>
      </w:rPr>
    </w:lvl>
    <w:lvl w:ilvl="5" w:tplc="B24CAB12" w:tentative="1">
      <w:start w:val="1"/>
      <w:numFmt w:val="bullet"/>
      <w:lvlText w:val=""/>
      <w:lvlJc w:val="left"/>
      <w:pPr>
        <w:ind w:left="4320" w:hanging="360"/>
      </w:pPr>
      <w:rPr>
        <w:rFonts w:ascii="Wingdings" w:hAnsi="Wingdings" w:hint="default"/>
      </w:rPr>
    </w:lvl>
    <w:lvl w:ilvl="6" w:tplc="751C5164" w:tentative="1">
      <w:start w:val="1"/>
      <w:numFmt w:val="bullet"/>
      <w:lvlText w:val=""/>
      <w:lvlJc w:val="left"/>
      <w:pPr>
        <w:ind w:left="5040" w:hanging="360"/>
      </w:pPr>
      <w:rPr>
        <w:rFonts w:ascii="Symbol" w:hAnsi="Symbol" w:hint="default"/>
      </w:rPr>
    </w:lvl>
    <w:lvl w:ilvl="7" w:tplc="E27EAFA8" w:tentative="1">
      <w:start w:val="1"/>
      <w:numFmt w:val="bullet"/>
      <w:lvlText w:val="o"/>
      <w:lvlJc w:val="left"/>
      <w:pPr>
        <w:ind w:left="5760" w:hanging="360"/>
      </w:pPr>
      <w:rPr>
        <w:rFonts w:ascii="Courier New" w:hAnsi="Courier New" w:cs="Courier New" w:hint="default"/>
      </w:rPr>
    </w:lvl>
    <w:lvl w:ilvl="8" w:tplc="368A9684"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0840DD2E">
      <w:start w:val="1"/>
      <w:numFmt w:val="bullet"/>
      <w:lvlText w:val=""/>
      <w:lvlJc w:val="left"/>
      <w:pPr>
        <w:ind w:left="786" w:hanging="360"/>
      </w:pPr>
      <w:rPr>
        <w:rFonts w:ascii="Symbol" w:hAnsi="Symbol" w:hint="default"/>
        <w:color w:val="1E1544"/>
      </w:rPr>
    </w:lvl>
    <w:lvl w:ilvl="1" w:tplc="B7BAEEB8">
      <w:start w:val="1"/>
      <w:numFmt w:val="bullet"/>
      <w:lvlText w:val="o"/>
      <w:lvlJc w:val="left"/>
      <w:pPr>
        <w:ind w:left="1080" w:hanging="360"/>
      </w:pPr>
      <w:rPr>
        <w:rFonts w:ascii="Courier New" w:hAnsi="Courier New" w:cs="Courier New" w:hint="default"/>
      </w:rPr>
    </w:lvl>
    <w:lvl w:ilvl="2" w:tplc="A51CA884" w:tentative="1">
      <w:start w:val="1"/>
      <w:numFmt w:val="bullet"/>
      <w:lvlText w:val=""/>
      <w:lvlJc w:val="left"/>
      <w:pPr>
        <w:ind w:left="1800" w:hanging="360"/>
      </w:pPr>
      <w:rPr>
        <w:rFonts w:ascii="Wingdings" w:hAnsi="Wingdings" w:hint="default"/>
      </w:rPr>
    </w:lvl>
    <w:lvl w:ilvl="3" w:tplc="4860DBDA" w:tentative="1">
      <w:start w:val="1"/>
      <w:numFmt w:val="bullet"/>
      <w:lvlText w:val=""/>
      <w:lvlJc w:val="left"/>
      <w:pPr>
        <w:ind w:left="2520" w:hanging="360"/>
      </w:pPr>
      <w:rPr>
        <w:rFonts w:ascii="Symbol" w:hAnsi="Symbol" w:hint="default"/>
      </w:rPr>
    </w:lvl>
    <w:lvl w:ilvl="4" w:tplc="EF90EFF4" w:tentative="1">
      <w:start w:val="1"/>
      <w:numFmt w:val="bullet"/>
      <w:lvlText w:val="o"/>
      <w:lvlJc w:val="left"/>
      <w:pPr>
        <w:ind w:left="3240" w:hanging="360"/>
      </w:pPr>
      <w:rPr>
        <w:rFonts w:ascii="Courier New" w:hAnsi="Courier New" w:cs="Courier New" w:hint="default"/>
      </w:rPr>
    </w:lvl>
    <w:lvl w:ilvl="5" w:tplc="19A67F6E" w:tentative="1">
      <w:start w:val="1"/>
      <w:numFmt w:val="bullet"/>
      <w:lvlText w:val=""/>
      <w:lvlJc w:val="left"/>
      <w:pPr>
        <w:ind w:left="3960" w:hanging="360"/>
      </w:pPr>
      <w:rPr>
        <w:rFonts w:ascii="Wingdings" w:hAnsi="Wingdings" w:hint="default"/>
      </w:rPr>
    </w:lvl>
    <w:lvl w:ilvl="6" w:tplc="0CE2ABD8" w:tentative="1">
      <w:start w:val="1"/>
      <w:numFmt w:val="bullet"/>
      <w:lvlText w:val=""/>
      <w:lvlJc w:val="left"/>
      <w:pPr>
        <w:ind w:left="4680" w:hanging="360"/>
      </w:pPr>
      <w:rPr>
        <w:rFonts w:ascii="Symbol" w:hAnsi="Symbol" w:hint="default"/>
      </w:rPr>
    </w:lvl>
    <w:lvl w:ilvl="7" w:tplc="0C882290" w:tentative="1">
      <w:start w:val="1"/>
      <w:numFmt w:val="bullet"/>
      <w:lvlText w:val="o"/>
      <w:lvlJc w:val="left"/>
      <w:pPr>
        <w:ind w:left="5400" w:hanging="360"/>
      </w:pPr>
      <w:rPr>
        <w:rFonts w:ascii="Courier New" w:hAnsi="Courier New" w:cs="Courier New" w:hint="default"/>
      </w:rPr>
    </w:lvl>
    <w:lvl w:ilvl="8" w:tplc="4C5A9EEE"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F62A583C">
      <w:numFmt w:val="bullet"/>
      <w:lvlText w:val="○"/>
      <w:lvlJc w:val="left"/>
      <w:pPr>
        <w:ind w:left="1582" w:hanging="720"/>
      </w:pPr>
      <w:rPr>
        <w:rFonts w:ascii="Arial" w:eastAsiaTheme="minorHAnsi" w:hAnsi="Arial" w:hint="default"/>
      </w:rPr>
    </w:lvl>
    <w:lvl w:ilvl="1" w:tplc="739E15EA" w:tentative="1">
      <w:start w:val="1"/>
      <w:numFmt w:val="bullet"/>
      <w:lvlText w:val="o"/>
      <w:lvlJc w:val="left"/>
      <w:pPr>
        <w:ind w:left="1582" w:hanging="360"/>
      </w:pPr>
      <w:rPr>
        <w:rFonts w:ascii="Courier New" w:hAnsi="Courier New" w:cs="Courier New" w:hint="default"/>
      </w:rPr>
    </w:lvl>
    <w:lvl w:ilvl="2" w:tplc="3962F6C0" w:tentative="1">
      <w:start w:val="1"/>
      <w:numFmt w:val="bullet"/>
      <w:lvlText w:val=""/>
      <w:lvlJc w:val="left"/>
      <w:pPr>
        <w:ind w:left="2302" w:hanging="360"/>
      </w:pPr>
      <w:rPr>
        <w:rFonts w:ascii="Wingdings" w:hAnsi="Wingdings" w:hint="default"/>
      </w:rPr>
    </w:lvl>
    <w:lvl w:ilvl="3" w:tplc="BABA24DA" w:tentative="1">
      <w:start w:val="1"/>
      <w:numFmt w:val="bullet"/>
      <w:lvlText w:val=""/>
      <w:lvlJc w:val="left"/>
      <w:pPr>
        <w:ind w:left="3022" w:hanging="360"/>
      </w:pPr>
      <w:rPr>
        <w:rFonts w:ascii="Symbol" w:hAnsi="Symbol" w:hint="default"/>
      </w:rPr>
    </w:lvl>
    <w:lvl w:ilvl="4" w:tplc="18388878" w:tentative="1">
      <w:start w:val="1"/>
      <w:numFmt w:val="bullet"/>
      <w:lvlText w:val="o"/>
      <w:lvlJc w:val="left"/>
      <w:pPr>
        <w:ind w:left="3742" w:hanging="360"/>
      </w:pPr>
      <w:rPr>
        <w:rFonts w:ascii="Courier New" w:hAnsi="Courier New" w:cs="Courier New" w:hint="default"/>
      </w:rPr>
    </w:lvl>
    <w:lvl w:ilvl="5" w:tplc="FF38A2D0" w:tentative="1">
      <w:start w:val="1"/>
      <w:numFmt w:val="bullet"/>
      <w:lvlText w:val=""/>
      <w:lvlJc w:val="left"/>
      <w:pPr>
        <w:ind w:left="4462" w:hanging="360"/>
      </w:pPr>
      <w:rPr>
        <w:rFonts w:ascii="Wingdings" w:hAnsi="Wingdings" w:hint="default"/>
      </w:rPr>
    </w:lvl>
    <w:lvl w:ilvl="6" w:tplc="80944592" w:tentative="1">
      <w:start w:val="1"/>
      <w:numFmt w:val="bullet"/>
      <w:lvlText w:val=""/>
      <w:lvlJc w:val="left"/>
      <w:pPr>
        <w:ind w:left="5182" w:hanging="360"/>
      </w:pPr>
      <w:rPr>
        <w:rFonts w:ascii="Symbol" w:hAnsi="Symbol" w:hint="default"/>
      </w:rPr>
    </w:lvl>
    <w:lvl w:ilvl="7" w:tplc="6DF83BE8" w:tentative="1">
      <w:start w:val="1"/>
      <w:numFmt w:val="bullet"/>
      <w:lvlText w:val="o"/>
      <w:lvlJc w:val="left"/>
      <w:pPr>
        <w:ind w:left="5902" w:hanging="360"/>
      </w:pPr>
      <w:rPr>
        <w:rFonts w:ascii="Courier New" w:hAnsi="Courier New" w:cs="Courier New" w:hint="default"/>
      </w:rPr>
    </w:lvl>
    <w:lvl w:ilvl="8" w:tplc="894A84C0"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E1A62260">
      <w:start w:val="1"/>
      <w:numFmt w:val="bullet"/>
      <w:lvlText w:val=""/>
      <w:lvlJc w:val="left"/>
      <w:pPr>
        <w:ind w:left="720" w:hanging="360"/>
      </w:pPr>
      <w:rPr>
        <w:rFonts w:ascii="Symbol" w:hAnsi="Symbol" w:hint="default"/>
      </w:rPr>
    </w:lvl>
    <w:lvl w:ilvl="1" w:tplc="0A9A368A" w:tentative="1">
      <w:start w:val="1"/>
      <w:numFmt w:val="bullet"/>
      <w:lvlText w:val="o"/>
      <w:lvlJc w:val="left"/>
      <w:pPr>
        <w:ind w:left="1440" w:hanging="360"/>
      </w:pPr>
      <w:rPr>
        <w:rFonts w:ascii="Courier New" w:hAnsi="Courier New" w:cs="Courier New" w:hint="default"/>
      </w:rPr>
    </w:lvl>
    <w:lvl w:ilvl="2" w:tplc="9780975E" w:tentative="1">
      <w:start w:val="1"/>
      <w:numFmt w:val="bullet"/>
      <w:lvlText w:val=""/>
      <w:lvlJc w:val="left"/>
      <w:pPr>
        <w:ind w:left="2160" w:hanging="360"/>
      </w:pPr>
      <w:rPr>
        <w:rFonts w:ascii="Wingdings" w:hAnsi="Wingdings" w:hint="default"/>
      </w:rPr>
    </w:lvl>
    <w:lvl w:ilvl="3" w:tplc="725E1396" w:tentative="1">
      <w:start w:val="1"/>
      <w:numFmt w:val="bullet"/>
      <w:lvlText w:val=""/>
      <w:lvlJc w:val="left"/>
      <w:pPr>
        <w:ind w:left="2880" w:hanging="360"/>
      </w:pPr>
      <w:rPr>
        <w:rFonts w:ascii="Symbol" w:hAnsi="Symbol" w:hint="default"/>
      </w:rPr>
    </w:lvl>
    <w:lvl w:ilvl="4" w:tplc="B0009714" w:tentative="1">
      <w:start w:val="1"/>
      <w:numFmt w:val="bullet"/>
      <w:lvlText w:val="o"/>
      <w:lvlJc w:val="left"/>
      <w:pPr>
        <w:ind w:left="3600" w:hanging="360"/>
      </w:pPr>
      <w:rPr>
        <w:rFonts w:ascii="Courier New" w:hAnsi="Courier New" w:cs="Courier New" w:hint="default"/>
      </w:rPr>
    </w:lvl>
    <w:lvl w:ilvl="5" w:tplc="61D6C134" w:tentative="1">
      <w:start w:val="1"/>
      <w:numFmt w:val="bullet"/>
      <w:lvlText w:val=""/>
      <w:lvlJc w:val="left"/>
      <w:pPr>
        <w:ind w:left="4320" w:hanging="360"/>
      </w:pPr>
      <w:rPr>
        <w:rFonts w:ascii="Wingdings" w:hAnsi="Wingdings" w:hint="default"/>
      </w:rPr>
    </w:lvl>
    <w:lvl w:ilvl="6" w:tplc="83B4F91E" w:tentative="1">
      <w:start w:val="1"/>
      <w:numFmt w:val="bullet"/>
      <w:lvlText w:val=""/>
      <w:lvlJc w:val="left"/>
      <w:pPr>
        <w:ind w:left="5040" w:hanging="360"/>
      </w:pPr>
      <w:rPr>
        <w:rFonts w:ascii="Symbol" w:hAnsi="Symbol" w:hint="default"/>
      </w:rPr>
    </w:lvl>
    <w:lvl w:ilvl="7" w:tplc="8932D13A" w:tentative="1">
      <w:start w:val="1"/>
      <w:numFmt w:val="bullet"/>
      <w:lvlText w:val="o"/>
      <w:lvlJc w:val="left"/>
      <w:pPr>
        <w:ind w:left="5760" w:hanging="360"/>
      </w:pPr>
      <w:rPr>
        <w:rFonts w:ascii="Courier New" w:hAnsi="Courier New" w:cs="Courier New" w:hint="default"/>
      </w:rPr>
    </w:lvl>
    <w:lvl w:ilvl="8" w:tplc="5154650C"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D05E3BAA">
      <w:numFmt w:val="bullet"/>
      <w:lvlText w:val="•"/>
      <w:lvlJc w:val="left"/>
      <w:pPr>
        <w:ind w:left="720" w:hanging="720"/>
      </w:pPr>
      <w:rPr>
        <w:rFonts w:ascii="Arial" w:eastAsiaTheme="minorHAnsi" w:hAnsi="Arial" w:cs="Arial" w:hint="default"/>
      </w:rPr>
    </w:lvl>
    <w:lvl w:ilvl="1" w:tplc="730E7714" w:tentative="1">
      <w:start w:val="1"/>
      <w:numFmt w:val="bullet"/>
      <w:lvlText w:val="o"/>
      <w:lvlJc w:val="left"/>
      <w:pPr>
        <w:ind w:left="1080" w:hanging="360"/>
      </w:pPr>
      <w:rPr>
        <w:rFonts w:ascii="Courier New" w:hAnsi="Courier New" w:cs="Courier New" w:hint="default"/>
      </w:rPr>
    </w:lvl>
    <w:lvl w:ilvl="2" w:tplc="A0D2496E" w:tentative="1">
      <w:start w:val="1"/>
      <w:numFmt w:val="bullet"/>
      <w:lvlText w:val=""/>
      <w:lvlJc w:val="left"/>
      <w:pPr>
        <w:ind w:left="1800" w:hanging="360"/>
      </w:pPr>
      <w:rPr>
        <w:rFonts w:ascii="Wingdings" w:hAnsi="Wingdings" w:hint="default"/>
      </w:rPr>
    </w:lvl>
    <w:lvl w:ilvl="3" w:tplc="94CE468C" w:tentative="1">
      <w:start w:val="1"/>
      <w:numFmt w:val="bullet"/>
      <w:lvlText w:val=""/>
      <w:lvlJc w:val="left"/>
      <w:pPr>
        <w:ind w:left="2520" w:hanging="360"/>
      </w:pPr>
      <w:rPr>
        <w:rFonts w:ascii="Symbol" w:hAnsi="Symbol" w:hint="default"/>
      </w:rPr>
    </w:lvl>
    <w:lvl w:ilvl="4" w:tplc="D312E41E" w:tentative="1">
      <w:start w:val="1"/>
      <w:numFmt w:val="bullet"/>
      <w:lvlText w:val="o"/>
      <w:lvlJc w:val="left"/>
      <w:pPr>
        <w:ind w:left="3240" w:hanging="360"/>
      </w:pPr>
      <w:rPr>
        <w:rFonts w:ascii="Courier New" w:hAnsi="Courier New" w:cs="Courier New" w:hint="default"/>
      </w:rPr>
    </w:lvl>
    <w:lvl w:ilvl="5" w:tplc="14E85D50" w:tentative="1">
      <w:start w:val="1"/>
      <w:numFmt w:val="bullet"/>
      <w:lvlText w:val=""/>
      <w:lvlJc w:val="left"/>
      <w:pPr>
        <w:ind w:left="3960" w:hanging="360"/>
      </w:pPr>
      <w:rPr>
        <w:rFonts w:ascii="Wingdings" w:hAnsi="Wingdings" w:hint="default"/>
      </w:rPr>
    </w:lvl>
    <w:lvl w:ilvl="6" w:tplc="4C326AE2" w:tentative="1">
      <w:start w:val="1"/>
      <w:numFmt w:val="bullet"/>
      <w:lvlText w:val=""/>
      <w:lvlJc w:val="left"/>
      <w:pPr>
        <w:ind w:left="4680" w:hanging="360"/>
      </w:pPr>
      <w:rPr>
        <w:rFonts w:ascii="Symbol" w:hAnsi="Symbol" w:hint="default"/>
      </w:rPr>
    </w:lvl>
    <w:lvl w:ilvl="7" w:tplc="F9641404" w:tentative="1">
      <w:start w:val="1"/>
      <w:numFmt w:val="bullet"/>
      <w:lvlText w:val="o"/>
      <w:lvlJc w:val="left"/>
      <w:pPr>
        <w:ind w:left="5400" w:hanging="360"/>
      </w:pPr>
      <w:rPr>
        <w:rFonts w:ascii="Courier New" w:hAnsi="Courier New" w:cs="Courier New" w:hint="default"/>
      </w:rPr>
    </w:lvl>
    <w:lvl w:ilvl="8" w:tplc="64C40A16"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A3E04566">
      <w:start w:val="1"/>
      <w:numFmt w:val="bullet"/>
      <w:lvlText w:val=""/>
      <w:lvlJc w:val="left"/>
      <w:pPr>
        <w:ind w:left="360" w:hanging="360"/>
      </w:pPr>
      <w:rPr>
        <w:rFonts w:ascii="Symbol" w:hAnsi="Symbol" w:hint="default"/>
        <w:color w:val="2AB1BB" w:themeColor="accent1"/>
      </w:rPr>
    </w:lvl>
    <w:lvl w:ilvl="1" w:tplc="B9E8B2CC" w:tentative="1">
      <w:start w:val="1"/>
      <w:numFmt w:val="bullet"/>
      <w:lvlText w:val="o"/>
      <w:lvlJc w:val="left"/>
      <w:pPr>
        <w:ind w:left="1080" w:hanging="360"/>
      </w:pPr>
      <w:rPr>
        <w:rFonts w:ascii="Courier New" w:hAnsi="Courier New" w:cs="Courier New" w:hint="default"/>
      </w:rPr>
    </w:lvl>
    <w:lvl w:ilvl="2" w:tplc="F3AC989C" w:tentative="1">
      <w:start w:val="1"/>
      <w:numFmt w:val="bullet"/>
      <w:lvlText w:val=""/>
      <w:lvlJc w:val="left"/>
      <w:pPr>
        <w:ind w:left="1800" w:hanging="360"/>
      </w:pPr>
      <w:rPr>
        <w:rFonts w:ascii="Wingdings" w:hAnsi="Wingdings" w:hint="default"/>
      </w:rPr>
    </w:lvl>
    <w:lvl w:ilvl="3" w:tplc="06EA9900" w:tentative="1">
      <w:start w:val="1"/>
      <w:numFmt w:val="bullet"/>
      <w:lvlText w:val=""/>
      <w:lvlJc w:val="left"/>
      <w:pPr>
        <w:ind w:left="2520" w:hanging="360"/>
      </w:pPr>
      <w:rPr>
        <w:rFonts w:ascii="Symbol" w:hAnsi="Symbol" w:hint="default"/>
      </w:rPr>
    </w:lvl>
    <w:lvl w:ilvl="4" w:tplc="1BE4524C" w:tentative="1">
      <w:start w:val="1"/>
      <w:numFmt w:val="bullet"/>
      <w:lvlText w:val="o"/>
      <w:lvlJc w:val="left"/>
      <w:pPr>
        <w:ind w:left="3240" w:hanging="360"/>
      </w:pPr>
      <w:rPr>
        <w:rFonts w:ascii="Courier New" w:hAnsi="Courier New" w:cs="Courier New" w:hint="default"/>
      </w:rPr>
    </w:lvl>
    <w:lvl w:ilvl="5" w:tplc="7C6CC03C" w:tentative="1">
      <w:start w:val="1"/>
      <w:numFmt w:val="bullet"/>
      <w:lvlText w:val=""/>
      <w:lvlJc w:val="left"/>
      <w:pPr>
        <w:ind w:left="3960" w:hanging="360"/>
      </w:pPr>
      <w:rPr>
        <w:rFonts w:ascii="Wingdings" w:hAnsi="Wingdings" w:hint="default"/>
      </w:rPr>
    </w:lvl>
    <w:lvl w:ilvl="6" w:tplc="54EC62E6" w:tentative="1">
      <w:start w:val="1"/>
      <w:numFmt w:val="bullet"/>
      <w:lvlText w:val=""/>
      <w:lvlJc w:val="left"/>
      <w:pPr>
        <w:ind w:left="4680" w:hanging="360"/>
      </w:pPr>
      <w:rPr>
        <w:rFonts w:ascii="Symbol" w:hAnsi="Symbol" w:hint="default"/>
      </w:rPr>
    </w:lvl>
    <w:lvl w:ilvl="7" w:tplc="AA7E3236" w:tentative="1">
      <w:start w:val="1"/>
      <w:numFmt w:val="bullet"/>
      <w:lvlText w:val="o"/>
      <w:lvlJc w:val="left"/>
      <w:pPr>
        <w:ind w:left="5400" w:hanging="360"/>
      </w:pPr>
      <w:rPr>
        <w:rFonts w:ascii="Courier New" w:hAnsi="Courier New" w:cs="Courier New" w:hint="default"/>
      </w:rPr>
    </w:lvl>
    <w:lvl w:ilvl="8" w:tplc="8F6A61F8"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092A071E">
      <w:numFmt w:val="bullet"/>
      <w:lvlText w:val="-"/>
      <w:lvlJc w:val="left"/>
      <w:pPr>
        <w:ind w:left="720" w:hanging="360"/>
      </w:pPr>
      <w:rPr>
        <w:rFonts w:ascii="Calibri" w:eastAsia="Calibri" w:hAnsi="Calibri" w:cs="Calibri" w:hint="default"/>
      </w:rPr>
    </w:lvl>
    <w:lvl w:ilvl="1" w:tplc="79C2A068">
      <w:start w:val="1"/>
      <w:numFmt w:val="bullet"/>
      <w:lvlText w:val="o"/>
      <w:lvlJc w:val="left"/>
      <w:pPr>
        <w:ind w:left="1440" w:hanging="360"/>
      </w:pPr>
      <w:rPr>
        <w:rFonts w:ascii="Courier New" w:hAnsi="Courier New" w:cs="Courier New" w:hint="default"/>
      </w:rPr>
    </w:lvl>
    <w:lvl w:ilvl="2" w:tplc="5D84FDF6">
      <w:start w:val="1"/>
      <w:numFmt w:val="bullet"/>
      <w:lvlText w:val=""/>
      <w:lvlJc w:val="left"/>
      <w:pPr>
        <w:ind w:left="2160" w:hanging="360"/>
      </w:pPr>
      <w:rPr>
        <w:rFonts w:ascii="Wingdings" w:hAnsi="Wingdings" w:hint="default"/>
      </w:rPr>
    </w:lvl>
    <w:lvl w:ilvl="3" w:tplc="8E48F908">
      <w:start w:val="1"/>
      <w:numFmt w:val="bullet"/>
      <w:lvlText w:val=""/>
      <w:lvlJc w:val="left"/>
      <w:pPr>
        <w:ind w:left="2880" w:hanging="360"/>
      </w:pPr>
      <w:rPr>
        <w:rFonts w:ascii="Symbol" w:hAnsi="Symbol" w:hint="default"/>
      </w:rPr>
    </w:lvl>
    <w:lvl w:ilvl="4" w:tplc="40EAB75E">
      <w:start w:val="1"/>
      <w:numFmt w:val="bullet"/>
      <w:lvlText w:val="o"/>
      <w:lvlJc w:val="left"/>
      <w:pPr>
        <w:ind w:left="3600" w:hanging="360"/>
      </w:pPr>
      <w:rPr>
        <w:rFonts w:ascii="Courier New" w:hAnsi="Courier New" w:cs="Courier New" w:hint="default"/>
      </w:rPr>
    </w:lvl>
    <w:lvl w:ilvl="5" w:tplc="17EAF496">
      <w:start w:val="1"/>
      <w:numFmt w:val="bullet"/>
      <w:lvlText w:val=""/>
      <w:lvlJc w:val="left"/>
      <w:pPr>
        <w:ind w:left="4320" w:hanging="360"/>
      </w:pPr>
      <w:rPr>
        <w:rFonts w:ascii="Wingdings" w:hAnsi="Wingdings" w:hint="default"/>
      </w:rPr>
    </w:lvl>
    <w:lvl w:ilvl="6" w:tplc="B30208E6">
      <w:start w:val="1"/>
      <w:numFmt w:val="bullet"/>
      <w:lvlText w:val=""/>
      <w:lvlJc w:val="left"/>
      <w:pPr>
        <w:ind w:left="5040" w:hanging="360"/>
      </w:pPr>
      <w:rPr>
        <w:rFonts w:ascii="Symbol" w:hAnsi="Symbol" w:hint="default"/>
      </w:rPr>
    </w:lvl>
    <w:lvl w:ilvl="7" w:tplc="A6FCA092">
      <w:start w:val="1"/>
      <w:numFmt w:val="bullet"/>
      <w:lvlText w:val="o"/>
      <w:lvlJc w:val="left"/>
      <w:pPr>
        <w:ind w:left="5760" w:hanging="360"/>
      </w:pPr>
      <w:rPr>
        <w:rFonts w:ascii="Courier New" w:hAnsi="Courier New" w:cs="Courier New" w:hint="default"/>
      </w:rPr>
    </w:lvl>
    <w:lvl w:ilvl="8" w:tplc="957C491C">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24A65106">
      <w:start w:val="1"/>
      <w:numFmt w:val="bullet"/>
      <w:lvlText w:val=""/>
      <w:lvlJc w:val="left"/>
      <w:pPr>
        <w:ind w:left="360" w:hanging="360"/>
      </w:pPr>
      <w:rPr>
        <w:rFonts w:ascii="Symbol" w:hAnsi="Symbol" w:hint="default"/>
        <w:color w:val="2AB1BB" w:themeColor="accent1"/>
      </w:rPr>
    </w:lvl>
    <w:lvl w:ilvl="1" w:tplc="A6626C58" w:tentative="1">
      <w:start w:val="1"/>
      <w:numFmt w:val="bullet"/>
      <w:lvlText w:val="o"/>
      <w:lvlJc w:val="left"/>
      <w:pPr>
        <w:ind w:left="1080" w:hanging="360"/>
      </w:pPr>
      <w:rPr>
        <w:rFonts w:ascii="Courier New" w:hAnsi="Courier New" w:cs="Courier New" w:hint="default"/>
      </w:rPr>
    </w:lvl>
    <w:lvl w:ilvl="2" w:tplc="C8E47436" w:tentative="1">
      <w:start w:val="1"/>
      <w:numFmt w:val="bullet"/>
      <w:lvlText w:val=""/>
      <w:lvlJc w:val="left"/>
      <w:pPr>
        <w:ind w:left="1800" w:hanging="360"/>
      </w:pPr>
      <w:rPr>
        <w:rFonts w:ascii="Wingdings" w:hAnsi="Wingdings" w:hint="default"/>
      </w:rPr>
    </w:lvl>
    <w:lvl w:ilvl="3" w:tplc="BCCC8200" w:tentative="1">
      <w:start w:val="1"/>
      <w:numFmt w:val="bullet"/>
      <w:lvlText w:val=""/>
      <w:lvlJc w:val="left"/>
      <w:pPr>
        <w:ind w:left="2520" w:hanging="360"/>
      </w:pPr>
      <w:rPr>
        <w:rFonts w:ascii="Symbol" w:hAnsi="Symbol" w:hint="default"/>
      </w:rPr>
    </w:lvl>
    <w:lvl w:ilvl="4" w:tplc="D5FA8398" w:tentative="1">
      <w:start w:val="1"/>
      <w:numFmt w:val="bullet"/>
      <w:lvlText w:val="o"/>
      <w:lvlJc w:val="left"/>
      <w:pPr>
        <w:ind w:left="3240" w:hanging="360"/>
      </w:pPr>
      <w:rPr>
        <w:rFonts w:ascii="Courier New" w:hAnsi="Courier New" w:cs="Courier New" w:hint="default"/>
      </w:rPr>
    </w:lvl>
    <w:lvl w:ilvl="5" w:tplc="CCD6EC02" w:tentative="1">
      <w:start w:val="1"/>
      <w:numFmt w:val="bullet"/>
      <w:lvlText w:val=""/>
      <w:lvlJc w:val="left"/>
      <w:pPr>
        <w:ind w:left="3960" w:hanging="360"/>
      </w:pPr>
      <w:rPr>
        <w:rFonts w:ascii="Wingdings" w:hAnsi="Wingdings" w:hint="default"/>
      </w:rPr>
    </w:lvl>
    <w:lvl w:ilvl="6" w:tplc="9ADA36AA" w:tentative="1">
      <w:start w:val="1"/>
      <w:numFmt w:val="bullet"/>
      <w:lvlText w:val=""/>
      <w:lvlJc w:val="left"/>
      <w:pPr>
        <w:ind w:left="4680" w:hanging="360"/>
      </w:pPr>
      <w:rPr>
        <w:rFonts w:ascii="Symbol" w:hAnsi="Symbol" w:hint="default"/>
      </w:rPr>
    </w:lvl>
    <w:lvl w:ilvl="7" w:tplc="A476EA84" w:tentative="1">
      <w:start w:val="1"/>
      <w:numFmt w:val="bullet"/>
      <w:lvlText w:val="o"/>
      <w:lvlJc w:val="left"/>
      <w:pPr>
        <w:ind w:left="5400" w:hanging="360"/>
      </w:pPr>
      <w:rPr>
        <w:rFonts w:ascii="Courier New" w:hAnsi="Courier New" w:cs="Courier New" w:hint="default"/>
      </w:rPr>
    </w:lvl>
    <w:lvl w:ilvl="8" w:tplc="8840A34A"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E01EA4C4">
      <w:start w:val="1"/>
      <w:numFmt w:val="bullet"/>
      <w:lvlText w:val=""/>
      <w:lvlJc w:val="left"/>
      <w:pPr>
        <w:ind w:left="720" w:hanging="360"/>
      </w:pPr>
      <w:rPr>
        <w:rFonts w:ascii="Symbol" w:hAnsi="Symbol" w:hint="default"/>
      </w:rPr>
    </w:lvl>
    <w:lvl w:ilvl="1" w:tplc="6A2214A6" w:tentative="1">
      <w:start w:val="1"/>
      <w:numFmt w:val="bullet"/>
      <w:lvlText w:val="o"/>
      <w:lvlJc w:val="left"/>
      <w:pPr>
        <w:ind w:left="1440" w:hanging="360"/>
      </w:pPr>
      <w:rPr>
        <w:rFonts w:ascii="Courier New" w:hAnsi="Courier New" w:cs="Courier New" w:hint="default"/>
      </w:rPr>
    </w:lvl>
    <w:lvl w:ilvl="2" w:tplc="9572A1F4" w:tentative="1">
      <w:start w:val="1"/>
      <w:numFmt w:val="bullet"/>
      <w:lvlText w:val=""/>
      <w:lvlJc w:val="left"/>
      <w:pPr>
        <w:ind w:left="2160" w:hanging="360"/>
      </w:pPr>
      <w:rPr>
        <w:rFonts w:ascii="Wingdings" w:hAnsi="Wingdings" w:hint="default"/>
      </w:rPr>
    </w:lvl>
    <w:lvl w:ilvl="3" w:tplc="823229B8" w:tentative="1">
      <w:start w:val="1"/>
      <w:numFmt w:val="bullet"/>
      <w:lvlText w:val=""/>
      <w:lvlJc w:val="left"/>
      <w:pPr>
        <w:ind w:left="2880" w:hanging="360"/>
      </w:pPr>
      <w:rPr>
        <w:rFonts w:ascii="Symbol" w:hAnsi="Symbol" w:hint="default"/>
      </w:rPr>
    </w:lvl>
    <w:lvl w:ilvl="4" w:tplc="BAE46F60" w:tentative="1">
      <w:start w:val="1"/>
      <w:numFmt w:val="bullet"/>
      <w:lvlText w:val="o"/>
      <w:lvlJc w:val="left"/>
      <w:pPr>
        <w:ind w:left="3600" w:hanging="360"/>
      </w:pPr>
      <w:rPr>
        <w:rFonts w:ascii="Courier New" w:hAnsi="Courier New" w:cs="Courier New" w:hint="default"/>
      </w:rPr>
    </w:lvl>
    <w:lvl w:ilvl="5" w:tplc="3F868C10" w:tentative="1">
      <w:start w:val="1"/>
      <w:numFmt w:val="bullet"/>
      <w:lvlText w:val=""/>
      <w:lvlJc w:val="left"/>
      <w:pPr>
        <w:ind w:left="4320" w:hanging="360"/>
      </w:pPr>
      <w:rPr>
        <w:rFonts w:ascii="Wingdings" w:hAnsi="Wingdings" w:hint="default"/>
      </w:rPr>
    </w:lvl>
    <w:lvl w:ilvl="6" w:tplc="AD76F556" w:tentative="1">
      <w:start w:val="1"/>
      <w:numFmt w:val="bullet"/>
      <w:lvlText w:val=""/>
      <w:lvlJc w:val="left"/>
      <w:pPr>
        <w:ind w:left="5040" w:hanging="360"/>
      </w:pPr>
      <w:rPr>
        <w:rFonts w:ascii="Symbol" w:hAnsi="Symbol" w:hint="default"/>
      </w:rPr>
    </w:lvl>
    <w:lvl w:ilvl="7" w:tplc="7236FB68" w:tentative="1">
      <w:start w:val="1"/>
      <w:numFmt w:val="bullet"/>
      <w:lvlText w:val="o"/>
      <w:lvlJc w:val="left"/>
      <w:pPr>
        <w:ind w:left="5760" w:hanging="360"/>
      </w:pPr>
      <w:rPr>
        <w:rFonts w:ascii="Courier New" w:hAnsi="Courier New" w:cs="Courier New" w:hint="default"/>
      </w:rPr>
    </w:lvl>
    <w:lvl w:ilvl="8" w:tplc="603A2BA4"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5BFE8C7E">
      <w:start w:val="1"/>
      <w:numFmt w:val="bullet"/>
      <w:lvlText w:val=""/>
      <w:lvlJc w:val="left"/>
      <w:pPr>
        <w:ind w:left="360" w:hanging="360"/>
      </w:pPr>
      <w:rPr>
        <w:rFonts w:ascii="Symbol" w:hAnsi="Symbol" w:hint="default"/>
      </w:rPr>
    </w:lvl>
    <w:lvl w:ilvl="1" w:tplc="424CACC6">
      <w:start w:val="1"/>
      <w:numFmt w:val="bullet"/>
      <w:lvlText w:val="o"/>
      <w:lvlJc w:val="left"/>
      <w:pPr>
        <w:ind w:left="1080" w:hanging="360"/>
      </w:pPr>
      <w:rPr>
        <w:rFonts w:ascii="Courier New" w:hAnsi="Courier New" w:cs="Courier New" w:hint="default"/>
      </w:rPr>
    </w:lvl>
    <w:lvl w:ilvl="2" w:tplc="AB5C6BA4">
      <w:start w:val="1"/>
      <w:numFmt w:val="bullet"/>
      <w:lvlText w:val=""/>
      <w:lvlJc w:val="left"/>
      <w:pPr>
        <w:ind w:left="1800" w:hanging="360"/>
      </w:pPr>
      <w:rPr>
        <w:rFonts w:ascii="Wingdings" w:hAnsi="Wingdings" w:hint="default"/>
      </w:rPr>
    </w:lvl>
    <w:lvl w:ilvl="3" w:tplc="06C4C8CA" w:tentative="1">
      <w:start w:val="1"/>
      <w:numFmt w:val="bullet"/>
      <w:lvlText w:val=""/>
      <w:lvlJc w:val="left"/>
      <w:pPr>
        <w:ind w:left="2520" w:hanging="360"/>
      </w:pPr>
      <w:rPr>
        <w:rFonts w:ascii="Symbol" w:hAnsi="Symbol" w:hint="default"/>
      </w:rPr>
    </w:lvl>
    <w:lvl w:ilvl="4" w:tplc="89588EA0" w:tentative="1">
      <w:start w:val="1"/>
      <w:numFmt w:val="bullet"/>
      <w:lvlText w:val="o"/>
      <w:lvlJc w:val="left"/>
      <w:pPr>
        <w:ind w:left="3240" w:hanging="360"/>
      </w:pPr>
      <w:rPr>
        <w:rFonts w:ascii="Courier New" w:hAnsi="Courier New" w:cs="Courier New" w:hint="default"/>
      </w:rPr>
    </w:lvl>
    <w:lvl w:ilvl="5" w:tplc="F3F821FA" w:tentative="1">
      <w:start w:val="1"/>
      <w:numFmt w:val="bullet"/>
      <w:lvlText w:val=""/>
      <w:lvlJc w:val="left"/>
      <w:pPr>
        <w:ind w:left="3960" w:hanging="360"/>
      </w:pPr>
      <w:rPr>
        <w:rFonts w:ascii="Wingdings" w:hAnsi="Wingdings" w:hint="default"/>
      </w:rPr>
    </w:lvl>
    <w:lvl w:ilvl="6" w:tplc="DBA6E8AA" w:tentative="1">
      <w:start w:val="1"/>
      <w:numFmt w:val="bullet"/>
      <w:lvlText w:val=""/>
      <w:lvlJc w:val="left"/>
      <w:pPr>
        <w:ind w:left="4680" w:hanging="360"/>
      </w:pPr>
      <w:rPr>
        <w:rFonts w:ascii="Symbol" w:hAnsi="Symbol" w:hint="default"/>
      </w:rPr>
    </w:lvl>
    <w:lvl w:ilvl="7" w:tplc="6276CB60" w:tentative="1">
      <w:start w:val="1"/>
      <w:numFmt w:val="bullet"/>
      <w:lvlText w:val="o"/>
      <w:lvlJc w:val="left"/>
      <w:pPr>
        <w:ind w:left="5400" w:hanging="360"/>
      </w:pPr>
      <w:rPr>
        <w:rFonts w:ascii="Courier New" w:hAnsi="Courier New" w:cs="Courier New" w:hint="default"/>
      </w:rPr>
    </w:lvl>
    <w:lvl w:ilvl="8" w:tplc="D97CEA32"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3E7C7802">
      <w:start w:val="1"/>
      <w:numFmt w:val="bullet"/>
      <w:lvlText w:val=""/>
      <w:lvlJc w:val="left"/>
      <w:pPr>
        <w:ind w:left="720" w:hanging="360"/>
      </w:pPr>
      <w:rPr>
        <w:rFonts w:ascii="Symbol" w:hAnsi="Symbol" w:hint="default"/>
        <w:color w:val="2AB1BB" w:themeColor="accent1"/>
      </w:rPr>
    </w:lvl>
    <w:lvl w:ilvl="1" w:tplc="87647C54" w:tentative="1">
      <w:start w:val="1"/>
      <w:numFmt w:val="bullet"/>
      <w:lvlText w:val="o"/>
      <w:lvlJc w:val="left"/>
      <w:pPr>
        <w:ind w:left="1440" w:hanging="360"/>
      </w:pPr>
      <w:rPr>
        <w:rFonts w:ascii="Courier New" w:hAnsi="Courier New" w:cs="Courier New" w:hint="default"/>
      </w:rPr>
    </w:lvl>
    <w:lvl w:ilvl="2" w:tplc="303862F6" w:tentative="1">
      <w:start w:val="1"/>
      <w:numFmt w:val="bullet"/>
      <w:lvlText w:val=""/>
      <w:lvlJc w:val="left"/>
      <w:pPr>
        <w:ind w:left="2160" w:hanging="360"/>
      </w:pPr>
      <w:rPr>
        <w:rFonts w:ascii="Wingdings" w:hAnsi="Wingdings" w:hint="default"/>
      </w:rPr>
    </w:lvl>
    <w:lvl w:ilvl="3" w:tplc="068C786E" w:tentative="1">
      <w:start w:val="1"/>
      <w:numFmt w:val="bullet"/>
      <w:lvlText w:val=""/>
      <w:lvlJc w:val="left"/>
      <w:pPr>
        <w:ind w:left="2880" w:hanging="360"/>
      </w:pPr>
      <w:rPr>
        <w:rFonts w:ascii="Symbol" w:hAnsi="Symbol" w:hint="default"/>
      </w:rPr>
    </w:lvl>
    <w:lvl w:ilvl="4" w:tplc="9FB2EE02" w:tentative="1">
      <w:start w:val="1"/>
      <w:numFmt w:val="bullet"/>
      <w:lvlText w:val="o"/>
      <w:lvlJc w:val="left"/>
      <w:pPr>
        <w:ind w:left="3600" w:hanging="360"/>
      </w:pPr>
      <w:rPr>
        <w:rFonts w:ascii="Courier New" w:hAnsi="Courier New" w:cs="Courier New" w:hint="default"/>
      </w:rPr>
    </w:lvl>
    <w:lvl w:ilvl="5" w:tplc="4AC0204E" w:tentative="1">
      <w:start w:val="1"/>
      <w:numFmt w:val="bullet"/>
      <w:lvlText w:val=""/>
      <w:lvlJc w:val="left"/>
      <w:pPr>
        <w:ind w:left="4320" w:hanging="360"/>
      </w:pPr>
      <w:rPr>
        <w:rFonts w:ascii="Wingdings" w:hAnsi="Wingdings" w:hint="default"/>
      </w:rPr>
    </w:lvl>
    <w:lvl w:ilvl="6" w:tplc="C6367DD8" w:tentative="1">
      <w:start w:val="1"/>
      <w:numFmt w:val="bullet"/>
      <w:lvlText w:val=""/>
      <w:lvlJc w:val="left"/>
      <w:pPr>
        <w:ind w:left="5040" w:hanging="360"/>
      </w:pPr>
      <w:rPr>
        <w:rFonts w:ascii="Symbol" w:hAnsi="Symbol" w:hint="default"/>
      </w:rPr>
    </w:lvl>
    <w:lvl w:ilvl="7" w:tplc="6CD81FFE" w:tentative="1">
      <w:start w:val="1"/>
      <w:numFmt w:val="bullet"/>
      <w:lvlText w:val="o"/>
      <w:lvlJc w:val="left"/>
      <w:pPr>
        <w:ind w:left="5760" w:hanging="360"/>
      </w:pPr>
      <w:rPr>
        <w:rFonts w:ascii="Courier New" w:hAnsi="Courier New" w:cs="Courier New" w:hint="default"/>
      </w:rPr>
    </w:lvl>
    <w:lvl w:ilvl="8" w:tplc="CA92D37E" w:tentative="1">
      <w:start w:val="1"/>
      <w:numFmt w:val="bullet"/>
      <w:lvlText w:val=""/>
      <w:lvlJc w:val="left"/>
      <w:pPr>
        <w:ind w:left="6480" w:hanging="360"/>
      </w:pPr>
      <w:rPr>
        <w:rFonts w:ascii="Wingdings" w:hAnsi="Wingdings" w:hint="default"/>
      </w:rPr>
    </w:lvl>
  </w:abstractNum>
  <w:num w:numId="1" w16cid:durableId="469860028">
    <w:abstractNumId w:val="24"/>
  </w:num>
  <w:num w:numId="2" w16cid:durableId="1206679722">
    <w:abstractNumId w:val="5"/>
  </w:num>
  <w:num w:numId="3" w16cid:durableId="470289993">
    <w:abstractNumId w:val="21"/>
  </w:num>
  <w:num w:numId="4" w16cid:durableId="339626346">
    <w:abstractNumId w:val="23"/>
  </w:num>
  <w:num w:numId="5" w16cid:durableId="1728606807">
    <w:abstractNumId w:val="10"/>
  </w:num>
  <w:num w:numId="6" w16cid:durableId="1369448103">
    <w:abstractNumId w:val="2"/>
  </w:num>
  <w:num w:numId="7" w16cid:durableId="1994479358">
    <w:abstractNumId w:val="16"/>
  </w:num>
  <w:num w:numId="8" w16cid:durableId="1962303213">
    <w:abstractNumId w:val="14"/>
  </w:num>
  <w:num w:numId="9" w16cid:durableId="655916448">
    <w:abstractNumId w:val="20"/>
  </w:num>
  <w:num w:numId="10" w16cid:durableId="1288897774">
    <w:abstractNumId w:val="0"/>
  </w:num>
  <w:num w:numId="11" w16cid:durableId="2146653728">
    <w:abstractNumId w:val="26"/>
  </w:num>
  <w:num w:numId="12" w16cid:durableId="1301036741">
    <w:abstractNumId w:val="7"/>
  </w:num>
  <w:num w:numId="13" w16cid:durableId="1106581636">
    <w:abstractNumId w:val="13"/>
  </w:num>
  <w:num w:numId="14" w16cid:durableId="1508446722">
    <w:abstractNumId w:val="1"/>
  </w:num>
  <w:num w:numId="15" w16cid:durableId="2044284044">
    <w:abstractNumId w:val="9"/>
  </w:num>
  <w:num w:numId="16" w16cid:durableId="1810977239">
    <w:abstractNumId w:val="11"/>
  </w:num>
  <w:num w:numId="17" w16cid:durableId="518660889">
    <w:abstractNumId w:val="17"/>
  </w:num>
  <w:num w:numId="18" w16cid:durableId="64694393">
    <w:abstractNumId w:val="12"/>
  </w:num>
  <w:num w:numId="19" w16cid:durableId="285501661">
    <w:abstractNumId w:val="6"/>
  </w:num>
  <w:num w:numId="20" w16cid:durableId="70006878">
    <w:abstractNumId w:val="8"/>
  </w:num>
  <w:num w:numId="21" w16cid:durableId="1499035330">
    <w:abstractNumId w:val="4"/>
  </w:num>
  <w:num w:numId="22" w16cid:durableId="2028289266">
    <w:abstractNumId w:val="22"/>
  </w:num>
  <w:num w:numId="23" w16cid:durableId="1431512233">
    <w:abstractNumId w:val="15"/>
  </w:num>
  <w:num w:numId="24" w16cid:durableId="361708831">
    <w:abstractNumId w:val="19"/>
  </w:num>
  <w:num w:numId="25" w16cid:durableId="1572932529">
    <w:abstractNumId w:val="25"/>
  </w:num>
  <w:num w:numId="26" w16cid:durableId="407731204">
    <w:abstractNumId w:val="18"/>
  </w:num>
  <w:num w:numId="27" w16cid:durableId="12275669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341E"/>
    <w:rsid w:val="00005747"/>
    <w:rsid w:val="0002516D"/>
    <w:rsid w:val="00030645"/>
    <w:rsid w:val="00033313"/>
    <w:rsid w:val="00035FC6"/>
    <w:rsid w:val="00040906"/>
    <w:rsid w:val="00041808"/>
    <w:rsid w:val="000448A2"/>
    <w:rsid w:val="00045D61"/>
    <w:rsid w:val="000468B3"/>
    <w:rsid w:val="000524AE"/>
    <w:rsid w:val="00054132"/>
    <w:rsid w:val="00061CA8"/>
    <w:rsid w:val="000647F6"/>
    <w:rsid w:val="000660E3"/>
    <w:rsid w:val="00066BB6"/>
    <w:rsid w:val="00076A61"/>
    <w:rsid w:val="00081E7A"/>
    <w:rsid w:val="00085179"/>
    <w:rsid w:val="000853FD"/>
    <w:rsid w:val="00093722"/>
    <w:rsid w:val="000955AC"/>
    <w:rsid w:val="00096C36"/>
    <w:rsid w:val="00097EDE"/>
    <w:rsid w:val="000A3DD5"/>
    <w:rsid w:val="000B50DA"/>
    <w:rsid w:val="000B72EC"/>
    <w:rsid w:val="000D060C"/>
    <w:rsid w:val="000D27EA"/>
    <w:rsid w:val="000D3F56"/>
    <w:rsid w:val="000D5518"/>
    <w:rsid w:val="000D7D18"/>
    <w:rsid w:val="000E07B8"/>
    <w:rsid w:val="000F3B54"/>
    <w:rsid w:val="001011E2"/>
    <w:rsid w:val="00110F95"/>
    <w:rsid w:val="001132F5"/>
    <w:rsid w:val="00114C54"/>
    <w:rsid w:val="00116A3E"/>
    <w:rsid w:val="00120740"/>
    <w:rsid w:val="00124D8B"/>
    <w:rsid w:val="00125B06"/>
    <w:rsid w:val="00126258"/>
    <w:rsid w:val="00127EEC"/>
    <w:rsid w:val="00135A87"/>
    <w:rsid w:val="001412F3"/>
    <w:rsid w:val="00141EEF"/>
    <w:rsid w:val="0014323A"/>
    <w:rsid w:val="00143F04"/>
    <w:rsid w:val="0014406A"/>
    <w:rsid w:val="001465B4"/>
    <w:rsid w:val="001565F2"/>
    <w:rsid w:val="00157239"/>
    <w:rsid w:val="00162A03"/>
    <w:rsid w:val="0016471C"/>
    <w:rsid w:val="00181FDB"/>
    <w:rsid w:val="00183231"/>
    <w:rsid w:val="0018342F"/>
    <w:rsid w:val="00183761"/>
    <w:rsid w:val="00184513"/>
    <w:rsid w:val="0018537B"/>
    <w:rsid w:val="00190D47"/>
    <w:rsid w:val="0019497E"/>
    <w:rsid w:val="001954AA"/>
    <w:rsid w:val="00195BF3"/>
    <w:rsid w:val="001A0327"/>
    <w:rsid w:val="001A03EE"/>
    <w:rsid w:val="001A77CB"/>
    <w:rsid w:val="001B281A"/>
    <w:rsid w:val="001B4DDD"/>
    <w:rsid w:val="001B652A"/>
    <w:rsid w:val="001B7B80"/>
    <w:rsid w:val="001C31B6"/>
    <w:rsid w:val="001C4ABD"/>
    <w:rsid w:val="001C6F4C"/>
    <w:rsid w:val="001D508F"/>
    <w:rsid w:val="001D6432"/>
    <w:rsid w:val="001D6FA4"/>
    <w:rsid w:val="001E4819"/>
    <w:rsid w:val="001F5A47"/>
    <w:rsid w:val="001F5EB3"/>
    <w:rsid w:val="00200EF1"/>
    <w:rsid w:val="00201E37"/>
    <w:rsid w:val="00202FA3"/>
    <w:rsid w:val="0020329E"/>
    <w:rsid w:val="002044BF"/>
    <w:rsid w:val="00206F50"/>
    <w:rsid w:val="00210835"/>
    <w:rsid w:val="00213593"/>
    <w:rsid w:val="002149C5"/>
    <w:rsid w:val="00214D6D"/>
    <w:rsid w:val="002235A0"/>
    <w:rsid w:val="002334A4"/>
    <w:rsid w:val="002548B7"/>
    <w:rsid w:val="00254F4B"/>
    <w:rsid w:val="00256DCA"/>
    <w:rsid w:val="002622C4"/>
    <w:rsid w:val="00262512"/>
    <w:rsid w:val="002627AC"/>
    <w:rsid w:val="0026444E"/>
    <w:rsid w:val="00265AD0"/>
    <w:rsid w:val="0027029A"/>
    <w:rsid w:val="0027098F"/>
    <w:rsid w:val="00271E90"/>
    <w:rsid w:val="00273B32"/>
    <w:rsid w:val="00273DE7"/>
    <w:rsid w:val="00274026"/>
    <w:rsid w:val="00274472"/>
    <w:rsid w:val="00275CC5"/>
    <w:rsid w:val="002765C4"/>
    <w:rsid w:val="00277274"/>
    <w:rsid w:val="002850BC"/>
    <w:rsid w:val="00286544"/>
    <w:rsid w:val="0028668B"/>
    <w:rsid w:val="00286DFA"/>
    <w:rsid w:val="00291506"/>
    <w:rsid w:val="002929DA"/>
    <w:rsid w:val="002972B1"/>
    <w:rsid w:val="002A13FC"/>
    <w:rsid w:val="002B0827"/>
    <w:rsid w:val="002C2D46"/>
    <w:rsid w:val="002C4962"/>
    <w:rsid w:val="002C6301"/>
    <w:rsid w:val="002C7595"/>
    <w:rsid w:val="002D6A55"/>
    <w:rsid w:val="002E7404"/>
    <w:rsid w:val="002E746F"/>
    <w:rsid w:val="002F0E71"/>
    <w:rsid w:val="002F2161"/>
    <w:rsid w:val="00302332"/>
    <w:rsid w:val="00302378"/>
    <w:rsid w:val="0030487A"/>
    <w:rsid w:val="003051BF"/>
    <w:rsid w:val="00311C2F"/>
    <w:rsid w:val="00313ABD"/>
    <w:rsid w:val="003169C4"/>
    <w:rsid w:val="003227E5"/>
    <w:rsid w:val="0033157F"/>
    <w:rsid w:val="00331A0B"/>
    <w:rsid w:val="0033541D"/>
    <w:rsid w:val="0033727D"/>
    <w:rsid w:val="003455E0"/>
    <w:rsid w:val="003573B2"/>
    <w:rsid w:val="00360B34"/>
    <w:rsid w:val="003619F4"/>
    <w:rsid w:val="00361FC7"/>
    <w:rsid w:val="0036234A"/>
    <w:rsid w:val="003658A5"/>
    <w:rsid w:val="00365C57"/>
    <w:rsid w:val="003660F7"/>
    <w:rsid w:val="003716B7"/>
    <w:rsid w:val="00376ED9"/>
    <w:rsid w:val="00381509"/>
    <w:rsid w:val="003837AB"/>
    <w:rsid w:val="003860DE"/>
    <w:rsid w:val="003908CF"/>
    <w:rsid w:val="00390C36"/>
    <w:rsid w:val="00392C4A"/>
    <w:rsid w:val="003957BD"/>
    <w:rsid w:val="003972A9"/>
    <w:rsid w:val="003975B3"/>
    <w:rsid w:val="003A121C"/>
    <w:rsid w:val="003A4176"/>
    <w:rsid w:val="003A4B8A"/>
    <w:rsid w:val="003A620B"/>
    <w:rsid w:val="003B2A30"/>
    <w:rsid w:val="003B3A9F"/>
    <w:rsid w:val="003B7678"/>
    <w:rsid w:val="003C1B75"/>
    <w:rsid w:val="003C3325"/>
    <w:rsid w:val="003C4BA1"/>
    <w:rsid w:val="003C6BB7"/>
    <w:rsid w:val="003E3C3D"/>
    <w:rsid w:val="003E7C21"/>
    <w:rsid w:val="003F1107"/>
    <w:rsid w:val="003F31D6"/>
    <w:rsid w:val="003F4B96"/>
    <w:rsid w:val="003F7BFE"/>
    <w:rsid w:val="00422631"/>
    <w:rsid w:val="00423F27"/>
    <w:rsid w:val="00425783"/>
    <w:rsid w:val="00431CC0"/>
    <w:rsid w:val="00431D4C"/>
    <w:rsid w:val="00433C0B"/>
    <w:rsid w:val="00435DCD"/>
    <w:rsid w:val="00447D7C"/>
    <w:rsid w:val="00452773"/>
    <w:rsid w:val="0045291C"/>
    <w:rsid w:val="00455079"/>
    <w:rsid w:val="004557A0"/>
    <w:rsid w:val="00456AD2"/>
    <w:rsid w:val="00460DD0"/>
    <w:rsid w:val="0046244A"/>
    <w:rsid w:val="00463F68"/>
    <w:rsid w:val="0046651A"/>
    <w:rsid w:val="004669A9"/>
    <w:rsid w:val="00466C3F"/>
    <w:rsid w:val="00472D11"/>
    <w:rsid w:val="0047738E"/>
    <w:rsid w:val="00486E84"/>
    <w:rsid w:val="00487F65"/>
    <w:rsid w:val="00492BC2"/>
    <w:rsid w:val="004A42EB"/>
    <w:rsid w:val="004A499D"/>
    <w:rsid w:val="004A4DCD"/>
    <w:rsid w:val="004A5A75"/>
    <w:rsid w:val="004A7266"/>
    <w:rsid w:val="004B6F7C"/>
    <w:rsid w:val="004C0AAF"/>
    <w:rsid w:val="004C0B1B"/>
    <w:rsid w:val="004C11EB"/>
    <w:rsid w:val="004C2757"/>
    <w:rsid w:val="004C464C"/>
    <w:rsid w:val="004D777D"/>
    <w:rsid w:val="004E164F"/>
    <w:rsid w:val="004F652E"/>
    <w:rsid w:val="004F6971"/>
    <w:rsid w:val="004F6EB8"/>
    <w:rsid w:val="004F7E50"/>
    <w:rsid w:val="00500242"/>
    <w:rsid w:val="005035B6"/>
    <w:rsid w:val="00503F57"/>
    <w:rsid w:val="005057B8"/>
    <w:rsid w:val="00512678"/>
    <w:rsid w:val="0051562C"/>
    <w:rsid w:val="00516837"/>
    <w:rsid w:val="00517610"/>
    <w:rsid w:val="00517BF5"/>
    <w:rsid w:val="005323D6"/>
    <w:rsid w:val="005335B4"/>
    <w:rsid w:val="005431C9"/>
    <w:rsid w:val="0054504F"/>
    <w:rsid w:val="00546267"/>
    <w:rsid w:val="005475D5"/>
    <w:rsid w:val="00555CC2"/>
    <w:rsid w:val="005577C9"/>
    <w:rsid w:val="0056161A"/>
    <w:rsid w:val="00562A03"/>
    <w:rsid w:val="00563BE5"/>
    <w:rsid w:val="00565026"/>
    <w:rsid w:val="00572195"/>
    <w:rsid w:val="00575A5E"/>
    <w:rsid w:val="0057761A"/>
    <w:rsid w:val="00584BA5"/>
    <w:rsid w:val="00591B86"/>
    <w:rsid w:val="005922AD"/>
    <w:rsid w:val="005931E8"/>
    <w:rsid w:val="005A3222"/>
    <w:rsid w:val="005A3D51"/>
    <w:rsid w:val="005A5161"/>
    <w:rsid w:val="005A5881"/>
    <w:rsid w:val="005A7C13"/>
    <w:rsid w:val="005B1128"/>
    <w:rsid w:val="005B207C"/>
    <w:rsid w:val="005B240C"/>
    <w:rsid w:val="005B2639"/>
    <w:rsid w:val="005B5644"/>
    <w:rsid w:val="005B7A6F"/>
    <w:rsid w:val="005C1AC3"/>
    <w:rsid w:val="005C6C80"/>
    <w:rsid w:val="005D50E0"/>
    <w:rsid w:val="005E01BF"/>
    <w:rsid w:val="005E2442"/>
    <w:rsid w:val="005E3888"/>
    <w:rsid w:val="005E7163"/>
    <w:rsid w:val="005E7DFF"/>
    <w:rsid w:val="005F56D6"/>
    <w:rsid w:val="00600D72"/>
    <w:rsid w:val="0060705E"/>
    <w:rsid w:val="00610514"/>
    <w:rsid w:val="006107DE"/>
    <w:rsid w:val="00614445"/>
    <w:rsid w:val="00614BB5"/>
    <w:rsid w:val="00617BDE"/>
    <w:rsid w:val="00625852"/>
    <w:rsid w:val="00626300"/>
    <w:rsid w:val="00630048"/>
    <w:rsid w:val="00630FCD"/>
    <w:rsid w:val="00633DB4"/>
    <w:rsid w:val="0064123F"/>
    <w:rsid w:val="00642666"/>
    <w:rsid w:val="006469A2"/>
    <w:rsid w:val="00651FC9"/>
    <w:rsid w:val="00652E81"/>
    <w:rsid w:val="0065331E"/>
    <w:rsid w:val="00654B1C"/>
    <w:rsid w:val="00656B54"/>
    <w:rsid w:val="00665686"/>
    <w:rsid w:val="00670E29"/>
    <w:rsid w:val="00672003"/>
    <w:rsid w:val="00672B43"/>
    <w:rsid w:val="006765A4"/>
    <w:rsid w:val="00676D4E"/>
    <w:rsid w:val="0067760D"/>
    <w:rsid w:val="00677BC9"/>
    <w:rsid w:val="00680589"/>
    <w:rsid w:val="00684DB9"/>
    <w:rsid w:val="006877DD"/>
    <w:rsid w:val="00690E26"/>
    <w:rsid w:val="00694061"/>
    <w:rsid w:val="006A4EC4"/>
    <w:rsid w:val="006A4FBF"/>
    <w:rsid w:val="006B6F7F"/>
    <w:rsid w:val="006C07D3"/>
    <w:rsid w:val="006C2952"/>
    <w:rsid w:val="006C2EA6"/>
    <w:rsid w:val="006C548F"/>
    <w:rsid w:val="006C593D"/>
    <w:rsid w:val="006C594B"/>
    <w:rsid w:val="006D17F4"/>
    <w:rsid w:val="006D1ED1"/>
    <w:rsid w:val="006D2535"/>
    <w:rsid w:val="006E3DC3"/>
    <w:rsid w:val="006E4032"/>
    <w:rsid w:val="006E4D8E"/>
    <w:rsid w:val="006E5651"/>
    <w:rsid w:val="006E778F"/>
    <w:rsid w:val="006F1D13"/>
    <w:rsid w:val="006F3345"/>
    <w:rsid w:val="006F380C"/>
    <w:rsid w:val="006F3C45"/>
    <w:rsid w:val="00701972"/>
    <w:rsid w:val="00704F38"/>
    <w:rsid w:val="0071041D"/>
    <w:rsid w:val="00710D8A"/>
    <w:rsid w:val="00710E0C"/>
    <w:rsid w:val="007124B7"/>
    <w:rsid w:val="00712D20"/>
    <w:rsid w:val="007130AA"/>
    <w:rsid w:val="0071311E"/>
    <w:rsid w:val="007143CF"/>
    <w:rsid w:val="007143EE"/>
    <w:rsid w:val="00721546"/>
    <w:rsid w:val="007234B7"/>
    <w:rsid w:val="00726939"/>
    <w:rsid w:val="00727286"/>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491B"/>
    <w:rsid w:val="007649A6"/>
    <w:rsid w:val="00774416"/>
    <w:rsid w:val="00780831"/>
    <w:rsid w:val="00780E75"/>
    <w:rsid w:val="0078216F"/>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6F20"/>
    <w:rsid w:val="007C0995"/>
    <w:rsid w:val="007C1986"/>
    <w:rsid w:val="007C3777"/>
    <w:rsid w:val="007C53F0"/>
    <w:rsid w:val="007D058A"/>
    <w:rsid w:val="007D7067"/>
    <w:rsid w:val="007E444A"/>
    <w:rsid w:val="007E5B6D"/>
    <w:rsid w:val="007E5FAA"/>
    <w:rsid w:val="007E6732"/>
    <w:rsid w:val="007F36A8"/>
    <w:rsid w:val="00801B29"/>
    <w:rsid w:val="00805638"/>
    <w:rsid w:val="008150C3"/>
    <w:rsid w:val="008210AB"/>
    <w:rsid w:val="00826BE4"/>
    <w:rsid w:val="008307FB"/>
    <w:rsid w:val="008309F5"/>
    <w:rsid w:val="00831BDC"/>
    <w:rsid w:val="00836CC9"/>
    <w:rsid w:val="00840B7F"/>
    <w:rsid w:val="008436F8"/>
    <w:rsid w:val="00846FC6"/>
    <w:rsid w:val="00847735"/>
    <w:rsid w:val="00852505"/>
    <w:rsid w:val="00854BBB"/>
    <w:rsid w:val="0085678E"/>
    <w:rsid w:val="00857AFE"/>
    <w:rsid w:val="008628C4"/>
    <w:rsid w:val="008669F3"/>
    <w:rsid w:val="00872101"/>
    <w:rsid w:val="0087246E"/>
    <w:rsid w:val="00882E03"/>
    <w:rsid w:val="00883608"/>
    <w:rsid w:val="008922D9"/>
    <w:rsid w:val="008944D9"/>
    <w:rsid w:val="008A30C3"/>
    <w:rsid w:val="008A3DCF"/>
    <w:rsid w:val="008A42CD"/>
    <w:rsid w:val="008A44B7"/>
    <w:rsid w:val="008A5818"/>
    <w:rsid w:val="008B2B03"/>
    <w:rsid w:val="008C0518"/>
    <w:rsid w:val="008C6AF3"/>
    <w:rsid w:val="008D091F"/>
    <w:rsid w:val="008D16A1"/>
    <w:rsid w:val="008D303C"/>
    <w:rsid w:val="008D5310"/>
    <w:rsid w:val="008D7D4B"/>
    <w:rsid w:val="008E0F8E"/>
    <w:rsid w:val="008E7233"/>
    <w:rsid w:val="008F0B55"/>
    <w:rsid w:val="008F4386"/>
    <w:rsid w:val="008F467F"/>
    <w:rsid w:val="008F50C0"/>
    <w:rsid w:val="008F70AE"/>
    <w:rsid w:val="00903503"/>
    <w:rsid w:val="00905C53"/>
    <w:rsid w:val="009104AA"/>
    <w:rsid w:val="00914EC8"/>
    <w:rsid w:val="0091716D"/>
    <w:rsid w:val="00921036"/>
    <w:rsid w:val="009236D7"/>
    <w:rsid w:val="0092631B"/>
    <w:rsid w:val="009346B6"/>
    <w:rsid w:val="00934D92"/>
    <w:rsid w:val="00941564"/>
    <w:rsid w:val="00941A7A"/>
    <w:rsid w:val="00963A15"/>
    <w:rsid w:val="00964101"/>
    <w:rsid w:val="00966712"/>
    <w:rsid w:val="00967CC8"/>
    <w:rsid w:val="009754FA"/>
    <w:rsid w:val="0097622B"/>
    <w:rsid w:val="00977D6C"/>
    <w:rsid w:val="009835D3"/>
    <w:rsid w:val="009A5429"/>
    <w:rsid w:val="009B0400"/>
    <w:rsid w:val="009B2828"/>
    <w:rsid w:val="009B5786"/>
    <w:rsid w:val="009B578F"/>
    <w:rsid w:val="009B61B2"/>
    <w:rsid w:val="009C1A2A"/>
    <w:rsid w:val="009C3403"/>
    <w:rsid w:val="009C43C0"/>
    <w:rsid w:val="009D0D71"/>
    <w:rsid w:val="009D13F9"/>
    <w:rsid w:val="009D5AB0"/>
    <w:rsid w:val="009D6776"/>
    <w:rsid w:val="009E1796"/>
    <w:rsid w:val="009E3CA7"/>
    <w:rsid w:val="009E3E52"/>
    <w:rsid w:val="009F1110"/>
    <w:rsid w:val="009F3E3B"/>
    <w:rsid w:val="00A002E4"/>
    <w:rsid w:val="00A031D5"/>
    <w:rsid w:val="00A03970"/>
    <w:rsid w:val="00A063C6"/>
    <w:rsid w:val="00A0709F"/>
    <w:rsid w:val="00A10EC3"/>
    <w:rsid w:val="00A14CA5"/>
    <w:rsid w:val="00A15DD1"/>
    <w:rsid w:val="00A15E5C"/>
    <w:rsid w:val="00A326C4"/>
    <w:rsid w:val="00A35314"/>
    <w:rsid w:val="00A42A28"/>
    <w:rsid w:val="00A539CC"/>
    <w:rsid w:val="00A566DB"/>
    <w:rsid w:val="00A67557"/>
    <w:rsid w:val="00A70934"/>
    <w:rsid w:val="00A72385"/>
    <w:rsid w:val="00A847B3"/>
    <w:rsid w:val="00A85276"/>
    <w:rsid w:val="00A86646"/>
    <w:rsid w:val="00A9044B"/>
    <w:rsid w:val="00A90B3E"/>
    <w:rsid w:val="00A91150"/>
    <w:rsid w:val="00A91D69"/>
    <w:rsid w:val="00A91E5A"/>
    <w:rsid w:val="00AB1B28"/>
    <w:rsid w:val="00AB20E1"/>
    <w:rsid w:val="00AB3ED8"/>
    <w:rsid w:val="00AB4E4D"/>
    <w:rsid w:val="00AB557D"/>
    <w:rsid w:val="00AB59E8"/>
    <w:rsid w:val="00AC04A6"/>
    <w:rsid w:val="00AC325D"/>
    <w:rsid w:val="00AC35EA"/>
    <w:rsid w:val="00AC3A16"/>
    <w:rsid w:val="00AC46F0"/>
    <w:rsid w:val="00AC4D22"/>
    <w:rsid w:val="00AD316E"/>
    <w:rsid w:val="00AE373B"/>
    <w:rsid w:val="00AE3E00"/>
    <w:rsid w:val="00AE5058"/>
    <w:rsid w:val="00AF07DC"/>
    <w:rsid w:val="00AF0A95"/>
    <w:rsid w:val="00AF1F57"/>
    <w:rsid w:val="00AF2960"/>
    <w:rsid w:val="00AF3B08"/>
    <w:rsid w:val="00AF3EEB"/>
    <w:rsid w:val="00AF6F14"/>
    <w:rsid w:val="00AF70B7"/>
    <w:rsid w:val="00B01605"/>
    <w:rsid w:val="00B01D1C"/>
    <w:rsid w:val="00B01EF0"/>
    <w:rsid w:val="00B06C6B"/>
    <w:rsid w:val="00B22BCE"/>
    <w:rsid w:val="00B24507"/>
    <w:rsid w:val="00B276F6"/>
    <w:rsid w:val="00B3059B"/>
    <w:rsid w:val="00B32F08"/>
    <w:rsid w:val="00B4165B"/>
    <w:rsid w:val="00B41777"/>
    <w:rsid w:val="00B42B03"/>
    <w:rsid w:val="00B4768E"/>
    <w:rsid w:val="00B62B5D"/>
    <w:rsid w:val="00B64F42"/>
    <w:rsid w:val="00B70A32"/>
    <w:rsid w:val="00B71842"/>
    <w:rsid w:val="00B83C62"/>
    <w:rsid w:val="00B901C6"/>
    <w:rsid w:val="00B91917"/>
    <w:rsid w:val="00B94268"/>
    <w:rsid w:val="00B9677F"/>
    <w:rsid w:val="00B97840"/>
    <w:rsid w:val="00B97930"/>
    <w:rsid w:val="00BA10AD"/>
    <w:rsid w:val="00BA2D7C"/>
    <w:rsid w:val="00BA3AE9"/>
    <w:rsid w:val="00BA6613"/>
    <w:rsid w:val="00BB2B03"/>
    <w:rsid w:val="00BB2BD3"/>
    <w:rsid w:val="00BB35C1"/>
    <w:rsid w:val="00BB54C4"/>
    <w:rsid w:val="00BB69BF"/>
    <w:rsid w:val="00BB6DCD"/>
    <w:rsid w:val="00BC0820"/>
    <w:rsid w:val="00BC3290"/>
    <w:rsid w:val="00BC4A2C"/>
    <w:rsid w:val="00BC4D28"/>
    <w:rsid w:val="00BC5DFE"/>
    <w:rsid w:val="00BC68A3"/>
    <w:rsid w:val="00BD3E57"/>
    <w:rsid w:val="00BD3EA8"/>
    <w:rsid w:val="00BD577C"/>
    <w:rsid w:val="00BD5D26"/>
    <w:rsid w:val="00BE1E60"/>
    <w:rsid w:val="00BE4425"/>
    <w:rsid w:val="00BE63F2"/>
    <w:rsid w:val="00BE7CD5"/>
    <w:rsid w:val="00BF4825"/>
    <w:rsid w:val="00BF7892"/>
    <w:rsid w:val="00BF7967"/>
    <w:rsid w:val="00C00BA8"/>
    <w:rsid w:val="00C0179E"/>
    <w:rsid w:val="00C04CFC"/>
    <w:rsid w:val="00C051FC"/>
    <w:rsid w:val="00C05C79"/>
    <w:rsid w:val="00C0673C"/>
    <w:rsid w:val="00C074CB"/>
    <w:rsid w:val="00C11CA2"/>
    <w:rsid w:val="00C17848"/>
    <w:rsid w:val="00C20087"/>
    <w:rsid w:val="00C22636"/>
    <w:rsid w:val="00C3391E"/>
    <w:rsid w:val="00C412AB"/>
    <w:rsid w:val="00C428F2"/>
    <w:rsid w:val="00C4367D"/>
    <w:rsid w:val="00C46331"/>
    <w:rsid w:val="00C46648"/>
    <w:rsid w:val="00C46EC1"/>
    <w:rsid w:val="00C47676"/>
    <w:rsid w:val="00C537B1"/>
    <w:rsid w:val="00C539DC"/>
    <w:rsid w:val="00C6568C"/>
    <w:rsid w:val="00C66242"/>
    <w:rsid w:val="00C76B54"/>
    <w:rsid w:val="00C81DD6"/>
    <w:rsid w:val="00C83E7A"/>
    <w:rsid w:val="00C85AD7"/>
    <w:rsid w:val="00C9187A"/>
    <w:rsid w:val="00C963D2"/>
    <w:rsid w:val="00CA0BDE"/>
    <w:rsid w:val="00CA0CFC"/>
    <w:rsid w:val="00CA1829"/>
    <w:rsid w:val="00CA2C05"/>
    <w:rsid w:val="00CA3491"/>
    <w:rsid w:val="00CA4A94"/>
    <w:rsid w:val="00CB32AE"/>
    <w:rsid w:val="00CB473D"/>
    <w:rsid w:val="00CC1E75"/>
    <w:rsid w:val="00CC2DC7"/>
    <w:rsid w:val="00CC2FF7"/>
    <w:rsid w:val="00CC7F59"/>
    <w:rsid w:val="00CD679A"/>
    <w:rsid w:val="00CD6A4C"/>
    <w:rsid w:val="00CE0602"/>
    <w:rsid w:val="00CE1E21"/>
    <w:rsid w:val="00CE38DF"/>
    <w:rsid w:val="00CE5F2D"/>
    <w:rsid w:val="00CE6E39"/>
    <w:rsid w:val="00CF5B48"/>
    <w:rsid w:val="00CF7796"/>
    <w:rsid w:val="00D0432D"/>
    <w:rsid w:val="00D07E31"/>
    <w:rsid w:val="00D10326"/>
    <w:rsid w:val="00D103D0"/>
    <w:rsid w:val="00D10F18"/>
    <w:rsid w:val="00D1606F"/>
    <w:rsid w:val="00D1799F"/>
    <w:rsid w:val="00D21F6D"/>
    <w:rsid w:val="00D232D2"/>
    <w:rsid w:val="00D23BE2"/>
    <w:rsid w:val="00D26554"/>
    <w:rsid w:val="00D26F3C"/>
    <w:rsid w:val="00D354C0"/>
    <w:rsid w:val="00D35B71"/>
    <w:rsid w:val="00D406BB"/>
    <w:rsid w:val="00D41768"/>
    <w:rsid w:val="00D41B29"/>
    <w:rsid w:val="00D522E6"/>
    <w:rsid w:val="00D527DF"/>
    <w:rsid w:val="00D540C3"/>
    <w:rsid w:val="00D54102"/>
    <w:rsid w:val="00D7346A"/>
    <w:rsid w:val="00D74AE0"/>
    <w:rsid w:val="00D831D6"/>
    <w:rsid w:val="00D84C6F"/>
    <w:rsid w:val="00D945B5"/>
    <w:rsid w:val="00D94A9C"/>
    <w:rsid w:val="00DA3E44"/>
    <w:rsid w:val="00DA46C9"/>
    <w:rsid w:val="00DA5C02"/>
    <w:rsid w:val="00DA6A79"/>
    <w:rsid w:val="00DA7D0D"/>
    <w:rsid w:val="00DB64EC"/>
    <w:rsid w:val="00DB6939"/>
    <w:rsid w:val="00DC2B3F"/>
    <w:rsid w:val="00DC3463"/>
    <w:rsid w:val="00DD3603"/>
    <w:rsid w:val="00DD5039"/>
    <w:rsid w:val="00DD756F"/>
    <w:rsid w:val="00DD77F0"/>
    <w:rsid w:val="00DE0ED0"/>
    <w:rsid w:val="00DE5242"/>
    <w:rsid w:val="00DF3BAB"/>
    <w:rsid w:val="00E02884"/>
    <w:rsid w:val="00E03DCC"/>
    <w:rsid w:val="00E062D2"/>
    <w:rsid w:val="00E1152F"/>
    <w:rsid w:val="00E1160C"/>
    <w:rsid w:val="00E11F0B"/>
    <w:rsid w:val="00E16160"/>
    <w:rsid w:val="00E17878"/>
    <w:rsid w:val="00E22CB9"/>
    <w:rsid w:val="00E24489"/>
    <w:rsid w:val="00E2498A"/>
    <w:rsid w:val="00E2532D"/>
    <w:rsid w:val="00E31BF1"/>
    <w:rsid w:val="00E32CFC"/>
    <w:rsid w:val="00E35B97"/>
    <w:rsid w:val="00E44C2B"/>
    <w:rsid w:val="00E52FC3"/>
    <w:rsid w:val="00E62B84"/>
    <w:rsid w:val="00E6302C"/>
    <w:rsid w:val="00E63842"/>
    <w:rsid w:val="00E63A23"/>
    <w:rsid w:val="00E72B99"/>
    <w:rsid w:val="00E76A7A"/>
    <w:rsid w:val="00E80789"/>
    <w:rsid w:val="00E82EDB"/>
    <w:rsid w:val="00E83D6A"/>
    <w:rsid w:val="00E84DF2"/>
    <w:rsid w:val="00E84F70"/>
    <w:rsid w:val="00E86B55"/>
    <w:rsid w:val="00E91CEE"/>
    <w:rsid w:val="00E933B2"/>
    <w:rsid w:val="00E940BE"/>
    <w:rsid w:val="00E96AE4"/>
    <w:rsid w:val="00E9733D"/>
    <w:rsid w:val="00E9778C"/>
    <w:rsid w:val="00EA5466"/>
    <w:rsid w:val="00EA63B2"/>
    <w:rsid w:val="00EB5502"/>
    <w:rsid w:val="00EB5CA9"/>
    <w:rsid w:val="00EC051C"/>
    <w:rsid w:val="00ED0B7B"/>
    <w:rsid w:val="00ED26A2"/>
    <w:rsid w:val="00ED2A69"/>
    <w:rsid w:val="00ED518A"/>
    <w:rsid w:val="00ED5F08"/>
    <w:rsid w:val="00EE159A"/>
    <w:rsid w:val="00EE4834"/>
    <w:rsid w:val="00EE79D6"/>
    <w:rsid w:val="00F006BE"/>
    <w:rsid w:val="00F01344"/>
    <w:rsid w:val="00F051C2"/>
    <w:rsid w:val="00F05AD6"/>
    <w:rsid w:val="00F0616F"/>
    <w:rsid w:val="00F10529"/>
    <w:rsid w:val="00F118C6"/>
    <w:rsid w:val="00F11AF4"/>
    <w:rsid w:val="00F14F95"/>
    <w:rsid w:val="00F27A05"/>
    <w:rsid w:val="00F35412"/>
    <w:rsid w:val="00F36F91"/>
    <w:rsid w:val="00F416D6"/>
    <w:rsid w:val="00F47BA2"/>
    <w:rsid w:val="00F5173F"/>
    <w:rsid w:val="00F51E48"/>
    <w:rsid w:val="00F57881"/>
    <w:rsid w:val="00F607E5"/>
    <w:rsid w:val="00F623A5"/>
    <w:rsid w:val="00F76B45"/>
    <w:rsid w:val="00F84253"/>
    <w:rsid w:val="00F85F58"/>
    <w:rsid w:val="00F90521"/>
    <w:rsid w:val="00F920B7"/>
    <w:rsid w:val="00F93D04"/>
    <w:rsid w:val="00F94E8B"/>
    <w:rsid w:val="00F95D2E"/>
    <w:rsid w:val="00F9618C"/>
    <w:rsid w:val="00FA5F67"/>
    <w:rsid w:val="00FA6D89"/>
    <w:rsid w:val="00FA7B91"/>
    <w:rsid w:val="00FB31E0"/>
    <w:rsid w:val="00FB5363"/>
    <w:rsid w:val="00FC1F01"/>
    <w:rsid w:val="00FC1F81"/>
    <w:rsid w:val="00FD6A94"/>
    <w:rsid w:val="00FE1CCC"/>
    <w:rsid w:val="00FE2723"/>
    <w:rsid w:val="00FE2B8B"/>
    <w:rsid w:val="00FE54C5"/>
    <w:rsid w:val="00FE6036"/>
    <w:rsid w:val="00FF1FA5"/>
    <w:rsid w:val="00FF22A0"/>
    <w:rsid w:val="00FF3A5F"/>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314EE"/>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 w:type="paragraph" w:styleId="BalloonText">
    <w:name w:val="Balloon Text"/>
    <w:basedOn w:val="Normal"/>
    <w:link w:val="BalloonTextChar"/>
    <w:uiPriority w:val="99"/>
    <w:semiHidden/>
    <w:unhideWhenUsed/>
    <w:rsid w:val="004A5A7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A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aged-care-transition-taskfor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aged-care-act/consult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C2FB68-3E0A-4AA4-9E17-A8233F244829}"/>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3.xml><?xml version="1.0" encoding="utf-8"?>
<ds:datastoreItem xmlns:ds="http://schemas.openxmlformats.org/officeDocument/2006/customXml" ds:itemID="{757CA5D3-6B49-417C-B829-38C962F2ECAC}">
  <ds:schemaRefs>
    <ds:schemaRef ds:uri="http://schemas.openxmlformats.org/officeDocument/2006/bibliography"/>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C:\Users\TRAMIN\OneDrive - Department of Health\Documents\Aged_Care_Teal_factsheet_web_March2024.dotx</Template>
  <TotalTime>13</TotalTime>
  <Pages>7</Pages>
  <Words>2312</Words>
  <Characters>13183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15465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and Aged Care</dc:creator>
  <cp:keywords>Aged Care, Senior Australians</cp:keywords>
  <cp:lastModifiedBy>Carmen Tsang</cp:lastModifiedBy>
  <cp:revision>11</cp:revision>
  <cp:lastPrinted>2024-09-14T06:57:00Z</cp:lastPrinted>
  <dcterms:created xsi:type="dcterms:W3CDTF">2025-06-16T16:11:00Z</dcterms:created>
  <dcterms:modified xsi:type="dcterms:W3CDTF">2025-06-20T01:01:00Z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ies>
</file>