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E8FD6" w14:textId="77777777" w:rsidR="008A3DCF" w:rsidRPr="003C0F2C" w:rsidRDefault="00000000" w:rsidP="00690E26">
      <w:pPr>
        <w:pStyle w:val="Heading1"/>
        <w:spacing w:before="3120" w:line="360" w:lineRule="auto"/>
        <w:rPr>
          <w:i/>
          <w:iCs/>
          <w:sz w:val="48"/>
          <w:szCs w:val="48"/>
        </w:rPr>
      </w:pPr>
      <w:r w:rsidRPr="003C0F2C">
        <w:rPr>
          <w:sz w:val="48"/>
          <w:szCs w:val="48"/>
          <w:lang w:val="pt"/>
        </w:rPr>
        <w:t xml:space="preserve">Sobre a </w:t>
      </w:r>
      <w:r w:rsidRPr="003C0F2C">
        <w:rPr>
          <w:i/>
          <w:iCs/>
          <w:sz w:val="48"/>
          <w:szCs w:val="48"/>
          <w:lang w:val="pt"/>
        </w:rPr>
        <w:t>Lei de Cuidado a Idosos de 2024</w:t>
      </w:r>
    </w:p>
    <w:p w14:paraId="6640BDB0" w14:textId="7106A468" w:rsidR="00EE159A" w:rsidRPr="003C0F2C" w:rsidRDefault="003C0F2C" w:rsidP="00EE159A">
      <w:pPr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</w:rPr>
      </w:pPr>
      <w:proofErr w:type="spellStart"/>
      <w:r w:rsidRPr="003C0F2C">
        <w:rPr>
          <w:rFonts w:eastAsiaTheme="majorEastAsia" w:cs="Arial"/>
          <w:b/>
          <w:bCs/>
          <w:color w:val="1E1544" w:themeColor="text1"/>
          <w:sz w:val="48"/>
          <w:szCs w:val="48"/>
          <w:lang w:val="pt"/>
        </w:rPr>
        <w:t>About</w:t>
      </w:r>
      <w:proofErr w:type="spellEnd"/>
      <w:r w:rsidRPr="003C0F2C">
        <w:rPr>
          <w:rFonts w:eastAsiaTheme="majorEastAsia" w:cs="Arial"/>
          <w:b/>
          <w:bCs/>
          <w:color w:val="1E1544" w:themeColor="text1"/>
          <w:sz w:val="48"/>
          <w:szCs w:val="48"/>
          <w:lang w:val="pt"/>
        </w:rPr>
        <w:t xml:space="preserve"> </w:t>
      </w:r>
      <w:proofErr w:type="spellStart"/>
      <w:r w:rsidRPr="003C0F2C">
        <w:rPr>
          <w:rFonts w:eastAsiaTheme="majorEastAsia" w:cs="Arial"/>
          <w:b/>
          <w:bCs/>
          <w:color w:val="1E1544" w:themeColor="text1"/>
          <w:sz w:val="48"/>
          <w:szCs w:val="48"/>
          <w:lang w:val="pt"/>
        </w:rPr>
        <w:t>the</w:t>
      </w:r>
      <w:proofErr w:type="spellEnd"/>
      <w:r w:rsidRPr="003C0F2C">
        <w:rPr>
          <w:rFonts w:eastAsiaTheme="majorEastAsia" w:cs="Arial"/>
          <w:b/>
          <w:bCs/>
          <w:color w:val="1E1544" w:themeColor="text1"/>
          <w:sz w:val="48"/>
          <w:szCs w:val="48"/>
          <w:lang w:val="pt"/>
        </w:rPr>
        <w:t xml:space="preserve"> </w:t>
      </w:r>
      <w:proofErr w:type="spellStart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>Aged</w:t>
      </w:r>
      <w:proofErr w:type="spellEnd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 xml:space="preserve"> </w:t>
      </w:r>
      <w:proofErr w:type="spellStart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>Care</w:t>
      </w:r>
      <w:proofErr w:type="spellEnd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 xml:space="preserve"> </w:t>
      </w:r>
      <w:proofErr w:type="spellStart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>Act</w:t>
      </w:r>
      <w:proofErr w:type="spellEnd"/>
      <w:r w:rsidRPr="003C0F2C">
        <w:rPr>
          <w:rFonts w:eastAsiaTheme="majorEastAsia" w:cs="Arial"/>
          <w:b/>
          <w:bCs/>
          <w:i/>
          <w:iCs/>
          <w:color w:val="1E1544" w:themeColor="text1"/>
          <w:sz w:val="48"/>
          <w:szCs w:val="48"/>
          <w:lang w:val="pt"/>
        </w:rPr>
        <w:t xml:space="preserve"> 2024</w:t>
      </w:r>
    </w:p>
    <w:p w14:paraId="5CB9E493" w14:textId="77777777" w:rsidR="00677BC9" w:rsidRPr="00BA10AD" w:rsidRDefault="00000000" w:rsidP="00677BC9">
      <w:pPr>
        <w:pStyle w:val="Introduction"/>
      </w:pPr>
      <w:bookmarkStart w:id="0" w:name="_Hlk163461193"/>
      <w:r w:rsidRPr="00DD3603">
        <w:rPr>
          <w:lang w:val="pt"/>
        </w:rPr>
        <w:t xml:space="preserve">A nova Lei de Cuidado a Idosos entrará em vigor a partir de 1º de novembro de 2025. Ela constituirá a base legal principal para o funcionamento do sistema de cuidados a idosos. Esta ficha informativa traz um resumo de cada capítulo da Lei e explica o que o Governo da Austrália está fazendo para apoiar as mudanças agora e no futuro. </w:t>
      </w:r>
    </w:p>
    <w:p w14:paraId="6282BADC" w14:textId="77777777" w:rsidR="00DD3603" w:rsidRDefault="00000000" w:rsidP="00677BC9">
      <w:pPr>
        <w:pStyle w:val="Heading2"/>
      </w:pPr>
      <w:bookmarkStart w:id="1" w:name="_Hlk163461203"/>
      <w:bookmarkEnd w:id="0"/>
      <w:r>
        <w:rPr>
          <w:lang w:val="pt"/>
        </w:rPr>
        <w:t>Fundamentação da nova Lei</w:t>
      </w:r>
    </w:p>
    <w:p w14:paraId="4C47737F" w14:textId="1BE27C5C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 xml:space="preserve">A </w:t>
      </w:r>
      <w:hyperlink r:id="rId11">
        <w:r w:rsidR="00DD3603" w:rsidRPr="58E88ED4">
          <w:rPr>
            <w:rStyle w:val="Hyperlink"/>
            <w:color w:val="0070C0"/>
            <w:lang w:val="pt"/>
          </w:rPr>
          <w:t xml:space="preserve">Royal Commission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into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Aged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Care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Quality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and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  <w:proofErr w:type="spellStart"/>
        <w:r w:rsidR="00DD3603" w:rsidRPr="58E88ED4">
          <w:rPr>
            <w:rStyle w:val="Hyperlink"/>
            <w:color w:val="0070C0"/>
            <w:lang w:val="pt"/>
          </w:rPr>
          <w:t>Safety</w:t>
        </w:r>
        <w:proofErr w:type="spellEnd"/>
        <w:r w:rsidR="00DD3603" w:rsidRPr="58E88ED4">
          <w:rPr>
            <w:rStyle w:val="Hyperlink"/>
            <w:color w:val="0070C0"/>
            <w:lang w:val="pt"/>
          </w:rPr>
          <w:t xml:space="preserve"> </w:t>
        </w:r>
      </w:hyperlink>
      <w:r w:rsidRPr="00BB69BF">
        <w:rPr>
          <w:color w:val="1E1544" w:themeColor="text1"/>
          <w:lang w:val="pt"/>
        </w:rPr>
        <w:t>(Royal Commission)</w:t>
      </w:r>
      <w:r w:rsidR="003C0F2C">
        <w:rPr>
          <w:color w:val="1E1544" w:themeColor="text1"/>
          <w:lang w:val="pt"/>
        </w:rPr>
        <w:t xml:space="preserve"> </w:t>
      </w:r>
      <w:r w:rsidRPr="00BB69BF">
        <w:rPr>
          <w:color w:val="1E1544" w:themeColor="text1"/>
          <w:lang w:val="pt"/>
        </w:rPr>
        <w:t>[Comissão Real para Qualidade e Segurança do Cuidado a Idosos] publicou seu relatório final em março de 2021. O relatório estabeleceu formas de melhorar o sistema de cuidados a idosos. A principal recomendação da Royal Commission foi que o Governo da Austrália elaborasse uma nova Lei de Cuidado a Idosos baseada em direitos.</w:t>
      </w:r>
    </w:p>
    <w:p w14:paraId="6C26A65A" w14:textId="77777777" w:rsidR="00DD3603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>Buscamos as opiniões de todos sobre as mudanças na legislação de cuidado a idosos e apresentamos o Projeto de Lei de Cuidado a Idosos de 2024 em setembro de 2024. O texto foi aprovado pelo Parlamento Australiano (o Parlamento) em novembro de 2024 e sancionado como nova lei em 2 de dezembro de 2024. A nova Lei de Cuidado a Idosos entrará em vigor a partir de 1º de novembro de 2025.</w:t>
      </w:r>
    </w:p>
    <w:p w14:paraId="21C8B505" w14:textId="77777777" w:rsidR="0071041D" w:rsidRDefault="00000000" w:rsidP="00DD3603">
      <w:pPr>
        <w:rPr>
          <w:color w:val="1E1544" w:themeColor="text1"/>
        </w:rPr>
      </w:pPr>
      <w:r>
        <w:rPr>
          <w:color w:val="1E1544" w:themeColor="text1"/>
          <w:lang w:val="pt"/>
        </w:rPr>
        <w:t>Em novembro de 2024, o Parlamento também aprovou o Projeto de Lei de Cuidado a Idosos (Disposições Consequenciais e Transitórias) de 2024. Esse instrumento legal ampara a transição para a nova Lei de Cuidado a Idosos.</w:t>
      </w:r>
    </w:p>
    <w:p w14:paraId="2BD55111" w14:textId="77777777" w:rsidR="008436F8" w:rsidRPr="00BB69BF" w:rsidRDefault="00000000" w:rsidP="00672B43">
      <w:pPr>
        <w:pStyle w:val="Heading2"/>
      </w:pPr>
      <w:r>
        <w:rPr>
          <w:lang w:val="pt"/>
        </w:rPr>
        <w:lastRenderedPageBreak/>
        <w:t>Visão geral da nova Lei</w:t>
      </w:r>
    </w:p>
    <w:p w14:paraId="3193C142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>A nova Lei atende a 58 das recomendações da Comissão Real. Também institui legislação sobre:</w:t>
      </w:r>
    </w:p>
    <w:p w14:paraId="0C69D0C7" w14:textId="77777777" w:rsidR="00381509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pt"/>
        </w:rPr>
        <w:t>o documento Statement of Rights [Declaração de Direitos] para pessoas idosas.</w:t>
      </w:r>
    </w:p>
    <w:p w14:paraId="527B26ED" w14:textId="77777777" w:rsidR="0091716D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782CCA5E">
        <w:rPr>
          <w:color w:val="1E1544" w:themeColor="text1"/>
          <w:lang w:val="pt"/>
        </w:rPr>
        <w:t>quem pode acessar os serviços de cuidado a idosos</w:t>
      </w:r>
    </w:p>
    <w:p w14:paraId="59913A9F" w14:textId="77777777" w:rsidR="5D949EA9" w:rsidRPr="0020329E" w:rsidRDefault="0000000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329E">
        <w:rPr>
          <w:color w:val="1E1544" w:themeColor="text1"/>
          <w:lang w:val="pt"/>
        </w:rPr>
        <w:t>o financiamento dos serviços de cuidado a idosos previstos na nova Lei, incluindo o que será custeado pelo governo e o que poderá ser cobrado de uma pessoa idosa</w:t>
      </w:r>
    </w:p>
    <w:p w14:paraId="3382CE83" w14:textId="77777777" w:rsidR="00DD3603" w:rsidRPr="00DD3603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pt"/>
        </w:rPr>
        <w:t>o programa Support at Home [Assistência Domiciliar]</w:t>
      </w:r>
    </w:p>
    <w:p w14:paraId="3C394EE2" w14:textId="77777777" w:rsidR="00DD3603" w:rsidRPr="00BB69BF" w:rsidRDefault="00000000" w:rsidP="00DD3603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DD3603">
        <w:rPr>
          <w:color w:val="1E1544" w:themeColor="text1"/>
          <w:lang w:val="pt"/>
        </w:rPr>
        <w:t>Aged Care Quality Standards [Padrões de Qualidade de Cuidado a Idosos] reforçados – que estabelecem os critérios para a prestação de serviços de cuidado a idosos com qualidade e segurança.</w:t>
      </w:r>
    </w:p>
    <w:p w14:paraId="7D93FF07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pt"/>
        </w:rPr>
        <w:t>maiores poderes para o órgão regulador, a Aged Care Quality and Safety Commission [Comissão de Qualidade e Segurança dos Cuidados a Idosos].</w:t>
      </w:r>
    </w:p>
    <w:p w14:paraId="31ABA1F6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>A nova Lei visa fortalecer o sistema australiano de cuidados a idosos. Ela afetará a todos que integram o sistema de cuidados a idosos. Ela irá:</w:t>
      </w:r>
    </w:p>
    <w:p w14:paraId="20711BEF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pt"/>
        </w:rPr>
        <w:t>modificar a forma como os prestadores de cuidado a idosos oferecem serviços às pessoas idosas em suas casas, ambientes comunitários e lares de idosos</w:t>
      </w:r>
    </w:p>
    <w:p w14:paraId="2E4950D4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pt"/>
        </w:rPr>
        <w:t>introduzir legislação para assegurar um cuidado a idosos seguro, respeitoso e que promova a qualidade de vida</w:t>
      </w:r>
    </w:p>
    <w:p w14:paraId="4DAEA6E9" w14:textId="77777777" w:rsidR="00DD3603" w:rsidRPr="00BB69BF" w:rsidRDefault="00000000" w:rsidP="00BB69BF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BB69BF">
        <w:rPr>
          <w:color w:val="1E1544" w:themeColor="text1"/>
          <w:lang w:val="pt"/>
        </w:rPr>
        <w:t>substituir as leis de cuidado a idosos atuais.</w:t>
      </w:r>
    </w:p>
    <w:p w14:paraId="404626F0" w14:textId="0458A5E8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 xml:space="preserve">A nova Lei se aplica aos serviços de cuidado a idosos financiados pelo governo. Isso inclui programas que a legislação de cuidado a idosos anterior não contemplava. Por exemplo, o programa </w:t>
      </w:r>
      <w:proofErr w:type="spellStart"/>
      <w:r w:rsidRPr="00BB69BF">
        <w:rPr>
          <w:color w:val="1E1544" w:themeColor="text1"/>
          <w:lang w:val="pt"/>
        </w:rPr>
        <w:t>National</w:t>
      </w:r>
      <w:proofErr w:type="spellEnd"/>
      <w:r w:rsidRPr="00BB69BF">
        <w:rPr>
          <w:color w:val="1E1544" w:themeColor="text1"/>
          <w:lang w:val="pt"/>
        </w:rPr>
        <w:t xml:space="preserve"> </w:t>
      </w:r>
      <w:proofErr w:type="spellStart"/>
      <w:r w:rsidRPr="00BB69BF">
        <w:rPr>
          <w:color w:val="1E1544" w:themeColor="text1"/>
          <w:lang w:val="pt"/>
        </w:rPr>
        <w:t>Aboriginal</w:t>
      </w:r>
      <w:proofErr w:type="spellEnd"/>
      <w:r w:rsidRPr="00BB69BF">
        <w:rPr>
          <w:color w:val="1E1544" w:themeColor="text1"/>
          <w:lang w:val="pt"/>
        </w:rPr>
        <w:t xml:space="preserve"> </w:t>
      </w:r>
      <w:proofErr w:type="spellStart"/>
      <w:r w:rsidRPr="00BB69BF">
        <w:rPr>
          <w:color w:val="1E1544" w:themeColor="text1"/>
          <w:lang w:val="pt"/>
        </w:rPr>
        <w:t>and</w:t>
      </w:r>
      <w:proofErr w:type="spellEnd"/>
      <w:r w:rsidRPr="00BB69BF">
        <w:rPr>
          <w:color w:val="1E1544" w:themeColor="text1"/>
          <w:lang w:val="pt"/>
        </w:rPr>
        <w:t xml:space="preserve"> Torres Strait </w:t>
      </w:r>
      <w:proofErr w:type="spellStart"/>
      <w:r w:rsidRPr="00BB69BF">
        <w:rPr>
          <w:color w:val="1E1544" w:themeColor="text1"/>
          <w:lang w:val="pt"/>
        </w:rPr>
        <w:t>Islander</w:t>
      </w:r>
      <w:proofErr w:type="spellEnd"/>
      <w:r w:rsidRPr="00BB69BF">
        <w:rPr>
          <w:color w:val="1E1544" w:themeColor="text1"/>
          <w:lang w:val="pt"/>
        </w:rPr>
        <w:t xml:space="preserve"> </w:t>
      </w:r>
      <w:proofErr w:type="spellStart"/>
      <w:r w:rsidRPr="00BB69BF">
        <w:rPr>
          <w:color w:val="1E1544" w:themeColor="text1"/>
          <w:lang w:val="pt"/>
        </w:rPr>
        <w:t>Flexible</w:t>
      </w:r>
      <w:proofErr w:type="spellEnd"/>
      <w:r w:rsidRPr="00BB69BF">
        <w:rPr>
          <w:color w:val="1E1544" w:themeColor="text1"/>
          <w:lang w:val="pt"/>
        </w:rPr>
        <w:t xml:space="preserve"> </w:t>
      </w:r>
      <w:proofErr w:type="spellStart"/>
      <w:r w:rsidRPr="00BB69BF">
        <w:rPr>
          <w:color w:val="1E1544" w:themeColor="text1"/>
          <w:lang w:val="pt"/>
        </w:rPr>
        <w:t>Aged</w:t>
      </w:r>
      <w:proofErr w:type="spellEnd"/>
      <w:r w:rsidRPr="00BB69BF">
        <w:rPr>
          <w:color w:val="1E1544" w:themeColor="text1"/>
          <w:lang w:val="pt"/>
        </w:rPr>
        <w:t xml:space="preserve"> </w:t>
      </w:r>
      <w:proofErr w:type="spellStart"/>
      <w:r w:rsidRPr="00BB69BF">
        <w:rPr>
          <w:color w:val="1E1544" w:themeColor="text1"/>
          <w:lang w:val="pt"/>
        </w:rPr>
        <w:t>Care</w:t>
      </w:r>
      <w:proofErr w:type="spellEnd"/>
      <w:r w:rsidRPr="00BB69BF">
        <w:rPr>
          <w:color w:val="1E1544" w:themeColor="text1"/>
          <w:lang w:val="pt"/>
        </w:rPr>
        <w:t xml:space="preserve"> (NATSIFAC)</w:t>
      </w:r>
      <w:r w:rsidR="003C0F2C">
        <w:rPr>
          <w:color w:val="1E1544" w:themeColor="text1"/>
          <w:lang w:val="pt"/>
        </w:rPr>
        <w:t xml:space="preserve"> </w:t>
      </w:r>
      <w:r w:rsidRPr="00BB69BF">
        <w:rPr>
          <w:color w:val="1E1544" w:themeColor="text1"/>
          <w:lang w:val="pt"/>
        </w:rPr>
        <w:t>[Cuidados Flexíveis para Idosos Aborígenes e Ilhéus do Estreito de Torres] e o Commonwealth Home Support Programme (CHSP) [Programa de Assistência Domiciliar da Commonwealth].</w:t>
      </w:r>
    </w:p>
    <w:p w14:paraId="5E50AD69" w14:textId="77777777" w:rsidR="00DD3603" w:rsidRPr="00BB69BF" w:rsidRDefault="00000000" w:rsidP="00DD3603">
      <w:pPr>
        <w:rPr>
          <w:color w:val="1E1544" w:themeColor="text1"/>
        </w:rPr>
      </w:pPr>
      <w:r w:rsidRPr="00BB69BF">
        <w:rPr>
          <w:color w:val="1E1544" w:themeColor="text1"/>
          <w:lang w:val="pt"/>
        </w:rPr>
        <w:t>A nova Lei também estabelece um novo modelo regulatório para gestão dos cuidados a idosos. O modelo visa apoiar os prestadores registrados para que ofereçam cuidados a idosos com excelência e maior responsabilização.</w:t>
      </w:r>
    </w:p>
    <w:p w14:paraId="58198862" w14:textId="77777777" w:rsidR="00DD3603" w:rsidRDefault="00000000" w:rsidP="00672B43">
      <w:pPr>
        <w:pStyle w:val="Heading3"/>
      </w:pPr>
      <w:r>
        <w:rPr>
          <w:lang w:val="pt"/>
        </w:rPr>
        <w:t>Capítulo 1 – Introdução</w:t>
      </w:r>
    </w:p>
    <w:p w14:paraId="6691FF60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  <w:lang w:val="pt"/>
        </w:rPr>
        <w:t>O Capítulo 1 detalha os conceitos e a terminologia empregados na nova Lei. Isso garante que todos utilizem os termos da mesma forma e que papéis e responsabilidades estejam claramente definidos.</w:t>
      </w:r>
    </w:p>
    <w:p w14:paraId="09FEF5AC" w14:textId="77777777" w:rsidR="00206F50" w:rsidRPr="00206F50" w:rsidRDefault="00000000" w:rsidP="00206F50">
      <w:pPr>
        <w:rPr>
          <w:color w:val="1E1544" w:themeColor="text1"/>
        </w:rPr>
      </w:pPr>
      <w:r w:rsidRPr="00206F50">
        <w:rPr>
          <w:color w:val="1E1544" w:themeColor="text1"/>
          <w:lang w:val="pt"/>
        </w:rPr>
        <w:t>O Capítulo 1 inclui:</w:t>
      </w:r>
    </w:p>
    <w:p w14:paraId="15237B43" w14:textId="77777777" w:rsidR="003F7BFE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pt"/>
        </w:rPr>
        <w:t>os objetivos da nova Lei – que descrevem a finalidade da legislação</w:t>
      </w:r>
    </w:p>
    <w:p w14:paraId="0D3C8086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pt"/>
        </w:rPr>
        <w:t>a Declaração de Direitos – que estabelece os direitos das pessoas idosas no sistema de cuidados a idosos</w:t>
      </w:r>
    </w:p>
    <w:p w14:paraId="651B5D95" w14:textId="77777777" w:rsidR="00206F50" w:rsidRPr="00206F50" w:rsidRDefault="00000000" w:rsidP="00206F50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206F50">
        <w:rPr>
          <w:color w:val="1E1544" w:themeColor="text1"/>
          <w:lang w:val="pt"/>
        </w:rPr>
        <w:t>a Statement of Principles [Declaração de Princípios] – que orienta como os profissionais e entidades devem agir e tomar decisões conforme a nova legislação.</w:t>
      </w:r>
    </w:p>
    <w:p w14:paraId="65E21337" w14:textId="77777777" w:rsidR="00206F50" w:rsidRPr="00206F50" w:rsidRDefault="00000000" w:rsidP="008D091F">
      <w:pPr>
        <w:rPr>
          <w:color w:val="1E1544" w:themeColor="text1"/>
        </w:rPr>
      </w:pPr>
      <w:r w:rsidRPr="00206F50">
        <w:rPr>
          <w:color w:val="1E1544" w:themeColor="text1"/>
          <w:lang w:val="pt"/>
        </w:rPr>
        <w:lastRenderedPageBreak/>
        <w:t xml:space="preserve">Ele também explica o papel dos apoiadores ao ajudar as pessoas idosas em seus processos decisórios. </w:t>
      </w:r>
    </w:p>
    <w:p w14:paraId="2D080903" w14:textId="77777777" w:rsidR="009F3E3B" w:rsidRDefault="00000000" w:rsidP="00672B43">
      <w:pPr>
        <w:pStyle w:val="Heading3"/>
      </w:pPr>
      <w:r>
        <w:rPr>
          <w:lang w:val="pt"/>
        </w:rPr>
        <w:t>Capítulo 2 – Ingresso no sistema de cuidados a idosos</w:t>
      </w:r>
    </w:p>
    <w:p w14:paraId="284E7E60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pt"/>
        </w:rPr>
        <w:t>O Capítulo 2 explica quem pode acessar os serviços de cuidado a idosos financiados.</w:t>
      </w:r>
    </w:p>
    <w:p w14:paraId="6652EAE3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pt"/>
        </w:rPr>
        <w:t>Inclui os requisitos de idade para o acesso aos cuidados a idosos. Isso ajudará o governo a alcançar seu objetivo de não ter pessoas jovens vivendo em lares para idosos.</w:t>
      </w:r>
    </w:p>
    <w:p w14:paraId="1609E148" w14:textId="77777777" w:rsidR="009F3E3B" w:rsidRPr="00517BF5" w:rsidRDefault="00000000" w:rsidP="00085179">
      <w:pPr>
        <w:rPr>
          <w:color w:val="1E1544" w:themeColor="text1"/>
        </w:rPr>
      </w:pPr>
      <w:r w:rsidRPr="00517BF5">
        <w:rPr>
          <w:color w:val="1E1544" w:themeColor="text1"/>
          <w:lang w:val="pt"/>
        </w:rPr>
        <w:t>O Capítulo descreve como as pessoas podem ser aprovadas para acessar os serviços de cuidado a idosos. Uma linha única de avaliação reúne os diferentes serviços de avaliação em um sistema unificado.</w:t>
      </w:r>
    </w:p>
    <w:p w14:paraId="14144054" w14:textId="77777777" w:rsidR="009F3E3B" w:rsidRPr="00517BF5" w:rsidRDefault="00000000" w:rsidP="00AF07DC">
      <w:pPr>
        <w:keepNext/>
        <w:rPr>
          <w:color w:val="1E1544" w:themeColor="text1"/>
        </w:rPr>
      </w:pPr>
      <w:r w:rsidRPr="00517BF5">
        <w:rPr>
          <w:color w:val="1E1544" w:themeColor="text1"/>
          <w:lang w:val="pt"/>
        </w:rPr>
        <w:t>O Capítulo 2 detalha os seguintes processos:</w:t>
      </w:r>
    </w:p>
    <w:p w14:paraId="67F4A0B1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pt"/>
        </w:rPr>
        <w:t>como avaliamos as necessidades e decidimos o financiamento para cuidados em lares de idosos usando a Australian National Aged Care Classification (AN-ACC) [Classificação Nacional Australiana de Cuidados a Idosos]</w:t>
      </w:r>
    </w:p>
    <w:p w14:paraId="2EC59FC3" w14:textId="77777777" w:rsidR="009F3E3B" w:rsidRPr="009F3E3B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pt"/>
        </w:rPr>
        <w:t xml:space="preserve">como avaliamos as necessidades, decidimos quais serviços uma pessoa pode acessar e definimos o financiamento do programa Support at Home </w:t>
      </w:r>
    </w:p>
    <w:p w14:paraId="6E8EC02C" w14:textId="77777777" w:rsidR="003A4176" w:rsidRPr="009F3E3B" w:rsidRDefault="00000000" w:rsidP="003A4176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pt"/>
        </w:rPr>
        <w:t>quem recebe acesso prioritário aos serviços de cuidado a idosos financiados</w:t>
      </w:r>
    </w:p>
    <w:p w14:paraId="756F4AFF" w14:textId="77777777" w:rsidR="00F416D6" w:rsidRDefault="00000000" w:rsidP="009F3E3B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9F3E3B">
        <w:rPr>
          <w:color w:val="1E1544" w:themeColor="text1"/>
          <w:lang w:val="pt"/>
        </w:rPr>
        <w:t>como as pessoas podem obter uma vaga para acessar os serviços de cuidado a idosos.</w:t>
      </w:r>
    </w:p>
    <w:p w14:paraId="499D11F2" w14:textId="77777777" w:rsidR="009F3E3B" w:rsidRDefault="00000000" w:rsidP="00672B43">
      <w:pPr>
        <w:pStyle w:val="Heading3"/>
      </w:pPr>
      <w:r w:rsidRPr="00085179">
        <w:rPr>
          <w:lang w:val="pt"/>
        </w:rPr>
        <w:t>Capítulo 3 – Prestadores de serviços, trabalhadores e operadores de plataformas digitais credenciados</w:t>
      </w:r>
    </w:p>
    <w:p w14:paraId="29C64DC0" w14:textId="212B7116" w:rsidR="00085179" w:rsidRPr="00085179" w:rsidRDefault="00000000" w:rsidP="00085179">
      <w:pPr>
        <w:rPr>
          <w:color w:val="1E1544" w:themeColor="text1"/>
        </w:rPr>
      </w:pPr>
      <w:r w:rsidRPr="00085179">
        <w:rPr>
          <w:color w:val="1E1544" w:themeColor="text1"/>
          <w:lang w:val="pt"/>
        </w:rPr>
        <w:t>Os prestadores devem se registrar junto à Aged Care Quality and Safety Commission (Commision) [Comissão de Qualidade e Segurança dos Cuidados a Idosos] antes de prestarem seus serviços de cuidado a idosos. O Capítulo 3 explica como a Comissão avaliará as solicitações de registro. A Comissão também aprovará lares de idosos como parte desse processo.</w:t>
      </w:r>
    </w:p>
    <w:p w14:paraId="37A19A9D" w14:textId="77777777" w:rsidR="00085179" w:rsidRPr="00085179" w:rsidRDefault="00000000" w:rsidP="00AF2960">
      <w:pPr>
        <w:keepNext/>
        <w:rPr>
          <w:color w:val="1E1544" w:themeColor="text1"/>
        </w:rPr>
      </w:pPr>
      <w:r w:rsidRPr="00085179">
        <w:rPr>
          <w:color w:val="1E1544" w:themeColor="text1"/>
          <w:lang w:val="pt"/>
        </w:rPr>
        <w:t>O Capítulo 3 descreve as regras e obrigações para:</w:t>
      </w:r>
    </w:p>
    <w:p w14:paraId="4DB54709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pt"/>
        </w:rPr>
        <w:t xml:space="preserve">prestadores de serviços registrados, ainda que subcontratem parte dos serviços </w:t>
      </w:r>
    </w:p>
    <w:p w14:paraId="3E73017B" w14:textId="77777777" w:rsidR="0078216F" w:rsidRPr="00CC2FF7" w:rsidRDefault="00000000" w:rsidP="00CC2FF7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pt"/>
        </w:rPr>
        <w:t>trabalhadores</w:t>
      </w:r>
    </w:p>
    <w:p w14:paraId="5D0CA406" w14:textId="77777777" w:rsidR="00085179" w:rsidRPr="00085179" w:rsidRDefault="00000000" w:rsidP="00085179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085179">
        <w:rPr>
          <w:color w:val="1E1544" w:themeColor="text1"/>
          <w:lang w:val="pt"/>
        </w:rPr>
        <w:t>pessoas responsáveis – pessoas em cargos de liderança nos prestadores de serviços de cuidado a idosos.</w:t>
      </w:r>
    </w:p>
    <w:p w14:paraId="48FD59F0" w14:textId="77777777" w:rsidR="00EC051C" w:rsidRDefault="00000000" w:rsidP="001C6F4C">
      <w:pPr>
        <w:rPr>
          <w:color w:val="1E1544" w:themeColor="text1"/>
        </w:rPr>
      </w:pPr>
      <w:r w:rsidRPr="00085179">
        <w:rPr>
          <w:color w:val="1E1544" w:themeColor="text1"/>
          <w:lang w:val="pt"/>
        </w:rPr>
        <w:t>A Comissão poderá adotar ações regulatórias caso um prestador não cumpra as condições de credenciamento. Isso pode acarretar penalidades civis rigorosas.</w:t>
      </w:r>
    </w:p>
    <w:p w14:paraId="3A702B46" w14:textId="77777777" w:rsidR="00085179" w:rsidRPr="00085179" w:rsidRDefault="00000000" w:rsidP="00F5173F">
      <w:pPr>
        <w:rPr>
          <w:color w:val="1E1544" w:themeColor="text1"/>
        </w:rPr>
      </w:pPr>
      <w:r>
        <w:rPr>
          <w:color w:val="1E1544" w:themeColor="text1"/>
          <w:lang w:val="pt"/>
        </w:rPr>
        <w:t xml:space="preserve">O Capítulo 3 também descreve as novas obrigações dos prestadores registrados e das pessoas responsáveis. Também há novas obrigações para os provedores de plataformas digitais que criam sites, aplicativos ou sistemas para apoiar a prestação de serviços de cuidado a idosos.  </w:t>
      </w:r>
    </w:p>
    <w:p w14:paraId="7C38E329" w14:textId="77777777" w:rsidR="00085179" w:rsidRDefault="00000000" w:rsidP="00672B43">
      <w:pPr>
        <w:pStyle w:val="Heading3"/>
      </w:pPr>
      <w:r w:rsidRPr="009D0D71">
        <w:rPr>
          <w:lang w:val="pt"/>
        </w:rPr>
        <w:lastRenderedPageBreak/>
        <w:t>Capítulo 4 – Taxas, pagamentos e subsídios</w:t>
      </w:r>
    </w:p>
    <w:p w14:paraId="2D6F87B8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4 explica como o financiamento dos serviços de cuidado a idosos funcionará. Isso inclui o que o governo pagará e quanto os prestadores registrados poderão cobrar das pessoas idosas.</w:t>
      </w:r>
    </w:p>
    <w:p w14:paraId="2AB66002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4 define:</w:t>
      </w:r>
    </w:p>
    <w:p w14:paraId="318DEF1D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quando o financiamento do governo será baseado em subsídios ou subvenções</w:t>
      </w:r>
    </w:p>
    <w:p w14:paraId="2D1B02D4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pt"/>
        </w:rPr>
        <w:t>quando o financiamento é pago por meio de programas de cuidado a idosos especializados, como o CHSP ou o NATSIFAC.</w:t>
      </w:r>
    </w:p>
    <w:p w14:paraId="004849F3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4 especifica as partes dos subsídios que são baseadas nas necessidades da pessoa e as partes que se baseiam nos custos fixos do prestador.</w:t>
      </w:r>
    </w:p>
    <w:p w14:paraId="704994F7" w14:textId="77777777" w:rsidR="008F0B55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 xml:space="preserve">Também estabelece o que as pessoas podem precisar pagar pelos serviços de cuidado a idosos financiados e como os prestadores devem gerenciar esses pagamentos. </w:t>
      </w:r>
    </w:p>
    <w:p w14:paraId="51E4AF95" w14:textId="77777777" w:rsidR="009D0D71" w:rsidRPr="0047738E" w:rsidRDefault="00000000" w:rsidP="009D0D71">
      <w:pPr>
        <w:rPr>
          <w:color w:val="1E1544" w:themeColor="text1"/>
        </w:rPr>
      </w:pPr>
      <w:r>
        <w:rPr>
          <w:color w:val="1E1544" w:themeColor="text1"/>
          <w:lang w:val="pt"/>
        </w:rPr>
        <w:t>O Capítulo explica como funciona a avaliação de recursos para cuidados em lares de idosos e do Support at Home. O teste de recursos não se aplica a programas de cuidado a idosos especializados.</w:t>
      </w:r>
    </w:p>
    <w:p w14:paraId="4D30C5EA" w14:textId="77777777" w:rsidR="009D0D71" w:rsidRPr="0047738E" w:rsidRDefault="00000000" w:rsidP="009D0D71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4 inclui regras sobre como os prestadores registrados podem:</w:t>
      </w:r>
    </w:p>
    <w:p w14:paraId="6325733A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firmar contratos de prestação de serviços de alojamento com pessoas idosas</w:t>
      </w:r>
    </w:p>
    <w:p w14:paraId="2EC27461" w14:textId="77777777" w:rsidR="009D0D71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cobrar pelos serviços de alojamento</w:t>
      </w:r>
    </w:p>
    <w:p w14:paraId="74F76DD3" w14:textId="77777777" w:rsidR="005C6C80" w:rsidRPr="005B2639" w:rsidRDefault="00000000" w:rsidP="00AF07D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5B2639">
        <w:rPr>
          <w:color w:val="1E1544" w:themeColor="text1"/>
          <w:lang w:val="pt"/>
        </w:rPr>
        <w:t>gerenciar depósitos reembolsáveis referentes aos serviços de alojamento.</w:t>
      </w:r>
    </w:p>
    <w:p w14:paraId="533D2785" w14:textId="77777777" w:rsidR="00041808" w:rsidRDefault="00000000" w:rsidP="00672B43">
      <w:pPr>
        <w:pStyle w:val="Heading3"/>
      </w:pPr>
      <w:r>
        <w:rPr>
          <w:lang w:val="pt"/>
        </w:rPr>
        <w:t>Capítulo 5 – Governança do sistema de cuidados a idosos</w:t>
      </w:r>
    </w:p>
    <w:p w14:paraId="6C21FA7F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5 explica quem gerenciará o sistema de cuidados a idosos e como. Isso é chamado de governança.</w:t>
      </w:r>
    </w:p>
    <w:p w14:paraId="6E93CA87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Uma variedade de funções gerenciará o sistema de cuidados a idosos:</w:t>
      </w:r>
    </w:p>
    <w:p w14:paraId="36CD8891" w14:textId="5D45CE47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 xml:space="preserve">o Secretário do </w:t>
      </w:r>
      <w:proofErr w:type="spellStart"/>
      <w:r w:rsidR="00FE33E1">
        <w:rPr>
          <w:color w:val="1E1544" w:themeColor="text1"/>
          <w:lang w:val="pt"/>
        </w:rPr>
        <w:t>Department</w:t>
      </w:r>
      <w:proofErr w:type="spellEnd"/>
      <w:r w:rsidR="00FE33E1">
        <w:rPr>
          <w:color w:val="1E1544" w:themeColor="text1"/>
          <w:lang w:val="pt"/>
        </w:rPr>
        <w:t xml:space="preserve"> </w:t>
      </w:r>
      <w:proofErr w:type="spellStart"/>
      <w:r w:rsidR="00FE33E1">
        <w:rPr>
          <w:color w:val="1E1544" w:themeColor="text1"/>
          <w:lang w:val="pt"/>
        </w:rPr>
        <w:t>of</w:t>
      </w:r>
      <w:proofErr w:type="spellEnd"/>
      <w:r w:rsidR="00FE33E1">
        <w:rPr>
          <w:color w:val="1E1544" w:themeColor="text1"/>
          <w:lang w:val="pt"/>
        </w:rPr>
        <w:t xml:space="preserve"> Health</w:t>
      </w:r>
      <w:r w:rsidRPr="0047738E">
        <w:rPr>
          <w:color w:val="1E1544" w:themeColor="text1"/>
          <w:lang w:val="pt"/>
        </w:rPr>
        <w:t>,</w:t>
      </w:r>
      <w:r w:rsidR="00FE33E1">
        <w:rPr>
          <w:color w:val="1E1544" w:themeColor="text1"/>
          <w:lang w:val="pt"/>
        </w:rPr>
        <w:t xml:space="preserve"> </w:t>
      </w:r>
      <w:proofErr w:type="spellStart"/>
      <w:r w:rsidR="00FE33E1">
        <w:rPr>
          <w:color w:val="1E1544" w:themeColor="text1"/>
          <w:lang w:val="pt"/>
        </w:rPr>
        <w:t>Disability</w:t>
      </w:r>
      <w:proofErr w:type="spellEnd"/>
      <w:r w:rsidR="00FE33E1">
        <w:rPr>
          <w:color w:val="1E1544" w:themeColor="text1"/>
          <w:lang w:val="pt"/>
        </w:rPr>
        <w:t xml:space="preserve"> </w:t>
      </w:r>
      <w:proofErr w:type="spellStart"/>
      <w:r w:rsidR="00FE33E1">
        <w:rPr>
          <w:color w:val="1E1544" w:themeColor="text1"/>
          <w:lang w:val="pt"/>
        </w:rPr>
        <w:t>and</w:t>
      </w:r>
      <w:proofErr w:type="spellEnd"/>
      <w:r w:rsidR="00FE33E1">
        <w:rPr>
          <w:color w:val="1E1544" w:themeColor="text1"/>
          <w:lang w:val="pt"/>
        </w:rPr>
        <w:t xml:space="preserve"> </w:t>
      </w:r>
      <w:proofErr w:type="spellStart"/>
      <w:r w:rsidR="00FE33E1">
        <w:rPr>
          <w:color w:val="1E1544" w:themeColor="text1"/>
          <w:lang w:val="pt"/>
        </w:rPr>
        <w:t>Ageing</w:t>
      </w:r>
      <w:proofErr w:type="spellEnd"/>
      <w:r w:rsidR="00FE33E1">
        <w:rPr>
          <w:color w:val="1E1544" w:themeColor="text1"/>
          <w:lang w:val="pt"/>
        </w:rPr>
        <w:t>,</w:t>
      </w:r>
      <w:r w:rsidRPr="0047738E">
        <w:rPr>
          <w:color w:val="1E1544" w:themeColor="text1"/>
          <w:lang w:val="pt"/>
        </w:rPr>
        <w:t xml:space="preserve"> chamado de System Governor [Gestor do Sistema] – gerencia como o sistema de cuidados a idosos opera, incluindo a garantia de acesso justo aos serviços</w:t>
      </w:r>
    </w:p>
    <w:p w14:paraId="05FCEF55" w14:textId="77777777" w:rsidR="00C537B1" w:rsidRPr="0047738E" w:rsidRDefault="00000000" w:rsidP="00C537B1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o Inspector-General of Aged Care [Inspetor-Geral de Cuidado a Idosos] – monitora o sistema de cuidados a idosos e apresenta relatórios ao Parlamento</w:t>
      </w:r>
    </w:p>
    <w:p w14:paraId="53763C63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o Aged Care Quality and Safety Commissioner (Commissioner) [Comissário de Qualidade e Segurança dos Cuidados a Idosos] – administra o registro de prestadores de serviços e regula a qualidade, a segurança e as questões financeiras dos cuidados a idosos. Também assegura que os prestadores de cuidados a idosos atuem de forma transparente e ética</w:t>
      </w:r>
    </w:p>
    <w:p w14:paraId="79F777C1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o Complaints Commissioner [Comissário de Reclamações] – atende às reclamações apresentadas à Comissão</w:t>
      </w:r>
    </w:p>
    <w:p w14:paraId="25BA267E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o Aged Care Quality and Safety Advisory Council [Conselho Consultivo de Qualidade e Segurança dos Cuidados a Idosos] – supervisiona o trabalho da Comissão.</w:t>
      </w:r>
    </w:p>
    <w:p w14:paraId="71638184" w14:textId="77777777" w:rsidR="00041808" w:rsidRDefault="00000000" w:rsidP="00672B43">
      <w:pPr>
        <w:pStyle w:val="Heading3"/>
      </w:pPr>
      <w:r>
        <w:rPr>
          <w:lang w:val="pt"/>
        </w:rPr>
        <w:lastRenderedPageBreak/>
        <w:t>Capítulo 6 – Mecanismos regulatórios</w:t>
      </w:r>
    </w:p>
    <w:p w14:paraId="116CABAD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Comissário, o Comissário de Reclamações e o Gestor do Sistema disporão de um conjunto de poderes para exercer suas funções. O Capítulo 6 explica como eles podem usar esses poderes. Também descreve como o Comissário pode permitir que uma pessoa autorizada entre em um lar de idosos sem o consentimento de um prestador ou sem um mandado.</w:t>
      </w:r>
    </w:p>
    <w:p w14:paraId="1102D5F4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6 confere poderes para coleta de informações e emissão de avisos legais. Esses poderes garantem que o Comissário, o Comissário de Reclamações e o Gestor do Sistema possam obter as informações necessárias para cumprir suas funções.</w:t>
      </w:r>
    </w:p>
    <w:p w14:paraId="34D6BDC5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também prevê a emissão de ordens de interdição. Uma ordem de interdição é uma forma de impedir que profissionais e prestadores que tenham cometido irregularidades sigam oferecendo determinados tipos de serviços de cuidado a idosos.</w:t>
      </w:r>
    </w:p>
    <w:p w14:paraId="2D3AF706" w14:textId="77777777" w:rsidR="00041808" w:rsidRDefault="00000000" w:rsidP="00672B43">
      <w:pPr>
        <w:pStyle w:val="Heading3"/>
      </w:pPr>
      <w:r>
        <w:rPr>
          <w:lang w:val="pt"/>
        </w:rPr>
        <w:t>Capítulo 7 – Gestão de informações</w:t>
      </w:r>
    </w:p>
    <w:p w14:paraId="4A236D75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7 inclui novas regras para gestão de informações no sistema de cuidados a idosos. Isso ajudará a proteger a privacidade das pessoas. Também contribuirá para garantir que as informações sobre prestadores registrados sejam transparentes.</w:t>
      </w:r>
    </w:p>
    <w:p w14:paraId="4C2AF7E5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inclui:</w:t>
      </w:r>
    </w:p>
    <w:p w14:paraId="2774F697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uma estrutura atualizada para gerenciar as informações</w:t>
      </w:r>
    </w:p>
    <w:p w14:paraId="4D24D5FF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uma nova definição de dados protegidos</w:t>
      </w:r>
    </w:p>
    <w:p w14:paraId="19327AFF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quem pode coletar, usar e comunicar os dados protegidos e quando.</w:t>
      </w:r>
    </w:p>
    <w:p w14:paraId="40A53691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7 também inclui mais medidas para proteger denunciantes – pessoas que alertam sobre irregularidades. Isso garante que as pessoas idosas, suas famílias, cuidadores e profissionais reportem as informações sem medo de punições ou de tratamento injusto.</w:t>
      </w:r>
    </w:p>
    <w:p w14:paraId="1D2B3FC8" w14:textId="77777777" w:rsidR="005C6C80" w:rsidRDefault="00000000" w:rsidP="0079574F">
      <w:pPr>
        <w:rPr>
          <w:rFonts w:eastAsiaTheme="majorEastAsia" w:cstheme="majorBidi"/>
          <w:b/>
          <w:color w:val="1E1544" w:themeColor="text1"/>
          <w:sz w:val="32"/>
          <w:szCs w:val="26"/>
        </w:rPr>
      </w:pPr>
      <w:r w:rsidRPr="0047738E">
        <w:rPr>
          <w:color w:val="1E1544" w:themeColor="text1"/>
          <w:lang w:val="pt"/>
        </w:rPr>
        <w:t>Qualquer pessoa pode fazer uma denúncia se souber ou suspeitar que alguém não cumpriu a lei.</w:t>
      </w:r>
    </w:p>
    <w:p w14:paraId="1F3A8CBD" w14:textId="77777777" w:rsidR="00041808" w:rsidRDefault="00000000" w:rsidP="00672B43">
      <w:pPr>
        <w:pStyle w:val="Heading3"/>
      </w:pPr>
      <w:r>
        <w:rPr>
          <w:lang w:val="pt"/>
        </w:rPr>
        <w:t>Capítulo 8 – Disposições gerais</w:t>
      </w:r>
    </w:p>
    <w:p w14:paraId="2435E12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O Capítulo 8 abrange outras questões que suportarão o sistema de cuidados a idosos. Ele inclui:</w:t>
      </w:r>
    </w:p>
    <w:p w14:paraId="420BCC11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como e quando o Gestor do Sistema, o Comissário e o Comissário de Reclamações podem autorizar que terceiros ajam em sua representação</w:t>
      </w:r>
    </w:p>
    <w:p w14:paraId="59A090C6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 w:rsidRPr="0047738E">
        <w:rPr>
          <w:color w:val="1E1544" w:themeColor="text1"/>
          <w:lang w:val="pt"/>
        </w:rPr>
        <w:t>quando o Gestor do Sistema e o Comissário podem aprovar formulários, cobrar taxas e utilizar programas de computador para tomar decisões específicas</w:t>
      </w:r>
    </w:p>
    <w:p w14:paraId="7FDEEBA5" w14:textId="77777777" w:rsidR="00041808" w:rsidRPr="0047738E" w:rsidRDefault="00000000" w:rsidP="00DB64EC">
      <w:pPr>
        <w:pStyle w:val="ListParagraph"/>
        <w:numPr>
          <w:ilvl w:val="0"/>
          <w:numId w:val="7"/>
        </w:numPr>
        <w:rPr>
          <w:color w:val="1E1544" w:themeColor="text1"/>
        </w:rPr>
      </w:pPr>
      <w:r>
        <w:rPr>
          <w:color w:val="1E1544" w:themeColor="text1"/>
          <w:lang w:val="pt"/>
        </w:rPr>
        <w:t>que o Ministro de Cuidado a Idosos pode estabelecer regras.</w:t>
      </w:r>
    </w:p>
    <w:p w14:paraId="2603127A" w14:textId="77777777" w:rsidR="00041808" w:rsidRPr="0047738E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t>Este Capítulo permite que as pessoas solicitem uma revisão de certas decisões determinadas pelo Comissário, pelo Comissário de Reclamações, pelo Gestor do Sistema e pela Autoridade Independente de Precificação em Saúde e Cuidado a Idosos.</w:t>
      </w:r>
    </w:p>
    <w:p w14:paraId="5EE89D9F" w14:textId="77777777" w:rsidR="00041808" w:rsidRDefault="00000000" w:rsidP="00041808">
      <w:pPr>
        <w:rPr>
          <w:color w:val="1E1544" w:themeColor="text1"/>
        </w:rPr>
      </w:pPr>
      <w:r w:rsidRPr="0047738E">
        <w:rPr>
          <w:color w:val="1E1544" w:themeColor="text1"/>
          <w:lang w:val="pt"/>
        </w:rPr>
        <w:lastRenderedPageBreak/>
        <w:t>Também explica que o Gestor do Sistema apresentará um relatório sobre suas atividades e revisará os depósitos reembolsáveis para serviços de alojamento anualmente.</w:t>
      </w:r>
    </w:p>
    <w:p w14:paraId="1CF3CBA8" w14:textId="77777777" w:rsidR="001D508F" w:rsidRPr="0047738E" w:rsidRDefault="00000000" w:rsidP="00672B43">
      <w:pPr>
        <w:pStyle w:val="Heading2"/>
      </w:pPr>
      <w:r>
        <w:rPr>
          <w:lang w:val="pt"/>
        </w:rPr>
        <w:t>Amparo à nova Lei e próximos passos</w:t>
      </w:r>
    </w:p>
    <w:bookmarkEnd w:id="1"/>
    <w:p w14:paraId="4FD8BF47" w14:textId="77777777" w:rsidR="00CF5B48" w:rsidRDefault="00000000" w:rsidP="00672B43">
      <w:pPr>
        <w:pStyle w:val="Heading3"/>
      </w:pPr>
      <w:r w:rsidRPr="00672B43">
        <w:rPr>
          <w:lang w:val="pt"/>
        </w:rPr>
        <w:t>Lei de Cuidado a Idosos (Disposições Consequenciais e Transitórias) de 2024</w:t>
      </w:r>
    </w:p>
    <w:p w14:paraId="492ED910" w14:textId="1A9E2798" w:rsidR="00CF5B48" w:rsidRPr="00ED2A69" w:rsidRDefault="00000000" w:rsidP="00E82EDB">
      <w:pPr>
        <w:rPr>
          <w:rFonts w:cs="Arial"/>
          <w:color w:val="1E1544" w:themeColor="text1"/>
        </w:rPr>
      </w:pPr>
      <w:r w:rsidRPr="00672B43">
        <w:rPr>
          <w:rFonts w:cs="Arial"/>
          <w:i/>
          <w:iCs/>
          <w:color w:val="1E1544" w:themeColor="text1"/>
          <w:lang w:val="pt"/>
        </w:rPr>
        <w:t xml:space="preserve">A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Aged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Care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(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Consequential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and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Transitional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Provisions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) </w:t>
      </w:r>
      <w:proofErr w:type="spellStart"/>
      <w:r w:rsidRPr="00672B43">
        <w:rPr>
          <w:rFonts w:cs="Arial"/>
          <w:i/>
          <w:iCs/>
          <w:color w:val="1E1544" w:themeColor="text1"/>
          <w:lang w:val="pt"/>
        </w:rPr>
        <w:t>Act</w:t>
      </w:r>
      <w:proofErr w:type="spellEnd"/>
      <w:r w:rsidRPr="00672B43">
        <w:rPr>
          <w:rFonts w:cs="Arial"/>
          <w:i/>
          <w:iCs/>
          <w:color w:val="1E1544" w:themeColor="text1"/>
          <w:lang w:val="pt"/>
        </w:rPr>
        <w:t xml:space="preserve"> 2024 </w:t>
      </w:r>
      <w:r w:rsidRPr="00672B43">
        <w:rPr>
          <w:rFonts w:cs="Arial"/>
          <w:color w:val="1E1544" w:themeColor="text1"/>
          <w:lang w:val="pt"/>
        </w:rPr>
        <w:t xml:space="preserve">[Lei de Cuidado a Idosos (Disposições Consequenciais e Transitórias) de 2024] foi sancionada em 10 de dezembro. É um instrumento legal que garante o início da vigência da nova Lei de Cuidado a Idosos e ampara a transição para sua plena aplicação.  </w:t>
      </w:r>
    </w:p>
    <w:p w14:paraId="254A2596" w14:textId="77777777" w:rsidR="00CF5B48" w:rsidRPr="00672B43" w:rsidRDefault="00000000" w:rsidP="00AF07DC">
      <w:pPr>
        <w:keepNext/>
        <w:spacing w:line="240" w:lineRule="auto"/>
        <w:rPr>
          <w:rFonts w:eastAsia="Times New Roman" w:cs="Arial"/>
          <w:color w:val="1E1544" w:themeColor="text1"/>
        </w:rPr>
      </w:pPr>
      <w:r w:rsidRPr="00672B43">
        <w:rPr>
          <w:rFonts w:cs="Arial"/>
          <w:color w:val="1E1544" w:themeColor="text1"/>
          <w:lang w:val="pt"/>
        </w:rPr>
        <w:t>Seus 4 principais objetivos são:</w:t>
      </w:r>
    </w:p>
    <w:p w14:paraId="2890BF1D" w14:textId="003AAB84" w:rsidR="00CF5B48" w:rsidRPr="003C0F2C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 xml:space="preserve">tornar a nova Lei de Cuidado a Idosos o principal conjunto de leis para o cuidado a idosos, removendo as leis atuais – incluindo a </w:t>
      </w:r>
      <w:proofErr w:type="spellStart"/>
      <w:r w:rsidRPr="00E82EDB">
        <w:rPr>
          <w:i/>
          <w:iCs/>
          <w:color w:val="1E1544" w:themeColor="text1"/>
          <w:lang w:val="pt"/>
        </w:rPr>
        <w:t>Aged</w:t>
      </w:r>
      <w:proofErr w:type="spellEnd"/>
      <w:r w:rsidRPr="00E82EDB">
        <w:rPr>
          <w:i/>
          <w:iCs/>
          <w:color w:val="1E1544" w:themeColor="text1"/>
          <w:lang w:val="pt"/>
        </w:rPr>
        <w:t xml:space="preserve"> </w:t>
      </w:r>
      <w:proofErr w:type="spellStart"/>
      <w:r w:rsidRPr="00E82EDB">
        <w:rPr>
          <w:i/>
          <w:iCs/>
          <w:color w:val="1E1544" w:themeColor="text1"/>
          <w:lang w:val="pt"/>
        </w:rPr>
        <w:t>Care</w:t>
      </w:r>
      <w:proofErr w:type="spellEnd"/>
      <w:r w:rsidRPr="00E82EDB">
        <w:rPr>
          <w:i/>
          <w:iCs/>
          <w:color w:val="1E1544" w:themeColor="text1"/>
          <w:lang w:val="pt"/>
        </w:rPr>
        <w:t xml:space="preserve"> </w:t>
      </w:r>
      <w:proofErr w:type="spellStart"/>
      <w:r w:rsidRPr="00E82EDB">
        <w:rPr>
          <w:i/>
          <w:iCs/>
          <w:color w:val="1E1544" w:themeColor="text1"/>
          <w:lang w:val="pt"/>
        </w:rPr>
        <w:t>Act</w:t>
      </w:r>
      <w:proofErr w:type="spellEnd"/>
      <w:r w:rsidRPr="00E82EDB">
        <w:rPr>
          <w:i/>
          <w:iCs/>
          <w:color w:val="1E1544" w:themeColor="text1"/>
          <w:lang w:val="pt"/>
        </w:rPr>
        <w:t xml:space="preserve"> 1997</w:t>
      </w:r>
      <w:r w:rsidR="003C0F2C">
        <w:rPr>
          <w:i/>
          <w:iCs/>
          <w:color w:val="1E1544" w:themeColor="text1"/>
          <w:lang w:val="pt"/>
        </w:rPr>
        <w:t xml:space="preserve"> </w:t>
      </w:r>
      <w:r w:rsidRPr="003C0F2C">
        <w:rPr>
          <w:color w:val="1E1544" w:themeColor="text1"/>
          <w:lang w:val="pt"/>
        </w:rPr>
        <w:t xml:space="preserve">[Lei de Cuidado a Idosos de 1997], </w:t>
      </w:r>
      <w:r>
        <w:rPr>
          <w:color w:val="1E1544" w:themeColor="text1"/>
          <w:lang w:val="pt"/>
        </w:rPr>
        <w:t xml:space="preserve">a </w:t>
      </w:r>
      <w:r w:rsidRPr="00E82EDB">
        <w:rPr>
          <w:i/>
          <w:iCs/>
          <w:color w:val="1E1544" w:themeColor="text1"/>
          <w:lang w:val="pt"/>
        </w:rPr>
        <w:t xml:space="preserve">Aged Care Quality and Safety Commission Act 2018 </w:t>
      </w:r>
      <w:r w:rsidRPr="003C0F2C">
        <w:rPr>
          <w:color w:val="1E1544" w:themeColor="text1"/>
          <w:lang w:val="pt"/>
        </w:rPr>
        <w:t xml:space="preserve">[Lei da Comissão de Qualidade e Segurança dos Cuidados a Idosos de 2018] </w:t>
      </w:r>
      <w:r>
        <w:rPr>
          <w:color w:val="1E1544" w:themeColor="text1"/>
          <w:lang w:val="pt"/>
        </w:rPr>
        <w:t xml:space="preserve">e a </w:t>
      </w:r>
      <w:r w:rsidRPr="00E82EDB">
        <w:rPr>
          <w:i/>
          <w:iCs/>
          <w:color w:val="1E1544" w:themeColor="text1"/>
          <w:lang w:val="pt"/>
        </w:rPr>
        <w:t xml:space="preserve">Aged Care (Transitional Provisions) Act 1997 </w:t>
      </w:r>
      <w:r w:rsidRPr="003C0F2C">
        <w:rPr>
          <w:color w:val="1E1544" w:themeColor="text1"/>
          <w:lang w:val="pt"/>
        </w:rPr>
        <w:t xml:space="preserve">[Lei de Cuidado a Idosos (Disposições Transitórias) de 1997] </w:t>
      </w:r>
    </w:p>
    <w:p w14:paraId="54008A49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 xml:space="preserve">assegurar que as informações sobre a legislação de cuidado a idosos se refiram à </w:t>
      </w:r>
      <w:r w:rsidRPr="00E82EDB">
        <w:rPr>
          <w:i/>
          <w:iCs/>
          <w:color w:val="1E1544" w:themeColor="text1"/>
          <w:lang w:val="pt"/>
        </w:rPr>
        <w:t xml:space="preserve">Aged Care Act 2024 </w:t>
      </w:r>
      <w:r w:rsidRPr="003C0F2C">
        <w:rPr>
          <w:color w:val="1E1544" w:themeColor="text1"/>
          <w:lang w:val="pt"/>
        </w:rPr>
        <w:t>[Lei de Cuidado a Idosos de 2024]</w:t>
      </w:r>
      <w:r>
        <w:rPr>
          <w:color w:val="1E1544" w:themeColor="text1"/>
          <w:lang w:val="pt"/>
        </w:rPr>
        <w:t xml:space="preserve"> em vez das leis antigas</w:t>
      </w:r>
    </w:p>
    <w:p w14:paraId="33C5E8B0" w14:textId="77777777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>detalhar como a legislação vigente será alterada para a nova Lei a partir de 1º de novembro de 2025</w:t>
      </w:r>
    </w:p>
    <w:p w14:paraId="4A7C7D6E" w14:textId="5DE0C7A3" w:rsidR="00CF5B48" w:rsidRPr="00E82EDB" w:rsidRDefault="00000000" w:rsidP="00E82ED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 xml:space="preserve">alterar as leis de liberdade de informação, a </w:t>
      </w:r>
      <w:proofErr w:type="spellStart"/>
      <w:r w:rsidR="00E82EDB" w:rsidRPr="00E82EDB">
        <w:rPr>
          <w:i/>
          <w:iCs/>
          <w:color w:val="1E1544" w:themeColor="text1"/>
          <w:lang w:val="pt"/>
        </w:rPr>
        <w:t>National</w:t>
      </w:r>
      <w:proofErr w:type="spellEnd"/>
      <w:r w:rsidR="00E82EDB" w:rsidRPr="00E82EDB">
        <w:rPr>
          <w:i/>
          <w:iCs/>
          <w:color w:val="1E1544" w:themeColor="text1"/>
          <w:lang w:val="pt"/>
        </w:rPr>
        <w:t xml:space="preserve"> </w:t>
      </w:r>
      <w:proofErr w:type="spellStart"/>
      <w:r w:rsidR="00E82EDB" w:rsidRPr="00E82EDB">
        <w:rPr>
          <w:i/>
          <w:iCs/>
          <w:color w:val="1E1544" w:themeColor="text1"/>
          <w:lang w:val="pt"/>
        </w:rPr>
        <w:t>Disability</w:t>
      </w:r>
      <w:proofErr w:type="spellEnd"/>
      <w:r w:rsidR="00E82EDB" w:rsidRPr="00E82EDB">
        <w:rPr>
          <w:i/>
          <w:iCs/>
          <w:color w:val="1E1544" w:themeColor="text1"/>
          <w:lang w:val="pt"/>
        </w:rPr>
        <w:t xml:space="preserve"> </w:t>
      </w:r>
      <w:proofErr w:type="spellStart"/>
      <w:r w:rsidR="00E82EDB" w:rsidRPr="00E82EDB">
        <w:rPr>
          <w:i/>
          <w:iCs/>
          <w:color w:val="1E1544" w:themeColor="text1"/>
          <w:lang w:val="pt"/>
        </w:rPr>
        <w:t>Insurance</w:t>
      </w:r>
      <w:proofErr w:type="spellEnd"/>
      <w:r w:rsidR="00E82EDB" w:rsidRPr="00E82EDB">
        <w:rPr>
          <w:i/>
          <w:iCs/>
          <w:color w:val="1E1544" w:themeColor="text1"/>
          <w:lang w:val="pt"/>
        </w:rPr>
        <w:t xml:space="preserve"> </w:t>
      </w:r>
      <w:proofErr w:type="spellStart"/>
      <w:r w:rsidR="00E82EDB" w:rsidRPr="00E82EDB">
        <w:rPr>
          <w:i/>
          <w:iCs/>
          <w:color w:val="1E1544" w:themeColor="text1"/>
          <w:lang w:val="pt"/>
        </w:rPr>
        <w:t>Act</w:t>
      </w:r>
      <w:proofErr w:type="spellEnd"/>
      <w:r w:rsidR="00E82EDB" w:rsidRPr="00E82EDB">
        <w:rPr>
          <w:i/>
          <w:iCs/>
          <w:color w:val="1E1544" w:themeColor="text1"/>
          <w:lang w:val="pt"/>
        </w:rPr>
        <w:t xml:space="preserve"> 2013</w:t>
      </w:r>
      <w:r w:rsidR="003C0F2C">
        <w:rPr>
          <w:i/>
          <w:iCs/>
          <w:color w:val="1E1544" w:themeColor="text1"/>
          <w:lang w:val="pt"/>
        </w:rPr>
        <w:t xml:space="preserve"> </w:t>
      </w:r>
      <w:r>
        <w:rPr>
          <w:color w:val="1E1544" w:themeColor="text1"/>
          <w:lang w:val="pt"/>
        </w:rPr>
        <w:t xml:space="preserve">[Lei Nacional de Seguro para Pessoas com Deficiência de 2013] e a </w:t>
      </w:r>
      <w:r w:rsidRPr="00E82EDB">
        <w:rPr>
          <w:i/>
          <w:iCs/>
          <w:color w:val="1E1544" w:themeColor="text1"/>
          <w:lang w:val="pt"/>
        </w:rPr>
        <w:t xml:space="preserve">Crimes </w:t>
      </w:r>
      <w:proofErr w:type="spellStart"/>
      <w:r w:rsidRPr="00E82EDB">
        <w:rPr>
          <w:i/>
          <w:iCs/>
          <w:color w:val="1E1544" w:themeColor="text1"/>
          <w:lang w:val="pt"/>
        </w:rPr>
        <w:t>Act</w:t>
      </w:r>
      <w:proofErr w:type="spellEnd"/>
      <w:r w:rsidRPr="00E82EDB">
        <w:rPr>
          <w:i/>
          <w:iCs/>
          <w:color w:val="1E1544" w:themeColor="text1"/>
          <w:lang w:val="pt"/>
        </w:rPr>
        <w:t xml:space="preserve"> 1958</w:t>
      </w:r>
      <w:r w:rsidR="003C0F2C">
        <w:rPr>
          <w:i/>
          <w:iCs/>
          <w:color w:val="1E1544" w:themeColor="text1"/>
          <w:lang w:val="pt"/>
        </w:rPr>
        <w:t xml:space="preserve"> </w:t>
      </w:r>
      <w:r>
        <w:rPr>
          <w:color w:val="1E1544" w:themeColor="text1"/>
          <w:lang w:val="pt"/>
        </w:rPr>
        <w:t>[</w:t>
      </w:r>
      <w:r w:rsidRPr="003C0F2C">
        <w:rPr>
          <w:color w:val="1E1544" w:themeColor="text1"/>
          <w:lang w:val="pt"/>
        </w:rPr>
        <w:t>Lei de Crimes de 1958]</w:t>
      </w:r>
      <w:r w:rsidR="003C0F2C">
        <w:rPr>
          <w:color w:val="1E1544" w:themeColor="text1"/>
          <w:lang w:val="pt"/>
        </w:rPr>
        <w:t xml:space="preserve"> </w:t>
      </w:r>
      <w:r>
        <w:rPr>
          <w:color w:val="1E1544" w:themeColor="text1"/>
          <w:lang w:val="pt"/>
        </w:rPr>
        <w:t>em resposta às recomendações 77 e 88 da Comissão Real.</w:t>
      </w:r>
    </w:p>
    <w:p w14:paraId="24E4C878" w14:textId="77777777" w:rsidR="00CF5B48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  <w:lang w:val="pt"/>
        </w:rPr>
        <w:t xml:space="preserve">A lei garantirá que as pessoas idosas sigam recebendo cuidados a idosos seguros e de alta qualidade durante a transição à nova legislação. Ela também permite que prestadores de cuidados a idosos aprovados se tornem prestadores registrados no novo sistema. </w:t>
      </w:r>
    </w:p>
    <w:p w14:paraId="77EB5F75" w14:textId="77777777" w:rsidR="00D7346A" w:rsidRDefault="00000000" w:rsidP="00672B43">
      <w:pPr>
        <w:pStyle w:val="Heading3"/>
      </w:pPr>
      <w:r>
        <w:rPr>
          <w:lang w:val="pt"/>
        </w:rPr>
        <w:t xml:space="preserve">Coleta de opiniões sobre as Regras </w:t>
      </w:r>
    </w:p>
    <w:p w14:paraId="1BBA10BB" w14:textId="77777777" w:rsidR="00E44C2B" w:rsidRPr="006C593D" w:rsidRDefault="00000000" w:rsidP="00512678">
      <w:pPr>
        <w:rPr>
          <w:color w:val="1E1544" w:themeColor="text1"/>
        </w:rPr>
      </w:pPr>
      <w:r>
        <w:rPr>
          <w:color w:val="1E1544" w:themeColor="text1"/>
          <w:lang w:val="pt"/>
        </w:rPr>
        <w:t>Um conjunto de Regras apoiará a nova Lei. As Regras explicam como a nova Lei será implementada na prática. Podemos revisar e alterar esses detalhes ao longo do tempo, se necessário. Por exemplo, se surgirem questões ou houver mudanças nas melhores práticas.</w:t>
      </w:r>
    </w:p>
    <w:p w14:paraId="4C2087C3" w14:textId="77777777" w:rsidR="00E44C2B" w:rsidRDefault="00000000" w:rsidP="00E44C2B">
      <w:pPr>
        <w:rPr>
          <w:color w:val="1E1544" w:themeColor="text1"/>
        </w:rPr>
      </w:pPr>
      <w:r w:rsidRPr="006C593D">
        <w:rPr>
          <w:color w:val="1E1544" w:themeColor="text1"/>
          <w:lang w:val="pt"/>
        </w:rPr>
        <w:t>A maioria das Regras já existe e se tornará parte da nova Lei. No entanto, novas regras serão introduzidas. Por exemplo, Regras que explicam como funcionará o financiamento para o Support at Home.</w:t>
      </w:r>
    </w:p>
    <w:p w14:paraId="170515AA" w14:textId="77777777" w:rsidR="00E44C2B" w:rsidRPr="004A7266" w:rsidRDefault="00000000" w:rsidP="00E44C2B">
      <w:pPr>
        <w:rPr>
          <w:color w:val="1E1544" w:themeColor="text1"/>
        </w:rPr>
      </w:pPr>
      <w:r>
        <w:rPr>
          <w:color w:val="1E1544" w:themeColor="text1"/>
          <w:lang w:val="pt"/>
        </w:rPr>
        <w:t>Gostaríamos de opiniões para nos ajudar a:</w:t>
      </w:r>
    </w:p>
    <w:p w14:paraId="391CDBB9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>aprimorar as Regras com base no que a comunidade nos informa </w:t>
      </w:r>
    </w:p>
    <w:p w14:paraId="23260E31" w14:textId="77777777" w:rsidR="00E44C2B" w:rsidRPr="004A7266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>assegurar que as Regras incluam as opiniões coletadas nas consultas anteriores</w:t>
      </w:r>
    </w:p>
    <w:p w14:paraId="05FB3A4E" w14:textId="77777777" w:rsidR="00AC46F0" w:rsidRPr="00672B43" w:rsidRDefault="00000000" w:rsidP="00672B43">
      <w:pPr>
        <w:pStyle w:val="ListParagraph"/>
        <w:numPr>
          <w:ilvl w:val="0"/>
          <w:numId w:val="23"/>
        </w:numPr>
        <w:rPr>
          <w:color w:val="1E1544" w:themeColor="text1"/>
        </w:rPr>
      </w:pPr>
      <w:r>
        <w:rPr>
          <w:color w:val="1E1544" w:themeColor="text1"/>
          <w:lang w:val="pt"/>
        </w:rPr>
        <w:t>identificar o que os prestadores precisam para se preparar para a nova Lei.</w:t>
      </w:r>
    </w:p>
    <w:p w14:paraId="11F88746" w14:textId="77777777" w:rsidR="002850BC" w:rsidRPr="00672B43" w:rsidRDefault="00000000" w:rsidP="00672B43">
      <w:pPr>
        <w:rPr>
          <w:color w:val="1E1544" w:themeColor="text1"/>
        </w:rPr>
      </w:pPr>
      <w:r>
        <w:rPr>
          <w:color w:val="1E1544" w:themeColor="text1"/>
          <w:lang w:val="pt"/>
        </w:rPr>
        <w:lastRenderedPageBreak/>
        <w:t>A consulta também é uma forma de ajudar todos a compreender como as novas Regras afetam as pessoas idosas e seus cuidados.</w:t>
      </w:r>
    </w:p>
    <w:p w14:paraId="066A401B" w14:textId="77777777" w:rsidR="00E44C2B" w:rsidRDefault="00000000" w:rsidP="00E44C2B">
      <w:pPr>
        <w:spacing w:after="0"/>
        <w:rPr>
          <w:color w:val="1E1544" w:themeColor="text1"/>
        </w:rPr>
      </w:pPr>
      <w:r>
        <w:rPr>
          <w:color w:val="1E1544" w:themeColor="text1"/>
          <w:lang w:val="pt"/>
        </w:rPr>
        <w:t xml:space="preserve">Saiba mais sobre a consulta sobre as Regras em </w:t>
      </w:r>
    </w:p>
    <w:p w14:paraId="3529FDB6" w14:textId="77777777" w:rsidR="007479BC" w:rsidRDefault="007479BC" w:rsidP="00E44C2B">
      <w:pPr>
        <w:spacing w:before="0"/>
        <w:rPr>
          <w:color w:val="1E1544" w:themeColor="text1"/>
        </w:rPr>
      </w:pPr>
      <w:hyperlink r:id="rId12" w:history="1">
        <w:r w:rsidRPr="00E24489">
          <w:rPr>
            <w:rStyle w:val="Hyperlink"/>
            <w:lang w:val="pt"/>
          </w:rPr>
          <w:t>www.health.gov.au/our-work/aged-care-act/consultation</w:t>
        </w:r>
      </w:hyperlink>
      <w:r>
        <w:rPr>
          <w:color w:val="1E1544" w:themeColor="text1"/>
          <w:lang w:val="pt"/>
        </w:rPr>
        <w:t>.</w:t>
      </w:r>
    </w:p>
    <w:p w14:paraId="26F707E9" w14:textId="77777777" w:rsidR="007479BC" w:rsidRDefault="00000000" w:rsidP="00672B43">
      <w:pPr>
        <w:pStyle w:val="Heading3"/>
      </w:pPr>
      <w:r>
        <w:rPr>
          <w:lang w:val="pt"/>
        </w:rPr>
        <w:t>Ajuda na preparação para a nova Lei</w:t>
      </w:r>
    </w:p>
    <w:p w14:paraId="6DF7327C" w14:textId="77777777" w:rsidR="00E44C2B" w:rsidRPr="006C593D" w:rsidRDefault="00000000" w:rsidP="00E44C2B">
      <w:pPr>
        <w:rPr>
          <w:color w:val="1E1544" w:themeColor="text1"/>
        </w:rPr>
      </w:pPr>
      <w:r w:rsidRPr="6AB69127">
        <w:rPr>
          <w:color w:val="1E1544" w:themeColor="text1"/>
          <w:lang w:val="pt"/>
        </w:rPr>
        <w:t>Ofereceremos apoio às pessoas idosas, suas famílias, seus cuidadores e ao setor de cuidado a idosos na preparação para a nova Lei.</w:t>
      </w:r>
    </w:p>
    <w:p w14:paraId="3F58ABC5" w14:textId="77777777" w:rsidR="00E44C2B" w:rsidRPr="006C593D" w:rsidRDefault="00000000" w:rsidP="00E44C2B">
      <w:pPr>
        <w:rPr>
          <w:color w:val="1E1544" w:themeColor="text1"/>
        </w:rPr>
      </w:pPr>
      <w:r>
        <w:rPr>
          <w:color w:val="1E1544" w:themeColor="text1"/>
          <w:lang w:val="pt"/>
        </w:rPr>
        <w:t>Garantiremos que as pessoas afetadas pelas mudanças compreendam: </w:t>
      </w:r>
    </w:p>
    <w:p w14:paraId="47C26D9F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pt"/>
        </w:rPr>
        <w:t>o que isso significa para elas, o que está sendo alterado e o que permanece igual </w:t>
      </w:r>
    </w:p>
    <w:p w14:paraId="08F44A6D" w14:textId="77777777" w:rsidR="00E44C2B" w:rsidRPr="006C593D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006C593D">
        <w:rPr>
          <w:color w:val="1E1544" w:themeColor="text1"/>
          <w:lang w:val="pt"/>
        </w:rPr>
        <w:t>o que precisam fazer para se preparar e quando devem fazer as mudanças </w:t>
      </w:r>
    </w:p>
    <w:p w14:paraId="1ED7ED06" w14:textId="77777777" w:rsidR="00E44C2B" w:rsidRPr="00E44C2B" w:rsidRDefault="00000000" w:rsidP="00E44C2B">
      <w:pPr>
        <w:pStyle w:val="ListParagraph"/>
        <w:numPr>
          <w:ilvl w:val="0"/>
          <w:numId w:val="23"/>
        </w:numPr>
        <w:rPr>
          <w:color w:val="1E1544" w:themeColor="text1"/>
        </w:rPr>
      </w:pPr>
      <w:r w:rsidRPr="6F830E35">
        <w:rPr>
          <w:color w:val="1E1544" w:themeColor="text1"/>
          <w:lang w:val="pt"/>
        </w:rPr>
        <w:t>quais informações e orientações providenciaremos, e quando e como acessá-las.</w:t>
      </w:r>
    </w:p>
    <w:p w14:paraId="5CACC636" w14:textId="77777777" w:rsidR="00E44C2B" w:rsidRPr="006C593D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  <w:lang w:val="pt"/>
        </w:rPr>
        <w:t>Criamos a Aged Care Transition Taskforce [Força-tarefa de Transição do Cuidado a Idosos] para ajudar o setor de cuidados a idosos se adaptar à nova Lei. A Força-tarefa trabalhará com o setor para identificar e solucionar problemas, além de aconselhar o governo.</w:t>
      </w:r>
    </w:p>
    <w:p w14:paraId="6B3CE6F2" w14:textId="77777777" w:rsidR="00E44C2B" w:rsidRDefault="00000000" w:rsidP="00E44C2B">
      <w:pPr>
        <w:rPr>
          <w:color w:val="1E1544" w:themeColor="text1"/>
        </w:rPr>
      </w:pPr>
      <w:r w:rsidRPr="2A5E2F64">
        <w:rPr>
          <w:color w:val="1E1544" w:themeColor="text1"/>
          <w:lang w:val="pt"/>
        </w:rPr>
        <w:t>As pessoas na Força-tarefa são especialistas com experiência diversa no cuidado a idosos. Elas incluem pessoas com experiência em regulação, prestação de serviços, educação e treinamento, dados e tecnologia digital, pessoas idosas, Povos Originários, força de trabalho de cuidados a idosos, atendimento clínico e atenção primária.</w:t>
      </w:r>
    </w:p>
    <w:p w14:paraId="1A74D03F" w14:textId="77777777" w:rsidR="00E44C2B" w:rsidRPr="006C593D" w:rsidRDefault="00000000" w:rsidP="00E44C2B">
      <w:pPr>
        <w:rPr>
          <w:color w:val="1E1544" w:themeColor="text1"/>
        </w:rPr>
      </w:pPr>
      <w:r w:rsidRPr="37D46798">
        <w:rPr>
          <w:color w:val="1E1544" w:themeColor="text1"/>
          <w:lang w:val="pt"/>
        </w:rPr>
        <w:t>A Força-tarefa também supervisionará e orientará as mudanças para assegurar que sejam executadas adequadamente.</w:t>
      </w:r>
    </w:p>
    <w:p w14:paraId="0E65BDCF" w14:textId="77777777" w:rsidR="000660E3" w:rsidRPr="00E82EDB" w:rsidRDefault="00000000" w:rsidP="00E82EDB">
      <w:pPr>
        <w:rPr>
          <w:color w:val="1E1544" w:themeColor="text1"/>
        </w:rPr>
      </w:pPr>
      <w:r>
        <w:rPr>
          <w:color w:val="1E1544" w:themeColor="text1"/>
          <w:lang w:val="pt"/>
        </w:rPr>
        <w:t xml:space="preserve">Saiba mais sobre a Força-tarefa de Transição do Cuidado a Idosos em </w:t>
      </w:r>
      <w:hyperlink r:id="rId13" w:history="1">
        <w:r w:rsidR="00E44C2B" w:rsidRPr="00E24489">
          <w:rPr>
            <w:rStyle w:val="Hyperlink"/>
            <w:lang w:val="pt"/>
          </w:rPr>
          <w:t>https://www.health.gov.au/committees-and-groups/aged-care-transition-taskforce</w:t>
        </w:r>
      </w:hyperlink>
      <w:r>
        <w:rPr>
          <w:color w:val="1E1544" w:themeColor="text1"/>
          <w:lang w:val="pt"/>
        </w:rPr>
        <w:t xml:space="preserve">. </w:t>
      </w:r>
    </w:p>
    <w:p w14:paraId="702F5529" w14:textId="77777777" w:rsidR="000660E3" w:rsidRPr="000660E3" w:rsidRDefault="000660E3" w:rsidP="000660E3"/>
    <w:sectPr w:rsidR="000660E3" w:rsidRPr="000660E3" w:rsidSect="005C6C80">
      <w:footerReference w:type="even" r:id="rId14"/>
      <w:footerReference w:type="default" r:id="rId15"/>
      <w:headerReference w:type="first" r:id="rId16"/>
      <w:pgSz w:w="11906" w:h="16838"/>
      <w:pgMar w:top="1440" w:right="851" w:bottom="1560" w:left="851" w:header="2211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4B476F" w14:textId="77777777" w:rsidR="00DA251C" w:rsidRDefault="00DA251C" w:rsidP="0076491B">
      <w:pPr>
        <w:spacing w:before="0" w:after="0" w:line="240" w:lineRule="auto"/>
      </w:pPr>
      <w:r>
        <w:separator/>
      </w:r>
    </w:p>
  </w:endnote>
  <w:endnote w:type="continuationSeparator" w:id="0">
    <w:p w14:paraId="3A85DE9E" w14:textId="77777777" w:rsidR="00DA251C" w:rsidRDefault="00DA251C" w:rsidP="0076491B">
      <w:pPr>
        <w:spacing w:before="0" w:after="0" w:line="240" w:lineRule="auto"/>
      </w:pPr>
      <w:r>
        <w:continuationSeparator/>
      </w:r>
    </w:p>
  </w:endnote>
  <w:endnote w:type="continuationNotice" w:id="1">
    <w:p w14:paraId="4EDBFE05" w14:textId="77777777" w:rsidR="00DA251C" w:rsidRDefault="00DA251C">
      <w:pPr>
        <w:spacing w:before="0"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-1087388153"/>
      <w:docPartObj>
        <w:docPartGallery w:val="Page Numbers (Bottom of Page)"/>
        <w:docPartUnique/>
      </w:docPartObj>
    </w:sdtPr>
    <w:sdtContent>
      <w:p w14:paraId="3310C50F" w14:textId="2075BB1C" w:rsidR="001D7C49" w:rsidRDefault="001D7C49" w:rsidP="002D18E4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fldChar w:fldCharType="end"/>
        </w:r>
      </w:p>
    </w:sdtContent>
  </w:sdt>
  <w:p w14:paraId="1FEC5CB4" w14:textId="77777777" w:rsidR="001D7C49" w:rsidRDefault="001D7C49" w:rsidP="001D7C4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color w:val="1E1544" w:themeColor="text1"/>
      </w:rPr>
      <w:id w:val="133633839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442326C" w14:textId="4F8B6746" w:rsidR="008A3DCF" w:rsidRPr="008A3DCF" w:rsidRDefault="00000000" w:rsidP="001D7C49">
        <w:pPr>
          <w:pStyle w:val="Footer"/>
          <w:ind w:right="360"/>
          <w:rPr>
            <w:color w:val="1E1544" w:themeColor="text1"/>
          </w:rPr>
        </w:pPr>
        <w:proofErr w:type="spellStart"/>
        <w:r w:rsidRPr="008A3DCF">
          <w:rPr>
            <w:color w:val="1E1544" w:themeColor="text1"/>
            <w:lang w:val="pt"/>
          </w:rPr>
          <w:t>Portuguese</w:t>
        </w:r>
        <w:proofErr w:type="spellEnd"/>
        <w:r w:rsidRPr="008A3DCF">
          <w:rPr>
            <w:color w:val="1E1544" w:themeColor="text1"/>
            <w:lang w:val="pt"/>
          </w:rPr>
          <w:t xml:space="preserve"> </w:t>
        </w:r>
        <w:r w:rsidR="006C2447" w:rsidRPr="006C2447">
          <w:rPr>
            <w:color w:val="1E1544" w:themeColor="text1"/>
            <w:lang w:val="pt"/>
          </w:rPr>
          <w:t>–</w:t>
        </w:r>
        <w:r w:rsidRPr="008A3DCF">
          <w:rPr>
            <w:color w:val="1E1544" w:themeColor="text1"/>
            <w:lang w:val="pt"/>
          </w:rPr>
          <w:t xml:space="preserve"> </w:t>
        </w:r>
        <w:proofErr w:type="gramStart"/>
        <w:r w:rsidRPr="008A3DCF">
          <w:rPr>
            <w:color w:val="1E1544" w:themeColor="text1"/>
            <w:lang w:val="pt"/>
          </w:rPr>
          <w:t>Português</w:t>
        </w:r>
        <w:proofErr w:type="gramEnd"/>
        <w:r w:rsidRPr="008A3DCF">
          <w:rPr>
            <w:color w:val="1E1544" w:themeColor="text1"/>
            <w:lang w:val="pt"/>
          </w:rPr>
          <w:t xml:space="preserve"> </w:t>
        </w:r>
      </w:p>
      <w:sdt>
        <w:sdtPr>
          <w:rPr>
            <w:rStyle w:val="PageNumber"/>
          </w:rPr>
          <w:id w:val="-439305570"/>
          <w:docPartObj>
            <w:docPartGallery w:val="Page Numbers (Bottom of Page)"/>
            <w:docPartUnique/>
          </w:docPartObj>
        </w:sdtPr>
        <w:sdtContent>
          <w:p w14:paraId="4C1F4EC3" w14:textId="77777777" w:rsidR="001D7C49" w:rsidRDefault="001D7C49" w:rsidP="001D7C49">
            <w:pPr>
              <w:pStyle w:val="Footer"/>
              <w:framePr w:wrap="none" w:vAnchor="text" w:hAnchor="page" w:x="10929" w:y="7"/>
              <w:rPr>
                <w:rStyle w:val="PageNumber"/>
              </w:rPr>
            </w:pPr>
            <w:r>
              <w:rPr>
                <w:rStyle w:val="PageNumber"/>
              </w:rPr>
              <w:fldChar w:fldCharType="begin"/>
            </w:r>
            <w:r>
              <w:rPr>
                <w:rStyle w:val="PageNumber"/>
              </w:rPr>
              <w:instrText xml:space="preserve"> PAGE </w:instrText>
            </w:r>
            <w:r>
              <w:rPr>
                <w:rStyle w:val="PageNumber"/>
              </w:rPr>
              <w:fldChar w:fldCharType="separate"/>
            </w:r>
            <w:r>
              <w:rPr>
                <w:rStyle w:val="PageNumber"/>
                <w:noProof/>
              </w:rPr>
              <w:t>2</w:t>
            </w:r>
            <w:r>
              <w:rPr>
                <w:rStyle w:val="PageNumber"/>
              </w:rPr>
              <w:fldChar w:fldCharType="end"/>
            </w:r>
          </w:p>
        </w:sdtContent>
      </w:sdt>
      <w:p w14:paraId="2A95582A" w14:textId="0D651C9C" w:rsidR="00F9618C" w:rsidRPr="000D7D18" w:rsidRDefault="00000000" w:rsidP="005C1AC3">
        <w:pPr>
          <w:pStyle w:val="Footer"/>
          <w:jc w:val="both"/>
          <w:rPr>
            <w:color w:val="1E1544" w:themeColor="text1"/>
          </w:rPr>
        </w:pPr>
        <w:r w:rsidRPr="000D7D18">
          <w:rPr>
            <w:color w:val="1E1544" w:themeColor="text1"/>
            <w:lang w:val="pt"/>
          </w:rPr>
          <w:t>Ficha Informativa – Sobre a Lei de Cuidado a Idosos de 2024</w:t>
        </w:r>
        <w:r w:rsidRPr="000D7D18">
          <w:rPr>
            <w:color w:val="1E1544" w:themeColor="text1"/>
            <w:lang w:val="pt"/>
          </w:rPr>
          <w:tab/>
        </w:r>
        <w:r w:rsidRPr="000D7D18">
          <w:rPr>
            <w:color w:val="1E1544" w:themeColor="text1"/>
            <w:lang w:val="pt"/>
          </w:rPr>
          <w:tab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06514A" w14:textId="77777777" w:rsidR="00DA251C" w:rsidRDefault="00DA251C" w:rsidP="0076491B">
      <w:pPr>
        <w:spacing w:before="0" w:after="0" w:line="240" w:lineRule="auto"/>
      </w:pPr>
      <w:r>
        <w:separator/>
      </w:r>
    </w:p>
  </w:footnote>
  <w:footnote w:type="continuationSeparator" w:id="0">
    <w:p w14:paraId="7FA1C3D7" w14:textId="77777777" w:rsidR="00DA251C" w:rsidRDefault="00DA251C" w:rsidP="0076491B">
      <w:pPr>
        <w:spacing w:before="0" w:after="0" w:line="240" w:lineRule="auto"/>
      </w:pPr>
      <w:r>
        <w:continuationSeparator/>
      </w:r>
    </w:p>
  </w:footnote>
  <w:footnote w:type="continuationNotice" w:id="1">
    <w:p w14:paraId="4EE6716E" w14:textId="77777777" w:rsidR="00DA251C" w:rsidRDefault="00DA251C">
      <w:pPr>
        <w:spacing w:before="0"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26DAC" w14:textId="2A3FAD02" w:rsidR="0076491B" w:rsidRDefault="001D7C49">
    <w:pPr>
      <w:pStyle w:val="Header"/>
    </w:pPr>
    <w:r>
      <w:rPr>
        <w:noProof/>
        <w:lang w:val="en-US"/>
      </w:rPr>
      <w:drawing>
        <wp:anchor distT="0" distB="0" distL="114300" distR="114300" simplePos="0" relativeHeight="251661312" behindDoc="0" locked="0" layoutInCell="1" allowOverlap="1" wp14:anchorId="137C3060" wp14:editId="2EDD7C5E">
          <wp:simplePos x="0" y="0"/>
          <wp:positionH relativeFrom="page">
            <wp:posOffset>3810</wp:posOffset>
          </wp:positionH>
          <wp:positionV relativeFrom="page">
            <wp:posOffset>-35112</wp:posOffset>
          </wp:positionV>
          <wp:extent cx="7558363" cy="2112411"/>
          <wp:effectExtent l="0" t="0" r="0" b="0"/>
          <wp:wrapNone/>
          <wp:docPr id="7" name="Picture 7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" b="80264"/>
                  <a:stretch/>
                </pic:blipFill>
                <pic:spPr bwMode="auto">
                  <a:xfrm>
                    <a:off x="0" y="0"/>
                    <a:ext cx="7558363" cy="211241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1" locked="0" layoutInCell="1" allowOverlap="1" wp14:anchorId="1AC277C6" wp14:editId="7F3EF053">
          <wp:simplePos x="0" y="0"/>
          <wp:positionH relativeFrom="page">
            <wp:posOffset>-346364</wp:posOffset>
          </wp:positionH>
          <wp:positionV relativeFrom="page">
            <wp:posOffset>-152400</wp:posOffset>
          </wp:positionV>
          <wp:extent cx="8230666" cy="3549354"/>
          <wp:effectExtent l="0" t="0" r="0" b="0"/>
          <wp:wrapNone/>
          <wp:docPr id="6" name="Picture 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7602" b="17602"/>
                  <a:stretch>
                    <a:fillRect/>
                  </a:stretch>
                </pic:blipFill>
                <pic:spPr bwMode="auto">
                  <a:xfrm>
                    <a:off x="0" y="0"/>
                    <a:ext cx="8230666" cy="35493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2D0C9B"/>
    <w:multiLevelType w:val="hybridMultilevel"/>
    <w:tmpl w:val="CB484122"/>
    <w:lvl w:ilvl="0" w:tplc="233AC7C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6A82EE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CBEAE1E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4FB2CD5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C92B380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D5A23DD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0DC9DD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B6CAC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620742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D850F3"/>
    <w:multiLevelType w:val="hybridMultilevel"/>
    <w:tmpl w:val="7EB2E112"/>
    <w:lvl w:ilvl="0" w:tplc="4EE4EE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9B00C89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210D8D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F615F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4469F4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0C77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BC976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A52A29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3E8BAD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59A6CFC"/>
    <w:multiLevelType w:val="hybridMultilevel"/>
    <w:tmpl w:val="F04C3AF0"/>
    <w:lvl w:ilvl="0" w:tplc="DBE68822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0B484B1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AF49378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CA8F9E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9486C5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96BACA66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9863B7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088A0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6147614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C61869"/>
    <w:multiLevelType w:val="hybridMultilevel"/>
    <w:tmpl w:val="1BC852BA"/>
    <w:lvl w:ilvl="0" w:tplc="969AF850">
      <w:start w:val="1"/>
      <w:numFmt w:val="bullet"/>
      <w:lvlText w:val="·"/>
      <w:lvlJc w:val="left"/>
      <w:pPr>
        <w:ind w:left="360" w:hanging="360"/>
      </w:pPr>
      <w:rPr>
        <w:rFonts w:ascii="Symbol" w:hAnsi="Symbol" w:hint="default"/>
      </w:rPr>
    </w:lvl>
    <w:lvl w:ilvl="1" w:tplc="B148B616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E48029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A08F4C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896C88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F4314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2A9FFC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CD09A8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0D2AAAA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7C03CC3"/>
    <w:multiLevelType w:val="hybridMultilevel"/>
    <w:tmpl w:val="7D3CFB42"/>
    <w:lvl w:ilvl="0" w:tplc="1E1A318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4A0D7D2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56290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9ADE4C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DC8003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A8B49E28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D9B8E67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B4EF98A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DBA397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06F5CDB"/>
    <w:multiLevelType w:val="hybridMultilevel"/>
    <w:tmpl w:val="7F926684"/>
    <w:lvl w:ilvl="0" w:tplc="E23A6DD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AE78DF0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3CC1FC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C8C02704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3A0D19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A3A797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9CE69948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CC1E1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C1D8271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ED3C1E"/>
    <w:multiLevelType w:val="hybridMultilevel"/>
    <w:tmpl w:val="0B2ABC50"/>
    <w:lvl w:ilvl="0" w:tplc="F9E8D00C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1284D42E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9A68FFCA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758034EA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60480F3A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84E84BCA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15F2459E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453A2D70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AAA2AB5C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7" w15:restartNumberingAfterBreak="0">
    <w:nsid w:val="316478CD"/>
    <w:multiLevelType w:val="hybridMultilevel"/>
    <w:tmpl w:val="0276DAE8"/>
    <w:lvl w:ilvl="0" w:tplc="7E62D504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A4C830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D41ABE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4CA31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D278A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332D1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8480F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B8A0D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A5A839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802ADA"/>
    <w:multiLevelType w:val="hybridMultilevel"/>
    <w:tmpl w:val="1B167CEC"/>
    <w:lvl w:ilvl="0" w:tplc="1952C7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2692B" w:themeColor="accent5"/>
      </w:rPr>
    </w:lvl>
    <w:lvl w:ilvl="1" w:tplc="54CEC5F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E9AD11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318C52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7E3D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18A4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CD24A3A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FC9C5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48A6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061057"/>
    <w:multiLevelType w:val="hybridMultilevel"/>
    <w:tmpl w:val="F9F266F8"/>
    <w:lvl w:ilvl="0" w:tplc="02E2D5FA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880A87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9EACE0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34AFA3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6D92112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7F5AFEC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E7EB14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8747DB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5C50FC4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BA1844"/>
    <w:multiLevelType w:val="hybridMultilevel"/>
    <w:tmpl w:val="3CC48E92"/>
    <w:lvl w:ilvl="0" w:tplc="E74CCC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6629B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2E0AC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F2ABD2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8B8F3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05A9FD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63222A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A966F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E84559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882E49"/>
    <w:multiLevelType w:val="hybridMultilevel"/>
    <w:tmpl w:val="00FC372E"/>
    <w:lvl w:ilvl="0" w:tplc="F3B0692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F3465F5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FC222B8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8EC377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5F04A3D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726C02E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F225E8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7CDB9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4686D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82A2C4D"/>
    <w:multiLevelType w:val="hybridMultilevel"/>
    <w:tmpl w:val="9F4255D2"/>
    <w:lvl w:ilvl="0" w:tplc="70FAB874">
      <w:start w:val="1"/>
      <w:numFmt w:val="bullet"/>
      <w:lvlText w:val=""/>
      <w:lvlJc w:val="left"/>
      <w:pPr>
        <w:ind w:left="1582" w:hanging="360"/>
      </w:pPr>
      <w:rPr>
        <w:rFonts w:ascii="Symbol" w:hAnsi="Symbol" w:hint="default"/>
      </w:rPr>
    </w:lvl>
    <w:lvl w:ilvl="1" w:tplc="B81232A0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B05A0E7C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3228A30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DC86B2C0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16C001DE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F09E649A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E690AC5A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A4A25D28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13" w15:restartNumberingAfterBreak="0">
    <w:nsid w:val="491D2983"/>
    <w:multiLevelType w:val="hybridMultilevel"/>
    <w:tmpl w:val="54605FE8"/>
    <w:lvl w:ilvl="0" w:tplc="5762C80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5770D86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268630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CCEC5E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912C20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34E5C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8A053C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109C6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B6CFCC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1D57B8"/>
    <w:multiLevelType w:val="hybridMultilevel"/>
    <w:tmpl w:val="CB54CEB0"/>
    <w:lvl w:ilvl="0" w:tplc="273ECD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B116403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96A42B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38526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0A23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F1EB4C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DC0591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04E153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31A34E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C12226"/>
    <w:multiLevelType w:val="hybridMultilevel"/>
    <w:tmpl w:val="FC4EE740"/>
    <w:lvl w:ilvl="0" w:tplc="4E0C72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CBE69B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C8F3B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83200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392793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2DE5C9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51A27DE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F6002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B389E2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8F509F4"/>
    <w:multiLevelType w:val="hybridMultilevel"/>
    <w:tmpl w:val="6B9E23F4"/>
    <w:lvl w:ilvl="0" w:tplc="2D20904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color w:val="1E1544"/>
      </w:rPr>
    </w:lvl>
    <w:lvl w:ilvl="1" w:tplc="4C90BD3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7406A804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AC07DF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95274D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4D4CF5B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8BC79E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6FCDB34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E0D4B1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B95FCA"/>
    <w:multiLevelType w:val="hybridMultilevel"/>
    <w:tmpl w:val="140C4EAC"/>
    <w:lvl w:ilvl="0" w:tplc="1FF20ABA">
      <w:numFmt w:val="bullet"/>
      <w:lvlText w:val="○"/>
      <w:lvlJc w:val="left"/>
      <w:pPr>
        <w:ind w:left="1582" w:hanging="720"/>
      </w:pPr>
      <w:rPr>
        <w:rFonts w:ascii="Arial" w:eastAsiaTheme="minorHAnsi" w:hAnsi="Arial" w:hint="default"/>
      </w:rPr>
    </w:lvl>
    <w:lvl w:ilvl="1" w:tplc="BD0E3C90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D8AE4E2A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3B3E2ACC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51AED82E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14E85AE4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487646A2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3196B37A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FC7A9048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8" w15:restartNumberingAfterBreak="0">
    <w:nsid w:val="5AE849F5"/>
    <w:multiLevelType w:val="multilevel"/>
    <w:tmpl w:val="18AA9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5B06EF0"/>
    <w:multiLevelType w:val="hybridMultilevel"/>
    <w:tmpl w:val="7310AABE"/>
    <w:lvl w:ilvl="0" w:tplc="C97ACC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FDCECA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93582AA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9E4E9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E1875D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3654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5E20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8BCD90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2E6BF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C57DFD"/>
    <w:multiLevelType w:val="hybridMultilevel"/>
    <w:tmpl w:val="521E9DF2"/>
    <w:lvl w:ilvl="0" w:tplc="622A499C">
      <w:numFmt w:val="bullet"/>
      <w:lvlText w:val="•"/>
      <w:lvlJc w:val="left"/>
      <w:pPr>
        <w:ind w:left="720" w:hanging="720"/>
      </w:pPr>
      <w:rPr>
        <w:rFonts w:ascii="Arial" w:eastAsiaTheme="minorHAnsi" w:hAnsi="Arial" w:cs="Arial" w:hint="default"/>
      </w:rPr>
    </w:lvl>
    <w:lvl w:ilvl="1" w:tplc="79B2199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3300CE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FE6D7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E81DD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93092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B6CF44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C314607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21C015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9570BA3"/>
    <w:multiLevelType w:val="hybridMultilevel"/>
    <w:tmpl w:val="48C8B4FA"/>
    <w:lvl w:ilvl="0" w:tplc="625CB86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3B98CA3E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E6BF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EE9460C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540816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2942A60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22E100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1446280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D9C38FE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A020AA7"/>
    <w:multiLevelType w:val="hybridMultilevel"/>
    <w:tmpl w:val="47E6AD16"/>
    <w:lvl w:ilvl="0" w:tplc="0DF6F30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6548F6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D0667E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EC61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70C8E3E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45A918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98E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0E0D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94C0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AF21357"/>
    <w:multiLevelType w:val="hybridMultilevel"/>
    <w:tmpl w:val="62E215F0"/>
    <w:lvl w:ilvl="0" w:tplc="C2B054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2AB1BB" w:themeColor="accent1"/>
      </w:rPr>
    </w:lvl>
    <w:lvl w:ilvl="1" w:tplc="02026B8C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3BC81C6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A9A786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2DA100A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CD666B92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FE6D984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798717C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2B6FBC2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8996252"/>
    <w:multiLevelType w:val="hybridMultilevel"/>
    <w:tmpl w:val="731093A6"/>
    <w:lvl w:ilvl="0" w:tplc="4000A0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83886D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BB2B85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566EBC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95819C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EEBAD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978095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3340C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DFCFEC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A1557B8"/>
    <w:multiLevelType w:val="hybridMultilevel"/>
    <w:tmpl w:val="F3B86002"/>
    <w:lvl w:ilvl="0" w:tplc="B9C8C90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1E4463A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99CA19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9694544E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B642AD48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7EACDF4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B446740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6D40566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7D9AE4D6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C44157D"/>
    <w:multiLevelType w:val="hybridMultilevel"/>
    <w:tmpl w:val="01709A6E"/>
    <w:lvl w:ilvl="0" w:tplc="D1C2B2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2AB1BB" w:themeColor="accent1"/>
      </w:rPr>
    </w:lvl>
    <w:lvl w:ilvl="1" w:tplc="45F070F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3E4EF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94C0D2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FFE5E0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D2742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CA23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FB2EA3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40EE8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4631492">
    <w:abstractNumId w:val="24"/>
  </w:num>
  <w:num w:numId="2" w16cid:durableId="1223834388">
    <w:abstractNumId w:val="5"/>
  </w:num>
  <w:num w:numId="3" w16cid:durableId="2009792682">
    <w:abstractNumId w:val="21"/>
  </w:num>
  <w:num w:numId="4" w16cid:durableId="270017409">
    <w:abstractNumId w:val="23"/>
  </w:num>
  <w:num w:numId="5" w16cid:durableId="609119572">
    <w:abstractNumId w:val="10"/>
  </w:num>
  <w:num w:numId="6" w16cid:durableId="724988389">
    <w:abstractNumId w:val="2"/>
  </w:num>
  <w:num w:numId="7" w16cid:durableId="1350838756">
    <w:abstractNumId w:val="16"/>
  </w:num>
  <w:num w:numId="8" w16cid:durableId="2096513164">
    <w:abstractNumId w:val="14"/>
  </w:num>
  <w:num w:numId="9" w16cid:durableId="1968579597">
    <w:abstractNumId w:val="20"/>
  </w:num>
  <w:num w:numId="10" w16cid:durableId="490488067">
    <w:abstractNumId w:val="0"/>
  </w:num>
  <w:num w:numId="11" w16cid:durableId="706489915">
    <w:abstractNumId w:val="26"/>
  </w:num>
  <w:num w:numId="12" w16cid:durableId="923758774">
    <w:abstractNumId w:val="7"/>
  </w:num>
  <w:num w:numId="13" w16cid:durableId="1090546256">
    <w:abstractNumId w:val="13"/>
  </w:num>
  <w:num w:numId="14" w16cid:durableId="1904294047">
    <w:abstractNumId w:val="1"/>
  </w:num>
  <w:num w:numId="15" w16cid:durableId="626738803">
    <w:abstractNumId w:val="9"/>
  </w:num>
  <w:num w:numId="16" w16cid:durableId="153764825">
    <w:abstractNumId w:val="11"/>
  </w:num>
  <w:num w:numId="17" w16cid:durableId="1884440096">
    <w:abstractNumId w:val="17"/>
  </w:num>
  <w:num w:numId="18" w16cid:durableId="1388340513">
    <w:abstractNumId w:val="12"/>
  </w:num>
  <w:num w:numId="19" w16cid:durableId="1537889174">
    <w:abstractNumId w:val="6"/>
  </w:num>
  <w:num w:numId="20" w16cid:durableId="1416198463">
    <w:abstractNumId w:val="8"/>
  </w:num>
  <w:num w:numId="21" w16cid:durableId="846291781">
    <w:abstractNumId w:val="4"/>
  </w:num>
  <w:num w:numId="22" w16cid:durableId="112329199">
    <w:abstractNumId w:val="22"/>
  </w:num>
  <w:num w:numId="23" w16cid:durableId="890381569">
    <w:abstractNumId w:val="15"/>
  </w:num>
  <w:num w:numId="24" w16cid:durableId="387533320">
    <w:abstractNumId w:val="19"/>
  </w:num>
  <w:num w:numId="25" w16cid:durableId="127355987">
    <w:abstractNumId w:val="25"/>
  </w:num>
  <w:num w:numId="26" w16cid:durableId="1932468797">
    <w:abstractNumId w:val="18"/>
  </w:num>
  <w:num w:numId="27" w16cid:durableId="64397092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78F"/>
    <w:rsid w:val="0000341E"/>
    <w:rsid w:val="00005747"/>
    <w:rsid w:val="000203B1"/>
    <w:rsid w:val="0002516D"/>
    <w:rsid w:val="00030645"/>
    <w:rsid w:val="00033313"/>
    <w:rsid w:val="00035FC6"/>
    <w:rsid w:val="00040906"/>
    <w:rsid w:val="00041808"/>
    <w:rsid w:val="000448A2"/>
    <w:rsid w:val="00045D61"/>
    <w:rsid w:val="000468B3"/>
    <w:rsid w:val="000524AE"/>
    <w:rsid w:val="00054132"/>
    <w:rsid w:val="00061CA8"/>
    <w:rsid w:val="000647F6"/>
    <w:rsid w:val="000660E3"/>
    <w:rsid w:val="00066BB6"/>
    <w:rsid w:val="00076A61"/>
    <w:rsid w:val="00081E7A"/>
    <w:rsid w:val="00085179"/>
    <w:rsid w:val="00093722"/>
    <w:rsid w:val="000955AC"/>
    <w:rsid w:val="00096C36"/>
    <w:rsid w:val="00097EDE"/>
    <w:rsid w:val="000A3DD5"/>
    <w:rsid w:val="000B50DA"/>
    <w:rsid w:val="000B72EC"/>
    <w:rsid w:val="000D060C"/>
    <w:rsid w:val="000D27EA"/>
    <w:rsid w:val="000D3F56"/>
    <w:rsid w:val="000D5518"/>
    <w:rsid w:val="000D7D18"/>
    <w:rsid w:val="000E07B8"/>
    <w:rsid w:val="000F3B54"/>
    <w:rsid w:val="001011E2"/>
    <w:rsid w:val="00110F95"/>
    <w:rsid w:val="001132F5"/>
    <w:rsid w:val="00114C54"/>
    <w:rsid w:val="00116A3E"/>
    <w:rsid w:val="00120740"/>
    <w:rsid w:val="00124D8B"/>
    <w:rsid w:val="00125B06"/>
    <w:rsid w:val="00126258"/>
    <w:rsid w:val="00127EEC"/>
    <w:rsid w:val="00135A87"/>
    <w:rsid w:val="001412F3"/>
    <w:rsid w:val="00141EEF"/>
    <w:rsid w:val="0014323A"/>
    <w:rsid w:val="0014406A"/>
    <w:rsid w:val="001465B4"/>
    <w:rsid w:val="001565F2"/>
    <w:rsid w:val="00157239"/>
    <w:rsid w:val="00162A03"/>
    <w:rsid w:val="0016471C"/>
    <w:rsid w:val="00181FDB"/>
    <w:rsid w:val="00183231"/>
    <w:rsid w:val="0018342F"/>
    <w:rsid w:val="00183761"/>
    <w:rsid w:val="00184513"/>
    <w:rsid w:val="0018537B"/>
    <w:rsid w:val="00190D47"/>
    <w:rsid w:val="0019497E"/>
    <w:rsid w:val="001954AA"/>
    <w:rsid w:val="00195BF3"/>
    <w:rsid w:val="001A0327"/>
    <w:rsid w:val="001A03EE"/>
    <w:rsid w:val="001A77CB"/>
    <w:rsid w:val="001B281A"/>
    <w:rsid w:val="001B4DDD"/>
    <w:rsid w:val="001B652A"/>
    <w:rsid w:val="001B7B80"/>
    <w:rsid w:val="001C31B6"/>
    <w:rsid w:val="001C4ABD"/>
    <w:rsid w:val="001C6F4C"/>
    <w:rsid w:val="001D508F"/>
    <w:rsid w:val="001D6432"/>
    <w:rsid w:val="001D7C49"/>
    <w:rsid w:val="001E4819"/>
    <w:rsid w:val="001F5A47"/>
    <w:rsid w:val="001F5EB3"/>
    <w:rsid w:val="00200EF1"/>
    <w:rsid w:val="00201E37"/>
    <w:rsid w:val="00202FA3"/>
    <w:rsid w:val="0020329E"/>
    <w:rsid w:val="002044BF"/>
    <w:rsid w:val="00206F50"/>
    <w:rsid w:val="00210835"/>
    <w:rsid w:val="00213593"/>
    <w:rsid w:val="002149C5"/>
    <w:rsid w:val="00214D6D"/>
    <w:rsid w:val="002235A0"/>
    <w:rsid w:val="002548B7"/>
    <w:rsid w:val="00254F4B"/>
    <w:rsid w:val="00256DCA"/>
    <w:rsid w:val="002622C4"/>
    <w:rsid w:val="00262512"/>
    <w:rsid w:val="002627AC"/>
    <w:rsid w:val="0026444E"/>
    <w:rsid w:val="00265AD0"/>
    <w:rsid w:val="0027029A"/>
    <w:rsid w:val="0027098F"/>
    <w:rsid w:val="00271E90"/>
    <w:rsid w:val="00273B32"/>
    <w:rsid w:val="00273DE7"/>
    <w:rsid w:val="00274026"/>
    <w:rsid w:val="00274472"/>
    <w:rsid w:val="00275CC5"/>
    <w:rsid w:val="002765C4"/>
    <w:rsid w:val="00277274"/>
    <w:rsid w:val="002850BC"/>
    <w:rsid w:val="00286544"/>
    <w:rsid w:val="0028668B"/>
    <w:rsid w:val="00286DFA"/>
    <w:rsid w:val="00291506"/>
    <w:rsid w:val="002929DA"/>
    <w:rsid w:val="002972B1"/>
    <w:rsid w:val="002A13FC"/>
    <w:rsid w:val="002B0827"/>
    <w:rsid w:val="002C2455"/>
    <w:rsid w:val="002C2D46"/>
    <w:rsid w:val="002C4962"/>
    <w:rsid w:val="002C6301"/>
    <w:rsid w:val="002C7595"/>
    <w:rsid w:val="002D6A55"/>
    <w:rsid w:val="002E7404"/>
    <w:rsid w:val="002E746F"/>
    <w:rsid w:val="002F0E71"/>
    <w:rsid w:val="002F2161"/>
    <w:rsid w:val="00302332"/>
    <w:rsid w:val="00302378"/>
    <w:rsid w:val="0030487A"/>
    <w:rsid w:val="003051BF"/>
    <w:rsid w:val="00311C2F"/>
    <w:rsid w:val="00313ABD"/>
    <w:rsid w:val="003169C4"/>
    <w:rsid w:val="003227E5"/>
    <w:rsid w:val="0033157F"/>
    <w:rsid w:val="00331A0B"/>
    <w:rsid w:val="0033541D"/>
    <w:rsid w:val="0033727D"/>
    <w:rsid w:val="003455E0"/>
    <w:rsid w:val="003573B2"/>
    <w:rsid w:val="00360B34"/>
    <w:rsid w:val="003619F4"/>
    <w:rsid w:val="00361FC7"/>
    <w:rsid w:val="0036234A"/>
    <w:rsid w:val="003658A5"/>
    <w:rsid w:val="00365C57"/>
    <w:rsid w:val="003660F7"/>
    <w:rsid w:val="003716B7"/>
    <w:rsid w:val="00376ED9"/>
    <w:rsid w:val="00381509"/>
    <w:rsid w:val="003837AB"/>
    <w:rsid w:val="003860DE"/>
    <w:rsid w:val="003908CF"/>
    <w:rsid w:val="00390C36"/>
    <w:rsid w:val="00392C4A"/>
    <w:rsid w:val="003957BD"/>
    <w:rsid w:val="003972A9"/>
    <w:rsid w:val="003975B3"/>
    <w:rsid w:val="003A121C"/>
    <w:rsid w:val="003A4176"/>
    <w:rsid w:val="003A4B8A"/>
    <w:rsid w:val="003A620B"/>
    <w:rsid w:val="003B2A30"/>
    <w:rsid w:val="003B3A9F"/>
    <w:rsid w:val="003B7678"/>
    <w:rsid w:val="003C0F2C"/>
    <w:rsid w:val="003C1B75"/>
    <w:rsid w:val="003C3325"/>
    <w:rsid w:val="003C6BB7"/>
    <w:rsid w:val="003E3C3D"/>
    <w:rsid w:val="003E7C21"/>
    <w:rsid w:val="003F1107"/>
    <w:rsid w:val="003F31D6"/>
    <w:rsid w:val="003F4B96"/>
    <w:rsid w:val="003F7BFE"/>
    <w:rsid w:val="00422631"/>
    <w:rsid w:val="00423F27"/>
    <w:rsid w:val="00425783"/>
    <w:rsid w:val="00431CC0"/>
    <w:rsid w:val="00431D4C"/>
    <w:rsid w:val="00433C0B"/>
    <w:rsid w:val="00435DCD"/>
    <w:rsid w:val="00447D7C"/>
    <w:rsid w:val="00452773"/>
    <w:rsid w:val="0045291C"/>
    <w:rsid w:val="00455079"/>
    <w:rsid w:val="004557A0"/>
    <w:rsid w:val="00456AD2"/>
    <w:rsid w:val="00460DD0"/>
    <w:rsid w:val="0046244A"/>
    <w:rsid w:val="004669A9"/>
    <w:rsid w:val="00472D11"/>
    <w:rsid w:val="0047738E"/>
    <w:rsid w:val="00486E84"/>
    <w:rsid w:val="00487F65"/>
    <w:rsid w:val="00492BC2"/>
    <w:rsid w:val="004A42EB"/>
    <w:rsid w:val="004A499D"/>
    <w:rsid w:val="004A4DCD"/>
    <w:rsid w:val="004A7266"/>
    <w:rsid w:val="004B6F7C"/>
    <w:rsid w:val="004C0AAF"/>
    <w:rsid w:val="004C0B1B"/>
    <w:rsid w:val="004C11EB"/>
    <w:rsid w:val="004C2757"/>
    <w:rsid w:val="004C464C"/>
    <w:rsid w:val="004D777D"/>
    <w:rsid w:val="004E164F"/>
    <w:rsid w:val="004E6218"/>
    <w:rsid w:val="004F652E"/>
    <w:rsid w:val="004F6971"/>
    <w:rsid w:val="004F6EB8"/>
    <w:rsid w:val="004F7E50"/>
    <w:rsid w:val="00500242"/>
    <w:rsid w:val="005035B6"/>
    <w:rsid w:val="00503F57"/>
    <w:rsid w:val="005057B8"/>
    <w:rsid w:val="00512678"/>
    <w:rsid w:val="00516837"/>
    <w:rsid w:val="00517610"/>
    <w:rsid w:val="00517BF5"/>
    <w:rsid w:val="005323D6"/>
    <w:rsid w:val="005335B4"/>
    <w:rsid w:val="005431C9"/>
    <w:rsid w:val="00546267"/>
    <w:rsid w:val="005475D5"/>
    <w:rsid w:val="00555CC2"/>
    <w:rsid w:val="005577C9"/>
    <w:rsid w:val="0056161A"/>
    <w:rsid w:val="00562A03"/>
    <w:rsid w:val="00563BE5"/>
    <w:rsid w:val="00565026"/>
    <w:rsid w:val="00572195"/>
    <w:rsid w:val="00575A5E"/>
    <w:rsid w:val="0057761A"/>
    <w:rsid w:val="00584BA5"/>
    <w:rsid w:val="00591B86"/>
    <w:rsid w:val="005922AD"/>
    <w:rsid w:val="005931E8"/>
    <w:rsid w:val="005A3222"/>
    <w:rsid w:val="005A5161"/>
    <w:rsid w:val="005A5881"/>
    <w:rsid w:val="005A7C13"/>
    <w:rsid w:val="005B1128"/>
    <w:rsid w:val="005B207C"/>
    <w:rsid w:val="005B240C"/>
    <w:rsid w:val="005B2639"/>
    <w:rsid w:val="005B5644"/>
    <w:rsid w:val="005B7A6F"/>
    <w:rsid w:val="005C1AC3"/>
    <w:rsid w:val="005C6C80"/>
    <w:rsid w:val="005D50E0"/>
    <w:rsid w:val="005E01BF"/>
    <w:rsid w:val="005E2442"/>
    <w:rsid w:val="005E3888"/>
    <w:rsid w:val="005E7163"/>
    <w:rsid w:val="005E7DFF"/>
    <w:rsid w:val="005F56D6"/>
    <w:rsid w:val="00600D72"/>
    <w:rsid w:val="0060705E"/>
    <w:rsid w:val="00610514"/>
    <w:rsid w:val="006107DE"/>
    <w:rsid w:val="00614445"/>
    <w:rsid w:val="00614BB5"/>
    <w:rsid w:val="00617BDE"/>
    <w:rsid w:val="00625852"/>
    <w:rsid w:val="00626300"/>
    <w:rsid w:val="00630048"/>
    <w:rsid w:val="00630FCD"/>
    <w:rsid w:val="00633DB4"/>
    <w:rsid w:val="0064123F"/>
    <w:rsid w:val="00642666"/>
    <w:rsid w:val="006469A2"/>
    <w:rsid w:val="00651FC9"/>
    <w:rsid w:val="00652E81"/>
    <w:rsid w:val="0065331E"/>
    <w:rsid w:val="00654B1C"/>
    <w:rsid w:val="00656B54"/>
    <w:rsid w:val="00665686"/>
    <w:rsid w:val="00670E29"/>
    <w:rsid w:val="00672003"/>
    <w:rsid w:val="00672B43"/>
    <w:rsid w:val="006765A4"/>
    <w:rsid w:val="00676D4E"/>
    <w:rsid w:val="0067760D"/>
    <w:rsid w:val="00677BC9"/>
    <w:rsid w:val="00680589"/>
    <w:rsid w:val="00684DB9"/>
    <w:rsid w:val="006877DD"/>
    <w:rsid w:val="00690E26"/>
    <w:rsid w:val="00694061"/>
    <w:rsid w:val="006A4EC4"/>
    <w:rsid w:val="006A4FBF"/>
    <w:rsid w:val="006B6F7F"/>
    <w:rsid w:val="006C07D3"/>
    <w:rsid w:val="006C2447"/>
    <w:rsid w:val="006C2952"/>
    <w:rsid w:val="006C2EA6"/>
    <w:rsid w:val="006C548F"/>
    <w:rsid w:val="006C593D"/>
    <w:rsid w:val="006C594B"/>
    <w:rsid w:val="006D17F4"/>
    <w:rsid w:val="006D1ED1"/>
    <w:rsid w:val="006D2535"/>
    <w:rsid w:val="006E3DC3"/>
    <w:rsid w:val="006E4032"/>
    <w:rsid w:val="006E4D8E"/>
    <w:rsid w:val="006E5651"/>
    <w:rsid w:val="006E778F"/>
    <w:rsid w:val="006F1D13"/>
    <w:rsid w:val="006F3345"/>
    <w:rsid w:val="006F380C"/>
    <w:rsid w:val="006F3C45"/>
    <w:rsid w:val="00701972"/>
    <w:rsid w:val="00704F38"/>
    <w:rsid w:val="0071041D"/>
    <w:rsid w:val="00710D8A"/>
    <w:rsid w:val="00710E0C"/>
    <w:rsid w:val="007124B7"/>
    <w:rsid w:val="00712D20"/>
    <w:rsid w:val="007130AA"/>
    <w:rsid w:val="0071311E"/>
    <w:rsid w:val="007143EE"/>
    <w:rsid w:val="00721546"/>
    <w:rsid w:val="007234B7"/>
    <w:rsid w:val="00726939"/>
    <w:rsid w:val="007321F5"/>
    <w:rsid w:val="007325D2"/>
    <w:rsid w:val="00735F8F"/>
    <w:rsid w:val="00742969"/>
    <w:rsid w:val="00742DA5"/>
    <w:rsid w:val="0074427C"/>
    <w:rsid w:val="00744CCC"/>
    <w:rsid w:val="007479BC"/>
    <w:rsid w:val="0075165E"/>
    <w:rsid w:val="00753A87"/>
    <w:rsid w:val="00753D1A"/>
    <w:rsid w:val="00754FB8"/>
    <w:rsid w:val="00755AAC"/>
    <w:rsid w:val="0075701E"/>
    <w:rsid w:val="00760BFD"/>
    <w:rsid w:val="007612B6"/>
    <w:rsid w:val="0076491B"/>
    <w:rsid w:val="007649A6"/>
    <w:rsid w:val="00774416"/>
    <w:rsid w:val="00780E75"/>
    <w:rsid w:val="0078216F"/>
    <w:rsid w:val="00783C9F"/>
    <w:rsid w:val="00787D53"/>
    <w:rsid w:val="00790422"/>
    <w:rsid w:val="0079574F"/>
    <w:rsid w:val="00795C02"/>
    <w:rsid w:val="00796025"/>
    <w:rsid w:val="0079775B"/>
    <w:rsid w:val="007A0567"/>
    <w:rsid w:val="007A1907"/>
    <w:rsid w:val="007A27A5"/>
    <w:rsid w:val="007A311E"/>
    <w:rsid w:val="007A3DE4"/>
    <w:rsid w:val="007A7234"/>
    <w:rsid w:val="007B0491"/>
    <w:rsid w:val="007B2370"/>
    <w:rsid w:val="007B6F20"/>
    <w:rsid w:val="007C0995"/>
    <w:rsid w:val="007C1986"/>
    <w:rsid w:val="007C3777"/>
    <w:rsid w:val="007C53F0"/>
    <w:rsid w:val="007D058A"/>
    <w:rsid w:val="007D7067"/>
    <w:rsid w:val="007E444A"/>
    <w:rsid w:val="007E5B6D"/>
    <w:rsid w:val="007E5FAA"/>
    <w:rsid w:val="007F36A8"/>
    <w:rsid w:val="00801B29"/>
    <w:rsid w:val="00805638"/>
    <w:rsid w:val="008150C3"/>
    <w:rsid w:val="008210AB"/>
    <w:rsid w:val="00826BE4"/>
    <w:rsid w:val="008307FB"/>
    <w:rsid w:val="008309F5"/>
    <w:rsid w:val="00831BDC"/>
    <w:rsid w:val="00836CC9"/>
    <w:rsid w:val="00840B7F"/>
    <w:rsid w:val="008436F8"/>
    <w:rsid w:val="00846FC6"/>
    <w:rsid w:val="00847735"/>
    <w:rsid w:val="00852505"/>
    <w:rsid w:val="00854BBB"/>
    <w:rsid w:val="0085678E"/>
    <w:rsid w:val="00857AFE"/>
    <w:rsid w:val="008628C4"/>
    <w:rsid w:val="008669F3"/>
    <w:rsid w:val="00872101"/>
    <w:rsid w:val="0087246E"/>
    <w:rsid w:val="00882E03"/>
    <w:rsid w:val="00883608"/>
    <w:rsid w:val="008922D9"/>
    <w:rsid w:val="008944D9"/>
    <w:rsid w:val="008A30C3"/>
    <w:rsid w:val="008A3DCF"/>
    <w:rsid w:val="008A42CD"/>
    <w:rsid w:val="008A44B7"/>
    <w:rsid w:val="008A5818"/>
    <w:rsid w:val="008B2B03"/>
    <w:rsid w:val="008C0518"/>
    <w:rsid w:val="008C6AF3"/>
    <w:rsid w:val="008D091F"/>
    <w:rsid w:val="008D16A1"/>
    <w:rsid w:val="008D303C"/>
    <w:rsid w:val="008D5310"/>
    <w:rsid w:val="008E0F8E"/>
    <w:rsid w:val="008E7233"/>
    <w:rsid w:val="008F0B55"/>
    <w:rsid w:val="008F4386"/>
    <w:rsid w:val="008F467F"/>
    <w:rsid w:val="008F50C0"/>
    <w:rsid w:val="008F70AE"/>
    <w:rsid w:val="00903503"/>
    <w:rsid w:val="00905C53"/>
    <w:rsid w:val="009104AA"/>
    <w:rsid w:val="00914EC8"/>
    <w:rsid w:val="0091716D"/>
    <w:rsid w:val="00921036"/>
    <w:rsid w:val="009236D7"/>
    <w:rsid w:val="0092631B"/>
    <w:rsid w:val="009346B6"/>
    <w:rsid w:val="00934D92"/>
    <w:rsid w:val="00941564"/>
    <w:rsid w:val="00941A7A"/>
    <w:rsid w:val="0094756F"/>
    <w:rsid w:val="00963A15"/>
    <w:rsid w:val="00964101"/>
    <w:rsid w:val="00966712"/>
    <w:rsid w:val="00967CC8"/>
    <w:rsid w:val="009754FA"/>
    <w:rsid w:val="0097622B"/>
    <w:rsid w:val="00977D6C"/>
    <w:rsid w:val="009A5429"/>
    <w:rsid w:val="009B0400"/>
    <w:rsid w:val="009B2828"/>
    <w:rsid w:val="009B5786"/>
    <w:rsid w:val="009B578F"/>
    <w:rsid w:val="009B61B2"/>
    <w:rsid w:val="009C1A2A"/>
    <w:rsid w:val="009C3403"/>
    <w:rsid w:val="009C43C0"/>
    <w:rsid w:val="009D0D71"/>
    <w:rsid w:val="009D13F9"/>
    <w:rsid w:val="009D5AB0"/>
    <w:rsid w:val="009D6776"/>
    <w:rsid w:val="009E1796"/>
    <w:rsid w:val="009E3CA7"/>
    <w:rsid w:val="009E3E52"/>
    <w:rsid w:val="009F1110"/>
    <w:rsid w:val="009F3E3B"/>
    <w:rsid w:val="00A002E4"/>
    <w:rsid w:val="00A031D5"/>
    <w:rsid w:val="00A03970"/>
    <w:rsid w:val="00A063C6"/>
    <w:rsid w:val="00A0709F"/>
    <w:rsid w:val="00A10EC3"/>
    <w:rsid w:val="00A14CA5"/>
    <w:rsid w:val="00A15DD1"/>
    <w:rsid w:val="00A15E5C"/>
    <w:rsid w:val="00A326C4"/>
    <w:rsid w:val="00A35314"/>
    <w:rsid w:val="00A42A28"/>
    <w:rsid w:val="00A539CC"/>
    <w:rsid w:val="00A566DB"/>
    <w:rsid w:val="00A67557"/>
    <w:rsid w:val="00A70934"/>
    <w:rsid w:val="00A72385"/>
    <w:rsid w:val="00A847B3"/>
    <w:rsid w:val="00A86646"/>
    <w:rsid w:val="00A9044B"/>
    <w:rsid w:val="00A90B3E"/>
    <w:rsid w:val="00A91150"/>
    <w:rsid w:val="00A91E5A"/>
    <w:rsid w:val="00AB1B28"/>
    <w:rsid w:val="00AB20E1"/>
    <w:rsid w:val="00AB3ED8"/>
    <w:rsid w:val="00AB418B"/>
    <w:rsid w:val="00AB4E4D"/>
    <w:rsid w:val="00AB557D"/>
    <w:rsid w:val="00AB59E8"/>
    <w:rsid w:val="00AC04A6"/>
    <w:rsid w:val="00AC325D"/>
    <w:rsid w:val="00AC35EA"/>
    <w:rsid w:val="00AC3A16"/>
    <w:rsid w:val="00AC46F0"/>
    <w:rsid w:val="00AC4D22"/>
    <w:rsid w:val="00AD316E"/>
    <w:rsid w:val="00AE373B"/>
    <w:rsid w:val="00AE3E00"/>
    <w:rsid w:val="00AE5058"/>
    <w:rsid w:val="00AF07DC"/>
    <w:rsid w:val="00AF0A95"/>
    <w:rsid w:val="00AF1F57"/>
    <w:rsid w:val="00AF2960"/>
    <w:rsid w:val="00AF3B08"/>
    <w:rsid w:val="00AF3EEB"/>
    <w:rsid w:val="00AF70B7"/>
    <w:rsid w:val="00B01605"/>
    <w:rsid w:val="00B01D1C"/>
    <w:rsid w:val="00B01EF0"/>
    <w:rsid w:val="00B06C6B"/>
    <w:rsid w:val="00B22BCE"/>
    <w:rsid w:val="00B24507"/>
    <w:rsid w:val="00B276F6"/>
    <w:rsid w:val="00B3059B"/>
    <w:rsid w:val="00B32F08"/>
    <w:rsid w:val="00B4165B"/>
    <w:rsid w:val="00B41777"/>
    <w:rsid w:val="00B42B03"/>
    <w:rsid w:val="00B4768E"/>
    <w:rsid w:val="00B62B5D"/>
    <w:rsid w:val="00B64F42"/>
    <w:rsid w:val="00B70A32"/>
    <w:rsid w:val="00B71842"/>
    <w:rsid w:val="00B83C62"/>
    <w:rsid w:val="00B901C6"/>
    <w:rsid w:val="00B91917"/>
    <w:rsid w:val="00B94268"/>
    <w:rsid w:val="00B9677F"/>
    <w:rsid w:val="00B97840"/>
    <w:rsid w:val="00B97930"/>
    <w:rsid w:val="00BA10AD"/>
    <w:rsid w:val="00BA2D7C"/>
    <w:rsid w:val="00BA3AE9"/>
    <w:rsid w:val="00BA6613"/>
    <w:rsid w:val="00BB2B03"/>
    <w:rsid w:val="00BB2BD3"/>
    <w:rsid w:val="00BB35C1"/>
    <w:rsid w:val="00BB54C4"/>
    <w:rsid w:val="00BB69BF"/>
    <w:rsid w:val="00BB6DCD"/>
    <w:rsid w:val="00BC0820"/>
    <w:rsid w:val="00BC3290"/>
    <w:rsid w:val="00BC4A2C"/>
    <w:rsid w:val="00BC4D28"/>
    <w:rsid w:val="00BC5DFE"/>
    <w:rsid w:val="00BD3E57"/>
    <w:rsid w:val="00BD3EA8"/>
    <w:rsid w:val="00BD577C"/>
    <w:rsid w:val="00BD5D26"/>
    <w:rsid w:val="00BE1E60"/>
    <w:rsid w:val="00BE4425"/>
    <w:rsid w:val="00BE63F2"/>
    <w:rsid w:val="00BE7CD5"/>
    <w:rsid w:val="00BF4825"/>
    <w:rsid w:val="00BF7892"/>
    <w:rsid w:val="00BF7967"/>
    <w:rsid w:val="00C00BA8"/>
    <w:rsid w:val="00C0179E"/>
    <w:rsid w:val="00C04CFC"/>
    <w:rsid w:val="00C051FC"/>
    <w:rsid w:val="00C05C79"/>
    <w:rsid w:val="00C0673C"/>
    <w:rsid w:val="00C074CB"/>
    <w:rsid w:val="00C11CA2"/>
    <w:rsid w:val="00C17848"/>
    <w:rsid w:val="00C20087"/>
    <w:rsid w:val="00C22636"/>
    <w:rsid w:val="00C3391E"/>
    <w:rsid w:val="00C412AB"/>
    <w:rsid w:val="00C428F2"/>
    <w:rsid w:val="00C4367D"/>
    <w:rsid w:val="00C46331"/>
    <w:rsid w:val="00C46648"/>
    <w:rsid w:val="00C46EC1"/>
    <w:rsid w:val="00C47676"/>
    <w:rsid w:val="00C537B1"/>
    <w:rsid w:val="00C539DC"/>
    <w:rsid w:val="00C6568C"/>
    <w:rsid w:val="00C66242"/>
    <w:rsid w:val="00C76B54"/>
    <w:rsid w:val="00C81DD6"/>
    <w:rsid w:val="00C83E7A"/>
    <w:rsid w:val="00C85AD7"/>
    <w:rsid w:val="00C9187A"/>
    <w:rsid w:val="00C963D2"/>
    <w:rsid w:val="00CA0BDE"/>
    <w:rsid w:val="00CA0CFC"/>
    <w:rsid w:val="00CA1829"/>
    <w:rsid w:val="00CA2C05"/>
    <w:rsid w:val="00CA3491"/>
    <w:rsid w:val="00CA4A94"/>
    <w:rsid w:val="00CB32AE"/>
    <w:rsid w:val="00CB473D"/>
    <w:rsid w:val="00CC1E75"/>
    <w:rsid w:val="00CC2DC7"/>
    <w:rsid w:val="00CC2FF7"/>
    <w:rsid w:val="00CC7F59"/>
    <w:rsid w:val="00CD679A"/>
    <w:rsid w:val="00CD6A4C"/>
    <w:rsid w:val="00CE0602"/>
    <w:rsid w:val="00CE1E21"/>
    <w:rsid w:val="00CE38DF"/>
    <w:rsid w:val="00CE5F2D"/>
    <w:rsid w:val="00CE6E39"/>
    <w:rsid w:val="00CF5B48"/>
    <w:rsid w:val="00CF7796"/>
    <w:rsid w:val="00D0432D"/>
    <w:rsid w:val="00D07E31"/>
    <w:rsid w:val="00D10326"/>
    <w:rsid w:val="00D103D0"/>
    <w:rsid w:val="00D10F18"/>
    <w:rsid w:val="00D1606F"/>
    <w:rsid w:val="00D1799F"/>
    <w:rsid w:val="00D21AD4"/>
    <w:rsid w:val="00D21F6D"/>
    <w:rsid w:val="00D232D2"/>
    <w:rsid w:val="00D23BE2"/>
    <w:rsid w:val="00D26554"/>
    <w:rsid w:val="00D26F3C"/>
    <w:rsid w:val="00D354C0"/>
    <w:rsid w:val="00D35B71"/>
    <w:rsid w:val="00D406BB"/>
    <w:rsid w:val="00D41768"/>
    <w:rsid w:val="00D41B29"/>
    <w:rsid w:val="00D527DF"/>
    <w:rsid w:val="00D540C3"/>
    <w:rsid w:val="00D54102"/>
    <w:rsid w:val="00D7346A"/>
    <w:rsid w:val="00D74AE0"/>
    <w:rsid w:val="00D831D6"/>
    <w:rsid w:val="00D84C6F"/>
    <w:rsid w:val="00D945B5"/>
    <w:rsid w:val="00D94A9C"/>
    <w:rsid w:val="00DA251C"/>
    <w:rsid w:val="00DA3E44"/>
    <w:rsid w:val="00DA46C9"/>
    <w:rsid w:val="00DA6A79"/>
    <w:rsid w:val="00DA7D0D"/>
    <w:rsid w:val="00DB64EC"/>
    <w:rsid w:val="00DB6939"/>
    <w:rsid w:val="00DC2B3F"/>
    <w:rsid w:val="00DC3463"/>
    <w:rsid w:val="00DD3603"/>
    <w:rsid w:val="00DD5039"/>
    <w:rsid w:val="00DD756F"/>
    <w:rsid w:val="00DD77F0"/>
    <w:rsid w:val="00DE0ED0"/>
    <w:rsid w:val="00DE5242"/>
    <w:rsid w:val="00DF3BAB"/>
    <w:rsid w:val="00E02884"/>
    <w:rsid w:val="00E03DCC"/>
    <w:rsid w:val="00E062D2"/>
    <w:rsid w:val="00E1152F"/>
    <w:rsid w:val="00E1160C"/>
    <w:rsid w:val="00E11F0B"/>
    <w:rsid w:val="00E16160"/>
    <w:rsid w:val="00E17878"/>
    <w:rsid w:val="00E24489"/>
    <w:rsid w:val="00E2498A"/>
    <w:rsid w:val="00E2532D"/>
    <w:rsid w:val="00E31BF1"/>
    <w:rsid w:val="00E32CFC"/>
    <w:rsid w:val="00E35B97"/>
    <w:rsid w:val="00E44C2B"/>
    <w:rsid w:val="00E52FC3"/>
    <w:rsid w:val="00E62B84"/>
    <w:rsid w:val="00E6302C"/>
    <w:rsid w:val="00E63842"/>
    <w:rsid w:val="00E63A23"/>
    <w:rsid w:val="00E72B99"/>
    <w:rsid w:val="00E76A7A"/>
    <w:rsid w:val="00E80789"/>
    <w:rsid w:val="00E82EDB"/>
    <w:rsid w:val="00E83D6A"/>
    <w:rsid w:val="00E84DF2"/>
    <w:rsid w:val="00E84F70"/>
    <w:rsid w:val="00E86B55"/>
    <w:rsid w:val="00E91CEE"/>
    <w:rsid w:val="00E933B2"/>
    <w:rsid w:val="00E940BE"/>
    <w:rsid w:val="00E96AE4"/>
    <w:rsid w:val="00E9733D"/>
    <w:rsid w:val="00E9778C"/>
    <w:rsid w:val="00EA5466"/>
    <w:rsid w:val="00EA63B2"/>
    <w:rsid w:val="00EB5502"/>
    <w:rsid w:val="00EB5CA9"/>
    <w:rsid w:val="00EC051C"/>
    <w:rsid w:val="00ED0B7B"/>
    <w:rsid w:val="00ED26A2"/>
    <w:rsid w:val="00ED2A69"/>
    <w:rsid w:val="00ED518A"/>
    <w:rsid w:val="00ED5F08"/>
    <w:rsid w:val="00EE159A"/>
    <w:rsid w:val="00EE2147"/>
    <w:rsid w:val="00EE4834"/>
    <w:rsid w:val="00EE79D6"/>
    <w:rsid w:val="00F006BE"/>
    <w:rsid w:val="00F01344"/>
    <w:rsid w:val="00F051C2"/>
    <w:rsid w:val="00F05AD6"/>
    <w:rsid w:val="00F0616F"/>
    <w:rsid w:val="00F10529"/>
    <w:rsid w:val="00F118C6"/>
    <w:rsid w:val="00F11AF4"/>
    <w:rsid w:val="00F14F95"/>
    <w:rsid w:val="00F27A05"/>
    <w:rsid w:val="00F35412"/>
    <w:rsid w:val="00F36F91"/>
    <w:rsid w:val="00F416D6"/>
    <w:rsid w:val="00F47BA2"/>
    <w:rsid w:val="00F5173F"/>
    <w:rsid w:val="00F51E48"/>
    <w:rsid w:val="00F57881"/>
    <w:rsid w:val="00F607E5"/>
    <w:rsid w:val="00F623A5"/>
    <w:rsid w:val="00F76B45"/>
    <w:rsid w:val="00F84253"/>
    <w:rsid w:val="00F85F58"/>
    <w:rsid w:val="00F90521"/>
    <w:rsid w:val="00F93D04"/>
    <w:rsid w:val="00F94E8B"/>
    <w:rsid w:val="00F95D2E"/>
    <w:rsid w:val="00F9618C"/>
    <w:rsid w:val="00FA5F67"/>
    <w:rsid w:val="00FA6D89"/>
    <w:rsid w:val="00FA7B91"/>
    <w:rsid w:val="00FB31E0"/>
    <w:rsid w:val="00FB5363"/>
    <w:rsid w:val="00FC1F01"/>
    <w:rsid w:val="00FC1F81"/>
    <w:rsid w:val="00FD6A94"/>
    <w:rsid w:val="00FE1CCC"/>
    <w:rsid w:val="00FE2B8B"/>
    <w:rsid w:val="00FE33E1"/>
    <w:rsid w:val="00FE54C5"/>
    <w:rsid w:val="00FE6036"/>
    <w:rsid w:val="00FF1FA5"/>
    <w:rsid w:val="00FF22A0"/>
    <w:rsid w:val="00FF3A5F"/>
    <w:rsid w:val="014211A0"/>
    <w:rsid w:val="0257DEFB"/>
    <w:rsid w:val="04812CE1"/>
    <w:rsid w:val="060C0523"/>
    <w:rsid w:val="0757D41E"/>
    <w:rsid w:val="138D76A1"/>
    <w:rsid w:val="138F26F9"/>
    <w:rsid w:val="13FFAA2C"/>
    <w:rsid w:val="2316E55E"/>
    <w:rsid w:val="23A7D3B1"/>
    <w:rsid w:val="25987D18"/>
    <w:rsid w:val="2A5E2F64"/>
    <w:rsid w:val="33433E6A"/>
    <w:rsid w:val="359CA37B"/>
    <w:rsid w:val="37D46798"/>
    <w:rsid w:val="3A06C428"/>
    <w:rsid w:val="3B8E7CE2"/>
    <w:rsid w:val="3C77DD6B"/>
    <w:rsid w:val="42576FC2"/>
    <w:rsid w:val="4F8B5C96"/>
    <w:rsid w:val="58E88ED4"/>
    <w:rsid w:val="5D949EA9"/>
    <w:rsid w:val="62081B67"/>
    <w:rsid w:val="677BA76A"/>
    <w:rsid w:val="683D6DBF"/>
    <w:rsid w:val="6AB69127"/>
    <w:rsid w:val="6D1010D1"/>
    <w:rsid w:val="6F830E35"/>
    <w:rsid w:val="70C6AC3C"/>
    <w:rsid w:val="7405F0F4"/>
    <w:rsid w:val="760C17D8"/>
    <w:rsid w:val="76A80CEB"/>
    <w:rsid w:val="782CCA5E"/>
    <w:rsid w:val="7E167E7C"/>
    <w:rsid w:val="7E89C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F77A841"/>
  <w15:chartTrackingRefBased/>
  <w15:docId w15:val="{C47B4030-677C-4E11-BBE3-E97F04F9BA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9187A"/>
    <w:pPr>
      <w:spacing w:before="120" w:after="120" w:line="276" w:lineRule="auto"/>
    </w:pPr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9F4"/>
    <w:pPr>
      <w:keepNext/>
      <w:keepLines/>
      <w:spacing w:before="1440" w:after="240"/>
      <w:outlineLvl w:val="0"/>
    </w:pPr>
    <w:rPr>
      <w:rFonts w:eastAsiaTheme="majorEastAsia" w:cs="Arial"/>
      <w:b/>
      <w:bCs/>
      <w:color w:val="1E1544" w:themeColor="text1"/>
      <w:sz w:val="60"/>
      <w:szCs w:val="6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22631"/>
    <w:pPr>
      <w:keepNext/>
      <w:keepLines/>
      <w:spacing w:before="240"/>
      <w:outlineLvl w:val="1"/>
    </w:pPr>
    <w:rPr>
      <w:rFonts w:eastAsiaTheme="majorEastAsia" w:cstheme="majorBidi"/>
      <w:b/>
      <w:color w:val="1E1544" w:themeColor="text1"/>
      <w:sz w:val="32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76491B"/>
    <w:pPr>
      <w:outlineLvl w:val="2"/>
    </w:pPr>
    <w:rPr>
      <w:sz w:val="28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76491B"/>
    <w:pPr>
      <w:outlineLvl w:val="3"/>
    </w:pPr>
    <w:rPr>
      <w:sz w:val="24"/>
      <w:szCs w:val="22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8537B"/>
    <w:pPr>
      <w:keepNext/>
      <w:keepLines/>
      <w:spacing w:before="40" w:after="0"/>
      <w:outlineLvl w:val="4"/>
    </w:pPr>
    <w:rPr>
      <w:rFonts w:eastAsiaTheme="majorEastAsia" w:cstheme="majorBidi"/>
      <w:color w:val="1E1544" w:themeColor="tex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619F4"/>
    <w:rPr>
      <w:rFonts w:ascii="Arial" w:eastAsiaTheme="majorEastAsia" w:hAnsi="Arial" w:cs="Arial"/>
      <w:b/>
      <w:bCs/>
      <w:color w:val="1E1544" w:themeColor="text1"/>
      <w:sz w:val="60"/>
      <w:szCs w:val="60"/>
    </w:rPr>
  </w:style>
  <w:style w:type="paragraph" w:styleId="NoSpacing">
    <w:name w:val="No Spacing"/>
    <w:uiPriority w:val="1"/>
    <w:qFormat/>
    <w:rsid w:val="00C9187A"/>
    <w:pPr>
      <w:spacing w:line="276" w:lineRule="auto"/>
    </w:pPr>
    <w:rPr>
      <w:rFonts w:ascii="Arial" w:hAnsi="Arial"/>
    </w:rPr>
  </w:style>
  <w:style w:type="character" w:customStyle="1" w:styleId="Heading2Char">
    <w:name w:val="Heading 2 Char"/>
    <w:basedOn w:val="DefaultParagraphFont"/>
    <w:link w:val="Heading2"/>
    <w:uiPriority w:val="9"/>
    <w:rsid w:val="00422631"/>
    <w:rPr>
      <w:rFonts w:ascii="Arial" w:eastAsiaTheme="majorEastAsia" w:hAnsi="Arial" w:cstheme="majorBidi"/>
      <w:b/>
      <w:color w:val="1E1544" w:themeColor="text1"/>
      <w:sz w:val="32"/>
      <w:szCs w:val="26"/>
    </w:rPr>
  </w:style>
  <w:style w:type="paragraph" w:styleId="ListParagraph">
    <w:name w:val="List Paragraph"/>
    <w:aliases w:val="Recommendation,List Paragraph1,List Paragraph11,L,Bullet Point 1,Bullet point,#List Paragraph,List Paragraph - bullet,List - bullet,List Paragraph - bullets,Use Case List Paragraph,Bullets,CV text,Dot pt,F5 List Paragraph,FooterText,列,lp1"/>
    <w:basedOn w:val="Normal"/>
    <w:link w:val="ListParagraphChar"/>
    <w:uiPriority w:val="34"/>
    <w:qFormat/>
    <w:rsid w:val="00C9187A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6491B"/>
    <w:rPr>
      <w:rFonts w:ascii="Arial" w:eastAsiaTheme="majorEastAsia" w:hAnsi="Arial" w:cstheme="majorBidi"/>
      <w:b/>
      <w:color w:val="1E1544" w:themeColor="text1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sid w:val="0076491B"/>
    <w:rPr>
      <w:rFonts w:ascii="Arial" w:eastAsiaTheme="majorEastAsia" w:hAnsi="Arial" w:cstheme="majorBidi"/>
      <w:b/>
      <w:color w:val="1E1544" w:themeColor="text1"/>
      <w:szCs w:val="22"/>
    </w:rPr>
  </w:style>
  <w:style w:type="paragraph" w:styleId="Header">
    <w:name w:val="header"/>
    <w:basedOn w:val="Normal"/>
    <w:link w:val="Head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491B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76491B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491B"/>
    <w:rPr>
      <w:rFonts w:ascii="Arial" w:hAnsi="Arial"/>
    </w:rPr>
  </w:style>
  <w:style w:type="paragraph" w:customStyle="1" w:styleId="Introduction">
    <w:name w:val="Introduction"/>
    <w:basedOn w:val="Normal"/>
    <w:qFormat/>
    <w:rsid w:val="009B2828"/>
    <w:pPr>
      <w:spacing w:before="0"/>
    </w:pPr>
    <w:rPr>
      <w:color w:val="1E1544" w:themeColor="text1"/>
      <w:sz w:val="32"/>
      <w:szCs w:val="32"/>
    </w:rPr>
  </w:style>
  <w:style w:type="character" w:customStyle="1" w:styleId="Heading5Char">
    <w:name w:val="Heading 5 Char"/>
    <w:basedOn w:val="DefaultParagraphFont"/>
    <w:link w:val="Heading5"/>
    <w:uiPriority w:val="9"/>
    <w:rsid w:val="0018537B"/>
    <w:rPr>
      <w:rFonts w:ascii="Arial" w:eastAsiaTheme="majorEastAsia" w:hAnsi="Arial" w:cstheme="majorBidi"/>
      <w:color w:val="1E1544" w:themeColor="text1"/>
    </w:rPr>
  </w:style>
  <w:style w:type="paragraph" w:customStyle="1" w:styleId="TableHeading">
    <w:name w:val="TableHeading"/>
    <w:qFormat/>
    <w:rsid w:val="0018537B"/>
    <w:pPr>
      <w:spacing w:before="240" w:after="120" w:line="276" w:lineRule="auto"/>
    </w:pPr>
    <w:rPr>
      <w:rFonts w:ascii="Arial" w:eastAsiaTheme="majorEastAsia" w:hAnsi="Arial" w:cstheme="majorBidi"/>
      <w:b/>
      <w:bCs/>
      <w:color w:val="1E1544" w:themeColor="text1"/>
    </w:rPr>
  </w:style>
  <w:style w:type="table" w:styleId="TableGrid">
    <w:name w:val="Table Grid"/>
    <w:aliases w:val="Aged Care"/>
    <w:basedOn w:val="TableNormal"/>
    <w:uiPriority w:val="39"/>
    <w:rsid w:val="008F467F"/>
    <w:pPr>
      <w:spacing w:after="240"/>
    </w:pPr>
    <w:rPr>
      <w:rFonts w:ascii="Arial" w:hAnsi="Arial"/>
    </w:rPr>
    <w:tblPr>
      <w:tblBorders>
        <w:top w:val="single" w:sz="4" w:space="0" w:color="2AB1BB" w:themeColor="accent1"/>
        <w:bottom w:val="single" w:sz="4" w:space="0" w:color="2AB1BB" w:themeColor="accent1"/>
        <w:insideH w:val="single" w:sz="4" w:space="0" w:color="2AB1BB" w:themeColor="accent1"/>
      </w:tblBorders>
    </w:tblPr>
    <w:trPr>
      <w:cantSplit/>
    </w:trPr>
    <w:tcPr>
      <w:shd w:val="clear" w:color="auto" w:fill="auto"/>
    </w:tcPr>
    <w:tblStylePr w:type="firstRow">
      <w:rPr>
        <w:rFonts w:ascii="Arial" w:hAnsi="Arial"/>
        <w:b/>
        <w:sz w:val="24"/>
      </w:rPr>
    </w:tblStylePr>
  </w:style>
  <w:style w:type="table" w:styleId="GridTable1Light">
    <w:name w:val="Grid Table 1 Light"/>
    <w:basedOn w:val="TableNormal"/>
    <w:uiPriority w:val="46"/>
    <w:rsid w:val="0018537B"/>
    <w:tblPr>
      <w:tblStyleRowBandSize w:val="1"/>
      <w:tblStyleColBandSize w:val="1"/>
      <w:tblBorders>
        <w:top w:val="single" w:sz="4" w:space="0" w:color="8E7ED7" w:themeColor="text1" w:themeTint="66"/>
        <w:bottom w:val="single" w:sz="4" w:space="0" w:color="8E7ED7" w:themeColor="text1" w:themeTint="66"/>
        <w:insideH w:val="single" w:sz="4" w:space="0" w:color="8E7ED7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573EC3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573EC3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18537B"/>
    <w:rPr>
      <w:rFonts w:ascii="Arial" w:hAnsi="Arial"/>
    </w:rPr>
    <w:tblPr>
      <w:tblStyleRowBandSize w:val="1"/>
      <w:tblStyleColBandSize w:val="1"/>
      <w:tblBorders>
        <w:top w:val="single" w:sz="4" w:space="0" w:color="A3E5EA" w:themeColor="accent1" w:themeTint="66"/>
        <w:bottom w:val="single" w:sz="4" w:space="0" w:color="A3E5EA" w:themeColor="accent1" w:themeTint="66"/>
        <w:insideH w:val="single" w:sz="4" w:space="0" w:color="A3E5E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5D8E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5D8E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Quote">
    <w:name w:val="Quote"/>
    <w:basedOn w:val="Normal"/>
    <w:next w:val="Normal"/>
    <w:link w:val="QuoteChar"/>
    <w:uiPriority w:val="29"/>
    <w:qFormat/>
    <w:rsid w:val="00AC04A6"/>
    <w:pPr>
      <w:spacing w:before="200" w:after="160"/>
      <w:ind w:left="864" w:right="864"/>
      <w:jc w:val="center"/>
    </w:pPr>
    <w:rPr>
      <w:i/>
      <w:iCs/>
      <w:color w:val="412E94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C04A6"/>
    <w:rPr>
      <w:rFonts w:ascii="Arial" w:hAnsi="Arial"/>
      <w:i/>
      <w:iCs/>
      <w:color w:val="412E94" w:themeColor="text1" w:themeTint="BF"/>
    </w:rPr>
  </w:style>
  <w:style w:type="paragraph" w:styleId="IntenseQuote">
    <w:name w:val="Intense Quote"/>
    <w:aliases w:val="Boxed text Heading"/>
    <w:basedOn w:val="Normal"/>
    <w:next w:val="Normal"/>
    <w:link w:val="IntenseQuoteChar"/>
    <w:uiPriority w:val="30"/>
    <w:qFormat/>
    <w:rsid w:val="00AC04A6"/>
    <w:pPr>
      <w:pBdr>
        <w:top w:val="single" w:sz="4" w:space="10" w:color="2AB1BB" w:themeColor="accent1"/>
        <w:left w:val="single" w:sz="4" w:space="4" w:color="2AB1BB" w:themeColor="accent1"/>
        <w:bottom w:val="single" w:sz="4" w:space="10" w:color="2AB1BB" w:themeColor="accent1"/>
        <w:right w:val="single" w:sz="4" w:space="4" w:color="2AB1BB" w:themeColor="accent1"/>
      </w:pBdr>
      <w:ind w:left="862" w:right="862"/>
    </w:pPr>
    <w:rPr>
      <w:b/>
      <w:iCs/>
    </w:rPr>
  </w:style>
  <w:style w:type="character" w:customStyle="1" w:styleId="IntenseQuoteChar">
    <w:name w:val="Intense Quote Char"/>
    <w:aliases w:val="Boxed text Heading Char"/>
    <w:basedOn w:val="DefaultParagraphFont"/>
    <w:link w:val="IntenseQuote"/>
    <w:uiPriority w:val="30"/>
    <w:rsid w:val="00AC04A6"/>
    <w:rPr>
      <w:rFonts w:ascii="Arial" w:hAnsi="Arial"/>
      <w:b/>
      <w:iCs/>
    </w:rPr>
  </w:style>
  <w:style w:type="paragraph" w:customStyle="1" w:styleId="boxtext">
    <w:name w:val="box text"/>
    <w:basedOn w:val="IntenseQuote"/>
    <w:qFormat/>
    <w:rsid w:val="00AC04A6"/>
    <w:rPr>
      <w:b w:val="0"/>
      <w:bCs/>
    </w:rPr>
  </w:style>
  <w:style w:type="paragraph" w:customStyle="1" w:styleId="Boxtexthead">
    <w:name w:val="Box text head"/>
    <w:basedOn w:val="IntenseQuote"/>
    <w:qFormat/>
    <w:rsid w:val="00AC04A6"/>
  </w:style>
  <w:style w:type="character" w:styleId="IntenseEmphasis">
    <w:name w:val="Intense Emphasis"/>
    <w:basedOn w:val="DefaultParagraphFont"/>
    <w:uiPriority w:val="21"/>
    <w:qFormat/>
    <w:rsid w:val="008F467F"/>
    <w:rPr>
      <w:i/>
      <w:iCs/>
      <w:color w:val="2AB1BB" w:themeColor="accent1"/>
    </w:rPr>
  </w:style>
  <w:style w:type="paragraph" w:styleId="NormalWeb">
    <w:name w:val="Normal (Web)"/>
    <w:basedOn w:val="Normal"/>
    <w:uiPriority w:val="99"/>
    <w:unhideWhenUsed/>
    <w:rsid w:val="00E91CEE"/>
    <w:pPr>
      <w:spacing w:before="100" w:beforeAutospacing="1" w:after="100" w:afterAutospacing="1" w:line="240" w:lineRule="auto"/>
    </w:pPr>
    <w:rPr>
      <w:rFonts w:eastAsia="Times New Roman" w:cs="Times New Roman"/>
      <w:u w:val="single"/>
      <w:lang w:eastAsia="en-AU"/>
    </w:rPr>
  </w:style>
  <w:style w:type="character" w:styleId="Hyperlink">
    <w:name w:val="Hyperlink"/>
    <w:basedOn w:val="DefaultParagraphFont"/>
    <w:uiPriority w:val="99"/>
    <w:unhideWhenUsed/>
    <w:rsid w:val="00E91CEE"/>
    <w:rPr>
      <w:color w:val="1E1545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91CEE"/>
    <w:rPr>
      <w:color w:val="605E5C"/>
      <w:shd w:val="clear" w:color="auto" w:fill="E1DFDD"/>
    </w:rPr>
  </w:style>
  <w:style w:type="paragraph" w:customStyle="1" w:styleId="Headingtable">
    <w:name w:val="Heading table"/>
    <w:basedOn w:val="Normal"/>
    <w:qFormat/>
    <w:rsid w:val="00677BC9"/>
    <w:pPr>
      <w:spacing w:before="360"/>
    </w:pPr>
    <w:rPr>
      <w:rFonts w:eastAsiaTheme="majorEastAsia" w:cstheme="majorBidi"/>
      <w:b/>
      <w:bCs/>
      <w:color w:val="1E1544" w:themeColor="text1"/>
    </w:rPr>
  </w:style>
  <w:style w:type="character" w:customStyle="1" w:styleId="ListParagraphChar">
    <w:name w:val="List Paragraph Char"/>
    <w:aliases w:val="Recommendation Char,List Paragraph1 Char,List Paragraph11 Char,L Char,Bullet Point 1 Char,Bullet point Char,#List Paragraph Char,List Paragraph - bullet Char,List - bullet Char,List Paragraph - bullets Char,Bullets Char,CV text Char"/>
    <w:link w:val="ListParagraph"/>
    <w:uiPriority w:val="34"/>
    <w:qFormat/>
    <w:locked/>
    <w:rsid w:val="00DD3603"/>
    <w:rPr>
      <w:rFonts w:ascii="Arial" w:hAnsi="Arial"/>
    </w:rPr>
  </w:style>
  <w:style w:type="paragraph" w:styleId="CommentText">
    <w:name w:val="annotation text"/>
    <w:basedOn w:val="Normal"/>
    <w:link w:val="CommentTextChar"/>
    <w:uiPriority w:val="99"/>
    <w:unhideWhenUsed/>
    <w:rsid w:val="00DD3603"/>
    <w:pPr>
      <w:spacing w:line="240" w:lineRule="auto"/>
    </w:pPr>
    <w:rPr>
      <w:color w:val="1E1544" w:themeColor="text1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3603"/>
    <w:rPr>
      <w:rFonts w:ascii="Arial" w:hAnsi="Arial"/>
      <w:color w:val="1E1544" w:themeColor="text1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D3603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10529"/>
    <w:rPr>
      <w:b/>
      <w:bCs/>
      <w:color w:val="auto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10529"/>
    <w:rPr>
      <w:rFonts w:ascii="Arial" w:hAnsi="Arial"/>
      <w:b/>
      <w:bCs/>
      <w:color w:val="1E1544" w:themeColor="text1"/>
      <w:sz w:val="20"/>
      <w:szCs w:val="20"/>
    </w:rPr>
  </w:style>
  <w:style w:type="paragraph" w:styleId="Revision">
    <w:name w:val="Revision"/>
    <w:hidden/>
    <w:uiPriority w:val="99"/>
    <w:semiHidden/>
    <w:rsid w:val="00F10529"/>
    <w:rPr>
      <w:rFonts w:ascii="Arial" w:hAnsi="Arial"/>
    </w:rPr>
  </w:style>
  <w:style w:type="character" w:styleId="FollowedHyperlink">
    <w:name w:val="FollowedHyperlink"/>
    <w:basedOn w:val="DefaultParagraphFont"/>
    <w:uiPriority w:val="99"/>
    <w:semiHidden/>
    <w:unhideWhenUsed/>
    <w:rsid w:val="002929DA"/>
    <w:rPr>
      <w:color w:val="6D6D70" w:themeColor="followedHyperlink"/>
      <w:u w:val="single"/>
    </w:rPr>
  </w:style>
  <w:style w:type="character" w:styleId="Mention">
    <w:name w:val="Mention"/>
    <w:basedOn w:val="DefaultParagraphFont"/>
    <w:uiPriority w:val="99"/>
    <w:unhideWhenUsed/>
    <w:rsid w:val="008669F3"/>
    <w:rPr>
      <w:color w:val="2B579A"/>
      <w:shd w:val="clear" w:color="auto" w:fill="E1DFDD"/>
    </w:rPr>
  </w:style>
  <w:style w:type="paragraph" w:customStyle="1" w:styleId="xmsolistparagraph">
    <w:name w:val="x_msolistparagraph"/>
    <w:basedOn w:val="Normal"/>
    <w:rsid w:val="007479BC"/>
    <w:pPr>
      <w:spacing w:before="0" w:after="0" w:line="240" w:lineRule="auto"/>
      <w:ind w:left="720"/>
    </w:pPr>
    <w:rPr>
      <w:rFonts w:ascii="Calibri" w:hAnsi="Calibri" w:cs="Calibri"/>
      <w:sz w:val="22"/>
      <w:szCs w:val="22"/>
      <w:lang w:eastAsia="en-AU"/>
    </w:rPr>
  </w:style>
  <w:style w:type="character" w:styleId="PageNumber">
    <w:name w:val="page number"/>
    <w:basedOn w:val="DefaultParagraphFont"/>
    <w:uiPriority w:val="99"/>
    <w:semiHidden/>
    <w:unhideWhenUsed/>
    <w:rsid w:val="001D7C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health.gov.au/committees-and-groups/aged-care-transition-taskforce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health.gov.au/our-work/aged-care-act/consultation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royalcommission.gov.au/aged-care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MIN\OneDrive%20-%20Department%20of%20Health\Documents\Aged_Care_Teal_factsheet_web_March2024.dotx" TargetMode="External"/></Relationships>
</file>

<file path=word/theme/theme1.xml><?xml version="1.0" encoding="utf-8"?>
<a:theme xmlns:a="http://schemas.openxmlformats.org/drawingml/2006/main" name="Office Theme 2013 - 2022">
  <a:themeElements>
    <a:clrScheme name="AGEDCARE">
      <a:dk1>
        <a:srgbClr val="1E1544"/>
      </a:dk1>
      <a:lt1>
        <a:srgbClr val="F1F2F2"/>
      </a:lt1>
      <a:dk2>
        <a:srgbClr val="1E1545"/>
      </a:dk2>
      <a:lt2>
        <a:srgbClr val="F1F2F2"/>
      </a:lt2>
      <a:accent1>
        <a:srgbClr val="2AB1BB"/>
      </a:accent1>
      <a:accent2>
        <a:srgbClr val="78BE43"/>
      </a:accent2>
      <a:accent3>
        <a:srgbClr val="8C59A5"/>
      </a:accent3>
      <a:accent4>
        <a:srgbClr val="DA576C"/>
      </a:accent4>
      <a:accent5>
        <a:srgbClr val="F2692B"/>
      </a:accent5>
      <a:accent6>
        <a:srgbClr val="F3B223"/>
      </a:accent6>
      <a:hlink>
        <a:srgbClr val="1E1545"/>
      </a:hlink>
      <a:folHlink>
        <a:srgbClr val="6D6D7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740DFC7CADE48B96F06633685CE6A" ma:contentTypeVersion="18" ma:contentTypeDescription="Create a new document." ma:contentTypeScope="" ma:versionID="71ef653ac72eeff5386f2e97a111ae2a">
  <xsd:schema xmlns:xsd="http://www.w3.org/2001/XMLSchema" xmlns:xs="http://www.w3.org/2001/XMLSchema" xmlns:p="http://schemas.microsoft.com/office/2006/metadata/properties" xmlns:ns2="d162bdb0-97f7-404f-b2f7-876bbba43c22" xmlns:ns3="0248287d-23c7-4a2a-a3e0-c0447c1b254b" targetNamespace="http://schemas.microsoft.com/office/2006/metadata/properties" ma:root="true" ma:fieldsID="5ecbd2fcf90e0efc4d9556ded8cf7066" ns2:_="" ns3:_="">
    <xsd:import namespace="d162bdb0-97f7-404f-b2f7-876bbba43c22"/>
    <xsd:import namespace="0248287d-23c7-4a2a-a3e0-c0447c1b254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Numb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2bdb0-97f7-404f-b2f7-876bbba43c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Number" ma:index="22" nillable="true" ma:displayName="Number" ma:format="Dropdown" ma:internalName="Number" ma:percentage="FALSE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48287d-23c7-4a2a-a3e0-c0447c1b2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e80bcdcb-5d35-4cfa-b459-3cbb3cdeb293}" ma:internalName="TaxCatchAll" ma:showField="CatchAllData" ma:web="0248287d-23c7-4a2a-a3e0-c0447c1b254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248287d-23c7-4a2a-a3e0-c0447c1b254b" xsi:nil="true"/>
    <SharedWithUsers xmlns="0248287d-23c7-4a2a-a3e0-c0447c1b254b">
      <UserInfo>
        <DisplayName/>
        <AccountId xsi:nil="true"/>
        <AccountType/>
      </UserInfo>
    </SharedWithUsers>
    <lcf76f155ced4ddcb4097134ff3c332f xmlns="d162bdb0-97f7-404f-b2f7-876bbba43c22">
      <Terms xmlns="http://schemas.microsoft.com/office/infopath/2007/PartnerControls"/>
    </lcf76f155ced4ddcb4097134ff3c332f>
    <MediaLengthInSeconds xmlns="d162bdb0-97f7-404f-b2f7-876bbba43c22" xsi:nil="true"/>
    <Number xmlns="d162bdb0-97f7-404f-b2f7-876bbba43c22" xsi:nil="true"/>
  </documentManagement>
</p:properties>
</file>

<file path=customXml/itemProps1.xml><?xml version="1.0" encoding="utf-8"?>
<ds:datastoreItem xmlns:ds="http://schemas.openxmlformats.org/officeDocument/2006/customXml" ds:itemID="{F2C6893C-4390-4236-82D3-9C74D697ED1D}"/>
</file>

<file path=customXml/itemProps2.xml><?xml version="1.0" encoding="utf-8"?>
<ds:datastoreItem xmlns:ds="http://schemas.openxmlformats.org/officeDocument/2006/customXml" ds:itemID="{5BBF3291-9B48-0A45-B0DA-D92CB654D19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2482C8F-E0B2-481F-A178-9FE4AA0C5F6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C40E2362-356C-4CDA-9392-C485AD76B771}">
  <ds:schemaRefs>
    <ds:schemaRef ds:uri="http://schemas.microsoft.com/office/2006/metadata/properties"/>
    <ds:schemaRef ds:uri="http://schemas.microsoft.com/office/infopath/2007/PartnerControls"/>
    <ds:schemaRef ds:uri="0248287d-23c7-4a2a-a3e0-c0447c1b254b"/>
    <ds:schemaRef ds:uri="d162bdb0-97f7-404f-b2f7-876bbba43c2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C:\Users\TRAMIN\OneDrive - Department of Health\Documents\Aged_Care_Teal_factsheet_web_March2024.dotx</Template>
  <TotalTime>21</TotalTime>
  <Pages>7</Pages>
  <Words>2285</Words>
  <Characters>13027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About the Aged Care Bill 2024</vt:lpstr>
    </vt:vector>
  </TitlesOfParts>
  <Company/>
  <LinksUpToDate>false</LinksUpToDate>
  <CharactersWithSpaces>15282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About the Aged Care Bill 2024</dc:title>
  <dc:subject>aged care; new aged care act; aged care reforms</dc:subject>
  <dc:creator>Australian Government Department of Health and Aged Care</dc:creator>
  <cp:keywords>Aged Care, Senior Australians</cp:keywords>
  <cp:lastModifiedBy>Inma Cortes</cp:lastModifiedBy>
  <cp:revision>10</cp:revision>
  <cp:lastPrinted>2024-09-14T06:57:00Z</cp:lastPrinted>
  <dcterms:created xsi:type="dcterms:W3CDTF">2025-01-19T23:35:00Z</dcterms:created>
  <dcterms:modified xsi:type="dcterms:W3CDTF">2025-06-19T07:19:00Z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0x010100294740DFC7CADE48B96F06633685CE6A</vt:lpwstr>
  </property>
  <property fmtid="{D5CDD505-2E9C-101B-9397-08002B2CF9AE}" pid="3" name="MediaServiceImageTags">
    <vt:lpwstr/>
  </property>
</Properties>
</file>