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7A061ADC" w:rsidR="00751A23" w:rsidRPr="00D4685C" w:rsidRDefault="00D4685C" w:rsidP="00867383">
      <w:pPr>
        <w:pStyle w:val="Title"/>
      </w:pPr>
      <w:bookmarkStart w:id="0" w:name="_Hlk158807149"/>
      <w:bookmarkEnd w:id="0"/>
      <w:r w:rsidRPr="00D4685C">
        <w:t xml:space="preserve">Single Employer Model </w:t>
      </w:r>
      <w:r w:rsidR="000F21FE">
        <w:t xml:space="preserve">Jurisdiction-Led </w:t>
      </w:r>
      <w:r w:rsidRPr="00D4685C">
        <w:t>Trial Parameters</w:t>
      </w:r>
      <w:r w:rsidR="006D3B0D">
        <w:t xml:space="preserve"> and </w:t>
      </w:r>
      <w:r w:rsidR="006D3B0D" w:rsidRPr="00867383">
        <w:t>Principles</w:t>
      </w:r>
    </w:p>
    <w:p w14:paraId="0685F9D6" w14:textId="2A485979" w:rsidR="00751A23" w:rsidRPr="00867383" w:rsidRDefault="00D4685C" w:rsidP="00867383">
      <w:pPr>
        <w:pStyle w:val="Subtitle"/>
        <w:sectPr w:rsidR="00751A23" w:rsidRPr="00867383" w:rsidSect="00D45D94">
          <w:headerReference w:type="first" r:id="rId11"/>
          <w:type w:val="continuous"/>
          <w:pgSz w:w="11906" w:h="16838"/>
          <w:pgMar w:top="1701" w:right="1418" w:bottom="1418" w:left="1418" w:header="850" w:footer="709" w:gutter="0"/>
          <w:cols w:space="708"/>
          <w:titlePg/>
          <w:docGrid w:linePitch="360"/>
        </w:sectPr>
      </w:pPr>
      <w:r w:rsidRPr="00867383">
        <w:t xml:space="preserve">Last updated: </w:t>
      </w:r>
      <w:r w:rsidR="00E16A07" w:rsidRPr="00867383">
        <w:t>19</w:t>
      </w:r>
      <w:r w:rsidR="006D3B0D" w:rsidRPr="00867383">
        <w:t xml:space="preserve"> </w:t>
      </w:r>
      <w:r w:rsidR="00E16A07" w:rsidRPr="00867383">
        <w:t>May</w:t>
      </w:r>
      <w:r w:rsidR="006768DE" w:rsidRPr="00867383">
        <w:t xml:space="preserve"> 202</w:t>
      </w:r>
      <w:r w:rsidR="00E16A07" w:rsidRPr="00867383">
        <w:t>5</w:t>
      </w:r>
    </w:p>
    <w:bookmarkStart w:id="1" w:name="_Toc141259132" w:displacedByCustomXml="next"/>
    <w:bookmarkStart w:id="2" w:name="_Hlk141258822" w:displacedByCustomXml="next"/>
    <w:sdt>
      <w:sdtPr>
        <w:id w:val="527911196"/>
        <w:docPartObj>
          <w:docPartGallery w:val="Table of Contents"/>
          <w:docPartUnique/>
        </w:docPartObj>
      </w:sdtPr>
      <w:sdtEndPr>
        <w:rPr>
          <w:rFonts w:eastAsia="Arial"/>
          <w:b w:val="0"/>
          <w:bCs w:val="0"/>
          <w:caps w:val="0"/>
          <w:color w:val="000000" w:themeColor="text1"/>
          <w:szCs w:val="24"/>
          <w:lang w:val="en-AU"/>
        </w:rPr>
      </w:sdtEndPr>
      <w:sdtContent>
        <w:p w14:paraId="75B489DA" w14:textId="3DB868D8" w:rsidR="00D4685C" w:rsidRPr="00D4685C" w:rsidRDefault="00D4685C" w:rsidP="00FB1A2A">
          <w:pPr>
            <w:pStyle w:val="Boxheading"/>
          </w:pPr>
          <w:r>
            <w:t>Contents</w:t>
          </w:r>
        </w:p>
        <w:p w14:paraId="15A4B351" w14:textId="72165BBA" w:rsidR="00867383" w:rsidRDefault="00286E7F" w:rsidP="00867383">
          <w:pPr>
            <w:pStyle w:val="TOC1"/>
            <w:rPr>
              <w:rFonts w:asciiTheme="minorHAnsi" w:eastAsiaTheme="minorEastAsia" w:hAnsiTheme="minorHAnsi" w:cstheme="minorBidi"/>
              <w:noProof/>
              <w:color w:val="auto"/>
              <w:kern w:val="2"/>
              <w:sz w:val="24"/>
              <w:lang w:eastAsia="ja-JP"/>
              <w14:ligatures w14:val="standardContextual"/>
            </w:rPr>
          </w:pPr>
          <w:r>
            <w:fldChar w:fldCharType="begin"/>
          </w:r>
          <w:r w:rsidR="00D4685C">
            <w:instrText>TOC \o "1-3" \z \u \h</w:instrText>
          </w:r>
          <w:r>
            <w:fldChar w:fldCharType="separate"/>
          </w:r>
          <w:hyperlink w:anchor="_Toc198641364" w:history="1">
            <w:r w:rsidR="00867383" w:rsidRPr="009550CA">
              <w:rPr>
                <w:rStyle w:val="Hyperlink"/>
                <w:noProof/>
              </w:rPr>
              <w:t>1.</w:t>
            </w:r>
            <w:r w:rsidR="00867383">
              <w:rPr>
                <w:rFonts w:asciiTheme="minorHAnsi" w:eastAsiaTheme="minorEastAsia" w:hAnsiTheme="minorHAnsi" w:cstheme="minorBidi"/>
                <w:noProof/>
                <w:color w:val="auto"/>
                <w:kern w:val="2"/>
                <w:sz w:val="24"/>
                <w:lang w:eastAsia="ja-JP"/>
                <w14:ligatures w14:val="standardContextual"/>
              </w:rPr>
              <w:tab/>
            </w:r>
            <w:r w:rsidR="00867383" w:rsidRPr="009550CA">
              <w:rPr>
                <w:rStyle w:val="Hyperlink"/>
                <w:noProof/>
              </w:rPr>
              <w:t>Purpose of SEM Trials</w:t>
            </w:r>
            <w:r w:rsidR="00867383">
              <w:rPr>
                <w:noProof/>
                <w:webHidden/>
              </w:rPr>
              <w:tab/>
            </w:r>
            <w:r w:rsidR="00867383">
              <w:rPr>
                <w:noProof/>
                <w:webHidden/>
              </w:rPr>
              <w:fldChar w:fldCharType="begin"/>
            </w:r>
            <w:r w:rsidR="00867383">
              <w:rPr>
                <w:noProof/>
                <w:webHidden/>
              </w:rPr>
              <w:instrText xml:space="preserve"> PAGEREF _Toc198641364 \h </w:instrText>
            </w:r>
            <w:r w:rsidR="00867383">
              <w:rPr>
                <w:noProof/>
                <w:webHidden/>
              </w:rPr>
            </w:r>
            <w:r w:rsidR="00867383">
              <w:rPr>
                <w:noProof/>
                <w:webHidden/>
              </w:rPr>
              <w:fldChar w:fldCharType="separate"/>
            </w:r>
            <w:r w:rsidR="00867383">
              <w:rPr>
                <w:noProof/>
                <w:webHidden/>
              </w:rPr>
              <w:t>4</w:t>
            </w:r>
            <w:r w:rsidR="00867383">
              <w:rPr>
                <w:noProof/>
                <w:webHidden/>
              </w:rPr>
              <w:fldChar w:fldCharType="end"/>
            </w:r>
          </w:hyperlink>
        </w:p>
        <w:p w14:paraId="6A7FE3E5" w14:textId="3A56407B"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365" w:history="1">
            <w:r w:rsidRPr="009550CA">
              <w:rPr>
                <w:rStyle w:val="Hyperlink"/>
                <w:noProof/>
              </w:rPr>
              <w:t>2.</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s19(2) Direction</w:t>
            </w:r>
            <w:r>
              <w:rPr>
                <w:noProof/>
                <w:webHidden/>
              </w:rPr>
              <w:tab/>
            </w:r>
            <w:r>
              <w:rPr>
                <w:noProof/>
                <w:webHidden/>
              </w:rPr>
              <w:fldChar w:fldCharType="begin"/>
            </w:r>
            <w:r>
              <w:rPr>
                <w:noProof/>
                <w:webHidden/>
              </w:rPr>
              <w:instrText xml:space="preserve"> PAGEREF _Toc198641365 \h </w:instrText>
            </w:r>
            <w:r>
              <w:rPr>
                <w:noProof/>
                <w:webHidden/>
              </w:rPr>
            </w:r>
            <w:r>
              <w:rPr>
                <w:noProof/>
                <w:webHidden/>
              </w:rPr>
              <w:fldChar w:fldCharType="separate"/>
            </w:r>
            <w:r>
              <w:rPr>
                <w:noProof/>
                <w:webHidden/>
              </w:rPr>
              <w:t>4</w:t>
            </w:r>
            <w:r>
              <w:rPr>
                <w:noProof/>
                <w:webHidden/>
              </w:rPr>
              <w:fldChar w:fldCharType="end"/>
            </w:r>
          </w:hyperlink>
        </w:p>
        <w:p w14:paraId="4756AE3E" w14:textId="39E608AA"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66" w:history="1">
            <w:r w:rsidRPr="009550CA">
              <w:rPr>
                <w:rStyle w:val="Hyperlink"/>
                <w:noProof/>
              </w:rPr>
              <w:t>A.</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Purpose of a SEM s19(2) Direction</w:t>
            </w:r>
            <w:r>
              <w:rPr>
                <w:noProof/>
                <w:webHidden/>
              </w:rPr>
              <w:tab/>
            </w:r>
            <w:r>
              <w:rPr>
                <w:noProof/>
                <w:webHidden/>
              </w:rPr>
              <w:fldChar w:fldCharType="begin"/>
            </w:r>
            <w:r>
              <w:rPr>
                <w:noProof/>
                <w:webHidden/>
              </w:rPr>
              <w:instrText xml:space="preserve"> PAGEREF _Toc198641366 \h </w:instrText>
            </w:r>
            <w:r>
              <w:rPr>
                <w:noProof/>
                <w:webHidden/>
              </w:rPr>
            </w:r>
            <w:r>
              <w:rPr>
                <w:noProof/>
                <w:webHidden/>
              </w:rPr>
              <w:fldChar w:fldCharType="separate"/>
            </w:r>
            <w:r>
              <w:rPr>
                <w:noProof/>
                <w:webHidden/>
              </w:rPr>
              <w:t>4</w:t>
            </w:r>
            <w:r>
              <w:rPr>
                <w:noProof/>
                <w:webHidden/>
              </w:rPr>
              <w:fldChar w:fldCharType="end"/>
            </w:r>
          </w:hyperlink>
        </w:p>
        <w:p w14:paraId="6367697F" w14:textId="09F81C36"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67" w:history="1">
            <w:r w:rsidRPr="009550CA">
              <w:rPr>
                <w:rStyle w:val="Hyperlink"/>
                <w:noProof/>
              </w:rPr>
              <w:t>B.</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Trial site eligibility</w:t>
            </w:r>
            <w:r>
              <w:rPr>
                <w:noProof/>
                <w:webHidden/>
              </w:rPr>
              <w:tab/>
            </w:r>
            <w:r>
              <w:rPr>
                <w:noProof/>
                <w:webHidden/>
              </w:rPr>
              <w:fldChar w:fldCharType="begin"/>
            </w:r>
            <w:r>
              <w:rPr>
                <w:noProof/>
                <w:webHidden/>
              </w:rPr>
              <w:instrText xml:space="preserve"> PAGEREF _Toc198641367 \h </w:instrText>
            </w:r>
            <w:r>
              <w:rPr>
                <w:noProof/>
                <w:webHidden/>
              </w:rPr>
            </w:r>
            <w:r>
              <w:rPr>
                <w:noProof/>
                <w:webHidden/>
              </w:rPr>
              <w:fldChar w:fldCharType="separate"/>
            </w:r>
            <w:r>
              <w:rPr>
                <w:noProof/>
                <w:webHidden/>
              </w:rPr>
              <w:t>5</w:t>
            </w:r>
            <w:r>
              <w:rPr>
                <w:noProof/>
                <w:webHidden/>
              </w:rPr>
              <w:fldChar w:fldCharType="end"/>
            </w:r>
          </w:hyperlink>
        </w:p>
        <w:p w14:paraId="11471956" w14:textId="759055C6"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68" w:history="1">
            <w:r w:rsidRPr="009550CA">
              <w:rPr>
                <w:rStyle w:val="Hyperlink"/>
                <w:noProof/>
              </w:rPr>
              <w:t>C.</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Legal Entity Name</w:t>
            </w:r>
            <w:r>
              <w:rPr>
                <w:noProof/>
                <w:webHidden/>
              </w:rPr>
              <w:tab/>
            </w:r>
            <w:r>
              <w:rPr>
                <w:noProof/>
                <w:webHidden/>
              </w:rPr>
              <w:fldChar w:fldCharType="begin"/>
            </w:r>
            <w:r>
              <w:rPr>
                <w:noProof/>
                <w:webHidden/>
              </w:rPr>
              <w:instrText xml:space="preserve"> PAGEREF _Toc198641368 \h </w:instrText>
            </w:r>
            <w:r>
              <w:rPr>
                <w:noProof/>
                <w:webHidden/>
              </w:rPr>
            </w:r>
            <w:r>
              <w:rPr>
                <w:noProof/>
                <w:webHidden/>
              </w:rPr>
              <w:fldChar w:fldCharType="separate"/>
            </w:r>
            <w:r>
              <w:rPr>
                <w:noProof/>
                <w:webHidden/>
              </w:rPr>
              <w:t>5</w:t>
            </w:r>
            <w:r>
              <w:rPr>
                <w:noProof/>
                <w:webHidden/>
              </w:rPr>
              <w:fldChar w:fldCharType="end"/>
            </w:r>
          </w:hyperlink>
        </w:p>
        <w:p w14:paraId="6FA3B6CE" w14:textId="7C1B2C9D"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69" w:history="1">
            <w:r w:rsidRPr="009550CA">
              <w:rPr>
                <w:rStyle w:val="Hyperlink"/>
                <w:noProof/>
              </w:rPr>
              <w:t>D.</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Overlap of different s19(2) Directions</w:t>
            </w:r>
            <w:r>
              <w:rPr>
                <w:noProof/>
                <w:webHidden/>
              </w:rPr>
              <w:tab/>
            </w:r>
            <w:r>
              <w:rPr>
                <w:noProof/>
                <w:webHidden/>
              </w:rPr>
              <w:fldChar w:fldCharType="begin"/>
            </w:r>
            <w:r>
              <w:rPr>
                <w:noProof/>
                <w:webHidden/>
              </w:rPr>
              <w:instrText xml:space="preserve"> PAGEREF _Toc198641369 \h </w:instrText>
            </w:r>
            <w:r>
              <w:rPr>
                <w:noProof/>
                <w:webHidden/>
              </w:rPr>
            </w:r>
            <w:r>
              <w:rPr>
                <w:noProof/>
                <w:webHidden/>
              </w:rPr>
              <w:fldChar w:fldCharType="separate"/>
            </w:r>
            <w:r>
              <w:rPr>
                <w:noProof/>
                <w:webHidden/>
              </w:rPr>
              <w:t>5</w:t>
            </w:r>
            <w:r>
              <w:rPr>
                <w:noProof/>
                <w:webHidden/>
              </w:rPr>
              <w:fldChar w:fldCharType="end"/>
            </w:r>
          </w:hyperlink>
        </w:p>
        <w:p w14:paraId="76A8F05F" w14:textId="5CEE2A8B"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70" w:history="1">
            <w:r w:rsidRPr="009550CA">
              <w:rPr>
                <w:rStyle w:val="Hyperlink"/>
                <w:noProof/>
              </w:rPr>
              <w:t>Council of Australian Governments (COAG) and Aboriginal Community Controlled Health Service s19(2) Directions</w:t>
            </w:r>
            <w:r>
              <w:rPr>
                <w:noProof/>
                <w:webHidden/>
              </w:rPr>
              <w:tab/>
            </w:r>
            <w:r>
              <w:rPr>
                <w:noProof/>
                <w:webHidden/>
              </w:rPr>
              <w:fldChar w:fldCharType="begin"/>
            </w:r>
            <w:r>
              <w:rPr>
                <w:noProof/>
                <w:webHidden/>
              </w:rPr>
              <w:instrText xml:space="preserve"> PAGEREF _Toc198641370 \h </w:instrText>
            </w:r>
            <w:r>
              <w:rPr>
                <w:noProof/>
                <w:webHidden/>
              </w:rPr>
            </w:r>
            <w:r>
              <w:rPr>
                <w:noProof/>
                <w:webHidden/>
              </w:rPr>
              <w:fldChar w:fldCharType="separate"/>
            </w:r>
            <w:r>
              <w:rPr>
                <w:noProof/>
                <w:webHidden/>
              </w:rPr>
              <w:t>5</w:t>
            </w:r>
            <w:r>
              <w:rPr>
                <w:noProof/>
                <w:webHidden/>
              </w:rPr>
              <w:fldChar w:fldCharType="end"/>
            </w:r>
          </w:hyperlink>
        </w:p>
        <w:p w14:paraId="4A1A704F" w14:textId="0969FAE7"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71" w:history="1">
            <w:r w:rsidRPr="009550CA">
              <w:rPr>
                <w:rStyle w:val="Hyperlink"/>
                <w:noProof/>
              </w:rPr>
              <w:t>Urgent Care Clinic s19(2) Directions</w:t>
            </w:r>
            <w:r>
              <w:rPr>
                <w:noProof/>
                <w:webHidden/>
              </w:rPr>
              <w:tab/>
            </w:r>
            <w:r>
              <w:rPr>
                <w:noProof/>
                <w:webHidden/>
              </w:rPr>
              <w:fldChar w:fldCharType="begin"/>
            </w:r>
            <w:r>
              <w:rPr>
                <w:noProof/>
                <w:webHidden/>
              </w:rPr>
              <w:instrText xml:space="preserve"> PAGEREF _Toc198641371 \h </w:instrText>
            </w:r>
            <w:r>
              <w:rPr>
                <w:noProof/>
                <w:webHidden/>
              </w:rPr>
            </w:r>
            <w:r>
              <w:rPr>
                <w:noProof/>
                <w:webHidden/>
              </w:rPr>
              <w:fldChar w:fldCharType="separate"/>
            </w:r>
            <w:r>
              <w:rPr>
                <w:noProof/>
                <w:webHidden/>
              </w:rPr>
              <w:t>5</w:t>
            </w:r>
            <w:r>
              <w:rPr>
                <w:noProof/>
                <w:webHidden/>
              </w:rPr>
              <w:fldChar w:fldCharType="end"/>
            </w:r>
          </w:hyperlink>
        </w:p>
        <w:p w14:paraId="73537404" w14:textId="002FF9A2"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72" w:history="1">
            <w:r w:rsidRPr="009550CA">
              <w:rPr>
                <w:rStyle w:val="Hyperlink"/>
                <w:noProof/>
              </w:rPr>
              <w:t>Remote Vocational Training Scheme s19(2) Directions</w:t>
            </w:r>
            <w:r>
              <w:rPr>
                <w:noProof/>
                <w:webHidden/>
              </w:rPr>
              <w:tab/>
            </w:r>
            <w:r>
              <w:rPr>
                <w:noProof/>
                <w:webHidden/>
              </w:rPr>
              <w:fldChar w:fldCharType="begin"/>
            </w:r>
            <w:r>
              <w:rPr>
                <w:noProof/>
                <w:webHidden/>
              </w:rPr>
              <w:instrText xml:space="preserve"> PAGEREF _Toc198641372 \h </w:instrText>
            </w:r>
            <w:r>
              <w:rPr>
                <w:noProof/>
                <w:webHidden/>
              </w:rPr>
            </w:r>
            <w:r>
              <w:rPr>
                <w:noProof/>
                <w:webHidden/>
              </w:rPr>
              <w:fldChar w:fldCharType="separate"/>
            </w:r>
            <w:r>
              <w:rPr>
                <w:noProof/>
                <w:webHidden/>
              </w:rPr>
              <w:t>6</w:t>
            </w:r>
            <w:r>
              <w:rPr>
                <w:noProof/>
                <w:webHidden/>
              </w:rPr>
              <w:fldChar w:fldCharType="end"/>
            </w:r>
          </w:hyperlink>
        </w:p>
        <w:p w14:paraId="6396BE2E" w14:textId="120F426E"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3" w:history="1">
            <w:r w:rsidRPr="009550CA">
              <w:rPr>
                <w:rStyle w:val="Hyperlink"/>
                <w:noProof/>
              </w:rPr>
              <w:t>E.</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s19(2) Direction Review</w:t>
            </w:r>
            <w:r>
              <w:rPr>
                <w:noProof/>
                <w:webHidden/>
              </w:rPr>
              <w:tab/>
            </w:r>
            <w:r>
              <w:rPr>
                <w:noProof/>
                <w:webHidden/>
              </w:rPr>
              <w:fldChar w:fldCharType="begin"/>
            </w:r>
            <w:r>
              <w:rPr>
                <w:noProof/>
                <w:webHidden/>
              </w:rPr>
              <w:instrText xml:space="preserve"> PAGEREF _Toc198641373 \h </w:instrText>
            </w:r>
            <w:r>
              <w:rPr>
                <w:noProof/>
                <w:webHidden/>
              </w:rPr>
            </w:r>
            <w:r>
              <w:rPr>
                <w:noProof/>
                <w:webHidden/>
              </w:rPr>
              <w:fldChar w:fldCharType="separate"/>
            </w:r>
            <w:r>
              <w:rPr>
                <w:noProof/>
                <w:webHidden/>
              </w:rPr>
              <w:t>6</w:t>
            </w:r>
            <w:r>
              <w:rPr>
                <w:noProof/>
                <w:webHidden/>
              </w:rPr>
              <w:fldChar w:fldCharType="end"/>
            </w:r>
          </w:hyperlink>
        </w:p>
        <w:p w14:paraId="290AC6F3" w14:textId="30D2E2F1"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4" w:history="1">
            <w:r w:rsidRPr="009550CA">
              <w:rPr>
                <w:rStyle w:val="Hyperlink"/>
                <w:noProof/>
              </w:rPr>
              <w:t>F.</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Medicare billing</w:t>
            </w:r>
            <w:r>
              <w:rPr>
                <w:noProof/>
                <w:webHidden/>
              </w:rPr>
              <w:tab/>
            </w:r>
            <w:r>
              <w:rPr>
                <w:noProof/>
                <w:webHidden/>
              </w:rPr>
              <w:fldChar w:fldCharType="begin"/>
            </w:r>
            <w:r>
              <w:rPr>
                <w:noProof/>
                <w:webHidden/>
              </w:rPr>
              <w:instrText xml:space="preserve"> PAGEREF _Toc198641374 \h </w:instrText>
            </w:r>
            <w:r>
              <w:rPr>
                <w:noProof/>
                <w:webHidden/>
              </w:rPr>
            </w:r>
            <w:r>
              <w:rPr>
                <w:noProof/>
                <w:webHidden/>
              </w:rPr>
              <w:fldChar w:fldCharType="separate"/>
            </w:r>
            <w:r>
              <w:rPr>
                <w:noProof/>
                <w:webHidden/>
              </w:rPr>
              <w:t>6</w:t>
            </w:r>
            <w:r>
              <w:rPr>
                <w:noProof/>
                <w:webHidden/>
              </w:rPr>
              <w:fldChar w:fldCharType="end"/>
            </w:r>
          </w:hyperlink>
        </w:p>
        <w:p w14:paraId="1D7F22C2" w14:textId="4EF1CE49"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375" w:history="1">
            <w:r w:rsidRPr="009550CA">
              <w:rPr>
                <w:rStyle w:val="Hyperlink"/>
                <w:noProof/>
              </w:rPr>
              <w:t>3.</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Memorandum of Understanding</w:t>
            </w:r>
            <w:r>
              <w:rPr>
                <w:noProof/>
                <w:webHidden/>
              </w:rPr>
              <w:tab/>
            </w:r>
            <w:r>
              <w:rPr>
                <w:noProof/>
                <w:webHidden/>
              </w:rPr>
              <w:fldChar w:fldCharType="begin"/>
            </w:r>
            <w:r>
              <w:rPr>
                <w:noProof/>
                <w:webHidden/>
              </w:rPr>
              <w:instrText xml:space="preserve"> PAGEREF _Toc198641375 \h </w:instrText>
            </w:r>
            <w:r>
              <w:rPr>
                <w:noProof/>
                <w:webHidden/>
              </w:rPr>
            </w:r>
            <w:r>
              <w:rPr>
                <w:noProof/>
                <w:webHidden/>
              </w:rPr>
              <w:fldChar w:fldCharType="separate"/>
            </w:r>
            <w:r>
              <w:rPr>
                <w:noProof/>
                <w:webHidden/>
              </w:rPr>
              <w:t>6</w:t>
            </w:r>
            <w:r>
              <w:rPr>
                <w:noProof/>
                <w:webHidden/>
              </w:rPr>
              <w:fldChar w:fldCharType="end"/>
            </w:r>
          </w:hyperlink>
        </w:p>
        <w:p w14:paraId="31653515" w14:textId="63B97996"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6" w:history="1">
            <w:r w:rsidRPr="009550CA">
              <w:rPr>
                <w:rStyle w:val="Hyperlink"/>
                <w:noProof/>
              </w:rPr>
              <w:t>G.</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Number of participating registrars</w:t>
            </w:r>
            <w:r>
              <w:rPr>
                <w:noProof/>
                <w:webHidden/>
              </w:rPr>
              <w:tab/>
            </w:r>
            <w:r>
              <w:rPr>
                <w:noProof/>
                <w:webHidden/>
              </w:rPr>
              <w:fldChar w:fldCharType="begin"/>
            </w:r>
            <w:r>
              <w:rPr>
                <w:noProof/>
                <w:webHidden/>
              </w:rPr>
              <w:instrText xml:space="preserve"> PAGEREF _Toc198641376 \h </w:instrText>
            </w:r>
            <w:r>
              <w:rPr>
                <w:noProof/>
                <w:webHidden/>
              </w:rPr>
            </w:r>
            <w:r>
              <w:rPr>
                <w:noProof/>
                <w:webHidden/>
              </w:rPr>
              <w:fldChar w:fldCharType="separate"/>
            </w:r>
            <w:r>
              <w:rPr>
                <w:noProof/>
                <w:webHidden/>
              </w:rPr>
              <w:t>6</w:t>
            </w:r>
            <w:r>
              <w:rPr>
                <w:noProof/>
                <w:webHidden/>
              </w:rPr>
              <w:fldChar w:fldCharType="end"/>
            </w:r>
          </w:hyperlink>
        </w:p>
        <w:p w14:paraId="12B240D8" w14:textId="3900CEFD"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7" w:history="1">
            <w:r w:rsidRPr="009550CA">
              <w:rPr>
                <w:rStyle w:val="Hyperlink"/>
                <w:noProof/>
              </w:rPr>
              <w:t>H.</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MoU arrangement</w:t>
            </w:r>
            <w:r>
              <w:rPr>
                <w:noProof/>
                <w:webHidden/>
              </w:rPr>
              <w:tab/>
            </w:r>
            <w:r>
              <w:rPr>
                <w:noProof/>
                <w:webHidden/>
              </w:rPr>
              <w:fldChar w:fldCharType="begin"/>
            </w:r>
            <w:r>
              <w:rPr>
                <w:noProof/>
                <w:webHidden/>
              </w:rPr>
              <w:instrText xml:space="preserve"> PAGEREF _Toc198641377 \h </w:instrText>
            </w:r>
            <w:r>
              <w:rPr>
                <w:noProof/>
                <w:webHidden/>
              </w:rPr>
            </w:r>
            <w:r>
              <w:rPr>
                <w:noProof/>
                <w:webHidden/>
              </w:rPr>
              <w:fldChar w:fldCharType="separate"/>
            </w:r>
            <w:r>
              <w:rPr>
                <w:noProof/>
                <w:webHidden/>
              </w:rPr>
              <w:t>7</w:t>
            </w:r>
            <w:r>
              <w:rPr>
                <w:noProof/>
                <w:webHidden/>
              </w:rPr>
              <w:fldChar w:fldCharType="end"/>
            </w:r>
          </w:hyperlink>
        </w:p>
        <w:p w14:paraId="5B6E6C9E" w14:textId="6BC88A86"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8" w:history="1">
            <w:r w:rsidRPr="009550CA">
              <w:rPr>
                <w:rStyle w:val="Hyperlink"/>
                <w:noProof/>
              </w:rPr>
              <w:t>I.</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Eligibility criteria for registrars</w:t>
            </w:r>
            <w:r>
              <w:rPr>
                <w:noProof/>
                <w:webHidden/>
              </w:rPr>
              <w:tab/>
            </w:r>
            <w:r>
              <w:rPr>
                <w:noProof/>
                <w:webHidden/>
              </w:rPr>
              <w:fldChar w:fldCharType="begin"/>
            </w:r>
            <w:r>
              <w:rPr>
                <w:noProof/>
                <w:webHidden/>
              </w:rPr>
              <w:instrText xml:space="preserve"> PAGEREF _Toc198641378 \h </w:instrText>
            </w:r>
            <w:r>
              <w:rPr>
                <w:noProof/>
                <w:webHidden/>
              </w:rPr>
            </w:r>
            <w:r>
              <w:rPr>
                <w:noProof/>
                <w:webHidden/>
              </w:rPr>
              <w:fldChar w:fldCharType="separate"/>
            </w:r>
            <w:r>
              <w:rPr>
                <w:noProof/>
                <w:webHidden/>
              </w:rPr>
              <w:t>7</w:t>
            </w:r>
            <w:r>
              <w:rPr>
                <w:noProof/>
                <w:webHidden/>
              </w:rPr>
              <w:fldChar w:fldCharType="end"/>
            </w:r>
          </w:hyperlink>
        </w:p>
        <w:p w14:paraId="3649D48C" w14:textId="7B6735F8"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79" w:history="1">
            <w:r w:rsidRPr="009550CA">
              <w:rPr>
                <w:rStyle w:val="Hyperlink"/>
                <w:noProof/>
              </w:rPr>
              <w:t>J.</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Trial duration</w:t>
            </w:r>
            <w:r>
              <w:rPr>
                <w:noProof/>
                <w:webHidden/>
              </w:rPr>
              <w:tab/>
            </w:r>
            <w:r>
              <w:rPr>
                <w:noProof/>
                <w:webHidden/>
              </w:rPr>
              <w:fldChar w:fldCharType="begin"/>
            </w:r>
            <w:r>
              <w:rPr>
                <w:noProof/>
                <w:webHidden/>
              </w:rPr>
              <w:instrText xml:space="preserve"> PAGEREF _Toc198641379 \h </w:instrText>
            </w:r>
            <w:r>
              <w:rPr>
                <w:noProof/>
                <w:webHidden/>
              </w:rPr>
            </w:r>
            <w:r>
              <w:rPr>
                <w:noProof/>
                <w:webHidden/>
              </w:rPr>
              <w:fldChar w:fldCharType="separate"/>
            </w:r>
            <w:r>
              <w:rPr>
                <w:noProof/>
                <w:webHidden/>
              </w:rPr>
              <w:t>7</w:t>
            </w:r>
            <w:r>
              <w:rPr>
                <w:noProof/>
                <w:webHidden/>
              </w:rPr>
              <w:fldChar w:fldCharType="end"/>
            </w:r>
          </w:hyperlink>
        </w:p>
        <w:p w14:paraId="496BCEF5" w14:textId="0AF7061A"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380" w:history="1">
            <w:r w:rsidRPr="009550CA">
              <w:rPr>
                <w:rStyle w:val="Hyperlink"/>
                <w:noProof/>
              </w:rPr>
              <w:t>4.</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Roles and Responsibilities</w:t>
            </w:r>
            <w:r>
              <w:rPr>
                <w:noProof/>
                <w:webHidden/>
              </w:rPr>
              <w:tab/>
            </w:r>
            <w:r>
              <w:rPr>
                <w:noProof/>
                <w:webHidden/>
              </w:rPr>
              <w:fldChar w:fldCharType="begin"/>
            </w:r>
            <w:r>
              <w:rPr>
                <w:noProof/>
                <w:webHidden/>
              </w:rPr>
              <w:instrText xml:space="preserve"> PAGEREF _Toc198641380 \h </w:instrText>
            </w:r>
            <w:r>
              <w:rPr>
                <w:noProof/>
                <w:webHidden/>
              </w:rPr>
            </w:r>
            <w:r>
              <w:rPr>
                <w:noProof/>
                <w:webHidden/>
              </w:rPr>
              <w:fldChar w:fldCharType="separate"/>
            </w:r>
            <w:r>
              <w:rPr>
                <w:noProof/>
                <w:webHidden/>
              </w:rPr>
              <w:t>7</w:t>
            </w:r>
            <w:r>
              <w:rPr>
                <w:noProof/>
                <w:webHidden/>
              </w:rPr>
              <w:fldChar w:fldCharType="end"/>
            </w:r>
          </w:hyperlink>
        </w:p>
        <w:p w14:paraId="47EF6D83" w14:textId="3465FA83"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81" w:history="1">
            <w:r w:rsidRPr="009550CA">
              <w:rPr>
                <w:rStyle w:val="Hyperlink"/>
                <w:noProof/>
              </w:rPr>
              <w:t>K.</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Commonwealth</w:t>
            </w:r>
            <w:r>
              <w:rPr>
                <w:noProof/>
                <w:webHidden/>
              </w:rPr>
              <w:tab/>
            </w:r>
            <w:r>
              <w:rPr>
                <w:noProof/>
                <w:webHidden/>
              </w:rPr>
              <w:fldChar w:fldCharType="begin"/>
            </w:r>
            <w:r>
              <w:rPr>
                <w:noProof/>
                <w:webHidden/>
              </w:rPr>
              <w:instrText xml:space="preserve"> PAGEREF _Toc198641381 \h </w:instrText>
            </w:r>
            <w:r>
              <w:rPr>
                <w:noProof/>
                <w:webHidden/>
              </w:rPr>
            </w:r>
            <w:r>
              <w:rPr>
                <w:noProof/>
                <w:webHidden/>
              </w:rPr>
              <w:fldChar w:fldCharType="separate"/>
            </w:r>
            <w:r>
              <w:rPr>
                <w:noProof/>
                <w:webHidden/>
              </w:rPr>
              <w:t>7</w:t>
            </w:r>
            <w:r>
              <w:rPr>
                <w:noProof/>
                <w:webHidden/>
              </w:rPr>
              <w:fldChar w:fldCharType="end"/>
            </w:r>
          </w:hyperlink>
        </w:p>
        <w:p w14:paraId="474912A1" w14:textId="764344EA"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2" w:history="1">
            <w:r w:rsidRPr="009550CA">
              <w:rPr>
                <w:rStyle w:val="Hyperlink"/>
                <w:noProof/>
              </w:rPr>
              <w:t>SEM s19(2) exemption and MoU timeframes</w:t>
            </w:r>
            <w:r>
              <w:rPr>
                <w:noProof/>
                <w:webHidden/>
              </w:rPr>
              <w:tab/>
            </w:r>
            <w:r>
              <w:rPr>
                <w:noProof/>
                <w:webHidden/>
              </w:rPr>
              <w:fldChar w:fldCharType="begin"/>
            </w:r>
            <w:r>
              <w:rPr>
                <w:noProof/>
                <w:webHidden/>
              </w:rPr>
              <w:instrText xml:space="preserve"> PAGEREF _Toc198641382 \h </w:instrText>
            </w:r>
            <w:r>
              <w:rPr>
                <w:noProof/>
                <w:webHidden/>
              </w:rPr>
            </w:r>
            <w:r>
              <w:rPr>
                <w:noProof/>
                <w:webHidden/>
              </w:rPr>
              <w:fldChar w:fldCharType="separate"/>
            </w:r>
            <w:r>
              <w:rPr>
                <w:noProof/>
                <w:webHidden/>
              </w:rPr>
              <w:t>7</w:t>
            </w:r>
            <w:r>
              <w:rPr>
                <w:noProof/>
                <w:webHidden/>
              </w:rPr>
              <w:fldChar w:fldCharType="end"/>
            </w:r>
          </w:hyperlink>
        </w:p>
        <w:p w14:paraId="595C94BC" w14:textId="75B2CE71"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3" w:history="1">
            <w:r w:rsidRPr="009550CA">
              <w:rPr>
                <w:rStyle w:val="Hyperlink"/>
                <w:noProof/>
              </w:rPr>
              <w:t>Funding</w:t>
            </w:r>
            <w:r>
              <w:rPr>
                <w:noProof/>
                <w:webHidden/>
              </w:rPr>
              <w:tab/>
            </w:r>
            <w:r>
              <w:rPr>
                <w:noProof/>
                <w:webHidden/>
              </w:rPr>
              <w:fldChar w:fldCharType="begin"/>
            </w:r>
            <w:r>
              <w:rPr>
                <w:noProof/>
                <w:webHidden/>
              </w:rPr>
              <w:instrText xml:space="preserve"> PAGEREF _Toc198641383 \h </w:instrText>
            </w:r>
            <w:r>
              <w:rPr>
                <w:noProof/>
                <w:webHidden/>
              </w:rPr>
            </w:r>
            <w:r>
              <w:rPr>
                <w:noProof/>
                <w:webHidden/>
              </w:rPr>
              <w:fldChar w:fldCharType="separate"/>
            </w:r>
            <w:r>
              <w:rPr>
                <w:noProof/>
                <w:webHidden/>
              </w:rPr>
              <w:t>8</w:t>
            </w:r>
            <w:r>
              <w:rPr>
                <w:noProof/>
                <w:webHidden/>
              </w:rPr>
              <w:fldChar w:fldCharType="end"/>
            </w:r>
          </w:hyperlink>
        </w:p>
        <w:p w14:paraId="4FC2DFDD" w14:textId="680A224C"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4" w:history="1">
            <w:r w:rsidRPr="009550CA">
              <w:rPr>
                <w:rStyle w:val="Hyperlink"/>
                <w:noProof/>
              </w:rPr>
              <w:t>Evaluation</w:t>
            </w:r>
            <w:r>
              <w:rPr>
                <w:noProof/>
                <w:webHidden/>
              </w:rPr>
              <w:tab/>
            </w:r>
            <w:r>
              <w:rPr>
                <w:noProof/>
                <w:webHidden/>
              </w:rPr>
              <w:fldChar w:fldCharType="begin"/>
            </w:r>
            <w:r>
              <w:rPr>
                <w:noProof/>
                <w:webHidden/>
              </w:rPr>
              <w:instrText xml:space="preserve"> PAGEREF _Toc198641384 \h </w:instrText>
            </w:r>
            <w:r>
              <w:rPr>
                <w:noProof/>
                <w:webHidden/>
              </w:rPr>
            </w:r>
            <w:r>
              <w:rPr>
                <w:noProof/>
                <w:webHidden/>
              </w:rPr>
              <w:fldChar w:fldCharType="separate"/>
            </w:r>
            <w:r>
              <w:rPr>
                <w:noProof/>
                <w:webHidden/>
              </w:rPr>
              <w:t>8</w:t>
            </w:r>
            <w:r>
              <w:rPr>
                <w:noProof/>
                <w:webHidden/>
              </w:rPr>
              <w:fldChar w:fldCharType="end"/>
            </w:r>
          </w:hyperlink>
        </w:p>
        <w:p w14:paraId="02130CE3" w14:textId="7227C1F7"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85" w:history="1">
            <w:r w:rsidRPr="009550CA">
              <w:rPr>
                <w:rStyle w:val="Hyperlink"/>
                <w:noProof/>
              </w:rPr>
              <w:t>L.</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State Government/State health service</w:t>
            </w:r>
            <w:r>
              <w:rPr>
                <w:noProof/>
                <w:webHidden/>
              </w:rPr>
              <w:tab/>
            </w:r>
            <w:r>
              <w:rPr>
                <w:noProof/>
                <w:webHidden/>
              </w:rPr>
              <w:fldChar w:fldCharType="begin"/>
            </w:r>
            <w:r>
              <w:rPr>
                <w:noProof/>
                <w:webHidden/>
              </w:rPr>
              <w:instrText xml:space="preserve"> PAGEREF _Toc198641385 \h </w:instrText>
            </w:r>
            <w:r>
              <w:rPr>
                <w:noProof/>
                <w:webHidden/>
              </w:rPr>
            </w:r>
            <w:r>
              <w:rPr>
                <w:noProof/>
                <w:webHidden/>
              </w:rPr>
              <w:fldChar w:fldCharType="separate"/>
            </w:r>
            <w:r>
              <w:rPr>
                <w:noProof/>
                <w:webHidden/>
              </w:rPr>
              <w:t>8</w:t>
            </w:r>
            <w:r>
              <w:rPr>
                <w:noProof/>
                <w:webHidden/>
              </w:rPr>
              <w:fldChar w:fldCharType="end"/>
            </w:r>
          </w:hyperlink>
        </w:p>
        <w:p w14:paraId="2FE20DA6" w14:textId="41720DAD"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6" w:history="1">
            <w:r w:rsidRPr="009550CA">
              <w:rPr>
                <w:rStyle w:val="Hyperlink"/>
                <w:noProof/>
              </w:rPr>
              <w:t>Funding</w:t>
            </w:r>
            <w:r>
              <w:rPr>
                <w:noProof/>
                <w:webHidden/>
              </w:rPr>
              <w:tab/>
            </w:r>
            <w:r>
              <w:rPr>
                <w:noProof/>
                <w:webHidden/>
              </w:rPr>
              <w:fldChar w:fldCharType="begin"/>
            </w:r>
            <w:r>
              <w:rPr>
                <w:noProof/>
                <w:webHidden/>
              </w:rPr>
              <w:instrText xml:space="preserve"> PAGEREF _Toc198641386 \h </w:instrText>
            </w:r>
            <w:r>
              <w:rPr>
                <w:noProof/>
                <w:webHidden/>
              </w:rPr>
            </w:r>
            <w:r>
              <w:rPr>
                <w:noProof/>
                <w:webHidden/>
              </w:rPr>
              <w:fldChar w:fldCharType="separate"/>
            </w:r>
            <w:r>
              <w:rPr>
                <w:noProof/>
                <w:webHidden/>
              </w:rPr>
              <w:t>8</w:t>
            </w:r>
            <w:r>
              <w:rPr>
                <w:noProof/>
                <w:webHidden/>
              </w:rPr>
              <w:fldChar w:fldCharType="end"/>
            </w:r>
          </w:hyperlink>
        </w:p>
        <w:p w14:paraId="0E326117" w14:textId="4944DB39"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7" w:history="1">
            <w:r w:rsidRPr="009550CA">
              <w:rPr>
                <w:rStyle w:val="Hyperlink"/>
                <w:noProof/>
              </w:rPr>
              <w:t>Funding flow arrangement</w:t>
            </w:r>
            <w:r>
              <w:rPr>
                <w:noProof/>
                <w:webHidden/>
              </w:rPr>
              <w:tab/>
            </w:r>
            <w:r>
              <w:rPr>
                <w:noProof/>
                <w:webHidden/>
              </w:rPr>
              <w:fldChar w:fldCharType="begin"/>
            </w:r>
            <w:r>
              <w:rPr>
                <w:noProof/>
                <w:webHidden/>
              </w:rPr>
              <w:instrText xml:space="preserve"> PAGEREF _Toc198641387 \h </w:instrText>
            </w:r>
            <w:r>
              <w:rPr>
                <w:noProof/>
                <w:webHidden/>
              </w:rPr>
            </w:r>
            <w:r>
              <w:rPr>
                <w:noProof/>
                <w:webHidden/>
              </w:rPr>
              <w:fldChar w:fldCharType="separate"/>
            </w:r>
            <w:r>
              <w:rPr>
                <w:noProof/>
                <w:webHidden/>
              </w:rPr>
              <w:t>9</w:t>
            </w:r>
            <w:r>
              <w:rPr>
                <w:noProof/>
                <w:webHidden/>
              </w:rPr>
              <w:fldChar w:fldCharType="end"/>
            </w:r>
          </w:hyperlink>
        </w:p>
        <w:p w14:paraId="3DC37A49" w14:textId="6BA5EEC1"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8" w:history="1">
            <w:r w:rsidRPr="009550CA">
              <w:rPr>
                <w:rStyle w:val="Hyperlink"/>
                <w:noProof/>
              </w:rPr>
              <w:t>Voluntary participation</w:t>
            </w:r>
            <w:r>
              <w:rPr>
                <w:noProof/>
                <w:webHidden/>
              </w:rPr>
              <w:tab/>
            </w:r>
            <w:r>
              <w:rPr>
                <w:noProof/>
                <w:webHidden/>
              </w:rPr>
              <w:fldChar w:fldCharType="begin"/>
            </w:r>
            <w:r>
              <w:rPr>
                <w:noProof/>
                <w:webHidden/>
              </w:rPr>
              <w:instrText xml:space="preserve"> PAGEREF _Toc198641388 \h </w:instrText>
            </w:r>
            <w:r>
              <w:rPr>
                <w:noProof/>
                <w:webHidden/>
              </w:rPr>
            </w:r>
            <w:r>
              <w:rPr>
                <w:noProof/>
                <w:webHidden/>
              </w:rPr>
              <w:fldChar w:fldCharType="separate"/>
            </w:r>
            <w:r>
              <w:rPr>
                <w:noProof/>
                <w:webHidden/>
              </w:rPr>
              <w:t>9</w:t>
            </w:r>
            <w:r>
              <w:rPr>
                <w:noProof/>
                <w:webHidden/>
              </w:rPr>
              <w:fldChar w:fldCharType="end"/>
            </w:r>
          </w:hyperlink>
        </w:p>
        <w:p w14:paraId="0F370E93" w14:textId="7EDD1DE0"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89" w:history="1">
            <w:r w:rsidRPr="009550CA">
              <w:rPr>
                <w:rStyle w:val="Hyperlink"/>
                <w:noProof/>
              </w:rPr>
              <w:t>Trial preparations and engagement</w:t>
            </w:r>
            <w:r>
              <w:rPr>
                <w:noProof/>
                <w:webHidden/>
              </w:rPr>
              <w:tab/>
            </w:r>
            <w:r>
              <w:rPr>
                <w:noProof/>
                <w:webHidden/>
              </w:rPr>
              <w:fldChar w:fldCharType="begin"/>
            </w:r>
            <w:r>
              <w:rPr>
                <w:noProof/>
                <w:webHidden/>
              </w:rPr>
              <w:instrText xml:space="preserve"> PAGEREF _Toc198641389 \h </w:instrText>
            </w:r>
            <w:r>
              <w:rPr>
                <w:noProof/>
                <w:webHidden/>
              </w:rPr>
            </w:r>
            <w:r>
              <w:rPr>
                <w:noProof/>
                <w:webHidden/>
              </w:rPr>
              <w:fldChar w:fldCharType="separate"/>
            </w:r>
            <w:r>
              <w:rPr>
                <w:noProof/>
                <w:webHidden/>
              </w:rPr>
              <w:t>9</w:t>
            </w:r>
            <w:r>
              <w:rPr>
                <w:noProof/>
                <w:webHidden/>
              </w:rPr>
              <w:fldChar w:fldCharType="end"/>
            </w:r>
          </w:hyperlink>
        </w:p>
        <w:p w14:paraId="4E36DEE4" w14:textId="111E9F4A"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90" w:history="1">
            <w:r w:rsidRPr="009550CA">
              <w:rPr>
                <w:rStyle w:val="Hyperlink"/>
                <w:noProof/>
              </w:rPr>
              <w:t>Data reporting &amp; privacy notice</w:t>
            </w:r>
            <w:r>
              <w:rPr>
                <w:noProof/>
                <w:webHidden/>
              </w:rPr>
              <w:tab/>
            </w:r>
            <w:r>
              <w:rPr>
                <w:noProof/>
                <w:webHidden/>
              </w:rPr>
              <w:fldChar w:fldCharType="begin"/>
            </w:r>
            <w:r>
              <w:rPr>
                <w:noProof/>
                <w:webHidden/>
              </w:rPr>
              <w:instrText xml:space="preserve"> PAGEREF _Toc198641390 \h </w:instrText>
            </w:r>
            <w:r>
              <w:rPr>
                <w:noProof/>
                <w:webHidden/>
              </w:rPr>
            </w:r>
            <w:r>
              <w:rPr>
                <w:noProof/>
                <w:webHidden/>
              </w:rPr>
              <w:fldChar w:fldCharType="separate"/>
            </w:r>
            <w:r>
              <w:rPr>
                <w:noProof/>
                <w:webHidden/>
              </w:rPr>
              <w:t>9</w:t>
            </w:r>
            <w:r>
              <w:rPr>
                <w:noProof/>
                <w:webHidden/>
              </w:rPr>
              <w:fldChar w:fldCharType="end"/>
            </w:r>
          </w:hyperlink>
        </w:p>
        <w:p w14:paraId="2A11A13A" w14:textId="49757ACB"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91" w:history="1">
            <w:r w:rsidRPr="009550CA">
              <w:rPr>
                <w:rStyle w:val="Hyperlink"/>
                <w:noProof/>
              </w:rPr>
              <w:t>Medical Provider Numbers (MPNs)</w:t>
            </w:r>
            <w:r>
              <w:rPr>
                <w:noProof/>
                <w:webHidden/>
              </w:rPr>
              <w:tab/>
            </w:r>
            <w:r>
              <w:rPr>
                <w:noProof/>
                <w:webHidden/>
              </w:rPr>
              <w:fldChar w:fldCharType="begin"/>
            </w:r>
            <w:r>
              <w:rPr>
                <w:noProof/>
                <w:webHidden/>
              </w:rPr>
              <w:instrText xml:space="preserve"> PAGEREF _Toc198641391 \h </w:instrText>
            </w:r>
            <w:r>
              <w:rPr>
                <w:noProof/>
                <w:webHidden/>
              </w:rPr>
            </w:r>
            <w:r>
              <w:rPr>
                <w:noProof/>
                <w:webHidden/>
              </w:rPr>
              <w:fldChar w:fldCharType="separate"/>
            </w:r>
            <w:r>
              <w:rPr>
                <w:noProof/>
                <w:webHidden/>
              </w:rPr>
              <w:t>10</w:t>
            </w:r>
            <w:r>
              <w:rPr>
                <w:noProof/>
                <w:webHidden/>
              </w:rPr>
              <w:fldChar w:fldCharType="end"/>
            </w:r>
          </w:hyperlink>
        </w:p>
        <w:p w14:paraId="01630418" w14:textId="2B5D1208"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92" w:history="1">
            <w:r w:rsidRPr="009550CA">
              <w:rPr>
                <w:rStyle w:val="Hyperlink"/>
                <w:noProof/>
              </w:rPr>
              <w:t>Medical indemnity</w:t>
            </w:r>
            <w:r>
              <w:rPr>
                <w:noProof/>
                <w:webHidden/>
              </w:rPr>
              <w:tab/>
            </w:r>
            <w:r>
              <w:rPr>
                <w:noProof/>
                <w:webHidden/>
              </w:rPr>
              <w:fldChar w:fldCharType="begin"/>
            </w:r>
            <w:r>
              <w:rPr>
                <w:noProof/>
                <w:webHidden/>
              </w:rPr>
              <w:instrText xml:space="preserve"> PAGEREF _Toc198641392 \h </w:instrText>
            </w:r>
            <w:r>
              <w:rPr>
                <w:noProof/>
                <w:webHidden/>
              </w:rPr>
            </w:r>
            <w:r>
              <w:rPr>
                <w:noProof/>
                <w:webHidden/>
              </w:rPr>
              <w:fldChar w:fldCharType="separate"/>
            </w:r>
            <w:r>
              <w:rPr>
                <w:noProof/>
                <w:webHidden/>
              </w:rPr>
              <w:t>10</w:t>
            </w:r>
            <w:r>
              <w:rPr>
                <w:noProof/>
                <w:webHidden/>
              </w:rPr>
              <w:fldChar w:fldCharType="end"/>
            </w:r>
          </w:hyperlink>
        </w:p>
        <w:p w14:paraId="4EA0ADE9" w14:textId="1DFE2ABD"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93" w:history="1">
            <w:r w:rsidRPr="009550CA">
              <w:rPr>
                <w:rStyle w:val="Hyperlink"/>
                <w:noProof/>
              </w:rPr>
              <w:t>M.</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GP Colleges</w:t>
            </w:r>
            <w:r>
              <w:rPr>
                <w:noProof/>
                <w:webHidden/>
              </w:rPr>
              <w:tab/>
            </w:r>
            <w:r>
              <w:rPr>
                <w:noProof/>
                <w:webHidden/>
              </w:rPr>
              <w:fldChar w:fldCharType="begin"/>
            </w:r>
            <w:r>
              <w:rPr>
                <w:noProof/>
                <w:webHidden/>
              </w:rPr>
              <w:instrText xml:space="preserve"> PAGEREF _Toc198641393 \h </w:instrText>
            </w:r>
            <w:r>
              <w:rPr>
                <w:noProof/>
                <w:webHidden/>
              </w:rPr>
            </w:r>
            <w:r>
              <w:rPr>
                <w:noProof/>
                <w:webHidden/>
              </w:rPr>
              <w:fldChar w:fldCharType="separate"/>
            </w:r>
            <w:r>
              <w:rPr>
                <w:noProof/>
                <w:webHidden/>
              </w:rPr>
              <w:t>10</w:t>
            </w:r>
            <w:r>
              <w:rPr>
                <w:noProof/>
                <w:webHidden/>
              </w:rPr>
              <w:fldChar w:fldCharType="end"/>
            </w:r>
          </w:hyperlink>
        </w:p>
        <w:p w14:paraId="053CAF66" w14:textId="05FE7CD9"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94" w:history="1">
            <w:r w:rsidRPr="009550CA">
              <w:rPr>
                <w:rStyle w:val="Hyperlink"/>
                <w:noProof/>
              </w:rPr>
              <w:t>Training requirements and placement support</w:t>
            </w:r>
            <w:r>
              <w:rPr>
                <w:noProof/>
                <w:webHidden/>
              </w:rPr>
              <w:tab/>
            </w:r>
            <w:r>
              <w:rPr>
                <w:noProof/>
                <w:webHidden/>
              </w:rPr>
              <w:fldChar w:fldCharType="begin"/>
            </w:r>
            <w:r>
              <w:rPr>
                <w:noProof/>
                <w:webHidden/>
              </w:rPr>
              <w:instrText xml:space="preserve"> PAGEREF _Toc198641394 \h </w:instrText>
            </w:r>
            <w:r>
              <w:rPr>
                <w:noProof/>
                <w:webHidden/>
              </w:rPr>
            </w:r>
            <w:r>
              <w:rPr>
                <w:noProof/>
                <w:webHidden/>
              </w:rPr>
              <w:fldChar w:fldCharType="separate"/>
            </w:r>
            <w:r>
              <w:rPr>
                <w:noProof/>
                <w:webHidden/>
              </w:rPr>
              <w:t>10</w:t>
            </w:r>
            <w:r>
              <w:rPr>
                <w:noProof/>
                <w:webHidden/>
              </w:rPr>
              <w:fldChar w:fldCharType="end"/>
            </w:r>
          </w:hyperlink>
        </w:p>
        <w:p w14:paraId="04217C47" w14:textId="27E5E848"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95" w:history="1">
            <w:r w:rsidRPr="009550CA">
              <w:rPr>
                <w:rStyle w:val="Hyperlink"/>
                <w:noProof/>
              </w:rPr>
              <w:t>N.</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Practices and Supervisors</w:t>
            </w:r>
            <w:r>
              <w:rPr>
                <w:noProof/>
                <w:webHidden/>
              </w:rPr>
              <w:tab/>
            </w:r>
            <w:r>
              <w:rPr>
                <w:noProof/>
                <w:webHidden/>
              </w:rPr>
              <w:fldChar w:fldCharType="begin"/>
            </w:r>
            <w:r>
              <w:rPr>
                <w:noProof/>
                <w:webHidden/>
              </w:rPr>
              <w:instrText xml:space="preserve"> PAGEREF _Toc198641395 \h </w:instrText>
            </w:r>
            <w:r>
              <w:rPr>
                <w:noProof/>
                <w:webHidden/>
              </w:rPr>
            </w:r>
            <w:r>
              <w:rPr>
                <w:noProof/>
                <w:webHidden/>
              </w:rPr>
              <w:fldChar w:fldCharType="separate"/>
            </w:r>
            <w:r>
              <w:rPr>
                <w:noProof/>
                <w:webHidden/>
              </w:rPr>
              <w:t>10</w:t>
            </w:r>
            <w:r>
              <w:rPr>
                <w:noProof/>
                <w:webHidden/>
              </w:rPr>
              <w:fldChar w:fldCharType="end"/>
            </w:r>
          </w:hyperlink>
        </w:p>
        <w:p w14:paraId="13A96751" w14:textId="3A0635E9" w:rsidR="00867383" w:rsidRDefault="00867383">
          <w:pPr>
            <w:pStyle w:val="TOC3"/>
            <w:rPr>
              <w:rFonts w:asciiTheme="minorHAnsi" w:eastAsiaTheme="minorEastAsia" w:hAnsiTheme="minorHAnsi" w:cstheme="minorBidi"/>
              <w:noProof/>
              <w:color w:val="auto"/>
              <w:kern w:val="2"/>
              <w:sz w:val="24"/>
              <w:lang w:eastAsia="ja-JP"/>
              <w14:ligatures w14:val="standardContextual"/>
            </w:rPr>
          </w:pPr>
          <w:hyperlink w:anchor="_Toc198641396" w:history="1">
            <w:r w:rsidRPr="009550CA">
              <w:rPr>
                <w:rStyle w:val="Hyperlink"/>
                <w:noProof/>
              </w:rPr>
              <w:t>Practice agreement</w:t>
            </w:r>
            <w:r>
              <w:rPr>
                <w:noProof/>
                <w:webHidden/>
              </w:rPr>
              <w:tab/>
            </w:r>
            <w:r>
              <w:rPr>
                <w:noProof/>
                <w:webHidden/>
              </w:rPr>
              <w:fldChar w:fldCharType="begin"/>
            </w:r>
            <w:r>
              <w:rPr>
                <w:noProof/>
                <w:webHidden/>
              </w:rPr>
              <w:instrText xml:space="preserve"> PAGEREF _Toc198641396 \h </w:instrText>
            </w:r>
            <w:r>
              <w:rPr>
                <w:noProof/>
                <w:webHidden/>
              </w:rPr>
            </w:r>
            <w:r>
              <w:rPr>
                <w:noProof/>
                <w:webHidden/>
              </w:rPr>
              <w:fldChar w:fldCharType="separate"/>
            </w:r>
            <w:r>
              <w:rPr>
                <w:noProof/>
                <w:webHidden/>
              </w:rPr>
              <w:t>11</w:t>
            </w:r>
            <w:r>
              <w:rPr>
                <w:noProof/>
                <w:webHidden/>
              </w:rPr>
              <w:fldChar w:fldCharType="end"/>
            </w:r>
          </w:hyperlink>
        </w:p>
        <w:p w14:paraId="64ED58C1" w14:textId="0C466052"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97" w:history="1">
            <w:r w:rsidRPr="009550CA">
              <w:rPr>
                <w:rStyle w:val="Hyperlink"/>
                <w:noProof/>
              </w:rPr>
              <w:t>O.</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GP Sector Support</w:t>
            </w:r>
            <w:r>
              <w:rPr>
                <w:noProof/>
                <w:webHidden/>
              </w:rPr>
              <w:tab/>
            </w:r>
            <w:r>
              <w:rPr>
                <w:noProof/>
                <w:webHidden/>
              </w:rPr>
              <w:fldChar w:fldCharType="begin"/>
            </w:r>
            <w:r>
              <w:rPr>
                <w:noProof/>
                <w:webHidden/>
              </w:rPr>
              <w:instrText xml:space="preserve"> PAGEREF _Toc198641397 \h </w:instrText>
            </w:r>
            <w:r>
              <w:rPr>
                <w:noProof/>
                <w:webHidden/>
              </w:rPr>
            </w:r>
            <w:r>
              <w:rPr>
                <w:noProof/>
                <w:webHidden/>
              </w:rPr>
              <w:fldChar w:fldCharType="separate"/>
            </w:r>
            <w:r>
              <w:rPr>
                <w:noProof/>
                <w:webHidden/>
              </w:rPr>
              <w:t>11</w:t>
            </w:r>
            <w:r>
              <w:rPr>
                <w:noProof/>
                <w:webHidden/>
              </w:rPr>
              <w:fldChar w:fldCharType="end"/>
            </w:r>
          </w:hyperlink>
        </w:p>
        <w:p w14:paraId="0072C526" w14:textId="299193B1"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398" w:history="1">
            <w:r w:rsidRPr="009550CA">
              <w:rPr>
                <w:rStyle w:val="Hyperlink"/>
                <w:noProof/>
              </w:rPr>
              <w:t>5.</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Program Intersections with SEM</w:t>
            </w:r>
            <w:r>
              <w:rPr>
                <w:noProof/>
                <w:webHidden/>
              </w:rPr>
              <w:tab/>
            </w:r>
            <w:r>
              <w:rPr>
                <w:noProof/>
                <w:webHidden/>
              </w:rPr>
              <w:fldChar w:fldCharType="begin"/>
            </w:r>
            <w:r>
              <w:rPr>
                <w:noProof/>
                <w:webHidden/>
              </w:rPr>
              <w:instrText xml:space="preserve"> PAGEREF _Toc198641398 \h </w:instrText>
            </w:r>
            <w:r>
              <w:rPr>
                <w:noProof/>
                <w:webHidden/>
              </w:rPr>
            </w:r>
            <w:r>
              <w:rPr>
                <w:noProof/>
                <w:webHidden/>
              </w:rPr>
              <w:fldChar w:fldCharType="separate"/>
            </w:r>
            <w:r>
              <w:rPr>
                <w:noProof/>
                <w:webHidden/>
              </w:rPr>
              <w:t>11</w:t>
            </w:r>
            <w:r>
              <w:rPr>
                <w:noProof/>
                <w:webHidden/>
              </w:rPr>
              <w:fldChar w:fldCharType="end"/>
            </w:r>
          </w:hyperlink>
        </w:p>
        <w:p w14:paraId="4E01FEE6" w14:textId="21640D9F"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399" w:history="1">
            <w:r w:rsidRPr="009550CA">
              <w:rPr>
                <w:rStyle w:val="Hyperlink"/>
                <w:noProof/>
              </w:rPr>
              <w:t>P.</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HELP Debt Reduction for Rural Doctors and Nurse Practitioners Program</w:t>
            </w:r>
            <w:r>
              <w:rPr>
                <w:noProof/>
                <w:webHidden/>
              </w:rPr>
              <w:tab/>
            </w:r>
            <w:r>
              <w:rPr>
                <w:noProof/>
                <w:webHidden/>
              </w:rPr>
              <w:fldChar w:fldCharType="begin"/>
            </w:r>
            <w:r>
              <w:rPr>
                <w:noProof/>
                <w:webHidden/>
              </w:rPr>
              <w:instrText xml:space="preserve"> PAGEREF _Toc198641399 \h </w:instrText>
            </w:r>
            <w:r>
              <w:rPr>
                <w:noProof/>
                <w:webHidden/>
              </w:rPr>
            </w:r>
            <w:r>
              <w:rPr>
                <w:noProof/>
                <w:webHidden/>
              </w:rPr>
              <w:fldChar w:fldCharType="separate"/>
            </w:r>
            <w:r>
              <w:rPr>
                <w:noProof/>
                <w:webHidden/>
              </w:rPr>
              <w:t>11</w:t>
            </w:r>
            <w:r>
              <w:rPr>
                <w:noProof/>
                <w:webHidden/>
              </w:rPr>
              <w:fldChar w:fldCharType="end"/>
            </w:r>
          </w:hyperlink>
        </w:p>
        <w:p w14:paraId="3D9C8AF5" w14:textId="6B985027"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400" w:history="1">
            <w:r w:rsidRPr="009550CA">
              <w:rPr>
                <w:rStyle w:val="Hyperlink"/>
                <w:noProof/>
              </w:rPr>
              <w:t>Q.</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AGPT Program Aboriginal and Torres Strait Islander Salary Support Program</w:t>
            </w:r>
            <w:r>
              <w:rPr>
                <w:noProof/>
                <w:webHidden/>
              </w:rPr>
              <w:tab/>
            </w:r>
            <w:r>
              <w:rPr>
                <w:noProof/>
                <w:webHidden/>
              </w:rPr>
              <w:fldChar w:fldCharType="begin"/>
            </w:r>
            <w:r>
              <w:rPr>
                <w:noProof/>
                <w:webHidden/>
              </w:rPr>
              <w:instrText xml:space="preserve"> PAGEREF _Toc198641400 \h </w:instrText>
            </w:r>
            <w:r>
              <w:rPr>
                <w:noProof/>
                <w:webHidden/>
              </w:rPr>
            </w:r>
            <w:r>
              <w:rPr>
                <w:noProof/>
                <w:webHidden/>
              </w:rPr>
              <w:fldChar w:fldCharType="separate"/>
            </w:r>
            <w:r>
              <w:rPr>
                <w:noProof/>
                <w:webHidden/>
              </w:rPr>
              <w:t>11</w:t>
            </w:r>
            <w:r>
              <w:rPr>
                <w:noProof/>
                <w:webHidden/>
              </w:rPr>
              <w:fldChar w:fldCharType="end"/>
            </w:r>
          </w:hyperlink>
        </w:p>
        <w:p w14:paraId="398BB04C" w14:textId="51B3214B"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401" w:history="1">
            <w:r w:rsidRPr="009550CA">
              <w:rPr>
                <w:rStyle w:val="Hyperlink"/>
                <w:noProof/>
              </w:rPr>
              <w:t>R.</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Health Workforce Scholarship Program (HWSP)</w:t>
            </w:r>
            <w:r>
              <w:rPr>
                <w:noProof/>
                <w:webHidden/>
              </w:rPr>
              <w:tab/>
            </w:r>
            <w:r>
              <w:rPr>
                <w:noProof/>
                <w:webHidden/>
              </w:rPr>
              <w:fldChar w:fldCharType="begin"/>
            </w:r>
            <w:r>
              <w:rPr>
                <w:noProof/>
                <w:webHidden/>
              </w:rPr>
              <w:instrText xml:space="preserve"> PAGEREF _Toc198641401 \h </w:instrText>
            </w:r>
            <w:r>
              <w:rPr>
                <w:noProof/>
                <w:webHidden/>
              </w:rPr>
            </w:r>
            <w:r>
              <w:rPr>
                <w:noProof/>
                <w:webHidden/>
              </w:rPr>
              <w:fldChar w:fldCharType="separate"/>
            </w:r>
            <w:r>
              <w:rPr>
                <w:noProof/>
                <w:webHidden/>
              </w:rPr>
              <w:t>11</w:t>
            </w:r>
            <w:r>
              <w:rPr>
                <w:noProof/>
                <w:webHidden/>
              </w:rPr>
              <w:fldChar w:fldCharType="end"/>
            </w:r>
          </w:hyperlink>
        </w:p>
        <w:p w14:paraId="3EF71E8A" w14:textId="7ABB6D3D" w:rsidR="00867383" w:rsidRDefault="00867383">
          <w:pPr>
            <w:pStyle w:val="TOC2"/>
            <w:tabs>
              <w:tab w:val="left" w:pos="720"/>
            </w:tabs>
            <w:rPr>
              <w:rFonts w:asciiTheme="minorHAnsi" w:eastAsiaTheme="minorEastAsia" w:hAnsiTheme="minorHAnsi" w:cstheme="minorBidi"/>
              <w:noProof/>
              <w:color w:val="auto"/>
              <w:kern w:val="2"/>
              <w:sz w:val="24"/>
              <w:lang w:eastAsia="ja-JP"/>
              <w14:ligatures w14:val="standardContextual"/>
            </w:rPr>
          </w:pPr>
          <w:hyperlink w:anchor="_Toc198641402" w:history="1">
            <w:r w:rsidRPr="009550CA">
              <w:rPr>
                <w:rStyle w:val="Hyperlink"/>
                <w:noProof/>
              </w:rPr>
              <w:t>S.</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John Flynn Pre-Vocational Doctor Program (JFPDP)</w:t>
            </w:r>
            <w:r>
              <w:rPr>
                <w:noProof/>
                <w:webHidden/>
              </w:rPr>
              <w:tab/>
            </w:r>
            <w:r>
              <w:rPr>
                <w:noProof/>
                <w:webHidden/>
              </w:rPr>
              <w:fldChar w:fldCharType="begin"/>
            </w:r>
            <w:r>
              <w:rPr>
                <w:noProof/>
                <w:webHidden/>
              </w:rPr>
              <w:instrText xml:space="preserve"> PAGEREF _Toc198641402 \h </w:instrText>
            </w:r>
            <w:r>
              <w:rPr>
                <w:noProof/>
                <w:webHidden/>
              </w:rPr>
            </w:r>
            <w:r>
              <w:rPr>
                <w:noProof/>
                <w:webHidden/>
              </w:rPr>
              <w:fldChar w:fldCharType="separate"/>
            </w:r>
            <w:r>
              <w:rPr>
                <w:noProof/>
                <w:webHidden/>
              </w:rPr>
              <w:t>12</w:t>
            </w:r>
            <w:r>
              <w:rPr>
                <w:noProof/>
                <w:webHidden/>
              </w:rPr>
              <w:fldChar w:fldCharType="end"/>
            </w:r>
          </w:hyperlink>
        </w:p>
        <w:p w14:paraId="295B6030" w14:textId="40E6D80D"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403" w:history="1">
            <w:r w:rsidRPr="009550CA">
              <w:rPr>
                <w:rStyle w:val="Hyperlink"/>
                <w:noProof/>
              </w:rPr>
              <w:t>6.</w:t>
            </w:r>
            <w:r>
              <w:rPr>
                <w:rFonts w:asciiTheme="minorHAnsi" w:eastAsiaTheme="minorEastAsia" w:hAnsiTheme="minorHAnsi" w:cstheme="minorBidi"/>
                <w:noProof/>
                <w:color w:val="auto"/>
                <w:kern w:val="2"/>
                <w:sz w:val="24"/>
                <w:lang w:eastAsia="ja-JP"/>
                <w14:ligatures w14:val="standardContextual"/>
              </w:rPr>
              <w:tab/>
            </w:r>
            <w:r w:rsidRPr="009550CA">
              <w:rPr>
                <w:rStyle w:val="Hyperlink"/>
                <w:noProof/>
              </w:rPr>
              <w:t>Commonwealth Contact</w:t>
            </w:r>
            <w:r>
              <w:rPr>
                <w:noProof/>
                <w:webHidden/>
              </w:rPr>
              <w:tab/>
            </w:r>
            <w:r>
              <w:rPr>
                <w:noProof/>
                <w:webHidden/>
              </w:rPr>
              <w:fldChar w:fldCharType="begin"/>
            </w:r>
            <w:r>
              <w:rPr>
                <w:noProof/>
                <w:webHidden/>
              </w:rPr>
              <w:instrText xml:space="preserve"> PAGEREF _Toc198641403 \h </w:instrText>
            </w:r>
            <w:r>
              <w:rPr>
                <w:noProof/>
                <w:webHidden/>
              </w:rPr>
            </w:r>
            <w:r>
              <w:rPr>
                <w:noProof/>
                <w:webHidden/>
              </w:rPr>
              <w:fldChar w:fldCharType="separate"/>
            </w:r>
            <w:r>
              <w:rPr>
                <w:noProof/>
                <w:webHidden/>
              </w:rPr>
              <w:t>12</w:t>
            </w:r>
            <w:r>
              <w:rPr>
                <w:noProof/>
                <w:webHidden/>
              </w:rPr>
              <w:fldChar w:fldCharType="end"/>
            </w:r>
          </w:hyperlink>
        </w:p>
        <w:p w14:paraId="3185D2ED" w14:textId="0101AB06" w:rsidR="00867383" w:rsidRDefault="00867383" w:rsidP="00867383">
          <w:pPr>
            <w:pStyle w:val="TOC1"/>
            <w:rPr>
              <w:rFonts w:asciiTheme="minorHAnsi" w:eastAsiaTheme="minorEastAsia" w:hAnsiTheme="minorHAnsi" w:cstheme="minorBidi"/>
              <w:noProof/>
              <w:color w:val="auto"/>
              <w:kern w:val="2"/>
              <w:sz w:val="24"/>
              <w:lang w:eastAsia="ja-JP"/>
              <w14:ligatures w14:val="standardContextual"/>
            </w:rPr>
          </w:pPr>
          <w:hyperlink w:anchor="_Toc198641404" w:history="1">
            <w:r w:rsidRPr="009550CA">
              <w:rPr>
                <w:rStyle w:val="Hyperlink"/>
                <w:noProof/>
              </w:rPr>
              <w:t>Attachment A: Key SEM Success Factors and Principles</w:t>
            </w:r>
            <w:r>
              <w:rPr>
                <w:noProof/>
                <w:webHidden/>
              </w:rPr>
              <w:tab/>
            </w:r>
            <w:r>
              <w:rPr>
                <w:noProof/>
                <w:webHidden/>
              </w:rPr>
              <w:fldChar w:fldCharType="begin"/>
            </w:r>
            <w:r>
              <w:rPr>
                <w:noProof/>
                <w:webHidden/>
              </w:rPr>
              <w:instrText xml:space="preserve"> PAGEREF _Toc198641404 \h </w:instrText>
            </w:r>
            <w:r>
              <w:rPr>
                <w:noProof/>
                <w:webHidden/>
              </w:rPr>
            </w:r>
            <w:r>
              <w:rPr>
                <w:noProof/>
                <w:webHidden/>
              </w:rPr>
              <w:fldChar w:fldCharType="separate"/>
            </w:r>
            <w:r>
              <w:rPr>
                <w:noProof/>
                <w:webHidden/>
              </w:rPr>
              <w:t>13</w:t>
            </w:r>
            <w:r>
              <w:rPr>
                <w:noProof/>
                <w:webHidden/>
              </w:rPr>
              <w:fldChar w:fldCharType="end"/>
            </w:r>
          </w:hyperlink>
        </w:p>
        <w:p w14:paraId="1CDB5C8C" w14:textId="77777777" w:rsidR="00867383" w:rsidRDefault="00286E7F" w:rsidP="00867383">
          <w:r>
            <w:fldChar w:fldCharType="end"/>
          </w:r>
        </w:p>
      </w:sdtContent>
    </w:sdt>
    <w:p w14:paraId="01CC904C" w14:textId="096C5A93" w:rsidR="00D4685C" w:rsidRPr="00867383" w:rsidRDefault="00D4685C" w:rsidP="00867383">
      <w:r w:rsidRPr="00867383">
        <w:br w:type="page"/>
      </w:r>
    </w:p>
    <w:p w14:paraId="42F1F7E6" w14:textId="2EF40111" w:rsidR="00D4685C" w:rsidRPr="00D4685C" w:rsidRDefault="00D4685C" w:rsidP="00867383">
      <w:pPr>
        <w:pStyle w:val="Heading1"/>
      </w:pPr>
      <w:bookmarkStart w:id="3" w:name="_Toc198641364"/>
      <w:r w:rsidRPr="00867383">
        <w:lastRenderedPageBreak/>
        <w:t>Purpose</w:t>
      </w:r>
      <w:r>
        <w:t xml:space="preserve"> of SEM Trials</w:t>
      </w:r>
      <w:bookmarkEnd w:id="1"/>
      <w:bookmarkEnd w:id="3"/>
    </w:p>
    <w:p w14:paraId="57C00460" w14:textId="071BAC5C" w:rsidR="00D4685C" w:rsidRPr="00867383" w:rsidRDefault="00D4685C" w:rsidP="00867383">
      <w:bookmarkStart w:id="4" w:name="_Hlk138340825"/>
      <w:r w:rsidRPr="00867383">
        <w:t>The Single Employer Model (SEM) trials explore new approaches to employment arrangements for general practice (GP) and rural generalist (RG) trainees</w:t>
      </w:r>
      <w:r w:rsidR="00617D77" w:rsidRPr="00867383">
        <w:t>. The trials</w:t>
      </w:r>
      <w:r w:rsidRPr="00867383">
        <w:t xml:space="preserve"> aim to address key barriers to attracting and retaining GPs. </w:t>
      </w:r>
    </w:p>
    <w:p w14:paraId="7C74BE33" w14:textId="26AA15C9" w:rsidR="00D4685C" w:rsidRPr="00867383" w:rsidRDefault="00D4685C" w:rsidP="00867383">
      <w:r w:rsidRPr="00867383">
        <w:t>The model allows GP trainees to be centrally employed by one employer throughout their training rotations</w:t>
      </w:r>
      <w:r w:rsidR="00617D77" w:rsidRPr="00867383">
        <w:t xml:space="preserve">. This </w:t>
      </w:r>
      <w:r w:rsidRPr="00867383">
        <w:t>increase</w:t>
      </w:r>
      <w:r w:rsidR="00655F8F" w:rsidRPr="00867383">
        <w:t>s</w:t>
      </w:r>
      <w:r w:rsidRPr="00867383">
        <w:t xml:space="preserve"> ease of accruing and accessing employee entitlements (such as personal leave, recreation leave and parental leave</w:t>
      </w:r>
      <w:proofErr w:type="gramStart"/>
      <w:r w:rsidRPr="00867383">
        <w:t>), and</w:t>
      </w:r>
      <w:proofErr w:type="gramEnd"/>
      <w:r w:rsidRPr="00867383">
        <w:t xml:space="preserve"> increase</w:t>
      </w:r>
      <w:r w:rsidR="00655F8F" w:rsidRPr="00867383">
        <w:t>s</w:t>
      </w:r>
      <w:r w:rsidRPr="00867383">
        <w:t xml:space="preserve"> certainty of training arrangements. The trials aim to improve the attractiveness of GP training and </w:t>
      </w:r>
      <w:r w:rsidR="00CF7725" w:rsidRPr="00867383">
        <w:t>improve recruitment of GPs in regional and rural communities</w:t>
      </w:r>
      <w:r w:rsidRPr="00867383">
        <w:t xml:space="preserve">. </w:t>
      </w:r>
      <w:r w:rsidR="00CF7725" w:rsidRPr="00867383">
        <w:t xml:space="preserve">This seeks to </w:t>
      </w:r>
      <w:r w:rsidR="00655F8F" w:rsidRPr="00867383">
        <w:t>establish</w:t>
      </w:r>
      <w:r w:rsidR="00CF7725" w:rsidRPr="00867383">
        <w:t xml:space="preserve"> sustainable pathway</w:t>
      </w:r>
      <w:r w:rsidR="00655F8F" w:rsidRPr="00867383">
        <w:t>s</w:t>
      </w:r>
      <w:r w:rsidRPr="00867383">
        <w:t xml:space="preserve"> to build a local workforce in regional, </w:t>
      </w:r>
      <w:r w:rsidR="00A771C5" w:rsidRPr="00867383">
        <w:t>rural,</w:t>
      </w:r>
      <w:r w:rsidRPr="00867383">
        <w:t xml:space="preserve"> and remote geographic areas and areas of workforce need.</w:t>
      </w:r>
    </w:p>
    <w:p w14:paraId="326912EA" w14:textId="0DA728C9" w:rsidR="005F0216" w:rsidRPr="00867383" w:rsidRDefault="005F0216" w:rsidP="00867383">
      <w:r w:rsidRPr="00867383">
        <w:t xml:space="preserve">GP registrars participating on the trials occupy existing training positions when they bill Medicare for services provided in private primary care practices. </w:t>
      </w:r>
      <w:r w:rsidR="00F143F6" w:rsidRPr="00867383">
        <w:t>It is intended that o</w:t>
      </w:r>
      <w:r w:rsidRPr="00867383">
        <w:t xml:space="preserve">nly the employment arrangements of the registrars </w:t>
      </w:r>
      <w:r w:rsidR="00CC2728" w:rsidRPr="00867383">
        <w:t>change</w:t>
      </w:r>
      <w:r w:rsidRPr="00867383">
        <w:t xml:space="preserve"> in a SEM trial. All </w:t>
      </w:r>
      <w:r w:rsidR="00DE0CC1" w:rsidRPr="00867383">
        <w:t xml:space="preserve">other operational </w:t>
      </w:r>
      <w:r w:rsidR="00655F8F" w:rsidRPr="00867383">
        <w:t xml:space="preserve">and training </w:t>
      </w:r>
      <w:r w:rsidR="00DE0CC1" w:rsidRPr="00867383">
        <w:t xml:space="preserve">matters </w:t>
      </w:r>
      <w:r w:rsidR="00F143F6" w:rsidRPr="00867383">
        <w:t xml:space="preserve">should </w:t>
      </w:r>
      <w:r w:rsidRPr="00867383">
        <w:t xml:space="preserve">remain unchanged. </w:t>
      </w:r>
    </w:p>
    <w:p w14:paraId="4F18423F" w14:textId="2B050C25" w:rsidR="00E562AC" w:rsidRPr="00867383" w:rsidRDefault="00D4685C" w:rsidP="00867383">
      <w:r w:rsidRPr="00867383">
        <w:t xml:space="preserve">This document relates to </w:t>
      </w:r>
      <w:r w:rsidR="000F21FE" w:rsidRPr="00867383">
        <w:t xml:space="preserve">jurisdiction-led </w:t>
      </w:r>
      <w:r w:rsidRPr="00867383">
        <w:t>trials</w:t>
      </w:r>
      <w:r w:rsidR="000F21FE" w:rsidRPr="00867383">
        <w:t>,</w:t>
      </w:r>
      <w:r w:rsidRPr="00867383">
        <w:t xml:space="preserve"> whereby the state or territory acts as the employer. </w:t>
      </w:r>
      <w:r w:rsidR="007A59A5" w:rsidRPr="00867383">
        <w:t xml:space="preserve">It outlines the parameters </w:t>
      </w:r>
      <w:r w:rsidR="00655F8F" w:rsidRPr="00867383">
        <w:t xml:space="preserve">underpinning </w:t>
      </w:r>
      <w:r w:rsidR="007A59A5" w:rsidRPr="00867383">
        <w:t xml:space="preserve">the SEM trials and aims to </w:t>
      </w:r>
      <w:r w:rsidR="00655F8F" w:rsidRPr="00867383">
        <w:t>guide</w:t>
      </w:r>
      <w:r w:rsidR="007A59A5" w:rsidRPr="00867383">
        <w:t xml:space="preserve"> trial </w:t>
      </w:r>
      <w:r w:rsidR="00655F8F" w:rsidRPr="00867383">
        <w:t xml:space="preserve">design and </w:t>
      </w:r>
      <w:r w:rsidR="007A59A5" w:rsidRPr="00867383">
        <w:t xml:space="preserve">implementation. </w:t>
      </w:r>
      <w:r w:rsidRPr="00867383">
        <w:t xml:space="preserve">The parameters for </w:t>
      </w:r>
      <w:r w:rsidR="007A59A5" w:rsidRPr="00867383">
        <w:t>the First Nations SEM trial</w:t>
      </w:r>
      <w:r w:rsidRPr="00867383">
        <w:t xml:space="preserve"> may differ. </w:t>
      </w:r>
      <w:r w:rsidR="000F21FE" w:rsidRPr="00867383">
        <w:t>Jurisdiction-led t</w:t>
      </w:r>
      <w:r w:rsidRPr="00867383">
        <w:t xml:space="preserve">rials cannot commence until a Memorandum of Understanding (MoU) is established and a </w:t>
      </w:r>
      <w:r w:rsidR="00B60C8D" w:rsidRPr="00867383">
        <w:t xml:space="preserve">Health Insurance Act 1973 </w:t>
      </w:r>
      <w:r w:rsidRPr="00867383">
        <w:t>subsection 19(2) Direction</w:t>
      </w:r>
      <w:r w:rsidR="00B60C8D" w:rsidRPr="00867383">
        <w:t xml:space="preserve"> (s19(2) Direction)</w:t>
      </w:r>
      <w:r w:rsidRPr="00867383">
        <w:t xml:space="preserve"> is issued.</w:t>
      </w:r>
    </w:p>
    <w:p w14:paraId="5D3DB837" w14:textId="425565D9" w:rsidR="00CE237E" w:rsidRPr="00867383" w:rsidRDefault="00CE237E" w:rsidP="00867383">
      <w:r w:rsidRPr="00867383">
        <w:t>This document is intended to be a living document and will be reviewed</w:t>
      </w:r>
      <w:r w:rsidR="00D7140E" w:rsidRPr="00867383">
        <w:t xml:space="preserve"> and updated, as required.</w:t>
      </w:r>
    </w:p>
    <w:p w14:paraId="28F5DC07" w14:textId="58AD7BD0" w:rsidR="00D4685C" w:rsidRPr="00867383" w:rsidRDefault="00AE1BCB" w:rsidP="00867383">
      <w:pPr>
        <w:pStyle w:val="Heading1"/>
      </w:pPr>
      <w:bookmarkStart w:id="5" w:name="_Toc141259133"/>
      <w:bookmarkStart w:id="6" w:name="_Toc198641365"/>
      <w:bookmarkEnd w:id="4"/>
      <w:r>
        <w:t>s</w:t>
      </w:r>
      <w:r w:rsidR="00D4685C">
        <w:t>19(2) Direction</w:t>
      </w:r>
      <w:bookmarkEnd w:id="5"/>
      <w:bookmarkEnd w:id="6"/>
    </w:p>
    <w:p w14:paraId="4EE7072D" w14:textId="7844A875" w:rsidR="00DE0CC1" w:rsidRPr="00867383" w:rsidRDefault="00DE0CC1" w:rsidP="00867383">
      <w:bookmarkStart w:id="7" w:name="_Toc141259134"/>
      <w:bookmarkStart w:id="8" w:name="_Hlk138340940"/>
      <w:r w:rsidRPr="00867383">
        <w:t>The SEM s19(2) Direction support</w:t>
      </w:r>
      <w:r w:rsidR="00655F8F" w:rsidRPr="00867383">
        <w:t>s</w:t>
      </w:r>
      <w:r w:rsidRPr="00867383">
        <w:t xml:space="preserve"> the employment of registrars where the state or territory acts as the single employer through the state health service</w:t>
      </w:r>
      <w:r w:rsidR="00655F8F" w:rsidRPr="00867383">
        <w:t>.</w:t>
      </w:r>
      <w:r w:rsidR="00772F1F" w:rsidRPr="00867383">
        <w:t xml:space="preserve"> </w:t>
      </w:r>
      <w:r w:rsidR="00655F8F" w:rsidRPr="00867383">
        <w:t>It allows</w:t>
      </w:r>
      <w:r w:rsidRPr="00867383">
        <w:t xml:space="preserve"> the registrar </w:t>
      </w:r>
      <w:r w:rsidR="00655F8F" w:rsidRPr="00867383">
        <w:t xml:space="preserve">to </w:t>
      </w:r>
      <w:r w:rsidRPr="00867383">
        <w:t>bill the Medicare Benefits Schedule (MBS) for their work in private GP practices</w:t>
      </w:r>
      <w:r w:rsidR="00655F8F" w:rsidRPr="00867383">
        <w:t>, while they are also a state or territory employee</w:t>
      </w:r>
      <w:r w:rsidRPr="00867383">
        <w:t xml:space="preserve">. </w:t>
      </w:r>
    </w:p>
    <w:p w14:paraId="7B06CB69" w14:textId="1E19D8F2" w:rsidR="00D4685C" w:rsidRPr="00E7270A" w:rsidRDefault="00D4685C" w:rsidP="00A4139E">
      <w:pPr>
        <w:pStyle w:val="Heading2"/>
      </w:pPr>
      <w:bookmarkStart w:id="9" w:name="_Toc198641366"/>
      <w:r>
        <w:t>Purpose of a SEM s19(2) Direction</w:t>
      </w:r>
      <w:bookmarkEnd w:id="7"/>
      <w:bookmarkEnd w:id="9"/>
    </w:p>
    <w:p w14:paraId="4EB6774D" w14:textId="7E991042" w:rsidR="00D4685C" w:rsidRPr="00867383" w:rsidRDefault="00DE0CC1" w:rsidP="00867383">
      <w:r w:rsidRPr="00867383">
        <w:t>S</w:t>
      </w:r>
      <w:r w:rsidR="00D4685C" w:rsidRPr="00867383">
        <w:t>ubsection</w:t>
      </w:r>
      <w:r w:rsidRPr="00867383">
        <w:t xml:space="preserve"> 19(2) of the Health Insurance Act 1973</w:t>
      </w:r>
      <w:r w:rsidR="008821FB" w:rsidRPr="00867383">
        <w:t xml:space="preserve"> provides that a Medicare benefit is not payable in respect of a professional service, if that service is also provided under another government arrangement</w:t>
      </w:r>
      <w:r w:rsidR="00D4685C" w:rsidRPr="00867383">
        <w:t>. The purpose of the subsection is to prevent ‘double</w:t>
      </w:r>
      <w:r w:rsidR="008F675F" w:rsidRPr="00867383">
        <w:t>-</w:t>
      </w:r>
      <w:r w:rsidR="00D4685C" w:rsidRPr="00867383">
        <w:t>dipping’, where a single medical service is paid for twice.</w:t>
      </w:r>
      <w:r w:rsidR="00D644B1" w:rsidRPr="00867383">
        <w:t xml:space="preserve"> </w:t>
      </w:r>
      <w:r w:rsidR="005102D3" w:rsidRPr="00867383">
        <w:t xml:space="preserve">A s19(2) exemption is required to support the employment arrangement </w:t>
      </w:r>
      <w:r w:rsidR="006A3DD4" w:rsidRPr="00867383">
        <w:t>under</w:t>
      </w:r>
      <w:r w:rsidR="005102D3" w:rsidRPr="00867383">
        <w:t xml:space="preserve"> a SEM</w:t>
      </w:r>
      <w:r w:rsidR="006F3D28" w:rsidRPr="00867383">
        <w:t xml:space="preserve"> to allow SEM registrars to bill </w:t>
      </w:r>
      <w:r w:rsidR="0065215F" w:rsidRPr="00867383">
        <w:t>MBS</w:t>
      </w:r>
      <w:r w:rsidR="0033258F" w:rsidRPr="00867383">
        <w:t xml:space="preserve"> as a state or territory</w:t>
      </w:r>
      <w:r w:rsidR="001141CF" w:rsidRPr="00867383">
        <w:t xml:space="preserve"> employee</w:t>
      </w:r>
      <w:r w:rsidR="005102D3" w:rsidRPr="00867383">
        <w:t xml:space="preserve">. </w:t>
      </w:r>
      <w:r w:rsidR="00D644B1" w:rsidRPr="00867383">
        <w:t xml:space="preserve">A SEM does not enable a ‘double dip’, and services already paid for under the National Health Reform Agreement </w:t>
      </w:r>
      <w:r w:rsidR="008F675F" w:rsidRPr="00867383">
        <w:t>cannot</w:t>
      </w:r>
      <w:r w:rsidR="00D644B1" w:rsidRPr="00867383">
        <w:t xml:space="preserve"> be claimed using the SEM</w:t>
      </w:r>
      <w:r w:rsidR="00D7140E" w:rsidRPr="00867383">
        <w:t xml:space="preserve"> s19(2)</w:t>
      </w:r>
      <w:r w:rsidR="00D644B1" w:rsidRPr="00867383">
        <w:t xml:space="preserve"> Direction. The Direction </w:t>
      </w:r>
      <w:r w:rsidR="00B040AC" w:rsidRPr="00867383">
        <w:t xml:space="preserve">only </w:t>
      </w:r>
      <w:r w:rsidR="00D644B1" w:rsidRPr="00867383">
        <w:t>allows for a change in the funding flows</w:t>
      </w:r>
      <w:r w:rsidR="00B040AC" w:rsidRPr="00867383">
        <w:t>, not</w:t>
      </w:r>
      <w:r w:rsidR="00D644B1" w:rsidRPr="00867383">
        <w:t xml:space="preserve"> </w:t>
      </w:r>
      <w:r w:rsidR="00B040AC" w:rsidRPr="00867383">
        <w:t>additional</w:t>
      </w:r>
      <w:r w:rsidR="00D644B1" w:rsidRPr="00867383">
        <w:t xml:space="preserve"> funding flows.</w:t>
      </w:r>
    </w:p>
    <w:p w14:paraId="490B9E10" w14:textId="4E6D892D" w:rsidR="00D4685C" w:rsidRPr="00867383" w:rsidRDefault="00D4685C" w:rsidP="00867383">
      <w:r w:rsidRPr="00867383">
        <w:t>The SEM s19(2) Direction lists out the eligible MBS items that SEM-participating registrars can claim within the approved primary care Modified Monash Model (MMM) 2-7 locations</w:t>
      </w:r>
      <w:r w:rsidR="003F139F" w:rsidRPr="00867383">
        <w:t xml:space="preserve">. </w:t>
      </w:r>
      <w:r w:rsidR="003F139F" w:rsidRPr="00867383">
        <w:lastRenderedPageBreak/>
        <w:t xml:space="preserve">The Direction </w:t>
      </w:r>
      <w:r w:rsidR="008377EC" w:rsidRPr="00867383">
        <w:t>also</w:t>
      </w:r>
      <w:r w:rsidR="003F139F" w:rsidRPr="00867383">
        <w:t xml:space="preserve"> specif</w:t>
      </w:r>
      <w:r w:rsidR="008377EC" w:rsidRPr="00867383">
        <w:t>ies</w:t>
      </w:r>
      <w:r w:rsidR="003F139F" w:rsidRPr="00867383">
        <w:t xml:space="preserve"> the number of trainees that can </w:t>
      </w:r>
      <w:r w:rsidR="008F675F" w:rsidRPr="00867383">
        <w:t xml:space="preserve">use </w:t>
      </w:r>
      <w:r w:rsidR="003F139F" w:rsidRPr="00867383">
        <w:t>the Direction</w:t>
      </w:r>
      <w:r w:rsidR="008F675F" w:rsidRPr="00867383">
        <w:t xml:space="preserve"> at any one time</w:t>
      </w:r>
      <w:r w:rsidR="00B040AC" w:rsidRPr="00867383">
        <w:t>.</w:t>
      </w:r>
    </w:p>
    <w:p w14:paraId="3A3EC7E8" w14:textId="36752EBA" w:rsidR="00222762" w:rsidRDefault="00222762" w:rsidP="00A4139E">
      <w:pPr>
        <w:pStyle w:val="Heading2"/>
      </w:pPr>
      <w:bookmarkStart w:id="10" w:name="_Toc141259135"/>
      <w:bookmarkStart w:id="11" w:name="_Toc198641367"/>
      <w:r>
        <w:t>Trial site eligibility</w:t>
      </w:r>
      <w:bookmarkEnd w:id="11"/>
      <w:r>
        <w:t xml:space="preserve"> </w:t>
      </w:r>
    </w:p>
    <w:p w14:paraId="488E7088" w14:textId="5D44E9CA" w:rsidR="00222762" w:rsidRPr="00867383" w:rsidRDefault="00C36ADD" w:rsidP="00867383">
      <w:r w:rsidRPr="00867383">
        <w:t xml:space="preserve">The </w:t>
      </w:r>
      <w:r w:rsidR="007D2BA3" w:rsidRPr="00867383">
        <w:t xml:space="preserve">SEM </w:t>
      </w:r>
      <w:r w:rsidRPr="00867383">
        <w:t>s19(2) Direction</w:t>
      </w:r>
      <w:r w:rsidR="00C36538" w:rsidRPr="00867383">
        <w:t xml:space="preserve"> will only list </w:t>
      </w:r>
      <w:r w:rsidR="00EC5DFD" w:rsidRPr="00867383">
        <w:t>approved practices located in</w:t>
      </w:r>
      <w:r w:rsidRPr="00867383">
        <w:t xml:space="preserve"> </w:t>
      </w:r>
      <w:r w:rsidR="007D2BA3" w:rsidRPr="00867383">
        <w:t xml:space="preserve">MM2-7 locations. As MM regions are subject to review every 5 years, the MM2-7 requirement is based on the highest MM classification over the last 5 years. </w:t>
      </w:r>
    </w:p>
    <w:p w14:paraId="38213300" w14:textId="454626E5" w:rsidR="002509DE" w:rsidRPr="00867383" w:rsidRDefault="002509DE" w:rsidP="00867383">
      <w:r w:rsidRPr="00867383">
        <w:t xml:space="preserve">The </w:t>
      </w:r>
      <w:r w:rsidR="00865B85" w:rsidRPr="00867383">
        <w:t>Commonwealth Department of Health</w:t>
      </w:r>
      <w:r w:rsidR="00313FAA" w:rsidRPr="00867383">
        <w:t xml:space="preserve">, Disability </w:t>
      </w:r>
      <w:r w:rsidR="00865B85" w:rsidRPr="00867383">
        <w:t>and Age</w:t>
      </w:r>
      <w:r w:rsidR="00313FAA" w:rsidRPr="00867383">
        <w:t>ing</w:t>
      </w:r>
      <w:r w:rsidR="00865B85" w:rsidRPr="00867383">
        <w:t xml:space="preserve"> (the Department) </w:t>
      </w:r>
      <w:r w:rsidRPr="00867383">
        <w:t>requires</w:t>
      </w:r>
      <w:r w:rsidR="00432938" w:rsidRPr="00867383">
        <w:t xml:space="preserve"> the</w:t>
      </w:r>
      <w:r w:rsidRPr="00867383">
        <w:t xml:space="preserve"> </w:t>
      </w:r>
      <w:r w:rsidR="00A32233" w:rsidRPr="00867383">
        <w:t xml:space="preserve">classification and suburb of each proposed SEM practice, as per the </w:t>
      </w:r>
      <w:hyperlink r:id="rId12">
        <w:r w:rsidR="51708C60" w:rsidRPr="7A5C1EF2">
          <w:rPr>
            <w:rStyle w:val="Hyperlink"/>
            <w:rFonts w:eastAsia="Calibri"/>
          </w:rPr>
          <w:t>Health Workforce Locator</w:t>
        </w:r>
      </w:hyperlink>
      <w:r w:rsidR="51708C60" w:rsidRPr="00867383">
        <w:t>.</w:t>
      </w:r>
    </w:p>
    <w:p w14:paraId="3E68E3DF" w14:textId="68B1C709" w:rsidR="00996C74" w:rsidRDefault="00996C74" w:rsidP="00A4139E">
      <w:pPr>
        <w:pStyle w:val="Heading2"/>
      </w:pPr>
      <w:bookmarkStart w:id="12" w:name="_Toc198641368"/>
      <w:r>
        <w:t>Legal Entity Name</w:t>
      </w:r>
      <w:bookmarkEnd w:id="12"/>
    </w:p>
    <w:p w14:paraId="3EE00092" w14:textId="06A63820" w:rsidR="00996C74" w:rsidRPr="00867383" w:rsidRDefault="00996C74" w:rsidP="00867383">
      <w:r w:rsidRPr="00867383">
        <w:t xml:space="preserve">The Department requires a list of all the legal entity names for each proposed SEM practice. </w:t>
      </w:r>
      <w:r w:rsidR="006317C2" w:rsidRPr="00867383">
        <w:t>T</w:t>
      </w:r>
      <w:r w:rsidR="005E2A7D" w:rsidRPr="00867383">
        <w:t xml:space="preserve">he </w:t>
      </w:r>
      <w:r w:rsidRPr="00867383">
        <w:t xml:space="preserve">s19(2) Direction </w:t>
      </w:r>
      <w:r w:rsidR="00C426B4" w:rsidRPr="00867383">
        <w:t>is</w:t>
      </w:r>
      <w:r w:rsidR="005E2A7D" w:rsidRPr="00867383">
        <w:t xml:space="preserve"> a</w:t>
      </w:r>
      <w:r w:rsidRPr="00867383">
        <w:t xml:space="preserve"> leg</w:t>
      </w:r>
      <w:r w:rsidR="005E2A7D" w:rsidRPr="00867383">
        <w:t>is</w:t>
      </w:r>
      <w:r w:rsidRPr="00867383">
        <w:t>l</w:t>
      </w:r>
      <w:r w:rsidR="005E2A7D" w:rsidRPr="00867383">
        <w:t>ative</w:t>
      </w:r>
      <w:r w:rsidRPr="00867383">
        <w:t xml:space="preserve"> instrument</w:t>
      </w:r>
      <w:r w:rsidR="006317C2" w:rsidRPr="00867383">
        <w:t>. It</w:t>
      </w:r>
      <w:r w:rsidR="005A2835" w:rsidRPr="00867383">
        <w:t xml:space="preserve"> ensure</w:t>
      </w:r>
      <w:r w:rsidR="006317C2" w:rsidRPr="00867383">
        <w:t>s the Commonwealth can legally provide</w:t>
      </w:r>
      <w:r w:rsidR="005A2835" w:rsidRPr="00867383">
        <w:t xml:space="preserve"> Medicare benefits to the site owned by a particular provider or entity. I</w:t>
      </w:r>
      <w:r w:rsidRPr="00867383">
        <w:t xml:space="preserve">f </w:t>
      </w:r>
      <w:r w:rsidR="00726162" w:rsidRPr="00867383">
        <w:t xml:space="preserve">the Direction lists </w:t>
      </w:r>
      <w:r w:rsidRPr="00867383">
        <w:t>inaccurate legal entity names, the Medicare payments to these legal entities and practices may be called into question.</w:t>
      </w:r>
      <w:r w:rsidR="0038097A" w:rsidRPr="00867383">
        <w:t xml:space="preserve"> Jurisdictions/</w:t>
      </w:r>
      <w:r w:rsidR="00AA5D23" w:rsidRPr="00867383">
        <w:t>state health services</w:t>
      </w:r>
      <w:r w:rsidR="0038097A" w:rsidRPr="00867383">
        <w:t xml:space="preserve"> must ensure that the details are correct before submitting to the Department. </w:t>
      </w:r>
    </w:p>
    <w:p w14:paraId="07ADF45C" w14:textId="5B112F6F" w:rsidR="0038097A" w:rsidRPr="00867383" w:rsidRDefault="0038097A" w:rsidP="00867383">
      <w:r w:rsidRPr="00867383">
        <w:t>It is recommended that jurisdictions/</w:t>
      </w:r>
      <w:r w:rsidR="007D53BA" w:rsidRPr="00867383">
        <w:t>state health services</w:t>
      </w:r>
      <w:r w:rsidRPr="00867383">
        <w:t xml:space="preserve"> collect the ABNs from practices when confirming their involvement in the trials. </w:t>
      </w:r>
      <w:r w:rsidR="003C0995" w:rsidRPr="00867383">
        <w:t>Noting the trading name and the legal entity name may differ, th</w:t>
      </w:r>
      <w:r w:rsidRPr="00867383">
        <w:t xml:space="preserve">is will </w:t>
      </w:r>
      <w:r w:rsidR="00812DE5" w:rsidRPr="00867383">
        <w:t>help to ensure</w:t>
      </w:r>
      <w:r w:rsidRPr="00867383">
        <w:t xml:space="preserve"> the correct legal name </w:t>
      </w:r>
      <w:r w:rsidR="004C225C" w:rsidRPr="00867383">
        <w:t>is</w:t>
      </w:r>
      <w:r w:rsidRPr="00867383">
        <w:t xml:space="preserve"> listed, using the </w:t>
      </w:r>
      <w:hyperlink r:id="rId13" w:history="1">
        <w:r w:rsidRPr="00CB65D5">
          <w:rPr>
            <w:rStyle w:val="Hyperlink"/>
            <w:rFonts w:eastAsia="Calibri"/>
          </w:rPr>
          <w:t>ABN lookup tool</w:t>
        </w:r>
      </w:hyperlink>
      <w:r w:rsidRPr="00867383">
        <w:t>.</w:t>
      </w:r>
    </w:p>
    <w:p w14:paraId="6C01A479" w14:textId="33CBED49" w:rsidR="005A2835" w:rsidRPr="00867383" w:rsidRDefault="005A2835" w:rsidP="00867383">
      <w:r w:rsidRPr="00867383">
        <w:t>If a practice changes ownership during the SEM trial, jurisdictions/</w:t>
      </w:r>
      <w:r w:rsidR="007D53BA" w:rsidRPr="00867383">
        <w:t>state health services</w:t>
      </w:r>
      <w:r w:rsidRPr="00867383">
        <w:t xml:space="preserve"> must notify the Department as soon as possible </w:t>
      </w:r>
      <w:r w:rsidR="00D30CB5" w:rsidRPr="00867383">
        <w:t xml:space="preserve">to update </w:t>
      </w:r>
      <w:r w:rsidRPr="00867383">
        <w:t xml:space="preserve">the s19(2) Direction </w:t>
      </w:r>
      <w:r w:rsidR="00D30CB5" w:rsidRPr="00867383">
        <w:t>and</w:t>
      </w:r>
      <w:r w:rsidRPr="00867383">
        <w:t xml:space="preserve"> reflect the new legal entity. </w:t>
      </w:r>
      <w:r w:rsidR="00CD0167" w:rsidRPr="00867383">
        <w:t>It is possible to make these updates outside of the annual s19(2) Direction review process.</w:t>
      </w:r>
    </w:p>
    <w:p w14:paraId="02A3AB49" w14:textId="315ACE9B" w:rsidR="00D4685C" w:rsidRPr="00D4685C" w:rsidRDefault="000A3D96" w:rsidP="00A4139E">
      <w:pPr>
        <w:pStyle w:val="Heading2"/>
      </w:pPr>
      <w:bookmarkStart w:id="13" w:name="_Toc198641369"/>
      <w:r>
        <w:t xml:space="preserve">Overlap </w:t>
      </w:r>
      <w:r w:rsidR="00D4685C">
        <w:t>of different s19(2) Directions</w:t>
      </w:r>
      <w:bookmarkEnd w:id="10"/>
      <w:bookmarkEnd w:id="13"/>
      <w:r w:rsidR="00D4685C">
        <w:t xml:space="preserve"> </w:t>
      </w:r>
    </w:p>
    <w:p w14:paraId="4FB0E88F" w14:textId="5E2DAFE8" w:rsidR="00C8360E" w:rsidRPr="00867383" w:rsidRDefault="00CB4C6E" w:rsidP="00867383">
      <w:pPr>
        <w:pStyle w:val="Heading3"/>
      </w:pPr>
      <w:bookmarkStart w:id="14" w:name="_Toc198641370"/>
      <w:r w:rsidRPr="00867383">
        <w:t>Council of Australian Governments (</w:t>
      </w:r>
      <w:r w:rsidR="00C8360E" w:rsidRPr="00867383">
        <w:t>COAG</w:t>
      </w:r>
      <w:r w:rsidRPr="00867383">
        <w:t>)</w:t>
      </w:r>
      <w:r w:rsidR="00C8360E" w:rsidRPr="00867383">
        <w:t xml:space="preserve"> and </w:t>
      </w:r>
      <w:r w:rsidR="00055946" w:rsidRPr="00867383">
        <w:t>Aboriginal Community Controlled Health Ser</w:t>
      </w:r>
      <w:r w:rsidR="00171052" w:rsidRPr="00867383">
        <w:t>vice s19(2) Directions</w:t>
      </w:r>
      <w:bookmarkEnd w:id="14"/>
    </w:p>
    <w:p w14:paraId="5BEEB3A2" w14:textId="2A17CCA9" w:rsidR="00D4685C" w:rsidRPr="00867383" w:rsidRDefault="00B60C8D" w:rsidP="00867383">
      <w:r w:rsidRPr="00867383">
        <w:t xml:space="preserve">SEM participating registrars may be placed in practice locations covered by </w:t>
      </w:r>
      <w:r w:rsidR="006C51D1" w:rsidRPr="00867383">
        <w:t xml:space="preserve">a COAG or Aboriginal Community Controlled Health Service (ACCHS) </w:t>
      </w:r>
      <w:r w:rsidR="00651B17" w:rsidRPr="00867383">
        <w:t>s19(2) Direction</w:t>
      </w:r>
      <w:r w:rsidR="00655F8F" w:rsidRPr="00867383">
        <w:t xml:space="preserve">. In these circumstances, the existing Direction can </w:t>
      </w:r>
      <w:proofErr w:type="gramStart"/>
      <w:r w:rsidR="00655F8F" w:rsidRPr="00867383">
        <w:t>apply</w:t>
      </w:r>
      <w:proofErr w:type="gramEnd"/>
      <w:r w:rsidR="00655F8F" w:rsidRPr="00867383">
        <w:t xml:space="preserve"> and a separate SEM Direction will not be issued.</w:t>
      </w:r>
      <w:r w:rsidR="00D4685C" w:rsidRPr="00867383">
        <w:t xml:space="preserve"> This may affect the MBS items claimable</w:t>
      </w:r>
      <w:r w:rsidR="00651B17" w:rsidRPr="00867383">
        <w:t xml:space="preserve"> at these locations</w:t>
      </w:r>
      <w:r w:rsidR="00D4685C" w:rsidRPr="00867383">
        <w:t xml:space="preserve">. </w:t>
      </w:r>
      <w:r w:rsidR="005F43C0" w:rsidRPr="00867383">
        <w:t xml:space="preserve">All s19(2) Directions can be found on the </w:t>
      </w:r>
      <w:hyperlink r:id="rId14" w:history="1">
        <w:r w:rsidR="005F43C0" w:rsidRPr="00867383">
          <w:rPr>
            <w:rStyle w:val="Hyperlink"/>
          </w:rPr>
          <w:t>Federal Register of Legislation</w:t>
        </w:r>
      </w:hyperlink>
      <w:r w:rsidR="005F43C0" w:rsidRPr="00867383">
        <w:t xml:space="preserve">. </w:t>
      </w:r>
    </w:p>
    <w:p w14:paraId="5889CA55" w14:textId="790750DB" w:rsidR="001F1441" w:rsidRPr="00867383" w:rsidRDefault="001F1441" w:rsidP="00867383">
      <w:pPr>
        <w:pStyle w:val="Heading3"/>
      </w:pPr>
      <w:bookmarkStart w:id="15" w:name="_Toc198641371"/>
      <w:r w:rsidRPr="00867383">
        <w:t>Urgent Care Clinic</w:t>
      </w:r>
      <w:r w:rsidR="00171052" w:rsidRPr="00867383">
        <w:t xml:space="preserve"> s19(2) Directions</w:t>
      </w:r>
      <w:bookmarkEnd w:id="15"/>
    </w:p>
    <w:p w14:paraId="7DDE95BC" w14:textId="5D4EC17E" w:rsidR="00C66761" w:rsidRPr="00867383" w:rsidRDefault="006768DE" w:rsidP="00867383">
      <w:r w:rsidRPr="00867383">
        <w:t xml:space="preserve">Medicare Urgent Care Clinics (UCCs) operate under their own s19(2) Direction. The scope of MBS items under the UCC s19(2) Direction is limited and it is unlikely that a placement </w:t>
      </w:r>
      <w:r w:rsidR="00655F8F" w:rsidRPr="00867383">
        <w:t>in an Urgent Care Clinic</w:t>
      </w:r>
      <w:r w:rsidR="00A46728" w:rsidRPr="00867383">
        <w:t xml:space="preserve"> </w:t>
      </w:r>
      <w:r w:rsidRPr="00867383">
        <w:t xml:space="preserve">will meet </w:t>
      </w:r>
      <w:r w:rsidR="00655F8F" w:rsidRPr="00867383">
        <w:t xml:space="preserve">GP College </w:t>
      </w:r>
      <w:r w:rsidRPr="00867383">
        <w:t xml:space="preserve">training requirements. </w:t>
      </w:r>
    </w:p>
    <w:p w14:paraId="7AE175CC" w14:textId="0B32CE80" w:rsidR="00A446AD" w:rsidRPr="00867383" w:rsidRDefault="00710FC2" w:rsidP="00867383">
      <w:r w:rsidRPr="00867383">
        <w:t>If a practice is operating a</w:t>
      </w:r>
      <w:r w:rsidR="00655F8F" w:rsidRPr="00867383">
        <w:t>n</w:t>
      </w:r>
      <w:r w:rsidRPr="00867383">
        <w:t xml:space="preserve"> UCC </w:t>
      </w:r>
      <w:r w:rsidR="00655F8F" w:rsidRPr="00867383">
        <w:t>and</w:t>
      </w:r>
      <w:r w:rsidRPr="00867383">
        <w:t xml:space="preserve"> would also like to participat</w:t>
      </w:r>
      <w:r w:rsidR="00C54931" w:rsidRPr="00867383">
        <w:t>e</w:t>
      </w:r>
      <w:r w:rsidRPr="00867383">
        <w:t xml:space="preserve"> in a SEM trial</w:t>
      </w:r>
      <w:r w:rsidR="00C54931" w:rsidRPr="00867383">
        <w:t xml:space="preserve"> and be listed on a SEM s19(2) Direction</w:t>
      </w:r>
      <w:r w:rsidR="00655F8F" w:rsidRPr="00867383">
        <w:t xml:space="preserve"> (for example, in a co-located practice providing full general practice services)</w:t>
      </w:r>
      <w:r w:rsidR="00C54931" w:rsidRPr="00867383">
        <w:t xml:space="preserve">, </w:t>
      </w:r>
      <w:r w:rsidR="0023716E" w:rsidRPr="00867383">
        <w:t xml:space="preserve">the Department will consider inclusion of the </w:t>
      </w:r>
      <w:r w:rsidR="005210EE" w:rsidRPr="00867383">
        <w:t>practice on a case</w:t>
      </w:r>
      <w:r w:rsidR="003A64C7" w:rsidRPr="00867383">
        <w:t>-</w:t>
      </w:r>
      <w:r w:rsidR="005210EE" w:rsidRPr="00867383">
        <w:t>by</w:t>
      </w:r>
      <w:r w:rsidR="003A64C7" w:rsidRPr="00867383">
        <w:t>-</w:t>
      </w:r>
      <w:r w:rsidR="005210EE" w:rsidRPr="00867383">
        <w:t xml:space="preserve">case basis. </w:t>
      </w:r>
    </w:p>
    <w:p w14:paraId="62A2B5AC" w14:textId="3AE6A9A3" w:rsidR="00171052" w:rsidRPr="00867383" w:rsidRDefault="00171052" w:rsidP="00867383">
      <w:pPr>
        <w:pStyle w:val="Heading3"/>
      </w:pPr>
      <w:bookmarkStart w:id="16" w:name="_Toc198641372"/>
      <w:r w:rsidRPr="00867383">
        <w:lastRenderedPageBreak/>
        <w:t>Remote Vocational Training Scheme s19(2) Directions</w:t>
      </w:r>
      <w:bookmarkEnd w:id="16"/>
    </w:p>
    <w:p w14:paraId="3F95CDDF" w14:textId="073638F4" w:rsidR="004A19C2" w:rsidRPr="00867383" w:rsidRDefault="008D0C2B" w:rsidP="00867383">
      <w:r w:rsidRPr="00867383">
        <w:t xml:space="preserve">The </w:t>
      </w:r>
      <w:r w:rsidR="00CB5ECE" w:rsidRPr="00867383">
        <w:t xml:space="preserve">Remote Vocational Training Scheme (RVTS) s19(2) Direction </w:t>
      </w:r>
      <w:r w:rsidRPr="00867383">
        <w:t xml:space="preserve">states that professional services must be provided by a trainee employed in </w:t>
      </w:r>
      <w:r w:rsidR="00923103" w:rsidRPr="00867383">
        <w:t>an</w:t>
      </w:r>
      <w:r w:rsidRPr="00867383">
        <w:t xml:space="preserve"> RVTS </w:t>
      </w:r>
      <w:r w:rsidR="005C6860" w:rsidRPr="00867383">
        <w:t xml:space="preserve">Extended Targeted Recruitment Pilot </w:t>
      </w:r>
      <w:r w:rsidRPr="00867383">
        <w:t xml:space="preserve">training post. </w:t>
      </w:r>
      <w:r w:rsidR="00482FF9" w:rsidRPr="00867383">
        <w:t>This</w:t>
      </w:r>
      <w:r w:rsidRPr="00867383">
        <w:t xml:space="preserve"> employment requirement</w:t>
      </w:r>
      <w:r w:rsidR="00482FF9" w:rsidRPr="00867383">
        <w:t xml:space="preserve"> excludes</w:t>
      </w:r>
      <w:r w:rsidRPr="00867383">
        <w:t xml:space="preserve"> SEM registrars</w:t>
      </w:r>
      <w:r w:rsidR="007411B7" w:rsidRPr="00867383">
        <w:t xml:space="preserve"> as they will not be employed by the RVTS training post</w:t>
      </w:r>
      <w:r w:rsidR="00CB5ECE" w:rsidRPr="00867383">
        <w:t>.</w:t>
      </w:r>
      <w:r w:rsidR="004A19C2" w:rsidRPr="00867383">
        <w:t xml:space="preserve"> </w:t>
      </w:r>
    </w:p>
    <w:p w14:paraId="730D7DC6" w14:textId="059868A1" w:rsidR="00171052" w:rsidRPr="00867383" w:rsidRDefault="004A19C2" w:rsidP="00867383">
      <w:r w:rsidRPr="00867383">
        <w:t xml:space="preserve">If a practice is currently listed on the RVTS s19(2) Direction but would also like to participate in a SEM trial and be listed on a SEM s19(2) Direction, the Department will consider inclusion of the practice on a case-by-case basis. </w:t>
      </w:r>
    </w:p>
    <w:p w14:paraId="123EE953" w14:textId="77777777" w:rsidR="00865B85" w:rsidRDefault="00865B85" w:rsidP="00A4139E">
      <w:pPr>
        <w:pStyle w:val="Heading2"/>
      </w:pPr>
      <w:bookmarkStart w:id="17" w:name="_Toc198641373"/>
      <w:r>
        <w:t>s19(2) Direction Review</w:t>
      </w:r>
      <w:bookmarkEnd w:id="17"/>
    </w:p>
    <w:p w14:paraId="1289D2AC" w14:textId="01F8A6B2" w:rsidR="00865B85" w:rsidRPr="00867383" w:rsidRDefault="00865B85" w:rsidP="00867383">
      <w:r w:rsidRPr="00867383">
        <w:t xml:space="preserve">The locations listed in the SEM s19(2) Direction </w:t>
      </w:r>
      <w:r w:rsidR="00D61164" w:rsidRPr="00867383">
        <w:t xml:space="preserve">may </w:t>
      </w:r>
      <w:r w:rsidRPr="00867383">
        <w:t xml:space="preserve">be reviewed </w:t>
      </w:r>
      <w:r w:rsidR="00D61164" w:rsidRPr="00867383">
        <w:t>annually</w:t>
      </w:r>
      <w:r w:rsidRPr="00867383">
        <w:t xml:space="preserve"> to allow flexibility </w:t>
      </w:r>
      <w:r w:rsidR="00DF12D2" w:rsidRPr="00867383">
        <w:t>with placement sites</w:t>
      </w:r>
      <w:r w:rsidRPr="00867383">
        <w:t xml:space="preserve">. The Department will initiate the review process with participating jurisdictions at least 3 months prior to the end of the training year. </w:t>
      </w:r>
    </w:p>
    <w:p w14:paraId="58888A25" w14:textId="39B89B4D" w:rsidR="00553300" w:rsidRPr="00867383" w:rsidRDefault="00553300" w:rsidP="00867383">
      <w:r w:rsidRPr="00867383">
        <w:t xml:space="preserve">Please note the </w:t>
      </w:r>
      <w:r w:rsidR="00DF12D2" w:rsidRPr="00867383">
        <w:t xml:space="preserve">annual </w:t>
      </w:r>
      <w:r w:rsidRPr="00867383">
        <w:t xml:space="preserve">review process can occur at any time during the year, to provide flexibility and allow timeframes to better align with recruitment campaigns. The Department </w:t>
      </w:r>
      <w:r w:rsidR="00DE7E57" w:rsidRPr="00867383">
        <w:t xml:space="preserve">will </w:t>
      </w:r>
      <w:r w:rsidRPr="00867383">
        <w:t xml:space="preserve">initiate the process around September/October each year for any </w:t>
      </w:r>
      <w:r w:rsidR="00DF12D2" w:rsidRPr="00867383">
        <w:t xml:space="preserve">Directions </w:t>
      </w:r>
      <w:r w:rsidRPr="00867383">
        <w:t xml:space="preserve">that have not already been reviewed, however should </w:t>
      </w:r>
      <w:r w:rsidR="00DF12D2" w:rsidRPr="00867383">
        <w:t>jurisdictions</w:t>
      </w:r>
      <w:r w:rsidRPr="00867383">
        <w:t xml:space="preserve"> wish to conduct the review process earlier</w:t>
      </w:r>
      <w:r w:rsidR="00DE7E57" w:rsidRPr="00867383">
        <w:t xml:space="preserve"> in the year</w:t>
      </w:r>
      <w:r w:rsidRPr="00867383">
        <w:t>, please advise the Department well in advance to discuss timeframes.</w:t>
      </w:r>
    </w:p>
    <w:p w14:paraId="73203581" w14:textId="5A02A8E1" w:rsidR="00D4685C" w:rsidRPr="00D4685C" w:rsidRDefault="00812DE5" w:rsidP="00A4139E">
      <w:pPr>
        <w:pStyle w:val="Heading2"/>
      </w:pPr>
      <w:bookmarkStart w:id="18" w:name="_Toc198641374"/>
      <w:r>
        <w:t>Medicare billing</w:t>
      </w:r>
      <w:bookmarkEnd w:id="18"/>
    </w:p>
    <w:p w14:paraId="35B18163" w14:textId="55B05FCA" w:rsidR="00D4685C" w:rsidRPr="00867383" w:rsidRDefault="006246EB" w:rsidP="00867383">
      <w:r w:rsidRPr="00867383">
        <w:t xml:space="preserve">The SEM s19(2) Direction does not require participating practices and registrars to bulk bill. </w:t>
      </w:r>
      <w:r w:rsidR="00D4685C" w:rsidRPr="00867383">
        <w:t xml:space="preserve">As </w:t>
      </w:r>
      <w:r w:rsidR="00160475" w:rsidRPr="00867383">
        <w:t>with any other training placements</w:t>
      </w:r>
      <w:r w:rsidR="00D4685C" w:rsidRPr="00867383">
        <w:t xml:space="preserve">, billing practices of the participating registrar should align with the primary care practice protocols. </w:t>
      </w:r>
      <w:r w:rsidR="00F3618F" w:rsidRPr="00867383">
        <w:t xml:space="preserve">It is up to each jurisdiction </w:t>
      </w:r>
      <w:r w:rsidR="008348A6" w:rsidRPr="00867383">
        <w:t xml:space="preserve">and participating practice </w:t>
      </w:r>
      <w:r w:rsidR="00F3618F" w:rsidRPr="00867383">
        <w:t>to determine the business model which is best suited to their place-based needs.</w:t>
      </w:r>
    </w:p>
    <w:p w14:paraId="7BE56401" w14:textId="69BC8E66" w:rsidR="00D4685C" w:rsidRPr="00867383" w:rsidRDefault="00D4685C" w:rsidP="00867383">
      <w:pPr>
        <w:pStyle w:val="Heading1"/>
      </w:pPr>
      <w:bookmarkStart w:id="19" w:name="_Toc141259138"/>
      <w:bookmarkStart w:id="20" w:name="_Toc198641375"/>
      <w:bookmarkEnd w:id="8"/>
      <w:r>
        <w:t>Memorandum of Understanding</w:t>
      </w:r>
      <w:bookmarkEnd w:id="19"/>
      <w:bookmarkEnd w:id="20"/>
      <w:r w:rsidR="004B5113">
        <w:t xml:space="preserve"> </w:t>
      </w:r>
    </w:p>
    <w:p w14:paraId="2A3A87AF" w14:textId="5A1D256A" w:rsidR="00D4685C" w:rsidRPr="00867383" w:rsidRDefault="00D4685C" w:rsidP="00867383">
      <w:r w:rsidRPr="00867383">
        <w:t xml:space="preserve">Where a state or territory acts as the single employer, an MoU is negotiated between the Commonwealth and the </w:t>
      </w:r>
      <w:r w:rsidR="00AA5D23" w:rsidRPr="00867383">
        <w:t>jurisdiction</w:t>
      </w:r>
      <w:r w:rsidR="008B6E7C" w:rsidRPr="00867383">
        <w:t xml:space="preserve"> and/or</w:t>
      </w:r>
      <w:r w:rsidR="00AA5D23" w:rsidRPr="00867383">
        <w:t xml:space="preserve"> state health services</w:t>
      </w:r>
      <w:r w:rsidRPr="00867383">
        <w:t xml:space="preserve">. The MoU </w:t>
      </w:r>
      <w:r w:rsidR="006246EB" w:rsidRPr="00867383">
        <w:t>outlines</w:t>
      </w:r>
      <w:r w:rsidRPr="00867383">
        <w:t xml:space="preserve"> the roles</w:t>
      </w:r>
      <w:r w:rsidR="003F1DD0" w:rsidRPr="00867383">
        <w:t xml:space="preserve"> and</w:t>
      </w:r>
      <w:r w:rsidR="006246EB" w:rsidRPr="00867383">
        <w:t xml:space="preserve"> </w:t>
      </w:r>
      <w:r w:rsidRPr="00867383">
        <w:t xml:space="preserve">responsibilities of </w:t>
      </w:r>
      <w:r w:rsidR="006246EB" w:rsidRPr="00867383">
        <w:t>all involved</w:t>
      </w:r>
      <w:r w:rsidR="00263040" w:rsidRPr="00867383">
        <w:t xml:space="preserve"> parties</w:t>
      </w:r>
      <w:r w:rsidR="006246EB" w:rsidRPr="00867383">
        <w:t>.</w:t>
      </w:r>
      <w:r w:rsidRPr="00867383">
        <w:t xml:space="preserve"> </w:t>
      </w:r>
      <w:r w:rsidR="006246EB" w:rsidRPr="00867383">
        <w:t>It aims</w:t>
      </w:r>
      <w:r w:rsidRPr="00867383">
        <w:t xml:space="preserve"> to foster co-operation and facilitate operational arrangements. </w:t>
      </w:r>
      <w:r w:rsidR="003F1DD0" w:rsidRPr="00867383">
        <w:t xml:space="preserve">The </w:t>
      </w:r>
      <w:r w:rsidRPr="00867383">
        <w:t>MoU</w:t>
      </w:r>
      <w:r w:rsidR="003F1DD0" w:rsidRPr="00867383">
        <w:t xml:space="preserve"> will</w:t>
      </w:r>
      <w:r w:rsidRPr="00867383">
        <w:t xml:space="preserve"> also </w:t>
      </w:r>
      <w:r w:rsidR="00263040" w:rsidRPr="00867383">
        <w:t>specify</w:t>
      </w:r>
      <w:r w:rsidRPr="00867383">
        <w:t xml:space="preserve"> the </w:t>
      </w:r>
      <w:r w:rsidR="00263040" w:rsidRPr="00867383">
        <w:t>trial</w:t>
      </w:r>
      <w:r w:rsidRPr="00867383">
        <w:t xml:space="preserve"> parameters, such as </w:t>
      </w:r>
      <w:r w:rsidR="003F1DD0" w:rsidRPr="00867383">
        <w:t xml:space="preserve">the </w:t>
      </w:r>
      <w:r w:rsidRPr="00867383">
        <w:t xml:space="preserve">number of registrars permitted under </w:t>
      </w:r>
      <w:r w:rsidR="003F1DD0" w:rsidRPr="00867383">
        <w:t xml:space="preserve">a </w:t>
      </w:r>
      <w:r w:rsidRPr="00867383">
        <w:t>trial.</w:t>
      </w:r>
    </w:p>
    <w:p w14:paraId="2273FECC" w14:textId="5987BE14" w:rsidR="00D4685C" w:rsidRPr="00867383" w:rsidRDefault="00D4685C" w:rsidP="00867383">
      <w:bookmarkStart w:id="21" w:name="_Hlk139534260"/>
      <w:r w:rsidRPr="00867383">
        <w:t xml:space="preserve">The MoU requires the </w:t>
      </w:r>
      <w:r w:rsidR="00AA5D23" w:rsidRPr="00867383">
        <w:t>jurisdiction</w:t>
      </w:r>
      <w:r w:rsidRPr="00867383">
        <w:t xml:space="preserve"> and/or </w:t>
      </w:r>
      <w:r w:rsidR="00AA5D23" w:rsidRPr="00867383">
        <w:t>state health services</w:t>
      </w:r>
      <w:r w:rsidR="00651B17" w:rsidRPr="00867383">
        <w:t xml:space="preserve"> </w:t>
      </w:r>
      <w:r w:rsidRPr="00867383">
        <w:t xml:space="preserve">to participate in ongoing collaboration with the registrars, primary care practices, the </w:t>
      </w:r>
      <w:r w:rsidR="00A771C5" w:rsidRPr="00867383">
        <w:t>Department,</w:t>
      </w:r>
      <w:r w:rsidRPr="00867383">
        <w:t xml:space="preserve"> and other key stakeholders throughout the trial. The Department requires cooperation with </w:t>
      </w:r>
      <w:r w:rsidR="00647B6A" w:rsidRPr="00867383">
        <w:t xml:space="preserve">basic </w:t>
      </w:r>
      <w:r w:rsidRPr="00867383">
        <w:t>data and reporting requests</w:t>
      </w:r>
      <w:r w:rsidR="006D0E4E" w:rsidRPr="00867383">
        <w:t>,</w:t>
      </w:r>
      <w:r w:rsidRPr="00867383">
        <w:t xml:space="preserve"> and participation in the </w:t>
      </w:r>
      <w:r w:rsidR="00655F8F" w:rsidRPr="00867383">
        <w:t xml:space="preserve">national </w:t>
      </w:r>
      <w:r w:rsidRPr="00867383">
        <w:t xml:space="preserve">evaluation of </w:t>
      </w:r>
      <w:r w:rsidR="00E21CD8" w:rsidRPr="00867383">
        <w:t xml:space="preserve">the </w:t>
      </w:r>
      <w:r w:rsidRPr="00867383">
        <w:t xml:space="preserve">SEM trials. </w:t>
      </w:r>
    </w:p>
    <w:p w14:paraId="570290C1" w14:textId="1AC91855" w:rsidR="00D4685C" w:rsidRPr="00D4685C" w:rsidRDefault="00812DE5" w:rsidP="5834ECE7">
      <w:pPr>
        <w:pStyle w:val="Heading2"/>
      </w:pPr>
      <w:bookmarkStart w:id="22" w:name="_Toc141259139"/>
      <w:bookmarkStart w:id="23" w:name="_Toc198641376"/>
      <w:r>
        <w:t>N</w:t>
      </w:r>
      <w:r w:rsidR="00D4685C">
        <w:t>umber of participating registrars</w:t>
      </w:r>
      <w:bookmarkEnd w:id="22"/>
      <w:bookmarkEnd w:id="23"/>
    </w:p>
    <w:p w14:paraId="1878223E" w14:textId="5901FC1F" w:rsidR="00D4685C" w:rsidRPr="00867383" w:rsidRDefault="006D0E4E" w:rsidP="00867383">
      <w:r w:rsidRPr="00867383">
        <w:t>A</w:t>
      </w:r>
      <w:r w:rsidR="00D4685C" w:rsidRPr="00867383">
        <w:t xml:space="preserve"> maximum of 80 rural generalist and</w:t>
      </w:r>
      <w:r w:rsidR="008B6E7C" w:rsidRPr="00867383">
        <w:t>/or</w:t>
      </w:r>
      <w:r w:rsidR="00D4685C" w:rsidRPr="00867383">
        <w:t xml:space="preserve"> GP registrar</w:t>
      </w:r>
      <w:r w:rsidR="00655F8F" w:rsidRPr="00867383">
        <w:t>s</w:t>
      </w:r>
      <w:r w:rsidR="00D4685C" w:rsidRPr="00867383">
        <w:t xml:space="preserve"> </w:t>
      </w:r>
      <w:r w:rsidRPr="00867383">
        <w:t>per jurisdiction</w:t>
      </w:r>
      <w:r w:rsidR="00D4685C" w:rsidRPr="00867383">
        <w:t xml:space="preserve"> </w:t>
      </w:r>
      <w:r w:rsidRPr="00867383">
        <w:t xml:space="preserve">can </w:t>
      </w:r>
      <w:r w:rsidR="00655F8F" w:rsidRPr="00867383">
        <w:t xml:space="preserve">use </w:t>
      </w:r>
      <w:r w:rsidR="00647B6A" w:rsidRPr="00867383">
        <w:t>the SEM</w:t>
      </w:r>
      <w:r w:rsidR="00D4685C" w:rsidRPr="00867383">
        <w:t xml:space="preserve"> s19(2) Direction at any one time. Participants in placement settings utilising another </w:t>
      </w:r>
      <w:r w:rsidR="00D7140E" w:rsidRPr="00867383">
        <w:t xml:space="preserve">SEM </w:t>
      </w:r>
      <w:r w:rsidR="00D4685C" w:rsidRPr="00867383">
        <w:t>s19(2) Direction</w:t>
      </w:r>
      <w:r w:rsidR="000730F2" w:rsidRPr="00867383">
        <w:t xml:space="preserve"> (e.g. COAG or ACCHS s19(2) Direction)</w:t>
      </w:r>
      <w:r w:rsidR="00D4685C" w:rsidRPr="00867383">
        <w:t xml:space="preserve"> or which do not require an exemption</w:t>
      </w:r>
      <w:r w:rsidR="00263040" w:rsidRPr="00867383">
        <w:t xml:space="preserve"> (</w:t>
      </w:r>
      <w:r w:rsidR="000730F2" w:rsidRPr="00867383">
        <w:t>e.g.</w:t>
      </w:r>
      <w:r w:rsidR="00D4685C" w:rsidRPr="00867383">
        <w:t xml:space="preserve"> hospital placements</w:t>
      </w:r>
      <w:r w:rsidR="00263040" w:rsidRPr="00867383">
        <w:t>)</w:t>
      </w:r>
      <w:r w:rsidR="00D4685C" w:rsidRPr="00867383">
        <w:t xml:space="preserve">, </w:t>
      </w:r>
      <w:r w:rsidR="00263040" w:rsidRPr="00867383">
        <w:t>do</w:t>
      </w:r>
      <w:r w:rsidR="00D4685C" w:rsidRPr="00867383">
        <w:t xml:space="preserve"> not count towards the cap of 80 trainees. This </w:t>
      </w:r>
      <w:r w:rsidR="00E21CD8" w:rsidRPr="00867383">
        <w:t>allows</w:t>
      </w:r>
      <w:r w:rsidR="00D4685C" w:rsidRPr="00867383">
        <w:t xml:space="preserve"> flexibility for a broader network of placements </w:t>
      </w:r>
      <w:r w:rsidR="00647B6A" w:rsidRPr="00867383">
        <w:t>for registrars</w:t>
      </w:r>
      <w:r w:rsidR="00D4685C" w:rsidRPr="00867383">
        <w:t xml:space="preserve"> whil</w:t>
      </w:r>
      <w:r w:rsidR="00263040" w:rsidRPr="00867383">
        <w:t>e</w:t>
      </w:r>
      <w:r w:rsidR="00D4685C" w:rsidRPr="00867383">
        <w:t xml:space="preserve"> participating in a SEM trial.</w:t>
      </w:r>
    </w:p>
    <w:p w14:paraId="53C66E1A" w14:textId="164762A7" w:rsidR="00D4685C" w:rsidRPr="00867383" w:rsidRDefault="00D4685C" w:rsidP="00867383">
      <w:r w:rsidRPr="00867383">
        <w:lastRenderedPageBreak/>
        <w:t xml:space="preserve">Jurisdictions have discretion to determine the distribution of trainees across their SEM trial sites. </w:t>
      </w:r>
      <w:r w:rsidR="006D0E4E" w:rsidRPr="00867383">
        <w:t>J</w:t>
      </w:r>
      <w:r w:rsidRPr="00867383">
        <w:t xml:space="preserve">urisdictions are not obligated to meet </w:t>
      </w:r>
      <w:r w:rsidR="006D0E4E" w:rsidRPr="00867383">
        <w:t>the maximum limit</w:t>
      </w:r>
      <w:r w:rsidRPr="00867383">
        <w:t xml:space="preserve"> across their trials. </w:t>
      </w:r>
      <w:bookmarkEnd w:id="21"/>
    </w:p>
    <w:p w14:paraId="7E7AC384" w14:textId="77777777" w:rsidR="00D4685C" w:rsidRPr="00D4685C" w:rsidRDefault="00D4685C" w:rsidP="00A4139E">
      <w:pPr>
        <w:pStyle w:val="Heading2"/>
      </w:pPr>
      <w:bookmarkStart w:id="24" w:name="_Toc141259140"/>
      <w:bookmarkStart w:id="25" w:name="_Toc198641377"/>
      <w:r>
        <w:t>MoU arrangement</w:t>
      </w:r>
      <w:bookmarkEnd w:id="24"/>
      <w:bookmarkEnd w:id="25"/>
    </w:p>
    <w:p w14:paraId="436B30F0" w14:textId="21621DD0" w:rsidR="00E21CD8" w:rsidRPr="00867383" w:rsidRDefault="00D4685C" w:rsidP="00867383">
      <w:r w:rsidRPr="00867383">
        <w:t xml:space="preserve">The MoU </w:t>
      </w:r>
      <w:r w:rsidR="00E21CD8" w:rsidRPr="00867383">
        <w:t>may be</w:t>
      </w:r>
      <w:r w:rsidR="008B6E7C" w:rsidRPr="00867383">
        <w:t xml:space="preserve"> </w:t>
      </w:r>
      <w:r w:rsidRPr="00867383">
        <w:t xml:space="preserve">a tri-partite arrangement, involving the Commonwealth, the </w:t>
      </w:r>
      <w:r w:rsidR="00A771C5" w:rsidRPr="00867383">
        <w:t>jurisdiction,</w:t>
      </w:r>
      <w:r w:rsidRPr="00867383">
        <w:t xml:space="preserve"> and the </w:t>
      </w:r>
      <w:r w:rsidR="00AA5D23" w:rsidRPr="00867383">
        <w:t>state health service</w:t>
      </w:r>
      <w:r w:rsidR="006A323B" w:rsidRPr="00867383">
        <w:t>/</w:t>
      </w:r>
      <w:r w:rsidR="00AA5D23" w:rsidRPr="00867383">
        <w:t>s</w:t>
      </w:r>
      <w:r w:rsidR="00E21CD8" w:rsidRPr="00867383">
        <w:t>, or a bilateral agreement between the Commonwealth and the jurisdiction only</w:t>
      </w:r>
      <w:r w:rsidRPr="00867383">
        <w:t xml:space="preserve">. </w:t>
      </w:r>
      <w:r w:rsidR="00E21CD8" w:rsidRPr="00867383">
        <w:t>If a jurisdiction chooses to not have the relevant state health services as parties to the MoU, the state government will assume responsibility for ensuring that the state health services are aware of and executing their responsibilities.</w:t>
      </w:r>
    </w:p>
    <w:p w14:paraId="46ABAA9F" w14:textId="5C166E4E" w:rsidR="00D4685C" w:rsidRPr="00867383" w:rsidRDefault="00655F8F" w:rsidP="00867383">
      <w:r w:rsidRPr="00867383">
        <w:t>J</w:t>
      </w:r>
      <w:r w:rsidR="00647B6A" w:rsidRPr="00867383">
        <w:t xml:space="preserve">urisdictions </w:t>
      </w:r>
      <w:r w:rsidR="006B1969" w:rsidRPr="00867383">
        <w:t>can advise</w:t>
      </w:r>
      <w:r w:rsidR="00E21CD8" w:rsidRPr="00867383">
        <w:t xml:space="preserve"> </w:t>
      </w:r>
      <w:r w:rsidR="00D4685C" w:rsidRPr="00867383">
        <w:t xml:space="preserve">whether </w:t>
      </w:r>
      <w:r w:rsidR="00D34613" w:rsidRPr="00867383">
        <w:t xml:space="preserve">they prefer </w:t>
      </w:r>
      <w:r w:rsidRPr="00867383">
        <w:t xml:space="preserve">one </w:t>
      </w:r>
      <w:r w:rsidR="00D4685C" w:rsidRPr="00867383">
        <w:t xml:space="preserve">MoU </w:t>
      </w:r>
      <w:r w:rsidR="00D34613" w:rsidRPr="00867383">
        <w:t xml:space="preserve">to </w:t>
      </w:r>
      <w:r w:rsidRPr="00867383">
        <w:t>cover</w:t>
      </w:r>
      <w:r w:rsidR="00D4685C" w:rsidRPr="00867383">
        <w:t xml:space="preserve"> </w:t>
      </w:r>
      <w:r w:rsidR="00647B6A" w:rsidRPr="00867383">
        <w:t>all trials within the</w:t>
      </w:r>
      <w:r w:rsidR="00D4685C" w:rsidRPr="00867383">
        <w:t xml:space="preserve"> </w:t>
      </w:r>
      <w:r w:rsidR="00AA5D23" w:rsidRPr="00867383">
        <w:t>jurisdiction</w:t>
      </w:r>
      <w:r w:rsidR="00D4685C" w:rsidRPr="00867383">
        <w:t>, or</w:t>
      </w:r>
      <w:r w:rsidR="00F267AA" w:rsidRPr="00867383">
        <w:t xml:space="preserve"> </w:t>
      </w:r>
      <w:r w:rsidR="00D4685C" w:rsidRPr="00867383">
        <w:t xml:space="preserve">separate </w:t>
      </w:r>
      <w:proofErr w:type="spellStart"/>
      <w:r w:rsidR="00D4685C" w:rsidRPr="00867383">
        <w:t>MoU</w:t>
      </w:r>
      <w:r w:rsidRPr="00867383">
        <w:t>s</w:t>
      </w:r>
      <w:proofErr w:type="spellEnd"/>
      <w:r w:rsidR="00D4685C" w:rsidRPr="00867383">
        <w:t xml:space="preserve"> </w:t>
      </w:r>
      <w:r w:rsidRPr="00867383">
        <w:t xml:space="preserve">are </w:t>
      </w:r>
      <w:r w:rsidR="00D4685C" w:rsidRPr="00867383">
        <w:t xml:space="preserve">required </w:t>
      </w:r>
      <w:r w:rsidRPr="00867383">
        <w:t xml:space="preserve">for each </w:t>
      </w:r>
      <w:r w:rsidR="00D4685C" w:rsidRPr="00867383">
        <w:t xml:space="preserve">trial. </w:t>
      </w:r>
    </w:p>
    <w:p w14:paraId="7CCAC07D" w14:textId="3C5F4177" w:rsidR="00F515D5" w:rsidRPr="00867383" w:rsidRDefault="00263040" w:rsidP="00867383">
      <w:r w:rsidRPr="00867383">
        <w:t>All parties will negotiate and agree on a</w:t>
      </w:r>
      <w:r w:rsidR="00F515D5" w:rsidRPr="00867383">
        <w:t>ny changes required to the MoU during the trial.</w:t>
      </w:r>
    </w:p>
    <w:p w14:paraId="42BD5F6B" w14:textId="77777777" w:rsidR="00D4685C" w:rsidRPr="00D4685C" w:rsidRDefault="00D4685C" w:rsidP="00A4139E">
      <w:pPr>
        <w:pStyle w:val="Heading2"/>
      </w:pPr>
      <w:bookmarkStart w:id="26" w:name="_Toc141259141"/>
      <w:bookmarkStart w:id="27" w:name="_Toc198641378"/>
      <w:r>
        <w:t>Eligibility criteria for registrars</w:t>
      </w:r>
      <w:bookmarkEnd w:id="26"/>
      <w:bookmarkEnd w:id="27"/>
      <w:r>
        <w:t xml:space="preserve"> </w:t>
      </w:r>
    </w:p>
    <w:p w14:paraId="7602548C" w14:textId="3EBAC3BC" w:rsidR="00D4685C" w:rsidRPr="00867383" w:rsidRDefault="00D4685C" w:rsidP="00867383">
      <w:r w:rsidRPr="00867383">
        <w:t xml:space="preserve">Any GP registrar who is formally </w:t>
      </w:r>
      <w:r w:rsidR="005A2835" w:rsidRPr="00867383">
        <w:t xml:space="preserve">enrolled in a fellowship training program that meets the training standards of either </w:t>
      </w:r>
      <w:r w:rsidR="00A771C5" w:rsidRPr="00867383">
        <w:t>the</w:t>
      </w:r>
      <w:r w:rsidR="00A771C5" w:rsidRPr="00867383" w:rsidDel="005A2835">
        <w:t>:</w:t>
      </w:r>
    </w:p>
    <w:p w14:paraId="52728667" w14:textId="2419B34F" w:rsidR="00D4685C" w:rsidRPr="00D4685C" w:rsidRDefault="00D4685C" w:rsidP="00867383">
      <w:pPr>
        <w:pStyle w:val="ListBullet"/>
      </w:pPr>
      <w:r w:rsidRPr="00D4685C">
        <w:t>The Australian College of Rural and Remote Medicine</w:t>
      </w:r>
      <w:r w:rsidR="00C90C72">
        <w:t xml:space="preserve"> (ACRRM)</w:t>
      </w:r>
      <w:r w:rsidRPr="00D4685C">
        <w:t>;</w:t>
      </w:r>
      <w:r w:rsidR="005A2835">
        <w:t xml:space="preserve"> and/or</w:t>
      </w:r>
    </w:p>
    <w:p w14:paraId="77CC3D32" w14:textId="36135EAE" w:rsidR="00D4685C" w:rsidRPr="00D4685C" w:rsidRDefault="00D4685C" w:rsidP="00867383">
      <w:pPr>
        <w:pStyle w:val="ListBullet"/>
      </w:pPr>
      <w:r w:rsidRPr="00D4685C">
        <w:t xml:space="preserve">The Royal Australian College of General Practitioners </w:t>
      </w:r>
      <w:r w:rsidR="00C90C72">
        <w:t>(RACGP)</w:t>
      </w:r>
      <w:r w:rsidRPr="00D4685C">
        <w:t>.</w:t>
      </w:r>
    </w:p>
    <w:p w14:paraId="7E89E293" w14:textId="4D0C5690" w:rsidR="00335259" w:rsidRPr="00867383" w:rsidRDefault="00D4685C" w:rsidP="00867383">
      <w:r w:rsidRPr="00867383">
        <w:t xml:space="preserve">SEM trials are not limited to </w:t>
      </w:r>
      <w:r w:rsidR="00655F8F" w:rsidRPr="00867383">
        <w:t>r</w:t>
      </w:r>
      <w:r w:rsidRPr="00867383">
        <w:t xml:space="preserve">ural </w:t>
      </w:r>
      <w:r w:rsidR="00655F8F" w:rsidRPr="00867383">
        <w:t>g</w:t>
      </w:r>
      <w:r w:rsidRPr="00867383">
        <w:t>eneralist registrars</w:t>
      </w:r>
      <w:r w:rsidR="00E21CD8" w:rsidRPr="00867383">
        <w:t>, though individual trials may apply different eligibility for participating registrars</w:t>
      </w:r>
      <w:r w:rsidRPr="00867383">
        <w:t>.</w:t>
      </w:r>
      <w:r w:rsidR="00355D51" w:rsidRPr="00867383">
        <w:t xml:space="preserve"> GP Fellows and other healthcare professionals are not in scope for SEM trials.</w:t>
      </w:r>
    </w:p>
    <w:p w14:paraId="582CACE4" w14:textId="77777777" w:rsidR="00D4685C" w:rsidRPr="00D4685C" w:rsidRDefault="00D4685C" w:rsidP="00A4139E">
      <w:pPr>
        <w:pStyle w:val="Heading2"/>
      </w:pPr>
      <w:bookmarkStart w:id="28" w:name="_Toc141259142"/>
      <w:bookmarkStart w:id="29" w:name="_Toc198641379"/>
      <w:r>
        <w:t>Trial duration</w:t>
      </w:r>
      <w:bookmarkEnd w:id="28"/>
      <w:bookmarkEnd w:id="29"/>
      <w:r>
        <w:t xml:space="preserve"> </w:t>
      </w:r>
    </w:p>
    <w:p w14:paraId="1F9DC858" w14:textId="2C0AA0D5" w:rsidR="00B62F1A" w:rsidRPr="00867383" w:rsidRDefault="002B0238" w:rsidP="00867383">
      <w:r w:rsidRPr="00867383">
        <w:t>SEM t</w:t>
      </w:r>
      <w:r w:rsidR="00BB7309" w:rsidRPr="00867383">
        <w:t>rials are time-limited</w:t>
      </w:r>
      <w:r w:rsidR="00EF1C59" w:rsidRPr="00867383">
        <w:t xml:space="preserve"> </w:t>
      </w:r>
      <w:r w:rsidR="00AA5D23" w:rsidRPr="00867383">
        <w:t>until 31 December 2028</w:t>
      </w:r>
      <w:r w:rsidR="00BB7309" w:rsidRPr="00867383">
        <w:t xml:space="preserve">. </w:t>
      </w:r>
    </w:p>
    <w:p w14:paraId="1FE0D896" w14:textId="69A81368" w:rsidR="007D6F25" w:rsidRPr="00867383" w:rsidRDefault="00B62F1A" w:rsidP="00867383">
      <w:r w:rsidRPr="00867383">
        <w:t>The Department is supporting a comprehensive national</w:t>
      </w:r>
      <w:r w:rsidR="004F2DDF" w:rsidRPr="00867383">
        <w:t xml:space="preserve"> evaluation </w:t>
      </w:r>
      <w:r w:rsidR="00124602" w:rsidRPr="00867383">
        <w:t>of all the SEM trials</w:t>
      </w:r>
      <w:r w:rsidR="00655F8F" w:rsidRPr="00867383">
        <w:t xml:space="preserve">. </w:t>
      </w:r>
      <w:r w:rsidR="00D4685C" w:rsidRPr="00867383">
        <w:t xml:space="preserve">The Final Report for the evaluation is expected to be delivered </w:t>
      </w:r>
      <w:r w:rsidR="00070929" w:rsidRPr="00867383">
        <w:t xml:space="preserve">by </w:t>
      </w:r>
      <w:r w:rsidR="00D4685C" w:rsidRPr="00867383">
        <w:t xml:space="preserve">2028. </w:t>
      </w:r>
      <w:r w:rsidR="007D6F25" w:rsidRPr="00867383">
        <w:t>The evaluation findings will help inform Government decision making on</w:t>
      </w:r>
      <w:r w:rsidR="00D4685C" w:rsidRPr="00867383">
        <w:t xml:space="preserve"> the continuation of the SEM trials. </w:t>
      </w:r>
    </w:p>
    <w:p w14:paraId="01A25D9F" w14:textId="57C76A2C" w:rsidR="00D4685C" w:rsidRPr="00867383" w:rsidRDefault="00C9769C" w:rsidP="00867383">
      <w:r w:rsidRPr="00867383">
        <w:t>The MoU also includes p</w:t>
      </w:r>
      <w:r w:rsidR="00647B6A" w:rsidRPr="00867383">
        <w:t>rocedures for e</w:t>
      </w:r>
      <w:r w:rsidR="00D4685C" w:rsidRPr="00867383">
        <w:t xml:space="preserve">arly </w:t>
      </w:r>
      <w:r w:rsidRPr="00867383">
        <w:t xml:space="preserve">trial </w:t>
      </w:r>
      <w:r w:rsidR="00D4685C" w:rsidRPr="00867383">
        <w:t>termination.</w:t>
      </w:r>
    </w:p>
    <w:p w14:paraId="2F728D67" w14:textId="25EFFC3A" w:rsidR="00FE276D" w:rsidRDefault="00FE276D" w:rsidP="00867383">
      <w:pPr>
        <w:pStyle w:val="Heading1"/>
      </w:pPr>
      <w:bookmarkStart w:id="30" w:name="_Toc198641380"/>
      <w:r>
        <w:t>Roles and Responsibilities</w:t>
      </w:r>
      <w:bookmarkEnd w:id="30"/>
      <w:r>
        <w:t xml:space="preserve"> </w:t>
      </w:r>
    </w:p>
    <w:p w14:paraId="02ABFE43" w14:textId="03109472" w:rsidR="00FE276D" w:rsidRDefault="00FE276D" w:rsidP="5834ECE7">
      <w:pPr>
        <w:pStyle w:val="Heading2"/>
      </w:pPr>
      <w:bookmarkStart w:id="31" w:name="_Toc198641381"/>
      <w:r>
        <w:t>Commonwealth</w:t>
      </w:r>
      <w:bookmarkEnd w:id="31"/>
    </w:p>
    <w:p w14:paraId="2E1B8061" w14:textId="7B8064AF" w:rsidR="00CF7495" w:rsidRPr="00867383" w:rsidRDefault="00CF7495" w:rsidP="00867383">
      <w:r w:rsidRPr="00867383">
        <w:t>The Commonwealth is responsible for leading MoU negotiations and establishment, issuing s19(2) Directions to support trials, and overseeing the SEM evaluation.</w:t>
      </w:r>
    </w:p>
    <w:p w14:paraId="67BB0F91" w14:textId="2B4C3F2D" w:rsidR="005F0216" w:rsidRPr="00867383" w:rsidRDefault="005F0216" w:rsidP="00867383">
      <w:pPr>
        <w:pStyle w:val="Heading3"/>
      </w:pPr>
      <w:bookmarkStart w:id="32" w:name="_Toc198641382"/>
      <w:r w:rsidRPr="00867383">
        <w:t>SEM s19(2) exemption and MoU</w:t>
      </w:r>
      <w:r w:rsidR="00CF7495" w:rsidRPr="00867383">
        <w:t xml:space="preserve"> tim</w:t>
      </w:r>
      <w:r w:rsidR="00FE2747" w:rsidRPr="00867383">
        <w:t>e</w:t>
      </w:r>
      <w:r w:rsidR="00CF7495" w:rsidRPr="00867383">
        <w:t>frames</w:t>
      </w:r>
      <w:bookmarkEnd w:id="32"/>
    </w:p>
    <w:p w14:paraId="0E512796" w14:textId="02C14382" w:rsidR="005F0216" w:rsidRPr="00867383" w:rsidRDefault="005F0216" w:rsidP="00867383">
      <w:r w:rsidRPr="00867383">
        <w:t xml:space="preserve">The process of establishing an MoU and issuing a SEM s19(2) Direction </w:t>
      </w:r>
      <w:r w:rsidR="006410C7" w:rsidRPr="00867383">
        <w:t>requires</w:t>
      </w:r>
      <w:r w:rsidRPr="00867383">
        <w:t xml:space="preserve"> a minimum of 3 months</w:t>
      </w:r>
      <w:r w:rsidR="00A06AAE" w:rsidRPr="00867383">
        <w:t xml:space="preserve">. However, </w:t>
      </w:r>
      <w:r w:rsidRPr="00867383">
        <w:t>negotiation of the MoU</w:t>
      </w:r>
      <w:r w:rsidR="006410C7" w:rsidRPr="00867383">
        <w:t xml:space="preserve"> may influence the overall timeframes</w:t>
      </w:r>
      <w:r w:rsidRPr="00867383">
        <w:t>. Trials can commence once an MoU has been established and a SEM s19(2) Direction has been issued.</w:t>
      </w:r>
    </w:p>
    <w:p w14:paraId="5A686D46" w14:textId="4623CFF8" w:rsidR="005F0216" w:rsidRPr="00867383" w:rsidRDefault="00655F8F" w:rsidP="00867383">
      <w:r w:rsidRPr="00867383">
        <w:t>A</w:t>
      </w:r>
      <w:r w:rsidR="005F0216" w:rsidRPr="00867383">
        <w:t xml:space="preserve">ny amendments </w:t>
      </w:r>
      <w:r w:rsidR="005011DD" w:rsidRPr="00867383">
        <w:t xml:space="preserve">to </w:t>
      </w:r>
      <w:r w:rsidR="005F0216" w:rsidRPr="00867383">
        <w:t>the SEM s19(2) Direction during the trial period (i</w:t>
      </w:r>
      <w:r w:rsidR="00CF7495" w:rsidRPr="00867383">
        <w:t>.</w:t>
      </w:r>
      <w:r w:rsidR="005F0216" w:rsidRPr="00867383">
        <w:t xml:space="preserve">e. annual review), </w:t>
      </w:r>
      <w:r w:rsidRPr="00867383">
        <w:t xml:space="preserve">must be communicated to </w:t>
      </w:r>
      <w:r w:rsidR="005F0216" w:rsidRPr="00867383">
        <w:t xml:space="preserve">the Department with sufficient </w:t>
      </w:r>
      <w:r w:rsidR="006410C7" w:rsidRPr="00867383">
        <w:t xml:space="preserve">processing </w:t>
      </w:r>
      <w:r w:rsidR="005F0216" w:rsidRPr="00867383">
        <w:t>time</w:t>
      </w:r>
      <w:r w:rsidR="006410C7" w:rsidRPr="00867383">
        <w:t xml:space="preserve"> to ensure </w:t>
      </w:r>
      <w:r w:rsidR="00C9769C" w:rsidRPr="00867383">
        <w:t>its</w:t>
      </w:r>
      <w:r w:rsidR="006410C7" w:rsidRPr="00867383">
        <w:t xml:space="preserve"> </w:t>
      </w:r>
      <w:r w:rsidR="005F0216" w:rsidRPr="00867383">
        <w:t>effect ahead of the training term.</w:t>
      </w:r>
    </w:p>
    <w:p w14:paraId="5738217D" w14:textId="4E6251BE" w:rsidR="00FE276D" w:rsidRPr="00867383" w:rsidRDefault="00FE276D" w:rsidP="00867383">
      <w:pPr>
        <w:pStyle w:val="Heading3"/>
      </w:pPr>
      <w:bookmarkStart w:id="33" w:name="_Toc198641383"/>
      <w:r w:rsidRPr="00867383">
        <w:lastRenderedPageBreak/>
        <w:t>Funding</w:t>
      </w:r>
      <w:bookmarkEnd w:id="33"/>
    </w:p>
    <w:p w14:paraId="26358D4F" w14:textId="2201EF83" w:rsidR="006821BD" w:rsidRPr="00867383" w:rsidRDefault="006821BD" w:rsidP="00867383">
      <w:r w:rsidRPr="00867383">
        <w:t xml:space="preserve">The Commonwealth contributes significant funds to GP training through existing programs, such as the Australian General Practice Training (AGPT) Program, Rural Generalist Training Scheme and Remote Vocational Training Scheme, providing National Consistent Payments to supervisors and practices, </w:t>
      </w:r>
      <w:r w:rsidR="00B329DA" w:rsidRPr="00867383">
        <w:t xml:space="preserve">as well as </w:t>
      </w:r>
      <w:r w:rsidR="008A1726" w:rsidRPr="00867383">
        <w:t xml:space="preserve">the </w:t>
      </w:r>
      <w:r w:rsidR="00B329DA" w:rsidRPr="00867383">
        <w:t xml:space="preserve">programs listed in </w:t>
      </w:r>
      <w:r w:rsidR="00953C9B" w:rsidRPr="00867383">
        <w:t>section 5</w:t>
      </w:r>
      <w:r w:rsidR="008A1726" w:rsidRPr="00867383">
        <w:t xml:space="preserve"> below</w:t>
      </w:r>
      <w:r w:rsidRPr="00867383">
        <w:t xml:space="preserve">. All Commonwealth funding supports available to GP registrars are applicable to registrars participating in a SEM trial, depending on their pathway and training circumstances. </w:t>
      </w:r>
    </w:p>
    <w:p w14:paraId="6F7AD874" w14:textId="7B390A8F" w:rsidR="006821BD" w:rsidRPr="00867383" w:rsidRDefault="006821BD" w:rsidP="00867383">
      <w:r w:rsidRPr="00867383">
        <w:t xml:space="preserve">The Commonwealth also provides </w:t>
      </w:r>
      <w:r w:rsidR="00655F8F" w:rsidRPr="00867383">
        <w:t xml:space="preserve">Medicare funding to the trials through </w:t>
      </w:r>
      <w:r w:rsidRPr="00867383">
        <w:t>the SEM s19(2) Direction</w:t>
      </w:r>
      <w:r w:rsidR="00655F8F" w:rsidRPr="00867383">
        <w:t>s.</w:t>
      </w:r>
      <w:r w:rsidRPr="00867383">
        <w:t xml:space="preserve"> </w:t>
      </w:r>
    </w:p>
    <w:p w14:paraId="56CEC24A" w14:textId="69D178A2" w:rsidR="006821BD" w:rsidRPr="00867383" w:rsidRDefault="006821BD" w:rsidP="00867383">
      <w:r w:rsidRPr="00867383">
        <w:t>Where a jurisdiction wishes to access other Commonwealth funding to support their trials, this activity must be within the scope and the terms of any existing agreement</w:t>
      </w:r>
      <w:r w:rsidR="005011DD" w:rsidRPr="00867383">
        <w:t xml:space="preserve"> or grant opportunity guidelines</w:t>
      </w:r>
      <w:r w:rsidRPr="00867383">
        <w:t>.</w:t>
      </w:r>
    </w:p>
    <w:p w14:paraId="2CE6D2F8" w14:textId="096F9FEB" w:rsidR="006821BD" w:rsidRPr="00867383" w:rsidRDefault="006821BD" w:rsidP="00867383">
      <w:pPr>
        <w:pStyle w:val="Heading3"/>
      </w:pPr>
      <w:bookmarkStart w:id="34" w:name="_Toc198641384"/>
      <w:r w:rsidRPr="00867383">
        <w:t>Evaluation</w:t>
      </w:r>
      <w:bookmarkEnd w:id="34"/>
    </w:p>
    <w:p w14:paraId="1A56ADD9" w14:textId="6BD19668" w:rsidR="006821BD" w:rsidRPr="00867383" w:rsidRDefault="006821BD" w:rsidP="00867383">
      <w:r w:rsidRPr="00867383">
        <w:t>A comprehensive evaluation will assess if the SEM trials are achieving the desired outcomes</w:t>
      </w:r>
      <w:r w:rsidR="003950A2" w:rsidRPr="00867383">
        <w:t xml:space="preserve"> for participants, health services and communities</w:t>
      </w:r>
      <w:r w:rsidRPr="00867383">
        <w:t xml:space="preserve">. The national evaluation will take place from </w:t>
      </w:r>
      <w:r w:rsidR="00E649AD" w:rsidRPr="00867383">
        <w:t>mid-</w:t>
      </w:r>
      <w:r w:rsidRPr="00867383">
        <w:t>2024.</w:t>
      </w:r>
      <w:r w:rsidR="00FA5799">
        <w:t xml:space="preserve"> </w:t>
      </w:r>
      <w:r w:rsidR="00FA5799" w:rsidRPr="00867383">
        <w:t>Early feedback on the trials will be collated and brought back for ongoing Government consideration over the course of the evaluation.</w:t>
      </w:r>
    </w:p>
    <w:p w14:paraId="483E9B75" w14:textId="75802ED1" w:rsidR="007032D8" w:rsidRPr="00867383" w:rsidRDefault="007032D8" w:rsidP="00867383">
      <w:r w:rsidRPr="00867383">
        <w:t xml:space="preserve">Please see Attachment </w:t>
      </w:r>
      <w:r w:rsidR="0086235D" w:rsidRPr="00867383">
        <w:t>A</w:t>
      </w:r>
      <w:r w:rsidRPr="00867383">
        <w:t xml:space="preserve"> for key success factors that has been identified from the early findings of the trials. </w:t>
      </w:r>
    </w:p>
    <w:p w14:paraId="0F6A202B" w14:textId="24E549C4" w:rsidR="00FE276D" w:rsidRDefault="00FE276D" w:rsidP="00A4139E">
      <w:pPr>
        <w:pStyle w:val="Heading2"/>
      </w:pPr>
      <w:bookmarkStart w:id="35" w:name="_Toc198641385"/>
      <w:r>
        <w:t>State Government/</w:t>
      </w:r>
      <w:r w:rsidR="007D53BA">
        <w:t>State health service</w:t>
      </w:r>
      <w:bookmarkEnd w:id="35"/>
    </w:p>
    <w:p w14:paraId="5C035E93" w14:textId="58996EEC" w:rsidR="00FE2747" w:rsidRPr="00867383" w:rsidRDefault="00FE2747" w:rsidP="00867383">
      <w:r w:rsidRPr="00867383">
        <w:t xml:space="preserve">The </w:t>
      </w:r>
      <w:r w:rsidR="00AA5D23" w:rsidRPr="00867383">
        <w:t>s</w:t>
      </w:r>
      <w:r w:rsidRPr="00867383">
        <w:t>tate Government/</w:t>
      </w:r>
      <w:r w:rsidR="00AA5D23" w:rsidRPr="00867383">
        <w:t xml:space="preserve">state health service </w:t>
      </w:r>
      <w:r w:rsidRPr="00867383">
        <w:t>is responsible for developing the model for their trials, including identifying and working with participating locations</w:t>
      </w:r>
      <w:r w:rsidR="00310E76" w:rsidRPr="00867383">
        <w:t>, employment of registrars</w:t>
      </w:r>
      <w:r w:rsidRPr="00867383">
        <w:t xml:space="preserve">, and management of the trials once operating. </w:t>
      </w:r>
      <w:r w:rsidR="00420E29" w:rsidRPr="00867383">
        <w:t>The MoU outlines m</w:t>
      </w:r>
      <w:r w:rsidRPr="00867383">
        <w:t xml:space="preserve">ore specific roles and responsibilities, </w:t>
      </w:r>
      <w:r w:rsidR="00420E29" w:rsidRPr="00867383">
        <w:t>including</w:t>
      </w:r>
      <w:r w:rsidRPr="00867383">
        <w:t xml:space="preserve"> basic data reporting and participating in the SEM evaluation.</w:t>
      </w:r>
    </w:p>
    <w:p w14:paraId="36F94E2D" w14:textId="6EA695DB" w:rsidR="00E250E7" w:rsidRPr="00867383" w:rsidRDefault="00231BF5" w:rsidP="00867383">
      <w:r w:rsidRPr="00867383">
        <w:t>C</w:t>
      </w:r>
      <w:r w:rsidR="00E250E7" w:rsidRPr="00867383">
        <w:t>ollaborative relationship</w:t>
      </w:r>
      <w:r w:rsidRPr="00867383">
        <w:t>s</w:t>
      </w:r>
      <w:r w:rsidR="00E250E7" w:rsidRPr="00867383">
        <w:t xml:space="preserve"> between the </w:t>
      </w:r>
      <w:r w:rsidR="007D53BA" w:rsidRPr="00867383">
        <w:t xml:space="preserve">state health services </w:t>
      </w:r>
      <w:r w:rsidR="00E250E7" w:rsidRPr="00867383">
        <w:t xml:space="preserve">and the </w:t>
      </w:r>
      <w:r w:rsidR="008B53A0" w:rsidRPr="00867383">
        <w:t xml:space="preserve">participating </w:t>
      </w:r>
      <w:r w:rsidR="00E250E7" w:rsidRPr="00867383">
        <w:t xml:space="preserve">registrars and practices </w:t>
      </w:r>
      <w:r w:rsidRPr="00867383">
        <w:t>are</w:t>
      </w:r>
      <w:r w:rsidR="00E250E7" w:rsidRPr="00867383">
        <w:t xml:space="preserve"> essential as a foundation to the trials. </w:t>
      </w:r>
    </w:p>
    <w:p w14:paraId="7560CF5C" w14:textId="7C18BC79" w:rsidR="00FE276D" w:rsidRPr="00867383" w:rsidRDefault="006821BD" w:rsidP="00867383">
      <w:pPr>
        <w:pStyle w:val="Heading3"/>
      </w:pPr>
      <w:bookmarkStart w:id="36" w:name="_Toc198641386"/>
      <w:r w:rsidRPr="00867383">
        <w:t>Funding</w:t>
      </w:r>
      <w:bookmarkEnd w:id="36"/>
    </w:p>
    <w:p w14:paraId="117D856A" w14:textId="272AD9FB" w:rsidR="006821BD" w:rsidRPr="00867383" w:rsidRDefault="00A16BC8" w:rsidP="00867383">
      <w:r w:rsidRPr="00867383">
        <w:t>J</w:t>
      </w:r>
      <w:r w:rsidR="006821BD" w:rsidRPr="00867383">
        <w:t>urisdiction</w:t>
      </w:r>
      <w:r w:rsidRPr="00867383">
        <w:t>s</w:t>
      </w:r>
      <w:r w:rsidR="00DC2787" w:rsidRPr="00867383">
        <w:t xml:space="preserve"> will determine</w:t>
      </w:r>
      <w:r w:rsidR="006821BD" w:rsidRPr="00867383">
        <w:t xml:space="preserve"> how they would like to fund their SEM trials. Costs will be determined by local factors, such as administrative arrangements, registrar salaries and entitlements, and agreements </w:t>
      </w:r>
      <w:r w:rsidR="00420E29" w:rsidRPr="00867383">
        <w:t>with</w:t>
      </w:r>
      <w:r w:rsidR="006821BD" w:rsidRPr="00867383">
        <w:t xml:space="preserve"> the participating practices. The claiming of Medicare billing under the SEM s19(2) Direction will </w:t>
      </w:r>
      <w:r w:rsidR="00E94765" w:rsidRPr="00867383">
        <w:t>contribute to</w:t>
      </w:r>
      <w:r w:rsidR="006821BD" w:rsidRPr="00867383">
        <w:t xml:space="preserve"> the costs incurred by the</w:t>
      </w:r>
      <w:r w:rsidR="00AA5D23" w:rsidRPr="00867383">
        <w:t xml:space="preserve"> state health services</w:t>
      </w:r>
      <w:r w:rsidR="006821BD" w:rsidRPr="00867383">
        <w:t>.</w:t>
      </w:r>
    </w:p>
    <w:p w14:paraId="1773DB13" w14:textId="3ECD4E91" w:rsidR="006821BD" w:rsidRPr="00867383" w:rsidRDefault="006821BD" w:rsidP="00867383">
      <w:r w:rsidRPr="00867383">
        <w:t xml:space="preserve">Training supports provided under GP training programs, such as the AGPT, apply equally to SEM-participating registrars on these programs. </w:t>
      </w:r>
      <w:r w:rsidR="006A323B" w:rsidRPr="00867383">
        <w:t>Jurisdictions are encouraged to</w:t>
      </w:r>
      <w:r w:rsidR="007D53BA" w:rsidRPr="00867383">
        <w:t xml:space="preserve"> </w:t>
      </w:r>
      <w:r w:rsidRPr="00867383">
        <w:t>liaise with the</w:t>
      </w:r>
      <w:r w:rsidR="006A323B" w:rsidRPr="00867383">
        <w:t xml:space="preserve"> GP</w:t>
      </w:r>
      <w:r w:rsidRPr="00867383">
        <w:t xml:space="preserve"> Colleges to leverage any existing supports (housing in remote communities, etc.). </w:t>
      </w:r>
    </w:p>
    <w:p w14:paraId="58548A37" w14:textId="77777777" w:rsidR="005F0216" w:rsidRPr="00867383" w:rsidRDefault="005F0216" w:rsidP="00867383">
      <w:pPr>
        <w:pStyle w:val="Heading3"/>
      </w:pPr>
      <w:bookmarkStart w:id="37" w:name="_Toc198641387"/>
      <w:r w:rsidRPr="00867383">
        <w:t>Funding flow arrangement</w:t>
      </w:r>
      <w:bookmarkEnd w:id="37"/>
    </w:p>
    <w:p w14:paraId="71686E80" w14:textId="27CB8DB0" w:rsidR="00734B0A" w:rsidRPr="00867383" w:rsidRDefault="006246EB" w:rsidP="00867383">
      <w:r w:rsidRPr="00867383">
        <w:t>The agreements between practices and the state health service specif</w:t>
      </w:r>
      <w:r w:rsidR="00A61034" w:rsidRPr="00867383">
        <w:t>y</w:t>
      </w:r>
      <w:r w:rsidRPr="00867383">
        <w:t xml:space="preserve"> the funding flow</w:t>
      </w:r>
      <w:r w:rsidR="00A61034" w:rsidRPr="00867383">
        <w:t>s</w:t>
      </w:r>
      <w:r w:rsidRPr="00867383">
        <w:t xml:space="preserve"> from the practices to the state health service to contribute to registrars’ salaries. </w:t>
      </w:r>
      <w:r w:rsidR="005F0216" w:rsidRPr="00867383">
        <w:t xml:space="preserve">The SEM s19(2) Direction allows MBS funding to flow to relevant private practice placement settings. A portion of MBS funds will flow to the </w:t>
      </w:r>
      <w:r w:rsidR="00AA5D23" w:rsidRPr="00867383">
        <w:t>state health service</w:t>
      </w:r>
      <w:r w:rsidR="005F0216" w:rsidRPr="00867383">
        <w:t xml:space="preserve"> according to the negotiated </w:t>
      </w:r>
      <w:r w:rsidR="005F0216" w:rsidRPr="00867383">
        <w:lastRenderedPageBreak/>
        <w:t xml:space="preserve">agreement </w:t>
      </w:r>
      <w:r w:rsidR="005B653D" w:rsidRPr="00867383">
        <w:t xml:space="preserve">with </w:t>
      </w:r>
      <w:r w:rsidR="005F0216" w:rsidRPr="00867383">
        <w:t xml:space="preserve">the practices. As the central employer, the </w:t>
      </w:r>
      <w:r w:rsidR="00AA5D23" w:rsidRPr="00867383">
        <w:t xml:space="preserve">state health service </w:t>
      </w:r>
      <w:r w:rsidR="005F0216" w:rsidRPr="00867383">
        <w:t>will pay registrar</w:t>
      </w:r>
      <w:r w:rsidR="006E4112" w:rsidRPr="00867383">
        <w:t>s</w:t>
      </w:r>
      <w:r w:rsidR="00FA5799" w:rsidRPr="00867383">
        <w:t xml:space="preserve">’ </w:t>
      </w:r>
      <w:r w:rsidR="005F0216" w:rsidRPr="00867383">
        <w:t xml:space="preserve">salaries. </w:t>
      </w:r>
      <w:r w:rsidR="005B653D" w:rsidRPr="00867383">
        <w:t>The state health service and the participating practices must agree on a</w:t>
      </w:r>
      <w:r w:rsidR="00734B0A" w:rsidRPr="00867383">
        <w:t>ll funding flow arrangements</w:t>
      </w:r>
      <w:r w:rsidR="006A323B" w:rsidRPr="00867383">
        <w:t xml:space="preserve">. It </w:t>
      </w:r>
      <w:r w:rsidR="008B53A0" w:rsidRPr="00867383">
        <w:t>should be supported by the principle that practices should not be financially disadvantaged through their participation</w:t>
      </w:r>
      <w:r w:rsidR="00734B0A" w:rsidRPr="00867383">
        <w:t xml:space="preserve">. </w:t>
      </w:r>
      <w:r w:rsidR="001A03F3" w:rsidRPr="00867383">
        <w:t>There may be alternat</w:t>
      </w:r>
      <w:r w:rsidR="00B72241" w:rsidRPr="00867383">
        <w:t>iv</w:t>
      </w:r>
      <w:r w:rsidR="00074944" w:rsidRPr="00867383">
        <w:t>e funding flow arrangements that suit local circumstances; j</w:t>
      </w:r>
      <w:r w:rsidR="00CF1147" w:rsidRPr="00867383">
        <w:t>urisdictions are encouraged to discuss ideas with participating practices and the Department.</w:t>
      </w:r>
    </w:p>
    <w:p w14:paraId="4B42F9B5" w14:textId="77777777" w:rsidR="006821BD" w:rsidRPr="00867383" w:rsidRDefault="006821BD" w:rsidP="00867383">
      <w:pPr>
        <w:pStyle w:val="Heading3"/>
      </w:pPr>
      <w:bookmarkStart w:id="38" w:name="_Toc198641388"/>
      <w:r w:rsidRPr="00867383">
        <w:t>Voluntary participation</w:t>
      </w:r>
      <w:bookmarkEnd w:id="38"/>
    </w:p>
    <w:p w14:paraId="63726EBE" w14:textId="14AA3B0D" w:rsidR="006821BD" w:rsidRPr="00867383" w:rsidRDefault="006821BD" w:rsidP="00867383">
      <w:r w:rsidRPr="00867383">
        <w:t xml:space="preserve">Voluntary participation is a critical element of SEM trials, for both registrars and practices. It is important for the </w:t>
      </w:r>
      <w:r w:rsidR="007D53BA" w:rsidRPr="00867383">
        <w:t xml:space="preserve">state health services </w:t>
      </w:r>
      <w:r w:rsidRPr="00867383">
        <w:t xml:space="preserve">to manage the impact to all parties, ensuring no adverse impacts, </w:t>
      </w:r>
      <w:r w:rsidR="00FA5799" w:rsidRPr="00867383">
        <w:t>including</w:t>
      </w:r>
      <w:r w:rsidR="00A61034" w:rsidRPr="00867383">
        <w:t xml:space="preserve"> for</w:t>
      </w:r>
      <w:r w:rsidRPr="00867383">
        <w:t xml:space="preserve"> trainees or practices who choose not to participate in trials. For example, it must be ensured that non-participating practices are not under-allocated registrars. It is important that the jurisdictions work with the Colleges to ensure registrars are equitably distributed among the practices in the local area. Similarly, non-participating registrars must not feel obligated to participate nor should their training experience be otherwise negatively impacted. This will ensure participation remains entirely voluntary and there are no disadvantages for not participating. </w:t>
      </w:r>
    </w:p>
    <w:p w14:paraId="564369E7" w14:textId="77777777" w:rsidR="006821BD" w:rsidRPr="00867383" w:rsidRDefault="006821BD" w:rsidP="00867383">
      <w:pPr>
        <w:pStyle w:val="Heading3"/>
      </w:pPr>
      <w:bookmarkStart w:id="39" w:name="_Toc198641389"/>
      <w:r w:rsidRPr="00867383">
        <w:t>Trial preparations and engagement</w:t>
      </w:r>
      <w:bookmarkEnd w:id="39"/>
    </w:p>
    <w:p w14:paraId="73429AE2" w14:textId="39F50CA0" w:rsidR="006821BD" w:rsidRPr="00867383" w:rsidRDefault="006821BD" w:rsidP="00867383">
      <w:r w:rsidRPr="00867383">
        <w:t xml:space="preserve">The time from the proposal submission to trial commencement can vary greatly. Translating the proposal to the everyday mechanics of the trial requires significant local planning and engagement. The Department encourages </w:t>
      </w:r>
      <w:r w:rsidR="00B008B3" w:rsidRPr="00867383">
        <w:t>jurisdictions/state health services to consider the success factors</w:t>
      </w:r>
      <w:r w:rsidRPr="00867383">
        <w:t xml:space="preserve"> </w:t>
      </w:r>
      <w:r w:rsidR="00B008B3" w:rsidRPr="00867383">
        <w:t>from early findings of the trials</w:t>
      </w:r>
      <w:r w:rsidR="0086235D" w:rsidRPr="00867383">
        <w:t xml:space="preserve">, </w:t>
      </w:r>
      <w:r w:rsidR="00B008B3" w:rsidRPr="00867383">
        <w:t xml:space="preserve">as outlined in </w:t>
      </w:r>
      <w:hyperlink w:anchor="_Attachment_A:_Key" w:history="1">
        <w:r w:rsidR="00B008B3" w:rsidRPr="00867383">
          <w:rPr>
            <w:rStyle w:val="Hyperlink"/>
          </w:rPr>
          <w:t xml:space="preserve">Attachment </w:t>
        </w:r>
        <w:r w:rsidR="0086235D" w:rsidRPr="00867383">
          <w:rPr>
            <w:rStyle w:val="Hyperlink"/>
          </w:rPr>
          <w:t>A</w:t>
        </w:r>
      </w:hyperlink>
      <w:r w:rsidR="00B008B3" w:rsidRPr="00867383">
        <w:t xml:space="preserve">. </w:t>
      </w:r>
    </w:p>
    <w:p w14:paraId="5D3CB361" w14:textId="7E6FEBA6" w:rsidR="006821BD" w:rsidRPr="00867383" w:rsidRDefault="006821BD" w:rsidP="00867383">
      <w:r w:rsidRPr="00867383">
        <w:t xml:space="preserve">Jurisdictions must ensure that key stakeholders have been consulted with and support the proposed model. </w:t>
      </w:r>
      <w:r w:rsidR="005B653D" w:rsidRPr="00867383">
        <w:t>J</w:t>
      </w:r>
      <w:r w:rsidRPr="00867383">
        <w:t>urisdictions/</w:t>
      </w:r>
      <w:r w:rsidR="007D53BA" w:rsidRPr="00867383">
        <w:t xml:space="preserve">state health services </w:t>
      </w:r>
      <w:r w:rsidR="005B653D" w:rsidRPr="00867383">
        <w:t xml:space="preserve">are expected to </w:t>
      </w:r>
      <w:r w:rsidRPr="00867383">
        <w:t>maintain a productive working relationship with the GP Colleges</w:t>
      </w:r>
      <w:r w:rsidR="00734B0A" w:rsidRPr="00867383">
        <w:t xml:space="preserve"> and GP sector support organisations</w:t>
      </w:r>
      <w:r w:rsidR="005B653D" w:rsidRPr="00867383">
        <w:t xml:space="preserve">. This will </w:t>
      </w:r>
      <w:r w:rsidRPr="00867383">
        <w:t xml:space="preserve">ensure </w:t>
      </w:r>
      <w:r w:rsidR="00734B0A" w:rsidRPr="00867383">
        <w:t xml:space="preserve">both </w:t>
      </w:r>
      <w:r w:rsidRPr="00867383">
        <w:t>the placements are supported and consistent with training requirements</w:t>
      </w:r>
      <w:r w:rsidR="00734B0A" w:rsidRPr="00867383">
        <w:t>, and practices remain sustainable</w:t>
      </w:r>
      <w:r w:rsidRPr="00867383">
        <w:t xml:space="preserve">. </w:t>
      </w:r>
    </w:p>
    <w:p w14:paraId="5C806038" w14:textId="5E140E15" w:rsidR="002D32FD" w:rsidRPr="00867383" w:rsidRDefault="002D32FD" w:rsidP="00867383">
      <w:pPr>
        <w:pStyle w:val="Heading3"/>
      </w:pPr>
      <w:bookmarkStart w:id="40" w:name="_Toc198641390"/>
      <w:r w:rsidRPr="00867383">
        <w:t xml:space="preserve">Data </w:t>
      </w:r>
      <w:r w:rsidR="005C71AF" w:rsidRPr="00867383">
        <w:t>r</w:t>
      </w:r>
      <w:r w:rsidRPr="00867383">
        <w:t>eporting</w:t>
      </w:r>
      <w:r w:rsidR="005C71AF" w:rsidRPr="00867383">
        <w:t xml:space="preserve"> &amp; privacy notice</w:t>
      </w:r>
      <w:bookmarkEnd w:id="40"/>
    </w:p>
    <w:p w14:paraId="7645F505" w14:textId="0165E096" w:rsidR="002D32FD" w:rsidRPr="00867383" w:rsidRDefault="002D32FD" w:rsidP="00867383">
      <w:r w:rsidRPr="00867383">
        <w:t>Jurisdictions/</w:t>
      </w:r>
      <w:r w:rsidR="007D53BA" w:rsidRPr="00867383">
        <w:t xml:space="preserve">state health services </w:t>
      </w:r>
      <w:r w:rsidRPr="00867383">
        <w:t>are required to provide six-monthly performance reports on the agreed data requirements as outlined in the MoU, by the first business day of March and October. The Department may also request ad hoc data reports.</w:t>
      </w:r>
    </w:p>
    <w:p w14:paraId="6F6B6A91" w14:textId="7BD0F1DC" w:rsidR="00AF2E8D" w:rsidRPr="00867383" w:rsidRDefault="00AF2E8D" w:rsidP="00867383">
      <w:r w:rsidRPr="00867383">
        <w:t xml:space="preserve">It is noted that the data collection requirements </w:t>
      </w:r>
      <w:r w:rsidR="00D02331" w:rsidRPr="00867383">
        <w:t>may</w:t>
      </w:r>
      <w:r w:rsidRPr="00867383">
        <w:t xml:space="preserve"> evolve </w:t>
      </w:r>
      <w:r w:rsidR="00723D0D" w:rsidRPr="00867383">
        <w:t xml:space="preserve">as </w:t>
      </w:r>
      <w:r w:rsidRPr="00867383">
        <w:t xml:space="preserve">the evaluation </w:t>
      </w:r>
      <w:r w:rsidR="00723D0D" w:rsidRPr="00867383">
        <w:t>progresses</w:t>
      </w:r>
      <w:r w:rsidRPr="00867383">
        <w:t xml:space="preserve">. Any changes will </w:t>
      </w:r>
      <w:r w:rsidR="00A61034" w:rsidRPr="00867383">
        <w:t>require agreement by all parties to the MoU</w:t>
      </w:r>
      <w:r w:rsidRPr="00867383">
        <w:t>.</w:t>
      </w:r>
    </w:p>
    <w:p w14:paraId="6C3A68E9" w14:textId="26B04847" w:rsidR="00353FAC" w:rsidRPr="00867383" w:rsidRDefault="00353FAC" w:rsidP="00867383">
      <w:r w:rsidRPr="00867383">
        <w:t xml:space="preserve">The Department has obligations under the </w:t>
      </w:r>
      <w:r w:rsidRPr="00867383">
        <w:rPr>
          <w:rStyle w:val="Emphasis"/>
        </w:rPr>
        <w:t>Privacy Act 1988</w:t>
      </w:r>
      <w:r w:rsidRPr="00867383">
        <w:t xml:space="preserve"> to protect the personal SEM participant data provided by the performance reports and ad hoc reports. It </w:t>
      </w:r>
      <w:r w:rsidR="005B653D" w:rsidRPr="00867383">
        <w:t>is essential</w:t>
      </w:r>
      <w:r w:rsidRPr="00867383">
        <w:t xml:space="preserve"> that all SEM-participating registrars have consented to the sharing of their data to the Commonwealth, which is primarily being collected for program reporting, </w:t>
      </w:r>
      <w:r w:rsidR="00A771C5" w:rsidRPr="00867383">
        <w:t>evaluation,</w:t>
      </w:r>
      <w:r w:rsidRPr="00867383">
        <w:t xml:space="preserve"> and program compliance purposes. </w:t>
      </w:r>
    </w:p>
    <w:p w14:paraId="772D2431" w14:textId="519BAE73" w:rsidR="00826F48" w:rsidRPr="00867383" w:rsidRDefault="00826F48" w:rsidP="00867383">
      <w:pPr>
        <w:pStyle w:val="Heading3"/>
      </w:pPr>
      <w:bookmarkStart w:id="41" w:name="_Toc198641391"/>
      <w:r w:rsidRPr="00867383">
        <w:t>Medical Provider Numbers (MPNs)</w:t>
      </w:r>
      <w:bookmarkEnd w:id="41"/>
    </w:p>
    <w:p w14:paraId="5C68FF78" w14:textId="60B13106" w:rsidR="0030021F" w:rsidRPr="00867383" w:rsidRDefault="00826F48" w:rsidP="00867383">
      <w:r w:rsidRPr="00867383">
        <w:t xml:space="preserve">The </w:t>
      </w:r>
      <w:r w:rsidR="007D53BA" w:rsidRPr="00867383">
        <w:t xml:space="preserve">state health </w:t>
      </w:r>
      <w:r w:rsidR="00180778" w:rsidRPr="00867383">
        <w:t>services,</w:t>
      </w:r>
      <w:r w:rsidR="007D53BA" w:rsidRPr="00867383">
        <w:t xml:space="preserve"> </w:t>
      </w:r>
      <w:r w:rsidRPr="00867383">
        <w:t xml:space="preserve">and the primary care practices are responsible for ensuring MPNs have been issued prior to trial commencement. This allows registrars to bill Medicare for their services and ensures </w:t>
      </w:r>
      <w:r w:rsidR="0028456D" w:rsidRPr="00867383">
        <w:t>funds</w:t>
      </w:r>
      <w:r w:rsidRPr="00867383">
        <w:t xml:space="preserve"> can flow from the practice to the </w:t>
      </w:r>
      <w:r w:rsidR="007D53BA" w:rsidRPr="00867383">
        <w:t>state health service</w:t>
      </w:r>
      <w:r w:rsidRPr="00867383">
        <w:t xml:space="preserve">. As an </w:t>
      </w:r>
      <w:r w:rsidRPr="00867383">
        <w:lastRenderedPageBreak/>
        <w:t xml:space="preserve">employer, </w:t>
      </w:r>
      <w:r w:rsidR="0030021F" w:rsidRPr="00867383">
        <w:t>jurisdictions/</w:t>
      </w:r>
      <w:r w:rsidR="007D53BA" w:rsidRPr="00867383">
        <w:t xml:space="preserve">state health services </w:t>
      </w:r>
      <w:r w:rsidRPr="00867383">
        <w:t xml:space="preserve">should make themselves familiar with the process to attain an MPN. </w:t>
      </w:r>
    </w:p>
    <w:p w14:paraId="19D25441" w14:textId="187988BF" w:rsidR="00826F48" w:rsidRPr="00867383" w:rsidRDefault="00D602EA" w:rsidP="00867383">
      <w:r w:rsidRPr="00867383">
        <w:t>The</w:t>
      </w:r>
      <w:r w:rsidR="0030021F" w:rsidRPr="00867383">
        <w:t xml:space="preserve"> MoU</w:t>
      </w:r>
      <w:r w:rsidRPr="00867383">
        <w:t xml:space="preserve"> requires</w:t>
      </w:r>
      <w:r w:rsidR="0030021F" w:rsidRPr="00867383">
        <w:t xml:space="preserve"> jurisdictions/state health services to forward all MPN</w:t>
      </w:r>
      <w:r w:rsidR="0028456D" w:rsidRPr="00867383">
        <w:t xml:space="preserve"> applications</w:t>
      </w:r>
      <w:r w:rsidR="0030021F" w:rsidRPr="00867383">
        <w:t xml:space="preserve"> to Services Australia using a covering email provided by the Department. This will </w:t>
      </w:r>
      <w:r w:rsidRPr="00867383">
        <w:t>enable Services Australia to apply</w:t>
      </w:r>
      <w:r w:rsidR="0030021F" w:rsidRPr="00867383">
        <w:t xml:space="preserve"> a SEM flag to all SEM registrars</w:t>
      </w:r>
      <w:r w:rsidRPr="00867383">
        <w:t xml:space="preserve">. It </w:t>
      </w:r>
      <w:r w:rsidR="0030021F" w:rsidRPr="00867383">
        <w:t>ensure</w:t>
      </w:r>
      <w:r w:rsidRPr="00867383">
        <w:t xml:space="preserve">s SEM registrars </w:t>
      </w:r>
      <w:r w:rsidR="0030021F" w:rsidRPr="00867383">
        <w:t xml:space="preserve">are accurately captured in the MBS system. This does not affect </w:t>
      </w:r>
      <w:r w:rsidR="0028216C" w:rsidRPr="00867383">
        <w:t xml:space="preserve">or replace </w:t>
      </w:r>
      <w:r w:rsidR="0030021F" w:rsidRPr="00867383">
        <w:t>the regular MPN application process for registrars.</w:t>
      </w:r>
    </w:p>
    <w:p w14:paraId="34F6FD2F" w14:textId="77777777" w:rsidR="00826F48" w:rsidRPr="00867383" w:rsidRDefault="00826F48" w:rsidP="00867383">
      <w:r w:rsidRPr="00867383">
        <w:t>MPNs are collected under the MoU for compliance and monitoring purposes.</w:t>
      </w:r>
    </w:p>
    <w:p w14:paraId="7EF6852F" w14:textId="32ACD195" w:rsidR="006821BD" w:rsidRPr="00867383" w:rsidRDefault="006821BD" w:rsidP="00867383">
      <w:pPr>
        <w:pStyle w:val="Heading3"/>
      </w:pPr>
      <w:bookmarkStart w:id="42" w:name="_Hlk147222490"/>
      <w:bookmarkStart w:id="43" w:name="_Toc198641392"/>
      <w:r w:rsidRPr="00867383">
        <w:t>Medical indemnity</w:t>
      </w:r>
      <w:bookmarkEnd w:id="43"/>
    </w:p>
    <w:p w14:paraId="3D51E26A" w14:textId="722EE57C" w:rsidR="006821BD" w:rsidRPr="00867383" w:rsidRDefault="006821BD" w:rsidP="00867383">
      <w:r w:rsidRPr="00867383">
        <w:t xml:space="preserve">Arrangements relating to medical indemnity will vary between jurisdictions and any </w:t>
      </w:r>
      <w:r w:rsidR="00175294" w:rsidRPr="00867383">
        <w:t xml:space="preserve">related </w:t>
      </w:r>
      <w:r w:rsidRPr="00867383">
        <w:t xml:space="preserve">issues are a matter for the relevant jurisdiction to resolve. Jurisdictions are encouraged to explore what arrangements </w:t>
      </w:r>
      <w:r w:rsidR="008348A6" w:rsidRPr="00867383">
        <w:t xml:space="preserve">have been </w:t>
      </w:r>
      <w:r w:rsidRPr="00867383">
        <w:t xml:space="preserve">in place under </w:t>
      </w:r>
      <w:r w:rsidR="008348A6" w:rsidRPr="00867383">
        <w:t xml:space="preserve">other </w:t>
      </w:r>
      <w:r w:rsidRPr="00867383">
        <w:t>programs</w:t>
      </w:r>
      <w:r w:rsidR="008348A6" w:rsidRPr="00867383">
        <w:t xml:space="preserve"> </w:t>
      </w:r>
      <w:r w:rsidR="0028456D" w:rsidRPr="00867383">
        <w:t>involving</w:t>
      </w:r>
      <w:r w:rsidR="008348A6" w:rsidRPr="00867383">
        <w:t xml:space="preserve"> rotation of hospital employees into private practice</w:t>
      </w:r>
      <w:r w:rsidR="00175294" w:rsidRPr="00867383">
        <w:t xml:space="preserve">. The same arrangements are expected to </w:t>
      </w:r>
      <w:r w:rsidRPr="00867383">
        <w:t>apply to SEM participants during community general practice training placements.</w:t>
      </w:r>
    </w:p>
    <w:p w14:paraId="77E26541" w14:textId="7E963211" w:rsidR="00FE276D" w:rsidRDefault="00FE276D" w:rsidP="00A4139E">
      <w:pPr>
        <w:pStyle w:val="Heading2"/>
      </w:pPr>
      <w:bookmarkStart w:id="44" w:name="_Toc198641393"/>
      <w:bookmarkEnd w:id="42"/>
      <w:r>
        <w:t>GP Colleges</w:t>
      </w:r>
      <w:bookmarkEnd w:id="44"/>
    </w:p>
    <w:p w14:paraId="256DAF97" w14:textId="708657E0" w:rsidR="00A06AAE" w:rsidRPr="00867383" w:rsidRDefault="0030021F" w:rsidP="00867383">
      <w:r w:rsidRPr="00867383">
        <w:t xml:space="preserve">The </w:t>
      </w:r>
      <w:r w:rsidR="00A06AAE" w:rsidRPr="00867383">
        <w:t xml:space="preserve">GP Colleges </w:t>
      </w:r>
      <w:r w:rsidRPr="00867383">
        <w:t xml:space="preserve">are responsible for </w:t>
      </w:r>
      <w:r w:rsidR="00A06AAE" w:rsidRPr="00867383">
        <w:t>deliver</w:t>
      </w:r>
      <w:r w:rsidRPr="00867383">
        <w:t>ing</w:t>
      </w:r>
      <w:r w:rsidR="00A06AAE" w:rsidRPr="00867383">
        <w:t xml:space="preserve"> high-quality, well-distributed </w:t>
      </w:r>
      <w:r w:rsidR="00D602EA" w:rsidRPr="00867383">
        <w:t xml:space="preserve">GP </w:t>
      </w:r>
      <w:r w:rsidR="00A06AAE" w:rsidRPr="00867383">
        <w:t xml:space="preserve">training consistent with the terms of their respective grant agreements with the Department. This includes the development and management of the GP colleges’ individual training </w:t>
      </w:r>
      <w:r w:rsidR="005934BA" w:rsidRPr="00867383">
        <w:t xml:space="preserve">program </w:t>
      </w:r>
      <w:r w:rsidR="00A06AAE" w:rsidRPr="00867383">
        <w:t>policies. The GP Colleges are also responsible for registrar management, including career planning, selection, placements, pastoral care, and appeals.</w:t>
      </w:r>
      <w:r w:rsidR="006271F5" w:rsidRPr="00867383">
        <w:t xml:space="preserve"> They also set training </w:t>
      </w:r>
      <w:r w:rsidR="00725AE6" w:rsidRPr="00867383">
        <w:t xml:space="preserve">curricula and </w:t>
      </w:r>
      <w:proofErr w:type="gramStart"/>
      <w:r w:rsidR="006271F5" w:rsidRPr="00867383">
        <w:t>requirements, and</w:t>
      </w:r>
      <w:proofErr w:type="gramEnd"/>
      <w:r w:rsidR="006271F5" w:rsidRPr="00867383">
        <w:t xml:space="preserve"> accredit</w:t>
      </w:r>
      <w:r w:rsidR="00586D1D" w:rsidRPr="00867383">
        <w:t xml:space="preserve"> training practices and supervisors to national standards.</w:t>
      </w:r>
    </w:p>
    <w:p w14:paraId="630BA465" w14:textId="22E08A10" w:rsidR="00E66807" w:rsidRPr="00867383" w:rsidRDefault="00E66807" w:rsidP="00867383">
      <w:r w:rsidRPr="00867383">
        <w:t>The Colleges will work with jurisdictions/</w:t>
      </w:r>
      <w:r w:rsidR="007D53BA" w:rsidRPr="00867383">
        <w:t xml:space="preserve">state health services </w:t>
      </w:r>
      <w:r w:rsidR="00E250E7" w:rsidRPr="00867383">
        <w:t xml:space="preserve">and </w:t>
      </w:r>
      <w:r w:rsidR="00D97D1E" w:rsidRPr="00867383">
        <w:t xml:space="preserve">participating </w:t>
      </w:r>
      <w:r w:rsidR="00E250E7" w:rsidRPr="00867383">
        <w:t xml:space="preserve">practices </w:t>
      </w:r>
      <w:r w:rsidRPr="00867383">
        <w:t>to facilitate the trials, where practical.</w:t>
      </w:r>
    </w:p>
    <w:p w14:paraId="4ED134AE" w14:textId="76F9B142" w:rsidR="00FE276D" w:rsidRPr="00867383" w:rsidRDefault="006821BD" w:rsidP="00867383">
      <w:pPr>
        <w:pStyle w:val="Heading3"/>
      </w:pPr>
      <w:bookmarkStart w:id="45" w:name="_Toc198641394"/>
      <w:r w:rsidRPr="00867383">
        <w:t xml:space="preserve">Training </w:t>
      </w:r>
      <w:r w:rsidR="00E66807" w:rsidRPr="00867383">
        <w:t>requirements and placement support</w:t>
      </w:r>
      <w:bookmarkEnd w:id="45"/>
    </w:p>
    <w:p w14:paraId="760C768F" w14:textId="3E118AEB" w:rsidR="00D4685C" w:rsidRPr="00867383" w:rsidRDefault="006821BD" w:rsidP="00867383">
      <w:r w:rsidRPr="00867383">
        <w:t>Jurisdictions/</w:t>
      </w:r>
      <w:r w:rsidR="007D53BA" w:rsidRPr="00867383">
        <w:t xml:space="preserve">state health services </w:t>
      </w:r>
      <w:r w:rsidRPr="00867383">
        <w:t xml:space="preserve">must closely consult with the GP Colleges to ensure their models are consistent with the relevant </w:t>
      </w:r>
      <w:r w:rsidR="00CF7495" w:rsidRPr="00867383">
        <w:t xml:space="preserve">training </w:t>
      </w:r>
      <w:r w:rsidRPr="00867383">
        <w:t xml:space="preserve">pathway requirements and ensure participants are </w:t>
      </w:r>
      <w:r w:rsidR="00BF4EA3" w:rsidRPr="00867383">
        <w:t xml:space="preserve">sufficiently </w:t>
      </w:r>
      <w:r w:rsidRPr="00867383">
        <w:t xml:space="preserve">supported during their </w:t>
      </w:r>
      <w:r w:rsidR="002D32FD" w:rsidRPr="00867383">
        <w:t xml:space="preserve">accredited training </w:t>
      </w:r>
      <w:r w:rsidRPr="00867383">
        <w:t xml:space="preserve">placements. </w:t>
      </w:r>
    </w:p>
    <w:p w14:paraId="4CF7C575" w14:textId="6379CD92" w:rsidR="00880CFF" w:rsidRDefault="00880CFF" w:rsidP="00A4139E">
      <w:pPr>
        <w:pStyle w:val="Heading2"/>
      </w:pPr>
      <w:bookmarkStart w:id="46" w:name="_Toc198641395"/>
      <w:r>
        <w:t>Practices and Supervisors</w:t>
      </w:r>
      <w:bookmarkEnd w:id="46"/>
    </w:p>
    <w:p w14:paraId="0DBE2623" w14:textId="4C4AFF0C" w:rsidR="00880CFF" w:rsidRPr="00867383" w:rsidRDefault="00D97D1E" w:rsidP="00867383">
      <w:r w:rsidRPr="00867383">
        <w:t>Jurisdictions/</w:t>
      </w:r>
      <w:r w:rsidR="007D53BA" w:rsidRPr="00867383">
        <w:t xml:space="preserve">state health services </w:t>
      </w:r>
      <w:r w:rsidRPr="00867383">
        <w:t xml:space="preserve">must </w:t>
      </w:r>
      <w:r w:rsidR="002323F8" w:rsidRPr="00867383">
        <w:t xml:space="preserve">work </w:t>
      </w:r>
      <w:r w:rsidRPr="00867383">
        <w:t xml:space="preserve">closely with the </w:t>
      </w:r>
      <w:r w:rsidR="00AC5CBB" w:rsidRPr="00867383">
        <w:t>p</w:t>
      </w:r>
      <w:r w:rsidR="00582EBE" w:rsidRPr="00867383">
        <w:t xml:space="preserve">ractices </w:t>
      </w:r>
      <w:r w:rsidRPr="00867383">
        <w:t>to ensure</w:t>
      </w:r>
      <w:r w:rsidR="00582EBE" w:rsidRPr="00867383">
        <w:t xml:space="preserve"> </w:t>
      </w:r>
      <w:r w:rsidR="00D602EA" w:rsidRPr="00867383">
        <w:t xml:space="preserve">the </w:t>
      </w:r>
      <w:r w:rsidR="00582EBE" w:rsidRPr="00867383">
        <w:t xml:space="preserve">training sites and supervisors </w:t>
      </w:r>
      <w:r w:rsidR="00D602EA" w:rsidRPr="00867383">
        <w:t xml:space="preserve">meet </w:t>
      </w:r>
      <w:r w:rsidR="00725AE6" w:rsidRPr="00867383">
        <w:t xml:space="preserve">College </w:t>
      </w:r>
      <w:r w:rsidR="00D602EA" w:rsidRPr="00867383">
        <w:t>accreditation standards</w:t>
      </w:r>
      <w:r w:rsidR="00582EBE" w:rsidRPr="00867383">
        <w:t>. A safe and suitable training site is fundamental to meet the training requirements of GP registrar</w:t>
      </w:r>
      <w:r w:rsidRPr="00867383">
        <w:t>s</w:t>
      </w:r>
      <w:r w:rsidR="00392CA6" w:rsidRPr="00867383">
        <w:t>.</w:t>
      </w:r>
      <w:r w:rsidRPr="00867383">
        <w:t xml:space="preserve"> </w:t>
      </w:r>
      <w:r w:rsidR="00880CFF" w:rsidRPr="00867383">
        <w:t>GP supervisors play a crucial role in clinical supervision and providing high quality educational experiences for registrars</w:t>
      </w:r>
      <w:r w:rsidR="00582EBE" w:rsidRPr="00867383">
        <w:t>. Th</w:t>
      </w:r>
      <w:r w:rsidR="00392CA6" w:rsidRPr="00867383">
        <w:t>e</w:t>
      </w:r>
      <w:r w:rsidR="00BA517F" w:rsidRPr="00867383">
        <w:t xml:space="preserve"> role of practices and supervisors in GP training</w:t>
      </w:r>
      <w:r w:rsidR="00880CFF" w:rsidRPr="00867383">
        <w:t xml:space="preserve"> remain</w:t>
      </w:r>
      <w:r w:rsidR="00BA517F" w:rsidRPr="00867383">
        <w:t>s</w:t>
      </w:r>
      <w:r w:rsidR="00880CFF" w:rsidRPr="00867383">
        <w:t xml:space="preserve"> unchanged under a SEM. </w:t>
      </w:r>
      <w:r w:rsidR="00AC5CBB" w:rsidRPr="00867383">
        <w:t>The key difference is that the practice</w:t>
      </w:r>
      <w:r w:rsidRPr="00867383">
        <w:t xml:space="preserve">s </w:t>
      </w:r>
      <w:r w:rsidR="0028456D" w:rsidRPr="00867383">
        <w:t>no longer employ</w:t>
      </w:r>
      <w:r w:rsidR="00AC5CBB" w:rsidRPr="00867383">
        <w:t xml:space="preserve"> the GP registrar under a SEM. </w:t>
      </w:r>
    </w:p>
    <w:p w14:paraId="195D47C8" w14:textId="2F41DD1F" w:rsidR="009A5570" w:rsidRPr="00867383" w:rsidRDefault="00AC5CBB" w:rsidP="00867383">
      <w:pPr>
        <w:pStyle w:val="Heading3"/>
      </w:pPr>
      <w:bookmarkStart w:id="47" w:name="_Toc198641396"/>
      <w:r w:rsidRPr="00867383">
        <w:t xml:space="preserve">Practice </w:t>
      </w:r>
      <w:r w:rsidR="00180778" w:rsidRPr="00867383">
        <w:t>agreement</w:t>
      </w:r>
      <w:bookmarkEnd w:id="47"/>
    </w:p>
    <w:p w14:paraId="3FF3F9E8" w14:textId="5E9C8044" w:rsidR="00AC5CBB" w:rsidRPr="00867383" w:rsidRDefault="00AC5CBB" w:rsidP="00867383">
      <w:r w:rsidRPr="00867383">
        <w:t xml:space="preserve">Participating practices will enter an agreement with the </w:t>
      </w:r>
      <w:r w:rsidR="007D53BA" w:rsidRPr="00867383">
        <w:t xml:space="preserve">state health services </w:t>
      </w:r>
      <w:r w:rsidRPr="00867383">
        <w:t xml:space="preserve">to determine </w:t>
      </w:r>
      <w:r w:rsidR="008348A6" w:rsidRPr="00867383">
        <w:t xml:space="preserve">financial and other </w:t>
      </w:r>
      <w:r w:rsidRPr="00867383">
        <w:t>arrangements</w:t>
      </w:r>
      <w:r w:rsidR="008348A6" w:rsidRPr="00867383">
        <w:t>. I</w:t>
      </w:r>
      <w:r w:rsidRPr="00867383">
        <w:t xml:space="preserve">t is expected that </w:t>
      </w:r>
      <w:r w:rsidR="007D53BA" w:rsidRPr="00867383">
        <w:t xml:space="preserve">state health services </w:t>
      </w:r>
      <w:r w:rsidR="00451C85" w:rsidRPr="00867383">
        <w:t>undertake reasonable endeavours to ensure practices are</w:t>
      </w:r>
      <w:r w:rsidR="008348A6" w:rsidRPr="00867383">
        <w:t xml:space="preserve"> not</w:t>
      </w:r>
      <w:r w:rsidR="00451C85" w:rsidRPr="00867383">
        <w:t xml:space="preserve"> disadvantaged by participating in a SEM trial, either financially or otherwise</w:t>
      </w:r>
      <w:r w:rsidR="00D602EA" w:rsidRPr="00867383">
        <w:t>. P</w:t>
      </w:r>
      <w:r w:rsidR="008348A6" w:rsidRPr="00867383">
        <w:t>ractice agreements should be freely negotiated</w:t>
      </w:r>
      <w:r w:rsidR="00451C85" w:rsidRPr="00867383">
        <w:t xml:space="preserve">.  </w:t>
      </w:r>
    </w:p>
    <w:p w14:paraId="37775539" w14:textId="4C50A5DC" w:rsidR="00CC4D10" w:rsidRDefault="00CC4D10" w:rsidP="00A4139E">
      <w:pPr>
        <w:pStyle w:val="Heading2"/>
      </w:pPr>
      <w:bookmarkStart w:id="48" w:name="_Toc198641397"/>
      <w:r>
        <w:lastRenderedPageBreak/>
        <w:t>GP Sector Support</w:t>
      </w:r>
      <w:bookmarkEnd w:id="48"/>
      <w:r>
        <w:t xml:space="preserve"> </w:t>
      </w:r>
    </w:p>
    <w:p w14:paraId="0BB11CDE" w14:textId="5EBF3772" w:rsidR="00CC4D10" w:rsidRPr="00867383" w:rsidRDefault="00CC4D10" w:rsidP="00867383">
      <w:r w:rsidRPr="00867383">
        <w:t>GP sector support organisations include</w:t>
      </w:r>
      <w:r w:rsidR="00D97A5B" w:rsidRPr="00867383">
        <w:t xml:space="preserve"> but are not limited to </w:t>
      </w:r>
      <w:r w:rsidRPr="00867383">
        <w:t>the General Practice Registrar</w:t>
      </w:r>
      <w:r w:rsidR="00D97A5B" w:rsidRPr="00867383">
        <w:t>s Australia (GPRA), General Practice Supervision Australia (GPSA)</w:t>
      </w:r>
      <w:r w:rsidR="0030021F" w:rsidRPr="00867383">
        <w:t>, Rural Doctors Association of Australia (RDAA)</w:t>
      </w:r>
      <w:r w:rsidR="00D97A5B" w:rsidRPr="00867383">
        <w:t xml:space="preserve"> and the Indigenous General Practice </w:t>
      </w:r>
      <w:r w:rsidR="0030021F" w:rsidRPr="00867383">
        <w:t xml:space="preserve">Trainee </w:t>
      </w:r>
      <w:r w:rsidR="00D97A5B" w:rsidRPr="00867383">
        <w:t>Network (IGP</w:t>
      </w:r>
      <w:r w:rsidR="0030021F" w:rsidRPr="00867383">
        <w:t>T</w:t>
      </w:r>
      <w:r w:rsidR="00D97A5B" w:rsidRPr="00867383">
        <w:t xml:space="preserve">N). </w:t>
      </w:r>
      <w:r w:rsidR="00EC0475" w:rsidRPr="00867383">
        <w:t>These organisations are responsible for support</w:t>
      </w:r>
      <w:r w:rsidR="00194E70" w:rsidRPr="00867383">
        <w:t>ing</w:t>
      </w:r>
      <w:r w:rsidR="00EC0475" w:rsidRPr="00867383">
        <w:t xml:space="preserve"> registrars, </w:t>
      </w:r>
      <w:r w:rsidR="00A771C5" w:rsidRPr="00867383">
        <w:t>supervisors,</w:t>
      </w:r>
      <w:r w:rsidR="00EC0475" w:rsidRPr="00867383">
        <w:t xml:space="preserve"> and practice managers on areas such as training, </w:t>
      </w:r>
      <w:r w:rsidR="00A771C5" w:rsidRPr="00867383">
        <w:t>employment,</w:t>
      </w:r>
      <w:r w:rsidR="00EC0475" w:rsidRPr="00867383">
        <w:t xml:space="preserve"> and wellbeing. </w:t>
      </w:r>
    </w:p>
    <w:p w14:paraId="572D53F1" w14:textId="09798E3D" w:rsidR="00D4685C" w:rsidRDefault="00F143F6" w:rsidP="00867383">
      <w:pPr>
        <w:pStyle w:val="Heading1"/>
      </w:pPr>
      <w:bookmarkStart w:id="49" w:name="_Toc198641398"/>
      <w:r>
        <w:t>Program Intersections with SEM</w:t>
      </w:r>
      <w:bookmarkEnd w:id="49"/>
    </w:p>
    <w:p w14:paraId="02CF572C" w14:textId="20197B1E" w:rsidR="00BE5FC3" w:rsidRPr="00867383" w:rsidRDefault="00BE5FC3" w:rsidP="00867383">
      <w:r w:rsidRPr="00867383">
        <w:t xml:space="preserve">It is not intended for SEM to exclude participating registrars from accessing any supports and benefits. However, the Department has identified the following program intersections which may be impacted by the SEM arrangement. </w:t>
      </w:r>
    </w:p>
    <w:p w14:paraId="4F1D8FEA" w14:textId="77777777" w:rsidR="00D4685C" w:rsidRPr="00D4685C" w:rsidRDefault="00D4685C" w:rsidP="5834ECE7">
      <w:pPr>
        <w:pStyle w:val="Heading2"/>
      </w:pPr>
      <w:bookmarkStart w:id="50" w:name="_Toc141259152"/>
      <w:bookmarkStart w:id="51" w:name="_Toc198641399"/>
      <w:r>
        <w:t xml:space="preserve">HELP </w:t>
      </w:r>
      <w:bookmarkStart w:id="52" w:name="_Hlk167178972"/>
      <w:r>
        <w:t>Debt Reduction for Rural Doctors and Nurse Practitioners Program</w:t>
      </w:r>
      <w:bookmarkEnd w:id="50"/>
      <w:bookmarkEnd w:id="51"/>
      <w:bookmarkEnd w:id="52"/>
    </w:p>
    <w:p w14:paraId="6E018E56" w14:textId="416AEC53" w:rsidR="00444F18" w:rsidRPr="00867383" w:rsidRDefault="00444F18" w:rsidP="00867383">
      <w:r w:rsidRPr="00867383">
        <w:t xml:space="preserve">The </w:t>
      </w:r>
      <w:hyperlink r:id="rId15" w:history="1">
        <w:r w:rsidRPr="002F7D0A">
          <w:rPr>
            <w:rStyle w:val="Hyperlink"/>
            <w:rFonts w:eastAsia="Calibri"/>
            <w:szCs w:val="22"/>
          </w:rPr>
          <w:t xml:space="preserve">HELP </w:t>
        </w:r>
        <w:r w:rsidR="002C4FBA" w:rsidRPr="002C4FBA">
          <w:rPr>
            <w:rStyle w:val="Hyperlink"/>
            <w:rFonts w:eastAsia="Calibri"/>
            <w:szCs w:val="22"/>
          </w:rPr>
          <w:t xml:space="preserve">Debt Reduction for Rural Doctors and Nurse Practitioners Program </w:t>
        </w:r>
        <w:r w:rsidRPr="002F7D0A">
          <w:rPr>
            <w:rStyle w:val="Hyperlink"/>
            <w:rFonts w:eastAsia="Calibri"/>
            <w:szCs w:val="22"/>
          </w:rPr>
          <w:t>initiative</w:t>
        </w:r>
      </w:hyperlink>
      <w:r w:rsidRPr="00867383">
        <w:t xml:space="preserve"> offers a</w:t>
      </w:r>
      <w:r w:rsidR="00AE1716" w:rsidRPr="00867383">
        <w:t xml:space="preserve">n </w:t>
      </w:r>
      <w:r w:rsidRPr="00867383">
        <w:t xml:space="preserve">incentive to attract and retain doctors and nurse practitioners to rural, </w:t>
      </w:r>
      <w:r w:rsidR="00A771C5" w:rsidRPr="00867383">
        <w:t>remote,</w:t>
      </w:r>
      <w:r w:rsidRPr="00867383">
        <w:t xml:space="preserve"> and very remote Australian communities through the offer to reduce outstanding HECS debts. </w:t>
      </w:r>
      <w:r w:rsidR="002C4FBA" w:rsidRPr="00867383">
        <w:t xml:space="preserve">The program requires eligible doctors to meet minimum practice thresholds. </w:t>
      </w:r>
    </w:p>
    <w:p w14:paraId="3B784FBA" w14:textId="179154D8" w:rsidR="00D4685C" w:rsidRPr="00867383" w:rsidRDefault="00F143F6" w:rsidP="00867383">
      <w:r w:rsidRPr="00867383">
        <w:t>The potential split of rosters between hospital and primary care may impact these thresholds</w:t>
      </w:r>
      <w:r w:rsidR="002C4FBA" w:rsidRPr="00867383">
        <w:t xml:space="preserve">. </w:t>
      </w:r>
      <w:r w:rsidRPr="00867383">
        <w:t>T</w:t>
      </w:r>
      <w:r w:rsidR="00444F18" w:rsidRPr="00867383">
        <w:t>he Department will work with jurisdictions on any specific issues if they arise.</w:t>
      </w:r>
    </w:p>
    <w:p w14:paraId="4E333A41" w14:textId="7AB96137" w:rsidR="002C4FBA" w:rsidRDefault="002C4FBA" w:rsidP="00A4139E">
      <w:pPr>
        <w:pStyle w:val="Heading2"/>
      </w:pPr>
      <w:bookmarkStart w:id="53" w:name="_Hlk167866580"/>
      <w:bookmarkStart w:id="54" w:name="_Toc198641400"/>
      <w:r>
        <w:t>AGPT Program Aboriginal and Torres Strait Islander Salary Support Program</w:t>
      </w:r>
      <w:bookmarkEnd w:id="54"/>
      <w:r>
        <w:t xml:space="preserve"> </w:t>
      </w:r>
    </w:p>
    <w:p w14:paraId="5A8C6E43" w14:textId="2012BCB9" w:rsidR="00F143F6" w:rsidRPr="00867383" w:rsidRDefault="00F143F6" w:rsidP="00867383">
      <w:r w:rsidRPr="00867383">
        <w:t xml:space="preserve">The </w:t>
      </w:r>
      <w:hyperlink r:id="rId16" w:history="1">
        <w:r w:rsidRPr="00F143F6">
          <w:rPr>
            <w:rStyle w:val="Hyperlink"/>
            <w:rFonts w:eastAsia="Calibri" w:cs="Arial"/>
            <w:szCs w:val="22"/>
          </w:rPr>
          <w:t>AGPT Program Aboriginal and Torres Strait Islander Salary Support Program Policy</w:t>
        </w:r>
      </w:hyperlink>
      <w:r w:rsidRPr="00867383">
        <w:t xml:space="preserve"> fund</w:t>
      </w:r>
      <w:r w:rsidR="00355E08" w:rsidRPr="00867383">
        <w:t>s</w:t>
      </w:r>
      <w:r w:rsidRPr="00867383">
        <w:t xml:space="preserve"> GP training placements delivered in Aboriginal and Torres Strait Islander health settings</w:t>
      </w:r>
      <w:r w:rsidR="004E043D" w:rsidRPr="00867383">
        <w:t>. It aims</w:t>
      </w:r>
      <w:r w:rsidRPr="00867383">
        <w:t xml:space="preserve"> to improve access to appropriate, holistic health care for Aboriginal and Torres Strait Islander communities.</w:t>
      </w:r>
    </w:p>
    <w:p w14:paraId="50ED15E3" w14:textId="72C689A4" w:rsidR="008219EB" w:rsidRPr="00867383" w:rsidRDefault="004E043D" w:rsidP="00867383">
      <w:r w:rsidRPr="00867383">
        <w:t>T</w:t>
      </w:r>
      <w:r w:rsidR="008219EB" w:rsidRPr="00867383">
        <w:t>he First Nations GP Training Committee has supported an amendment (section 6.2) to the policy, valid to 31 December 2028, allowing Aboriginal and Torres Strait Islander health settings to access salary support payments if they are to train GP Registrars part</w:t>
      </w:r>
      <w:r w:rsidR="003006CE" w:rsidRPr="00867383">
        <w:t>icipating in</w:t>
      </w:r>
      <w:r w:rsidR="008219EB" w:rsidRPr="00867383">
        <w:t xml:space="preserve"> a SEM trial.  </w:t>
      </w:r>
    </w:p>
    <w:p w14:paraId="1EA7338F" w14:textId="619319B5" w:rsidR="00AE1716" w:rsidRDefault="00AE1716" w:rsidP="00A4139E">
      <w:pPr>
        <w:pStyle w:val="Heading2"/>
      </w:pPr>
      <w:bookmarkStart w:id="55" w:name="_Toc141259153"/>
      <w:bookmarkStart w:id="56" w:name="_Toc198641401"/>
      <w:bookmarkEnd w:id="53"/>
      <w:r>
        <w:t>Health Workforce Scholarship Program (HWSP)</w:t>
      </w:r>
      <w:bookmarkEnd w:id="56"/>
    </w:p>
    <w:p w14:paraId="0BD5B64A" w14:textId="3314BA16" w:rsidR="00AE1716" w:rsidRPr="00867383" w:rsidRDefault="00AE1716" w:rsidP="00867383">
      <w:r w:rsidRPr="00867383">
        <w:t xml:space="preserve">The </w:t>
      </w:r>
      <w:hyperlink r:id="rId17" w:history="1">
        <w:r w:rsidRPr="00AE1716">
          <w:rPr>
            <w:rStyle w:val="Hyperlink"/>
            <w:rFonts w:eastAsia="Calibri"/>
          </w:rPr>
          <w:t>Health Workforce Scholarship Program</w:t>
        </w:r>
      </w:hyperlink>
      <w:r w:rsidRPr="00867383">
        <w:t xml:space="preserve"> provides scholarships and bursaries to existing health professionals committed to rural service</w:t>
      </w:r>
      <w:r w:rsidR="00BE5FC3" w:rsidRPr="00867383">
        <w:t xml:space="preserve">. It </w:t>
      </w:r>
      <w:r w:rsidR="006C7B5C" w:rsidRPr="00867383">
        <w:t>supports</w:t>
      </w:r>
      <w:r w:rsidR="00BE5FC3" w:rsidRPr="00867383">
        <w:t xml:space="preserve"> the costs of completing postgraduate courses, short courses, workshops, conferences and seminars.</w:t>
      </w:r>
    </w:p>
    <w:p w14:paraId="4D631D39" w14:textId="33E9918E" w:rsidR="00BE5FC3" w:rsidRPr="00867383" w:rsidRDefault="005725E2" w:rsidP="00867383">
      <w:r w:rsidRPr="00867383">
        <w:t xml:space="preserve">Health professionals employed solely by Federal, State or Local government (i.e. employed in a public hospital) are not eligible to apply. However, </w:t>
      </w:r>
      <w:r w:rsidR="00752E18" w:rsidRPr="00867383">
        <w:t xml:space="preserve">Rural Workforce Agencies (RWAs) </w:t>
      </w:r>
      <w:r w:rsidR="00247AED" w:rsidRPr="00867383">
        <w:t>ha</w:t>
      </w:r>
      <w:r w:rsidR="002A2CA5" w:rsidRPr="00867383">
        <w:t>ve</w:t>
      </w:r>
      <w:r w:rsidR="00247AED" w:rsidRPr="00867383">
        <w:t xml:space="preserve"> </w:t>
      </w:r>
      <w:r w:rsidR="00A870FA" w:rsidRPr="00867383">
        <w:t>allowed</w:t>
      </w:r>
      <w:r w:rsidR="00247AED" w:rsidRPr="00867383">
        <w:t xml:space="preserve"> </w:t>
      </w:r>
      <w:r w:rsidR="00B41A33" w:rsidRPr="00867383">
        <w:t xml:space="preserve">SEM </w:t>
      </w:r>
      <w:r w:rsidRPr="00867383">
        <w:t xml:space="preserve">participants </w:t>
      </w:r>
      <w:r w:rsidR="00B41A33" w:rsidRPr="00867383">
        <w:t>to apply</w:t>
      </w:r>
      <w:r w:rsidR="00BE5FC3" w:rsidRPr="00867383">
        <w:t xml:space="preserve">. </w:t>
      </w:r>
    </w:p>
    <w:p w14:paraId="119767EB" w14:textId="3D70A920" w:rsidR="00D4685C" w:rsidRPr="00D4685C" w:rsidRDefault="00D4685C" w:rsidP="00A4139E">
      <w:pPr>
        <w:pStyle w:val="Heading2"/>
      </w:pPr>
      <w:bookmarkStart w:id="57" w:name="_Toc198641402"/>
      <w:r>
        <w:t>John Flynn Pre-Vocational Doctor Program (JFPDP)</w:t>
      </w:r>
      <w:bookmarkEnd w:id="55"/>
      <w:bookmarkEnd w:id="57"/>
    </w:p>
    <w:p w14:paraId="4BAF54DD" w14:textId="72E9B3F9" w:rsidR="00912A4B" w:rsidRPr="00867383" w:rsidRDefault="00912A4B" w:rsidP="00867383">
      <w:bookmarkStart w:id="58" w:name="_Toc141259154"/>
      <w:r w:rsidRPr="00867383">
        <w:t xml:space="preserve">Some doctors may proactively enrol on a GP vocational training pathway, such as the AGPT, while undertaking their prevocational training. These doctors may be eligible to participate in </w:t>
      </w:r>
      <w:r w:rsidRPr="00867383">
        <w:lastRenderedPageBreak/>
        <w:t xml:space="preserve">the </w:t>
      </w:r>
      <w:hyperlink r:id="rId18" w:history="1">
        <w:r w:rsidRPr="00867383">
          <w:rPr>
            <w:rStyle w:val="Hyperlink"/>
          </w:rPr>
          <w:t>John Flynn Prevocational Doctor Program (JFPDP)</w:t>
        </w:r>
      </w:hyperlink>
      <w:r w:rsidRPr="00867383">
        <w:t>, subject to grantees managing their learning and ensuring that there is no disruption to the duration of their training in their vocational pathway in which they are enrolled.</w:t>
      </w:r>
    </w:p>
    <w:p w14:paraId="5683F1D5" w14:textId="1B0CDD1C" w:rsidR="00912A4B" w:rsidRPr="00867383" w:rsidRDefault="00912A4B" w:rsidP="00867383">
      <w:r w:rsidRPr="00867383">
        <w:t>JFPDP participants are unable to bill Medicare for the duration of their JFPDP rotation</w:t>
      </w:r>
      <w:r w:rsidR="2BECD717" w:rsidRPr="00867383">
        <w:t>, even if they are part of a SEM trial</w:t>
      </w:r>
      <w:r w:rsidRPr="00867383">
        <w:t>. However, jurisdictions/</w:t>
      </w:r>
      <w:r w:rsidR="007D53BA" w:rsidRPr="00867383">
        <w:t xml:space="preserve">state health services </w:t>
      </w:r>
      <w:r w:rsidRPr="00867383">
        <w:t>can use Commonwealth funding contributions from the JFPDP for the registrar’s salary and practice costs (if applicable). The usual SEM procedure for billing Medicare applies once the JFPDP rotation has been completed and</w:t>
      </w:r>
      <w:r w:rsidR="008B5B76" w:rsidRPr="00867383">
        <w:t xml:space="preserve"> </w:t>
      </w:r>
      <w:r w:rsidRPr="00867383">
        <w:t>commences training on their vocational training pathway.</w:t>
      </w:r>
    </w:p>
    <w:p w14:paraId="1EE15538" w14:textId="6D1F1492" w:rsidR="00912A4B" w:rsidRPr="00867383" w:rsidRDefault="00912A4B" w:rsidP="00867383">
      <w:r w:rsidRPr="00867383">
        <w:t>Where a JFPDP participant is also enrolled on a vocational training pathway, Commonwealth funding is not to be used under both th</w:t>
      </w:r>
      <w:r w:rsidR="00004D9C" w:rsidRPr="00867383">
        <w:t>e</w:t>
      </w:r>
      <w:r w:rsidRPr="00867383">
        <w:t xml:space="preserve"> JFPDP and any other Commonwealth program for the same purposes. Professional services that </w:t>
      </w:r>
      <w:r w:rsidR="00A771C5" w:rsidRPr="00867383">
        <w:t>attract</w:t>
      </w:r>
      <w:r w:rsidRPr="00867383">
        <w:t xml:space="preserve"> a payment through the National Health Reform Agreement are not eligible. The jurisdictions/</w:t>
      </w:r>
      <w:r w:rsidR="007D53BA" w:rsidRPr="00867383">
        <w:t xml:space="preserve">state health services </w:t>
      </w:r>
      <w:r w:rsidRPr="00867383">
        <w:t>are responsible for ensuring that Medicare billing practices are compliant during the crossover of a JFPDP rotation and SEM trial.</w:t>
      </w:r>
    </w:p>
    <w:p w14:paraId="51A23501" w14:textId="69C03C85" w:rsidR="004A3FB7" w:rsidRPr="00D4685C" w:rsidRDefault="00DD6B10" w:rsidP="00867383">
      <w:pPr>
        <w:pStyle w:val="Heading1"/>
      </w:pPr>
      <w:bookmarkStart w:id="59" w:name="_Toc198641403"/>
      <w:bookmarkEnd w:id="2"/>
      <w:bookmarkEnd w:id="58"/>
      <w:r>
        <w:t>Commonwealth Contact</w:t>
      </w:r>
      <w:bookmarkEnd w:id="59"/>
    </w:p>
    <w:p w14:paraId="01CD1810" w14:textId="77777777" w:rsidR="00B4215B" w:rsidRPr="00867383" w:rsidRDefault="004A3FB7" w:rsidP="00867383">
      <w:r w:rsidRPr="00867383">
        <w:t xml:space="preserve">Please direct any queries to </w:t>
      </w:r>
      <w:hyperlink r:id="rId19" w:history="1">
        <w:r w:rsidRPr="00867383">
          <w:rPr>
            <w:rStyle w:val="Hyperlink"/>
          </w:rPr>
          <w:t>SEM@health.gov.au</w:t>
        </w:r>
      </w:hyperlink>
      <w:r w:rsidRPr="00867383">
        <w:t>.</w:t>
      </w:r>
    </w:p>
    <w:p w14:paraId="00ACE93D" w14:textId="67E2C5DA" w:rsidR="002D3A14" w:rsidRPr="00867383" w:rsidRDefault="002D3A14" w:rsidP="00867383">
      <w:r w:rsidRPr="00867383">
        <w:br w:type="page"/>
      </w:r>
    </w:p>
    <w:p w14:paraId="2936D04C" w14:textId="5563D5D8" w:rsidR="007032D8" w:rsidRPr="00867383" w:rsidRDefault="007032D8" w:rsidP="00867383">
      <w:pPr>
        <w:pStyle w:val="Heading1Appendix"/>
      </w:pPr>
      <w:bookmarkStart w:id="60" w:name="_Attachment_A:_Key"/>
      <w:bookmarkStart w:id="61" w:name="_Toc198641404"/>
      <w:bookmarkEnd w:id="60"/>
      <w:r w:rsidRPr="00867383">
        <w:lastRenderedPageBreak/>
        <w:t xml:space="preserve">Attachment </w:t>
      </w:r>
      <w:r w:rsidR="0086235D" w:rsidRPr="00867383">
        <w:t>A</w:t>
      </w:r>
      <w:r w:rsidRPr="00867383">
        <w:t>: Key SEM Success Factors</w:t>
      </w:r>
      <w:r w:rsidR="00E539E6" w:rsidRPr="00867383">
        <w:t xml:space="preserve"> and </w:t>
      </w:r>
      <w:r w:rsidR="00785145" w:rsidRPr="00867383">
        <w:t>Principles</w:t>
      </w:r>
      <w:bookmarkEnd w:id="61"/>
    </w:p>
    <w:p w14:paraId="2DA81F83" w14:textId="1189385F" w:rsidR="00D94811" w:rsidRPr="00867383" w:rsidRDefault="00D94811" w:rsidP="00867383">
      <w:r w:rsidRPr="00867383">
        <w:t xml:space="preserve">Baseline findings </w:t>
      </w:r>
      <w:r w:rsidR="00A34285" w:rsidRPr="00867383">
        <w:t>of the SEM trials</w:t>
      </w:r>
      <w:r w:rsidR="00034095" w:rsidRPr="00867383">
        <w:t xml:space="preserve"> by the external evaluators</w:t>
      </w:r>
      <w:r w:rsidR="00A34285" w:rsidRPr="00867383">
        <w:t xml:space="preserve"> </w:t>
      </w:r>
      <w:r w:rsidRPr="00867383">
        <w:t xml:space="preserve">noted the </w:t>
      </w:r>
      <w:r w:rsidR="00034095" w:rsidRPr="00867383">
        <w:t xml:space="preserve">below </w:t>
      </w:r>
      <w:r w:rsidRPr="00867383">
        <w:t>key factors</w:t>
      </w:r>
      <w:r w:rsidR="00034095" w:rsidRPr="00867383">
        <w:t xml:space="preserve"> </w:t>
      </w:r>
      <w:r w:rsidRPr="00867383">
        <w:t xml:space="preserve">for </w:t>
      </w:r>
      <w:r w:rsidR="00A34285" w:rsidRPr="00867383">
        <w:t>success</w:t>
      </w:r>
      <w:r w:rsidR="00034095" w:rsidRPr="00867383">
        <w:t xml:space="preserve">. There is flexibility to adapt the models and try new approaches during the trial phase. The National SEM Evaluation will seek to identify </w:t>
      </w:r>
      <w:r w:rsidR="00732AED" w:rsidRPr="00867383">
        <w:t xml:space="preserve">the most </w:t>
      </w:r>
      <w:r w:rsidR="00034095" w:rsidRPr="00867383">
        <w:t xml:space="preserve">effective arrangements under a SEM. </w:t>
      </w:r>
    </w:p>
    <w:p w14:paraId="5E968AAB" w14:textId="67B04CD9" w:rsidR="00757885" w:rsidRPr="00757885" w:rsidRDefault="00757885" w:rsidP="00867383">
      <w:pPr>
        <w:pStyle w:val="ListBullet"/>
      </w:pPr>
      <w:r w:rsidRPr="00867383">
        <w:rPr>
          <w:rStyle w:val="Strong"/>
        </w:rPr>
        <w:t>Strong relationships</w:t>
      </w:r>
      <w:r w:rsidRPr="00757885">
        <w:t xml:space="preserve"> between primary care and </w:t>
      </w:r>
      <w:r>
        <w:t xml:space="preserve">state </w:t>
      </w:r>
      <w:r w:rsidRPr="00757885">
        <w:t>health service within region</w:t>
      </w:r>
      <w:r>
        <w:t>s</w:t>
      </w:r>
      <w:r w:rsidRPr="00757885">
        <w:t xml:space="preserve"> and shared objectives between all players. This requires key leadership and personnel within the health service who understand and value General Practice and have the local relationships with practices. </w:t>
      </w:r>
    </w:p>
    <w:p w14:paraId="505297EA" w14:textId="396BC5C4" w:rsidR="00757885" w:rsidRPr="00757885" w:rsidRDefault="00757885" w:rsidP="00867383">
      <w:pPr>
        <w:pStyle w:val="ListBullet"/>
      </w:pPr>
      <w:r w:rsidRPr="00867383">
        <w:rPr>
          <w:rStyle w:val="Strong"/>
        </w:rPr>
        <w:t>Codesign of Practice Agreements</w:t>
      </w:r>
      <w:r w:rsidRPr="00757885">
        <w:t xml:space="preserve"> with participating General Practices/training sites </w:t>
      </w:r>
      <w:r w:rsidR="007F0614">
        <w:t>to alleviate</w:t>
      </w:r>
      <w:r>
        <w:t xml:space="preserve"> the </w:t>
      </w:r>
      <w:r w:rsidRPr="00867383">
        <w:t xml:space="preserve">financial and administrative burden </w:t>
      </w:r>
      <w:r w:rsidR="007F0614" w:rsidRPr="00867383">
        <w:t>from the</w:t>
      </w:r>
      <w:r w:rsidRPr="00867383">
        <w:t xml:space="preserve"> primary care providers</w:t>
      </w:r>
      <w:r w:rsidRPr="00757885">
        <w:t>.</w:t>
      </w:r>
    </w:p>
    <w:p w14:paraId="0B9AC507" w14:textId="45C9B89E" w:rsidR="00757885" w:rsidRPr="00757885" w:rsidRDefault="00757885" w:rsidP="00867383">
      <w:pPr>
        <w:pStyle w:val="ListBullet"/>
      </w:pPr>
      <w:r w:rsidRPr="00867383">
        <w:rPr>
          <w:rStyle w:val="Strong"/>
        </w:rPr>
        <w:t>Codesign and significant consultation</w:t>
      </w:r>
      <w:r w:rsidRPr="00757885">
        <w:t xml:space="preserve"> on the operationalisation and implementation of SEM for each trial with </w:t>
      </w:r>
      <w:r w:rsidR="007F0614">
        <w:t xml:space="preserve">a diverse range of </w:t>
      </w:r>
      <w:r w:rsidRPr="00757885">
        <w:t xml:space="preserve">key stakeholders. </w:t>
      </w:r>
      <w:r w:rsidR="007F0614">
        <w:t>Thi</w:t>
      </w:r>
      <w:r w:rsidR="007F0614" w:rsidRPr="00867383">
        <w:t>s will also strengthen relationships across the sector.</w:t>
      </w:r>
    </w:p>
    <w:p w14:paraId="4B8548ED" w14:textId="1F5FE89D" w:rsidR="00757885" w:rsidRPr="00757885" w:rsidRDefault="00757885" w:rsidP="00867383">
      <w:pPr>
        <w:pStyle w:val="ListBullet"/>
      </w:pPr>
      <w:r w:rsidRPr="00867383">
        <w:rPr>
          <w:rStyle w:val="Strong"/>
        </w:rPr>
        <w:t>Strong and shared governance</w:t>
      </w:r>
      <w:r w:rsidRPr="00757885">
        <w:t xml:space="preserve"> with representation from </w:t>
      </w:r>
      <w:r w:rsidR="007F0614">
        <w:t>various</w:t>
      </w:r>
      <w:r w:rsidRPr="00757885">
        <w:t xml:space="preserve"> players</w:t>
      </w:r>
      <w:r w:rsidR="007F0614">
        <w:t xml:space="preserve">, which will </w:t>
      </w:r>
      <w:r w:rsidR="007F0614" w:rsidRPr="00867383">
        <w:t>promote transparency and accountability</w:t>
      </w:r>
      <w:r w:rsidRPr="00757885">
        <w:t xml:space="preserve">. </w:t>
      </w:r>
    </w:p>
    <w:p w14:paraId="534B8C74" w14:textId="6E358716" w:rsidR="00757885" w:rsidRPr="00757885" w:rsidRDefault="00757885" w:rsidP="00867383">
      <w:pPr>
        <w:pStyle w:val="ListBullet"/>
      </w:pPr>
      <w:r w:rsidRPr="00867383">
        <w:rPr>
          <w:rStyle w:val="Strong"/>
        </w:rPr>
        <w:t>Local/place-based approach</w:t>
      </w:r>
      <w:r w:rsidRPr="00757885">
        <w:t xml:space="preserve"> that leverages connection with the community and training opportunities within the region (e.g. integrated GP and hospital appointments). This approach enables deep understanding of each registrar and training site to ensure appropriate and strategic placement of registrars in communities they are likely to stay in longer term.</w:t>
      </w:r>
    </w:p>
    <w:p w14:paraId="14582E9C" w14:textId="71ED9AA5" w:rsidR="00757885" w:rsidRPr="00757885" w:rsidRDefault="00757885" w:rsidP="00867383">
      <w:pPr>
        <w:pStyle w:val="ListBullet"/>
      </w:pPr>
      <w:r w:rsidRPr="00867383">
        <w:rPr>
          <w:rStyle w:val="Strong"/>
        </w:rPr>
        <w:t>Joined up training pathway</w:t>
      </w:r>
      <w:r w:rsidRPr="00757885">
        <w:t xml:space="preserve"> which is enabled by the trial lead coordinating all elements of the training pathway</w:t>
      </w:r>
      <w:r w:rsidR="007F0614">
        <w:t>. It aims to create a seamless training pathway for participants</w:t>
      </w:r>
      <w:r w:rsidRPr="00757885">
        <w:t xml:space="preserve">. </w:t>
      </w:r>
    </w:p>
    <w:p w14:paraId="5078B6D1" w14:textId="1A1AF1EA" w:rsidR="00785145" w:rsidRPr="00867383" w:rsidRDefault="00757885" w:rsidP="00867383">
      <w:pPr>
        <w:pStyle w:val="ListBullet"/>
      </w:pPr>
      <w:r w:rsidRPr="00867383">
        <w:rPr>
          <w:rStyle w:val="Strong"/>
        </w:rPr>
        <w:t>Ability to manage issues responsively</w:t>
      </w:r>
      <w:r w:rsidRPr="5834ECE7">
        <w:t xml:space="preserve"> </w:t>
      </w:r>
      <w:r w:rsidR="00AA74EE" w:rsidRPr="5834ECE7">
        <w:t>is supported</w:t>
      </w:r>
      <w:r w:rsidR="003C456D" w:rsidRPr="5834ECE7">
        <w:t xml:space="preserve"> by</w:t>
      </w:r>
      <w:r w:rsidRPr="5834ECE7">
        <w:t xml:space="preserve"> strong trusted relationships between the state health service and General Practices</w:t>
      </w:r>
    </w:p>
    <w:p w14:paraId="24E96CE6" w14:textId="3BBD3C83" w:rsidR="00785145" w:rsidRPr="00867383" w:rsidRDefault="00202162" w:rsidP="00867383">
      <w:r w:rsidRPr="00867383">
        <w:t>The below key principles underpin</w:t>
      </w:r>
      <w:r w:rsidR="00843F55" w:rsidRPr="00867383">
        <w:t xml:space="preserve"> the SEM trials, which have been described in action throughout the document. </w:t>
      </w:r>
    </w:p>
    <w:p w14:paraId="660BBE38" w14:textId="008DDDA6" w:rsidR="004705EC" w:rsidRPr="004705EC" w:rsidRDefault="004705EC" w:rsidP="00867383">
      <w:pPr>
        <w:pStyle w:val="ListBullet"/>
      </w:pPr>
      <w:r w:rsidRPr="5834ECE7">
        <w:t>Collaborative relationships</w:t>
      </w:r>
    </w:p>
    <w:p w14:paraId="6B8D672C" w14:textId="0B398BEE" w:rsidR="004705EC" w:rsidRPr="004705EC" w:rsidRDefault="004705EC" w:rsidP="00867383">
      <w:pPr>
        <w:pStyle w:val="ListBullet"/>
      </w:pPr>
      <w:r w:rsidRPr="5834ECE7">
        <w:t xml:space="preserve">Practices should not be financially disadvantaged through their participation </w:t>
      </w:r>
    </w:p>
    <w:p w14:paraId="2ABBF45A" w14:textId="4E024F43" w:rsidR="004705EC" w:rsidRPr="004705EC" w:rsidRDefault="004705EC" w:rsidP="00867383">
      <w:pPr>
        <w:pStyle w:val="ListBullet"/>
      </w:pPr>
      <w:r w:rsidRPr="5834ECE7">
        <w:t xml:space="preserve">Voluntary </w:t>
      </w:r>
      <w:r w:rsidRPr="00867383">
        <w:t>participation</w:t>
      </w:r>
    </w:p>
    <w:p w14:paraId="689B4385" w14:textId="65DCB298" w:rsidR="00EA2D36" w:rsidRPr="00867383" w:rsidRDefault="004705EC" w:rsidP="00867383">
      <w:r w:rsidRPr="00867383">
        <w:t>Flexibility to adapt the models</w:t>
      </w:r>
    </w:p>
    <w:p w14:paraId="14B0A032" w14:textId="77777777" w:rsidR="00EA2D36" w:rsidRPr="00867383" w:rsidRDefault="00EA2D36" w:rsidP="00867383"/>
    <w:p w14:paraId="3F53F8D8" w14:textId="77777777" w:rsidR="00EA2D36" w:rsidRPr="00867383" w:rsidRDefault="00EA2D36" w:rsidP="00867383">
      <w:pPr>
        <w:sectPr w:rsidR="00EA2D36" w:rsidRPr="00867383" w:rsidSect="00621C6E">
          <w:headerReference w:type="default" r:id="rId20"/>
          <w:footerReference w:type="default" r:id="rId21"/>
          <w:pgSz w:w="11906" w:h="16838"/>
          <w:pgMar w:top="1701" w:right="1418" w:bottom="1418" w:left="1418" w:header="709" w:footer="709" w:gutter="0"/>
          <w:cols w:space="708"/>
          <w:docGrid w:linePitch="360"/>
        </w:sectPr>
      </w:pPr>
    </w:p>
    <w:p w14:paraId="69DF3D34" w14:textId="77777777" w:rsidR="00EA2D36" w:rsidRPr="004D1339" w:rsidRDefault="00EA2D36" w:rsidP="00867383">
      <w:pPr>
        <w:pStyle w:val="URL"/>
      </w:pPr>
      <w:r w:rsidRPr="004D1339">
        <w:lastRenderedPageBreak/>
        <w:t>Health.gov.au</w:t>
      </w:r>
    </w:p>
    <w:p w14:paraId="347548C9" w14:textId="147F508B" w:rsidR="00EA2D36" w:rsidRPr="00867383" w:rsidRDefault="00EA2D36" w:rsidP="00867383">
      <w:r w:rsidRPr="00867383">
        <w:t xml:space="preserve">All information in this publication is correct as </w:t>
      </w:r>
      <w:proofErr w:type="gramStart"/>
      <w:r w:rsidRPr="00867383">
        <w:t>at</w:t>
      </w:r>
      <w:proofErr w:type="gramEnd"/>
      <w:r w:rsidRPr="00867383">
        <w:t xml:space="preserve"> May 2025</w:t>
      </w:r>
    </w:p>
    <w:sectPr w:rsidR="00EA2D36" w:rsidRPr="00867383" w:rsidSect="00621C6E">
      <w:headerReference w:type="default" r:id="rId22"/>
      <w:footerReference w:type="default" r:id="rId2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7728" w14:textId="77777777" w:rsidR="000E3C12" w:rsidRDefault="000E3C12" w:rsidP="00867383">
      <w:r>
        <w:separator/>
      </w:r>
    </w:p>
    <w:p w14:paraId="498AE91C" w14:textId="77777777" w:rsidR="000E3C12" w:rsidRDefault="000E3C12" w:rsidP="00867383"/>
  </w:endnote>
  <w:endnote w:type="continuationSeparator" w:id="0">
    <w:p w14:paraId="1D139B22" w14:textId="77777777" w:rsidR="000E3C12" w:rsidRDefault="000E3C12" w:rsidP="00867383">
      <w:r>
        <w:continuationSeparator/>
      </w:r>
    </w:p>
    <w:p w14:paraId="1433222C" w14:textId="77777777" w:rsidR="000E3C12" w:rsidRDefault="000E3C12" w:rsidP="00867383"/>
  </w:endnote>
  <w:endnote w:type="continuationNotice" w:id="1">
    <w:p w14:paraId="4BE3AA9D" w14:textId="77777777" w:rsidR="000E3C12" w:rsidRDefault="000E3C12" w:rsidP="00867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585B" w14:textId="21CBAF6B" w:rsidR="00E756D4" w:rsidRDefault="00D4685C" w:rsidP="00867383">
    <w:pPr>
      <w:pStyle w:val="Footer"/>
    </w:pPr>
    <w:r>
      <w:t>Single Employer Model Trial Parameters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5CE6" w14:textId="79B2992F" w:rsidR="00EA2D36" w:rsidRPr="00751A23" w:rsidRDefault="00000000" w:rsidP="00934368">
    <w:pPr>
      <w:pStyle w:val="Footer"/>
    </w:pPr>
    <w:sdt>
      <w:sdtPr>
        <w:id w:val="1809427699"/>
        <w:docPartObj>
          <w:docPartGallery w:val="Page Numbers (Bottom of Page)"/>
          <w:docPartUnique/>
        </w:docPartObj>
      </w:sdtPr>
      <w:sdtEndPr>
        <w:rPr>
          <w:noProof/>
        </w:rPr>
      </w:sdtEndPr>
      <w:sdtContent>
        <w:r w:rsidR="00EA2D36">
          <w:tab/>
        </w:r>
      </w:sdtContent>
    </w:sdt>
  </w:p>
  <w:p w14:paraId="2F26B47B" w14:textId="77777777" w:rsidR="00EA2D36" w:rsidRDefault="00EA2D36" w:rsidP="00867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0F6A7" w14:textId="77777777" w:rsidR="000E3C12" w:rsidRDefault="000E3C12" w:rsidP="00867383">
      <w:r>
        <w:separator/>
      </w:r>
    </w:p>
    <w:p w14:paraId="79234D0A" w14:textId="77777777" w:rsidR="000E3C12" w:rsidRDefault="000E3C12" w:rsidP="00867383"/>
  </w:footnote>
  <w:footnote w:type="continuationSeparator" w:id="0">
    <w:p w14:paraId="3600D9BC" w14:textId="77777777" w:rsidR="000E3C12" w:rsidRDefault="000E3C12" w:rsidP="00867383">
      <w:r>
        <w:continuationSeparator/>
      </w:r>
    </w:p>
    <w:p w14:paraId="59ADCB7A" w14:textId="77777777" w:rsidR="000E3C12" w:rsidRDefault="000E3C12" w:rsidP="00867383"/>
  </w:footnote>
  <w:footnote w:type="continuationNotice" w:id="1">
    <w:p w14:paraId="40BEFF35" w14:textId="77777777" w:rsidR="000E3C12" w:rsidRDefault="000E3C12" w:rsidP="00867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35ACC2A3">
          <wp:simplePos x="0" y="0"/>
          <wp:positionH relativeFrom="page">
            <wp:posOffset>0</wp:posOffset>
          </wp:positionH>
          <wp:positionV relativeFrom="page">
            <wp:posOffset>5360</wp:posOffset>
          </wp:positionV>
          <wp:extent cx="7559245" cy="10681955"/>
          <wp:effectExtent l="0" t="0" r="3810" b="5715"/>
          <wp:wrapNone/>
          <wp:docPr id="1055146220" name="Picture 1055146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6220" name="Picture 10551462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819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A7DD" w14:textId="48FE6514" w:rsidR="00E756D4" w:rsidRDefault="00E756D4" w:rsidP="008673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71F7" w14:textId="65DE8359" w:rsidR="00EA2D36" w:rsidRDefault="00EA2D36" w:rsidP="00934368">
    <w:pPr>
      <w:pStyle w:val="Headertext"/>
    </w:pPr>
  </w:p>
  <w:p w14:paraId="1C320206" w14:textId="2461E1B3" w:rsidR="00EA2D36" w:rsidRDefault="00EA2D36" w:rsidP="00867383">
    <w:r>
      <w:rPr>
        <w:noProof/>
        <w:lang w:eastAsia="en-AU"/>
      </w:rPr>
      <w:drawing>
        <wp:anchor distT="0" distB="0" distL="114300" distR="114300" simplePos="0" relativeHeight="251660288" behindDoc="1" locked="0" layoutInCell="1" allowOverlap="1" wp14:anchorId="6DBBEEFF" wp14:editId="378AFDC1">
          <wp:simplePos x="0" y="0"/>
          <wp:positionH relativeFrom="page">
            <wp:align>left</wp:align>
          </wp:positionH>
          <wp:positionV relativeFrom="page">
            <wp:align>bottom</wp:align>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BAA0FC5C"/>
    <w:lvl w:ilvl="0" w:tplc="15E8E79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20500"/>
    <w:multiLevelType w:val="hybridMultilevel"/>
    <w:tmpl w:val="F92CD606"/>
    <w:lvl w:ilvl="0" w:tplc="2EF84AFC">
      <w:start w:val="1"/>
      <w:numFmt w:val="decimal"/>
      <w:pStyle w:val="Heading1"/>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92BF6"/>
    <w:multiLevelType w:val="hybridMultilevel"/>
    <w:tmpl w:val="49E0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12ABB"/>
    <w:multiLevelType w:val="hybridMultilevel"/>
    <w:tmpl w:val="77BA7BE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4BF336A"/>
    <w:multiLevelType w:val="hybridMultilevel"/>
    <w:tmpl w:val="448286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A24DA3"/>
    <w:multiLevelType w:val="hybridMultilevel"/>
    <w:tmpl w:val="DFC4EBFE"/>
    <w:lvl w:ilvl="0" w:tplc="314C7846">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64CCB"/>
    <w:multiLevelType w:val="hybridMultilevel"/>
    <w:tmpl w:val="7FB25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B10957"/>
    <w:multiLevelType w:val="hybridMultilevel"/>
    <w:tmpl w:val="00F63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D45D8"/>
    <w:multiLevelType w:val="hybridMultilevel"/>
    <w:tmpl w:val="7940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7583D"/>
    <w:multiLevelType w:val="hybridMultilevel"/>
    <w:tmpl w:val="BCE2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9907186">
    <w:abstractNumId w:val="7"/>
  </w:num>
  <w:num w:numId="2" w16cid:durableId="954751047">
    <w:abstractNumId w:val="20"/>
  </w:num>
  <w:num w:numId="3" w16cid:durableId="55856389">
    <w:abstractNumId w:val="26"/>
  </w:num>
  <w:num w:numId="4" w16cid:durableId="940140977">
    <w:abstractNumId w:val="9"/>
  </w:num>
  <w:num w:numId="5" w16cid:durableId="1866095390">
    <w:abstractNumId w:val="9"/>
    <w:lvlOverride w:ilvl="0">
      <w:startOverride w:val="1"/>
    </w:lvlOverride>
  </w:num>
  <w:num w:numId="6" w16cid:durableId="294609211">
    <w:abstractNumId w:val="10"/>
  </w:num>
  <w:num w:numId="7" w16cid:durableId="1338655770">
    <w:abstractNumId w:val="18"/>
  </w:num>
  <w:num w:numId="8" w16cid:durableId="131798421">
    <w:abstractNumId w:val="25"/>
  </w:num>
  <w:num w:numId="9" w16cid:durableId="427240854">
    <w:abstractNumId w:val="5"/>
  </w:num>
  <w:num w:numId="10" w16cid:durableId="2048526237">
    <w:abstractNumId w:val="4"/>
  </w:num>
  <w:num w:numId="11" w16cid:durableId="47921263">
    <w:abstractNumId w:val="3"/>
  </w:num>
  <w:num w:numId="12" w16cid:durableId="1884711761">
    <w:abstractNumId w:val="2"/>
  </w:num>
  <w:num w:numId="13" w16cid:durableId="1463889021">
    <w:abstractNumId w:val="6"/>
  </w:num>
  <w:num w:numId="14" w16cid:durableId="1838574342">
    <w:abstractNumId w:val="1"/>
  </w:num>
  <w:num w:numId="15" w16cid:durableId="1191722245">
    <w:abstractNumId w:val="0"/>
  </w:num>
  <w:num w:numId="16" w16cid:durableId="863178788">
    <w:abstractNumId w:val="28"/>
  </w:num>
  <w:num w:numId="17" w16cid:durableId="1554929962">
    <w:abstractNumId w:val="11"/>
  </w:num>
  <w:num w:numId="18" w16cid:durableId="1889224336">
    <w:abstractNumId w:val="12"/>
  </w:num>
  <w:num w:numId="19" w16cid:durableId="620187973">
    <w:abstractNumId w:val="17"/>
  </w:num>
  <w:num w:numId="20" w16cid:durableId="316886143">
    <w:abstractNumId w:val="11"/>
  </w:num>
  <w:num w:numId="21" w16cid:durableId="942230841">
    <w:abstractNumId w:val="17"/>
  </w:num>
  <w:num w:numId="22" w16cid:durableId="1898204701">
    <w:abstractNumId w:val="28"/>
  </w:num>
  <w:num w:numId="23" w16cid:durableId="403794085">
    <w:abstractNumId w:val="20"/>
  </w:num>
  <w:num w:numId="24" w16cid:durableId="735516376">
    <w:abstractNumId w:val="26"/>
  </w:num>
  <w:num w:numId="25" w16cid:durableId="916019859">
    <w:abstractNumId w:val="9"/>
  </w:num>
  <w:num w:numId="26" w16cid:durableId="267660595">
    <w:abstractNumId w:val="19"/>
  </w:num>
  <w:num w:numId="27" w16cid:durableId="639697210">
    <w:abstractNumId w:val="24"/>
  </w:num>
  <w:num w:numId="28" w16cid:durableId="1877348632">
    <w:abstractNumId w:val="27"/>
  </w:num>
  <w:num w:numId="29" w16cid:durableId="1372263082">
    <w:abstractNumId w:val="22"/>
  </w:num>
  <w:num w:numId="30" w16cid:durableId="2146462385">
    <w:abstractNumId w:val="8"/>
  </w:num>
  <w:num w:numId="31" w16cid:durableId="43214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5660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4531202">
    <w:abstractNumId w:val="23"/>
  </w:num>
  <w:num w:numId="34" w16cid:durableId="2039504642">
    <w:abstractNumId w:val="14"/>
  </w:num>
  <w:num w:numId="35" w16cid:durableId="1087846226">
    <w:abstractNumId w:val="13"/>
  </w:num>
  <w:num w:numId="36" w16cid:durableId="1923248060">
    <w:abstractNumId w:val="21"/>
  </w:num>
  <w:num w:numId="37" w16cid:durableId="692536198">
    <w:abstractNumId w:val="21"/>
    <w:lvlOverride w:ilvl="0">
      <w:startOverride w:val="1"/>
    </w:lvlOverride>
  </w:num>
  <w:num w:numId="38" w16cid:durableId="20975591">
    <w:abstractNumId w:val="21"/>
    <w:lvlOverride w:ilvl="0">
      <w:startOverride w:val="1"/>
    </w:lvlOverride>
  </w:num>
  <w:num w:numId="39" w16cid:durableId="92919640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D16"/>
    <w:rsid w:val="00001F41"/>
    <w:rsid w:val="000032AC"/>
    <w:rsid w:val="00003743"/>
    <w:rsid w:val="000047B4"/>
    <w:rsid w:val="00004D9C"/>
    <w:rsid w:val="00005712"/>
    <w:rsid w:val="00007CBF"/>
    <w:rsid w:val="00007FD8"/>
    <w:rsid w:val="000117F8"/>
    <w:rsid w:val="000127E2"/>
    <w:rsid w:val="00013F44"/>
    <w:rsid w:val="0001670B"/>
    <w:rsid w:val="00026139"/>
    <w:rsid w:val="00027071"/>
    <w:rsid w:val="00027601"/>
    <w:rsid w:val="00033321"/>
    <w:rsid w:val="000338E5"/>
    <w:rsid w:val="00033ECC"/>
    <w:rsid w:val="00034095"/>
    <w:rsid w:val="0003422F"/>
    <w:rsid w:val="00043B3F"/>
    <w:rsid w:val="000441DC"/>
    <w:rsid w:val="00046FF0"/>
    <w:rsid w:val="00050176"/>
    <w:rsid w:val="000531B3"/>
    <w:rsid w:val="00055946"/>
    <w:rsid w:val="000601CB"/>
    <w:rsid w:val="00061966"/>
    <w:rsid w:val="00062B65"/>
    <w:rsid w:val="00067456"/>
    <w:rsid w:val="00070929"/>
    <w:rsid w:val="00071506"/>
    <w:rsid w:val="0007154F"/>
    <w:rsid w:val="000730F2"/>
    <w:rsid w:val="00074944"/>
    <w:rsid w:val="00081AB1"/>
    <w:rsid w:val="00090316"/>
    <w:rsid w:val="00093981"/>
    <w:rsid w:val="00093CD9"/>
    <w:rsid w:val="0009420A"/>
    <w:rsid w:val="000949CE"/>
    <w:rsid w:val="00095357"/>
    <w:rsid w:val="000A3D96"/>
    <w:rsid w:val="000A4391"/>
    <w:rsid w:val="000B067A"/>
    <w:rsid w:val="000B0EBF"/>
    <w:rsid w:val="000B1540"/>
    <w:rsid w:val="000B33FD"/>
    <w:rsid w:val="000B4ABA"/>
    <w:rsid w:val="000C4B16"/>
    <w:rsid w:val="000C50C3"/>
    <w:rsid w:val="000C63F3"/>
    <w:rsid w:val="000C641A"/>
    <w:rsid w:val="000D21F6"/>
    <w:rsid w:val="000D42C3"/>
    <w:rsid w:val="000D4500"/>
    <w:rsid w:val="000D4C3A"/>
    <w:rsid w:val="000D7AEA"/>
    <w:rsid w:val="000E01A9"/>
    <w:rsid w:val="000E2C66"/>
    <w:rsid w:val="000E3C12"/>
    <w:rsid w:val="000E564E"/>
    <w:rsid w:val="000E6E7D"/>
    <w:rsid w:val="000F123C"/>
    <w:rsid w:val="000F21FE"/>
    <w:rsid w:val="000F2FED"/>
    <w:rsid w:val="000F3C14"/>
    <w:rsid w:val="000F5F4A"/>
    <w:rsid w:val="00102E61"/>
    <w:rsid w:val="0010616D"/>
    <w:rsid w:val="00107F38"/>
    <w:rsid w:val="00110478"/>
    <w:rsid w:val="00112D05"/>
    <w:rsid w:val="001141CF"/>
    <w:rsid w:val="0011632E"/>
    <w:rsid w:val="0011711B"/>
    <w:rsid w:val="00117F8A"/>
    <w:rsid w:val="00121B9B"/>
    <w:rsid w:val="00122ADC"/>
    <w:rsid w:val="00124602"/>
    <w:rsid w:val="00124708"/>
    <w:rsid w:val="00127609"/>
    <w:rsid w:val="00130F59"/>
    <w:rsid w:val="001321D9"/>
    <w:rsid w:val="00133EC0"/>
    <w:rsid w:val="00141CE5"/>
    <w:rsid w:val="00144908"/>
    <w:rsid w:val="00147E84"/>
    <w:rsid w:val="001526A1"/>
    <w:rsid w:val="001571C7"/>
    <w:rsid w:val="00160475"/>
    <w:rsid w:val="00160DFA"/>
    <w:rsid w:val="00161094"/>
    <w:rsid w:val="00171052"/>
    <w:rsid w:val="001725BB"/>
    <w:rsid w:val="00172A55"/>
    <w:rsid w:val="00172C03"/>
    <w:rsid w:val="00175294"/>
    <w:rsid w:val="001758CD"/>
    <w:rsid w:val="0017665C"/>
    <w:rsid w:val="00177AD2"/>
    <w:rsid w:val="00180778"/>
    <w:rsid w:val="001815A8"/>
    <w:rsid w:val="001840FA"/>
    <w:rsid w:val="00190079"/>
    <w:rsid w:val="00194E70"/>
    <w:rsid w:val="0019622E"/>
    <w:rsid w:val="001966A7"/>
    <w:rsid w:val="00196742"/>
    <w:rsid w:val="001A0281"/>
    <w:rsid w:val="001A03F3"/>
    <w:rsid w:val="001A15B0"/>
    <w:rsid w:val="001A4627"/>
    <w:rsid w:val="001A4979"/>
    <w:rsid w:val="001A4CBC"/>
    <w:rsid w:val="001A59B4"/>
    <w:rsid w:val="001B0A15"/>
    <w:rsid w:val="001B15D3"/>
    <w:rsid w:val="001B291F"/>
    <w:rsid w:val="001B3443"/>
    <w:rsid w:val="001B3F09"/>
    <w:rsid w:val="001C0326"/>
    <w:rsid w:val="001C192F"/>
    <w:rsid w:val="001C3C42"/>
    <w:rsid w:val="001C5891"/>
    <w:rsid w:val="001D7075"/>
    <w:rsid w:val="001D7869"/>
    <w:rsid w:val="001E35EC"/>
    <w:rsid w:val="001E563E"/>
    <w:rsid w:val="001F1441"/>
    <w:rsid w:val="001F1C0D"/>
    <w:rsid w:val="001F2F78"/>
    <w:rsid w:val="00202162"/>
    <w:rsid w:val="002026CD"/>
    <w:rsid w:val="00202716"/>
    <w:rsid w:val="002033FC"/>
    <w:rsid w:val="00203BBF"/>
    <w:rsid w:val="002044BB"/>
    <w:rsid w:val="00210B09"/>
    <w:rsid w:val="00210C9E"/>
    <w:rsid w:val="00211840"/>
    <w:rsid w:val="00220E5F"/>
    <w:rsid w:val="002212B5"/>
    <w:rsid w:val="00222762"/>
    <w:rsid w:val="00224209"/>
    <w:rsid w:val="002243EA"/>
    <w:rsid w:val="00226668"/>
    <w:rsid w:val="00231453"/>
    <w:rsid w:val="00231BF5"/>
    <w:rsid w:val="002323F8"/>
    <w:rsid w:val="00233809"/>
    <w:rsid w:val="0023716E"/>
    <w:rsid w:val="00240046"/>
    <w:rsid w:val="00246B22"/>
    <w:rsid w:val="0024797F"/>
    <w:rsid w:val="00247AED"/>
    <w:rsid w:val="002509DE"/>
    <w:rsid w:val="0025119E"/>
    <w:rsid w:val="00251269"/>
    <w:rsid w:val="0025183F"/>
    <w:rsid w:val="00252B52"/>
    <w:rsid w:val="002535C0"/>
    <w:rsid w:val="002579FE"/>
    <w:rsid w:val="00263040"/>
    <w:rsid w:val="0026311C"/>
    <w:rsid w:val="002635E8"/>
    <w:rsid w:val="0026668C"/>
    <w:rsid w:val="00266AC1"/>
    <w:rsid w:val="00267C29"/>
    <w:rsid w:val="00270795"/>
    <w:rsid w:val="0027178C"/>
    <w:rsid w:val="002719FA"/>
    <w:rsid w:val="00272668"/>
    <w:rsid w:val="00272A60"/>
    <w:rsid w:val="0027330B"/>
    <w:rsid w:val="002803AD"/>
    <w:rsid w:val="00282052"/>
    <w:rsid w:val="0028216C"/>
    <w:rsid w:val="00283A85"/>
    <w:rsid w:val="0028456D"/>
    <w:rsid w:val="0028519E"/>
    <w:rsid w:val="002856A5"/>
    <w:rsid w:val="00286E7F"/>
    <w:rsid w:val="002872ED"/>
    <w:rsid w:val="002905C2"/>
    <w:rsid w:val="00295AF2"/>
    <w:rsid w:val="00295C91"/>
    <w:rsid w:val="00297151"/>
    <w:rsid w:val="0029732A"/>
    <w:rsid w:val="00297438"/>
    <w:rsid w:val="002A0910"/>
    <w:rsid w:val="002A2CA5"/>
    <w:rsid w:val="002B0238"/>
    <w:rsid w:val="002B20E6"/>
    <w:rsid w:val="002B42A3"/>
    <w:rsid w:val="002C0CDD"/>
    <w:rsid w:val="002C4FBA"/>
    <w:rsid w:val="002D32FD"/>
    <w:rsid w:val="002D3A14"/>
    <w:rsid w:val="002D3E02"/>
    <w:rsid w:val="002D6DEC"/>
    <w:rsid w:val="002E1A1D"/>
    <w:rsid w:val="002E22C7"/>
    <w:rsid w:val="002E35FB"/>
    <w:rsid w:val="002E4081"/>
    <w:rsid w:val="002E5B78"/>
    <w:rsid w:val="002F3AE3"/>
    <w:rsid w:val="002F683A"/>
    <w:rsid w:val="002F7D0A"/>
    <w:rsid w:val="0030021F"/>
    <w:rsid w:val="003006CE"/>
    <w:rsid w:val="003033AA"/>
    <w:rsid w:val="0030464B"/>
    <w:rsid w:val="0030786C"/>
    <w:rsid w:val="0030797E"/>
    <w:rsid w:val="00310E76"/>
    <w:rsid w:val="00313FAA"/>
    <w:rsid w:val="00321AAB"/>
    <w:rsid w:val="003233DE"/>
    <w:rsid w:val="0032466B"/>
    <w:rsid w:val="0032679C"/>
    <w:rsid w:val="00327B44"/>
    <w:rsid w:val="00330966"/>
    <w:rsid w:val="0033258F"/>
    <w:rsid w:val="00332702"/>
    <w:rsid w:val="003330EB"/>
    <w:rsid w:val="0033398B"/>
    <w:rsid w:val="003339CE"/>
    <w:rsid w:val="00335259"/>
    <w:rsid w:val="00336605"/>
    <w:rsid w:val="003415FD"/>
    <w:rsid w:val="003429F0"/>
    <w:rsid w:val="00347923"/>
    <w:rsid w:val="00347B58"/>
    <w:rsid w:val="0035097A"/>
    <w:rsid w:val="00353FAC"/>
    <w:rsid w:val="003540A4"/>
    <w:rsid w:val="003545FE"/>
    <w:rsid w:val="00355D51"/>
    <w:rsid w:val="00355E08"/>
    <w:rsid w:val="00360E4E"/>
    <w:rsid w:val="00360FC4"/>
    <w:rsid w:val="00370AAA"/>
    <w:rsid w:val="00375F77"/>
    <w:rsid w:val="00377A78"/>
    <w:rsid w:val="0038097A"/>
    <w:rsid w:val="00381A21"/>
    <w:rsid w:val="00381BBE"/>
    <w:rsid w:val="00382903"/>
    <w:rsid w:val="003846FF"/>
    <w:rsid w:val="00384F6E"/>
    <w:rsid w:val="00385AD4"/>
    <w:rsid w:val="00387924"/>
    <w:rsid w:val="00392B74"/>
    <w:rsid w:val="00392CA6"/>
    <w:rsid w:val="0039384D"/>
    <w:rsid w:val="003950A2"/>
    <w:rsid w:val="00395C23"/>
    <w:rsid w:val="003A0410"/>
    <w:rsid w:val="003A2B36"/>
    <w:rsid w:val="003A2E4F"/>
    <w:rsid w:val="003A4438"/>
    <w:rsid w:val="003A5013"/>
    <w:rsid w:val="003A5078"/>
    <w:rsid w:val="003A56C3"/>
    <w:rsid w:val="003A62DD"/>
    <w:rsid w:val="003A64BF"/>
    <w:rsid w:val="003A64C7"/>
    <w:rsid w:val="003A6572"/>
    <w:rsid w:val="003A775A"/>
    <w:rsid w:val="003B0DAB"/>
    <w:rsid w:val="003B213A"/>
    <w:rsid w:val="003B43AD"/>
    <w:rsid w:val="003C0995"/>
    <w:rsid w:val="003C0FEC"/>
    <w:rsid w:val="003C15B8"/>
    <w:rsid w:val="003C21E6"/>
    <w:rsid w:val="003C2AC8"/>
    <w:rsid w:val="003C456D"/>
    <w:rsid w:val="003C46A6"/>
    <w:rsid w:val="003D17F9"/>
    <w:rsid w:val="003D2D88"/>
    <w:rsid w:val="003D41EA"/>
    <w:rsid w:val="003D4850"/>
    <w:rsid w:val="003D535A"/>
    <w:rsid w:val="003D7058"/>
    <w:rsid w:val="003E093B"/>
    <w:rsid w:val="003E5265"/>
    <w:rsid w:val="003F0955"/>
    <w:rsid w:val="003F10DA"/>
    <w:rsid w:val="003F139F"/>
    <w:rsid w:val="003F1DD0"/>
    <w:rsid w:val="003F2D2F"/>
    <w:rsid w:val="003F6FE1"/>
    <w:rsid w:val="003F700A"/>
    <w:rsid w:val="00400F00"/>
    <w:rsid w:val="00404F8B"/>
    <w:rsid w:val="00405256"/>
    <w:rsid w:val="0040605F"/>
    <w:rsid w:val="004066A9"/>
    <w:rsid w:val="00406BB2"/>
    <w:rsid w:val="00410031"/>
    <w:rsid w:val="00411088"/>
    <w:rsid w:val="004115A2"/>
    <w:rsid w:val="00415C81"/>
    <w:rsid w:val="00416731"/>
    <w:rsid w:val="00420E29"/>
    <w:rsid w:val="00432378"/>
    <w:rsid w:val="00432938"/>
    <w:rsid w:val="00437032"/>
    <w:rsid w:val="00440272"/>
    <w:rsid w:val="00440D65"/>
    <w:rsid w:val="004410A0"/>
    <w:rsid w:val="004435E6"/>
    <w:rsid w:val="00444026"/>
    <w:rsid w:val="00444F18"/>
    <w:rsid w:val="00447E31"/>
    <w:rsid w:val="00451C85"/>
    <w:rsid w:val="0045210B"/>
    <w:rsid w:val="00453923"/>
    <w:rsid w:val="00454B9B"/>
    <w:rsid w:val="004562AD"/>
    <w:rsid w:val="00457858"/>
    <w:rsid w:val="00460B0B"/>
    <w:rsid w:val="00461023"/>
    <w:rsid w:val="00462FAC"/>
    <w:rsid w:val="00464631"/>
    <w:rsid w:val="00464B79"/>
    <w:rsid w:val="00467BBF"/>
    <w:rsid w:val="004705EC"/>
    <w:rsid w:val="004712C5"/>
    <w:rsid w:val="004738B0"/>
    <w:rsid w:val="0047493E"/>
    <w:rsid w:val="0047594D"/>
    <w:rsid w:val="00482D2B"/>
    <w:rsid w:val="00482FF9"/>
    <w:rsid w:val="004867E2"/>
    <w:rsid w:val="004929A9"/>
    <w:rsid w:val="00493975"/>
    <w:rsid w:val="00495A67"/>
    <w:rsid w:val="00497EA1"/>
    <w:rsid w:val="004A19C2"/>
    <w:rsid w:val="004A1BBB"/>
    <w:rsid w:val="004A3FB7"/>
    <w:rsid w:val="004B35EC"/>
    <w:rsid w:val="004B5113"/>
    <w:rsid w:val="004B6CB5"/>
    <w:rsid w:val="004B7EFF"/>
    <w:rsid w:val="004C225C"/>
    <w:rsid w:val="004C2FEC"/>
    <w:rsid w:val="004C3988"/>
    <w:rsid w:val="004C44D6"/>
    <w:rsid w:val="004C4BE6"/>
    <w:rsid w:val="004C6BCF"/>
    <w:rsid w:val="004D48B4"/>
    <w:rsid w:val="004D58BF"/>
    <w:rsid w:val="004D5990"/>
    <w:rsid w:val="004E043D"/>
    <w:rsid w:val="004E4335"/>
    <w:rsid w:val="004E5ACF"/>
    <w:rsid w:val="004E7792"/>
    <w:rsid w:val="004F13EE"/>
    <w:rsid w:val="004F2022"/>
    <w:rsid w:val="004F29BC"/>
    <w:rsid w:val="004F2DDF"/>
    <w:rsid w:val="004F45FE"/>
    <w:rsid w:val="004F7C05"/>
    <w:rsid w:val="005011DD"/>
    <w:rsid w:val="00501C94"/>
    <w:rsid w:val="00502CF1"/>
    <w:rsid w:val="005047A5"/>
    <w:rsid w:val="00506432"/>
    <w:rsid w:val="005067EB"/>
    <w:rsid w:val="005069D6"/>
    <w:rsid w:val="005102D3"/>
    <w:rsid w:val="0051242B"/>
    <w:rsid w:val="00515DEC"/>
    <w:rsid w:val="0052051D"/>
    <w:rsid w:val="005210EE"/>
    <w:rsid w:val="00535F0A"/>
    <w:rsid w:val="00540B04"/>
    <w:rsid w:val="00545EE6"/>
    <w:rsid w:val="00553300"/>
    <w:rsid w:val="005550E7"/>
    <w:rsid w:val="005564FB"/>
    <w:rsid w:val="00556FC0"/>
    <w:rsid w:val="005572C7"/>
    <w:rsid w:val="005578E2"/>
    <w:rsid w:val="005650ED"/>
    <w:rsid w:val="00565923"/>
    <w:rsid w:val="005659AD"/>
    <w:rsid w:val="0056684B"/>
    <w:rsid w:val="00567E5F"/>
    <w:rsid w:val="005725E2"/>
    <w:rsid w:val="00575754"/>
    <w:rsid w:val="00577352"/>
    <w:rsid w:val="00582419"/>
    <w:rsid w:val="00582CF1"/>
    <w:rsid w:val="00582EBE"/>
    <w:rsid w:val="00586D1D"/>
    <w:rsid w:val="00587E5C"/>
    <w:rsid w:val="00591E20"/>
    <w:rsid w:val="00592CE2"/>
    <w:rsid w:val="005934BA"/>
    <w:rsid w:val="00595408"/>
    <w:rsid w:val="00595E84"/>
    <w:rsid w:val="00597064"/>
    <w:rsid w:val="00597D79"/>
    <w:rsid w:val="005A0C59"/>
    <w:rsid w:val="005A2835"/>
    <w:rsid w:val="005A3887"/>
    <w:rsid w:val="005A48EB"/>
    <w:rsid w:val="005A6529"/>
    <w:rsid w:val="005A6CFB"/>
    <w:rsid w:val="005A71FB"/>
    <w:rsid w:val="005B257B"/>
    <w:rsid w:val="005B653D"/>
    <w:rsid w:val="005C24DB"/>
    <w:rsid w:val="005C5AEB"/>
    <w:rsid w:val="005C6860"/>
    <w:rsid w:val="005C71AF"/>
    <w:rsid w:val="005C7B10"/>
    <w:rsid w:val="005D4F28"/>
    <w:rsid w:val="005E0A3F"/>
    <w:rsid w:val="005E2A7D"/>
    <w:rsid w:val="005E6883"/>
    <w:rsid w:val="005E772F"/>
    <w:rsid w:val="005F0216"/>
    <w:rsid w:val="005F43C0"/>
    <w:rsid w:val="005F4ECA"/>
    <w:rsid w:val="00602E00"/>
    <w:rsid w:val="006041BE"/>
    <w:rsid w:val="006043C7"/>
    <w:rsid w:val="006111CE"/>
    <w:rsid w:val="00611CE2"/>
    <w:rsid w:val="00617D77"/>
    <w:rsid w:val="00621C6E"/>
    <w:rsid w:val="006246EB"/>
    <w:rsid w:val="00624B52"/>
    <w:rsid w:val="006271F5"/>
    <w:rsid w:val="00627DD8"/>
    <w:rsid w:val="006317C2"/>
    <w:rsid w:val="00631DF4"/>
    <w:rsid w:val="006324EC"/>
    <w:rsid w:val="00634175"/>
    <w:rsid w:val="00634428"/>
    <w:rsid w:val="00634801"/>
    <w:rsid w:val="00636C68"/>
    <w:rsid w:val="006408AC"/>
    <w:rsid w:val="006410C7"/>
    <w:rsid w:val="00643774"/>
    <w:rsid w:val="00643F79"/>
    <w:rsid w:val="00647B6A"/>
    <w:rsid w:val="006511B6"/>
    <w:rsid w:val="00651B17"/>
    <w:rsid w:val="0065215F"/>
    <w:rsid w:val="00652742"/>
    <w:rsid w:val="00652B18"/>
    <w:rsid w:val="006545E0"/>
    <w:rsid w:val="00654F0A"/>
    <w:rsid w:val="00655D55"/>
    <w:rsid w:val="00655F8F"/>
    <w:rsid w:val="00657FF8"/>
    <w:rsid w:val="00661D35"/>
    <w:rsid w:val="00664E25"/>
    <w:rsid w:val="006709A9"/>
    <w:rsid w:val="00670D99"/>
    <w:rsid w:val="00670E2B"/>
    <w:rsid w:val="00672743"/>
    <w:rsid w:val="006734BB"/>
    <w:rsid w:val="006768DE"/>
    <w:rsid w:val="00681A34"/>
    <w:rsid w:val="006821BD"/>
    <w:rsid w:val="006821EB"/>
    <w:rsid w:val="00684F96"/>
    <w:rsid w:val="006A323B"/>
    <w:rsid w:val="006A3DD4"/>
    <w:rsid w:val="006A56C4"/>
    <w:rsid w:val="006A7589"/>
    <w:rsid w:val="006B1969"/>
    <w:rsid w:val="006B2286"/>
    <w:rsid w:val="006B56BB"/>
    <w:rsid w:val="006C1150"/>
    <w:rsid w:val="006C1487"/>
    <w:rsid w:val="006C51D1"/>
    <w:rsid w:val="006C62A7"/>
    <w:rsid w:val="006C7085"/>
    <w:rsid w:val="006C77A8"/>
    <w:rsid w:val="006C7B5C"/>
    <w:rsid w:val="006D0E4E"/>
    <w:rsid w:val="006D3B0D"/>
    <w:rsid w:val="006D4098"/>
    <w:rsid w:val="006D7681"/>
    <w:rsid w:val="006D7B2E"/>
    <w:rsid w:val="006E02EA"/>
    <w:rsid w:val="006E0968"/>
    <w:rsid w:val="006E2AF6"/>
    <w:rsid w:val="006E4112"/>
    <w:rsid w:val="006F2EDF"/>
    <w:rsid w:val="006F3D28"/>
    <w:rsid w:val="006F4B29"/>
    <w:rsid w:val="00701275"/>
    <w:rsid w:val="007032D8"/>
    <w:rsid w:val="00707F56"/>
    <w:rsid w:val="00710FC2"/>
    <w:rsid w:val="00713558"/>
    <w:rsid w:val="00720D08"/>
    <w:rsid w:val="00723D0D"/>
    <w:rsid w:val="00724DCE"/>
    <w:rsid w:val="00725AE6"/>
    <w:rsid w:val="00726162"/>
    <w:rsid w:val="007263B9"/>
    <w:rsid w:val="0072790F"/>
    <w:rsid w:val="00732AED"/>
    <w:rsid w:val="007334F8"/>
    <w:rsid w:val="007339CD"/>
    <w:rsid w:val="00734B0A"/>
    <w:rsid w:val="007359D8"/>
    <w:rsid w:val="007362D4"/>
    <w:rsid w:val="007411B7"/>
    <w:rsid w:val="00751A23"/>
    <w:rsid w:val="00752E18"/>
    <w:rsid w:val="007572D7"/>
    <w:rsid w:val="00757885"/>
    <w:rsid w:val="0076672A"/>
    <w:rsid w:val="00772953"/>
    <w:rsid w:val="00772F1F"/>
    <w:rsid w:val="00775E45"/>
    <w:rsid w:val="00776E74"/>
    <w:rsid w:val="00785145"/>
    <w:rsid w:val="00785169"/>
    <w:rsid w:val="0078647F"/>
    <w:rsid w:val="007954AB"/>
    <w:rsid w:val="007A14C5"/>
    <w:rsid w:val="007A3E38"/>
    <w:rsid w:val="007A4229"/>
    <w:rsid w:val="007A4A10"/>
    <w:rsid w:val="007A59A5"/>
    <w:rsid w:val="007B1760"/>
    <w:rsid w:val="007B3D03"/>
    <w:rsid w:val="007B4208"/>
    <w:rsid w:val="007C6D9C"/>
    <w:rsid w:val="007C7DDB"/>
    <w:rsid w:val="007D2BA3"/>
    <w:rsid w:val="007D2CC7"/>
    <w:rsid w:val="007D53BA"/>
    <w:rsid w:val="007D673D"/>
    <w:rsid w:val="007D6F25"/>
    <w:rsid w:val="007F0614"/>
    <w:rsid w:val="007F2220"/>
    <w:rsid w:val="007F4B3E"/>
    <w:rsid w:val="007F588A"/>
    <w:rsid w:val="008067F8"/>
    <w:rsid w:val="008127AF"/>
    <w:rsid w:val="00812B46"/>
    <w:rsid w:val="00812C76"/>
    <w:rsid w:val="00812DE5"/>
    <w:rsid w:val="00812FEE"/>
    <w:rsid w:val="00815700"/>
    <w:rsid w:val="00817B70"/>
    <w:rsid w:val="008207C7"/>
    <w:rsid w:val="008219EB"/>
    <w:rsid w:val="008264EB"/>
    <w:rsid w:val="00826B8F"/>
    <w:rsid w:val="00826F48"/>
    <w:rsid w:val="00831E8A"/>
    <w:rsid w:val="00832A6F"/>
    <w:rsid w:val="008348A6"/>
    <w:rsid w:val="00835C76"/>
    <w:rsid w:val="00836E1B"/>
    <w:rsid w:val="008377EC"/>
    <w:rsid w:val="00840938"/>
    <w:rsid w:val="00840F26"/>
    <w:rsid w:val="00842DFE"/>
    <w:rsid w:val="00843049"/>
    <w:rsid w:val="00843F55"/>
    <w:rsid w:val="00845B55"/>
    <w:rsid w:val="0084697F"/>
    <w:rsid w:val="0085209B"/>
    <w:rsid w:val="00855DDE"/>
    <w:rsid w:val="00856B66"/>
    <w:rsid w:val="00857193"/>
    <w:rsid w:val="00857EC6"/>
    <w:rsid w:val="00861A5F"/>
    <w:rsid w:val="0086235D"/>
    <w:rsid w:val="008644AD"/>
    <w:rsid w:val="00865735"/>
    <w:rsid w:val="00865B85"/>
    <w:rsid w:val="00865DDB"/>
    <w:rsid w:val="00867383"/>
    <w:rsid w:val="00867538"/>
    <w:rsid w:val="00873D90"/>
    <w:rsid w:val="00873FC8"/>
    <w:rsid w:val="00880CFF"/>
    <w:rsid w:val="008821FB"/>
    <w:rsid w:val="0088469C"/>
    <w:rsid w:val="00884AFE"/>
    <w:rsid w:val="00884C63"/>
    <w:rsid w:val="00885908"/>
    <w:rsid w:val="00885DD3"/>
    <w:rsid w:val="00886476"/>
    <w:rsid w:val="008864B7"/>
    <w:rsid w:val="00891EB7"/>
    <w:rsid w:val="00893A25"/>
    <w:rsid w:val="00895B87"/>
    <w:rsid w:val="0089677E"/>
    <w:rsid w:val="00896E8C"/>
    <w:rsid w:val="008A1726"/>
    <w:rsid w:val="008A7438"/>
    <w:rsid w:val="008B1334"/>
    <w:rsid w:val="008B25E5"/>
    <w:rsid w:val="008B53A0"/>
    <w:rsid w:val="008B5B76"/>
    <w:rsid w:val="008B6E7C"/>
    <w:rsid w:val="008C0278"/>
    <w:rsid w:val="008C0D05"/>
    <w:rsid w:val="008C24E9"/>
    <w:rsid w:val="008D0533"/>
    <w:rsid w:val="008D05E1"/>
    <w:rsid w:val="008D0C2B"/>
    <w:rsid w:val="008D3470"/>
    <w:rsid w:val="008D42CB"/>
    <w:rsid w:val="008D430D"/>
    <w:rsid w:val="008D48C9"/>
    <w:rsid w:val="008D5B79"/>
    <w:rsid w:val="008D6381"/>
    <w:rsid w:val="008E0C77"/>
    <w:rsid w:val="008E590E"/>
    <w:rsid w:val="008E625F"/>
    <w:rsid w:val="008F264D"/>
    <w:rsid w:val="008F392B"/>
    <w:rsid w:val="008F60A9"/>
    <w:rsid w:val="008F60CD"/>
    <w:rsid w:val="008F675F"/>
    <w:rsid w:val="00903145"/>
    <w:rsid w:val="009037E3"/>
    <w:rsid w:val="00904C91"/>
    <w:rsid w:val="009074E1"/>
    <w:rsid w:val="009112F7"/>
    <w:rsid w:val="009122AF"/>
    <w:rsid w:val="009127BC"/>
    <w:rsid w:val="00912A4B"/>
    <w:rsid w:val="00912D54"/>
    <w:rsid w:val="0091389F"/>
    <w:rsid w:val="009208F7"/>
    <w:rsid w:val="00922517"/>
    <w:rsid w:val="00922722"/>
    <w:rsid w:val="00923103"/>
    <w:rsid w:val="00925701"/>
    <w:rsid w:val="009261E6"/>
    <w:rsid w:val="009268E1"/>
    <w:rsid w:val="00926FF4"/>
    <w:rsid w:val="00934368"/>
    <w:rsid w:val="00936215"/>
    <w:rsid w:val="00945E7F"/>
    <w:rsid w:val="00946283"/>
    <w:rsid w:val="00952E62"/>
    <w:rsid w:val="00953C9B"/>
    <w:rsid w:val="009557C1"/>
    <w:rsid w:val="00960D6E"/>
    <w:rsid w:val="00972A01"/>
    <w:rsid w:val="00972BC1"/>
    <w:rsid w:val="00974B59"/>
    <w:rsid w:val="009764F2"/>
    <w:rsid w:val="00981F4C"/>
    <w:rsid w:val="0098340B"/>
    <w:rsid w:val="0098523A"/>
    <w:rsid w:val="00986830"/>
    <w:rsid w:val="00987643"/>
    <w:rsid w:val="00987680"/>
    <w:rsid w:val="009924C3"/>
    <w:rsid w:val="00993102"/>
    <w:rsid w:val="00996C74"/>
    <w:rsid w:val="00997946"/>
    <w:rsid w:val="009A5570"/>
    <w:rsid w:val="009B4ECC"/>
    <w:rsid w:val="009B5BD6"/>
    <w:rsid w:val="009C1E32"/>
    <w:rsid w:val="009C4A39"/>
    <w:rsid w:val="009C6F10"/>
    <w:rsid w:val="009D148F"/>
    <w:rsid w:val="009D3D70"/>
    <w:rsid w:val="009D4A57"/>
    <w:rsid w:val="009D63F5"/>
    <w:rsid w:val="009D7441"/>
    <w:rsid w:val="009E6F7E"/>
    <w:rsid w:val="009E7A57"/>
    <w:rsid w:val="009F4F6A"/>
    <w:rsid w:val="00A00FA9"/>
    <w:rsid w:val="00A04084"/>
    <w:rsid w:val="00A06AAE"/>
    <w:rsid w:val="00A10C74"/>
    <w:rsid w:val="00A15511"/>
    <w:rsid w:val="00A16BC8"/>
    <w:rsid w:val="00A16E36"/>
    <w:rsid w:val="00A24961"/>
    <w:rsid w:val="00A24B10"/>
    <w:rsid w:val="00A30E9B"/>
    <w:rsid w:val="00A32233"/>
    <w:rsid w:val="00A34285"/>
    <w:rsid w:val="00A369B7"/>
    <w:rsid w:val="00A376F2"/>
    <w:rsid w:val="00A4139E"/>
    <w:rsid w:val="00A446AD"/>
    <w:rsid w:val="00A4512D"/>
    <w:rsid w:val="00A46728"/>
    <w:rsid w:val="00A4722D"/>
    <w:rsid w:val="00A50244"/>
    <w:rsid w:val="00A5335A"/>
    <w:rsid w:val="00A56F17"/>
    <w:rsid w:val="00A61034"/>
    <w:rsid w:val="00A627D7"/>
    <w:rsid w:val="00A62AF2"/>
    <w:rsid w:val="00A650CA"/>
    <w:rsid w:val="00A656C7"/>
    <w:rsid w:val="00A661DE"/>
    <w:rsid w:val="00A679EE"/>
    <w:rsid w:val="00A705AF"/>
    <w:rsid w:val="00A7084A"/>
    <w:rsid w:val="00A71E77"/>
    <w:rsid w:val="00A722EB"/>
    <w:rsid w:val="00A72454"/>
    <w:rsid w:val="00A74345"/>
    <w:rsid w:val="00A771C5"/>
    <w:rsid w:val="00A77696"/>
    <w:rsid w:val="00A77FAE"/>
    <w:rsid w:val="00A80557"/>
    <w:rsid w:val="00A81D33"/>
    <w:rsid w:val="00A83F27"/>
    <w:rsid w:val="00A870FA"/>
    <w:rsid w:val="00A87AB5"/>
    <w:rsid w:val="00A930AE"/>
    <w:rsid w:val="00AA1A95"/>
    <w:rsid w:val="00AA260F"/>
    <w:rsid w:val="00AA5D23"/>
    <w:rsid w:val="00AA74EE"/>
    <w:rsid w:val="00AB15C9"/>
    <w:rsid w:val="00AB1EE7"/>
    <w:rsid w:val="00AB2511"/>
    <w:rsid w:val="00AB4B37"/>
    <w:rsid w:val="00AB5762"/>
    <w:rsid w:val="00AC2679"/>
    <w:rsid w:val="00AC479A"/>
    <w:rsid w:val="00AC4BE4"/>
    <w:rsid w:val="00AC5BE8"/>
    <w:rsid w:val="00AC5CBB"/>
    <w:rsid w:val="00AC695B"/>
    <w:rsid w:val="00AC6BF9"/>
    <w:rsid w:val="00AD05E6"/>
    <w:rsid w:val="00AD0D3F"/>
    <w:rsid w:val="00AD1C5A"/>
    <w:rsid w:val="00AD567C"/>
    <w:rsid w:val="00AE1716"/>
    <w:rsid w:val="00AE1BCB"/>
    <w:rsid w:val="00AE1D7D"/>
    <w:rsid w:val="00AE2A8B"/>
    <w:rsid w:val="00AE3F64"/>
    <w:rsid w:val="00AF2E8D"/>
    <w:rsid w:val="00AF7386"/>
    <w:rsid w:val="00AF7934"/>
    <w:rsid w:val="00B008B3"/>
    <w:rsid w:val="00B00902"/>
    <w:rsid w:val="00B00B81"/>
    <w:rsid w:val="00B03FF3"/>
    <w:rsid w:val="00B040AC"/>
    <w:rsid w:val="00B04580"/>
    <w:rsid w:val="00B04B09"/>
    <w:rsid w:val="00B069CF"/>
    <w:rsid w:val="00B15512"/>
    <w:rsid w:val="00B16A51"/>
    <w:rsid w:val="00B23530"/>
    <w:rsid w:val="00B25440"/>
    <w:rsid w:val="00B26EEF"/>
    <w:rsid w:val="00B32222"/>
    <w:rsid w:val="00B329DA"/>
    <w:rsid w:val="00B3618D"/>
    <w:rsid w:val="00B36233"/>
    <w:rsid w:val="00B41A33"/>
    <w:rsid w:val="00B4215B"/>
    <w:rsid w:val="00B421CC"/>
    <w:rsid w:val="00B42851"/>
    <w:rsid w:val="00B45AC7"/>
    <w:rsid w:val="00B50568"/>
    <w:rsid w:val="00B5372F"/>
    <w:rsid w:val="00B60C8D"/>
    <w:rsid w:val="00B61129"/>
    <w:rsid w:val="00B6203C"/>
    <w:rsid w:val="00B62F1A"/>
    <w:rsid w:val="00B67E7F"/>
    <w:rsid w:val="00B72241"/>
    <w:rsid w:val="00B75A04"/>
    <w:rsid w:val="00B80192"/>
    <w:rsid w:val="00B82C28"/>
    <w:rsid w:val="00B83307"/>
    <w:rsid w:val="00B839B2"/>
    <w:rsid w:val="00B855F3"/>
    <w:rsid w:val="00B85DDA"/>
    <w:rsid w:val="00B86908"/>
    <w:rsid w:val="00B918D0"/>
    <w:rsid w:val="00B94252"/>
    <w:rsid w:val="00B95A82"/>
    <w:rsid w:val="00B9715A"/>
    <w:rsid w:val="00BA0048"/>
    <w:rsid w:val="00BA14BE"/>
    <w:rsid w:val="00BA2732"/>
    <w:rsid w:val="00BA293D"/>
    <w:rsid w:val="00BA49BC"/>
    <w:rsid w:val="00BA517F"/>
    <w:rsid w:val="00BA56B7"/>
    <w:rsid w:val="00BA62E1"/>
    <w:rsid w:val="00BA6F5B"/>
    <w:rsid w:val="00BA7A1E"/>
    <w:rsid w:val="00BA7CA9"/>
    <w:rsid w:val="00BB1570"/>
    <w:rsid w:val="00BB2F6C"/>
    <w:rsid w:val="00BB3875"/>
    <w:rsid w:val="00BB396E"/>
    <w:rsid w:val="00BB5860"/>
    <w:rsid w:val="00BB6AAD"/>
    <w:rsid w:val="00BB7309"/>
    <w:rsid w:val="00BC4A19"/>
    <w:rsid w:val="00BC4E6D"/>
    <w:rsid w:val="00BC5B59"/>
    <w:rsid w:val="00BD0617"/>
    <w:rsid w:val="00BD25EA"/>
    <w:rsid w:val="00BD2E9B"/>
    <w:rsid w:val="00BE2DEB"/>
    <w:rsid w:val="00BE4209"/>
    <w:rsid w:val="00BE5FC3"/>
    <w:rsid w:val="00BF453B"/>
    <w:rsid w:val="00BF4DDE"/>
    <w:rsid w:val="00BF4EA3"/>
    <w:rsid w:val="00BF7AD7"/>
    <w:rsid w:val="00C00930"/>
    <w:rsid w:val="00C05D64"/>
    <w:rsid w:val="00C060AD"/>
    <w:rsid w:val="00C0670D"/>
    <w:rsid w:val="00C113BF"/>
    <w:rsid w:val="00C153FE"/>
    <w:rsid w:val="00C20C07"/>
    <w:rsid w:val="00C2176E"/>
    <w:rsid w:val="00C23430"/>
    <w:rsid w:val="00C27D67"/>
    <w:rsid w:val="00C36538"/>
    <w:rsid w:val="00C36ADD"/>
    <w:rsid w:val="00C426B4"/>
    <w:rsid w:val="00C4463B"/>
    <w:rsid w:val="00C4631F"/>
    <w:rsid w:val="00C46837"/>
    <w:rsid w:val="00C50E16"/>
    <w:rsid w:val="00C52FF5"/>
    <w:rsid w:val="00C54931"/>
    <w:rsid w:val="00C55258"/>
    <w:rsid w:val="00C56231"/>
    <w:rsid w:val="00C6239A"/>
    <w:rsid w:val="00C66761"/>
    <w:rsid w:val="00C71E08"/>
    <w:rsid w:val="00C7542A"/>
    <w:rsid w:val="00C82EEB"/>
    <w:rsid w:val="00C8360E"/>
    <w:rsid w:val="00C84F2B"/>
    <w:rsid w:val="00C90522"/>
    <w:rsid w:val="00C90C72"/>
    <w:rsid w:val="00C93D05"/>
    <w:rsid w:val="00C95EDC"/>
    <w:rsid w:val="00C971DC"/>
    <w:rsid w:val="00C9769C"/>
    <w:rsid w:val="00CA16B7"/>
    <w:rsid w:val="00CA234A"/>
    <w:rsid w:val="00CA4838"/>
    <w:rsid w:val="00CA4BE3"/>
    <w:rsid w:val="00CA5753"/>
    <w:rsid w:val="00CA59DD"/>
    <w:rsid w:val="00CA62AE"/>
    <w:rsid w:val="00CB4C6E"/>
    <w:rsid w:val="00CB5B1A"/>
    <w:rsid w:val="00CB5ECE"/>
    <w:rsid w:val="00CB65D5"/>
    <w:rsid w:val="00CC1499"/>
    <w:rsid w:val="00CC220B"/>
    <w:rsid w:val="00CC2728"/>
    <w:rsid w:val="00CC4D10"/>
    <w:rsid w:val="00CC5C43"/>
    <w:rsid w:val="00CC6BDE"/>
    <w:rsid w:val="00CD0167"/>
    <w:rsid w:val="00CD02AE"/>
    <w:rsid w:val="00CD2826"/>
    <w:rsid w:val="00CD2A4F"/>
    <w:rsid w:val="00CD54A3"/>
    <w:rsid w:val="00CE03CA"/>
    <w:rsid w:val="00CE154E"/>
    <w:rsid w:val="00CE22F1"/>
    <w:rsid w:val="00CE2317"/>
    <w:rsid w:val="00CE237E"/>
    <w:rsid w:val="00CE50F2"/>
    <w:rsid w:val="00CE6502"/>
    <w:rsid w:val="00CF1147"/>
    <w:rsid w:val="00CF2174"/>
    <w:rsid w:val="00CF6B30"/>
    <w:rsid w:val="00CF7495"/>
    <w:rsid w:val="00CF7725"/>
    <w:rsid w:val="00CF7D3C"/>
    <w:rsid w:val="00D009F9"/>
    <w:rsid w:val="00D02331"/>
    <w:rsid w:val="00D03933"/>
    <w:rsid w:val="00D12AAD"/>
    <w:rsid w:val="00D13BFE"/>
    <w:rsid w:val="00D147EB"/>
    <w:rsid w:val="00D15AA3"/>
    <w:rsid w:val="00D20A53"/>
    <w:rsid w:val="00D220AF"/>
    <w:rsid w:val="00D30CB5"/>
    <w:rsid w:val="00D34613"/>
    <w:rsid w:val="00D34667"/>
    <w:rsid w:val="00D37E65"/>
    <w:rsid w:val="00D401E1"/>
    <w:rsid w:val="00D408B4"/>
    <w:rsid w:val="00D416DF"/>
    <w:rsid w:val="00D4225E"/>
    <w:rsid w:val="00D423B1"/>
    <w:rsid w:val="00D43FE9"/>
    <w:rsid w:val="00D4552B"/>
    <w:rsid w:val="00D45D94"/>
    <w:rsid w:val="00D4685C"/>
    <w:rsid w:val="00D524C8"/>
    <w:rsid w:val="00D55DF4"/>
    <w:rsid w:val="00D602EA"/>
    <w:rsid w:val="00D60E25"/>
    <w:rsid w:val="00D61164"/>
    <w:rsid w:val="00D644B1"/>
    <w:rsid w:val="00D67BC5"/>
    <w:rsid w:val="00D70E24"/>
    <w:rsid w:val="00D7140E"/>
    <w:rsid w:val="00D72B61"/>
    <w:rsid w:val="00D85DC9"/>
    <w:rsid w:val="00D879DD"/>
    <w:rsid w:val="00D903A8"/>
    <w:rsid w:val="00D94811"/>
    <w:rsid w:val="00D9741D"/>
    <w:rsid w:val="00D97A5B"/>
    <w:rsid w:val="00D97D1E"/>
    <w:rsid w:val="00DA2C69"/>
    <w:rsid w:val="00DA2F17"/>
    <w:rsid w:val="00DA3D1D"/>
    <w:rsid w:val="00DA45E4"/>
    <w:rsid w:val="00DB0041"/>
    <w:rsid w:val="00DB0138"/>
    <w:rsid w:val="00DB03F8"/>
    <w:rsid w:val="00DB2955"/>
    <w:rsid w:val="00DB2968"/>
    <w:rsid w:val="00DB3F89"/>
    <w:rsid w:val="00DB6286"/>
    <w:rsid w:val="00DB645F"/>
    <w:rsid w:val="00DB76E9"/>
    <w:rsid w:val="00DC0A67"/>
    <w:rsid w:val="00DC1D5E"/>
    <w:rsid w:val="00DC2313"/>
    <w:rsid w:val="00DC2787"/>
    <w:rsid w:val="00DC32DD"/>
    <w:rsid w:val="00DC5220"/>
    <w:rsid w:val="00DC7910"/>
    <w:rsid w:val="00DD1162"/>
    <w:rsid w:val="00DD2061"/>
    <w:rsid w:val="00DD6B10"/>
    <w:rsid w:val="00DD7DAB"/>
    <w:rsid w:val="00DE0CC1"/>
    <w:rsid w:val="00DE16DF"/>
    <w:rsid w:val="00DE3355"/>
    <w:rsid w:val="00DE7E57"/>
    <w:rsid w:val="00DF12D2"/>
    <w:rsid w:val="00DF486F"/>
    <w:rsid w:val="00DF5B5B"/>
    <w:rsid w:val="00DF7619"/>
    <w:rsid w:val="00E00E03"/>
    <w:rsid w:val="00E042D8"/>
    <w:rsid w:val="00E07EE7"/>
    <w:rsid w:val="00E10A23"/>
    <w:rsid w:val="00E1103B"/>
    <w:rsid w:val="00E144AF"/>
    <w:rsid w:val="00E16A07"/>
    <w:rsid w:val="00E16EBC"/>
    <w:rsid w:val="00E17432"/>
    <w:rsid w:val="00E17B44"/>
    <w:rsid w:val="00E21CD8"/>
    <w:rsid w:val="00E250E7"/>
    <w:rsid w:val="00E27FEA"/>
    <w:rsid w:val="00E30EF3"/>
    <w:rsid w:val="00E332A6"/>
    <w:rsid w:val="00E35013"/>
    <w:rsid w:val="00E40124"/>
    <w:rsid w:val="00E4086F"/>
    <w:rsid w:val="00E423E4"/>
    <w:rsid w:val="00E43B3C"/>
    <w:rsid w:val="00E45C2D"/>
    <w:rsid w:val="00E47EA3"/>
    <w:rsid w:val="00E50188"/>
    <w:rsid w:val="00E515CB"/>
    <w:rsid w:val="00E52260"/>
    <w:rsid w:val="00E52911"/>
    <w:rsid w:val="00E539E6"/>
    <w:rsid w:val="00E562AC"/>
    <w:rsid w:val="00E62BC4"/>
    <w:rsid w:val="00E639B6"/>
    <w:rsid w:val="00E64236"/>
    <w:rsid w:val="00E6434B"/>
    <w:rsid w:val="00E6463D"/>
    <w:rsid w:val="00E649AD"/>
    <w:rsid w:val="00E66807"/>
    <w:rsid w:val="00E7062F"/>
    <w:rsid w:val="00E7270A"/>
    <w:rsid w:val="00E72E9B"/>
    <w:rsid w:val="00E756D4"/>
    <w:rsid w:val="00E849DA"/>
    <w:rsid w:val="00E9462E"/>
    <w:rsid w:val="00E94765"/>
    <w:rsid w:val="00E95DC7"/>
    <w:rsid w:val="00EA2D36"/>
    <w:rsid w:val="00EA3D72"/>
    <w:rsid w:val="00EA470E"/>
    <w:rsid w:val="00EA47A7"/>
    <w:rsid w:val="00EA57EB"/>
    <w:rsid w:val="00EB3226"/>
    <w:rsid w:val="00EC0475"/>
    <w:rsid w:val="00EC1C02"/>
    <w:rsid w:val="00EC213A"/>
    <w:rsid w:val="00EC3EDB"/>
    <w:rsid w:val="00EC5DFD"/>
    <w:rsid w:val="00EC6603"/>
    <w:rsid w:val="00EC7744"/>
    <w:rsid w:val="00ED0DAD"/>
    <w:rsid w:val="00ED0F46"/>
    <w:rsid w:val="00ED2373"/>
    <w:rsid w:val="00ED5E07"/>
    <w:rsid w:val="00EE1742"/>
    <w:rsid w:val="00EE3E8A"/>
    <w:rsid w:val="00EE4CBF"/>
    <w:rsid w:val="00EF1C59"/>
    <w:rsid w:val="00EF1D51"/>
    <w:rsid w:val="00EF40DC"/>
    <w:rsid w:val="00EF6ECA"/>
    <w:rsid w:val="00F024E1"/>
    <w:rsid w:val="00F049F6"/>
    <w:rsid w:val="00F06C10"/>
    <w:rsid w:val="00F1096F"/>
    <w:rsid w:val="00F12589"/>
    <w:rsid w:val="00F12595"/>
    <w:rsid w:val="00F134D9"/>
    <w:rsid w:val="00F1403D"/>
    <w:rsid w:val="00F143F6"/>
    <w:rsid w:val="00F1463F"/>
    <w:rsid w:val="00F21302"/>
    <w:rsid w:val="00F2548E"/>
    <w:rsid w:val="00F267AA"/>
    <w:rsid w:val="00F26CFC"/>
    <w:rsid w:val="00F321DE"/>
    <w:rsid w:val="00F32659"/>
    <w:rsid w:val="00F33777"/>
    <w:rsid w:val="00F35998"/>
    <w:rsid w:val="00F3618F"/>
    <w:rsid w:val="00F3759C"/>
    <w:rsid w:val="00F40648"/>
    <w:rsid w:val="00F47DA2"/>
    <w:rsid w:val="00F515D5"/>
    <w:rsid w:val="00F519FC"/>
    <w:rsid w:val="00F521C5"/>
    <w:rsid w:val="00F5369E"/>
    <w:rsid w:val="00F57D21"/>
    <w:rsid w:val="00F6239D"/>
    <w:rsid w:val="00F715D2"/>
    <w:rsid w:val="00F717BA"/>
    <w:rsid w:val="00F7274F"/>
    <w:rsid w:val="00F72C20"/>
    <w:rsid w:val="00F768E2"/>
    <w:rsid w:val="00F76FA8"/>
    <w:rsid w:val="00F912A7"/>
    <w:rsid w:val="00F939F7"/>
    <w:rsid w:val="00F93F08"/>
    <w:rsid w:val="00F94CED"/>
    <w:rsid w:val="00FA2CEE"/>
    <w:rsid w:val="00FA318C"/>
    <w:rsid w:val="00FA5799"/>
    <w:rsid w:val="00FB1432"/>
    <w:rsid w:val="00FB1A2A"/>
    <w:rsid w:val="00FB4032"/>
    <w:rsid w:val="00FB6760"/>
    <w:rsid w:val="00FB6F92"/>
    <w:rsid w:val="00FC026E"/>
    <w:rsid w:val="00FC098F"/>
    <w:rsid w:val="00FC1F0F"/>
    <w:rsid w:val="00FC329B"/>
    <w:rsid w:val="00FC3ADF"/>
    <w:rsid w:val="00FC5124"/>
    <w:rsid w:val="00FD14E8"/>
    <w:rsid w:val="00FD4731"/>
    <w:rsid w:val="00FD6FDA"/>
    <w:rsid w:val="00FE2747"/>
    <w:rsid w:val="00FE276D"/>
    <w:rsid w:val="00FE3423"/>
    <w:rsid w:val="00FF0AB0"/>
    <w:rsid w:val="00FF28AC"/>
    <w:rsid w:val="00FF7F62"/>
    <w:rsid w:val="05C3302B"/>
    <w:rsid w:val="2BECD717"/>
    <w:rsid w:val="39AE803D"/>
    <w:rsid w:val="39B8E205"/>
    <w:rsid w:val="48269410"/>
    <w:rsid w:val="508FA0D5"/>
    <w:rsid w:val="51708C60"/>
    <w:rsid w:val="5834ECE7"/>
    <w:rsid w:val="58E96372"/>
    <w:rsid w:val="5ABFD66C"/>
    <w:rsid w:val="7A5C1E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3389506-FD7F-4BCC-8EF9-D54B8CE1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7383"/>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link w:val="Heading1Char"/>
    <w:qFormat/>
    <w:rsid w:val="00867383"/>
    <w:pPr>
      <w:keepNext/>
      <w:numPr>
        <w:numId w:val="35"/>
      </w:numPr>
      <w:spacing w:before="240" w:after="60"/>
      <w:ind w:left="567" w:hanging="567"/>
      <w:outlineLvl w:val="0"/>
    </w:pPr>
    <w:rPr>
      <w:rFonts w:ascii="Arial" w:eastAsia="Calibri" w:hAnsi="Arial" w:cs="Arial"/>
      <w:b/>
      <w:bCs/>
      <w:color w:val="3F4A75"/>
      <w:kern w:val="28"/>
      <w:sz w:val="32"/>
      <w:szCs w:val="36"/>
      <w:lang w:eastAsia="en-US"/>
    </w:rPr>
  </w:style>
  <w:style w:type="paragraph" w:styleId="Heading2">
    <w:name w:val="heading 2"/>
    <w:next w:val="Normal"/>
    <w:autoRedefine/>
    <w:qFormat/>
    <w:rsid w:val="00A4139E"/>
    <w:pPr>
      <w:keepNext/>
      <w:numPr>
        <w:numId w:val="36"/>
      </w:numPr>
      <w:spacing w:before="240" w:after="60"/>
      <w:outlineLvl w:val="1"/>
    </w:pPr>
    <w:rPr>
      <w:rFonts w:ascii="Arial" w:eastAsia="Calibri" w:hAnsi="Arial" w:cs="Arial"/>
      <w:b/>
      <w:bCs/>
      <w:iCs/>
      <w:color w:val="276066" w:themeColor="accent2" w:themeShade="BF"/>
      <w:sz w:val="26"/>
      <w:szCs w:val="28"/>
      <w:lang w:eastAsia="en-US"/>
    </w:rPr>
  </w:style>
  <w:style w:type="paragraph" w:styleId="Heading3">
    <w:name w:val="heading 3"/>
    <w:next w:val="Normal"/>
    <w:qFormat/>
    <w:rsid w:val="00867383"/>
    <w:pPr>
      <w:keepNext/>
      <w:spacing w:before="180" w:after="60"/>
      <w:outlineLvl w:val="2"/>
    </w:pPr>
    <w:rPr>
      <w:rFonts w:asciiTheme="minorBidi" w:eastAsia="Calibri" w:hAnsiTheme="minorBidi" w:cs="Arial"/>
      <w:b/>
      <w:bCs/>
      <w:i/>
      <w:color w:val="358189"/>
      <w:sz w:val="2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7383"/>
    <w:rPr>
      <w:rFonts w:eastAsia="Calibri"/>
      <w:i/>
      <w:iCs/>
    </w:rPr>
  </w:style>
  <w:style w:type="character" w:styleId="Strong">
    <w:name w:val="Strong"/>
    <w:basedOn w:val="DefaultParagraphFont"/>
    <w:rsid w:val="00BF7AD7"/>
    <w:rPr>
      <w:b/>
      <w:bCs/>
    </w:rPr>
  </w:style>
  <w:style w:type="paragraph" w:styleId="Subtitle">
    <w:name w:val="Subtitle"/>
    <w:next w:val="Normal"/>
    <w:link w:val="SubtitleChar"/>
    <w:qFormat/>
    <w:rsid w:val="00867383"/>
    <w:pPr>
      <w:numPr>
        <w:ilvl w:val="1"/>
      </w:numPr>
      <w:spacing w:before="120" w:after="60"/>
    </w:pPr>
    <w:rPr>
      <w:rFonts w:ascii="Arial" w:eastAsiaTheme="majorEastAsia" w:hAnsi="Arial" w:cstheme="majorBidi"/>
      <w:iCs/>
      <w:color w:val="3F4A75"/>
      <w:spacing w:val="15"/>
      <w:sz w:val="28"/>
      <w:szCs w:val="24"/>
      <w:lang w:eastAsia="en-US"/>
    </w:rPr>
  </w:style>
  <w:style w:type="character" w:customStyle="1" w:styleId="SubtitleChar">
    <w:name w:val="Subtitle Char"/>
    <w:basedOn w:val="DefaultParagraphFont"/>
    <w:link w:val="Subtitle"/>
    <w:rsid w:val="00867383"/>
    <w:rPr>
      <w:rFonts w:ascii="Arial" w:eastAsiaTheme="majorEastAsia" w:hAnsi="Arial" w:cstheme="majorBidi"/>
      <w:iCs/>
      <w:color w:val="3F4A75"/>
      <w:spacing w:val="15"/>
      <w:sz w:val="28"/>
      <w:szCs w:val="24"/>
      <w:lang w:eastAsia="en-US"/>
    </w:rPr>
  </w:style>
  <w:style w:type="paragraph" w:styleId="Title">
    <w:name w:val="Title"/>
    <w:next w:val="Normal"/>
    <w:link w:val="TitleChar"/>
    <w:qFormat/>
    <w:rsid w:val="00867383"/>
    <w:pPr>
      <w:spacing w:before="2160" w:after="120"/>
      <w:contextualSpacing/>
    </w:pPr>
    <w:rPr>
      <w:rFonts w:ascii="Arial" w:eastAsiaTheme="majorEastAsia" w:hAnsi="Arial" w:cs="Arial"/>
      <w:b/>
      <w:color w:val="3F4A75"/>
      <w:kern w:val="28"/>
      <w:sz w:val="48"/>
      <w:szCs w:val="52"/>
      <w:lang w:eastAsia="en-US"/>
    </w:rPr>
  </w:style>
  <w:style w:type="character" w:customStyle="1" w:styleId="TitleChar">
    <w:name w:val="Title Char"/>
    <w:basedOn w:val="DefaultParagraphFont"/>
    <w:link w:val="Title"/>
    <w:rsid w:val="00867383"/>
    <w:rPr>
      <w:rFonts w:ascii="Arial" w:eastAsiaTheme="majorEastAsia" w:hAnsi="Arial" w:cs="Arial"/>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867383"/>
    <w:pPr>
      <w:numPr>
        <w:numId w:val="20"/>
      </w:numPr>
      <w:spacing w:before="60" w:after="60"/>
      <w:ind w:left="584" w:hanging="357"/>
    </w:pPr>
    <w:rPr>
      <w:rFonts w:eastAsia="Calibri"/>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867383"/>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TOCHeading">
    <w:name w:val="TOC Heading"/>
    <w:basedOn w:val="Heading1"/>
    <w:next w:val="Normal"/>
    <w:uiPriority w:val="39"/>
    <w:unhideWhenUsed/>
    <w:qFormat/>
    <w:rsid w:val="00D4685C"/>
    <w:pPr>
      <w:keepLines/>
      <w:spacing w:after="0" w:line="259" w:lineRule="auto"/>
      <w:outlineLvl w:val="9"/>
    </w:pPr>
    <w:rPr>
      <w:rFonts w:asciiTheme="majorHAnsi" w:eastAsiaTheme="majorEastAsia" w:hAnsiTheme="majorHAnsi" w:cstheme="majorBidi"/>
      <w:b w:val="0"/>
      <w:bCs w:val="0"/>
      <w:color w:val="2F3757" w:themeColor="accent1" w:themeShade="BF"/>
      <w:kern w:val="0"/>
      <w:szCs w:val="32"/>
      <w:lang w:val="en-US"/>
    </w:rPr>
  </w:style>
  <w:style w:type="paragraph" w:styleId="TOC1">
    <w:name w:val="toc 1"/>
    <w:basedOn w:val="Normal"/>
    <w:next w:val="Normal"/>
    <w:autoRedefine/>
    <w:uiPriority w:val="39"/>
    <w:unhideWhenUsed/>
    <w:rsid w:val="00867383"/>
    <w:pPr>
      <w:tabs>
        <w:tab w:val="left" w:pos="440"/>
        <w:tab w:val="right" w:leader="dot" w:pos="9060"/>
      </w:tabs>
      <w:spacing w:after="100"/>
    </w:pPr>
    <w:rPr>
      <w:rFonts w:eastAsia="Calibri"/>
    </w:rPr>
  </w:style>
  <w:style w:type="paragraph" w:styleId="TOC2">
    <w:name w:val="toc 2"/>
    <w:basedOn w:val="Normal"/>
    <w:next w:val="Normal"/>
    <w:autoRedefine/>
    <w:uiPriority w:val="39"/>
    <w:unhideWhenUsed/>
    <w:rsid w:val="000A3D96"/>
    <w:pPr>
      <w:tabs>
        <w:tab w:val="right" w:leader="dot" w:pos="9060"/>
      </w:tabs>
      <w:spacing w:after="100"/>
      <w:ind w:left="220"/>
    </w:pPr>
  </w:style>
  <w:style w:type="paragraph" w:styleId="TOC3">
    <w:name w:val="toc 3"/>
    <w:basedOn w:val="Normal"/>
    <w:next w:val="Normal"/>
    <w:autoRedefine/>
    <w:uiPriority w:val="39"/>
    <w:unhideWhenUsed/>
    <w:rsid w:val="00E52911"/>
    <w:pPr>
      <w:tabs>
        <w:tab w:val="right" w:leader="dot" w:pos="9060"/>
      </w:tabs>
      <w:spacing w:after="100"/>
      <w:ind w:left="440"/>
    </w:pPr>
  </w:style>
  <w:style w:type="paragraph" w:styleId="Revision">
    <w:name w:val="Revision"/>
    <w:hidden/>
    <w:uiPriority w:val="99"/>
    <w:semiHidden/>
    <w:rsid w:val="006C148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F21FE"/>
    <w:rPr>
      <w:sz w:val="16"/>
      <w:szCs w:val="16"/>
    </w:rPr>
  </w:style>
  <w:style w:type="paragraph" w:styleId="CommentText">
    <w:name w:val="annotation text"/>
    <w:basedOn w:val="Normal"/>
    <w:link w:val="CommentTextChar"/>
    <w:unhideWhenUsed/>
    <w:rsid w:val="000F21FE"/>
    <w:pPr>
      <w:spacing w:line="240" w:lineRule="auto"/>
    </w:pPr>
    <w:rPr>
      <w:sz w:val="20"/>
      <w:szCs w:val="20"/>
    </w:rPr>
  </w:style>
  <w:style w:type="character" w:customStyle="1" w:styleId="CommentTextChar">
    <w:name w:val="Comment Text Char"/>
    <w:basedOn w:val="DefaultParagraphFont"/>
    <w:link w:val="CommentText"/>
    <w:rsid w:val="000F21F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F21FE"/>
    <w:rPr>
      <w:b/>
      <w:bCs/>
    </w:rPr>
  </w:style>
  <w:style w:type="character" w:customStyle="1" w:styleId="CommentSubjectChar">
    <w:name w:val="Comment Subject Char"/>
    <w:basedOn w:val="CommentTextChar"/>
    <w:link w:val="CommentSubject"/>
    <w:semiHidden/>
    <w:rsid w:val="000F21FE"/>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4A3FB7"/>
    <w:rPr>
      <w:color w:val="605E5C"/>
      <w:shd w:val="clear" w:color="auto" w:fill="E1DFDD"/>
    </w:rPr>
  </w:style>
  <w:style w:type="character" w:styleId="FollowedHyperlink">
    <w:name w:val="FollowedHyperlink"/>
    <w:basedOn w:val="DefaultParagraphFont"/>
    <w:semiHidden/>
    <w:unhideWhenUsed/>
    <w:rsid w:val="002C4FBA"/>
    <w:rPr>
      <w:color w:val="800080" w:themeColor="followedHyperlink"/>
      <w:u w:val="single"/>
    </w:rPr>
  </w:style>
  <w:style w:type="character" w:customStyle="1" w:styleId="Heading1Char">
    <w:name w:val="Heading 1 Char"/>
    <w:basedOn w:val="DefaultParagraphFont"/>
    <w:link w:val="Heading1"/>
    <w:rsid w:val="00867383"/>
    <w:rPr>
      <w:rFonts w:ascii="Arial" w:eastAsia="Calibri" w:hAnsi="Arial" w:cs="Arial"/>
      <w:b/>
      <w:bCs/>
      <w:color w:val="3F4A75"/>
      <w:kern w:val="28"/>
      <w:sz w:val="32"/>
      <w:szCs w:val="36"/>
      <w:lang w:eastAsia="en-US"/>
    </w:rPr>
  </w:style>
  <w:style w:type="paragraph" w:customStyle="1" w:styleId="Heading1Appendix">
    <w:name w:val="Heading 1 (Appendix)"/>
    <w:basedOn w:val="Heading1"/>
    <w:link w:val="Heading1AppendixChar"/>
    <w:qFormat/>
    <w:rsid w:val="00867383"/>
    <w:pPr>
      <w:numPr>
        <w:numId w:val="0"/>
      </w:numPr>
    </w:pPr>
  </w:style>
  <w:style w:type="character" w:customStyle="1" w:styleId="Heading1AppendixChar">
    <w:name w:val="Heading 1 (Appendix) Char"/>
    <w:basedOn w:val="Heading1Char"/>
    <w:link w:val="Heading1Appendix"/>
    <w:rsid w:val="00867383"/>
    <w:rPr>
      <w:rFonts w:ascii="Arial" w:eastAsia="Calibri" w:hAnsi="Arial" w:cs="Arial"/>
      <w:b/>
      <w:bCs/>
      <w:color w:val="3F4A75"/>
      <w:kern w:val="28"/>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96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992024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1590457">
      <w:bodyDiv w:val="1"/>
      <w:marLeft w:val="0"/>
      <w:marRight w:val="0"/>
      <w:marTop w:val="0"/>
      <w:marBottom w:val="0"/>
      <w:divBdr>
        <w:top w:val="none" w:sz="0" w:space="0" w:color="auto"/>
        <w:left w:val="none" w:sz="0" w:space="0" w:color="auto"/>
        <w:bottom w:val="none" w:sz="0" w:space="0" w:color="auto"/>
        <w:right w:val="none" w:sz="0" w:space="0" w:color="auto"/>
      </w:divBdr>
    </w:div>
    <w:div w:id="21101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r.business.gov.au/" TargetMode="External"/><Relationship Id="rId18" Type="http://schemas.openxmlformats.org/officeDocument/2006/relationships/hyperlink" Target="https://www.health.gov.au/our-work/john-flynn-prevocational-doctor-progr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resources/apps-and-tools/health-workforce-locator" TargetMode="External"/><Relationship Id="rId17" Type="http://schemas.openxmlformats.org/officeDocument/2006/relationships/hyperlink" Target="https://www.health.gov.au/our-work/health-workforce-scholarship-program-hw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agpt-program-aboriginal-and-torres-strait-islander-salary-support-program-policy-2023?languag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our-work/help-for-rural-doctors-and-nurse-practitione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EM@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6B6A10CA-43C0-4F30-A055-4462B58F1D18}">
  <ds:schemaRefs>
    <ds:schemaRef ds:uri="http://schemas.microsoft.com/sharepoint/v3/contenttype/forms"/>
  </ds:schemaRefs>
</ds:datastoreItem>
</file>

<file path=customXml/itemProps3.xml><?xml version="1.0" encoding="utf-8"?>
<ds:datastoreItem xmlns:ds="http://schemas.openxmlformats.org/officeDocument/2006/customXml" ds:itemID="{217A6EBE-4873-40DB-9548-170BBEE7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94C78A-272B-435F-AA8A-9225070A4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Single Employer Model Jurisdiction-Led Trial Parameters and Principles</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Employer Model Jurisdiction-Led Trial Parameters and Principles</dc:title>
  <dc:subject>Health workforce</dc:subject>
  <dc:creator>Australian Government Department of Health, Disability and Ageing</dc:creator>
  <cp:keywords>Single Employer Model (SEM) Trials; Health workforce</cp:keywords>
  <cp:lastModifiedBy>MASCHKE, Elvia</cp:lastModifiedBy>
  <cp:revision>3</cp:revision>
  <dcterms:created xsi:type="dcterms:W3CDTF">2025-05-19T23:50:00Z</dcterms:created>
  <dcterms:modified xsi:type="dcterms:W3CDTF">2025-05-20T03:53:00Z</dcterms:modified>
  <cp:category/>
</cp:coreProperties>
</file>