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3048" w14:textId="5E2CEB8E" w:rsidR="00B500CA" w:rsidRPr="008E4343" w:rsidRDefault="00400BB0" w:rsidP="00122CB5">
      <w:pPr>
        <w:jc w:val="right"/>
        <w:rPr>
          <w:b/>
          <w:bCs/>
        </w:rPr>
      </w:pPr>
      <w:r w:rsidRPr="008E4343">
        <w:rPr>
          <w:b/>
          <w:bCs/>
        </w:rPr>
        <w:t>1</w:t>
      </w:r>
      <w:r w:rsidR="006270A3" w:rsidRPr="008E4343">
        <w:rPr>
          <w:b/>
          <w:bCs/>
        </w:rPr>
        <w:t>2</w:t>
      </w:r>
      <w:r w:rsidRPr="008E4343">
        <w:rPr>
          <w:b/>
          <w:bCs/>
        </w:rPr>
        <w:t xml:space="preserve"> </w:t>
      </w:r>
      <w:r w:rsidR="006270A3" w:rsidRPr="008E4343">
        <w:rPr>
          <w:b/>
          <w:bCs/>
        </w:rPr>
        <w:t xml:space="preserve">May </w:t>
      </w:r>
      <w:r w:rsidRPr="008E4343">
        <w:rPr>
          <w:b/>
          <w:bCs/>
        </w:rPr>
        <w:t>202</w:t>
      </w:r>
      <w:r w:rsidR="006270A3" w:rsidRPr="008E4343">
        <w:rPr>
          <w:b/>
          <w:bCs/>
        </w:rPr>
        <w:t>5</w:t>
      </w:r>
    </w:p>
    <w:p w14:paraId="565D0697" w14:textId="071B75BC" w:rsidR="008652A2" w:rsidRDefault="008652A2" w:rsidP="006270A3">
      <w:pPr>
        <w:pStyle w:val="Heading1"/>
        <w:spacing w:before="120" w:after="240"/>
      </w:pPr>
      <w:r>
        <w:t xml:space="preserve">RELEASE OF CONSULTATION </w:t>
      </w:r>
      <w:r w:rsidRPr="00FE2224">
        <w:t>PAPER</w:t>
      </w:r>
      <w:r>
        <w:t xml:space="preserve"> </w:t>
      </w:r>
      <w:r w:rsidR="00477EC2">
        <w:t>2</w:t>
      </w:r>
    </w:p>
    <w:p w14:paraId="37FF5846" w14:textId="4430F3AF" w:rsidR="00594B37" w:rsidRDefault="009C5EC4" w:rsidP="00594B37">
      <w:r>
        <w:t xml:space="preserve">The Independent Reviewer, </w:t>
      </w:r>
      <w:r w:rsidR="00594B37">
        <w:t>Ms Sue Dawson</w:t>
      </w:r>
      <w:r>
        <w:t>,</w:t>
      </w:r>
      <w:r w:rsidR="00594B37">
        <w:t xml:space="preserve"> is pleased to announce the release of </w:t>
      </w:r>
      <w:hyperlink r:id="rId10" w:history="1">
        <w:r w:rsidR="00594B37" w:rsidRPr="00112A17">
          <w:rPr>
            <w:rStyle w:val="Hyperlink"/>
          </w:rPr>
          <w:t>Consultation Paper 2: Consultation Outcomes and Reform Directions</w:t>
        </w:r>
      </w:hyperlink>
      <w:r w:rsidR="00594B37">
        <w:t xml:space="preserve"> for the Independent Review of Complexity in the National Registration and Accreditation Scheme (</w:t>
      </w:r>
      <w:r w:rsidR="00F02D33">
        <w:t>the National Scheme)</w:t>
      </w:r>
      <w:r w:rsidR="00594B37">
        <w:t>.</w:t>
      </w:r>
    </w:p>
    <w:p w14:paraId="6B1F076E" w14:textId="482A20DA" w:rsidR="00594B37" w:rsidRPr="006270A3" w:rsidRDefault="009C5EC4" w:rsidP="00741CF4">
      <w:pPr>
        <w:pStyle w:val="Heading1"/>
        <w:spacing w:before="240" w:after="240"/>
      </w:pPr>
      <w:r>
        <w:t xml:space="preserve">Consultation Paper </w:t>
      </w:r>
    </w:p>
    <w:p w14:paraId="5CFE8ED5" w14:textId="57888F3C" w:rsidR="0037325E" w:rsidRDefault="00594B37" w:rsidP="00594B37">
      <w:r>
        <w:t>Consultation Paper 2 pr</w:t>
      </w:r>
      <w:r w:rsidR="009C5EC4">
        <w:t xml:space="preserve">oposes </w:t>
      </w:r>
      <w:r>
        <w:t xml:space="preserve">a suite of necessary and practical adjustments </w:t>
      </w:r>
      <w:r w:rsidR="008C3F3B">
        <w:t xml:space="preserve">to </w:t>
      </w:r>
      <w:r w:rsidR="008C3F3B">
        <w:t xml:space="preserve">simplify and refocus the National Scheme, </w:t>
      </w:r>
      <w:r>
        <w:t xml:space="preserve">in four key areas: </w:t>
      </w:r>
    </w:p>
    <w:p w14:paraId="602C2FB0" w14:textId="10529C81" w:rsidR="0037325E" w:rsidRDefault="00F02D33" w:rsidP="0037325E">
      <w:pPr>
        <w:pStyle w:val="ListParagraph"/>
        <w:numPr>
          <w:ilvl w:val="0"/>
          <w:numId w:val="25"/>
        </w:numPr>
      </w:pPr>
      <w:r>
        <w:t>S</w:t>
      </w:r>
      <w:r w:rsidR="00594B37">
        <w:t xml:space="preserve">trategic planning discipline around the </w:t>
      </w:r>
      <w:r w:rsidR="00485788">
        <w:t xml:space="preserve">National </w:t>
      </w:r>
      <w:r w:rsidR="00594B37">
        <w:t>Scheme</w:t>
      </w:r>
      <w:r w:rsidR="009C5EC4">
        <w:t>.</w:t>
      </w:r>
    </w:p>
    <w:p w14:paraId="7FA5A48B" w14:textId="69F671B0" w:rsidR="0037325E" w:rsidRDefault="009C5EC4" w:rsidP="0037325E">
      <w:pPr>
        <w:pStyle w:val="ListParagraph"/>
        <w:numPr>
          <w:ilvl w:val="0"/>
          <w:numId w:val="25"/>
        </w:numPr>
      </w:pPr>
      <w:r>
        <w:t>A</w:t>
      </w:r>
      <w:r w:rsidR="00594B37">
        <w:t xml:space="preserve"> coherent regulatory policy framework for the entire health workforce (and a manageable pathway for growth of the </w:t>
      </w:r>
      <w:r w:rsidR="00485788">
        <w:t xml:space="preserve">National </w:t>
      </w:r>
      <w:r w:rsidR="00594B37">
        <w:t>Scheme)</w:t>
      </w:r>
      <w:r>
        <w:t>.</w:t>
      </w:r>
      <w:r w:rsidR="00594B37">
        <w:t xml:space="preserve"> </w:t>
      </w:r>
    </w:p>
    <w:p w14:paraId="5C479E8C" w14:textId="48C283FE" w:rsidR="0037325E" w:rsidRDefault="009C5EC4" w:rsidP="0037325E">
      <w:pPr>
        <w:pStyle w:val="ListParagraph"/>
        <w:numPr>
          <w:ilvl w:val="0"/>
          <w:numId w:val="25"/>
        </w:numPr>
      </w:pPr>
      <w:r>
        <w:t>I</w:t>
      </w:r>
      <w:r w:rsidR="00594B37">
        <w:t>nstituting appropriate stewardship and governance</w:t>
      </w:r>
      <w:r>
        <w:t xml:space="preserve"> for</w:t>
      </w:r>
      <w:r w:rsidR="00594B37">
        <w:t xml:space="preserve"> the </w:t>
      </w:r>
      <w:r w:rsidR="00485788">
        <w:t xml:space="preserve">National </w:t>
      </w:r>
      <w:r w:rsidR="00594B37">
        <w:t>Scheme</w:t>
      </w:r>
      <w:r>
        <w:t>.</w:t>
      </w:r>
      <w:r w:rsidR="00594B37">
        <w:t xml:space="preserve"> </w:t>
      </w:r>
    </w:p>
    <w:p w14:paraId="206CF0C3" w14:textId="6168DFF2" w:rsidR="00594B37" w:rsidRDefault="009C5EC4" w:rsidP="0037325E">
      <w:pPr>
        <w:pStyle w:val="ListParagraph"/>
        <w:numPr>
          <w:ilvl w:val="0"/>
          <w:numId w:val="25"/>
        </w:numPr>
      </w:pPr>
      <w:r>
        <w:t>E</w:t>
      </w:r>
      <w:r w:rsidR="00594B37">
        <w:t>stablishing an efficient and compassionate complaints handling regime across Australia</w:t>
      </w:r>
      <w:r w:rsidR="006461AF">
        <w:t>.</w:t>
      </w:r>
    </w:p>
    <w:p w14:paraId="2937ADFB" w14:textId="1FE6516F" w:rsidR="00D33A74" w:rsidRDefault="000B69B1" w:rsidP="00741CF4">
      <w:pPr>
        <w:pStyle w:val="Heading1"/>
        <w:spacing w:before="240" w:after="240"/>
      </w:pPr>
      <w:r w:rsidRPr="00741CF4">
        <w:t>Next Steps in the Review Process</w:t>
      </w:r>
    </w:p>
    <w:p w14:paraId="2924FE34" w14:textId="7AD6D08E" w:rsidR="003032C6" w:rsidRDefault="00741CF4" w:rsidP="00741CF4">
      <w:r>
        <w:t xml:space="preserve">Consultation Paper 2 </w:t>
      </w:r>
      <w:r w:rsidR="009C5EC4">
        <w:t xml:space="preserve">follows an open public submissions process and </w:t>
      </w:r>
      <w:r w:rsidR="003032C6">
        <w:t>wide-reaching</w:t>
      </w:r>
      <w:r w:rsidR="009C5EC4">
        <w:t xml:space="preserve"> consultation conducted during September </w:t>
      </w:r>
      <w:r w:rsidR="008E4343">
        <w:t xml:space="preserve">– </w:t>
      </w:r>
      <w:r w:rsidR="009C5EC4">
        <w:t xml:space="preserve">November 2024. </w:t>
      </w:r>
    </w:p>
    <w:p w14:paraId="2986FE06" w14:textId="53F2EAC2" w:rsidR="00741CF4" w:rsidRDefault="009C5EC4" w:rsidP="00741CF4">
      <w:r>
        <w:t xml:space="preserve">It </w:t>
      </w:r>
      <w:r w:rsidR="00741CF4">
        <w:t>supports more targeted consultation with key organisations and individuals across the range of stakeholder groups interested in and affected by this Review – including governments, the National Scheme and Health Complaints Entities (HCEs) leadership, professional memberships bodies (both within and outside the Scheme), consumer representatives, accreditation entities and organisations, and academics.</w:t>
      </w:r>
    </w:p>
    <w:p w14:paraId="755C5F91" w14:textId="4A69D724" w:rsidR="009C5EC4" w:rsidRDefault="00741CF4" w:rsidP="00741CF4">
      <w:r>
        <w:t>Th</w:t>
      </w:r>
      <w:r w:rsidR="009C5EC4">
        <w:t xml:space="preserve">is </w:t>
      </w:r>
      <w:r>
        <w:t xml:space="preserve">targeted consultation </w:t>
      </w:r>
      <w:r w:rsidR="009C5EC4">
        <w:t>is occurring between</w:t>
      </w:r>
      <w:r>
        <w:t xml:space="preserve"> May </w:t>
      </w:r>
      <w:r w:rsidR="006461AF">
        <w:t xml:space="preserve">through to the </w:t>
      </w:r>
      <w:r w:rsidR="008E4343">
        <w:t>middle of J</w:t>
      </w:r>
      <w:r>
        <w:t>une 2025.</w:t>
      </w:r>
      <w:r w:rsidR="009C5EC4">
        <w:t xml:space="preserve"> Participants in the targeted consultation will also </w:t>
      </w:r>
      <w:proofErr w:type="gramStart"/>
      <w:r w:rsidR="009C5EC4">
        <w:t>have the opportunity to</w:t>
      </w:r>
      <w:proofErr w:type="gramEnd"/>
      <w:r w:rsidR="009C5EC4">
        <w:t xml:space="preserve"> provide written submissions. </w:t>
      </w:r>
    </w:p>
    <w:p w14:paraId="3CF0A371" w14:textId="2233411A" w:rsidR="00741CF4" w:rsidRDefault="00741CF4" w:rsidP="00741CF4">
      <w:r>
        <w:t xml:space="preserve">While there is not a </w:t>
      </w:r>
      <w:r w:rsidR="008E4343">
        <w:t xml:space="preserve">wider public </w:t>
      </w:r>
      <w:r w:rsidR="009C5EC4">
        <w:t xml:space="preserve">written </w:t>
      </w:r>
      <w:r>
        <w:t xml:space="preserve">submissions process, comments on Consultation Paper 2 may be provided through organisational representatives involved in the targeted stakeholder deliberations (who will be free to consult with their members and colleagues) or directly to the Review team via </w:t>
      </w:r>
      <w:hyperlink r:id="rId11" w:history="1">
        <w:r w:rsidR="005B5240" w:rsidRPr="00D24098">
          <w:rPr>
            <w:rStyle w:val="Hyperlink"/>
          </w:rPr>
          <w:t>NRASComplexityReview@health.gov.au</w:t>
        </w:r>
      </w:hyperlink>
      <w:r>
        <w:t>.</w:t>
      </w:r>
    </w:p>
    <w:p w14:paraId="18A1268F" w14:textId="76BAFA31" w:rsidR="00741CF4" w:rsidRDefault="00741CF4" w:rsidP="00741CF4">
      <w:r>
        <w:t>Through this targeted consultation, formal recommendations (including implementation actions, potential timeframes and accountabilities) will be finalised and presented to Health Ministers in July 2025.</w:t>
      </w:r>
    </w:p>
    <w:p w14:paraId="237AF718" w14:textId="5D4200AE" w:rsidR="009C5EC4" w:rsidRPr="008E4343" w:rsidRDefault="009C5EC4" w:rsidP="008E4343">
      <w:pPr>
        <w:pStyle w:val="Heading1"/>
        <w:spacing w:before="240" w:after="240"/>
      </w:pPr>
      <w:r w:rsidRPr="008E4343">
        <w:t xml:space="preserve">Questions? </w:t>
      </w:r>
    </w:p>
    <w:p w14:paraId="6A8ECB0C" w14:textId="61A82ECE" w:rsidR="00D33A74" w:rsidRDefault="009C5EC4" w:rsidP="00D101DE">
      <w:r>
        <w:t xml:space="preserve">If you have any additional questions, please reach out to the NRAS Complexity Review team at </w:t>
      </w:r>
      <w:hyperlink r:id="rId12" w:history="1">
        <w:r w:rsidRPr="00D24098">
          <w:rPr>
            <w:rStyle w:val="Hyperlink"/>
          </w:rPr>
          <w:t>NRASComplexityReview@health.gov.au</w:t>
        </w:r>
      </w:hyperlink>
      <w:r>
        <w:t>.</w:t>
      </w:r>
    </w:p>
    <w:p w14:paraId="0FE1431A" w14:textId="77777777" w:rsidR="00FD7D48" w:rsidRPr="00FD7D48" w:rsidRDefault="00FD7D48" w:rsidP="00FD7D48"/>
    <w:p w14:paraId="2A8394C1" w14:textId="77777777" w:rsidR="00FD7D48" w:rsidRPr="00FD7D48" w:rsidRDefault="00FD7D48" w:rsidP="00FD7D48"/>
    <w:p w14:paraId="1D858EF2" w14:textId="27C999E8" w:rsidR="00FD7D48" w:rsidRPr="00FD7D48" w:rsidRDefault="00FD7D48" w:rsidP="00FD7D48">
      <w:pPr>
        <w:tabs>
          <w:tab w:val="left" w:pos="3933"/>
        </w:tabs>
      </w:pPr>
      <w:r>
        <w:tab/>
      </w:r>
    </w:p>
    <w:sectPr w:rsidR="00FD7D48" w:rsidRPr="00FD7D48" w:rsidSect="00D33A74">
      <w:footerReference w:type="default" r:id="rId13"/>
      <w:headerReference w:type="first" r:id="rId14"/>
      <w:footerReference w:type="first" r:id="rId15"/>
      <w:pgSz w:w="11906" w:h="16838" w:code="9"/>
      <w:pgMar w:top="2269" w:right="720" w:bottom="720" w:left="72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822B" w14:textId="77777777" w:rsidR="004C5AA0" w:rsidRDefault="004C5AA0" w:rsidP="00B500CA">
      <w:pPr>
        <w:spacing w:before="0" w:after="0"/>
      </w:pPr>
      <w:r>
        <w:separator/>
      </w:r>
    </w:p>
  </w:endnote>
  <w:endnote w:type="continuationSeparator" w:id="0">
    <w:p w14:paraId="0725D074" w14:textId="77777777" w:rsidR="004C5AA0" w:rsidRDefault="004C5AA0" w:rsidP="00B500CA">
      <w:pPr>
        <w:spacing w:before="0" w:after="0"/>
      </w:pPr>
      <w:r>
        <w:continuationSeparator/>
      </w:r>
    </w:p>
  </w:endnote>
  <w:endnote w:type="continuationNotice" w:id="1">
    <w:p w14:paraId="217F2672" w14:textId="77777777" w:rsidR="004C5AA0" w:rsidRDefault="004C5A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7D98" w14:textId="035EE860" w:rsidR="008F3D7B" w:rsidRPr="00B500CA" w:rsidRDefault="008F3D7B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73521" wp14:editId="26B3D7AC">
          <wp:simplePos x="0" y="0"/>
          <wp:positionH relativeFrom="page">
            <wp:posOffset>12065</wp:posOffset>
          </wp:positionH>
          <wp:positionV relativeFrom="page">
            <wp:posOffset>9839325</wp:posOffset>
          </wp:positionV>
          <wp:extent cx="7540625" cy="876905"/>
          <wp:effectExtent l="0" t="0" r="0" b="0"/>
          <wp:wrapNone/>
          <wp:docPr id="17508927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757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73"/>
                  <a:stretch/>
                </pic:blipFill>
                <pic:spPr bwMode="auto">
                  <a:xfrm>
                    <a:off x="0" y="0"/>
                    <a:ext cx="7540625" cy="87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500CA">
        <w:rPr>
          <w:rStyle w:val="Hyperlink"/>
          <w:rFonts w:cs="Arial"/>
          <w:bdr w:val="none" w:sz="0" w:space="0" w:color="auto" w:frame="1"/>
          <w:shd w:val="clear" w:color="auto" w:fill="FFFFFF"/>
        </w:rPr>
        <w:t>nrascomplexityreview@health.gov.au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502E" w14:textId="7A5C71EB" w:rsidR="008F3D7B" w:rsidRPr="00B500CA" w:rsidRDefault="00FD7D48">
    <w:pPr>
      <w:pStyle w:val="Footer"/>
      <w:rPr>
        <w:rFonts w:cs="Arial"/>
      </w:rPr>
    </w:pPr>
    <w:hyperlink r:id="rId1" w:history="1">
      <w:r w:rsidRPr="00D24098">
        <w:rPr>
          <w:rStyle w:val="Hyperlink"/>
          <w:rFonts w:cs="Arial"/>
          <w:bdr w:val="none" w:sz="0" w:space="0" w:color="auto" w:frame="1"/>
          <w:shd w:val="clear" w:color="auto" w:fill="FFFFFF"/>
        </w:rPr>
        <w:t>NRASComplexityReview@health.gov.au</w:t>
      </w:r>
    </w:hyperlink>
    <w:r w:rsidR="008F3D7B">
      <w:rPr>
        <w:noProof/>
      </w:rPr>
      <w:drawing>
        <wp:anchor distT="0" distB="0" distL="114300" distR="114300" simplePos="0" relativeHeight="251658241" behindDoc="1" locked="0" layoutInCell="1" allowOverlap="1" wp14:anchorId="6638F98F" wp14:editId="3DA5B221">
          <wp:simplePos x="0" y="0"/>
          <wp:positionH relativeFrom="page">
            <wp:posOffset>3157855</wp:posOffset>
          </wp:positionH>
          <wp:positionV relativeFrom="page">
            <wp:posOffset>6697980</wp:posOffset>
          </wp:positionV>
          <wp:extent cx="7540625" cy="865505"/>
          <wp:effectExtent l="0" t="0" r="3175" b="0"/>
          <wp:wrapNone/>
          <wp:docPr id="7100002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5904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75"/>
                  <a:stretch/>
                </pic:blipFill>
                <pic:spPr bwMode="auto">
                  <a:xfrm>
                    <a:off x="0" y="0"/>
                    <a:ext cx="7540625" cy="865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752B" w14:textId="77777777" w:rsidR="004C5AA0" w:rsidRDefault="004C5AA0" w:rsidP="00B500CA">
      <w:pPr>
        <w:spacing w:before="0" w:after="0"/>
      </w:pPr>
      <w:r>
        <w:separator/>
      </w:r>
    </w:p>
  </w:footnote>
  <w:footnote w:type="continuationSeparator" w:id="0">
    <w:p w14:paraId="7A399689" w14:textId="77777777" w:rsidR="004C5AA0" w:rsidRDefault="004C5AA0" w:rsidP="00B500CA">
      <w:pPr>
        <w:spacing w:before="0" w:after="0"/>
      </w:pPr>
      <w:r>
        <w:continuationSeparator/>
      </w:r>
    </w:p>
  </w:footnote>
  <w:footnote w:type="continuationNotice" w:id="1">
    <w:p w14:paraId="536DA9A7" w14:textId="77777777" w:rsidR="004C5AA0" w:rsidRDefault="004C5A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00CF" w14:textId="2115C950" w:rsidR="00D101DE" w:rsidRDefault="00D101DE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BD8B9CF" wp14:editId="5C65AAD6">
          <wp:simplePos x="0" y="0"/>
          <wp:positionH relativeFrom="page">
            <wp:posOffset>9525</wp:posOffset>
          </wp:positionH>
          <wp:positionV relativeFrom="page">
            <wp:posOffset>1905</wp:posOffset>
          </wp:positionV>
          <wp:extent cx="7556400" cy="10681200"/>
          <wp:effectExtent l="0" t="0" r="635" b="0"/>
          <wp:wrapNone/>
          <wp:docPr id="87467143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320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E7E1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D1C40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373D0"/>
    <w:multiLevelType w:val="hybridMultilevel"/>
    <w:tmpl w:val="85C4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692A"/>
    <w:multiLevelType w:val="multilevel"/>
    <w:tmpl w:val="8FA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D80267"/>
    <w:multiLevelType w:val="hybridMultilevel"/>
    <w:tmpl w:val="E3165C38"/>
    <w:lvl w:ilvl="0" w:tplc="65C2338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E5CA4"/>
    <w:multiLevelType w:val="multilevel"/>
    <w:tmpl w:val="7FF6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97A7B"/>
    <w:multiLevelType w:val="multilevel"/>
    <w:tmpl w:val="0F6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542D21"/>
    <w:multiLevelType w:val="multilevel"/>
    <w:tmpl w:val="29D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F02F9A"/>
    <w:multiLevelType w:val="hybridMultilevel"/>
    <w:tmpl w:val="BBCC3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5402"/>
    <w:multiLevelType w:val="multilevel"/>
    <w:tmpl w:val="499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3C0024"/>
    <w:multiLevelType w:val="multilevel"/>
    <w:tmpl w:val="314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282DEA"/>
    <w:multiLevelType w:val="multilevel"/>
    <w:tmpl w:val="54F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5E2CD5"/>
    <w:multiLevelType w:val="multilevel"/>
    <w:tmpl w:val="4044D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E79DD"/>
    <w:multiLevelType w:val="hybridMultilevel"/>
    <w:tmpl w:val="C6E854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E2280"/>
    <w:multiLevelType w:val="multilevel"/>
    <w:tmpl w:val="6B1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65856"/>
    <w:multiLevelType w:val="hybridMultilevel"/>
    <w:tmpl w:val="2D3EEA9E"/>
    <w:lvl w:ilvl="0" w:tplc="9DEA9E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A5373"/>
    <w:multiLevelType w:val="hybridMultilevel"/>
    <w:tmpl w:val="405C8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7932B5"/>
    <w:multiLevelType w:val="multilevel"/>
    <w:tmpl w:val="090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CB7B38"/>
    <w:multiLevelType w:val="multilevel"/>
    <w:tmpl w:val="EA42A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9027E"/>
    <w:multiLevelType w:val="hybridMultilevel"/>
    <w:tmpl w:val="AEAC7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C86"/>
    <w:multiLevelType w:val="hybridMultilevel"/>
    <w:tmpl w:val="46B87EE8"/>
    <w:lvl w:ilvl="0" w:tplc="2C1A6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33241"/>
    <w:multiLevelType w:val="multilevel"/>
    <w:tmpl w:val="2C2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EB692D"/>
    <w:multiLevelType w:val="multilevel"/>
    <w:tmpl w:val="64D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702BB4"/>
    <w:multiLevelType w:val="hybridMultilevel"/>
    <w:tmpl w:val="B92E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0855"/>
    <w:multiLevelType w:val="multilevel"/>
    <w:tmpl w:val="95E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459651">
    <w:abstractNumId w:val="7"/>
  </w:num>
  <w:num w:numId="2" w16cid:durableId="1093940903">
    <w:abstractNumId w:val="21"/>
  </w:num>
  <w:num w:numId="3" w16cid:durableId="827331889">
    <w:abstractNumId w:val="22"/>
  </w:num>
  <w:num w:numId="4" w16cid:durableId="1825078462">
    <w:abstractNumId w:val="3"/>
  </w:num>
  <w:num w:numId="5" w16cid:durableId="1158033731">
    <w:abstractNumId w:val="17"/>
  </w:num>
  <w:num w:numId="6" w16cid:durableId="1273318211">
    <w:abstractNumId w:val="24"/>
  </w:num>
  <w:num w:numId="7" w16cid:durableId="217978594">
    <w:abstractNumId w:val="14"/>
  </w:num>
  <w:num w:numId="8" w16cid:durableId="1034161771">
    <w:abstractNumId w:val="9"/>
  </w:num>
  <w:num w:numId="9" w16cid:durableId="1964076503">
    <w:abstractNumId w:val="5"/>
  </w:num>
  <w:num w:numId="10" w16cid:durableId="679627488">
    <w:abstractNumId w:val="10"/>
  </w:num>
  <w:num w:numId="11" w16cid:durableId="309676642">
    <w:abstractNumId w:val="6"/>
  </w:num>
  <w:num w:numId="12" w16cid:durableId="1407412915">
    <w:abstractNumId w:val="11"/>
  </w:num>
  <w:num w:numId="13" w16cid:durableId="397018965">
    <w:abstractNumId w:val="18"/>
  </w:num>
  <w:num w:numId="14" w16cid:durableId="117073850">
    <w:abstractNumId w:val="12"/>
  </w:num>
  <w:num w:numId="15" w16cid:durableId="2077507974">
    <w:abstractNumId w:val="23"/>
  </w:num>
  <w:num w:numId="16" w16cid:durableId="1370258727">
    <w:abstractNumId w:val="2"/>
  </w:num>
  <w:num w:numId="17" w16cid:durableId="446311969">
    <w:abstractNumId w:val="16"/>
  </w:num>
  <w:num w:numId="18" w16cid:durableId="983781503">
    <w:abstractNumId w:val="13"/>
  </w:num>
  <w:num w:numId="19" w16cid:durableId="2071995070">
    <w:abstractNumId w:val="15"/>
  </w:num>
  <w:num w:numId="20" w16cid:durableId="1994869702">
    <w:abstractNumId w:val="8"/>
  </w:num>
  <w:num w:numId="21" w16cid:durableId="1207527562">
    <w:abstractNumId w:val="4"/>
  </w:num>
  <w:num w:numId="22" w16cid:durableId="492835310">
    <w:abstractNumId w:val="20"/>
  </w:num>
  <w:num w:numId="23" w16cid:durableId="2061512647">
    <w:abstractNumId w:val="0"/>
  </w:num>
  <w:num w:numId="24" w16cid:durableId="232471182">
    <w:abstractNumId w:val="1"/>
  </w:num>
  <w:num w:numId="25" w16cid:durableId="630553800">
    <w:abstractNumId w:val="19"/>
  </w:num>
  <w:num w:numId="26" w16cid:durableId="557786907">
    <w:abstractNumId w:val="0"/>
  </w:num>
  <w:num w:numId="27" w16cid:durableId="18160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A"/>
    <w:rsid w:val="000055BD"/>
    <w:rsid w:val="0006042D"/>
    <w:rsid w:val="00074503"/>
    <w:rsid w:val="00080C29"/>
    <w:rsid w:val="00084D8E"/>
    <w:rsid w:val="000B69B1"/>
    <w:rsid w:val="000F6323"/>
    <w:rsid w:val="00112A17"/>
    <w:rsid w:val="001150F0"/>
    <w:rsid w:val="00122CB5"/>
    <w:rsid w:val="00123CDF"/>
    <w:rsid w:val="001608E5"/>
    <w:rsid w:val="001805FB"/>
    <w:rsid w:val="001812F5"/>
    <w:rsid w:val="00184F72"/>
    <w:rsid w:val="001A11A2"/>
    <w:rsid w:val="001A1564"/>
    <w:rsid w:val="001B0104"/>
    <w:rsid w:val="001B7401"/>
    <w:rsid w:val="001F36F3"/>
    <w:rsid w:val="00204F0B"/>
    <w:rsid w:val="00223E64"/>
    <w:rsid w:val="00234978"/>
    <w:rsid w:val="002C4496"/>
    <w:rsid w:val="002D21A8"/>
    <w:rsid w:val="002F144D"/>
    <w:rsid w:val="002F577B"/>
    <w:rsid w:val="003007A6"/>
    <w:rsid w:val="003032C6"/>
    <w:rsid w:val="00315239"/>
    <w:rsid w:val="00323E8C"/>
    <w:rsid w:val="003666A4"/>
    <w:rsid w:val="0037325E"/>
    <w:rsid w:val="0038736F"/>
    <w:rsid w:val="00392AD1"/>
    <w:rsid w:val="0039716A"/>
    <w:rsid w:val="003D3117"/>
    <w:rsid w:val="003D5BBF"/>
    <w:rsid w:val="00400BB0"/>
    <w:rsid w:val="00432C3A"/>
    <w:rsid w:val="004529B1"/>
    <w:rsid w:val="00455D46"/>
    <w:rsid w:val="00462CB9"/>
    <w:rsid w:val="00477EC2"/>
    <w:rsid w:val="00485788"/>
    <w:rsid w:val="00487535"/>
    <w:rsid w:val="00495031"/>
    <w:rsid w:val="004B34C6"/>
    <w:rsid w:val="004C5AA0"/>
    <w:rsid w:val="004F7885"/>
    <w:rsid w:val="005035B6"/>
    <w:rsid w:val="00527C60"/>
    <w:rsid w:val="00535F8B"/>
    <w:rsid w:val="00544540"/>
    <w:rsid w:val="0055404F"/>
    <w:rsid w:val="00566CE2"/>
    <w:rsid w:val="00585BC2"/>
    <w:rsid w:val="00594B37"/>
    <w:rsid w:val="0059612E"/>
    <w:rsid w:val="005B5240"/>
    <w:rsid w:val="005B7565"/>
    <w:rsid w:val="005C714C"/>
    <w:rsid w:val="005C7C18"/>
    <w:rsid w:val="005E05D7"/>
    <w:rsid w:val="00600517"/>
    <w:rsid w:val="006104DF"/>
    <w:rsid w:val="006270A3"/>
    <w:rsid w:val="006461AF"/>
    <w:rsid w:val="00656E00"/>
    <w:rsid w:val="00664084"/>
    <w:rsid w:val="00677D12"/>
    <w:rsid w:val="00690B49"/>
    <w:rsid w:val="00694982"/>
    <w:rsid w:val="006B4641"/>
    <w:rsid w:val="006D0563"/>
    <w:rsid w:val="006E790B"/>
    <w:rsid w:val="007175F0"/>
    <w:rsid w:val="00720380"/>
    <w:rsid w:val="00731E44"/>
    <w:rsid w:val="00732029"/>
    <w:rsid w:val="00741CF4"/>
    <w:rsid w:val="00757678"/>
    <w:rsid w:val="007651D6"/>
    <w:rsid w:val="00791B48"/>
    <w:rsid w:val="007C0861"/>
    <w:rsid w:val="007D08A5"/>
    <w:rsid w:val="007D348B"/>
    <w:rsid w:val="007F2BA2"/>
    <w:rsid w:val="007F7457"/>
    <w:rsid w:val="00832E4D"/>
    <w:rsid w:val="00836B36"/>
    <w:rsid w:val="008652A2"/>
    <w:rsid w:val="008A0224"/>
    <w:rsid w:val="008C3F3B"/>
    <w:rsid w:val="008D2180"/>
    <w:rsid w:val="008E4343"/>
    <w:rsid w:val="008E761A"/>
    <w:rsid w:val="008F3D7B"/>
    <w:rsid w:val="00914C8A"/>
    <w:rsid w:val="00917AF6"/>
    <w:rsid w:val="00926C46"/>
    <w:rsid w:val="00930D43"/>
    <w:rsid w:val="00935DC6"/>
    <w:rsid w:val="00964D0E"/>
    <w:rsid w:val="00977700"/>
    <w:rsid w:val="009B1E1B"/>
    <w:rsid w:val="009C5EC4"/>
    <w:rsid w:val="009D277E"/>
    <w:rsid w:val="009E63C3"/>
    <w:rsid w:val="009F0AB1"/>
    <w:rsid w:val="009F5318"/>
    <w:rsid w:val="00A16A0F"/>
    <w:rsid w:val="00A3596F"/>
    <w:rsid w:val="00A35B01"/>
    <w:rsid w:val="00A43BF9"/>
    <w:rsid w:val="00A46325"/>
    <w:rsid w:val="00A67ACB"/>
    <w:rsid w:val="00A77825"/>
    <w:rsid w:val="00A977D2"/>
    <w:rsid w:val="00AA1E47"/>
    <w:rsid w:val="00AA28B6"/>
    <w:rsid w:val="00AC2EB2"/>
    <w:rsid w:val="00AF2061"/>
    <w:rsid w:val="00B04513"/>
    <w:rsid w:val="00B07967"/>
    <w:rsid w:val="00B33944"/>
    <w:rsid w:val="00B500CA"/>
    <w:rsid w:val="00B64B06"/>
    <w:rsid w:val="00B91915"/>
    <w:rsid w:val="00BE1C21"/>
    <w:rsid w:val="00C02DD6"/>
    <w:rsid w:val="00C31539"/>
    <w:rsid w:val="00C33581"/>
    <w:rsid w:val="00C423B9"/>
    <w:rsid w:val="00C80922"/>
    <w:rsid w:val="00CD18F6"/>
    <w:rsid w:val="00CD3071"/>
    <w:rsid w:val="00CE3094"/>
    <w:rsid w:val="00CE7974"/>
    <w:rsid w:val="00CE7CFF"/>
    <w:rsid w:val="00CF0C76"/>
    <w:rsid w:val="00D101DE"/>
    <w:rsid w:val="00D2060E"/>
    <w:rsid w:val="00D33A74"/>
    <w:rsid w:val="00D52998"/>
    <w:rsid w:val="00D72CB6"/>
    <w:rsid w:val="00D7680D"/>
    <w:rsid w:val="00D96A35"/>
    <w:rsid w:val="00DB7A3C"/>
    <w:rsid w:val="00DE4B99"/>
    <w:rsid w:val="00E23639"/>
    <w:rsid w:val="00E4221F"/>
    <w:rsid w:val="00E55176"/>
    <w:rsid w:val="00EB458D"/>
    <w:rsid w:val="00EC0406"/>
    <w:rsid w:val="00EC2EE4"/>
    <w:rsid w:val="00ED5ED8"/>
    <w:rsid w:val="00ED7696"/>
    <w:rsid w:val="00EF37F6"/>
    <w:rsid w:val="00EF41E1"/>
    <w:rsid w:val="00F02D33"/>
    <w:rsid w:val="00F36196"/>
    <w:rsid w:val="00FA3A7A"/>
    <w:rsid w:val="00FA5C8E"/>
    <w:rsid w:val="00FB4A1B"/>
    <w:rsid w:val="00FD7D48"/>
    <w:rsid w:val="00FE2224"/>
    <w:rsid w:val="00FE5D39"/>
    <w:rsid w:val="00FF3CD7"/>
    <w:rsid w:val="00FF6213"/>
    <w:rsid w:val="2D793654"/>
    <w:rsid w:val="393B7301"/>
    <w:rsid w:val="625003E7"/>
    <w:rsid w:val="6A6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882A"/>
  <w15:chartTrackingRefBased/>
  <w15:docId w15:val="{88B4EF20-F38F-4119-B65A-F5BAEED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74"/>
    <w:pPr>
      <w:spacing w:before="120" w:after="120"/>
    </w:pPr>
    <w:rPr>
      <w:rFonts w:ascii="Arial" w:hAnsi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E222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0CA"/>
    <w:pPr>
      <w:keepNext/>
      <w:keepLines/>
      <w:spacing w:before="40" w:after="0"/>
      <w:outlineLvl w:val="1"/>
    </w:pPr>
    <w:rPr>
      <w:rFonts w:eastAsiaTheme="majorEastAsia" w:cstheme="majorBidi"/>
      <w:b/>
      <w:color w:val="1F4379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500CA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24"/>
    <w:rPr>
      <w:rFonts w:ascii="Arial" w:eastAsiaTheme="majorEastAsia" w:hAnsi="Arial" w:cstheme="majorBidi"/>
      <w:b/>
      <w:color w:val="1F437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CA"/>
  </w:style>
  <w:style w:type="paragraph" w:styleId="Footer">
    <w:name w:val="footer"/>
    <w:basedOn w:val="Normal"/>
    <w:link w:val="Foot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0CA"/>
  </w:style>
  <w:style w:type="character" w:styleId="Hyperlink">
    <w:name w:val="Hyperlink"/>
    <w:basedOn w:val="DefaultParagraphFont"/>
    <w:uiPriority w:val="99"/>
    <w:unhideWhenUsed/>
    <w:rsid w:val="00B500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00CA"/>
    <w:rPr>
      <w:rFonts w:ascii="Arial" w:eastAsiaTheme="majorEastAsia" w:hAnsi="Arial" w:cstheme="majorBidi"/>
      <w:b/>
      <w:color w:val="1F4379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00C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50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500CA"/>
  </w:style>
  <w:style w:type="character" w:customStyle="1" w:styleId="Heading3Char">
    <w:name w:val="Heading 3 Char"/>
    <w:basedOn w:val="DefaultParagraphFont"/>
    <w:link w:val="Heading3"/>
    <w:uiPriority w:val="9"/>
    <w:rsid w:val="00B500CA"/>
    <w:rPr>
      <w:rFonts w:ascii="Arial" w:eastAsiaTheme="majorEastAsia" w:hAnsi="Arial" w:cstheme="majorBidi"/>
      <w:b/>
      <w:color w:val="1F4379"/>
    </w:rPr>
  </w:style>
  <w:style w:type="character" w:styleId="UnresolvedMention">
    <w:name w:val="Unresolved Mention"/>
    <w:basedOn w:val="DefaultParagraphFont"/>
    <w:uiPriority w:val="99"/>
    <w:semiHidden/>
    <w:unhideWhenUsed/>
    <w:rsid w:val="00B500C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CA"/>
    <w:rPr>
      <w:rFonts w:ascii="Arial" w:hAnsi="Arial"/>
      <w:i/>
      <w:iCs/>
      <w:color w:val="4472C4" w:themeColor="accent1"/>
    </w:rPr>
  </w:style>
  <w:style w:type="paragraph" w:customStyle="1" w:styleId="BOXTEXT">
    <w:name w:val="BOX TEXT"/>
    <w:basedOn w:val="Normal"/>
    <w:qFormat/>
    <w:rsid w:val="00D3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Strong">
    <w:name w:val="Strong"/>
    <w:basedOn w:val="DefaultParagraphFont"/>
    <w:uiPriority w:val="22"/>
    <w:qFormat/>
    <w:rsid w:val="00977700"/>
    <w:rPr>
      <w:b/>
      <w:bCs/>
    </w:rPr>
  </w:style>
  <w:style w:type="character" w:styleId="Emphasis">
    <w:name w:val="Emphasis"/>
    <w:basedOn w:val="DefaultParagraphFont"/>
    <w:uiPriority w:val="20"/>
    <w:qFormat/>
    <w:rsid w:val="00CD3071"/>
    <w:rPr>
      <w:i/>
      <w:iCs/>
    </w:rPr>
  </w:style>
  <w:style w:type="paragraph" w:styleId="ListNumber">
    <w:name w:val="List Number"/>
    <w:basedOn w:val="Normal"/>
    <w:uiPriority w:val="99"/>
    <w:unhideWhenUsed/>
    <w:rsid w:val="00D33A74"/>
    <w:pPr>
      <w:numPr>
        <w:numId w:val="23"/>
      </w:numPr>
      <w:spacing w:line="276" w:lineRule="auto"/>
    </w:pPr>
  </w:style>
  <w:style w:type="paragraph" w:styleId="ListBullet">
    <w:name w:val="List Bullet"/>
    <w:basedOn w:val="Normal"/>
    <w:uiPriority w:val="99"/>
    <w:unhideWhenUsed/>
    <w:rsid w:val="00D33A74"/>
    <w:pPr>
      <w:numPr>
        <w:numId w:val="24"/>
      </w:numPr>
      <w:ind w:left="641" w:hanging="357"/>
    </w:pPr>
  </w:style>
  <w:style w:type="paragraph" w:styleId="ListParagraph">
    <w:name w:val="List Paragraph"/>
    <w:basedOn w:val="Normal"/>
    <w:uiPriority w:val="34"/>
    <w:qFormat/>
    <w:rsid w:val="0037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RASComplexityReview@health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RASComplexityReview@health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ealth.gov.au/resources/publications/consultation-paper-2-consultation-outcomes-and-reform-directions?language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ascomplexityreview@health.gov.a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RASComplexityReview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2B10F-4439-4631-8A13-A487C3E43ED8}">
  <ds:schemaRefs>
    <ds:schemaRef ds:uri="http://schemas.microsoft.com/office/2006/metadata/properties"/>
    <ds:schemaRef ds:uri="http://schemas.microsoft.com/office/infopath/2007/PartnerControls"/>
    <ds:schemaRef ds:uri="7cf0d553-55d9-4bac-8b7c-8b97eaff5111"/>
    <ds:schemaRef ds:uri="350b66da-6776-4830-a10a-b769593c2802"/>
  </ds:schemaRefs>
</ds:datastoreItem>
</file>

<file path=customXml/itemProps2.xml><?xml version="1.0" encoding="utf-8"?>
<ds:datastoreItem xmlns:ds="http://schemas.openxmlformats.org/officeDocument/2006/customXml" ds:itemID="{F711A221-654A-4DEA-A833-F0CCEE4DE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82406-AD63-447E-8617-ABB32C62E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NRAS Complexity Review Update – Release of Consultation Paper 1</vt:lpstr>
    </vt:vector>
  </TitlesOfParts>
  <Company/>
  <LinksUpToDate>false</LinksUpToDate>
  <CharactersWithSpaces>2536</CharactersWithSpaces>
  <SharedDoc>false</SharedDoc>
  <HLinks>
    <vt:vector size="24" baseType="variant"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https://www.health.gov.au/resources/publications/consultation-paper-1-review-of-complexity-in-the-national-registration-and-accreditation-scheme?language=en</vt:lpwstr>
      </vt:variant>
      <vt:variant>
        <vt:lpwstr/>
      </vt:variant>
      <vt:variant>
        <vt:i4>3342408</vt:i4>
      </vt:variant>
      <vt:variant>
        <vt:i4>3</vt:i4>
      </vt:variant>
      <vt:variant>
        <vt:i4>0</vt:i4>
      </vt:variant>
      <vt:variant>
        <vt:i4>5</vt:i4>
      </vt:variant>
      <vt:variant>
        <vt:lpwstr>mailto:nrascomplexityreview@health.gov.au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mailto:nrascomplexityreview@health.gov.au</vt:lpwstr>
      </vt:variant>
      <vt:variant>
        <vt:lpwstr/>
      </vt:variant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https://www.health.gov.au/resources/publications/consultation-paper-1-review-of-complexity-in-the-national-registration-and-accreditation-scheme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Complexity Review Update – Release of Consultation Paper 1</dc:title>
  <dc:subject>Health workforce</dc:subject>
  <cp:keywords/>
  <dc:description/>
  <dcterms:created xsi:type="dcterms:W3CDTF">2025-05-12T04:26:00Z</dcterms:created>
  <dcterms:modified xsi:type="dcterms:W3CDTF">2025-05-12T04:31:00Z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