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645E" w14:textId="77777777" w:rsidR="002D0FDC" w:rsidRDefault="002D0FDC" w:rsidP="002D0FDC">
      <w:pPr>
        <w:pStyle w:val="Heading1"/>
        <w:spacing w:before="120" w:after="120" w:line="240" w:lineRule="auto"/>
        <w:jc w:val="center"/>
      </w:pPr>
      <w:r>
        <w:t>Consumer Health Literacy</w:t>
      </w:r>
    </w:p>
    <w:p w14:paraId="1F3C1E60" w14:textId="77777777" w:rsidR="002D0FDC" w:rsidRDefault="002D0FDC" w:rsidP="002D0FDC">
      <w:pPr>
        <w:pStyle w:val="Heading1"/>
        <w:spacing w:before="120" w:after="120" w:line="240" w:lineRule="auto"/>
        <w:jc w:val="center"/>
      </w:pPr>
      <w:r>
        <w:t>Round Two Grant Recipients</w:t>
      </w:r>
    </w:p>
    <w:tbl>
      <w:tblPr>
        <w:tblStyle w:val="GridTable4"/>
        <w:tblW w:w="5000" w:type="pct"/>
        <w:tblLook w:val="04A0" w:firstRow="1" w:lastRow="0" w:firstColumn="1" w:lastColumn="0" w:noHBand="0" w:noVBand="1"/>
      </w:tblPr>
      <w:tblGrid>
        <w:gridCol w:w="2706"/>
        <w:gridCol w:w="5105"/>
        <w:gridCol w:w="2383"/>
      </w:tblGrid>
      <w:tr w:rsidR="002D0FDC" w:rsidRPr="00F25628" w14:paraId="169C4804" w14:textId="77777777" w:rsidTr="00BE03FB">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0661380" w14:textId="77777777" w:rsidR="002D0FDC" w:rsidRPr="00F25628" w:rsidRDefault="002D0FDC" w:rsidP="00BE03FB">
            <w:pPr>
              <w:rPr>
                <w:rFonts w:eastAsia="Calibri"/>
              </w:rPr>
            </w:pPr>
            <w:r w:rsidRPr="00F25628">
              <w:rPr>
                <w:rFonts w:eastAsia="Calibri"/>
              </w:rPr>
              <w:t>Project Title</w:t>
            </w:r>
          </w:p>
        </w:tc>
        <w:tc>
          <w:tcPr>
            <w:tcW w:w="2504" w:type="pct"/>
            <w:vAlign w:val="center"/>
          </w:tcPr>
          <w:p w14:paraId="47071268" w14:textId="77777777" w:rsidR="002D0FDC" w:rsidRPr="00F25628" w:rsidRDefault="002D0FDC" w:rsidP="00BE03FB">
            <w:pPr>
              <w:cnfStyle w:val="100000000000" w:firstRow="1" w:lastRow="0" w:firstColumn="0" w:lastColumn="0" w:oddVBand="0" w:evenVBand="0" w:oddHBand="0" w:evenHBand="0" w:firstRowFirstColumn="0" w:firstRowLastColumn="0" w:lastRowFirstColumn="0" w:lastRowLastColumn="0"/>
              <w:rPr>
                <w:rFonts w:eastAsia="Calibri"/>
              </w:rPr>
            </w:pPr>
            <w:r w:rsidRPr="00F25628">
              <w:rPr>
                <w:rFonts w:eastAsia="Calibri"/>
              </w:rPr>
              <w:t>Project Summary</w:t>
            </w:r>
          </w:p>
        </w:tc>
        <w:tc>
          <w:tcPr>
            <w:tcW w:w="1169" w:type="pct"/>
            <w:vAlign w:val="center"/>
          </w:tcPr>
          <w:p w14:paraId="7559F1C0" w14:textId="77777777" w:rsidR="002D0FDC" w:rsidRPr="00F25628" w:rsidRDefault="002D0FDC" w:rsidP="00BE03FB">
            <w:pPr>
              <w:cnfStyle w:val="100000000000" w:firstRow="1" w:lastRow="0" w:firstColumn="0" w:lastColumn="0" w:oddVBand="0" w:evenVBand="0" w:oddHBand="0" w:evenHBand="0" w:firstRowFirstColumn="0" w:firstRowLastColumn="0" w:lastRowFirstColumn="0" w:lastRowLastColumn="0"/>
              <w:rPr>
                <w:rFonts w:eastAsia="Calibri"/>
              </w:rPr>
            </w:pPr>
            <w:r w:rsidRPr="00F25628">
              <w:rPr>
                <w:rFonts w:eastAsia="Calibri"/>
              </w:rPr>
              <w:t>Recipient</w:t>
            </w:r>
          </w:p>
        </w:tc>
      </w:tr>
      <w:tr w:rsidR="002D0FDC" w:rsidRPr="00F25628" w14:paraId="6F65B03A" w14:textId="77777777" w:rsidTr="00BE03F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04837F46" w14:textId="77777777" w:rsidR="002D0FDC" w:rsidRPr="00F25628" w:rsidRDefault="002D0FDC" w:rsidP="00BE03FB">
            <w:pPr>
              <w:rPr>
                <w:rFonts w:eastAsia="Calibri"/>
                <w:b w:val="0"/>
                <w:bCs w:val="0"/>
                <w:sz w:val="20"/>
                <w:szCs w:val="20"/>
              </w:rPr>
            </w:pPr>
            <w:r w:rsidRPr="00F25628">
              <w:rPr>
                <w:sz w:val="20"/>
                <w:szCs w:val="20"/>
              </w:rPr>
              <w:t>Using Medicines for Better Health – Consumer Health Literacy for Quality Use of Medicines (CHL for QUM) Program</w:t>
            </w:r>
            <w:r w:rsidRPr="00F25628" w:rsidDel="002D0EC1">
              <w:rPr>
                <w:rFonts w:eastAsia="Calibri"/>
                <w:b w:val="0"/>
                <w:bCs w:val="0"/>
                <w:sz w:val="20"/>
                <w:szCs w:val="20"/>
              </w:rPr>
              <w:t xml:space="preserve"> </w:t>
            </w:r>
          </w:p>
        </w:tc>
        <w:tc>
          <w:tcPr>
            <w:tcW w:w="2504" w:type="pct"/>
            <w:shd w:val="clear" w:color="auto" w:fill="D8DBDB" w:themeFill="background1" w:themeFillShade="E6"/>
          </w:tcPr>
          <w:p w14:paraId="43B64E49"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Leading a consortium of 11 organisations, HCCA leads the QUM alliance to improve Consumer Health Literacy in four priority areas, building upon current QUDTP Consumer Health Literacy initiatives, using their existing partnerships to deliver increased reach and greater impact. HCCA brings together subject matter expertise and consumer experience to ensure high quality, evidence-based resources and education, supporting implementation across a board audience.</w:t>
            </w:r>
          </w:p>
        </w:tc>
        <w:tc>
          <w:tcPr>
            <w:tcW w:w="1169" w:type="pct"/>
            <w:shd w:val="clear" w:color="auto" w:fill="D8DBDB" w:themeFill="background1" w:themeFillShade="E6"/>
          </w:tcPr>
          <w:p w14:paraId="43E626A7"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Health Care Consumers’ Association of the ACT Incorporated – HCCA</w:t>
            </w:r>
            <w:r w:rsidRPr="00F25628" w:rsidDel="002D0EC1">
              <w:rPr>
                <w:rFonts w:eastAsia="Calibri"/>
                <w:sz w:val="20"/>
                <w:szCs w:val="20"/>
              </w:rPr>
              <w:t xml:space="preserve"> </w:t>
            </w:r>
          </w:p>
        </w:tc>
      </w:tr>
      <w:tr w:rsidR="002D0FDC" w:rsidRPr="00F25628" w14:paraId="4387D835" w14:textId="77777777" w:rsidTr="00BE03FB">
        <w:trPr>
          <w:trHeight w:val="378"/>
        </w:trPr>
        <w:tc>
          <w:tcPr>
            <w:cnfStyle w:val="001000000000" w:firstRow="0" w:lastRow="0" w:firstColumn="1" w:lastColumn="0" w:oddVBand="0" w:evenVBand="0" w:oddHBand="0" w:evenHBand="0" w:firstRowFirstColumn="0" w:firstRowLastColumn="0" w:lastRowFirstColumn="0" w:lastRowLastColumn="0"/>
            <w:tcW w:w="1327" w:type="pct"/>
          </w:tcPr>
          <w:p w14:paraId="2B269FED" w14:textId="77777777" w:rsidR="002D0FDC" w:rsidRPr="00F25628" w:rsidRDefault="002D0FDC" w:rsidP="00BE03FB">
            <w:pPr>
              <w:rPr>
                <w:rFonts w:eastAsia="Calibri"/>
                <w:b w:val="0"/>
                <w:bCs w:val="0"/>
                <w:sz w:val="20"/>
                <w:szCs w:val="20"/>
              </w:rPr>
            </w:pPr>
            <w:r w:rsidRPr="00F25628">
              <w:rPr>
                <w:sz w:val="20"/>
                <w:szCs w:val="20"/>
              </w:rPr>
              <w:t>Attack Asthma: Consumer Health Literacy Campaign</w:t>
            </w:r>
            <w:r w:rsidRPr="00F25628" w:rsidDel="002D0EC1">
              <w:rPr>
                <w:rFonts w:eastAsia="Calibri"/>
                <w:b w:val="0"/>
                <w:bCs w:val="0"/>
                <w:sz w:val="20"/>
                <w:szCs w:val="20"/>
              </w:rPr>
              <w:t xml:space="preserve"> </w:t>
            </w:r>
          </w:p>
        </w:tc>
        <w:tc>
          <w:tcPr>
            <w:tcW w:w="2504" w:type="pct"/>
          </w:tcPr>
          <w:p w14:paraId="03D20E82"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This campaign aims to deliver a national asthma health literacy campaign for families of children with asthma, aimed at improving preventative care, with an approach underpinned by a behaviour change framework and principles built on person-centred, evidence-based and best practice information at critical points in a child’s asthma journey.</w:t>
            </w:r>
          </w:p>
        </w:tc>
        <w:tc>
          <w:tcPr>
            <w:tcW w:w="1169" w:type="pct"/>
          </w:tcPr>
          <w:p w14:paraId="2C8348AD"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Asthma Australia</w:t>
            </w:r>
            <w:r w:rsidRPr="00F25628" w:rsidDel="002D0EC1">
              <w:rPr>
                <w:rFonts w:eastAsia="Calibri"/>
                <w:sz w:val="20"/>
                <w:szCs w:val="20"/>
              </w:rPr>
              <w:t xml:space="preserve"> </w:t>
            </w:r>
          </w:p>
        </w:tc>
      </w:tr>
      <w:tr w:rsidR="002D0FDC" w:rsidRPr="00F25628" w14:paraId="5CDA99B0" w14:textId="77777777" w:rsidTr="00BE03F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4D7E4E68" w14:textId="77777777" w:rsidR="002D0FDC" w:rsidRPr="00F25628" w:rsidRDefault="002D0FDC" w:rsidP="00BE03FB">
            <w:pPr>
              <w:rPr>
                <w:rFonts w:eastAsia="Calibri"/>
                <w:b w:val="0"/>
                <w:bCs w:val="0"/>
                <w:sz w:val="20"/>
                <w:szCs w:val="20"/>
              </w:rPr>
            </w:pPr>
            <w:r w:rsidRPr="00F25628">
              <w:rPr>
                <w:sz w:val="20"/>
                <w:szCs w:val="20"/>
              </w:rPr>
              <w:t>'Osteoporosis medication health literacy resource packages: co-design and automated dissemination at the time of dispensing targeted medicines in community pharmacies.</w:t>
            </w:r>
          </w:p>
        </w:tc>
        <w:tc>
          <w:tcPr>
            <w:tcW w:w="2504" w:type="pct"/>
            <w:shd w:val="clear" w:color="auto" w:fill="D8DBDB" w:themeFill="background1" w:themeFillShade="E6"/>
          </w:tcPr>
          <w:p w14:paraId="0192CDDE"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 xml:space="preserve">Healthily Pty Ltd aims to co-design and disseminate consumer health literacy resource packages in multiple languages for people prescribed osteoporosis medications, using </w:t>
            </w:r>
            <w:proofErr w:type="spellStart"/>
            <w:r w:rsidRPr="00F25628">
              <w:rPr>
                <w:sz w:val="20"/>
                <w:szCs w:val="20"/>
              </w:rPr>
              <w:t>Healthily’s</w:t>
            </w:r>
            <w:proofErr w:type="spellEnd"/>
            <w:r w:rsidRPr="00F25628">
              <w:rPr>
                <w:sz w:val="20"/>
                <w:szCs w:val="20"/>
              </w:rPr>
              <w:t xml:space="preserve"> patient education platform, </w:t>
            </w:r>
            <w:proofErr w:type="spellStart"/>
            <w:r w:rsidRPr="00F25628">
              <w:rPr>
                <w:sz w:val="20"/>
                <w:szCs w:val="20"/>
              </w:rPr>
              <w:t>GoShare</w:t>
            </w:r>
            <w:proofErr w:type="spellEnd"/>
            <w:r w:rsidRPr="00F25628">
              <w:rPr>
                <w:sz w:val="20"/>
                <w:szCs w:val="20"/>
              </w:rPr>
              <w:t xml:space="preserve">, in collaboration with Fred </w:t>
            </w:r>
            <w:proofErr w:type="gramStart"/>
            <w:r w:rsidRPr="00F25628">
              <w:rPr>
                <w:sz w:val="20"/>
                <w:szCs w:val="20"/>
              </w:rPr>
              <w:t>IT’s</w:t>
            </w:r>
            <w:proofErr w:type="gramEnd"/>
            <w:r w:rsidRPr="00F25628">
              <w:rPr>
                <w:sz w:val="20"/>
                <w:szCs w:val="20"/>
              </w:rPr>
              <w:t xml:space="preserve"> leading pharmacy dispense software, Fred Dispense Plus. The project aims to improve medication health literacy for people with osteoporosis, and improve self-management knowledge and skills, with emphasis on medication adherence.</w:t>
            </w:r>
          </w:p>
        </w:tc>
        <w:tc>
          <w:tcPr>
            <w:tcW w:w="1169" w:type="pct"/>
            <w:shd w:val="clear" w:color="auto" w:fill="D8DBDB" w:themeFill="background1" w:themeFillShade="E6"/>
          </w:tcPr>
          <w:p w14:paraId="77F06834"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Healthily Pty Ltd</w:t>
            </w:r>
            <w:r w:rsidRPr="00F25628" w:rsidDel="002D0EC1">
              <w:rPr>
                <w:rFonts w:eastAsia="Calibri"/>
                <w:sz w:val="20"/>
                <w:szCs w:val="20"/>
              </w:rPr>
              <w:t xml:space="preserve"> </w:t>
            </w:r>
          </w:p>
        </w:tc>
      </w:tr>
      <w:tr w:rsidR="002D0FDC" w:rsidRPr="00F25628" w14:paraId="5573A531" w14:textId="77777777" w:rsidTr="00BE03FB">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4946D1A0" w14:textId="77777777" w:rsidR="002D0FDC" w:rsidRPr="00F25628" w:rsidRDefault="002D0FDC" w:rsidP="00BE03FB">
            <w:pPr>
              <w:rPr>
                <w:rFonts w:eastAsia="Calibri"/>
                <w:b w:val="0"/>
                <w:bCs w:val="0"/>
                <w:sz w:val="20"/>
                <w:szCs w:val="20"/>
              </w:rPr>
            </w:pPr>
            <w:r w:rsidRPr="00F25628">
              <w:rPr>
                <w:sz w:val="20"/>
                <w:szCs w:val="20"/>
              </w:rPr>
              <w:t>Beyond Prescribing: Supporting Consumers to Adhere to Diabetes Medication through DARE (Digital &amp; Animated Resources for Engagement in Diabetes)</w:t>
            </w:r>
          </w:p>
        </w:tc>
        <w:tc>
          <w:tcPr>
            <w:tcW w:w="2504" w:type="pct"/>
          </w:tcPr>
          <w:p w14:paraId="3CE4B50D" w14:textId="7C9539B1"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 xml:space="preserve">Diabetes </w:t>
            </w:r>
            <w:r w:rsidR="00DC606A">
              <w:rPr>
                <w:sz w:val="20"/>
                <w:szCs w:val="20"/>
              </w:rPr>
              <w:t>WA</w:t>
            </w:r>
            <w:r w:rsidRPr="00F25628">
              <w:rPr>
                <w:sz w:val="20"/>
                <w:szCs w:val="20"/>
              </w:rPr>
              <w:t xml:space="preserve"> seeks to improve medication adherence for type-2 diabetes sufferers, eliciting a deeper understanding of the practical barriers of medication adherence, determining the content and type of digital resources that type-2 diabetes patients will engage with, determine feasibility of using animation and digital resources during the prescribing and dispense process, build confidence in discussing medication adherence with health professionals, and providing increased accessibility for the culturally and linguistically diverse communities most impacted by diabetes.</w:t>
            </w:r>
          </w:p>
        </w:tc>
        <w:tc>
          <w:tcPr>
            <w:tcW w:w="1169" w:type="pct"/>
          </w:tcPr>
          <w:p w14:paraId="2D0289F7" w14:textId="14917A40"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 xml:space="preserve">Diabetes </w:t>
            </w:r>
            <w:r w:rsidR="00DC606A">
              <w:rPr>
                <w:sz w:val="20"/>
                <w:szCs w:val="20"/>
              </w:rPr>
              <w:t>WA</w:t>
            </w:r>
            <w:r w:rsidRPr="00F25628" w:rsidDel="002D0EC1">
              <w:rPr>
                <w:rFonts w:eastAsia="Calibri"/>
                <w:sz w:val="20"/>
                <w:szCs w:val="20"/>
              </w:rPr>
              <w:t xml:space="preserve"> </w:t>
            </w:r>
          </w:p>
        </w:tc>
      </w:tr>
      <w:tr w:rsidR="002D0FDC" w:rsidRPr="00F25628" w14:paraId="1D6237CF" w14:textId="77777777" w:rsidTr="002D0F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5095282F" w14:textId="77777777" w:rsidR="002D0FDC" w:rsidRPr="00F25628" w:rsidRDefault="002D0FDC" w:rsidP="002D0FDC">
            <w:pPr>
              <w:rPr>
                <w:sz w:val="20"/>
                <w:szCs w:val="20"/>
              </w:rPr>
            </w:pPr>
            <w:r w:rsidRPr="00B12075">
              <w:rPr>
                <w:rFonts w:eastAsiaTheme="majorEastAsia" w:cs="Arial"/>
                <w:sz w:val="20"/>
                <w:szCs w:val="20"/>
              </w:rPr>
              <w:lastRenderedPageBreak/>
              <w:t>'</w:t>
            </w:r>
            <w:proofErr w:type="spellStart"/>
            <w:r w:rsidRPr="00B12075">
              <w:rPr>
                <w:rFonts w:eastAsiaTheme="majorEastAsia" w:cs="Arial"/>
                <w:sz w:val="20"/>
                <w:szCs w:val="20"/>
              </w:rPr>
              <w:t>BeCoughAware</w:t>
            </w:r>
            <w:proofErr w:type="spellEnd"/>
            <w:r w:rsidRPr="00B12075">
              <w:rPr>
                <w:rFonts w:eastAsiaTheme="majorEastAsia" w:cs="Arial"/>
                <w:sz w:val="20"/>
                <w:szCs w:val="20"/>
              </w:rPr>
              <w:t xml:space="preserve"> - Improving QUDTP/QUM and the pathway to diagnosis and management for chronic cough'</w:t>
            </w:r>
          </w:p>
        </w:tc>
        <w:tc>
          <w:tcPr>
            <w:tcW w:w="2504" w:type="pct"/>
            <w:shd w:val="clear" w:color="auto" w:fill="D8DBDB" w:themeFill="background1" w:themeFillShade="E6"/>
          </w:tcPr>
          <w:p w14:paraId="053375AF" w14:textId="24D4D463" w:rsidR="002D0FDC" w:rsidRPr="00F25628" w:rsidRDefault="002D0FDC" w:rsidP="002D0FDC">
            <w:pPr>
              <w:cnfStyle w:val="000000100000" w:firstRow="0" w:lastRow="0" w:firstColumn="0" w:lastColumn="0" w:oddVBand="0" w:evenVBand="0" w:oddHBand="1" w:evenHBand="0" w:firstRowFirstColumn="0" w:firstRowLastColumn="0" w:lastRowFirstColumn="0" w:lastRowLastColumn="0"/>
              <w:rPr>
                <w:sz w:val="20"/>
                <w:szCs w:val="20"/>
              </w:rPr>
            </w:pPr>
            <w:r w:rsidRPr="00B12075">
              <w:rPr>
                <w:rFonts w:eastAsiaTheme="majorEastAsia" w:cs="Arial"/>
                <w:sz w:val="20"/>
                <w:szCs w:val="20"/>
              </w:rPr>
              <w:t>Lung Foundation Australia seeks to enhance knowledge, skills, and confidence among Australians, empowering them to recognise chronic cough as a key symptom requiring follow</w:t>
            </w:r>
            <w:r w:rsidR="00DC606A">
              <w:rPr>
                <w:rFonts w:eastAsiaTheme="majorEastAsia" w:cs="Arial"/>
                <w:sz w:val="20"/>
                <w:szCs w:val="20"/>
              </w:rPr>
              <w:t>-</w:t>
            </w:r>
            <w:r w:rsidRPr="00B12075">
              <w:rPr>
                <w:rFonts w:eastAsiaTheme="majorEastAsia" w:cs="Arial"/>
                <w:sz w:val="20"/>
                <w:szCs w:val="20"/>
              </w:rPr>
              <w:t xml:space="preserve">up care. Lung Foundation Australia will tailor their program to better support First Nations peoples through collaboration with </w:t>
            </w:r>
            <w:r w:rsidR="00DC606A">
              <w:rPr>
                <w:rFonts w:eastAsiaTheme="majorEastAsia" w:cs="Arial"/>
                <w:sz w:val="20"/>
                <w:szCs w:val="20"/>
              </w:rPr>
              <w:t>I</w:t>
            </w:r>
            <w:r w:rsidRPr="00B12075">
              <w:rPr>
                <w:rFonts w:eastAsiaTheme="majorEastAsia" w:cs="Arial"/>
                <w:sz w:val="20"/>
                <w:szCs w:val="20"/>
              </w:rPr>
              <w:t>ndigenous leaders, health professionals and community members, implementing a follow-up process to help track participant’s journeys and offer support where needed.</w:t>
            </w:r>
          </w:p>
        </w:tc>
        <w:tc>
          <w:tcPr>
            <w:tcW w:w="1169" w:type="pct"/>
            <w:shd w:val="clear" w:color="auto" w:fill="D8DBDB" w:themeFill="background1" w:themeFillShade="E6"/>
          </w:tcPr>
          <w:p w14:paraId="22366F8D" w14:textId="77777777" w:rsidR="002D0FDC" w:rsidRPr="00F25628" w:rsidRDefault="002D0FDC" w:rsidP="002D0FDC">
            <w:pPr>
              <w:cnfStyle w:val="000000100000" w:firstRow="0" w:lastRow="0" w:firstColumn="0" w:lastColumn="0" w:oddVBand="0" w:evenVBand="0" w:oddHBand="1" w:evenHBand="0" w:firstRowFirstColumn="0" w:firstRowLastColumn="0" w:lastRowFirstColumn="0" w:lastRowLastColumn="0"/>
              <w:rPr>
                <w:sz w:val="20"/>
                <w:szCs w:val="20"/>
              </w:rPr>
            </w:pPr>
            <w:r w:rsidRPr="00B12075">
              <w:rPr>
                <w:rFonts w:cs="Arial"/>
                <w:sz w:val="20"/>
                <w:szCs w:val="20"/>
              </w:rPr>
              <w:t>Lung Foundation Australia</w:t>
            </w:r>
            <w:r w:rsidRPr="00530CD5" w:rsidDel="002D0EC1">
              <w:rPr>
                <w:rFonts w:eastAsia="Calibri" w:cs="Arial"/>
                <w:sz w:val="20"/>
                <w:szCs w:val="20"/>
              </w:rPr>
              <w:t xml:space="preserve"> </w:t>
            </w:r>
          </w:p>
        </w:tc>
      </w:tr>
    </w:tbl>
    <w:p w14:paraId="5C03D3E5" w14:textId="77777777" w:rsidR="002D0FDC" w:rsidRDefault="002D0FDC" w:rsidP="002D0FDC">
      <w:pPr>
        <w:pStyle w:val="Heading1"/>
        <w:spacing w:before="120" w:after="120" w:line="240" w:lineRule="auto"/>
        <w:jc w:val="center"/>
      </w:pPr>
      <w:r>
        <w:t>Health Professional Education Round Two Grant Recipients</w:t>
      </w:r>
    </w:p>
    <w:tbl>
      <w:tblPr>
        <w:tblStyle w:val="GridTable4"/>
        <w:tblpPr w:leftFromText="180" w:rightFromText="180" w:vertAnchor="text" w:tblpY="1"/>
        <w:tblOverlap w:val="never"/>
        <w:tblW w:w="5000" w:type="pct"/>
        <w:tblLook w:val="04A0" w:firstRow="1" w:lastRow="0" w:firstColumn="1" w:lastColumn="0" w:noHBand="0" w:noVBand="1"/>
      </w:tblPr>
      <w:tblGrid>
        <w:gridCol w:w="2706"/>
        <w:gridCol w:w="5105"/>
        <w:gridCol w:w="2383"/>
      </w:tblGrid>
      <w:tr w:rsidR="002D0FDC" w:rsidRPr="00F25628" w14:paraId="62EE5AC1" w14:textId="77777777" w:rsidTr="00BE03FB">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9E4CDE9" w14:textId="77777777" w:rsidR="002D0FDC" w:rsidRPr="00F25628" w:rsidRDefault="002D0FDC" w:rsidP="00BE03FB">
            <w:pPr>
              <w:rPr>
                <w:rFonts w:eastAsia="Calibri"/>
                <w:sz w:val="20"/>
                <w:szCs w:val="20"/>
              </w:rPr>
            </w:pPr>
            <w:r w:rsidRPr="00F25628">
              <w:rPr>
                <w:rFonts w:eastAsia="Calibri"/>
                <w:sz w:val="20"/>
                <w:szCs w:val="20"/>
              </w:rPr>
              <w:t>Project Title</w:t>
            </w:r>
          </w:p>
        </w:tc>
        <w:tc>
          <w:tcPr>
            <w:tcW w:w="2504" w:type="pct"/>
            <w:vAlign w:val="center"/>
          </w:tcPr>
          <w:p w14:paraId="79BC35B0" w14:textId="77777777" w:rsidR="002D0FDC" w:rsidRPr="00F25628" w:rsidRDefault="002D0FDC" w:rsidP="00BE03FB">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Project Summary</w:t>
            </w:r>
          </w:p>
        </w:tc>
        <w:tc>
          <w:tcPr>
            <w:tcW w:w="1169" w:type="pct"/>
            <w:vAlign w:val="center"/>
          </w:tcPr>
          <w:p w14:paraId="44649D2B" w14:textId="77777777" w:rsidR="002D0FDC" w:rsidRPr="00F25628" w:rsidRDefault="002D0FDC" w:rsidP="00BE03FB">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Recipient</w:t>
            </w:r>
          </w:p>
        </w:tc>
      </w:tr>
      <w:tr w:rsidR="002D0FDC" w:rsidRPr="00F25628" w14:paraId="4F6C47F9" w14:textId="77777777" w:rsidTr="00BE03F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6D1C79AC" w14:textId="77777777" w:rsidR="002D0FDC" w:rsidRPr="00F25628" w:rsidRDefault="002D0FDC" w:rsidP="00BE03FB">
            <w:pPr>
              <w:rPr>
                <w:rFonts w:eastAsia="Calibri"/>
                <w:sz w:val="20"/>
                <w:szCs w:val="20"/>
              </w:rPr>
            </w:pPr>
            <w:r w:rsidRPr="00F25628">
              <w:rPr>
                <w:rFonts w:eastAsia="Calibri"/>
                <w:sz w:val="20"/>
                <w:szCs w:val="20"/>
              </w:rPr>
              <w:t>Educating health professionals through a Knowledge Transfer Framework to reduce use of high-risk, and/or unnecessary medicines</w:t>
            </w:r>
          </w:p>
        </w:tc>
        <w:tc>
          <w:tcPr>
            <w:tcW w:w="2504" w:type="pct"/>
            <w:shd w:val="clear" w:color="auto" w:fill="D8DBDB" w:themeFill="background1" w:themeFillShade="E6"/>
          </w:tcPr>
          <w:p w14:paraId="7874BA56"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This education program seeks to reduce polypharmacy and focus on deprescribing starting with opioid analgesics and benzodiazepines and the polypharmacy of people in aged care.</w:t>
            </w:r>
          </w:p>
        </w:tc>
        <w:tc>
          <w:tcPr>
            <w:tcW w:w="1169" w:type="pct"/>
            <w:shd w:val="clear" w:color="auto" w:fill="D8DBDB" w:themeFill="background1" w:themeFillShade="E6"/>
          </w:tcPr>
          <w:p w14:paraId="311D6303"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Monash University</w:t>
            </w:r>
            <w:r w:rsidRPr="00F25628" w:rsidDel="002D0EC1">
              <w:rPr>
                <w:rFonts w:eastAsia="Calibri"/>
                <w:sz w:val="20"/>
                <w:szCs w:val="20"/>
              </w:rPr>
              <w:t xml:space="preserve"> </w:t>
            </w:r>
          </w:p>
        </w:tc>
      </w:tr>
      <w:tr w:rsidR="002D0FDC" w:rsidRPr="00F25628" w14:paraId="31B9F3EE" w14:textId="77777777" w:rsidTr="00BE03FB">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08120C27" w14:textId="77777777" w:rsidR="002D0FDC" w:rsidRPr="00F25628" w:rsidRDefault="002D0FDC" w:rsidP="00BE03FB">
            <w:pPr>
              <w:rPr>
                <w:rFonts w:eastAsia="Calibri"/>
                <w:sz w:val="20"/>
                <w:szCs w:val="20"/>
              </w:rPr>
            </w:pPr>
            <w:r w:rsidRPr="00F25628">
              <w:rPr>
                <w:rFonts w:eastAsia="Calibri"/>
                <w:sz w:val="20"/>
                <w:szCs w:val="20"/>
              </w:rPr>
              <w:t>QHUB: Quality Use of Medicines Education Collaboration</w:t>
            </w:r>
          </w:p>
        </w:tc>
        <w:tc>
          <w:tcPr>
            <w:tcW w:w="2504" w:type="pct"/>
          </w:tcPr>
          <w:p w14:paraId="3768EED6"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A health professional education program focussing on 5 workstreams including: secondary stroke prevention; complex multimorbidity in older adults; menopause; antidepressants in teens and young adults; osteoporosis (secondary fracture prevention); and related conditions. Priority populations include First Nations people, multicultural communities, rural/remote communities, older people with polypharmacy and people who identify as LGBTQI+.</w:t>
            </w:r>
          </w:p>
        </w:tc>
        <w:tc>
          <w:tcPr>
            <w:tcW w:w="1169" w:type="pct"/>
          </w:tcPr>
          <w:p w14:paraId="4F9F6A33"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proofErr w:type="spellStart"/>
            <w:r w:rsidRPr="00F25628">
              <w:rPr>
                <w:sz w:val="20"/>
                <w:szCs w:val="20"/>
              </w:rPr>
              <w:t>Medcast</w:t>
            </w:r>
            <w:proofErr w:type="spellEnd"/>
            <w:r w:rsidRPr="00F25628">
              <w:rPr>
                <w:sz w:val="20"/>
                <w:szCs w:val="20"/>
              </w:rPr>
              <w:t xml:space="preserve"> Pty Ltd</w:t>
            </w:r>
            <w:r w:rsidRPr="00F25628" w:rsidDel="002D0EC1">
              <w:rPr>
                <w:rFonts w:eastAsia="Calibri"/>
                <w:sz w:val="20"/>
                <w:szCs w:val="20"/>
              </w:rPr>
              <w:t xml:space="preserve"> </w:t>
            </w:r>
          </w:p>
        </w:tc>
      </w:tr>
      <w:tr w:rsidR="002D0FDC" w:rsidRPr="00F25628" w14:paraId="4DC8C630" w14:textId="77777777" w:rsidTr="00BE03F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45CFBD4A" w14:textId="77777777" w:rsidR="002D0FDC" w:rsidRPr="00F25628" w:rsidRDefault="002D0FDC" w:rsidP="00BE03FB">
            <w:pPr>
              <w:rPr>
                <w:rFonts w:eastAsia="Calibri"/>
                <w:sz w:val="20"/>
                <w:szCs w:val="20"/>
              </w:rPr>
            </w:pPr>
            <w:r w:rsidRPr="00F25628">
              <w:rPr>
                <w:rFonts w:eastAsia="Calibri"/>
                <w:sz w:val="20"/>
                <w:szCs w:val="20"/>
              </w:rPr>
              <w:t>Safer Surgery: Optimising perioperative medicines use</w:t>
            </w:r>
          </w:p>
        </w:tc>
        <w:tc>
          <w:tcPr>
            <w:tcW w:w="2504" w:type="pct"/>
            <w:shd w:val="clear" w:color="auto" w:fill="D8DBDB" w:themeFill="background1" w:themeFillShade="E6"/>
          </w:tcPr>
          <w:p w14:paraId="4D9D92D4"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The safer surgery project will develop educational resources targeted at perioperative medication management and a broad spectrum of health professionals involved in perioperative care including nurses, pharmacists, GPs, surgeons, anaesthetists, dietitians, dentists and students.</w:t>
            </w:r>
          </w:p>
        </w:tc>
        <w:tc>
          <w:tcPr>
            <w:tcW w:w="1169" w:type="pct"/>
            <w:shd w:val="clear" w:color="auto" w:fill="D8DBDB" w:themeFill="background1" w:themeFillShade="E6"/>
          </w:tcPr>
          <w:p w14:paraId="3116ABC7" w14:textId="77777777" w:rsidR="002D0FDC" w:rsidRPr="00F25628"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Advanced Pharmacy Australia (formerly The Society of Hospital Pharmacists Australia)</w:t>
            </w:r>
          </w:p>
        </w:tc>
      </w:tr>
      <w:tr w:rsidR="002D0FDC" w:rsidRPr="00F25628" w14:paraId="5AC54D40" w14:textId="77777777" w:rsidTr="00BE03FB">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2A67F190" w14:textId="77777777" w:rsidR="002D0FDC" w:rsidRPr="00F25628" w:rsidRDefault="002D0FDC" w:rsidP="00BE03FB">
            <w:pPr>
              <w:rPr>
                <w:rFonts w:eastAsia="Calibri"/>
                <w:sz w:val="20"/>
                <w:szCs w:val="20"/>
              </w:rPr>
            </w:pPr>
            <w:r w:rsidRPr="00F25628">
              <w:rPr>
                <w:rFonts w:eastAsia="Calibri"/>
                <w:sz w:val="20"/>
                <w:szCs w:val="20"/>
              </w:rPr>
              <w:t>Inclusive Conversations for Safer Medicine Use: Equipping Australian Pharmacists to communicate effectively with consumers with communication support needs</w:t>
            </w:r>
          </w:p>
        </w:tc>
        <w:tc>
          <w:tcPr>
            <w:tcW w:w="2504" w:type="pct"/>
          </w:tcPr>
          <w:p w14:paraId="70AAD7C8"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An online education and resource package for pharmacists to have best practice conversations about medication with consumers in high priority groups with communication support needs, including older people, people with a disability, people with low English literacy and limited health literacy.</w:t>
            </w:r>
          </w:p>
        </w:tc>
        <w:tc>
          <w:tcPr>
            <w:tcW w:w="1169" w:type="pct"/>
          </w:tcPr>
          <w:p w14:paraId="652515E1" w14:textId="77777777" w:rsidR="002D0FDC" w:rsidRPr="00F25628"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La Trobe University</w:t>
            </w:r>
            <w:r w:rsidRPr="00F25628" w:rsidDel="002D0EC1">
              <w:rPr>
                <w:rFonts w:eastAsia="Calibri"/>
                <w:sz w:val="20"/>
                <w:szCs w:val="20"/>
              </w:rPr>
              <w:t xml:space="preserve"> </w:t>
            </w:r>
          </w:p>
        </w:tc>
      </w:tr>
      <w:tr w:rsidR="002D0FDC" w:rsidRPr="00F25628" w14:paraId="46D7A4E3" w14:textId="77777777" w:rsidTr="00BE03F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5E317B65" w14:textId="77777777" w:rsidR="002D0FDC" w:rsidRPr="00F25628" w:rsidDel="002D0EC1" w:rsidRDefault="002D0FDC" w:rsidP="00BE03FB">
            <w:pPr>
              <w:rPr>
                <w:rFonts w:eastAsia="Calibri"/>
                <w:sz w:val="20"/>
                <w:szCs w:val="20"/>
              </w:rPr>
            </w:pPr>
            <w:r w:rsidRPr="00F25628">
              <w:rPr>
                <w:rFonts w:eastAsia="Calibri"/>
                <w:sz w:val="20"/>
                <w:szCs w:val="20"/>
              </w:rPr>
              <w:lastRenderedPageBreak/>
              <w:t>Quality Use of Community Palliative Care Medicines Project</w:t>
            </w:r>
          </w:p>
        </w:tc>
        <w:tc>
          <w:tcPr>
            <w:tcW w:w="2504" w:type="pct"/>
            <w:shd w:val="clear" w:color="auto" w:fill="D8DBDB" w:themeFill="background1" w:themeFillShade="E6"/>
          </w:tcPr>
          <w:p w14:paraId="2B57C828" w14:textId="77777777" w:rsidR="002D0FDC" w:rsidRPr="00F25628" w:rsidDel="002D0EC1"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rFonts w:eastAsia="Calibri"/>
                <w:sz w:val="20"/>
                <w:szCs w:val="20"/>
              </w:rPr>
              <w:t>Health Professional education targeted at prescribers and pharmacists to support palliative patients with medication safety and reduce avoidable hospitalisation who choose to be cared for at home or die in their preferred place.</w:t>
            </w:r>
          </w:p>
        </w:tc>
        <w:tc>
          <w:tcPr>
            <w:tcW w:w="1169" w:type="pct"/>
            <w:shd w:val="clear" w:color="auto" w:fill="D8DBDB" w:themeFill="background1" w:themeFillShade="E6"/>
          </w:tcPr>
          <w:p w14:paraId="61A660AD" w14:textId="77777777" w:rsidR="002D0FDC" w:rsidRPr="00F25628" w:rsidDel="002D0EC1" w:rsidRDefault="002D0FDC" w:rsidP="00BE03FB">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25628">
              <w:rPr>
                <w:sz w:val="20"/>
                <w:szCs w:val="20"/>
              </w:rPr>
              <w:t>Palliative Care Australia Ltd</w:t>
            </w:r>
          </w:p>
        </w:tc>
      </w:tr>
      <w:tr w:rsidR="002D0FDC" w:rsidRPr="00F25628" w14:paraId="49600387" w14:textId="77777777" w:rsidTr="00BE03FB">
        <w:trPr>
          <w:trHeight w:val="340"/>
        </w:trPr>
        <w:tc>
          <w:tcPr>
            <w:cnfStyle w:val="001000000000" w:firstRow="0" w:lastRow="0" w:firstColumn="1" w:lastColumn="0" w:oddVBand="0" w:evenVBand="0" w:oddHBand="0" w:evenHBand="0" w:firstRowFirstColumn="0" w:firstRowLastColumn="0" w:lastRowFirstColumn="0" w:lastRowLastColumn="0"/>
            <w:tcW w:w="1327" w:type="pct"/>
          </w:tcPr>
          <w:p w14:paraId="59DD82B6" w14:textId="77777777" w:rsidR="002D0FDC" w:rsidRPr="00F25628" w:rsidDel="002D0EC1" w:rsidRDefault="002D0FDC" w:rsidP="00BE03FB">
            <w:pPr>
              <w:rPr>
                <w:rFonts w:eastAsia="Calibri"/>
                <w:sz w:val="20"/>
                <w:szCs w:val="20"/>
              </w:rPr>
            </w:pPr>
            <w:r w:rsidRPr="00F25628">
              <w:rPr>
                <w:rFonts w:eastAsia="Calibri"/>
                <w:sz w:val="20"/>
                <w:szCs w:val="20"/>
              </w:rPr>
              <w:t>Quality Use of Medicines for Contraception, Gender-Affirming Hormone Therapy, and Early Medical Abortion</w:t>
            </w:r>
          </w:p>
        </w:tc>
        <w:tc>
          <w:tcPr>
            <w:tcW w:w="2504" w:type="pct"/>
          </w:tcPr>
          <w:p w14:paraId="21EC6FB0" w14:textId="77777777" w:rsidR="002D0FDC" w:rsidRPr="00F25628" w:rsidDel="002D0EC1"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rFonts w:eastAsia="Calibri"/>
                <w:sz w:val="20"/>
                <w:szCs w:val="20"/>
              </w:rPr>
              <w:t>The project will develop educational resources to support primary healthcare clinicians, pharmacists and other health professionals involved in the counselling and provision of medicines related to contraceptive care, early medical abortion and gender affirming care for women and trans and gender diverse people.</w:t>
            </w:r>
          </w:p>
        </w:tc>
        <w:tc>
          <w:tcPr>
            <w:tcW w:w="1169" w:type="pct"/>
          </w:tcPr>
          <w:p w14:paraId="0685782D" w14:textId="77777777" w:rsidR="002D0FDC" w:rsidRPr="00F25628" w:rsidDel="002D0EC1" w:rsidRDefault="002D0FDC" w:rsidP="00BE03FB">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25628">
              <w:rPr>
                <w:sz w:val="20"/>
                <w:szCs w:val="20"/>
              </w:rPr>
              <w:t>ASHM Health</w:t>
            </w:r>
          </w:p>
        </w:tc>
      </w:tr>
      <w:tr w:rsidR="002D0FDC" w:rsidRPr="00F25628" w14:paraId="6AC98DF6" w14:textId="77777777" w:rsidTr="002D0F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7" w:type="pct"/>
            <w:shd w:val="clear" w:color="auto" w:fill="D8DBDB" w:themeFill="background1" w:themeFillShade="E6"/>
          </w:tcPr>
          <w:p w14:paraId="03744031" w14:textId="77777777" w:rsidR="002D0FDC" w:rsidRPr="002D0FDC" w:rsidRDefault="002D0FDC" w:rsidP="002D0FDC">
            <w:pPr>
              <w:rPr>
                <w:rFonts w:eastAsia="Calibri"/>
                <w:sz w:val="20"/>
                <w:szCs w:val="20"/>
              </w:rPr>
            </w:pPr>
            <w:r w:rsidRPr="002D0FDC">
              <w:rPr>
                <w:rFonts w:eastAsia="Calibri" w:cs="Arial"/>
                <w:sz w:val="20"/>
                <w:szCs w:val="20"/>
              </w:rPr>
              <w:t>SPECTROM Australia: A Mental Health Medicines Training Programme</w:t>
            </w:r>
          </w:p>
        </w:tc>
        <w:tc>
          <w:tcPr>
            <w:tcW w:w="2504" w:type="pct"/>
            <w:shd w:val="clear" w:color="auto" w:fill="D8DBDB" w:themeFill="background1" w:themeFillShade="E6"/>
          </w:tcPr>
          <w:p w14:paraId="1DCF4BBA" w14:textId="457432CC" w:rsidR="002D0FDC" w:rsidRPr="00F25628" w:rsidRDefault="002D0FDC" w:rsidP="002D0FDC">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DB0342">
              <w:rPr>
                <w:rFonts w:eastAsia="Arial" w:cs="Arial"/>
                <w:sz w:val="20"/>
                <w:szCs w:val="20"/>
              </w:rPr>
              <w:t>A pilot mental health medicines training program combining online and face-to-face training to support people with intellectual and developmental disability to reduce over</w:t>
            </w:r>
            <w:r w:rsidR="00DC606A">
              <w:rPr>
                <w:rFonts w:eastAsia="Arial" w:cs="Arial"/>
                <w:sz w:val="20"/>
                <w:szCs w:val="20"/>
              </w:rPr>
              <w:t>-</w:t>
            </w:r>
            <w:r w:rsidRPr="00DB0342">
              <w:rPr>
                <w:rFonts w:eastAsia="Arial" w:cs="Arial"/>
                <w:sz w:val="20"/>
                <w:szCs w:val="20"/>
              </w:rPr>
              <w:t>medication.</w:t>
            </w:r>
          </w:p>
        </w:tc>
        <w:tc>
          <w:tcPr>
            <w:tcW w:w="1169" w:type="pct"/>
            <w:shd w:val="clear" w:color="auto" w:fill="D8DBDB" w:themeFill="background1" w:themeFillShade="E6"/>
          </w:tcPr>
          <w:p w14:paraId="3498F3B1" w14:textId="77777777" w:rsidR="002D0FDC" w:rsidRPr="00F25628" w:rsidRDefault="002D0FDC" w:rsidP="002D0FDC">
            <w:pPr>
              <w:cnfStyle w:val="000000100000" w:firstRow="0" w:lastRow="0" w:firstColumn="0" w:lastColumn="0" w:oddVBand="0" w:evenVBand="0" w:oddHBand="1" w:evenHBand="0" w:firstRowFirstColumn="0" w:firstRowLastColumn="0" w:lastRowFirstColumn="0" w:lastRowLastColumn="0"/>
              <w:rPr>
                <w:sz w:val="20"/>
                <w:szCs w:val="20"/>
              </w:rPr>
            </w:pPr>
            <w:r w:rsidRPr="00DB0342">
              <w:rPr>
                <w:rFonts w:cs="Arial"/>
                <w:sz w:val="20"/>
                <w:szCs w:val="20"/>
              </w:rPr>
              <w:t>University of Canberra</w:t>
            </w:r>
            <w:r w:rsidRPr="00BC6E7C" w:rsidDel="002D0EC1">
              <w:rPr>
                <w:rFonts w:eastAsia="Calibri" w:cs="Arial"/>
                <w:sz w:val="20"/>
                <w:szCs w:val="20"/>
              </w:rPr>
              <w:t xml:space="preserve"> </w:t>
            </w:r>
          </w:p>
        </w:tc>
      </w:tr>
    </w:tbl>
    <w:p w14:paraId="51580D34" w14:textId="77777777" w:rsidR="002D0FDC" w:rsidRPr="00D167F5" w:rsidRDefault="002D0FDC" w:rsidP="002D0FDC">
      <w:pPr>
        <w:rPr>
          <w:b/>
          <w:bCs/>
          <w:sz w:val="22"/>
          <w:szCs w:val="22"/>
          <w:lang w:eastAsia="en-AU"/>
        </w:rPr>
      </w:pPr>
      <w:r w:rsidRPr="002D0FDC">
        <w:rPr>
          <w:b/>
          <w:bCs/>
          <w:sz w:val="22"/>
          <w:szCs w:val="22"/>
          <w:highlight w:val="yellow"/>
          <w:lang w:eastAsia="en-AU"/>
        </w:rPr>
        <w:t xml:space="preserve">Please note – this </w:t>
      </w:r>
      <w:r w:rsidRPr="002D0FDC">
        <w:rPr>
          <w:rFonts w:eastAsia="Calibri"/>
          <w:b/>
          <w:bCs/>
          <w:sz w:val="22"/>
          <w:szCs w:val="22"/>
          <w:highlight w:val="yellow"/>
        </w:rPr>
        <w:t>not a complete list, as some HPE grants are still being finalised.</w:t>
      </w:r>
    </w:p>
    <w:p w14:paraId="39FF6107" w14:textId="77777777" w:rsidR="00422631" w:rsidRPr="002D0FDC" w:rsidRDefault="00422631" w:rsidP="002D0FDC"/>
    <w:sectPr w:rsidR="00422631" w:rsidRPr="002D0FDC" w:rsidSect="0077419E">
      <w:headerReference w:type="first" r:id="rId11"/>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2674" w14:textId="77777777" w:rsidR="00DC606A" w:rsidRDefault="00DC606A" w:rsidP="0076491B">
      <w:pPr>
        <w:spacing w:before="0" w:after="0" w:line="240" w:lineRule="auto"/>
      </w:pPr>
      <w:r>
        <w:separator/>
      </w:r>
    </w:p>
  </w:endnote>
  <w:endnote w:type="continuationSeparator" w:id="0">
    <w:p w14:paraId="2641D1EB" w14:textId="77777777" w:rsidR="00DC606A" w:rsidRDefault="00DC606A"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66E2" w14:textId="77777777" w:rsidR="00DC606A" w:rsidRDefault="00DC606A" w:rsidP="0076491B">
      <w:pPr>
        <w:spacing w:before="0" w:after="0" w:line="240" w:lineRule="auto"/>
      </w:pPr>
      <w:r>
        <w:separator/>
      </w:r>
    </w:p>
  </w:footnote>
  <w:footnote w:type="continuationSeparator" w:id="0">
    <w:p w14:paraId="790B1599" w14:textId="77777777" w:rsidR="00DC606A" w:rsidRDefault="00DC606A"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388C" w14:textId="77777777" w:rsidR="0076491B" w:rsidRDefault="006A0E9A">
    <w:pPr>
      <w:pStyle w:val="Header"/>
    </w:pPr>
    <w:r>
      <w:rPr>
        <w:noProof/>
        <w:lang w:val="en-US"/>
      </w:rPr>
      <w:drawing>
        <wp:anchor distT="0" distB="0" distL="114300" distR="114300" simplePos="0" relativeHeight="251659264" behindDoc="0" locked="0" layoutInCell="1" allowOverlap="1" wp14:anchorId="073D3414" wp14:editId="520395D7">
          <wp:simplePos x="0" y="0"/>
          <wp:positionH relativeFrom="page">
            <wp:posOffset>2220</wp:posOffset>
          </wp:positionH>
          <wp:positionV relativeFrom="page">
            <wp:posOffset>0</wp:posOffset>
          </wp:positionV>
          <wp:extent cx="7558363" cy="2112411"/>
          <wp:effectExtent l="0" t="0" r="0" b="0"/>
          <wp:wrapNone/>
          <wp:docPr id="812328389" name="Picture 812328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61961">
    <w:abstractNumId w:val="17"/>
  </w:num>
  <w:num w:numId="2" w16cid:durableId="1917128003">
    <w:abstractNumId w:val="3"/>
  </w:num>
  <w:num w:numId="3" w16cid:durableId="1086421373">
    <w:abstractNumId w:val="15"/>
  </w:num>
  <w:num w:numId="4" w16cid:durableId="994456960">
    <w:abstractNumId w:val="16"/>
  </w:num>
  <w:num w:numId="5" w16cid:durableId="174003446">
    <w:abstractNumId w:val="7"/>
  </w:num>
  <w:num w:numId="6" w16cid:durableId="323360149">
    <w:abstractNumId w:val="2"/>
  </w:num>
  <w:num w:numId="7" w16cid:durableId="724304022">
    <w:abstractNumId w:val="12"/>
  </w:num>
  <w:num w:numId="8" w16cid:durableId="1841499686">
    <w:abstractNumId w:val="11"/>
  </w:num>
  <w:num w:numId="9" w16cid:durableId="2108456112">
    <w:abstractNumId w:val="14"/>
  </w:num>
  <w:num w:numId="10" w16cid:durableId="1234464231">
    <w:abstractNumId w:val="0"/>
  </w:num>
  <w:num w:numId="11" w16cid:durableId="1039938409">
    <w:abstractNumId w:val="18"/>
  </w:num>
  <w:num w:numId="12" w16cid:durableId="842011056">
    <w:abstractNumId w:val="5"/>
  </w:num>
  <w:num w:numId="13" w16cid:durableId="1883135095">
    <w:abstractNumId w:val="10"/>
  </w:num>
  <w:num w:numId="14" w16cid:durableId="769811522">
    <w:abstractNumId w:val="1"/>
  </w:num>
  <w:num w:numId="15" w16cid:durableId="1698004375">
    <w:abstractNumId w:val="6"/>
  </w:num>
  <w:num w:numId="16" w16cid:durableId="1537309136">
    <w:abstractNumId w:val="8"/>
  </w:num>
  <w:num w:numId="17" w16cid:durableId="15422834">
    <w:abstractNumId w:val="13"/>
  </w:num>
  <w:num w:numId="18" w16cid:durableId="535435126">
    <w:abstractNumId w:val="9"/>
  </w:num>
  <w:num w:numId="19" w16cid:durableId="2068140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6A"/>
    <w:rsid w:val="0018537B"/>
    <w:rsid w:val="00282E2A"/>
    <w:rsid w:val="002C2D46"/>
    <w:rsid w:val="002D0FDC"/>
    <w:rsid w:val="00360B34"/>
    <w:rsid w:val="003619F4"/>
    <w:rsid w:val="00422631"/>
    <w:rsid w:val="004557A0"/>
    <w:rsid w:val="004C11EB"/>
    <w:rsid w:val="004D366B"/>
    <w:rsid w:val="004D7C5F"/>
    <w:rsid w:val="004F7E50"/>
    <w:rsid w:val="005035B6"/>
    <w:rsid w:val="00531F59"/>
    <w:rsid w:val="00627968"/>
    <w:rsid w:val="00633DB4"/>
    <w:rsid w:val="006A0E9A"/>
    <w:rsid w:val="006C07D3"/>
    <w:rsid w:val="006D599E"/>
    <w:rsid w:val="00726939"/>
    <w:rsid w:val="0076491B"/>
    <w:rsid w:val="0077419E"/>
    <w:rsid w:val="007E444A"/>
    <w:rsid w:val="008675BF"/>
    <w:rsid w:val="008F467F"/>
    <w:rsid w:val="009346B6"/>
    <w:rsid w:val="009B2828"/>
    <w:rsid w:val="009F20E3"/>
    <w:rsid w:val="00AC04A6"/>
    <w:rsid w:val="00AF3EEB"/>
    <w:rsid w:val="00BD577C"/>
    <w:rsid w:val="00C074CB"/>
    <w:rsid w:val="00C46331"/>
    <w:rsid w:val="00C56D73"/>
    <w:rsid w:val="00C76B54"/>
    <w:rsid w:val="00C9187A"/>
    <w:rsid w:val="00CA0CFC"/>
    <w:rsid w:val="00DC606A"/>
    <w:rsid w:val="00E9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375D"/>
  <w15:chartTrackingRefBased/>
  <w15:docId w15:val="{B120DEF4-E3C3-485D-996A-599A86F2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GridTable4">
    <w:name w:val="Grid Table 4"/>
    <w:basedOn w:val="TableNormal"/>
    <w:uiPriority w:val="49"/>
    <w:rsid w:val="002D0FDC"/>
    <w:rPr>
      <w:sz w:val="22"/>
      <w:szCs w:val="22"/>
    </w:rPr>
    <w:tblPr>
      <w:tblStyleRowBandSize w:val="1"/>
      <w:tblStyleColBandSize w:val="1"/>
      <w:tblBorders>
        <w:top w:val="single" w:sz="4" w:space="0" w:color="573EC3" w:themeColor="text1" w:themeTint="99"/>
        <w:left w:val="single" w:sz="4" w:space="0" w:color="573EC3" w:themeColor="text1" w:themeTint="99"/>
        <w:bottom w:val="single" w:sz="4" w:space="0" w:color="573EC3" w:themeColor="text1" w:themeTint="99"/>
        <w:right w:val="single" w:sz="4" w:space="0" w:color="573EC3" w:themeColor="text1" w:themeTint="99"/>
        <w:insideH w:val="single" w:sz="4" w:space="0" w:color="573EC3" w:themeColor="text1" w:themeTint="99"/>
        <w:insideV w:val="single" w:sz="4" w:space="0" w:color="573EC3" w:themeColor="text1" w:themeTint="99"/>
      </w:tblBorders>
    </w:tblPr>
    <w:tblStylePr w:type="firstRow">
      <w:rPr>
        <w:b/>
        <w:bCs/>
        <w:color w:val="F1F2F2" w:themeColor="background1"/>
      </w:rPr>
      <w:tblPr/>
      <w:tcPr>
        <w:tcBorders>
          <w:top w:val="single" w:sz="4" w:space="0" w:color="1E1544" w:themeColor="text1"/>
          <w:left w:val="single" w:sz="4" w:space="0" w:color="1E1544" w:themeColor="text1"/>
          <w:bottom w:val="single" w:sz="4" w:space="0" w:color="1E1544" w:themeColor="text1"/>
          <w:right w:val="single" w:sz="4" w:space="0" w:color="1E1544" w:themeColor="text1"/>
          <w:insideH w:val="nil"/>
          <w:insideV w:val="nil"/>
        </w:tcBorders>
        <w:shd w:val="clear" w:color="auto" w:fill="1E1544" w:themeFill="text1"/>
      </w:tcPr>
    </w:tblStylePr>
    <w:tblStylePr w:type="lastRow">
      <w:rPr>
        <w:b/>
        <w:bCs/>
      </w:rPr>
      <w:tblPr/>
      <w:tcPr>
        <w:tcBorders>
          <w:top w:val="double" w:sz="4" w:space="0" w:color="1E1544" w:themeColor="text1"/>
        </w:tcBorders>
      </w:tcPr>
    </w:tblStylePr>
    <w:tblStylePr w:type="firstCol">
      <w:rPr>
        <w:b/>
        <w:bCs/>
      </w:rPr>
    </w:tblStylePr>
    <w:tblStylePr w:type="lastCol">
      <w:rPr>
        <w:b/>
        <w:bCs/>
      </w:rPr>
    </w:tblStylePr>
    <w:tblStylePr w:type="band1Vert">
      <w:tblPr/>
      <w:tcPr>
        <w:shd w:val="clear" w:color="auto" w:fill="C6BEEB" w:themeFill="text1" w:themeFillTint="33"/>
      </w:tcPr>
    </w:tblStylePr>
    <w:tblStylePr w:type="band1Horz">
      <w:tblPr/>
      <w:tcPr>
        <w:shd w:val="clear" w:color="auto" w:fill="C6BEEB"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ri\OneDrive%20-%20Department%20of%20Health\Attachments\Work\Grants\20250529%20-%20Consumer%20Health%20Literacy%20and%20Health%20Professional%20Education%20Grant%20Recipients.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infopath/2007/PartnerControls"/>
    <ds:schemaRef ds:uri="http://purl.org/dc/elements/1.1/"/>
    <ds:schemaRef ds:uri="http://schemas.microsoft.com/office/2006/metadata/properties"/>
    <ds:schemaRef ds:uri="f1385b24-fdc9-465b-acea-1175dd5222bb"/>
    <ds:schemaRef ds:uri="4ad531cf-87ce-42ef-97b9-c349eda1b4e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B830726-D28E-4C5E-B321-3A9FF399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20250529 - Consumer Health Literacy and Health Professional Education Grant Recipients.dotx</Template>
  <TotalTime>3</TotalTime>
  <Pages>3</Pages>
  <Words>798</Words>
  <Characters>5263</Characters>
  <Application>Microsoft Office Word</Application>
  <DocSecurity>0</DocSecurity>
  <Lines>178</Lines>
  <Paragraphs>46</Paragraphs>
  <ScaleCrop>false</ScaleCrop>
  <HeadingPairs>
    <vt:vector size="2" baseType="variant">
      <vt:variant>
        <vt:lpstr>Title</vt:lpstr>
      </vt:variant>
      <vt:variant>
        <vt:i4>1</vt:i4>
      </vt:variant>
    </vt:vector>
  </HeadingPairs>
  <TitlesOfParts>
    <vt:vector size="1" baseType="lpstr">
      <vt:lpstr>Consumer Health Literacy and Health Professional Education Grant Recipients</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Health Literacy and Health Professional Education Grant Recipients</dc:title>
  <dc:subject/>
  <dc:creator>Australian Government Department of Health, Disability and Ageing</dc:creator>
  <cp:keywords>Aged Care, Senior Australians</cp:keywords>
  <dc:description/>
  <cp:lastModifiedBy>NG, Brendan</cp:lastModifiedBy>
  <cp:revision>3</cp:revision>
  <dcterms:created xsi:type="dcterms:W3CDTF">2025-05-29T02:51:00Z</dcterms:created>
  <dcterms:modified xsi:type="dcterms:W3CDTF">2025-05-29T04:54:00Z</dcterms:modified>
</cp:coreProperties>
</file>