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0772BB" w14:textId="64E25214" w:rsidR="001E0900" w:rsidRPr="006D7287" w:rsidRDefault="00AA2171" w:rsidP="001E0900">
      <w:pPr>
        <w:pStyle w:val="Title"/>
        <w:contextualSpacing w:val="0"/>
      </w:pPr>
      <w:r w:rsidRPr="006D7287">
        <w:t>Consultation Paper 10</w:t>
      </w:r>
      <w:r w:rsidR="00FA1273" w:rsidRPr="006D7287">
        <w:t xml:space="preserve"> </w:t>
      </w:r>
      <w:r w:rsidR="00E13E08" w:rsidRPr="00E13E08">
        <w:t>–</w:t>
      </w:r>
      <w:r w:rsidR="005D1036" w:rsidRPr="006D7287">
        <w:t xml:space="preserve"> G</w:t>
      </w:r>
      <w:r w:rsidRPr="006D7287">
        <w:t>eneral use items utilisation, expenditure and integrity</w:t>
      </w:r>
    </w:p>
    <w:p w14:paraId="60A521FE" w14:textId="2C71F31A" w:rsidR="00CA79CF" w:rsidRPr="00E65B7C" w:rsidRDefault="0084459D" w:rsidP="00D27CA7">
      <w:pPr>
        <w:pStyle w:val="Subtitle"/>
      </w:pPr>
      <w:r w:rsidRPr="00E65B7C">
        <w:t>Stakeholder feedback</w:t>
      </w:r>
      <w:r w:rsidR="00353FBE">
        <w:t xml:space="preserve"> high level summary</w:t>
      </w:r>
    </w:p>
    <w:p w14:paraId="2EFF08D6" w14:textId="3A15E58A" w:rsidR="00BF7E0B" w:rsidRPr="00BF7E0B" w:rsidRDefault="00BF7E0B" w:rsidP="00E13E08">
      <w:pPr>
        <w:sectPr w:rsidR="00BF7E0B" w:rsidRPr="00BF7E0B" w:rsidSect="00E13E08">
          <w:headerReference w:type="default" r:id="rId11"/>
          <w:headerReference w:type="first" r:id="rId12"/>
          <w:type w:val="continuous"/>
          <w:pgSz w:w="11906" w:h="16838"/>
          <w:pgMar w:top="709" w:right="1418" w:bottom="1418" w:left="1418" w:header="709" w:footer="709" w:gutter="0"/>
          <w:cols w:space="708"/>
          <w:titlePg/>
          <w:docGrid w:linePitch="360"/>
        </w:sectPr>
      </w:pPr>
    </w:p>
    <w:p w14:paraId="63B56B99" w14:textId="0AEDB9A8" w:rsidR="00F00C7D" w:rsidRPr="007451F3" w:rsidRDefault="00814F42" w:rsidP="00D560EE">
      <w:pPr>
        <w:pStyle w:val="Heading1"/>
        <w:rPr>
          <w:highlight w:val="lightGray"/>
        </w:rPr>
      </w:pPr>
      <w:bookmarkStart w:id="1" w:name="_Version_control"/>
      <w:bookmarkEnd w:id="1"/>
      <w:r w:rsidRPr="007451F3">
        <w:rPr>
          <w:highlight w:val="lightGray"/>
        </w:rPr>
        <w:lastRenderedPageBreak/>
        <w:t>Introduction</w:t>
      </w:r>
    </w:p>
    <w:p w14:paraId="2A3F049A" w14:textId="3E1F6366" w:rsidR="00263651" w:rsidRDefault="00263651" w:rsidP="00E13E08">
      <w:r w:rsidRPr="00941345">
        <w:t xml:space="preserve">The Department of Health and Aged Care </w:t>
      </w:r>
      <w:r w:rsidR="00941345">
        <w:t xml:space="preserve">(the department) </w:t>
      </w:r>
      <w:r w:rsidRPr="00941345">
        <w:t xml:space="preserve">has received a range of stakeholder responses to Consultation Paper 10 </w:t>
      </w:r>
      <w:r w:rsidR="00941345">
        <w:t>– General use items (GUI) utilisation, expenditure and integrity</w:t>
      </w:r>
      <w:r w:rsidRPr="00941345">
        <w:t>.</w:t>
      </w:r>
    </w:p>
    <w:p w14:paraId="49DE01A8" w14:textId="04C8A39B" w:rsidR="00941345" w:rsidRDefault="00941345" w:rsidP="00E13E08">
      <w:r w:rsidRPr="00941345">
        <w:t>Stakeholders have shared their perspectives on the challenges and opportunities presented by the current PL settings, offering recommendations to ensure that any growth in the use of GUI</w:t>
      </w:r>
      <w:r>
        <w:t xml:space="preserve"> </w:t>
      </w:r>
      <w:r w:rsidRPr="00941345">
        <w:t>is aligned with enhanced patient outcomes.</w:t>
      </w:r>
    </w:p>
    <w:p w14:paraId="50814D43" w14:textId="66DCE5BB" w:rsidR="00F07163" w:rsidRDefault="00B40BD6" w:rsidP="00E13E08">
      <w:r>
        <w:t xml:space="preserve">This high-level summary highlights common matters raised by several stakeholders. </w:t>
      </w:r>
      <w:bookmarkStart w:id="2" w:name="_Hlk187234442"/>
      <w:r>
        <w:t>It is not an analysis of stakeholder submissions</w:t>
      </w:r>
      <w:r w:rsidR="00F07163">
        <w:t xml:space="preserve"> </w:t>
      </w:r>
      <w:r w:rsidR="00F07163" w:rsidRPr="00E13E08">
        <w:t>but rather provides a high-level summary of the feedback received and should be read in conjunction with the individual submissions</w:t>
      </w:r>
      <w:r w:rsidR="00F07163">
        <w:t xml:space="preserve"> on </w:t>
      </w:r>
      <w:hyperlink r:id="rId13" w:history="1">
        <w:r w:rsidR="00F07163">
          <w:rPr>
            <w:rStyle w:val="Hyperlink"/>
          </w:rPr>
          <w:t>Consultation Hub</w:t>
        </w:r>
      </w:hyperlink>
      <w:r w:rsidR="00F07163">
        <w:t>.</w:t>
      </w:r>
    </w:p>
    <w:p w14:paraId="50B83AAB" w14:textId="43594A26" w:rsidR="00B40BD6" w:rsidRDefault="00F07163" w:rsidP="00E13E08">
      <w:r>
        <w:t>This summary d</w:t>
      </w:r>
      <w:r w:rsidR="00B40BD6">
        <w:t>oes not reflect the department’s position on any of the matters raised</w:t>
      </w:r>
      <w:bookmarkEnd w:id="2"/>
      <w:r>
        <w:t xml:space="preserve"> nor does it</w:t>
      </w:r>
      <w:r w:rsidR="00B40BD6" w:rsidRPr="00B40BD6">
        <w:t xml:space="preserve"> pre-empt any decisions of the department or the government</w:t>
      </w:r>
      <w:r w:rsidR="00B40BD6">
        <w:t xml:space="preserve">. </w:t>
      </w:r>
    </w:p>
    <w:p w14:paraId="602F6A6A" w14:textId="5D19DA9E" w:rsidR="00117097" w:rsidRDefault="00263651" w:rsidP="00E13E08">
      <w:r w:rsidRPr="00941345">
        <w:t xml:space="preserve">This feedback is crucial as we continue to refine our approach to managing GUI, balancing the need for cost-effective healthcare </w:t>
      </w:r>
      <w:r w:rsidR="00BF373E">
        <w:t>while</w:t>
      </w:r>
      <w:r w:rsidRPr="00941345">
        <w:t xml:space="preserve"> maintaining </w:t>
      </w:r>
      <w:r w:rsidR="00BF373E">
        <w:t>the</w:t>
      </w:r>
      <w:r w:rsidRPr="00941345">
        <w:t xml:space="preserve"> standards of patient care.</w:t>
      </w:r>
    </w:p>
    <w:p w14:paraId="29ED7E1A" w14:textId="635BDC35" w:rsidR="00EA4F07" w:rsidRPr="00B4343B" w:rsidRDefault="00E13E08" w:rsidP="00E13E08">
      <w:pPr>
        <w:pStyle w:val="Caption"/>
      </w:pPr>
      <w:r>
        <w:t xml:space="preserve">Figure </w:t>
      </w:r>
      <w:r>
        <w:fldChar w:fldCharType="begin"/>
      </w:r>
      <w:r>
        <w:instrText xml:space="preserve"> SEQ Figure \* ARABIC </w:instrText>
      </w:r>
      <w:r>
        <w:fldChar w:fldCharType="separate"/>
      </w:r>
      <w:r>
        <w:rPr>
          <w:noProof/>
        </w:rPr>
        <w:t>1</w:t>
      </w:r>
      <w:r>
        <w:fldChar w:fldCharType="end"/>
      </w:r>
      <w:r w:rsidR="00EA4F07" w:rsidRPr="00D06C6B">
        <w:t>:</w:t>
      </w:r>
      <w:r w:rsidR="00EA4F07" w:rsidRPr="006D7287">
        <w:t xml:space="preserve"> </w:t>
      </w:r>
      <w:r w:rsidR="00EA4F07" w:rsidRPr="00D06C6B">
        <w:t>Number</w:t>
      </w:r>
      <w:r w:rsidR="00EA4F07">
        <w:t xml:space="preserve"> of respondents </w:t>
      </w:r>
      <w:r w:rsidR="00EA4F07" w:rsidRPr="00D06C6B">
        <w:t>to</w:t>
      </w:r>
      <w:r w:rsidR="00EA4F07" w:rsidRPr="006D7287">
        <w:t xml:space="preserve"> </w:t>
      </w:r>
      <w:r w:rsidR="00EA4F07">
        <w:t>Consultation Paper 10 by</w:t>
      </w:r>
      <w:r w:rsidR="00EA4F07" w:rsidRPr="006D7287">
        <w:t xml:space="preserve"> stakeholder group</w:t>
      </w:r>
    </w:p>
    <w:p w14:paraId="309D6673" w14:textId="7CA0326E" w:rsidR="00B91510" w:rsidRPr="00E13E08" w:rsidRDefault="00B91510" w:rsidP="00E13E08">
      <w:r>
        <w:rPr>
          <w:noProof/>
        </w:rPr>
        <w:drawing>
          <wp:inline distT="0" distB="0" distL="0" distR="0" wp14:anchorId="28BB96CE" wp14:editId="3999A562">
            <wp:extent cx="5486400" cy="3200400"/>
            <wp:effectExtent l="0" t="0" r="0" b="0"/>
            <wp:docPr id="1963356066" name="Chart 1" descr="We received 21 submissions from stakeholders. Nine from Private Hospitals, seven from sponsors, three from Health Insurers and one each from a Clinician Group and and Indepenedant consultant."/>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623C224C" w14:textId="20BD49B0" w:rsidR="00B91510" w:rsidRDefault="00B91510" w:rsidP="00E13E08">
      <w:r>
        <w:t xml:space="preserve">We received a total of 21 submissions to the consultation, from the following stakeholder groups: </w:t>
      </w:r>
      <w:r w:rsidRPr="00B91510">
        <w:t xml:space="preserve">9 from </w:t>
      </w:r>
      <w:r w:rsidR="008C0E3C">
        <w:t>p</w:t>
      </w:r>
      <w:r w:rsidRPr="00B91510">
        <w:t xml:space="preserve">rivate </w:t>
      </w:r>
      <w:r w:rsidR="008C0E3C">
        <w:t>h</w:t>
      </w:r>
      <w:r w:rsidRPr="00B91510">
        <w:t xml:space="preserve">ospitals, 7 from </w:t>
      </w:r>
      <w:r w:rsidR="008C0E3C">
        <w:t>s</w:t>
      </w:r>
      <w:r w:rsidRPr="00B91510">
        <w:t xml:space="preserve">ponsors, 3 from </w:t>
      </w:r>
      <w:r w:rsidR="008C0E3C">
        <w:t>i</w:t>
      </w:r>
      <w:r w:rsidRPr="00B91510">
        <w:t xml:space="preserve">nsurers, and 1 each from </w:t>
      </w:r>
      <w:r w:rsidR="008C0E3C">
        <w:t>c</w:t>
      </w:r>
      <w:r w:rsidRPr="00B91510">
        <w:t>linicians and an</w:t>
      </w:r>
      <w:r w:rsidR="008C0E3C">
        <w:t xml:space="preserve"> i</w:t>
      </w:r>
      <w:r w:rsidRPr="00B91510">
        <w:t xml:space="preserve">ndependent </w:t>
      </w:r>
      <w:r w:rsidR="008C0E3C">
        <w:t>c</w:t>
      </w:r>
      <w:r w:rsidRPr="00B91510">
        <w:t>onsultant.</w:t>
      </w:r>
    </w:p>
    <w:p w14:paraId="5CE17F14" w14:textId="217009FE" w:rsidR="007451F3" w:rsidRPr="006D7287" w:rsidRDefault="007451F3" w:rsidP="00D560EE">
      <w:pPr>
        <w:pStyle w:val="Heading1"/>
      </w:pPr>
      <w:r w:rsidRPr="006D7287">
        <w:t>Key matters</w:t>
      </w:r>
    </w:p>
    <w:p w14:paraId="49AD492E" w14:textId="691BB093" w:rsidR="00E53DF4" w:rsidRDefault="00E53DF4" w:rsidP="00E13E08">
      <w:pPr>
        <w:rPr>
          <w:lang w:eastAsia="en-AU"/>
        </w:rPr>
      </w:pPr>
      <w:r>
        <w:t xml:space="preserve">There are a range of views on </w:t>
      </w:r>
      <w:r w:rsidR="007451F3">
        <w:t xml:space="preserve">the most pressing matters related to </w:t>
      </w:r>
      <w:r>
        <w:t xml:space="preserve">integrity, </w:t>
      </w:r>
      <w:r w:rsidR="007451F3">
        <w:t>utilisation</w:t>
      </w:r>
      <w:r>
        <w:t xml:space="preserve"> and expenditure</w:t>
      </w:r>
      <w:r w:rsidR="007451F3">
        <w:t xml:space="preserve"> of GUI</w:t>
      </w:r>
      <w:r>
        <w:t>. A few stakeholders claim</w:t>
      </w:r>
      <w:r w:rsidR="00BF373E">
        <w:t>ed</w:t>
      </w:r>
      <w:r>
        <w:t xml:space="preserve"> that there is insufficient evidence </w:t>
      </w:r>
      <w:r>
        <w:lastRenderedPageBreak/>
        <w:t xml:space="preserve">demonstrating </w:t>
      </w:r>
      <w:r w:rsidR="00BF373E">
        <w:t>issues with</w:t>
      </w:r>
      <w:r w:rsidRPr="00FC7349">
        <w:rPr>
          <w:lang w:eastAsia="en-AU"/>
        </w:rPr>
        <w:t xml:space="preserve"> the current PL settings in relation to GUIs</w:t>
      </w:r>
      <w:r>
        <w:rPr>
          <w:lang w:eastAsia="en-AU"/>
        </w:rPr>
        <w:t xml:space="preserve">. And that any </w:t>
      </w:r>
      <w:r w:rsidR="007451F3">
        <w:rPr>
          <w:lang w:eastAsia="en-AU"/>
        </w:rPr>
        <w:t>growth in expenditure and utilisation</w:t>
      </w:r>
      <w:r>
        <w:rPr>
          <w:lang w:eastAsia="en-AU"/>
        </w:rPr>
        <w:t xml:space="preserve"> </w:t>
      </w:r>
      <w:r w:rsidR="00BF373E">
        <w:rPr>
          <w:lang w:eastAsia="en-AU"/>
        </w:rPr>
        <w:t>is</w:t>
      </w:r>
      <w:r>
        <w:rPr>
          <w:lang w:eastAsia="en-AU"/>
        </w:rPr>
        <w:t xml:space="preserve"> </w:t>
      </w:r>
      <w:r w:rsidR="007451F3">
        <w:rPr>
          <w:lang w:eastAsia="en-AU"/>
        </w:rPr>
        <w:t>due to</w:t>
      </w:r>
      <w:r>
        <w:rPr>
          <w:lang w:eastAsia="en-AU"/>
        </w:rPr>
        <w:t xml:space="preserve"> clinical need.</w:t>
      </w:r>
    </w:p>
    <w:p w14:paraId="3410240F" w14:textId="1CC48BB3" w:rsidR="00131981" w:rsidRDefault="00E53DF4" w:rsidP="00E13E08">
      <w:r>
        <w:rPr>
          <w:lang w:eastAsia="en-AU"/>
        </w:rPr>
        <w:t>However, other stakeholders believe that</w:t>
      </w:r>
      <w:r w:rsidR="007451F3">
        <w:rPr>
          <w:lang w:eastAsia="en-AU"/>
        </w:rPr>
        <w:t xml:space="preserve"> </w:t>
      </w:r>
      <w:r w:rsidR="00BF373E">
        <w:rPr>
          <w:lang w:eastAsia="en-AU"/>
        </w:rPr>
        <w:t>t</w:t>
      </w:r>
      <w:r w:rsidR="00BF373E">
        <w:t xml:space="preserve">here is </w:t>
      </w:r>
      <w:r w:rsidR="00D06C6B">
        <w:t>uncontrolled increase in GUI u</w:t>
      </w:r>
      <w:r w:rsidR="00BF373E">
        <w:t>tilisation and expenditure with</w:t>
      </w:r>
      <w:r w:rsidR="00D06C6B" w:rsidRPr="00D06C6B">
        <w:t xml:space="preserve"> no measurable improvement o</w:t>
      </w:r>
      <w:r w:rsidR="00BF373E">
        <w:t>n</w:t>
      </w:r>
      <w:r w:rsidR="00D06C6B" w:rsidRPr="00D06C6B">
        <w:t xml:space="preserve"> patient outcomes.</w:t>
      </w:r>
    </w:p>
    <w:p w14:paraId="30ABC19D" w14:textId="6E026A27" w:rsidR="00673E87" w:rsidRDefault="00673E87" w:rsidP="00E13E08">
      <w:r>
        <w:t>E</w:t>
      </w:r>
      <w:r w:rsidR="00962582">
        <w:t>ngagement with clinicians, e</w:t>
      </w:r>
      <w:r>
        <w:t xml:space="preserve">ducation and data accessibility were recognised as </w:t>
      </w:r>
      <w:r w:rsidR="00671874">
        <w:t>the best ways to address concerns of integrity and growth in utilisation and expenditure.</w:t>
      </w:r>
    </w:p>
    <w:p w14:paraId="087879BF" w14:textId="28AF32BE" w:rsidR="00673E87" w:rsidRPr="006D7287" w:rsidRDefault="00673E87" w:rsidP="00E13E08">
      <w:pPr>
        <w:rPr>
          <w:rStyle w:val="IntenseEmphasis"/>
        </w:rPr>
      </w:pPr>
      <w:r w:rsidRPr="006D7287">
        <w:rPr>
          <w:rStyle w:val="IntenseEmphasis"/>
        </w:rPr>
        <w:t xml:space="preserve">Please </w:t>
      </w:r>
      <w:proofErr w:type="gramStart"/>
      <w:r w:rsidRPr="006D7287">
        <w:rPr>
          <w:rStyle w:val="IntenseEmphasis"/>
        </w:rPr>
        <w:t>note</w:t>
      </w:r>
      <w:r w:rsidR="006D7287">
        <w:rPr>
          <w:rStyle w:val="IntenseEmphasis"/>
        </w:rPr>
        <w:t>:</w:t>
      </w:r>
      <w:proofErr w:type="gramEnd"/>
      <w:r w:rsidRPr="006D7287">
        <w:rPr>
          <w:rStyle w:val="IntenseEmphasis"/>
        </w:rPr>
        <w:t xml:space="preserve"> matters that are not directly related to integrity, usage and expenditure have been considered but are not included in this report.</w:t>
      </w:r>
    </w:p>
    <w:p w14:paraId="7E639410" w14:textId="77777777" w:rsidR="00EA4F07" w:rsidRPr="00E13E08" w:rsidRDefault="00EA4F07" w:rsidP="00E13E08">
      <w:pPr>
        <w:sectPr w:rsidR="00EA4F07" w:rsidRPr="00E13E08" w:rsidSect="00EB67BF">
          <w:headerReference w:type="even" r:id="rId15"/>
          <w:headerReference w:type="default" r:id="rId16"/>
          <w:footerReference w:type="even" r:id="rId17"/>
          <w:footerReference w:type="default" r:id="rId18"/>
          <w:headerReference w:type="first" r:id="rId19"/>
          <w:footerReference w:type="first" r:id="rId20"/>
          <w:pgSz w:w="11906" w:h="16838"/>
          <w:pgMar w:top="1701" w:right="1418" w:bottom="1418" w:left="1418" w:header="709" w:footer="709" w:gutter="0"/>
          <w:cols w:space="708"/>
          <w:docGrid w:linePitch="360"/>
        </w:sectPr>
      </w:pPr>
    </w:p>
    <w:p w14:paraId="6467F6C5" w14:textId="77777777" w:rsidR="00EA4F07" w:rsidRDefault="00EA4F07" w:rsidP="00D560EE">
      <w:pPr>
        <w:pStyle w:val="Heading1"/>
      </w:pPr>
      <w:r>
        <w:lastRenderedPageBreak/>
        <w:t>Summary</w:t>
      </w:r>
    </w:p>
    <w:tbl>
      <w:tblPr>
        <w:tblStyle w:val="DepartmentofHealthtable"/>
        <w:tblW w:w="13978" w:type="dxa"/>
        <w:tblLook w:val="04A0" w:firstRow="1" w:lastRow="0" w:firstColumn="1" w:lastColumn="0" w:noHBand="0" w:noVBand="1"/>
      </w:tblPr>
      <w:tblGrid>
        <w:gridCol w:w="4986"/>
        <w:gridCol w:w="8992"/>
      </w:tblGrid>
      <w:tr w:rsidR="00540364" w:rsidRPr="00982DB2" w14:paraId="686E649F" w14:textId="77777777" w:rsidTr="006D728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986" w:type="dxa"/>
          </w:tcPr>
          <w:p w14:paraId="221C22D0" w14:textId="77777777" w:rsidR="00540364" w:rsidRPr="006D7287" w:rsidRDefault="00540364" w:rsidP="00E13E08">
            <w:pPr>
              <w:pStyle w:val="TableHeaderWhite"/>
            </w:pPr>
            <w:r w:rsidRPr="00982DB2">
              <w:t>Consultation Question</w:t>
            </w:r>
          </w:p>
        </w:tc>
        <w:tc>
          <w:tcPr>
            <w:tcW w:w="8992" w:type="dxa"/>
          </w:tcPr>
          <w:p w14:paraId="2C703A04" w14:textId="77777777" w:rsidR="00540364" w:rsidRPr="006D7287" w:rsidRDefault="00540364" w:rsidP="00E13E08">
            <w:pPr>
              <w:pStyle w:val="TableHeaderWhite"/>
              <w:cnfStyle w:val="100000000000" w:firstRow="1" w:lastRow="0" w:firstColumn="0" w:lastColumn="0" w:oddVBand="0" w:evenVBand="0" w:oddHBand="0" w:evenHBand="0" w:firstRowFirstColumn="0" w:firstRowLastColumn="0" w:lastRowFirstColumn="0" w:lastRowLastColumn="0"/>
            </w:pPr>
            <w:r w:rsidRPr="006D7287">
              <w:t>Stakeholder Response</w:t>
            </w:r>
          </w:p>
        </w:tc>
      </w:tr>
      <w:tr w:rsidR="00540364" w:rsidRPr="005B46B2" w14:paraId="162E38B5" w14:textId="77777777" w:rsidTr="006D72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86" w:type="dxa"/>
          </w:tcPr>
          <w:p w14:paraId="6E17184D" w14:textId="7C7C37CB" w:rsidR="00540364" w:rsidRPr="001D4B62" w:rsidRDefault="00540364" w:rsidP="00E13E08">
            <w:pPr>
              <w:pStyle w:val="ListNumber"/>
            </w:pPr>
            <w:r w:rsidRPr="001D4B62">
              <w:t>What do you see are the key areas of concern for the integrity of the PL settings in the context of the GUIs?</w:t>
            </w:r>
          </w:p>
        </w:tc>
        <w:tc>
          <w:tcPr>
            <w:tcW w:w="8992" w:type="dxa"/>
          </w:tcPr>
          <w:p w14:paraId="4B4AF9CC" w14:textId="534D87A7" w:rsidR="00785EF9" w:rsidRPr="001D4B62" w:rsidRDefault="004B4296" w:rsidP="00E13E08">
            <w:pPr>
              <w:cnfStyle w:val="000000100000" w:firstRow="0" w:lastRow="0" w:firstColumn="0" w:lastColumn="0" w:oddVBand="0" w:evenVBand="0" w:oddHBand="1" w:evenHBand="0" w:firstRowFirstColumn="0" w:firstRowLastColumn="0" w:lastRowFirstColumn="0" w:lastRowLastColumn="0"/>
            </w:pPr>
            <w:r w:rsidRPr="001D4B62">
              <w:t xml:space="preserve">The private health insurance </w:t>
            </w:r>
            <w:r w:rsidR="00BA4639">
              <w:t xml:space="preserve">(PHI) </w:t>
            </w:r>
            <w:r w:rsidRPr="001D4B62">
              <w:t xml:space="preserve">sector </w:t>
            </w:r>
            <w:r w:rsidR="00D93581" w:rsidRPr="001D4B62">
              <w:t>is concern</w:t>
            </w:r>
            <w:r w:rsidR="00F80980" w:rsidRPr="001D4B62">
              <w:t>ed</w:t>
            </w:r>
            <w:r w:rsidR="00E120B4" w:rsidRPr="001D4B62">
              <w:t xml:space="preserve"> about the current PL settings for GUIs</w:t>
            </w:r>
            <w:r w:rsidR="00F80980" w:rsidRPr="001D4B62">
              <w:t xml:space="preserve">, claiming </w:t>
            </w:r>
            <w:r w:rsidR="00867A31" w:rsidRPr="001D4B62">
              <w:t>they</w:t>
            </w:r>
            <w:r w:rsidR="00F80980" w:rsidRPr="001D4B62">
              <w:t xml:space="preserve"> </w:t>
            </w:r>
            <w:r w:rsidR="006D7CA0" w:rsidRPr="001D4B62">
              <w:t>encourage</w:t>
            </w:r>
            <w:r w:rsidR="00F80980" w:rsidRPr="001D4B62">
              <w:t xml:space="preserve"> inefficient use of GUIs</w:t>
            </w:r>
            <w:r w:rsidR="00C70953" w:rsidRPr="001D4B62">
              <w:t>;</w:t>
            </w:r>
            <w:r w:rsidR="00F80980" w:rsidRPr="001D4B62">
              <w:t xml:space="preserve"> </w:t>
            </w:r>
            <w:r w:rsidR="00BA4639">
              <w:t>“</w:t>
            </w:r>
            <w:r w:rsidR="00F80980" w:rsidRPr="001D4B62">
              <w:t>gaming</w:t>
            </w:r>
            <w:r w:rsidR="00BA4639">
              <w:t>”</w:t>
            </w:r>
            <w:r w:rsidR="00F80980" w:rsidRPr="001D4B62">
              <w:t xml:space="preserve"> to maximise the use of higher benefit items</w:t>
            </w:r>
            <w:r w:rsidR="00C70953" w:rsidRPr="001D4B62">
              <w:t>;</w:t>
            </w:r>
            <w:r w:rsidR="00F80980" w:rsidRPr="001D4B62">
              <w:t xml:space="preserve"> and claim</w:t>
            </w:r>
            <w:r w:rsidR="00C70953" w:rsidRPr="001D4B62">
              <w:t>ing</w:t>
            </w:r>
            <w:r w:rsidR="00F80980" w:rsidRPr="001D4B62">
              <w:t xml:space="preserve"> for unqualified or unused items.</w:t>
            </w:r>
            <w:r w:rsidR="00A15884" w:rsidRPr="001D4B62">
              <w:t xml:space="preserve"> </w:t>
            </w:r>
            <w:r w:rsidR="005113EE" w:rsidRPr="001D4B62">
              <w:t xml:space="preserve">As a result, </w:t>
            </w:r>
            <w:r w:rsidR="00785EF9" w:rsidRPr="001D4B62">
              <w:t>GUIs are excessively utilised, not used efficiently, costly and lacking in transparency.</w:t>
            </w:r>
          </w:p>
          <w:p w14:paraId="4B5FA932" w14:textId="78A6143E" w:rsidR="00A15884" w:rsidRPr="001D4B62" w:rsidRDefault="00BA4639" w:rsidP="00E13E08">
            <w:pPr>
              <w:cnfStyle w:val="000000100000" w:firstRow="0" w:lastRow="0" w:firstColumn="0" w:lastColumn="0" w:oddVBand="0" w:evenVBand="0" w:oddHBand="1" w:evenHBand="0" w:firstRowFirstColumn="0" w:firstRowLastColumn="0" w:lastRowFirstColumn="0" w:lastRowLastColumn="0"/>
            </w:pPr>
            <w:r>
              <w:t>PHIs</w:t>
            </w:r>
            <w:r w:rsidRPr="001D4B62">
              <w:t xml:space="preserve"> </w:t>
            </w:r>
            <w:r w:rsidR="00A15884" w:rsidRPr="001D4B62">
              <w:t>state that the usage of some items grew suddenly following their listing, suggesting the increase is driven by their availability on the PL</w:t>
            </w:r>
            <w:r w:rsidR="00C24813" w:rsidRPr="001D4B62">
              <w:t xml:space="preserve"> rather than clinical need/benefits</w:t>
            </w:r>
            <w:r w:rsidR="00C114FF" w:rsidRPr="001D4B62">
              <w:t>.</w:t>
            </w:r>
            <w:r w:rsidR="008E1A2B" w:rsidRPr="001D4B62">
              <w:t xml:space="preserve"> </w:t>
            </w:r>
            <w:r w:rsidR="003450B9">
              <w:t>They suggest this</w:t>
            </w:r>
            <w:r w:rsidR="003450B9" w:rsidRPr="001D4B62">
              <w:t xml:space="preserve"> </w:t>
            </w:r>
            <w:r w:rsidR="008E1A2B" w:rsidRPr="001D4B62">
              <w:t xml:space="preserve">increase occurred even when surgery rates </w:t>
            </w:r>
            <w:r w:rsidR="000C4FFF" w:rsidRPr="001D4B62">
              <w:t>remain</w:t>
            </w:r>
            <w:r w:rsidR="008E1A2B" w:rsidRPr="001D4B62">
              <w:t xml:space="preserve"> flat, with no measurable improvement in patient outcomes.</w:t>
            </w:r>
          </w:p>
          <w:p w14:paraId="1011CAD6" w14:textId="00ACF242" w:rsidR="00521D21" w:rsidRDefault="00BA4639" w:rsidP="00E13E08">
            <w:pPr>
              <w:cnfStyle w:val="000000100000" w:firstRow="0" w:lastRow="0" w:firstColumn="0" w:lastColumn="0" w:oddVBand="0" w:evenVBand="0" w:oddHBand="1" w:evenHBand="0" w:firstRowFirstColumn="0" w:firstRowLastColumn="0" w:lastRowFirstColumn="0" w:lastRowLastColumn="0"/>
            </w:pPr>
            <w:r>
              <w:t>PHIs</w:t>
            </w:r>
            <w:r w:rsidRPr="001D4B62">
              <w:t xml:space="preserve"> </w:t>
            </w:r>
            <w:r w:rsidR="00521522" w:rsidRPr="001D4B62">
              <w:t xml:space="preserve">also </w:t>
            </w:r>
            <w:r w:rsidR="00866230" w:rsidRPr="001D4B62">
              <w:t>point</w:t>
            </w:r>
            <w:r w:rsidR="00521522" w:rsidRPr="001D4B62">
              <w:t>ed</w:t>
            </w:r>
            <w:r w:rsidR="00866230" w:rsidRPr="001D4B62">
              <w:t xml:space="preserve"> </w:t>
            </w:r>
            <w:r w:rsidR="00760ED3">
              <w:t>other concerns,</w:t>
            </w:r>
            <w:r w:rsidR="00866230" w:rsidRPr="001D4B62">
              <w:t xml:space="preserve"> </w:t>
            </w:r>
            <w:r w:rsidR="00760ED3">
              <w:t xml:space="preserve">including some from the </w:t>
            </w:r>
            <w:r w:rsidR="00866230" w:rsidRPr="001D4B62">
              <w:t>E</w:t>
            </w:r>
            <w:r w:rsidR="003450B9">
              <w:t>r</w:t>
            </w:r>
            <w:r w:rsidR="00866230" w:rsidRPr="001D4B62">
              <w:t>nst</w:t>
            </w:r>
            <w:r w:rsidR="001D1624">
              <w:t xml:space="preserve"> </w:t>
            </w:r>
            <w:r w:rsidR="00866230" w:rsidRPr="001D4B62">
              <w:t>&amp;</w:t>
            </w:r>
            <w:r w:rsidR="001D1624">
              <w:t xml:space="preserve"> </w:t>
            </w:r>
            <w:r w:rsidR="00866230" w:rsidRPr="001D4B62">
              <w:t>Young report (EY repo</w:t>
            </w:r>
            <w:r w:rsidR="00070CFE">
              <w:t>rt) related to integrity</w:t>
            </w:r>
            <w:r w:rsidR="00760ED3">
              <w:t>:</w:t>
            </w:r>
          </w:p>
          <w:p w14:paraId="1B94F07C" w14:textId="77777777" w:rsidR="00521D21" w:rsidRDefault="00070CFE" w:rsidP="00E13E08">
            <w:pPr>
              <w:pStyle w:val="ListBullet"/>
              <w:cnfStyle w:val="000000100000" w:firstRow="0" w:lastRow="0" w:firstColumn="0" w:lastColumn="0" w:oddVBand="0" w:evenVBand="0" w:oddHBand="1" w:evenHBand="0" w:firstRowFirstColumn="0" w:firstRowLastColumn="0" w:lastRowFirstColumn="0" w:lastRowLastColumn="0"/>
            </w:pPr>
            <w:r>
              <w:t xml:space="preserve">utilisation being </w:t>
            </w:r>
            <w:r w:rsidR="00EA4116" w:rsidRPr="004D1F2B">
              <w:t>skewed towards more expensive items, even</w:t>
            </w:r>
            <w:r w:rsidR="003D6966">
              <w:t xml:space="preserve"> if </w:t>
            </w:r>
            <w:r w:rsidR="00EA4116" w:rsidRPr="004D1F2B">
              <w:t xml:space="preserve">cheaper </w:t>
            </w:r>
            <w:r w:rsidR="003D6966">
              <w:t xml:space="preserve">alternatives are </w:t>
            </w:r>
            <w:r w:rsidR="00EA4116" w:rsidRPr="004D1F2B">
              <w:t>clinically sufficient</w:t>
            </w:r>
          </w:p>
          <w:p w14:paraId="4C2D4CBB" w14:textId="77777777" w:rsidR="008638C2" w:rsidRDefault="00EA4116" w:rsidP="00E13E08">
            <w:pPr>
              <w:pStyle w:val="ListBullet"/>
              <w:cnfStyle w:val="000000100000" w:firstRow="0" w:lastRow="0" w:firstColumn="0" w:lastColumn="0" w:oddVBand="0" w:evenVBand="0" w:oddHBand="1" w:evenHBand="0" w:firstRowFirstColumn="0" w:firstRowLastColumn="0" w:lastRowFirstColumn="0" w:lastRowLastColumn="0"/>
            </w:pPr>
            <w:r w:rsidRPr="004D1F2B">
              <w:t xml:space="preserve">the risk of claims for </w:t>
            </w:r>
            <w:r w:rsidR="00EE3CE4">
              <w:t xml:space="preserve">GUIs </w:t>
            </w:r>
            <w:r w:rsidRPr="004D1F2B">
              <w:t>that d</w:t>
            </w:r>
            <w:r w:rsidR="00EE3CE4">
              <w:t>on’t</w:t>
            </w:r>
            <w:r w:rsidRPr="004D1F2B">
              <w:t xml:space="preserve"> qualify for </w:t>
            </w:r>
            <w:r w:rsidR="00EE3CE4">
              <w:t xml:space="preserve">a </w:t>
            </w:r>
            <w:r w:rsidRPr="004D1F2B">
              <w:t>PL rebate or weren't used in the related surgery</w:t>
            </w:r>
          </w:p>
          <w:p w14:paraId="05246586" w14:textId="77777777" w:rsidR="008638C2" w:rsidRDefault="00EA4116" w:rsidP="00E13E08">
            <w:pPr>
              <w:pStyle w:val="ListBullet"/>
              <w:cnfStyle w:val="000000100000" w:firstRow="0" w:lastRow="0" w:firstColumn="0" w:lastColumn="0" w:oddVBand="0" w:evenVBand="0" w:oddHBand="1" w:evenHBand="0" w:firstRowFirstColumn="0" w:firstRowLastColumn="0" w:lastRowFirstColumn="0" w:lastRowLastColumn="0"/>
            </w:pPr>
            <w:r w:rsidRPr="004D1F2B">
              <w:t>no limit to the number of GUIs used</w:t>
            </w:r>
          </w:p>
          <w:p w14:paraId="74AA479D" w14:textId="77777777" w:rsidR="00604081" w:rsidRDefault="00EA4116" w:rsidP="00E13E08">
            <w:pPr>
              <w:pStyle w:val="ListBullet"/>
              <w:cnfStyle w:val="000000100000" w:firstRow="0" w:lastRow="0" w:firstColumn="0" w:lastColumn="0" w:oddVBand="0" w:evenVBand="0" w:oddHBand="1" w:evenHBand="0" w:firstRowFirstColumn="0" w:firstRowLastColumn="0" w:lastRowFirstColumn="0" w:lastRowLastColumn="0"/>
            </w:pPr>
            <w:r w:rsidRPr="004D1F2B">
              <w:t>no auditable evidence of their use</w:t>
            </w:r>
          </w:p>
          <w:p w14:paraId="7D20CBCA" w14:textId="77777777" w:rsidR="00604081" w:rsidRPr="004D1F2B" w:rsidRDefault="00604081" w:rsidP="00E13E08">
            <w:pPr>
              <w:pStyle w:val="ListBullet"/>
              <w:cnfStyle w:val="000000100000" w:firstRow="0" w:lastRow="0" w:firstColumn="0" w:lastColumn="0" w:oddVBand="0" w:evenVBand="0" w:oddHBand="1" w:evenHBand="0" w:firstRowFirstColumn="0" w:firstRowLastColumn="0" w:lastRowFirstColumn="0" w:lastRowLastColumn="0"/>
            </w:pPr>
            <w:r>
              <w:t>d</w:t>
            </w:r>
            <w:r w:rsidR="00B635EF">
              <w:t xml:space="preserve">ifferences in price do not </w:t>
            </w:r>
            <w:r w:rsidR="00B635EF" w:rsidRPr="00604081">
              <w:t>correspond to</w:t>
            </w:r>
            <w:r w:rsidR="00EA4116" w:rsidRPr="004D1F2B">
              <w:t xml:space="preserve"> quality or features</w:t>
            </w:r>
          </w:p>
          <w:p w14:paraId="16FE6B1D" w14:textId="77777777" w:rsidR="00604081" w:rsidRPr="004D1F2B" w:rsidRDefault="00EA4116" w:rsidP="00E13E08">
            <w:pPr>
              <w:pStyle w:val="ListBullet"/>
              <w:cnfStyle w:val="000000100000" w:firstRow="0" w:lastRow="0" w:firstColumn="0" w:lastColumn="0" w:oddVBand="0" w:evenVBand="0" w:oddHBand="1" w:evenHBand="0" w:firstRowFirstColumn="0" w:firstRowLastColumn="0" w:lastRowFirstColumn="0" w:lastRowLastColumn="0"/>
            </w:pPr>
            <w:r w:rsidRPr="004D1F2B">
              <w:t>the process to add or remove items from the PL is complex and challenging</w:t>
            </w:r>
          </w:p>
          <w:p w14:paraId="62D61170" w14:textId="4FE81F1D" w:rsidR="00EA4116" w:rsidRPr="004D1F2B" w:rsidRDefault="00EA4116" w:rsidP="00E13E08">
            <w:pPr>
              <w:pStyle w:val="ListBullet"/>
              <w:cnfStyle w:val="000000100000" w:firstRow="0" w:lastRow="0" w:firstColumn="0" w:lastColumn="0" w:oddVBand="0" w:evenVBand="0" w:oddHBand="1" w:evenHBand="0" w:firstRowFirstColumn="0" w:firstRowLastColumn="0" w:lastRowFirstColumn="0" w:lastRowLastColumn="0"/>
            </w:pPr>
            <w:r w:rsidRPr="004D1F2B">
              <w:t>actual data on usage and growth is not transparent or shared, with very little competition among suppliers.</w:t>
            </w:r>
          </w:p>
          <w:p w14:paraId="7CDAD981" w14:textId="7E35E702" w:rsidR="00524DAB" w:rsidRPr="004D1F2B" w:rsidRDefault="00760ED3" w:rsidP="00E13E08">
            <w:pPr>
              <w:cnfStyle w:val="000000100000" w:firstRow="0" w:lastRow="0" w:firstColumn="0" w:lastColumn="0" w:oddVBand="0" w:evenVBand="0" w:oddHBand="1" w:evenHBand="0" w:firstRowFirstColumn="0" w:firstRowLastColumn="0" w:lastRowFirstColumn="0" w:lastRowLastColumn="0"/>
            </w:pPr>
            <w:r>
              <w:t>M</w:t>
            </w:r>
            <w:r w:rsidR="00DC2ED2">
              <w:t xml:space="preserve">ost </w:t>
            </w:r>
            <w:r w:rsidR="00ED1971" w:rsidRPr="004D1F2B">
              <w:t>o</w:t>
            </w:r>
            <w:r w:rsidR="001E7F3E" w:rsidRPr="004D1F2B">
              <w:t xml:space="preserve">ther stakeholder groups </w:t>
            </w:r>
            <w:r w:rsidR="00524DAB" w:rsidRPr="004D1F2B">
              <w:t>believe that</w:t>
            </w:r>
            <w:r w:rsidR="006B03B1" w:rsidRPr="004D1F2B">
              <w:t xml:space="preserve"> </w:t>
            </w:r>
            <w:r w:rsidR="00D52D61" w:rsidRPr="004D1F2B">
              <w:t xml:space="preserve">there is insufficient evidence and stakeholder engagement to support </w:t>
            </w:r>
            <w:r w:rsidR="00524DAB" w:rsidRPr="004D1F2B">
              <w:t xml:space="preserve">claims </w:t>
            </w:r>
            <w:r w:rsidR="00387AEC" w:rsidRPr="004D1F2B">
              <w:t>of</w:t>
            </w:r>
            <w:r w:rsidR="00524DAB" w:rsidRPr="004D1F2B">
              <w:t xml:space="preserve"> </w:t>
            </w:r>
            <w:r w:rsidR="007C3D79" w:rsidRPr="004D1F2B">
              <w:t xml:space="preserve">system-wide </w:t>
            </w:r>
            <w:r w:rsidR="00524DAB" w:rsidRPr="004D1F2B">
              <w:t>integrity</w:t>
            </w:r>
            <w:r w:rsidR="00213C12" w:rsidRPr="004D1F2B">
              <w:t xml:space="preserve"> </w:t>
            </w:r>
            <w:r w:rsidR="001731D7" w:rsidRPr="004D1F2B">
              <w:t>issues</w:t>
            </w:r>
            <w:r w:rsidR="00D52D61" w:rsidRPr="004D1F2B">
              <w:t>. In their view, these claims</w:t>
            </w:r>
            <w:r w:rsidR="001731D7" w:rsidRPr="004D1F2B">
              <w:t xml:space="preserve"> </w:t>
            </w:r>
            <w:r w:rsidR="00213C12" w:rsidRPr="004D1F2B">
              <w:t>rel</w:t>
            </w:r>
            <w:r w:rsidR="00524DAB" w:rsidRPr="004D1F2B">
              <w:t xml:space="preserve">y </w:t>
            </w:r>
            <w:r w:rsidR="00213C12" w:rsidRPr="004D1F2B">
              <w:t>on anecdotal evidence</w:t>
            </w:r>
            <w:r w:rsidR="001731D7" w:rsidRPr="004D1F2B">
              <w:t>.</w:t>
            </w:r>
          </w:p>
          <w:p w14:paraId="43B31152" w14:textId="05D67B16" w:rsidR="00524DAB" w:rsidRPr="001D4B62" w:rsidRDefault="00BA4639" w:rsidP="00E13E08">
            <w:pPr>
              <w:cnfStyle w:val="000000100000" w:firstRow="0" w:lastRow="0" w:firstColumn="0" w:lastColumn="0" w:oddVBand="0" w:evenVBand="0" w:oddHBand="1" w:evenHBand="0" w:firstRowFirstColumn="0" w:firstRowLastColumn="0" w:lastRowFirstColumn="0" w:lastRowLastColumn="0"/>
            </w:pPr>
            <w:r>
              <w:lastRenderedPageBreak/>
              <w:t>Private h</w:t>
            </w:r>
            <w:r w:rsidR="00710E0C" w:rsidRPr="004D1F2B">
              <w:t xml:space="preserve">ospitals </w:t>
            </w:r>
            <w:r w:rsidR="00F6736A">
              <w:t xml:space="preserve">(hospitals) </w:t>
            </w:r>
            <w:r w:rsidR="00A1569D" w:rsidRPr="004D1F2B">
              <w:t>reject</w:t>
            </w:r>
            <w:r>
              <w:t>ed</w:t>
            </w:r>
            <w:r w:rsidR="00A1569D" w:rsidRPr="004D1F2B">
              <w:t xml:space="preserve"> judging integrity based solely on </w:t>
            </w:r>
            <w:r w:rsidR="00153CBD">
              <w:t xml:space="preserve">GUI utilisation and </w:t>
            </w:r>
            <w:r w:rsidR="00A1569D" w:rsidRPr="004D1F2B">
              <w:t xml:space="preserve">expenditure without clinician input, emphasising that medical practitioners, not hospitals, decide on GUI </w:t>
            </w:r>
            <w:r w:rsidR="00153CBD">
              <w:t>utilisation</w:t>
            </w:r>
            <w:r w:rsidR="00A1569D" w:rsidRPr="001D4B62">
              <w:t xml:space="preserve">. </w:t>
            </w:r>
            <w:r w:rsidR="000948B5" w:rsidRPr="001D4B62">
              <w:t>Hospitals</w:t>
            </w:r>
            <w:r w:rsidR="004165A0" w:rsidRPr="001D4B62">
              <w:t>’</w:t>
            </w:r>
            <w:r w:rsidR="000948B5" w:rsidRPr="001D4B62">
              <w:t xml:space="preserve"> main </w:t>
            </w:r>
            <w:r w:rsidR="008201C4">
              <w:t>concern about integrity</w:t>
            </w:r>
            <w:r w:rsidR="000948B5" w:rsidRPr="001D4B62">
              <w:t xml:space="preserve"> is with </w:t>
            </w:r>
            <w:r w:rsidR="00956BA3" w:rsidRPr="001D4B62">
              <w:t xml:space="preserve">insurers </w:t>
            </w:r>
            <w:r w:rsidR="004D05AD" w:rsidRPr="001D4B62">
              <w:t xml:space="preserve">denying funding </w:t>
            </w:r>
            <w:r w:rsidR="00720657" w:rsidRPr="001D4B62">
              <w:t xml:space="preserve">at the time of claiming </w:t>
            </w:r>
            <w:r w:rsidR="004D05AD" w:rsidRPr="001D4B62">
              <w:t xml:space="preserve">for already used </w:t>
            </w:r>
            <w:r w:rsidR="00761CCA" w:rsidRPr="001D4B62">
              <w:t>GUI</w:t>
            </w:r>
            <w:r w:rsidR="00D271E5" w:rsidRPr="001D4B62">
              <w:t>s</w:t>
            </w:r>
            <w:r w:rsidR="004D05AD" w:rsidRPr="001D4B62">
              <w:t xml:space="preserve">. </w:t>
            </w:r>
            <w:r w:rsidR="00B0189E">
              <w:t>For example, hospital claim</w:t>
            </w:r>
            <w:r w:rsidR="00720657" w:rsidRPr="001D4B62">
              <w:t xml:space="preserve"> insurers</w:t>
            </w:r>
            <w:r w:rsidR="004D05AD" w:rsidRPr="001D4B62">
              <w:t xml:space="preserve"> </w:t>
            </w:r>
            <w:r w:rsidR="00956BA3" w:rsidRPr="001D4B62">
              <w:t>refus</w:t>
            </w:r>
            <w:r w:rsidR="00B0189E">
              <w:t>e</w:t>
            </w:r>
            <w:r w:rsidR="00956BA3" w:rsidRPr="001D4B62">
              <w:t xml:space="preserve"> to pay </w:t>
            </w:r>
            <w:r w:rsidR="00B0189E">
              <w:t>when there are</w:t>
            </w:r>
            <w:r w:rsidR="00956BA3" w:rsidRPr="001D4B62">
              <w:t xml:space="preserve"> catalogue number </w:t>
            </w:r>
            <w:r w:rsidR="00850E25" w:rsidRPr="001D4B62">
              <w:t>mismatches</w:t>
            </w:r>
            <w:r w:rsidR="00DF17D9">
              <w:t>;</w:t>
            </w:r>
            <w:r w:rsidR="00850E25" w:rsidRPr="001D4B62">
              <w:t xml:space="preserve"> or</w:t>
            </w:r>
            <w:r w:rsidR="00DF17D9">
              <w:t xml:space="preserve"> insurers</w:t>
            </w:r>
            <w:r w:rsidR="00720657" w:rsidRPr="001D4B62">
              <w:t xml:space="preserve"> having</w:t>
            </w:r>
            <w:r w:rsidR="00956BA3" w:rsidRPr="001D4B62">
              <w:t xml:space="preserve"> </w:t>
            </w:r>
            <w:r w:rsidR="00720657" w:rsidRPr="001D4B62">
              <w:t xml:space="preserve">different </w:t>
            </w:r>
            <w:r w:rsidR="00956BA3" w:rsidRPr="001D4B62">
              <w:t>interpretations of 'acceptability' criteria</w:t>
            </w:r>
            <w:r w:rsidR="00B4020B" w:rsidRPr="001D4B62">
              <w:t>.</w:t>
            </w:r>
            <w:r w:rsidR="00956BA3" w:rsidRPr="001D4B62">
              <w:t xml:space="preserve"> </w:t>
            </w:r>
            <w:r w:rsidR="00B4020B" w:rsidRPr="001D4B62">
              <w:t>Hospitals</w:t>
            </w:r>
            <w:r w:rsidR="00956BA3" w:rsidRPr="001D4B62">
              <w:t xml:space="preserve"> believe </w:t>
            </w:r>
            <w:r w:rsidR="00B4020B" w:rsidRPr="001D4B62">
              <w:t xml:space="preserve">these actions </w:t>
            </w:r>
            <w:r w:rsidR="00850E25" w:rsidRPr="001D4B62">
              <w:t xml:space="preserve">by insurers </w:t>
            </w:r>
            <w:r w:rsidR="00956BA3" w:rsidRPr="001D4B62">
              <w:t>violate</w:t>
            </w:r>
            <w:r w:rsidR="00E50387" w:rsidRPr="001D4B62">
              <w:t xml:space="preserve"> </w:t>
            </w:r>
            <w:r w:rsidR="00956BA3" w:rsidRPr="001D4B62">
              <w:t>PHI regulations, lack transparency, and increas</w:t>
            </w:r>
            <w:r w:rsidR="00E50387" w:rsidRPr="001D4B62">
              <w:t>e</w:t>
            </w:r>
            <w:r w:rsidR="00956BA3" w:rsidRPr="001D4B62">
              <w:t xml:space="preserve"> administrative and financial burdens</w:t>
            </w:r>
            <w:r w:rsidR="00E50387" w:rsidRPr="001D4B62">
              <w:t xml:space="preserve"> on hospitals.</w:t>
            </w:r>
          </w:p>
          <w:p w14:paraId="515071E5" w14:textId="4C85DA6A" w:rsidR="002B5A39" w:rsidRPr="001D4B62" w:rsidRDefault="00370E82" w:rsidP="00E13E08">
            <w:pPr>
              <w:cnfStyle w:val="000000100000" w:firstRow="0" w:lastRow="0" w:firstColumn="0" w:lastColumn="0" w:oddVBand="0" w:evenVBand="0" w:oddHBand="1" w:evenHBand="0" w:firstRowFirstColumn="0" w:firstRowLastColumn="0" w:lastRowFirstColumn="0" w:lastRowLastColumn="0"/>
            </w:pPr>
            <w:r w:rsidRPr="005B46B2">
              <w:t xml:space="preserve">Sponsors identify the main integrity </w:t>
            </w:r>
            <w:bookmarkStart w:id="3" w:name="_Hlk195533843"/>
            <w:r w:rsidRPr="005B46B2">
              <w:t>issues a</w:t>
            </w:r>
            <w:r w:rsidR="00962582">
              <w:t>re</w:t>
            </w:r>
            <w:r w:rsidRPr="005B46B2">
              <w:t xml:space="preserve"> restrictions on listing new technologies and insurers' refusal to fund PL items.</w:t>
            </w:r>
            <w:bookmarkEnd w:id="3"/>
          </w:p>
        </w:tc>
      </w:tr>
      <w:tr w:rsidR="00540364" w:rsidRPr="005B46B2" w14:paraId="5ACD7799" w14:textId="77777777" w:rsidTr="006D7287">
        <w:trPr>
          <w:cnfStyle w:val="000000010000" w:firstRow="0" w:lastRow="0" w:firstColumn="0" w:lastColumn="0" w:oddVBand="0" w:evenVBand="0" w:oddHBand="0" w:evenHBand="1" w:firstRowFirstColumn="0" w:firstRowLastColumn="0" w:lastRowFirstColumn="0" w:lastRowLastColumn="0"/>
          <w:trHeight w:val="3139"/>
        </w:trPr>
        <w:tc>
          <w:tcPr>
            <w:cnfStyle w:val="001000000000" w:firstRow="0" w:lastRow="0" w:firstColumn="1" w:lastColumn="0" w:oddVBand="0" w:evenVBand="0" w:oddHBand="0" w:evenHBand="0" w:firstRowFirstColumn="0" w:firstRowLastColumn="0" w:lastRowFirstColumn="0" w:lastRowLastColumn="0"/>
            <w:tcW w:w="4986" w:type="dxa"/>
          </w:tcPr>
          <w:p w14:paraId="06423B6B" w14:textId="77777777" w:rsidR="00540364" w:rsidRPr="001D4B62" w:rsidRDefault="00540364" w:rsidP="00E13E08">
            <w:pPr>
              <w:pStyle w:val="ListNumber"/>
            </w:pPr>
            <w:r w:rsidRPr="001D4B62">
              <w:t>If you were to prioritise options for improved integrity, what order would deliver the most meaningful outcomes?</w:t>
            </w:r>
          </w:p>
        </w:tc>
        <w:tc>
          <w:tcPr>
            <w:tcW w:w="8992" w:type="dxa"/>
          </w:tcPr>
          <w:p w14:paraId="428EC6FA" w14:textId="783479C4" w:rsidR="001A34EA" w:rsidRPr="00E13E08" w:rsidRDefault="00A35E83" w:rsidP="00E13E08">
            <w:pPr>
              <w:cnfStyle w:val="000000010000" w:firstRow="0" w:lastRow="0" w:firstColumn="0" w:lastColumn="0" w:oddVBand="0" w:evenVBand="0" w:oddHBand="0" w:evenHBand="1" w:firstRowFirstColumn="0" w:firstRowLastColumn="0" w:lastRowFirstColumn="0" w:lastRowLastColumn="0"/>
            </w:pPr>
            <w:r w:rsidRPr="00E13E08">
              <w:t>T</w:t>
            </w:r>
            <w:r w:rsidR="00960437" w:rsidRPr="00E13E08">
              <w:t xml:space="preserve">he </w:t>
            </w:r>
            <w:r w:rsidR="005A53FE" w:rsidRPr="00E13E08">
              <w:t xml:space="preserve">key topics identified </w:t>
            </w:r>
            <w:r w:rsidR="001A34EA" w:rsidRPr="00E13E08">
              <w:t>as a priority for improved integrity to deliver meaningful outcomes were:</w:t>
            </w:r>
          </w:p>
          <w:p w14:paraId="50DA8321" w14:textId="77777777" w:rsidR="00330DA5" w:rsidRPr="005B46B2" w:rsidRDefault="005A53FE" w:rsidP="00E13E08">
            <w:pPr>
              <w:pStyle w:val="ListBullet"/>
              <w:cnfStyle w:val="000000010000" w:firstRow="0" w:lastRow="0" w:firstColumn="0" w:lastColumn="0" w:oddVBand="0" w:evenVBand="0" w:oddHBand="0" w:evenHBand="1" w:firstRowFirstColumn="0" w:firstRowLastColumn="0" w:lastRowFirstColumn="0" w:lastRowLastColumn="0"/>
            </w:pPr>
            <w:r w:rsidRPr="005B46B2">
              <w:t>i</w:t>
            </w:r>
            <w:r w:rsidR="006A755F" w:rsidRPr="005B46B2">
              <w:t>ncreasing t</w:t>
            </w:r>
            <w:r w:rsidR="008C1311" w:rsidRPr="005B46B2">
              <w:t>ransparency</w:t>
            </w:r>
          </w:p>
          <w:p w14:paraId="3A716310" w14:textId="1908FF87" w:rsidR="00330DA5" w:rsidRPr="001D4B62" w:rsidRDefault="001A34EA" w:rsidP="00E13E08">
            <w:pPr>
              <w:pStyle w:val="ListBullet"/>
              <w:cnfStyle w:val="000000010000" w:firstRow="0" w:lastRow="0" w:firstColumn="0" w:lastColumn="0" w:oddVBand="0" w:evenVBand="0" w:oddHBand="0" w:evenHBand="1" w:firstRowFirstColumn="0" w:firstRowLastColumn="0" w:lastRowFirstColumn="0" w:lastRowLastColumn="0"/>
            </w:pPr>
            <w:r w:rsidRPr="005B46B2">
              <w:t xml:space="preserve">improving </w:t>
            </w:r>
            <w:r w:rsidR="00F21626" w:rsidRPr="005B46B2">
              <w:t>data availability</w:t>
            </w:r>
            <w:r w:rsidR="001D5A4F" w:rsidRPr="005B46B2">
              <w:t xml:space="preserve"> (e.g. </w:t>
            </w:r>
            <w:r w:rsidR="00403431" w:rsidRPr="005B46B2">
              <w:t>m</w:t>
            </w:r>
            <w:r w:rsidR="001D5A4F" w:rsidRPr="001D4B62">
              <w:t>ore data on GUI use and trends per episode</w:t>
            </w:r>
            <w:r w:rsidR="003D391E" w:rsidRPr="001D4B62">
              <w:t xml:space="preserve"> of care</w:t>
            </w:r>
            <w:r w:rsidR="00403431" w:rsidRPr="001D4B62">
              <w:t>)</w:t>
            </w:r>
          </w:p>
          <w:p w14:paraId="5AB33248" w14:textId="49A27F64" w:rsidR="00330DA5" w:rsidRPr="001D4B62" w:rsidRDefault="00F21626" w:rsidP="00E13E08">
            <w:pPr>
              <w:pStyle w:val="ListBullet"/>
              <w:cnfStyle w:val="000000010000" w:firstRow="0" w:lastRow="0" w:firstColumn="0" w:lastColumn="0" w:oddVBand="0" w:evenVBand="0" w:oddHBand="0" w:evenHBand="1" w:firstRowFirstColumn="0" w:firstRowLastColumn="0" w:lastRowFirstColumn="0" w:lastRowLastColumn="0"/>
            </w:pPr>
            <w:r w:rsidRPr="005B46B2">
              <w:t xml:space="preserve">education </w:t>
            </w:r>
            <w:r w:rsidR="008C1311" w:rsidRPr="005B46B2">
              <w:t xml:space="preserve">and </w:t>
            </w:r>
            <w:r w:rsidR="001A34EA" w:rsidRPr="005B46B2">
              <w:t>guidance</w:t>
            </w:r>
            <w:r w:rsidR="003D391E" w:rsidRPr="005B46B2">
              <w:t xml:space="preserve"> (e.g.</w:t>
            </w:r>
            <w:r w:rsidR="00F909D5" w:rsidRPr="005B46B2">
              <w:t xml:space="preserve"> best pra</w:t>
            </w:r>
            <w:r w:rsidR="008827C4" w:rsidRPr="001D4B62">
              <w:t>ctice guidelines</w:t>
            </w:r>
            <w:r w:rsidR="00850A71" w:rsidRPr="005B46B2">
              <w:t xml:space="preserve">; </w:t>
            </w:r>
            <w:r w:rsidR="00BF3528" w:rsidRPr="005B46B2">
              <w:t>providing feedback to clinicians to help them understand the cost implications of their decisions</w:t>
            </w:r>
            <w:r w:rsidR="00850A71" w:rsidRPr="005B46B2">
              <w:t>)</w:t>
            </w:r>
          </w:p>
          <w:p w14:paraId="57C13CD3" w14:textId="67A368DB" w:rsidR="00626600" w:rsidRPr="001D4B62" w:rsidRDefault="001A34EA" w:rsidP="00E13E08">
            <w:pPr>
              <w:pStyle w:val="ListBullet"/>
              <w:cnfStyle w:val="000000010000" w:firstRow="0" w:lastRow="0" w:firstColumn="0" w:lastColumn="0" w:oddVBand="0" w:evenVBand="0" w:oddHBand="0" w:evenHBand="1" w:firstRowFirstColumn="0" w:firstRowLastColumn="0" w:lastRowFirstColumn="0" w:lastRowLastColumn="0"/>
            </w:pPr>
            <w:r w:rsidRPr="005B46B2">
              <w:t>engagement</w:t>
            </w:r>
            <w:r w:rsidR="00A92546" w:rsidRPr="005B46B2">
              <w:t xml:space="preserve">/collaboration </w:t>
            </w:r>
            <w:r w:rsidRPr="005B46B2">
              <w:t>with clinician</w:t>
            </w:r>
            <w:r w:rsidR="00850A71" w:rsidRPr="005B46B2">
              <w:t>s (e.g.</w:t>
            </w:r>
            <w:r w:rsidR="00BF3528" w:rsidRPr="005B46B2">
              <w:t xml:space="preserve"> </w:t>
            </w:r>
            <w:r w:rsidR="00850A71" w:rsidRPr="005B46B2">
              <w:t>e</w:t>
            </w:r>
            <w:r w:rsidR="00850A71" w:rsidRPr="001D4B62">
              <w:t xml:space="preserve">ngaging clinical peak bodies to promote resource efficiency; </w:t>
            </w:r>
            <w:r w:rsidR="001A5C7A">
              <w:t>engaging clinicians to understand changes in utilisation</w:t>
            </w:r>
            <w:r w:rsidR="00850A71" w:rsidRPr="005B46B2">
              <w:t>).</w:t>
            </w:r>
          </w:p>
          <w:p w14:paraId="7F7FF92E" w14:textId="3F555560" w:rsidR="00F236A1" w:rsidRPr="001D4B62" w:rsidRDefault="009143A2" w:rsidP="00E13E08">
            <w:pPr>
              <w:cnfStyle w:val="000000010000" w:firstRow="0" w:lastRow="0" w:firstColumn="0" w:lastColumn="0" w:oddVBand="0" w:evenVBand="0" w:oddHBand="0" w:evenHBand="1" w:firstRowFirstColumn="0" w:firstRowLastColumn="0" w:lastRowFirstColumn="0" w:lastRowLastColumn="0"/>
            </w:pPr>
            <w:r w:rsidRPr="001D4B62">
              <w:t>Separately, h</w:t>
            </w:r>
            <w:r w:rsidR="00F236A1" w:rsidRPr="001D4B62">
              <w:t>ospitals argue that payment delays and disputes should be prioritised due to the burden on the system. They point out that GUI use is driven by medical practitioners, not hospitals, and</w:t>
            </w:r>
            <w:r w:rsidR="00810125" w:rsidRPr="001D4B62">
              <w:t xml:space="preserve"> hospitals</w:t>
            </w:r>
            <w:r w:rsidR="00F236A1" w:rsidRPr="001D4B62">
              <w:t xml:space="preserve"> shouldn't bear the cost.</w:t>
            </w:r>
          </w:p>
          <w:p w14:paraId="42DB45EF" w14:textId="103CBBCF" w:rsidR="00025807" w:rsidRPr="00E13E08" w:rsidRDefault="00F6736A" w:rsidP="00E13E08">
            <w:pPr>
              <w:cnfStyle w:val="000000010000" w:firstRow="0" w:lastRow="0" w:firstColumn="0" w:lastColumn="0" w:oddVBand="0" w:evenVBand="0" w:oddHBand="0" w:evenHBand="1" w:firstRowFirstColumn="0" w:firstRowLastColumn="0" w:lastRowFirstColumn="0" w:lastRowLastColumn="0"/>
            </w:pPr>
            <w:r>
              <w:t xml:space="preserve">PHIs </w:t>
            </w:r>
            <w:r w:rsidR="001A5C7A" w:rsidRPr="00F1379A">
              <w:t>s</w:t>
            </w:r>
            <w:r w:rsidR="008827C4" w:rsidRPr="00DE2A26">
              <w:t>uggest</w:t>
            </w:r>
            <w:r w:rsidR="001A5C7A" w:rsidRPr="00F1379A">
              <w:t>ed</w:t>
            </w:r>
            <w:r w:rsidR="001A5C7A">
              <w:t xml:space="preserve"> implementing </w:t>
            </w:r>
            <w:r w:rsidR="00DA5ADC" w:rsidRPr="00DE2A26">
              <w:t>an enforceable code of conduct for the medical device industry</w:t>
            </w:r>
            <w:r w:rsidR="006A4FD6">
              <w:t xml:space="preserve"> and </w:t>
            </w:r>
            <w:r w:rsidR="00DA5ADC" w:rsidRPr="00DE2A26">
              <w:t>fixing</w:t>
            </w:r>
            <w:r w:rsidR="00153C1E" w:rsidRPr="00DE2A26">
              <w:t xml:space="preserve"> </w:t>
            </w:r>
            <w:r w:rsidR="00DA5ADC" w:rsidRPr="00DE2A26">
              <w:t>errors</w:t>
            </w:r>
            <w:r w:rsidR="006A4FD6">
              <w:t xml:space="preserve"> on the PL </w:t>
            </w:r>
            <w:r w:rsidR="00253A92">
              <w:t xml:space="preserve">as a priority </w:t>
            </w:r>
            <w:r w:rsidR="006A4FD6">
              <w:t>to improve integrity.</w:t>
            </w:r>
          </w:p>
          <w:p w14:paraId="656B273F" w14:textId="5F3D39DC" w:rsidR="00F6565E" w:rsidRPr="00D259B4" w:rsidRDefault="00025807" w:rsidP="00E13E08">
            <w:pPr>
              <w:cnfStyle w:val="000000010000" w:firstRow="0" w:lastRow="0" w:firstColumn="0" w:lastColumn="0" w:oddVBand="0" w:evenVBand="0" w:oddHBand="0" w:evenHBand="1" w:firstRowFirstColumn="0" w:firstRowLastColumn="0" w:lastRowFirstColumn="0" w:lastRowLastColumn="0"/>
            </w:pPr>
            <w:r w:rsidRPr="005B46B2">
              <w:lastRenderedPageBreak/>
              <w:t xml:space="preserve">Sponsors </w:t>
            </w:r>
            <w:r w:rsidR="00116F53" w:rsidRPr="005B46B2">
              <w:t xml:space="preserve">believe </w:t>
            </w:r>
            <w:r w:rsidR="00F717B9" w:rsidRPr="00F717B9">
              <w:rPr>
                <w:lang w:val="en-US"/>
              </w:rPr>
              <w:t xml:space="preserve">that there is no evidence to </w:t>
            </w:r>
            <w:r w:rsidR="00253A92">
              <w:rPr>
                <w:lang w:val="en-US"/>
              </w:rPr>
              <w:t xml:space="preserve">support </w:t>
            </w:r>
            <w:r w:rsidR="00F717B9" w:rsidRPr="00F717B9">
              <w:rPr>
                <w:lang w:val="en-US"/>
              </w:rPr>
              <w:t xml:space="preserve">claims </w:t>
            </w:r>
            <w:r w:rsidR="00253A92">
              <w:rPr>
                <w:lang w:val="en-US"/>
              </w:rPr>
              <w:t xml:space="preserve">of </w:t>
            </w:r>
            <w:r w:rsidR="00F717B9" w:rsidRPr="00F717B9">
              <w:rPr>
                <w:lang w:val="en-US"/>
              </w:rPr>
              <w:t>lack of integrity in clinical decisions</w:t>
            </w:r>
            <w:r w:rsidR="00253A92">
              <w:rPr>
                <w:lang w:val="en-US"/>
              </w:rPr>
              <w:t>, so no action is required.</w:t>
            </w:r>
          </w:p>
        </w:tc>
      </w:tr>
      <w:tr w:rsidR="00540364" w:rsidRPr="005B46B2" w14:paraId="70899FA1" w14:textId="77777777" w:rsidTr="006D72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86" w:type="dxa"/>
          </w:tcPr>
          <w:p w14:paraId="0DB6A52F" w14:textId="4A5C1243" w:rsidR="00540364" w:rsidRPr="005B46B2" w:rsidRDefault="00540364" w:rsidP="00E13E08">
            <w:pPr>
              <w:pStyle w:val="ListNumber"/>
            </w:pPr>
            <w:r w:rsidRPr="001D58AF">
              <w:t xml:space="preserve">What </w:t>
            </w:r>
            <w:proofErr w:type="gramStart"/>
            <w:r w:rsidRPr="001D58AF">
              <w:t>are</w:t>
            </w:r>
            <w:proofErr w:type="gramEnd"/>
            <w:r w:rsidRPr="001D58AF">
              <w:t xml:space="preserve"> some potential system</w:t>
            </w:r>
            <w:r w:rsidR="00B12EAA" w:rsidRPr="001D58AF">
              <w:t>-</w:t>
            </w:r>
            <w:r w:rsidRPr="001D58AF">
              <w:t>based</w:t>
            </w:r>
            <w:r w:rsidR="00B12EAA" w:rsidRPr="001D58AF">
              <w:t xml:space="preserve"> </w:t>
            </w:r>
            <w:r w:rsidRPr="001D58AF">
              <w:t>actions that could be taken to improve integrity?</w:t>
            </w:r>
          </w:p>
          <w:p w14:paraId="32EBAD4E" w14:textId="4935657D" w:rsidR="00540364" w:rsidRPr="001D58AF" w:rsidRDefault="00540364" w:rsidP="00E13E08">
            <w:pPr>
              <w:pStyle w:val="ListBullet"/>
            </w:pPr>
            <w:r w:rsidRPr="001D58AF">
              <w:t xml:space="preserve">By </w:t>
            </w:r>
            <w:proofErr w:type="gramStart"/>
            <w:r w:rsidRPr="001D58AF">
              <w:t>who</w:t>
            </w:r>
            <w:proofErr w:type="gramEnd"/>
            <w:r w:rsidRPr="001D58AF">
              <w:t xml:space="preserve"> and when?</w:t>
            </w:r>
          </w:p>
          <w:p w14:paraId="166449C7" w14:textId="20833B63" w:rsidR="00540364" w:rsidRPr="001D58AF" w:rsidRDefault="00540364" w:rsidP="00E13E08">
            <w:pPr>
              <w:pStyle w:val="ListBullet"/>
            </w:pPr>
            <w:r w:rsidRPr="001D58AF">
              <w:t>How would you suggest the success of these actions is measured?</w:t>
            </w:r>
          </w:p>
          <w:p w14:paraId="60336B45" w14:textId="48D3A787" w:rsidR="00540364" w:rsidRPr="00AF2CD8" w:rsidRDefault="00540364" w:rsidP="00E13E08">
            <w:pPr>
              <w:pStyle w:val="ListBullet"/>
            </w:pPr>
            <w:r w:rsidRPr="001D58AF">
              <w:t>What are the likely consequences – positive/negative and who would they affect?</w:t>
            </w:r>
          </w:p>
        </w:tc>
        <w:tc>
          <w:tcPr>
            <w:tcW w:w="8992" w:type="dxa"/>
          </w:tcPr>
          <w:p w14:paraId="6C8B3DFC" w14:textId="7074731A" w:rsidR="001E2567" w:rsidRPr="000A11E8" w:rsidRDefault="000A11E8" w:rsidP="00E13E08">
            <w:pPr>
              <w:cnfStyle w:val="000000100000" w:firstRow="0" w:lastRow="0" w:firstColumn="0" w:lastColumn="0" w:oddVBand="0" w:evenVBand="0" w:oddHBand="1" w:evenHBand="0" w:firstRowFirstColumn="0" w:firstRowLastColumn="0" w:lastRowFirstColumn="0" w:lastRowLastColumn="0"/>
            </w:pPr>
            <w:r w:rsidRPr="000A11E8">
              <w:t>There were a few</w:t>
            </w:r>
            <w:r w:rsidR="00F248D3" w:rsidRPr="000A11E8">
              <w:t xml:space="preserve"> </w:t>
            </w:r>
            <w:r w:rsidR="001E2567" w:rsidRPr="000A11E8">
              <w:t>suggest</w:t>
            </w:r>
            <w:r w:rsidRPr="000A11E8">
              <w:t>ions for</w:t>
            </w:r>
            <w:r w:rsidR="001E2567" w:rsidRPr="000A11E8">
              <w:t xml:space="preserve"> system-based </w:t>
            </w:r>
            <w:r w:rsidR="00962582">
              <w:t>actions</w:t>
            </w:r>
            <w:r w:rsidR="001E2567" w:rsidRPr="000A11E8">
              <w:t xml:space="preserve"> </w:t>
            </w:r>
            <w:r w:rsidR="00221450" w:rsidRPr="000A11E8">
              <w:t>to improve integrity</w:t>
            </w:r>
            <w:r w:rsidR="00F248D3" w:rsidRPr="000A11E8">
              <w:t>, including</w:t>
            </w:r>
            <w:r w:rsidR="001E2567" w:rsidRPr="000A11E8">
              <w:t>:</w:t>
            </w:r>
          </w:p>
          <w:p w14:paraId="1C2CFCE2" w14:textId="6CDD3392" w:rsidR="002E54A1" w:rsidRPr="000A11E8" w:rsidRDefault="00F248D3" w:rsidP="00E13E08">
            <w:pPr>
              <w:pStyle w:val="ListBullet"/>
              <w:cnfStyle w:val="000000100000" w:firstRow="0" w:lastRow="0" w:firstColumn="0" w:lastColumn="0" w:oddVBand="0" w:evenVBand="0" w:oddHBand="1" w:evenHBand="0" w:firstRowFirstColumn="0" w:firstRowLastColumn="0" w:lastRowFirstColumn="0" w:lastRowLastColumn="0"/>
            </w:pPr>
            <w:r w:rsidRPr="000A11E8">
              <w:t>i</w:t>
            </w:r>
            <w:r w:rsidR="001E2567" w:rsidRPr="000A11E8">
              <w:t xml:space="preserve">mplementing audit mechanisms for </w:t>
            </w:r>
            <w:r w:rsidR="000D01F4" w:rsidRPr="000D01F4">
              <w:t xml:space="preserve">Medicare Benefits Schedule (MBS) </w:t>
            </w:r>
            <w:r w:rsidR="001E2567" w:rsidRPr="000A11E8">
              <w:t>and PL claims</w:t>
            </w:r>
          </w:p>
          <w:p w14:paraId="3BF8BB12" w14:textId="0B68B8E6" w:rsidR="000A11E8" w:rsidRPr="000A11E8" w:rsidRDefault="000A11E8" w:rsidP="00E13E08">
            <w:pPr>
              <w:pStyle w:val="ListBullet"/>
              <w:cnfStyle w:val="000000100000" w:firstRow="0" w:lastRow="0" w:firstColumn="0" w:lastColumn="0" w:oddVBand="0" w:evenVBand="0" w:oddHBand="1" w:evenHBand="0" w:firstRowFirstColumn="0" w:firstRowLastColumn="0" w:lastRowFirstColumn="0" w:lastRowLastColumn="0"/>
            </w:pPr>
            <w:r w:rsidRPr="000A11E8">
              <w:t>implementing mechanisms to incentivise efficient utilisation and minimising waste</w:t>
            </w:r>
          </w:p>
          <w:p w14:paraId="6D822B4D" w14:textId="7551861B" w:rsidR="002E54A1" w:rsidRPr="000A11E8" w:rsidRDefault="00F248D3" w:rsidP="00E13E08">
            <w:pPr>
              <w:pStyle w:val="ListBullet"/>
              <w:cnfStyle w:val="000000100000" w:firstRow="0" w:lastRow="0" w:firstColumn="0" w:lastColumn="0" w:oddVBand="0" w:evenVBand="0" w:oddHBand="1" w:evenHBand="0" w:firstRowFirstColumn="0" w:firstRowLastColumn="0" w:lastRowFirstColumn="0" w:lastRowLastColumn="0"/>
            </w:pPr>
            <w:r w:rsidRPr="000A11E8">
              <w:t>e</w:t>
            </w:r>
            <w:r w:rsidR="001E2567" w:rsidRPr="000A11E8">
              <w:t>nhancing regulatory oversight by fact-checking advice to insurers and reporting non-payment instances</w:t>
            </w:r>
          </w:p>
          <w:p w14:paraId="37497460" w14:textId="53A5DCD4" w:rsidR="001E2567" w:rsidRPr="000A11E8" w:rsidRDefault="00F248D3" w:rsidP="00E13E08">
            <w:pPr>
              <w:pStyle w:val="ListBullet"/>
              <w:cnfStyle w:val="000000100000" w:firstRow="0" w:lastRow="0" w:firstColumn="0" w:lastColumn="0" w:oddVBand="0" w:evenVBand="0" w:oddHBand="1" w:evenHBand="0" w:firstRowFirstColumn="0" w:firstRowLastColumn="0" w:lastRowFirstColumn="0" w:lastRowLastColumn="0"/>
            </w:pPr>
            <w:r w:rsidRPr="000A11E8">
              <w:t>c</w:t>
            </w:r>
            <w:r w:rsidR="001E2567" w:rsidRPr="000A11E8">
              <w:t xml:space="preserve">reating an </w:t>
            </w:r>
            <w:r w:rsidR="00353FBE">
              <w:t xml:space="preserve">independent authority </w:t>
            </w:r>
            <w:r w:rsidR="001E2567" w:rsidRPr="000A11E8">
              <w:t>to investigate structural issues</w:t>
            </w:r>
            <w:r w:rsidR="00904796" w:rsidRPr="000A11E8">
              <w:t xml:space="preserve"> and </w:t>
            </w:r>
            <w:r w:rsidR="0039070F" w:rsidRPr="000A11E8">
              <w:t>handle claims and ensure patient safety</w:t>
            </w:r>
          </w:p>
          <w:p w14:paraId="18025C12" w14:textId="1D10437D" w:rsidR="001E2567" w:rsidRPr="000A11E8" w:rsidRDefault="00F248D3" w:rsidP="00E13E08">
            <w:pPr>
              <w:pStyle w:val="ListBullet"/>
              <w:cnfStyle w:val="000000100000" w:firstRow="0" w:lastRow="0" w:firstColumn="0" w:lastColumn="0" w:oddVBand="0" w:evenVBand="0" w:oddHBand="1" w:evenHBand="0" w:firstRowFirstColumn="0" w:firstRowLastColumn="0" w:lastRowFirstColumn="0" w:lastRowLastColumn="0"/>
            </w:pPr>
            <w:r w:rsidRPr="000A11E8">
              <w:t xml:space="preserve">engaging </w:t>
            </w:r>
            <w:r w:rsidR="001E2567" w:rsidRPr="000A11E8">
              <w:t>IHACPA to review billing codes annually or periodically</w:t>
            </w:r>
          </w:p>
          <w:p w14:paraId="2D92E62C" w14:textId="72B309E8" w:rsidR="001E2567" w:rsidRPr="000A11E8" w:rsidRDefault="00F248D3" w:rsidP="00E13E08">
            <w:pPr>
              <w:pStyle w:val="ListBullet"/>
              <w:cnfStyle w:val="000000100000" w:firstRow="0" w:lastRow="0" w:firstColumn="0" w:lastColumn="0" w:oddVBand="0" w:evenVBand="0" w:oddHBand="1" w:evenHBand="0" w:firstRowFirstColumn="0" w:firstRowLastColumn="0" w:lastRowFirstColumn="0" w:lastRowLastColumn="0"/>
            </w:pPr>
            <w:r w:rsidRPr="000A11E8">
              <w:t>b</w:t>
            </w:r>
            <w:r w:rsidR="001E2567" w:rsidRPr="000A11E8">
              <w:t>enchmarking annual benefits for GUI items to surgery rates and review PL billing codes</w:t>
            </w:r>
          </w:p>
          <w:p w14:paraId="7794F255" w14:textId="041F3EF0" w:rsidR="001E2567" w:rsidRPr="000A11E8" w:rsidRDefault="00F248D3" w:rsidP="00E13E08">
            <w:pPr>
              <w:pStyle w:val="ListBullet"/>
              <w:cnfStyle w:val="000000100000" w:firstRow="0" w:lastRow="0" w:firstColumn="0" w:lastColumn="0" w:oddVBand="0" w:evenVBand="0" w:oddHBand="1" w:evenHBand="0" w:firstRowFirstColumn="0" w:firstRowLastColumn="0" w:lastRowFirstColumn="0" w:lastRowLastColumn="0"/>
            </w:pPr>
            <w:r w:rsidRPr="000A11E8">
              <w:t>m</w:t>
            </w:r>
            <w:r w:rsidR="001E2567" w:rsidRPr="000A11E8">
              <w:t>andating rebate disclosure and annual tendering for equivalent items</w:t>
            </w:r>
          </w:p>
          <w:p w14:paraId="01DA2FFD" w14:textId="26456E1B" w:rsidR="00904796" w:rsidRPr="000A11E8" w:rsidRDefault="00904796" w:rsidP="00E13E08">
            <w:pPr>
              <w:pStyle w:val="ListBullet"/>
              <w:cnfStyle w:val="000000100000" w:firstRow="0" w:lastRow="0" w:firstColumn="0" w:lastColumn="0" w:oddVBand="0" w:evenVBand="0" w:oddHBand="1" w:evenHBand="0" w:firstRowFirstColumn="0" w:firstRowLastColumn="0" w:lastRowFirstColumn="0" w:lastRowLastColumn="0"/>
            </w:pPr>
            <w:r w:rsidRPr="000A11E8">
              <w:t>conducting price reviews</w:t>
            </w:r>
          </w:p>
          <w:p w14:paraId="5C36B72B" w14:textId="463E4969" w:rsidR="00ED5279" w:rsidRPr="000A11E8" w:rsidRDefault="00ED5279" w:rsidP="00E13E08">
            <w:pPr>
              <w:pStyle w:val="ListBullet"/>
              <w:cnfStyle w:val="000000100000" w:firstRow="0" w:lastRow="0" w:firstColumn="0" w:lastColumn="0" w:oddVBand="0" w:evenVBand="0" w:oddHBand="1" w:evenHBand="0" w:firstRowFirstColumn="0" w:firstRowLastColumn="0" w:lastRowFirstColumn="0" w:lastRowLastColumn="0"/>
            </w:pPr>
            <w:r w:rsidRPr="000A11E8">
              <w:t xml:space="preserve">introducing price/volume agreements for GUIs, based on the </w:t>
            </w:r>
            <w:r w:rsidR="00192A3B" w:rsidRPr="00FD4290">
              <w:t>Pharmaceutical Benefits Schedule (PBS)</w:t>
            </w:r>
            <w:r w:rsidRPr="000A11E8">
              <w:t xml:space="preserve"> model</w:t>
            </w:r>
          </w:p>
          <w:p w14:paraId="0B63DA56" w14:textId="2491AACA" w:rsidR="00574196" w:rsidRPr="000A11E8" w:rsidRDefault="00EB1023" w:rsidP="00E13E08">
            <w:pPr>
              <w:pStyle w:val="ListBullet"/>
              <w:cnfStyle w:val="000000100000" w:firstRow="0" w:lastRow="0" w:firstColumn="0" w:lastColumn="0" w:oddVBand="0" w:evenVBand="0" w:oddHBand="1" w:evenHBand="0" w:firstRowFirstColumn="0" w:firstRowLastColumn="0" w:lastRowFirstColumn="0" w:lastRowLastColumn="0"/>
            </w:pPr>
            <w:r w:rsidRPr="000A11E8">
              <w:lastRenderedPageBreak/>
              <w:t xml:space="preserve">introducing </w:t>
            </w:r>
            <w:r w:rsidR="00574196" w:rsidRPr="000A11E8">
              <w:t xml:space="preserve">an activity-based funding model, where </w:t>
            </w:r>
            <w:r w:rsidRPr="000A11E8">
              <w:t>GUI</w:t>
            </w:r>
            <w:r w:rsidR="00574196" w:rsidRPr="000A11E8">
              <w:t xml:space="preserve"> are included only if they provide real clinical value, with annual adjustments to keep spending aligned with surgery levels</w:t>
            </w:r>
          </w:p>
          <w:p w14:paraId="362FF9EE" w14:textId="4A87AF6C" w:rsidR="002C6E65" w:rsidRPr="000A11E8" w:rsidRDefault="008172BD" w:rsidP="00E13E08">
            <w:pPr>
              <w:pStyle w:val="ListBullet"/>
              <w:cnfStyle w:val="000000100000" w:firstRow="0" w:lastRow="0" w:firstColumn="0" w:lastColumn="0" w:oddVBand="0" w:evenVBand="0" w:oddHBand="1" w:evenHBand="0" w:firstRowFirstColumn="0" w:firstRowLastColumn="0" w:lastRowFirstColumn="0" w:lastRowLastColumn="0"/>
            </w:pPr>
            <w:r w:rsidRPr="000A11E8">
              <w:t>an expenditure cap for hospitals with high GUI usage unless certified necessary by a doctor</w:t>
            </w:r>
          </w:p>
          <w:p w14:paraId="6ADC62D5" w14:textId="2D5AFDA8" w:rsidR="006F5B45" w:rsidRPr="000A11E8" w:rsidRDefault="006F5B45" w:rsidP="00E13E08">
            <w:pPr>
              <w:pStyle w:val="ListBullet"/>
              <w:cnfStyle w:val="000000100000" w:firstRow="0" w:lastRow="0" w:firstColumn="0" w:lastColumn="0" w:oddVBand="0" w:evenVBand="0" w:oddHBand="1" w:evenHBand="0" w:firstRowFirstColumn="0" w:firstRowLastColumn="0" w:lastRowFirstColumn="0" w:lastRowLastColumn="0"/>
            </w:pPr>
            <w:r w:rsidRPr="000A11E8">
              <w:t xml:space="preserve">reviewing price </w:t>
            </w:r>
            <w:r w:rsidR="002C6E65" w:rsidRPr="000A11E8">
              <w:t>differentials and</w:t>
            </w:r>
            <w:r w:rsidRPr="000A11E8">
              <w:t xml:space="preserve"> adjusting prices when the gap between volume and surgery rates widens.</w:t>
            </w:r>
          </w:p>
          <w:p w14:paraId="4BCFDAEA" w14:textId="2CDEC991" w:rsidR="005F08C3" w:rsidRPr="000A11E8" w:rsidRDefault="001E2567" w:rsidP="00E13E08">
            <w:pPr>
              <w:cnfStyle w:val="000000100000" w:firstRow="0" w:lastRow="0" w:firstColumn="0" w:lastColumn="0" w:oddVBand="0" w:evenVBand="0" w:oddHBand="1" w:evenHBand="0" w:firstRowFirstColumn="0" w:firstRowLastColumn="0" w:lastRowFirstColumn="0" w:lastRowLastColumn="0"/>
            </w:pPr>
            <w:bookmarkStart w:id="4" w:name="_Hlk195532118"/>
            <w:r w:rsidRPr="00285A79">
              <w:t>The</w:t>
            </w:r>
            <w:r w:rsidR="00EF1E85" w:rsidRPr="00EF1E85">
              <w:t xml:space="preserve"> department was recognised as </w:t>
            </w:r>
            <w:r w:rsidR="00EF1E85">
              <w:t>the</w:t>
            </w:r>
            <w:r w:rsidR="00EF1E85" w:rsidRPr="00EF1E85">
              <w:t xml:space="preserve"> </w:t>
            </w:r>
            <w:r w:rsidR="00EF1E85">
              <w:t xml:space="preserve">main driver of </w:t>
            </w:r>
            <w:r w:rsidR="00EF1E85" w:rsidRPr="00EF1E85">
              <w:t xml:space="preserve">system-based </w:t>
            </w:r>
            <w:r w:rsidR="00EF1E85">
              <w:t>a</w:t>
            </w:r>
            <w:r w:rsidR="00962582">
              <w:t>ctions</w:t>
            </w:r>
            <w:r w:rsidR="00EF1E85" w:rsidRPr="00EF1E85">
              <w:t>. Clinicians, including those from the AMA, were identified as the main sources of data and clinical insights. MDHTAC was proposed to lead a governance group, with the Australian Commission on Safety and Quality in Health Care (ACSQHC) helping to gather evidence. It was also suggested that insurers contribute by reporting issues and sharing data.</w:t>
            </w:r>
            <w:bookmarkEnd w:id="4"/>
          </w:p>
          <w:p w14:paraId="57AC4797" w14:textId="0B324A03" w:rsidR="00695ABA" w:rsidRPr="000A11E8" w:rsidRDefault="001E2567" w:rsidP="00E13E08">
            <w:pPr>
              <w:cnfStyle w:val="000000100000" w:firstRow="0" w:lastRow="0" w:firstColumn="0" w:lastColumn="0" w:oddVBand="0" w:evenVBand="0" w:oddHBand="1" w:evenHBand="0" w:firstRowFirstColumn="0" w:firstRowLastColumn="0" w:lastRowFirstColumn="0" w:lastRowLastColumn="0"/>
            </w:pPr>
            <w:r w:rsidRPr="000A11E8">
              <w:t xml:space="preserve">The positive consequences of implementing </w:t>
            </w:r>
            <w:r w:rsidR="00407E2D" w:rsidRPr="000A11E8">
              <w:t xml:space="preserve">some of the suggested </w:t>
            </w:r>
            <w:r w:rsidRPr="000A11E8">
              <w:t>system-based a</w:t>
            </w:r>
            <w:r w:rsidR="00962582">
              <w:t>ctions</w:t>
            </w:r>
            <w:r w:rsidRPr="000A11E8">
              <w:t xml:space="preserve"> </w:t>
            </w:r>
            <w:r w:rsidR="00EF1E85" w:rsidRPr="000A11E8">
              <w:t>are</w:t>
            </w:r>
            <w:r w:rsidRPr="000A11E8">
              <w:t xml:space="preserve"> enhanced trust and collaboration among stakeholders. And a reduced risk of fraudulent claims and misuse of PL benefits. On the other hand, these a</w:t>
            </w:r>
            <w:r w:rsidR="00962582">
              <w:t>ctions</w:t>
            </w:r>
            <w:r w:rsidRPr="000A11E8">
              <w:t xml:space="preserve"> could result in administrative burdens and costs for stakeholders. And potential unintended consequences if any a</w:t>
            </w:r>
            <w:r w:rsidR="00962582">
              <w:t>ction</w:t>
            </w:r>
            <w:r w:rsidRPr="000A11E8">
              <w:t xml:space="preserve"> is implemented without careful consideration. A</w:t>
            </w:r>
            <w:r w:rsidR="006E0592" w:rsidRPr="000A11E8">
              <w:t>ny</w:t>
            </w:r>
            <w:r w:rsidRPr="000A11E8">
              <w:t xml:space="preserve"> system-based a</w:t>
            </w:r>
            <w:r w:rsidR="00962582">
              <w:t xml:space="preserve">ction </w:t>
            </w:r>
            <w:r w:rsidRPr="000A11E8">
              <w:t>may increase workload for the department, insurers, and suppliers, leading to a heavier reliance on the public health system.</w:t>
            </w:r>
          </w:p>
          <w:p w14:paraId="57754AB1" w14:textId="77777777" w:rsidR="00540364" w:rsidRPr="000A11E8" w:rsidRDefault="00695ABA" w:rsidP="00E13E08">
            <w:pPr>
              <w:cnfStyle w:val="000000100000" w:firstRow="0" w:lastRow="0" w:firstColumn="0" w:lastColumn="0" w:oddVBand="0" w:evenVBand="0" w:oddHBand="1" w:evenHBand="0" w:firstRowFirstColumn="0" w:firstRowLastColumn="0" w:lastRowFirstColumn="0" w:lastRowLastColumn="0"/>
            </w:pPr>
            <w:r w:rsidRPr="000A11E8">
              <w:t>Success could be measured through effective monitoring, transparency in rebates, and competitive pricing. As well as reduced payment delays and fewer payment rejections.</w:t>
            </w:r>
          </w:p>
          <w:p w14:paraId="33A5891B" w14:textId="294C4398" w:rsidR="000A11E8" w:rsidRPr="00A42BC0" w:rsidRDefault="00A42BC0" w:rsidP="00E13E08">
            <w:pPr>
              <w:cnfStyle w:val="000000100000" w:firstRow="0" w:lastRow="0" w:firstColumn="0" w:lastColumn="0" w:oddVBand="0" w:evenVBand="0" w:oddHBand="1" w:evenHBand="0" w:firstRowFirstColumn="0" w:firstRowLastColumn="0" w:lastRowFirstColumn="0" w:lastRowLastColumn="0"/>
            </w:pPr>
            <w:r>
              <w:t>Some</w:t>
            </w:r>
            <w:r w:rsidR="000A11E8" w:rsidRPr="000A11E8">
              <w:t xml:space="preserve"> stakeholder</w:t>
            </w:r>
            <w:r>
              <w:t>s</w:t>
            </w:r>
            <w:r w:rsidR="000A11E8" w:rsidRPr="000A11E8">
              <w:t xml:space="preserve"> indicated that system-based actions to improve integrity are not required. Because there is insufficient evidence that there are system-wide issues with integrity related to GUI u</w:t>
            </w:r>
            <w:r>
              <w:t>tilisation.</w:t>
            </w:r>
          </w:p>
        </w:tc>
      </w:tr>
      <w:tr w:rsidR="00540364" w:rsidRPr="005B46B2" w14:paraId="658744BE" w14:textId="77777777" w:rsidTr="006D72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86" w:type="dxa"/>
          </w:tcPr>
          <w:p w14:paraId="6ABDE6FC" w14:textId="41C27A09" w:rsidR="00540364" w:rsidRPr="00833444" w:rsidRDefault="00540364" w:rsidP="00E13E08">
            <w:pPr>
              <w:pStyle w:val="ListNumber"/>
            </w:pPr>
            <w:r w:rsidRPr="00AF2CD8">
              <w:t xml:space="preserve">Are there specific sub-categories of GUIs on the PL that represent concerning areas of </w:t>
            </w:r>
            <w:r w:rsidRPr="00AF2CD8">
              <w:lastRenderedPageBreak/>
              <w:t>growth in utilisation per episode of care that are driving increases in benefit expenditure?</w:t>
            </w:r>
          </w:p>
        </w:tc>
        <w:tc>
          <w:tcPr>
            <w:tcW w:w="8992" w:type="dxa"/>
          </w:tcPr>
          <w:p w14:paraId="72CE831E" w14:textId="3AB0DDE4" w:rsidR="00313F8D" w:rsidRPr="00833444" w:rsidRDefault="00D706D6" w:rsidP="00E13E08">
            <w:pPr>
              <w:cnfStyle w:val="000000010000" w:firstRow="0" w:lastRow="0" w:firstColumn="0" w:lastColumn="0" w:oddVBand="0" w:evenVBand="0" w:oddHBand="0" w:evenHBand="1" w:firstRowFirstColumn="0" w:firstRowLastColumn="0" w:lastRowFirstColumn="0" w:lastRowLastColumn="0"/>
            </w:pPr>
            <w:r w:rsidRPr="00833444">
              <w:lastRenderedPageBreak/>
              <w:t xml:space="preserve">Insurers identified specific sub-categories of GUIs </w:t>
            </w:r>
            <w:r w:rsidR="001C1707" w:rsidRPr="00AF2CD8">
              <w:t>where</w:t>
            </w:r>
            <w:r w:rsidR="0032464A" w:rsidRPr="00AF2CD8">
              <w:t xml:space="preserve"> </w:t>
            </w:r>
            <w:r w:rsidR="008667C0" w:rsidRPr="00AF2CD8">
              <w:t>utilisation</w:t>
            </w:r>
            <w:r w:rsidRPr="00AF2CD8">
              <w:t xml:space="preserve"> growth</w:t>
            </w:r>
            <w:r w:rsidR="00561F91" w:rsidRPr="00AF2CD8">
              <w:t xml:space="preserve"> </w:t>
            </w:r>
            <w:r w:rsidR="00C37208" w:rsidRPr="00AF2CD8">
              <w:t>exceed</w:t>
            </w:r>
            <w:r w:rsidR="008667C0" w:rsidRPr="00AF2CD8">
              <w:t>s</w:t>
            </w:r>
            <w:r w:rsidR="00C37208" w:rsidRPr="00AF2CD8">
              <w:t xml:space="preserve"> the underlying surgery rate, </w:t>
            </w:r>
            <w:r w:rsidR="00561F91" w:rsidRPr="00AF2CD8">
              <w:t>with no clear clinical benefit</w:t>
            </w:r>
            <w:r w:rsidR="00951CC3" w:rsidRPr="00AF2CD8">
              <w:t>.</w:t>
            </w:r>
            <w:r w:rsidR="00C37208" w:rsidRPr="00AF2CD8">
              <w:t xml:space="preserve"> </w:t>
            </w:r>
            <w:r w:rsidRPr="00AF2CD8">
              <w:t xml:space="preserve">These </w:t>
            </w:r>
            <w:r w:rsidR="001D1624" w:rsidRPr="00AF2CD8">
              <w:t>include</w:t>
            </w:r>
            <w:r w:rsidRPr="00AF2CD8">
              <w:t xml:space="preserve"> haemostatic devices, </w:t>
            </w:r>
            <w:r w:rsidRPr="00AF2CD8">
              <w:lastRenderedPageBreak/>
              <w:t>internal adhesives, adhesion barriers,</w:t>
            </w:r>
            <w:r w:rsidR="0032254D">
              <w:t xml:space="preserve"> </w:t>
            </w:r>
            <w:r w:rsidR="009D0B7D">
              <w:t>s</w:t>
            </w:r>
            <w:r w:rsidR="00603746" w:rsidRPr="00603746">
              <w:t xml:space="preserve">taples &amp; </w:t>
            </w:r>
            <w:r w:rsidR="009D0B7D">
              <w:t>t</w:t>
            </w:r>
            <w:r w:rsidR="00603746" w:rsidRPr="00603746">
              <w:t>ackers</w:t>
            </w:r>
            <w:r w:rsidR="00603746">
              <w:t xml:space="preserve">, </w:t>
            </w:r>
            <w:r w:rsidR="009D0B7D">
              <w:t>i</w:t>
            </w:r>
            <w:r w:rsidR="00603746" w:rsidRPr="00603746">
              <w:t>nfusion pumps</w:t>
            </w:r>
            <w:r w:rsidR="009D0B7D">
              <w:t xml:space="preserve">, </w:t>
            </w:r>
            <w:r w:rsidRPr="00833444">
              <w:t>and dura defect repair items.</w:t>
            </w:r>
          </w:p>
          <w:p w14:paraId="74B6CD36" w14:textId="5FF66DA0" w:rsidR="00F363CE" w:rsidRPr="00E13E08" w:rsidRDefault="00D80BD1" w:rsidP="00E13E08">
            <w:pPr>
              <w:cnfStyle w:val="000000010000" w:firstRow="0" w:lastRow="0" w:firstColumn="0" w:lastColumn="0" w:oddVBand="0" w:evenVBand="0" w:oddHBand="0" w:evenHBand="1" w:firstRowFirstColumn="0" w:firstRowLastColumn="0" w:lastRowFirstColumn="0" w:lastRowLastColumn="0"/>
            </w:pPr>
            <w:r w:rsidRPr="00D31CA5">
              <w:t>Insurers claim that th</w:t>
            </w:r>
            <w:r w:rsidR="00BF3EF5">
              <w:t>is</w:t>
            </w:r>
            <w:r w:rsidRPr="00D31CA5">
              <w:t xml:space="preserve"> growth is often driven by their availability on the PL rather than </w:t>
            </w:r>
            <w:r w:rsidRPr="00E13E08">
              <w:t>changes in clinical needs, leading to higher costs without corresponding clinical benefits.</w:t>
            </w:r>
            <w:r w:rsidR="00C341C7" w:rsidRPr="00E13E08">
              <w:t xml:space="preserve"> Some statistics</w:t>
            </w:r>
            <w:r w:rsidR="00BF3EF5" w:rsidRPr="00E13E08">
              <w:t xml:space="preserve"> </w:t>
            </w:r>
            <w:r w:rsidR="00920A99" w:rsidRPr="00E13E08">
              <w:t xml:space="preserve">PHIs </w:t>
            </w:r>
            <w:r w:rsidR="005326CE" w:rsidRPr="00E13E08">
              <w:t xml:space="preserve">use </w:t>
            </w:r>
            <w:r w:rsidR="00BF3EF5" w:rsidRPr="00E13E08">
              <w:t xml:space="preserve">to </w:t>
            </w:r>
            <w:r w:rsidR="00C341C7" w:rsidRPr="00E13E08">
              <w:t>support th</w:t>
            </w:r>
            <w:r w:rsidR="00BF3EF5" w:rsidRPr="00E13E08">
              <w:t>eir</w:t>
            </w:r>
            <w:r w:rsidR="00C341C7" w:rsidRPr="00E13E08">
              <w:t xml:space="preserve"> claim</w:t>
            </w:r>
            <w:r w:rsidR="00BF3EF5" w:rsidRPr="00E13E08">
              <w:t>s</w:t>
            </w:r>
            <w:r w:rsidR="00C341C7" w:rsidRPr="00E13E08">
              <w:t xml:space="preserve"> </w:t>
            </w:r>
            <w:r w:rsidR="00920A99" w:rsidRPr="00E13E08">
              <w:t>include</w:t>
            </w:r>
            <w:r w:rsidR="00AB5334" w:rsidRPr="00E13E08">
              <w:t xml:space="preserve"> a</w:t>
            </w:r>
            <w:r w:rsidR="00313F8D" w:rsidRPr="00E13E08">
              <w:t xml:space="preserve"> 12.9% volume growth in GUIs in 2017/18 despite flat surgery volumes</w:t>
            </w:r>
            <w:r w:rsidR="000E1370" w:rsidRPr="00E13E08">
              <w:t xml:space="preserve">. </w:t>
            </w:r>
            <w:r w:rsidR="007220A9" w:rsidRPr="00E13E08">
              <w:t>Insurers also note t</w:t>
            </w:r>
            <w:r w:rsidR="00BF3EF5" w:rsidRPr="00E13E08">
              <w:t xml:space="preserve">he </w:t>
            </w:r>
            <w:r w:rsidR="00346F3E" w:rsidRPr="00E13E08">
              <w:t>cost of some GUI</w:t>
            </w:r>
            <w:r w:rsidR="000E1370" w:rsidRPr="00E13E08">
              <w:t xml:space="preserve"> u</w:t>
            </w:r>
            <w:r w:rsidR="007220A9" w:rsidRPr="00E13E08">
              <w:t>s</w:t>
            </w:r>
            <w:r w:rsidR="000E1370" w:rsidRPr="00E13E08">
              <w:t>e has</w:t>
            </w:r>
            <w:r w:rsidR="00346F3E" w:rsidRPr="00E13E08">
              <w:t xml:space="preserve"> doubl</w:t>
            </w:r>
            <w:r w:rsidR="007220A9" w:rsidRPr="00E13E08">
              <w:t>ed</w:t>
            </w:r>
            <w:r w:rsidR="00346F3E" w:rsidRPr="00E13E08">
              <w:t xml:space="preserve"> over a five-year </w:t>
            </w:r>
            <w:r w:rsidR="001D1624" w:rsidRPr="00E13E08">
              <w:t>period</w:t>
            </w:r>
            <w:r w:rsidR="00920A99">
              <w:rPr>
                <w:rStyle w:val="CommentReference"/>
              </w:rPr>
              <w:t>.</w:t>
            </w:r>
            <w:r w:rsidR="001D1624" w:rsidRPr="00E13E08">
              <w:t xml:space="preserve"> For</w:t>
            </w:r>
            <w:r w:rsidR="000E1370" w:rsidRPr="00E13E08">
              <w:t xml:space="preserve"> example, internal adhesives, including skin glues and matrix products, rose from $27.2 million in 2014 to $73.3 million in 2019. There's no evidence that patient outcomes improved during this time</w:t>
            </w:r>
            <w:r w:rsidR="005326CE" w:rsidRPr="00E13E08">
              <w:t>.</w:t>
            </w:r>
          </w:p>
          <w:p w14:paraId="34F34A11" w14:textId="0BD87F15" w:rsidR="0032064A" w:rsidRPr="00833444" w:rsidRDefault="00C5504E" w:rsidP="00E13E08">
            <w:pPr>
              <w:cnfStyle w:val="000000010000" w:firstRow="0" w:lastRow="0" w:firstColumn="0" w:lastColumn="0" w:oddVBand="0" w:evenVBand="0" w:oddHBand="0" w:evenHBand="1" w:firstRowFirstColumn="0" w:firstRowLastColumn="0" w:lastRowFirstColumn="0" w:lastRowLastColumn="0"/>
            </w:pPr>
            <w:r>
              <w:t>T</w:t>
            </w:r>
            <w:r w:rsidR="004237F0">
              <w:t>here is</w:t>
            </w:r>
            <w:r w:rsidR="00C33D83" w:rsidRPr="00833444">
              <w:t xml:space="preserve"> also a</w:t>
            </w:r>
            <w:r w:rsidR="0032064A" w:rsidRPr="00833444">
              <w:t xml:space="preserve"> claim that </w:t>
            </w:r>
            <w:r w:rsidR="001E2CC2" w:rsidRPr="00833444">
              <w:t xml:space="preserve">utilisation </w:t>
            </w:r>
            <w:r w:rsidR="00FD6F51" w:rsidRPr="00833444">
              <w:t xml:space="preserve">for </w:t>
            </w:r>
            <w:r w:rsidR="007B3623" w:rsidRPr="00833444">
              <w:t>GUI</w:t>
            </w:r>
            <w:r w:rsidR="00704526">
              <w:t>s</w:t>
            </w:r>
            <w:r w:rsidR="0032064A" w:rsidRPr="00833444">
              <w:t xml:space="preserve"> that are not implantable or cannot be seen on an </w:t>
            </w:r>
            <w:r w:rsidR="00920A99">
              <w:t>x</w:t>
            </w:r>
            <w:r w:rsidR="0032064A" w:rsidRPr="00833444">
              <w:t xml:space="preserve">-ray have increased over the last decade. </w:t>
            </w:r>
            <w:r w:rsidR="004237F0">
              <w:t>This increase</w:t>
            </w:r>
            <w:r w:rsidR="0032064A" w:rsidRPr="00833444">
              <w:t xml:space="preserve"> does not match the </w:t>
            </w:r>
            <w:r w:rsidR="00DD0537" w:rsidRPr="00833444">
              <w:t xml:space="preserve">growth in </w:t>
            </w:r>
            <w:r w:rsidR="0032064A" w:rsidRPr="00833444">
              <w:t>surgery rates.</w:t>
            </w:r>
            <w:r w:rsidR="00CD3734" w:rsidRPr="00E13E08">
              <w:t xml:space="preserve"> A</w:t>
            </w:r>
            <w:r w:rsidR="00962582" w:rsidRPr="00E13E08">
              <w:t xml:space="preserve"> separate claim is</w:t>
            </w:r>
            <w:r w:rsidR="00CD3734" w:rsidRPr="00E13E08">
              <w:t xml:space="preserve"> that GUI </w:t>
            </w:r>
            <w:r w:rsidR="00704526" w:rsidRPr="00E13E08">
              <w:t xml:space="preserve">that can be used for several purposes, come in various forms, and don't have clear or detailed records of how they're used, </w:t>
            </w:r>
            <w:r w:rsidR="00CD3734" w:rsidRPr="00E13E08">
              <w:t>are more likely to be overused and wasted</w:t>
            </w:r>
            <w:r w:rsidR="00704526" w:rsidRPr="00E13E08">
              <w:t>.</w:t>
            </w:r>
          </w:p>
          <w:p w14:paraId="63D2ECD8" w14:textId="29F60C98" w:rsidR="000D01F4" w:rsidRPr="00FF092E" w:rsidRDefault="000D01F4" w:rsidP="00E13E08">
            <w:pPr>
              <w:cnfStyle w:val="000000010000" w:firstRow="0" w:lastRow="0" w:firstColumn="0" w:lastColumn="0" w:oddVBand="0" w:evenVBand="0" w:oddHBand="0" w:evenHBand="1" w:firstRowFirstColumn="0" w:firstRowLastColumn="0" w:lastRowFirstColumn="0" w:lastRowLastColumn="0"/>
            </w:pPr>
            <w:r>
              <w:t xml:space="preserve">Neither </w:t>
            </w:r>
            <w:r w:rsidRPr="00FF092E">
              <w:t>sponsors</w:t>
            </w:r>
            <w:r>
              <w:t xml:space="preserve"> nor</w:t>
            </w:r>
            <w:r w:rsidRPr="00FF092E">
              <w:t xml:space="preserve"> hospital </w:t>
            </w:r>
            <w:r w:rsidRPr="009B0285">
              <w:t>groups identified subcategories of GUI</w:t>
            </w:r>
            <w:r>
              <w:t>s</w:t>
            </w:r>
            <w:r w:rsidRPr="009B0285">
              <w:t xml:space="preserve"> </w:t>
            </w:r>
            <w:r>
              <w:t xml:space="preserve">as having </w:t>
            </w:r>
            <w:r w:rsidRPr="009B0285">
              <w:t>concerning growth in u</w:t>
            </w:r>
            <w:r>
              <w:t>tilisation. They both</w:t>
            </w:r>
            <w:r w:rsidRPr="00FF092E">
              <w:t xml:space="preserve"> argue that changes in clinical practices and adoption of new technology that improve patient outcomes are generally the drivers of growth in utilisation</w:t>
            </w:r>
            <w:r>
              <w:t>. There was a claim that w</w:t>
            </w:r>
            <w:r w:rsidRPr="00CD3734">
              <w:t>hile the Australian Prudential Regulation Authority</w:t>
            </w:r>
            <w:r w:rsidR="00192A3B">
              <w:t xml:space="preserve"> (APRA)</w:t>
            </w:r>
            <w:r w:rsidRPr="00CD3734">
              <w:t xml:space="preserve"> data shows an increase in </w:t>
            </w:r>
            <w:r>
              <w:t>GUI utilisation</w:t>
            </w:r>
            <w:r w:rsidRPr="00CD3734">
              <w:t xml:space="preserve"> per episode of care, the overall amount paid in benefits for these items by </w:t>
            </w:r>
            <w:r>
              <w:t>i</w:t>
            </w:r>
            <w:r w:rsidRPr="00CD3734">
              <w:t>nsurers has fallen 17.8% since 2017</w:t>
            </w:r>
            <w:r>
              <w:t xml:space="preserve">. Sponsors also noted that </w:t>
            </w:r>
            <w:hyperlink r:id="rId21" w:history="1">
              <w:r w:rsidRPr="004329FF">
                <w:rPr>
                  <w:rStyle w:val="Hyperlink"/>
                </w:rPr>
                <w:t>IHACPA's report of December 2022</w:t>
              </w:r>
            </w:hyperlink>
            <w:r w:rsidRPr="00C33D51">
              <w:t xml:space="preserve"> show</w:t>
            </w:r>
            <w:r>
              <w:t>ed</w:t>
            </w:r>
            <w:r w:rsidRPr="00C33D51">
              <w:t xml:space="preserve"> that for </w:t>
            </w:r>
            <w:r>
              <w:t>s</w:t>
            </w:r>
            <w:r w:rsidRPr="00C33D51">
              <w:t xml:space="preserve">taples </w:t>
            </w:r>
            <w:r>
              <w:t>&amp;</w:t>
            </w:r>
            <w:r w:rsidRPr="00C33D51">
              <w:t xml:space="preserve"> </w:t>
            </w:r>
            <w:r>
              <w:t>t</w:t>
            </w:r>
            <w:r w:rsidRPr="00C33D51">
              <w:t xml:space="preserve">ackers, benefits per episode increased by </w:t>
            </w:r>
            <w:r>
              <w:t>~</w:t>
            </w:r>
            <w:r w:rsidRPr="00C33D51">
              <w:t xml:space="preserve">1.5% annually, benefits per item by </w:t>
            </w:r>
            <w:r>
              <w:t>~</w:t>
            </w:r>
            <w:r w:rsidRPr="00C33D51">
              <w:t xml:space="preserve">0.5%, and items per episode by </w:t>
            </w:r>
            <w:r>
              <w:t>~</w:t>
            </w:r>
            <w:r w:rsidRPr="00C33D51">
              <w:t>0.9%</w:t>
            </w:r>
            <w:r>
              <w:t xml:space="preserve"> </w:t>
            </w:r>
            <w:r w:rsidRPr="00312BEF">
              <w:t>over a four-year period</w:t>
            </w:r>
            <w:r>
              <w:t>.</w:t>
            </w:r>
            <w:r w:rsidRPr="00312BEF">
              <w:t xml:space="preserve"> </w:t>
            </w:r>
            <w:r>
              <w:t>In their view, t</w:t>
            </w:r>
            <w:r w:rsidRPr="00C33D51">
              <w:t xml:space="preserve">his </w:t>
            </w:r>
            <w:r>
              <w:t xml:space="preserve">data </w:t>
            </w:r>
            <w:r w:rsidRPr="00C33D51">
              <w:t>suggests concerns about increasing use are unfounded</w:t>
            </w:r>
            <w:r>
              <w:t xml:space="preserve">. Both sponsors and hospitals </w:t>
            </w:r>
            <w:r w:rsidRPr="00FF092E">
              <w:t xml:space="preserve">agree that any increase in utilisation </w:t>
            </w:r>
            <w:r>
              <w:t xml:space="preserve">and </w:t>
            </w:r>
            <w:r w:rsidRPr="00FF092E">
              <w:t xml:space="preserve">expenditure should be clinically warranted. </w:t>
            </w:r>
            <w:r>
              <w:t xml:space="preserve">They </w:t>
            </w:r>
            <w:r w:rsidRPr="00FF092E">
              <w:t>indicated their willingness to work with the department to address instances where this is not the case.</w:t>
            </w:r>
          </w:p>
          <w:p w14:paraId="40315988" w14:textId="183ED6E9" w:rsidR="00704526" w:rsidRPr="00C67AE7" w:rsidRDefault="00DE5F39" w:rsidP="00E13E08">
            <w:pPr>
              <w:cnfStyle w:val="000000010000" w:firstRow="0" w:lastRow="0" w:firstColumn="0" w:lastColumn="0" w:oddVBand="0" w:evenVBand="0" w:oddHBand="0" w:evenHBand="1" w:firstRowFirstColumn="0" w:firstRowLastColumn="0" w:lastRowFirstColumn="0" w:lastRowLastColumn="0"/>
            </w:pPr>
            <w:bookmarkStart w:id="5" w:name="_Hlk195522179"/>
            <w:r>
              <w:lastRenderedPageBreak/>
              <w:t xml:space="preserve">A </w:t>
            </w:r>
            <w:r w:rsidR="005326CE">
              <w:t>h</w:t>
            </w:r>
            <w:r>
              <w:t xml:space="preserve">ospital group noted that </w:t>
            </w:r>
            <w:hyperlink r:id="rId22" w:history="1">
              <w:r w:rsidRPr="005326CE">
                <w:rPr>
                  <w:rStyle w:val="Hyperlink"/>
                </w:rPr>
                <w:t>data</w:t>
              </w:r>
            </w:hyperlink>
            <w:r>
              <w:t xml:space="preserve"> </w:t>
            </w:r>
            <w:r w:rsidR="005326CE">
              <w:t xml:space="preserve">previously </w:t>
            </w:r>
            <w:r>
              <w:t xml:space="preserve">released by </w:t>
            </w:r>
            <w:r w:rsidR="005326CE" w:rsidRPr="005326CE">
              <w:t>the department</w:t>
            </w:r>
            <w:r w:rsidRPr="000E58D9">
              <w:t xml:space="preserve"> </w:t>
            </w:r>
            <w:r w:rsidRPr="00E64CA5">
              <w:t>show</w:t>
            </w:r>
            <w:r>
              <w:t>ed</w:t>
            </w:r>
            <w:r w:rsidRPr="00E64CA5">
              <w:t xml:space="preserve"> a downward trend </w:t>
            </w:r>
            <w:r w:rsidRPr="00CE34C6">
              <w:t>in both GUI u</w:t>
            </w:r>
            <w:r w:rsidR="005326CE">
              <w:t>tilisation</w:t>
            </w:r>
            <w:r w:rsidRPr="00CE34C6">
              <w:t xml:space="preserve"> </w:t>
            </w:r>
            <w:r w:rsidRPr="00E13E08">
              <w:t>and benefit paid p</w:t>
            </w:r>
            <w:r w:rsidRPr="00E64CA5">
              <w:t xml:space="preserve">er </w:t>
            </w:r>
            <w:r w:rsidR="008A7561" w:rsidRPr="00CD3734">
              <w:t>episode of care</w:t>
            </w:r>
            <w:r>
              <w:t>.</w:t>
            </w:r>
            <w:bookmarkEnd w:id="5"/>
            <w:r w:rsidR="005326CE">
              <w:t xml:space="preserve"> </w:t>
            </w:r>
            <w:r w:rsidR="000E58D9">
              <w:t>For instance,</w:t>
            </w:r>
            <w:r w:rsidR="00704526" w:rsidRPr="00E64CA5">
              <w:t xml:space="preserve"> </w:t>
            </w:r>
            <w:r w:rsidR="000E58D9">
              <w:t>f</w:t>
            </w:r>
            <w:r w:rsidR="000E58D9" w:rsidRPr="00E64CA5">
              <w:t>rom 2019 to 2022, GUI u</w:t>
            </w:r>
            <w:r w:rsidR="000E58D9">
              <w:t xml:space="preserve">tilisation </w:t>
            </w:r>
            <w:r w:rsidR="000E58D9" w:rsidRPr="00E64CA5">
              <w:t xml:space="preserve">per </w:t>
            </w:r>
            <w:r w:rsidR="008A7561" w:rsidRPr="00CD3734">
              <w:t>episode of care</w:t>
            </w:r>
            <w:r w:rsidR="000E58D9" w:rsidRPr="00E64CA5">
              <w:t xml:space="preserve"> decreased from 2.90 to 2.64, and the benefit paid per </w:t>
            </w:r>
            <w:r w:rsidR="008A7561" w:rsidRPr="00CD3734">
              <w:t>episode of care</w:t>
            </w:r>
            <w:r w:rsidR="000E58D9" w:rsidRPr="00E64CA5">
              <w:t xml:space="preserve"> dropped from $635.58 to $557.77.</w:t>
            </w:r>
            <w:r w:rsidR="000E58D9">
              <w:t xml:space="preserve"> These figures </w:t>
            </w:r>
            <w:r w:rsidR="00704526" w:rsidRPr="00E64CA5">
              <w:t>contradict claims of increased utilisation and wastage.</w:t>
            </w:r>
          </w:p>
          <w:p w14:paraId="3D078BB4" w14:textId="601D6416" w:rsidR="00540364" w:rsidRPr="00FF092E" w:rsidRDefault="00F903E2" w:rsidP="00E13E08">
            <w:pPr>
              <w:cnfStyle w:val="000000010000" w:firstRow="0" w:lastRow="0" w:firstColumn="0" w:lastColumn="0" w:oddVBand="0" w:evenVBand="0" w:oddHBand="0" w:evenHBand="1" w:firstRowFirstColumn="0" w:firstRowLastColumn="0" w:lastRowFirstColumn="0" w:lastRowLastColumn="0"/>
            </w:pPr>
            <w:r>
              <w:t>Additionally, s</w:t>
            </w:r>
            <w:r w:rsidR="003415A6" w:rsidRPr="00411BE8">
              <w:t xml:space="preserve">ome stakeholders </w:t>
            </w:r>
            <w:r w:rsidR="00584B5A" w:rsidRPr="00411BE8">
              <w:t>highlight</w:t>
            </w:r>
            <w:r w:rsidR="00CA03CA" w:rsidRPr="00411BE8">
              <w:t>ed</w:t>
            </w:r>
            <w:r w:rsidR="003415A6" w:rsidRPr="00411BE8">
              <w:t xml:space="preserve"> the</w:t>
            </w:r>
            <w:r>
              <w:t>y</w:t>
            </w:r>
            <w:r w:rsidR="00CA03CA" w:rsidRPr="00411BE8">
              <w:t xml:space="preserve"> </w:t>
            </w:r>
            <w:r w:rsidR="003415A6" w:rsidRPr="00411BE8">
              <w:t>lack</w:t>
            </w:r>
            <w:r w:rsidR="00584B5A" w:rsidRPr="00411BE8">
              <w:t xml:space="preserve"> </w:t>
            </w:r>
            <w:r w:rsidR="003415A6" w:rsidRPr="00411BE8">
              <w:t>data and/or expertise to be able to assess chang</w:t>
            </w:r>
            <w:r w:rsidR="003415A6" w:rsidRPr="00FF092E">
              <w:t>es in GUI utilisation patterns by sub-category</w:t>
            </w:r>
            <w:r w:rsidR="00584B5A" w:rsidRPr="00FF092E">
              <w:t xml:space="preserve"> and provide meaningful </w:t>
            </w:r>
            <w:r w:rsidR="0038787C" w:rsidRPr="00FF092E">
              <w:t>insights</w:t>
            </w:r>
            <w:r w:rsidR="00584B5A" w:rsidRPr="00FF092E">
              <w:t>.</w:t>
            </w:r>
          </w:p>
        </w:tc>
      </w:tr>
      <w:tr w:rsidR="005335A9" w:rsidRPr="005B46B2" w14:paraId="25EAD7C5" w14:textId="77777777" w:rsidTr="006D72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86" w:type="dxa"/>
          </w:tcPr>
          <w:p w14:paraId="591E639D" w14:textId="55C73BED" w:rsidR="005335A9" w:rsidRPr="005335A9" w:rsidDel="0046747D" w:rsidRDefault="005335A9" w:rsidP="00E13E08">
            <w:pPr>
              <w:pStyle w:val="ListNumber"/>
            </w:pPr>
            <w:r w:rsidRPr="00E45B75">
              <w:lastRenderedPageBreak/>
              <w:t>Are there specific types of procedures/episodes of care that represent higher growth in utilisation based on standard of care/clinical practices?</w:t>
            </w:r>
          </w:p>
        </w:tc>
        <w:tc>
          <w:tcPr>
            <w:tcW w:w="8992" w:type="dxa"/>
          </w:tcPr>
          <w:p w14:paraId="042C19C9" w14:textId="77777777" w:rsidR="005335A9" w:rsidRPr="00C67AE7" w:rsidRDefault="005335A9" w:rsidP="00E13E08">
            <w:pPr>
              <w:cnfStyle w:val="000000100000" w:firstRow="0" w:lastRow="0" w:firstColumn="0" w:lastColumn="0" w:oddVBand="0" w:evenVBand="0" w:oddHBand="1" w:evenHBand="0" w:firstRowFirstColumn="0" w:firstRowLastColumn="0" w:lastRowFirstColumn="0" w:lastRowLastColumn="0"/>
            </w:pPr>
            <w:r w:rsidRPr="00C67AE7">
              <w:t>Stakeholders provided examples of procedures for which growth in utilisation was a result of changes in clinical practice:</w:t>
            </w:r>
          </w:p>
          <w:p w14:paraId="2AE5EC98" w14:textId="3B348DFA" w:rsidR="005335A9" w:rsidRPr="00C67AE7" w:rsidRDefault="00755B01" w:rsidP="00E13E08">
            <w:pPr>
              <w:pStyle w:val="ListBullet"/>
              <w:cnfStyle w:val="000000100000" w:firstRow="0" w:lastRow="0" w:firstColumn="0" w:lastColumn="0" w:oddVBand="0" w:evenVBand="0" w:oddHBand="1" w:evenHBand="0" w:firstRowFirstColumn="0" w:firstRowLastColumn="0" w:lastRowFirstColumn="0" w:lastRowLastColumn="0"/>
            </w:pPr>
            <w:r>
              <w:t>t</w:t>
            </w:r>
            <w:r w:rsidR="00744A6C">
              <w:t xml:space="preserve">he </w:t>
            </w:r>
            <w:r>
              <w:t>t</w:t>
            </w:r>
            <w:r w:rsidR="00744A6C">
              <w:t>rend in</w:t>
            </w:r>
            <w:r w:rsidR="006D0F7B">
              <w:t xml:space="preserve"> </w:t>
            </w:r>
            <w:r w:rsidR="005335A9" w:rsidRPr="00C67AE7">
              <w:t>bariatric procedures shifting to sleeve gastrectomy</w:t>
            </w:r>
            <w:r w:rsidR="006D0F7B">
              <w:t>,</w:t>
            </w:r>
            <w:r w:rsidR="003C3A49">
              <w:t xml:space="preserve"> which is now the </w:t>
            </w:r>
            <w:r w:rsidR="00421741">
              <w:t>standard</w:t>
            </w:r>
            <w:r w:rsidR="003C3A49">
              <w:t xml:space="preserve"> of care</w:t>
            </w:r>
            <w:r w:rsidR="006D0F7B">
              <w:t>,</w:t>
            </w:r>
            <w:r w:rsidR="00744A6C">
              <w:t xml:space="preserve"> meant a switch from </w:t>
            </w:r>
            <w:r w:rsidR="003C3A49">
              <w:t>gastric bands to staples, haemostats and sealants</w:t>
            </w:r>
            <w:r>
              <w:t>, increasing their utilisation</w:t>
            </w:r>
          </w:p>
          <w:p w14:paraId="51B23C03" w14:textId="78D8D87B" w:rsidR="005335A9" w:rsidRPr="00C67AE7" w:rsidRDefault="005335A9" w:rsidP="00E13E08">
            <w:pPr>
              <w:pStyle w:val="ListBullet"/>
              <w:cnfStyle w:val="000000100000" w:firstRow="0" w:lastRow="0" w:firstColumn="0" w:lastColumn="0" w:oddVBand="0" w:evenVBand="0" w:oddHBand="1" w:evenHBand="0" w:firstRowFirstColumn="0" w:firstRowLastColumn="0" w:lastRowFirstColumn="0" w:lastRowLastColumn="0"/>
            </w:pPr>
            <w:r w:rsidRPr="00C67AE7">
              <w:t xml:space="preserve">colorectal surgery </w:t>
            </w:r>
            <w:r w:rsidR="002A5D24">
              <w:t xml:space="preserve">clinical guidelines </w:t>
            </w:r>
            <w:r w:rsidR="0003768A">
              <w:t>support</w:t>
            </w:r>
            <w:r w:rsidRPr="00C67AE7">
              <w:t xml:space="preserve"> laparoscopic </w:t>
            </w:r>
            <w:r w:rsidR="002A5D24">
              <w:t>colo</w:t>
            </w:r>
            <w:r w:rsidR="001F5B38">
              <w:t>rectal resections due to better patient outcomes.</w:t>
            </w:r>
            <w:r w:rsidR="000E1370">
              <w:t xml:space="preserve"> </w:t>
            </w:r>
            <w:r w:rsidR="0003768A">
              <w:t>This has resulted in</w:t>
            </w:r>
            <w:r w:rsidR="000E1370">
              <w:t xml:space="preserve"> increased use </w:t>
            </w:r>
            <w:r w:rsidR="00F724C8">
              <w:t>of</w:t>
            </w:r>
            <w:r w:rsidR="000E1370">
              <w:t xml:space="preserve"> </w:t>
            </w:r>
            <w:r w:rsidR="000E1370" w:rsidRPr="000E1370">
              <w:t>cannula</w:t>
            </w:r>
            <w:r w:rsidR="0003768A">
              <w:t xml:space="preserve"> </w:t>
            </w:r>
            <w:r w:rsidR="000E1370" w:rsidRPr="000E1370">
              <w:t>tubes, special surgical tools and staples and sutures</w:t>
            </w:r>
          </w:p>
          <w:p w14:paraId="3DB53327" w14:textId="0E2797B3" w:rsidR="005335A9" w:rsidRPr="00C67AE7" w:rsidRDefault="005335A9" w:rsidP="00E13E08">
            <w:pPr>
              <w:pStyle w:val="ListBullet"/>
              <w:cnfStyle w:val="000000100000" w:firstRow="0" w:lastRow="0" w:firstColumn="0" w:lastColumn="0" w:oddVBand="0" w:evenVBand="0" w:oddHBand="1" w:evenHBand="0" w:firstRowFirstColumn="0" w:firstRowLastColumn="0" w:lastRowFirstColumn="0" w:lastRowLastColumn="0"/>
            </w:pPr>
            <w:r w:rsidRPr="00C67AE7">
              <w:t xml:space="preserve">the </w:t>
            </w:r>
            <w:r w:rsidR="00192A3B">
              <w:t>E</w:t>
            </w:r>
            <w:r w:rsidRPr="00C67AE7">
              <w:t>nhanced Recovery After Surgery (ERAS) protocols, which aim to improve surgical outcomes and speed up recovery</w:t>
            </w:r>
            <w:r w:rsidR="0003768A">
              <w:t>,</w:t>
            </w:r>
            <w:r w:rsidR="006D3FEA">
              <w:t xml:space="preserve"> have led</w:t>
            </w:r>
            <w:r w:rsidRPr="00C67AE7">
              <w:t xml:space="preserve"> to higher utilisation of </w:t>
            </w:r>
            <w:r w:rsidR="00704526">
              <w:t>staples &amp; tackers</w:t>
            </w:r>
          </w:p>
          <w:p w14:paraId="6B7846DE" w14:textId="2D7CACD8" w:rsidR="005335A9" w:rsidRDefault="005335A9" w:rsidP="00E13E08">
            <w:pPr>
              <w:pStyle w:val="ListBullet"/>
              <w:cnfStyle w:val="000000100000" w:firstRow="0" w:lastRow="0" w:firstColumn="0" w:lastColumn="0" w:oddVBand="0" w:evenVBand="0" w:oddHBand="1" w:evenHBand="0" w:firstRowFirstColumn="0" w:firstRowLastColumn="0" w:lastRowFirstColumn="0" w:lastRowLastColumn="0"/>
            </w:pPr>
            <w:r w:rsidRPr="00C67AE7">
              <w:t xml:space="preserve">the </w:t>
            </w:r>
            <w:r w:rsidR="00192A3B">
              <w:t xml:space="preserve">National </w:t>
            </w:r>
            <w:r w:rsidRPr="00C67AE7">
              <w:t xml:space="preserve">Bowel Screening </w:t>
            </w:r>
            <w:r w:rsidR="00896F5D">
              <w:t>P</w:t>
            </w:r>
            <w:r w:rsidRPr="00C67AE7">
              <w:t>rogram</w:t>
            </w:r>
            <w:r w:rsidR="00896F5D">
              <w:t>, which</w:t>
            </w:r>
            <w:r w:rsidRPr="00C67AE7">
              <w:t xml:space="preserve"> ha</w:t>
            </w:r>
            <w:r w:rsidR="00896F5D">
              <w:t>s</w:t>
            </w:r>
            <w:r w:rsidRPr="00C67AE7">
              <w:t xml:space="preserve"> increased diagnostic procedures, patient complexity and new surgical techniques </w:t>
            </w:r>
            <w:r w:rsidR="00704526">
              <w:t>has</w:t>
            </w:r>
            <w:r w:rsidRPr="00C67AE7">
              <w:t xml:space="preserve"> contribute</w:t>
            </w:r>
            <w:r w:rsidR="00704526">
              <w:t>d</w:t>
            </w:r>
            <w:r w:rsidRPr="00C67AE7">
              <w:t xml:space="preserve"> to increased GUI u</w:t>
            </w:r>
            <w:r w:rsidR="00147550">
              <w:t>tilisation</w:t>
            </w:r>
          </w:p>
          <w:p w14:paraId="0D2BF1B9" w14:textId="0CDE4945" w:rsidR="00704526" w:rsidRDefault="00704526" w:rsidP="00E13E08">
            <w:pPr>
              <w:pStyle w:val="ListBullet"/>
              <w:cnfStyle w:val="000000100000" w:firstRow="0" w:lastRow="0" w:firstColumn="0" w:lastColumn="0" w:oddVBand="0" w:evenVBand="0" w:oddHBand="1" w:evenHBand="0" w:firstRowFirstColumn="0" w:firstRowLastColumn="0" w:lastRowFirstColumn="0" w:lastRowLastColumn="0"/>
            </w:pPr>
            <w:r>
              <w:t>g</w:t>
            </w:r>
            <w:r w:rsidRPr="00704526">
              <w:t>astroenterology</w:t>
            </w:r>
            <w:r w:rsidR="0003768A">
              <w:t xml:space="preserve"> </w:t>
            </w:r>
            <w:r w:rsidRPr="00704526">
              <w:t>uses a significant number of GUIs, such as haemostatic clips during polyp removal procedures</w:t>
            </w:r>
          </w:p>
          <w:p w14:paraId="6B889EBD" w14:textId="65976843" w:rsidR="00704526" w:rsidRDefault="00704526" w:rsidP="00E13E08">
            <w:pPr>
              <w:pStyle w:val="ListBullet"/>
              <w:cnfStyle w:val="000000100000" w:firstRow="0" w:lastRow="0" w:firstColumn="0" w:lastColumn="0" w:oddVBand="0" w:evenVBand="0" w:oddHBand="1" w:evenHBand="0" w:firstRowFirstColumn="0" w:firstRowLastColumn="0" w:lastRowFirstColumn="0" w:lastRowLastColumn="0"/>
            </w:pPr>
            <w:r w:rsidRPr="00704526">
              <w:t>insurers implement</w:t>
            </w:r>
            <w:r w:rsidR="006D3FEA">
              <w:t>ation of</w:t>
            </w:r>
            <w:r w:rsidRPr="00704526">
              <w:t xml:space="preserve"> penalties for adverse events and re-admissions</w:t>
            </w:r>
            <w:r w:rsidR="006D3FEA">
              <w:t xml:space="preserve"> led to an increase in use of </w:t>
            </w:r>
            <w:r w:rsidRPr="00704526">
              <w:t>haemostats and sealants</w:t>
            </w:r>
          </w:p>
          <w:p w14:paraId="5FE4860D" w14:textId="01EF5A04" w:rsidR="006D3FEA" w:rsidRPr="00C67AE7" w:rsidRDefault="006D3FEA" w:rsidP="00E13E08">
            <w:pPr>
              <w:pStyle w:val="ListBullet"/>
              <w:cnfStyle w:val="000000100000" w:firstRow="0" w:lastRow="0" w:firstColumn="0" w:lastColumn="0" w:oddVBand="0" w:evenVBand="0" w:oddHBand="1" w:evenHBand="0" w:firstRowFirstColumn="0" w:firstRowLastColumn="0" w:lastRowFirstColumn="0" w:lastRowLastColumn="0"/>
            </w:pPr>
            <w:r>
              <w:lastRenderedPageBreak/>
              <w:t>t</w:t>
            </w:r>
            <w:r w:rsidRPr="00704526">
              <w:t>he COVID-19 pandemic w</w:t>
            </w:r>
            <w:r>
              <w:t xml:space="preserve">as </w:t>
            </w:r>
            <w:r w:rsidRPr="00704526">
              <w:t>recognised as a source of irregular changes in utilisation patterns through surgery delays and workforce changes</w:t>
            </w:r>
          </w:p>
          <w:p w14:paraId="41FD8BE1" w14:textId="7629A9DA" w:rsidR="00755B01" w:rsidRDefault="005335A9" w:rsidP="00E13E08">
            <w:pPr>
              <w:cnfStyle w:val="000000100000" w:firstRow="0" w:lastRow="0" w:firstColumn="0" w:lastColumn="0" w:oddVBand="0" w:evenVBand="0" w:oddHBand="1" w:evenHBand="0" w:firstRowFirstColumn="0" w:firstRowLastColumn="0" w:lastRowFirstColumn="0" w:lastRowLastColumn="0"/>
            </w:pPr>
            <w:r w:rsidRPr="00C67AE7">
              <w:t>Some stakeholders noted that other factors besides the relationship between type of procedure and growth in utilisation should be considered. For example: ag</w:t>
            </w:r>
            <w:r w:rsidR="00192A3B">
              <w:t>e</w:t>
            </w:r>
            <w:r w:rsidRPr="00C67AE7">
              <w:t xml:space="preserve">ing population, changing patient complexity, higher incidence of conditions, better diagnostics, technological advancements, shorter surgeries and early discharges. </w:t>
            </w:r>
            <w:r w:rsidR="00147550">
              <w:t>T</w:t>
            </w:r>
            <w:r w:rsidR="00147550" w:rsidRPr="00C67AE7">
              <w:t>he</w:t>
            </w:r>
            <w:r w:rsidR="00147550">
              <w:t>y believe the</w:t>
            </w:r>
            <w:r w:rsidR="00147550" w:rsidRPr="00C67AE7">
              <w:t xml:space="preserve"> current PL settings provide flexibility for optimal patient outcomes </w:t>
            </w:r>
            <w:r w:rsidR="00147550">
              <w:t>a</w:t>
            </w:r>
            <w:r w:rsidRPr="00C67AE7">
              <w:t>s clinical practices evolve</w:t>
            </w:r>
            <w:r w:rsidR="00147550">
              <w:t>.</w:t>
            </w:r>
          </w:p>
          <w:p w14:paraId="7DE06E0D" w14:textId="1C0FC294" w:rsidR="00704526" w:rsidRPr="005335A9" w:rsidRDefault="004152C7" w:rsidP="00E13E08">
            <w:pPr>
              <w:cnfStyle w:val="000000100000" w:firstRow="0" w:lastRow="0" w:firstColumn="0" w:lastColumn="0" w:oddVBand="0" w:evenVBand="0" w:oddHBand="1" w:evenHBand="0" w:firstRowFirstColumn="0" w:firstRowLastColumn="0" w:lastRowFirstColumn="0" w:lastRowLastColumn="0"/>
            </w:pPr>
            <w:r>
              <w:t>Additionally, s</w:t>
            </w:r>
            <w:r w:rsidR="005335A9" w:rsidRPr="00C67AE7">
              <w:t>ome stakeholders highlighted the</w:t>
            </w:r>
            <w:r>
              <w:t>y</w:t>
            </w:r>
            <w:r w:rsidR="005335A9" w:rsidRPr="00C67AE7">
              <w:t xml:space="preserve"> lack data and/or expertise to be able to assess changes in GUI utilisation patterns by type of procedure and provide meaningful insights.</w:t>
            </w:r>
          </w:p>
        </w:tc>
      </w:tr>
      <w:tr w:rsidR="005335A9" w:rsidRPr="005B46B2" w14:paraId="5090F186" w14:textId="77777777" w:rsidTr="006D72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86" w:type="dxa"/>
          </w:tcPr>
          <w:p w14:paraId="0C13C81F" w14:textId="4274C5EC" w:rsidR="005335A9" w:rsidRPr="00E45B75" w:rsidRDefault="005335A9" w:rsidP="00E13E08">
            <w:pPr>
              <w:pStyle w:val="ListNumber"/>
            </w:pPr>
            <w:r w:rsidRPr="001378CA">
              <w:t>If there are concerns that the growth in u</w:t>
            </w:r>
            <w:r w:rsidR="004152C7">
              <w:t>tilisation</w:t>
            </w:r>
            <w:r w:rsidRPr="001378CA">
              <w:t xml:space="preserve"> is not related to clinical need, how is this determined/measured? Who can validate this?</w:t>
            </w:r>
          </w:p>
        </w:tc>
        <w:tc>
          <w:tcPr>
            <w:tcW w:w="8992" w:type="dxa"/>
          </w:tcPr>
          <w:p w14:paraId="15E4B1CF" w14:textId="3AFB1133" w:rsidR="005335A9" w:rsidRPr="009B652B" w:rsidRDefault="005335A9" w:rsidP="00E13E08">
            <w:pPr>
              <w:cnfStyle w:val="000000010000" w:firstRow="0" w:lastRow="0" w:firstColumn="0" w:lastColumn="0" w:oddVBand="0" w:evenVBand="0" w:oddHBand="0" w:evenHBand="1" w:firstRowFirstColumn="0" w:firstRowLastColumn="0" w:lastRowFirstColumn="0" w:lastRowLastColumn="0"/>
            </w:pPr>
            <w:r w:rsidRPr="009B652B">
              <w:t>Data analysis and engagement with clinicians were identified as the main ways to determine/validate growths in u</w:t>
            </w:r>
            <w:r w:rsidR="004152C7">
              <w:t>tilisation</w:t>
            </w:r>
            <w:r w:rsidRPr="009B652B">
              <w:t xml:space="preserve"> not related to clinical need.</w:t>
            </w:r>
          </w:p>
          <w:p w14:paraId="018609CD" w14:textId="331C74E3" w:rsidR="005335A9" w:rsidRPr="009B652B" w:rsidRDefault="005335A9" w:rsidP="00E13E08">
            <w:pPr>
              <w:cnfStyle w:val="000000010000" w:firstRow="0" w:lastRow="0" w:firstColumn="0" w:lastColumn="0" w:oddVBand="0" w:evenVBand="0" w:oddHBand="0" w:evenHBand="1" w:firstRowFirstColumn="0" w:firstRowLastColumn="0" w:lastRowFirstColumn="0" w:lastRowLastColumn="0"/>
            </w:pPr>
            <w:r w:rsidRPr="009B652B">
              <w:t>Growth could be measured by looking at use metrics, clinical outcomes, and costs. And by comparing growth, benchmarking, and looking at international use trends. Organisations like IHACPA, healthcare providers (e.g. clinicians), regulatory bodies, and research institutions could help validate the assumptions and facts.</w:t>
            </w:r>
            <w:r w:rsidR="00BF5963">
              <w:t xml:space="preserve"> </w:t>
            </w:r>
            <w:r w:rsidR="00FD4290">
              <w:t>Another suggestion was</w:t>
            </w:r>
            <w:r w:rsidR="009D1ADC">
              <w:t xml:space="preserve"> to</w:t>
            </w:r>
            <w:r w:rsidR="00FD4290" w:rsidRPr="00FD4290">
              <w:t xml:space="preserve"> p</w:t>
            </w:r>
            <w:r w:rsidR="00FD4290">
              <w:t xml:space="preserve">ublish </w:t>
            </w:r>
            <w:r w:rsidR="00FD4290" w:rsidRPr="00FD4290">
              <w:t xml:space="preserve">volume data by PL billing code, </w:t>
            </w:r>
            <w:proofErr w:type="gramStart"/>
            <w:r w:rsidR="00FD4290" w:rsidRPr="00FD4290">
              <w:t>similar to</w:t>
            </w:r>
            <w:proofErr w:type="gramEnd"/>
            <w:r w:rsidR="00FD4290" w:rsidRPr="00FD4290">
              <w:t xml:space="preserve"> the statistics provided by Services Australia for the MBS and the PBS.</w:t>
            </w:r>
          </w:p>
          <w:p w14:paraId="0E32A869" w14:textId="3A4911D5" w:rsidR="005335A9" w:rsidRPr="009B652B" w:rsidRDefault="005335A9" w:rsidP="00E13E08">
            <w:pPr>
              <w:cnfStyle w:val="000000010000" w:firstRow="0" w:lastRow="0" w:firstColumn="0" w:lastColumn="0" w:oddVBand="0" w:evenVBand="0" w:oddHBand="0" w:evenHBand="1" w:firstRowFirstColumn="0" w:firstRowLastColumn="0" w:lastRowFirstColumn="0" w:lastRowLastColumn="0"/>
            </w:pPr>
            <w:r w:rsidRPr="009B652B">
              <w:t>There was a proposal to establish an independent</w:t>
            </w:r>
            <w:r w:rsidR="00836802">
              <w:t xml:space="preserve"> </w:t>
            </w:r>
            <w:r w:rsidR="00CE3B27">
              <w:t>authority to</w:t>
            </w:r>
            <w:r w:rsidRPr="009B652B">
              <w:t xml:space="preserve"> investigate claims of inappropriate use or wastage. And another proposal to introduce routine monitoring at both the hospital and procedure levels to review the behaviour of sponsors and hospitals.</w:t>
            </w:r>
          </w:p>
          <w:p w14:paraId="48737AB1" w14:textId="409313D6" w:rsidR="005335A9" w:rsidRPr="009B652B" w:rsidRDefault="00836802" w:rsidP="00E13E08">
            <w:pPr>
              <w:cnfStyle w:val="000000010000" w:firstRow="0" w:lastRow="0" w:firstColumn="0" w:lastColumn="0" w:oddVBand="0" w:evenVBand="0" w:oddHBand="0" w:evenHBand="1" w:firstRowFirstColumn="0" w:firstRowLastColumn="0" w:lastRowFirstColumn="0" w:lastRowLastColumn="0"/>
            </w:pPr>
            <w:r>
              <w:t>In terms of engagement, h</w:t>
            </w:r>
            <w:r w:rsidR="005335A9" w:rsidRPr="009B652B">
              <w:t xml:space="preserve">ospitals mentioned that GUI </w:t>
            </w:r>
            <w:r w:rsidR="00965F4A">
              <w:t xml:space="preserve">utilisation </w:t>
            </w:r>
            <w:r w:rsidR="005335A9" w:rsidRPr="009B652B">
              <w:t xml:space="preserve">is a clinician decision, and can vary depending on the practitioner, location, and speciality. </w:t>
            </w:r>
            <w:r w:rsidR="009D1ADC" w:rsidRPr="009B652B">
              <w:t>So,</w:t>
            </w:r>
            <w:r w:rsidR="005335A9" w:rsidRPr="009B652B">
              <w:t xml:space="preserve"> any concerns need to be addressed directly with the clinicians and their representative bodies.</w:t>
            </w:r>
            <w:r>
              <w:t xml:space="preserve"> A few </w:t>
            </w:r>
            <w:r>
              <w:lastRenderedPageBreak/>
              <w:t xml:space="preserve">stakeholders agree that </w:t>
            </w:r>
            <w:r w:rsidRPr="00DB78EA">
              <w:t xml:space="preserve">any review of increased utilisation </w:t>
            </w:r>
            <w:r>
              <w:t>should involve</w:t>
            </w:r>
            <w:r w:rsidRPr="00DB78EA">
              <w:t xml:space="preserve"> clinician</w:t>
            </w:r>
            <w:r>
              <w:t>s, to understand whether utilisation is</w:t>
            </w:r>
            <w:r w:rsidRPr="00DB78EA">
              <w:t xml:space="preserve"> clinically justified.</w:t>
            </w:r>
          </w:p>
          <w:p w14:paraId="6DF0F918" w14:textId="656CD61A" w:rsidR="000B49EC" w:rsidRPr="00C67AE7" w:rsidRDefault="005335A9" w:rsidP="00E13E08">
            <w:pPr>
              <w:cnfStyle w:val="000000010000" w:firstRow="0" w:lastRow="0" w:firstColumn="0" w:lastColumn="0" w:oddVBand="0" w:evenVBand="0" w:oddHBand="0" w:evenHBand="1" w:firstRowFirstColumn="0" w:firstRowLastColumn="0" w:lastRowFirstColumn="0" w:lastRowLastColumn="0"/>
            </w:pPr>
            <w:r w:rsidRPr="009B652B">
              <w:t xml:space="preserve">Insurers note that the EY report is substantial enough to warrant an investigation into whether the use of GUI is always driven by clinical needs. However, other stakeholders argue that this report is outdated </w:t>
            </w:r>
            <w:r w:rsidR="00D33C5D" w:rsidRPr="009B652B">
              <w:t>and, in some cases,</w:t>
            </w:r>
            <w:r w:rsidRPr="009B652B">
              <w:t xml:space="preserve"> unsubstantiated claims of overutilisation.</w:t>
            </w:r>
          </w:p>
        </w:tc>
      </w:tr>
      <w:tr w:rsidR="005335A9" w:rsidRPr="005B46B2" w14:paraId="5FB1341A" w14:textId="77777777" w:rsidTr="006D72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86" w:type="dxa"/>
          </w:tcPr>
          <w:p w14:paraId="34CBEB1A" w14:textId="77777777" w:rsidR="005335A9" w:rsidRPr="00750B70" w:rsidRDefault="005335A9" w:rsidP="00E13E08">
            <w:pPr>
              <w:pStyle w:val="ListNumber"/>
            </w:pPr>
            <w:r w:rsidRPr="00750B70">
              <w:t>What system-based mechanisms are either in place or need to be put in place to address this problem?</w:t>
            </w:r>
          </w:p>
          <w:p w14:paraId="0E07228F" w14:textId="77777777" w:rsidR="005335A9" w:rsidRPr="00750B70" w:rsidRDefault="005335A9" w:rsidP="00E13E08">
            <w:pPr>
              <w:pStyle w:val="ListBullet"/>
            </w:pPr>
            <w:r w:rsidRPr="00750B70">
              <w:t>Would these mechanisms be different if there was a demonstrated clinical need?</w:t>
            </w:r>
          </w:p>
          <w:p w14:paraId="093B2E0D" w14:textId="42C580D2" w:rsidR="005335A9" w:rsidRPr="001378CA" w:rsidRDefault="005335A9" w:rsidP="00E13E08">
            <w:pPr>
              <w:pStyle w:val="ListBullet"/>
            </w:pPr>
            <w:r w:rsidRPr="00750B70">
              <w:t>Would a national index that benchmarks the usage per episode of care (based on the IHACPA bundled benefit work) provide a reasonable measure from which to determine actions to adjust the PL benefits per grouping?</w:t>
            </w:r>
          </w:p>
        </w:tc>
        <w:tc>
          <w:tcPr>
            <w:tcW w:w="8992" w:type="dxa"/>
          </w:tcPr>
          <w:p w14:paraId="12FAE2DB" w14:textId="4DF6ACDE" w:rsidR="003B0F60" w:rsidRDefault="006470A9" w:rsidP="00E13E08">
            <w:pPr>
              <w:cnfStyle w:val="000000100000" w:firstRow="0" w:lastRow="0" w:firstColumn="0" w:lastColumn="0" w:oddVBand="0" w:evenVBand="0" w:oddHBand="1" w:evenHBand="0" w:firstRowFirstColumn="0" w:firstRowLastColumn="0" w:lastRowFirstColumn="0" w:lastRowLastColumn="0"/>
            </w:pPr>
            <w:r>
              <w:t>E</w:t>
            </w:r>
            <w:r w:rsidR="003B0F60">
              <w:t>ducation and data availability were recognised as tools that could help address concerns in this area</w:t>
            </w:r>
            <w:r w:rsidR="00C75243">
              <w:t>.</w:t>
            </w:r>
          </w:p>
          <w:p w14:paraId="1796EBFF" w14:textId="78F77241" w:rsidR="00237276" w:rsidRPr="008149AA" w:rsidRDefault="00171EFB" w:rsidP="00E13E08">
            <w:pPr>
              <w:cnfStyle w:val="000000100000" w:firstRow="0" w:lastRow="0" w:firstColumn="0" w:lastColumn="0" w:oddVBand="0" w:evenVBand="0" w:oddHBand="1" w:evenHBand="0" w:firstRowFirstColumn="0" w:firstRowLastColumn="0" w:lastRowFirstColumn="0" w:lastRowLastColumn="0"/>
            </w:pPr>
            <w:r>
              <w:t>Education could come in the form of d</w:t>
            </w:r>
            <w:r w:rsidR="00237276" w:rsidRPr="008149AA">
              <w:t>eveloping clinical guidelines for GUI use based on best practices.</w:t>
            </w:r>
            <w:r>
              <w:t xml:space="preserve"> And by </w:t>
            </w:r>
            <w:r w:rsidR="00237276" w:rsidRPr="008149AA">
              <w:t>providing ongoing education and training for healthcare providers on GUI u</w:t>
            </w:r>
            <w:r>
              <w:t>tilisation.</w:t>
            </w:r>
          </w:p>
          <w:p w14:paraId="53CAB25E" w14:textId="4D801F84" w:rsidR="00237276" w:rsidRPr="008149AA" w:rsidRDefault="006470A9" w:rsidP="00E13E08">
            <w:pPr>
              <w:cnfStyle w:val="000000100000" w:firstRow="0" w:lastRow="0" w:firstColumn="0" w:lastColumn="0" w:oddVBand="0" w:evenVBand="0" w:oddHBand="1" w:evenHBand="0" w:firstRowFirstColumn="0" w:firstRowLastColumn="0" w:lastRowFirstColumn="0" w:lastRowLastColumn="0"/>
            </w:pPr>
            <w:r>
              <w:t>In terms of data availability, m</w:t>
            </w:r>
            <w:r w:rsidR="00237276" w:rsidRPr="008149AA">
              <w:t>ost stakeholders agree that increasing data transparency would benefit all stakeholders</w:t>
            </w:r>
            <w:r w:rsidR="00171EFB">
              <w:t xml:space="preserve">, as current data is not sufficient or available. </w:t>
            </w:r>
            <w:r w:rsidR="00237276" w:rsidRPr="008149AA">
              <w:t>For instance, currently, HCP data is not shared, and APRA data is difficult to interpret because of historical issues with the 'Other' category. Stakeholders also suggest that data could be made available to hospitals and clinicians to improve education and behaviour</w:t>
            </w:r>
            <w:r>
              <w:t xml:space="preserve">. </w:t>
            </w:r>
            <w:r w:rsidR="00237276" w:rsidRPr="008149AA">
              <w:t>There was a suggestion to publish average GUI u</w:t>
            </w:r>
            <w:r w:rsidR="00BA6E51">
              <w:t>tilisation data</w:t>
            </w:r>
            <w:r w:rsidR="00237276" w:rsidRPr="008149AA">
              <w:t xml:space="preserve"> by episode type, jurisdiction, hospital type, and specialty. This would help identify and discuss above-average use</w:t>
            </w:r>
            <w:r w:rsidR="00755B01">
              <w:t xml:space="preserve"> with </w:t>
            </w:r>
            <w:r w:rsidR="001D1624">
              <w:t>clinicians and</w:t>
            </w:r>
            <w:r>
              <w:t xml:space="preserve"> </w:t>
            </w:r>
            <w:r w:rsidR="00237276" w:rsidRPr="008149AA">
              <w:t>could encourage behavioural change without pressure.</w:t>
            </w:r>
          </w:p>
          <w:p w14:paraId="22299B43" w14:textId="7C7D6E56" w:rsidR="00237276" w:rsidRPr="008149AA" w:rsidRDefault="005F2761" w:rsidP="00E13E08">
            <w:pPr>
              <w:cnfStyle w:val="000000100000" w:firstRow="0" w:lastRow="0" w:firstColumn="0" w:lastColumn="0" w:oddVBand="0" w:evenVBand="0" w:oddHBand="1" w:evenHBand="0" w:firstRowFirstColumn="0" w:firstRowLastColumn="0" w:lastRowFirstColumn="0" w:lastRowLastColumn="0"/>
            </w:pPr>
            <w:r>
              <w:t xml:space="preserve">Other </w:t>
            </w:r>
            <w:r w:rsidR="00237276" w:rsidRPr="008149AA">
              <w:t>system-based mechanisms</w:t>
            </w:r>
            <w:r>
              <w:t xml:space="preserve"> suggested included</w:t>
            </w:r>
            <w:r w:rsidR="00237276" w:rsidRPr="008149AA">
              <w:t>:</w:t>
            </w:r>
          </w:p>
          <w:p w14:paraId="31362E62" w14:textId="390ECB44" w:rsidR="00237276" w:rsidRPr="008149AA" w:rsidRDefault="00237276" w:rsidP="00E13E08">
            <w:pPr>
              <w:pStyle w:val="ListBullet"/>
              <w:cnfStyle w:val="000000100000" w:firstRow="0" w:lastRow="0" w:firstColumn="0" w:lastColumn="0" w:oddVBand="0" w:evenVBand="0" w:oddHBand="1" w:evenHBand="0" w:firstRowFirstColumn="0" w:firstRowLastColumn="0" w:lastRowFirstColumn="0" w:lastRowLastColumn="0"/>
            </w:pPr>
            <w:r w:rsidRPr="008149AA">
              <w:t xml:space="preserve">implementing transparency in the </w:t>
            </w:r>
            <w:r w:rsidR="00192A3B">
              <w:t>Health Products Portal (</w:t>
            </w:r>
            <w:r w:rsidRPr="008149AA">
              <w:t>HPP</w:t>
            </w:r>
            <w:r w:rsidR="00192A3B">
              <w:t>)</w:t>
            </w:r>
            <w:r w:rsidRPr="008149AA">
              <w:t xml:space="preserve"> to show what items are covered by PL rebate codes</w:t>
            </w:r>
          </w:p>
          <w:p w14:paraId="00E338FE" w14:textId="77777777" w:rsidR="00237276" w:rsidRPr="008149AA" w:rsidRDefault="00237276" w:rsidP="00E13E08">
            <w:pPr>
              <w:pStyle w:val="ListBullet"/>
              <w:cnfStyle w:val="000000100000" w:firstRow="0" w:lastRow="0" w:firstColumn="0" w:lastColumn="0" w:oddVBand="0" w:evenVBand="0" w:oddHBand="1" w:evenHBand="0" w:firstRowFirstColumn="0" w:firstRowLastColumn="0" w:lastRowFirstColumn="0" w:lastRowLastColumn="0"/>
            </w:pPr>
            <w:r w:rsidRPr="008149AA">
              <w:t>designing a mechanism whereby if the number of GUIs increases faster than the number of surgeries, the price of GUIs should be reduced accordingly</w:t>
            </w:r>
          </w:p>
          <w:p w14:paraId="280E1E86" w14:textId="77777777" w:rsidR="00237276" w:rsidRDefault="00237276" w:rsidP="00E13E08">
            <w:pPr>
              <w:pStyle w:val="ListBullet"/>
              <w:cnfStyle w:val="000000100000" w:firstRow="0" w:lastRow="0" w:firstColumn="0" w:lastColumn="0" w:oddVBand="0" w:evenVBand="0" w:oddHBand="1" w:evenHBand="0" w:firstRowFirstColumn="0" w:firstRowLastColumn="0" w:lastRowFirstColumn="0" w:lastRowLastColumn="0"/>
            </w:pPr>
            <w:r w:rsidRPr="008149AA">
              <w:t>establishing robust utilisation review processes</w:t>
            </w:r>
          </w:p>
          <w:p w14:paraId="1E0D61DE" w14:textId="4B32E47D" w:rsidR="00FA2546" w:rsidRDefault="00FA2546" w:rsidP="00E13E08">
            <w:pPr>
              <w:pStyle w:val="ListBullet"/>
              <w:cnfStyle w:val="000000100000" w:firstRow="0" w:lastRow="0" w:firstColumn="0" w:lastColumn="0" w:oddVBand="0" w:evenVBand="0" w:oddHBand="1" w:evenHBand="0" w:firstRowFirstColumn="0" w:firstRowLastColumn="0" w:lastRowFirstColumn="0" w:lastRowLastColumn="0"/>
            </w:pPr>
            <w:r>
              <w:lastRenderedPageBreak/>
              <w:t>creating a mechanism to lower GUI prices if the gap between surgery rates and volume widens too much, regularly review GUI use to ensure it meets clinical needs and benchmarks and establish a collaborative governance group</w:t>
            </w:r>
          </w:p>
          <w:p w14:paraId="738F95F1" w14:textId="2F0620BE" w:rsidR="00FA2546" w:rsidRPr="008149AA" w:rsidRDefault="00FA2546" w:rsidP="00E13E08">
            <w:pPr>
              <w:pStyle w:val="ListBullet"/>
              <w:cnfStyle w:val="000000100000" w:firstRow="0" w:lastRow="0" w:firstColumn="0" w:lastColumn="0" w:oddVBand="0" w:evenVBand="0" w:oddHBand="1" w:evenHBand="0" w:firstRowFirstColumn="0" w:firstRowLastColumn="0" w:lastRowFirstColumn="0" w:lastRowLastColumn="0"/>
            </w:pPr>
            <w:r>
              <w:t>introducing price/volume agreements for general use items, like the PBS model. If item use increases by more than 10% in a year (adjusted for surgery volume), reduce the price by 10%.</w:t>
            </w:r>
          </w:p>
          <w:p w14:paraId="17D27015" w14:textId="7ADC3026" w:rsidR="00237276" w:rsidRPr="008149AA" w:rsidRDefault="00237276" w:rsidP="00E13E08">
            <w:pPr>
              <w:cnfStyle w:val="000000100000" w:firstRow="0" w:lastRow="0" w:firstColumn="0" w:lastColumn="0" w:oddVBand="0" w:evenVBand="0" w:oddHBand="1" w:evenHBand="0" w:firstRowFirstColumn="0" w:firstRowLastColumn="0" w:lastRowFirstColumn="0" w:lastRowLastColumn="0"/>
            </w:pPr>
            <w:r w:rsidRPr="008149AA">
              <w:t xml:space="preserve">In terms of </w:t>
            </w:r>
            <w:r w:rsidR="00601A0A">
              <w:t xml:space="preserve">a </w:t>
            </w:r>
            <w:r w:rsidRPr="008149AA">
              <w:t xml:space="preserve">national index, some stakeholders </w:t>
            </w:r>
            <w:r w:rsidR="00601A0A">
              <w:t xml:space="preserve">agree </w:t>
            </w:r>
            <w:r w:rsidRPr="008149AA">
              <w:t xml:space="preserve">it could be a measure </w:t>
            </w:r>
            <w:r w:rsidR="00601A0A">
              <w:t>used</w:t>
            </w:r>
            <w:r w:rsidRPr="008149AA">
              <w:t xml:space="preserve"> to determine actions. </w:t>
            </w:r>
            <w:r w:rsidR="00D558CE" w:rsidRPr="008149AA">
              <w:t>The</w:t>
            </w:r>
            <w:r w:rsidR="006470A9">
              <w:t xml:space="preserve"> index</w:t>
            </w:r>
            <w:r w:rsidR="00D558CE" w:rsidRPr="008149AA">
              <w:t xml:space="preserve"> </w:t>
            </w:r>
            <w:r w:rsidR="006470A9">
              <w:t>c</w:t>
            </w:r>
            <w:r w:rsidR="00D558CE" w:rsidRPr="008149AA">
              <w:t>ould also be provided to hospitals and clinical societies to improve education.</w:t>
            </w:r>
            <w:r w:rsidR="00D558CE">
              <w:t xml:space="preserve"> </w:t>
            </w:r>
            <w:r w:rsidRPr="008149AA">
              <w:t>However, its success would depend on the factors considered</w:t>
            </w:r>
            <w:r w:rsidR="006470A9">
              <w:t xml:space="preserve"> to calculate it</w:t>
            </w:r>
            <w:r w:rsidRPr="008149AA">
              <w:t xml:space="preserve">. </w:t>
            </w:r>
            <w:r w:rsidR="006470A9">
              <w:t xml:space="preserve">Stakeholders noted the index </w:t>
            </w:r>
            <w:r w:rsidRPr="008149AA">
              <w:t>should focus on patient outcomes and informed decisions.</w:t>
            </w:r>
            <w:r w:rsidR="006470A9">
              <w:t xml:space="preserve"> </w:t>
            </w:r>
            <w:r w:rsidR="006470A9" w:rsidRPr="008149AA">
              <w:t xml:space="preserve">Another view is that a national index would only work if its goal </w:t>
            </w:r>
            <w:r w:rsidR="001D1624" w:rsidRPr="008149AA">
              <w:t>were</w:t>
            </w:r>
            <w:r w:rsidR="006470A9" w:rsidRPr="008149AA">
              <w:t xml:space="preserve"> to achieve efficient procurement and reduce surgical waste.</w:t>
            </w:r>
          </w:p>
          <w:p w14:paraId="3E62645E" w14:textId="737FF5D3" w:rsidR="005335A9" w:rsidRPr="009B652B" w:rsidRDefault="00237276" w:rsidP="00E13E08">
            <w:pPr>
              <w:cnfStyle w:val="000000100000" w:firstRow="0" w:lastRow="0" w:firstColumn="0" w:lastColumn="0" w:oddVBand="0" w:evenVBand="0" w:oddHBand="1" w:evenHBand="0" w:firstRowFirstColumn="0" w:firstRowLastColumn="0" w:lastRowFirstColumn="0" w:lastRowLastColumn="0"/>
            </w:pPr>
            <w:r w:rsidRPr="008149AA">
              <w:t>Other stakeholders argue that benchmarking u</w:t>
            </w:r>
            <w:r w:rsidR="006470A9">
              <w:t>tilisation</w:t>
            </w:r>
            <w:r w:rsidRPr="008149AA">
              <w:t xml:space="preserve"> per episode </w:t>
            </w:r>
            <w:r w:rsidR="006470A9">
              <w:t xml:space="preserve">of care </w:t>
            </w:r>
            <w:r w:rsidRPr="008149AA">
              <w:t xml:space="preserve">could lead to access and equity issues due to variations in clinical practices. It would impose limits on utilisation that could risk patient outcomes. </w:t>
            </w:r>
            <w:r w:rsidR="001A5FEC">
              <w:t>Also,</w:t>
            </w:r>
            <w:r w:rsidR="001A5FEC" w:rsidRPr="001A5FEC">
              <w:t xml:space="preserve"> while benchmarks can highlight anomalies, they do not account for the unique circumstances clinicians may face during surgery.</w:t>
            </w:r>
          </w:p>
        </w:tc>
      </w:tr>
      <w:tr w:rsidR="00237276" w:rsidRPr="005B46B2" w14:paraId="07426FE8" w14:textId="77777777" w:rsidTr="006D72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86" w:type="dxa"/>
          </w:tcPr>
          <w:p w14:paraId="2B9ACD4D" w14:textId="0BF0D33C" w:rsidR="00237276" w:rsidRPr="00750B70" w:rsidRDefault="00237276" w:rsidP="00E13E08">
            <w:pPr>
              <w:pStyle w:val="ListNumber"/>
            </w:pPr>
            <w:r w:rsidRPr="004154D2">
              <w:t>How would you suggest the success of these actions are measured?</w:t>
            </w:r>
          </w:p>
        </w:tc>
        <w:tc>
          <w:tcPr>
            <w:tcW w:w="8992" w:type="dxa"/>
          </w:tcPr>
          <w:p w14:paraId="3F79359D" w14:textId="033CDE00" w:rsidR="00237276" w:rsidRDefault="00237276" w:rsidP="00E13E08">
            <w:pPr>
              <w:cnfStyle w:val="000000010000" w:firstRow="0" w:lastRow="0" w:firstColumn="0" w:lastColumn="0" w:oddVBand="0" w:evenVBand="0" w:oddHBand="0" w:evenHBand="1" w:firstRowFirstColumn="0" w:firstRowLastColumn="0" w:lastRowFirstColumn="0" w:lastRowLastColumn="0"/>
            </w:pPr>
            <w:r w:rsidRPr="005B46B2">
              <w:t>H</w:t>
            </w:r>
            <w:r w:rsidRPr="00AC3489">
              <w:t>ospitals</w:t>
            </w:r>
            <w:r w:rsidRPr="005B46B2">
              <w:t xml:space="preserve"> believe</w:t>
            </w:r>
            <w:r w:rsidRPr="00AC3489">
              <w:t xml:space="preserve"> </w:t>
            </w:r>
            <w:r w:rsidRPr="005B46B2">
              <w:t xml:space="preserve">the focus should be on tracking utilisation and making data-driven policy decisions. Beyond this, </w:t>
            </w:r>
            <w:r w:rsidR="00EE5BE0">
              <w:t xml:space="preserve">they believe </w:t>
            </w:r>
            <w:r w:rsidRPr="005B46B2">
              <w:t>measuring success is challenging due to evolving practices and technologies. They suggest a start would be by benchmarking GUI data and identifying best practices. Research papers on appropriate GUI u</w:t>
            </w:r>
            <w:r w:rsidR="00EE5BE0">
              <w:t>tilisation</w:t>
            </w:r>
            <w:r w:rsidRPr="005B46B2">
              <w:t>, especially for new items, can be very helpful. Implementing plans with clear KPIs and milestones, and comparing GUI u</w:t>
            </w:r>
            <w:r w:rsidR="00EE5BE0">
              <w:t>tilisation</w:t>
            </w:r>
            <w:r w:rsidRPr="005B46B2">
              <w:t xml:space="preserve"> quarterly, </w:t>
            </w:r>
            <w:r w:rsidR="00EE5BE0">
              <w:t>could</w:t>
            </w:r>
            <w:r w:rsidRPr="005B46B2">
              <w:t xml:space="preserve"> provide valuable insights. Using a uniform data set to track utilisation and costs is also important.</w:t>
            </w:r>
          </w:p>
          <w:p w14:paraId="086BAFDE" w14:textId="059E518E" w:rsidR="00C75243" w:rsidRPr="005B46B2" w:rsidRDefault="00C75243" w:rsidP="00E13E08">
            <w:pPr>
              <w:cnfStyle w:val="000000010000" w:firstRow="0" w:lastRow="0" w:firstColumn="0" w:lastColumn="0" w:oddVBand="0" w:evenVBand="0" w:oddHBand="0" w:evenHBand="1" w:firstRowFirstColumn="0" w:firstRowLastColumn="0" w:lastRowFirstColumn="0" w:lastRowLastColumn="0"/>
            </w:pPr>
            <w:r>
              <w:t>Other suggestions include:</w:t>
            </w:r>
          </w:p>
          <w:p w14:paraId="6D6E516A" w14:textId="16D305B6" w:rsidR="00237276" w:rsidRPr="005B46B2" w:rsidRDefault="00C75243" w:rsidP="00E13E08">
            <w:pPr>
              <w:pStyle w:val="ListBullet"/>
              <w:cnfStyle w:val="000000010000" w:firstRow="0" w:lastRow="0" w:firstColumn="0" w:lastColumn="0" w:oddVBand="0" w:evenVBand="0" w:oddHBand="0" w:evenHBand="1" w:firstRowFirstColumn="0" w:firstRowLastColumn="0" w:lastRowFirstColumn="0" w:lastRowLastColumn="0"/>
            </w:pPr>
            <w:r>
              <w:lastRenderedPageBreak/>
              <w:t>e</w:t>
            </w:r>
            <w:r w:rsidR="00237276" w:rsidRPr="005B46B2">
              <w:t>nsuring GUI items remain on the PL guarantees access to the best outcomes. Maintaining PL rebate codes ensures traceability and transparent billing, and including part numbers in these codes aligns with ARTG requirements</w:t>
            </w:r>
          </w:p>
          <w:p w14:paraId="3C363BA1" w14:textId="7682EEA0" w:rsidR="00237276" w:rsidRPr="005B46B2" w:rsidRDefault="00C75243" w:rsidP="00E13E08">
            <w:pPr>
              <w:pStyle w:val="ListBullet"/>
              <w:cnfStyle w:val="000000010000" w:firstRow="0" w:lastRow="0" w:firstColumn="0" w:lastColumn="0" w:oddVBand="0" w:evenVBand="0" w:oddHBand="0" w:evenHBand="1" w:firstRowFirstColumn="0" w:firstRowLastColumn="0" w:lastRowFirstColumn="0" w:lastRowLastColumn="0"/>
            </w:pPr>
            <w:r>
              <w:t>t</w:t>
            </w:r>
            <w:r w:rsidR="00237276" w:rsidRPr="005B46B2">
              <w:t>ransparency can be improved by providing volume data by PL billing code, like MBS and PBS</w:t>
            </w:r>
          </w:p>
          <w:p w14:paraId="079A6D87" w14:textId="35B16FB1" w:rsidR="00237276" w:rsidRPr="005B46B2" w:rsidRDefault="00C75243" w:rsidP="00E13E08">
            <w:pPr>
              <w:pStyle w:val="ListBullet"/>
              <w:cnfStyle w:val="000000010000" w:firstRow="0" w:lastRow="0" w:firstColumn="0" w:lastColumn="0" w:oddVBand="0" w:evenVBand="0" w:oddHBand="0" w:evenHBand="1" w:firstRowFirstColumn="0" w:firstRowLastColumn="0" w:lastRowFirstColumn="0" w:lastRowLastColumn="0"/>
            </w:pPr>
            <w:r>
              <w:t>c</w:t>
            </w:r>
            <w:r w:rsidR="00237276" w:rsidRPr="005B46B2">
              <w:t>reating a live reporting system to monitor usage patterns. An independent clinical body could review this data to identify low-value care and exclude it from funding</w:t>
            </w:r>
          </w:p>
          <w:p w14:paraId="26E76DB5" w14:textId="1E8296B3" w:rsidR="00237276" w:rsidRPr="005B46B2" w:rsidRDefault="00C75243" w:rsidP="00E13E08">
            <w:pPr>
              <w:pStyle w:val="ListBullet"/>
              <w:cnfStyle w:val="000000010000" w:firstRow="0" w:lastRow="0" w:firstColumn="0" w:lastColumn="0" w:oddVBand="0" w:evenVBand="0" w:oddHBand="0" w:evenHBand="1" w:firstRowFirstColumn="0" w:firstRowLastColumn="0" w:lastRowFirstColumn="0" w:lastRowLastColumn="0"/>
            </w:pPr>
            <w:r>
              <w:t xml:space="preserve">invest </w:t>
            </w:r>
            <w:r w:rsidR="00237276" w:rsidRPr="005B46B2">
              <w:t>in uplifting and maintaining the PL and comparing GUI volume growth with surgery growth rates</w:t>
            </w:r>
          </w:p>
          <w:p w14:paraId="133AE238" w14:textId="77777777" w:rsidR="00C75243" w:rsidRDefault="00237276" w:rsidP="00E13E08">
            <w:pPr>
              <w:pStyle w:val="ListBullet"/>
              <w:cnfStyle w:val="000000010000" w:firstRow="0" w:lastRow="0" w:firstColumn="0" w:lastColumn="0" w:oddVBand="0" w:evenVBand="0" w:oddHBand="0" w:evenHBand="1" w:firstRowFirstColumn="0" w:firstRowLastColumn="0" w:lastRowFirstColumn="0" w:lastRowLastColumn="0"/>
            </w:pPr>
            <w:r w:rsidRPr="005B46B2">
              <w:t xml:space="preserve">all price increases should demonstrate a public benefit case and clinicians </w:t>
            </w:r>
            <w:r w:rsidR="00C75243">
              <w:t xml:space="preserve">should be informed </w:t>
            </w:r>
            <w:r w:rsidRPr="005B46B2">
              <w:t>of common PL item prices to help them make cost-aware decisions</w:t>
            </w:r>
          </w:p>
          <w:p w14:paraId="6CC2C668" w14:textId="37B1C304" w:rsidR="00237276" w:rsidRPr="008149AA" w:rsidRDefault="00237276" w:rsidP="00E13E08">
            <w:pPr>
              <w:pStyle w:val="ListBullet"/>
              <w:cnfStyle w:val="000000010000" w:firstRow="0" w:lastRow="0" w:firstColumn="0" w:lastColumn="0" w:oddVBand="0" w:evenVBand="0" w:oddHBand="0" w:evenHBand="1" w:firstRowFirstColumn="0" w:firstRowLastColumn="0" w:lastRowFirstColumn="0" w:lastRowLastColumn="0"/>
            </w:pPr>
            <w:r w:rsidRPr="005B46B2">
              <w:t xml:space="preserve">if hospitals use </w:t>
            </w:r>
            <w:r w:rsidR="00C75243">
              <w:t>GUI</w:t>
            </w:r>
            <w:r w:rsidRPr="005B46B2">
              <w:t xml:space="preserve"> much more than peers, full rebates should only be given if doctors certify the use is reasonable.</w:t>
            </w:r>
          </w:p>
        </w:tc>
      </w:tr>
      <w:tr w:rsidR="00755B01" w:rsidRPr="005B46B2" w14:paraId="169CC57A" w14:textId="77777777" w:rsidTr="006D72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86" w:type="dxa"/>
          </w:tcPr>
          <w:p w14:paraId="3A74D429" w14:textId="18DAF323" w:rsidR="00755B01" w:rsidRPr="004154D2" w:rsidRDefault="00755B01" w:rsidP="00E13E08">
            <w:pPr>
              <w:pStyle w:val="ListNumber"/>
            </w:pPr>
            <w:r w:rsidRPr="00581875">
              <w:t xml:space="preserve">What are the likely consequences – positive/negative and who would they </w:t>
            </w:r>
            <w:r>
              <w:t>a</w:t>
            </w:r>
            <w:r w:rsidRPr="00581875">
              <w:t>ffect?</w:t>
            </w:r>
          </w:p>
        </w:tc>
        <w:tc>
          <w:tcPr>
            <w:tcW w:w="8992" w:type="dxa"/>
          </w:tcPr>
          <w:p w14:paraId="130F3642" w14:textId="6D6363A8" w:rsidR="00755B01" w:rsidRPr="00154DA8" w:rsidRDefault="00755B01" w:rsidP="00E13E08">
            <w:pPr>
              <w:cnfStyle w:val="000000100000" w:firstRow="0" w:lastRow="0" w:firstColumn="0" w:lastColumn="0" w:oddVBand="0" w:evenVBand="0" w:oddHBand="1" w:evenHBand="0" w:firstRowFirstColumn="0" w:firstRowLastColumn="0" w:lastRowFirstColumn="0" w:lastRowLastColumn="0"/>
            </w:pPr>
            <w:r w:rsidRPr="005B46B2">
              <w:t xml:space="preserve">Negative consequences </w:t>
            </w:r>
            <w:r w:rsidR="00CF2E51">
              <w:t xml:space="preserve">of </w:t>
            </w:r>
            <w:r w:rsidR="00FA2546">
              <w:t>implementing system-based actions</w:t>
            </w:r>
            <w:r w:rsidR="00FA2546" w:rsidRPr="00154DA8">
              <w:t xml:space="preserve"> </w:t>
            </w:r>
            <w:r w:rsidRPr="00154DA8">
              <w:t>include increased administrative burdens</w:t>
            </w:r>
            <w:r w:rsidRPr="005B46B2">
              <w:t xml:space="preserve"> and</w:t>
            </w:r>
            <w:r w:rsidRPr="00154DA8">
              <w:t xml:space="preserve"> higher costs for hospitals</w:t>
            </w:r>
            <w:r w:rsidRPr="005B46B2">
              <w:t xml:space="preserve">. </w:t>
            </w:r>
            <w:r w:rsidRPr="00154DA8">
              <w:t xml:space="preserve">Excessive compliance could undermine clinical needs and increase costs for patients. Private hospitals might struggle to serve the sickest patients due to negative cost recovery, increasing reliance on public </w:t>
            </w:r>
            <w:r w:rsidRPr="005B46B2">
              <w:t>health system.</w:t>
            </w:r>
            <w:r w:rsidRPr="00154DA8">
              <w:t xml:space="preserve"> Complications of </w:t>
            </w:r>
            <w:r w:rsidR="00C75243">
              <w:t xml:space="preserve">clinicians </w:t>
            </w:r>
            <w:r w:rsidRPr="00154DA8">
              <w:t>no</w:t>
            </w:r>
            <w:r w:rsidR="006470A9">
              <w:t xml:space="preserve">t using </w:t>
            </w:r>
            <w:r w:rsidRPr="00154DA8">
              <w:t>GUI</w:t>
            </w:r>
            <w:r w:rsidR="00FA2546">
              <w:t>s</w:t>
            </w:r>
            <w:r w:rsidRPr="00154DA8">
              <w:t xml:space="preserve"> </w:t>
            </w:r>
            <w:r w:rsidR="006470A9">
              <w:t xml:space="preserve">due to </w:t>
            </w:r>
            <w:r w:rsidR="0020630D">
              <w:t>policy</w:t>
            </w:r>
            <w:r w:rsidR="00C75243">
              <w:t xml:space="preserve"> </w:t>
            </w:r>
            <w:r w:rsidR="00FA2546">
              <w:t>limitations</w:t>
            </w:r>
            <w:r w:rsidR="006470A9">
              <w:t xml:space="preserve"> </w:t>
            </w:r>
            <w:r w:rsidRPr="00154DA8">
              <w:t>would place strain on the public sector as these patients would most likely return to public hospitals.</w:t>
            </w:r>
          </w:p>
          <w:p w14:paraId="49A14855" w14:textId="3D058278" w:rsidR="00755B01" w:rsidRPr="00154DA8" w:rsidRDefault="006470A9" w:rsidP="00E13E08">
            <w:pPr>
              <w:cnfStyle w:val="000000100000" w:firstRow="0" w:lastRow="0" w:firstColumn="0" w:lastColumn="0" w:oddVBand="0" w:evenVBand="0" w:oddHBand="1" w:evenHBand="0" w:firstRowFirstColumn="0" w:firstRowLastColumn="0" w:lastRowFirstColumn="0" w:lastRowLastColumn="0"/>
            </w:pPr>
            <w:r>
              <w:t>Sponsors and hospitals believe that t</w:t>
            </w:r>
            <w:r w:rsidR="00755B01" w:rsidRPr="00154DA8">
              <w:t xml:space="preserve">he current PL settings benefit insurers through reduced length of stay, reduced post-operative complications and patient satisfaction due to private hospitals using available best outcome items. </w:t>
            </w:r>
            <w:r w:rsidR="00755B01" w:rsidRPr="005B46B2">
              <w:t>Any introduced</w:t>
            </w:r>
            <w:r w:rsidR="00755B01" w:rsidRPr="00154DA8">
              <w:t xml:space="preserve"> limitations could restrict clinician choices, harm patient care, and raise out-of-pocket costs, making private health insurance less valuable. This might lead to more people dropping their coverage.</w:t>
            </w:r>
          </w:p>
          <w:p w14:paraId="4B60D439" w14:textId="77777777" w:rsidR="00755B01" w:rsidRPr="00E13E08" w:rsidRDefault="00755B01" w:rsidP="00E13E08">
            <w:pPr>
              <w:cnfStyle w:val="000000100000" w:firstRow="0" w:lastRow="0" w:firstColumn="0" w:lastColumn="0" w:oddVBand="0" w:evenVBand="0" w:oddHBand="1" w:evenHBand="0" w:firstRowFirstColumn="0" w:firstRowLastColumn="0" w:lastRowFirstColumn="0" w:lastRowLastColumn="0"/>
            </w:pPr>
            <w:r w:rsidRPr="00E13E08">
              <w:lastRenderedPageBreak/>
              <w:t>Stakeholders also noted that reopening GUI reform could divert attention from more pressing issues.</w:t>
            </w:r>
          </w:p>
          <w:p w14:paraId="2EFC0D73" w14:textId="07878ACE" w:rsidR="00755B01" w:rsidRPr="005B46B2" w:rsidRDefault="00455EA6" w:rsidP="00E13E08">
            <w:pPr>
              <w:cnfStyle w:val="000000100000" w:firstRow="0" w:lastRow="0" w:firstColumn="0" w:lastColumn="0" w:oddVBand="0" w:evenVBand="0" w:oddHBand="1" w:evenHBand="0" w:firstRowFirstColumn="0" w:firstRowLastColumn="0" w:lastRowFirstColumn="0" w:lastRowLastColumn="0"/>
            </w:pPr>
            <w:r>
              <w:t>Some of the p</w:t>
            </w:r>
            <w:r w:rsidR="00755B01" w:rsidRPr="00154DA8">
              <w:t xml:space="preserve">ositive consequences </w:t>
            </w:r>
            <w:r w:rsidR="00CF2E51">
              <w:t xml:space="preserve">of implementing </w:t>
            </w:r>
            <w:r w:rsidR="006470A9">
              <w:t xml:space="preserve">some of the </w:t>
            </w:r>
            <w:r w:rsidR="00755B01">
              <w:t>system</w:t>
            </w:r>
            <w:r w:rsidR="006470A9">
              <w:t>-</w:t>
            </w:r>
            <w:r w:rsidR="00755B01">
              <w:t xml:space="preserve">based mechanisms </w:t>
            </w:r>
            <w:r w:rsidR="006470A9">
              <w:t xml:space="preserve">suggested </w:t>
            </w:r>
            <w:r w:rsidR="00CF2E51">
              <w:t>by stakeholders</w:t>
            </w:r>
            <w:r w:rsidR="006470A9">
              <w:t xml:space="preserve"> </w:t>
            </w:r>
            <w:r w:rsidR="00755B01" w:rsidRPr="00154DA8">
              <w:t>include better financial agreements, improved data collection, better patient outcomes and transparent billing.</w:t>
            </w:r>
            <w:r w:rsidR="00755B01">
              <w:t xml:space="preserve"> </w:t>
            </w:r>
            <w:r w:rsidR="00DB5192">
              <w:t>Additionally, a</w:t>
            </w:r>
            <w:r w:rsidR="00755B01">
              <w:t>ppropriate and efficient GUI u</w:t>
            </w:r>
            <w:r w:rsidR="006470A9">
              <w:t>tilisation</w:t>
            </w:r>
            <w:r w:rsidR="00755B01">
              <w:t xml:space="preserve"> </w:t>
            </w:r>
            <w:r w:rsidR="00DB5192">
              <w:t>w</w:t>
            </w:r>
            <w:r w:rsidR="00CF2E51">
              <w:t>ould</w:t>
            </w:r>
            <w:r w:rsidR="00DB5192">
              <w:t xml:space="preserve"> </w:t>
            </w:r>
            <w:r w:rsidR="00755B01">
              <w:t>reduce wast</w:t>
            </w:r>
            <w:r w:rsidR="006470A9">
              <w:t>e</w:t>
            </w:r>
            <w:r w:rsidR="00755B01">
              <w:t xml:space="preserve"> and</w:t>
            </w:r>
            <w:r w:rsidR="00C32B13">
              <w:t xml:space="preserve"> optimise </w:t>
            </w:r>
            <w:r w:rsidR="00755B01">
              <w:t>resource allocation</w:t>
            </w:r>
            <w:r w:rsidR="00C32B13">
              <w:t>.</w:t>
            </w:r>
            <w:r>
              <w:t xml:space="preserve"> Stakeholders identified other specific positive consequences for specific system-based mechanisms suggested.</w:t>
            </w:r>
          </w:p>
        </w:tc>
      </w:tr>
      <w:tr w:rsidR="00755B01" w:rsidRPr="005B46B2" w14:paraId="3C12E869" w14:textId="77777777" w:rsidTr="006D72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86" w:type="dxa"/>
          </w:tcPr>
          <w:p w14:paraId="2C518840" w14:textId="105B8FC6" w:rsidR="00755B01" w:rsidRPr="00581875" w:rsidRDefault="00755B01" w:rsidP="00E13E08">
            <w:pPr>
              <w:pStyle w:val="ListNumber"/>
            </w:pPr>
            <w:r w:rsidRPr="00E75972">
              <w:t>Are there other areas of concern with the retention of GUIs on the PL that need to be considered?</w:t>
            </w:r>
          </w:p>
        </w:tc>
        <w:tc>
          <w:tcPr>
            <w:tcW w:w="8992" w:type="dxa"/>
          </w:tcPr>
          <w:p w14:paraId="1235692B" w14:textId="77777777" w:rsidR="00755B01" w:rsidRDefault="00755B01" w:rsidP="00E13E08">
            <w:pPr>
              <w:cnfStyle w:val="000000010000" w:firstRow="0" w:lastRow="0" w:firstColumn="0" w:lastColumn="0" w:oddVBand="0" w:evenVBand="0" w:oddHBand="0" w:evenHBand="1" w:firstRowFirstColumn="0" w:firstRowLastColumn="0" w:lastRowFirstColumn="0" w:lastRowLastColumn="0"/>
            </w:pPr>
            <w:r>
              <w:t>There were a few other matters raised by stakeholders.</w:t>
            </w:r>
          </w:p>
          <w:p w14:paraId="26106286" w14:textId="695A2D7C" w:rsidR="00755B01" w:rsidRPr="00E13E08" w:rsidRDefault="00755B01" w:rsidP="00E13E08">
            <w:pPr>
              <w:cnfStyle w:val="000000010000" w:firstRow="0" w:lastRow="0" w:firstColumn="0" w:lastColumn="0" w:oddVBand="0" w:evenVBand="0" w:oddHBand="0" w:evenHBand="1" w:firstRowFirstColumn="0" w:firstRowLastColumn="0" w:lastRowFirstColumn="0" w:lastRowLastColumn="0"/>
            </w:pPr>
            <w:r w:rsidRPr="001717D3">
              <w:t xml:space="preserve">Sponsors noted that restrictions on including new groupings on Part D hinder the introduction of innovative items that could improve costs and patient outcomes. They emphasise the need for flexibility in applications for Part D listings to allow for innovation and new technology. </w:t>
            </w:r>
            <w:r w:rsidR="00C32B13">
              <w:t>Otherwise, they believe</w:t>
            </w:r>
            <w:r w:rsidRPr="00E13E08">
              <w:t xml:space="preserve"> Australian private patients </w:t>
            </w:r>
            <w:r w:rsidR="00C32B13" w:rsidRPr="00E13E08">
              <w:t xml:space="preserve">are at </w:t>
            </w:r>
            <w:r w:rsidRPr="00E13E08">
              <w:t xml:space="preserve">risk </w:t>
            </w:r>
            <w:r w:rsidR="00C32B13" w:rsidRPr="00E13E08">
              <w:t xml:space="preserve">of </w:t>
            </w:r>
            <w:r w:rsidRPr="00E13E08">
              <w:t>being left behind.</w:t>
            </w:r>
          </w:p>
          <w:p w14:paraId="7F72306D" w14:textId="2842C0F4" w:rsidR="00EB67BF" w:rsidRDefault="00755B01" w:rsidP="00E13E08">
            <w:pPr>
              <w:cnfStyle w:val="000000010000" w:firstRow="0" w:lastRow="0" w:firstColumn="0" w:lastColumn="0" w:oddVBand="0" w:evenVBand="0" w:oddHBand="0" w:evenHBand="1" w:firstRowFirstColumn="0" w:firstRowLastColumn="0" w:lastRowFirstColumn="0" w:lastRowLastColumn="0"/>
            </w:pPr>
            <w:r w:rsidRPr="00A92709">
              <w:t xml:space="preserve">Sponsors </w:t>
            </w:r>
            <w:r>
              <w:t>and hospitals emphasised</w:t>
            </w:r>
            <w:r w:rsidRPr="00A92709">
              <w:t xml:space="preserve"> that the appropriate use of medical technology, including </w:t>
            </w:r>
            <w:r>
              <w:t>GUI</w:t>
            </w:r>
            <w:r w:rsidRPr="00A92709">
              <w:t xml:space="preserve"> should be at the clinician's discretion. They </w:t>
            </w:r>
            <w:r w:rsidR="00EB67BF" w:rsidRPr="005B46B2">
              <w:t xml:space="preserve">argue that </w:t>
            </w:r>
            <w:r w:rsidR="00EB67BF" w:rsidRPr="00E13E08">
              <w:t>limits on GUI utilisation and expenditure should not be decided or imposed by non-clinical organisations, as they could jeopardise patient outcomes. Hospitals reiterate</w:t>
            </w:r>
            <w:r w:rsidR="0020630D" w:rsidRPr="00E13E08">
              <w:t>d</w:t>
            </w:r>
            <w:r w:rsidR="00EB67BF" w:rsidRPr="00E13E08">
              <w:t xml:space="preserve"> that </w:t>
            </w:r>
            <w:r w:rsidR="00EB67BF" w:rsidRPr="00135D1A">
              <w:t>capping or bundling GUIs is not practical.</w:t>
            </w:r>
          </w:p>
          <w:p w14:paraId="72A507DB" w14:textId="77777777" w:rsidR="00755B01" w:rsidRPr="001717D3" w:rsidRDefault="00755B01" w:rsidP="00E13E08">
            <w:pPr>
              <w:cnfStyle w:val="000000010000" w:firstRow="0" w:lastRow="0" w:firstColumn="0" w:lastColumn="0" w:oddVBand="0" w:evenVBand="0" w:oddHBand="0" w:evenHBand="1" w:firstRowFirstColumn="0" w:firstRowLastColumn="0" w:lastRowFirstColumn="0" w:lastRowLastColumn="0"/>
            </w:pPr>
            <w:r>
              <w:t>Hospitals</w:t>
            </w:r>
            <w:r w:rsidRPr="001717D3">
              <w:t xml:space="preserve"> highlight</w:t>
            </w:r>
            <w:r>
              <w:t>ed</w:t>
            </w:r>
            <w:r w:rsidRPr="001717D3">
              <w:t xml:space="preserve"> the lack of data transparency from insurers, which hinders the identification of significant growth areas. They call for insurers to provide proper evidence of integrity issues before any action is taken. Hospitals argue that high utilisation rates can be justified if they lead to better health outcomes and cost savings in the long run.</w:t>
            </w:r>
          </w:p>
          <w:p w14:paraId="402B5831" w14:textId="22FFABEB" w:rsidR="00755B01" w:rsidRPr="001717D3" w:rsidRDefault="00755B01" w:rsidP="00E13E08">
            <w:pPr>
              <w:cnfStyle w:val="000000010000" w:firstRow="0" w:lastRow="0" w:firstColumn="0" w:lastColumn="0" w:oddVBand="0" w:evenVBand="0" w:oddHBand="0" w:evenHBand="1" w:firstRowFirstColumn="0" w:firstRowLastColumn="0" w:lastRowFirstColumn="0" w:lastRowLastColumn="0"/>
            </w:pPr>
            <w:r w:rsidRPr="001717D3">
              <w:t xml:space="preserve">Hospitals </w:t>
            </w:r>
            <w:r w:rsidR="00C32B13">
              <w:t>mention</w:t>
            </w:r>
            <w:r w:rsidR="00EF1E85">
              <w:t xml:space="preserve"> the importan</w:t>
            </w:r>
            <w:r w:rsidR="009318E6">
              <w:t>ce</w:t>
            </w:r>
            <w:r w:rsidR="00EF1E85">
              <w:t xml:space="preserve"> of retaining</w:t>
            </w:r>
            <w:r w:rsidR="00C32B13">
              <w:t xml:space="preserve"> </w:t>
            </w:r>
            <w:r w:rsidRPr="001717D3">
              <w:t>GUIs</w:t>
            </w:r>
            <w:r w:rsidR="00EF1E85">
              <w:t xml:space="preserve"> on the P</w:t>
            </w:r>
            <w:r w:rsidR="0084377D">
              <w:t>L</w:t>
            </w:r>
            <w:r w:rsidR="00EF1E85">
              <w:t xml:space="preserve"> as they</w:t>
            </w:r>
            <w:r w:rsidRPr="001717D3">
              <w:t xml:space="preserve"> are not covered by the national procedure banding schedule and are not used in every procedure.</w:t>
            </w:r>
          </w:p>
          <w:p w14:paraId="59E31E8D" w14:textId="67182C27" w:rsidR="00755B01" w:rsidRPr="005B46B2" w:rsidRDefault="00755B01" w:rsidP="00E13E08">
            <w:pPr>
              <w:cnfStyle w:val="000000010000" w:firstRow="0" w:lastRow="0" w:firstColumn="0" w:lastColumn="0" w:oddVBand="0" w:evenVBand="0" w:oddHBand="0" w:evenHBand="1" w:firstRowFirstColumn="0" w:firstRowLastColumn="0" w:lastRowFirstColumn="0" w:lastRowLastColumn="0"/>
            </w:pPr>
            <w:r w:rsidRPr="001717D3">
              <w:lastRenderedPageBreak/>
              <w:t>Hospitals believe the</w:t>
            </w:r>
            <w:r>
              <w:t xml:space="preserve">re are </w:t>
            </w:r>
            <w:r w:rsidRPr="001717D3">
              <w:t xml:space="preserve">positive impacts of retaining GUIs on </w:t>
            </w:r>
            <w:r>
              <w:t>the PL</w:t>
            </w:r>
            <w:r w:rsidRPr="001717D3">
              <w:t xml:space="preserve"> </w:t>
            </w:r>
            <w:r>
              <w:t xml:space="preserve">and this </w:t>
            </w:r>
            <w:r w:rsidRPr="001717D3">
              <w:t>should be highlighted through an impact analysis.</w:t>
            </w:r>
          </w:p>
          <w:p w14:paraId="7917DD63" w14:textId="6E67E0EC" w:rsidR="00755B01" w:rsidRPr="00E13E08" w:rsidRDefault="00755B01" w:rsidP="00E13E08">
            <w:pPr>
              <w:cnfStyle w:val="000000010000" w:firstRow="0" w:lastRow="0" w:firstColumn="0" w:lastColumn="0" w:oddVBand="0" w:evenVBand="0" w:oddHBand="0" w:evenHBand="1" w:firstRowFirstColumn="0" w:firstRowLastColumn="0" w:lastRowFirstColumn="0" w:lastRowLastColumn="0"/>
            </w:pPr>
            <w:r>
              <w:t xml:space="preserve">Some stakeholders highlighted issues with the definition of </w:t>
            </w:r>
            <w:r w:rsidRPr="001717D3">
              <w:t>GUI</w:t>
            </w:r>
            <w:r w:rsidR="00C32B13">
              <w:t>.</w:t>
            </w:r>
            <w:r w:rsidRPr="006D7287">
              <w:t xml:space="preserve"> </w:t>
            </w:r>
            <w:r w:rsidRPr="008839C1">
              <w:t>The</w:t>
            </w:r>
            <w:r w:rsidR="00DB5192">
              <w:t xml:space="preserve"> fact </w:t>
            </w:r>
            <w:r w:rsidRPr="008839C1">
              <w:t>that there</w:t>
            </w:r>
            <w:r w:rsidR="00DB5192">
              <w:t xml:space="preserve"> is</w:t>
            </w:r>
            <w:r w:rsidRPr="008839C1">
              <w:t xml:space="preserve"> no consistent definition of GUI in Australia's health system lead</w:t>
            </w:r>
            <w:r w:rsidR="00DB5192">
              <w:t xml:space="preserve">s </w:t>
            </w:r>
            <w:r w:rsidRPr="008839C1">
              <w:t>to different interpretations.</w:t>
            </w:r>
          </w:p>
          <w:p w14:paraId="2A32CDDF" w14:textId="77777777" w:rsidR="00755B01" w:rsidRDefault="00755B01" w:rsidP="00E13E08">
            <w:pPr>
              <w:cnfStyle w:val="000000010000" w:firstRow="0" w:lastRow="0" w:firstColumn="0" w:lastColumn="0" w:oddVBand="0" w:evenVBand="0" w:oddHBand="0" w:evenHBand="1" w:firstRowFirstColumn="0" w:firstRowLastColumn="0" w:lastRowFirstColumn="0" w:lastRowLastColumn="0"/>
            </w:pPr>
            <w:r w:rsidRPr="00B919D1">
              <w:t xml:space="preserve">Hospitals </w:t>
            </w:r>
            <w:r w:rsidRPr="00914037">
              <w:t>also mention the lack of certainty about government policy on GUIs as an integrity concern, highlighting risks to clinical utilisation and patient care due to health insurers' record profits.</w:t>
            </w:r>
          </w:p>
          <w:p w14:paraId="7A10A6D8" w14:textId="77777777" w:rsidR="00755B01" w:rsidRDefault="00755B01" w:rsidP="00E13E08">
            <w:pPr>
              <w:cnfStyle w:val="000000010000" w:firstRow="0" w:lastRow="0" w:firstColumn="0" w:lastColumn="0" w:oddVBand="0" w:evenVBand="0" w:oddHBand="0" w:evenHBand="1" w:firstRowFirstColumn="0" w:firstRowLastColumn="0" w:lastRowFirstColumn="0" w:lastRowLastColumn="0"/>
            </w:pPr>
            <w:r>
              <w:t xml:space="preserve">There was mention that the </w:t>
            </w:r>
            <w:r w:rsidRPr="00E21F3F">
              <w:t>PL is</w:t>
            </w:r>
            <w:r>
              <w:t xml:space="preserve"> not an</w:t>
            </w:r>
            <w:r w:rsidRPr="00E21F3F">
              <w:t xml:space="preserve"> appropriate mechanism to introduce utilisation controls on med</w:t>
            </w:r>
            <w:r>
              <w:t>ical devices.</w:t>
            </w:r>
          </w:p>
          <w:p w14:paraId="4EE4D6D7" w14:textId="3A5474CE" w:rsidR="00755B01" w:rsidRDefault="00755B01" w:rsidP="00E13E08">
            <w:pPr>
              <w:cnfStyle w:val="000000010000" w:firstRow="0" w:lastRow="0" w:firstColumn="0" w:lastColumn="0" w:oddVBand="0" w:evenVBand="0" w:oddHBand="0" w:evenHBand="1" w:firstRowFirstColumn="0" w:firstRowLastColumn="0" w:lastRowFirstColumn="0" w:lastRowLastColumn="0"/>
            </w:pPr>
            <w:r w:rsidRPr="0015772B">
              <w:t>T</w:t>
            </w:r>
            <w:r>
              <w:t>here was a request to</w:t>
            </w:r>
            <w:r w:rsidRPr="0015772B">
              <w:t xml:space="preserve"> revisit the review of staples</w:t>
            </w:r>
            <w:r w:rsidR="0020630D">
              <w:t xml:space="preserve"> &amp;</w:t>
            </w:r>
            <w:r w:rsidRPr="0015772B">
              <w:t xml:space="preserve"> tackers, directly consulting with relevant clinical societies and</w:t>
            </w:r>
            <w:r>
              <w:t xml:space="preserve"> </w:t>
            </w:r>
            <w:r w:rsidRPr="0015772B">
              <w:t>MBS data to inform their specific use.</w:t>
            </w:r>
          </w:p>
        </w:tc>
      </w:tr>
    </w:tbl>
    <w:p w14:paraId="2DD0B99E" w14:textId="77777777" w:rsidR="006D7287" w:rsidRDefault="006D7287" w:rsidP="00E13E08"/>
    <w:p w14:paraId="37B24B47" w14:textId="68574C4A" w:rsidR="006D7287" w:rsidRDefault="006D7287" w:rsidP="00E13E08">
      <w:pPr>
        <w:sectPr w:rsidR="006D7287" w:rsidSect="000E7E5F">
          <w:pgSz w:w="16838" w:h="11906" w:orient="landscape"/>
          <w:pgMar w:top="1418" w:right="1701" w:bottom="1418" w:left="1418" w:header="709" w:footer="709" w:gutter="0"/>
          <w:cols w:space="708"/>
          <w:docGrid w:linePitch="360"/>
        </w:sectPr>
      </w:pPr>
    </w:p>
    <w:p w14:paraId="29985CE3" w14:textId="77777777" w:rsidR="00215E4D" w:rsidRDefault="00215E4D" w:rsidP="00D560EE">
      <w:pPr>
        <w:pStyle w:val="Heading1"/>
      </w:pPr>
      <w:bookmarkStart w:id="6" w:name="_Toc122696759"/>
      <w:r w:rsidRPr="00215E4D">
        <w:lastRenderedPageBreak/>
        <w:t>Next Steps</w:t>
      </w:r>
      <w:bookmarkEnd w:id="6"/>
    </w:p>
    <w:p w14:paraId="48294090" w14:textId="77E1A914" w:rsidR="00511E77" w:rsidRDefault="00AA6929" w:rsidP="00E13E08">
      <w:pPr>
        <w:rPr>
          <w:lang w:eastAsia="en-AU"/>
        </w:rPr>
      </w:pPr>
      <w:r>
        <w:rPr>
          <w:lang w:eastAsia="en-AU"/>
        </w:rPr>
        <w:t xml:space="preserve">After considering all matters raised by different stakeholder groups, </w:t>
      </w:r>
      <w:r w:rsidR="009271C8">
        <w:rPr>
          <w:lang w:eastAsia="en-AU"/>
        </w:rPr>
        <w:t>there is no substantive evidence to merit implementation of</w:t>
      </w:r>
      <w:r>
        <w:rPr>
          <w:lang w:eastAsia="en-AU"/>
        </w:rPr>
        <w:t xml:space="preserve"> system-based mechanisms</w:t>
      </w:r>
      <w:r w:rsidR="009271C8">
        <w:rPr>
          <w:lang w:eastAsia="en-AU"/>
        </w:rPr>
        <w:t xml:space="preserve">. </w:t>
      </w:r>
      <w:r>
        <w:rPr>
          <w:lang w:eastAsia="en-AU"/>
        </w:rPr>
        <w:t xml:space="preserve">However, there were some clear </w:t>
      </w:r>
      <w:r w:rsidR="009271C8">
        <w:rPr>
          <w:lang w:eastAsia="en-AU"/>
        </w:rPr>
        <w:t>actions that can positively influence integrity:</w:t>
      </w:r>
    </w:p>
    <w:p w14:paraId="278DAFED" w14:textId="116EEEDF" w:rsidR="0020630D" w:rsidRPr="0076118D" w:rsidRDefault="0020630D" w:rsidP="00E13E08">
      <w:pPr>
        <w:pStyle w:val="ListBullet"/>
      </w:pPr>
      <w:r w:rsidRPr="0076118D">
        <w:t>improve data accessibility and transparency</w:t>
      </w:r>
    </w:p>
    <w:p w14:paraId="543421B7" w14:textId="3A74E664" w:rsidR="0020630D" w:rsidRDefault="0076118D" w:rsidP="00E13E08">
      <w:pPr>
        <w:pStyle w:val="ListBullet"/>
      </w:pPr>
      <w:r>
        <w:t>education on GUI utilisation and waste management</w:t>
      </w:r>
    </w:p>
    <w:p w14:paraId="0AB5C35D" w14:textId="6F6CC958" w:rsidR="00AA6929" w:rsidRDefault="009271C8" w:rsidP="00E13E08">
      <w:r>
        <w:t>We will explore implementation of these two actions.</w:t>
      </w:r>
    </w:p>
    <w:p w14:paraId="7A97BECA" w14:textId="6055D40E" w:rsidR="0020630D" w:rsidRPr="0076118D" w:rsidRDefault="00AA6929" w:rsidP="00E13E08">
      <w:r>
        <w:t xml:space="preserve">Additionally, </w:t>
      </w:r>
      <w:r w:rsidR="00671874">
        <w:t xml:space="preserve">we will </w:t>
      </w:r>
      <w:r w:rsidR="000A1528">
        <w:t>investigate</w:t>
      </w:r>
      <w:r w:rsidR="00671874">
        <w:t xml:space="preserve"> a</w:t>
      </w:r>
      <w:r w:rsidR="0020630D" w:rsidRPr="0076118D">
        <w:t>ddress</w:t>
      </w:r>
      <w:r w:rsidR="00671874">
        <w:t>ing</w:t>
      </w:r>
      <w:r w:rsidR="0020630D" w:rsidRPr="0076118D">
        <w:t xml:space="preserve"> concern</w:t>
      </w:r>
      <w:r w:rsidR="0076118D">
        <w:t>s of growth</w:t>
      </w:r>
      <w:r w:rsidR="0020630D" w:rsidRPr="0076118D">
        <w:t xml:space="preserve"> at the grouping level, engaging clinicians to understand whether the growth is clinically warranted</w:t>
      </w:r>
      <w:r w:rsidR="00671874">
        <w:t>.</w:t>
      </w:r>
    </w:p>
    <w:p w14:paraId="4C6B9DAB" w14:textId="77777777" w:rsidR="00215E4D" w:rsidRPr="00E13E08" w:rsidRDefault="00215E4D" w:rsidP="00E13E08"/>
    <w:p w14:paraId="10D45F15" w14:textId="4F3F6E15" w:rsidR="00B05B46" w:rsidRPr="006D7287" w:rsidRDefault="00B05B46" w:rsidP="00767FF4">
      <w:pPr>
        <w:pStyle w:val="Heading2"/>
        <w:sectPr w:rsidR="00B05B46" w:rsidRPr="006D7287" w:rsidSect="00767FF4">
          <w:pgSz w:w="11906" w:h="16838"/>
          <w:pgMar w:top="1701" w:right="1418" w:bottom="1418" w:left="1418" w:header="709" w:footer="709" w:gutter="0"/>
          <w:cols w:space="708"/>
          <w:docGrid w:linePitch="360"/>
        </w:sectPr>
      </w:pPr>
    </w:p>
    <w:p w14:paraId="63266525" w14:textId="77777777" w:rsidR="00205A93" w:rsidRPr="004D1339" w:rsidRDefault="00205A93" w:rsidP="00E13E08">
      <w:pPr>
        <w:pStyle w:val="URL"/>
      </w:pPr>
      <w:r w:rsidRPr="004D1339">
        <w:lastRenderedPageBreak/>
        <w:t>Health.gov.au</w:t>
      </w:r>
    </w:p>
    <w:p w14:paraId="53032FFB" w14:textId="51657560" w:rsidR="00205A93" w:rsidRPr="004D1339" w:rsidRDefault="00205A93" w:rsidP="00D560EE">
      <w:pPr>
        <w:jc w:val="center"/>
      </w:pPr>
      <w:r w:rsidRPr="004D1339">
        <w:t xml:space="preserve">All information in this publication is correct as </w:t>
      </w:r>
      <w:r w:rsidR="00406095" w:rsidRPr="004D1339">
        <w:t>of</w:t>
      </w:r>
      <w:r w:rsidR="00384D4A">
        <w:t xml:space="preserve"> </w:t>
      </w:r>
      <w:r w:rsidR="003726D4">
        <w:t xml:space="preserve">April </w:t>
      </w:r>
      <w:r w:rsidR="009B5FC3">
        <w:t>202</w:t>
      </w:r>
      <w:r w:rsidR="003726D4">
        <w:t>5</w:t>
      </w:r>
    </w:p>
    <w:sectPr w:rsidR="00205A93" w:rsidRPr="004D1339" w:rsidSect="00531F44">
      <w:headerReference w:type="even" r:id="rId23"/>
      <w:headerReference w:type="default" r:id="rId24"/>
      <w:footerReference w:type="default" r:id="rId25"/>
      <w:headerReference w:type="first" r:id="rId26"/>
      <w:type w:val="oddPage"/>
      <w:pgSz w:w="11906" w:h="16838"/>
      <w:pgMar w:top="1701"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B7385B" w14:textId="77777777" w:rsidR="005959D5" w:rsidRDefault="005959D5" w:rsidP="00E13E08">
      <w:r>
        <w:separator/>
      </w:r>
    </w:p>
    <w:p w14:paraId="15F9BDD3" w14:textId="77777777" w:rsidR="005959D5" w:rsidRDefault="005959D5" w:rsidP="00E13E08"/>
  </w:endnote>
  <w:endnote w:type="continuationSeparator" w:id="0">
    <w:p w14:paraId="320D1D23" w14:textId="77777777" w:rsidR="005959D5" w:rsidRDefault="005959D5" w:rsidP="00E13E08">
      <w:r>
        <w:continuationSeparator/>
      </w:r>
    </w:p>
    <w:p w14:paraId="3C2395A4" w14:textId="77777777" w:rsidR="005959D5" w:rsidRDefault="005959D5" w:rsidP="00E13E08"/>
  </w:endnote>
  <w:endnote w:type="continuationNotice" w:id="1">
    <w:p w14:paraId="2D4A76C1" w14:textId="77777777" w:rsidR="005959D5" w:rsidRDefault="005959D5" w:rsidP="00E13E0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venir Next LT Pro">
    <w:charset w:val="00"/>
    <w:family w:val="swiss"/>
    <w:pitch w:val="variable"/>
    <w:sig w:usb0="800000EF" w:usb1="5000204A" w:usb2="00000000" w:usb3="00000000" w:csb0="00000093"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2454D5" w14:textId="77777777" w:rsidR="00C363E4" w:rsidRDefault="00C363E4" w:rsidP="00841111">
    <w:pPr>
      <w:pStyle w:val="Footer"/>
    </w:pPr>
    <w:r>
      <w:fldChar w:fldCharType="begin"/>
    </w:r>
    <w:r>
      <w:instrText xml:space="preserve"> PAGE   \* MERGEFORMAT </w:instrText>
    </w:r>
    <w:r>
      <w:fldChar w:fldCharType="separate"/>
    </w:r>
    <w:r>
      <w:rPr>
        <w:noProof/>
      </w:rPr>
      <w:t>4</w:t>
    </w:r>
    <w:r>
      <w:rPr>
        <w:noProof/>
      </w:rPr>
      <w:fldChar w:fldCharType="end"/>
    </w:r>
    <w:r w:rsidRPr="000D56E4">
      <w:tab/>
      <w:t>Insert document title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1162288"/>
      <w:docPartObj>
        <w:docPartGallery w:val="Page Numbers (Bottom of Page)"/>
        <w:docPartUnique/>
      </w:docPartObj>
    </w:sdtPr>
    <w:sdtEndPr>
      <w:rPr>
        <w:noProof/>
      </w:rPr>
    </w:sdtEndPr>
    <w:sdtContent>
      <w:p w14:paraId="7BDB3B96" w14:textId="378CE4EF" w:rsidR="00C363E4" w:rsidRDefault="00AA2171" w:rsidP="00E13E08">
        <w:pPr>
          <w:pStyle w:val="Footer"/>
        </w:pPr>
        <w:r>
          <w:t>Consultation Paper 10 – Stakeholder feedback</w:t>
        </w:r>
        <w:r w:rsidRPr="00BF373E">
          <w:rPr>
            <w:color w:val="FF0000"/>
          </w:rPr>
          <w:t xml:space="preserve"> </w:t>
        </w:r>
        <w:r w:rsidR="00F07163" w:rsidRPr="00E13E08">
          <w:t>high</w:t>
        </w:r>
        <w:r w:rsidR="00F07163">
          <w:rPr>
            <w:color w:val="FF0000"/>
          </w:rPr>
          <w:t xml:space="preserve"> </w:t>
        </w:r>
        <w:r w:rsidR="00F07163" w:rsidRPr="00E13E08">
          <w:t>level</w:t>
        </w:r>
        <w:r w:rsidR="00F07163">
          <w:rPr>
            <w:color w:val="FF0000"/>
          </w:rPr>
          <w:t xml:space="preserve"> </w:t>
        </w:r>
        <w:r w:rsidR="00F07163" w:rsidRPr="00E13E08">
          <w:t>summary</w:t>
        </w:r>
        <w:r w:rsidR="00C363E4">
          <w:tab/>
        </w:r>
        <w:r w:rsidR="00C363E4">
          <w:fldChar w:fldCharType="begin"/>
        </w:r>
        <w:r w:rsidR="00C363E4">
          <w:instrText xml:space="preserve"> PAGE   \* MERGEFORMAT </w:instrText>
        </w:r>
        <w:r w:rsidR="00C363E4">
          <w:fldChar w:fldCharType="separate"/>
        </w:r>
        <w:r w:rsidR="00C363E4">
          <w:rPr>
            <w:noProof/>
          </w:rPr>
          <w:t>3</w:t>
        </w:r>
        <w:r w:rsidR="00C363E4">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91601C" w14:textId="77777777" w:rsidR="00C363E4" w:rsidRDefault="00C363E4" w:rsidP="000D56E4">
    <w:pPr>
      <w:pStyle w:val="Footer"/>
    </w:pPr>
    <w:r>
      <w:t>Insert document title</w:t>
    </w:r>
    <w:r>
      <w:tab/>
    </w:r>
    <w:r>
      <w:fldChar w:fldCharType="begin"/>
    </w:r>
    <w:r>
      <w:instrText xml:space="preserve"> PAGE   \* MERGEFORMAT </w:instrText>
    </w:r>
    <w:r>
      <w:fldChar w:fldCharType="separate"/>
    </w:r>
    <w:r>
      <w:rPr>
        <w:noProof/>
      </w:rPr>
      <w:t>1</w:t>
    </w:r>
    <w:r>
      <w:rPr>
        <w:noProof/>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C16C8B" w14:textId="77777777" w:rsidR="00C363E4" w:rsidRDefault="00C363E4" w:rsidP="000D56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2269A2" w14:textId="77777777" w:rsidR="005959D5" w:rsidRDefault="005959D5" w:rsidP="00E13E08">
      <w:bookmarkStart w:id="0" w:name="_Hlk176507692"/>
      <w:bookmarkEnd w:id="0"/>
      <w:r>
        <w:separator/>
      </w:r>
    </w:p>
    <w:p w14:paraId="2A3B3522" w14:textId="77777777" w:rsidR="005959D5" w:rsidRDefault="005959D5" w:rsidP="00E13E08"/>
  </w:footnote>
  <w:footnote w:type="continuationSeparator" w:id="0">
    <w:p w14:paraId="02178804" w14:textId="77777777" w:rsidR="005959D5" w:rsidRDefault="005959D5" w:rsidP="00E13E08">
      <w:r>
        <w:continuationSeparator/>
      </w:r>
    </w:p>
    <w:p w14:paraId="5BC9A33F" w14:textId="77777777" w:rsidR="005959D5" w:rsidRDefault="005959D5" w:rsidP="00E13E08"/>
  </w:footnote>
  <w:footnote w:type="continuationNotice" w:id="1">
    <w:p w14:paraId="4C6FCA8C" w14:textId="77777777" w:rsidR="005959D5" w:rsidRDefault="005959D5" w:rsidP="00E13E0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5654D9" w14:textId="10AC8965" w:rsidR="00C363E4" w:rsidRDefault="00C363E4" w:rsidP="008E0C77">
    <w:pPr>
      <w:pStyle w:val="Headertext"/>
      <w:spacing w:after="180"/>
      <w:jc w:val="left"/>
    </w:pPr>
    <w:r>
      <w:rPr>
        <w:noProof/>
        <w:lang w:eastAsia="en-AU"/>
      </w:rPr>
      <w:drawing>
        <wp:anchor distT="0" distB="0" distL="114300" distR="114300" simplePos="0" relativeHeight="251656704" behindDoc="1" locked="0" layoutInCell="1" allowOverlap="1" wp14:anchorId="38E2978F" wp14:editId="67DD123A">
          <wp:simplePos x="0" y="0"/>
          <wp:positionH relativeFrom="page">
            <wp:align>center</wp:align>
          </wp:positionH>
          <wp:positionV relativeFrom="page">
            <wp:align>center</wp:align>
          </wp:positionV>
          <wp:extent cx="7560000" cy="10692000"/>
          <wp:effectExtent l="0" t="0" r="3175" b="0"/>
          <wp:wrapNone/>
          <wp:docPr id="1341118678" name="Picture 134111867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2937DF" w14:textId="16C4FF11" w:rsidR="00C363E4" w:rsidRPr="00E13E08" w:rsidRDefault="00E13E08" w:rsidP="00E13E08">
    <w:pPr>
      <w:pStyle w:val="Header"/>
    </w:pPr>
    <w:r>
      <w:rPr>
        <w:noProof/>
        <w:lang w:eastAsia="en-AU"/>
      </w:rPr>
      <w:drawing>
        <wp:anchor distT="0" distB="0" distL="114300" distR="114300" simplePos="0" relativeHeight="251659776" behindDoc="1" locked="0" layoutInCell="1" allowOverlap="1" wp14:anchorId="1E79D9ED" wp14:editId="1A435147">
          <wp:simplePos x="0" y="0"/>
          <wp:positionH relativeFrom="page">
            <wp:posOffset>5080</wp:posOffset>
          </wp:positionH>
          <wp:positionV relativeFrom="page">
            <wp:posOffset>-7620</wp:posOffset>
          </wp:positionV>
          <wp:extent cx="7558768" cy="10691999"/>
          <wp:effectExtent l="0" t="0" r="0" b="1905"/>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8768" cy="10691999"/>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27B1C" w14:textId="46488A04" w:rsidR="00C363E4" w:rsidRDefault="00C363E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B34C9F" w14:textId="27DBAEFE" w:rsidR="00C363E4" w:rsidRDefault="00C363E4" w:rsidP="008E0C77">
    <w:pPr>
      <w:pStyle w:val="Headertext"/>
      <w:spacing w:after="180"/>
      <w:jc w:val="lef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2D8AF7" w14:textId="461F9FF6" w:rsidR="00C363E4" w:rsidRDefault="00C363E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A1D675" w14:textId="66D944F3" w:rsidR="00C363E4" w:rsidRDefault="00C363E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129B50" w14:textId="3836F904" w:rsidR="00C363E4" w:rsidRDefault="00C363E4" w:rsidP="008E0C77">
    <w:pPr>
      <w:pStyle w:val="Headertext"/>
      <w:spacing w:after="180"/>
      <w:jc w:val="left"/>
    </w:pPr>
    <w:r>
      <w:rPr>
        <w:noProof/>
        <w:lang w:eastAsia="en-AU"/>
      </w:rPr>
      <w:drawing>
        <wp:anchor distT="0" distB="0" distL="114300" distR="114300" simplePos="0" relativeHeight="251657728" behindDoc="1" locked="0" layoutInCell="1" allowOverlap="1" wp14:anchorId="6C497CBB" wp14:editId="5A430F10">
          <wp:simplePos x="0" y="0"/>
          <wp:positionH relativeFrom="page">
            <wp:posOffset>0</wp:posOffset>
          </wp:positionH>
          <wp:positionV relativeFrom="page">
            <wp:posOffset>3458210</wp:posOffset>
          </wp:positionV>
          <wp:extent cx="7559040" cy="7232650"/>
          <wp:effectExtent l="0" t="0" r="3810" b="6350"/>
          <wp:wrapNone/>
          <wp:docPr id="1373981349" name="Picture 13739813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rotWithShape="1">
                  <a:blip r:embed="rId1" cstate="print">
                    <a:extLst>
                      <a:ext uri="{28A0092B-C50C-407E-A947-70E740481C1C}">
                        <a14:useLocalDpi xmlns:a14="http://schemas.microsoft.com/office/drawing/2010/main" val="0"/>
                      </a:ext>
                    </a:extLst>
                  </a:blip>
                  <a:srcRect t="32351"/>
                  <a:stretch/>
                </pic:blipFill>
                <pic:spPr bwMode="auto">
                  <a:xfrm>
                    <a:off x="0" y="0"/>
                    <a:ext cx="7559040" cy="72326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C59D7D" w14:textId="59888EC0" w:rsidR="00C363E4" w:rsidRDefault="00C363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6DF68F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9718D1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AD8CE45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FFFFFF88"/>
    <w:multiLevelType w:val="singleLevel"/>
    <w:tmpl w:val="A98CEA5E"/>
    <w:lvl w:ilvl="0">
      <w:start w:val="1"/>
      <w:numFmt w:val="decimal"/>
      <w:pStyle w:val="ListNumber"/>
      <w:lvlText w:val="%1."/>
      <w:lvlJc w:val="left"/>
      <w:pPr>
        <w:tabs>
          <w:tab w:val="num" w:pos="360"/>
        </w:tabs>
        <w:ind w:left="360" w:hanging="360"/>
      </w:pPr>
    </w:lvl>
  </w:abstractNum>
  <w:abstractNum w:abstractNumId="4" w15:restartNumberingAfterBreak="0">
    <w:nsid w:val="FFFFFF89"/>
    <w:multiLevelType w:val="singleLevel"/>
    <w:tmpl w:val="1496142C"/>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10252F5"/>
    <w:multiLevelType w:val="hybridMultilevel"/>
    <w:tmpl w:val="B30C848E"/>
    <w:lvl w:ilvl="0" w:tplc="0C09000F">
      <w:start w:val="3"/>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 w15:restartNumberingAfterBreak="0">
    <w:nsid w:val="0184500D"/>
    <w:multiLevelType w:val="hybridMultilevel"/>
    <w:tmpl w:val="A54CCB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83046E5"/>
    <w:multiLevelType w:val="multilevel"/>
    <w:tmpl w:val="2508FBD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E533A7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111C2489"/>
    <w:multiLevelType w:val="hybridMultilevel"/>
    <w:tmpl w:val="F8384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2254B88"/>
    <w:multiLevelType w:val="hybridMultilevel"/>
    <w:tmpl w:val="7EE245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3363506"/>
    <w:multiLevelType w:val="hybridMultilevel"/>
    <w:tmpl w:val="0C14BC34"/>
    <w:lvl w:ilvl="0" w:tplc="B9FCAD80">
      <w:start w:val="1"/>
      <w:numFmt w:val="bullet"/>
      <w:pStyle w:val="ListBullet"/>
      <w:lvlText w:val=""/>
      <w:lvlJc w:val="left"/>
      <w:pPr>
        <w:ind w:left="643" w:hanging="360"/>
      </w:pPr>
      <w:rPr>
        <w:rFonts w:ascii="Symbol" w:hAnsi="Symbol" w:hint="default"/>
        <w:color w:val="auto"/>
      </w:rPr>
    </w:lvl>
    <w:lvl w:ilvl="1" w:tplc="0C090003">
      <w:start w:val="1"/>
      <w:numFmt w:val="bullet"/>
      <w:lvlText w:val="o"/>
      <w:lvlJc w:val="left"/>
      <w:pPr>
        <w:ind w:left="4701" w:hanging="360"/>
      </w:pPr>
      <w:rPr>
        <w:rFonts w:ascii="Courier New" w:hAnsi="Courier New" w:cs="Courier New" w:hint="default"/>
      </w:rPr>
    </w:lvl>
    <w:lvl w:ilvl="2" w:tplc="0C090005" w:tentative="1">
      <w:start w:val="1"/>
      <w:numFmt w:val="bullet"/>
      <w:lvlText w:val=""/>
      <w:lvlJc w:val="left"/>
      <w:pPr>
        <w:ind w:left="5421" w:hanging="360"/>
      </w:pPr>
      <w:rPr>
        <w:rFonts w:ascii="Wingdings" w:hAnsi="Wingdings" w:hint="default"/>
      </w:rPr>
    </w:lvl>
    <w:lvl w:ilvl="3" w:tplc="0C090001" w:tentative="1">
      <w:start w:val="1"/>
      <w:numFmt w:val="bullet"/>
      <w:lvlText w:val=""/>
      <w:lvlJc w:val="left"/>
      <w:pPr>
        <w:ind w:left="6141" w:hanging="360"/>
      </w:pPr>
      <w:rPr>
        <w:rFonts w:ascii="Symbol" w:hAnsi="Symbol" w:hint="default"/>
      </w:rPr>
    </w:lvl>
    <w:lvl w:ilvl="4" w:tplc="0C090003" w:tentative="1">
      <w:start w:val="1"/>
      <w:numFmt w:val="bullet"/>
      <w:lvlText w:val="o"/>
      <w:lvlJc w:val="left"/>
      <w:pPr>
        <w:ind w:left="6861" w:hanging="360"/>
      </w:pPr>
      <w:rPr>
        <w:rFonts w:ascii="Courier New" w:hAnsi="Courier New" w:cs="Courier New" w:hint="default"/>
      </w:rPr>
    </w:lvl>
    <w:lvl w:ilvl="5" w:tplc="0C090005" w:tentative="1">
      <w:start w:val="1"/>
      <w:numFmt w:val="bullet"/>
      <w:lvlText w:val=""/>
      <w:lvlJc w:val="left"/>
      <w:pPr>
        <w:ind w:left="7581" w:hanging="360"/>
      </w:pPr>
      <w:rPr>
        <w:rFonts w:ascii="Wingdings" w:hAnsi="Wingdings" w:hint="default"/>
      </w:rPr>
    </w:lvl>
    <w:lvl w:ilvl="6" w:tplc="0C090001" w:tentative="1">
      <w:start w:val="1"/>
      <w:numFmt w:val="bullet"/>
      <w:lvlText w:val=""/>
      <w:lvlJc w:val="left"/>
      <w:pPr>
        <w:ind w:left="8301" w:hanging="360"/>
      </w:pPr>
      <w:rPr>
        <w:rFonts w:ascii="Symbol" w:hAnsi="Symbol" w:hint="default"/>
      </w:rPr>
    </w:lvl>
    <w:lvl w:ilvl="7" w:tplc="0C090003" w:tentative="1">
      <w:start w:val="1"/>
      <w:numFmt w:val="bullet"/>
      <w:lvlText w:val="o"/>
      <w:lvlJc w:val="left"/>
      <w:pPr>
        <w:ind w:left="9021" w:hanging="360"/>
      </w:pPr>
      <w:rPr>
        <w:rFonts w:ascii="Courier New" w:hAnsi="Courier New" w:cs="Courier New" w:hint="default"/>
      </w:rPr>
    </w:lvl>
    <w:lvl w:ilvl="8" w:tplc="0C090005" w:tentative="1">
      <w:start w:val="1"/>
      <w:numFmt w:val="bullet"/>
      <w:lvlText w:val=""/>
      <w:lvlJc w:val="left"/>
      <w:pPr>
        <w:ind w:left="9741" w:hanging="360"/>
      </w:pPr>
      <w:rPr>
        <w:rFonts w:ascii="Wingdings" w:hAnsi="Wingdings" w:hint="default"/>
      </w:rPr>
    </w:lvl>
  </w:abstractNum>
  <w:abstractNum w:abstractNumId="13" w15:restartNumberingAfterBreak="0">
    <w:nsid w:val="14357058"/>
    <w:multiLevelType w:val="multilevel"/>
    <w:tmpl w:val="475E2DD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63C42B0"/>
    <w:multiLevelType w:val="multilevel"/>
    <w:tmpl w:val="32BCA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64475C7"/>
    <w:multiLevelType w:val="hybridMultilevel"/>
    <w:tmpl w:val="241CCB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68528F8"/>
    <w:multiLevelType w:val="hybridMultilevel"/>
    <w:tmpl w:val="DEE69B34"/>
    <w:lvl w:ilvl="0" w:tplc="0C090001">
      <w:start w:val="1"/>
      <w:numFmt w:val="bullet"/>
      <w:lvlText w:val=""/>
      <w:lvlJc w:val="left"/>
      <w:pPr>
        <w:ind w:left="1032" w:hanging="360"/>
      </w:pPr>
      <w:rPr>
        <w:rFonts w:ascii="Symbol" w:hAnsi="Symbol" w:hint="default"/>
      </w:rPr>
    </w:lvl>
    <w:lvl w:ilvl="1" w:tplc="0C090003" w:tentative="1">
      <w:start w:val="1"/>
      <w:numFmt w:val="bullet"/>
      <w:lvlText w:val="o"/>
      <w:lvlJc w:val="left"/>
      <w:pPr>
        <w:ind w:left="1752" w:hanging="360"/>
      </w:pPr>
      <w:rPr>
        <w:rFonts w:ascii="Courier New" w:hAnsi="Courier New" w:cs="Courier New" w:hint="default"/>
      </w:rPr>
    </w:lvl>
    <w:lvl w:ilvl="2" w:tplc="0C090005" w:tentative="1">
      <w:start w:val="1"/>
      <w:numFmt w:val="bullet"/>
      <w:lvlText w:val=""/>
      <w:lvlJc w:val="left"/>
      <w:pPr>
        <w:ind w:left="2472" w:hanging="360"/>
      </w:pPr>
      <w:rPr>
        <w:rFonts w:ascii="Wingdings" w:hAnsi="Wingdings" w:hint="default"/>
      </w:rPr>
    </w:lvl>
    <w:lvl w:ilvl="3" w:tplc="0C090001" w:tentative="1">
      <w:start w:val="1"/>
      <w:numFmt w:val="bullet"/>
      <w:lvlText w:val=""/>
      <w:lvlJc w:val="left"/>
      <w:pPr>
        <w:ind w:left="3192" w:hanging="360"/>
      </w:pPr>
      <w:rPr>
        <w:rFonts w:ascii="Symbol" w:hAnsi="Symbol" w:hint="default"/>
      </w:rPr>
    </w:lvl>
    <w:lvl w:ilvl="4" w:tplc="0C090003" w:tentative="1">
      <w:start w:val="1"/>
      <w:numFmt w:val="bullet"/>
      <w:lvlText w:val="o"/>
      <w:lvlJc w:val="left"/>
      <w:pPr>
        <w:ind w:left="3912" w:hanging="360"/>
      </w:pPr>
      <w:rPr>
        <w:rFonts w:ascii="Courier New" w:hAnsi="Courier New" w:cs="Courier New" w:hint="default"/>
      </w:rPr>
    </w:lvl>
    <w:lvl w:ilvl="5" w:tplc="0C090005" w:tentative="1">
      <w:start w:val="1"/>
      <w:numFmt w:val="bullet"/>
      <w:lvlText w:val=""/>
      <w:lvlJc w:val="left"/>
      <w:pPr>
        <w:ind w:left="4632" w:hanging="360"/>
      </w:pPr>
      <w:rPr>
        <w:rFonts w:ascii="Wingdings" w:hAnsi="Wingdings" w:hint="default"/>
      </w:rPr>
    </w:lvl>
    <w:lvl w:ilvl="6" w:tplc="0C090001" w:tentative="1">
      <w:start w:val="1"/>
      <w:numFmt w:val="bullet"/>
      <w:lvlText w:val=""/>
      <w:lvlJc w:val="left"/>
      <w:pPr>
        <w:ind w:left="5352" w:hanging="360"/>
      </w:pPr>
      <w:rPr>
        <w:rFonts w:ascii="Symbol" w:hAnsi="Symbol" w:hint="default"/>
      </w:rPr>
    </w:lvl>
    <w:lvl w:ilvl="7" w:tplc="0C090003" w:tentative="1">
      <w:start w:val="1"/>
      <w:numFmt w:val="bullet"/>
      <w:lvlText w:val="o"/>
      <w:lvlJc w:val="left"/>
      <w:pPr>
        <w:ind w:left="6072" w:hanging="360"/>
      </w:pPr>
      <w:rPr>
        <w:rFonts w:ascii="Courier New" w:hAnsi="Courier New" w:cs="Courier New" w:hint="default"/>
      </w:rPr>
    </w:lvl>
    <w:lvl w:ilvl="8" w:tplc="0C090005" w:tentative="1">
      <w:start w:val="1"/>
      <w:numFmt w:val="bullet"/>
      <w:lvlText w:val=""/>
      <w:lvlJc w:val="left"/>
      <w:pPr>
        <w:ind w:left="6792" w:hanging="360"/>
      </w:pPr>
      <w:rPr>
        <w:rFonts w:ascii="Wingdings" w:hAnsi="Wingdings" w:hint="default"/>
      </w:rPr>
    </w:lvl>
  </w:abstractNum>
  <w:abstractNum w:abstractNumId="17" w15:restartNumberingAfterBreak="0">
    <w:nsid w:val="17371AB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1A1853B4"/>
    <w:multiLevelType w:val="multilevel"/>
    <w:tmpl w:val="D80CE9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1BBF18E8"/>
    <w:multiLevelType w:val="multilevel"/>
    <w:tmpl w:val="54D83A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1E4A42AC"/>
    <w:multiLevelType w:val="multilevel"/>
    <w:tmpl w:val="E7CC1EC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1E82282A"/>
    <w:multiLevelType w:val="hybridMultilevel"/>
    <w:tmpl w:val="F558E67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1FFB1C29"/>
    <w:multiLevelType w:val="multilevel"/>
    <w:tmpl w:val="2720397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22637232"/>
    <w:multiLevelType w:val="hybridMultilevel"/>
    <w:tmpl w:val="22E285AE"/>
    <w:lvl w:ilvl="0" w:tplc="0C090001">
      <w:start w:val="1"/>
      <w:numFmt w:val="bullet"/>
      <w:lvlText w:val=""/>
      <w:lvlJc w:val="left"/>
      <w:pPr>
        <w:ind w:left="962" w:hanging="360"/>
      </w:pPr>
      <w:rPr>
        <w:rFonts w:ascii="Symbol" w:hAnsi="Symbol" w:hint="default"/>
      </w:rPr>
    </w:lvl>
    <w:lvl w:ilvl="1" w:tplc="0C090003">
      <w:start w:val="1"/>
      <w:numFmt w:val="bullet"/>
      <w:lvlText w:val="o"/>
      <w:lvlJc w:val="left"/>
      <w:pPr>
        <w:ind w:left="1682" w:hanging="360"/>
      </w:pPr>
      <w:rPr>
        <w:rFonts w:ascii="Courier New" w:hAnsi="Courier New" w:cs="Courier New" w:hint="default"/>
      </w:rPr>
    </w:lvl>
    <w:lvl w:ilvl="2" w:tplc="0C090005">
      <w:start w:val="1"/>
      <w:numFmt w:val="bullet"/>
      <w:lvlText w:val=""/>
      <w:lvlJc w:val="left"/>
      <w:pPr>
        <w:ind w:left="2402" w:hanging="360"/>
      </w:pPr>
      <w:rPr>
        <w:rFonts w:ascii="Wingdings" w:hAnsi="Wingdings" w:hint="default"/>
      </w:rPr>
    </w:lvl>
    <w:lvl w:ilvl="3" w:tplc="0C090001">
      <w:start w:val="1"/>
      <w:numFmt w:val="bullet"/>
      <w:lvlText w:val=""/>
      <w:lvlJc w:val="left"/>
      <w:pPr>
        <w:ind w:left="3122" w:hanging="360"/>
      </w:pPr>
      <w:rPr>
        <w:rFonts w:ascii="Symbol" w:hAnsi="Symbol" w:hint="default"/>
      </w:rPr>
    </w:lvl>
    <w:lvl w:ilvl="4" w:tplc="0C090003">
      <w:start w:val="1"/>
      <w:numFmt w:val="bullet"/>
      <w:lvlText w:val="o"/>
      <w:lvlJc w:val="left"/>
      <w:pPr>
        <w:ind w:left="3842" w:hanging="360"/>
      </w:pPr>
      <w:rPr>
        <w:rFonts w:ascii="Courier New" w:hAnsi="Courier New" w:cs="Courier New" w:hint="default"/>
      </w:rPr>
    </w:lvl>
    <w:lvl w:ilvl="5" w:tplc="0C090005">
      <w:start w:val="1"/>
      <w:numFmt w:val="bullet"/>
      <w:lvlText w:val=""/>
      <w:lvlJc w:val="left"/>
      <w:pPr>
        <w:ind w:left="4562" w:hanging="360"/>
      </w:pPr>
      <w:rPr>
        <w:rFonts w:ascii="Wingdings" w:hAnsi="Wingdings" w:hint="default"/>
      </w:rPr>
    </w:lvl>
    <w:lvl w:ilvl="6" w:tplc="0C090001">
      <w:start w:val="1"/>
      <w:numFmt w:val="bullet"/>
      <w:lvlText w:val=""/>
      <w:lvlJc w:val="left"/>
      <w:pPr>
        <w:ind w:left="5282" w:hanging="360"/>
      </w:pPr>
      <w:rPr>
        <w:rFonts w:ascii="Symbol" w:hAnsi="Symbol" w:hint="default"/>
      </w:rPr>
    </w:lvl>
    <w:lvl w:ilvl="7" w:tplc="0C090003">
      <w:start w:val="1"/>
      <w:numFmt w:val="bullet"/>
      <w:lvlText w:val="o"/>
      <w:lvlJc w:val="left"/>
      <w:pPr>
        <w:ind w:left="6002" w:hanging="360"/>
      </w:pPr>
      <w:rPr>
        <w:rFonts w:ascii="Courier New" w:hAnsi="Courier New" w:cs="Courier New" w:hint="default"/>
      </w:rPr>
    </w:lvl>
    <w:lvl w:ilvl="8" w:tplc="0C090005">
      <w:start w:val="1"/>
      <w:numFmt w:val="bullet"/>
      <w:lvlText w:val=""/>
      <w:lvlJc w:val="left"/>
      <w:pPr>
        <w:ind w:left="6722" w:hanging="360"/>
      </w:pPr>
      <w:rPr>
        <w:rFonts w:ascii="Wingdings" w:hAnsi="Wingdings" w:hint="default"/>
      </w:rPr>
    </w:lvl>
  </w:abstractNum>
  <w:abstractNum w:abstractNumId="24" w15:restartNumberingAfterBreak="0">
    <w:nsid w:val="23971968"/>
    <w:multiLevelType w:val="multilevel"/>
    <w:tmpl w:val="BCCC507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283D69E5"/>
    <w:multiLevelType w:val="multilevel"/>
    <w:tmpl w:val="9FAAD5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2B436E17"/>
    <w:multiLevelType w:val="multilevel"/>
    <w:tmpl w:val="524EF69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DD458AB"/>
    <w:multiLevelType w:val="multilevel"/>
    <w:tmpl w:val="E14E06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F4939CE"/>
    <w:multiLevelType w:val="multilevel"/>
    <w:tmpl w:val="BF409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308806E8"/>
    <w:multiLevelType w:val="multilevel"/>
    <w:tmpl w:val="3E165C9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323A0DFA"/>
    <w:multiLevelType w:val="multilevel"/>
    <w:tmpl w:val="BE3A6D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343B675A"/>
    <w:multiLevelType w:val="multilevel"/>
    <w:tmpl w:val="72A238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389C7B3A"/>
    <w:multiLevelType w:val="multilevel"/>
    <w:tmpl w:val="73424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3AFC031F"/>
    <w:multiLevelType w:val="hybridMultilevel"/>
    <w:tmpl w:val="CD8E42C4"/>
    <w:lvl w:ilvl="0" w:tplc="C184A09A">
      <w:start w:val="1"/>
      <w:numFmt w:val="bullet"/>
      <w:pStyle w:val="071Tablebullet8p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420B650D"/>
    <w:multiLevelType w:val="hybridMultilevel"/>
    <w:tmpl w:val="ADC4A9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457F5B80"/>
    <w:multiLevelType w:val="hybridMultilevel"/>
    <w:tmpl w:val="7ED40F32"/>
    <w:lvl w:ilvl="0" w:tplc="0C090001">
      <w:start w:val="1"/>
      <w:numFmt w:val="bullet"/>
      <w:lvlText w:val=""/>
      <w:lvlJc w:val="left"/>
      <w:pPr>
        <w:ind w:left="1033" w:hanging="360"/>
      </w:pPr>
      <w:rPr>
        <w:rFonts w:ascii="Symbol" w:hAnsi="Symbol" w:hint="default"/>
      </w:rPr>
    </w:lvl>
    <w:lvl w:ilvl="1" w:tplc="0C090003" w:tentative="1">
      <w:start w:val="1"/>
      <w:numFmt w:val="bullet"/>
      <w:lvlText w:val="o"/>
      <w:lvlJc w:val="left"/>
      <w:pPr>
        <w:ind w:left="1753" w:hanging="360"/>
      </w:pPr>
      <w:rPr>
        <w:rFonts w:ascii="Courier New" w:hAnsi="Courier New" w:cs="Courier New" w:hint="default"/>
      </w:rPr>
    </w:lvl>
    <w:lvl w:ilvl="2" w:tplc="0C090005" w:tentative="1">
      <w:start w:val="1"/>
      <w:numFmt w:val="bullet"/>
      <w:lvlText w:val=""/>
      <w:lvlJc w:val="left"/>
      <w:pPr>
        <w:ind w:left="2473" w:hanging="360"/>
      </w:pPr>
      <w:rPr>
        <w:rFonts w:ascii="Wingdings" w:hAnsi="Wingdings" w:hint="default"/>
      </w:rPr>
    </w:lvl>
    <w:lvl w:ilvl="3" w:tplc="0C090001" w:tentative="1">
      <w:start w:val="1"/>
      <w:numFmt w:val="bullet"/>
      <w:lvlText w:val=""/>
      <w:lvlJc w:val="left"/>
      <w:pPr>
        <w:ind w:left="3193" w:hanging="360"/>
      </w:pPr>
      <w:rPr>
        <w:rFonts w:ascii="Symbol" w:hAnsi="Symbol" w:hint="default"/>
      </w:rPr>
    </w:lvl>
    <w:lvl w:ilvl="4" w:tplc="0C090003" w:tentative="1">
      <w:start w:val="1"/>
      <w:numFmt w:val="bullet"/>
      <w:lvlText w:val="o"/>
      <w:lvlJc w:val="left"/>
      <w:pPr>
        <w:ind w:left="3913" w:hanging="360"/>
      </w:pPr>
      <w:rPr>
        <w:rFonts w:ascii="Courier New" w:hAnsi="Courier New" w:cs="Courier New" w:hint="default"/>
      </w:rPr>
    </w:lvl>
    <w:lvl w:ilvl="5" w:tplc="0C090005" w:tentative="1">
      <w:start w:val="1"/>
      <w:numFmt w:val="bullet"/>
      <w:lvlText w:val=""/>
      <w:lvlJc w:val="left"/>
      <w:pPr>
        <w:ind w:left="4633" w:hanging="360"/>
      </w:pPr>
      <w:rPr>
        <w:rFonts w:ascii="Wingdings" w:hAnsi="Wingdings" w:hint="default"/>
      </w:rPr>
    </w:lvl>
    <w:lvl w:ilvl="6" w:tplc="0C090001" w:tentative="1">
      <w:start w:val="1"/>
      <w:numFmt w:val="bullet"/>
      <w:lvlText w:val=""/>
      <w:lvlJc w:val="left"/>
      <w:pPr>
        <w:ind w:left="5353" w:hanging="360"/>
      </w:pPr>
      <w:rPr>
        <w:rFonts w:ascii="Symbol" w:hAnsi="Symbol" w:hint="default"/>
      </w:rPr>
    </w:lvl>
    <w:lvl w:ilvl="7" w:tplc="0C090003" w:tentative="1">
      <w:start w:val="1"/>
      <w:numFmt w:val="bullet"/>
      <w:lvlText w:val="o"/>
      <w:lvlJc w:val="left"/>
      <w:pPr>
        <w:ind w:left="6073" w:hanging="360"/>
      </w:pPr>
      <w:rPr>
        <w:rFonts w:ascii="Courier New" w:hAnsi="Courier New" w:cs="Courier New" w:hint="default"/>
      </w:rPr>
    </w:lvl>
    <w:lvl w:ilvl="8" w:tplc="0C090005" w:tentative="1">
      <w:start w:val="1"/>
      <w:numFmt w:val="bullet"/>
      <w:lvlText w:val=""/>
      <w:lvlJc w:val="left"/>
      <w:pPr>
        <w:ind w:left="6793" w:hanging="360"/>
      </w:pPr>
      <w:rPr>
        <w:rFonts w:ascii="Wingdings" w:hAnsi="Wingdings" w:hint="default"/>
      </w:rPr>
    </w:lvl>
  </w:abstractNum>
  <w:abstractNum w:abstractNumId="36" w15:restartNumberingAfterBreak="0">
    <w:nsid w:val="4D5D304E"/>
    <w:multiLevelType w:val="hybridMultilevel"/>
    <w:tmpl w:val="DDF6B770"/>
    <w:lvl w:ilvl="0" w:tplc="0B0E5D84">
      <w:start w:val="1"/>
      <w:numFmt w:val="bullet"/>
      <w:pStyle w:val="Checklist"/>
      <w:lvlText w:val=""/>
      <w:lvlJc w:val="left"/>
      <w:pPr>
        <w:ind w:left="1060" w:hanging="360"/>
      </w:pPr>
      <w:rPr>
        <w:rFonts w:ascii="Symbol" w:hAnsi="Symbol" w:hint="default"/>
        <w:color w:val="auto"/>
      </w:rPr>
    </w:lvl>
    <w:lvl w:ilvl="1" w:tplc="0C090003">
      <w:start w:val="1"/>
      <w:numFmt w:val="bullet"/>
      <w:lvlText w:val="o"/>
      <w:lvlJc w:val="left"/>
      <w:pPr>
        <w:ind w:left="1780" w:hanging="360"/>
      </w:pPr>
      <w:rPr>
        <w:rFonts w:ascii="Courier New" w:hAnsi="Courier New" w:cs="Courier New" w:hint="default"/>
      </w:rPr>
    </w:lvl>
    <w:lvl w:ilvl="2" w:tplc="0C090005" w:tentative="1">
      <w:start w:val="1"/>
      <w:numFmt w:val="bullet"/>
      <w:lvlText w:val=""/>
      <w:lvlJc w:val="left"/>
      <w:pPr>
        <w:ind w:left="2500" w:hanging="360"/>
      </w:pPr>
      <w:rPr>
        <w:rFonts w:ascii="Wingdings" w:hAnsi="Wingdings" w:hint="default"/>
      </w:rPr>
    </w:lvl>
    <w:lvl w:ilvl="3" w:tplc="0C090001" w:tentative="1">
      <w:start w:val="1"/>
      <w:numFmt w:val="bullet"/>
      <w:lvlText w:val=""/>
      <w:lvlJc w:val="left"/>
      <w:pPr>
        <w:ind w:left="3220" w:hanging="360"/>
      </w:pPr>
      <w:rPr>
        <w:rFonts w:ascii="Symbol" w:hAnsi="Symbol" w:hint="default"/>
      </w:rPr>
    </w:lvl>
    <w:lvl w:ilvl="4" w:tplc="0C090003" w:tentative="1">
      <w:start w:val="1"/>
      <w:numFmt w:val="bullet"/>
      <w:lvlText w:val="o"/>
      <w:lvlJc w:val="left"/>
      <w:pPr>
        <w:ind w:left="3940" w:hanging="360"/>
      </w:pPr>
      <w:rPr>
        <w:rFonts w:ascii="Courier New" w:hAnsi="Courier New" w:cs="Courier New" w:hint="default"/>
      </w:rPr>
    </w:lvl>
    <w:lvl w:ilvl="5" w:tplc="0C090005" w:tentative="1">
      <w:start w:val="1"/>
      <w:numFmt w:val="bullet"/>
      <w:lvlText w:val=""/>
      <w:lvlJc w:val="left"/>
      <w:pPr>
        <w:ind w:left="4660" w:hanging="360"/>
      </w:pPr>
      <w:rPr>
        <w:rFonts w:ascii="Wingdings" w:hAnsi="Wingdings" w:hint="default"/>
      </w:rPr>
    </w:lvl>
    <w:lvl w:ilvl="6" w:tplc="0C090001" w:tentative="1">
      <w:start w:val="1"/>
      <w:numFmt w:val="bullet"/>
      <w:lvlText w:val=""/>
      <w:lvlJc w:val="left"/>
      <w:pPr>
        <w:ind w:left="5380" w:hanging="360"/>
      </w:pPr>
      <w:rPr>
        <w:rFonts w:ascii="Symbol" w:hAnsi="Symbol" w:hint="default"/>
      </w:rPr>
    </w:lvl>
    <w:lvl w:ilvl="7" w:tplc="0C090003" w:tentative="1">
      <w:start w:val="1"/>
      <w:numFmt w:val="bullet"/>
      <w:lvlText w:val="o"/>
      <w:lvlJc w:val="left"/>
      <w:pPr>
        <w:ind w:left="6100" w:hanging="360"/>
      </w:pPr>
      <w:rPr>
        <w:rFonts w:ascii="Courier New" w:hAnsi="Courier New" w:cs="Courier New" w:hint="default"/>
      </w:rPr>
    </w:lvl>
    <w:lvl w:ilvl="8" w:tplc="0C090005" w:tentative="1">
      <w:start w:val="1"/>
      <w:numFmt w:val="bullet"/>
      <w:lvlText w:val=""/>
      <w:lvlJc w:val="left"/>
      <w:pPr>
        <w:ind w:left="6820" w:hanging="360"/>
      </w:pPr>
      <w:rPr>
        <w:rFonts w:ascii="Wingdings" w:hAnsi="Wingdings" w:hint="default"/>
      </w:rPr>
    </w:lvl>
  </w:abstractNum>
  <w:abstractNum w:abstractNumId="37" w15:restartNumberingAfterBreak="0">
    <w:nsid w:val="4ECC3104"/>
    <w:multiLevelType w:val="hybridMultilevel"/>
    <w:tmpl w:val="5E1A87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072709A"/>
    <w:multiLevelType w:val="hybridMultilevel"/>
    <w:tmpl w:val="78AA8D4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135AE774">
      <w:numFmt w:val="bullet"/>
      <w:lvlText w:val="-"/>
      <w:lvlJc w:val="left"/>
      <w:pPr>
        <w:ind w:left="4500" w:hanging="360"/>
      </w:pPr>
      <w:rPr>
        <w:rFonts w:ascii="Arial" w:eastAsiaTheme="majorEastAsia" w:hAnsi="Arial" w:cs="Arial" w:hint="default"/>
        <w:b/>
        <w:color w:val="242424"/>
        <w:sz w:val="24"/>
      </w:r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508C409B"/>
    <w:multiLevelType w:val="multilevel"/>
    <w:tmpl w:val="6DDAE5B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52AE31AF"/>
    <w:multiLevelType w:val="hybridMultilevel"/>
    <w:tmpl w:val="8AF09EF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2" w15:restartNumberingAfterBreak="0">
    <w:nsid w:val="553D54C9"/>
    <w:multiLevelType w:val="hybridMultilevel"/>
    <w:tmpl w:val="F294D63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3" w15:restartNumberingAfterBreak="0">
    <w:nsid w:val="58270A1C"/>
    <w:multiLevelType w:val="hybridMultilevel"/>
    <w:tmpl w:val="12CA40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5CD34C23"/>
    <w:multiLevelType w:val="hybridMultilevel"/>
    <w:tmpl w:val="764237B0"/>
    <w:lvl w:ilvl="0" w:tplc="F66C3D02">
      <w:start w:val="1"/>
      <w:numFmt w:val="bullet"/>
      <w:pStyle w:val="Bulletpoint"/>
      <w:lvlText w:val=""/>
      <w:lvlJc w:val="left"/>
      <w:pPr>
        <w:ind w:left="-2223" w:hanging="360"/>
      </w:pPr>
      <w:rPr>
        <w:rFonts w:ascii="Symbol" w:hAnsi="Symbol" w:hint="default"/>
      </w:rPr>
    </w:lvl>
    <w:lvl w:ilvl="1" w:tplc="0C090003">
      <w:start w:val="1"/>
      <w:numFmt w:val="bullet"/>
      <w:pStyle w:val="Bulletpoint2ndlevel"/>
      <w:lvlText w:val="o"/>
      <w:lvlJc w:val="left"/>
      <w:pPr>
        <w:ind w:left="-1503" w:hanging="360"/>
      </w:pPr>
      <w:rPr>
        <w:rFonts w:ascii="Courier New" w:hAnsi="Courier New" w:cs="Courier New" w:hint="default"/>
      </w:rPr>
    </w:lvl>
    <w:lvl w:ilvl="2" w:tplc="0C090005">
      <w:start w:val="1"/>
      <w:numFmt w:val="bullet"/>
      <w:lvlText w:val=""/>
      <w:lvlJc w:val="left"/>
      <w:pPr>
        <w:ind w:left="-783" w:hanging="360"/>
      </w:pPr>
      <w:rPr>
        <w:rFonts w:ascii="Wingdings" w:hAnsi="Wingdings" w:hint="default"/>
      </w:rPr>
    </w:lvl>
    <w:lvl w:ilvl="3" w:tplc="0C090001">
      <w:start w:val="1"/>
      <w:numFmt w:val="bullet"/>
      <w:lvlText w:val=""/>
      <w:lvlJc w:val="left"/>
      <w:pPr>
        <w:ind w:left="-63" w:hanging="360"/>
      </w:pPr>
      <w:rPr>
        <w:rFonts w:ascii="Symbol" w:hAnsi="Symbol" w:hint="default"/>
      </w:rPr>
    </w:lvl>
    <w:lvl w:ilvl="4" w:tplc="0C090003">
      <w:start w:val="1"/>
      <w:numFmt w:val="bullet"/>
      <w:lvlText w:val="o"/>
      <w:lvlJc w:val="left"/>
      <w:pPr>
        <w:ind w:left="657" w:hanging="360"/>
      </w:pPr>
      <w:rPr>
        <w:rFonts w:ascii="Courier New" w:hAnsi="Courier New" w:cs="Courier New" w:hint="default"/>
      </w:rPr>
    </w:lvl>
    <w:lvl w:ilvl="5" w:tplc="0C090005" w:tentative="1">
      <w:start w:val="1"/>
      <w:numFmt w:val="bullet"/>
      <w:lvlText w:val=""/>
      <w:lvlJc w:val="left"/>
      <w:pPr>
        <w:ind w:left="1377" w:hanging="360"/>
      </w:pPr>
      <w:rPr>
        <w:rFonts w:ascii="Wingdings" w:hAnsi="Wingdings" w:hint="default"/>
      </w:rPr>
    </w:lvl>
    <w:lvl w:ilvl="6" w:tplc="0C090001" w:tentative="1">
      <w:start w:val="1"/>
      <w:numFmt w:val="bullet"/>
      <w:lvlText w:val=""/>
      <w:lvlJc w:val="left"/>
      <w:pPr>
        <w:ind w:left="2097" w:hanging="360"/>
      </w:pPr>
      <w:rPr>
        <w:rFonts w:ascii="Symbol" w:hAnsi="Symbol" w:hint="default"/>
      </w:rPr>
    </w:lvl>
    <w:lvl w:ilvl="7" w:tplc="0C090003" w:tentative="1">
      <w:start w:val="1"/>
      <w:numFmt w:val="bullet"/>
      <w:lvlText w:val="o"/>
      <w:lvlJc w:val="left"/>
      <w:pPr>
        <w:ind w:left="2817" w:hanging="360"/>
      </w:pPr>
      <w:rPr>
        <w:rFonts w:ascii="Courier New" w:hAnsi="Courier New" w:cs="Courier New" w:hint="default"/>
      </w:rPr>
    </w:lvl>
    <w:lvl w:ilvl="8" w:tplc="0C090005" w:tentative="1">
      <w:start w:val="1"/>
      <w:numFmt w:val="bullet"/>
      <w:lvlText w:val=""/>
      <w:lvlJc w:val="left"/>
      <w:pPr>
        <w:ind w:left="3537" w:hanging="360"/>
      </w:pPr>
      <w:rPr>
        <w:rFonts w:ascii="Wingdings" w:hAnsi="Wingdings" w:hint="default"/>
      </w:rPr>
    </w:lvl>
  </w:abstractNum>
  <w:abstractNum w:abstractNumId="45" w15:restartNumberingAfterBreak="0">
    <w:nsid w:val="5ED67214"/>
    <w:multiLevelType w:val="hybridMultilevel"/>
    <w:tmpl w:val="580633D4"/>
    <w:lvl w:ilvl="0" w:tplc="0A14E11E">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618E41C6"/>
    <w:multiLevelType w:val="hybridMultilevel"/>
    <w:tmpl w:val="3B5453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62093685"/>
    <w:multiLevelType w:val="multilevel"/>
    <w:tmpl w:val="9B28E76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633E0AA0"/>
    <w:multiLevelType w:val="multilevel"/>
    <w:tmpl w:val="93C8F69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64A5630E"/>
    <w:multiLevelType w:val="multilevel"/>
    <w:tmpl w:val="9A06432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667448DD"/>
    <w:multiLevelType w:val="multilevel"/>
    <w:tmpl w:val="F72C09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690C3444"/>
    <w:multiLevelType w:val="hybridMultilevel"/>
    <w:tmpl w:val="AA2034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69470B96"/>
    <w:multiLevelType w:val="multilevel"/>
    <w:tmpl w:val="4C6C3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6F6F4652"/>
    <w:multiLevelType w:val="hybridMultilevel"/>
    <w:tmpl w:val="3C1458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7C076102"/>
    <w:multiLevelType w:val="hybridMultilevel"/>
    <w:tmpl w:val="8B98C5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7E391716"/>
    <w:multiLevelType w:val="hybridMultilevel"/>
    <w:tmpl w:val="00AC18E4"/>
    <w:lvl w:ilvl="0" w:tplc="2D2C5724">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16cid:durableId="683899504">
    <w:abstractNumId w:val="40"/>
  </w:num>
  <w:num w:numId="2" w16cid:durableId="656302771">
    <w:abstractNumId w:val="53"/>
  </w:num>
  <w:num w:numId="3" w16cid:durableId="457071731">
    <w:abstractNumId w:val="7"/>
  </w:num>
  <w:num w:numId="4" w16cid:durableId="1414007948">
    <w:abstractNumId w:val="56"/>
  </w:num>
  <w:num w:numId="5" w16cid:durableId="1051273548">
    <w:abstractNumId w:val="12"/>
  </w:num>
  <w:num w:numId="6" w16cid:durableId="1411121853">
    <w:abstractNumId w:val="33"/>
  </w:num>
  <w:num w:numId="7" w16cid:durableId="4602541">
    <w:abstractNumId w:val="44"/>
  </w:num>
  <w:num w:numId="8" w16cid:durableId="2119328362">
    <w:abstractNumId w:val="3"/>
  </w:num>
  <w:num w:numId="9" w16cid:durableId="2025741026">
    <w:abstractNumId w:val="36"/>
  </w:num>
  <w:num w:numId="10" w16cid:durableId="1646008747">
    <w:abstractNumId w:val="26"/>
  </w:num>
  <w:num w:numId="11" w16cid:durableId="1950090526">
    <w:abstractNumId w:val="26"/>
    <w:lvlOverride w:ilvl="1">
      <w:lvl w:ilvl="1">
        <w:numFmt w:val="bullet"/>
        <w:lvlText w:val=""/>
        <w:lvlJc w:val="left"/>
        <w:pPr>
          <w:tabs>
            <w:tab w:val="num" w:pos="1440"/>
          </w:tabs>
          <w:ind w:left="1440" w:hanging="360"/>
        </w:pPr>
        <w:rPr>
          <w:rFonts w:ascii="Symbol" w:hAnsi="Symbol" w:hint="default"/>
          <w:sz w:val="20"/>
        </w:rPr>
      </w:lvl>
    </w:lvlOverride>
  </w:num>
  <w:num w:numId="12" w16cid:durableId="1075593939">
    <w:abstractNumId w:val="26"/>
    <w:lvlOverride w:ilvl="1">
      <w:lvl w:ilvl="1">
        <w:numFmt w:val="bullet"/>
        <w:lvlText w:val=""/>
        <w:lvlJc w:val="left"/>
        <w:pPr>
          <w:tabs>
            <w:tab w:val="num" w:pos="1440"/>
          </w:tabs>
          <w:ind w:left="1440" w:hanging="360"/>
        </w:pPr>
        <w:rPr>
          <w:rFonts w:ascii="Symbol" w:hAnsi="Symbol" w:hint="default"/>
          <w:sz w:val="20"/>
        </w:rPr>
      </w:lvl>
    </w:lvlOverride>
  </w:num>
  <w:num w:numId="13" w16cid:durableId="673844945">
    <w:abstractNumId w:val="26"/>
    <w:lvlOverride w:ilvl="1">
      <w:lvl w:ilvl="1">
        <w:numFmt w:val="bullet"/>
        <w:lvlText w:val=""/>
        <w:lvlJc w:val="left"/>
        <w:pPr>
          <w:tabs>
            <w:tab w:val="num" w:pos="1440"/>
          </w:tabs>
          <w:ind w:left="1440" w:hanging="360"/>
        </w:pPr>
        <w:rPr>
          <w:rFonts w:ascii="Symbol" w:hAnsi="Symbol" w:hint="default"/>
          <w:sz w:val="20"/>
        </w:rPr>
      </w:lvl>
    </w:lvlOverride>
  </w:num>
  <w:num w:numId="14" w16cid:durableId="1956205780">
    <w:abstractNumId w:val="26"/>
    <w:lvlOverride w:ilvl="1">
      <w:lvl w:ilvl="1">
        <w:numFmt w:val="bullet"/>
        <w:lvlText w:val=""/>
        <w:lvlJc w:val="left"/>
        <w:pPr>
          <w:tabs>
            <w:tab w:val="num" w:pos="1440"/>
          </w:tabs>
          <w:ind w:left="1440" w:hanging="360"/>
        </w:pPr>
        <w:rPr>
          <w:rFonts w:ascii="Symbol" w:hAnsi="Symbol" w:hint="default"/>
          <w:sz w:val="20"/>
        </w:rPr>
      </w:lvl>
    </w:lvlOverride>
  </w:num>
  <w:num w:numId="15" w16cid:durableId="212542446">
    <w:abstractNumId w:val="38"/>
  </w:num>
  <w:num w:numId="16" w16cid:durableId="1190684569">
    <w:abstractNumId w:val="45"/>
  </w:num>
  <w:num w:numId="17" w16cid:durableId="8257916">
    <w:abstractNumId w:val="14"/>
  </w:num>
  <w:num w:numId="18" w16cid:durableId="1925603068">
    <w:abstractNumId w:val="25"/>
  </w:num>
  <w:num w:numId="19" w16cid:durableId="1713536926">
    <w:abstractNumId w:val="30"/>
  </w:num>
  <w:num w:numId="20" w16cid:durableId="1196309636">
    <w:abstractNumId w:val="27"/>
  </w:num>
  <w:num w:numId="21" w16cid:durableId="37777305">
    <w:abstractNumId w:val="6"/>
  </w:num>
  <w:num w:numId="22" w16cid:durableId="1069958373">
    <w:abstractNumId w:val="42"/>
  </w:num>
  <w:num w:numId="23" w16cid:durableId="1116607754">
    <w:abstractNumId w:val="35"/>
  </w:num>
  <w:num w:numId="24" w16cid:durableId="666907114">
    <w:abstractNumId w:val="16"/>
  </w:num>
  <w:num w:numId="25" w16cid:durableId="1384600356">
    <w:abstractNumId w:val="34"/>
  </w:num>
  <w:num w:numId="26" w16cid:durableId="843588959">
    <w:abstractNumId w:val="54"/>
  </w:num>
  <w:num w:numId="27" w16cid:durableId="1913151039">
    <w:abstractNumId w:val="46"/>
  </w:num>
  <w:num w:numId="28" w16cid:durableId="981420966">
    <w:abstractNumId w:val="51"/>
  </w:num>
  <w:num w:numId="29" w16cid:durableId="480775846">
    <w:abstractNumId w:val="15"/>
  </w:num>
  <w:num w:numId="30" w16cid:durableId="71319876">
    <w:abstractNumId w:val="11"/>
  </w:num>
  <w:num w:numId="31" w16cid:durableId="1339235118">
    <w:abstractNumId w:val="55"/>
  </w:num>
  <w:num w:numId="32" w16cid:durableId="361130618">
    <w:abstractNumId w:val="12"/>
  </w:num>
  <w:num w:numId="33" w16cid:durableId="1276911738">
    <w:abstractNumId w:val="12"/>
  </w:num>
  <w:num w:numId="34" w16cid:durableId="319700145">
    <w:abstractNumId w:val="12"/>
  </w:num>
  <w:num w:numId="35" w16cid:durableId="1187327602">
    <w:abstractNumId w:val="12"/>
  </w:num>
  <w:num w:numId="36" w16cid:durableId="1811943513">
    <w:abstractNumId w:val="12"/>
  </w:num>
  <w:num w:numId="37" w16cid:durableId="682441886">
    <w:abstractNumId w:val="12"/>
  </w:num>
  <w:num w:numId="38" w16cid:durableId="1440181838">
    <w:abstractNumId w:val="12"/>
  </w:num>
  <w:num w:numId="39" w16cid:durableId="545720433">
    <w:abstractNumId w:val="12"/>
  </w:num>
  <w:num w:numId="40" w16cid:durableId="831874191">
    <w:abstractNumId w:val="12"/>
  </w:num>
  <w:num w:numId="41" w16cid:durableId="926353562">
    <w:abstractNumId w:val="12"/>
  </w:num>
  <w:num w:numId="42" w16cid:durableId="894391453">
    <w:abstractNumId w:val="12"/>
  </w:num>
  <w:num w:numId="43" w16cid:durableId="896357966">
    <w:abstractNumId w:val="20"/>
  </w:num>
  <w:num w:numId="44" w16cid:durableId="1595285230">
    <w:abstractNumId w:val="47"/>
  </w:num>
  <w:num w:numId="45" w16cid:durableId="436023673">
    <w:abstractNumId w:val="39"/>
  </w:num>
  <w:num w:numId="46" w16cid:durableId="1070737781">
    <w:abstractNumId w:val="22"/>
  </w:num>
  <w:num w:numId="47" w16cid:durableId="456947333">
    <w:abstractNumId w:val="29"/>
  </w:num>
  <w:num w:numId="48" w16cid:durableId="1610965794">
    <w:abstractNumId w:val="13"/>
  </w:num>
  <w:num w:numId="49" w16cid:durableId="1434207348">
    <w:abstractNumId w:val="24"/>
  </w:num>
  <w:num w:numId="50" w16cid:durableId="1668899716">
    <w:abstractNumId w:val="48"/>
  </w:num>
  <w:num w:numId="51" w16cid:durableId="161165031">
    <w:abstractNumId w:val="8"/>
  </w:num>
  <w:num w:numId="52" w16cid:durableId="1069619488">
    <w:abstractNumId w:val="49"/>
  </w:num>
  <w:num w:numId="53" w16cid:durableId="226109734">
    <w:abstractNumId w:val="4"/>
  </w:num>
  <w:num w:numId="54" w16cid:durableId="2057073538">
    <w:abstractNumId w:val="10"/>
  </w:num>
  <w:num w:numId="55" w16cid:durableId="635259009">
    <w:abstractNumId w:val="18"/>
  </w:num>
  <w:num w:numId="56" w16cid:durableId="401566654">
    <w:abstractNumId w:val="32"/>
  </w:num>
  <w:num w:numId="57" w16cid:durableId="887842452">
    <w:abstractNumId w:val="28"/>
  </w:num>
  <w:num w:numId="58" w16cid:durableId="1239438891">
    <w:abstractNumId w:val="19"/>
  </w:num>
  <w:num w:numId="59" w16cid:durableId="1017119065">
    <w:abstractNumId w:val="41"/>
  </w:num>
  <w:num w:numId="60" w16cid:durableId="1408918524">
    <w:abstractNumId w:val="50"/>
  </w:num>
  <w:num w:numId="61" w16cid:durableId="2053505092">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212280044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760681235">
    <w:abstractNumId w:val="23"/>
  </w:num>
  <w:num w:numId="64" w16cid:durableId="1378896866">
    <w:abstractNumId w:val="5"/>
  </w:num>
  <w:num w:numId="65" w16cid:durableId="323290063">
    <w:abstractNumId w:val="37"/>
  </w:num>
  <w:num w:numId="66" w16cid:durableId="848524583">
    <w:abstractNumId w:val="52"/>
  </w:num>
  <w:num w:numId="67" w16cid:durableId="238835551">
    <w:abstractNumId w:val="9"/>
  </w:num>
  <w:num w:numId="68" w16cid:durableId="1845439935">
    <w:abstractNumId w:val="0"/>
  </w:num>
  <w:num w:numId="69" w16cid:durableId="759985030">
    <w:abstractNumId w:val="1"/>
  </w:num>
  <w:num w:numId="70" w16cid:durableId="217977744">
    <w:abstractNumId w:val="17"/>
  </w:num>
  <w:num w:numId="71" w16cid:durableId="413942633">
    <w:abstractNumId w:val="43"/>
  </w:num>
  <w:num w:numId="72" w16cid:durableId="462431239">
    <w:abstractNumId w:val="12"/>
  </w:num>
  <w:num w:numId="73" w16cid:durableId="1101217628">
    <w:abstractNumId w:val="21"/>
  </w:num>
  <w:num w:numId="74" w16cid:durableId="1215002699">
    <w:abstractNumId w:val="3"/>
  </w:num>
  <w:num w:numId="75" w16cid:durableId="1435707917">
    <w:abstractNumId w:val="3"/>
  </w:num>
  <w:num w:numId="76" w16cid:durableId="1396270821">
    <w:abstractNumId w:val="3"/>
  </w:num>
  <w:num w:numId="77" w16cid:durableId="1749614810">
    <w:abstractNumId w:val="3"/>
  </w:num>
  <w:num w:numId="78" w16cid:durableId="177937581">
    <w:abstractNumId w:val="3"/>
  </w:num>
  <w:num w:numId="79" w16cid:durableId="825441939">
    <w:abstractNumId w:val="3"/>
  </w:num>
  <w:num w:numId="80" w16cid:durableId="2113158075">
    <w:abstractNumId w:val="3"/>
  </w:num>
  <w:num w:numId="81" w16cid:durableId="595869955">
    <w:abstractNumId w:val="3"/>
  </w:num>
  <w:num w:numId="82" w16cid:durableId="498541072">
    <w:abstractNumId w:val="3"/>
  </w:num>
  <w:num w:numId="83" w16cid:durableId="1321739253">
    <w:abstractNumId w:val="3"/>
  </w:num>
  <w:num w:numId="84" w16cid:durableId="1884901923">
    <w:abstractNumId w:val="3"/>
  </w:num>
  <w:num w:numId="85" w16cid:durableId="410350832">
    <w:abstractNumId w:val="3"/>
  </w:num>
  <w:num w:numId="86" w16cid:durableId="547839426">
    <w:abstractNumId w:val="3"/>
  </w:num>
  <w:num w:numId="87" w16cid:durableId="431704928">
    <w:abstractNumId w:val="3"/>
  </w:num>
  <w:num w:numId="88" w16cid:durableId="1238637177">
    <w:abstractNumId w:val="3"/>
  </w:num>
  <w:num w:numId="89" w16cid:durableId="983512521">
    <w:abstractNumId w:val="3"/>
  </w:num>
  <w:num w:numId="90" w16cid:durableId="1170607878">
    <w:abstractNumId w:val="3"/>
  </w:num>
  <w:num w:numId="91" w16cid:durableId="48500030">
    <w:abstractNumId w:val="3"/>
  </w:num>
  <w:num w:numId="92" w16cid:durableId="1363089516">
    <w:abstractNumId w:val="3"/>
  </w:num>
  <w:num w:numId="93" w16cid:durableId="1257514939">
    <w:abstractNumId w:val="3"/>
  </w:num>
  <w:num w:numId="94" w16cid:durableId="1677538424">
    <w:abstractNumId w:val="2"/>
  </w:num>
  <w:num w:numId="95" w16cid:durableId="1294941367">
    <w:abstractNumId w:val="3"/>
  </w:num>
  <w:num w:numId="96" w16cid:durableId="381515712">
    <w:abstractNumId w:val="3"/>
  </w:num>
  <w:num w:numId="97" w16cid:durableId="477648693">
    <w:abstractNumId w:val="3"/>
  </w:num>
  <w:num w:numId="98" w16cid:durableId="795681141">
    <w:abstractNumId w:val="3"/>
  </w:num>
  <w:num w:numId="99" w16cid:durableId="1929339826">
    <w:abstractNumId w:val="3"/>
  </w:num>
  <w:num w:numId="100" w16cid:durableId="581839966">
    <w:abstractNumId w:val="3"/>
  </w:num>
  <w:num w:numId="101" w16cid:durableId="2077047053">
    <w:abstractNumId w:val="3"/>
  </w:num>
  <w:num w:numId="102" w16cid:durableId="139734962">
    <w:abstractNumId w:val="3"/>
  </w:num>
  <w:num w:numId="103" w16cid:durableId="828597526">
    <w:abstractNumId w:val="3"/>
  </w:num>
  <w:num w:numId="104" w16cid:durableId="1603219534">
    <w:abstractNumId w:val="31"/>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74E8"/>
    <w:rsid w:val="00000297"/>
    <w:rsid w:val="00000303"/>
    <w:rsid w:val="00000322"/>
    <w:rsid w:val="00000953"/>
    <w:rsid w:val="00000C6F"/>
    <w:rsid w:val="00001014"/>
    <w:rsid w:val="000016B9"/>
    <w:rsid w:val="000016D0"/>
    <w:rsid w:val="00001964"/>
    <w:rsid w:val="0000206D"/>
    <w:rsid w:val="00002086"/>
    <w:rsid w:val="000020CE"/>
    <w:rsid w:val="0000280C"/>
    <w:rsid w:val="00003090"/>
    <w:rsid w:val="00003273"/>
    <w:rsid w:val="000036F8"/>
    <w:rsid w:val="00003743"/>
    <w:rsid w:val="000038C1"/>
    <w:rsid w:val="00003915"/>
    <w:rsid w:val="00003991"/>
    <w:rsid w:val="00003C02"/>
    <w:rsid w:val="00003C0C"/>
    <w:rsid w:val="000047B4"/>
    <w:rsid w:val="000047E3"/>
    <w:rsid w:val="0000484B"/>
    <w:rsid w:val="000048C8"/>
    <w:rsid w:val="00004EC4"/>
    <w:rsid w:val="000052F0"/>
    <w:rsid w:val="00005329"/>
    <w:rsid w:val="00005712"/>
    <w:rsid w:val="00005D27"/>
    <w:rsid w:val="000061D0"/>
    <w:rsid w:val="000062C9"/>
    <w:rsid w:val="0000665E"/>
    <w:rsid w:val="00006BCE"/>
    <w:rsid w:val="00006D2B"/>
    <w:rsid w:val="000074DB"/>
    <w:rsid w:val="000079FF"/>
    <w:rsid w:val="00007CF4"/>
    <w:rsid w:val="00007FD8"/>
    <w:rsid w:val="000101A2"/>
    <w:rsid w:val="0001030D"/>
    <w:rsid w:val="00010358"/>
    <w:rsid w:val="000103E0"/>
    <w:rsid w:val="0001043C"/>
    <w:rsid w:val="000107FD"/>
    <w:rsid w:val="00010976"/>
    <w:rsid w:val="000117F8"/>
    <w:rsid w:val="00011A74"/>
    <w:rsid w:val="00011C6D"/>
    <w:rsid w:val="00012267"/>
    <w:rsid w:val="000122B5"/>
    <w:rsid w:val="00012342"/>
    <w:rsid w:val="00012665"/>
    <w:rsid w:val="000129AF"/>
    <w:rsid w:val="000132A0"/>
    <w:rsid w:val="00013821"/>
    <w:rsid w:val="0001471D"/>
    <w:rsid w:val="00014770"/>
    <w:rsid w:val="000148E3"/>
    <w:rsid w:val="00014904"/>
    <w:rsid w:val="000149A1"/>
    <w:rsid w:val="00014A51"/>
    <w:rsid w:val="00014D20"/>
    <w:rsid w:val="00015721"/>
    <w:rsid w:val="00015DFB"/>
    <w:rsid w:val="00015E58"/>
    <w:rsid w:val="00016BFD"/>
    <w:rsid w:val="00017329"/>
    <w:rsid w:val="00017B15"/>
    <w:rsid w:val="00017D59"/>
    <w:rsid w:val="000205B5"/>
    <w:rsid w:val="000205E8"/>
    <w:rsid w:val="00020AFB"/>
    <w:rsid w:val="00020FE9"/>
    <w:rsid w:val="000210F3"/>
    <w:rsid w:val="0002144A"/>
    <w:rsid w:val="0002148D"/>
    <w:rsid w:val="000215B3"/>
    <w:rsid w:val="00021AC8"/>
    <w:rsid w:val="00021FEA"/>
    <w:rsid w:val="00022062"/>
    <w:rsid w:val="00022441"/>
    <w:rsid w:val="000225AC"/>
    <w:rsid w:val="00022C06"/>
    <w:rsid w:val="00022FFF"/>
    <w:rsid w:val="00023137"/>
    <w:rsid w:val="00023600"/>
    <w:rsid w:val="000237F3"/>
    <w:rsid w:val="00023C20"/>
    <w:rsid w:val="0002400B"/>
    <w:rsid w:val="00024540"/>
    <w:rsid w:val="000245AD"/>
    <w:rsid w:val="00024EB1"/>
    <w:rsid w:val="00024EF1"/>
    <w:rsid w:val="0002515B"/>
    <w:rsid w:val="00025341"/>
    <w:rsid w:val="00025807"/>
    <w:rsid w:val="000260CC"/>
    <w:rsid w:val="00026139"/>
    <w:rsid w:val="000263B5"/>
    <w:rsid w:val="00026B15"/>
    <w:rsid w:val="00026E1B"/>
    <w:rsid w:val="00026F50"/>
    <w:rsid w:val="00027071"/>
    <w:rsid w:val="00027129"/>
    <w:rsid w:val="000272A5"/>
    <w:rsid w:val="00027601"/>
    <w:rsid w:val="00027ED8"/>
    <w:rsid w:val="00027F87"/>
    <w:rsid w:val="0003013D"/>
    <w:rsid w:val="00030237"/>
    <w:rsid w:val="00030A5C"/>
    <w:rsid w:val="00030CDB"/>
    <w:rsid w:val="000312DA"/>
    <w:rsid w:val="000315BC"/>
    <w:rsid w:val="000316D8"/>
    <w:rsid w:val="00031B38"/>
    <w:rsid w:val="00031D56"/>
    <w:rsid w:val="00031E69"/>
    <w:rsid w:val="00031E99"/>
    <w:rsid w:val="000321EB"/>
    <w:rsid w:val="000323FA"/>
    <w:rsid w:val="00032843"/>
    <w:rsid w:val="00032C15"/>
    <w:rsid w:val="00033032"/>
    <w:rsid w:val="00033321"/>
    <w:rsid w:val="000338AB"/>
    <w:rsid w:val="000338E5"/>
    <w:rsid w:val="00033ECC"/>
    <w:rsid w:val="0003422F"/>
    <w:rsid w:val="000342E1"/>
    <w:rsid w:val="000343EB"/>
    <w:rsid w:val="00034B12"/>
    <w:rsid w:val="00034C56"/>
    <w:rsid w:val="0003518D"/>
    <w:rsid w:val="000358AD"/>
    <w:rsid w:val="00035B88"/>
    <w:rsid w:val="000369F0"/>
    <w:rsid w:val="00036B89"/>
    <w:rsid w:val="00036C1B"/>
    <w:rsid w:val="00036F59"/>
    <w:rsid w:val="0003706B"/>
    <w:rsid w:val="00037499"/>
    <w:rsid w:val="0003768A"/>
    <w:rsid w:val="00037851"/>
    <w:rsid w:val="00037CDE"/>
    <w:rsid w:val="0004005A"/>
    <w:rsid w:val="000407A7"/>
    <w:rsid w:val="00040CA8"/>
    <w:rsid w:val="00041B6F"/>
    <w:rsid w:val="000424F9"/>
    <w:rsid w:val="000428DF"/>
    <w:rsid w:val="000432C8"/>
    <w:rsid w:val="00043873"/>
    <w:rsid w:val="00043A41"/>
    <w:rsid w:val="00044467"/>
    <w:rsid w:val="00044961"/>
    <w:rsid w:val="00044C79"/>
    <w:rsid w:val="00044EA8"/>
    <w:rsid w:val="0004564C"/>
    <w:rsid w:val="000456E6"/>
    <w:rsid w:val="00045CCC"/>
    <w:rsid w:val="00045FDE"/>
    <w:rsid w:val="00046061"/>
    <w:rsid w:val="00046A95"/>
    <w:rsid w:val="00046FF0"/>
    <w:rsid w:val="000471EE"/>
    <w:rsid w:val="0004723B"/>
    <w:rsid w:val="00047440"/>
    <w:rsid w:val="0004783C"/>
    <w:rsid w:val="00047966"/>
    <w:rsid w:val="00047A98"/>
    <w:rsid w:val="000500BF"/>
    <w:rsid w:val="00050176"/>
    <w:rsid w:val="0005034A"/>
    <w:rsid w:val="000503DC"/>
    <w:rsid w:val="0005049B"/>
    <w:rsid w:val="000508E7"/>
    <w:rsid w:val="00050E10"/>
    <w:rsid w:val="000518E5"/>
    <w:rsid w:val="00051E44"/>
    <w:rsid w:val="00051F0D"/>
    <w:rsid w:val="00052819"/>
    <w:rsid w:val="00052BD2"/>
    <w:rsid w:val="00052BFB"/>
    <w:rsid w:val="000535A9"/>
    <w:rsid w:val="00053A01"/>
    <w:rsid w:val="00053CF4"/>
    <w:rsid w:val="0005443E"/>
    <w:rsid w:val="0005616F"/>
    <w:rsid w:val="00056177"/>
    <w:rsid w:val="00056A67"/>
    <w:rsid w:val="00056D12"/>
    <w:rsid w:val="00056F59"/>
    <w:rsid w:val="0005740A"/>
    <w:rsid w:val="000577AD"/>
    <w:rsid w:val="00057B39"/>
    <w:rsid w:val="00057EDC"/>
    <w:rsid w:val="00060072"/>
    <w:rsid w:val="00060675"/>
    <w:rsid w:val="00060A88"/>
    <w:rsid w:val="00060FB2"/>
    <w:rsid w:val="0006100E"/>
    <w:rsid w:val="0006158A"/>
    <w:rsid w:val="00061834"/>
    <w:rsid w:val="000619C3"/>
    <w:rsid w:val="000620B9"/>
    <w:rsid w:val="000624A6"/>
    <w:rsid w:val="00062566"/>
    <w:rsid w:val="00062917"/>
    <w:rsid w:val="00062A3A"/>
    <w:rsid w:val="00062B09"/>
    <w:rsid w:val="00062B65"/>
    <w:rsid w:val="00062C37"/>
    <w:rsid w:val="00062FDC"/>
    <w:rsid w:val="00063777"/>
    <w:rsid w:val="000647A3"/>
    <w:rsid w:val="00064812"/>
    <w:rsid w:val="00064C6A"/>
    <w:rsid w:val="00064D4C"/>
    <w:rsid w:val="00064DAD"/>
    <w:rsid w:val="00064E89"/>
    <w:rsid w:val="000652D4"/>
    <w:rsid w:val="000652D5"/>
    <w:rsid w:val="000667FC"/>
    <w:rsid w:val="0006698D"/>
    <w:rsid w:val="000669F1"/>
    <w:rsid w:val="00067456"/>
    <w:rsid w:val="000702A2"/>
    <w:rsid w:val="00070B82"/>
    <w:rsid w:val="00070CFE"/>
    <w:rsid w:val="000710FE"/>
    <w:rsid w:val="00071162"/>
    <w:rsid w:val="000712F7"/>
    <w:rsid w:val="000714C5"/>
    <w:rsid w:val="00071506"/>
    <w:rsid w:val="0007154F"/>
    <w:rsid w:val="00071857"/>
    <w:rsid w:val="00071B30"/>
    <w:rsid w:val="00071E45"/>
    <w:rsid w:val="00071EB5"/>
    <w:rsid w:val="000722F3"/>
    <w:rsid w:val="00072326"/>
    <w:rsid w:val="0007251F"/>
    <w:rsid w:val="00072AB1"/>
    <w:rsid w:val="0007361C"/>
    <w:rsid w:val="00073681"/>
    <w:rsid w:val="00073DC8"/>
    <w:rsid w:val="00073F7C"/>
    <w:rsid w:val="00074287"/>
    <w:rsid w:val="0007430B"/>
    <w:rsid w:val="00074A2E"/>
    <w:rsid w:val="00074A84"/>
    <w:rsid w:val="000758D9"/>
    <w:rsid w:val="00075F7F"/>
    <w:rsid w:val="00075FF9"/>
    <w:rsid w:val="000761C6"/>
    <w:rsid w:val="00076730"/>
    <w:rsid w:val="00076772"/>
    <w:rsid w:val="000772E3"/>
    <w:rsid w:val="000774AB"/>
    <w:rsid w:val="00077913"/>
    <w:rsid w:val="00077C14"/>
    <w:rsid w:val="00077D46"/>
    <w:rsid w:val="00080400"/>
    <w:rsid w:val="00080AEC"/>
    <w:rsid w:val="00080FAF"/>
    <w:rsid w:val="0008108C"/>
    <w:rsid w:val="00081AB1"/>
    <w:rsid w:val="00081DEA"/>
    <w:rsid w:val="000820D8"/>
    <w:rsid w:val="00082221"/>
    <w:rsid w:val="0008222A"/>
    <w:rsid w:val="000824AF"/>
    <w:rsid w:val="000824C1"/>
    <w:rsid w:val="00082E25"/>
    <w:rsid w:val="00083088"/>
    <w:rsid w:val="0008350F"/>
    <w:rsid w:val="000836B2"/>
    <w:rsid w:val="000839BB"/>
    <w:rsid w:val="000843AB"/>
    <w:rsid w:val="00085420"/>
    <w:rsid w:val="000854CB"/>
    <w:rsid w:val="000857D6"/>
    <w:rsid w:val="00085A8F"/>
    <w:rsid w:val="00085C6B"/>
    <w:rsid w:val="000862C9"/>
    <w:rsid w:val="000863ED"/>
    <w:rsid w:val="0008718A"/>
    <w:rsid w:val="00087E20"/>
    <w:rsid w:val="00087FBA"/>
    <w:rsid w:val="00090206"/>
    <w:rsid w:val="00090316"/>
    <w:rsid w:val="0009044C"/>
    <w:rsid w:val="00090834"/>
    <w:rsid w:val="00090D58"/>
    <w:rsid w:val="00091657"/>
    <w:rsid w:val="000919FF"/>
    <w:rsid w:val="00091CA3"/>
    <w:rsid w:val="000920C6"/>
    <w:rsid w:val="00092B84"/>
    <w:rsid w:val="00093981"/>
    <w:rsid w:val="00093CD9"/>
    <w:rsid w:val="00094358"/>
    <w:rsid w:val="000948B5"/>
    <w:rsid w:val="00094BEA"/>
    <w:rsid w:val="0009506A"/>
    <w:rsid w:val="000951D3"/>
    <w:rsid w:val="0009557E"/>
    <w:rsid w:val="000959EB"/>
    <w:rsid w:val="00095B6A"/>
    <w:rsid w:val="00096057"/>
    <w:rsid w:val="000961DC"/>
    <w:rsid w:val="00096275"/>
    <w:rsid w:val="000965CE"/>
    <w:rsid w:val="0009687B"/>
    <w:rsid w:val="000975DB"/>
    <w:rsid w:val="00097CB0"/>
    <w:rsid w:val="000A01C1"/>
    <w:rsid w:val="000A0421"/>
    <w:rsid w:val="000A08C3"/>
    <w:rsid w:val="000A0BD4"/>
    <w:rsid w:val="000A0F86"/>
    <w:rsid w:val="000A11E8"/>
    <w:rsid w:val="000A14A1"/>
    <w:rsid w:val="000A1528"/>
    <w:rsid w:val="000A1787"/>
    <w:rsid w:val="000A190A"/>
    <w:rsid w:val="000A1932"/>
    <w:rsid w:val="000A1A9C"/>
    <w:rsid w:val="000A1C00"/>
    <w:rsid w:val="000A1C4A"/>
    <w:rsid w:val="000A1DBD"/>
    <w:rsid w:val="000A1E1A"/>
    <w:rsid w:val="000A2190"/>
    <w:rsid w:val="000A23BF"/>
    <w:rsid w:val="000A2663"/>
    <w:rsid w:val="000A2D2A"/>
    <w:rsid w:val="000A2D73"/>
    <w:rsid w:val="000A2DF5"/>
    <w:rsid w:val="000A3221"/>
    <w:rsid w:val="000A36CF"/>
    <w:rsid w:val="000A36D3"/>
    <w:rsid w:val="000A38CA"/>
    <w:rsid w:val="000A39BA"/>
    <w:rsid w:val="000A3A5F"/>
    <w:rsid w:val="000A3D98"/>
    <w:rsid w:val="000A45E2"/>
    <w:rsid w:val="000A4A95"/>
    <w:rsid w:val="000A5080"/>
    <w:rsid w:val="000A514B"/>
    <w:rsid w:val="000A529F"/>
    <w:rsid w:val="000A5940"/>
    <w:rsid w:val="000A5CDB"/>
    <w:rsid w:val="000A5D0C"/>
    <w:rsid w:val="000A60B3"/>
    <w:rsid w:val="000A620F"/>
    <w:rsid w:val="000A651B"/>
    <w:rsid w:val="000A6E48"/>
    <w:rsid w:val="000A7299"/>
    <w:rsid w:val="000A7BD6"/>
    <w:rsid w:val="000B0555"/>
    <w:rsid w:val="000B060F"/>
    <w:rsid w:val="000B067A"/>
    <w:rsid w:val="000B08A4"/>
    <w:rsid w:val="000B0955"/>
    <w:rsid w:val="000B0D25"/>
    <w:rsid w:val="000B0D2D"/>
    <w:rsid w:val="000B0F78"/>
    <w:rsid w:val="000B10B0"/>
    <w:rsid w:val="000B1540"/>
    <w:rsid w:val="000B1855"/>
    <w:rsid w:val="000B1881"/>
    <w:rsid w:val="000B1F9B"/>
    <w:rsid w:val="000B2694"/>
    <w:rsid w:val="000B2702"/>
    <w:rsid w:val="000B2881"/>
    <w:rsid w:val="000B2A9B"/>
    <w:rsid w:val="000B2D66"/>
    <w:rsid w:val="000B2EC5"/>
    <w:rsid w:val="000B2FCE"/>
    <w:rsid w:val="000B2FFF"/>
    <w:rsid w:val="000B326E"/>
    <w:rsid w:val="000B33FD"/>
    <w:rsid w:val="000B3D52"/>
    <w:rsid w:val="000B3D88"/>
    <w:rsid w:val="000B440C"/>
    <w:rsid w:val="000B455A"/>
    <w:rsid w:val="000B4645"/>
    <w:rsid w:val="000B49EC"/>
    <w:rsid w:val="000B4A45"/>
    <w:rsid w:val="000B4ABA"/>
    <w:rsid w:val="000B51EF"/>
    <w:rsid w:val="000B5403"/>
    <w:rsid w:val="000B540E"/>
    <w:rsid w:val="000B5812"/>
    <w:rsid w:val="000B62BC"/>
    <w:rsid w:val="000B63FB"/>
    <w:rsid w:val="000B6B09"/>
    <w:rsid w:val="000B6B61"/>
    <w:rsid w:val="000B6D79"/>
    <w:rsid w:val="000C0051"/>
    <w:rsid w:val="000C022D"/>
    <w:rsid w:val="000C1B70"/>
    <w:rsid w:val="000C1E50"/>
    <w:rsid w:val="000C22B5"/>
    <w:rsid w:val="000C237A"/>
    <w:rsid w:val="000C2459"/>
    <w:rsid w:val="000C2880"/>
    <w:rsid w:val="000C2C4C"/>
    <w:rsid w:val="000C38ED"/>
    <w:rsid w:val="000C3B77"/>
    <w:rsid w:val="000C43AA"/>
    <w:rsid w:val="000C46C4"/>
    <w:rsid w:val="000C46D1"/>
    <w:rsid w:val="000C4874"/>
    <w:rsid w:val="000C4960"/>
    <w:rsid w:val="000C4B16"/>
    <w:rsid w:val="000C4FFF"/>
    <w:rsid w:val="000C50C3"/>
    <w:rsid w:val="000C51C4"/>
    <w:rsid w:val="000C5409"/>
    <w:rsid w:val="000C5646"/>
    <w:rsid w:val="000C569B"/>
    <w:rsid w:val="000C5B68"/>
    <w:rsid w:val="000C5E2A"/>
    <w:rsid w:val="000C6366"/>
    <w:rsid w:val="000C6E7B"/>
    <w:rsid w:val="000C7357"/>
    <w:rsid w:val="000C747F"/>
    <w:rsid w:val="000C7730"/>
    <w:rsid w:val="000C79B3"/>
    <w:rsid w:val="000C7A03"/>
    <w:rsid w:val="000C7CD7"/>
    <w:rsid w:val="000C7CFE"/>
    <w:rsid w:val="000D01F4"/>
    <w:rsid w:val="000D04FC"/>
    <w:rsid w:val="000D077B"/>
    <w:rsid w:val="000D0BBB"/>
    <w:rsid w:val="000D188A"/>
    <w:rsid w:val="000D19B6"/>
    <w:rsid w:val="000D1D22"/>
    <w:rsid w:val="000D205E"/>
    <w:rsid w:val="000D209F"/>
    <w:rsid w:val="000D20C3"/>
    <w:rsid w:val="000D21F6"/>
    <w:rsid w:val="000D22FF"/>
    <w:rsid w:val="000D23AE"/>
    <w:rsid w:val="000D2C75"/>
    <w:rsid w:val="000D2C8E"/>
    <w:rsid w:val="000D3448"/>
    <w:rsid w:val="000D351D"/>
    <w:rsid w:val="000D3571"/>
    <w:rsid w:val="000D39B7"/>
    <w:rsid w:val="000D422A"/>
    <w:rsid w:val="000D4236"/>
    <w:rsid w:val="000D427E"/>
    <w:rsid w:val="000D42C3"/>
    <w:rsid w:val="000D43D4"/>
    <w:rsid w:val="000D4500"/>
    <w:rsid w:val="000D458B"/>
    <w:rsid w:val="000D48BE"/>
    <w:rsid w:val="000D56E4"/>
    <w:rsid w:val="000D5E03"/>
    <w:rsid w:val="000D6D31"/>
    <w:rsid w:val="000D742B"/>
    <w:rsid w:val="000D768A"/>
    <w:rsid w:val="000D77B1"/>
    <w:rsid w:val="000D7997"/>
    <w:rsid w:val="000D7AEA"/>
    <w:rsid w:val="000D7DA5"/>
    <w:rsid w:val="000D7F8E"/>
    <w:rsid w:val="000E0189"/>
    <w:rsid w:val="000E01A9"/>
    <w:rsid w:val="000E0210"/>
    <w:rsid w:val="000E06D9"/>
    <w:rsid w:val="000E0C19"/>
    <w:rsid w:val="000E0CD4"/>
    <w:rsid w:val="000E0EAD"/>
    <w:rsid w:val="000E113D"/>
    <w:rsid w:val="000E12B4"/>
    <w:rsid w:val="000E1370"/>
    <w:rsid w:val="000E1BE1"/>
    <w:rsid w:val="000E210E"/>
    <w:rsid w:val="000E226A"/>
    <w:rsid w:val="000E245B"/>
    <w:rsid w:val="000E28A4"/>
    <w:rsid w:val="000E2B16"/>
    <w:rsid w:val="000E2B9B"/>
    <w:rsid w:val="000E2C66"/>
    <w:rsid w:val="000E3017"/>
    <w:rsid w:val="000E310B"/>
    <w:rsid w:val="000E317D"/>
    <w:rsid w:val="000E3386"/>
    <w:rsid w:val="000E35DE"/>
    <w:rsid w:val="000E4116"/>
    <w:rsid w:val="000E4536"/>
    <w:rsid w:val="000E46FF"/>
    <w:rsid w:val="000E4A6C"/>
    <w:rsid w:val="000E4E7F"/>
    <w:rsid w:val="000E4FD6"/>
    <w:rsid w:val="000E5269"/>
    <w:rsid w:val="000E5457"/>
    <w:rsid w:val="000E555E"/>
    <w:rsid w:val="000E578A"/>
    <w:rsid w:val="000E58D9"/>
    <w:rsid w:val="000E5DD4"/>
    <w:rsid w:val="000E6124"/>
    <w:rsid w:val="000E66E0"/>
    <w:rsid w:val="000E6848"/>
    <w:rsid w:val="000E698F"/>
    <w:rsid w:val="000E6A47"/>
    <w:rsid w:val="000E6AD0"/>
    <w:rsid w:val="000E6E7D"/>
    <w:rsid w:val="000E70C8"/>
    <w:rsid w:val="000E73EA"/>
    <w:rsid w:val="000E7432"/>
    <w:rsid w:val="000E74E7"/>
    <w:rsid w:val="000E7E5F"/>
    <w:rsid w:val="000F0060"/>
    <w:rsid w:val="000F02AE"/>
    <w:rsid w:val="000F05D4"/>
    <w:rsid w:val="000F0872"/>
    <w:rsid w:val="000F0B29"/>
    <w:rsid w:val="000F0C9F"/>
    <w:rsid w:val="000F11E8"/>
    <w:rsid w:val="000F123C"/>
    <w:rsid w:val="000F22F9"/>
    <w:rsid w:val="000F2384"/>
    <w:rsid w:val="000F2CD1"/>
    <w:rsid w:val="000F2FED"/>
    <w:rsid w:val="000F3725"/>
    <w:rsid w:val="000F3CBA"/>
    <w:rsid w:val="000F3E31"/>
    <w:rsid w:val="000F5267"/>
    <w:rsid w:val="000F5BD5"/>
    <w:rsid w:val="000F6626"/>
    <w:rsid w:val="000F6631"/>
    <w:rsid w:val="000F6B4C"/>
    <w:rsid w:val="000F6E80"/>
    <w:rsid w:val="000F76A6"/>
    <w:rsid w:val="000F79F3"/>
    <w:rsid w:val="000F7AC7"/>
    <w:rsid w:val="000F7B43"/>
    <w:rsid w:val="000F7CC6"/>
    <w:rsid w:val="000F7D64"/>
    <w:rsid w:val="000F7EAE"/>
    <w:rsid w:val="0010064D"/>
    <w:rsid w:val="001006A0"/>
    <w:rsid w:val="001006CA"/>
    <w:rsid w:val="0010083C"/>
    <w:rsid w:val="00100F01"/>
    <w:rsid w:val="00100F6D"/>
    <w:rsid w:val="00100FA2"/>
    <w:rsid w:val="001010D4"/>
    <w:rsid w:val="00101821"/>
    <w:rsid w:val="00101B40"/>
    <w:rsid w:val="00102B1F"/>
    <w:rsid w:val="00102DF9"/>
    <w:rsid w:val="0010325B"/>
    <w:rsid w:val="00103294"/>
    <w:rsid w:val="001041A9"/>
    <w:rsid w:val="001050E4"/>
    <w:rsid w:val="00105369"/>
    <w:rsid w:val="0010559B"/>
    <w:rsid w:val="0010616D"/>
    <w:rsid w:val="00106219"/>
    <w:rsid w:val="00106228"/>
    <w:rsid w:val="0010628A"/>
    <w:rsid w:val="00106375"/>
    <w:rsid w:val="001067A8"/>
    <w:rsid w:val="00106817"/>
    <w:rsid w:val="00106E8A"/>
    <w:rsid w:val="0010724E"/>
    <w:rsid w:val="001075B4"/>
    <w:rsid w:val="00107CF9"/>
    <w:rsid w:val="00107F55"/>
    <w:rsid w:val="0011022E"/>
    <w:rsid w:val="00110231"/>
    <w:rsid w:val="00110478"/>
    <w:rsid w:val="001107CA"/>
    <w:rsid w:val="001109E0"/>
    <w:rsid w:val="00111BD4"/>
    <w:rsid w:val="00111FE7"/>
    <w:rsid w:val="0011257B"/>
    <w:rsid w:val="00112D50"/>
    <w:rsid w:val="00112D84"/>
    <w:rsid w:val="00112F33"/>
    <w:rsid w:val="00112FD5"/>
    <w:rsid w:val="0011338F"/>
    <w:rsid w:val="001135F4"/>
    <w:rsid w:val="0011361C"/>
    <w:rsid w:val="00113945"/>
    <w:rsid w:val="00113B25"/>
    <w:rsid w:val="00113D95"/>
    <w:rsid w:val="00114DD9"/>
    <w:rsid w:val="00114DE9"/>
    <w:rsid w:val="00114EEB"/>
    <w:rsid w:val="00115914"/>
    <w:rsid w:val="00115F9B"/>
    <w:rsid w:val="00116196"/>
    <w:rsid w:val="001162DD"/>
    <w:rsid w:val="0011633E"/>
    <w:rsid w:val="001163A3"/>
    <w:rsid w:val="0011682D"/>
    <w:rsid w:val="00116BDF"/>
    <w:rsid w:val="00116E45"/>
    <w:rsid w:val="00116F53"/>
    <w:rsid w:val="00117097"/>
    <w:rsid w:val="0011711B"/>
    <w:rsid w:val="001171B3"/>
    <w:rsid w:val="00117290"/>
    <w:rsid w:val="001172B4"/>
    <w:rsid w:val="00117A3F"/>
    <w:rsid w:val="00117C9E"/>
    <w:rsid w:val="00117DFB"/>
    <w:rsid w:val="00117E9C"/>
    <w:rsid w:val="00117F8A"/>
    <w:rsid w:val="00120819"/>
    <w:rsid w:val="00120A37"/>
    <w:rsid w:val="00120F22"/>
    <w:rsid w:val="00120F3F"/>
    <w:rsid w:val="0012101C"/>
    <w:rsid w:val="00121352"/>
    <w:rsid w:val="001214A6"/>
    <w:rsid w:val="00121583"/>
    <w:rsid w:val="0012190B"/>
    <w:rsid w:val="00121B9B"/>
    <w:rsid w:val="00121C11"/>
    <w:rsid w:val="001223FA"/>
    <w:rsid w:val="00122ADC"/>
    <w:rsid w:val="00122BEF"/>
    <w:rsid w:val="00122C44"/>
    <w:rsid w:val="001231D0"/>
    <w:rsid w:val="001232B3"/>
    <w:rsid w:val="001236FC"/>
    <w:rsid w:val="00123BFB"/>
    <w:rsid w:val="00123C1D"/>
    <w:rsid w:val="001243B7"/>
    <w:rsid w:val="001254DD"/>
    <w:rsid w:val="00125913"/>
    <w:rsid w:val="00125B9E"/>
    <w:rsid w:val="00125E07"/>
    <w:rsid w:val="00126C31"/>
    <w:rsid w:val="00126F96"/>
    <w:rsid w:val="0012761A"/>
    <w:rsid w:val="001276DB"/>
    <w:rsid w:val="001276FC"/>
    <w:rsid w:val="001279CC"/>
    <w:rsid w:val="00127E7F"/>
    <w:rsid w:val="001302D0"/>
    <w:rsid w:val="00130502"/>
    <w:rsid w:val="00130518"/>
    <w:rsid w:val="00130A04"/>
    <w:rsid w:val="00130F59"/>
    <w:rsid w:val="001310A9"/>
    <w:rsid w:val="0013149C"/>
    <w:rsid w:val="001318ED"/>
    <w:rsid w:val="00131981"/>
    <w:rsid w:val="00131B29"/>
    <w:rsid w:val="00131DD2"/>
    <w:rsid w:val="00131F05"/>
    <w:rsid w:val="001326CD"/>
    <w:rsid w:val="00132890"/>
    <w:rsid w:val="00132AA6"/>
    <w:rsid w:val="00132F82"/>
    <w:rsid w:val="00132FC4"/>
    <w:rsid w:val="0013309A"/>
    <w:rsid w:val="001330F6"/>
    <w:rsid w:val="0013346A"/>
    <w:rsid w:val="00133525"/>
    <w:rsid w:val="0013374C"/>
    <w:rsid w:val="001338EE"/>
    <w:rsid w:val="00133C47"/>
    <w:rsid w:val="00133EC0"/>
    <w:rsid w:val="00133F13"/>
    <w:rsid w:val="00134F9A"/>
    <w:rsid w:val="00134FFE"/>
    <w:rsid w:val="001357CB"/>
    <w:rsid w:val="001358DF"/>
    <w:rsid w:val="00135AAA"/>
    <w:rsid w:val="001361A8"/>
    <w:rsid w:val="00136A34"/>
    <w:rsid w:val="00136CAC"/>
    <w:rsid w:val="00136E12"/>
    <w:rsid w:val="00136F70"/>
    <w:rsid w:val="00137150"/>
    <w:rsid w:val="001376AE"/>
    <w:rsid w:val="00137814"/>
    <w:rsid w:val="00137A00"/>
    <w:rsid w:val="001403C7"/>
    <w:rsid w:val="00140555"/>
    <w:rsid w:val="001408C9"/>
    <w:rsid w:val="001410B9"/>
    <w:rsid w:val="00141CE5"/>
    <w:rsid w:val="00142101"/>
    <w:rsid w:val="00142351"/>
    <w:rsid w:val="00142454"/>
    <w:rsid w:val="00142933"/>
    <w:rsid w:val="00142A13"/>
    <w:rsid w:val="00143368"/>
    <w:rsid w:val="00143536"/>
    <w:rsid w:val="0014392F"/>
    <w:rsid w:val="0014419F"/>
    <w:rsid w:val="0014423A"/>
    <w:rsid w:val="00144712"/>
    <w:rsid w:val="001447B8"/>
    <w:rsid w:val="001448E5"/>
    <w:rsid w:val="00144908"/>
    <w:rsid w:val="00145209"/>
    <w:rsid w:val="00145528"/>
    <w:rsid w:val="0014575F"/>
    <w:rsid w:val="0014584D"/>
    <w:rsid w:val="001460FA"/>
    <w:rsid w:val="001468A7"/>
    <w:rsid w:val="00146B5D"/>
    <w:rsid w:val="00147550"/>
    <w:rsid w:val="00147611"/>
    <w:rsid w:val="001478A8"/>
    <w:rsid w:val="001478F8"/>
    <w:rsid w:val="00147F3B"/>
    <w:rsid w:val="00147FA5"/>
    <w:rsid w:val="00147FAF"/>
    <w:rsid w:val="0015029C"/>
    <w:rsid w:val="00150E27"/>
    <w:rsid w:val="001515AB"/>
    <w:rsid w:val="00151819"/>
    <w:rsid w:val="00151872"/>
    <w:rsid w:val="00151ECD"/>
    <w:rsid w:val="00152CA9"/>
    <w:rsid w:val="001539AD"/>
    <w:rsid w:val="00153A98"/>
    <w:rsid w:val="00153C1E"/>
    <w:rsid w:val="00153CBD"/>
    <w:rsid w:val="00154471"/>
    <w:rsid w:val="001552E6"/>
    <w:rsid w:val="00155604"/>
    <w:rsid w:val="00155B23"/>
    <w:rsid w:val="00155BA6"/>
    <w:rsid w:val="001570AD"/>
    <w:rsid w:val="001571C7"/>
    <w:rsid w:val="00157205"/>
    <w:rsid w:val="0015772B"/>
    <w:rsid w:val="00157738"/>
    <w:rsid w:val="00157A97"/>
    <w:rsid w:val="00157E9F"/>
    <w:rsid w:val="0016043B"/>
    <w:rsid w:val="00160730"/>
    <w:rsid w:val="00160DB7"/>
    <w:rsid w:val="00160DC1"/>
    <w:rsid w:val="00160E87"/>
    <w:rsid w:val="00160E9C"/>
    <w:rsid w:val="00160FB0"/>
    <w:rsid w:val="00161094"/>
    <w:rsid w:val="00161B1E"/>
    <w:rsid w:val="00161C81"/>
    <w:rsid w:val="00161CE6"/>
    <w:rsid w:val="00162290"/>
    <w:rsid w:val="001624FC"/>
    <w:rsid w:val="001628C7"/>
    <w:rsid w:val="001628D1"/>
    <w:rsid w:val="00162B47"/>
    <w:rsid w:val="00163226"/>
    <w:rsid w:val="001645BB"/>
    <w:rsid w:val="0016485F"/>
    <w:rsid w:val="001648CD"/>
    <w:rsid w:val="00164959"/>
    <w:rsid w:val="00164EAD"/>
    <w:rsid w:val="00165179"/>
    <w:rsid w:val="001651EA"/>
    <w:rsid w:val="001655F3"/>
    <w:rsid w:val="001656F4"/>
    <w:rsid w:val="00166038"/>
    <w:rsid w:val="00167063"/>
    <w:rsid w:val="001671D9"/>
    <w:rsid w:val="0016782E"/>
    <w:rsid w:val="00167990"/>
    <w:rsid w:val="00167D85"/>
    <w:rsid w:val="00170487"/>
    <w:rsid w:val="00170C14"/>
    <w:rsid w:val="001716D6"/>
    <w:rsid w:val="00171E04"/>
    <w:rsid w:val="00171E76"/>
    <w:rsid w:val="00171EE4"/>
    <w:rsid w:val="00171EFB"/>
    <w:rsid w:val="001724E9"/>
    <w:rsid w:val="00172A55"/>
    <w:rsid w:val="00172B81"/>
    <w:rsid w:val="00172DA8"/>
    <w:rsid w:val="00172DBC"/>
    <w:rsid w:val="0017306E"/>
    <w:rsid w:val="001731D7"/>
    <w:rsid w:val="00173735"/>
    <w:rsid w:val="001743CD"/>
    <w:rsid w:val="0017455E"/>
    <w:rsid w:val="001747C3"/>
    <w:rsid w:val="0017491B"/>
    <w:rsid w:val="00174970"/>
    <w:rsid w:val="00174EEE"/>
    <w:rsid w:val="0017577C"/>
    <w:rsid w:val="001758CD"/>
    <w:rsid w:val="00176202"/>
    <w:rsid w:val="00176220"/>
    <w:rsid w:val="00176404"/>
    <w:rsid w:val="00176456"/>
    <w:rsid w:val="0017665C"/>
    <w:rsid w:val="00176791"/>
    <w:rsid w:val="00176A17"/>
    <w:rsid w:val="00176AF5"/>
    <w:rsid w:val="00176CA8"/>
    <w:rsid w:val="00176DC5"/>
    <w:rsid w:val="00176FC5"/>
    <w:rsid w:val="001775BD"/>
    <w:rsid w:val="00177AD2"/>
    <w:rsid w:val="00177D82"/>
    <w:rsid w:val="00177F2B"/>
    <w:rsid w:val="0018025B"/>
    <w:rsid w:val="00180744"/>
    <w:rsid w:val="00180B24"/>
    <w:rsid w:val="00180F55"/>
    <w:rsid w:val="001815A8"/>
    <w:rsid w:val="00181A16"/>
    <w:rsid w:val="00181BF9"/>
    <w:rsid w:val="00181C11"/>
    <w:rsid w:val="00181C56"/>
    <w:rsid w:val="001827E4"/>
    <w:rsid w:val="00182FF0"/>
    <w:rsid w:val="00183555"/>
    <w:rsid w:val="0018369F"/>
    <w:rsid w:val="001837B0"/>
    <w:rsid w:val="00183A41"/>
    <w:rsid w:val="00183BF4"/>
    <w:rsid w:val="00183F6E"/>
    <w:rsid w:val="001840FA"/>
    <w:rsid w:val="00184426"/>
    <w:rsid w:val="001847C1"/>
    <w:rsid w:val="00185093"/>
    <w:rsid w:val="001852FE"/>
    <w:rsid w:val="00185668"/>
    <w:rsid w:val="0018581B"/>
    <w:rsid w:val="00185E89"/>
    <w:rsid w:val="00186367"/>
    <w:rsid w:val="001864C2"/>
    <w:rsid w:val="001869B1"/>
    <w:rsid w:val="00186C05"/>
    <w:rsid w:val="00186C38"/>
    <w:rsid w:val="00186F3B"/>
    <w:rsid w:val="001872F1"/>
    <w:rsid w:val="00187642"/>
    <w:rsid w:val="00187884"/>
    <w:rsid w:val="00187C79"/>
    <w:rsid w:val="00190079"/>
    <w:rsid w:val="001900B0"/>
    <w:rsid w:val="0019011C"/>
    <w:rsid w:val="001906A3"/>
    <w:rsid w:val="001909A2"/>
    <w:rsid w:val="00190D0D"/>
    <w:rsid w:val="001912F5"/>
    <w:rsid w:val="00191AFD"/>
    <w:rsid w:val="00191BF9"/>
    <w:rsid w:val="00192515"/>
    <w:rsid w:val="00192753"/>
    <w:rsid w:val="0019281C"/>
    <w:rsid w:val="0019288E"/>
    <w:rsid w:val="00192A3B"/>
    <w:rsid w:val="00192A7C"/>
    <w:rsid w:val="00192ADF"/>
    <w:rsid w:val="00192E4F"/>
    <w:rsid w:val="00193045"/>
    <w:rsid w:val="0019304E"/>
    <w:rsid w:val="00193267"/>
    <w:rsid w:val="00193344"/>
    <w:rsid w:val="00193682"/>
    <w:rsid w:val="00193A7B"/>
    <w:rsid w:val="001945DE"/>
    <w:rsid w:val="00194790"/>
    <w:rsid w:val="001949B8"/>
    <w:rsid w:val="00194A91"/>
    <w:rsid w:val="00195008"/>
    <w:rsid w:val="001952C1"/>
    <w:rsid w:val="001954FE"/>
    <w:rsid w:val="00195539"/>
    <w:rsid w:val="001957D3"/>
    <w:rsid w:val="001959B0"/>
    <w:rsid w:val="00195B2A"/>
    <w:rsid w:val="0019622E"/>
    <w:rsid w:val="001966A7"/>
    <w:rsid w:val="001968B3"/>
    <w:rsid w:val="00196F04"/>
    <w:rsid w:val="00196F65"/>
    <w:rsid w:val="00196FD4"/>
    <w:rsid w:val="001A08EA"/>
    <w:rsid w:val="001A0A4E"/>
    <w:rsid w:val="001A1336"/>
    <w:rsid w:val="001A1354"/>
    <w:rsid w:val="001A15F1"/>
    <w:rsid w:val="001A1A1E"/>
    <w:rsid w:val="001A1D60"/>
    <w:rsid w:val="001A2249"/>
    <w:rsid w:val="001A2F12"/>
    <w:rsid w:val="001A311C"/>
    <w:rsid w:val="001A34EA"/>
    <w:rsid w:val="001A35AE"/>
    <w:rsid w:val="001A397F"/>
    <w:rsid w:val="001A39F1"/>
    <w:rsid w:val="001A4140"/>
    <w:rsid w:val="001A4247"/>
    <w:rsid w:val="001A4488"/>
    <w:rsid w:val="001A4627"/>
    <w:rsid w:val="001A4979"/>
    <w:rsid w:val="001A4D22"/>
    <w:rsid w:val="001A4DED"/>
    <w:rsid w:val="001A50DF"/>
    <w:rsid w:val="001A5221"/>
    <w:rsid w:val="001A536C"/>
    <w:rsid w:val="001A5375"/>
    <w:rsid w:val="001A567C"/>
    <w:rsid w:val="001A5C7A"/>
    <w:rsid w:val="001A5FEC"/>
    <w:rsid w:val="001A649F"/>
    <w:rsid w:val="001A67E8"/>
    <w:rsid w:val="001A6B4A"/>
    <w:rsid w:val="001A74A9"/>
    <w:rsid w:val="001A761D"/>
    <w:rsid w:val="001A7734"/>
    <w:rsid w:val="001B0710"/>
    <w:rsid w:val="001B0A8C"/>
    <w:rsid w:val="001B0AEE"/>
    <w:rsid w:val="001B0F1B"/>
    <w:rsid w:val="001B0FE1"/>
    <w:rsid w:val="001B15D3"/>
    <w:rsid w:val="001B1E59"/>
    <w:rsid w:val="001B1FBE"/>
    <w:rsid w:val="001B205B"/>
    <w:rsid w:val="001B22A2"/>
    <w:rsid w:val="001B23A3"/>
    <w:rsid w:val="001B2916"/>
    <w:rsid w:val="001B2C29"/>
    <w:rsid w:val="001B308D"/>
    <w:rsid w:val="001B3443"/>
    <w:rsid w:val="001B35E4"/>
    <w:rsid w:val="001B38CF"/>
    <w:rsid w:val="001B41DC"/>
    <w:rsid w:val="001B46B8"/>
    <w:rsid w:val="001B48A7"/>
    <w:rsid w:val="001B48F0"/>
    <w:rsid w:val="001B593F"/>
    <w:rsid w:val="001B59D0"/>
    <w:rsid w:val="001B5D8C"/>
    <w:rsid w:val="001B5E9B"/>
    <w:rsid w:val="001B65F9"/>
    <w:rsid w:val="001B679A"/>
    <w:rsid w:val="001B6D17"/>
    <w:rsid w:val="001B6FA0"/>
    <w:rsid w:val="001B71AA"/>
    <w:rsid w:val="001B739C"/>
    <w:rsid w:val="001B785B"/>
    <w:rsid w:val="001B7888"/>
    <w:rsid w:val="001B7F42"/>
    <w:rsid w:val="001C0326"/>
    <w:rsid w:val="001C0C7F"/>
    <w:rsid w:val="001C1106"/>
    <w:rsid w:val="001C1707"/>
    <w:rsid w:val="001C192F"/>
    <w:rsid w:val="001C1B10"/>
    <w:rsid w:val="001C1BCB"/>
    <w:rsid w:val="001C1D67"/>
    <w:rsid w:val="001C2461"/>
    <w:rsid w:val="001C2AC3"/>
    <w:rsid w:val="001C2B06"/>
    <w:rsid w:val="001C2D2E"/>
    <w:rsid w:val="001C312E"/>
    <w:rsid w:val="001C33B8"/>
    <w:rsid w:val="001C3586"/>
    <w:rsid w:val="001C3C42"/>
    <w:rsid w:val="001C3F88"/>
    <w:rsid w:val="001C41BD"/>
    <w:rsid w:val="001C490A"/>
    <w:rsid w:val="001C4AC4"/>
    <w:rsid w:val="001C4B1C"/>
    <w:rsid w:val="001C4FA4"/>
    <w:rsid w:val="001C5261"/>
    <w:rsid w:val="001C5FB3"/>
    <w:rsid w:val="001C5FCE"/>
    <w:rsid w:val="001C6429"/>
    <w:rsid w:val="001C6A8B"/>
    <w:rsid w:val="001C6D8D"/>
    <w:rsid w:val="001C7753"/>
    <w:rsid w:val="001C7A04"/>
    <w:rsid w:val="001C7D74"/>
    <w:rsid w:val="001D0EBD"/>
    <w:rsid w:val="001D0EDB"/>
    <w:rsid w:val="001D1624"/>
    <w:rsid w:val="001D1E1E"/>
    <w:rsid w:val="001D1FF4"/>
    <w:rsid w:val="001D216A"/>
    <w:rsid w:val="001D21F2"/>
    <w:rsid w:val="001D23A0"/>
    <w:rsid w:val="001D2B49"/>
    <w:rsid w:val="001D2E88"/>
    <w:rsid w:val="001D301B"/>
    <w:rsid w:val="001D38D6"/>
    <w:rsid w:val="001D3BFF"/>
    <w:rsid w:val="001D3E23"/>
    <w:rsid w:val="001D414B"/>
    <w:rsid w:val="001D430B"/>
    <w:rsid w:val="001D4470"/>
    <w:rsid w:val="001D4B62"/>
    <w:rsid w:val="001D5520"/>
    <w:rsid w:val="001D58AF"/>
    <w:rsid w:val="001D5A4F"/>
    <w:rsid w:val="001D5C29"/>
    <w:rsid w:val="001D5EC3"/>
    <w:rsid w:val="001D6707"/>
    <w:rsid w:val="001D6808"/>
    <w:rsid w:val="001D6E2E"/>
    <w:rsid w:val="001D720B"/>
    <w:rsid w:val="001D73FC"/>
    <w:rsid w:val="001D7721"/>
    <w:rsid w:val="001D7869"/>
    <w:rsid w:val="001D786C"/>
    <w:rsid w:val="001D7965"/>
    <w:rsid w:val="001D7B99"/>
    <w:rsid w:val="001E0154"/>
    <w:rsid w:val="001E061E"/>
    <w:rsid w:val="001E0900"/>
    <w:rsid w:val="001E0E05"/>
    <w:rsid w:val="001E1E29"/>
    <w:rsid w:val="001E1FB6"/>
    <w:rsid w:val="001E241F"/>
    <w:rsid w:val="001E24D8"/>
    <w:rsid w:val="001E24ED"/>
    <w:rsid w:val="001E2567"/>
    <w:rsid w:val="001E26BD"/>
    <w:rsid w:val="001E2931"/>
    <w:rsid w:val="001E2A6B"/>
    <w:rsid w:val="001E2CC2"/>
    <w:rsid w:val="001E3964"/>
    <w:rsid w:val="001E3BC0"/>
    <w:rsid w:val="001E3CE9"/>
    <w:rsid w:val="001E41B5"/>
    <w:rsid w:val="001E4924"/>
    <w:rsid w:val="001E4DDC"/>
    <w:rsid w:val="001E5EE0"/>
    <w:rsid w:val="001E6183"/>
    <w:rsid w:val="001E62F8"/>
    <w:rsid w:val="001E69B5"/>
    <w:rsid w:val="001E6A05"/>
    <w:rsid w:val="001E6E77"/>
    <w:rsid w:val="001E6F23"/>
    <w:rsid w:val="001E7169"/>
    <w:rsid w:val="001E720E"/>
    <w:rsid w:val="001E7651"/>
    <w:rsid w:val="001E7729"/>
    <w:rsid w:val="001E78A6"/>
    <w:rsid w:val="001E7A0F"/>
    <w:rsid w:val="001E7A91"/>
    <w:rsid w:val="001E7B29"/>
    <w:rsid w:val="001E7F3E"/>
    <w:rsid w:val="001F0684"/>
    <w:rsid w:val="001F0A23"/>
    <w:rsid w:val="001F0D5B"/>
    <w:rsid w:val="001F1055"/>
    <w:rsid w:val="001F1469"/>
    <w:rsid w:val="001F158E"/>
    <w:rsid w:val="001F16BF"/>
    <w:rsid w:val="001F1A86"/>
    <w:rsid w:val="001F1B7D"/>
    <w:rsid w:val="001F1FB3"/>
    <w:rsid w:val="001F29B4"/>
    <w:rsid w:val="001F2A2E"/>
    <w:rsid w:val="001F2F78"/>
    <w:rsid w:val="001F3074"/>
    <w:rsid w:val="001F395A"/>
    <w:rsid w:val="001F3CD4"/>
    <w:rsid w:val="001F40B0"/>
    <w:rsid w:val="001F40B5"/>
    <w:rsid w:val="001F41BE"/>
    <w:rsid w:val="001F436F"/>
    <w:rsid w:val="001F5B38"/>
    <w:rsid w:val="001F5CB0"/>
    <w:rsid w:val="001F6452"/>
    <w:rsid w:val="001F64B0"/>
    <w:rsid w:val="001F733D"/>
    <w:rsid w:val="001F73D7"/>
    <w:rsid w:val="001F7C08"/>
    <w:rsid w:val="002002F8"/>
    <w:rsid w:val="0020033F"/>
    <w:rsid w:val="00200343"/>
    <w:rsid w:val="00200495"/>
    <w:rsid w:val="00200811"/>
    <w:rsid w:val="00200CA9"/>
    <w:rsid w:val="00201098"/>
    <w:rsid w:val="00201D64"/>
    <w:rsid w:val="00202031"/>
    <w:rsid w:val="00202391"/>
    <w:rsid w:val="00202653"/>
    <w:rsid w:val="002026B5"/>
    <w:rsid w:val="002026CD"/>
    <w:rsid w:val="00202A94"/>
    <w:rsid w:val="00202CD4"/>
    <w:rsid w:val="00202EB0"/>
    <w:rsid w:val="0020333B"/>
    <w:rsid w:val="002033FC"/>
    <w:rsid w:val="00203486"/>
    <w:rsid w:val="002039A5"/>
    <w:rsid w:val="00204417"/>
    <w:rsid w:val="002044BB"/>
    <w:rsid w:val="00204827"/>
    <w:rsid w:val="002049E4"/>
    <w:rsid w:val="00204CAD"/>
    <w:rsid w:val="0020523D"/>
    <w:rsid w:val="002054ED"/>
    <w:rsid w:val="00205591"/>
    <w:rsid w:val="00205A93"/>
    <w:rsid w:val="00205CA9"/>
    <w:rsid w:val="00205F04"/>
    <w:rsid w:val="00205FC2"/>
    <w:rsid w:val="00206136"/>
    <w:rsid w:val="002062E2"/>
    <w:rsid w:val="0020630D"/>
    <w:rsid w:val="002064A4"/>
    <w:rsid w:val="002064AA"/>
    <w:rsid w:val="00206717"/>
    <w:rsid w:val="00206BAB"/>
    <w:rsid w:val="00206C79"/>
    <w:rsid w:val="00206D54"/>
    <w:rsid w:val="0020741A"/>
    <w:rsid w:val="00207793"/>
    <w:rsid w:val="00207DEE"/>
    <w:rsid w:val="00207E88"/>
    <w:rsid w:val="00207FDA"/>
    <w:rsid w:val="00210400"/>
    <w:rsid w:val="0021063B"/>
    <w:rsid w:val="0021066B"/>
    <w:rsid w:val="00210B09"/>
    <w:rsid w:val="00210C9E"/>
    <w:rsid w:val="00210D41"/>
    <w:rsid w:val="0021121C"/>
    <w:rsid w:val="00211840"/>
    <w:rsid w:val="002119E4"/>
    <w:rsid w:val="00211C44"/>
    <w:rsid w:val="00211FAE"/>
    <w:rsid w:val="002125E2"/>
    <w:rsid w:val="00212B82"/>
    <w:rsid w:val="00212BFE"/>
    <w:rsid w:val="00212C87"/>
    <w:rsid w:val="002130AB"/>
    <w:rsid w:val="00213520"/>
    <w:rsid w:val="00213A26"/>
    <w:rsid w:val="00213C12"/>
    <w:rsid w:val="00214439"/>
    <w:rsid w:val="0021488B"/>
    <w:rsid w:val="00214C14"/>
    <w:rsid w:val="0021516B"/>
    <w:rsid w:val="002153B1"/>
    <w:rsid w:val="0021577D"/>
    <w:rsid w:val="00215989"/>
    <w:rsid w:val="00215B3E"/>
    <w:rsid w:val="00215CCD"/>
    <w:rsid w:val="00215E4D"/>
    <w:rsid w:val="00215ED7"/>
    <w:rsid w:val="00215EF9"/>
    <w:rsid w:val="00216490"/>
    <w:rsid w:val="00216942"/>
    <w:rsid w:val="00216A0F"/>
    <w:rsid w:val="00216C94"/>
    <w:rsid w:val="00217399"/>
    <w:rsid w:val="0021757E"/>
    <w:rsid w:val="002175CD"/>
    <w:rsid w:val="00217778"/>
    <w:rsid w:val="002177F0"/>
    <w:rsid w:val="002178A5"/>
    <w:rsid w:val="0022004C"/>
    <w:rsid w:val="00220098"/>
    <w:rsid w:val="0022069D"/>
    <w:rsid w:val="00220719"/>
    <w:rsid w:val="002208EB"/>
    <w:rsid w:val="00220E5F"/>
    <w:rsid w:val="00220F90"/>
    <w:rsid w:val="002212B5"/>
    <w:rsid w:val="002212E5"/>
    <w:rsid w:val="00221450"/>
    <w:rsid w:val="00221535"/>
    <w:rsid w:val="0022160D"/>
    <w:rsid w:val="00221624"/>
    <w:rsid w:val="002217DF"/>
    <w:rsid w:val="00221886"/>
    <w:rsid w:val="00221A1D"/>
    <w:rsid w:val="00222138"/>
    <w:rsid w:val="002223DC"/>
    <w:rsid w:val="002226E9"/>
    <w:rsid w:val="00222716"/>
    <w:rsid w:val="00222DEE"/>
    <w:rsid w:val="00223150"/>
    <w:rsid w:val="00223746"/>
    <w:rsid w:val="00223B37"/>
    <w:rsid w:val="00223C40"/>
    <w:rsid w:val="00223E11"/>
    <w:rsid w:val="00224C13"/>
    <w:rsid w:val="00224C4E"/>
    <w:rsid w:val="00224C9A"/>
    <w:rsid w:val="00224D5B"/>
    <w:rsid w:val="0022553A"/>
    <w:rsid w:val="00225C10"/>
    <w:rsid w:val="00225D64"/>
    <w:rsid w:val="00225DF8"/>
    <w:rsid w:val="00226040"/>
    <w:rsid w:val="00226435"/>
    <w:rsid w:val="00226668"/>
    <w:rsid w:val="00226857"/>
    <w:rsid w:val="0022707A"/>
    <w:rsid w:val="00230C78"/>
    <w:rsid w:val="002310B7"/>
    <w:rsid w:val="0023119C"/>
    <w:rsid w:val="00231770"/>
    <w:rsid w:val="00231D08"/>
    <w:rsid w:val="00232098"/>
    <w:rsid w:val="00232362"/>
    <w:rsid w:val="00232414"/>
    <w:rsid w:val="0023272E"/>
    <w:rsid w:val="0023296B"/>
    <w:rsid w:val="002331F2"/>
    <w:rsid w:val="00233383"/>
    <w:rsid w:val="00233809"/>
    <w:rsid w:val="00233ADA"/>
    <w:rsid w:val="00233B00"/>
    <w:rsid w:val="00233C22"/>
    <w:rsid w:val="00234688"/>
    <w:rsid w:val="002346A3"/>
    <w:rsid w:val="00234B9F"/>
    <w:rsid w:val="00234C4A"/>
    <w:rsid w:val="002351EE"/>
    <w:rsid w:val="002352C1"/>
    <w:rsid w:val="00235683"/>
    <w:rsid w:val="00235721"/>
    <w:rsid w:val="002359CC"/>
    <w:rsid w:val="00235B4F"/>
    <w:rsid w:val="00235C93"/>
    <w:rsid w:val="00235E9C"/>
    <w:rsid w:val="00236073"/>
    <w:rsid w:val="002360CD"/>
    <w:rsid w:val="0023644F"/>
    <w:rsid w:val="00236722"/>
    <w:rsid w:val="0023683D"/>
    <w:rsid w:val="0023697E"/>
    <w:rsid w:val="00236AEA"/>
    <w:rsid w:val="00236BCC"/>
    <w:rsid w:val="00237057"/>
    <w:rsid w:val="00237276"/>
    <w:rsid w:val="0023728E"/>
    <w:rsid w:val="0023783C"/>
    <w:rsid w:val="00240042"/>
    <w:rsid w:val="00240046"/>
    <w:rsid w:val="002402F4"/>
    <w:rsid w:val="002404F5"/>
    <w:rsid w:val="002405D1"/>
    <w:rsid w:val="0024075F"/>
    <w:rsid w:val="002413CA"/>
    <w:rsid w:val="00241493"/>
    <w:rsid w:val="0024196C"/>
    <w:rsid w:val="00241BF2"/>
    <w:rsid w:val="00241FCD"/>
    <w:rsid w:val="00242119"/>
    <w:rsid w:val="0024241A"/>
    <w:rsid w:val="00242490"/>
    <w:rsid w:val="002425B8"/>
    <w:rsid w:val="00242A1F"/>
    <w:rsid w:val="00242CDD"/>
    <w:rsid w:val="00242D1A"/>
    <w:rsid w:val="00243027"/>
    <w:rsid w:val="002436E6"/>
    <w:rsid w:val="0024382D"/>
    <w:rsid w:val="00243841"/>
    <w:rsid w:val="002446E5"/>
    <w:rsid w:val="00244752"/>
    <w:rsid w:val="002452DE"/>
    <w:rsid w:val="002454B4"/>
    <w:rsid w:val="0024553F"/>
    <w:rsid w:val="0024567E"/>
    <w:rsid w:val="00245FD4"/>
    <w:rsid w:val="00246230"/>
    <w:rsid w:val="00246571"/>
    <w:rsid w:val="00246775"/>
    <w:rsid w:val="002469B9"/>
    <w:rsid w:val="00246B82"/>
    <w:rsid w:val="00246C0A"/>
    <w:rsid w:val="00247043"/>
    <w:rsid w:val="002475ED"/>
    <w:rsid w:val="0024773F"/>
    <w:rsid w:val="0024797F"/>
    <w:rsid w:val="00247AD2"/>
    <w:rsid w:val="00247F42"/>
    <w:rsid w:val="00250217"/>
    <w:rsid w:val="0025119E"/>
    <w:rsid w:val="00251269"/>
    <w:rsid w:val="002518C2"/>
    <w:rsid w:val="00251CE0"/>
    <w:rsid w:val="00251E99"/>
    <w:rsid w:val="00252097"/>
    <w:rsid w:val="002524E1"/>
    <w:rsid w:val="00252602"/>
    <w:rsid w:val="00252DFD"/>
    <w:rsid w:val="00252EC9"/>
    <w:rsid w:val="002535C0"/>
    <w:rsid w:val="00253665"/>
    <w:rsid w:val="00253A92"/>
    <w:rsid w:val="00253CB5"/>
    <w:rsid w:val="00253D7A"/>
    <w:rsid w:val="00253FEE"/>
    <w:rsid w:val="0025401C"/>
    <w:rsid w:val="00254142"/>
    <w:rsid w:val="00254343"/>
    <w:rsid w:val="002544BA"/>
    <w:rsid w:val="00254670"/>
    <w:rsid w:val="00254792"/>
    <w:rsid w:val="00254E8B"/>
    <w:rsid w:val="00254F82"/>
    <w:rsid w:val="0025544F"/>
    <w:rsid w:val="0025595A"/>
    <w:rsid w:val="00255FE0"/>
    <w:rsid w:val="002561D3"/>
    <w:rsid w:val="00256639"/>
    <w:rsid w:val="002566CA"/>
    <w:rsid w:val="00256844"/>
    <w:rsid w:val="00256F78"/>
    <w:rsid w:val="00257083"/>
    <w:rsid w:val="002579FE"/>
    <w:rsid w:val="0026018E"/>
    <w:rsid w:val="00260330"/>
    <w:rsid w:val="002609A5"/>
    <w:rsid w:val="00260C08"/>
    <w:rsid w:val="00260D8E"/>
    <w:rsid w:val="00260E02"/>
    <w:rsid w:val="0026126A"/>
    <w:rsid w:val="002616AF"/>
    <w:rsid w:val="002619D9"/>
    <w:rsid w:val="00261A74"/>
    <w:rsid w:val="00261B57"/>
    <w:rsid w:val="00261BC7"/>
    <w:rsid w:val="002621B4"/>
    <w:rsid w:val="00262397"/>
    <w:rsid w:val="00262C0F"/>
    <w:rsid w:val="00262DFD"/>
    <w:rsid w:val="002630A0"/>
    <w:rsid w:val="0026311C"/>
    <w:rsid w:val="00263267"/>
    <w:rsid w:val="00263510"/>
    <w:rsid w:val="00263651"/>
    <w:rsid w:val="00263AEC"/>
    <w:rsid w:val="00263BA6"/>
    <w:rsid w:val="00263C3D"/>
    <w:rsid w:val="00263CA0"/>
    <w:rsid w:val="00263CA3"/>
    <w:rsid w:val="00264047"/>
    <w:rsid w:val="00264073"/>
    <w:rsid w:val="002640BD"/>
    <w:rsid w:val="00264360"/>
    <w:rsid w:val="002643AE"/>
    <w:rsid w:val="002645CC"/>
    <w:rsid w:val="0026482E"/>
    <w:rsid w:val="00264A08"/>
    <w:rsid w:val="00265395"/>
    <w:rsid w:val="0026547F"/>
    <w:rsid w:val="002659FF"/>
    <w:rsid w:val="00265BE7"/>
    <w:rsid w:val="00265EDC"/>
    <w:rsid w:val="0026645C"/>
    <w:rsid w:val="0026668C"/>
    <w:rsid w:val="00266AC1"/>
    <w:rsid w:val="00267154"/>
    <w:rsid w:val="002672B0"/>
    <w:rsid w:val="002674A3"/>
    <w:rsid w:val="00267BBD"/>
    <w:rsid w:val="00267DF7"/>
    <w:rsid w:val="00267FA9"/>
    <w:rsid w:val="00270141"/>
    <w:rsid w:val="00270300"/>
    <w:rsid w:val="0027046D"/>
    <w:rsid w:val="002704C9"/>
    <w:rsid w:val="002705F0"/>
    <w:rsid w:val="00270D14"/>
    <w:rsid w:val="00270E9F"/>
    <w:rsid w:val="00270F15"/>
    <w:rsid w:val="0027114A"/>
    <w:rsid w:val="0027137B"/>
    <w:rsid w:val="0027178C"/>
    <w:rsid w:val="002719FA"/>
    <w:rsid w:val="00271F54"/>
    <w:rsid w:val="00272650"/>
    <w:rsid w:val="00272668"/>
    <w:rsid w:val="00272941"/>
    <w:rsid w:val="00272B62"/>
    <w:rsid w:val="00272C59"/>
    <w:rsid w:val="00272F2F"/>
    <w:rsid w:val="002732DB"/>
    <w:rsid w:val="0027330B"/>
    <w:rsid w:val="002733A0"/>
    <w:rsid w:val="00273880"/>
    <w:rsid w:val="0027405F"/>
    <w:rsid w:val="002740A2"/>
    <w:rsid w:val="00274112"/>
    <w:rsid w:val="002741C0"/>
    <w:rsid w:val="0027489E"/>
    <w:rsid w:val="0027499D"/>
    <w:rsid w:val="00274B95"/>
    <w:rsid w:val="00274F96"/>
    <w:rsid w:val="0027504A"/>
    <w:rsid w:val="0027590B"/>
    <w:rsid w:val="002761E6"/>
    <w:rsid w:val="00276BD6"/>
    <w:rsid w:val="00277D50"/>
    <w:rsid w:val="00280221"/>
    <w:rsid w:val="002803AD"/>
    <w:rsid w:val="00280BF2"/>
    <w:rsid w:val="002811F1"/>
    <w:rsid w:val="00281F1B"/>
    <w:rsid w:val="00282052"/>
    <w:rsid w:val="00282199"/>
    <w:rsid w:val="00282518"/>
    <w:rsid w:val="00282E6D"/>
    <w:rsid w:val="0028309C"/>
    <w:rsid w:val="002837AC"/>
    <w:rsid w:val="002839F9"/>
    <w:rsid w:val="00283C9A"/>
    <w:rsid w:val="002849BB"/>
    <w:rsid w:val="00284AB6"/>
    <w:rsid w:val="00284CB1"/>
    <w:rsid w:val="0028519E"/>
    <w:rsid w:val="002855A5"/>
    <w:rsid w:val="002856A5"/>
    <w:rsid w:val="00285A79"/>
    <w:rsid w:val="00285BB6"/>
    <w:rsid w:val="002872ED"/>
    <w:rsid w:val="002873A8"/>
    <w:rsid w:val="0028748B"/>
    <w:rsid w:val="002875FD"/>
    <w:rsid w:val="002876F4"/>
    <w:rsid w:val="00287A16"/>
    <w:rsid w:val="00287ECF"/>
    <w:rsid w:val="002900C7"/>
    <w:rsid w:val="00290293"/>
    <w:rsid w:val="0029031E"/>
    <w:rsid w:val="002904A7"/>
    <w:rsid w:val="002905C2"/>
    <w:rsid w:val="00290BB1"/>
    <w:rsid w:val="00290CDA"/>
    <w:rsid w:val="00291E03"/>
    <w:rsid w:val="00291E21"/>
    <w:rsid w:val="00292050"/>
    <w:rsid w:val="002923BF"/>
    <w:rsid w:val="0029322D"/>
    <w:rsid w:val="0029331C"/>
    <w:rsid w:val="002938C1"/>
    <w:rsid w:val="00293979"/>
    <w:rsid w:val="00294406"/>
    <w:rsid w:val="00294C07"/>
    <w:rsid w:val="0029566A"/>
    <w:rsid w:val="00295A67"/>
    <w:rsid w:val="00295AF2"/>
    <w:rsid w:val="00295BBF"/>
    <w:rsid w:val="00295BEA"/>
    <w:rsid w:val="00295C91"/>
    <w:rsid w:val="00295CD7"/>
    <w:rsid w:val="00295CFB"/>
    <w:rsid w:val="00295DB2"/>
    <w:rsid w:val="0029613B"/>
    <w:rsid w:val="002970E3"/>
    <w:rsid w:val="00297151"/>
    <w:rsid w:val="002974C4"/>
    <w:rsid w:val="00297920"/>
    <w:rsid w:val="00297ACD"/>
    <w:rsid w:val="00297FC8"/>
    <w:rsid w:val="002A01B2"/>
    <w:rsid w:val="002A040E"/>
    <w:rsid w:val="002A05A6"/>
    <w:rsid w:val="002A0705"/>
    <w:rsid w:val="002A0B94"/>
    <w:rsid w:val="002A0BEF"/>
    <w:rsid w:val="002A0C0D"/>
    <w:rsid w:val="002A0D83"/>
    <w:rsid w:val="002A1147"/>
    <w:rsid w:val="002A16E1"/>
    <w:rsid w:val="002A181C"/>
    <w:rsid w:val="002A18C2"/>
    <w:rsid w:val="002A19AF"/>
    <w:rsid w:val="002A1B95"/>
    <w:rsid w:val="002A1FBB"/>
    <w:rsid w:val="002A22A5"/>
    <w:rsid w:val="002A2706"/>
    <w:rsid w:val="002A2807"/>
    <w:rsid w:val="002A290C"/>
    <w:rsid w:val="002A293C"/>
    <w:rsid w:val="002A343E"/>
    <w:rsid w:val="002A34F4"/>
    <w:rsid w:val="002A49FD"/>
    <w:rsid w:val="002A4F2B"/>
    <w:rsid w:val="002A4F8C"/>
    <w:rsid w:val="002A5648"/>
    <w:rsid w:val="002A5880"/>
    <w:rsid w:val="002A5D24"/>
    <w:rsid w:val="002A5F26"/>
    <w:rsid w:val="002A63BE"/>
    <w:rsid w:val="002A63E8"/>
    <w:rsid w:val="002A682D"/>
    <w:rsid w:val="002A68D5"/>
    <w:rsid w:val="002A6B6F"/>
    <w:rsid w:val="002A770C"/>
    <w:rsid w:val="002A7918"/>
    <w:rsid w:val="002B0AA9"/>
    <w:rsid w:val="002B0ED7"/>
    <w:rsid w:val="002B1B42"/>
    <w:rsid w:val="002B1B56"/>
    <w:rsid w:val="002B1F4C"/>
    <w:rsid w:val="002B20E6"/>
    <w:rsid w:val="002B21F4"/>
    <w:rsid w:val="002B2530"/>
    <w:rsid w:val="002B30CA"/>
    <w:rsid w:val="002B31D1"/>
    <w:rsid w:val="002B3842"/>
    <w:rsid w:val="002B3F58"/>
    <w:rsid w:val="002B42A3"/>
    <w:rsid w:val="002B4805"/>
    <w:rsid w:val="002B4DBC"/>
    <w:rsid w:val="002B5183"/>
    <w:rsid w:val="002B5248"/>
    <w:rsid w:val="002B57D6"/>
    <w:rsid w:val="002B5A39"/>
    <w:rsid w:val="002B5C45"/>
    <w:rsid w:val="002B609D"/>
    <w:rsid w:val="002B666B"/>
    <w:rsid w:val="002B6926"/>
    <w:rsid w:val="002B6C36"/>
    <w:rsid w:val="002B78D0"/>
    <w:rsid w:val="002B7A0B"/>
    <w:rsid w:val="002B7F17"/>
    <w:rsid w:val="002C058C"/>
    <w:rsid w:val="002C0CDD"/>
    <w:rsid w:val="002C10BA"/>
    <w:rsid w:val="002C156D"/>
    <w:rsid w:val="002C156F"/>
    <w:rsid w:val="002C1A4F"/>
    <w:rsid w:val="002C1D78"/>
    <w:rsid w:val="002C1DE7"/>
    <w:rsid w:val="002C2091"/>
    <w:rsid w:val="002C2600"/>
    <w:rsid w:val="002C275C"/>
    <w:rsid w:val="002C2B5D"/>
    <w:rsid w:val="002C358E"/>
    <w:rsid w:val="002C3A81"/>
    <w:rsid w:val="002C3AAE"/>
    <w:rsid w:val="002C3C25"/>
    <w:rsid w:val="002C3D37"/>
    <w:rsid w:val="002C417C"/>
    <w:rsid w:val="002C4328"/>
    <w:rsid w:val="002C47DE"/>
    <w:rsid w:val="002C4BAF"/>
    <w:rsid w:val="002C4D0E"/>
    <w:rsid w:val="002C4DF2"/>
    <w:rsid w:val="002C4F97"/>
    <w:rsid w:val="002C50EC"/>
    <w:rsid w:val="002C51CB"/>
    <w:rsid w:val="002C53FE"/>
    <w:rsid w:val="002C5B21"/>
    <w:rsid w:val="002C65BC"/>
    <w:rsid w:val="002C6E65"/>
    <w:rsid w:val="002C73CA"/>
    <w:rsid w:val="002C7684"/>
    <w:rsid w:val="002C7B86"/>
    <w:rsid w:val="002C7B97"/>
    <w:rsid w:val="002D0198"/>
    <w:rsid w:val="002D059B"/>
    <w:rsid w:val="002D07F7"/>
    <w:rsid w:val="002D094F"/>
    <w:rsid w:val="002D0A0B"/>
    <w:rsid w:val="002D102D"/>
    <w:rsid w:val="002D1115"/>
    <w:rsid w:val="002D1181"/>
    <w:rsid w:val="002D11F5"/>
    <w:rsid w:val="002D1573"/>
    <w:rsid w:val="002D17E9"/>
    <w:rsid w:val="002D1A5C"/>
    <w:rsid w:val="002D1D1D"/>
    <w:rsid w:val="002D216C"/>
    <w:rsid w:val="002D275C"/>
    <w:rsid w:val="002D2CC7"/>
    <w:rsid w:val="002D33D5"/>
    <w:rsid w:val="002D371B"/>
    <w:rsid w:val="002D3A77"/>
    <w:rsid w:val="002D3D4F"/>
    <w:rsid w:val="002D4044"/>
    <w:rsid w:val="002D405A"/>
    <w:rsid w:val="002D49A3"/>
    <w:rsid w:val="002D4A38"/>
    <w:rsid w:val="002D4B7F"/>
    <w:rsid w:val="002D5BD1"/>
    <w:rsid w:val="002D5D40"/>
    <w:rsid w:val="002D5D42"/>
    <w:rsid w:val="002D62D3"/>
    <w:rsid w:val="002D6423"/>
    <w:rsid w:val="002D69CA"/>
    <w:rsid w:val="002D6A08"/>
    <w:rsid w:val="002D6A21"/>
    <w:rsid w:val="002D6D6A"/>
    <w:rsid w:val="002D6DE9"/>
    <w:rsid w:val="002D6EBC"/>
    <w:rsid w:val="002D714C"/>
    <w:rsid w:val="002D72DD"/>
    <w:rsid w:val="002D79B9"/>
    <w:rsid w:val="002D7C15"/>
    <w:rsid w:val="002D7D2A"/>
    <w:rsid w:val="002E07C5"/>
    <w:rsid w:val="002E08CE"/>
    <w:rsid w:val="002E0F71"/>
    <w:rsid w:val="002E12BD"/>
    <w:rsid w:val="002E1400"/>
    <w:rsid w:val="002E1471"/>
    <w:rsid w:val="002E1829"/>
    <w:rsid w:val="002E1A1D"/>
    <w:rsid w:val="002E1A2C"/>
    <w:rsid w:val="002E21A7"/>
    <w:rsid w:val="002E21CA"/>
    <w:rsid w:val="002E23CE"/>
    <w:rsid w:val="002E2FE1"/>
    <w:rsid w:val="002E32DC"/>
    <w:rsid w:val="002E3716"/>
    <w:rsid w:val="002E3E62"/>
    <w:rsid w:val="002E3FBF"/>
    <w:rsid w:val="002E4081"/>
    <w:rsid w:val="002E444C"/>
    <w:rsid w:val="002E47FB"/>
    <w:rsid w:val="002E483E"/>
    <w:rsid w:val="002E4847"/>
    <w:rsid w:val="002E4E50"/>
    <w:rsid w:val="002E4EEF"/>
    <w:rsid w:val="002E4F3A"/>
    <w:rsid w:val="002E50C1"/>
    <w:rsid w:val="002E54A1"/>
    <w:rsid w:val="002E5535"/>
    <w:rsid w:val="002E5873"/>
    <w:rsid w:val="002E5897"/>
    <w:rsid w:val="002E59DE"/>
    <w:rsid w:val="002E5B78"/>
    <w:rsid w:val="002E6660"/>
    <w:rsid w:val="002E6E5D"/>
    <w:rsid w:val="002E75DB"/>
    <w:rsid w:val="002E7915"/>
    <w:rsid w:val="002E7C35"/>
    <w:rsid w:val="002F0227"/>
    <w:rsid w:val="002F057F"/>
    <w:rsid w:val="002F091E"/>
    <w:rsid w:val="002F0E62"/>
    <w:rsid w:val="002F1271"/>
    <w:rsid w:val="002F1862"/>
    <w:rsid w:val="002F1B94"/>
    <w:rsid w:val="002F1EF5"/>
    <w:rsid w:val="002F20CA"/>
    <w:rsid w:val="002F26F8"/>
    <w:rsid w:val="002F2C10"/>
    <w:rsid w:val="002F2D4D"/>
    <w:rsid w:val="002F33AA"/>
    <w:rsid w:val="002F370B"/>
    <w:rsid w:val="002F37CE"/>
    <w:rsid w:val="002F39E2"/>
    <w:rsid w:val="002F3AE3"/>
    <w:rsid w:val="002F3CA2"/>
    <w:rsid w:val="002F3CF9"/>
    <w:rsid w:val="002F4926"/>
    <w:rsid w:val="002F4A9F"/>
    <w:rsid w:val="002F4CD6"/>
    <w:rsid w:val="002F4ED7"/>
    <w:rsid w:val="002F5602"/>
    <w:rsid w:val="002F57DC"/>
    <w:rsid w:val="002F5E73"/>
    <w:rsid w:val="002F6A12"/>
    <w:rsid w:val="002F6EC9"/>
    <w:rsid w:val="002F709D"/>
    <w:rsid w:val="002F72DC"/>
    <w:rsid w:val="002F7406"/>
    <w:rsid w:val="002F7528"/>
    <w:rsid w:val="002F7547"/>
    <w:rsid w:val="002F754E"/>
    <w:rsid w:val="002F77C4"/>
    <w:rsid w:val="002F7BC2"/>
    <w:rsid w:val="002F7D54"/>
    <w:rsid w:val="0030024C"/>
    <w:rsid w:val="00300620"/>
    <w:rsid w:val="003009B1"/>
    <w:rsid w:val="00300A8E"/>
    <w:rsid w:val="00300E93"/>
    <w:rsid w:val="00300EB5"/>
    <w:rsid w:val="00300F5E"/>
    <w:rsid w:val="00301080"/>
    <w:rsid w:val="003012CE"/>
    <w:rsid w:val="003018CA"/>
    <w:rsid w:val="00301F0A"/>
    <w:rsid w:val="0030225A"/>
    <w:rsid w:val="003025A9"/>
    <w:rsid w:val="003026D9"/>
    <w:rsid w:val="0030294C"/>
    <w:rsid w:val="0030298A"/>
    <w:rsid w:val="00302991"/>
    <w:rsid w:val="00302AE7"/>
    <w:rsid w:val="00302AEE"/>
    <w:rsid w:val="00302C95"/>
    <w:rsid w:val="00302CC9"/>
    <w:rsid w:val="0030328D"/>
    <w:rsid w:val="00304162"/>
    <w:rsid w:val="00304529"/>
    <w:rsid w:val="0030452F"/>
    <w:rsid w:val="0030464B"/>
    <w:rsid w:val="0030481D"/>
    <w:rsid w:val="00304A36"/>
    <w:rsid w:val="00304AB7"/>
    <w:rsid w:val="003057BF"/>
    <w:rsid w:val="00305E27"/>
    <w:rsid w:val="00305F94"/>
    <w:rsid w:val="003065A8"/>
    <w:rsid w:val="003065D6"/>
    <w:rsid w:val="003067CA"/>
    <w:rsid w:val="00306979"/>
    <w:rsid w:val="00306989"/>
    <w:rsid w:val="00306FAC"/>
    <w:rsid w:val="0030735A"/>
    <w:rsid w:val="00307542"/>
    <w:rsid w:val="00307842"/>
    <w:rsid w:val="0030786C"/>
    <w:rsid w:val="003103EF"/>
    <w:rsid w:val="0031057A"/>
    <w:rsid w:val="00310E84"/>
    <w:rsid w:val="003112E8"/>
    <w:rsid w:val="00311BAB"/>
    <w:rsid w:val="00311CBD"/>
    <w:rsid w:val="00311CD6"/>
    <w:rsid w:val="00311D1A"/>
    <w:rsid w:val="00311E1F"/>
    <w:rsid w:val="00311F18"/>
    <w:rsid w:val="0031225C"/>
    <w:rsid w:val="0031234F"/>
    <w:rsid w:val="0031260E"/>
    <w:rsid w:val="00312B8D"/>
    <w:rsid w:val="00312BEF"/>
    <w:rsid w:val="00312C9B"/>
    <w:rsid w:val="00312F72"/>
    <w:rsid w:val="00313447"/>
    <w:rsid w:val="00313F8D"/>
    <w:rsid w:val="0031440B"/>
    <w:rsid w:val="0031454F"/>
    <w:rsid w:val="0031468F"/>
    <w:rsid w:val="00314840"/>
    <w:rsid w:val="00314A0E"/>
    <w:rsid w:val="00314DB3"/>
    <w:rsid w:val="00314EF3"/>
    <w:rsid w:val="00315364"/>
    <w:rsid w:val="00315AFB"/>
    <w:rsid w:val="00315D32"/>
    <w:rsid w:val="00315DDC"/>
    <w:rsid w:val="00315FC8"/>
    <w:rsid w:val="00316758"/>
    <w:rsid w:val="00317209"/>
    <w:rsid w:val="0031729A"/>
    <w:rsid w:val="003173AA"/>
    <w:rsid w:val="00317D9F"/>
    <w:rsid w:val="0032064A"/>
    <w:rsid w:val="00320ADB"/>
    <w:rsid w:val="003217CD"/>
    <w:rsid w:val="00321CA8"/>
    <w:rsid w:val="00321D72"/>
    <w:rsid w:val="00321E40"/>
    <w:rsid w:val="00321F53"/>
    <w:rsid w:val="00321FC1"/>
    <w:rsid w:val="00322169"/>
    <w:rsid w:val="00322240"/>
    <w:rsid w:val="00322301"/>
    <w:rsid w:val="00322538"/>
    <w:rsid w:val="0032254D"/>
    <w:rsid w:val="00322846"/>
    <w:rsid w:val="00322B1E"/>
    <w:rsid w:val="00322C1D"/>
    <w:rsid w:val="00322DA0"/>
    <w:rsid w:val="0032335A"/>
    <w:rsid w:val="003233DE"/>
    <w:rsid w:val="0032395D"/>
    <w:rsid w:val="00324051"/>
    <w:rsid w:val="00324323"/>
    <w:rsid w:val="00324525"/>
    <w:rsid w:val="0032464A"/>
    <w:rsid w:val="0032466B"/>
    <w:rsid w:val="00324CBC"/>
    <w:rsid w:val="00325531"/>
    <w:rsid w:val="00325588"/>
    <w:rsid w:val="00325A09"/>
    <w:rsid w:val="00325E12"/>
    <w:rsid w:val="0032623B"/>
    <w:rsid w:val="003269B0"/>
    <w:rsid w:val="00326A33"/>
    <w:rsid w:val="00326E5D"/>
    <w:rsid w:val="003275BA"/>
    <w:rsid w:val="00327B44"/>
    <w:rsid w:val="00327C00"/>
    <w:rsid w:val="00327C7D"/>
    <w:rsid w:val="00327D5E"/>
    <w:rsid w:val="00327DB6"/>
    <w:rsid w:val="00330342"/>
    <w:rsid w:val="003305CD"/>
    <w:rsid w:val="00330818"/>
    <w:rsid w:val="00330DA5"/>
    <w:rsid w:val="00331087"/>
    <w:rsid w:val="00331374"/>
    <w:rsid w:val="0033157B"/>
    <w:rsid w:val="003315CD"/>
    <w:rsid w:val="003330EB"/>
    <w:rsid w:val="003342B8"/>
    <w:rsid w:val="003352EE"/>
    <w:rsid w:val="003358D7"/>
    <w:rsid w:val="00335C6B"/>
    <w:rsid w:val="00335F69"/>
    <w:rsid w:val="00335F8A"/>
    <w:rsid w:val="00336113"/>
    <w:rsid w:val="003361CE"/>
    <w:rsid w:val="0033646C"/>
    <w:rsid w:val="00336605"/>
    <w:rsid w:val="003368C9"/>
    <w:rsid w:val="0033699A"/>
    <w:rsid w:val="003369CF"/>
    <w:rsid w:val="00336CB5"/>
    <w:rsid w:val="00337480"/>
    <w:rsid w:val="00337551"/>
    <w:rsid w:val="003377F2"/>
    <w:rsid w:val="00337CFD"/>
    <w:rsid w:val="00337EA5"/>
    <w:rsid w:val="00340141"/>
    <w:rsid w:val="00340409"/>
    <w:rsid w:val="003409B7"/>
    <w:rsid w:val="003409DB"/>
    <w:rsid w:val="00340F7B"/>
    <w:rsid w:val="003412AC"/>
    <w:rsid w:val="003415A6"/>
    <w:rsid w:val="003415FD"/>
    <w:rsid w:val="00341929"/>
    <w:rsid w:val="00341D55"/>
    <w:rsid w:val="00341DF5"/>
    <w:rsid w:val="00342381"/>
    <w:rsid w:val="00342417"/>
    <w:rsid w:val="00342418"/>
    <w:rsid w:val="003429F0"/>
    <w:rsid w:val="00343058"/>
    <w:rsid w:val="003439EA"/>
    <w:rsid w:val="00343B99"/>
    <w:rsid w:val="00343D1A"/>
    <w:rsid w:val="00344101"/>
    <w:rsid w:val="003447AA"/>
    <w:rsid w:val="00344B63"/>
    <w:rsid w:val="00344CA6"/>
    <w:rsid w:val="00344D0E"/>
    <w:rsid w:val="00344D5E"/>
    <w:rsid w:val="003450B9"/>
    <w:rsid w:val="0034519E"/>
    <w:rsid w:val="0034548B"/>
    <w:rsid w:val="0034558E"/>
    <w:rsid w:val="003455AB"/>
    <w:rsid w:val="00346439"/>
    <w:rsid w:val="00346C4A"/>
    <w:rsid w:val="00346F3E"/>
    <w:rsid w:val="003474DB"/>
    <w:rsid w:val="00347740"/>
    <w:rsid w:val="00347A79"/>
    <w:rsid w:val="00347DF1"/>
    <w:rsid w:val="003501F4"/>
    <w:rsid w:val="0035027E"/>
    <w:rsid w:val="0035097A"/>
    <w:rsid w:val="00350D05"/>
    <w:rsid w:val="00350D7D"/>
    <w:rsid w:val="00350E0B"/>
    <w:rsid w:val="00351120"/>
    <w:rsid w:val="00351B02"/>
    <w:rsid w:val="00352153"/>
    <w:rsid w:val="0035280A"/>
    <w:rsid w:val="0035295C"/>
    <w:rsid w:val="00352967"/>
    <w:rsid w:val="003529D6"/>
    <w:rsid w:val="00352B4F"/>
    <w:rsid w:val="0035329C"/>
    <w:rsid w:val="00353400"/>
    <w:rsid w:val="003537C1"/>
    <w:rsid w:val="00353FBE"/>
    <w:rsid w:val="00353FDF"/>
    <w:rsid w:val="003540A4"/>
    <w:rsid w:val="003543AC"/>
    <w:rsid w:val="00354645"/>
    <w:rsid w:val="00354C1E"/>
    <w:rsid w:val="00354C8E"/>
    <w:rsid w:val="00355787"/>
    <w:rsid w:val="003557FB"/>
    <w:rsid w:val="00355C56"/>
    <w:rsid w:val="00355DF7"/>
    <w:rsid w:val="00356691"/>
    <w:rsid w:val="00356A06"/>
    <w:rsid w:val="00356B04"/>
    <w:rsid w:val="00356DFB"/>
    <w:rsid w:val="00357159"/>
    <w:rsid w:val="00357592"/>
    <w:rsid w:val="00357944"/>
    <w:rsid w:val="003579C6"/>
    <w:rsid w:val="00357ADB"/>
    <w:rsid w:val="00357E9D"/>
    <w:rsid w:val="0036002F"/>
    <w:rsid w:val="00360049"/>
    <w:rsid w:val="0036005C"/>
    <w:rsid w:val="00360482"/>
    <w:rsid w:val="00360A9E"/>
    <w:rsid w:val="00360B1E"/>
    <w:rsid w:val="00360E4E"/>
    <w:rsid w:val="0036113A"/>
    <w:rsid w:val="00361420"/>
    <w:rsid w:val="003616C4"/>
    <w:rsid w:val="00361D22"/>
    <w:rsid w:val="003621DC"/>
    <w:rsid w:val="00362F0D"/>
    <w:rsid w:val="0036340E"/>
    <w:rsid w:val="003636EE"/>
    <w:rsid w:val="00363790"/>
    <w:rsid w:val="0036385D"/>
    <w:rsid w:val="003638D4"/>
    <w:rsid w:val="00363D5A"/>
    <w:rsid w:val="0036459C"/>
    <w:rsid w:val="003649C0"/>
    <w:rsid w:val="00364B86"/>
    <w:rsid w:val="00364BA8"/>
    <w:rsid w:val="00364D8E"/>
    <w:rsid w:val="00364EBF"/>
    <w:rsid w:val="003655FC"/>
    <w:rsid w:val="00365834"/>
    <w:rsid w:val="00365867"/>
    <w:rsid w:val="00365A02"/>
    <w:rsid w:val="0036603F"/>
    <w:rsid w:val="0036639D"/>
    <w:rsid w:val="0036653E"/>
    <w:rsid w:val="00366547"/>
    <w:rsid w:val="003668DF"/>
    <w:rsid w:val="00366DA8"/>
    <w:rsid w:val="00367CA6"/>
    <w:rsid w:val="00367CCF"/>
    <w:rsid w:val="003703E3"/>
    <w:rsid w:val="003706CD"/>
    <w:rsid w:val="00370AAA"/>
    <w:rsid w:val="00370E7D"/>
    <w:rsid w:val="00370E82"/>
    <w:rsid w:val="00371021"/>
    <w:rsid w:val="003710AC"/>
    <w:rsid w:val="00371316"/>
    <w:rsid w:val="003715E4"/>
    <w:rsid w:val="00371B40"/>
    <w:rsid w:val="00371C78"/>
    <w:rsid w:val="00371EE8"/>
    <w:rsid w:val="00371FA1"/>
    <w:rsid w:val="003725C9"/>
    <w:rsid w:val="003726D4"/>
    <w:rsid w:val="00372860"/>
    <w:rsid w:val="003729AB"/>
    <w:rsid w:val="00372C0C"/>
    <w:rsid w:val="00372DC9"/>
    <w:rsid w:val="003735DF"/>
    <w:rsid w:val="0037380B"/>
    <w:rsid w:val="00373DF2"/>
    <w:rsid w:val="00373E60"/>
    <w:rsid w:val="003740A8"/>
    <w:rsid w:val="00374141"/>
    <w:rsid w:val="0037424E"/>
    <w:rsid w:val="00374334"/>
    <w:rsid w:val="00374968"/>
    <w:rsid w:val="00374C14"/>
    <w:rsid w:val="0037514E"/>
    <w:rsid w:val="00375201"/>
    <w:rsid w:val="00375C76"/>
    <w:rsid w:val="00375F77"/>
    <w:rsid w:val="003761F2"/>
    <w:rsid w:val="003764A1"/>
    <w:rsid w:val="0037676E"/>
    <w:rsid w:val="00376B6A"/>
    <w:rsid w:val="00376C76"/>
    <w:rsid w:val="003772A0"/>
    <w:rsid w:val="00377887"/>
    <w:rsid w:val="00377A78"/>
    <w:rsid w:val="00377AB9"/>
    <w:rsid w:val="00377F49"/>
    <w:rsid w:val="00380215"/>
    <w:rsid w:val="003805A6"/>
    <w:rsid w:val="00380604"/>
    <w:rsid w:val="0038085E"/>
    <w:rsid w:val="00380A64"/>
    <w:rsid w:val="00380F9A"/>
    <w:rsid w:val="00381798"/>
    <w:rsid w:val="00381BBE"/>
    <w:rsid w:val="003820A6"/>
    <w:rsid w:val="00382903"/>
    <w:rsid w:val="003832CD"/>
    <w:rsid w:val="00383522"/>
    <w:rsid w:val="00383DB0"/>
    <w:rsid w:val="003842D3"/>
    <w:rsid w:val="003846FF"/>
    <w:rsid w:val="00384750"/>
    <w:rsid w:val="00384B29"/>
    <w:rsid w:val="00384D4A"/>
    <w:rsid w:val="00385123"/>
    <w:rsid w:val="00385536"/>
    <w:rsid w:val="003855EF"/>
    <w:rsid w:val="00385AD4"/>
    <w:rsid w:val="00385D84"/>
    <w:rsid w:val="00386147"/>
    <w:rsid w:val="00386435"/>
    <w:rsid w:val="0038663A"/>
    <w:rsid w:val="003866ED"/>
    <w:rsid w:val="00386F19"/>
    <w:rsid w:val="00387700"/>
    <w:rsid w:val="0038787C"/>
    <w:rsid w:val="00387924"/>
    <w:rsid w:val="00387963"/>
    <w:rsid w:val="00387AEC"/>
    <w:rsid w:val="00387C18"/>
    <w:rsid w:val="00387CF4"/>
    <w:rsid w:val="0039070F"/>
    <w:rsid w:val="003909EC"/>
    <w:rsid w:val="00390CF1"/>
    <w:rsid w:val="003919B9"/>
    <w:rsid w:val="00391B1E"/>
    <w:rsid w:val="00391D25"/>
    <w:rsid w:val="003929C3"/>
    <w:rsid w:val="003931BD"/>
    <w:rsid w:val="00393409"/>
    <w:rsid w:val="0039354C"/>
    <w:rsid w:val="0039384D"/>
    <w:rsid w:val="00393E50"/>
    <w:rsid w:val="00393FB9"/>
    <w:rsid w:val="003943A8"/>
    <w:rsid w:val="0039442C"/>
    <w:rsid w:val="00394823"/>
    <w:rsid w:val="00394CFA"/>
    <w:rsid w:val="00394D04"/>
    <w:rsid w:val="0039522E"/>
    <w:rsid w:val="003954C6"/>
    <w:rsid w:val="00395C04"/>
    <w:rsid w:val="00395C23"/>
    <w:rsid w:val="0039692D"/>
    <w:rsid w:val="00396FD3"/>
    <w:rsid w:val="003976ED"/>
    <w:rsid w:val="00397A23"/>
    <w:rsid w:val="003A03A3"/>
    <w:rsid w:val="003A08E1"/>
    <w:rsid w:val="003A13F3"/>
    <w:rsid w:val="003A14C4"/>
    <w:rsid w:val="003A1720"/>
    <w:rsid w:val="003A1771"/>
    <w:rsid w:val="003A1B47"/>
    <w:rsid w:val="003A23AA"/>
    <w:rsid w:val="003A2597"/>
    <w:rsid w:val="003A27FD"/>
    <w:rsid w:val="003A291D"/>
    <w:rsid w:val="003A2E4F"/>
    <w:rsid w:val="003A2F8C"/>
    <w:rsid w:val="003A42B6"/>
    <w:rsid w:val="003A42F6"/>
    <w:rsid w:val="003A4438"/>
    <w:rsid w:val="003A452F"/>
    <w:rsid w:val="003A4558"/>
    <w:rsid w:val="003A46C2"/>
    <w:rsid w:val="003A4D5B"/>
    <w:rsid w:val="003A4DDA"/>
    <w:rsid w:val="003A4E4E"/>
    <w:rsid w:val="003A4FCA"/>
    <w:rsid w:val="003A500A"/>
    <w:rsid w:val="003A5013"/>
    <w:rsid w:val="003A5029"/>
    <w:rsid w:val="003A5078"/>
    <w:rsid w:val="003A52EC"/>
    <w:rsid w:val="003A5C61"/>
    <w:rsid w:val="003A5CE0"/>
    <w:rsid w:val="003A6176"/>
    <w:rsid w:val="003A62AB"/>
    <w:rsid w:val="003A62DD"/>
    <w:rsid w:val="003A6512"/>
    <w:rsid w:val="003A6C7B"/>
    <w:rsid w:val="003A7033"/>
    <w:rsid w:val="003A70C0"/>
    <w:rsid w:val="003A7388"/>
    <w:rsid w:val="003A7623"/>
    <w:rsid w:val="003A7669"/>
    <w:rsid w:val="003A775A"/>
    <w:rsid w:val="003A79F9"/>
    <w:rsid w:val="003A7DDC"/>
    <w:rsid w:val="003A7F9E"/>
    <w:rsid w:val="003B0405"/>
    <w:rsid w:val="003B05FF"/>
    <w:rsid w:val="003B0662"/>
    <w:rsid w:val="003B095D"/>
    <w:rsid w:val="003B0B27"/>
    <w:rsid w:val="003B0C6C"/>
    <w:rsid w:val="003B0DAB"/>
    <w:rsid w:val="003B0F60"/>
    <w:rsid w:val="003B1532"/>
    <w:rsid w:val="003B16DF"/>
    <w:rsid w:val="003B213A"/>
    <w:rsid w:val="003B239A"/>
    <w:rsid w:val="003B289D"/>
    <w:rsid w:val="003B2D52"/>
    <w:rsid w:val="003B2E72"/>
    <w:rsid w:val="003B2F7F"/>
    <w:rsid w:val="003B312F"/>
    <w:rsid w:val="003B31EA"/>
    <w:rsid w:val="003B374B"/>
    <w:rsid w:val="003B38E8"/>
    <w:rsid w:val="003B3B45"/>
    <w:rsid w:val="003B3F4E"/>
    <w:rsid w:val="003B40E0"/>
    <w:rsid w:val="003B4208"/>
    <w:rsid w:val="003B43AD"/>
    <w:rsid w:val="003B46DD"/>
    <w:rsid w:val="003B47AD"/>
    <w:rsid w:val="003B4BBC"/>
    <w:rsid w:val="003B4C3E"/>
    <w:rsid w:val="003B4F68"/>
    <w:rsid w:val="003B523C"/>
    <w:rsid w:val="003B52C4"/>
    <w:rsid w:val="003B5910"/>
    <w:rsid w:val="003B5A73"/>
    <w:rsid w:val="003B5B63"/>
    <w:rsid w:val="003B5C7F"/>
    <w:rsid w:val="003B5DBB"/>
    <w:rsid w:val="003B6114"/>
    <w:rsid w:val="003B679D"/>
    <w:rsid w:val="003B6919"/>
    <w:rsid w:val="003B6A98"/>
    <w:rsid w:val="003B6B93"/>
    <w:rsid w:val="003B719E"/>
    <w:rsid w:val="003B71E8"/>
    <w:rsid w:val="003B7328"/>
    <w:rsid w:val="003B7349"/>
    <w:rsid w:val="003B73B2"/>
    <w:rsid w:val="003B77A7"/>
    <w:rsid w:val="003B79D9"/>
    <w:rsid w:val="003B7A32"/>
    <w:rsid w:val="003B7AE8"/>
    <w:rsid w:val="003B7F12"/>
    <w:rsid w:val="003C0092"/>
    <w:rsid w:val="003C0499"/>
    <w:rsid w:val="003C0A5A"/>
    <w:rsid w:val="003C0C51"/>
    <w:rsid w:val="003C0FEC"/>
    <w:rsid w:val="003C10EC"/>
    <w:rsid w:val="003C1299"/>
    <w:rsid w:val="003C14B4"/>
    <w:rsid w:val="003C15B8"/>
    <w:rsid w:val="003C1C51"/>
    <w:rsid w:val="003C1CFD"/>
    <w:rsid w:val="003C1EC4"/>
    <w:rsid w:val="003C1EDE"/>
    <w:rsid w:val="003C20D3"/>
    <w:rsid w:val="003C2433"/>
    <w:rsid w:val="003C2518"/>
    <w:rsid w:val="003C2814"/>
    <w:rsid w:val="003C2AC8"/>
    <w:rsid w:val="003C2DAE"/>
    <w:rsid w:val="003C351A"/>
    <w:rsid w:val="003C3A49"/>
    <w:rsid w:val="003C4398"/>
    <w:rsid w:val="003C44FC"/>
    <w:rsid w:val="003C46B4"/>
    <w:rsid w:val="003C4757"/>
    <w:rsid w:val="003C4845"/>
    <w:rsid w:val="003C4C58"/>
    <w:rsid w:val="003C58B5"/>
    <w:rsid w:val="003C58E3"/>
    <w:rsid w:val="003C59D8"/>
    <w:rsid w:val="003C5B3A"/>
    <w:rsid w:val="003C6C37"/>
    <w:rsid w:val="003C700C"/>
    <w:rsid w:val="003D047E"/>
    <w:rsid w:val="003D05F7"/>
    <w:rsid w:val="003D0969"/>
    <w:rsid w:val="003D1044"/>
    <w:rsid w:val="003D139A"/>
    <w:rsid w:val="003D17A8"/>
    <w:rsid w:val="003D17F9"/>
    <w:rsid w:val="003D182A"/>
    <w:rsid w:val="003D19E4"/>
    <w:rsid w:val="003D26D5"/>
    <w:rsid w:val="003D2B71"/>
    <w:rsid w:val="003D2C93"/>
    <w:rsid w:val="003D2D88"/>
    <w:rsid w:val="003D2FE8"/>
    <w:rsid w:val="003D391E"/>
    <w:rsid w:val="003D3B47"/>
    <w:rsid w:val="003D3DB3"/>
    <w:rsid w:val="003D3F71"/>
    <w:rsid w:val="003D41EA"/>
    <w:rsid w:val="003D4209"/>
    <w:rsid w:val="003D455D"/>
    <w:rsid w:val="003D4850"/>
    <w:rsid w:val="003D4B58"/>
    <w:rsid w:val="003D4C50"/>
    <w:rsid w:val="003D4ECB"/>
    <w:rsid w:val="003D4EF6"/>
    <w:rsid w:val="003D535A"/>
    <w:rsid w:val="003D53C7"/>
    <w:rsid w:val="003D5547"/>
    <w:rsid w:val="003D5A7F"/>
    <w:rsid w:val="003D67E7"/>
    <w:rsid w:val="003D6966"/>
    <w:rsid w:val="003D7091"/>
    <w:rsid w:val="003D7313"/>
    <w:rsid w:val="003D7468"/>
    <w:rsid w:val="003D74C2"/>
    <w:rsid w:val="003D776A"/>
    <w:rsid w:val="003D7C92"/>
    <w:rsid w:val="003D7F95"/>
    <w:rsid w:val="003E0C70"/>
    <w:rsid w:val="003E10B8"/>
    <w:rsid w:val="003E11C9"/>
    <w:rsid w:val="003E22B6"/>
    <w:rsid w:val="003E2913"/>
    <w:rsid w:val="003E29C4"/>
    <w:rsid w:val="003E2D53"/>
    <w:rsid w:val="003E2DF7"/>
    <w:rsid w:val="003E2F15"/>
    <w:rsid w:val="003E3247"/>
    <w:rsid w:val="003E349F"/>
    <w:rsid w:val="003E3B0E"/>
    <w:rsid w:val="003E3DBC"/>
    <w:rsid w:val="003E41B3"/>
    <w:rsid w:val="003E41E6"/>
    <w:rsid w:val="003E420D"/>
    <w:rsid w:val="003E44F4"/>
    <w:rsid w:val="003E5265"/>
    <w:rsid w:val="003E61D8"/>
    <w:rsid w:val="003E632F"/>
    <w:rsid w:val="003E6ACC"/>
    <w:rsid w:val="003E6C6E"/>
    <w:rsid w:val="003E6E92"/>
    <w:rsid w:val="003E6EEA"/>
    <w:rsid w:val="003E6F32"/>
    <w:rsid w:val="003E70DC"/>
    <w:rsid w:val="003E722D"/>
    <w:rsid w:val="003E749B"/>
    <w:rsid w:val="003E75CB"/>
    <w:rsid w:val="003E785E"/>
    <w:rsid w:val="003F0502"/>
    <w:rsid w:val="003F06BC"/>
    <w:rsid w:val="003F0955"/>
    <w:rsid w:val="003F0C41"/>
    <w:rsid w:val="003F13AF"/>
    <w:rsid w:val="003F13E6"/>
    <w:rsid w:val="003F15A5"/>
    <w:rsid w:val="003F1638"/>
    <w:rsid w:val="003F1765"/>
    <w:rsid w:val="003F1824"/>
    <w:rsid w:val="003F263B"/>
    <w:rsid w:val="003F28DA"/>
    <w:rsid w:val="003F2DF4"/>
    <w:rsid w:val="003F2EA3"/>
    <w:rsid w:val="003F2EB5"/>
    <w:rsid w:val="003F2F90"/>
    <w:rsid w:val="003F3054"/>
    <w:rsid w:val="003F31EE"/>
    <w:rsid w:val="003F36A2"/>
    <w:rsid w:val="003F3713"/>
    <w:rsid w:val="003F3EF7"/>
    <w:rsid w:val="003F3FFB"/>
    <w:rsid w:val="003F40A9"/>
    <w:rsid w:val="003F47FA"/>
    <w:rsid w:val="003F5576"/>
    <w:rsid w:val="003F5A2F"/>
    <w:rsid w:val="003F61F7"/>
    <w:rsid w:val="003F623A"/>
    <w:rsid w:val="003F6878"/>
    <w:rsid w:val="003F6FE1"/>
    <w:rsid w:val="003F74A2"/>
    <w:rsid w:val="003F790A"/>
    <w:rsid w:val="003F79C8"/>
    <w:rsid w:val="00400415"/>
    <w:rsid w:val="00400477"/>
    <w:rsid w:val="0040061F"/>
    <w:rsid w:val="0040068B"/>
    <w:rsid w:val="00400879"/>
    <w:rsid w:val="004008BD"/>
    <w:rsid w:val="00400CE7"/>
    <w:rsid w:val="00400D74"/>
    <w:rsid w:val="00400F00"/>
    <w:rsid w:val="004012C2"/>
    <w:rsid w:val="0040143B"/>
    <w:rsid w:val="0040154F"/>
    <w:rsid w:val="004015FE"/>
    <w:rsid w:val="00401A2E"/>
    <w:rsid w:val="00402EF0"/>
    <w:rsid w:val="00402F2E"/>
    <w:rsid w:val="0040327A"/>
    <w:rsid w:val="00403431"/>
    <w:rsid w:val="0040356B"/>
    <w:rsid w:val="004036A1"/>
    <w:rsid w:val="00403865"/>
    <w:rsid w:val="00403920"/>
    <w:rsid w:val="00403D9B"/>
    <w:rsid w:val="00403F29"/>
    <w:rsid w:val="0040408A"/>
    <w:rsid w:val="00404109"/>
    <w:rsid w:val="00404493"/>
    <w:rsid w:val="00404611"/>
    <w:rsid w:val="004048D3"/>
    <w:rsid w:val="00404B5F"/>
    <w:rsid w:val="00404C3B"/>
    <w:rsid w:val="00404E6F"/>
    <w:rsid w:val="00404F0D"/>
    <w:rsid w:val="00404F3D"/>
    <w:rsid w:val="00404F8B"/>
    <w:rsid w:val="00405256"/>
    <w:rsid w:val="00405BB9"/>
    <w:rsid w:val="00405E48"/>
    <w:rsid w:val="00405EEB"/>
    <w:rsid w:val="00405EF0"/>
    <w:rsid w:val="00406095"/>
    <w:rsid w:val="00406302"/>
    <w:rsid w:val="0040639B"/>
    <w:rsid w:val="0040681B"/>
    <w:rsid w:val="00406A3D"/>
    <w:rsid w:val="00406BA7"/>
    <w:rsid w:val="00406BBD"/>
    <w:rsid w:val="0040703D"/>
    <w:rsid w:val="00407219"/>
    <w:rsid w:val="004074CA"/>
    <w:rsid w:val="004076A1"/>
    <w:rsid w:val="00407B12"/>
    <w:rsid w:val="00407E2D"/>
    <w:rsid w:val="00410031"/>
    <w:rsid w:val="0041032D"/>
    <w:rsid w:val="00410738"/>
    <w:rsid w:val="00410A83"/>
    <w:rsid w:val="004115A2"/>
    <w:rsid w:val="004117D5"/>
    <w:rsid w:val="00411BE8"/>
    <w:rsid w:val="00411CA4"/>
    <w:rsid w:val="00411EC9"/>
    <w:rsid w:val="004120DE"/>
    <w:rsid w:val="00412DBB"/>
    <w:rsid w:val="00412E21"/>
    <w:rsid w:val="00412FA3"/>
    <w:rsid w:val="00413852"/>
    <w:rsid w:val="004139E6"/>
    <w:rsid w:val="00414B31"/>
    <w:rsid w:val="004152C7"/>
    <w:rsid w:val="004154D2"/>
    <w:rsid w:val="00415609"/>
    <w:rsid w:val="00415745"/>
    <w:rsid w:val="00415747"/>
    <w:rsid w:val="00415B1B"/>
    <w:rsid w:val="00415C66"/>
    <w:rsid w:val="00415C81"/>
    <w:rsid w:val="004162DD"/>
    <w:rsid w:val="004165A0"/>
    <w:rsid w:val="00416731"/>
    <w:rsid w:val="00416D4A"/>
    <w:rsid w:val="004172CF"/>
    <w:rsid w:val="0041734F"/>
    <w:rsid w:val="00417579"/>
    <w:rsid w:val="00420039"/>
    <w:rsid w:val="00420398"/>
    <w:rsid w:val="0042097D"/>
    <w:rsid w:val="0042105A"/>
    <w:rsid w:val="004214CF"/>
    <w:rsid w:val="0042150A"/>
    <w:rsid w:val="00421741"/>
    <w:rsid w:val="004218CE"/>
    <w:rsid w:val="00421E7B"/>
    <w:rsid w:val="004221C8"/>
    <w:rsid w:val="004225E7"/>
    <w:rsid w:val="004226B0"/>
    <w:rsid w:val="004227F8"/>
    <w:rsid w:val="004228BC"/>
    <w:rsid w:val="00422B91"/>
    <w:rsid w:val="00422D67"/>
    <w:rsid w:val="00422E55"/>
    <w:rsid w:val="004237F0"/>
    <w:rsid w:val="00423B1B"/>
    <w:rsid w:val="00424112"/>
    <w:rsid w:val="004242E3"/>
    <w:rsid w:val="0042498A"/>
    <w:rsid w:val="00424A7A"/>
    <w:rsid w:val="00424D25"/>
    <w:rsid w:val="0042501F"/>
    <w:rsid w:val="004252AE"/>
    <w:rsid w:val="004254C5"/>
    <w:rsid w:val="00425862"/>
    <w:rsid w:val="004258A8"/>
    <w:rsid w:val="004258C8"/>
    <w:rsid w:val="0042591D"/>
    <w:rsid w:val="00425E07"/>
    <w:rsid w:val="00425E0B"/>
    <w:rsid w:val="00426200"/>
    <w:rsid w:val="0042630C"/>
    <w:rsid w:val="0042701D"/>
    <w:rsid w:val="00427BF2"/>
    <w:rsid w:val="00427EBE"/>
    <w:rsid w:val="00427F32"/>
    <w:rsid w:val="004300DA"/>
    <w:rsid w:val="004301E1"/>
    <w:rsid w:val="00430C68"/>
    <w:rsid w:val="00430CA7"/>
    <w:rsid w:val="00430EAA"/>
    <w:rsid w:val="00431043"/>
    <w:rsid w:val="004310B3"/>
    <w:rsid w:val="004310F2"/>
    <w:rsid w:val="00431167"/>
    <w:rsid w:val="00431237"/>
    <w:rsid w:val="004314C9"/>
    <w:rsid w:val="0043152F"/>
    <w:rsid w:val="004315BE"/>
    <w:rsid w:val="0043177D"/>
    <w:rsid w:val="00431AB0"/>
    <w:rsid w:val="00431B5D"/>
    <w:rsid w:val="00431D65"/>
    <w:rsid w:val="00431EDD"/>
    <w:rsid w:val="00431FE9"/>
    <w:rsid w:val="00432171"/>
    <w:rsid w:val="00432378"/>
    <w:rsid w:val="00432406"/>
    <w:rsid w:val="00432500"/>
    <w:rsid w:val="004329FF"/>
    <w:rsid w:val="00432AF3"/>
    <w:rsid w:val="00432D4D"/>
    <w:rsid w:val="00432D5B"/>
    <w:rsid w:val="00432E09"/>
    <w:rsid w:val="00433136"/>
    <w:rsid w:val="00433180"/>
    <w:rsid w:val="00433591"/>
    <w:rsid w:val="004336F9"/>
    <w:rsid w:val="00433737"/>
    <w:rsid w:val="00433A29"/>
    <w:rsid w:val="00433C4A"/>
    <w:rsid w:val="00433EBB"/>
    <w:rsid w:val="0043403A"/>
    <w:rsid w:val="00434119"/>
    <w:rsid w:val="004342D7"/>
    <w:rsid w:val="00434772"/>
    <w:rsid w:val="00434A4E"/>
    <w:rsid w:val="004351C0"/>
    <w:rsid w:val="0043520D"/>
    <w:rsid w:val="0043589C"/>
    <w:rsid w:val="00435B24"/>
    <w:rsid w:val="00435CBF"/>
    <w:rsid w:val="0043602F"/>
    <w:rsid w:val="00436346"/>
    <w:rsid w:val="0043680F"/>
    <w:rsid w:val="00436B61"/>
    <w:rsid w:val="00436BC6"/>
    <w:rsid w:val="00436C77"/>
    <w:rsid w:val="00436EB4"/>
    <w:rsid w:val="004371B6"/>
    <w:rsid w:val="0043782D"/>
    <w:rsid w:val="00437DD4"/>
    <w:rsid w:val="00437E99"/>
    <w:rsid w:val="00437F57"/>
    <w:rsid w:val="00440282"/>
    <w:rsid w:val="00440C82"/>
    <w:rsid w:val="00440D65"/>
    <w:rsid w:val="00441324"/>
    <w:rsid w:val="0044137B"/>
    <w:rsid w:val="004415E0"/>
    <w:rsid w:val="004416D2"/>
    <w:rsid w:val="00441994"/>
    <w:rsid w:val="00441B15"/>
    <w:rsid w:val="00441E80"/>
    <w:rsid w:val="00442391"/>
    <w:rsid w:val="00442423"/>
    <w:rsid w:val="0044285F"/>
    <w:rsid w:val="00442AA1"/>
    <w:rsid w:val="00442CAD"/>
    <w:rsid w:val="00442E8D"/>
    <w:rsid w:val="004434B8"/>
    <w:rsid w:val="0044350C"/>
    <w:rsid w:val="004435E6"/>
    <w:rsid w:val="00443A71"/>
    <w:rsid w:val="00443EF8"/>
    <w:rsid w:val="00444774"/>
    <w:rsid w:val="00444926"/>
    <w:rsid w:val="004452F6"/>
    <w:rsid w:val="0044533A"/>
    <w:rsid w:val="004455B8"/>
    <w:rsid w:val="00445A6D"/>
    <w:rsid w:val="004467CB"/>
    <w:rsid w:val="004468FE"/>
    <w:rsid w:val="004475B3"/>
    <w:rsid w:val="0044762A"/>
    <w:rsid w:val="0044769D"/>
    <w:rsid w:val="0044778E"/>
    <w:rsid w:val="00447E31"/>
    <w:rsid w:val="004500D0"/>
    <w:rsid w:val="00450163"/>
    <w:rsid w:val="00450862"/>
    <w:rsid w:val="00450BA0"/>
    <w:rsid w:val="00450EBB"/>
    <w:rsid w:val="00451506"/>
    <w:rsid w:val="00451930"/>
    <w:rsid w:val="00451CAA"/>
    <w:rsid w:val="00451EFE"/>
    <w:rsid w:val="00452ACE"/>
    <w:rsid w:val="00452F08"/>
    <w:rsid w:val="00453923"/>
    <w:rsid w:val="00453974"/>
    <w:rsid w:val="00453ADC"/>
    <w:rsid w:val="00453E47"/>
    <w:rsid w:val="00453FA2"/>
    <w:rsid w:val="00454998"/>
    <w:rsid w:val="00454B0F"/>
    <w:rsid w:val="00454B9B"/>
    <w:rsid w:val="00454F99"/>
    <w:rsid w:val="0045521F"/>
    <w:rsid w:val="00455480"/>
    <w:rsid w:val="0045566F"/>
    <w:rsid w:val="00455959"/>
    <w:rsid w:val="00455EA6"/>
    <w:rsid w:val="0045655C"/>
    <w:rsid w:val="00457084"/>
    <w:rsid w:val="004571B7"/>
    <w:rsid w:val="0045756A"/>
    <w:rsid w:val="00457851"/>
    <w:rsid w:val="00457858"/>
    <w:rsid w:val="0045785E"/>
    <w:rsid w:val="00457FE6"/>
    <w:rsid w:val="004601C0"/>
    <w:rsid w:val="0046045D"/>
    <w:rsid w:val="004604AC"/>
    <w:rsid w:val="00460856"/>
    <w:rsid w:val="0046093E"/>
    <w:rsid w:val="00460B0B"/>
    <w:rsid w:val="00461023"/>
    <w:rsid w:val="004619FF"/>
    <w:rsid w:val="00461C20"/>
    <w:rsid w:val="00461DA4"/>
    <w:rsid w:val="00461E4A"/>
    <w:rsid w:val="00462CA2"/>
    <w:rsid w:val="00462E4B"/>
    <w:rsid w:val="00462FAC"/>
    <w:rsid w:val="00463946"/>
    <w:rsid w:val="00463AA2"/>
    <w:rsid w:val="00463C0C"/>
    <w:rsid w:val="00464250"/>
    <w:rsid w:val="00464556"/>
    <w:rsid w:val="00464631"/>
    <w:rsid w:val="00464B44"/>
    <w:rsid w:val="00464B79"/>
    <w:rsid w:val="0046551C"/>
    <w:rsid w:val="004656A3"/>
    <w:rsid w:val="00465CAB"/>
    <w:rsid w:val="00466050"/>
    <w:rsid w:val="004667BE"/>
    <w:rsid w:val="00467004"/>
    <w:rsid w:val="004670F0"/>
    <w:rsid w:val="0046747D"/>
    <w:rsid w:val="004677CE"/>
    <w:rsid w:val="00467BBF"/>
    <w:rsid w:val="00467CB4"/>
    <w:rsid w:val="00470347"/>
    <w:rsid w:val="004703EB"/>
    <w:rsid w:val="00470626"/>
    <w:rsid w:val="00470E71"/>
    <w:rsid w:val="00470E91"/>
    <w:rsid w:val="00471170"/>
    <w:rsid w:val="004714DE"/>
    <w:rsid w:val="004716BA"/>
    <w:rsid w:val="00471AC8"/>
    <w:rsid w:val="00472251"/>
    <w:rsid w:val="00472AEE"/>
    <w:rsid w:val="00472D35"/>
    <w:rsid w:val="00472D80"/>
    <w:rsid w:val="00473DC2"/>
    <w:rsid w:val="004740C8"/>
    <w:rsid w:val="0047525D"/>
    <w:rsid w:val="004755BD"/>
    <w:rsid w:val="0047576F"/>
    <w:rsid w:val="004760CA"/>
    <w:rsid w:val="00476160"/>
    <w:rsid w:val="00476678"/>
    <w:rsid w:val="00476796"/>
    <w:rsid w:val="004768E7"/>
    <w:rsid w:val="004769B2"/>
    <w:rsid w:val="00476DB9"/>
    <w:rsid w:val="00476F67"/>
    <w:rsid w:val="00476F8C"/>
    <w:rsid w:val="0047701C"/>
    <w:rsid w:val="00477420"/>
    <w:rsid w:val="0047756B"/>
    <w:rsid w:val="00477613"/>
    <w:rsid w:val="00477CB7"/>
    <w:rsid w:val="00477EAD"/>
    <w:rsid w:val="00480A0B"/>
    <w:rsid w:val="00480A24"/>
    <w:rsid w:val="00480AF1"/>
    <w:rsid w:val="00480B78"/>
    <w:rsid w:val="00480B80"/>
    <w:rsid w:val="00480E2E"/>
    <w:rsid w:val="00481201"/>
    <w:rsid w:val="004818AF"/>
    <w:rsid w:val="00481C7B"/>
    <w:rsid w:val="0048283A"/>
    <w:rsid w:val="00483105"/>
    <w:rsid w:val="004831F7"/>
    <w:rsid w:val="00483410"/>
    <w:rsid w:val="00483886"/>
    <w:rsid w:val="00483927"/>
    <w:rsid w:val="00483A1B"/>
    <w:rsid w:val="00483AA0"/>
    <w:rsid w:val="00483CA1"/>
    <w:rsid w:val="00484459"/>
    <w:rsid w:val="004848A7"/>
    <w:rsid w:val="00484B50"/>
    <w:rsid w:val="00484E57"/>
    <w:rsid w:val="00484ECA"/>
    <w:rsid w:val="004853C3"/>
    <w:rsid w:val="00485440"/>
    <w:rsid w:val="0048552E"/>
    <w:rsid w:val="00485A3C"/>
    <w:rsid w:val="00485EE5"/>
    <w:rsid w:val="0048604F"/>
    <w:rsid w:val="0048672B"/>
    <w:rsid w:val="004867E2"/>
    <w:rsid w:val="00486A75"/>
    <w:rsid w:val="00486EF2"/>
    <w:rsid w:val="00486FC2"/>
    <w:rsid w:val="0048721F"/>
    <w:rsid w:val="004879DC"/>
    <w:rsid w:val="00487A17"/>
    <w:rsid w:val="00487C48"/>
    <w:rsid w:val="0049010A"/>
    <w:rsid w:val="004901E2"/>
    <w:rsid w:val="00490569"/>
    <w:rsid w:val="004906EE"/>
    <w:rsid w:val="00490CC5"/>
    <w:rsid w:val="00490DCA"/>
    <w:rsid w:val="004914DD"/>
    <w:rsid w:val="00491A73"/>
    <w:rsid w:val="004923BE"/>
    <w:rsid w:val="0049298B"/>
    <w:rsid w:val="004929A9"/>
    <w:rsid w:val="00492D5C"/>
    <w:rsid w:val="00492DC3"/>
    <w:rsid w:val="00492EAE"/>
    <w:rsid w:val="00493CBF"/>
    <w:rsid w:val="004944D3"/>
    <w:rsid w:val="00494822"/>
    <w:rsid w:val="00494D98"/>
    <w:rsid w:val="00495099"/>
    <w:rsid w:val="004950C8"/>
    <w:rsid w:val="00495367"/>
    <w:rsid w:val="004953B9"/>
    <w:rsid w:val="00495BA3"/>
    <w:rsid w:val="00495D85"/>
    <w:rsid w:val="00496285"/>
    <w:rsid w:val="00496468"/>
    <w:rsid w:val="004964DD"/>
    <w:rsid w:val="004966AB"/>
    <w:rsid w:val="00496AC8"/>
    <w:rsid w:val="00496E59"/>
    <w:rsid w:val="00497572"/>
    <w:rsid w:val="00497D28"/>
    <w:rsid w:val="004A0164"/>
    <w:rsid w:val="004A03BB"/>
    <w:rsid w:val="004A05DD"/>
    <w:rsid w:val="004A06EC"/>
    <w:rsid w:val="004A0DE0"/>
    <w:rsid w:val="004A0EE0"/>
    <w:rsid w:val="004A159F"/>
    <w:rsid w:val="004A1D2B"/>
    <w:rsid w:val="004A277F"/>
    <w:rsid w:val="004A2915"/>
    <w:rsid w:val="004A2E33"/>
    <w:rsid w:val="004A336F"/>
    <w:rsid w:val="004A4557"/>
    <w:rsid w:val="004A4B19"/>
    <w:rsid w:val="004A4E32"/>
    <w:rsid w:val="004A4FE9"/>
    <w:rsid w:val="004A512F"/>
    <w:rsid w:val="004A5285"/>
    <w:rsid w:val="004A54CF"/>
    <w:rsid w:val="004A55E0"/>
    <w:rsid w:val="004A58BB"/>
    <w:rsid w:val="004A5977"/>
    <w:rsid w:val="004A5E35"/>
    <w:rsid w:val="004A6267"/>
    <w:rsid w:val="004A6B09"/>
    <w:rsid w:val="004A6F8F"/>
    <w:rsid w:val="004A72E2"/>
    <w:rsid w:val="004A7718"/>
    <w:rsid w:val="004A7E6A"/>
    <w:rsid w:val="004B02BC"/>
    <w:rsid w:val="004B061D"/>
    <w:rsid w:val="004B0BB1"/>
    <w:rsid w:val="004B0EA8"/>
    <w:rsid w:val="004B204E"/>
    <w:rsid w:val="004B2205"/>
    <w:rsid w:val="004B2A6F"/>
    <w:rsid w:val="004B2CFB"/>
    <w:rsid w:val="004B3062"/>
    <w:rsid w:val="004B3599"/>
    <w:rsid w:val="004B37ED"/>
    <w:rsid w:val="004B3A03"/>
    <w:rsid w:val="004B3CFC"/>
    <w:rsid w:val="004B423E"/>
    <w:rsid w:val="004B4248"/>
    <w:rsid w:val="004B4296"/>
    <w:rsid w:val="004B468B"/>
    <w:rsid w:val="004B473E"/>
    <w:rsid w:val="004B4E08"/>
    <w:rsid w:val="004B4E66"/>
    <w:rsid w:val="004B536A"/>
    <w:rsid w:val="004B56D6"/>
    <w:rsid w:val="004B57E5"/>
    <w:rsid w:val="004B58AE"/>
    <w:rsid w:val="004B598E"/>
    <w:rsid w:val="004B5E2F"/>
    <w:rsid w:val="004B5E9A"/>
    <w:rsid w:val="004B6095"/>
    <w:rsid w:val="004B64B4"/>
    <w:rsid w:val="004B6562"/>
    <w:rsid w:val="004B65AA"/>
    <w:rsid w:val="004B65F9"/>
    <w:rsid w:val="004B696F"/>
    <w:rsid w:val="004B6D7A"/>
    <w:rsid w:val="004B6F69"/>
    <w:rsid w:val="004B72E5"/>
    <w:rsid w:val="004B787F"/>
    <w:rsid w:val="004B798E"/>
    <w:rsid w:val="004B7C8B"/>
    <w:rsid w:val="004B7DB5"/>
    <w:rsid w:val="004C0206"/>
    <w:rsid w:val="004C19FF"/>
    <w:rsid w:val="004C1D52"/>
    <w:rsid w:val="004C1DBC"/>
    <w:rsid w:val="004C2089"/>
    <w:rsid w:val="004C217A"/>
    <w:rsid w:val="004C24F8"/>
    <w:rsid w:val="004C279F"/>
    <w:rsid w:val="004C28E3"/>
    <w:rsid w:val="004C2981"/>
    <w:rsid w:val="004C2B05"/>
    <w:rsid w:val="004C2FEC"/>
    <w:rsid w:val="004C3039"/>
    <w:rsid w:val="004C32F0"/>
    <w:rsid w:val="004C3E5F"/>
    <w:rsid w:val="004C410E"/>
    <w:rsid w:val="004C492B"/>
    <w:rsid w:val="004C4C39"/>
    <w:rsid w:val="004C5860"/>
    <w:rsid w:val="004C5890"/>
    <w:rsid w:val="004C5D0D"/>
    <w:rsid w:val="004C5FEE"/>
    <w:rsid w:val="004C6159"/>
    <w:rsid w:val="004C6502"/>
    <w:rsid w:val="004C6BCF"/>
    <w:rsid w:val="004C6CCB"/>
    <w:rsid w:val="004C70C5"/>
    <w:rsid w:val="004C729D"/>
    <w:rsid w:val="004C75EA"/>
    <w:rsid w:val="004C7DE6"/>
    <w:rsid w:val="004D05AD"/>
    <w:rsid w:val="004D0991"/>
    <w:rsid w:val="004D0A75"/>
    <w:rsid w:val="004D0BAE"/>
    <w:rsid w:val="004D0E39"/>
    <w:rsid w:val="004D0EA3"/>
    <w:rsid w:val="004D1339"/>
    <w:rsid w:val="004D14BD"/>
    <w:rsid w:val="004D1C36"/>
    <w:rsid w:val="004D1F2B"/>
    <w:rsid w:val="004D2168"/>
    <w:rsid w:val="004D25F4"/>
    <w:rsid w:val="004D25FD"/>
    <w:rsid w:val="004D279A"/>
    <w:rsid w:val="004D27E8"/>
    <w:rsid w:val="004D2E22"/>
    <w:rsid w:val="004D2EFC"/>
    <w:rsid w:val="004D30B9"/>
    <w:rsid w:val="004D330E"/>
    <w:rsid w:val="004D338F"/>
    <w:rsid w:val="004D3455"/>
    <w:rsid w:val="004D363F"/>
    <w:rsid w:val="004D3835"/>
    <w:rsid w:val="004D38A4"/>
    <w:rsid w:val="004D39AC"/>
    <w:rsid w:val="004D3B86"/>
    <w:rsid w:val="004D3D5D"/>
    <w:rsid w:val="004D3F87"/>
    <w:rsid w:val="004D409D"/>
    <w:rsid w:val="004D4746"/>
    <w:rsid w:val="004D4809"/>
    <w:rsid w:val="004D4EE0"/>
    <w:rsid w:val="004D50C9"/>
    <w:rsid w:val="004D5384"/>
    <w:rsid w:val="004D558C"/>
    <w:rsid w:val="004D58BF"/>
    <w:rsid w:val="004D5BD9"/>
    <w:rsid w:val="004D5E29"/>
    <w:rsid w:val="004D5EE5"/>
    <w:rsid w:val="004D625F"/>
    <w:rsid w:val="004D65B0"/>
    <w:rsid w:val="004D6B2C"/>
    <w:rsid w:val="004D6BFD"/>
    <w:rsid w:val="004D6C72"/>
    <w:rsid w:val="004D73B9"/>
    <w:rsid w:val="004D7511"/>
    <w:rsid w:val="004D7606"/>
    <w:rsid w:val="004D7894"/>
    <w:rsid w:val="004D7AB8"/>
    <w:rsid w:val="004D7C21"/>
    <w:rsid w:val="004D7F46"/>
    <w:rsid w:val="004D7F9C"/>
    <w:rsid w:val="004E096F"/>
    <w:rsid w:val="004E0FA2"/>
    <w:rsid w:val="004E0FCB"/>
    <w:rsid w:val="004E1200"/>
    <w:rsid w:val="004E13BC"/>
    <w:rsid w:val="004E163E"/>
    <w:rsid w:val="004E191B"/>
    <w:rsid w:val="004E1F05"/>
    <w:rsid w:val="004E232B"/>
    <w:rsid w:val="004E2450"/>
    <w:rsid w:val="004E353E"/>
    <w:rsid w:val="004E4335"/>
    <w:rsid w:val="004E43E7"/>
    <w:rsid w:val="004E4C5C"/>
    <w:rsid w:val="004E4FF5"/>
    <w:rsid w:val="004E558C"/>
    <w:rsid w:val="004E5ACF"/>
    <w:rsid w:val="004E5B0F"/>
    <w:rsid w:val="004E5BC5"/>
    <w:rsid w:val="004E5F98"/>
    <w:rsid w:val="004E6280"/>
    <w:rsid w:val="004E6438"/>
    <w:rsid w:val="004E6AB8"/>
    <w:rsid w:val="004E7231"/>
    <w:rsid w:val="004E739B"/>
    <w:rsid w:val="004E742D"/>
    <w:rsid w:val="004E74F7"/>
    <w:rsid w:val="004E767C"/>
    <w:rsid w:val="004E7BB2"/>
    <w:rsid w:val="004F0010"/>
    <w:rsid w:val="004F05D7"/>
    <w:rsid w:val="004F073A"/>
    <w:rsid w:val="004F0B93"/>
    <w:rsid w:val="004F105D"/>
    <w:rsid w:val="004F114E"/>
    <w:rsid w:val="004F13EE"/>
    <w:rsid w:val="004F1968"/>
    <w:rsid w:val="004F2022"/>
    <w:rsid w:val="004F242D"/>
    <w:rsid w:val="004F30CE"/>
    <w:rsid w:val="004F322E"/>
    <w:rsid w:val="004F3265"/>
    <w:rsid w:val="004F3470"/>
    <w:rsid w:val="004F3781"/>
    <w:rsid w:val="004F396E"/>
    <w:rsid w:val="004F3AB6"/>
    <w:rsid w:val="004F3C98"/>
    <w:rsid w:val="004F3CAC"/>
    <w:rsid w:val="004F42DC"/>
    <w:rsid w:val="004F51CD"/>
    <w:rsid w:val="004F5C0C"/>
    <w:rsid w:val="004F5FBE"/>
    <w:rsid w:val="004F5FDE"/>
    <w:rsid w:val="004F6284"/>
    <w:rsid w:val="004F62FD"/>
    <w:rsid w:val="004F6759"/>
    <w:rsid w:val="004F7718"/>
    <w:rsid w:val="004F78F7"/>
    <w:rsid w:val="004F7C05"/>
    <w:rsid w:val="00500662"/>
    <w:rsid w:val="005009BB"/>
    <w:rsid w:val="005016E3"/>
    <w:rsid w:val="00501C94"/>
    <w:rsid w:val="00501CFA"/>
    <w:rsid w:val="005026D1"/>
    <w:rsid w:val="00502752"/>
    <w:rsid w:val="00502BD7"/>
    <w:rsid w:val="00503426"/>
    <w:rsid w:val="00503FD0"/>
    <w:rsid w:val="00504572"/>
    <w:rsid w:val="00504586"/>
    <w:rsid w:val="005048F9"/>
    <w:rsid w:val="00504AAD"/>
    <w:rsid w:val="00504FB5"/>
    <w:rsid w:val="005050A3"/>
    <w:rsid w:val="00505368"/>
    <w:rsid w:val="0050542A"/>
    <w:rsid w:val="00505520"/>
    <w:rsid w:val="005056D5"/>
    <w:rsid w:val="00505CA0"/>
    <w:rsid w:val="00505DDB"/>
    <w:rsid w:val="00506090"/>
    <w:rsid w:val="005062DE"/>
    <w:rsid w:val="00506432"/>
    <w:rsid w:val="0050658B"/>
    <w:rsid w:val="0050671B"/>
    <w:rsid w:val="00506819"/>
    <w:rsid w:val="005078DF"/>
    <w:rsid w:val="0050799B"/>
    <w:rsid w:val="00507F6B"/>
    <w:rsid w:val="00507FAC"/>
    <w:rsid w:val="0051000B"/>
    <w:rsid w:val="00510430"/>
    <w:rsid w:val="00510738"/>
    <w:rsid w:val="00510A03"/>
    <w:rsid w:val="00510CF0"/>
    <w:rsid w:val="005113EE"/>
    <w:rsid w:val="005116F4"/>
    <w:rsid w:val="00511BFB"/>
    <w:rsid w:val="00511E77"/>
    <w:rsid w:val="00511F6E"/>
    <w:rsid w:val="0051242B"/>
    <w:rsid w:val="00512468"/>
    <w:rsid w:val="00512EAD"/>
    <w:rsid w:val="00513CF3"/>
    <w:rsid w:val="00513D0E"/>
    <w:rsid w:val="00513F9D"/>
    <w:rsid w:val="005141A3"/>
    <w:rsid w:val="005142B1"/>
    <w:rsid w:val="005143BD"/>
    <w:rsid w:val="00514405"/>
    <w:rsid w:val="00514659"/>
    <w:rsid w:val="00514A64"/>
    <w:rsid w:val="00514DE7"/>
    <w:rsid w:val="00515293"/>
    <w:rsid w:val="005157C5"/>
    <w:rsid w:val="00516209"/>
    <w:rsid w:val="0051674B"/>
    <w:rsid w:val="00516B5C"/>
    <w:rsid w:val="00516D49"/>
    <w:rsid w:val="00517955"/>
    <w:rsid w:val="00517F70"/>
    <w:rsid w:val="00520320"/>
    <w:rsid w:val="0052041E"/>
    <w:rsid w:val="0052051D"/>
    <w:rsid w:val="00520B8C"/>
    <w:rsid w:val="00521522"/>
    <w:rsid w:val="0052167F"/>
    <w:rsid w:val="005217EA"/>
    <w:rsid w:val="005218F3"/>
    <w:rsid w:val="0052191A"/>
    <w:rsid w:val="00521D21"/>
    <w:rsid w:val="00521EBE"/>
    <w:rsid w:val="005225B6"/>
    <w:rsid w:val="00522F9D"/>
    <w:rsid w:val="0052344E"/>
    <w:rsid w:val="005236CF"/>
    <w:rsid w:val="0052378B"/>
    <w:rsid w:val="005245AC"/>
    <w:rsid w:val="0052463D"/>
    <w:rsid w:val="00524DAB"/>
    <w:rsid w:val="005250D7"/>
    <w:rsid w:val="005251C4"/>
    <w:rsid w:val="00525377"/>
    <w:rsid w:val="0052572D"/>
    <w:rsid w:val="00525D2F"/>
    <w:rsid w:val="00526208"/>
    <w:rsid w:val="005264E4"/>
    <w:rsid w:val="005267D7"/>
    <w:rsid w:val="005270E4"/>
    <w:rsid w:val="00527211"/>
    <w:rsid w:val="0052735F"/>
    <w:rsid w:val="005279FD"/>
    <w:rsid w:val="00527A04"/>
    <w:rsid w:val="00527C70"/>
    <w:rsid w:val="005300B2"/>
    <w:rsid w:val="00530121"/>
    <w:rsid w:val="005302A9"/>
    <w:rsid w:val="00530D18"/>
    <w:rsid w:val="00530D40"/>
    <w:rsid w:val="00530D5B"/>
    <w:rsid w:val="00530FC5"/>
    <w:rsid w:val="00531D50"/>
    <w:rsid w:val="00531F44"/>
    <w:rsid w:val="00532544"/>
    <w:rsid w:val="005326CE"/>
    <w:rsid w:val="00532915"/>
    <w:rsid w:val="0053295C"/>
    <w:rsid w:val="0053326D"/>
    <w:rsid w:val="005335A9"/>
    <w:rsid w:val="005337F1"/>
    <w:rsid w:val="00533AC5"/>
    <w:rsid w:val="00534043"/>
    <w:rsid w:val="0053413A"/>
    <w:rsid w:val="00534D97"/>
    <w:rsid w:val="00535CA2"/>
    <w:rsid w:val="005360C1"/>
    <w:rsid w:val="00536489"/>
    <w:rsid w:val="005364C3"/>
    <w:rsid w:val="00536BC2"/>
    <w:rsid w:val="00536C07"/>
    <w:rsid w:val="00536F78"/>
    <w:rsid w:val="00537086"/>
    <w:rsid w:val="005378C0"/>
    <w:rsid w:val="00537EFB"/>
    <w:rsid w:val="00540042"/>
    <w:rsid w:val="00540364"/>
    <w:rsid w:val="00540554"/>
    <w:rsid w:val="00540585"/>
    <w:rsid w:val="00541A7A"/>
    <w:rsid w:val="00541ACB"/>
    <w:rsid w:val="00541B67"/>
    <w:rsid w:val="00541CB1"/>
    <w:rsid w:val="005420CE"/>
    <w:rsid w:val="00542194"/>
    <w:rsid w:val="00542788"/>
    <w:rsid w:val="00542AAA"/>
    <w:rsid w:val="00542DF4"/>
    <w:rsid w:val="00542F85"/>
    <w:rsid w:val="00542FE7"/>
    <w:rsid w:val="00543282"/>
    <w:rsid w:val="005432C4"/>
    <w:rsid w:val="005433B5"/>
    <w:rsid w:val="0054358D"/>
    <w:rsid w:val="005437C4"/>
    <w:rsid w:val="00543ACC"/>
    <w:rsid w:val="005441D3"/>
    <w:rsid w:val="00544798"/>
    <w:rsid w:val="005448CA"/>
    <w:rsid w:val="005449FA"/>
    <w:rsid w:val="00544F65"/>
    <w:rsid w:val="0054555F"/>
    <w:rsid w:val="00545642"/>
    <w:rsid w:val="005459B9"/>
    <w:rsid w:val="00545EE6"/>
    <w:rsid w:val="00546633"/>
    <w:rsid w:val="005466C5"/>
    <w:rsid w:val="00546DCA"/>
    <w:rsid w:val="005471AE"/>
    <w:rsid w:val="00547A68"/>
    <w:rsid w:val="00547F12"/>
    <w:rsid w:val="00547FE4"/>
    <w:rsid w:val="005500B3"/>
    <w:rsid w:val="005506C7"/>
    <w:rsid w:val="00550A14"/>
    <w:rsid w:val="00551377"/>
    <w:rsid w:val="00551A0F"/>
    <w:rsid w:val="00551B0C"/>
    <w:rsid w:val="00552298"/>
    <w:rsid w:val="0055238E"/>
    <w:rsid w:val="00552641"/>
    <w:rsid w:val="005528AC"/>
    <w:rsid w:val="00552C19"/>
    <w:rsid w:val="00552E86"/>
    <w:rsid w:val="00552EAD"/>
    <w:rsid w:val="005530F2"/>
    <w:rsid w:val="00553515"/>
    <w:rsid w:val="00553623"/>
    <w:rsid w:val="005536DA"/>
    <w:rsid w:val="0055392E"/>
    <w:rsid w:val="00554154"/>
    <w:rsid w:val="005542C5"/>
    <w:rsid w:val="0055444C"/>
    <w:rsid w:val="00554585"/>
    <w:rsid w:val="005549B9"/>
    <w:rsid w:val="00554D2D"/>
    <w:rsid w:val="005550E7"/>
    <w:rsid w:val="00555216"/>
    <w:rsid w:val="005554BA"/>
    <w:rsid w:val="005557A9"/>
    <w:rsid w:val="00555D53"/>
    <w:rsid w:val="00555FA8"/>
    <w:rsid w:val="00555FCF"/>
    <w:rsid w:val="005564FB"/>
    <w:rsid w:val="00556500"/>
    <w:rsid w:val="00556FCF"/>
    <w:rsid w:val="00557156"/>
    <w:rsid w:val="005572C7"/>
    <w:rsid w:val="00557358"/>
    <w:rsid w:val="00557390"/>
    <w:rsid w:val="00557459"/>
    <w:rsid w:val="00557526"/>
    <w:rsid w:val="00557A55"/>
    <w:rsid w:val="00557BE9"/>
    <w:rsid w:val="00557D5A"/>
    <w:rsid w:val="00560A14"/>
    <w:rsid w:val="00561038"/>
    <w:rsid w:val="00561521"/>
    <w:rsid w:val="005616E2"/>
    <w:rsid w:val="00561789"/>
    <w:rsid w:val="005617C3"/>
    <w:rsid w:val="005619BD"/>
    <w:rsid w:val="00561F53"/>
    <w:rsid w:val="00561F91"/>
    <w:rsid w:val="00562043"/>
    <w:rsid w:val="0056218D"/>
    <w:rsid w:val="005621E2"/>
    <w:rsid w:val="005622BC"/>
    <w:rsid w:val="0056274A"/>
    <w:rsid w:val="00562AC5"/>
    <w:rsid w:val="00562C90"/>
    <w:rsid w:val="0056319B"/>
    <w:rsid w:val="005635F3"/>
    <w:rsid w:val="005638EB"/>
    <w:rsid w:val="00563ADF"/>
    <w:rsid w:val="005640AA"/>
    <w:rsid w:val="005641D7"/>
    <w:rsid w:val="0056486D"/>
    <w:rsid w:val="0056489C"/>
    <w:rsid w:val="0056497D"/>
    <w:rsid w:val="00564E9F"/>
    <w:rsid w:val="00564ED1"/>
    <w:rsid w:val="005650BC"/>
    <w:rsid w:val="005650ED"/>
    <w:rsid w:val="00565615"/>
    <w:rsid w:val="00565933"/>
    <w:rsid w:val="00565D66"/>
    <w:rsid w:val="00566198"/>
    <w:rsid w:val="005661BB"/>
    <w:rsid w:val="00566313"/>
    <w:rsid w:val="00566353"/>
    <w:rsid w:val="00566577"/>
    <w:rsid w:val="005667E2"/>
    <w:rsid w:val="0056692B"/>
    <w:rsid w:val="00566B73"/>
    <w:rsid w:val="00566C56"/>
    <w:rsid w:val="00567848"/>
    <w:rsid w:val="005678B6"/>
    <w:rsid w:val="00567C7B"/>
    <w:rsid w:val="00570D16"/>
    <w:rsid w:val="00570F36"/>
    <w:rsid w:val="00570FA0"/>
    <w:rsid w:val="00571932"/>
    <w:rsid w:val="0057193C"/>
    <w:rsid w:val="00571DEF"/>
    <w:rsid w:val="005723B6"/>
    <w:rsid w:val="00572FCD"/>
    <w:rsid w:val="00572FD5"/>
    <w:rsid w:val="005732BC"/>
    <w:rsid w:val="00573513"/>
    <w:rsid w:val="0057364F"/>
    <w:rsid w:val="0057381C"/>
    <w:rsid w:val="005740A7"/>
    <w:rsid w:val="00574196"/>
    <w:rsid w:val="00574408"/>
    <w:rsid w:val="005753F5"/>
    <w:rsid w:val="0057541D"/>
    <w:rsid w:val="005756E1"/>
    <w:rsid w:val="00575754"/>
    <w:rsid w:val="00575E70"/>
    <w:rsid w:val="00576143"/>
    <w:rsid w:val="00576398"/>
    <w:rsid w:val="005769E6"/>
    <w:rsid w:val="00576CCE"/>
    <w:rsid w:val="00576F16"/>
    <w:rsid w:val="00577050"/>
    <w:rsid w:val="005777E5"/>
    <w:rsid w:val="00577B22"/>
    <w:rsid w:val="00577DB6"/>
    <w:rsid w:val="005800B1"/>
    <w:rsid w:val="005812B0"/>
    <w:rsid w:val="00581518"/>
    <w:rsid w:val="00581545"/>
    <w:rsid w:val="0058158C"/>
    <w:rsid w:val="005817A9"/>
    <w:rsid w:val="00581B93"/>
    <w:rsid w:val="00581FDD"/>
    <w:rsid w:val="005820C1"/>
    <w:rsid w:val="0058273C"/>
    <w:rsid w:val="00582A7B"/>
    <w:rsid w:val="00582AF9"/>
    <w:rsid w:val="005833C2"/>
    <w:rsid w:val="00583637"/>
    <w:rsid w:val="005839EB"/>
    <w:rsid w:val="00583E48"/>
    <w:rsid w:val="00584876"/>
    <w:rsid w:val="00584B5A"/>
    <w:rsid w:val="005850D5"/>
    <w:rsid w:val="0058558F"/>
    <w:rsid w:val="00585BC2"/>
    <w:rsid w:val="00585F53"/>
    <w:rsid w:val="00587885"/>
    <w:rsid w:val="00587B93"/>
    <w:rsid w:val="005900C7"/>
    <w:rsid w:val="0059170B"/>
    <w:rsid w:val="00591E20"/>
    <w:rsid w:val="00591EF5"/>
    <w:rsid w:val="005922F1"/>
    <w:rsid w:val="00592592"/>
    <w:rsid w:val="005927C7"/>
    <w:rsid w:val="0059286B"/>
    <w:rsid w:val="00592A05"/>
    <w:rsid w:val="00592AC6"/>
    <w:rsid w:val="00593433"/>
    <w:rsid w:val="0059345C"/>
    <w:rsid w:val="00593974"/>
    <w:rsid w:val="00593E45"/>
    <w:rsid w:val="00594723"/>
    <w:rsid w:val="00594AFA"/>
    <w:rsid w:val="00594C6F"/>
    <w:rsid w:val="00594FEE"/>
    <w:rsid w:val="0059535E"/>
    <w:rsid w:val="00595408"/>
    <w:rsid w:val="00595645"/>
    <w:rsid w:val="005957FE"/>
    <w:rsid w:val="005959D5"/>
    <w:rsid w:val="00595DB4"/>
    <w:rsid w:val="00595E84"/>
    <w:rsid w:val="005961A1"/>
    <w:rsid w:val="0059680D"/>
    <w:rsid w:val="005968A6"/>
    <w:rsid w:val="00596BF7"/>
    <w:rsid w:val="00596FEC"/>
    <w:rsid w:val="0059731D"/>
    <w:rsid w:val="00597AEF"/>
    <w:rsid w:val="005A0004"/>
    <w:rsid w:val="005A089D"/>
    <w:rsid w:val="005A0AD3"/>
    <w:rsid w:val="005A0C59"/>
    <w:rsid w:val="005A0E55"/>
    <w:rsid w:val="005A1D2F"/>
    <w:rsid w:val="005A25F7"/>
    <w:rsid w:val="005A27C3"/>
    <w:rsid w:val="005A2AB3"/>
    <w:rsid w:val="005A2B35"/>
    <w:rsid w:val="005A3144"/>
    <w:rsid w:val="005A33F4"/>
    <w:rsid w:val="005A342A"/>
    <w:rsid w:val="005A3520"/>
    <w:rsid w:val="005A3610"/>
    <w:rsid w:val="005A3A4F"/>
    <w:rsid w:val="005A3AE1"/>
    <w:rsid w:val="005A3BF1"/>
    <w:rsid w:val="005A3F50"/>
    <w:rsid w:val="005A3F7E"/>
    <w:rsid w:val="005A416C"/>
    <w:rsid w:val="005A436D"/>
    <w:rsid w:val="005A4417"/>
    <w:rsid w:val="005A48EB"/>
    <w:rsid w:val="005A48FD"/>
    <w:rsid w:val="005A4A0D"/>
    <w:rsid w:val="005A4A6F"/>
    <w:rsid w:val="005A4C61"/>
    <w:rsid w:val="005A5061"/>
    <w:rsid w:val="005A5258"/>
    <w:rsid w:val="005A531B"/>
    <w:rsid w:val="005A53FE"/>
    <w:rsid w:val="005A55A9"/>
    <w:rsid w:val="005A5C0D"/>
    <w:rsid w:val="005A5DE7"/>
    <w:rsid w:val="005A5F09"/>
    <w:rsid w:val="005A602C"/>
    <w:rsid w:val="005A60E9"/>
    <w:rsid w:val="005A63DC"/>
    <w:rsid w:val="005A66A7"/>
    <w:rsid w:val="005A6946"/>
    <w:rsid w:val="005A6CFB"/>
    <w:rsid w:val="005A6D37"/>
    <w:rsid w:val="005A6FBE"/>
    <w:rsid w:val="005A7018"/>
    <w:rsid w:val="005A7180"/>
    <w:rsid w:val="005A795C"/>
    <w:rsid w:val="005A7BB3"/>
    <w:rsid w:val="005A7F04"/>
    <w:rsid w:val="005B010B"/>
    <w:rsid w:val="005B05F5"/>
    <w:rsid w:val="005B0EF4"/>
    <w:rsid w:val="005B135C"/>
    <w:rsid w:val="005B1419"/>
    <w:rsid w:val="005B1B5F"/>
    <w:rsid w:val="005B2006"/>
    <w:rsid w:val="005B21B6"/>
    <w:rsid w:val="005B2630"/>
    <w:rsid w:val="005B26B7"/>
    <w:rsid w:val="005B2764"/>
    <w:rsid w:val="005B2D57"/>
    <w:rsid w:val="005B3134"/>
    <w:rsid w:val="005B3530"/>
    <w:rsid w:val="005B3EB2"/>
    <w:rsid w:val="005B421C"/>
    <w:rsid w:val="005B4431"/>
    <w:rsid w:val="005B46B2"/>
    <w:rsid w:val="005B46DD"/>
    <w:rsid w:val="005B485C"/>
    <w:rsid w:val="005B4C35"/>
    <w:rsid w:val="005B4E1D"/>
    <w:rsid w:val="005B4F16"/>
    <w:rsid w:val="005B5086"/>
    <w:rsid w:val="005B51A3"/>
    <w:rsid w:val="005B5812"/>
    <w:rsid w:val="005B59CD"/>
    <w:rsid w:val="005B59EC"/>
    <w:rsid w:val="005B5F26"/>
    <w:rsid w:val="005B6680"/>
    <w:rsid w:val="005B6868"/>
    <w:rsid w:val="005B7012"/>
    <w:rsid w:val="005B7637"/>
    <w:rsid w:val="005B783A"/>
    <w:rsid w:val="005B7928"/>
    <w:rsid w:val="005B7E52"/>
    <w:rsid w:val="005C0061"/>
    <w:rsid w:val="005C03EA"/>
    <w:rsid w:val="005C0419"/>
    <w:rsid w:val="005C0B0B"/>
    <w:rsid w:val="005C1AF3"/>
    <w:rsid w:val="005C1DBF"/>
    <w:rsid w:val="005C1FF4"/>
    <w:rsid w:val="005C2137"/>
    <w:rsid w:val="005C23CC"/>
    <w:rsid w:val="005C2EA6"/>
    <w:rsid w:val="005C2F08"/>
    <w:rsid w:val="005C318E"/>
    <w:rsid w:val="005C35D2"/>
    <w:rsid w:val="005C3693"/>
    <w:rsid w:val="005C3A1D"/>
    <w:rsid w:val="005C4382"/>
    <w:rsid w:val="005C4495"/>
    <w:rsid w:val="005C45FA"/>
    <w:rsid w:val="005C511A"/>
    <w:rsid w:val="005C5511"/>
    <w:rsid w:val="005C569A"/>
    <w:rsid w:val="005C58F0"/>
    <w:rsid w:val="005C5A62"/>
    <w:rsid w:val="005C5AEB"/>
    <w:rsid w:val="005C5BB8"/>
    <w:rsid w:val="005C6644"/>
    <w:rsid w:val="005C673C"/>
    <w:rsid w:val="005C6D78"/>
    <w:rsid w:val="005C6EA8"/>
    <w:rsid w:val="005C72AA"/>
    <w:rsid w:val="005C7388"/>
    <w:rsid w:val="005C798A"/>
    <w:rsid w:val="005C7D5E"/>
    <w:rsid w:val="005D0238"/>
    <w:rsid w:val="005D02BF"/>
    <w:rsid w:val="005D1036"/>
    <w:rsid w:val="005D14CC"/>
    <w:rsid w:val="005D16D1"/>
    <w:rsid w:val="005D18E2"/>
    <w:rsid w:val="005D1985"/>
    <w:rsid w:val="005D2088"/>
    <w:rsid w:val="005D210C"/>
    <w:rsid w:val="005D2219"/>
    <w:rsid w:val="005D27D1"/>
    <w:rsid w:val="005D27EF"/>
    <w:rsid w:val="005D38E9"/>
    <w:rsid w:val="005D3AAC"/>
    <w:rsid w:val="005D4273"/>
    <w:rsid w:val="005D4E50"/>
    <w:rsid w:val="005D5042"/>
    <w:rsid w:val="005D53A5"/>
    <w:rsid w:val="005D55F9"/>
    <w:rsid w:val="005D5822"/>
    <w:rsid w:val="005D58B1"/>
    <w:rsid w:val="005D59A7"/>
    <w:rsid w:val="005D59B1"/>
    <w:rsid w:val="005D5FA0"/>
    <w:rsid w:val="005D663A"/>
    <w:rsid w:val="005D669C"/>
    <w:rsid w:val="005D6C0E"/>
    <w:rsid w:val="005D6F55"/>
    <w:rsid w:val="005D70F0"/>
    <w:rsid w:val="005D7369"/>
    <w:rsid w:val="005D7B2E"/>
    <w:rsid w:val="005D7D24"/>
    <w:rsid w:val="005D7F19"/>
    <w:rsid w:val="005E0744"/>
    <w:rsid w:val="005E0770"/>
    <w:rsid w:val="005E0A3F"/>
    <w:rsid w:val="005E153F"/>
    <w:rsid w:val="005E15BA"/>
    <w:rsid w:val="005E1615"/>
    <w:rsid w:val="005E1764"/>
    <w:rsid w:val="005E1B9A"/>
    <w:rsid w:val="005E226A"/>
    <w:rsid w:val="005E25F2"/>
    <w:rsid w:val="005E270A"/>
    <w:rsid w:val="005E289F"/>
    <w:rsid w:val="005E293C"/>
    <w:rsid w:val="005E2C66"/>
    <w:rsid w:val="005E31B0"/>
    <w:rsid w:val="005E41FD"/>
    <w:rsid w:val="005E4582"/>
    <w:rsid w:val="005E45C2"/>
    <w:rsid w:val="005E45F2"/>
    <w:rsid w:val="005E4D1D"/>
    <w:rsid w:val="005E4F7E"/>
    <w:rsid w:val="005E512F"/>
    <w:rsid w:val="005E5181"/>
    <w:rsid w:val="005E528D"/>
    <w:rsid w:val="005E5AD5"/>
    <w:rsid w:val="005E5AF1"/>
    <w:rsid w:val="005E5B8F"/>
    <w:rsid w:val="005E5C6B"/>
    <w:rsid w:val="005E5CC2"/>
    <w:rsid w:val="005E5D24"/>
    <w:rsid w:val="005E5DCD"/>
    <w:rsid w:val="005E608F"/>
    <w:rsid w:val="005E63FC"/>
    <w:rsid w:val="005E67F3"/>
    <w:rsid w:val="005E6883"/>
    <w:rsid w:val="005E6DA4"/>
    <w:rsid w:val="005E6E47"/>
    <w:rsid w:val="005E72D5"/>
    <w:rsid w:val="005E7334"/>
    <w:rsid w:val="005E772F"/>
    <w:rsid w:val="005E7778"/>
    <w:rsid w:val="005F0378"/>
    <w:rsid w:val="005F073D"/>
    <w:rsid w:val="005F08C3"/>
    <w:rsid w:val="005F108A"/>
    <w:rsid w:val="005F116D"/>
    <w:rsid w:val="005F1400"/>
    <w:rsid w:val="005F1F32"/>
    <w:rsid w:val="005F26B5"/>
    <w:rsid w:val="005F2761"/>
    <w:rsid w:val="005F2961"/>
    <w:rsid w:val="005F2E43"/>
    <w:rsid w:val="005F3351"/>
    <w:rsid w:val="005F350C"/>
    <w:rsid w:val="005F3A5E"/>
    <w:rsid w:val="005F3BEC"/>
    <w:rsid w:val="005F3D48"/>
    <w:rsid w:val="005F3FE7"/>
    <w:rsid w:val="005F40FE"/>
    <w:rsid w:val="005F4175"/>
    <w:rsid w:val="005F44E2"/>
    <w:rsid w:val="005F4A08"/>
    <w:rsid w:val="005F4C93"/>
    <w:rsid w:val="005F4CB5"/>
    <w:rsid w:val="005F4ECA"/>
    <w:rsid w:val="005F521E"/>
    <w:rsid w:val="005F537B"/>
    <w:rsid w:val="005F576C"/>
    <w:rsid w:val="005F5A1B"/>
    <w:rsid w:val="005F5B06"/>
    <w:rsid w:val="005F5DE6"/>
    <w:rsid w:val="005F5F25"/>
    <w:rsid w:val="005F6068"/>
    <w:rsid w:val="005F62D8"/>
    <w:rsid w:val="005F6FB1"/>
    <w:rsid w:val="005F75D7"/>
    <w:rsid w:val="005F7694"/>
    <w:rsid w:val="005F77D8"/>
    <w:rsid w:val="005F7C5A"/>
    <w:rsid w:val="005F7E1D"/>
    <w:rsid w:val="00600023"/>
    <w:rsid w:val="00600261"/>
    <w:rsid w:val="00600399"/>
    <w:rsid w:val="0060063B"/>
    <w:rsid w:val="00600A2D"/>
    <w:rsid w:val="00600F3E"/>
    <w:rsid w:val="00600F5D"/>
    <w:rsid w:val="00601A0A"/>
    <w:rsid w:val="00601AEF"/>
    <w:rsid w:val="00601EE7"/>
    <w:rsid w:val="00602312"/>
    <w:rsid w:val="00602343"/>
    <w:rsid w:val="0060251C"/>
    <w:rsid w:val="006027D0"/>
    <w:rsid w:val="00602AF9"/>
    <w:rsid w:val="00602E46"/>
    <w:rsid w:val="00603444"/>
    <w:rsid w:val="0060349E"/>
    <w:rsid w:val="006035FC"/>
    <w:rsid w:val="00603746"/>
    <w:rsid w:val="00603B84"/>
    <w:rsid w:val="00603DE0"/>
    <w:rsid w:val="00604081"/>
    <w:rsid w:val="006041BE"/>
    <w:rsid w:val="006043C7"/>
    <w:rsid w:val="006044E8"/>
    <w:rsid w:val="00604706"/>
    <w:rsid w:val="0060493D"/>
    <w:rsid w:val="00604BDE"/>
    <w:rsid w:val="00604C5A"/>
    <w:rsid w:val="00604F9F"/>
    <w:rsid w:val="00605824"/>
    <w:rsid w:val="00605960"/>
    <w:rsid w:val="006059A4"/>
    <w:rsid w:val="00606D5F"/>
    <w:rsid w:val="006071A1"/>
    <w:rsid w:val="00607A32"/>
    <w:rsid w:val="00607B88"/>
    <w:rsid w:val="00607C17"/>
    <w:rsid w:val="0061025A"/>
    <w:rsid w:val="006119BA"/>
    <w:rsid w:val="006119CD"/>
    <w:rsid w:val="00612194"/>
    <w:rsid w:val="0061225E"/>
    <w:rsid w:val="00612BCF"/>
    <w:rsid w:val="00613065"/>
    <w:rsid w:val="00613EF6"/>
    <w:rsid w:val="00613F4B"/>
    <w:rsid w:val="00614737"/>
    <w:rsid w:val="00614C10"/>
    <w:rsid w:val="00614CC5"/>
    <w:rsid w:val="00614F4A"/>
    <w:rsid w:val="00615788"/>
    <w:rsid w:val="006164AE"/>
    <w:rsid w:val="006164CE"/>
    <w:rsid w:val="00616637"/>
    <w:rsid w:val="00616E16"/>
    <w:rsid w:val="00616EDD"/>
    <w:rsid w:val="0061780E"/>
    <w:rsid w:val="006179FE"/>
    <w:rsid w:val="00617A36"/>
    <w:rsid w:val="00617C2B"/>
    <w:rsid w:val="00620D34"/>
    <w:rsid w:val="006211C3"/>
    <w:rsid w:val="00621406"/>
    <w:rsid w:val="006214D7"/>
    <w:rsid w:val="00621633"/>
    <w:rsid w:val="006219A7"/>
    <w:rsid w:val="00621D71"/>
    <w:rsid w:val="0062207D"/>
    <w:rsid w:val="00622350"/>
    <w:rsid w:val="0062294C"/>
    <w:rsid w:val="00622BBB"/>
    <w:rsid w:val="00622F9F"/>
    <w:rsid w:val="0062386C"/>
    <w:rsid w:val="0062392C"/>
    <w:rsid w:val="00623A7F"/>
    <w:rsid w:val="00623CC1"/>
    <w:rsid w:val="00624420"/>
    <w:rsid w:val="00624461"/>
    <w:rsid w:val="00624717"/>
    <w:rsid w:val="00624856"/>
    <w:rsid w:val="00624866"/>
    <w:rsid w:val="00624B52"/>
    <w:rsid w:val="00624B74"/>
    <w:rsid w:val="00624FC4"/>
    <w:rsid w:val="006254A1"/>
    <w:rsid w:val="00625786"/>
    <w:rsid w:val="0062621D"/>
    <w:rsid w:val="006263A4"/>
    <w:rsid w:val="00626600"/>
    <w:rsid w:val="00627AB3"/>
    <w:rsid w:val="00630005"/>
    <w:rsid w:val="00630417"/>
    <w:rsid w:val="0063055D"/>
    <w:rsid w:val="00630611"/>
    <w:rsid w:val="00630AB7"/>
    <w:rsid w:val="00630BC2"/>
    <w:rsid w:val="00630DAD"/>
    <w:rsid w:val="0063122E"/>
    <w:rsid w:val="0063190D"/>
    <w:rsid w:val="00631BE3"/>
    <w:rsid w:val="00631BEA"/>
    <w:rsid w:val="00631DF4"/>
    <w:rsid w:val="0063273E"/>
    <w:rsid w:val="00632750"/>
    <w:rsid w:val="00632C85"/>
    <w:rsid w:val="00632D18"/>
    <w:rsid w:val="00632ED5"/>
    <w:rsid w:val="00632F5F"/>
    <w:rsid w:val="00633347"/>
    <w:rsid w:val="006333F3"/>
    <w:rsid w:val="00633605"/>
    <w:rsid w:val="006340D8"/>
    <w:rsid w:val="00634175"/>
    <w:rsid w:val="00634468"/>
    <w:rsid w:val="006344CE"/>
    <w:rsid w:val="006347FB"/>
    <w:rsid w:val="0063484E"/>
    <w:rsid w:val="00634B79"/>
    <w:rsid w:val="00634ECA"/>
    <w:rsid w:val="00634FF0"/>
    <w:rsid w:val="00635144"/>
    <w:rsid w:val="0063694E"/>
    <w:rsid w:val="00636AD9"/>
    <w:rsid w:val="00636C06"/>
    <w:rsid w:val="006373D3"/>
    <w:rsid w:val="006374C2"/>
    <w:rsid w:val="0063777B"/>
    <w:rsid w:val="00637845"/>
    <w:rsid w:val="00637960"/>
    <w:rsid w:val="0063798E"/>
    <w:rsid w:val="006379ED"/>
    <w:rsid w:val="00637A92"/>
    <w:rsid w:val="00637A99"/>
    <w:rsid w:val="00637F1B"/>
    <w:rsid w:val="00640060"/>
    <w:rsid w:val="006408AC"/>
    <w:rsid w:val="00640AF2"/>
    <w:rsid w:val="00640CA3"/>
    <w:rsid w:val="0064138C"/>
    <w:rsid w:val="006414FC"/>
    <w:rsid w:val="0064165F"/>
    <w:rsid w:val="00641A20"/>
    <w:rsid w:val="006420A8"/>
    <w:rsid w:val="0064240B"/>
    <w:rsid w:val="0064278D"/>
    <w:rsid w:val="00642CDD"/>
    <w:rsid w:val="006433EC"/>
    <w:rsid w:val="0064355D"/>
    <w:rsid w:val="00643861"/>
    <w:rsid w:val="0064395D"/>
    <w:rsid w:val="00643F35"/>
    <w:rsid w:val="006445BA"/>
    <w:rsid w:val="006445F1"/>
    <w:rsid w:val="00644E71"/>
    <w:rsid w:val="00644FC5"/>
    <w:rsid w:val="00645126"/>
    <w:rsid w:val="006452B0"/>
    <w:rsid w:val="006452EF"/>
    <w:rsid w:val="0064556E"/>
    <w:rsid w:val="0064614B"/>
    <w:rsid w:val="006467C8"/>
    <w:rsid w:val="00646A30"/>
    <w:rsid w:val="006470A9"/>
    <w:rsid w:val="006471A6"/>
    <w:rsid w:val="00647E29"/>
    <w:rsid w:val="0065058E"/>
    <w:rsid w:val="00650625"/>
    <w:rsid w:val="0065066F"/>
    <w:rsid w:val="00650736"/>
    <w:rsid w:val="0065087B"/>
    <w:rsid w:val="00650949"/>
    <w:rsid w:val="00650BD6"/>
    <w:rsid w:val="006511B6"/>
    <w:rsid w:val="0065171C"/>
    <w:rsid w:val="006519D3"/>
    <w:rsid w:val="00651C0B"/>
    <w:rsid w:val="00651EB6"/>
    <w:rsid w:val="0065200E"/>
    <w:rsid w:val="00652630"/>
    <w:rsid w:val="00652742"/>
    <w:rsid w:val="00652A32"/>
    <w:rsid w:val="00652CC8"/>
    <w:rsid w:val="0065301C"/>
    <w:rsid w:val="00653302"/>
    <w:rsid w:val="006534AD"/>
    <w:rsid w:val="006538ED"/>
    <w:rsid w:val="006538FC"/>
    <w:rsid w:val="0065399B"/>
    <w:rsid w:val="00653C02"/>
    <w:rsid w:val="00653D33"/>
    <w:rsid w:val="0065464B"/>
    <w:rsid w:val="0065478B"/>
    <w:rsid w:val="006558C4"/>
    <w:rsid w:val="00655ECC"/>
    <w:rsid w:val="00656A20"/>
    <w:rsid w:val="006571BC"/>
    <w:rsid w:val="00657550"/>
    <w:rsid w:val="00657916"/>
    <w:rsid w:val="00657A46"/>
    <w:rsid w:val="00657FF8"/>
    <w:rsid w:val="0066003D"/>
    <w:rsid w:val="006605AA"/>
    <w:rsid w:val="00660CF8"/>
    <w:rsid w:val="00661544"/>
    <w:rsid w:val="00662145"/>
    <w:rsid w:val="00662408"/>
    <w:rsid w:val="006632B8"/>
    <w:rsid w:val="00663458"/>
    <w:rsid w:val="006635D4"/>
    <w:rsid w:val="006645D1"/>
    <w:rsid w:val="0066464F"/>
    <w:rsid w:val="00664766"/>
    <w:rsid w:val="00664CE0"/>
    <w:rsid w:val="00665230"/>
    <w:rsid w:val="006657A3"/>
    <w:rsid w:val="00665F61"/>
    <w:rsid w:val="00665F8D"/>
    <w:rsid w:val="006663E3"/>
    <w:rsid w:val="00666625"/>
    <w:rsid w:val="00666BB6"/>
    <w:rsid w:val="00666F6F"/>
    <w:rsid w:val="006673A9"/>
    <w:rsid w:val="006704EA"/>
    <w:rsid w:val="00670D82"/>
    <w:rsid w:val="00670D99"/>
    <w:rsid w:val="00670E2B"/>
    <w:rsid w:val="006710EA"/>
    <w:rsid w:val="00671874"/>
    <w:rsid w:val="0067197A"/>
    <w:rsid w:val="00671F48"/>
    <w:rsid w:val="00671F8A"/>
    <w:rsid w:val="0067294D"/>
    <w:rsid w:val="00672A05"/>
    <w:rsid w:val="00672D04"/>
    <w:rsid w:val="00672D85"/>
    <w:rsid w:val="00672E5B"/>
    <w:rsid w:val="00672EF8"/>
    <w:rsid w:val="006734BB"/>
    <w:rsid w:val="00673908"/>
    <w:rsid w:val="00673CD5"/>
    <w:rsid w:val="00673E87"/>
    <w:rsid w:val="00674504"/>
    <w:rsid w:val="00674527"/>
    <w:rsid w:val="006745E9"/>
    <w:rsid w:val="006746DC"/>
    <w:rsid w:val="00674882"/>
    <w:rsid w:val="00674A08"/>
    <w:rsid w:val="00675201"/>
    <w:rsid w:val="006755CA"/>
    <w:rsid w:val="00675802"/>
    <w:rsid w:val="00675832"/>
    <w:rsid w:val="00675D7E"/>
    <w:rsid w:val="00675D93"/>
    <w:rsid w:val="00675E64"/>
    <w:rsid w:val="006760B4"/>
    <w:rsid w:val="006760C0"/>
    <w:rsid w:val="0067633D"/>
    <w:rsid w:val="00676416"/>
    <w:rsid w:val="00676960"/>
    <w:rsid w:val="00676EE1"/>
    <w:rsid w:val="00677238"/>
    <w:rsid w:val="00677452"/>
    <w:rsid w:val="006776B0"/>
    <w:rsid w:val="006776CF"/>
    <w:rsid w:val="006777A1"/>
    <w:rsid w:val="00677AD2"/>
    <w:rsid w:val="00677D1F"/>
    <w:rsid w:val="00677D7E"/>
    <w:rsid w:val="00677F16"/>
    <w:rsid w:val="0068024E"/>
    <w:rsid w:val="0068034F"/>
    <w:rsid w:val="006803D5"/>
    <w:rsid w:val="00680EC1"/>
    <w:rsid w:val="00680ED0"/>
    <w:rsid w:val="00680F71"/>
    <w:rsid w:val="00681816"/>
    <w:rsid w:val="00681A34"/>
    <w:rsid w:val="00682186"/>
    <w:rsid w:val="006821EB"/>
    <w:rsid w:val="006826C3"/>
    <w:rsid w:val="006827E5"/>
    <w:rsid w:val="006829CD"/>
    <w:rsid w:val="0068305E"/>
    <w:rsid w:val="0068332F"/>
    <w:rsid w:val="00683A48"/>
    <w:rsid w:val="00683EB0"/>
    <w:rsid w:val="006840D3"/>
    <w:rsid w:val="00684DE3"/>
    <w:rsid w:val="00684E00"/>
    <w:rsid w:val="00686429"/>
    <w:rsid w:val="0068665A"/>
    <w:rsid w:val="00686682"/>
    <w:rsid w:val="00686F30"/>
    <w:rsid w:val="00687225"/>
    <w:rsid w:val="00687333"/>
    <w:rsid w:val="00687661"/>
    <w:rsid w:val="00687CA3"/>
    <w:rsid w:val="00687CD9"/>
    <w:rsid w:val="00687D2C"/>
    <w:rsid w:val="00690295"/>
    <w:rsid w:val="00690601"/>
    <w:rsid w:val="00690C0D"/>
    <w:rsid w:val="00690DB6"/>
    <w:rsid w:val="0069124D"/>
    <w:rsid w:val="006914BD"/>
    <w:rsid w:val="00691950"/>
    <w:rsid w:val="00692858"/>
    <w:rsid w:val="006930AF"/>
    <w:rsid w:val="006930D2"/>
    <w:rsid w:val="006933C3"/>
    <w:rsid w:val="0069392F"/>
    <w:rsid w:val="00693F84"/>
    <w:rsid w:val="00694291"/>
    <w:rsid w:val="00694C2D"/>
    <w:rsid w:val="00694F6B"/>
    <w:rsid w:val="0069503A"/>
    <w:rsid w:val="00695455"/>
    <w:rsid w:val="00695630"/>
    <w:rsid w:val="00695ABA"/>
    <w:rsid w:val="00695B9F"/>
    <w:rsid w:val="00695F3B"/>
    <w:rsid w:val="0069687F"/>
    <w:rsid w:val="00696FE0"/>
    <w:rsid w:val="00697665"/>
    <w:rsid w:val="006978DE"/>
    <w:rsid w:val="00697B02"/>
    <w:rsid w:val="00697B26"/>
    <w:rsid w:val="006A070E"/>
    <w:rsid w:val="006A105A"/>
    <w:rsid w:val="006A108A"/>
    <w:rsid w:val="006A1453"/>
    <w:rsid w:val="006A173D"/>
    <w:rsid w:val="006A24BC"/>
    <w:rsid w:val="006A2515"/>
    <w:rsid w:val="006A2E01"/>
    <w:rsid w:val="006A2E25"/>
    <w:rsid w:val="006A2EF9"/>
    <w:rsid w:val="006A30A6"/>
    <w:rsid w:val="006A38EF"/>
    <w:rsid w:val="006A40F4"/>
    <w:rsid w:val="006A453D"/>
    <w:rsid w:val="006A4A6A"/>
    <w:rsid w:val="006A4D7D"/>
    <w:rsid w:val="006A4FD6"/>
    <w:rsid w:val="006A4FE0"/>
    <w:rsid w:val="006A607A"/>
    <w:rsid w:val="006A63BD"/>
    <w:rsid w:val="006A647E"/>
    <w:rsid w:val="006A755F"/>
    <w:rsid w:val="006A78AD"/>
    <w:rsid w:val="006A7A93"/>
    <w:rsid w:val="006A7D38"/>
    <w:rsid w:val="006B0078"/>
    <w:rsid w:val="006B03B1"/>
    <w:rsid w:val="006B08A9"/>
    <w:rsid w:val="006B1647"/>
    <w:rsid w:val="006B1FC4"/>
    <w:rsid w:val="006B2286"/>
    <w:rsid w:val="006B22AB"/>
    <w:rsid w:val="006B257F"/>
    <w:rsid w:val="006B25CE"/>
    <w:rsid w:val="006B2CCF"/>
    <w:rsid w:val="006B2DDD"/>
    <w:rsid w:val="006B33C8"/>
    <w:rsid w:val="006B4008"/>
    <w:rsid w:val="006B44A5"/>
    <w:rsid w:val="006B4AF3"/>
    <w:rsid w:val="006B56BB"/>
    <w:rsid w:val="006B59AB"/>
    <w:rsid w:val="006B5D7A"/>
    <w:rsid w:val="006B5DEC"/>
    <w:rsid w:val="006B5F3A"/>
    <w:rsid w:val="006B5FB5"/>
    <w:rsid w:val="006B61BD"/>
    <w:rsid w:val="006B6A87"/>
    <w:rsid w:val="006B6B02"/>
    <w:rsid w:val="006B6B07"/>
    <w:rsid w:val="006B6B52"/>
    <w:rsid w:val="006B7251"/>
    <w:rsid w:val="006B76F6"/>
    <w:rsid w:val="006C027C"/>
    <w:rsid w:val="006C0533"/>
    <w:rsid w:val="006C08A2"/>
    <w:rsid w:val="006C0A5E"/>
    <w:rsid w:val="006C0D9F"/>
    <w:rsid w:val="006C0EA8"/>
    <w:rsid w:val="006C17A2"/>
    <w:rsid w:val="006C1EBF"/>
    <w:rsid w:val="006C1F69"/>
    <w:rsid w:val="006C2B98"/>
    <w:rsid w:val="006C3BBC"/>
    <w:rsid w:val="006C3E08"/>
    <w:rsid w:val="006C42A9"/>
    <w:rsid w:val="006C445E"/>
    <w:rsid w:val="006C4DEA"/>
    <w:rsid w:val="006C5187"/>
    <w:rsid w:val="006C58B5"/>
    <w:rsid w:val="006C591A"/>
    <w:rsid w:val="006C5D3E"/>
    <w:rsid w:val="006C6043"/>
    <w:rsid w:val="006C64B7"/>
    <w:rsid w:val="006C6D7F"/>
    <w:rsid w:val="006C73DA"/>
    <w:rsid w:val="006C7698"/>
    <w:rsid w:val="006C77A8"/>
    <w:rsid w:val="006C79E3"/>
    <w:rsid w:val="006C7A23"/>
    <w:rsid w:val="006D02A5"/>
    <w:rsid w:val="006D03FB"/>
    <w:rsid w:val="006D0D28"/>
    <w:rsid w:val="006D0F16"/>
    <w:rsid w:val="006D0F7B"/>
    <w:rsid w:val="006D198B"/>
    <w:rsid w:val="006D1E9C"/>
    <w:rsid w:val="006D23AE"/>
    <w:rsid w:val="006D240B"/>
    <w:rsid w:val="006D2FD0"/>
    <w:rsid w:val="006D3625"/>
    <w:rsid w:val="006D37F1"/>
    <w:rsid w:val="006D3A88"/>
    <w:rsid w:val="006D3FEA"/>
    <w:rsid w:val="006D4098"/>
    <w:rsid w:val="006D4265"/>
    <w:rsid w:val="006D432C"/>
    <w:rsid w:val="006D48E6"/>
    <w:rsid w:val="006D4AFD"/>
    <w:rsid w:val="006D55F4"/>
    <w:rsid w:val="006D57CF"/>
    <w:rsid w:val="006D5D67"/>
    <w:rsid w:val="006D6406"/>
    <w:rsid w:val="006D689D"/>
    <w:rsid w:val="006D68AD"/>
    <w:rsid w:val="006D68C4"/>
    <w:rsid w:val="006D6911"/>
    <w:rsid w:val="006D69BA"/>
    <w:rsid w:val="006D7263"/>
    <w:rsid w:val="006D7287"/>
    <w:rsid w:val="006D75E1"/>
    <w:rsid w:val="006D7681"/>
    <w:rsid w:val="006D7742"/>
    <w:rsid w:val="006D7A5A"/>
    <w:rsid w:val="006D7B2E"/>
    <w:rsid w:val="006D7C58"/>
    <w:rsid w:val="006D7CA0"/>
    <w:rsid w:val="006D7CC9"/>
    <w:rsid w:val="006D7F37"/>
    <w:rsid w:val="006E00F7"/>
    <w:rsid w:val="006E02EA"/>
    <w:rsid w:val="006E0592"/>
    <w:rsid w:val="006E0694"/>
    <w:rsid w:val="006E083A"/>
    <w:rsid w:val="006E0968"/>
    <w:rsid w:val="006E09B3"/>
    <w:rsid w:val="006E0C29"/>
    <w:rsid w:val="006E0CDC"/>
    <w:rsid w:val="006E0E88"/>
    <w:rsid w:val="006E11DC"/>
    <w:rsid w:val="006E24D1"/>
    <w:rsid w:val="006E2858"/>
    <w:rsid w:val="006E29ED"/>
    <w:rsid w:val="006E2AF6"/>
    <w:rsid w:val="006E31EA"/>
    <w:rsid w:val="006E33CA"/>
    <w:rsid w:val="006E3CEB"/>
    <w:rsid w:val="006E41F3"/>
    <w:rsid w:val="006E454E"/>
    <w:rsid w:val="006E490A"/>
    <w:rsid w:val="006E4950"/>
    <w:rsid w:val="006E4B7A"/>
    <w:rsid w:val="006E4C9A"/>
    <w:rsid w:val="006E4F55"/>
    <w:rsid w:val="006E4FCD"/>
    <w:rsid w:val="006E5285"/>
    <w:rsid w:val="006E5B6F"/>
    <w:rsid w:val="006E5D37"/>
    <w:rsid w:val="006E6200"/>
    <w:rsid w:val="006E68B4"/>
    <w:rsid w:val="006E6D9A"/>
    <w:rsid w:val="006E6E29"/>
    <w:rsid w:val="006E7649"/>
    <w:rsid w:val="006E7E45"/>
    <w:rsid w:val="006E7FDB"/>
    <w:rsid w:val="006F02D9"/>
    <w:rsid w:val="006F0F7E"/>
    <w:rsid w:val="006F1844"/>
    <w:rsid w:val="006F1875"/>
    <w:rsid w:val="006F1A75"/>
    <w:rsid w:val="006F1BA7"/>
    <w:rsid w:val="006F223D"/>
    <w:rsid w:val="006F23FE"/>
    <w:rsid w:val="006F2427"/>
    <w:rsid w:val="006F26F9"/>
    <w:rsid w:val="006F2727"/>
    <w:rsid w:val="006F3195"/>
    <w:rsid w:val="006F34B6"/>
    <w:rsid w:val="006F35AA"/>
    <w:rsid w:val="006F371E"/>
    <w:rsid w:val="006F37C9"/>
    <w:rsid w:val="006F3A16"/>
    <w:rsid w:val="006F3DFD"/>
    <w:rsid w:val="006F3EBD"/>
    <w:rsid w:val="006F423C"/>
    <w:rsid w:val="006F43D0"/>
    <w:rsid w:val="006F4C85"/>
    <w:rsid w:val="006F508E"/>
    <w:rsid w:val="006F51A5"/>
    <w:rsid w:val="006F51C4"/>
    <w:rsid w:val="006F53A0"/>
    <w:rsid w:val="006F5AE7"/>
    <w:rsid w:val="006F5B45"/>
    <w:rsid w:val="006F6C41"/>
    <w:rsid w:val="006F71E5"/>
    <w:rsid w:val="006F75DF"/>
    <w:rsid w:val="006F7AC2"/>
    <w:rsid w:val="006F7E5C"/>
    <w:rsid w:val="006F7F51"/>
    <w:rsid w:val="007003E8"/>
    <w:rsid w:val="0070065A"/>
    <w:rsid w:val="007006CA"/>
    <w:rsid w:val="00701275"/>
    <w:rsid w:val="0070135E"/>
    <w:rsid w:val="0070146B"/>
    <w:rsid w:val="0070165D"/>
    <w:rsid w:val="00701850"/>
    <w:rsid w:val="00701A26"/>
    <w:rsid w:val="00701DA0"/>
    <w:rsid w:val="00701E95"/>
    <w:rsid w:val="007029F0"/>
    <w:rsid w:val="00702B78"/>
    <w:rsid w:val="00702BF7"/>
    <w:rsid w:val="00702C04"/>
    <w:rsid w:val="00702C20"/>
    <w:rsid w:val="00702DB1"/>
    <w:rsid w:val="00702F18"/>
    <w:rsid w:val="00702F8F"/>
    <w:rsid w:val="007033B3"/>
    <w:rsid w:val="0070387C"/>
    <w:rsid w:val="00703FA5"/>
    <w:rsid w:val="00704080"/>
    <w:rsid w:val="007044BC"/>
    <w:rsid w:val="00704526"/>
    <w:rsid w:val="00704888"/>
    <w:rsid w:val="00704A20"/>
    <w:rsid w:val="00704E9E"/>
    <w:rsid w:val="007053F3"/>
    <w:rsid w:val="007055E3"/>
    <w:rsid w:val="0070578C"/>
    <w:rsid w:val="00706246"/>
    <w:rsid w:val="007064B4"/>
    <w:rsid w:val="007066CC"/>
    <w:rsid w:val="00706FDA"/>
    <w:rsid w:val="0070733B"/>
    <w:rsid w:val="007073CF"/>
    <w:rsid w:val="0070759F"/>
    <w:rsid w:val="00707D80"/>
    <w:rsid w:val="00707E3C"/>
    <w:rsid w:val="00707F56"/>
    <w:rsid w:val="0071019F"/>
    <w:rsid w:val="00710245"/>
    <w:rsid w:val="00710C4D"/>
    <w:rsid w:val="00710E0C"/>
    <w:rsid w:val="0071119F"/>
    <w:rsid w:val="0071124E"/>
    <w:rsid w:val="007116AC"/>
    <w:rsid w:val="0071188A"/>
    <w:rsid w:val="00711AA9"/>
    <w:rsid w:val="0071236F"/>
    <w:rsid w:val="00713558"/>
    <w:rsid w:val="0071399B"/>
    <w:rsid w:val="00713D98"/>
    <w:rsid w:val="00713E7F"/>
    <w:rsid w:val="00713EFE"/>
    <w:rsid w:val="00714182"/>
    <w:rsid w:val="00714571"/>
    <w:rsid w:val="007148F7"/>
    <w:rsid w:val="00714969"/>
    <w:rsid w:val="00714DC1"/>
    <w:rsid w:val="00714F8F"/>
    <w:rsid w:val="007154E1"/>
    <w:rsid w:val="007158B7"/>
    <w:rsid w:val="00715B98"/>
    <w:rsid w:val="00715D71"/>
    <w:rsid w:val="00715F73"/>
    <w:rsid w:val="00716199"/>
    <w:rsid w:val="007161F3"/>
    <w:rsid w:val="00716561"/>
    <w:rsid w:val="0071694D"/>
    <w:rsid w:val="00716A0A"/>
    <w:rsid w:val="00716D14"/>
    <w:rsid w:val="00717A2E"/>
    <w:rsid w:val="00717BF5"/>
    <w:rsid w:val="00717F29"/>
    <w:rsid w:val="007205C6"/>
    <w:rsid w:val="00720657"/>
    <w:rsid w:val="007206F2"/>
    <w:rsid w:val="00720846"/>
    <w:rsid w:val="007209BF"/>
    <w:rsid w:val="00720A80"/>
    <w:rsid w:val="00720D08"/>
    <w:rsid w:val="00721B97"/>
    <w:rsid w:val="00721B9B"/>
    <w:rsid w:val="00721D8E"/>
    <w:rsid w:val="00721F3D"/>
    <w:rsid w:val="007220A9"/>
    <w:rsid w:val="007221BE"/>
    <w:rsid w:val="00722C0D"/>
    <w:rsid w:val="00722C6F"/>
    <w:rsid w:val="007236EC"/>
    <w:rsid w:val="00724379"/>
    <w:rsid w:val="007244B0"/>
    <w:rsid w:val="00724661"/>
    <w:rsid w:val="00724E02"/>
    <w:rsid w:val="007254FA"/>
    <w:rsid w:val="0072551D"/>
    <w:rsid w:val="00725823"/>
    <w:rsid w:val="00725887"/>
    <w:rsid w:val="007258B2"/>
    <w:rsid w:val="00725B3C"/>
    <w:rsid w:val="00725D1D"/>
    <w:rsid w:val="007263B9"/>
    <w:rsid w:val="0072667F"/>
    <w:rsid w:val="00726760"/>
    <w:rsid w:val="00726888"/>
    <w:rsid w:val="00726DA0"/>
    <w:rsid w:val="00727614"/>
    <w:rsid w:val="00727AF9"/>
    <w:rsid w:val="00727C7F"/>
    <w:rsid w:val="00730120"/>
    <w:rsid w:val="00730201"/>
    <w:rsid w:val="007303D8"/>
    <w:rsid w:val="0073053E"/>
    <w:rsid w:val="0073089C"/>
    <w:rsid w:val="0073096B"/>
    <w:rsid w:val="00731186"/>
    <w:rsid w:val="00731551"/>
    <w:rsid w:val="00731659"/>
    <w:rsid w:val="00731AD7"/>
    <w:rsid w:val="00731FA8"/>
    <w:rsid w:val="00732729"/>
    <w:rsid w:val="007327F8"/>
    <w:rsid w:val="00732DA3"/>
    <w:rsid w:val="007330B8"/>
    <w:rsid w:val="007334A2"/>
    <w:rsid w:val="007334F8"/>
    <w:rsid w:val="007339CD"/>
    <w:rsid w:val="00733B7E"/>
    <w:rsid w:val="00733D14"/>
    <w:rsid w:val="00734010"/>
    <w:rsid w:val="00734206"/>
    <w:rsid w:val="00734CD7"/>
    <w:rsid w:val="007354F7"/>
    <w:rsid w:val="007359D8"/>
    <w:rsid w:val="00735A9E"/>
    <w:rsid w:val="00735FFD"/>
    <w:rsid w:val="007362D4"/>
    <w:rsid w:val="0073630B"/>
    <w:rsid w:val="00736A1E"/>
    <w:rsid w:val="00736C76"/>
    <w:rsid w:val="0073712E"/>
    <w:rsid w:val="00737251"/>
    <w:rsid w:val="00737313"/>
    <w:rsid w:val="00737386"/>
    <w:rsid w:val="007374A5"/>
    <w:rsid w:val="007378CB"/>
    <w:rsid w:val="007378EC"/>
    <w:rsid w:val="00737CDD"/>
    <w:rsid w:val="0074080A"/>
    <w:rsid w:val="00740A5A"/>
    <w:rsid w:val="0074109F"/>
    <w:rsid w:val="0074123B"/>
    <w:rsid w:val="0074154D"/>
    <w:rsid w:val="007417E3"/>
    <w:rsid w:val="00741B7D"/>
    <w:rsid w:val="00741E92"/>
    <w:rsid w:val="0074270D"/>
    <w:rsid w:val="00742F0D"/>
    <w:rsid w:val="00743124"/>
    <w:rsid w:val="007436E5"/>
    <w:rsid w:val="00743A3F"/>
    <w:rsid w:val="00743C27"/>
    <w:rsid w:val="00743E27"/>
    <w:rsid w:val="00743E5F"/>
    <w:rsid w:val="00744673"/>
    <w:rsid w:val="00744880"/>
    <w:rsid w:val="00744A6C"/>
    <w:rsid w:val="007451F3"/>
    <w:rsid w:val="007456AF"/>
    <w:rsid w:val="0074571A"/>
    <w:rsid w:val="00745941"/>
    <w:rsid w:val="00745A3C"/>
    <w:rsid w:val="00745B26"/>
    <w:rsid w:val="00745C69"/>
    <w:rsid w:val="00745E1C"/>
    <w:rsid w:val="0074616E"/>
    <w:rsid w:val="007461C2"/>
    <w:rsid w:val="007461F8"/>
    <w:rsid w:val="007470F5"/>
    <w:rsid w:val="0074729F"/>
    <w:rsid w:val="00747A34"/>
    <w:rsid w:val="00747AE9"/>
    <w:rsid w:val="007503D4"/>
    <w:rsid w:val="00750412"/>
    <w:rsid w:val="007504BE"/>
    <w:rsid w:val="00750746"/>
    <w:rsid w:val="00750820"/>
    <w:rsid w:val="007510FA"/>
    <w:rsid w:val="0075141A"/>
    <w:rsid w:val="00751462"/>
    <w:rsid w:val="00751A23"/>
    <w:rsid w:val="00752103"/>
    <w:rsid w:val="00752B2D"/>
    <w:rsid w:val="00752CD2"/>
    <w:rsid w:val="00753126"/>
    <w:rsid w:val="007535E3"/>
    <w:rsid w:val="0075360A"/>
    <w:rsid w:val="00753821"/>
    <w:rsid w:val="00753AEA"/>
    <w:rsid w:val="00753C15"/>
    <w:rsid w:val="00754091"/>
    <w:rsid w:val="00754E23"/>
    <w:rsid w:val="00755B01"/>
    <w:rsid w:val="00755E6F"/>
    <w:rsid w:val="00755F11"/>
    <w:rsid w:val="00756485"/>
    <w:rsid w:val="00756B3B"/>
    <w:rsid w:val="00757343"/>
    <w:rsid w:val="00757632"/>
    <w:rsid w:val="007576DD"/>
    <w:rsid w:val="007577A1"/>
    <w:rsid w:val="007577EA"/>
    <w:rsid w:val="00757D02"/>
    <w:rsid w:val="0076063A"/>
    <w:rsid w:val="007606C7"/>
    <w:rsid w:val="00760CEB"/>
    <w:rsid w:val="00760ED3"/>
    <w:rsid w:val="0076118D"/>
    <w:rsid w:val="007617F9"/>
    <w:rsid w:val="00761B0E"/>
    <w:rsid w:val="00761CCA"/>
    <w:rsid w:val="00762CC5"/>
    <w:rsid w:val="00762ECD"/>
    <w:rsid w:val="00762EE1"/>
    <w:rsid w:val="00763316"/>
    <w:rsid w:val="0076355F"/>
    <w:rsid w:val="00763645"/>
    <w:rsid w:val="00763AFC"/>
    <w:rsid w:val="00763C30"/>
    <w:rsid w:val="00763CB7"/>
    <w:rsid w:val="007641FC"/>
    <w:rsid w:val="007643C7"/>
    <w:rsid w:val="00764842"/>
    <w:rsid w:val="00764AB9"/>
    <w:rsid w:val="00764C36"/>
    <w:rsid w:val="00764DD9"/>
    <w:rsid w:val="00764F22"/>
    <w:rsid w:val="0076515A"/>
    <w:rsid w:val="00765228"/>
    <w:rsid w:val="00765A11"/>
    <w:rsid w:val="00765C87"/>
    <w:rsid w:val="0076672A"/>
    <w:rsid w:val="007675E5"/>
    <w:rsid w:val="00767753"/>
    <w:rsid w:val="00767FF4"/>
    <w:rsid w:val="00770182"/>
    <w:rsid w:val="007705F7"/>
    <w:rsid w:val="00770ACD"/>
    <w:rsid w:val="00771727"/>
    <w:rsid w:val="00771AD4"/>
    <w:rsid w:val="0077206A"/>
    <w:rsid w:val="0077262C"/>
    <w:rsid w:val="00772854"/>
    <w:rsid w:val="00772FC8"/>
    <w:rsid w:val="007731D2"/>
    <w:rsid w:val="007735C8"/>
    <w:rsid w:val="0077394D"/>
    <w:rsid w:val="00773FDF"/>
    <w:rsid w:val="007744FC"/>
    <w:rsid w:val="00774558"/>
    <w:rsid w:val="0077559B"/>
    <w:rsid w:val="0077565D"/>
    <w:rsid w:val="00775AE4"/>
    <w:rsid w:val="00775B66"/>
    <w:rsid w:val="00775BA8"/>
    <w:rsid w:val="00775E45"/>
    <w:rsid w:val="00775F5B"/>
    <w:rsid w:val="007767D9"/>
    <w:rsid w:val="007769B1"/>
    <w:rsid w:val="00776E74"/>
    <w:rsid w:val="0077788F"/>
    <w:rsid w:val="007800AD"/>
    <w:rsid w:val="007800E3"/>
    <w:rsid w:val="007806C1"/>
    <w:rsid w:val="007807C4"/>
    <w:rsid w:val="00780A49"/>
    <w:rsid w:val="00780DC6"/>
    <w:rsid w:val="00780DCA"/>
    <w:rsid w:val="00780DD3"/>
    <w:rsid w:val="00780FC8"/>
    <w:rsid w:val="007822B9"/>
    <w:rsid w:val="007822C9"/>
    <w:rsid w:val="00782352"/>
    <w:rsid w:val="007830E6"/>
    <w:rsid w:val="0078355A"/>
    <w:rsid w:val="00783AEF"/>
    <w:rsid w:val="00783E24"/>
    <w:rsid w:val="007848CF"/>
    <w:rsid w:val="00784C71"/>
    <w:rsid w:val="00784DF8"/>
    <w:rsid w:val="00785169"/>
    <w:rsid w:val="00785392"/>
    <w:rsid w:val="00785529"/>
    <w:rsid w:val="00785759"/>
    <w:rsid w:val="00785EF9"/>
    <w:rsid w:val="007860B0"/>
    <w:rsid w:val="00786361"/>
    <w:rsid w:val="0078661F"/>
    <w:rsid w:val="007868B4"/>
    <w:rsid w:val="00786A5D"/>
    <w:rsid w:val="00786E27"/>
    <w:rsid w:val="00786EEC"/>
    <w:rsid w:val="00787589"/>
    <w:rsid w:val="00787649"/>
    <w:rsid w:val="00787C24"/>
    <w:rsid w:val="00790010"/>
    <w:rsid w:val="00791042"/>
    <w:rsid w:val="007912A0"/>
    <w:rsid w:val="00791518"/>
    <w:rsid w:val="00791D8C"/>
    <w:rsid w:val="0079241C"/>
    <w:rsid w:val="007934D0"/>
    <w:rsid w:val="00793B3F"/>
    <w:rsid w:val="00793D3E"/>
    <w:rsid w:val="00793EF2"/>
    <w:rsid w:val="00794976"/>
    <w:rsid w:val="00794BC0"/>
    <w:rsid w:val="00794E4A"/>
    <w:rsid w:val="00795480"/>
    <w:rsid w:val="007954AB"/>
    <w:rsid w:val="007954D2"/>
    <w:rsid w:val="00795EFE"/>
    <w:rsid w:val="00795F9B"/>
    <w:rsid w:val="00796AD2"/>
    <w:rsid w:val="00796B49"/>
    <w:rsid w:val="00796D5A"/>
    <w:rsid w:val="007974A9"/>
    <w:rsid w:val="00797599"/>
    <w:rsid w:val="0079767E"/>
    <w:rsid w:val="007977CD"/>
    <w:rsid w:val="00797AFF"/>
    <w:rsid w:val="00797EFB"/>
    <w:rsid w:val="007A0B9A"/>
    <w:rsid w:val="007A0C02"/>
    <w:rsid w:val="007A1326"/>
    <w:rsid w:val="007A14C5"/>
    <w:rsid w:val="007A1602"/>
    <w:rsid w:val="007A1EE1"/>
    <w:rsid w:val="007A25FA"/>
    <w:rsid w:val="007A28D7"/>
    <w:rsid w:val="007A2B56"/>
    <w:rsid w:val="007A3190"/>
    <w:rsid w:val="007A3453"/>
    <w:rsid w:val="007A3C48"/>
    <w:rsid w:val="007A3E38"/>
    <w:rsid w:val="007A460A"/>
    <w:rsid w:val="007A4A10"/>
    <w:rsid w:val="007A4E1C"/>
    <w:rsid w:val="007A53CD"/>
    <w:rsid w:val="007A56A1"/>
    <w:rsid w:val="007A574B"/>
    <w:rsid w:val="007A5F9B"/>
    <w:rsid w:val="007A659F"/>
    <w:rsid w:val="007A6DC3"/>
    <w:rsid w:val="007A7472"/>
    <w:rsid w:val="007A77E8"/>
    <w:rsid w:val="007A79DD"/>
    <w:rsid w:val="007A7AE0"/>
    <w:rsid w:val="007A7DC0"/>
    <w:rsid w:val="007A7FEE"/>
    <w:rsid w:val="007B04C1"/>
    <w:rsid w:val="007B0E79"/>
    <w:rsid w:val="007B0FEF"/>
    <w:rsid w:val="007B133D"/>
    <w:rsid w:val="007B1544"/>
    <w:rsid w:val="007B1760"/>
    <w:rsid w:val="007B28AA"/>
    <w:rsid w:val="007B2AEF"/>
    <w:rsid w:val="007B2E93"/>
    <w:rsid w:val="007B30A4"/>
    <w:rsid w:val="007B3387"/>
    <w:rsid w:val="007B3623"/>
    <w:rsid w:val="007B3CB1"/>
    <w:rsid w:val="007B3FBF"/>
    <w:rsid w:val="007B3FE3"/>
    <w:rsid w:val="007B420C"/>
    <w:rsid w:val="007B486D"/>
    <w:rsid w:val="007B4C07"/>
    <w:rsid w:val="007B4F02"/>
    <w:rsid w:val="007B4F70"/>
    <w:rsid w:val="007B5794"/>
    <w:rsid w:val="007B58CB"/>
    <w:rsid w:val="007B58D6"/>
    <w:rsid w:val="007B5AF5"/>
    <w:rsid w:val="007B5B22"/>
    <w:rsid w:val="007B5FE8"/>
    <w:rsid w:val="007B66F8"/>
    <w:rsid w:val="007B6812"/>
    <w:rsid w:val="007B6FF6"/>
    <w:rsid w:val="007B753B"/>
    <w:rsid w:val="007B773A"/>
    <w:rsid w:val="007B790E"/>
    <w:rsid w:val="007B7D71"/>
    <w:rsid w:val="007C0955"/>
    <w:rsid w:val="007C0B59"/>
    <w:rsid w:val="007C0C18"/>
    <w:rsid w:val="007C0CDE"/>
    <w:rsid w:val="007C0EFC"/>
    <w:rsid w:val="007C18F7"/>
    <w:rsid w:val="007C1AB7"/>
    <w:rsid w:val="007C1B8D"/>
    <w:rsid w:val="007C1FE6"/>
    <w:rsid w:val="007C2059"/>
    <w:rsid w:val="007C2371"/>
    <w:rsid w:val="007C277A"/>
    <w:rsid w:val="007C28C1"/>
    <w:rsid w:val="007C2975"/>
    <w:rsid w:val="007C2A54"/>
    <w:rsid w:val="007C325A"/>
    <w:rsid w:val="007C3775"/>
    <w:rsid w:val="007C37EC"/>
    <w:rsid w:val="007C3A38"/>
    <w:rsid w:val="007C3AC7"/>
    <w:rsid w:val="007C3D79"/>
    <w:rsid w:val="007C3FCE"/>
    <w:rsid w:val="007C4273"/>
    <w:rsid w:val="007C44C4"/>
    <w:rsid w:val="007C47A5"/>
    <w:rsid w:val="007C48E2"/>
    <w:rsid w:val="007C5129"/>
    <w:rsid w:val="007C53BD"/>
    <w:rsid w:val="007C5407"/>
    <w:rsid w:val="007C5832"/>
    <w:rsid w:val="007C58DE"/>
    <w:rsid w:val="007C59A7"/>
    <w:rsid w:val="007C5AFD"/>
    <w:rsid w:val="007C684D"/>
    <w:rsid w:val="007C6D42"/>
    <w:rsid w:val="007C6D9C"/>
    <w:rsid w:val="007C7275"/>
    <w:rsid w:val="007C72C7"/>
    <w:rsid w:val="007C756A"/>
    <w:rsid w:val="007C75B2"/>
    <w:rsid w:val="007C7A09"/>
    <w:rsid w:val="007C7B07"/>
    <w:rsid w:val="007C7C5C"/>
    <w:rsid w:val="007C7DDB"/>
    <w:rsid w:val="007C7E44"/>
    <w:rsid w:val="007D0001"/>
    <w:rsid w:val="007D05A9"/>
    <w:rsid w:val="007D0955"/>
    <w:rsid w:val="007D0B34"/>
    <w:rsid w:val="007D0D41"/>
    <w:rsid w:val="007D22B3"/>
    <w:rsid w:val="007D2435"/>
    <w:rsid w:val="007D255C"/>
    <w:rsid w:val="007D2636"/>
    <w:rsid w:val="007D29AB"/>
    <w:rsid w:val="007D2A33"/>
    <w:rsid w:val="007D2C78"/>
    <w:rsid w:val="007D2CC7"/>
    <w:rsid w:val="007D2F5D"/>
    <w:rsid w:val="007D348D"/>
    <w:rsid w:val="007D3A69"/>
    <w:rsid w:val="007D3B73"/>
    <w:rsid w:val="007D4337"/>
    <w:rsid w:val="007D4486"/>
    <w:rsid w:val="007D4645"/>
    <w:rsid w:val="007D469D"/>
    <w:rsid w:val="007D56B7"/>
    <w:rsid w:val="007D5812"/>
    <w:rsid w:val="007D58B5"/>
    <w:rsid w:val="007D58ED"/>
    <w:rsid w:val="007D66CC"/>
    <w:rsid w:val="007D673D"/>
    <w:rsid w:val="007D6882"/>
    <w:rsid w:val="007D6A58"/>
    <w:rsid w:val="007D6B51"/>
    <w:rsid w:val="007D6F3D"/>
    <w:rsid w:val="007D7282"/>
    <w:rsid w:val="007D76C7"/>
    <w:rsid w:val="007E02F0"/>
    <w:rsid w:val="007E11AB"/>
    <w:rsid w:val="007E11CF"/>
    <w:rsid w:val="007E17BB"/>
    <w:rsid w:val="007E1CB4"/>
    <w:rsid w:val="007E1DA4"/>
    <w:rsid w:val="007E21FE"/>
    <w:rsid w:val="007E233D"/>
    <w:rsid w:val="007E234E"/>
    <w:rsid w:val="007E297D"/>
    <w:rsid w:val="007E2D6D"/>
    <w:rsid w:val="007E2EFD"/>
    <w:rsid w:val="007E302C"/>
    <w:rsid w:val="007E36C3"/>
    <w:rsid w:val="007E3719"/>
    <w:rsid w:val="007E3B40"/>
    <w:rsid w:val="007E40C4"/>
    <w:rsid w:val="007E449B"/>
    <w:rsid w:val="007E461E"/>
    <w:rsid w:val="007E510A"/>
    <w:rsid w:val="007E58CE"/>
    <w:rsid w:val="007E5FCC"/>
    <w:rsid w:val="007E62F8"/>
    <w:rsid w:val="007E640F"/>
    <w:rsid w:val="007E642F"/>
    <w:rsid w:val="007E6EAF"/>
    <w:rsid w:val="007E6F38"/>
    <w:rsid w:val="007E73F8"/>
    <w:rsid w:val="007E7551"/>
    <w:rsid w:val="007E75F9"/>
    <w:rsid w:val="007E76CF"/>
    <w:rsid w:val="007E79FE"/>
    <w:rsid w:val="007E7A89"/>
    <w:rsid w:val="007E7AB2"/>
    <w:rsid w:val="007E7C5D"/>
    <w:rsid w:val="007F00C9"/>
    <w:rsid w:val="007F04E8"/>
    <w:rsid w:val="007F0860"/>
    <w:rsid w:val="007F0A2A"/>
    <w:rsid w:val="007F0B02"/>
    <w:rsid w:val="007F0BDE"/>
    <w:rsid w:val="007F0E0C"/>
    <w:rsid w:val="007F14CA"/>
    <w:rsid w:val="007F171D"/>
    <w:rsid w:val="007F17BE"/>
    <w:rsid w:val="007F1896"/>
    <w:rsid w:val="007F18DA"/>
    <w:rsid w:val="007F2220"/>
    <w:rsid w:val="007F28C2"/>
    <w:rsid w:val="007F28EE"/>
    <w:rsid w:val="007F2E06"/>
    <w:rsid w:val="007F31D8"/>
    <w:rsid w:val="007F31ED"/>
    <w:rsid w:val="007F3449"/>
    <w:rsid w:val="007F37CA"/>
    <w:rsid w:val="007F4547"/>
    <w:rsid w:val="007F4B3E"/>
    <w:rsid w:val="007F4CA1"/>
    <w:rsid w:val="007F568F"/>
    <w:rsid w:val="007F588A"/>
    <w:rsid w:val="007F58B6"/>
    <w:rsid w:val="007F58F5"/>
    <w:rsid w:val="007F62F0"/>
    <w:rsid w:val="007F66B2"/>
    <w:rsid w:val="007F6983"/>
    <w:rsid w:val="007F7155"/>
    <w:rsid w:val="00800007"/>
    <w:rsid w:val="00800591"/>
    <w:rsid w:val="00800743"/>
    <w:rsid w:val="00800BC9"/>
    <w:rsid w:val="00800CDD"/>
    <w:rsid w:val="00801334"/>
    <w:rsid w:val="008013C9"/>
    <w:rsid w:val="00801643"/>
    <w:rsid w:val="00801DB5"/>
    <w:rsid w:val="0080234C"/>
    <w:rsid w:val="00802442"/>
    <w:rsid w:val="00802986"/>
    <w:rsid w:val="00802CB8"/>
    <w:rsid w:val="00802CF0"/>
    <w:rsid w:val="00802E58"/>
    <w:rsid w:val="008038D6"/>
    <w:rsid w:val="008039DB"/>
    <w:rsid w:val="00803F9F"/>
    <w:rsid w:val="008042F6"/>
    <w:rsid w:val="00804377"/>
    <w:rsid w:val="008043A0"/>
    <w:rsid w:val="00804837"/>
    <w:rsid w:val="008048F0"/>
    <w:rsid w:val="00804C1E"/>
    <w:rsid w:val="008051F8"/>
    <w:rsid w:val="00805232"/>
    <w:rsid w:val="00805B22"/>
    <w:rsid w:val="00805DD2"/>
    <w:rsid w:val="00806EA5"/>
    <w:rsid w:val="00807121"/>
    <w:rsid w:val="0080724A"/>
    <w:rsid w:val="008074C3"/>
    <w:rsid w:val="008074EB"/>
    <w:rsid w:val="00807670"/>
    <w:rsid w:val="008077C0"/>
    <w:rsid w:val="00810125"/>
    <w:rsid w:val="008104A9"/>
    <w:rsid w:val="0081053F"/>
    <w:rsid w:val="00810BD8"/>
    <w:rsid w:val="00810E9B"/>
    <w:rsid w:val="0081113D"/>
    <w:rsid w:val="00811232"/>
    <w:rsid w:val="008114CA"/>
    <w:rsid w:val="008121AC"/>
    <w:rsid w:val="0081264F"/>
    <w:rsid w:val="008127AF"/>
    <w:rsid w:val="00812B46"/>
    <w:rsid w:val="00812B90"/>
    <w:rsid w:val="00812CFC"/>
    <w:rsid w:val="0081372E"/>
    <w:rsid w:val="00813773"/>
    <w:rsid w:val="00813C93"/>
    <w:rsid w:val="00814BE4"/>
    <w:rsid w:val="00814F42"/>
    <w:rsid w:val="00814FA2"/>
    <w:rsid w:val="0081569A"/>
    <w:rsid w:val="00815700"/>
    <w:rsid w:val="00815943"/>
    <w:rsid w:val="00815F96"/>
    <w:rsid w:val="00815FC1"/>
    <w:rsid w:val="00816B77"/>
    <w:rsid w:val="00816EF3"/>
    <w:rsid w:val="008172BD"/>
    <w:rsid w:val="00817B70"/>
    <w:rsid w:val="00817DC1"/>
    <w:rsid w:val="00817FB1"/>
    <w:rsid w:val="00820089"/>
    <w:rsid w:val="00820094"/>
    <w:rsid w:val="008201C4"/>
    <w:rsid w:val="00820679"/>
    <w:rsid w:val="008210C6"/>
    <w:rsid w:val="00821246"/>
    <w:rsid w:val="00821281"/>
    <w:rsid w:val="00821860"/>
    <w:rsid w:val="00821DFA"/>
    <w:rsid w:val="00821EF4"/>
    <w:rsid w:val="00822134"/>
    <w:rsid w:val="00822318"/>
    <w:rsid w:val="0082243C"/>
    <w:rsid w:val="0082243E"/>
    <w:rsid w:val="0082308F"/>
    <w:rsid w:val="0082348A"/>
    <w:rsid w:val="00823DA6"/>
    <w:rsid w:val="008240A3"/>
    <w:rsid w:val="00824582"/>
    <w:rsid w:val="00825158"/>
    <w:rsid w:val="0082586C"/>
    <w:rsid w:val="00825BB9"/>
    <w:rsid w:val="00825EDD"/>
    <w:rsid w:val="0082607F"/>
    <w:rsid w:val="008262BB"/>
    <w:rsid w:val="0082647E"/>
    <w:rsid w:val="008264EB"/>
    <w:rsid w:val="00826936"/>
    <w:rsid w:val="00826951"/>
    <w:rsid w:val="00826B8F"/>
    <w:rsid w:val="00826CF9"/>
    <w:rsid w:val="00826E69"/>
    <w:rsid w:val="00826FF1"/>
    <w:rsid w:val="00827392"/>
    <w:rsid w:val="008277AC"/>
    <w:rsid w:val="00827FE9"/>
    <w:rsid w:val="00830960"/>
    <w:rsid w:val="00830A60"/>
    <w:rsid w:val="00830B6B"/>
    <w:rsid w:val="008316FB"/>
    <w:rsid w:val="0083179F"/>
    <w:rsid w:val="008318C0"/>
    <w:rsid w:val="00831E8A"/>
    <w:rsid w:val="0083211C"/>
    <w:rsid w:val="008323EC"/>
    <w:rsid w:val="008325A9"/>
    <w:rsid w:val="00832CD6"/>
    <w:rsid w:val="00832F01"/>
    <w:rsid w:val="008333C5"/>
    <w:rsid w:val="00833444"/>
    <w:rsid w:val="008336C0"/>
    <w:rsid w:val="00833A14"/>
    <w:rsid w:val="00834484"/>
    <w:rsid w:val="008345CF"/>
    <w:rsid w:val="00834923"/>
    <w:rsid w:val="00834F4A"/>
    <w:rsid w:val="00835098"/>
    <w:rsid w:val="0083597E"/>
    <w:rsid w:val="00835C76"/>
    <w:rsid w:val="00835F7B"/>
    <w:rsid w:val="008364C0"/>
    <w:rsid w:val="00836802"/>
    <w:rsid w:val="00836995"/>
    <w:rsid w:val="00836DF8"/>
    <w:rsid w:val="00837A66"/>
    <w:rsid w:val="00840125"/>
    <w:rsid w:val="00840141"/>
    <w:rsid w:val="008402AE"/>
    <w:rsid w:val="0084078C"/>
    <w:rsid w:val="00840AE0"/>
    <w:rsid w:val="00840D95"/>
    <w:rsid w:val="00840F09"/>
    <w:rsid w:val="00841068"/>
    <w:rsid w:val="0084109C"/>
    <w:rsid w:val="00841111"/>
    <w:rsid w:val="008417F6"/>
    <w:rsid w:val="008418CF"/>
    <w:rsid w:val="00841D5A"/>
    <w:rsid w:val="00841E36"/>
    <w:rsid w:val="0084260C"/>
    <w:rsid w:val="00842868"/>
    <w:rsid w:val="00843049"/>
    <w:rsid w:val="008436E1"/>
    <w:rsid w:val="0084377D"/>
    <w:rsid w:val="00843887"/>
    <w:rsid w:val="008439D7"/>
    <w:rsid w:val="00843DC3"/>
    <w:rsid w:val="00843E45"/>
    <w:rsid w:val="008440C7"/>
    <w:rsid w:val="008442C2"/>
    <w:rsid w:val="00844369"/>
    <w:rsid w:val="0084459D"/>
    <w:rsid w:val="008449BE"/>
    <w:rsid w:val="00844BE5"/>
    <w:rsid w:val="00844EFE"/>
    <w:rsid w:val="00845278"/>
    <w:rsid w:val="00845282"/>
    <w:rsid w:val="008456B9"/>
    <w:rsid w:val="008464AF"/>
    <w:rsid w:val="00847150"/>
    <w:rsid w:val="00847190"/>
    <w:rsid w:val="008476ED"/>
    <w:rsid w:val="0084779E"/>
    <w:rsid w:val="00847B92"/>
    <w:rsid w:val="00850151"/>
    <w:rsid w:val="00850A71"/>
    <w:rsid w:val="00850AC5"/>
    <w:rsid w:val="00850D99"/>
    <w:rsid w:val="00850E25"/>
    <w:rsid w:val="00851010"/>
    <w:rsid w:val="00851013"/>
    <w:rsid w:val="0085104F"/>
    <w:rsid w:val="008512B8"/>
    <w:rsid w:val="00851976"/>
    <w:rsid w:val="00851C05"/>
    <w:rsid w:val="00851FF4"/>
    <w:rsid w:val="0085209B"/>
    <w:rsid w:val="008520B5"/>
    <w:rsid w:val="0085244E"/>
    <w:rsid w:val="0085290D"/>
    <w:rsid w:val="00852993"/>
    <w:rsid w:val="00853B6C"/>
    <w:rsid w:val="00853E85"/>
    <w:rsid w:val="00854111"/>
    <w:rsid w:val="00854369"/>
    <w:rsid w:val="008543C1"/>
    <w:rsid w:val="00854507"/>
    <w:rsid w:val="00854A88"/>
    <w:rsid w:val="00854AFA"/>
    <w:rsid w:val="00854BBA"/>
    <w:rsid w:val="008554E1"/>
    <w:rsid w:val="00855A93"/>
    <w:rsid w:val="00855E56"/>
    <w:rsid w:val="00856B66"/>
    <w:rsid w:val="00857C53"/>
    <w:rsid w:val="008603E9"/>
    <w:rsid w:val="008605F6"/>
    <w:rsid w:val="0086109A"/>
    <w:rsid w:val="008612CE"/>
    <w:rsid w:val="008615DF"/>
    <w:rsid w:val="00861748"/>
    <w:rsid w:val="0086187D"/>
    <w:rsid w:val="00861A5F"/>
    <w:rsid w:val="00861CD6"/>
    <w:rsid w:val="008621DF"/>
    <w:rsid w:val="008625FD"/>
    <w:rsid w:val="00862A07"/>
    <w:rsid w:val="00862A78"/>
    <w:rsid w:val="00862C96"/>
    <w:rsid w:val="008637C8"/>
    <w:rsid w:val="008638C2"/>
    <w:rsid w:val="00863EEC"/>
    <w:rsid w:val="0086427C"/>
    <w:rsid w:val="008644AD"/>
    <w:rsid w:val="008645AC"/>
    <w:rsid w:val="00864870"/>
    <w:rsid w:val="0086490F"/>
    <w:rsid w:val="0086537E"/>
    <w:rsid w:val="00865735"/>
    <w:rsid w:val="0086594E"/>
    <w:rsid w:val="00865CF3"/>
    <w:rsid w:val="00865D27"/>
    <w:rsid w:val="00865DDB"/>
    <w:rsid w:val="00866230"/>
    <w:rsid w:val="0086648E"/>
    <w:rsid w:val="00866573"/>
    <w:rsid w:val="00866600"/>
    <w:rsid w:val="008667C0"/>
    <w:rsid w:val="0086711B"/>
    <w:rsid w:val="0086715B"/>
    <w:rsid w:val="00867277"/>
    <w:rsid w:val="00867538"/>
    <w:rsid w:val="00867A31"/>
    <w:rsid w:val="00867E28"/>
    <w:rsid w:val="00867FD2"/>
    <w:rsid w:val="00867FDF"/>
    <w:rsid w:val="00870446"/>
    <w:rsid w:val="00870C9D"/>
    <w:rsid w:val="00870CBC"/>
    <w:rsid w:val="00870FA4"/>
    <w:rsid w:val="008711CA"/>
    <w:rsid w:val="00871332"/>
    <w:rsid w:val="00871477"/>
    <w:rsid w:val="00871835"/>
    <w:rsid w:val="00871D18"/>
    <w:rsid w:val="00871ED2"/>
    <w:rsid w:val="00872ACB"/>
    <w:rsid w:val="00873871"/>
    <w:rsid w:val="00873D90"/>
    <w:rsid w:val="00873FC8"/>
    <w:rsid w:val="00873FEE"/>
    <w:rsid w:val="0087457E"/>
    <w:rsid w:val="008756EC"/>
    <w:rsid w:val="00875A1A"/>
    <w:rsid w:val="00875BCC"/>
    <w:rsid w:val="00875EEB"/>
    <w:rsid w:val="008762AE"/>
    <w:rsid w:val="00876514"/>
    <w:rsid w:val="0087669C"/>
    <w:rsid w:val="00876AC6"/>
    <w:rsid w:val="00876B5D"/>
    <w:rsid w:val="00876BF2"/>
    <w:rsid w:val="008772A2"/>
    <w:rsid w:val="00877351"/>
    <w:rsid w:val="0087797B"/>
    <w:rsid w:val="00877CC2"/>
    <w:rsid w:val="00880ADF"/>
    <w:rsid w:val="00881495"/>
    <w:rsid w:val="00882221"/>
    <w:rsid w:val="008824A6"/>
    <w:rsid w:val="008827C4"/>
    <w:rsid w:val="0088288F"/>
    <w:rsid w:val="00882F12"/>
    <w:rsid w:val="008831B4"/>
    <w:rsid w:val="00883471"/>
    <w:rsid w:val="008839C1"/>
    <w:rsid w:val="00883C92"/>
    <w:rsid w:val="00884461"/>
    <w:rsid w:val="00884746"/>
    <w:rsid w:val="00884837"/>
    <w:rsid w:val="00884866"/>
    <w:rsid w:val="00884C40"/>
    <w:rsid w:val="00884C63"/>
    <w:rsid w:val="008852EA"/>
    <w:rsid w:val="008855D5"/>
    <w:rsid w:val="008857F7"/>
    <w:rsid w:val="00885908"/>
    <w:rsid w:val="00885A62"/>
    <w:rsid w:val="008860C1"/>
    <w:rsid w:val="0088637D"/>
    <w:rsid w:val="008864B7"/>
    <w:rsid w:val="008864F1"/>
    <w:rsid w:val="008871C5"/>
    <w:rsid w:val="00887570"/>
    <w:rsid w:val="00887A14"/>
    <w:rsid w:val="00887D3F"/>
    <w:rsid w:val="00890214"/>
    <w:rsid w:val="008905A0"/>
    <w:rsid w:val="00891088"/>
    <w:rsid w:val="008913A8"/>
    <w:rsid w:val="0089158A"/>
    <w:rsid w:val="00891600"/>
    <w:rsid w:val="00891764"/>
    <w:rsid w:val="00891A37"/>
    <w:rsid w:val="00891E25"/>
    <w:rsid w:val="008921A9"/>
    <w:rsid w:val="00892247"/>
    <w:rsid w:val="00892462"/>
    <w:rsid w:val="00892C58"/>
    <w:rsid w:val="0089307B"/>
    <w:rsid w:val="00893172"/>
    <w:rsid w:val="0089388A"/>
    <w:rsid w:val="008939D6"/>
    <w:rsid w:val="00893D3E"/>
    <w:rsid w:val="008943B5"/>
    <w:rsid w:val="008945A9"/>
    <w:rsid w:val="008949C3"/>
    <w:rsid w:val="00894A96"/>
    <w:rsid w:val="00894CDC"/>
    <w:rsid w:val="00894F85"/>
    <w:rsid w:val="00894FF8"/>
    <w:rsid w:val="00895240"/>
    <w:rsid w:val="00895511"/>
    <w:rsid w:val="008956A8"/>
    <w:rsid w:val="008961FF"/>
    <w:rsid w:val="0089677E"/>
    <w:rsid w:val="00896E6E"/>
    <w:rsid w:val="00896E8C"/>
    <w:rsid w:val="00896EBC"/>
    <w:rsid w:val="00896F5D"/>
    <w:rsid w:val="008979A5"/>
    <w:rsid w:val="00897D2E"/>
    <w:rsid w:val="008A076F"/>
    <w:rsid w:val="008A0855"/>
    <w:rsid w:val="008A0A36"/>
    <w:rsid w:val="008A0B2E"/>
    <w:rsid w:val="008A14C3"/>
    <w:rsid w:val="008A1868"/>
    <w:rsid w:val="008A1955"/>
    <w:rsid w:val="008A1DC4"/>
    <w:rsid w:val="008A2208"/>
    <w:rsid w:val="008A22F7"/>
    <w:rsid w:val="008A2557"/>
    <w:rsid w:val="008A2CE8"/>
    <w:rsid w:val="008A2CFC"/>
    <w:rsid w:val="008A2E1A"/>
    <w:rsid w:val="008A2E76"/>
    <w:rsid w:val="008A349D"/>
    <w:rsid w:val="008A3F0E"/>
    <w:rsid w:val="008A43A4"/>
    <w:rsid w:val="008A4C7D"/>
    <w:rsid w:val="008A4FEC"/>
    <w:rsid w:val="008A52F9"/>
    <w:rsid w:val="008A5F0B"/>
    <w:rsid w:val="008A6610"/>
    <w:rsid w:val="008A6624"/>
    <w:rsid w:val="008A67A5"/>
    <w:rsid w:val="008A6949"/>
    <w:rsid w:val="008A71EA"/>
    <w:rsid w:val="008A73CE"/>
    <w:rsid w:val="008A7438"/>
    <w:rsid w:val="008A7561"/>
    <w:rsid w:val="008A7A82"/>
    <w:rsid w:val="008A7DF8"/>
    <w:rsid w:val="008A7E20"/>
    <w:rsid w:val="008B004C"/>
    <w:rsid w:val="008B01B6"/>
    <w:rsid w:val="008B05EC"/>
    <w:rsid w:val="008B064A"/>
    <w:rsid w:val="008B0814"/>
    <w:rsid w:val="008B0C66"/>
    <w:rsid w:val="008B122F"/>
    <w:rsid w:val="008B1334"/>
    <w:rsid w:val="008B1337"/>
    <w:rsid w:val="008B1A78"/>
    <w:rsid w:val="008B23B5"/>
    <w:rsid w:val="008B2BA0"/>
    <w:rsid w:val="008B334B"/>
    <w:rsid w:val="008B350F"/>
    <w:rsid w:val="008B3A8E"/>
    <w:rsid w:val="008B3B96"/>
    <w:rsid w:val="008B3F06"/>
    <w:rsid w:val="008B44B1"/>
    <w:rsid w:val="008B4E4E"/>
    <w:rsid w:val="008B5165"/>
    <w:rsid w:val="008B5C3F"/>
    <w:rsid w:val="008B66A7"/>
    <w:rsid w:val="008B7974"/>
    <w:rsid w:val="008B7F73"/>
    <w:rsid w:val="008C0160"/>
    <w:rsid w:val="008C0183"/>
    <w:rsid w:val="008C0278"/>
    <w:rsid w:val="008C0E3C"/>
    <w:rsid w:val="008C113C"/>
    <w:rsid w:val="008C1311"/>
    <w:rsid w:val="008C15A6"/>
    <w:rsid w:val="008C1AD5"/>
    <w:rsid w:val="008C2138"/>
    <w:rsid w:val="008C2358"/>
    <w:rsid w:val="008C24E9"/>
    <w:rsid w:val="008C27ED"/>
    <w:rsid w:val="008C2818"/>
    <w:rsid w:val="008C2C1F"/>
    <w:rsid w:val="008C2FEB"/>
    <w:rsid w:val="008C3563"/>
    <w:rsid w:val="008C3ACB"/>
    <w:rsid w:val="008C3C66"/>
    <w:rsid w:val="008C3DEF"/>
    <w:rsid w:val="008C47D9"/>
    <w:rsid w:val="008C5002"/>
    <w:rsid w:val="008C50F9"/>
    <w:rsid w:val="008C53B2"/>
    <w:rsid w:val="008C56B3"/>
    <w:rsid w:val="008C5AA0"/>
    <w:rsid w:val="008C5C12"/>
    <w:rsid w:val="008C5D1A"/>
    <w:rsid w:val="008C5D51"/>
    <w:rsid w:val="008C5DB2"/>
    <w:rsid w:val="008C5FEE"/>
    <w:rsid w:val="008C6A46"/>
    <w:rsid w:val="008C6CCB"/>
    <w:rsid w:val="008C6D5A"/>
    <w:rsid w:val="008C7322"/>
    <w:rsid w:val="008C7957"/>
    <w:rsid w:val="008C7C68"/>
    <w:rsid w:val="008C7EB6"/>
    <w:rsid w:val="008C7FFE"/>
    <w:rsid w:val="008D0171"/>
    <w:rsid w:val="008D0533"/>
    <w:rsid w:val="008D05FB"/>
    <w:rsid w:val="008D06D7"/>
    <w:rsid w:val="008D0AC5"/>
    <w:rsid w:val="008D1167"/>
    <w:rsid w:val="008D1228"/>
    <w:rsid w:val="008D123B"/>
    <w:rsid w:val="008D15DF"/>
    <w:rsid w:val="008D16CB"/>
    <w:rsid w:val="008D173D"/>
    <w:rsid w:val="008D1DB7"/>
    <w:rsid w:val="008D1E0C"/>
    <w:rsid w:val="008D2260"/>
    <w:rsid w:val="008D28A0"/>
    <w:rsid w:val="008D2D01"/>
    <w:rsid w:val="008D3159"/>
    <w:rsid w:val="008D34FA"/>
    <w:rsid w:val="008D390D"/>
    <w:rsid w:val="008D3AF4"/>
    <w:rsid w:val="008D3DCA"/>
    <w:rsid w:val="008D3F6A"/>
    <w:rsid w:val="008D42CB"/>
    <w:rsid w:val="008D48C9"/>
    <w:rsid w:val="008D49F1"/>
    <w:rsid w:val="008D4B8E"/>
    <w:rsid w:val="008D5796"/>
    <w:rsid w:val="008D57A7"/>
    <w:rsid w:val="008D5B79"/>
    <w:rsid w:val="008D61A5"/>
    <w:rsid w:val="008D6381"/>
    <w:rsid w:val="008D6484"/>
    <w:rsid w:val="008D6BBB"/>
    <w:rsid w:val="008D7DBD"/>
    <w:rsid w:val="008E018E"/>
    <w:rsid w:val="008E025D"/>
    <w:rsid w:val="008E03FB"/>
    <w:rsid w:val="008E042E"/>
    <w:rsid w:val="008E071C"/>
    <w:rsid w:val="008E07CE"/>
    <w:rsid w:val="008E0C77"/>
    <w:rsid w:val="008E0DC2"/>
    <w:rsid w:val="008E19C6"/>
    <w:rsid w:val="008E1A2B"/>
    <w:rsid w:val="008E1F9F"/>
    <w:rsid w:val="008E25E0"/>
    <w:rsid w:val="008E2773"/>
    <w:rsid w:val="008E2D1D"/>
    <w:rsid w:val="008E2D3B"/>
    <w:rsid w:val="008E38C3"/>
    <w:rsid w:val="008E3DA3"/>
    <w:rsid w:val="008E3FA6"/>
    <w:rsid w:val="008E4682"/>
    <w:rsid w:val="008E49A3"/>
    <w:rsid w:val="008E4E44"/>
    <w:rsid w:val="008E4E51"/>
    <w:rsid w:val="008E4E68"/>
    <w:rsid w:val="008E50FF"/>
    <w:rsid w:val="008E5316"/>
    <w:rsid w:val="008E54D9"/>
    <w:rsid w:val="008E5712"/>
    <w:rsid w:val="008E625F"/>
    <w:rsid w:val="008E6AC3"/>
    <w:rsid w:val="008E71D6"/>
    <w:rsid w:val="008E7318"/>
    <w:rsid w:val="008E7414"/>
    <w:rsid w:val="008E748F"/>
    <w:rsid w:val="008E7595"/>
    <w:rsid w:val="008E7EF7"/>
    <w:rsid w:val="008E7FB3"/>
    <w:rsid w:val="008F017B"/>
    <w:rsid w:val="008F032F"/>
    <w:rsid w:val="008F05AC"/>
    <w:rsid w:val="008F0698"/>
    <w:rsid w:val="008F082E"/>
    <w:rsid w:val="008F0AEA"/>
    <w:rsid w:val="008F0F92"/>
    <w:rsid w:val="008F1391"/>
    <w:rsid w:val="008F13E3"/>
    <w:rsid w:val="008F2193"/>
    <w:rsid w:val="008F24BA"/>
    <w:rsid w:val="008F264D"/>
    <w:rsid w:val="008F3A3F"/>
    <w:rsid w:val="008F40B7"/>
    <w:rsid w:val="008F40FA"/>
    <w:rsid w:val="008F4476"/>
    <w:rsid w:val="008F4735"/>
    <w:rsid w:val="008F4F13"/>
    <w:rsid w:val="008F5119"/>
    <w:rsid w:val="008F5705"/>
    <w:rsid w:val="008F5CD2"/>
    <w:rsid w:val="008F610B"/>
    <w:rsid w:val="008F6130"/>
    <w:rsid w:val="008F631F"/>
    <w:rsid w:val="008F6396"/>
    <w:rsid w:val="008F63FB"/>
    <w:rsid w:val="008F6582"/>
    <w:rsid w:val="008F6658"/>
    <w:rsid w:val="008F6C4E"/>
    <w:rsid w:val="008F6C77"/>
    <w:rsid w:val="008F6D14"/>
    <w:rsid w:val="008F730D"/>
    <w:rsid w:val="008F7413"/>
    <w:rsid w:val="008F78CC"/>
    <w:rsid w:val="008F7EB9"/>
    <w:rsid w:val="009001BA"/>
    <w:rsid w:val="009002D8"/>
    <w:rsid w:val="00900D3B"/>
    <w:rsid w:val="00901388"/>
    <w:rsid w:val="00901E35"/>
    <w:rsid w:val="00902993"/>
    <w:rsid w:val="00902AA7"/>
    <w:rsid w:val="009030F0"/>
    <w:rsid w:val="0090359F"/>
    <w:rsid w:val="00903F31"/>
    <w:rsid w:val="00903F8D"/>
    <w:rsid w:val="00904255"/>
    <w:rsid w:val="00904796"/>
    <w:rsid w:val="0090567B"/>
    <w:rsid w:val="00905754"/>
    <w:rsid w:val="009069A4"/>
    <w:rsid w:val="00906C98"/>
    <w:rsid w:val="009074E1"/>
    <w:rsid w:val="009075BD"/>
    <w:rsid w:val="00907ECB"/>
    <w:rsid w:val="009102E3"/>
    <w:rsid w:val="00910450"/>
    <w:rsid w:val="009105B7"/>
    <w:rsid w:val="00910856"/>
    <w:rsid w:val="00911222"/>
    <w:rsid w:val="009112F7"/>
    <w:rsid w:val="00911C41"/>
    <w:rsid w:val="00912060"/>
    <w:rsid w:val="009122AF"/>
    <w:rsid w:val="009127BC"/>
    <w:rsid w:val="00912AA3"/>
    <w:rsid w:val="00912B2B"/>
    <w:rsid w:val="00912D54"/>
    <w:rsid w:val="00912DF5"/>
    <w:rsid w:val="009134BF"/>
    <w:rsid w:val="0091389F"/>
    <w:rsid w:val="00913DF3"/>
    <w:rsid w:val="00914037"/>
    <w:rsid w:val="00914309"/>
    <w:rsid w:val="009143A2"/>
    <w:rsid w:val="009146A7"/>
    <w:rsid w:val="0091495B"/>
    <w:rsid w:val="00914DC0"/>
    <w:rsid w:val="00914EC9"/>
    <w:rsid w:val="00915127"/>
    <w:rsid w:val="00915229"/>
    <w:rsid w:val="009152BF"/>
    <w:rsid w:val="00915482"/>
    <w:rsid w:val="009154CE"/>
    <w:rsid w:val="00915A57"/>
    <w:rsid w:val="00915EFD"/>
    <w:rsid w:val="00915FD1"/>
    <w:rsid w:val="00915FFE"/>
    <w:rsid w:val="009161A0"/>
    <w:rsid w:val="00916F81"/>
    <w:rsid w:val="00917112"/>
    <w:rsid w:val="00917ADA"/>
    <w:rsid w:val="00920073"/>
    <w:rsid w:val="009202C2"/>
    <w:rsid w:val="00920829"/>
    <w:rsid w:val="009208F7"/>
    <w:rsid w:val="0092097E"/>
    <w:rsid w:val="00920A99"/>
    <w:rsid w:val="0092124B"/>
    <w:rsid w:val="009212EC"/>
    <w:rsid w:val="00921C14"/>
    <w:rsid w:val="009223F0"/>
    <w:rsid w:val="00922517"/>
    <w:rsid w:val="0092263E"/>
    <w:rsid w:val="009226CF"/>
    <w:rsid w:val="00922722"/>
    <w:rsid w:val="00922AB5"/>
    <w:rsid w:val="00922F4A"/>
    <w:rsid w:val="00923372"/>
    <w:rsid w:val="009235F9"/>
    <w:rsid w:val="009236FC"/>
    <w:rsid w:val="00923EF9"/>
    <w:rsid w:val="009245FE"/>
    <w:rsid w:val="00924887"/>
    <w:rsid w:val="009249DE"/>
    <w:rsid w:val="00925695"/>
    <w:rsid w:val="0092596D"/>
    <w:rsid w:val="00925ACC"/>
    <w:rsid w:val="00925DB7"/>
    <w:rsid w:val="009261E6"/>
    <w:rsid w:val="0092633C"/>
    <w:rsid w:val="00926450"/>
    <w:rsid w:val="009268E1"/>
    <w:rsid w:val="009269A1"/>
    <w:rsid w:val="00926A0D"/>
    <w:rsid w:val="00926EC5"/>
    <w:rsid w:val="00926EF9"/>
    <w:rsid w:val="009271C8"/>
    <w:rsid w:val="0092746F"/>
    <w:rsid w:val="009275E8"/>
    <w:rsid w:val="009276AF"/>
    <w:rsid w:val="009276BC"/>
    <w:rsid w:val="0093028E"/>
    <w:rsid w:val="00930577"/>
    <w:rsid w:val="0093057F"/>
    <w:rsid w:val="00930664"/>
    <w:rsid w:val="009308A1"/>
    <w:rsid w:val="00930A32"/>
    <w:rsid w:val="00930E91"/>
    <w:rsid w:val="009313B2"/>
    <w:rsid w:val="009318E6"/>
    <w:rsid w:val="00931DE6"/>
    <w:rsid w:val="00932352"/>
    <w:rsid w:val="0093250F"/>
    <w:rsid w:val="00932555"/>
    <w:rsid w:val="0093275A"/>
    <w:rsid w:val="00932DDB"/>
    <w:rsid w:val="00932EFF"/>
    <w:rsid w:val="00933100"/>
    <w:rsid w:val="00933DB1"/>
    <w:rsid w:val="00934397"/>
    <w:rsid w:val="00934765"/>
    <w:rsid w:val="00934D46"/>
    <w:rsid w:val="00934F30"/>
    <w:rsid w:val="00934FFC"/>
    <w:rsid w:val="00935505"/>
    <w:rsid w:val="0093559A"/>
    <w:rsid w:val="00935609"/>
    <w:rsid w:val="00935724"/>
    <w:rsid w:val="00935752"/>
    <w:rsid w:val="00935EB5"/>
    <w:rsid w:val="009360C4"/>
    <w:rsid w:val="0093671D"/>
    <w:rsid w:val="00936881"/>
    <w:rsid w:val="00936FE9"/>
    <w:rsid w:val="0093706C"/>
    <w:rsid w:val="00937406"/>
    <w:rsid w:val="00937A62"/>
    <w:rsid w:val="00937C71"/>
    <w:rsid w:val="009400E1"/>
    <w:rsid w:val="009402AA"/>
    <w:rsid w:val="0094073A"/>
    <w:rsid w:val="009407ED"/>
    <w:rsid w:val="00940A4C"/>
    <w:rsid w:val="00940FED"/>
    <w:rsid w:val="0094111C"/>
    <w:rsid w:val="00941345"/>
    <w:rsid w:val="00941390"/>
    <w:rsid w:val="0094164E"/>
    <w:rsid w:val="00941B55"/>
    <w:rsid w:val="00942318"/>
    <w:rsid w:val="0094237E"/>
    <w:rsid w:val="00942489"/>
    <w:rsid w:val="00942533"/>
    <w:rsid w:val="00942C33"/>
    <w:rsid w:val="0094340D"/>
    <w:rsid w:val="00943979"/>
    <w:rsid w:val="00943BC6"/>
    <w:rsid w:val="00943DF6"/>
    <w:rsid w:val="00943FCB"/>
    <w:rsid w:val="00944A20"/>
    <w:rsid w:val="0094569E"/>
    <w:rsid w:val="0094580F"/>
    <w:rsid w:val="00945E7F"/>
    <w:rsid w:val="009460B3"/>
    <w:rsid w:val="00946825"/>
    <w:rsid w:val="00946BF7"/>
    <w:rsid w:val="00947FAA"/>
    <w:rsid w:val="00950226"/>
    <w:rsid w:val="00950DD9"/>
    <w:rsid w:val="00950FA8"/>
    <w:rsid w:val="0095128A"/>
    <w:rsid w:val="00951555"/>
    <w:rsid w:val="009516E1"/>
    <w:rsid w:val="00951CC3"/>
    <w:rsid w:val="009521C5"/>
    <w:rsid w:val="00952288"/>
    <w:rsid w:val="009530FB"/>
    <w:rsid w:val="009532BE"/>
    <w:rsid w:val="00953379"/>
    <w:rsid w:val="009535B7"/>
    <w:rsid w:val="00953751"/>
    <w:rsid w:val="009537AE"/>
    <w:rsid w:val="00953C28"/>
    <w:rsid w:val="00953FA4"/>
    <w:rsid w:val="009546CB"/>
    <w:rsid w:val="00954D72"/>
    <w:rsid w:val="00955343"/>
    <w:rsid w:val="009556FC"/>
    <w:rsid w:val="009557C1"/>
    <w:rsid w:val="00955ABD"/>
    <w:rsid w:val="00955CAE"/>
    <w:rsid w:val="009568ED"/>
    <w:rsid w:val="0095693B"/>
    <w:rsid w:val="00956A7A"/>
    <w:rsid w:val="00956B99"/>
    <w:rsid w:val="00956BA3"/>
    <w:rsid w:val="00956CD0"/>
    <w:rsid w:val="0095714A"/>
    <w:rsid w:val="00957219"/>
    <w:rsid w:val="00957514"/>
    <w:rsid w:val="0095772B"/>
    <w:rsid w:val="00957D12"/>
    <w:rsid w:val="00960179"/>
    <w:rsid w:val="009603C4"/>
    <w:rsid w:val="00960437"/>
    <w:rsid w:val="009605B4"/>
    <w:rsid w:val="009606CB"/>
    <w:rsid w:val="00960CFB"/>
    <w:rsid w:val="00960D6E"/>
    <w:rsid w:val="0096166E"/>
    <w:rsid w:val="009617AC"/>
    <w:rsid w:val="00961A3E"/>
    <w:rsid w:val="00961AC1"/>
    <w:rsid w:val="00961BEE"/>
    <w:rsid w:val="00961FDD"/>
    <w:rsid w:val="0096202E"/>
    <w:rsid w:val="00962582"/>
    <w:rsid w:val="00962626"/>
    <w:rsid w:val="00962715"/>
    <w:rsid w:val="00962D8F"/>
    <w:rsid w:val="00962E9F"/>
    <w:rsid w:val="009637CC"/>
    <w:rsid w:val="00963865"/>
    <w:rsid w:val="00963D14"/>
    <w:rsid w:val="00964486"/>
    <w:rsid w:val="0096559E"/>
    <w:rsid w:val="00965677"/>
    <w:rsid w:val="00965BBA"/>
    <w:rsid w:val="00965F4A"/>
    <w:rsid w:val="00965FF9"/>
    <w:rsid w:val="0096607C"/>
    <w:rsid w:val="009662B4"/>
    <w:rsid w:val="00966610"/>
    <w:rsid w:val="00966C81"/>
    <w:rsid w:val="00966CED"/>
    <w:rsid w:val="00967133"/>
    <w:rsid w:val="009675C1"/>
    <w:rsid w:val="00967857"/>
    <w:rsid w:val="009678ED"/>
    <w:rsid w:val="00970318"/>
    <w:rsid w:val="009704C4"/>
    <w:rsid w:val="00970788"/>
    <w:rsid w:val="00970904"/>
    <w:rsid w:val="00971008"/>
    <w:rsid w:val="009710AC"/>
    <w:rsid w:val="00971373"/>
    <w:rsid w:val="009713FD"/>
    <w:rsid w:val="00971B50"/>
    <w:rsid w:val="00972899"/>
    <w:rsid w:val="00972BC1"/>
    <w:rsid w:val="00972C12"/>
    <w:rsid w:val="00972D83"/>
    <w:rsid w:val="00972FD1"/>
    <w:rsid w:val="009732A9"/>
    <w:rsid w:val="0097368F"/>
    <w:rsid w:val="00973910"/>
    <w:rsid w:val="00973A8A"/>
    <w:rsid w:val="009743D2"/>
    <w:rsid w:val="0097442B"/>
    <w:rsid w:val="009744E6"/>
    <w:rsid w:val="009746AD"/>
    <w:rsid w:val="00974A26"/>
    <w:rsid w:val="00974B59"/>
    <w:rsid w:val="00974B88"/>
    <w:rsid w:val="00974BAE"/>
    <w:rsid w:val="00974BD3"/>
    <w:rsid w:val="00974EA1"/>
    <w:rsid w:val="00975A5C"/>
    <w:rsid w:val="00975DC6"/>
    <w:rsid w:val="00975E23"/>
    <w:rsid w:val="00975F99"/>
    <w:rsid w:val="0097627A"/>
    <w:rsid w:val="00976F3C"/>
    <w:rsid w:val="009779C5"/>
    <w:rsid w:val="00977A42"/>
    <w:rsid w:val="0098033F"/>
    <w:rsid w:val="00980579"/>
    <w:rsid w:val="009805AC"/>
    <w:rsid w:val="009812EB"/>
    <w:rsid w:val="00981411"/>
    <w:rsid w:val="00981723"/>
    <w:rsid w:val="00981EB4"/>
    <w:rsid w:val="00982055"/>
    <w:rsid w:val="0098235E"/>
    <w:rsid w:val="0098269D"/>
    <w:rsid w:val="009828DB"/>
    <w:rsid w:val="00982B92"/>
    <w:rsid w:val="00982EF3"/>
    <w:rsid w:val="009831F3"/>
    <w:rsid w:val="0098325E"/>
    <w:rsid w:val="009833EA"/>
    <w:rsid w:val="0098340B"/>
    <w:rsid w:val="00983866"/>
    <w:rsid w:val="009839A6"/>
    <w:rsid w:val="00983A5A"/>
    <w:rsid w:val="00983FEE"/>
    <w:rsid w:val="00984267"/>
    <w:rsid w:val="00984374"/>
    <w:rsid w:val="00985815"/>
    <w:rsid w:val="00986068"/>
    <w:rsid w:val="00986291"/>
    <w:rsid w:val="009864CA"/>
    <w:rsid w:val="009866E9"/>
    <w:rsid w:val="00986805"/>
    <w:rsid w:val="00986830"/>
    <w:rsid w:val="00986905"/>
    <w:rsid w:val="00986A89"/>
    <w:rsid w:val="00987185"/>
    <w:rsid w:val="00990492"/>
    <w:rsid w:val="00990658"/>
    <w:rsid w:val="00990967"/>
    <w:rsid w:val="00991746"/>
    <w:rsid w:val="00991C1F"/>
    <w:rsid w:val="00991CF0"/>
    <w:rsid w:val="00991F66"/>
    <w:rsid w:val="00992046"/>
    <w:rsid w:val="009924C3"/>
    <w:rsid w:val="0099261A"/>
    <w:rsid w:val="009926C7"/>
    <w:rsid w:val="00992B7B"/>
    <w:rsid w:val="00993102"/>
    <w:rsid w:val="00993589"/>
    <w:rsid w:val="00993E93"/>
    <w:rsid w:val="00993FFA"/>
    <w:rsid w:val="0099407F"/>
    <w:rsid w:val="00994281"/>
    <w:rsid w:val="00994B61"/>
    <w:rsid w:val="00995136"/>
    <w:rsid w:val="00995BE8"/>
    <w:rsid w:val="00995F01"/>
    <w:rsid w:val="00996110"/>
    <w:rsid w:val="00996A62"/>
    <w:rsid w:val="00996ECE"/>
    <w:rsid w:val="00997674"/>
    <w:rsid w:val="009A0275"/>
    <w:rsid w:val="009A035E"/>
    <w:rsid w:val="009A05F6"/>
    <w:rsid w:val="009A07E7"/>
    <w:rsid w:val="009A0C73"/>
    <w:rsid w:val="009A13F0"/>
    <w:rsid w:val="009A1558"/>
    <w:rsid w:val="009A1E5E"/>
    <w:rsid w:val="009A2627"/>
    <w:rsid w:val="009A2BE4"/>
    <w:rsid w:val="009A2E70"/>
    <w:rsid w:val="009A3652"/>
    <w:rsid w:val="009A39A4"/>
    <w:rsid w:val="009A3F26"/>
    <w:rsid w:val="009A4106"/>
    <w:rsid w:val="009A443D"/>
    <w:rsid w:val="009A45E4"/>
    <w:rsid w:val="009A468A"/>
    <w:rsid w:val="009A48C1"/>
    <w:rsid w:val="009A4AFC"/>
    <w:rsid w:val="009A4BDF"/>
    <w:rsid w:val="009A4F8F"/>
    <w:rsid w:val="009A53AC"/>
    <w:rsid w:val="009A541B"/>
    <w:rsid w:val="009A5F10"/>
    <w:rsid w:val="009A61CB"/>
    <w:rsid w:val="009A657C"/>
    <w:rsid w:val="009A6C89"/>
    <w:rsid w:val="009A782E"/>
    <w:rsid w:val="009A7B48"/>
    <w:rsid w:val="009B0072"/>
    <w:rsid w:val="009B03B2"/>
    <w:rsid w:val="009B03F4"/>
    <w:rsid w:val="009B08D9"/>
    <w:rsid w:val="009B0C1B"/>
    <w:rsid w:val="009B0CCA"/>
    <w:rsid w:val="009B0CEA"/>
    <w:rsid w:val="009B0DDC"/>
    <w:rsid w:val="009B0F3D"/>
    <w:rsid w:val="009B0FD2"/>
    <w:rsid w:val="009B10B8"/>
    <w:rsid w:val="009B1266"/>
    <w:rsid w:val="009B130A"/>
    <w:rsid w:val="009B13DF"/>
    <w:rsid w:val="009B159A"/>
    <w:rsid w:val="009B1988"/>
    <w:rsid w:val="009B224A"/>
    <w:rsid w:val="009B227E"/>
    <w:rsid w:val="009B22B2"/>
    <w:rsid w:val="009B26A9"/>
    <w:rsid w:val="009B27A9"/>
    <w:rsid w:val="009B2C6A"/>
    <w:rsid w:val="009B3067"/>
    <w:rsid w:val="009B3410"/>
    <w:rsid w:val="009B3688"/>
    <w:rsid w:val="009B369E"/>
    <w:rsid w:val="009B3A8B"/>
    <w:rsid w:val="009B3B06"/>
    <w:rsid w:val="009B4518"/>
    <w:rsid w:val="009B4637"/>
    <w:rsid w:val="009B4FA5"/>
    <w:rsid w:val="009B5346"/>
    <w:rsid w:val="009B541A"/>
    <w:rsid w:val="009B57AF"/>
    <w:rsid w:val="009B5FC3"/>
    <w:rsid w:val="009B6444"/>
    <w:rsid w:val="009B6C23"/>
    <w:rsid w:val="009B71EF"/>
    <w:rsid w:val="009B73D4"/>
    <w:rsid w:val="009B7699"/>
    <w:rsid w:val="009B7E7A"/>
    <w:rsid w:val="009C0CF0"/>
    <w:rsid w:val="009C1B86"/>
    <w:rsid w:val="009C1E28"/>
    <w:rsid w:val="009C1F36"/>
    <w:rsid w:val="009C2398"/>
    <w:rsid w:val="009C252F"/>
    <w:rsid w:val="009C2883"/>
    <w:rsid w:val="009C2C27"/>
    <w:rsid w:val="009C2C30"/>
    <w:rsid w:val="009C2FD0"/>
    <w:rsid w:val="009C333F"/>
    <w:rsid w:val="009C3639"/>
    <w:rsid w:val="009C3819"/>
    <w:rsid w:val="009C39E8"/>
    <w:rsid w:val="009C3C73"/>
    <w:rsid w:val="009C3F11"/>
    <w:rsid w:val="009C4752"/>
    <w:rsid w:val="009C4A39"/>
    <w:rsid w:val="009C4FA3"/>
    <w:rsid w:val="009C56A6"/>
    <w:rsid w:val="009C59F6"/>
    <w:rsid w:val="009C5E0C"/>
    <w:rsid w:val="009C6190"/>
    <w:rsid w:val="009C626F"/>
    <w:rsid w:val="009C6521"/>
    <w:rsid w:val="009C6732"/>
    <w:rsid w:val="009C6A90"/>
    <w:rsid w:val="009C6AA2"/>
    <w:rsid w:val="009C6C93"/>
    <w:rsid w:val="009C6CF9"/>
    <w:rsid w:val="009C6F10"/>
    <w:rsid w:val="009C72CC"/>
    <w:rsid w:val="009C7B7F"/>
    <w:rsid w:val="009C7FED"/>
    <w:rsid w:val="009D01D1"/>
    <w:rsid w:val="009D0415"/>
    <w:rsid w:val="009D0709"/>
    <w:rsid w:val="009D0A11"/>
    <w:rsid w:val="009D0B7D"/>
    <w:rsid w:val="009D10F8"/>
    <w:rsid w:val="009D1428"/>
    <w:rsid w:val="009D148F"/>
    <w:rsid w:val="009D1671"/>
    <w:rsid w:val="009D1810"/>
    <w:rsid w:val="009D1ADC"/>
    <w:rsid w:val="009D1B21"/>
    <w:rsid w:val="009D1D8C"/>
    <w:rsid w:val="009D1F5C"/>
    <w:rsid w:val="009D24EA"/>
    <w:rsid w:val="009D2653"/>
    <w:rsid w:val="009D2792"/>
    <w:rsid w:val="009D33C9"/>
    <w:rsid w:val="009D34FA"/>
    <w:rsid w:val="009D3A00"/>
    <w:rsid w:val="009D3D70"/>
    <w:rsid w:val="009D40CB"/>
    <w:rsid w:val="009D4327"/>
    <w:rsid w:val="009D46B1"/>
    <w:rsid w:val="009D470C"/>
    <w:rsid w:val="009D4BD0"/>
    <w:rsid w:val="009D4FA1"/>
    <w:rsid w:val="009D54CB"/>
    <w:rsid w:val="009D6170"/>
    <w:rsid w:val="009D658F"/>
    <w:rsid w:val="009D6789"/>
    <w:rsid w:val="009D688E"/>
    <w:rsid w:val="009D733B"/>
    <w:rsid w:val="009D786E"/>
    <w:rsid w:val="009D79E9"/>
    <w:rsid w:val="009D7C39"/>
    <w:rsid w:val="009D7C3F"/>
    <w:rsid w:val="009D7EB0"/>
    <w:rsid w:val="009E03A4"/>
    <w:rsid w:val="009E047B"/>
    <w:rsid w:val="009E0737"/>
    <w:rsid w:val="009E0751"/>
    <w:rsid w:val="009E0A32"/>
    <w:rsid w:val="009E0BBC"/>
    <w:rsid w:val="009E0CFF"/>
    <w:rsid w:val="009E1122"/>
    <w:rsid w:val="009E1614"/>
    <w:rsid w:val="009E19E3"/>
    <w:rsid w:val="009E1DF5"/>
    <w:rsid w:val="009E2268"/>
    <w:rsid w:val="009E27BC"/>
    <w:rsid w:val="009E2974"/>
    <w:rsid w:val="009E3488"/>
    <w:rsid w:val="009E36E8"/>
    <w:rsid w:val="009E3B5F"/>
    <w:rsid w:val="009E3C6B"/>
    <w:rsid w:val="009E3F09"/>
    <w:rsid w:val="009E42DF"/>
    <w:rsid w:val="009E50A4"/>
    <w:rsid w:val="009E51CF"/>
    <w:rsid w:val="009E5BB4"/>
    <w:rsid w:val="009E5C14"/>
    <w:rsid w:val="009E5FD4"/>
    <w:rsid w:val="009E6244"/>
    <w:rsid w:val="009E6EDD"/>
    <w:rsid w:val="009E6F7E"/>
    <w:rsid w:val="009E7716"/>
    <w:rsid w:val="009E7A57"/>
    <w:rsid w:val="009F013F"/>
    <w:rsid w:val="009F0613"/>
    <w:rsid w:val="009F07C5"/>
    <w:rsid w:val="009F07CD"/>
    <w:rsid w:val="009F085A"/>
    <w:rsid w:val="009F13AF"/>
    <w:rsid w:val="009F1764"/>
    <w:rsid w:val="009F2053"/>
    <w:rsid w:val="009F230D"/>
    <w:rsid w:val="009F298A"/>
    <w:rsid w:val="009F3472"/>
    <w:rsid w:val="009F3A9F"/>
    <w:rsid w:val="009F3F60"/>
    <w:rsid w:val="009F4653"/>
    <w:rsid w:val="009F4E5D"/>
    <w:rsid w:val="009F4F6A"/>
    <w:rsid w:val="009F5394"/>
    <w:rsid w:val="009F5D72"/>
    <w:rsid w:val="009F6906"/>
    <w:rsid w:val="009F6932"/>
    <w:rsid w:val="009F771A"/>
    <w:rsid w:val="009F7886"/>
    <w:rsid w:val="009F7A8A"/>
    <w:rsid w:val="009F7D76"/>
    <w:rsid w:val="00A003AC"/>
    <w:rsid w:val="00A003F3"/>
    <w:rsid w:val="00A00415"/>
    <w:rsid w:val="00A00F03"/>
    <w:rsid w:val="00A013DD"/>
    <w:rsid w:val="00A018E0"/>
    <w:rsid w:val="00A01B85"/>
    <w:rsid w:val="00A0245A"/>
    <w:rsid w:val="00A024F8"/>
    <w:rsid w:val="00A028B0"/>
    <w:rsid w:val="00A029E9"/>
    <w:rsid w:val="00A02AB9"/>
    <w:rsid w:val="00A02E98"/>
    <w:rsid w:val="00A02EB9"/>
    <w:rsid w:val="00A03696"/>
    <w:rsid w:val="00A0390D"/>
    <w:rsid w:val="00A03A6C"/>
    <w:rsid w:val="00A03BEB"/>
    <w:rsid w:val="00A03FCB"/>
    <w:rsid w:val="00A04084"/>
    <w:rsid w:val="00A041E6"/>
    <w:rsid w:val="00A04272"/>
    <w:rsid w:val="00A046B6"/>
    <w:rsid w:val="00A04D6D"/>
    <w:rsid w:val="00A04DA7"/>
    <w:rsid w:val="00A04F90"/>
    <w:rsid w:val="00A051A5"/>
    <w:rsid w:val="00A058F3"/>
    <w:rsid w:val="00A05C29"/>
    <w:rsid w:val="00A06242"/>
    <w:rsid w:val="00A069D7"/>
    <w:rsid w:val="00A06A24"/>
    <w:rsid w:val="00A06AB5"/>
    <w:rsid w:val="00A06E19"/>
    <w:rsid w:val="00A06EC1"/>
    <w:rsid w:val="00A07013"/>
    <w:rsid w:val="00A07D1A"/>
    <w:rsid w:val="00A07F3D"/>
    <w:rsid w:val="00A100DA"/>
    <w:rsid w:val="00A10261"/>
    <w:rsid w:val="00A102A9"/>
    <w:rsid w:val="00A10603"/>
    <w:rsid w:val="00A10605"/>
    <w:rsid w:val="00A10772"/>
    <w:rsid w:val="00A10C30"/>
    <w:rsid w:val="00A10DFB"/>
    <w:rsid w:val="00A11695"/>
    <w:rsid w:val="00A1188B"/>
    <w:rsid w:val="00A11948"/>
    <w:rsid w:val="00A119FF"/>
    <w:rsid w:val="00A11EAD"/>
    <w:rsid w:val="00A1200E"/>
    <w:rsid w:val="00A1215E"/>
    <w:rsid w:val="00A12771"/>
    <w:rsid w:val="00A12773"/>
    <w:rsid w:val="00A12DA4"/>
    <w:rsid w:val="00A1329B"/>
    <w:rsid w:val="00A13433"/>
    <w:rsid w:val="00A13777"/>
    <w:rsid w:val="00A14BB8"/>
    <w:rsid w:val="00A14F29"/>
    <w:rsid w:val="00A15071"/>
    <w:rsid w:val="00A15265"/>
    <w:rsid w:val="00A155C2"/>
    <w:rsid w:val="00A1569D"/>
    <w:rsid w:val="00A157CD"/>
    <w:rsid w:val="00A15884"/>
    <w:rsid w:val="00A15A08"/>
    <w:rsid w:val="00A166EB"/>
    <w:rsid w:val="00A16D6C"/>
    <w:rsid w:val="00A16E36"/>
    <w:rsid w:val="00A171E4"/>
    <w:rsid w:val="00A17BCE"/>
    <w:rsid w:val="00A21374"/>
    <w:rsid w:val="00A213DD"/>
    <w:rsid w:val="00A2140A"/>
    <w:rsid w:val="00A2146D"/>
    <w:rsid w:val="00A21553"/>
    <w:rsid w:val="00A216B8"/>
    <w:rsid w:val="00A21C07"/>
    <w:rsid w:val="00A21D28"/>
    <w:rsid w:val="00A22634"/>
    <w:rsid w:val="00A22C0F"/>
    <w:rsid w:val="00A22DB2"/>
    <w:rsid w:val="00A22F6E"/>
    <w:rsid w:val="00A23524"/>
    <w:rsid w:val="00A237E2"/>
    <w:rsid w:val="00A2386D"/>
    <w:rsid w:val="00A23939"/>
    <w:rsid w:val="00A2429F"/>
    <w:rsid w:val="00A24420"/>
    <w:rsid w:val="00A24772"/>
    <w:rsid w:val="00A24961"/>
    <w:rsid w:val="00A249BB"/>
    <w:rsid w:val="00A24B10"/>
    <w:rsid w:val="00A24F77"/>
    <w:rsid w:val="00A25106"/>
    <w:rsid w:val="00A25EA7"/>
    <w:rsid w:val="00A262DD"/>
    <w:rsid w:val="00A26327"/>
    <w:rsid w:val="00A26642"/>
    <w:rsid w:val="00A26C43"/>
    <w:rsid w:val="00A26E16"/>
    <w:rsid w:val="00A27085"/>
    <w:rsid w:val="00A271C0"/>
    <w:rsid w:val="00A273EE"/>
    <w:rsid w:val="00A27730"/>
    <w:rsid w:val="00A27CE2"/>
    <w:rsid w:val="00A27DC2"/>
    <w:rsid w:val="00A3043A"/>
    <w:rsid w:val="00A304E7"/>
    <w:rsid w:val="00A30533"/>
    <w:rsid w:val="00A305C2"/>
    <w:rsid w:val="00A30E9B"/>
    <w:rsid w:val="00A31479"/>
    <w:rsid w:val="00A31658"/>
    <w:rsid w:val="00A31B1E"/>
    <w:rsid w:val="00A31B78"/>
    <w:rsid w:val="00A31DB8"/>
    <w:rsid w:val="00A3296B"/>
    <w:rsid w:val="00A32C4A"/>
    <w:rsid w:val="00A32CD9"/>
    <w:rsid w:val="00A33421"/>
    <w:rsid w:val="00A33531"/>
    <w:rsid w:val="00A335C8"/>
    <w:rsid w:val="00A33807"/>
    <w:rsid w:val="00A33B28"/>
    <w:rsid w:val="00A33B67"/>
    <w:rsid w:val="00A33DD2"/>
    <w:rsid w:val="00A33E4D"/>
    <w:rsid w:val="00A33F00"/>
    <w:rsid w:val="00A345A8"/>
    <w:rsid w:val="00A3474A"/>
    <w:rsid w:val="00A34F07"/>
    <w:rsid w:val="00A355FE"/>
    <w:rsid w:val="00A35750"/>
    <w:rsid w:val="00A35790"/>
    <w:rsid w:val="00A35CAC"/>
    <w:rsid w:val="00A35D02"/>
    <w:rsid w:val="00A35E78"/>
    <w:rsid w:val="00A35E83"/>
    <w:rsid w:val="00A372AE"/>
    <w:rsid w:val="00A37BCA"/>
    <w:rsid w:val="00A404AF"/>
    <w:rsid w:val="00A404F4"/>
    <w:rsid w:val="00A40897"/>
    <w:rsid w:val="00A408CC"/>
    <w:rsid w:val="00A40953"/>
    <w:rsid w:val="00A40D9E"/>
    <w:rsid w:val="00A40ECF"/>
    <w:rsid w:val="00A41B62"/>
    <w:rsid w:val="00A41D4B"/>
    <w:rsid w:val="00A42411"/>
    <w:rsid w:val="00A42449"/>
    <w:rsid w:val="00A42457"/>
    <w:rsid w:val="00A42BC0"/>
    <w:rsid w:val="00A42DF2"/>
    <w:rsid w:val="00A43287"/>
    <w:rsid w:val="00A436DE"/>
    <w:rsid w:val="00A43B20"/>
    <w:rsid w:val="00A43F0D"/>
    <w:rsid w:val="00A4417D"/>
    <w:rsid w:val="00A44629"/>
    <w:rsid w:val="00A44A6C"/>
    <w:rsid w:val="00A44ACD"/>
    <w:rsid w:val="00A44FAD"/>
    <w:rsid w:val="00A4512D"/>
    <w:rsid w:val="00A451B4"/>
    <w:rsid w:val="00A45738"/>
    <w:rsid w:val="00A45796"/>
    <w:rsid w:val="00A45C3C"/>
    <w:rsid w:val="00A45CAA"/>
    <w:rsid w:val="00A45EA1"/>
    <w:rsid w:val="00A45F2F"/>
    <w:rsid w:val="00A460D0"/>
    <w:rsid w:val="00A46138"/>
    <w:rsid w:val="00A46881"/>
    <w:rsid w:val="00A46DAD"/>
    <w:rsid w:val="00A4721D"/>
    <w:rsid w:val="00A4763E"/>
    <w:rsid w:val="00A476A5"/>
    <w:rsid w:val="00A4783E"/>
    <w:rsid w:val="00A47985"/>
    <w:rsid w:val="00A47989"/>
    <w:rsid w:val="00A47F24"/>
    <w:rsid w:val="00A50244"/>
    <w:rsid w:val="00A505D2"/>
    <w:rsid w:val="00A50757"/>
    <w:rsid w:val="00A50891"/>
    <w:rsid w:val="00A50C11"/>
    <w:rsid w:val="00A50D7B"/>
    <w:rsid w:val="00A51192"/>
    <w:rsid w:val="00A517CE"/>
    <w:rsid w:val="00A518E9"/>
    <w:rsid w:val="00A51F10"/>
    <w:rsid w:val="00A520D1"/>
    <w:rsid w:val="00A522A4"/>
    <w:rsid w:val="00A5261D"/>
    <w:rsid w:val="00A52E8F"/>
    <w:rsid w:val="00A53DFF"/>
    <w:rsid w:val="00A53EA3"/>
    <w:rsid w:val="00A54252"/>
    <w:rsid w:val="00A549EF"/>
    <w:rsid w:val="00A54E82"/>
    <w:rsid w:val="00A553AA"/>
    <w:rsid w:val="00A555BA"/>
    <w:rsid w:val="00A55777"/>
    <w:rsid w:val="00A55931"/>
    <w:rsid w:val="00A560CC"/>
    <w:rsid w:val="00A5613E"/>
    <w:rsid w:val="00A56567"/>
    <w:rsid w:val="00A569C0"/>
    <w:rsid w:val="00A56BA3"/>
    <w:rsid w:val="00A56F17"/>
    <w:rsid w:val="00A57060"/>
    <w:rsid w:val="00A57D06"/>
    <w:rsid w:val="00A60035"/>
    <w:rsid w:val="00A604BF"/>
    <w:rsid w:val="00A60C6B"/>
    <w:rsid w:val="00A60DFD"/>
    <w:rsid w:val="00A60F54"/>
    <w:rsid w:val="00A6109E"/>
    <w:rsid w:val="00A610CA"/>
    <w:rsid w:val="00A6193E"/>
    <w:rsid w:val="00A620CF"/>
    <w:rsid w:val="00A622A0"/>
    <w:rsid w:val="00A625BE"/>
    <w:rsid w:val="00A627D7"/>
    <w:rsid w:val="00A62BDB"/>
    <w:rsid w:val="00A63099"/>
    <w:rsid w:val="00A6325D"/>
    <w:rsid w:val="00A63785"/>
    <w:rsid w:val="00A63E38"/>
    <w:rsid w:val="00A64142"/>
    <w:rsid w:val="00A64413"/>
    <w:rsid w:val="00A6455B"/>
    <w:rsid w:val="00A65097"/>
    <w:rsid w:val="00A650D6"/>
    <w:rsid w:val="00A650F1"/>
    <w:rsid w:val="00A652F3"/>
    <w:rsid w:val="00A656C7"/>
    <w:rsid w:val="00A65A22"/>
    <w:rsid w:val="00A65BD0"/>
    <w:rsid w:val="00A65E37"/>
    <w:rsid w:val="00A6683D"/>
    <w:rsid w:val="00A6701B"/>
    <w:rsid w:val="00A6702B"/>
    <w:rsid w:val="00A670F8"/>
    <w:rsid w:val="00A67198"/>
    <w:rsid w:val="00A67216"/>
    <w:rsid w:val="00A6722F"/>
    <w:rsid w:val="00A67356"/>
    <w:rsid w:val="00A67543"/>
    <w:rsid w:val="00A678C2"/>
    <w:rsid w:val="00A67C50"/>
    <w:rsid w:val="00A67DEE"/>
    <w:rsid w:val="00A700D1"/>
    <w:rsid w:val="00A705AF"/>
    <w:rsid w:val="00A70940"/>
    <w:rsid w:val="00A70A95"/>
    <w:rsid w:val="00A70BFE"/>
    <w:rsid w:val="00A70DF8"/>
    <w:rsid w:val="00A71C65"/>
    <w:rsid w:val="00A71DB0"/>
    <w:rsid w:val="00A72454"/>
    <w:rsid w:val="00A7248C"/>
    <w:rsid w:val="00A7252D"/>
    <w:rsid w:val="00A72C72"/>
    <w:rsid w:val="00A72CB8"/>
    <w:rsid w:val="00A73261"/>
    <w:rsid w:val="00A73F41"/>
    <w:rsid w:val="00A741A3"/>
    <w:rsid w:val="00A747E3"/>
    <w:rsid w:val="00A74EBB"/>
    <w:rsid w:val="00A754C5"/>
    <w:rsid w:val="00A75BB0"/>
    <w:rsid w:val="00A75E77"/>
    <w:rsid w:val="00A75F11"/>
    <w:rsid w:val="00A7628F"/>
    <w:rsid w:val="00A763FA"/>
    <w:rsid w:val="00A77213"/>
    <w:rsid w:val="00A77226"/>
    <w:rsid w:val="00A7728B"/>
    <w:rsid w:val="00A77696"/>
    <w:rsid w:val="00A777F8"/>
    <w:rsid w:val="00A77910"/>
    <w:rsid w:val="00A77CBE"/>
    <w:rsid w:val="00A77E91"/>
    <w:rsid w:val="00A77EC6"/>
    <w:rsid w:val="00A802C8"/>
    <w:rsid w:val="00A80557"/>
    <w:rsid w:val="00A80B79"/>
    <w:rsid w:val="00A80D76"/>
    <w:rsid w:val="00A81A9A"/>
    <w:rsid w:val="00A81B63"/>
    <w:rsid w:val="00A81D33"/>
    <w:rsid w:val="00A82481"/>
    <w:rsid w:val="00A82BA5"/>
    <w:rsid w:val="00A82F11"/>
    <w:rsid w:val="00A8346F"/>
    <w:rsid w:val="00A83483"/>
    <w:rsid w:val="00A834B7"/>
    <w:rsid w:val="00A838D4"/>
    <w:rsid w:val="00A83931"/>
    <w:rsid w:val="00A83BFF"/>
    <w:rsid w:val="00A83C14"/>
    <w:rsid w:val="00A843F4"/>
    <w:rsid w:val="00A8477A"/>
    <w:rsid w:val="00A84ED0"/>
    <w:rsid w:val="00A8519F"/>
    <w:rsid w:val="00A856C6"/>
    <w:rsid w:val="00A85758"/>
    <w:rsid w:val="00A85864"/>
    <w:rsid w:val="00A85B9C"/>
    <w:rsid w:val="00A861E5"/>
    <w:rsid w:val="00A8637F"/>
    <w:rsid w:val="00A866AE"/>
    <w:rsid w:val="00A8722B"/>
    <w:rsid w:val="00A872EC"/>
    <w:rsid w:val="00A8779D"/>
    <w:rsid w:val="00A87D13"/>
    <w:rsid w:val="00A90313"/>
    <w:rsid w:val="00A908F6"/>
    <w:rsid w:val="00A90F20"/>
    <w:rsid w:val="00A915D3"/>
    <w:rsid w:val="00A9202F"/>
    <w:rsid w:val="00A920A7"/>
    <w:rsid w:val="00A9211B"/>
    <w:rsid w:val="00A922FE"/>
    <w:rsid w:val="00A92330"/>
    <w:rsid w:val="00A92546"/>
    <w:rsid w:val="00A92709"/>
    <w:rsid w:val="00A92A16"/>
    <w:rsid w:val="00A92F4E"/>
    <w:rsid w:val="00A92FA4"/>
    <w:rsid w:val="00A9300D"/>
    <w:rsid w:val="00A930AE"/>
    <w:rsid w:val="00A93275"/>
    <w:rsid w:val="00A93424"/>
    <w:rsid w:val="00A938EF"/>
    <w:rsid w:val="00A93C8F"/>
    <w:rsid w:val="00A93DF3"/>
    <w:rsid w:val="00A94526"/>
    <w:rsid w:val="00A945D4"/>
    <w:rsid w:val="00A947EE"/>
    <w:rsid w:val="00A94B3D"/>
    <w:rsid w:val="00A94EA1"/>
    <w:rsid w:val="00A951F3"/>
    <w:rsid w:val="00A95B3F"/>
    <w:rsid w:val="00A95E51"/>
    <w:rsid w:val="00A95E53"/>
    <w:rsid w:val="00A95F59"/>
    <w:rsid w:val="00A9603C"/>
    <w:rsid w:val="00A963D5"/>
    <w:rsid w:val="00A96429"/>
    <w:rsid w:val="00A9740A"/>
    <w:rsid w:val="00A974D7"/>
    <w:rsid w:val="00A97C07"/>
    <w:rsid w:val="00A97F3A"/>
    <w:rsid w:val="00A97F75"/>
    <w:rsid w:val="00AA0447"/>
    <w:rsid w:val="00AA073D"/>
    <w:rsid w:val="00AA0866"/>
    <w:rsid w:val="00AA09BB"/>
    <w:rsid w:val="00AA1564"/>
    <w:rsid w:val="00AA1A94"/>
    <w:rsid w:val="00AA1A95"/>
    <w:rsid w:val="00AA1CB1"/>
    <w:rsid w:val="00AA1DB2"/>
    <w:rsid w:val="00AA1F46"/>
    <w:rsid w:val="00AA2050"/>
    <w:rsid w:val="00AA20A1"/>
    <w:rsid w:val="00AA2171"/>
    <w:rsid w:val="00AA22AF"/>
    <w:rsid w:val="00AA23AF"/>
    <w:rsid w:val="00AA2472"/>
    <w:rsid w:val="00AA260F"/>
    <w:rsid w:val="00AA2652"/>
    <w:rsid w:val="00AA2BF3"/>
    <w:rsid w:val="00AA2D2B"/>
    <w:rsid w:val="00AA2EA7"/>
    <w:rsid w:val="00AA36E7"/>
    <w:rsid w:val="00AA3CDE"/>
    <w:rsid w:val="00AA44FE"/>
    <w:rsid w:val="00AA492F"/>
    <w:rsid w:val="00AA497B"/>
    <w:rsid w:val="00AA4E14"/>
    <w:rsid w:val="00AA5266"/>
    <w:rsid w:val="00AA54BD"/>
    <w:rsid w:val="00AA5C76"/>
    <w:rsid w:val="00AA609F"/>
    <w:rsid w:val="00AA613E"/>
    <w:rsid w:val="00AA638F"/>
    <w:rsid w:val="00AA6929"/>
    <w:rsid w:val="00AA6EF5"/>
    <w:rsid w:val="00AA763F"/>
    <w:rsid w:val="00AA767B"/>
    <w:rsid w:val="00AA775A"/>
    <w:rsid w:val="00AA7A84"/>
    <w:rsid w:val="00AB0028"/>
    <w:rsid w:val="00AB0067"/>
    <w:rsid w:val="00AB0147"/>
    <w:rsid w:val="00AB04BA"/>
    <w:rsid w:val="00AB0C0E"/>
    <w:rsid w:val="00AB0C27"/>
    <w:rsid w:val="00AB1095"/>
    <w:rsid w:val="00AB178B"/>
    <w:rsid w:val="00AB17D1"/>
    <w:rsid w:val="00AB1CD9"/>
    <w:rsid w:val="00AB1CE0"/>
    <w:rsid w:val="00AB1EE7"/>
    <w:rsid w:val="00AB2D10"/>
    <w:rsid w:val="00AB2DAB"/>
    <w:rsid w:val="00AB2FE5"/>
    <w:rsid w:val="00AB3084"/>
    <w:rsid w:val="00AB46E1"/>
    <w:rsid w:val="00AB486E"/>
    <w:rsid w:val="00AB4B37"/>
    <w:rsid w:val="00AB4B97"/>
    <w:rsid w:val="00AB4BA9"/>
    <w:rsid w:val="00AB5334"/>
    <w:rsid w:val="00AB533E"/>
    <w:rsid w:val="00AB5762"/>
    <w:rsid w:val="00AB5936"/>
    <w:rsid w:val="00AB650E"/>
    <w:rsid w:val="00AB6B40"/>
    <w:rsid w:val="00AB7339"/>
    <w:rsid w:val="00AB73F0"/>
    <w:rsid w:val="00AB7481"/>
    <w:rsid w:val="00AB78F4"/>
    <w:rsid w:val="00AC01AF"/>
    <w:rsid w:val="00AC06BC"/>
    <w:rsid w:val="00AC0B53"/>
    <w:rsid w:val="00AC0C70"/>
    <w:rsid w:val="00AC0E4E"/>
    <w:rsid w:val="00AC0E6F"/>
    <w:rsid w:val="00AC123E"/>
    <w:rsid w:val="00AC13E6"/>
    <w:rsid w:val="00AC160E"/>
    <w:rsid w:val="00AC168C"/>
    <w:rsid w:val="00AC2679"/>
    <w:rsid w:val="00AC2ABC"/>
    <w:rsid w:val="00AC4154"/>
    <w:rsid w:val="00AC45C3"/>
    <w:rsid w:val="00AC4BD1"/>
    <w:rsid w:val="00AC4BE4"/>
    <w:rsid w:val="00AC5B2F"/>
    <w:rsid w:val="00AC5CC1"/>
    <w:rsid w:val="00AC5FCE"/>
    <w:rsid w:val="00AC6268"/>
    <w:rsid w:val="00AC68C2"/>
    <w:rsid w:val="00AC6BB3"/>
    <w:rsid w:val="00AC6BF9"/>
    <w:rsid w:val="00AC6DD4"/>
    <w:rsid w:val="00AC6F91"/>
    <w:rsid w:val="00AC7054"/>
    <w:rsid w:val="00AC7443"/>
    <w:rsid w:val="00AC777F"/>
    <w:rsid w:val="00AC7A1C"/>
    <w:rsid w:val="00AC7A6C"/>
    <w:rsid w:val="00AC7E85"/>
    <w:rsid w:val="00AD041C"/>
    <w:rsid w:val="00AD0441"/>
    <w:rsid w:val="00AD05E6"/>
    <w:rsid w:val="00AD07DE"/>
    <w:rsid w:val="00AD0916"/>
    <w:rsid w:val="00AD0D3F"/>
    <w:rsid w:val="00AD0E88"/>
    <w:rsid w:val="00AD1022"/>
    <w:rsid w:val="00AD11FC"/>
    <w:rsid w:val="00AD1659"/>
    <w:rsid w:val="00AD1924"/>
    <w:rsid w:val="00AD1C54"/>
    <w:rsid w:val="00AD1D7C"/>
    <w:rsid w:val="00AD2411"/>
    <w:rsid w:val="00AD2512"/>
    <w:rsid w:val="00AD27D1"/>
    <w:rsid w:val="00AD2ACC"/>
    <w:rsid w:val="00AD2EF6"/>
    <w:rsid w:val="00AD3017"/>
    <w:rsid w:val="00AD3A38"/>
    <w:rsid w:val="00AD3C2B"/>
    <w:rsid w:val="00AD3C43"/>
    <w:rsid w:val="00AD4411"/>
    <w:rsid w:val="00AD51FD"/>
    <w:rsid w:val="00AD5475"/>
    <w:rsid w:val="00AD57B1"/>
    <w:rsid w:val="00AD58FC"/>
    <w:rsid w:val="00AD5CFC"/>
    <w:rsid w:val="00AD5F4D"/>
    <w:rsid w:val="00AD5FAE"/>
    <w:rsid w:val="00AD612D"/>
    <w:rsid w:val="00AD6763"/>
    <w:rsid w:val="00AD6C0E"/>
    <w:rsid w:val="00AD707C"/>
    <w:rsid w:val="00AD74F4"/>
    <w:rsid w:val="00AD7B12"/>
    <w:rsid w:val="00AE01C9"/>
    <w:rsid w:val="00AE0489"/>
    <w:rsid w:val="00AE0D2A"/>
    <w:rsid w:val="00AE0E3B"/>
    <w:rsid w:val="00AE0E3E"/>
    <w:rsid w:val="00AE0FAC"/>
    <w:rsid w:val="00AE11F3"/>
    <w:rsid w:val="00AE1D7D"/>
    <w:rsid w:val="00AE234E"/>
    <w:rsid w:val="00AE286D"/>
    <w:rsid w:val="00AE2A8B"/>
    <w:rsid w:val="00AE2F8B"/>
    <w:rsid w:val="00AE3332"/>
    <w:rsid w:val="00AE38F4"/>
    <w:rsid w:val="00AE3A1C"/>
    <w:rsid w:val="00AE3F64"/>
    <w:rsid w:val="00AE3FD5"/>
    <w:rsid w:val="00AE4642"/>
    <w:rsid w:val="00AE476A"/>
    <w:rsid w:val="00AE4B88"/>
    <w:rsid w:val="00AE4CCD"/>
    <w:rsid w:val="00AE5004"/>
    <w:rsid w:val="00AE562F"/>
    <w:rsid w:val="00AE5A22"/>
    <w:rsid w:val="00AE5B83"/>
    <w:rsid w:val="00AE67B6"/>
    <w:rsid w:val="00AE6C0A"/>
    <w:rsid w:val="00AE6ECD"/>
    <w:rsid w:val="00AE7564"/>
    <w:rsid w:val="00AE77F2"/>
    <w:rsid w:val="00AE789A"/>
    <w:rsid w:val="00AE78FD"/>
    <w:rsid w:val="00AF07D8"/>
    <w:rsid w:val="00AF152B"/>
    <w:rsid w:val="00AF211B"/>
    <w:rsid w:val="00AF2157"/>
    <w:rsid w:val="00AF2916"/>
    <w:rsid w:val="00AF29F2"/>
    <w:rsid w:val="00AF2CD8"/>
    <w:rsid w:val="00AF2D71"/>
    <w:rsid w:val="00AF31E3"/>
    <w:rsid w:val="00AF38F7"/>
    <w:rsid w:val="00AF3A31"/>
    <w:rsid w:val="00AF3D0A"/>
    <w:rsid w:val="00AF47AA"/>
    <w:rsid w:val="00AF504E"/>
    <w:rsid w:val="00AF53CE"/>
    <w:rsid w:val="00AF5851"/>
    <w:rsid w:val="00AF5B48"/>
    <w:rsid w:val="00AF5D12"/>
    <w:rsid w:val="00AF5D47"/>
    <w:rsid w:val="00AF626F"/>
    <w:rsid w:val="00AF6351"/>
    <w:rsid w:val="00AF67FD"/>
    <w:rsid w:val="00AF6C06"/>
    <w:rsid w:val="00AF6F69"/>
    <w:rsid w:val="00AF7088"/>
    <w:rsid w:val="00AF734C"/>
    <w:rsid w:val="00AF7386"/>
    <w:rsid w:val="00AF7403"/>
    <w:rsid w:val="00AF7934"/>
    <w:rsid w:val="00B0037C"/>
    <w:rsid w:val="00B00B81"/>
    <w:rsid w:val="00B00E21"/>
    <w:rsid w:val="00B012D0"/>
    <w:rsid w:val="00B015DD"/>
    <w:rsid w:val="00B016C4"/>
    <w:rsid w:val="00B0170E"/>
    <w:rsid w:val="00B0186F"/>
    <w:rsid w:val="00B0189E"/>
    <w:rsid w:val="00B01B7A"/>
    <w:rsid w:val="00B01BE1"/>
    <w:rsid w:val="00B01C63"/>
    <w:rsid w:val="00B01EBF"/>
    <w:rsid w:val="00B02260"/>
    <w:rsid w:val="00B02584"/>
    <w:rsid w:val="00B0269F"/>
    <w:rsid w:val="00B027E9"/>
    <w:rsid w:val="00B02B23"/>
    <w:rsid w:val="00B02FAC"/>
    <w:rsid w:val="00B03197"/>
    <w:rsid w:val="00B03B2B"/>
    <w:rsid w:val="00B03F0F"/>
    <w:rsid w:val="00B03F87"/>
    <w:rsid w:val="00B04224"/>
    <w:rsid w:val="00B04580"/>
    <w:rsid w:val="00B049E0"/>
    <w:rsid w:val="00B04B09"/>
    <w:rsid w:val="00B0515D"/>
    <w:rsid w:val="00B057B3"/>
    <w:rsid w:val="00B05A93"/>
    <w:rsid w:val="00B05B46"/>
    <w:rsid w:val="00B05CF2"/>
    <w:rsid w:val="00B05F61"/>
    <w:rsid w:val="00B060EE"/>
    <w:rsid w:val="00B063AF"/>
    <w:rsid w:val="00B075E8"/>
    <w:rsid w:val="00B07D61"/>
    <w:rsid w:val="00B07DCC"/>
    <w:rsid w:val="00B10935"/>
    <w:rsid w:val="00B10A34"/>
    <w:rsid w:val="00B10CBE"/>
    <w:rsid w:val="00B10CE9"/>
    <w:rsid w:val="00B10F97"/>
    <w:rsid w:val="00B110ED"/>
    <w:rsid w:val="00B11C29"/>
    <w:rsid w:val="00B11CD5"/>
    <w:rsid w:val="00B12978"/>
    <w:rsid w:val="00B12DAD"/>
    <w:rsid w:val="00B12EAA"/>
    <w:rsid w:val="00B13244"/>
    <w:rsid w:val="00B138F8"/>
    <w:rsid w:val="00B14422"/>
    <w:rsid w:val="00B144AE"/>
    <w:rsid w:val="00B144CF"/>
    <w:rsid w:val="00B14D06"/>
    <w:rsid w:val="00B14D48"/>
    <w:rsid w:val="00B14D78"/>
    <w:rsid w:val="00B153A8"/>
    <w:rsid w:val="00B15431"/>
    <w:rsid w:val="00B15521"/>
    <w:rsid w:val="00B15D1F"/>
    <w:rsid w:val="00B15DE1"/>
    <w:rsid w:val="00B16A51"/>
    <w:rsid w:val="00B16A76"/>
    <w:rsid w:val="00B1720E"/>
    <w:rsid w:val="00B17DC5"/>
    <w:rsid w:val="00B21170"/>
    <w:rsid w:val="00B21200"/>
    <w:rsid w:val="00B214F6"/>
    <w:rsid w:val="00B217B1"/>
    <w:rsid w:val="00B21A9B"/>
    <w:rsid w:val="00B22121"/>
    <w:rsid w:val="00B22123"/>
    <w:rsid w:val="00B22179"/>
    <w:rsid w:val="00B2265D"/>
    <w:rsid w:val="00B22924"/>
    <w:rsid w:val="00B22E05"/>
    <w:rsid w:val="00B22F98"/>
    <w:rsid w:val="00B23515"/>
    <w:rsid w:val="00B235D4"/>
    <w:rsid w:val="00B23797"/>
    <w:rsid w:val="00B239B0"/>
    <w:rsid w:val="00B23BA4"/>
    <w:rsid w:val="00B23CC7"/>
    <w:rsid w:val="00B23D38"/>
    <w:rsid w:val="00B23D4E"/>
    <w:rsid w:val="00B23EF6"/>
    <w:rsid w:val="00B2423F"/>
    <w:rsid w:val="00B24BAB"/>
    <w:rsid w:val="00B24DF8"/>
    <w:rsid w:val="00B24E61"/>
    <w:rsid w:val="00B25084"/>
    <w:rsid w:val="00B253E4"/>
    <w:rsid w:val="00B25440"/>
    <w:rsid w:val="00B2566C"/>
    <w:rsid w:val="00B256E3"/>
    <w:rsid w:val="00B25F1A"/>
    <w:rsid w:val="00B272C6"/>
    <w:rsid w:val="00B27739"/>
    <w:rsid w:val="00B30604"/>
    <w:rsid w:val="00B3089C"/>
    <w:rsid w:val="00B30BC1"/>
    <w:rsid w:val="00B31207"/>
    <w:rsid w:val="00B3127B"/>
    <w:rsid w:val="00B31385"/>
    <w:rsid w:val="00B313E3"/>
    <w:rsid w:val="00B319AD"/>
    <w:rsid w:val="00B31E56"/>
    <w:rsid w:val="00B32222"/>
    <w:rsid w:val="00B32A7A"/>
    <w:rsid w:val="00B333DE"/>
    <w:rsid w:val="00B337A6"/>
    <w:rsid w:val="00B33D81"/>
    <w:rsid w:val="00B33DF1"/>
    <w:rsid w:val="00B34500"/>
    <w:rsid w:val="00B34F28"/>
    <w:rsid w:val="00B356C6"/>
    <w:rsid w:val="00B3598E"/>
    <w:rsid w:val="00B35D7A"/>
    <w:rsid w:val="00B35E86"/>
    <w:rsid w:val="00B3618D"/>
    <w:rsid w:val="00B36233"/>
    <w:rsid w:val="00B36771"/>
    <w:rsid w:val="00B36F2D"/>
    <w:rsid w:val="00B37906"/>
    <w:rsid w:val="00B37ABA"/>
    <w:rsid w:val="00B4020B"/>
    <w:rsid w:val="00B40573"/>
    <w:rsid w:val="00B406C2"/>
    <w:rsid w:val="00B409E9"/>
    <w:rsid w:val="00B40BD6"/>
    <w:rsid w:val="00B40C90"/>
    <w:rsid w:val="00B41528"/>
    <w:rsid w:val="00B41557"/>
    <w:rsid w:val="00B419AA"/>
    <w:rsid w:val="00B41A27"/>
    <w:rsid w:val="00B41B32"/>
    <w:rsid w:val="00B41C4D"/>
    <w:rsid w:val="00B41EAB"/>
    <w:rsid w:val="00B41EB8"/>
    <w:rsid w:val="00B4205A"/>
    <w:rsid w:val="00B42669"/>
    <w:rsid w:val="00B42711"/>
    <w:rsid w:val="00B4272A"/>
    <w:rsid w:val="00B42851"/>
    <w:rsid w:val="00B42955"/>
    <w:rsid w:val="00B42A17"/>
    <w:rsid w:val="00B42B1F"/>
    <w:rsid w:val="00B43212"/>
    <w:rsid w:val="00B4343B"/>
    <w:rsid w:val="00B4343D"/>
    <w:rsid w:val="00B437A1"/>
    <w:rsid w:val="00B4407E"/>
    <w:rsid w:val="00B44462"/>
    <w:rsid w:val="00B44CBE"/>
    <w:rsid w:val="00B44EE2"/>
    <w:rsid w:val="00B4510C"/>
    <w:rsid w:val="00B457E1"/>
    <w:rsid w:val="00B45895"/>
    <w:rsid w:val="00B45A6E"/>
    <w:rsid w:val="00B45A95"/>
    <w:rsid w:val="00B45AC7"/>
    <w:rsid w:val="00B46190"/>
    <w:rsid w:val="00B46331"/>
    <w:rsid w:val="00B46450"/>
    <w:rsid w:val="00B46770"/>
    <w:rsid w:val="00B4696B"/>
    <w:rsid w:val="00B46B85"/>
    <w:rsid w:val="00B47023"/>
    <w:rsid w:val="00B47331"/>
    <w:rsid w:val="00B47848"/>
    <w:rsid w:val="00B47AA6"/>
    <w:rsid w:val="00B5036E"/>
    <w:rsid w:val="00B50770"/>
    <w:rsid w:val="00B507BE"/>
    <w:rsid w:val="00B50FDC"/>
    <w:rsid w:val="00B517A1"/>
    <w:rsid w:val="00B51845"/>
    <w:rsid w:val="00B51AE4"/>
    <w:rsid w:val="00B51BDD"/>
    <w:rsid w:val="00B521C7"/>
    <w:rsid w:val="00B523BA"/>
    <w:rsid w:val="00B53300"/>
    <w:rsid w:val="00B53405"/>
    <w:rsid w:val="00B5372F"/>
    <w:rsid w:val="00B53766"/>
    <w:rsid w:val="00B54873"/>
    <w:rsid w:val="00B54B5F"/>
    <w:rsid w:val="00B55CED"/>
    <w:rsid w:val="00B5600F"/>
    <w:rsid w:val="00B560BA"/>
    <w:rsid w:val="00B560CC"/>
    <w:rsid w:val="00B56619"/>
    <w:rsid w:val="00B57081"/>
    <w:rsid w:val="00B57452"/>
    <w:rsid w:val="00B57771"/>
    <w:rsid w:val="00B57E3A"/>
    <w:rsid w:val="00B6006E"/>
    <w:rsid w:val="00B60374"/>
    <w:rsid w:val="00B609C8"/>
    <w:rsid w:val="00B60A1E"/>
    <w:rsid w:val="00B60BD4"/>
    <w:rsid w:val="00B61129"/>
    <w:rsid w:val="00B6119A"/>
    <w:rsid w:val="00B615D6"/>
    <w:rsid w:val="00B61923"/>
    <w:rsid w:val="00B61A98"/>
    <w:rsid w:val="00B61C20"/>
    <w:rsid w:val="00B61D36"/>
    <w:rsid w:val="00B61E65"/>
    <w:rsid w:val="00B62532"/>
    <w:rsid w:val="00B6284D"/>
    <w:rsid w:val="00B63426"/>
    <w:rsid w:val="00B63598"/>
    <w:rsid w:val="00B635EF"/>
    <w:rsid w:val="00B6378D"/>
    <w:rsid w:val="00B63BBF"/>
    <w:rsid w:val="00B63CB1"/>
    <w:rsid w:val="00B64676"/>
    <w:rsid w:val="00B64F2F"/>
    <w:rsid w:val="00B6507C"/>
    <w:rsid w:val="00B65252"/>
    <w:rsid w:val="00B65858"/>
    <w:rsid w:val="00B65CAE"/>
    <w:rsid w:val="00B65FDB"/>
    <w:rsid w:val="00B6645F"/>
    <w:rsid w:val="00B66770"/>
    <w:rsid w:val="00B66C63"/>
    <w:rsid w:val="00B66EC1"/>
    <w:rsid w:val="00B66FE0"/>
    <w:rsid w:val="00B671EA"/>
    <w:rsid w:val="00B67385"/>
    <w:rsid w:val="00B676C0"/>
    <w:rsid w:val="00B67B38"/>
    <w:rsid w:val="00B67B72"/>
    <w:rsid w:val="00B67E7F"/>
    <w:rsid w:val="00B67EA9"/>
    <w:rsid w:val="00B67F6F"/>
    <w:rsid w:val="00B67FA2"/>
    <w:rsid w:val="00B67FFC"/>
    <w:rsid w:val="00B70306"/>
    <w:rsid w:val="00B703DF"/>
    <w:rsid w:val="00B70699"/>
    <w:rsid w:val="00B70FC1"/>
    <w:rsid w:val="00B7222E"/>
    <w:rsid w:val="00B7254F"/>
    <w:rsid w:val="00B725AB"/>
    <w:rsid w:val="00B72809"/>
    <w:rsid w:val="00B728B5"/>
    <w:rsid w:val="00B729CD"/>
    <w:rsid w:val="00B72BD8"/>
    <w:rsid w:val="00B7336E"/>
    <w:rsid w:val="00B73C55"/>
    <w:rsid w:val="00B73EB2"/>
    <w:rsid w:val="00B7405C"/>
    <w:rsid w:val="00B7406E"/>
    <w:rsid w:val="00B742D3"/>
    <w:rsid w:val="00B7470B"/>
    <w:rsid w:val="00B74F90"/>
    <w:rsid w:val="00B750C9"/>
    <w:rsid w:val="00B7510B"/>
    <w:rsid w:val="00B751C9"/>
    <w:rsid w:val="00B75400"/>
    <w:rsid w:val="00B75A04"/>
    <w:rsid w:val="00B75A53"/>
    <w:rsid w:val="00B762E7"/>
    <w:rsid w:val="00B76742"/>
    <w:rsid w:val="00B76AE9"/>
    <w:rsid w:val="00B76D63"/>
    <w:rsid w:val="00B774E8"/>
    <w:rsid w:val="00B77C0E"/>
    <w:rsid w:val="00B77F89"/>
    <w:rsid w:val="00B8005A"/>
    <w:rsid w:val="00B80242"/>
    <w:rsid w:val="00B803F6"/>
    <w:rsid w:val="00B806CB"/>
    <w:rsid w:val="00B80D70"/>
    <w:rsid w:val="00B80F5A"/>
    <w:rsid w:val="00B81184"/>
    <w:rsid w:val="00B81BE7"/>
    <w:rsid w:val="00B820F4"/>
    <w:rsid w:val="00B821F8"/>
    <w:rsid w:val="00B83056"/>
    <w:rsid w:val="00B83417"/>
    <w:rsid w:val="00B836A6"/>
    <w:rsid w:val="00B83795"/>
    <w:rsid w:val="00B8381D"/>
    <w:rsid w:val="00B838C2"/>
    <w:rsid w:val="00B839B2"/>
    <w:rsid w:val="00B84526"/>
    <w:rsid w:val="00B8459B"/>
    <w:rsid w:val="00B848F8"/>
    <w:rsid w:val="00B849E0"/>
    <w:rsid w:val="00B84BA7"/>
    <w:rsid w:val="00B84D1E"/>
    <w:rsid w:val="00B85F11"/>
    <w:rsid w:val="00B86139"/>
    <w:rsid w:val="00B8640E"/>
    <w:rsid w:val="00B86F7A"/>
    <w:rsid w:val="00B870FF"/>
    <w:rsid w:val="00B873DC"/>
    <w:rsid w:val="00B874E9"/>
    <w:rsid w:val="00B8F576"/>
    <w:rsid w:val="00B90057"/>
    <w:rsid w:val="00B9007C"/>
    <w:rsid w:val="00B901A2"/>
    <w:rsid w:val="00B902CE"/>
    <w:rsid w:val="00B90719"/>
    <w:rsid w:val="00B90DAB"/>
    <w:rsid w:val="00B91320"/>
    <w:rsid w:val="00B91510"/>
    <w:rsid w:val="00B915B8"/>
    <w:rsid w:val="00B9169E"/>
    <w:rsid w:val="00B919D1"/>
    <w:rsid w:val="00B919EF"/>
    <w:rsid w:val="00B91AD2"/>
    <w:rsid w:val="00B91BCF"/>
    <w:rsid w:val="00B91C31"/>
    <w:rsid w:val="00B923DF"/>
    <w:rsid w:val="00B92B14"/>
    <w:rsid w:val="00B92C6C"/>
    <w:rsid w:val="00B92F34"/>
    <w:rsid w:val="00B9342E"/>
    <w:rsid w:val="00B939BB"/>
    <w:rsid w:val="00B939CB"/>
    <w:rsid w:val="00B93F3D"/>
    <w:rsid w:val="00B9422A"/>
    <w:rsid w:val="00B94252"/>
    <w:rsid w:val="00B94828"/>
    <w:rsid w:val="00B94AE1"/>
    <w:rsid w:val="00B94AF1"/>
    <w:rsid w:val="00B94B41"/>
    <w:rsid w:val="00B94C43"/>
    <w:rsid w:val="00B94F57"/>
    <w:rsid w:val="00B9552D"/>
    <w:rsid w:val="00B95C83"/>
    <w:rsid w:val="00B9627C"/>
    <w:rsid w:val="00B96329"/>
    <w:rsid w:val="00B96598"/>
    <w:rsid w:val="00B9715A"/>
    <w:rsid w:val="00B97BD6"/>
    <w:rsid w:val="00BA0054"/>
    <w:rsid w:val="00BA00EB"/>
    <w:rsid w:val="00BA02F2"/>
    <w:rsid w:val="00BA04F2"/>
    <w:rsid w:val="00BA0888"/>
    <w:rsid w:val="00BA0B7E"/>
    <w:rsid w:val="00BA14BE"/>
    <w:rsid w:val="00BA18B5"/>
    <w:rsid w:val="00BA2029"/>
    <w:rsid w:val="00BA2283"/>
    <w:rsid w:val="00BA2732"/>
    <w:rsid w:val="00BA293D"/>
    <w:rsid w:val="00BA331A"/>
    <w:rsid w:val="00BA4639"/>
    <w:rsid w:val="00BA49BC"/>
    <w:rsid w:val="00BA4EAF"/>
    <w:rsid w:val="00BA53B4"/>
    <w:rsid w:val="00BA56B7"/>
    <w:rsid w:val="00BA5C59"/>
    <w:rsid w:val="00BA5CE7"/>
    <w:rsid w:val="00BA5D19"/>
    <w:rsid w:val="00BA5D70"/>
    <w:rsid w:val="00BA6D5D"/>
    <w:rsid w:val="00BA6E51"/>
    <w:rsid w:val="00BA70AB"/>
    <w:rsid w:val="00BA70CC"/>
    <w:rsid w:val="00BA750C"/>
    <w:rsid w:val="00BA783A"/>
    <w:rsid w:val="00BA7A1E"/>
    <w:rsid w:val="00BA7AEF"/>
    <w:rsid w:val="00BA7CA9"/>
    <w:rsid w:val="00BA7F5C"/>
    <w:rsid w:val="00BB09C7"/>
    <w:rsid w:val="00BB0EE8"/>
    <w:rsid w:val="00BB1381"/>
    <w:rsid w:val="00BB16D6"/>
    <w:rsid w:val="00BB1757"/>
    <w:rsid w:val="00BB1A03"/>
    <w:rsid w:val="00BB1CEB"/>
    <w:rsid w:val="00BB1FC9"/>
    <w:rsid w:val="00BB23DA"/>
    <w:rsid w:val="00BB28D4"/>
    <w:rsid w:val="00BB2EA6"/>
    <w:rsid w:val="00BB2F6C"/>
    <w:rsid w:val="00BB3875"/>
    <w:rsid w:val="00BB3E1C"/>
    <w:rsid w:val="00BB41CF"/>
    <w:rsid w:val="00BB4C7A"/>
    <w:rsid w:val="00BB50DE"/>
    <w:rsid w:val="00BB5860"/>
    <w:rsid w:val="00BB5CF8"/>
    <w:rsid w:val="00BB5FB9"/>
    <w:rsid w:val="00BB6071"/>
    <w:rsid w:val="00BB612E"/>
    <w:rsid w:val="00BB62B7"/>
    <w:rsid w:val="00BB63CD"/>
    <w:rsid w:val="00BB6427"/>
    <w:rsid w:val="00BB6841"/>
    <w:rsid w:val="00BB6AAD"/>
    <w:rsid w:val="00BB6B87"/>
    <w:rsid w:val="00BB73E0"/>
    <w:rsid w:val="00BB7555"/>
    <w:rsid w:val="00BB762D"/>
    <w:rsid w:val="00BB774E"/>
    <w:rsid w:val="00BB7F21"/>
    <w:rsid w:val="00BB7FEB"/>
    <w:rsid w:val="00BC0155"/>
    <w:rsid w:val="00BC0C3A"/>
    <w:rsid w:val="00BC130E"/>
    <w:rsid w:val="00BC149D"/>
    <w:rsid w:val="00BC151C"/>
    <w:rsid w:val="00BC16F4"/>
    <w:rsid w:val="00BC1921"/>
    <w:rsid w:val="00BC1BDD"/>
    <w:rsid w:val="00BC1C57"/>
    <w:rsid w:val="00BC23F6"/>
    <w:rsid w:val="00BC246C"/>
    <w:rsid w:val="00BC26EE"/>
    <w:rsid w:val="00BC26FC"/>
    <w:rsid w:val="00BC2D33"/>
    <w:rsid w:val="00BC3213"/>
    <w:rsid w:val="00BC349A"/>
    <w:rsid w:val="00BC3506"/>
    <w:rsid w:val="00BC36E5"/>
    <w:rsid w:val="00BC3A10"/>
    <w:rsid w:val="00BC3D9A"/>
    <w:rsid w:val="00BC3FAE"/>
    <w:rsid w:val="00BC4067"/>
    <w:rsid w:val="00BC4900"/>
    <w:rsid w:val="00BC4A19"/>
    <w:rsid w:val="00BC4E6D"/>
    <w:rsid w:val="00BC50D1"/>
    <w:rsid w:val="00BC543F"/>
    <w:rsid w:val="00BC5675"/>
    <w:rsid w:val="00BC56EE"/>
    <w:rsid w:val="00BC5A16"/>
    <w:rsid w:val="00BC5C8D"/>
    <w:rsid w:val="00BC5DA2"/>
    <w:rsid w:val="00BC5FEC"/>
    <w:rsid w:val="00BC62AC"/>
    <w:rsid w:val="00BC6328"/>
    <w:rsid w:val="00BC646D"/>
    <w:rsid w:val="00BC6664"/>
    <w:rsid w:val="00BC67A2"/>
    <w:rsid w:val="00BC6A44"/>
    <w:rsid w:val="00BC6D1E"/>
    <w:rsid w:val="00BC702F"/>
    <w:rsid w:val="00BC724F"/>
    <w:rsid w:val="00BC72F8"/>
    <w:rsid w:val="00BC73A0"/>
    <w:rsid w:val="00BC7ABF"/>
    <w:rsid w:val="00BC7B01"/>
    <w:rsid w:val="00BC7B1D"/>
    <w:rsid w:val="00BD057F"/>
    <w:rsid w:val="00BD0617"/>
    <w:rsid w:val="00BD0D37"/>
    <w:rsid w:val="00BD0F81"/>
    <w:rsid w:val="00BD10CD"/>
    <w:rsid w:val="00BD1523"/>
    <w:rsid w:val="00BD1B92"/>
    <w:rsid w:val="00BD1C00"/>
    <w:rsid w:val="00BD1D3F"/>
    <w:rsid w:val="00BD1F57"/>
    <w:rsid w:val="00BD1FAC"/>
    <w:rsid w:val="00BD1FB6"/>
    <w:rsid w:val="00BD1FFD"/>
    <w:rsid w:val="00BD227C"/>
    <w:rsid w:val="00BD2D05"/>
    <w:rsid w:val="00BD2E9B"/>
    <w:rsid w:val="00BD378F"/>
    <w:rsid w:val="00BD3E99"/>
    <w:rsid w:val="00BD4068"/>
    <w:rsid w:val="00BD439A"/>
    <w:rsid w:val="00BD45B4"/>
    <w:rsid w:val="00BD4B53"/>
    <w:rsid w:val="00BD58CD"/>
    <w:rsid w:val="00BD5DB7"/>
    <w:rsid w:val="00BD606F"/>
    <w:rsid w:val="00BD6466"/>
    <w:rsid w:val="00BD673F"/>
    <w:rsid w:val="00BD67DC"/>
    <w:rsid w:val="00BD6CE2"/>
    <w:rsid w:val="00BD6E90"/>
    <w:rsid w:val="00BD6F31"/>
    <w:rsid w:val="00BD7A74"/>
    <w:rsid w:val="00BE0721"/>
    <w:rsid w:val="00BE0D29"/>
    <w:rsid w:val="00BE0D9C"/>
    <w:rsid w:val="00BE11A7"/>
    <w:rsid w:val="00BE12A3"/>
    <w:rsid w:val="00BE15A4"/>
    <w:rsid w:val="00BE1764"/>
    <w:rsid w:val="00BE3661"/>
    <w:rsid w:val="00BE38DE"/>
    <w:rsid w:val="00BE3B12"/>
    <w:rsid w:val="00BE3E06"/>
    <w:rsid w:val="00BE41A7"/>
    <w:rsid w:val="00BE4452"/>
    <w:rsid w:val="00BE49A2"/>
    <w:rsid w:val="00BE4D8A"/>
    <w:rsid w:val="00BE50F9"/>
    <w:rsid w:val="00BE597F"/>
    <w:rsid w:val="00BE5A29"/>
    <w:rsid w:val="00BE68CB"/>
    <w:rsid w:val="00BE6B7C"/>
    <w:rsid w:val="00BE6D6F"/>
    <w:rsid w:val="00BE6EF4"/>
    <w:rsid w:val="00BE7B52"/>
    <w:rsid w:val="00BE7BFD"/>
    <w:rsid w:val="00BE7E05"/>
    <w:rsid w:val="00BF0098"/>
    <w:rsid w:val="00BF02FC"/>
    <w:rsid w:val="00BF03CC"/>
    <w:rsid w:val="00BF05F8"/>
    <w:rsid w:val="00BF0974"/>
    <w:rsid w:val="00BF0E7A"/>
    <w:rsid w:val="00BF10F3"/>
    <w:rsid w:val="00BF11CE"/>
    <w:rsid w:val="00BF1514"/>
    <w:rsid w:val="00BF1566"/>
    <w:rsid w:val="00BF15CA"/>
    <w:rsid w:val="00BF15D9"/>
    <w:rsid w:val="00BF1916"/>
    <w:rsid w:val="00BF1EC3"/>
    <w:rsid w:val="00BF20D2"/>
    <w:rsid w:val="00BF2225"/>
    <w:rsid w:val="00BF2354"/>
    <w:rsid w:val="00BF2B77"/>
    <w:rsid w:val="00BF2FAD"/>
    <w:rsid w:val="00BF304E"/>
    <w:rsid w:val="00BF3369"/>
    <w:rsid w:val="00BF3528"/>
    <w:rsid w:val="00BF3666"/>
    <w:rsid w:val="00BF373E"/>
    <w:rsid w:val="00BF3A8D"/>
    <w:rsid w:val="00BF3EF5"/>
    <w:rsid w:val="00BF40E1"/>
    <w:rsid w:val="00BF4503"/>
    <w:rsid w:val="00BF46A1"/>
    <w:rsid w:val="00BF4758"/>
    <w:rsid w:val="00BF4ABC"/>
    <w:rsid w:val="00BF5454"/>
    <w:rsid w:val="00BF5590"/>
    <w:rsid w:val="00BF5694"/>
    <w:rsid w:val="00BF5963"/>
    <w:rsid w:val="00BF5974"/>
    <w:rsid w:val="00BF5CD8"/>
    <w:rsid w:val="00BF61F4"/>
    <w:rsid w:val="00BF64F1"/>
    <w:rsid w:val="00BF67DB"/>
    <w:rsid w:val="00BF6E0C"/>
    <w:rsid w:val="00BF716B"/>
    <w:rsid w:val="00BF73A8"/>
    <w:rsid w:val="00BF78B2"/>
    <w:rsid w:val="00BF79AE"/>
    <w:rsid w:val="00BF7C91"/>
    <w:rsid w:val="00BF7E0B"/>
    <w:rsid w:val="00BF7E34"/>
    <w:rsid w:val="00C0021B"/>
    <w:rsid w:val="00C00930"/>
    <w:rsid w:val="00C00A18"/>
    <w:rsid w:val="00C00F15"/>
    <w:rsid w:val="00C0138F"/>
    <w:rsid w:val="00C0178B"/>
    <w:rsid w:val="00C01F19"/>
    <w:rsid w:val="00C02B53"/>
    <w:rsid w:val="00C030C9"/>
    <w:rsid w:val="00C03749"/>
    <w:rsid w:val="00C0389A"/>
    <w:rsid w:val="00C03ABB"/>
    <w:rsid w:val="00C03F50"/>
    <w:rsid w:val="00C057AB"/>
    <w:rsid w:val="00C05EBD"/>
    <w:rsid w:val="00C06014"/>
    <w:rsid w:val="00C060AD"/>
    <w:rsid w:val="00C06166"/>
    <w:rsid w:val="00C0622D"/>
    <w:rsid w:val="00C0670B"/>
    <w:rsid w:val="00C0670D"/>
    <w:rsid w:val="00C06E92"/>
    <w:rsid w:val="00C0758C"/>
    <w:rsid w:val="00C10014"/>
    <w:rsid w:val="00C10118"/>
    <w:rsid w:val="00C10B0B"/>
    <w:rsid w:val="00C10CEB"/>
    <w:rsid w:val="00C10E23"/>
    <w:rsid w:val="00C11142"/>
    <w:rsid w:val="00C113BF"/>
    <w:rsid w:val="00C114FF"/>
    <w:rsid w:val="00C119B3"/>
    <w:rsid w:val="00C11CD5"/>
    <w:rsid w:val="00C121C9"/>
    <w:rsid w:val="00C123D5"/>
    <w:rsid w:val="00C1262E"/>
    <w:rsid w:val="00C12759"/>
    <w:rsid w:val="00C12DF0"/>
    <w:rsid w:val="00C132AF"/>
    <w:rsid w:val="00C134A1"/>
    <w:rsid w:val="00C138F0"/>
    <w:rsid w:val="00C139B9"/>
    <w:rsid w:val="00C14706"/>
    <w:rsid w:val="00C14962"/>
    <w:rsid w:val="00C14FAE"/>
    <w:rsid w:val="00C14FF6"/>
    <w:rsid w:val="00C150D2"/>
    <w:rsid w:val="00C15C5D"/>
    <w:rsid w:val="00C15D60"/>
    <w:rsid w:val="00C16A32"/>
    <w:rsid w:val="00C16B56"/>
    <w:rsid w:val="00C16EDE"/>
    <w:rsid w:val="00C171F1"/>
    <w:rsid w:val="00C17202"/>
    <w:rsid w:val="00C203AE"/>
    <w:rsid w:val="00C2043E"/>
    <w:rsid w:val="00C20F8E"/>
    <w:rsid w:val="00C21232"/>
    <w:rsid w:val="00C2176E"/>
    <w:rsid w:val="00C21976"/>
    <w:rsid w:val="00C2224A"/>
    <w:rsid w:val="00C22635"/>
    <w:rsid w:val="00C22637"/>
    <w:rsid w:val="00C22B08"/>
    <w:rsid w:val="00C23430"/>
    <w:rsid w:val="00C23912"/>
    <w:rsid w:val="00C23C94"/>
    <w:rsid w:val="00C24307"/>
    <w:rsid w:val="00C24813"/>
    <w:rsid w:val="00C2518D"/>
    <w:rsid w:val="00C2525F"/>
    <w:rsid w:val="00C252ED"/>
    <w:rsid w:val="00C25AA8"/>
    <w:rsid w:val="00C25BC8"/>
    <w:rsid w:val="00C25C4D"/>
    <w:rsid w:val="00C25C7C"/>
    <w:rsid w:val="00C2671C"/>
    <w:rsid w:val="00C267F0"/>
    <w:rsid w:val="00C272AB"/>
    <w:rsid w:val="00C27467"/>
    <w:rsid w:val="00C27ADB"/>
    <w:rsid w:val="00C27C99"/>
    <w:rsid w:val="00C27D67"/>
    <w:rsid w:val="00C27E9A"/>
    <w:rsid w:val="00C30114"/>
    <w:rsid w:val="00C30B7F"/>
    <w:rsid w:val="00C31080"/>
    <w:rsid w:val="00C311D7"/>
    <w:rsid w:val="00C3130D"/>
    <w:rsid w:val="00C31824"/>
    <w:rsid w:val="00C31833"/>
    <w:rsid w:val="00C322D5"/>
    <w:rsid w:val="00C32AFD"/>
    <w:rsid w:val="00C32B13"/>
    <w:rsid w:val="00C32DED"/>
    <w:rsid w:val="00C32F26"/>
    <w:rsid w:val="00C33898"/>
    <w:rsid w:val="00C339AA"/>
    <w:rsid w:val="00C33D51"/>
    <w:rsid w:val="00C33D77"/>
    <w:rsid w:val="00C33D83"/>
    <w:rsid w:val="00C33DCF"/>
    <w:rsid w:val="00C3404B"/>
    <w:rsid w:val="00C341C7"/>
    <w:rsid w:val="00C347EF"/>
    <w:rsid w:val="00C348B1"/>
    <w:rsid w:val="00C349B7"/>
    <w:rsid w:val="00C349F7"/>
    <w:rsid w:val="00C34DBB"/>
    <w:rsid w:val="00C35434"/>
    <w:rsid w:val="00C35CF3"/>
    <w:rsid w:val="00C35D73"/>
    <w:rsid w:val="00C363E4"/>
    <w:rsid w:val="00C36550"/>
    <w:rsid w:val="00C365C2"/>
    <w:rsid w:val="00C3661B"/>
    <w:rsid w:val="00C3687A"/>
    <w:rsid w:val="00C37208"/>
    <w:rsid w:val="00C37676"/>
    <w:rsid w:val="00C376B6"/>
    <w:rsid w:val="00C377E2"/>
    <w:rsid w:val="00C3792C"/>
    <w:rsid w:val="00C4003E"/>
    <w:rsid w:val="00C40517"/>
    <w:rsid w:val="00C40643"/>
    <w:rsid w:val="00C40AD1"/>
    <w:rsid w:val="00C40E4B"/>
    <w:rsid w:val="00C418A9"/>
    <w:rsid w:val="00C41CB9"/>
    <w:rsid w:val="00C41CDD"/>
    <w:rsid w:val="00C41E58"/>
    <w:rsid w:val="00C42136"/>
    <w:rsid w:val="00C42257"/>
    <w:rsid w:val="00C4240F"/>
    <w:rsid w:val="00C426F5"/>
    <w:rsid w:val="00C42A7A"/>
    <w:rsid w:val="00C43030"/>
    <w:rsid w:val="00C43437"/>
    <w:rsid w:val="00C437D5"/>
    <w:rsid w:val="00C443BF"/>
    <w:rsid w:val="00C4498F"/>
    <w:rsid w:val="00C44A50"/>
    <w:rsid w:val="00C44AD9"/>
    <w:rsid w:val="00C45D7D"/>
    <w:rsid w:val="00C462FD"/>
    <w:rsid w:val="00C4631F"/>
    <w:rsid w:val="00C46410"/>
    <w:rsid w:val="00C469CC"/>
    <w:rsid w:val="00C46A7A"/>
    <w:rsid w:val="00C46B86"/>
    <w:rsid w:val="00C46E03"/>
    <w:rsid w:val="00C4754C"/>
    <w:rsid w:val="00C476F3"/>
    <w:rsid w:val="00C47DAC"/>
    <w:rsid w:val="00C50E16"/>
    <w:rsid w:val="00C50E6C"/>
    <w:rsid w:val="00C51437"/>
    <w:rsid w:val="00C5167D"/>
    <w:rsid w:val="00C5172C"/>
    <w:rsid w:val="00C51864"/>
    <w:rsid w:val="00C5197B"/>
    <w:rsid w:val="00C51DA1"/>
    <w:rsid w:val="00C525E2"/>
    <w:rsid w:val="00C52A11"/>
    <w:rsid w:val="00C52ABF"/>
    <w:rsid w:val="00C52FC7"/>
    <w:rsid w:val="00C5314E"/>
    <w:rsid w:val="00C537F4"/>
    <w:rsid w:val="00C541E2"/>
    <w:rsid w:val="00C543EE"/>
    <w:rsid w:val="00C5504E"/>
    <w:rsid w:val="00C5519D"/>
    <w:rsid w:val="00C551F6"/>
    <w:rsid w:val="00C55258"/>
    <w:rsid w:val="00C55328"/>
    <w:rsid w:val="00C55802"/>
    <w:rsid w:val="00C56324"/>
    <w:rsid w:val="00C56C46"/>
    <w:rsid w:val="00C5708B"/>
    <w:rsid w:val="00C57269"/>
    <w:rsid w:val="00C574C4"/>
    <w:rsid w:val="00C57665"/>
    <w:rsid w:val="00C579EF"/>
    <w:rsid w:val="00C57D78"/>
    <w:rsid w:val="00C57EF9"/>
    <w:rsid w:val="00C60661"/>
    <w:rsid w:val="00C60CE3"/>
    <w:rsid w:val="00C60DA3"/>
    <w:rsid w:val="00C61621"/>
    <w:rsid w:val="00C61A40"/>
    <w:rsid w:val="00C62905"/>
    <w:rsid w:val="00C62E0C"/>
    <w:rsid w:val="00C62FB6"/>
    <w:rsid w:val="00C64363"/>
    <w:rsid w:val="00C646FE"/>
    <w:rsid w:val="00C6491E"/>
    <w:rsid w:val="00C65012"/>
    <w:rsid w:val="00C65499"/>
    <w:rsid w:val="00C655DE"/>
    <w:rsid w:val="00C65689"/>
    <w:rsid w:val="00C663E4"/>
    <w:rsid w:val="00C668D9"/>
    <w:rsid w:val="00C6699F"/>
    <w:rsid w:val="00C669BB"/>
    <w:rsid w:val="00C66E52"/>
    <w:rsid w:val="00C670DE"/>
    <w:rsid w:val="00C67AAC"/>
    <w:rsid w:val="00C67F90"/>
    <w:rsid w:val="00C702D0"/>
    <w:rsid w:val="00C7051E"/>
    <w:rsid w:val="00C70953"/>
    <w:rsid w:val="00C70BAB"/>
    <w:rsid w:val="00C71427"/>
    <w:rsid w:val="00C719C7"/>
    <w:rsid w:val="00C71E36"/>
    <w:rsid w:val="00C71F2C"/>
    <w:rsid w:val="00C72194"/>
    <w:rsid w:val="00C72488"/>
    <w:rsid w:val="00C7266F"/>
    <w:rsid w:val="00C7293A"/>
    <w:rsid w:val="00C72A28"/>
    <w:rsid w:val="00C7324A"/>
    <w:rsid w:val="00C7325D"/>
    <w:rsid w:val="00C73543"/>
    <w:rsid w:val="00C737F3"/>
    <w:rsid w:val="00C73AB8"/>
    <w:rsid w:val="00C74879"/>
    <w:rsid w:val="00C74DA0"/>
    <w:rsid w:val="00C74E2C"/>
    <w:rsid w:val="00C74E55"/>
    <w:rsid w:val="00C75243"/>
    <w:rsid w:val="00C752C7"/>
    <w:rsid w:val="00C752C8"/>
    <w:rsid w:val="00C7566C"/>
    <w:rsid w:val="00C75849"/>
    <w:rsid w:val="00C75C2E"/>
    <w:rsid w:val="00C76776"/>
    <w:rsid w:val="00C76AA8"/>
    <w:rsid w:val="00C7794C"/>
    <w:rsid w:val="00C77963"/>
    <w:rsid w:val="00C77C64"/>
    <w:rsid w:val="00C77CBB"/>
    <w:rsid w:val="00C77CF0"/>
    <w:rsid w:val="00C80099"/>
    <w:rsid w:val="00C8029F"/>
    <w:rsid w:val="00C802F8"/>
    <w:rsid w:val="00C8048E"/>
    <w:rsid w:val="00C80A92"/>
    <w:rsid w:val="00C80AAD"/>
    <w:rsid w:val="00C80CD9"/>
    <w:rsid w:val="00C80E2E"/>
    <w:rsid w:val="00C81276"/>
    <w:rsid w:val="00C81942"/>
    <w:rsid w:val="00C81A9C"/>
    <w:rsid w:val="00C81B27"/>
    <w:rsid w:val="00C82285"/>
    <w:rsid w:val="00C8299D"/>
    <w:rsid w:val="00C82B6D"/>
    <w:rsid w:val="00C82EEB"/>
    <w:rsid w:val="00C8358A"/>
    <w:rsid w:val="00C8364B"/>
    <w:rsid w:val="00C837D0"/>
    <w:rsid w:val="00C844B9"/>
    <w:rsid w:val="00C848E8"/>
    <w:rsid w:val="00C84BB6"/>
    <w:rsid w:val="00C84FB2"/>
    <w:rsid w:val="00C85719"/>
    <w:rsid w:val="00C85730"/>
    <w:rsid w:val="00C85B4A"/>
    <w:rsid w:val="00C85BED"/>
    <w:rsid w:val="00C869AA"/>
    <w:rsid w:val="00C86D9F"/>
    <w:rsid w:val="00C87457"/>
    <w:rsid w:val="00C874A8"/>
    <w:rsid w:val="00C87E71"/>
    <w:rsid w:val="00C87E73"/>
    <w:rsid w:val="00C87FFA"/>
    <w:rsid w:val="00C902B9"/>
    <w:rsid w:val="00C90393"/>
    <w:rsid w:val="00C90A50"/>
    <w:rsid w:val="00C90AF5"/>
    <w:rsid w:val="00C90D2E"/>
    <w:rsid w:val="00C90DC2"/>
    <w:rsid w:val="00C91389"/>
    <w:rsid w:val="00C915C0"/>
    <w:rsid w:val="00C91A6F"/>
    <w:rsid w:val="00C91CC2"/>
    <w:rsid w:val="00C9213C"/>
    <w:rsid w:val="00C92C88"/>
    <w:rsid w:val="00C9384F"/>
    <w:rsid w:val="00C93893"/>
    <w:rsid w:val="00C93B0B"/>
    <w:rsid w:val="00C93C6C"/>
    <w:rsid w:val="00C95228"/>
    <w:rsid w:val="00C955E8"/>
    <w:rsid w:val="00C9589A"/>
    <w:rsid w:val="00C964FE"/>
    <w:rsid w:val="00C966E6"/>
    <w:rsid w:val="00C96730"/>
    <w:rsid w:val="00C968E5"/>
    <w:rsid w:val="00C96DC0"/>
    <w:rsid w:val="00C96DDB"/>
    <w:rsid w:val="00C971DC"/>
    <w:rsid w:val="00C97379"/>
    <w:rsid w:val="00C976E6"/>
    <w:rsid w:val="00C97A7C"/>
    <w:rsid w:val="00C97AD6"/>
    <w:rsid w:val="00C97D1F"/>
    <w:rsid w:val="00C97EBA"/>
    <w:rsid w:val="00CA03CA"/>
    <w:rsid w:val="00CA0D1B"/>
    <w:rsid w:val="00CA0E3B"/>
    <w:rsid w:val="00CA0F5B"/>
    <w:rsid w:val="00CA104E"/>
    <w:rsid w:val="00CA15ED"/>
    <w:rsid w:val="00CA16B7"/>
    <w:rsid w:val="00CA1C00"/>
    <w:rsid w:val="00CA1C64"/>
    <w:rsid w:val="00CA2342"/>
    <w:rsid w:val="00CA2548"/>
    <w:rsid w:val="00CA2FF9"/>
    <w:rsid w:val="00CA3172"/>
    <w:rsid w:val="00CA3387"/>
    <w:rsid w:val="00CA3398"/>
    <w:rsid w:val="00CA39AE"/>
    <w:rsid w:val="00CA3C44"/>
    <w:rsid w:val="00CA418D"/>
    <w:rsid w:val="00CA4314"/>
    <w:rsid w:val="00CA44B3"/>
    <w:rsid w:val="00CA45E0"/>
    <w:rsid w:val="00CA47C4"/>
    <w:rsid w:val="00CA489C"/>
    <w:rsid w:val="00CA4BE3"/>
    <w:rsid w:val="00CA4CC0"/>
    <w:rsid w:val="00CA4D83"/>
    <w:rsid w:val="00CA4E68"/>
    <w:rsid w:val="00CA5AAE"/>
    <w:rsid w:val="00CA62AE"/>
    <w:rsid w:val="00CA66D1"/>
    <w:rsid w:val="00CA675B"/>
    <w:rsid w:val="00CA76A7"/>
    <w:rsid w:val="00CA79CF"/>
    <w:rsid w:val="00CB011E"/>
    <w:rsid w:val="00CB07AD"/>
    <w:rsid w:val="00CB0B8A"/>
    <w:rsid w:val="00CB15DA"/>
    <w:rsid w:val="00CB180D"/>
    <w:rsid w:val="00CB199B"/>
    <w:rsid w:val="00CB1B93"/>
    <w:rsid w:val="00CB22FC"/>
    <w:rsid w:val="00CB30AE"/>
    <w:rsid w:val="00CB38CE"/>
    <w:rsid w:val="00CB3CE2"/>
    <w:rsid w:val="00CB4457"/>
    <w:rsid w:val="00CB4AE7"/>
    <w:rsid w:val="00CB50D6"/>
    <w:rsid w:val="00CB5476"/>
    <w:rsid w:val="00CB5965"/>
    <w:rsid w:val="00CB5B1A"/>
    <w:rsid w:val="00CB5EF0"/>
    <w:rsid w:val="00CB5FB4"/>
    <w:rsid w:val="00CB60CF"/>
    <w:rsid w:val="00CB666A"/>
    <w:rsid w:val="00CB69A7"/>
    <w:rsid w:val="00CB6D17"/>
    <w:rsid w:val="00CB6D4A"/>
    <w:rsid w:val="00CB73A0"/>
    <w:rsid w:val="00CB7411"/>
    <w:rsid w:val="00CB7601"/>
    <w:rsid w:val="00CB788C"/>
    <w:rsid w:val="00CB7C80"/>
    <w:rsid w:val="00CC01E7"/>
    <w:rsid w:val="00CC0525"/>
    <w:rsid w:val="00CC05CC"/>
    <w:rsid w:val="00CC0ADB"/>
    <w:rsid w:val="00CC0F55"/>
    <w:rsid w:val="00CC1069"/>
    <w:rsid w:val="00CC10CD"/>
    <w:rsid w:val="00CC1BC5"/>
    <w:rsid w:val="00CC1CA6"/>
    <w:rsid w:val="00CC2052"/>
    <w:rsid w:val="00CC2158"/>
    <w:rsid w:val="00CC220B"/>
    <w:rsid w:val="00CC2474"/>
    <w:rsid w:val="00CC2692"/>
    <w:rsid w:val="00CC30B8"/>
    <w:rsid w:val="00CC31DF"/>
    <w:rsid w:val="00CC33B5"/>
    <w:rsid w:val="00CC3452"/>
    <w:rsid w:val="00CC3750"/>
    <w:rsid w:val="00CC3836"/>
    <w:rsid w:val="00CC3A93"/>
    <w:rsid w:val="00CC3B55"/>
    <w:rsid w:val="00CC3C3F"/>
    <w:rsid w:val="00CC4027"/>
    <w:rsid w:val="00CC4523"/>
    <w:rsid w:val="00CC466D"/>
    <w:rsid w:val="00CC4B22"/>
    <w:rsid w:val="00CC4D02"/>
    <w:rsid w:val="00CC4E58"/>
    <w:rsid w:val="00CC4E66"/>
    <w:rsid w:val="00CC5331"/>
    <w:rsid w:val="00CC5A2F"/>
    <w:rsid w:val="00CC5C43"/>
    <w:rsid w:val="00CC5D7B"/>
    <w:rsid w:val="00CC67A5"/>
    <w:rsid w:val="00CC6AC9"/>
    <w:rsid w:val="00CC7077"/>
    <w:rsid w:val="00CC7366"/>
    <w:rsid w:val="00CC77AF"/>
    <w:rsid w:val="00CC7840"/>
    <w:rsid w:val="00CC7DB3"/>
    <w:rsid w:val="00CD02AE"/>
    <w:rsid w:val="00CD0B87"/>
    <w:rsid w:val="00CD13EA"/>
    <w:rsid w:val="00CD1CFA"/>
    <w:rsid w:val="00CD21DA"/>
    <w:rsid w:val="00CD2294"/>
    <w:rsid w:val="00CD2694"/>
    <w:rsid w:val="00CD2A4F"/>
    <w:rsid w:val="00CD2A66"/>
    <w:rsid w:val="00CD2D47"/>
    <w:rsid w:val="00CD3061"/>
    <w:rsid w:val="00CD30FF"/>
    <w:rsid w:val="00CD33E6"/>
    <w:rsid w:val="00CD3734"/>
    <w:rsid w:val="00CD3AFF"/>
    <w:rsid w:val="00CD3BC8"/>
    <w:rsid w:val="00CD3CBE"/>
    <w:rsid w:val="00CD4D68"/>
    <w:rsid w:val="00CD4F07"/>
    <w:rsid w:val="00CD5171"/>
    <w:rsid w:val="00CD523E"/>
    <w:rsid w:val="00CD5597"/>
    <w:rsid w:val="00CD597B"/>
    <w:rsid w:val="00CD5A7A"/>
    <w:rsid w:val="00CD5EF4"/>
    <w:rsid w:val="00CD6BB8"/>
    <w:rsid w:val="00CD6FE2"/>
    <w:rsid w:val="00CD7886"/>
    <w:rsid w:val="00CD7D71"/>
    <w:rsid w:val="00CD7DA0"/>
    <w:rsid w:val="00CE0206"/>
    <w:rsid w:val="00CE0249"/>
    <w:rsid w:val="00CE03CA"/>
    <w:rsid w:val="00CE0921"/>
    <w:rsid w:val="00CE0946"/>
    <w:rsid w:val="00CE0A2E"/>
    <w:rsid w:val="00CE0D44"/>
    <w:rsid w:val="00CE0DD3"/>
    <w:rsid w:val="00CE1169"/>
    <w:rsid w:val="00CE1DC2"/>
    <w:rsid w:val="00CE2031"/>
    <w:rsid w:val="00CE22F1"/>
    <w:rsid w:val="00CE251B"/>
    <w:rsid w:val="00CE2DB2"/>
    <w:rsid w:val="00CE2E3C"/>
    <w:rsid w:val="00CE302A"/>
    <w:rsid w:val="00CE3280"/>
    <w:rsid w:val="00CE34C6"/>
    <w:rsid w:val="00CE38C6"/>
    <w:rsid w:val="00CE3ABE"/>
    <w:rsid w:val="00CE3B27"/>
    <w:rsid w:val="00CE3B35"/>
    <w:rsid w:val="00CE3C47"/>
    <w:rsid w:val="00CE423D"/>
    <w:rsid w:val="00CE455E"/>
    <w:rsid w:val="00CE473B"/>
    <w:rsid w:val="00CE4C1E"/>
    <w:rsid w:val="00CE4E84"/>
    <w:rsid w:val="00CE4F4B"/>
    <w:rsid w:val="00CE50F2"/>
    <w:rsid w:val="00CE530E"/>
    <w:rsid w:val="00CE6502"/>
    <w:rsid w:val="00CE6C9C"/>
    <w:rsid w:val="00CE7016"/>
    <w:rsid w:val="00CE70C4"/>
    <w:rsid w:val="00CE7A1B"/>
    <w:rsid w:val="00CE7B27"/>
    <w:rsid w:val="00CE7BCA"/>
    <w:rsid w:val="00CF0462"/>
    <w:rsid w:val="00CF07EA"/>
    <w:rsid w:val="00CF0926"/>
    <w:rsid w:val="00CF0929"/>
    <w:rsid w:val="00CF0976"/>
    <w:rsid w:val="00CF12CA"/>
    <w:rsid w:val="00CF14A6"/>
    <w:rsid w:val="00CF1A78"/>
    <w:rsid w:val="00CF1AB2"/>
    <w:rsid w:val="00CF24A0"/>
    <w:rsid w:val="00CF267B"/>
    <w:rsid w:val="00CF2A94"/>
    <w:rsid w:val="00CF2C68"/>
    <w:rsid w:val="00CF2E51"/>
    <w:rsid w:val="00CF33AA"/>
    <w:rsid w:val="00CF3591"/>
    <w:rsid w:val="00CF389E"/>
    <w:rsid w:val="00CF3A93"/>
    <w:rsid w:val="00CF3C05"/>
    <w:rsid w:val="00CF3F4A"/>
    <w:rsid w:val="00CF5041"/>
    <w:rsid w:val="00CF5E54"/>
    <w:rsid w:val="00CF64A8"/>
    <w:rsid w:val="00CF64D9"/>
    <w:rsid w:val="00CF652C"/>
    <w:rsid w:val="00CF6AF7"/>
    <w:rsid w:val="00CF7CF9"/>
    <w:rsid w:val="00CF7D3C"/>
    <w:rsid w:val="00CF7F94"/>
    <w:rsid w:val="00D00107"/>
    <w:rsid w:val="00D00939"/>
    <w:rsid w:val="00D00A3C"/>
    <w:rsid w:val="00D00D29"/>
    <w:rsid w:val="00D01133"/>
    <w:rsid w:val="00D028FD"/>
    <w:rsid w:val="00D029CA"/>
    <w:rsid w:val="00D02B73"/>
    <w:rsid w:val="00D02DDD"/>
    <w:rsid w:val="00D0317B"/>
    <w:rsid w:val="00D03311"/>
    <w:rsid w:val="00D03698"/>
    <w:rsid w:val="00D03C45"/>
    <w:rsid w:val="00D03D1F"/>
    <w:rsid w:val="00D0439D"/>
    <w:rsid w:val="00D04421"/>
    <w:rsid w:val="00D045B7"/>
    <w:rsid w:val="00D04632"/>
    <w:rsid w:val="00D04922"/>
    <w:rsid w:val="00D04978"/>
    <w:rsid w:val="00D04BFB"/>
    <w:rsid w:val="00D04CEE"/>
    <w:rsid w:val="00D05173"/>
    <w:rsid w:val="00D05376"/>
    <w:rsid w:val="00D055A7"/>
    <w:rsid w:val="00D055D2"/>
    <w:rsid w:val="00D05634"/>
    <w:rsid w:val="00D05B21"/>
    <w:rsid w:val="00D05E20"/>
    <w:rsid w:val="00D06345"/>
    <w:rsid w:val="00D064F1"/>
    <w:rsid w:val="00D067D6"/>
    <w:rsid w:val="00D06C6B"/>
    <w:rsid w:val="00D06D22"/>
    <w:rsid w:val="00D072FA"/>
    <w:rsid w:val="00D078EE"/>
    <w:rsid w:val="00D07DC0"/>
    <w:rsid w:val="00D10137"/>
    <w:rsid w:val="00D10A31"/>
    <w:rsid w:val="00D1125C"/>
    <w:rsid w:val="00D112C4"/>
    <w:rsid w:val="00D114F8"/>
    <w:rsid w:val="00D11861"/>
    <w:rsid w:val="00D11A30"/>
    <w:rsid w:val="00D11D7D"/>
    <w:rsid w:val="00D1330C"/>
    <w:rsid w:val="00D1337F"/>
    <w:rsid w:val="00D1378A"/>
    <w:rsid w:val="00D13BAA"/>
    <w:rsid w:val="00D142FB"/>
    <w:rsid w:val="00D14561"/>
    <w:rsid w:val="00D147EB"/>
    <w:rsid w:val="00D1583D"/>
    <w:rsid w:val="00D164D9"/>
    <w:rsid w:val="00D166D7"/>
    <w:rsid w:val="00D16A19"/>
    <w:rsid w:val="00D1733C"/>
    <w:rsid w:val="00D1741E"/>
    <w:rsid w:val="00D17A59"/>
    <w:rsid w:val="00D17D74"/>
    <w:rsid w:val="00D17E04"/>
    <w:rsid w:val="00D17F89"/>
    <w:rsid w:val="00D20352"/>
    <w:rsid w:val="00D20A11"/>
    <w:rsid w:val="00D20CB4"/>
    <w:rsid w:val="00D20DA2"/>
    <w:rsid w:val="00D210FF"/>
    <w:rsid w:val="00D21111"/>
    <w:rsid w:val="00D21611"/>
    <w:rsid w:val="00D21889"/>
    <w:rsid w:val="00D218F0"/>
    <w:rsid w:val="00D21DA6"/>
    <w:rsid w:val="00D220D7"/>
    <w:rsid w:val="00D22238"/>
    <w:rsid w:val="00D222E2"/>
    <w:rsid w:val="00D2241C"/>
    <w:rsid w:val="00D224C8"/>
    <w:rsid w:val="00D224E7"/>
    <w:rsid w:val="00D2265D"/>
    <w:rsid w:val="00D22800"/>
    <w:rsid w:val="00D22970"/>
    <w:rsid w:val="00D22B60"/>
    <w:rsid w:val="00D22C63"/>
    <w:rsid w:val="00D23AB9"/>
    <w:rsid w:val="00D23B9E"/>
    <w:rsid w:val="00D23D30"/>
    <w:rsid w:val="00D23EB5"/>
    <w:rsid w:val="00D23EEA"/>
    <w:rsid w:val="00D24967"/>
    <w:rsid w:val="00D24CC9"/>
    <w:rsid w:val="00D250BC"/>
    <w:rsid w:val="00D25858"/>
    <w:rsid w:val="00D25879"/>
    <w:rsid w:val="00D259B4"/>
    <w:rsid w:val="00D259D8"/>
    <w:rsid w:val="00D25B92"/>
    <w:rsid w:val="00D25C25"/>
    <w:rsid w:val="00D26C0A"/>
    <w:rsid w:val="00D26E26"/>
    <w:rsid w:val="00D271E5"/>
    <w:rsid w:val="00D273C9"/>
    <w:rsid w:val="00D27472"/>
    <w:rsid w:val="00D275AF"/>
    <w:rsid w:val="00D27CA7"/>
    <w:rsid w:val="00D27E4F"/>
    <w:rsid w:val="00D27FE9"/>
    <w:rsid w:val="00D30406"/>
    <w:rsid w:val="00D3081A"/>
    <w:rsid w:val="00D30ED9"/>
    <w:rsid w:val="00D321A6"/>
    <w:rsid w:val="00D321F5"/>
    <w:rsid w:val="00D326D2"/>
    <w:rsid w:val="00D32940"/>
    <w:rsid w:val="00D32989"/>
    <w:rsid w:val="00D32CAF"/>
    <w:rsid w:val="00D331AD"/>
    <w:rsid w:val="00D33615"/>
    <w:rsid w:val="00D336C7"/>
    <w:rsid w:val="00D33B5E"/>
    <w:rsid w:val="00D33C23"/>
    <w:rsid w:val="00D33C5D"/>
    <w:rsid w:val="00D34356"/>
    <w:rsid w:val="00D343CD"/>
    <w:rsid w:val="00D34430"/>
    <w:rsid w:val="00D345BF"/>
    <w:rsid w:val="00D34667"/>
    <w:rsid w:val="00D347F9"/>
    <w:rsid w:val="00D34935"/>
    <w:rsid w:val="00D34BCF"/>
    <w:rsid w:val="00D34C5E"/>
    <w:rsid w:val="00D35151"/>
    <w:rsid w:val="00D352A2"/>
    <w:rsid w:val="00D3535A"/>
    <w:rsid w:val="00D35576"/>
    <w:rsid w:val="00D358B1"/>
    <w:rsid w:val="00D35C49"/>
    <w:rsid w:val="00D36506"/>
    <w:rsid w:val="00D365C8"/>
    <w:rsid w:val="00D3666A"/>
    <w:rsid w:val="00D36A38"/>
    <w:rsid w:val="00D36B24"/>
    <w:rsid w:val="00D36D88"/>
    <w:rsid w:val="00D37BC2"/>
    <w:rsid w:val="00D401E1"/>
    <w:rsid w:val="00D408B4"/>
    <w:rsid w:val="00D40B3A"/>
    <w:rsid w:val="00D40B42"/>
    <w:rsid w:val="00D40E25"/>
    <w:rsid w:val="00D415FC"/>
    <w:rsid w:val="00D4164B"/>
    <w:rsid w:val="00D41BAC"/>
    <w:rsid w:val="00D420F4"/>
    <w:rsid w:val="00D421E9"/>
    <w:rsid w:val="00D4268E"/>
    <w:rsid w:val="00D4281F"/>
    <w:rsid w:val="00D428B8"/>
    <w:rsid w:val="00D4292B"/>
    <w:rsid w:val="00D43250"/>
    <w:rsid w:val="00D43712"/>
    <w:rsid w:val="00D43A08"/>
    <w:rsid w:val="00D4405C"/>
    <w:rsid w:val="00D441E5"/>
    <w:rsid w:val="00D44269"/>
    <w:rsid w:val="00D44427"/>
    <w:rsid w:val="00D4473D"/>
    <w:rsid w:val="00D44D2B"/>
    <w:rsid w:val="00D45251"/>
    <w:rsid w:val="00D455DA"/>
    <w:rsid w:val="00D4591A"/>
    <w:rsid w:val="00D45A36"/>
    <w:rsid w:val="00D45D94"/>
    <w:rsid w:val="00D45EFD"/>
    <w:rsid w:val="00D45FC0"/>
    <w:rsid w:val="00D4626E"/>
    <w:rsid w:val="00D46AB1"/>
    <w:rsid w:val="00D470E0"/>
    <w:rsid w:val="00D472B2"/>
    <w:rsid w:val="00D476CB"/>
    <w:rsid w:val="00D47D13"/>
    <w:rsid w:val="00D502BF"/>
    <w:rsid w:val="00D50561"/>
    <w:rsid w:val="00D50850"/>
    <w:rsid w:val="00D50A0A"/>
    <w:rsid w:val="00D50B62"/>
    <w:rsid w:val="00D50DC1"/>
    <w:rsid w:val="00D50FCA"/>
    <w:rsid w:val="00D51AEE"/>
    <w:rsid w:val="00D51D33"/>
    <w:rsid w:val="00D521DB"/>
    <w:rsid w:val="00D524C8"/>
    <w:rsid w:val="00D5255C"/>
    <w:rsid w:val="00D52806"/>
    <w:rsid w:val="00D52B79"/>
    <w:rsid w:val="00D52D61"/>
    <w:rsid w:val="00D53030"/>
    <w:rsid w:val="00D530B5"/>
    <w:rsid w:val="00D53588"/>
    <w:rsid w:val="00D535D4"/>
    <w:rsid w:val="00D5382B"/>
    <w:rsid w:val="00D53A9B"/>
    <w:rsid w:val="00D53E25"/>
    <w:rsid w:val="00D53E8A"/>
    <w:rsid w:val="00D545B1"/>
    <w:rsid w:val="00D54D68"/>
    <w:rsid w:val="00D556FB"/>
    <w:rsid w:val="00D558CE"/>
    <w:rsid w:val="00D559DF"/>
    <w:rsid w:val="00D55B0E"/>
    <w:rsid w:val="00D55B12"/>
    <w:rsid w:val="00D55BC5"/>
    <w:rsid w:val="00D55F86"/>
    <w:rsid w:val="00D560EE"/>
    <w:rsid w:val="00D56177"/>
    <w:rsid w:val="00D5643B"/>
    <w:rsid w:val="00D56673"/>
    <w:rsid w:val="00D56735"/>
    <w:rsid w:val="00D56E98"/>
    <w:rsid w:val="00D57425"/>
    <w:rsid w:val="00D577BF"/>
    <w:rsid w:val="00D57E4C"/>
    <w:rsid w:val="00D6078C"/>
    <w:rsid w:val="00D60921"/>
    <w:rsid w:val="00D60B1B"/>
    <w:rsid w:val="00D60B82"/>
    <w:rsid w:val="00D60E25"/>
    <w:rsid w:val="00D60ED4"/>
    <w:rsid w:val="00D616E9"/>
    <w:rsid w:val="00D6253E"/>
    <w:rsid w:val="00D62F52"/>
    <w:rsid w:val="00D62F78"/>
    <w:rsid w:val="00D62FCE"/>
    <w:rsid w:val="00D6323B"/>
    <w:rsid w:val="00D63351"/>
    <w:rsid w:val="00D6351E"/>
    <w:rsid w:val="00D63645"/>
    <w:rsid w:val="00D64199"/>
    <w:rsid w:val="00D6432C"/>
    <w:rsid w:val="00D6447D"/>
    <w:rsid w:val="00D64A71"/>
    <w:rsid w:val="00D64F07"/>
    <w:rsid w:val="00D654EB"/>
    <w:rsid w:val="00D65527"/>
    <w:rsid w:val="00D655DA"/>
    <w:rsid w:val="00D66C8D"/>
    <w:rsid w:val="00D66D15"/>
    <w:rsid w:val="00D66DF7"/>
    <w:rsid w:val="00D66EEE"/>
    <w:rsid w:val="00D67138"/>
    <w:rsid w:val="00D67327"/>
    <w:rsid w:val="00D67459"/>
    <w:rsid w:val="00D676ED"/>
    <w:rsid w:val="00D67D4D"/>
    <w:rsid w:val="00D67DE9"/>
    <w:rsid w:val="00D67EA5"/>
    <w:rsid w:val="00D7013B"/>
    <w:rsid w:val="00D706D6"/>
    <w:rsid w:val="00D707D6"/>
    <w:rsid w:val="00D70C43"/>
    <w:rsid w:val="00D70C5A"/>
    <w:rsid w:val="00D70DF4"/>
    <w:rsid w:val="00D70E24"/>
    <w:rsid w:val="00D70ED9"/>
    <w:rsid w:val="00D70F37"/>
    <w:rsid w:val="00D70F52"/>
    <w:rsid w:val="00D711F0"/>
    <w:rsid w:val="00D715C7"/>
    <w:rsid w:val="00D716B3"/>
    <w:rsid w:val="00D71784"/>
    <w:rsid w:val="00D71A58"/>
    <w:rsid w:val="00D71B0E"/>
    <w:rsid w:val="00D71BC4"/>
    <w:rsid w:val="00D71CC0"/>
    <w:rsid w:val="00D722A3"/>
    <w:rsid w:val="00D72924"/>
    <w:rsid w:val="00D72B61"/>
    <w:rsid w:val="00D72BE8"/>
    <w:rsid w:val="00D732AF"/>
    <w:rsid w:val="00D7352E"/>
    <w:rsid w:val="00D73888"/>
    <w:rsid w:val="00D73939"/>
    <w:rsid w:val="00D73C12"/>
    <w:rsid w:val="00D73F49"/>
    <w:rsid w:val="00D742A0"/>
    <w:rsid w:val="00D74593"/>
    <w:rsid w:val="00D74A2E"/>
    <w:rsid w:val="00D74C3E"/>
    <w:rsid w:val="00D74F77"/>
    <w:rsid w:val="00D75511"/>
    <w:rsid w:val="00D7562A"/>
    <w:rsid w:val="00D75C94"/>
    <w:rsid w:val="00D75CE6"/>
    <w:rsid w:val="00D75E68"/>
    <w:rsid w:val="00D76AC3"/>
    <w:rsid w:val="00D76BFA"/>
    <w:rsid w:val="00D7731B"/>
    <w:rsid w:val="00D77654"/>
    <w:rsid w:val="00D7784C"/>
    <w:rsid w:val="00D77ECD"/>
    <w:rsid w:val="00D80381"/>
    <w:rsid w:val="00D804EA"/>
    <w:rsid w:val="00D80BD1"/>
    <w:rsid w:val="00D8112D"/>
    <w:rsid w:val="00D8139B"/>
    <w:rsid w:val="00D8201E"/>
    <w:rsid w:val="00D821E4"/>
    <w:rsid w:val="00D82568"/>
    <w:rsid w:val="00D830A5"/>
    <w:rsid w:val="00D830DB"/>
    <w:rsid w:val="00D837EF"/>
    <w:rsid w:val="00D83819"/>
    <w:rsid w:val="00D83BDC"/>
    <w:rsid w:val="00D83C48"/>
    <w:rsid w:val="00D84273"/>
    <w:rsid w:val="00D844F2"/>
    <w:rsid w:val="00D84780"/>
    <w:rsid w:val="00D84AAA"/>
    <w:rsid w:val="00D84F59"/>
    <w:rsid w:val="00D853D8"/>
    <w:rsid w:val="00D85416"/>
    <w:rsid w:val="00D863FB"/>
    <w:rsid w:val="00D86421"/>
    <w:rsid w:val="00D86553"/>
    <w:rsid w:val="00D86571"/>
    <w:rsid w:val="00D86B7F"/>
    <w:rsid w:val="00D870BA"/>
    <w:rsid w:val="00D870D0"/>
    <w:rsid w:val="00D87174"/>
    <w:rsid w:val="00D87739"/>
    <w:rsid w:val="00D87A69"/>
    <w:rsid w:val="00D900D5"/>
    <w:rsid w:val="00D90107"/>
    <w:rsid w:val="00D904A2"/>
    <w:rsid w:val="00D90C9E"/>
    <w:rsid w:val="00D90C9F"/>
    <w:rsid w:val="00D91CF9"/>
    <w:rsid w:val="00D91E39"/>
    <w:rsid w:val="00D91E4F"/>
    <w:rsid w:val="00D924F0"/>
    <w:rsid w:val="00D92512"/>
    <w:rsid w:val="00D92573"/>
    <w:rsid w:val="00D92789"/>
    <w:rsid w:val="00D92863"/>
    <w:rsid w:val="00D92DAE"/>
    <w:rsid w:val="00D92E0B"/>
    <w:rsid w:val="00D92F80"/>
    <w:rsid w:val="00D92FBC"/>
    <w:rsid w:val="00D92FF4"/>
    <w:rsid w:val="00D9316F"/>
    <w:rsid w:val="00D93275"/>
    <w:rsid w:val="00D93581"/>
    <w:rsid w:val="00D9375C"/>
    <w:rsid w:val="00D938CF"/>
    <w:rsid w:val="00D93CD5"/>
    <w:rsid w:val="00D944F4"/>
    <w:rsid w:val="00D9578D"/>
    <w:rsid w:val="00D95DF9"/>
    <w:rsid w:val="00D961F5"/>
    <w:rsid w:val="00D96DD7"/>
    <w:rsid w:val="00D96E09"/>
    <w:rsid w:val="00D96FA6"/>
    <w:rsid w:val="00D97250"/>
    <w:rsid w:val="00D972CC"/>
    <w:rsid w:val="00D974A2"/>
    <w:rsid w:val="00D97B8A"/>
    <w:rsid w:val="00D97D85"/>
    <w:rsid w:val="00D97EA8"/>
    <w:rsid w:val="00DA0152"/>
    <w:rsid w:val="00DA0D99"/>
    <w:rsid w:val="00DA0FC9"/>
    <w:rsid w:val="00DA1B9B"/>
    <w:rsid w:val="00DA2191"/>
    <w:rsid w:val="00DA2AA3"/>
    <w:rsid w:val="00DA3422"/>
    <w:rsid w:val="00DA37C4"/>
    <w:rsid w:val="00DA3BDF"/>
    <w:rsid w:val="00DA3D1D"/>
    <w:rsid w:val="00DA44D0"/>
    <w:rsid w:val="00DA4502"/>
    <w:rsid w:val="00DA49A9"/>
    <w:rsid w:val="00DA4F82"/>
    <w:rsid w:val="00DA5423"/>
    <w:rsid w:val="00DA55C7"/>
    <w:rsid w:val="00DA5703"/>
    <w:rsid w:val="00DA57D0"/>
    <w:rsid w:val="00DA5A83"/>
    <w:rsid w:val="00DA5ADC"/>
    <w:rsid w:val="00DA5DB2"/>
    <w:rsid w:val="00DA5FE5"/>
    <w:rsid w:val="00DA650A"/>
    <w:rsid w:val="00DA6A9A"/>
    <w:rsid w:val="00DA71D2"/>
    <w:rsid w:val="00DA7A5F"/>
    <w:rsid w:val="00DB0138"/>
    <w:rsid w:val="00DB0180"/>
    <w:rsid w:val="00DB04B6"/>
    <w:rsid w:val="00DB0A0B"/>
    <w:rsid w:val="00DB0ACE"/>
    <w:rsid w:val="00DB0D55"/>
    <w:rsid w:val="00DB1267"/>
    <w:rsid w:val="00DB1731"/>
    <w:rsid w:val="00DB1D89"/>
    <w:rsid w:val="00DB1F35"/>
    <w:rsid w:val="00DB2719"/>
    <w:rsid w:val="00DB2CF7"/>
    <w:rsid w:val="00DB2FE9"/>
    <w:rsid w:val="00DB3020"/>
    <w:rsid w:val="00DB30FD"/>
    <w:rsid w:val="00DB3689"/>
    <w:rsid w:val="00DB36CC"/>
    <w:rsid w:val="00DB37D1"/>
    <w:rsid w:val="00DB3A39"/>
    <w:rsid w:val="00DB3B07"/>
    <w:rsid w:val="00DB4074"/>
    <w:rsid w:val="00DB4582"/>
    <w:rsid w:val="00DB4A75"/>
    <w:rsid w:val="00DB4FE5"/>
    <w:rsid w:val="00DB4FEB"/>
    <w:rsid w:val="00DB5192"/>
    <w:rsid w:val="00DB5387"/>
    <w:rsid w:val="00DB5397"/>
    <w:rsid w:val="00DB56AB"/>
    <w:rsid w:val="00DB5C1F"/>
    <w:rsid w:val="00DB5E33"/>
    <w:rsid w:val="00DB5FC5"/>
    <w:rsid w:val="00DB6286"/>
    <w:rsid w:val="00DB645F"/>
    <w:rsid w:val="00DB6E6C"/>
    <w:rsid w:val="00DB71E1"/>
    <w:rsid w:val="00DB7224"/>
    <w:rsid w:val="00DB75F7"/>
    <w:rsid w:val="00DB76E9"/>
    <w:rsid w:val="00DB78EA"/>
    <w:rsid w:val="00DB7A43"/>
    <w:rsid w:val="00DB7D98"/>
    <w:rsid w:val="00DB7E66"/>
    <w:rsid w:val="00DC0383"/>
    <w:rsid w:val="00DC054F"/>
    <w:rsid w:val="00DC0A67"/>
    <w:rsid w:val="00DC0BB5"/>
    <w:rsid w:val="00DC0BCE"/>
    <w:rsid w:val="00DC101E"/>
    <w:rsid w:val="00DC12DA"/>
    <w:rsid w:val="00DC15B4"/>
    <w:rsid w:val="00DC1971"/>
    <w:rsid w:val="00DC1AC2"/>
    <w:rsid w:val="00DC1B2F"/>
    <w:rsid w:val="00DC1BBC"/>
    <w:rsid w:val="00DC1D5E"/>
    <w:rsid w:val="00DC2313"/>
    <w:rsid w:val="00DC28F9"/>
    <w:rsid w:val="00DC2A97"/>
    <w:rsid w:val="00DC2ABC"/>
    <w:rsid w:val="00DC2DAD"/>
    <w:rsid w:val="00DC2DC3"/>
    <w:rsid w:val="00DC2ED2"/>
    <w:rsid w:val="00DC3393"/>
    <w:rsid w:val="00DC3971"/>
    <w:rsid w:val="00DC448D"/>
    <w:rsid w:val="00DC48EA"/>
    <w:rsid w:val="00DC4923"/>
    <w:rsid w:val="00DC51BF"/>
    <w:rsid w:val="00DC5220"/>
    <w:rsid w:val="00DC5226"/>
    <w:rsid w:val="00DC5378"/>
    <w:rsid w:val="00DC54C4"/>
    <w:rsid w:val="00DC59C0"/>
    <w:rsid w:val="00DC5E39"/>
    <w:rsid w:val="00DC6054"/>
    <w:rsid w:val="00DC6348"/>
    <w:rsid w:val="00DC67CC"/>
    <w:rsid w:val="00DC6BE2"/>
    <w:rsid w:val="00DC71C2"/>
    <w:rsid w:val="00DC71EA"/>
    <w:rsid w:val="00DC7481"/>
    <w:rsid w:val="00DC78D3"/>
    <w:rsid w:val="00DC7910"/>
    <w:rsid w:val="00DC7C83"/>
    <w:rsid w:val="00DD0100"/>
    <w:rsid w:val="00DD03CD"/>
    <w:rsid w:val="00DD0537"/>
    <w:rsid w:val="00DD0956"/>
    <w:rsid w:val="00DD0D9C"/>
    <w:rsid w:val="00DD0E17"/>
    <w:rsid w:val="00DD1C06"/>
    <w:rsid w:val="00DD2061"/>
    <w:rsid w:val="00DD21A1"/>
    <w:rsid w:val="00DD2699"/>
    <w:rsid w:val="00DD2AAE"/>
    <w:rsid w:val="00DD326A"/>
    <w:rsid w:val="00DD32C5"/>
    <w:rsid w:val="00DD3874"/>
    <w:rsid w:val="00DD39CB"/>
    <w:rsid w:val="00DD3BF4"/>
    <w:rsid w:val="00DD461A"/>
    <w:rsid w:val="00DD48BF"/>
    <w:rsid w:val="00DD48D2"/>
    <w:rsid w:val="00DD4970"/>
    <w:rsid w:val="00DD4BAC"/>
    <w:rsid w:val="00DD4C5F"/>
    <w:rsid w:val="00DD4D19"/>
    <w:rsid w:val="00DD4E16"/>
    <w:rsid w:val="00DD4EB1"/>
    <w:rsid w:val="00DD50F5"/>
    <w:rsid w:val="00DD5448"/>
    <w:rsid w:val="00DD5B40"/>
    <w:rsid w:val="00DD5DF8"/>
    <w:rsid w:val="00DD5FB0"/>
    <w:rsid w:val="00DD64CA"/>
    <w:rsid w:val="00DD6615"/>
    <w:rsid w:val="00DD6BBA"/>
    <w:rsid w:val="00DD75A8"/>
    <w:rsid w:val="00DD7A42"/>
    <w:rsid w:val="00DD7CAC"/>
    <w:rsid w:val="00DD7DAB"/>
    <w:rsid w:val="00DE03BD"/>
    <w:rsid w:val="00DE050E"/>
    <w:rsid w:val="00DE0A92"/>
    <w:rsid w:val="00DE0D84"/>
    <w:rsid w:val="00DE135F"/>
    <w:rsid w:val="00DE139A"/>
    <w:rsid w:val="00DE1733"/>
    <w:rsid w:val="00DE18CA"/>
    <w:rsid w:val="00DE18D4"/>
    <w:rsid w:val="00DE1C59"/>
    <w:rsid w:val="00DE25B4"/>
    <w:rsid w:val="00DE2779"/>
    <w:rsid w:val="00DE2913"/>
    <w:rsid w:val="00DE2A26"/>
    <w:rsid w:val="00DE2C21"/>
    <w:rsid w:val="00DE30AA"/>
    <w:rsid w:val="00DE3355"/>
    <w:rsid w:val="00DE352A"/>
    <w:rsid w:val="00DE38B5"/>
    <w:rsid w:val="00DE3BE2"/>
    <w:rsid w:val="00DE3D35"/>
    <w:rsid w:val="00DE4115"/>
    <w:rsid w:val="00DE41EB"/>
    <w:rsid w:val="00DE4521"/>
    <w:rsid w:val="00DE49B6"/>
    <w:rsid w:val="00DE49EC"/>
    <w:rsid w:val="00DE4C36"/>
    <w:rsid w:val="00DE4C62"/>
    <w:rsid w:val="00DE5191"/>
    <w:rsid w:val="00DE54AD"/>
    <w:rsid w:val="00DE5686"/>
    <w:rsid w:val="00DE581E"/>
    <w:rsid w:val="00DE5989"/>
    <w:rsid w:val="00DE5D1E"/>
    <w:rsid w:val="00DE5F39"/>
    <w:rsid w:val="00DE60BD"/>
    <w:rsid w:val="00DE6214"/>
    <w:rsid w:val="00DE6220"/>
    <w:rsid w:val="00DE663B"/>
    <w:rsid w:val="00DE6772"/>
    <w:rsid w:val="00DE6D4A"/>
    <w:rsid w:val="00DE7844"/>
    <w:rsid w:val="00DE79B6"/>
    <w:rsid w:val="00DE79F5"/>
    <w:rsid w:val="00DE7BEB"/>
    <w:rsid w:val="00DE7C5A"/>
    <w:rsid w:val="00DE7EE5"/>
    <w:rsid w:val="00DE7F02"/>
    <w:rsid w:val="00DF07D9"/>
    <w:rsid w:val="00DF0A20"/>
    <w:rsid w:val="00DF1061"/>
    <w:rsid w:val="00DF17D9"/>
    <w:rsid w:val="00DF2028"/>
    <w:rsid w:val="00DF21BC"/>
    <w:rsid w:val="00DF22FC"/>
    <w:rsid w:val="00DF244C"/>
    <w:rsid w:val="00DF24E8"/>
    <w:rsid w:val="00DF25CB"/>
    <w:rsid w:val="00DF273C"/>
    <w:rsid w:val="00DF2923"/>
    <w:rsid w:val="00DF31A8"/>
    <w:rsid w:val="00DF3300"/>
    <w:rsid w:val="00DF3400"/>
    <w:rsid w:val="00DF3894"/>
    <w:rsid w:val="00DF38BE"/>
    <w:rsid w:val="00DF4061"/>
    <w:rsid w:val="00DF486F"/>
    <w:rsid w:val="00DF4A74"/>
    <w:rsid w:val="00DF4B22"/>
    <w:rsid w:val="00DF4F01"/>
    <w:rsid w:val="00DF4F49"/>
    <w:rsid w:val="00DF50B9"/>
    <w:rsid w:val="00DF51CE"/>
    <w:rsid w:val="00DF540C"/>
    <w:rsid w:val="00DF54FB"/>
    <w:rsid w:val="00DF56E7"/>
    <w:rsid w:val="00DF5AEC"/>
    <w:rsid w:val="00DF5B5B"/>
    <w:rsid w:val="00DF6178"/>
    <w:rsid w:val="00DF662B"/>
    <w:rsid w:val="00DF6B09"/>
    <w:rsid w:val="00DF7386"/>
    <w:rsid w:val="00DF74CC"/>
    <w:rsid w:val="00DF7619"/>
    <w:rsid w:val="00E0066D"/>
    <w:rsid w:val="00E008AC"/>
    <w:rsid w:val="00E00FBA"/>
    <w:rsid w:val="00E016BD"/>
    <w:rsid w:val="00E0197E"/>
    <w:rsid w:val="00E020D0"/>
    <w:rsid w:val="00E021FB"/>
    <w:rsid w:val="00E022CA"/>
    <w:rsid w:val="00E022E7"/>
    <w:rsid w:val="00E02411"/>
    <w:rsid w:val="00E02533"/>
    <w:rsid w:val="00E02B05"/>
    <w:rsid w:val="00E02DBA"/>
    <w:rsid w:val="00E030B8"/>
    <w:rsid w:val="00E03166"/>
    <w:rsid w:val="00E03173"/>
    <w:rsid w:val="00E0328E"/>
    <w:rsid w:val="00E03402"/>
    <w:rsid w:val="00E034FB"/>
    <w:rsid w:val="00E03D79"/>
    <w:rsid w:val="00E04135"/>
    <w:rsid w:val="00E042D8"/>
    <w:rsid w:val="00E04C2E"/>
    <w:rsid w:val="00E051EB"/>
    <w:rsid w:val="00E052F0"/>
    <w:rsid w:val="00E0543D"/>
    <w:rsid w:val="00E05561"/>
    <w:rsid w:val="00E05A89"/>
    <w:rsid w:val="00E05E08"/>
    <w:rsid w:val="00E05F78"/>
    <w:rsid w:val="00E060A3"/>
    <w:rsid w:val="00E063BF"/>
    <w:rsid w:val="00E064D0"/>
    <w:rsid w:val="00E06C3B"/>
    <w:rsid w:val="00E06D79"/>
    <w:rsid w:val="00E06F85"/>
    <w:rsid w:val="00E07EE7"/>
    <w:rsid w:val="00E1018A"/>
    <w:rsid w:val="00E10348"/>
    <w:rsid w:val="00E10398"/>
    <w:rsid w:val="00E10D27"/>
    <w:rsid w:val="00E1103B"/>
    <w:rsid w:val="00E1119E"/>
    <w:rsid w:val="00E1134E"/>
    <w:rsid w:val="00E119CE"/>
    <w:rsid w:val="00E120B4"/>
    <w:rsid w:val="00E1225E"/>
    <w:rsid w:val="00E125D9"/>
    <w:rsid w:val="00E125E6"/>
    <w:rsid w:val="00E1357B"/>
    <w:rsid w:val="00E13610"/>
    <w:rsid w:val="00E13879"/>
    <w:rsid w:val="00E13C3A"/>
    <w:rsid w:val="00E13E08"/>
    <w:rsid w:val="00E13F59"/>
    <w:rsid w:val="00E147C4"/>
    <w:rsid w:val="00E14A3C"/>
    <w:rsid w:val="00E1567C"/>
    <w:rsid w:val="00E15824"/>
    <w:rsid w:val="00E1588F"/>
    <w:rsid w:val="00E15A28"/>
    <w:rsid w:val="00E15D3F"/>
    <w:rsid w:val="00E15D45"/>
    <w:rsid w:val="00E15E58"/>
    <w:rsid w:val="00E168FB"/>
    <w:rsid w:val="00E16D24"/>
    <w:rsid w:val="00E16E51"/>
    <w:rsid w:val="00E17627"/>
    <w:rsid w:val="00E17693"/>
    <w:rsid w:val="00E17B44"/>
    <w:rsid w:val="00E20050"/>
    <w:rsid w:val="00E20175"/>
    <w:rsid w:val="00E20A63"/>
    <w:rsid w:val="00E20B20"/>
    <w:rsid w:val="00E20CED"/>
    <w:rsid w:val="00E21353"/>
    <w:rsid w:val="00E21490"/>
    <w:rsid w:val="00E217B3"/>
    <w:rsid w:val="00E21B08"/>
    <w:rsid w:val="00E21D38"/>
    <w:rsid w:val="00E21F3F"/>
    <w:rsid w:val="00E2291F"/>
    <w:rsid w:val="00E229C1"/>
    <w:rsid w:val="00E22C70"/>
    <w:rsid w:val="00E22C7A"/>
    <w:rsid w:val="00E22C9F"/>
    <w:rsid w:val="00E234C6"/>
    <w:rsid w:val="00E23707"/>
    <w:rsid w:val="00E23DA4"/>
    <w:rsid w:val="00E247E0"/>
    <w:rsid w:val="00E2520E"/>
    <w:rsid w:val="00E2543A"/>
    <w:rsid w:val="00E2565E"/>
    <w:rsid w:val="00E25844"/>
    <w:rsid w:val="00E2590C"/>
    <w:rsid w:val="00E25DF7"/>
    <w:rsid w:val="00E26082"/>
    <w:rsid w:val="00E2613B"/>
    <w:rsid w:val="00E262B3"/>
    <w:rsid w:val="00E26BE8"/>
    <w:rsid w:val="00E26DE6"/>
    <w:rsid w:val="00E26F8F"/>
    <w:rsid w:val="00E27218"/>
    <w:rsid w:val="00E27686"/>
    <w:rsid w:val="00E27FEA"/>
    <w:rsid w:val="00E30253"/>
    <w:rsid w:val="00E306D1"/>
    <w:rsid w:val="00E30C43"/>
    <w:rsid w:val="00E3101C"/>
    <w:rsid w:val="00E31038"/>
    <w:rsid w:val="00E313F4"/>
    <w:rsid w:val="00E314F5"/>
    <w:rsid w:val="00E31615"/>
    <w:rsid w:val="00E3167F"/>
    <w:rsid w:val="00E319B5"/>
    <w:rsid w:val="00E31ACF"/>
    <w:rsid w:val="00E31F8F"/>
    <w:rsid w:val="00E326CA"/>
    <w:rsid w:val="00E32980"/>
    <w:rsid w:val="00E32D0C"/>
    <w:rsid w:val="00E3336A"/>
    <w:rsid w:val="00E333BE"/>
    <w:rsid w:val="00E33490"/>
    <w:rsid w:val="00E33659"/>
    <w:rsid w:val="00E339A2"/>
    <w:rsid w:val="00E33B37"/>
    <w:rsid w:val="00E3475C"/>
    <w:rsid w:val="00E3610A"/>
    <w:rsid w:val="00E3638F"/>
    <w:rsid w:val="00E36709"/>
    <w:rsid w:val="00E369D4"/>
    <w:rsid w:val="00E37946"/>
    <w:rsid w:val="00E37ACB"/>
    <w:rsid w:val="00E40039"/>
    <w:rsid w:val="00E4086F"/>
    <w:rsid w:val="00E40922"/>
    <w:rsid w:val="00E40AFA"/>
    <w:rsid w:val="00E40E26"/>
    <w:rsid w:val="00E41078"/>
    <w:rsid w:val="00E41083"/>
    <w:rsid w:val="00E41486"/>
    <w:rsid w:val="00E41624"/>
    <w:rsid w:val="00E416BE"/>
    <w:rsid w:val="00E41C7E"/>
    <w:rsid w:val="00E41CDC"/>
    <w:rsid w:val="00E41E01"/>
    <w:rsid w:val="00E4293C"/>
    <w:rsid w:val="00E429C6"/>
    <w:rsid w:val="00E42AA8"/>
    <w:rsid w:val="00E42AAB"/>
    <w:rsid w:val="00E42EB4"/>
    <w:rsid w:val="00E43161"/>
    <w:rsid w:val="00E432F2"/>
    <w:rsid w:val="00E433AF"/>
    <w:rsid w:val="00E43708"/>
    <w:rsid w:val="00E43735"/>
    <w:rsid w:val="00E43860"/>
    <w:rsid w:val="00E439F7"/>
    <w:rsid w:val="00E43A50"/>
    <w:rsid w:val="00E43B3C"/>
    <w:rsid w:val="00E43BC7"/>
    <w:rsid w:val="00E43DCC"/>
    <w:rsid w:val="00E444DE"/>
    <w:rsid w:val="00E446E3"/>
    <w:rsid w:val="00E447A4"/>
    <w:rsid w:val="00E44A82"/>
    <w:rsid w:val="00E44D90"/>
    <w:rsid w:val="00E44F7E"/>
    <w:rsid w:val="00E450CE"/>
    <w:rsid w:val="00E4511B"/>
    <w:rsid w:val="00E451F2"/>
    <w:rsid w:val="00E4553F"/>
    <w:rsid w:val="00E458EE"/>
    <w:rsid w:val="00E45D25"/>
    <w:rsid w:val="00E45EDD"/>
    <w:rsid w:val="00E46F91"/>
    <w:rsid w:val="00E4724D"/>
    <w:rsid w:val="00E475A8"/>
    <w:rsid w:val="00E47610"/>
    <w:rsid w:val="00E476F3"/>
    <w:rsid w:val="00E47C05"/>
    <w:rsid w:val="00E47CE2"/>
    <w:rsid w:val="00E47DB7"/>
    <w:rsid w:val="00E50188"/>
    <w:rsid w:val="00E50233"/>
    <w:rsid w:val="00E50387"/>
    <w:rsid w:val="00E5043B"/>
    <w:rsid w:val="00E50F31"/>
    <w:rsid w:val="00E51341"/>
    <w:rsid w:val="00E513AB"/>
    <w:rsid w:val="00E515CB"/>
    <w:rsid w:val="00E51901"/>
    <w:rsid w:val="00E51DE6"/>
    <w:rsid w:val="00E51E1A"/>
    <w:rsid w:val="00E52260"/>
    <w:rsid w:val="00E522CD"/>
    <w:rsid w:val="00E523E2"/>
    <w:rsid w:val="00E52A86"/>
    <w:rsid w:val="00E537D8"/>
    <w:rsid w:val="00E5380E"/>
    <w:rsid w:val="00E53834"/>
    <w:rsid w:val="00E53DF4"/>
    <w:rsid w:val="00E54382"/>
    <w:rsid w:val="00E54398"/>
    <w:rsid w:val="00E54482"/>
    <w:rsid w:val="00E546D2"/>
    <w:rsid w:val="00E54E53"/>
    <w:rsid w:val="00E55741"/>
    <w:rsid w:val="00E55A45"/>
    <w:rsid w:val="00E55C6B"/>
    <w:rsid w:val="00E564B1"/>
    <w:rsid w:val="00E57386"/>
    <w:rsid w:val="00E57B36"/>
    <w:rsid w:val="00E57C5E"/>
    <w:rsid w:val="00E57EDF"/>
    <w:rsid w:val="00E601DF"/>
    <w:rsid w:val="00E60C1B"/>
    <w:rsid w:val="00E61326"/>
    <w:rsid w:val="00E61353"/>
    <w:rsid w:val="00E615C7"/>
    <w:rsid w:val="00E6193F"/>
    <w:rsid w:val="00E6208D"/>
    <w:rsid w:val="00E629F3"/>
    <w:rsid w:val="00E63289"/>
    <w:rsid w:val="00E6355F"/>
    <w:rsid w:val="00E63845"/>
    <w:rsid w:val="00E63904"/>
    <w:rsid w:val="00E639B6"/>
    <w:rsid w:val="00E6434B"/>
    <w:rsid w:val="00E6463D"/>
    <w:rsid w:val="00E6481F"/>
    <w:rsid w:val="00E64CA5"/>
    <w:rsid w:val="00E64D0F"/>
    <w:rsid w:val="00E64E81"/>
    <w:rsid w:val="00E64F45"/>
    <w:rsid w:val="00E65B48"/>
    <w:rsid w:val="00E65B7C"/>
    <w:rsid w:val="00E65DB1"/>
    <w:rsid w:val="00E663C1"/>
    <w:rsid w:val="00E66A52"/>
    <w:rsid w:val="00E66C6D"/>
    <w:rsid w:val="00E675D4"/>
    <w:rsid w:val="00E704F2"/>
    <w:rsid w:val="00E70554"/>
    <w:rsid w:val="00E70849"/>
    <w:rsid w:val="00E70E16"/>
    <w:rsid w:val="00E70E4F"/>
    <w:rsid w:val="00E71405"/>
    <w:rsid w:val="00E71651"/>
    <w:rsid w:val="00E7168A"/>
    <w:rsid w:val="00E721E3"/>
    <w:rsid w:val="00E72365"/>
    <w:rsid w:val="00E726C3"/>
    <w:rsid w:val="00E7289D"/>
    <w:rsid w:val="00E72E9B"/>
    <w:rsid w:val="00E72F59"/>
    <w:rsid w:val="00E73005"/>
    <w:rsid w:val="00E736B5"/>
    <w:rsid w:val="00E738B3"/>
    <w:rsid w:val="00E73DD9"/>
    <w:rsid w:val="00E73E8D"/>
    <w:rsid w:val="00E73F8E"/>
    <w:rsid w:val="00E74AE7"/>
    <w:rsid w:val="00E74CF9"/>
    <w:rsid w:val="00E75029"/>
    <w:rsid w:val="00E75169"/>
    <w:rsid w:val="00E75585"/>
    <w:rsid w:val="00E75A5F"/>
    <w:rsid w:val="00E7600B"/>
    <w:rsid w:val="00E7639E"/>
    <w:rsid w:val="00E76402"/>
    <w:rsid w:val="00E769A1"/>
    <w:rsid w:val="00E769C4"/>
    <w:rsid w:val="00E77AE6"/>
    <w:rsid w:val="00E77FA0"/>
    <w:rsid w:val="00E77FEE"/>
    <w:rsid w:val="00E8012E"/>
    <w:rsid w:val="00E807EF"/>
    <w:rsid w:val="00E81352"/>
    <w:rsid w:val="00E81F41"/>
    <w:rsid w:val="00E82069"/>
    <w:rsid w:val="00E82325"/>
    <w:rsid w:val="00E826F1"/>
    <w:rsid w:val="00E82BEA"/>
    <w:rsid w:val="00E83080"/>
    <w:rsid w:val="00E83354"/>
    <w:rsid w:val="00E8354A"/>
    <w:rsid w:val="00E8378A"/>
    <w:rsid w:val="00E8389B"/>
    <w:rsid w:val="00E83A21"/>
    <w:rsid w:val="00E8469D"/>
    <w:rsid w:val="00E846C2"/>
    <w:rsid w:val="00E849DA"/>
    <w:rsid w:val="00E8521A"/>
    <w:rsid w:val="00E85821"/>
    <w:rsid w:val="00E85B61"/>
    <w:rsid w:val="00E85E46"/>
    <w:rsid w:val="00E8631F"/>
    <w:rsid w:val="00E8642A"/>
    <w:rsid w:val="00E8671F"/>
    <w:rsid w:val="00E86947"/>
    <w:rsid w:val="00E8712B"/>
    <w:rsid w:val="00E87342"/>
    <w:rsid w:val="00E87813"/>
    <w:rsid w:val="00E878A7"/>
    <w:rsid w:val="00E87AA8"/>
    <w:rsid w:val="00E87DB7"/>
    <w:rsid w:val="00E90472"/>
    <w:rsid w:val="00E90771"/>
    <w:rsid w:val="00E90FE2"/>
    <w:rsid w:val="00E911F2"/>
    <w:rsid w:val="00E914E1"/>
    <w:rsid w:val="00E91DB2"/>
    <w:rsid w:val="00E91F46"/>
    <w:rsid w:val="00E92B12"/>
    <w:rsid w:val="00E92C04"/>
    <w:rsid w:val="00E93CF8"/>
    <w:rsid w:val="00E94332"/>
    <w:rsid w:val="00E9462E"/>
    <w:rsid w:val="00E9499C"/>
    <w:rsid w:val="00E94F94"/>
    <w:rsid w:val="00E95683"/>
    <w:rsid w:val="00E95947"/>
    <w:rsid w:val="00E95ABF"/>
    <w:rsid w:val="00E964E9"/>
    <w:rsid w:val="00E966C3"/>
    <w:rsid w:val="00E966F2"/>
    <w:rsid w:val="00E96922"/>
    <w:rsid w:val="00E96935"/>
    <w:rsid w:val="00E9734A"/>
    <w:rsid w:val="00E97AE6"/>
    <w:rsid w:val="00EA0197"/>
    <w:rsid w:val="00EA0220"/>
    <w:rsid w:val="00EA055A"/>
    <w:rsid w:val="00EA06DB"/>
    <w:rsid w:val="00EA0B5E"/>
    <w:rsid w:val="00EA0D46"/>
    <w:rsid w:val="00EA0E2E"/>
    <w:rsid w:val="00EA0F1B"/>
    <w:rsid w:val="00EA0F95"/>
    <w:rsid w:val="00EA0FDB"/>
    <w:rsid w:val="00EA145D"/>
    <w:rsid w:val="00EA1558"/>
    <w:rsid w:val="00EA1CDC"/>
    <w:rsid w:val="00EA26E0"/>
    <w:rsid w:val="00EA2766"/>
    <w:rsid w:val="00EA2980"/>
    <w:rsid w:val="00EA2A5C"/>
    <w:rsid w:val="00EA2D5A"/>
    <w:rsid w:val="00EA2EC7"/>
    <w:rsid w:val="00EA3095"/>
    <w:rsid w:val="00EA3265"/>
    <w:rsid w:val="00EA344A"/>
    <w:rsid w:val="00EA395F"/>
    <w:rsid w:val="00EA3B8D"/>
    <w:rsid w:val="00EA3E51"/>
    <w:rsid w:val="00EA3FDA"/>
    <w:rsid w:val="00EA4116"/>
    <w:rsid w:val="00EA4419"/>
    <w:rsid w:val="00EA470E"/>
    <w:rsid w:val="00EA47A7"/>
    <w:rsid w:val="00EA4876"/>
    <w:rsid w:val="00EA48D5"/>
    <w:rsid w:val="00EA4A39"/>
    <w:rsid w:val="00EA4B59"/>
    <w:rsid w:val="00EA4F07"/>
    <w:rsid w:val="00EA51D2"/>
    <w:rsid w:val="00EA546F"/>
    <w:rsid w:val="00EA57EB"/>
    <w:rsid w:val="00EA5975"/>
    <w:rsid w:val="00EA6A44"/>
    <w:rsid w:val="00EA6B63"/>
    <w:rsid w:val="00EA6DF2"/>
    <w:rsid w:val="00EA6F2A"/>
    <w:rsid w:val="00EA72F6"/>
    <w:rsid w:val="00EA7768"/>
    <w:rsid w:val="00EA7A4F"/>
    <w:rsid w:val="00EA7F81"/>
    <w:rsid w:val="00EB01FD"/>
    <w:rsid w:val="00EB042C"/>
    <w:rsid w:val="00EB0533"/>
    <w:rsid w:val="00EB0B6C"/>
    <w:rsid w:val="00EB0C4A"/>
    <w:rsid w:val="00EB0D2B"/>
    <w:rsid w:val="00EB1023"/>
    <w:rsid w:val="00EB1100"/>
    <w:rsid w:val="00EB14C4"/>
    <w:rsid w:val="00EB1865"/>
    <w:rsid w:val="00EB18D0"/>
    <w:rsid w:val="00EB2F18"/>
    <w:rsid w:val="00EB3226"/>
    <w:rsid w:val="00EB36BD"/>
    <w:rsid w:val="00EB3AA3"/>
    <w:rsid w:val="00EB3B2E"/>
    <w:rsid w:val="00EB3D47"/>
    <w:rsid w:val="00EB4375"/>
    <w:rsid w:val="00EB43B2"/>
    <w:rsid w:val="00EB49CC"/>
    <w:rsid w:val="00EB4A7B"/>
    <w:rsid w:val="00EB4B07"/>
    <w:rsid w:val="00EB4EB6"/>
    <w:rsid w:val="00EB4F5C"/>
    <w:rsid w:val="00EB55D2"/>
    <w:rsid w:val="00EB5C38"/>
    <w:rsid w:val="00EB5FCD"/>
    <w:rsid w:val="00EB632D"/>
    <w:rsid w:val="00EB65DD"/>
    <w:rsid w:val="00EB669E"/>
    <w:rsid w:val="00EB67BF"/>
    <w:rsid w:val="00EB6AFD"/>
    <w:rsid w:val="00EB6B16"/>
    <w:rsid w:val="00EB6BAD"/>
    <w:rsid w:val="00EB6CB9"/>
    <w:rsid w:val="00EB727C"/>
    <w:rsid w:val="00EB7C8B"/>
    <w:rsid w:val="00EC009E"/>
    <w:rsid w:val="00EC09CF"/>
    <w:rsid w:val="00EC0C8D"/>
    <w:rsid w:val="00EC131E"/>
    <w:rsid w:val="00EC155D"/>
    <w:rsid w:val="00EC173C"/>
    <w:rsid w:val="00EC1A06"/>
    <w:rsid w:val="00EC1CAC"/>
    <w:rsid w:val="00EC1D8C"/>
    <w:rsid w:val="00EC210A"/>
    <w:rsid w:val="00EC213A"/>
    <w:rsid w:val="00EC2490"/>
    <w:rsid w:val="00EC296A"/>
    <w:rsid w:val="00EC2FE1"/>
    <w:rsid w:val="00EC3357"/>
    <w:rsid w:val="00EC3542"/>
    <w:rsid w:val="00EC36CF"/>
    <w:rsid w:val="00EC3929"/>
    <w:rsid w:val="00EC3D20"/>
    <w:rsid w:val="00EC3E2F"/>
    <w:rsid w:val="00EC40F8"/>
    <w:rsid w:val="00EC4212"/>
    <w:rsid w:val="00EC45D2"/>
    <w:rsid w:val="00EC4679"/>
    <w:rsid w:val="00EC50E3"/>
    <w:rsid w:val="00EC58F7"/>
    <w:rsid w:val="00EC6603"/>
    <w:rsid w:val="00EC6687"/>
    <w:rsid w:val="00EC6D82"/>
    <w:rsid w:val="00EC737B"/>
    <w:rsid w:val="00EC73D0"/>
    <w:rsid w:val="00EC7744"/>
    <w:rsid w:val="00EC78B0"/>
    <w:rsid w:val="00EC7EFB"/>
    <w:rsid w:val="00EC7F37"/>
    <w:rsid w:val="00ED0072"/>
    <w:rsid w:val="00ED09E5"/>
    <w:rsid w:val="00ED0DAD"/>
    <w:rsid w:val="00ED0E00"/>
    <w:rsid w:val="00ED0F46"/>
    <w:rsid w:val="00ED139C"/>
    <w:rsid w:val="00ED13E7"/>
    <w:rsid w:val="00ED1740"/>
    <w:rsid w:val="00ED1971"/>
    <w:rsid w:val="00ED21B5"/>
    <w:rsid w:val="00ED2373"/>
    <w:rsid w:val="00ED2A37"/>
    <w:rsid w:val="00ED2C14"/>
    <w:rsid w:val="00ED3115"/>
    <w:rsid w:val="00ED335B"/>
    <w:rsid w:val="00ED3AE8"/>
    <w:rsid w:val="00ED3CBB"/>
    <w:rsid w:val="00ED3ED0"/>
    <w:rsid w:val="00ED4151"/>
    <w:rsid w:val="00ED44A4"/>
    <w:rsid w:val="00ED4AF4"/>
    <w:rsid w:val="00ED5279"/>
    <w:rsid w:val="00ED5303"/>
    <w:rsid w:val="00ED59B5"/>
    <w:rsid w:val="00ED5B32"/>
    <w:rsid w:val="00ED61DD"/>
    <w:rsid w:val="00ED67DF"/>
    <w:rsid w:val="00ED69BF"/>
    <w:rsid w:val="00ED6ABD"/>
    <w:rsid w:val="00ED6F27"/>
    <w:rsid w:val="00ED73B5"/>
    <w:rsid w:val="00ED79C4"/>
    <w:rsid w:val="00ED7B68"/>
    <w:rsid w:val="00ED7DAF"/>
    <w:rsid w:val="00EE0AEE"/>
    <w:rsid w:val="00EE0E29"/>
    <w:rsid w:val="00EE1791"/>
    <w:rsid w:val="00EE1881"/>
    <w:rsid w:val="00EE1D11"/>
    <w:rsid w:val="00EE1D45"/>
    <w:rsid w:val="00EE1E6A"/>
    <w:rsid w:val="00EE24F6"/>
    <w:rsid w:val="00EE2B15"/>
    <w:rsid w:val="00EE304C"/>
    <w:rsid w:val="00EE326B"/>
    <w:rsid w:val="00EE32A4"/>
    <w:rsid w:val="00EE359D"/>
    <w:rsid w:val="00EE3922"/>
    <w:rsid w:val="00EE398E"/>
    <w:rsid w:val="00EE3B96"/>
    <w:rsid w:val="00EE3BF2"/>
    <w:rsid w:val="00EE3CC2"/>
    <w:rsid w:val="00EE3CE4"/>
    <w:rsid w:val="00EE3E8A"/>
    <w:rsid w:val="00EE415B"/>
    <w:rsid w:val="00EE4345"/>
    <w:rsid w:val="00EE44D1"/>
    <w:rsid w:val="00EE4716"/>
    <w:rsid w:val="00EE4AD0"/>
    <w:rsid w:val="00EE50ED"/>
    <w:rsid w:val="00EE592F"/>
    <w:rsid w:val="00EE5BCA"/>
    <w:rsid w:val="00EE5BE0"/>
    <w:rsid w:val="00EE5D8C"/>
    <w:rsid w:val="00EE5E9B"/>
    <w:rsid w:val="00EE5FEA"/>
    <w:rsid w:val="00EE6196"/>
    <w:rsid w:val="00EE683F"/>
    <w:rsid w:val="00EE685B"/>
    <w:rsid w:val="00EE6A40"/>
    <w:rsid w:val="00EE6A50"/>
    <w:rsid w:val="00EE6DF2"/>
    <w:rsid w:val="00EE707A"/>
    <w:rsid w:val="00EE77C3"/>
    <w:rsid w:val="00EE79BA"/>
    <w:rsid w:val="00EE7BC8"/>
    <w:rsid w:val="00EF017B"/>
    <w:rsid w:val="00EF0541"/>
    <w:rsid w:val="00EF0A5C"/>
    <w:rsid w:val="00EF0AD7"/>
    <w:rsid w:val="00EF0C25"/>
    <w:rsid w:val="00EF0CE8"/>
    <w:rsid w:val="00EF14B8"/>
    <w:rsid w:val="00EF1AAF"/>
    <w:rsid w:val="00EF1B23"/>
    <w:rsid w:val="00EF1E85"/>
    <w:rsid w:val="00EF1F2C"/>
    <w:rsid w:val="00EF24D0"/>
    <w:rsid w:val="00EF28FB"/>
    <w:rsid w:val="00EF2A8E"/>
    <w:rsid w:val="00EF3457"/>
    <w:rsid w:val="00EF3ADF"/>
    <w:rsid w:val="00EF3BF5"/>
    <w:rsid w:val="00EF3EF5"/>
    <w:rsid w:val="00EF4246"/>
    <w:rsid w:val="00EF46F1"/>
    <w:rsid w:val="00EF4A98"/>
    <w:rsid w:val="00EF4E29"/>
    <w:rsid w:val="00EF5199"/>
    <w:rsid w:val="00EF537F"/>
    <w:rsid w:val="00EF615A"/>
    <w:rsid w:val="00EF63C4"/>
    <w:rsid w:val="00EF6CA9"/>
    <w:rsid w:val="00EF6ECA"/>
    <w:rsid w:val="00EF7162"/>
    <w:rsid w:val="00EF72DF"/>
    <w:rsid w:val="00EF734D"/>
    <w:rsid w:val="00EF76CC"/>
    <w:rsid w:val="00EF790D"/>
    <w:rsid w:val="00EF7A13"/>
    <w:rsid w:val="00EF7BBA"/>
    <w:rsid w:val="00EF7D17"/>
    <w:rsid w:val="00F001F5"/>
    <w:rsid w:val="00F002F7"/>
    <w:rsid w:val="00F006DF"/>
    <w:rsid w:val="00F00C7D"/>
    <w:rsid w:val="00F00C93"/>
    <w:rsid w:val="00F00D28"/>
    <w:rsid w:val="00F00DC6"/>
    <w:rsid w:val="00F015F1"/>
    <w:rsid w:val="00F0199C"/>
    <w:rsid w:val="00F02027"/>
    <w:rsid w:val="00F024A4"/>
    <w:rsid w:val="00F024E1"/>
    <w:rsid w:val="00F026B7"/>
    <w:rsid w:val="00F026D9"/>
    <w:rsid w:val="00F02A3B"/>
    <w:rsid w:val="00F02B5D"/>
    <w:rsid w:val="00F02D3A"/>
    <w:rsid w:val="00F03514"/>
    <w:rsid w:val="00F0398C"/>
    <w:rsid w:val="00F043FF"/>
    <w:rsid w:val="00F04512"/>
    <w:rsid w:val="00F04873"/>
    <w:rsid w:val="00F04E98"/>
    <w:rsid w:val="00F05202"/>
    <w:rsid w:val="00F0552D"/>
    <w:rsid w:val="00F05695"/>
    <w:rsid w:val="00F05B18"/>
    <w:rsid w:val="00F05C54"/>
    <w:rsid w:val="00F06668"/>
    <w:rsid w:val="00F066E2"/>
    <w:rsid w:val="00F0674C"/>
    <w:rsid w:val="00F06C10"/>
    <w:rsid w:val="00F06CC1"/>
    <w:rsid w:val="00F0703D"/>
    <w:rsid w:val="00F07163"/>
    <w:rsid w:val="00F07265"/>
    <w:rsid w:val="00F07269"/>
    <w:rsid w:val="00F07454"/>
    <w:rsid w:val="00F07AEF"/>
    <w:rsid w:val="00F10506"/>
    <w:rsid w:val="00F1059A"/>
    <w:rsid w:val="00F1096F"/>
    <w:rsid w:val="00F10A62"/>
    <w:rsid w:val="00F10ECA"/>
    <w:rsid w:val="00F11142"/>
    <w:rsid w:val="00F1117A"/>
    <w:rsid w:val="00F11493"/>
    <w:rsid w:val="00F11648"/>
    <w:rsid w:val="00F11FEC"/>
    <w:rsid w:val="00F12589"/>
    <w:rsid w:val="00F12595"/>
    <w:rsid w:val="00F12617"/>
    <w:rsid w:val="00F12CD7"/>
    <w:rsid w:val="00F134D9"/>
    <w:rsid w:val="00F1379A"/>
    <w:rsid w:val="00F13C06"/>
    <w:rsid w:val="00F13C58"/>
    <w:rsid w:val="00F13DEE"/>
    <w:rsid w:val="00F13E22"/>
    <w:rsid w:val="00F1403D"/>
    <w:rsid w:val="00F14096"/>
    <w:rsid w:val="00F141EC"/>
    <w:rsid w:val="00F14232"/>
    <w:rsid w:val="00F14456"/>
    <w:rsid w:val="00F14521"/>
    <w:rsid w:val="00F1455E"/>
    <w:rsid w:val="00F1463F"/>
    <w:rsid w:val="00F1570C"/>
    <w:rsid w:val="00F1591F"/>
    <w:rsid w:val="00F15DA8"/>
    <w:rsid w:val="00F15E28"/>
    <w:rsid w:val="00F16131"/>
    <w:rsid w:val="00F1623A"/>
    <w:rsid w:val="00F163A7"/>
    <w:rsid w:val="00F16436"/>
    <w:rsid w:val="00F16A10"/>
    <w:rsid w:val="00F16C63"/>
    <w:rsid w:val="00F1756F"/>
    <w:rsid w:val="00F17DDC"/>
    <w:rsid w:val="00F17E23"/>
    <w:rsid w:val="00F201A2"/>
    <w:rsid w:val="00F2033E"/>
    <w:rsid w:val="00F2058F"/>
    <w:rsid w:val="00F20701"/>
    <w:rsid w:val="00F211CC"/>
    <w:rsid w:val="00F212B5"/>
    <w:rsid w:val="00F21302"/>
    <w:rsid w:val="00F21626"/>
    <w:rsid w:val="00F2172B"/>
    <w:rsid w:val="00F228F7"/>
    <w:rsid w:val="00F22A00"/>
    <w:rsid w:val="00F22E40"/>
    <w:rsid w:val="00F23361"/>
    <w:rsid w:val="00F236A1"/>
    <w:rsid w:val="00F23CE2"/>
    <w:rsid w:val="00F23CF7"/>
    <w:rsid w:val="00F23FBA"/>
    <w:rsid w:val="00F242ED"/>
    <w:rsid w:val="00F248D3"/>
    <w:rsid w:val="00F24B0D"/>
    <w:rsid w:val="00F24F03"/>
    <w:rsid w:val="00F2529B"/>
    <w:rsid w:val="00F2588A"/>
    <w:rsid w:val="00F25A30"/>
    <w:rsid w:val="00F26631"/>
    <w:rsid w:val="00F26823"/>
    <w:rsid w:val="00F2697D"/>
    <w:rsid w:val="00F26BC4"/>
    <w:rsid w:val="00F26F4D"/>
    <w:rsid w:val="00F26FD0"/>
    <w:rsid w:val="00F27CCC"/>
    <w:rsid w:val="00F27F8F"/>
    <w:rsid w:val="00F27FB6"/>
    <w:rsid w:val="00F300B1"/>
    <w:rsid w:val="00F300B6"/>
    <w:rsid w:val="00F301B3"/>
    <w:rsid w:val="00F307EC"/>
    <w:rsid w:val="00F30B99"/>
    <w:rsid w:val="00F31239"/>
    <w:rsid w:val="00F312CC"/>
    <w:rsid w:val="00F312FA"/>
    <w:rsid w:val="00F31C25"/>
    <w:rsid w:val="00F31E3E"/>
    <w:rsid w:val="00F31F02"/>
    <w:rsid w:val="00F321DE"/>
    <w:rsid w:val="00F322C2"/>
    <w:rsid w:val="00F32573"/>
    <w:rsid w:val="00F326B7"/>
    <w:rsid w:val="00F32B8E"/>
    <w:rsid w:val="00F32B9B"/>
    <w:rsid w:val="00F32C2A"/>
    <w:rsid w:val="00F32DBD"/>
    <w:rsid w:val="00F33777"/>
    <w:rsid w:val="00F33790"/>
    <w:rsid w:val="00F3398B"/>
    <w:rsid w:val="00F33BF8"/>
    <w:rsid w:val="00F3407E"/>
    <w:rsid w:val="00F34544"/>
    <w:rsid w:val="00F3474C"/>
    <w:rsid w:val="00F34B8A"/>
    <w:rsid w:val="00F35159"/>
    <w:rsid w:val="00F35182"/>
    <w:rsid w:val="00F35525"/>
    <w:rsid w:val="00F35952"/>
    <w:rsid w:val="00F35B93"/>
    <w:rsid w:val="00F35C5F"/>
    <w:rsid w:val="00F363CE"/>
    <w:rsid w:val="00F36D06"/>
    <w:rsid w:val="00F37B10"/>
    <w:rsid w:val="00F37ECE"/>
    <w:rsid w:val="00F405BA"/>
    <w:rsid w:val="00F40648"/>
    <w:rsid w:val="00F40AF3"/>
    <w:rsid w:val="00F40BE6"/>
    <w:rsid w:val="00F40FAB"/>
    <w:rsid w:val="00F4126A"/>
    <w:rsid w:val="00F4135A"/>
    <w:rsid w:val="00F417A2"/>
    <w:rsid w:val="00F42141"/>
    <w:rsid w:val="00F42187"/>
    <w:rsid w:val="00F4226D"/>
    <w:rsid w:val="00F424BA"/>
    <w:rsid w:val="00F42642"/>
    <w:rsid w:val="00F42B28"/>
    <w:rsid w:val="00F42B35"/>
    <w:rsid w:val="00F432BA"/>
    <w:rsid w:val="00F4393E"/>
    <w:rsid w:val="00F43E4F"/>
    <w:rsid w:val="00F44434"/>
    <w:rsid w:val="00F44587"/>
    <w:rsid w:val="00F4485A"/>
    <w:rsid w:val="00F44A8E"/>
    <w:rsid w:val="00F4512D"/>
    <w:rsid w:val="00F4517E"/>
    <w:rsid w:val="00F45717"/>
    <w:rsid w:val="00F45BE5"/>
    <w:rsid w:val="00F45CFF"/>
    <w:rsid w:val="00F46FCD"/>
    <w:rsid w:val="00F47213"/>
    <w:rsid w:val="00F473A7"/>
    <w:rsid w:val="00F474CE"/>
    <w:rsid w:val="00F47DA2"/>
    <w:rsid w:val="00F47F33"/>
    <w:rsid w:val="00F5047D"/>
    <w:rsid w:val="00F50634"/>
    <w:rsid w:val="00F50968"/>
    <w:rsid w:val="00F5112B"/>
    <w:rsid w:val="00F514E8"/>
    <w:rsid w:val="00F51631"/>
    <w:rsid w:val="00F519FC"/>
    <w:rsid w:val="00F51EB9"/>
    <w:rsid w:val="00F52183"/>
    <w:rsid w:val="00F52BD8"/>
    <w:rsid w:val="00F52E3D"/>
    <w:rsid w:val="00F52FDF"/>
    <w:rsid w:val="00F53A45"/>
    <w:rsid w:val="00F5449E"/>
    <w:rsid w:val="00F548DA"/>
    <w:rsid w:val="00F54E1E"/>
    <w:rsid w:val="00F55205"/>
    <w:rsid w:val="00F55AB2"/>
    <w:rsid w:val="00F55D65"/>
    <w:rsid w:val="00F5605C"/>
    <w:rsid w:val="00F56177"/>
    <w:rsid w:val="00F56246"/>
    <w:rsid w:val="00F5682D"/>
    <w:rsid w:val="00F574FA"/>
    <w:rsid w:val="00F57776"/>
    <w:rsid w:val="00F57A3E"/>
    <w:rsid w:val="00F57C24"/>
    <w:rsid w:val="00F57F2A"/>
    <w:rsid w:val="00F600F8"/>
    <w:rsid w:val="00F60759"/>
    <w:rsid w:val="00F61403"/>
    <w:rsid w:val="00F61A88"/>
    <w:rsid w:val="00F61E55"/>
    <w:rsid w:val="00F6239D"/>
    <w:rsid w:val="00F6274F"/>
    <w:rsid w:val="00F629EE"/>
    <w:rsid w:val="00F62BC7"/>
    <w:rsid w:val="00F64874"/>
    <w:rsid w:val="00F64C5F"/>
    <w:rsid w:val="00F64DD9"/>
    <w:rsid w:val="00F64FD8"/>
    <w:rsid w:val="00F650AD"/>
    <w:rsid w:val="00F65250"/>
    <w:rsid w:val="00F653CC"/>
    <w:rsid w:val="00F6565E"/>
    <w:rsid w:val="00F6593C"/>
    <w:rsid w:val="00F65CC5"/>
    <w:rsid w:val="00F66276"/>
    <w:rsid w:val="00F6631B"/>
    <w:rsid w:val="00F664E5"/>
    <w:rsid w:val="00F66875"/>
    <w:rsid w:val="00F66CCC"/>
    <w:rsid w:val="00F66FD3"/>
    <w:rsid w:val="00F6736A"/>
    <w:rsid w:val="00F70251"/>
    <w:rsid w:val="00F70909"/>
    <w:rsid w:val="00F70FA6"/>
    <w:rsid w:val="00F711D6"/>
    <w:rsid w:val="00F7126A"/>
    <w:rsid w:val="00F713CF"/>
    <w:rsid w:val="00F71535"/>
    <w:rsid w:val="00F71572"/>
    <w:rsid w:val="00F715D2"/>
    <w:rsid w:val="00F717B9"/>
    <w:rsid w:val="00F71D58"/>
    <w:rsid w:val="00F71E5E"/>
    <w:rsid w:val="00F71F6C"/>
    <w:rsid w:val="00F720BE"/>
    <w:rsid w:val="00F720E0"/>
    <w:rsid w:val="00F72252"/>
    <w:rsid w:val="00F724C8"/>
    <w:rsid w:val="00F7274F"/>
    <w:rsid w:val="00F73024"/>
    <w:rsid w:val="00F732E8"/>
    <w:rsid w:val="00F7330A"/>
    <w:rsid w:val="00F73562"/>
    <w:rsid w:val="00F7377C"/>
    <w:rsid w:val="00F73D4D"/>
    <w:rsid w:val="00F73F17"/>
    <w:rsid w:val="00F74D95"/>
    <w:rsid w:val="00F74E1B"/>
    <w:rsid w:val="00F7584C"/>
    <w:rsid w:val="00F75FA2"/>
    <w:rsid w:val="00F76161"/>
    <w:rsid w:val="00F761A2"/>
    <w:rsid w:val="00F76AA9"/>
    <w:rsid w:val="00F76C14"/>
    <w:rsid w:val="00F76FA8"/>
    <w:rsid w:val="00F77325"/>
    <w:rsid w:val="00F77379"/>
    <w:rsid w:val="00F7740A"/>
    <w:rsid w:val="00F80980"/>
    <w:rsid w:val="00F80B1B"/>
    <w:rsid w:val="00F80DD9"/>
    <w:rsid w:val="00F80FF2"/>
    <w:rsid w:val="00F822BA"/>
    <w:rsid w:val="00F82310"/>
    <w:rsid w:val="00F82822"/>
    <w:rsid w:val="00F82B29"/>
    <w:rsid w:val="00F82BEB"/>
    <w:rsid w:val="00F82CF2"/>
    <w:rsid w:val="00F82DFF"/>
    <w:rsid w:val="00F8310A"/>
    <w:rsid w:val="00F83768"/>
    <w:rsid w:val="00F83E01"/>
    <w:rsid w:val="00F840EB"/>
    <w:rsid w:val="00F84429"/>
    <w:rsid w:val="00F844C0"/>
    <w:rsid w:val="00F844F0"/>
    <w:rsid w:val="00F85276"/>
    <w:rsid w:val="00F8545E"/>
    <w:rsid w:val="00F856B0"/>
    <w:rsid w:val="00F86053"/>
    <w:rsid w:val="00F86E08"/>
    <w:rsid w:val="00F86F85"/>
    <w:rsid w:val="00F870DF"/>
    <w:rsid w:val="00F8713D"/>
    <w:rsid w:val="00F872F5"/>
    <w:rsid w:val="00F877D3"/>
    <w:rsid w:val="00F87BF1"/>
    <w:rsid w:val="00F87C78"/>
    <w:rsid w:val="00F90052"/>
    <w:rsid w:val="00F900B0"/>
    <w:rsid w:val="00F903E2"/>
    <w:rsid w:val="00F90529"/>
    <w:rsid w:val="00F90751"/>
    <w:rsid w:val="00F9081B"/>
    <w:rsid w:val="00F909D5"/>
    <w:rsid w:val="00F90EAA"/>
    <w:rsid w:val="00F90EE9"/>
    <w:rsid w:val="00F91549"/>
    <w:rsid w:val="00F91ADD"/>
    <w:rsid w:val="00F91B51"/>
    <w:rsid w:val="00F91C13"/>
    <w:rsid w:val="00F91EB5"/>
    <w:rsid w:val="00F92165"/>
    <w:rsid w:val="00F92194"/>
    <w:rsid w:val="00F921FE"/>
    <w:rsid w:val="00F92407"/>
    <w:rsid w:val="00F924A5"/>
    <w:rsid w:val="00F9254E"/>
    <w:rsid w:val="00F929F1"/>
    <w:rsid w:val="00F92BC9"/>
    <w:rsid w:val="00F92D0B"/>
    <w:rsid w:val="00F93C2B"/>
    <w:rsid w:val="00F93D43"/>
    <w:rsid w:val="00F93F08"/>
    <w:rsid w:val="00F93F49"/>
    <w:rsid w:val="00F94161"/>
    <w:rsid w:val="00F947AA"/>
    <w:rsid w:val="00F949CC"/>
    <w:rsid w:val="00F94AE6"/>
    <w:rsid w:val="00F94CED"/>
    <w:rsid w:val="00F9555C"/>
    <w:rsid w:val="00F95A7A"/>
    <w:rsid w:val="00F95E7B"/>
    <w:rsid w:val="00F95E80"/>
    <w:rsid w:val="00F95E9E"/>
    <w:rsid w:val="00F9663B"/>
    <w:rsid w:val="00F971EF"/>
    <w:rsid w:val="00F97854"/>
    <w:rsid w:val="00F979DA"/>
    <w:rsid w:val="00F97F59"/>
    <w:rsid w:val="00FA0D8A"/>
    <w:rsid w:val="00FA0E00"/>
    <w:rsid w:val="00FA0E04"/>
    <w:rsid w:val="00FA1273"/>
    <w:rsid w:val="00FA1319"/>
    <w:rsid w:val="00FA1901"/>
    <w:rsid w:val="00FA1CC7"/>
    <w:rsid w:val="00FA1CEA"/>
    <w:rsid w:val="00FA1ED4"/>
    <w:rsid w:val="00FA1F69"/>
    <w:rsid w:val="00FA2546"/>
    <w:rsid w:val="00FA26E3"/>
    <w:rsid w:val="00FA27D7"/>
    <w:rsid w:val="00FA2865"/>
    <w:rsid w:val="00FA2CEE"/>
    <w:rsid w:val="00FA318C"/>
    <w:rsid w:val="00FA496E"/>
    <w:rsid w:val="00FA4A35"/>
    <w:rsid w:val="00FA4B63"/>
    <w:rsid w:val="00FA4D22"/>
    <w:rsid w:val="00FA4D46"/>
    <w:rsid w:val="00FA519D"/>
    <w:rsid w:val="00FA60E1"/>
    <w:rsid w:val="00FA67C3"/>
    <w:rsid w:val="00FA6F73"/>
    <w:rsid w:val="00FA7579"/>
    <w:rsid w:val="00FA7756"/>
    <w:rsid w:val="00FA7E05"/>
    <w:rsid w:val="00FA7F30"/>
    <w:rsid w:val="00FB0176"/>
    <w:rsid w:val="00FB09CC"/>
    <w:rsid w:val="00FB0AFB"/>
    <w:rsid w:val="00FB0D37"/>
    <w:rsid w:val="00FB1095"/>
    <w:rsid w:val="00FB1D14"/>
    <w:rsid w:val="00FB1DC0"/>
    <w:rsid w:val="00FB21D8"/>
    <w:rsid w:val="00FB23FC"/>
    <w:rsid w:val="00FB2468"/>
    <w:rsid w:val="00FB315B"/>
    <w:rsid w:val="00FB317A"/>
    <w:rsid w:val="00FB324B"/>
    <w:rsid w:val="00FB3309"/>
    <w:rsid w:val="00FB3450"/>
    <w:rsid w:val="00FB34D0"/>
    <w:rsid w:val="00FB3D66"/>
    <w:rsid w:val="00FB4187"/>
    <w:rsid w:val="00FB438F"/>
    <w:rsid w:val="00FB4787"/>
    <w:rsid w:val="00FB4DA7"/>
    <w:rsid w:val="00FB5499"/>
    <w:rsid w:val="00FB6F92"/>
    <w:rsid w:val="00FB706B"/>
    <w:rsid w:val="00FB71AD"/>
    <w:rsid w:val="00FB72AB"/>
    <w:rsid w:val="00FB7734"/>
    <w:rsid w:val="00FB7F72"/>
    <w:rsid w:val="00FC00C1"/>
    <w:rsid w:val="00FC026E"/>
    <w:rsid w:val="00FC03ED"/>
    <w:rsid w:val="00FC114C"/>
    <w:rsid w:val="00FC13C3"/>
    <w:rsid w:val="00FC1676"/>
    <w:rsid w:val="00FC167A"/>
    <w:rsid w:val="00FC18CA"/>
    <w:rsid w:val="00FC1B7B"/>
    <w:rsid w:val="00FC1D00"/>
    <w:rsid w:val="00FC1E11"/>
    <w:rsid w:val="00FC2134"/>
    <w:rsid w:val="00FC2135"/>
    <w:rsid w:val="00FC25F6"/>
    <w:rsid w:val="00FC2D19"/>
    <w:rsid w:val="00FC2D4E"/>
    <w:rsid w:val="00FC2F60"/>
    <w:rsid w:val="00FC336D"/>
    <w:rsid w:val="00FC3738"/>
    <w:rsid w:val="00FC38F7"/>
    <w:rsid w:val="00FC3A65"/>
    <w:rsid w:val="00FC3ECD"/>
    <w:rsid w:val="00FC4099"/>
    <w:rsid w:val="00FC4143"/>
    <w:rsid w:val="00FC4789"/>
    <w:rsid w:val="00FC4BDC"/>
    <w:rsid w:val="00FC5124"/>
    <w:rsid w:val="00FC5800"/>
    <w:rsid w:val="00FC5E92"/>
    <w:rsid w:val="00FC6AA4"/>
    <w:rsid w:val="00FC6EB0"/>
    <w:rsid w:val="00FC710F"/>
    <w:rsid w:val="00FC72CA"/>
    <w:rsid w:val="00FC7349"/>
    <w:rsid w:val="00FC7479"/>
    <w:rsid w:val="00FC75AD"/>
    <w:rsid w:val="00FC7F09"/>
    <w:rsid w:val="00FC7FDF"/>
    <w:rsid w:val="00FD007C"/>
    <w:rsid w:val="00FD030E"/>
    <w:rsid w:val="00FD0729"/>
    <w:rsid w:val="00FD0768"/>
    <w:rsid w:val="00FD084B"/>
    <w:rsid w:val="00FD0AE9"/>
    <w:rsid w:val="00FD1407"/>
    <w:rsid w:val="00FD19C5"/>
    <w:rsid w:val="00FD1AA3"/>
    <w:rsid w:val="00FD201E"/>
    <w:rsid w:val="00FD22AB"/>
    <w:rsid w:val="00FD24CD"/>
    <w:rsid w:val="00FD24CE"/>
    <w:rsid w:val="00FD26DC"/>
    <w:rsid w:val="00FD2729"/>
    <w:rsid w:val="00FD2F62"/>
    <w:rsid w:val="00FD3200"/>
    <w:rsid w:val="00FD3703"/>
    <w:rsid w:val="00FD3C79"/>
    <w:rsid w:val="00FD3EC3"/>
    <w:rsid w:val="00FD4290"/>
    <w:rsid w:val="00FD4731"/>
    <w:rsid w:val="00FD5196"/>
    <w:rsid w:val="00FD548B"/>
    <w:rsid w:val="00FD5FC4"/>
    <w:rsid w:val="00FD60CD"/>
    <w:rsid w:val="00FD6544"/>
    <w:rsid w:val="00FD6740"/>
    <w:rsid w:val="00FD67BB"/>
    <w:rsid w:val="00FD6C3F"/>
    <w:rsid w:val="00FD6C61"/>
    <w:rsid w:val="00FD6F51"/>
    <w:rsid w:val="00FD6FC5"/>
    <w:rsid w:val="00FD7538"/>
    <w:rsid w:val="00FD7923"/>
    <w:rsid w:val="00FD7A2F"/>
    <w:rsid w:val="00FD7B40"/>
    <w:rsid w:val="00FD7C01"/>
    <w:rsid w:val="00FE04F3"/>
    <w:rsid w:val="00FE07A0"/>
    <w:rsid w:val="00FE0B5B"/>
    <w:rsid w:val="00FE0D97"/>
    <w:rsid w:val="00FE0EC0"/>
    <w:rsid w:val="00FE1FE5"/>
    <w:rsid w:val="00FE2124"/>
    <w:rsid w:val="00FE2719"/>
    <w:rsid w:val="00FE2899"/>
    <w:rsid w:val="00FE2CDB"/>
    <w:rsid w:val="00FE358D"/>
    <w:rsid w:val="00FE3604"/>
    <w:rsid w:val="00FE37DB"/>
    <w:rsid w:val="00FE3D5A"/>
    <w:rsid w:val="00FE41B7"/>
    <w:rsid w:val="00FE4286"/>
    <w:rsid w:val="00FE5323"/>
    <w:rsid w:val="00FE559C"/>
    <w:rsid w:val="00FE5EBE"/>
    <w:rsid w:val="00FE645E"/>
    <w:rsid w:val="00FE76C0"/>
    <w:rsid w:val="00FF0250"/>
    <w:rsid w:val="00FF03FB"/>
    <w:rsid w:val="00FF0648"/>
    <w:rsid w:val="00FF067B"/>
    <w:rsid w:val="00FF07DA"/>
    <w:rsid w:val="00FF092E"/>
    <w:rsid w:val="00FF0AB0"/>
    <w:rsid w:val="00FF1872"/>
    <w:rsid w:val="00FF1965"/>
    <w:rsid w:val="00FF197A"/>
    <w:rsid w:val="00FF1AC0"/>
    <w:rsid w:val="00FF1B7C"/>
    <w:rsid w:val="00FF2058"/>
    <w:rsid w:val="00FF2375"/>
    <w:rsid w:val="00FF28AC"/>
    <w:rsid w:val="00FF29A2"/>
    <w:rsid w:val="00FF2C7C"/>
    <w:rsid w:val="00FF33E6"/>
    <w:rsid w:val="00FF3499"/>
    <w:rsid w:val="00FF3553"/>
    <w:rsid w:val="00FF366E"/>
    <w:rsid w:val="00FF3CE3"/>
    <w:rsid w:val="00FF3E91"/>
    <w:rsid w:val="00FF40DB"/>
    <w:rsid w:val="00FF4AFA"/>
    <w:rsid w:val="00FF4E9B"/>
    <w:rsid w:val="00FF4FA6"/>
    <w:rsid w:val="00FF54D0"/>
    <w:rsid w:val="00FF56E1"/>
    <w:rsid w:val="00FF5BEB"/>
    <w:rsid w:val="00FF5D8B"/>
    <w:rsid w:val="00FF5EC4"/>
    <w:rsid w:val="00FF6323"/>
    <w:rsid w:val="00FF6698"/>
    <w:rsid w:val="00FF66C5"/>
    <w:rsid w:val="00FF73A4"/>
    <w:rsid w:val="00FF781E"/>
    <w:rsid w:val="00FF7E36"/>
    <w:rsid w:val="00FF7F62"/>
    <w:rsid w:val="010239D6"/>
    <w:rsid w:val="0112DD61"/>
    <w:rsid w:val="0121B08F"/>
    <w:rsid w:val="01A872B7"/>
    <w:rsid w:val="01CFEDC7"/>
    <w:rsid w:val="02000D78"/>
    <w:rsid w:val="02B753C7"/>
    <w:rsid w:val="02D7A471"/>
    <w:rsid w:val="0301DA81"/>
    <w:rsid w:val="030C5507"/>
    <w:rsid w:val="037AEDAA"/>
    <w:rsid w:val="03C036AD"/>
    <w:rsid w:val="04B1DAEC"/>
    <w:rsid w:val="04B46108"/>
    <w:rsid w:val="04B7ACE0"/>
    <w:rsid w:val="0540BC37"/>
    <w:rsid w:val="058C2AC5"/>
    <w:rsid w:val="05C6862E"/>
    <w:rsid w:val="05F6AD02"/>
    <w:rsid w:val="05FB3727"/>
    <w:rsid w:val="0603A489"/>
    <w:rsid w:val="0632973A"/>
    <w:rsid w:val="06D117F7"/>
    <w:rsid w:val="06D83BAA"/>
    <w:rsid w:val="0763C1C0"/>
    <w:rsid w:val="07CB4488"/>
    <w:rsid w:val="07F712AD"/>
    <w:rsid w:val="0807F64A"/>
    <w:rsid w:val="0816DD94"/>
    <w:rsid w:val="085DDDA7"/>
    <w:rsid w:val="087D2FD4"/>
    <w:rsid w:val="08F29B07"/>
    <w:rsid w:val="09075D7C"/>
    <w:rsid w:val="098A1B24"/>
    <w:rsid w:val="09D5FD8C"/>
    <w:rsid w:val="0A787C9A"/>
    <w:rsid w:val="0B27ED22"/>
    <w:rsid w:val="0BA8379E"/>
    <w:rsid w:val="0BB0215B"/>
    <w:rsid w:val="0BD2B30F"/>
    <w:rsid w:val="0BE87A31"/>
    <w:rsid w:val="0C02A890"/>
    <w:rsid w:val="0C144CFB"/>
    <w:rsid w:val="0C6CDC60"/>
    <w:rsid w:val="0CBC5E16"/>
    <w:rsid w:val="0CEB9925"/>
    <w:rsid w:val="0D12B9D0"/>
    <w:rsid w:val="0D231516"/>
    <w:rsid w:val="0D4D3A16"/>
    <w:rsid w:val="0E5F0B0D"/>
    <w:rsid w:val="0E74EA8F"/>
    <w:rsid w:val="0E899E39"/>
    <w:rsid w:val="0E948096"/>
    <w:rsid w:val="0FEC3B2F"/>
    <w:rsid w:val="101ECE99"/>
    <w:rsid w:val="109B9EE2"/>
    <w:rsid w:val="10C09D67"/>
    <w:rsid w:val="11639C07"/>
    <w:rsid w:val="117F5AFE"/>
    <w:rsid w:val="11B6B5CF"/>
    <w:rsid w:val="11BA9EFA"/>
    <w:rsid w:val="12711C27"/>
    <w:rsid w:val="12D40D0E"/>
    <w:rsid w:val="135DF624"/>
    <w:rsid w:val="13E0E728"/>
    <w:rsid w:val="141B08C2"/>
    <w:rsid w:val="1549D0D0"/>
    <w:rsid w:val="1555E9DC"/>
    <w:rsid w:val="155D506D"/>
    <w:rsid w:val="15A21CA2"/>
    <w:rsid w:val="15D40BA4"/>
    <w:rsid w:val="16331CBE"/>
    <w:rsid w:val="16F8DB46"/>
    <w:rsid w:val="17059745"/>
    <w:rsid w:val="1796F061"/>
    <w:rsid w:val="1819F851"/>
    <w:rsid w:val="18FF1A45"/>
    <w:rsid w:val="1900A76B"/>
    <w:rsid w:val="19203BB4"/>
    <w:rsid w:val="1938900D"/>
    <w:rsid w:val="196AA027"/>
    <w:rsid w:val="1A0E3CCD"/>
    <w:rsid w:val="1A354A81"/>
    <w:rsid w:val="1A4A11C9"/>
    <w:rsid w:val="1A92FC0A"/>
    <w:rsid w:val="1AAF519E"/>
    <w:rsid w:val="1B272A2D"/>
    <w:rsid w:val="1B308B5C"/>
    <w:rsid w:val="1C509719"/>
    <w:rsid w:val="1C5C1691"/>
    <w:rsid w:val="1CD64261"/>
    <w:rsid w:val="1CF50D03"/>
    <w:rsid w:val="1D01797B"/>
    <w:rsid w:val="1D974518"/>
    <w:rsid w:val="1DCE2EAC"/>
    <w:rsid w:val="1E79D693"/>
    <w:rsid w:val="2073A42A"/>
    <w:rsid w:val="20AD10A4"/>
    <w:rsid w:val="20C5E881"/>
    <w:rsid w:val="2242236A"/>
    <w:rsid w:val="22B8AE88"/>
    <w:rsid w:val="22BBB564"/>
    <w:rsid w:val="23F566D6"/>
    <w:rsid w:val="249BB255"/>
    <w:rsid w:val="24A9DA54"/>
    <w:rsid w:val="24CA6034"/>
    <w:rsid w:val="251A8C62"/>
    <w:rsid w:val="258846A4"/>
    <w:rsid w:val="25D4EA73"/>
    <w:rsid w:val="25E015CC"/>
    <w:rsid w:val="260477D8"/>
    <w:rsid w:val="2722F05E"/>
    <w:rsid w:val="27E6B3BB"/>
    <w:rsid w:val="282EC971"/>
    <w:rsid w:val="28456E89"/>
    <w:rsid w:val="292EA6D4"/>
    <w:rsid w:val="292FAE86"/>
    <w:rsid w:val="2946876F"/>
    <w:rsid w:val="2AADE531"/>
    <w:rsid w:val="2AC35E7F"/>
    <w:rsid w:val="2AC3E62D"/>
    <w:rsid w:val="2B213A68"/>
    <w:rsid w:val="2B666A33"/>
    <w:rsid w:val="2BA53DF8"/>
    <w:rsid w:val="2BC05C95"/>
    <w:rsid w:val="2C5DAEC2"/>
    <w:rsid w:val="2C7AE019"/>
    <w:rsid w:val="2D13A6DF"/>
    <w:rsid w:val="2D26C376"/>
    <w:rsid w:val="2D3B7E6C"/>
    <w:rsid w:val="2D5E2735"/>
    <w:rsid w:val="2D697B3E"/>
    <w:rsid w:val="2DA3C776"/>
    <w:rsid w:val="2DB5C90B"/>
    <w:rsid w:val="2DBD5825"/>
    <w:rsid w:val="2DF04B5C"/>
    <w:rsid w:val="2DFAC77D"/>
    <w:rsid w:val="2EFDF6CB"/>
    <w:rsid w:val="2FF7B5FE"/>
    <w:rsid w:val="3048F47B"/>
    <w:rsid w:val="30AF417F"/>
    <w:rsid w:val="30DABC15"/>
    <w:rsid w:val="314C6E8D"/>
    <w:rsid w:val="3196F40F"/>
    <w:rsid w:val="3294B925"/>
    <w:rsid w:val="32A2268D"/>
    <w:rsid w:val="32BD686F"/>
    <w:rsid w:val="32CBF812"/>
    <w:rsid w:val="331F5E59"/>
    <w:rsid w:val="333EDA79"/>
    <w:rsid w:val="336EA8AB"/>
    <w:rsid w:val="33DC4741"/>
    <w:rsid w:val="34216F3B"/>
    <w:rsid w:val="34512C0F"/>
    <w:rsid w:val="34A94DA3"/>
    <w:rsid w:val="34B8BF46"/>
    <w:rsid w:val="3518223B"/>
    <w:rsid w:val="35E88A0E"/>
    <w:rsid w:val="35F936A9"/>
    <w:rsid w:val="36281296"/>
    <w:rsid w:val="3633821A"/>
    <w:rsid w:val="3676D5DF"/>
    <w:rsid w:val="37E719FC"/>
    <w:rsid w:val="3818D6A7"/>
    <w:rsid w:val="382714B1"/>
    <w:rsid w:val="3878FD81"/>
    <w:rsid w:val="38D7391E"/>
    <w:rsid w:val="395E5B4F"/>
    <w:rsid w:val="3A24859B"/>
    <w:rsid w:val="3A3F3966"/>
    <w:rsid w:val="3A41708C"/>
    <w:rsid w:val="3A9DEBCF"/>
    <w:rsid w:val="3B5A92C2"/>
    <w:rsid w:val="3B824646"/>
    <w:rsid w:val="3B9946BC"/>
    <w:rsid w:val="3BAC4E33"/>
    <w:rsid w:val="3BFB7E48"/>
    <w:rsid w:val="3C4917FB"/>
    <w:rsid w:val="3C61A728"/>
    <w:rsid w:val="3D16B132"/>
    <w:rsid w:val="3D33FEDE"/>
    <w:rsid w:val="3D35171D"/>
    <w:rsid w:val="3D846134"/>
    <w:rsid w:val="3DAA80C8"/>
    <w:rsid w:val="3DAF60B3"/>
    <w:rsid w:val="3E33FD3F"/>
    <w:rsid w:val="3E5DA2EA"/>
    <w:rsid w:val="3EF4BD93"/>
    <w:rsid w:val="3F9152BD"/>
    <w:rsid w:val="3FC80D2D"/>
    <w:rsid w:val="403D14CF"/>
    <w:rsid w:val="40BBF21D"/>
    <w:rsid w:val="40F7CF52"/>
    <w:rsid w:val="41236CE8"/>
    <w:rsid w:val="41870044"/>
    <w:rsid w:val="421D6DF8"/>
    <w:rsid w:val="4241194C"/>
    <w:rsid w:val="42507997"/>
    <w:rsid w:val="428104A2"/>
    <w:rsid w:val="42C66A17"/>
    <w:rsid w:val="42DFF110"/>
    <w:rsid w:val="43096750"/>
    <w:rsid w:val="430A6CBD"/>
    <w:rsid w:val="4352550A"/>
    <w:rsid w:val="4466A5C6"/>
    <w:rsid w:val="44AB230B"/>
    <w:rsid w:val="46646155"/>
    <w:rsid w:val="46F11227"/>
    <w:rsid w:val="4785D371"/>
    <w:rsid w:val="479FABC8"/>
    <w:rsid w:val="47C2A663"/>
    <w:rsid w:val="48171E8F"/>
    <w:rsid w:val="4895386D"/>
    <w:rsid w:val="48B458F7"/>
    <w:rsid w:val="4901BB6E"/>
    <w:rsid w:val="492639DE"/>
    <w:rsid w:val="4927C4B8"/>
    <w:rsid w:val="4937B5DC"/>
    <w:rsid w:val="49E0F662"/>
    <w:rsid w:val="4A2FC478"/>
    <w:rsid w:val="4B38C585"/>
    <w:rsid w:val="4B7C263F"/>
    <w:rsid w:val="4BDCCE01"/>
    <w:rsid w:val="4C6F210B"/>
    <w:rsid w:val="4C8307F0"/>
    <w:rsid w:val="4D1AA721"/>
    <w:rsid w:val="4DE28343"/>
    <w:rsid w:val="4E293839"/>
    <w:rsid w:val="4E2A25B0"/>
    <w:rsid w:val="4E821633"/>
    <w:rsid w:val="5043FDA8"/>
    <w:rsid w:val="508902CE"/>
    <w:rsid w:val="50B4ED36"/>
    <w:rsid w:val="51380A59"/>
    <w:rsid w:val="514D5DC7"/>
    <w:rsid w:val="518B6F9D"/>
    <w:rsid w:val="519813CB"/>
    <w:rsid w:val="51988D75"/>
    <w:rsid w:val="51D43A96"/>
    <w:rsid w:val="52E97ABA"/>
    <w:rsid w:val="53101BE9"/>
    <w:rsid w:val="537655DC"/>
    <w:rsid w:val="53DEC10E"/>
    <w:rsid w:val="544D89B8"/>
    <w:rsid w:val="54795DF7"/>
    <w:rsid w:val="557B175F"/>
    <w:rsid w:val="5583B589"/>
    <w:rsid w:val="5593245F"/>
    <w:rsid w:val="55AA598E"/>
    <w:rsid w:val="55B8375B"/>
    <w:rsid w:val="561DF7B4"/>
    <w:rsid w:val="5696EC34"/>
    <w:rsid w:val="56D92434"/>
    <w:rsid w:val="573E4524"/>
    <w:rsid w:val="5764176A"/>
    <w:rsid w:val="579FC51C"/>
    <w:rsid w:val="58215FAA"/>
    <w:rsid w:val="588A999A"/>
    <w:rsid w:val="58EE7A93"/>
    <w:rsid w:val="59345E36"/>
    <w:rsid w:val="5945E543"/>
    <w:rsid w:val="59C1AE3E"/>
    <w:rsid w:val="5A0CB704"/>
    <w:rsid w:val="5A35E6A0"/>
    <w:rsid w:val="5A8387A3"/>
    <w:rsid w:val="5AAF922E"/>
    <w:rsid w:val="5AE3F672"/>
    <w:rsid w:val="5AF392FA"/>
    <w:rsid w:val="5B1C51AF"/>
    <w:rsid w:val="5B803B4D"/>
    <w:rsid w:val="5BAD5597"/>
    <w:rsid w:val="5BC55B3C"/>
    <w:rsid w:val="5C0CE8A6"/>
    <w:rsid w:val="5C74BEB8"/>
    <w:rsid w:val="5CF4D0CD"/>
    <w:rsid w:val="5D83986C"/>
    <w:rsid w:val="5D8B3B10"/>
    <w:rsid w:val="5D974E95"/>
    <w:rsid w:val="5DD8EB85"/>
    <w:rsid w:val="5E1AE19C"/>
    <w:rsid w:val="5E58CECB"/>
    <w:rsid w:val="5EB9994D"/>
    <w:rsid w:val="5EEBF43B"/>
    <w:rsid w:val="5F16FA1E"/>
    <w:rsid w:val="5F369B11"/>
    <w:rsid w:val="5F63DB00"/>
    <w:rsid w:val="5FCF3A1B"/>
    <w:rsid w:val="5FE0B900"/>
    <w:rsid w:val="5FEA6570"/>
    <w:rsid w:val="6051009D"/>
    <w:rsid w:val="6087C49C"/>
    <w:rsid w:val="6091F670"/>
    <w:rsid w:val="60D3B3CC"/>
    <w:rsid w:val="614E0F7C"/>
    <w:rsid w:val="61B95580"/>
    <w:rsid w:val="61DCBD6B"/>
    <w:rsid w:val="620EB9D6"/>
    <w:rsid w:val="627EFA7F"/>
    <w:rsid w:val="62AAED9B"/>
    <w:rsid w:val="62DBF97F"/>
    <w:rsid w:val="632B97C7"/>
    <w:rsid w:val="63A661A1"/>
    <w:rsid w:val="63F5ECBA"/>
    <w:rsid w:val="63FEAB62"/>
    <w:rsid w:val="64B2DD7D"/>
    <w:rsid w:val="64C46A7F"/>
    <w:rsid w:val="64DFDF78"/>
    <w:rsid w:val="6502A063"/>
    <w:rsid w:val="65202FB1"/>
    <w:rsid w:val="65A883EB"/>
    <w:rsid w:val="65B07FA8"/>
    <w:rsid w:val="65B7770D"/>
    <w:rsid w:val="663667CD"/>
    <w:rsid w:val="665A774A"/>
    <w:rsid w:val="66713297"/>
    <w:rsid w:val="667B8B10"/>
    <w:rsid w:val="66D5110F"/>
    <w:rsid w:val="675147AB"/>
    <w:rsid w:val="67CEA30E"/>
    <w:rsid w:val="67D2382E"/>
    <w:rsid w:val="68357CFE"/>
    <w:rsid w:val="6838DB7D"/>
    <w:rsid w:val="684003CA"/>
    <w:rsid w:val="68E1EEC2"/>
    <w:rsid w:val="694C082B"/>
    <w:rsid w:val="696E088F"/>
    <w:rsid w:val="6999324D"/>
    <w:rsid w:val="69B50E6D"/>
    <w:rsid w:val="69E9DC29"/>
    <w:rsid w:val="6A470410"/>
    <w:rsid w:val="6AA758EE"/>
    <w:rsid w:val="6B7E10CE"/>
    <w:rsid w:val="6B9DEE9E"/>
    <w:rsid w:val="6C62E729"/>
    <w:rsid w:val="6CCC2119"/>
    <w:rsid w:val="6CCF41F9"/>
    <w:rsid w:val="6D6337F2"/>
    <w:rsid w:val="6E74718C"/>
    <w:rsid w:val="7027FC89"/>
    <w:rsid w:val="7035EB97"/>
    <w:rsid w:val="707734E3"/>
    <w:rsid w:val="70CCB9A0"/>
    <w:rsid w:val="711F577E"/>
    <w:rsid w:val="712E9D97"/>
    <w:rsid w:val="720B0FAB"/>
    <w:rsid w:val="72CC9907"/>
    <w:rsid w:val="7314535D"/>
    <w:rsid w:val="73275AD4"/>
    <w:rsid w:val="736D228F"/>
    <w:rsid w:val="73D7C4DA"/>
    <w:rsid w:val="74532979"/>
    <w:rsid w:val="7469A284"/>
    <w:rsid w:val="748C4E75"/>
    <w:rsid w:val="74EB3AF4"/>
    <w:rsid w:val="74FFD377"/>
    <w:rsid w:val="7530B79C"/>
    <w:rsid w:val="75A7496D"/>
    <w:rsid w:val="75BB41A0"/>
    <w:rsid w:val="7614348A"/>
    <w:rsid w:val="763DF200"/>
    <w:rsid w:val="76D8451A"/>
    <w:rsid w:val="77453F33"/>
    <w:rsid w:val="780F325C"/>
    <w:rsid w:val="78E77045"/>
    <w:rsid w:val="79AB02BD"/>
    <w:rsid w:val="7A1954A6"/>
    <w:rsid w:val="7A7ABA90"/>
    <w:rsid w:val="7B19AC83"/>
    <w:rsid w:val="7B449066"/>
    <w:rsid w:val="7BF39C09"/>
    <w:rsid w:val="7BF56134"/>
    <w:rsid w:val="7C6DCF8A"/>
    <w:rsid w:val="7DC0273C"/>
    <w:rsid w:val="7E0C483E"/>
    <w:rsid w:val="7E753140"/>
    <w:rsid w:val="7E894E3A"/>
    <w:rsid w:val="7E8A6E18"/>
    <w:rsid w:val="7EDE04DF"/>
    <w:rsid w:val="7F3318B1"/>
    <w:rsid w:val="7F9351F3"/>
    <w:rsid w:val="7FA7CE18"/>
    <w:rsid w:val="7FFA3699"/>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C4FD25"/>
  <w15:docId w15:val="{8DA05795-314B-475B-BB07-566302A830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qFormat="1"/>
    <w:lsdException w:name="footer" w:semiHidden="1" w:uiPriority="99"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uiPriority="39"/>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E13E08"/>
    <w:pPr>
      <w:spacing w:before="120" w:after="120" w:line="276" w:lineRule="auto"/>
    </w:pPr>
    <w:rPr>
      <w:rFonts w:ascii="Arial" w:eastAsia="Arial" w:hAnsi="Arial"/>
      <w:color w:val="000000" w:themeColor="text1"/>
      <w:sz w:val="22"/>
      <w:szCs w:val="24"/>
      <w:lang w:eastAsia="en-US"/>
    </w:rPr>
  </w:style>
  <w:style w:type="paragraph" w:styleId="Heading1">
    <w:name w:val="heading 1"/>
    <w:next w:val="Normal"/>
    <w:qFormat/>
    <w:rsid w:val="00D560EE"/>
    <w:pPr>
      <w:keepNext/>
      <w:spacing w:before="240" w:after="60"/>
      <w:outlineLvl w:val="0"/>
    </w:pPr>
    <w:rPr>
      <w:rFonts w:ascii="Arial" w:hAnsi="Arial" w:cs="Arial"/>
      <w:b/>
      <w:bCs/>
      <w:color w:val="2A7187" w:themeColor="accent5" w:themeShade="BF"/>
      <w:kern w:val="28"/>
      <w:sz w:val="40"/>
      <w:szCs w:val="36"/>
      <w:lang w:eastAsia="en-US"/>
    </w:rPr>
  </w:style>
  <w:style w:type="paragraph" w:styleId="Heading2">
    <w:name w:val="heading 2"/>
    <w:next w:val="Normal"/>
    <w:qFormat/>
    <w:rsid w:val="006D7287"/>
    <w:pPr>
      <w:keepNext/>
      <w:spacing w:before="240" w:after="60"/>
      <w:outlineLvl w:val="1"/>
    </w:pPr>
    <w:rPr>
      <w:rFonts w:ascii="Arial" w:hAnsi="Arial" w:cs="Arial"/>
      <w:b/>
      <w:bCs/>
      <w:iCs/>
      <w:color w:val="358189" w:themeColor="accent2"/>
      <w:sz w:val="40"/>
      <w:szCs w:val="28"/>
      <w:lang w:eastAsia="en-US"/>
    </w:rPr>
  </w:style>
  <w:style w:type="paragraph" w:styleId="Heading3">
    <w:name w:val="heading 3"/>
    <w:next w:val="Normal"/>
    <w:link w:val="Heading3Char"/>
    <w:qFormat/>
    <w:rsid w:val="00DA5703"/>
    <w:pPr>
      <w:keepNext/>
      <w:spacing w:before="180" w:after="60"/>
      <w:outlineLvl w:val="2"/>
    </w:pPr>
    <w:rPr>
      <w:rFonts w:ascii="Arial" w:hAnsi="Arial" w:cs="Arial"/>
      <w:b/>
      <w:bCs/>
      <w:color w:val="9E4C6E" w:themeColor="accent4"/>
      <w:sz w:val="32"/>
      <w:szCs w:val="26"/>
      <w:lang w:eastAsia="en-US"/>
    </w:rPr>
  </w:style>
  <w:style w:type="paragraph" w:styleId="Heading4">
    <w:name w:val="heading 4"/>
    <w:next w:val="Normal"/>
    <w:qFormat/>
    <w:rsid w:val="00077D46"/>
    <w:pPr>
      <w:keepNext/>
      <w:spacing w:before="240" w:after="60"/>
      <w:outlineLvl w:val="3"/>
    </w:pPr>
    <w:rPr>
      <w:rFonts w:ascii="Arial" w:hAnsi="Arial"/>
      <w:b/>
      <w:bCs/>
      <w:color w:val="97A926" w:themeColor="accent6"/>
      <w:sz w:val="28"/>
      <w:szCs w:val="28"/>
      <w:lang w:eastAsia="en-US"/>
    </w:rPr>
  </w:style>
  <w:style w:type="paragraph" w:styleId="Heading5">
    <w:name w:val="heading 5"/>
    <w:next w:val="Normal"/>
    <w:rsid w:val="00E47DB7"/>
    <w:pPr>
      <w:keepNext/>
      <w:spacing w:before="240" w:after="60"/>
      <w:outlineLvl w:val="4"/>
    </w:pPr>
    <w:rPr>
      <w:rFonts w:ascii="Arial" w:hAnsi="Arial"/>
      <w:b/>
      <w:bCs/>
      <w:iCs/>
      <w:color w:val="3998B5" w:themeColor="accent5"/>
      <w:sz w:val="26"/>
      <w:szCs w:val="26"/>
      <w:lang w:eastAsia="en-US"/>
    </w:rPr>
  </w:style>
  <w:style w:type="paragraph" w:styleId="Heading6">
    <w:name w:val="heading 6"/>
    <w:next w:val="Normal"/>
    <w:rsid w:val="00207793"/>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207793"/>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A705AF"/>
    <w:rPr>
      <w:i/>
      <w:iCs/>
    </w:rPr>
  </w:style>
  <w:style w:type="character" w:styleId="Strong">
    <w:name w:val="Strong"/>
    <w:basedOn w:val="DefaultParagraphFont"/>
    <w:uiPriority w:val="22"/>
    <w:qFormat/>
    <w:rsid w:val="00A705AF"/>
    <w:rPr>
      <w:b/>
      <w:bCs/>
    </w:rPr>
  </w:style>
  <w:style w:type="paragraph" w:styleId="Subtitle">
    <w:name w:val="Subtitle"/>
    <w:next w:val="Normal"/>
    <w:link w:val="SubtitleChar"/>
    <w:qFormat/>
    <w:rsid w:val="00E65B7C"/>
    <w:pPr>
      <w:numPr>
        <w:ilvl w:val="1"/>
      </w:numPr>
      <w:spacing w:before="120" w:after="60"/>
    </w:pPr>
    <w:rPr>
      <w:rFonts w:ascii="Arial" w:eastAsiaTheme="majorEastAsia" w:hAnsi="Arial" w:cstheme="majorBidi"/>
      <w:iCs/>
      <w:color w:val="3F4A75"/>
      <w:spacing w:val="15"/>
      <w:sz w:val="36"/>
      <w:szCs w:val="24"/>
      <w:lang w:eastAsia="en-US"/>
    </w:rPr>
  </w:style>
  <w:style w:type="character" w:customStyle="1" w:styleId="SubtitleChar">
    <w:name w:val="Subtitle Char"/>
    <w:basedOn w:val="DefaultParagraphFont"/>
    <w:link w:val="Subtitle"/>
    <w:rsid w:val="00E65B7C"/>
    <w:rPr>
      <w:rFonts w:ascii="Arial" w:eastAsiaTheme="majorEastAsia" w:hAnsi="Arial" w:cstheme="majorBidi"/>
      <w:iCs/>
      <w:color w:val="3F4A75"/>
      <w:spacing w:val="15"/>
      <w:sz w:val="36"/>
      <w:szCs w:val="24"/>
      <w:lang w:eastAsia="en-US"/>
    </w:rPr>
  </w:style>
  <w:style w:type="paragraph" w:styleId="Title">
    <w:name w:val="Title"/>
    <w:next w:val="Normal"/>
    <w:link w:val="TitleChar"/>
    <w:qFormat/>
    <w:rsid w:val="00AA2171"/>
    <w:pPr>
      <w:spacing w:before="2160" w:after="120"/>
      <w:contextualSpacing/>
    </w:pPr>
    <w:rPr>
      <w:rFonts w:ascii="Arial" w:eastAsiaTheme="majorEastAsia" w:hAnsi="Arial" w:cstheme="majorBidi"/>
      <w:b/>
      <w:color w:val="3F4A75" w:themeColor="accent1"/>
      <w:kern w:val="28"/>
      <w:sz w:val="44"/>
      <w:szCs w:val="52"/>
      <w:lang w:eastAsia="en-US"/>
    </w:rPr>
  </w:style>
  <w:style w:type="character" w:customStyle="1" w:styleId="TitleChar">
    <w:name w:val="Title Char"/>
    <w:basedOn w:val="DefaultParagraphFont"/>
    <w:link w:val="Title"/>
    <w:rsid w:val="00AA2171"/>
    <w:rPr>
      <w:rFonts w:ascii="Arial" w:eastAsiaTheme="majorEastAsia" w:hAnsi="Arial" w:cstheme="majorBidi"/>
      <w:b/>
      <w:color w:val="3F4A75" w:themeColor="accent1"/>
      <w:kern w:val="28"/>
      <w:sz w:val="44"/>
      <w:szCs w:val="52"/>
      <w:lang w:eastAsia="en-US"/>
    </w:rPr>
  </w:style>
  <w:style w:type="paragraph" w:styleId="NoSpacing">
    <w:name w:val="No Spacing"/>
    <w:uiPriority w:val="1"/>
    <w:rsid w:val="00A4512D"/>
    <w:rPr>
      <w:sz w:val="24"/>
      <w:szCs w:val="24"/>
      <w:lang w:eastAsia="en-US"/>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next w:val="Normal"/>
    <w:link w:val="IntenseQuoteChar"/>
    <w:uiPriority w:val="30"/>
    <w:qFormat/>
    <w:rsid w:val="00346C4A"/>
    <w:pPr>
      <w:pBdr>
        <w:bottom w:val="single" w:sz="4" w:space="4" w:color="3F4A75" w:themeColor="accent1"/>
      </w:pBdr>
      <w:spacing w:before="200" w:after="280"/>
      <w:ind w:left="936" w:right="936"/>
    </w:pPr>
    <w:rPr>
      <w:rFonts w:ascii="Arial" w:hAnsi="Arial"/>
      <w:b/>
      <w:bCs/>
      <w:i/>
      <w:iCs/>
      <w:color w:val="3F4A75" w:themeColor="accent1"/>
      <w:sz w:val="22"/>
      <w:szCs w:val="24"/>
      <w:lang w:eastAsia="en-US"/>
    </w:rPr>
  </w:style>
  <w:style w:type="character" w:customStyle="1" w:styleId="IntenseQuoteChar">
    <w:name w:val="Intense Quote Char"/>
    <w:basedOn w:val="DefaultParagraphFont"/>
    <w:link w:val="IntenseQuote"/>
    <w:uiPriority w:val="30"/>
    <w:rsid w:val="00346C4A"/>
    <w:rPr>
      <w:rFonts w:ascii="Arial" w:hAnsi="Arial"/>
      <w:b/>
      <w:bCs/>
      <w:i/>
      <w:iCs/>
      <w:color w:val="3F4A75" w:themeColor="accent1"/>
      <w:sz w:val="22"/>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CE0D44"/>
    <w:pPr>
      <w:numPr>
        <w:numId w:val="4"/>
      </w:numPr>
      <w:ind w:left="1800"/>
    </w:pPr>
  </w:style>
  <w:style w:type="paragraph" w:styleId="ListNumber2">
    <w:name w:val="List Number 2"/>
    <w:basedOn w:val="ListBullet"/>
    <w:qFormat/>
    <w:rsid w:val="00BA70AB"/>
    <w:pPr>
      <w:numPr>
        <w:numId w:val="0"/>
      </w:numPr>
    </w:pPr>
  </w:style>
  <w:style w:type="paragraph" w:styleId="ListBullet">
    <w:name w:val="List Bullet"/>
    <w:basedOn w:val="Normal"/>
    <w:qFormat/>
    <w:rsid w:val="003342B8"/>
    <w:pPr>
      <w:numPr>
        <w:numId w:val="5"/>
      </w:numPr>
      <w:tabs>
        <w:tab w:val="left" w:pos="340"/>
        <w:tab w:val="left" w:pos="680"/>
      </w:tabs>
      <w:spacing w:before="60" w:after="60"/>
    </w:pPr>
  </w:style>
  <w:style w:type="paragraph" w:styleId="ListParagraph">
    <w:name w:val="List Paragraph"/>
    <w:aliases w:val="Footnote,BulletPoints,Bullets,CV text,Dot pt,F5 List Paragraph,FooterText,L,List Paragraph1,List Paragraph11,List Paragraph111,List Paragraph2,Medium Grid 1 - Accent 21,NAST Quote,NFP GP Bulleted List,Numbered Paragraph,Recommendation,列"/>
    <w:basedOn w:val="Normal"/>
    <w:link w:val="ListParagraphChar"/>
    <w:uiPriority w:val="34"/>
    <w:qFormat/>
    <w:rsid w:val="00A4512D"/>
    <w:pPr>
      <w:ind w:left="720"/>
      <w:contextualSpacing/>
    </w:pPr>
  </w:style>
  <w:style w:type="paragraph" w:styleId="ListNumber3">
    <w:name w:val="List Number 3"/>
    <w:aliases w:val="List Third Level"/>
    <w:basedOn w:val="ListNumber2"/>
    <w:rsid w:val="00BA56B7"/>
    <w:pPr>
      <w:numPr>
        <w:numId w:val="1"/>
      </w:numPr>
      <w:tabs>
        <w:tab w:val="num" w:pos="1440"/>
      </w:tabs>
      <w:ind w:left="924" w:hanging="357"/>
    </w:pPr>
    <w:rPr>
      <w:rFonts w:eastAsia="Cambria"/>
      <w:color w:val="auto"/>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alloonText">
    <w:name w:val="Balloon Text"/>
    <w:basedOn w:val="Normal"/>
    <w:link w:val="BalloonTextChar"/>
    <w:rsid w:val="000B067A"/>
    <w:rPr>
      <w:rFonts w:ascii="Tahoma" w:hAnsi="Tahoma" w:cs="Tahoma"/>
      <w:sz w:val="16"/>
      <w:szCs w:val="16"/>
    </w:rPr>
  </w:style>
  <w:style w:type="character" w:customStyle="1" w:styleId="BalloonTextChar">
    <w:name w:val="Balloon Text Char"/>
    <w:basedOn w:val="DefaultParagraphFont"/>
    <w:link w:val="BalloonText"/>
    <w:rsid w:val="000B067A"/>
    <w:rPr>
      <w:rFonts w:ascii="Tahoma" w:hAnsi="Tahoma" w:cs="Tahoma"/>
      <w:sz w:val="16"/>
      <w:szCs w:val="16"/>
      <w:lang w:eastAsia="en-US"/>
    </w:rPr>
  </w:style>
  <w:style w:type="table" w:styleId="TableGrid">
    <w:name w:val="Table Grid"/>
    <w:aliases w:val="Table Grid2"/>
    <w:basedOn w:val="TableNormal"/>
    <w:uiPriority w:val="39"/>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left">
    <w:name w:val="Table text left"/>
    <w:autoRedefine/>
    <w:qFormat/>
    <w:locked/>
    <w:rsid w:val="00F47213"/>
    <w:pPr>
      <w:spacing w:before="60" w:after="60"/>
    </w:pPr>
    <w:rPr>
      <w:rFonts w:ascii="Arial" w:hAnsi="Arial"/>
      <w:bCs/>
      <w:color w:val="000000" w:themeColor="text1"/>
      <w:sz w:val="21"/>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DC7910"/>
    <w:pPr>
      <w:spacing w:before="120" w:after="120"/>
    </w:pPr>
    <w:rPr>
      <w:rFonts w:ascii="Arial" w:hAnsi="Arial"/>
      <w:b/>
      <w:color w:val="000000" w:themeColor="text1"/>
      <w:sz w:val="22"/>
      <w:szCs w:val="24"/>
      <w:lang w:val="en-US" w:eastAsia="en-US"/>
    </w:rPr>
  </w:style>
  <w:style w:type="paragraph" w:styleId="Header">
    <w:name w:val="header"/>
    <w:link w:val="HeaderChar"/>
    <w:uiPriority w:val="99"/>
    <w:qFormat/>
    <w:rsid w:val="00B7222E"/>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uiPriority w:val="99"/>
    <w:rsid w:val="00B7222E"/>
    <w:rPr>
      <w:rFonts w:ascii="Arial" w:hAnsi="Arial"/>
      <w:sz w:val="22"/>
      <w:szCs w:val="24"/>
      <w:lang w:eastAsia="en-US"/>
    </w:rPr>
  </w:style>
  <w:style w:type="paragraph" w:styleId="Footer">
    <w:name w:val="footer"/>
    <w:link w:val="FooterChar"/>
    <w:uiPriority w:val="99"/>
    <w:qFormat/>
    <w:rsid w:val="00B7222E"/>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B7222E"/>
    <w:rPr>
      <w:rFonts w:ascii="Arial" w:hAnsi="Arial"/>
      <w:szCs w:val="24"/>
      <w:lang w:eastAsia="en-US"/>
    </w:rPr>
  </w:style>
  <w:style w:type="paragraph" w:customStyle="1" w:styleId="TableHeaderWhite">
    <w:name w:val="Table Header White"/>
    <w:basedOn w:val="Normal"/>
    <w:next w:val="Tabletextleft"/>
    <w:qFormat/>
    <w:rsid w:val="00DC7910"/>
    <w:pPr>
      <w:spacing w:before="80" w:after="80"/>
    </w:pPr>
    <w:rPr>
      <w:rFonts w:eastAsia="Cambria"/>
      <w:b/>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pPr>
    <w:rPr>
      <w:rFonts w:cs="Arial"/>
      <w:b/>
      <w:sz w:val="20"/>
    </w:rPr>
  </w:style>
  <w:style w:type="paragraph" w:customStyle="1" w:styleId="FigureTitle">
    <w:name w:val="Figure Title"/>
    <w:next w:val="Normal"/>
    <w:qFormat/>
    <w:rsid w:val="00B7222E"/>
    <w:pPr>
      <w:spacing w:before="120" w:after="120"/>
    </w:pPr>
    <w:rPr>
      <w:rFonts w:ascii="Arial" w:hAnsi="Arial" w:cs="Arial"/>
      <w:b/>
      <w:bCs/>
      <w:iCs/>
      <w:color w:val="000000" w:themeColor="text1"/>
      <w:sz w:val="22"/>
      <w:szCs w:val="22"/>
      <w:lang w:eastAsia="en-US"/>
    </w:rPr>
  </w:style>
  <w:style w:type="paragraph" w:styleId="NormalWeb">
    <w:name w:val="Normal (Web)"/>
    <w:basedOn w:val="Normal"/>
    <w:uiPriority w:val="99"/>
    <w:unhideWhenUsed/>
    <w:rsid w:val="00093981"/>
    <w:pPr>
      <w:spacing w:before="100" w:beforeAutospacing="1" w:after="100" w:afterAutospacing="1"/>
    </w:pPr>
    <w:rPr>
      <w:rFonts w:ascii="Times New Roman" w:hAnsi="Times New Roman"/>
      <w:sz w:val="24"/>
      <w:lang w:eastAsia="en-AU"/>
    </w:rPr>
  </w:style>
  <w:style w:type="paragraph" w:customStyle="1" w:styleId="Headertext">
    <w:name w:val="Header text"/>
    <w:rsid w:val="00B7222E"/>
    <w:pPr>
      <w:jc w:val="right"/>
    </w:pPr>
    <w:rPr>
      <w:rFonts w:ascii="Arial" w:hAnsi="Arial"/>
      <w:szCs w:val="24"/>
      <w:lang w:eastAsia="en-US"/>
    </w:rPr>
  </w:style>
  <w:style w:type="character" w:styleId="Hyperlink">
    <w:name w:val="Hyperlink"/>
    <w:basedOn w:val="DefaultParagraphFont"/>
    <w:uiPriority w:val="99"/>
    <w:qFormat/>
    <w:rsid w:val="00707F56"/>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110478"/>
    <w:pPr>
      <w:numPr>
        <w:numId w:val="2"/>
      </w:numPr>
      <w:ind w:left="284" w:hanging="284"/>
    </w:pPr>
    <w:rPr>
      <w:szCs w:val="20"/>
    </w:rPr>
  </w:style>
  <w:style w:type="paragraph" w:customStyle="1" w:styleId="Tablelistnumber">
    <w:name w:val="Table list number"/>
    <w:basedOn w:val="Tabletextleft"/>
    <w:qFormat/>
    <w:rsid w:val="00DD2061"/>
    <w:pPr>
      <w:numPr>
        <w:numId w:val="3"/>
      </w:numPr>
    </w:pPr>
    <w:rPr>
      <w:bCs w:val="0"/>
      <w14:numSpacing w14:val="proportional"/>
    </w:rPr>
  </w:style>
  <w:style w:type="paragraph" w:customStyle="1" w:styleId="TableHeader">
    <w:name w:val="Table Header"/>
    <w:basedOn w:val="Normal"/>
    <w:next w:val="Tabletextleft"/>
    <w:qFormat/>
    <w:rsid w:val="00DC2313"/>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CE6502"/>
    <w:rPr>
      <w:szCs w:val="32"/>
    </w:rPr>
  </w:style>
  <w:style w:type="paragraph" w:styleId="FootnoteText">
    <w:name w:val="footnote text"/>
    <w:link w:val="FootnoteTextChar"/>
    <w:uiPriority w:val="99"/>
    <w:rsid w:val="00B7222E"/>
    <w:rPr>
      <w:rFonts w:ascii="Arial" w:hAnsi="Arial"/>
      <w:lang w:eastAsia="en-US"/>
    </w:rPr>
  </w:style>
  <w:style w:type="character" w:customStyle="1" w:styleId="FootnoteTextChar">
    <w:name w:val="Footnote Text Char"/>
    <w:basedOn w:val="DefaultParagraphFont"/>
    <w:link w:val="FootnoteText"/>
    <w:uiPriority w:val="99"/>
    <w:rsid w:val="00B7222E"/>
    <w:rPr>
      <w:rFonts w:ascii="Arial" w:hAnsi="Arial"/>
      <w:lang w:eastAsia="en-US"/>
    </w:rPr>
  </w:style>
  <w:style w:type="paragraph" w:styleId="Caption">
    <w:name w:val="caption"/>
    <w:basedOn w:val="Normal"/>
    <w:next w:val="Normal"/>
    <w:uiPriority w:val="35"/>
    <w:unhideWhenUsed/>
    <w:qFormat/>
    <w:rsid w:val="00E6463D"/>
    <w:pPr>
      <w:spacing w:after="200"/>
    </w:pPr>
    <w:rPr>
      <w:b/>
      <w:bCs/>
      <w:color w:val="3F4A75" w:themeColor="accent1"/>
      <w:sz w:val="18"/>
      <w:szCs w:val="18"/>
    </w:rPr>
  </w:style>
  <w:style w:type="paragraph" w:customStyle="1" w:styleId="VisionBox">
    <w:name w:val="VisionBox"/>
    <w:basedOn w:val="Normal"/>
    <w:qFormat/>
    <w:rsid w:val="00BB5860"/>
    <w:pPr>
      <w:pBdr>
        <w:top w:val="single" w:sz="4" w:space="15" w:color="358189"/>
        <w:bottom w:val="single" w:sz="4" w:space="10" w:color="358189"/>
      </w:pBdr>
      <w:spacing w:before="240" w:after="240" w:line="340" w:lineRule="exact"/>
    </w:pPr>
    <w:rPr>
      <w:rFonts w:eastAsiaTheme="minorHAnsi"/>
      <w:color w:val="358189"/>
    </w:rPr>
  </w:style>
  <w:style w:type="paragraph" w:customStyle="1" w:styleId="Style1">
    <w:name w:val="Style1"/>
    <w:next w:val="Normal"/>
    <w:rsid w:val="00177AD2"/>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Legislation">
    <w:name w:val="Legislation"/>
    <w:basedOn w:val="Normal"/>
    <w:qFormat/>
    <w:rsid w:val="00A72C72"/>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40" w:lineRule="auto"/>
      <w:ind w:left="227" w:right="227"/>
    </w:pPr>
  </w:style>
  <w:style w:type="table" w:customStyle="1" w:styleId="DepartmentofHealthtable">
    <w:name w:val="Department of Health table"/>
    <w:basedOn w:val="TableNormal"/>
    <w:uiPriority w:val="99"/>
    <w:rsid w:val="00DC2313"/>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character" w:customStyle="1" w:styleId="TableTitleChar">
    <w:name w:val="Table Title Char"/>
    <w:basedOn w:val="DefaultParagraphFont"/>
    <w:link w:val="TableTitle"/>
    <w:rsid w:val="00DC7910"/>
    <w:rPr>
      <w:rFonts w:ascii="Arial" w:hAnsi="Arial"/>
      <w:b/>
      <w:color w:val="000000" w:themeColor="text1"/>
      <w:sz w:val="22"/>
      <w:szCs w:val="24"/>
      <w:lang w:val="en-US" w:eastAsia="en-US"/>
    </w:rPr>
  </w:style>
  <w:style w:type="paragraph" w:customStyle="1" w:styleId="IntroPara">
    <w:name w:val="Intro Para"/>
    <w:basedOn w:val="Normal"/>
    <w:next w:val="Normal"/>
    <w:qFormat/>
    <w:rsid w:val="00DE3BE2"/>
    <w:pPr>
      <w:spacing w:line="400" w:lineRule="exact"/>
    </w:pPr>
    <w:rPr>
      <w:color w:val="358189"/>
      <w:sz w:val="28"/>
    </w:rPr>
  </w:style>
  <w:style w:type="paragraph" w:customStyle="1" w:styleId="TableTextright">
    <w:name w:val="Table Text right"/>
    <w:basedOn w:val="Tabletextleft"/>
    <w:rsid w:val="009127BC"/>
    <w:pPr>
      <w:jc w:val="right"/>
    </w:pPr>
  </w:style>
  <w:style w:type="paragraph" w:customStyle="1" w:styleId="Tabletextright0">
    <w:name w:val="Table text right"/>
    <w:basedOn w:val="Tabletextleft"/>
    <w:rsid w:val="009127BC"/>
    <w:pPr>
      <w:jc w:val="right"/>
    </w:pPr>
  </w:style>
  <w:style w:type="paragraph" w:customStyle="1" w:styleId="Tabletextcentre">
    <w:name w:val="Table text centre"/>
    <w:basedOn w:val="Tabletextleft"/>
    <w:rsid w:val="009127BC"/>
    <w:pPr>
      <w:jc w:val="center"/>
    </w:pPr>
  </w:style>
  <w:style w:type="paragraph" w:customStyle="1" w:styleId="Boxheading">
    <w:name w:val="Box heading"/>
    <w:basedOn w:val="Boxtype"/>
    <w:qFormat/>
    <w:rsid w:val="00CA4BE3"/>
    <w:pPr>
      <w:spacing w:before="240"/>
    </w:pPr>
    <w:rPr>
      <w:rFonts w:cs="Times New Roman"/>
      <w:b/>
      <w:bCs/>
      <w:caps/>
      <w:color w:val="358189"/>
      <w:szCs w:val="20"/>
    </w:rPr>
  </w:style>
  <w:style w:type="paragraph" w:customStyle="1" w:styleId="Boxtype">
    <w:name w:val="Box type"/>
    <w:next w:val="Normal"/>
    <w:qFormat/>
    <w:rsid w:val="00A7728B"/>
    <w:pPr>
      <w:pBdr>
        <w:top w:val="threeDEngrave" w:sz="24" w:space="20" w:color="358189"/>
        <w:left w:val="threeDEngrave" w:sz="24" w:space="10" w:color="358189"/>
        <w:bottom w:val="threeDEmboss" w:sz="24" w:space="10" w:color="358189"/>
        <w:right w:val="threeDEmboss" w:sz="24" w:space="10" w:color="358189"/>
      </w:pBdr>
      <w:spacing w:after="240" w:line="276" w:lineRule="auto"/>
      <w:ind w:right="227"/>
    </w:pPr>
    <w:rPr>
      <w:rFonts w:ascii="Arial" w:hAnsi="Arial" w:cs="Arial"/>
      <w:color w:val="000000" w:themeColor="text1"/>
      <w:sz w:val="22"/>
      <w:szCs w:val="24"/>
      <w:lang w:val="en" w:eastAsia="en-US"/>
    </w:rPr>
  </w:style>
  <w:style w:type="paragraph" w:customStyle="1" w:styleId="Footerrightpage">
    <w:name w:val="Footer right page"/>
    <w:basedOn w:val="Footer"/>
    <w:rsid w:val="00841111"/>
  </w:style>
  <w:style w:type="paragraph" w:customStyle="1" w:styleId="URL">
    <w:name w:val="URL"/>
    <w:basedOn w:val="Normal"/>
    <w:rsid w:val="00BA70AB"/>
    <w:pPr>
      <w:spacing w:before="3120"/>
      <w:jc w:val="center"/>
    </w:pPr>
    <w:rPr>
      <w:b/>
      <w:bCs/>
      <w:sz w:val="24"/>
      <w:szCs w:val="20"/>
    </w:rPr>
  </w:style>
  <w:style w:type="paragraph" w:styleId="BodyText">
    <w:name w:val="Body Text"/>
    <w:basedOn w:val="Normal"/>
    <w:link w:val="BodyTextChar"/>
    <w:uiPriority w:val="99"/>
    <w:unhideWhenUsed/>
    <w:rsid w:val="00B94828"/>
  </w:style>
  <w:style w:type="character" w:customStyle="1" w:styleId="BodyTextChar">
    <w:name w:val="Body Text Char"/>
    <w:basedOn w:val="DefaultParagraphFont"/>
    <w:link w:val="BodyText"/>
    <w:uiPriority w:val="99"/>
    <w:rsid w:val="00B94828"/>
    <w:rPr>
      <w:rFonts w:ascii="Arial" w:hAnsi="Arial"/>
      <w:sz w:val="22"/>
      <w:szCs w:val="24"/>
      <w:lang w:eastAsia="en-US"/>
    </w:rPr>
  </w:style>
  <w:style w:type="character" w:customStyle="1" w:styleId="Heading7Char">
    <w:name w:val="Heading 7 Char"/>
    <w:basedOn w:val="DefaultParagraphFont"/>
    <w:link w:val="Heading7"/>
    <w:semiHidden/>
    <w:rsid w:val="00207793"/>
    <w:rPr>
      <w:rFonts w:ascii="Arial" w:eastAsiaTheme="majorEastAsia" w:hAnsi="Arial" w:cstheme="majorBidi"/>
      <w:b/>
      <w:i/>
      <w:iCs/>
      <w:color w:val="1F243A" w:themeColor="accent1" w:themeShade="7F"/>
      <w:sz w:val="22"/>
      <w:szCs w:val="24"/>
      <w:lang w:eastAsia="en-US"/>
    </w:rPr>
  </w:style>
  <w:style w:type="paragraph" w:customStyle="1" w:styleId="011TableHeading">
    <w:name w:val="01.1 Table Heading"/>
    <w:qFormat/>
    <w:rsid w:val="005E5D24"/>
    <w:pPr>
      <w:spacing w:before="40" w:after="40" w:line="259" w:lineRule="auto"/>
    </w:pPr>
    <w:rPr>
      <w:rFonts w:ascii="Arial" w:hAnsi="Arial"/>
      <w:b/>
      <w:szCs w:val="22"/>
      <w:lang w:eastAsia="ja-JP"/>
    </w:rPr>
  </w:style>
  <w:style w:type="paragraph" w:customStyle="1" w:styleId="051Tabletext22">
    <w:name w:val="05.1 Table text 2:2"/>
    <w:link w:val="051Tabletext22Char"/>
    <w:qFormat/>
    <w:rsid w:val="005E5D24"/>
    <w:pPr>
      <w:spacing w:before="40" w:after="40"/>
    </w:pPr>
    <w:rPr>
      <w:rFonts w:ascii="Arial" w:hAnsi="Arial"/>
      <w:szCs w:val="22"/>
      <w:lang w:eastAsia="ja-JP"/>
    </w:rPr>
  </w:style>
  <w:style w:type="character" w:customStyle="1" w:styleId="051Tabletext22Char">
    <w:name w:val="05.1 Table text 2:2 Char"/>
    <w:link w:val="051Tabletext22"/>
    <w:rsid w:val="005E5D24"/>
    <w:rPr>
      <w:rFonts w:ascii="Arial" w:hAnsi="Arial"/>
      <w:szCs w:val="22"/>
      <w:lang w:eastAsia="ja-JP"/>
    </w:rPr>
  </w:style>
  <w:style w:type="paragraph" w:customStyle="1" w:styleId="031Tablesubheading">
    <w:name w:val="03.1 Table subheading"/>
    <w:qFormat/>
    <w:rsid w:val="005E5D24"/>
    <w:pPr>
      <w:keepNext/>
      <w:spacing w:before="40" w:after="40" w:line="259" w:lineRule="auto"/>
    </w:pPr>
    <w:rPr>
      <w:rFonts w:ascii="Arial" w:hAnsi="Arial"/>
      <w:b/>
      <w:szCs w:val="22"/>
      <w:lang w:eastAsia="ja-JP"/>
    </w:rPr>
  </w:style>
  <w:style w:type="character" w:styleId="UnresolvedMention">
    <w:name w:val="Unresolved Mention"/>
    <w:basedOn w:val="DefaultParagraphFont"/>
    <w:uiPriority w:val="99"/>
    <w:semiHidden/>
    <w:unhideWhenUsed/>
    <w:rsid w:val="00525D2F"/>
    <w:rPr>
      <w:color w:val="605E5C"/>
      <w:shd w:val="clear" w:color="auto" w:fill="E1DFDD"/>
    </w:rPr>
  </w:style>
  <w:style w:type="paragraph" w:customStyle="1" w:styleId="111Tablefootnoteslast-nostick">
    <w:name w:val="11.1 Table footnotes last - no stick"/>
    <w:next w:val="BodyText"/>
    <w:qFormat/>
    <w:rsid w:val="006B1FC4"/>
    <w:pPr>
      <w:spacing w:after="240" w:line="259" w:lineRule="auto"/>
    </w:pPr>
    <w:rPr>
      <w:rFonts w:ascii="Arial" w:hAnsi="Arial"/>
      <w:sz w:val="18"/>
      <w:szCs w:val="22"/>
      <w:lang w:val="en-US" w:eastAsia="ja-JP"/>
    </w:rPr>
  </w:style>
  <w:style w:type="character" w:styleId="FootnoteReference">
    <w:name w:val="footnote reference"/>
    <w:uiPriority w:val="99"/>
    <w:semiHidden/>
    <w:unhideWhenUsed/>
    <w:rsid w:val="00A650D6"/>
    <w:rPr>
      <w:vertAlign w:val="superscript"/>
    </w:rPr>
  </w:style>
  <w:style w:type="paragraph" w:customStyle="1" w:styleId="071Tablebullet8pt">
    <w:name w:val="07.1 Table bullet [8pt]"/>
    <w:qFormat/>
    <w:rsid w:val="00A650D6"/>
    <w:pPr>
      <w:numPr>
        <w:numId w:val="6"/>
      </w:numPr>
      <w:spacing w:before="40" w:after="40" w:line="259" w:lineRule="auto"/>
    </w:pPr>
    <w:rPr>
      <w:rFonts w:ascii="Arial" w:hAnsi="Arial"/>
      <w:szCs w:val="22"/>
      <w:lang w:eastAsia="ja-JP"/>
    </w:rPr>
  </w:style>
  <w:style w:type="character" w:styleId="CommentReference">
    <w:name w:val="annotation reference"/>
    <w:basedOn w:val="DefaultParagraphFont"/>
    <w:uiPriority w:val="99"/>
    <w:semiHidden/>
    <w:unhideWhenUsed/>
    <w:rsid w:val="00D821E4"/>
    <w:rPr>
      <w:sz w:val="16"/>
      <w:szCs w:val="16"/>
    </w:rPr>
  </w:style>
  <w:style w:type="paragraph" w:styleId="CommentText">
    <w:name w:val="annotation text"/>
    <w:basedOn w:val="Normal"/>
    <w:link w:val="CommentTextChar"/>
    <w:uiPriority w:val="99"/>
    <w:unhideWhenUsed/>
    <w:rsid w:val="00D821E4"/>
    <w:pPr>
      <w:spacing w:line="240" w:lineRule="auto"/>
    </w:pPr>
    <w:rPr>
      <w:sz w:val="20"/>
      <w:szCs w:val="20"/>
    </w:rPr>
  </w:style>
  <w:style w:type="character" w:customStyle="1" w:styleId="CommentTextChar">
    <w:name w:val="Comment Text Char"/>
    <w:basedOn w:val="DefaultParagraphFont"/>
    <w:link w:val="CommentText"/>
    <w:uiPriority w:val="99"/>
    <w:rsid w:val="00D821E4"/>
    <w:rPr>
      <w:rFonts w:ascii="Arial" w:hAnsi="Arial"/>
      <w:color w:val="000000" w:themeColor="text1"/>
      <w:lang w:eastAsia="en-US"/>
    </w:rPr>
  </w:style>
  <w:style w:type="paragraph" w:styleId="CommentSubject">
    <w:name w:val="annotation subject"/>
    <w:basedOn w:val="CommentText"/>
    <w:next w:val="CommentText"/>
    <w:link w:val="CommentSubjectChar"/>
    <w:semiHidden/>
    <w:unhideWhenUsed/>
    <w:rsid w:val="00D821E4"/>
    <w:rPr>
      <w:b/>
      <w:bCs/>
    </w:rPr>
  </w:style>
  <w:style w:type="character" w:customStyle="1" w:styleId="CommentSubjectChar">
    <w:name w:val="Comment Subject Char"/>
    <w:basedOn w:val="CommentTextChar"/>
    <w:link w:val="CommentSubject"/>
    <w:semiHidden/>
    <w:rsid w:val="00D821E4"/>
    <w:rPr>
      <w:rFonts w:ascii="Arial" w:hAnsi="Arial"/>
      <w:b/>
      <w:bCs/>
      <w:color w:val="000000" w:themeColor="text1"/>
      <w:lang w:eastAsia="en-US"/>
    </w:rPr>
  </w:style>
  <w:style w:type="paragraph" w:styleId="TOC6">
    <w:name w:val="toc 6"/>
    <w:basedOn w:val="Normal"/>
    <w:next w:val="Normal"/>
    <w:autoRedefine/>
    <w:uiPriority w:val="39"/>
    <w:unhideWhenUsed/>
    <w:rsid w:val="00071B30"/>
    <w:pPr>
      <w:spacing w:before="0" w:after="100" w:line="259" w:lineRule="auto"/>
      <w:ind w:left="1100"/>
    </w:pPr>
    <w:rPr>
      <w:rFonts w:asciiTheme="minorHAnsi" w:eastAsiaTheme="minorEastAsia" w:hAnsiTheme="minorHAnsi" w:cstheme="minorBidi"/>
      <w:color w:val="auto"/>
      <w:szCs w:val="22"/>
      <w:lang w:eastAsia="en-AU"/>
    </w:rPr>
  </w:style>
  <w:style w:type="character" w:styleId="Mention">
    <w:name w:val="Mention"/>
    <w:basedOn w:val="DefaultParagraphFont"/>
    <w:uiPriority w:val="99"/>
    <w:unhideWhenUsed/>
    <w:rsid w:val="00C339AA"/>
    <w:rPr>
      <w:color w:val="2B579A"/>
      <w:shd w:val="clear" w:color="auto" w:fill="E6E6E6"/>
    </w:rPr>
  </w:style>
  <w:style w:type="paragraph" w:customStyle="1" w:styleId="051Tabletext228pt">
    <w:name w:val="05.1 Table text 2:2 [8pt]"/>
    <w:link w:val="051Tabletext228ptChar"/>
    <w:qFormat/>
    <w:rsid w:val="009407ED"/>
    <w:pPr>
      <w:spacing w:before="40" w:after="40"/>
    </w:pPr>
    <w:rPr>
      <w:rFonts w:ascii="Calibri" w:hAnsi="Calibri"/>
      <w:sz w:val="16"/>
      <w:szCs w:val="22"/>
      <w:lang w:eastAsia="ja-JP"/>
    </w:rPr>
  </w:style>
  <w:style w:type="character" w:customStyle="1" w:styleId="051Tabletext228ptChar">
    <w:name w:val="05.1 Table text 2:2 [8pt] Char"/>
    <w:link w:val="051Tabletext228pt"/>
    <w:rsid w:val="009407ED"/>
    <w:rPr>
      <w:rFonts w:ascii="Calibri" w:hAnsi="Calibri"/>
      <w:sz w:val="16"/>
      <w:szCs w:val="22"/>
      <w:lang w:eastAsia="ja-JP"/>
    </w:rPr>
  </w:style>
  <w:style w:type="paragraph" w:customStyle="1" w:styleId="Bulletpoint">
    <w:name w:val="Bullet point"/>
    <w:qFormat/>
    <w:rsid w:val="006E454E"/>
    <w:pPr>
      <w:numPr>
        <w:numId w:val="7"/>
      </w:numPr>
      <w:spacing w:after="120"/>
    </w:pPr>
    <w:rPr>
      <w:rFonts w:ascii="Arial" w:hAnsi="Arial"/>
      <w:szCs w:val="22"/>
      <w:lang w:eastAsia="ja-JP"/>
    </w:rPr>
  </w:style>
  <w:style w:type="paragraph" w:customStyle="1" w:styleId="Bulletpoint2ndlevel">
    <w:name w:val="Bullet point 2nd level"/>
    <w:basedOn w:val="Bulletpoint"/>
    <w:qFormat/>
    <w:rsid w:val="006E454E"/>
    <w:pPr>
      <w:numPr>
        <w:ilvl w:val="1"/>
      </w:numPr>
    </w:pPr>
  </w:style>
  <w:style w:type="table" w:customStyle="1" w:styleId="AABlackTable1">
    <w:name w:val="AABlackTable1"/>
    <w:basedOn w:val="TableNormal"/>
    <w:uiPriority w:val="99"/>
    <w:rsid w:val="006E454E"/>
    <w:pPr>
      <w:spacing w:before="110" w:after="110" w:line="264" w:lineRule="auto"/>
    </w:pPr>
    <w:rPr>
      <w:rFonts w:ascii="Verdana" w:eastAsiaTheme="minorEastAsia" w:hAnsi="Verdana" w:cstheme="minorBidi"/>
      <w:sz w:val="18"/>
      <w:lang w:eastAsia="en-US"/>
    </w:rPr>
    <w:tblPr>
      <w:tblInd w:w="108" w:type="dxa"/>
      <w:tblBorders>
        <w:top w:val="single" w:sz="4" w:space="0" w:color="000000"/>
        <w:bottom w:val="single" w:sz="4" w:space="0" w:color="000000"/>
        <w:insideH w:val="single" w:sz="4" w:space="0" w:color="000000"/>
        <w:insideV w:val="single" w:sz="4" w:space="0" w:color="000000"/>
      </w:tblBorders>
    </w:tblPr>
    <w:tblStylePr w:type="firstRow">
      <w:rPr>
        <w:b/>
        <w:color w:val="FFFFFF" w:themeColor="background1"/>
      </w:rPr>
      <w:tblPr/>
      <w:tcPr>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l2br w:val="nil"/>
          <w:tr2bl w:val="nil"/>
        </w:tcBorders>
        <w:shd w:val="solid" w:color="000000" w:fill="000000"/>
      </w:tcPr>
    </w:tblStylePr>
    <w:tblStylePr w:type="firstCol">
      <w:tblPr/>
      <w:tcPr>
        <w:tcBorders>
          <w:top w:val="single" w:sz="4" w:space="0" w:color="000000"/>
          <w:left w:val="single" w:sz="4" w:space="0" w:color="000000"/>
          <w:bottom w:val="single" w:sz="4" w:space="0" w:color="000000"/>
          <w:right w:val="single" w:sz="4" w:space="0" w:color="000000"/>
          <w:insideH w:val="single" w:sz="4" w:space="0" w:color="000000"/>
          <w:insideV w:val="nil"/>
          <w:tl2br w:val="nil"/>
          <w:tr2bl w:val="nil"/>
        </w:tcBorders>
      </w:tcPr>
    </w:tblStylePr>
    <w:tblStylePr w:type="lastCol">
      <w:tblPr/>
      <w:tcPr>
        <w:tcBorders>
          <w:top w:val="single" w:sz="4" w:space="0" w:color="000000"/>
          <w:left w:val="single" w:sz="4" w:space="0" w:color="000000"/>
          <w:bottom w:val="single" w:sz="4" w:space="0" w:color="000000"/>
          <w:right w:val="single" w:sz="4" w:space="0" w:color="000000"/>
          <w:insideH w:val="single" w:sz="4" w:space="0" w:color="000000"/>
          <w:insideV w:val="nil"/>
          <w:tl2br w:val="nil"/>
          <w:tr2bl w:val="nil"/>
        </w:tcBorders>
      </w:tcPr>
    </w:tblStylePr>
  </w:style>
  <w:style w:type="character" w:customStyle="1" w:styleId="ListParagraphChar">
    <w:name w:val="List Paragraph Char"/>
    <w:aliases w:val="Footnote Char,BulletPoints Char,Bullets Char,CV text Char,Dot pt Char,F5 List Paragraph Char,FooterText Char,L Char,List Paragraph1 Char,List Paragraph11 Char,List Paragraph111 Char,List Paragraph2 Char,Medium Grid 1 - Accent 21 Char"/>
    <w:link w:val="ListParagraph"/>
    <w:uiPriority w:val="34"/>
    <w:qFormat/>
    <w:locked/>
    <w:rsid w:val="006E454E"/>
    <w:rPr>
      <w:rFonts w:ascii="Arial" w:hAnsi="Arial"/>
      <w:color w:val="000000" w:themeColor="text1"/>
      <w:sz w:val="22"/>
      <w:szCs w:val="24"/>
      <w:lang w:eastAsia="en-US"/>
    </w:rPr>
  </w:style>
  <w:style w:type="paragraph" w:styleId="Revision">
    <w:name w:val="Revision"/>
    <w:hidden/>
    <w:uiPriority w:val="99"/>
    <w:semiHidden/>
    <w:rsid w:val="00DF5AEC"/>
    <w:rPr>
      <w:rFonts w:ascii="Arial" w:hAnsi="Arial"/>
      <w:color w:val="000000" w:themeColor="text1"/>
      <w:sz w:val="22"/>
      <w:szCs w:val="24"/>
      <w:lang w:eastAsia="en-US"/>
    </w:rPr>
  </w:style>
  <w:style w:type="paragraph" w:styleId="TOCHeading">
    <w:name w:val="TOC Heading"/>
    <w:basedOn w:val="Heading1"/>
    <w:next w:val="Normal"/>
    <w:uiPriority w:val="39"/>
    <w:unhideWhenUsed/>
    <w:qFormat/>
    <w:rsid w:val="006A63BD"/>
    <w:pPr>
      <w:keepLines/>
      <w:spacing w:after="0" w:line="259" w:lineRule="auto"/>
      <w:outlineLvl w:val="9"/>
    </w:pPr>
    <w:rPr>
      <w:rFonts w:asciiTheme="majorHAnsi" w:eastAsiaTheme="majorEastAsia" w:hAnsiTheme="majorHAnsi" w:cstheme="majorBidi"/>
      <w:b w:val="0"/>
      <w:bCs w:val="0"/>
      <w:color w:val="2F3757" w:themeColor="accent1" w:themeShade="BF"/>
      <w:kern w:val="0"/>
      <w:sz w:val="32"/>
      <w:szCs w:val="32"/>
      <w:lang w:val="en-US"/>
    </w:rPr>
  </w:style>
  <w:style w:type="paragraph" w:styleId="TOC1">
    <w:name w:val="toc 1"/>
    <w:basedOn w:val="Normal"/>
    <w:next w:val="Normal"/>
    <w:autoRedefine/>
    <w:uiPriority w:val="39"/>
    <w:unhideWhenUsed/>
    <w:rsid w:val="008F24BA"/>
    <w:pPr>
      <w:tabs>
        <w:tab w:val="right" w:leader="dot" w:pos="9060"/>
      </w:tabs>
      <w:spacing w:before="60" w:after="60" w:line="240" w:lineRule="auto"/>
    </w:pPr>
  </w:style>
  <w:style w:type="paragraph" w:styleId="TOC2">
    <w:name w:val="toc 2"/>
    <w:basedOn w:val="Normal"/>
    <w:next w:val="Normal"/>
    <w:autoRedefine/>
    <w:uiPriority w:val="39"/>
    <w:unhideWhenUsed/>
    <w:rsid w:val="008C7FFE"/>
    <w:pPr>
      <w:tabs>
        <w:tab w:val="right" w:leader="dot" w:pos="9060"/>
      </w:tabs>
      <w:spacing w:after="100"/>
      <w:ind w:left="220"/>
    </w:pPr>
  </w:style>
  <w:style w:type="table" w:customStyle="1" w:styleId="TableGrid1">
    <w:name w:val="Table Grid1"/>
    <w:basedOn w:val="TableNormal"/>
    <w:next w:val="TableGrid"/>
    <w:uiPriority w:val="39"/>
    <w:rsid w:val="00A75BB0"/>
    <w:rPr>
      <w:rFonts w:ascii="Calibri" w:hAnsi="Calibri"/>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tblHeader/>
      </w:trPr>
    </w:tblStylePr>
  </w:style>
  <w:style w:type="paragraph" w:customStyle="1" w:styleId="041Tabletext00">
    <w:name w:val="04.1 Table text 0:0"/>
    <w:qFormat/>
    <w:rsid w:val="00A75BB0"/>
    <w:pPr>
      <w:spacing w:line="259" w:lineRule="auto"/>
    </w:pPr>
    <w:rPr>
      <w:rFonts w:ascii="Arial" w:hAnsi="Arial"/>
      <w:szCs w:val="22"/>
      <w:lang w:eastAsia="ja-JP"/>
    </w:rPr>
  </w:style>
  <w:style w:type="paragraph" w:customStyle="1" w:styleId="ExecSumHeading1">
    <w:name w:val="Exec Sum Heading 1"/>
    <w:next w:val="BodyText"/>
    <w:qFormat/>
    <w:rsid w:val="00A75BB0"/>
    <w:pPr>
      <w:spacing w:before="240" w:after="120"/>
      <w:outlineLvl w:val="0"/>
    </w:pPr>
    <w:rPr>
      <w:rFonts w:ascii="Arial" w:hAnsi="Arial" w:cstheme="majorHAnsi"/>
      <w:color w:val="7030A0"/>
      <w:sz w:val="32"/>
      <w:szCs w:val="44"/>
      <w:lang w:eastAsia="ja-JP"/>
    </w:rPr>
  </w:style>
  <w:style w:type="character" w:styleId="LineNumber">
    <w:name w:val="line number"/>
    <w:basedOn w:val="DefaultParagraphFont"/>
    <w:semiHidden/>
    <w:unhideWhenUsed/>
    <w:rsid w:val="001D6707"/>
  </w:style>
  <w:style w:type="paragraph" w:customStyle="1" w:styleId="Paragraphtext">
    <w:name w:val="Paragraph text"/>
    <w:basedOn w:val="Normal"/>
    <w:qFormat/>
    <w:rsid w:val="0022553A"/>
    <w:pPr>
      <w:spacing w:after="60" w:line="240" w:lineRule="auto"/>
    </w:pPr>
    <w:rPr>
      <w:sz w:val="21"/>
    </w:rPr>
  </w:style>
  <w:style w:type="paragraph" w:styleId="TOC3">
    <w:name w:val="toc 3"/>
    <w:basedOn w:val="Normal"/>
    <w:next w:val="Normal"/>
    <w:autoRedefine/>
    <w:uiPriority w:val="39"/>
    <w:unhideWhenUsed/>
    <w:rsid w:val="00B65FDB"/>
    <w:pPr>
      <w:tabs>
        <w:tab w:val="right" w:leader="dot" w:pos="9060"/>
      </w:tabs>
      <w:spacing w:after="100"/>
      <w:ind w:left="440"/>
    </w:pPr>
    <w:rPr>
      <w:rFonts w:cs="Arial"/>
      <w:noProof/>
    </w:rPr>
  </w:style>
  <w:style w:type="character" w:customStyle="1" w:styleId="Heading3Char">
    <w:name w:val="Heading 3 Char"/>
    <w:basedOn w:val="DefaultParagraphFont"/>
    <w:link w:val="Heading3"/>
    <w:rsid w:val="00DA5703"/>
    <w:rPr>
      <w:rFonts w:ascii="Arial" w:hAnsi="Arial" w:cs="Arial"/>
      <w:b/>
      <w:bCs/>
      <w:color w:val="9E4C6E" w:themeColor="accent4"/>
      <w:sz w:val="32"/>
      <w:szCs w:val="26"/>
      <w:lang w:eastAsia="en-US"/>
    </w:rPr>
  </w:style>
  <w:style w:type="character" w:styleId="FollowedHyperlink">
    <w:name w:val="FollowedHyperlink"/>
    <w:basedOn w:val="DefaultParagraphFont"/>
    <w:semiHidden/>
    <w:unhideWhenUsed/>
    <w:rsid w:val="003B0B27"/>
    <w:rPr>
      <w:color w:val="800080" w:themeColor="followedHyperlink"/>
      <w:u w:val="single"/>
    </w:rPr>
  </w:style>
  <w:style w:type="paragraph" w:customStyle="1" w:styleId="subsection">
    <w:name w:val="subsection"/>
    <w:basedOn w:val="Normal"/>
    <w:rsid w:val="007436E5"/>
    <w:pPr>
      <w:spacing w:before="100" w:beforeAutospacing="1" w:after="100" w:afterAutospacing="1" w:line="240" w:lineRule="auto"/>
    </w:pPr>
    <w:rPr>
      <w:rFonts w:ascii="Times New Roman" w:hAnsi="Times New Roman"/>
      <w:color w:val="auto"/>
      <w:sz w:val="24"/>
      <w:lang w:eastAsia="en-AU"/>
    </w:rPr>
  </w:style>
  <w:style w:type="paragraph" w:customStyle="1" w:styleId="paragraph">
    <w:name w:val="paragraph"/>
    <w:basedOn w:val="Normal"/>
    <w:rsid w:val="007436E5"/>
    <w:pPr>
      <w:spacing w:before="100" w:beforeAutospacing="1" w:after="100" w:afterAutospacing="1" w:line="240" w:lineRule="auto"/>
    </w:pPr>
    <w:rPr>
      <w:rFonts w:ascii="Times New Roman" w:hAnsi="Times New Roman"/>
      <w:color w:val="auto"/>
      <w:sz w:val="24"/>
      <w:lang w:eastAsia="en-AU"/>
    </w:rPr>
  </w:style>
  <w:style w:type="paragraph" w:customStyle="1" w:styleId="paragraphsub">
    <w:name w:val="paragraphsub"/>
    <w:basedOn w:val="Normal"/>
    <w:rsid w:val="007436E5"/>
    <w:pPr>
      <w:spacing w:before="100" w:beforeAutospacing="1" w:after="100" w:afterAutospacing="1" w:line="240" w:lineRule="auto"/>
    </w:pPr>
    <w:rPr>
      <w:rFonts w:ascii="Times New Roman" w:hAnsi="Times New Roman"/>
      <w:color w:val="auto"/>
      <w:sz w:val="24"/>
      <w:lang w:eastAsia="en-AU"/>
    </w:rPr>
  </w:style>
  <w:style w:type="paragraph" w:customStyle="1" w:styleId="notetext">
    <w:name w:val="notetext"/>
    <w:basedOn w:val="Normal"/>
    <w:rsid w:val="00794BC0"/>
    <w:pPr>
      <w:spacing w:before="100" w:beforeAutospacing="1" w:after="100" w:afterAutospacing="1" w:line="240" w:lineRule="auto"/>
    </w:pPr>
    <w:rPr>
      <w:rFonts w:ascii="Times New Roman" w:hAnsi="Times New Roman"/>
      <w:color w:val="auto"/>
      <w:sz w:val="24"/>
      <w:lang w:eastAsia="en-AU"/>
    </w:rPr>
  </w:style>
  <w:style w:type="paragraph" w:customStyle="1" w:styleId="TableText">
    <w:name w:val="TableText"/>
    <w:basedOn w:val="Normal"/>
    <w:rsid w:val="00677452"/>
    <w:pPr>
      <w:keepNext/>
      <w:spacing w:before="60" w:after="60" w:line="240" w:lineRule="auto"/>
    </w:pPr>
    <w:rPr>
      <w:rFonts w:ascii="Times New Roman" w:hAnsi="Times New Roman"/>
      <w:color w:val="000000"/>
      <w:sz w:val="21"/>
      <w:szCs w:val="21"/>
      <w:lang w:eastAsia="en-AU"/>
    </w:rPr>
  </w:style>
  <w:style w:type="paragraph" w:customStyle="1" w:styleId="TableHeading">
    <w:name w:val="TableHeading"/>
    <w:basedOn w:val="TableText"/>
    <w:rsid w:val="00677452"/>
    <w:rPr>
      <w:b/>
      <w:bCs/>
    </w:rPr>
  </w:style>
  <w:style w:type="paragraph" w:customStyle="1" w:styleId="TableNumberedList">
    <w:name w:val="TableNumberedList"/>
    <w:basedOn w:val="TableText"/>
    <w:autoRedefine/>
    <w:rsid w:val="00603B84"/>
    <w:pPr>
      <w:keepNext w:val="0"/>
      <w:ind w:left="360" w:hanging="494"/>
    </w:pPr>
  </w:style>
  <w:style w:type="paragraph" w:styleId="ListNumber">
    <w:name w:val="List Number"/>
    <w:basedOn w:val="Normal"/>
    <w:rsid w:val="005B46B2"/>
    <w:pPr>
      <w:numPr>
        <w:numId w:val="8"/>
      </w:numPr>
      <w:contextualSpacing/>
    </w:pPr>
  </w:style>
  <w:style w:type="paragraph" w:styleId="List4">
    <w:name w:val="List 4"/>
    <w:basedOn w:val="Normal"/>
    <w:rsid w:val="00D545B1"/>
    <w:pPr>
      <w:ind w:left="1132" w:hanging="283"/>
      <w:contextualSpacing/>
    </w:pPr>
  </w:style>
  <w:style w:type="paragraph" w:styleId="List5">
    <w:name w:val="List 5"/>
    <w:basedOn w:val="Normal"/>
    <w:rsid w:val="00D545B1"/>
    <w:pPr>
      <w:ind w:left="1415" w:hanging="283"/>
      <w:contextualSpacing/>
    </w:pPr>
  </w:style>
  <w:style w:type="character" w:customStyle="1" w:styleId="BoldAllCaps">
    <w:name w:val="Bold All Caps"/>
    <w:basedOn w:val="DefaultParagraphFont"/>
    <w:uiPriority w:val="1"/>
    <w:qFormat/>
    <w:rsid w:val="007C7E44"/>
    <w:rPr>
      <w:b/>
      <w:caps/>
      <w:smallCaps w:val="0"/>
      <w:color w:val="358189"/>
      <w:bdr w:val="none" w:sz="0" w:space="0" w:color="auto"/>
    </w:rPr>
  </w:style>
  <w:style w:type="paragraph" w:customStyle="1" w:styleId="subsectionhead">
    <w:name w:val="subsectionhead"/>
    <w:basedOn w:val="Normal"/>
    <w:rsid w:val="002A0705"/>
    <w:pPr>
      <w:spacing w:before="100" w:beforeAutospacing="1" w:after="100" w:afterAutospacing="1" w:line="240" w:lineRule="auto"/>
    </w:pPr>
    <w:rPr>
      <w:rFonts w:ascii="Times New Roman" w:hAnsi="Times New Roman"/>
      <w:color w:val="auto"/>
      <w:sz w:val="24"/>
      <w:lang w:eastAsia="en-AU"/>
    </w:rPr>
  </w:style>
  <w:style w:type="paragraph" w:customStyle="1" w:styleId="listparagraph0">
    <w:name w:val="listparagraph"/>
    <w:basedOn w:val="Normal"/>
    <w:rsid w:val="002A0705"/>
    <w:pPr>
      <w:spacing w:before="100" w:beforeAutospacing="1" w:after="100" w:afterAutospacing="1" w:line="240" w:lineRule="auto"/>
    </w:pPr>
    <w:rPr>
      <w:rFonts w:ascii="Times New Roman" w:hAnsi="Times New Roman"/>
      <w:color w:val="auto"/>
      <w:sz w:val="24"/>
      <w:lang w:eastAsia="en-AU"/>
    </w:rPr>
  </w:style>
  <w:style w:type="character" w:customStyle="1" w:styleId="Hyperlink1">
    <w:name w:val="Hyperlink1"/>
    <w:basedOn w:val="DefaultParagraphFont"/>
    <w:rsid w:val="002A0705"/>
  </w:style>
  <w:style w:type="paragraph" w:customStyle="1" w:styleId="Checklist">
    <w:name w:val="Checklist"/>
    <w:basedOn w:val="ListBullet"/>
    <w:qFormat/>
    <w:rsid w:val="00415C66"/>
    <w:pPr>
      <w:numPr>
        <w:numId w:val="9"/>
      </w:numPr>
    </w:pPr>
  </w:style>
  <w:style w:type="paragraph" w:customStyle="1" w:styleId="Categoriesheading">
    <w:name w:val="Categories heading"/>
    <w:basedOn w:val="Normal"/>
    <w:rsid w:val="0021757E"/>
    <w:rPr>
      <w:color w:val="9E4C6E" w:themeColor="accent4"/>
      <w:sz w:val="32"/>
    </w:rPr>
  </w:style>
  <w:style w:type="paragraph" w:customStyle="1" w:styleId="Headingcategories">
    <w:name w:val="Heading categories"/>
    <w:basedOn w:val="Heading4"/>
    <w:rsid w:val="0021757E"/>
    <w:rPr>
      <w:color w:val="9E4C6E" w:themeColor="accent4"/>
      <w:sz w:val="32"/>
    </w:rPr>
  </w:style>
  <w:style w:type="paragraph" w:customStyle="1" w:styleId="Headingcategory">
    <w:name w:val="Heading category"/>
    <w:basedOn w:val="Heading4"/>
    <w:qFormat/>
    <w:rsid w:val="0021757E"/>
    <w:rPr>
      <w:color w:val="9E4C6E" w:themeColor="accent4"/>
      <w:sz w:val="32"/>
    </w:rPr>
  </w:style>
  <w:style w:type="character" w:customStyle="1" w:styleId="cf01">
    <w:name w:val="cf01"/>
    <w:basedOn w:val="DefaultParagraphFont"/>
    <w:rsid w:val="009B0CEA"/>
    <w:rPr>
      <w:rFonts w:ascii="Segoe UI" w:hAnsi="Segoe UI" w:cs="Segoe UI" w:hint="default"/>
      <w:sz w:val="18"/>
      <w:szCs w:val="18"/>
    </w:rPr>
  </w:style>
  <w:style w:type="paragraph" w:styleId="TOC4">
    <w:name w:val="toc 4"/>
    <w:basedOn w:val="Normal"/>
    <w:next w:val="Normal"/>
    <w:autoRedefine/>
    <w:uiPriority w:val="39"/>
    <w:unhideWhenUsed/>
    <w:rsid w:val="00A0390D"/>
    <w:pPr>
      <w:spacing w:before="0" w:after="100" w:line="278" w:lineRule="auto"/>
      <w:ind w:left="720"/>
    </w:pPr>
    <w:rPr>
      <w:rFonts w:asciiTheme="minorHAnsi" w:eastAsiaTheme="minorEastAsia" w:hAnsiTheme="minorHAnsi" w:cstheme="minorBidi"/>
      <w:color w:val="auto"/>
      <w:kern w:val="2"/>
      <w:sz w:val="24"/>
      <w:lang w:eastAsia="en-AU"/>
      <w14:ligatures w14:val="standardContextual"/>
    </w:rPr>
  </w:style>
  <w:style w:type="paragraph" w:styleId="TOC5">
    <w:name w:val="toc 5"/>
    <w:basedOn w:val="Normal"/>
    <w:next w:val="Normal"/>
    <w:autoRedefine/>
    <w:uiPriority w:val="39"/>
    <w:unhideWhenUsed/>
    <w:rsid w:val="00A0390D"/>
    <w:pPr>
      <w:spacing w:before="0" w:after="100" w:line="278" w:lineRule="auto"/>
      <w:ind w:left="960"/>
    </w:pPr>
    <w:rPr>
      <w:rFonts w:asciiTheme="minorHAnsi" w:eastAsiaTheme="minorEastAsia" w:hAnsiTheme="minorHAnsi" w:cstheme="minorBidi"/>
      <w:color w:val="auto"/>
      <w:kern w:val="2"/>
      <w:sz w:val="24"/>
      <w:lang w:eastAsia="en-AU"/>
      <w14:ligatures w14:val="standardContextual"/>
    </w:rPr>
  </w:style>
  <w:style w:type="paragraph" w:styleId="TOC7">
    <w:name w:val="toc 7"/>
    <w:basedOn w:val="Normal"/>
    <w:next w:val="Normal"/>
    <w:autoRedefine/>
    <w:uiPriority w:val="39"/>
    <w:unhideWhenUsed/>
    <w:rsid w:val="00A0390D"/>
    <w:pPr>
      <w:spacing w:before="0" w:after="100" w:line="278" w:lineRule="auto"/>
      <w:ind w:left="1440"/>
    </w:pPr>
    <w:rPr>
      <w:rFonts w:asciiTheme="minorHAnsi" w:eastAsiaTheme="minorEastAsia" w:hAnsiTheme="minorHAnsi" w:cstheme="minorBidi"/>
      <w:color w:val="auto"/>
      <w:kern w:val="2"/>
      <w:sz w:val="24"/>
      <w:lang w:eastAsia="en-AU"/>
      <w14:ligatures w14:val="standardContextual"/>
    </w:rPr>
  </w:style>
  <w:style w:type="paragraph" w:styleId="TOC8">
    <w:name w:val="toc 8"/>
    <w:basedOn w:val="Normal"/>
    <w:next w:val="Normal"/>
    <w:autoRedefine/>
    <w:uiPriority w:val="39"/>
    <w:unhideWhenUsed/>
    <w:rsid w:val="00A0390D"/>
    <w:pPr>
      <w:spacing w:before="0" w:after="100" w:line="278" w:lineRule="auto"/>
      <w:ind w:left="1680"/>
    </w:pPr>
    <w:rPr>
      <w:rFonts w:asciiTheme="minorHAnsi" w:eastAsiaTheme="minorEastAsia" w:hAnsiTheme="minorHAnsi" w:cstheme="minorBidi"/>
      <w:color w:val="auto"/>
      <w:kern w:val="2"/>
      <w:sz w:val="24"/>
      <w:lang w:eastAsia="en-AU"/>
      <w14:ligatures w14:val="standardContextual"/>
    </w:rPr>
  </w:style>
  <w:style w:type="paragraph" w:styleId="TOC9">
    <w:name w:val="toc 9"/>
    <w:basedOn w:val="Normal"/>
    <w:next w:val="Normal"/>
    <w:autoRedefine/>
    <w:uiPriority w:val="39"/>
    <w:unhideWhenUsed/>
    <w:rsid w:val="00A0390D"/>
    <w:pPr>
      <w:spacing w:before="0" w:after="100" w:line="278" w:lineRule="auto"/>
      <w:ind w:left="1920"/>
    </w:pPr>
    <w:rPr>
      <w:rFonts w:asciiTheme="minorHAnsi" w:eastAsiaTheme="minorEastAsia" w:hAnsiTheme="minorHAnsi" w:cstheme="minorBidi"/>
      <w:color w:val="auto"/>
      <w:kern w:val="2"/>
      <w:sz w:val="24"/>
      <w:lang w:eastAsia="en-AU"/>
      <w14:ligatures w14:val="standardContextual"/>
    </w:rPr>
  </w:style>
  <w:style w:type="paragraph" w:customStyle="1" w:styleId="Legislation1">
    <w:name w:val="Legislation 1"/>
    <w:basedOn w:val="Legislation"/>
    <w:rsid w:val="00536489"/>
    <w:pPr>
      <w:shd w:val="clear" w:color="auto" w:fill="EEF4CD" w:themeFill="accent6" w:themeFillTint="33"/>
    </w:pPr>
  </w:style>
  <w:style w:type="paragraph" w:customStyle="1" w:styleId="Listbulletnote">
    <w:name w:val="List bullet + note"/>
    <w:basedOn w:val="Normal"/>
    <w:rsid w:val="006D55F4"/>
    <w:pPr>
      <w:ind w:left="1440"/>
    </w:pPr>
    <w:rPr>
      <w:i/>
      <w:iCs/>
      <w:sz w:val="20"/>
    </w:rPr>
  </w:style>
  <w:style w:type="paragraph" w:customStyle="1" w:styleId="Tabletextleftlistbullet">
    <w:name w:val="Table text left + list bullet"/>
    <w:basedOn w:val="ListBullet"/>
    <w:rsid w:val="00A95B3F"/>
    <w:pPr>
      <w:ind w:left="1040"/>
    </w:pPr>
    <w:rPr>
      <w:sz w:val="21"/>
    </w:rPr>
  </w:style>
  <w:style w:type="paragraph" w:customStyle="1" w:styleId="StyleBoxtypeAccent2">
    <w:name w:val="Style Box type + Accent 2"/>
    <w:basedOn w:val="Boxtype"/>
    <w:rsid w:val="00871835"/>
    <w:pPr>
      <w:ind w:left="1440"/>
    </w:pPr>
    <w:rPr>
      <w:color w:val="358189" w:themeColor="accent2"/>
    </w:rPr>
  </w:style>
  <w:style w:type="paragraph" w:customStyle="1" w:styleId="StyleBoxtypeAccent21">
    <w:name w:val="Style Box type + Accent 21"/>
    <w:basedOn w:val="Boxtype"/>
    <w:rsid w:val="00871835"/>
    <w:pPr>
      <w:ind w:left="720"/>
    </w:pPr>
    <w:rPr>
      <w:color w:val="358189" w:themeColor="accent2"/>
    </w:rPr>
  </w:style>
  <w:style w:type="paragraph" w:customStyle="1" w:styleId="StyleBoxtypeAccent22">
    <w:name w:val="Style Box type + Accent 22"/>
    <w:basedOn w:val="Boxtype"/>
    <w:rsid w:val="00FC2D4E"/>
    <w:pPr>
      <w:ind w:left="720"/>
    </w:pPr>
    <w:rPr>
      <w:color w:val="358189" w:themeColor="accent2"/>
    </w:rPr>
  </w:style>
  <w:style w:type="paragraph" w:customStyle="1" w:styleId="StyleStyleBoxtypeAccent22Firstline127cm">
    <w:name w:val="Style Style Box type + Accent 22 + First line:  1.27 cm"/>
    <w:basedOn w:val="StyleBoxtypeAccent22"/>
    <w:rsid w:val="00FC2D4E"/>
    <w:pPr>
      <w:ind w:left="1440" w:firstLine="720"/>
    </w:pPr>
    <w:rPr>
      <w:rFonts w:cs="Times New Roman"/>
      <w:szCs w:val="20"/>
    </w:rPr>
  </w:style>
  <w:style w:type="paragraph" w:customStyle="1" w:styleId="StyleStyleBoxtypeAccent22Firstline127cm1">
    <w:name w:val="Style Style Box type + Accent 22 + First line:  1.27 cm1"/>
    <w:basedOn w:val="StyleBoxtypeAccent22"/>
    <w:rsid w:val="00FC2D4E"/>
    <w:pPr>
      <w:ind w:left="2160" w:firstLine="720"/>
    </w:pPr>
    <w:rPr>
      <w:rFonts w:cs="Times New Roman"/>
      <w:szCs w:val="20"/>
    </w:rPr>
  </w:style>
  <w:style w:type="paragraph" w:customStyle="1" w:styleId="StyleStyleBoxtypeAccent22Firstline127cm2">
    <w:name w:val="Style Style Box type + Accent 22 + First line:  1.27 cm2"/>
    <w:basedOn w:val="StyleBoxtypeAccent22"/>
    <w:rsid w:val="00FC2D4E"/>
    <w:pPr>
      <w:ind w:firstLine="720"/>
      <w:jc w:val="right"/>
    </w:pPr>
    <w:rPr>
      <w:rFonts w:cs="Times New Roman"/>
      <w:szCs w:val="20"/>
    </w:rPr>
  </w:style>
  <w:style w:type="paragraph" w:customStyle="1" w:styleId="Default">
    <w:name w:val="Default"/>
    <w:rsid w:val="00A520D1"/>
    <w:pPr>
      <w:autoSpaceDE w:val="0"/>
      <w:autoSpaceDN w:val="0"/>
      <w:adjustRightInd w:val="0"/>
    </w:pPr>
    <w:rPr>
      <w:rFonts w:ascii="Avenir Next LT Pro" w:hAnsi="Avenir Next LT Pro" w:cs="Avenir Next LT Pro"/>
      <w:color w:val="000000"/>
      <w:sz w:val="24"/>
      <w:szCs w:val="24"/>
    </w:rPr>
  </w:style>
  <w:style w:type="paragraph" w:styleId="HTMLPreformatted">
    <w:name w:val="HTML Preformatted"/>
    <w:basedOn w:val="Normal"/>
    <w:link w:val="HTMLPreformattedChar"/>
    <w:semiHidden/>
    <w:unhideWhenUsed/>
    <w:rsid w:val="00C90A50"/>
    <w:pPr>
      <w:spacing w:before="0" w:after="0" w:line="240" w:lineRule="auto"/>
    </w:pPr>
    <w:rPr>
      <w:rFonts w:ascii="Consolas" w:hAnsi="Consolas"/>
      <w:sz w:val="20"/>
      <w:szCs w:val="20"/>
    </w:rPr>
  </w:style>
  <w:style w:type="character" w:customStyle="1" w:styleId="HTMLPreformattedChar">
    <w:name w:val="HTML Preformatted Char"/>
    <w:basedOn w:val="DefaultParagraphFont"/>
    <w:link w:val="HTMLPreformatted"/>
    <w:semiHidden/>
    <w:rsid w:val="00C90A50"/>
    <w:rPr>
      <w:rFonts w:ascii="Consolas" w:hAnsi="Consolas"/>
      <w:color w:val="000000" w:themeColor="text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981469">
      <w:bodyDiv w:val="1"/>
      <w:marLeft w:val="0"/>
      <w:marRight w:val="0"/>
      <w:marTop w:val="0"/>
      <w:marBottom w:val="0"/>
      <w:divBdr>
        <w:top w:val="none" w:sz="0" w:space="0" w:color="auto"/>
        <w:left w:val="none" w:sz="0" w:space="0" w:color="auto"/>
        <w:bottom w:val="none" w:sz="0" w:space="0" w:color="auto"/>
        <w:right w:val="none" w:sz="0" w:space="0" w:color="auto"/>
      </w:divBdr>
    </w:div>
    <w:div w:id="26836316">
      <w:bodyDiv w:val="1"/>
      <w:marLeft w:val="0"/>
      <w:marRight w:val="0"/>
      <w:marTop w:val="0"/>
      <w:marBottom w:val="0"/>
      <w:divBdr>
        <w:top w:val="none" w:sz="0" w:space="0" w:color="auto"/>
        <w:left w:val="none" w:sz="0" w:space="0" w:color="auto"/>
        <w:bottom w:val="none" w:sz="0" w:space="0" w:color="auto"/>
        <w:right w:val="none" w:sz="0" w:space="0" w:color="auto"/>
      </w:divBdr>
    </w:div>
    <w:div w:id="30351933">
      <w:bodyDiv w:val="1"/>
      <w:marLeft w:val="0"/>
      <w:marRight w:val="0"/>
      <w:marTop w:val="0"/>
      <w:marBottom w:val="0"/>
      <w:divBdr>
        <w:top w:val="none" w:sz="0" w:space="0" w:color="auto"/>
        <w:left w:val="none" w:sz="0" w:space="0" w:color="auto"/>
        <w:bottom w:val="none" w:sz="0" w:space="0" w:color="auto"/>
        <w:right w:val="none" w:sz="0" w:space="0" w:color="auto"/>
      </w:divBdr>
    </w:div>
    <w:div w:id="42096254">
      <w:bodyDiv w:val="1"/>
      <w:marLeft w:val="0"/>
      <w:marRight w:val="0"/>
      <w:marTop w:val="0"/>
      <w:marBottom w:val="0"/>
      <w:divBdr>
        <w:top w:val="none" w:sz="0" w:space="0" w:color="auto"/>
        <w:left w:val="none" w:sz="0" w:space="0" w:color="auto"/>
        <w:bottom w:val="none" w:sz="0" w:space="0" w:color="auto"/>
        <w:right w:val="none" w:sz="0" w:space="0" w:color="auto"/>
      </w:divBdr>
    </w:div>
    <w:div w:id="47607510">
      <w:bodyDiv w:val="1"/>
      <w:marLeft w:val="0"/>
      <w:marRight w:val="0"/>
      <w:marTop w:val="0"/>
      <w:marBottom w:val="0"/>
      <w:divBdr>
        <w:top w:val="none" w:sz="0" w:space="0" w:color="auto"/>
        <w:left w:val="none" w:sz="0" w:space="0" w:color="auto"/>
        <w:bottom w:val="none" w:sz="0" w:space="0" w:color="auto"/>
        <w:right w:val="none" w:sz="0" w:space="0" w:color="auto"/>
      </w:divBdr>
    </w:div>
    <w:div w:id="73746784">
      <w:bodyDiv w:val="1"/>
      <w:marLeft w:val="0"/>
      <w:marRight w:val="0"/>
      <w:marTop w:val="0"/>
      <w:marBottom w:val="0"/>
      <w:divBdr>
        <w:top w:val="none" w:sz="0" w:space="0" w:color="auto"/>
        <w:left w:val="none" w:sz="0" w:space="0" w:color="auto"/>
        <w:bottom w:val="none" w:sz="0" w:space="0" w:color="auto"/>
        <w:right w:val="none" w:sz="0" w:space="0" w:color="auto"/>
      </w:divBdr>
    </w:div>
    <w:div w:id="84964449">
      <w:bodyDiv w:val="1"/>
      <w:marLeft w:val="0"/>
      <w:marRight w:val="0"/>
      <w:marTop w:val="0"/>
      <w:marBottom w:val="0"/>
      <w:divBdr>
        <w:top w:val="none" w:sz="0" w:space="0" w:color="auto"/>
        <w:left w:val="none" w:sz="0" w:space="0" w:color="auto"/>
        <w:bottom w:val="none" w:sz="0" w:space="0" w:color="auto"/>
        <w:right w:val="none" w:sz="0" w:space="0" w:color="auto"/>
      </w:divBdr>
    </w:div>
    <w:div w:id="118570514">
      <w:bodyDiv w:val="1"/>
      <w:marLeft w:val="0"/>
      <w:marRight w:val="0"/>
      <w:marTop w:val="0"/>
      <w:marBottom w:val="0"/>
      <w:divBdr>
        <w:top w:val="none" w:sz="0" w:space="0" w:color="auto"/>
        <w:left w:val="none" w:sz="0" w:space="0" w:color="auto"/>
        <w:bottom w:val="none" w:sz="0" w:space="0" w:color="auto"/>
        <w:right w:val="none" w:sz="0" w:space="0" w:color="auto"/>
      </w:divBdr>
    </w:div>
    <w:div w:id="130024963">
      <w:bodyDiv w:val="1"/>
      <w:marLeft w:val="0"/>
      <w:marRight w:val="0"/>
      <w:marTop w:val="0"/>
      <w:marBottom w:val="0"/>
      <w:divBdr>
        <w:top w:val="none" w:sz="0" w:space="0" w:color="auto"/>
        <w:left w:val="none" w:sz="0" w:space="0" w:color="auto"/>
        <w:bottom w:val="none" w:sz="0" w:space="0" w:color="auto"/>
        <w:right w:val="none" w:sz="0" w:space="0" w:color="auto"/>
      </w:divBdr>
    </w:div>
    <w:div w:id="133716249">
      <w:bodyDiv w:val="1"/>
      <w:marLeft w:val="0"/>
      <w:marRight w:val="0"/>
      <w:marTop w:val="0"/>
      <w:marBottom w:val="0"/>
      <w:divBdr>
        <w:top w:val="none" w:sz="0" w:space="0" w:color="auto"/>
        <w:left w:val="none" w:sz="0" w:space="0" w:color="auto"/>
        <w:bottom w:val="none" w:sz="0" w:space="0" w:color="auto"/>
        <w:right w:val="none" w:sz="0" w:space="0" w:color="auto"/>
      </w:divBdr>
    </w:div>
    <w:div w:id="138693293">
      <w:bodyDiv w:val="1"/>
      <w:marLeft w:val="0"/>
      <w:marRight w:val="0"/>
      <w:marTop w:val="0"/>
      <w:marBottom w:val="0"/>
      <w:divBdr>
        <w:top w:val="none" w:sz="0" w:space="0" w:color="auto"/>
        <w:left w:val="none" w:sz="0" w:space="0" w:color="auto"/>
        <w:bottom w:val="none" w:sz="0" w:space="0" w:color="auto"/>
        <w:right w:val="none" w:sz="0" w:space="0" w:color="auto"/>
      </w:divBdr>
    </w:div>
    <w:div w:id="182980392">
      <w:bodyDiv w:val="1"/>
      <w:marLeft w:val="0"/>
      <w:marRight w:val="0"/>
      <w:marTop w:val="0"/>
      <w:marBottom w:val="0"/>
      <w:divBdr>
        <w:top w:val="none" w:sz="0" w:space="0" w:color="auto"/>
        <w:left w:val="none" w:sz="0" w:space="0" w:color="auto"/>
        <w:bottom w:val="none" w:sz="0" w:space="0" w:color="auto"/>
        <w:right w:val="none" w:sz="0" w:space="0" w:color="auto"/>
      </w:divBdr>
    </w:div>
    <w:div w:id="215750805">
      <w:bodyDiv w:val="1"/>
      <w:marLeft w:val="0"/>
      <w:marRight w:val="0"/>
      <w:marTop w:val="0"/>
      <w:marBottom w:val="0"/>
      <w:divBdr>
        <w:top w:val="none" w:sz="0" w:space="0" w:color="auto"/>
        <w:left w:val="none" w:sz="0" w:space="0" w:color="auto"/>
        <w:bottom w:val="none" w:sz="0" w:space="0" w:color="auto"/>
        <w:right w:val="none" w:sz="0" w:space="0" w:color="auto"/>
      </w:divBdr>
    </w:div>
    <w:div w:id="224919867">
      <w:bodyDiv w:val="1"/>
      <w:marLeft w:val="0"/>
      <w:marRight w:val="0"/>
      <w:marTop w:val="0"/>
      <w:marBottom w:val="0"/>
      <w:divBdr>
        <w:top w:val="none" w:sz="0" w:space="0" w:color="auto"/>
        <w:left w:val="none" w:sz="0" w:space="0" w:color="auto"/>
        <w:bottom w:val="none" w:sz="0" w:space="0" w:color="auto"/>
        <w:right w:val="none" w:sz="0" w:space="0" w:color="auto"/>
      </w:divBdr>
    </w:div>
    <w:div w:id="242035601">
      <w:bodyDiv w:val="1"/>
      <w:marLeft w:val="0"/>
      <w:marRight w:val="0"/>
      <w:marTop w:val="0"/>
      <w:marBottom w:val="0"/>
      <w:divBdr>
        <w:top w:val="none" w:sz="0" w:space="0" w:color="auto"/>
        <w:left w:val="none" w:sz="0" w:space="0" w:color="auto"/>
        <w:bottom w:val="none" w:sz="0" w:space="0" w:color="auto"/>
        <w:right w:val="none" w:sz="0" w:space="0" w:color="auto"/>
      </w:divBdr>
    </w:div>
    <w:div w:id="258880663">
      <w:bodyDiv w:val="1"/>
      <w:marLeft w:val="0"/>
      <w:marRight w:val="0"/>
      <w:marTop w:val="0"/>
      <w:marBottom w:val="0"/>
      <w:divBdr>
        <w:top w:val="none" w:sz="0" w:space="0" w:color="auto"/>
        <w:left w:val="none" w:sz="0" w:space="0" w:color="auto"/>
        <w:bottom w:val="none" w:sz="0" w:space="0" w:color="auto"/>
        <w:right w:val="none" w:sz="0" w:space="0" w:color="auto"/>
      </w:divBdr>
    </w:div>
    <w:div w:id="269362586">
      <w:bodyDiv w:val="1"/>
      <w:marLeft w:val="0"/>
      <w:marRight w:val="0"/>
      <w:marTop w:val="0"/>
      <w:marBottom w:val="0"/>
      <w:divBdr>
        <w:top w:val="none" w:sz="0" w:space="0" w:color="auto"/>
        <w:left w:val="none" w:sz="0" w:space="0" w:color="auto"/>
        <w:bottom w:val="none" w:sz="0" w:space="0" w:color="auto"/>
        <w:right w:val="none" w:sz="0" w:space="0" w:color="auto"/>
      </w:divBdr>
    </w:div>
    <w:div w:id="287399243">
      <w:bodyDiv w:val="1"/>
      <w:marLeft w:val="0"/>
      <w:marRight w:val="0"/>
      <w:marTop w:val="0"/>
      <w:marBottom w:val="0"/>
      <w:divBdr>
        <w:top w:val="none" w:sz="0" w:space="0" w:color="auto"/>
        <w:left w:val="none" w:sz="0" w:space="0" w:color="auto"/>
        <w:bottom w:val="none" w:sz="0" w:space="0" w:color="auto"/>
        <w:right w:val="none" w:sz="0" w:space="0" w:color="auto"/>
      </w:divBdr>
    </w:div>
    <w:div w:id="300619786">
      <w:bodyDiv w:val="1"/>
      <w:marLeft w:val="0"/>
      <w:marRight w:val="0"/>
      <w:marTop w:val="0"/>
      <w:marBottom w:val="0"/>
      <w:divBdr>
        <w:top w:val="none" w:sz="0" w:space="0" w:color="auto"/>
        <w:left w:val="none" w:sz="0" w:space="0" w:color="auto"/>
        <w:bottom w:val="none" w:sz="0" w:space="0" w:color="auto"/>
        <w:right w:val="none" w:sz="0" w:space="0" w:color="auto"/>
      </w:divBdr>
    </w:div>
    <w:div w:id="317809846">
      <w:bodyDiv w:val="1"/>
      <w:marLeft w:val="0"/>
      <w:marRight w:val="0"/>
      <w:marTop w:val="0"/>
      <w:marBottom w:val="0"/>
      <w:divBdr>
        <w:top w:val="none" w:sz="0" w:space="0" w:color="auto"/>
        <w:left w:val="none" w:sz="0" w:space="0" w:color="auto"/>
        <w:bottom w:val="none" w:sz="0" w:space="0" w:color="auto"/>
        <w:right w:val="none" w:sz="0" w:space="0" w:color="auto"/>
      </w:divBdr>
    </w:div>
    <w:div w:id="318077703">
      <w:bodyDiv w:val="1"/>
      <w:marLeft w:val="0"/>
      <w:marRight w:val="0"/>
      <w:marTop w:val="0"/>
      <w:marBottom w:val="0"/>
      <w:divBdr>
        <w:top w:val="none" w:sz="0" w:space="0" w:color="auto"/>
        <w:left w:val="none" w:sz="0" w:space="0" w:color="auto"/>
        <w:bottom w:val="none" w:sz="0" w:space="0" w:color="auto"/>
        <w:right w:val="none" w:sz="0" w:space="0" w:color="auto"/>
      </w:divBdr>
    </w:div>
    <w:div w:id="328949392">
      <w:bodyDiv w:val="1"/>
      <w:marLeft w:val="0"/>
      <w:marRight w:val="0"/>
      <w:marTop w:val="0"/>
      <w:marBottom w:val="0"/>
      <w:divBdr>
        <w:top w:val="none" w:sz="0" w:space="0" w:color="auto"/>
        <w:left w:val="none" w:sz="0" w:space="0" w:color="auto"/>
        <w:bottom w:val="none" w:sz="0" w:space="0" w:color="auto"/>
        <w:right w:val="none" w:sz="0" w:space="0" w:color="auto"/>
      </w:divBdr>
    </w:div>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02414415">
      <w:bodyDiv w:val="1"/>
      <w:marLeft w:val="0"/>
      <w:marRight w:val="0"/>
      <w:marTop w:val="0"/>
      <w:marBottom w:val="0"/>
      <w:divBdr>
        <w:top w:val="none" w:sz="0" w:space="0" w:color="auto"/>
        <w:left w:val="none" w:sz="0" w:space="0" w:color="auto"/>
        <w:bottom w:val="none" w:sz="0" w:space="0" w:color="auto"/>
        <w:right w:val="none" w:sz="0" w:space="0" w:color="auto"/>
      </w:divBdr>
    </w:div>
    <w:div w:id="402530769">
      <w:bodyDiv w:val="1"/>
      <w:marLeft w:val="0"/>
      <w:marRight w:val="0"/>
      <w:marTop w:val="0"/>
      <w:marBottom w:val="0"/>
      <w:divBdr>
        <w:top w:val="none" w:sz="0" w:space="0" w:color="auto"/>
        <w:left w:val="none" w:sz="0" w:space="0" w:color="auto"/>
        <w:bottom w:val="none" w:sz="0" w:space="0" w:color="auto"/>
        <w:right w:val="none" w:sz="0" w:space="0" w:color="auto"/>
      </w:divBdr>
    </w:div>
    <w:div w:id="403451640">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475142961">
      <w:bodyDiv w:val="1"/>
      <w:marLeft w:val="0"/>
      <w:marRight w:val="0"/>
      <w:marTop w:val="0"/>
      <w:marBottom w:val="0"/>
      <w:divBdr>
        <w:top w:val="none" w:sz="0" w:space="0" w:color="auto"/>
        <w:left w:val="none" w:sz="0" w:space="0" w:color="auto"/>
        <w:bottom w:val="none" w:sz="0" w:space="0" w:color="auto"/>
        <w:right w:val="none" w:sz="0" w:space="0" w:color="auto"/>
      </w:divBdr>
    </w:div>
    <w:div w:id="483350402">
      <w:bodyDiv w:val="1"/>
      <w:marLeft w:val="0"/>
      <w:marRight w:val="0"/>
      <w:marTop w:val="0"/>
      <w:marBottom w:val="0"/>
      <w:divBdr>
        <w:top w:val="none" w:sz="0" w:space="0" w:color="auto"/>
        <w:left w:val="none" w:sz="0" w:space="0" w:color="auto"/>
        <w:bottom w:val="none" w:sz="0" w:space="0" w:color="auto"/>
        <w:right w:val="none" w:sz="0" w:space="0" w:color="auto"/>
      </w:divBdr>
    </w:div>
    <w:div w:id="489828998">
      <w:bodyDiv w:val="1"/>
      <w:marLeft w:val="0"/>
      <w:marRight w:val="0"/>
      <w:marTop w:val="0"/>
      <w:marBottom w:val="0"/>
      <w:divBdr>
        <w:top w:val="none" w:sz="0" w:space="0" w:color="auto"/>
        <w:left w:val="none" w:sz="0" w:space="0" w:color="auto"/>
        <w:bottom w:val="none" w:sz="0" w:space="0" w:color="auto"/>
        <w:right w:val="none" w:sz="0" w:space="0" w:color="auto"/>
      </w:divBdr>
    </w:div>
    <w:div w:id="489832956">
      <w:bodyDiv w:val="1"/>
      <w:marLeft w:val="0"/>
      <w:marRight w:val="0"/>
      <w:marTop w:val="0"/>
      <w:marBottom w:val="0"/>
      <w:divBdr>
        <w:top w:val="none" w:sz="0" w:space="0" w:color="auto"/>
        <w:left w:val="none" w:sz="0" w:space="0" w:color="auto"/>
        <w:bottom w:val="none" w:sz="0" w:space="0" w:color="auto"/>
        <w:right w:val="none" w:sz="0" w:space="0" w:color="auto"/>
      </w:divBdr>
    </w:div>
    <w:div w:id="490827623">
      <w:bodyDiv w:val="1"/>
      <w:marLeft w:val="0"/>
      <w:marRight w:val="0"/>
      <w:marTop w:val="0"/>
      <w:marBottom w:val="0"/>
      <w:divBdr>
        <w:top w:val="none" w:sz="0" w:space="0" w:color="auto"/>
        <w:left w:val="none" w:sz="0" w:space="0" w:color="auto"/>
        <w:bottom w:val="none" w:sz="0" w:space="0" w:color="auto"/>
        <w:right w:val="none" w:sz="0" w:space="0" w:color="auto"/>
      </w:divBdr>
    </w:div>
    <w:div w:id="495727140">
      <w:bodyDiv w:val="1"/>
      <w:marLeft w:val="0"/>
      <w:marRight w:val="0"/>
      <w:marTop w:val="0"/>
      <w:marBottom w:val="0"/>
      <w:divBdr>
        <w:top w:val="none" w:sz="0" w:space="0" w:color="auto"/>
        <w:left w:val="none" w:sz="0" w:space="0" w:color="auto"/>
        <w:bottom w:val="none" w:sz="0" w:space="0" w:color="auto"/>
        <w:right w:val="none" w:sz="0" w:space="0" w:color="auto"/>
      </w:divBdr>
      <w:divsChild>
        <w:div w:id="990793934">
          <w:marLeft w:val="0"/>
          <w:marRight w:val="0"/>
          <w:marTop w:val="0"/>
          <w:marBottom w:val="0"/>
          <w:divBdr>
            <w:top w:val="none" w:sz="0" w:space="0" w:color="auto"/>
            <w:left w:val="none" w:sz="0" w:space="0" w:color="auto"/>
            <w:bottom w:val="none" w:sz="0" w:space="0" w:color="auto"/>
            <w:right w:val="none" w:sz="0" w:space="0" w:color="auto"/>
          </w:divBdr>
          <w:divsChild>
            <w:div w:id="1100099415">
              <w:marLeft w:val="0"/>
              <w:marRight w:val="0"/>
              <w:marTop w:val="0"/>
              <w:marBottom w:val="0"/>
              <w:divBdr>
                <w:top w:val="none" w:sz="0" w:space="0" w:color="auto"/>
                <w:left w:val="none" w:sz="0" w:space="0" w:color="auto"/>
                <w:bottom w:val="none" w:sz="0" w:space="0" w:color="auto"/>
                <w:right w:val="none" w:sz="0" w:space="0" w:color="auto"/>
              </w:divBdr>
              <w:divsChild>
                <w:div w:id="398208355">
                  <w:marLeft w:val="0"/>
                  <w:marRight w:val="0"/>
                  <w:marTop w:val="0"/>
                  <w:marBottom w:val="0"/>
                  <w:divBdr>
                    <w:top w:val="none" w:sz="0" w:space="0" w:color="auto"/>
                    <w:left w:val="none" w:sz="0" w:space="0" w:color="auto"/>
                    <w:bottom w:val="none" w:sz="0" w:space="0" w:color="auto"/>
                    <w:right w:val="none" w:sz="0" w:space="0" w:color="auto"/>
                  </w:divBdr>
                  <w:divsChild>
                    <w:div w:id="930703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8426785">
      <w:bodyDiv w:val="1"/>
      <w:marLeft w:val="0"/>
      <w:marRight w:val="0"/>
      <w:marTop w:val="0"/>
      <w:marBottom w:val="0"/>
      <w:divBdr>
        <w:top w:val="none" w:sz="0" w:space="0" w:color="auto"/>
        <w:left w:val="none" w:sz="0" w:space="0" w:color="auto"/>
        <w:bottom w:val="none" w:sz="0" w:space="0" w:color="auto"/>
        <w:right w:val="none" w:sz="0" w:space="0" w:color="auto"/>
      </w:divBdr>
    </w:div>
    <w:div w:id="542405360">
      <w:bodyDiv w:val="1"/>
      <w:marLeft w:val="0"/>
      <w:marRight w:val="0"/>
      <w:marTop w:val="0"/>
      <w:marBottom w:val="0"/>
      <w:divBdr>
        <w:top w:val="none" w:sz="0" w:space="0" w:color="auto"/>
        <w:left w:val="none" w:sz="0" w:space="0" w:color="auto"/>
        <w:bottom w:val="none" w:sz="0" w:space="0" w:color="auto"/>
        <w:right w:val="none" w:sz="0" w:space="0" w:color="auto"/>
      </w:divBdr>
    </w:div>
    <w:div w:id="561410210">
      <w:bodyDiv w:val="1"/>
      <w:marLeft w:val="0"/>
      <w:marRight w:val="0"/>
      <w:marTop w:val="0"/>
      <w:marBottom w:val="0"/>
      <w:divBdr>
        <w:top w:val="none" w:sz="0" w:space="0" w:color="auto"/>
        <w:left w:val="none" w:sz="0" w:space="0" w:color="auto"/>
        <w:bottom w:val="none" w:sz="0" w:space="0" w:color="auto"/>
        <w:right w:val="none" w:sz="0" w:space="0" w:color="auto"/>
      </w:divBdr>
    </w:div>
    <w:div w:id="584807470">
      <w:bodyDiv w:val="1"/>
      <w:marLeft w:val="0"/>
      <w:marRight w:val="0"/>
      <w:marTop w:val="0"/>
      <w:marBottom w:val="0"/>
      <w:divBdr>
        <w:top w:val="none" w:sz="0" w:space="0" w:color="auto"/>
        <w:left w:val="none" w:sz="0" w:space="0" w:color="auto"/>
        <w:bottom w:val="none" w:sz="0" w:space="0" w:color="auto"/>
        <w:right w:val="none" w:sz="0" w:space="0" w:color="auto"/>
      </w:divBdr>
    </w:div>
    <w:div w:id="606694757">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671680982">
      <w:bodyDiv w:val="1"/>
      <w:marLeft w:val="0"/>
      <w:marRight w:val="0"/>
      <w:marTop w:val="0"/>
      <w:marBottom w:val="0"/>
      <w:divBdr>
        <w:top w:val="none" w:sz="0" w:space="0" w:color="auto"/>
        <w:left w:val="none" w:sz="0" w:space="0" w:color="auto"/>
        <w:bottom w:val="none" w:sz="0" w:space="0" w:color="auto"/>
        <w:right w:val="none" w:sz="0" w:space="0" w:color="auto"/>
      </w:divBdr>
    </w:div>
    <w:div w:id="695734918">
      <w:bodyDiv w:val="1"/>
      <w:marLeft w:val="0"/>
      <w:marRight w:val="0"/>
      <w:marTop w:val="0"/>
      <w:marBottom w:val="0"/>
      <w:divBdr>
        <w:top w:val="none" w:sz="0" w:space="0" w:color="auto"/>
        <w:left w:val="none" w:sz="0" w:space="0" w:color="auto"/>
        <w:bottom w:val="none" w:sz="0" w:space="0" w:color="auto"/>
        <w:right w:val="none" w:sz="0" w:space="0" w:color="auto"/>
      </w:divBdr>
    </w:div>
    <w:div w:id="709302830">
      <w:bodyDiv w:val="1"/>
      <w:marLeft w:val="0"/>
      <w:marRight w:val="0"/>
      <w:marTop w:val="0"/>
      <w:marBottom w:val="0"/>
      <w:divBdr>
        <w:top w:val="none" w:sz="0" w:space="0" w:color="auto"/>
        <w:left w:val="none" w:sz="0" w:space="0" w:color="auto"/>
        <w:bottom w:val="none" w:sz="0" w:space="0" w:color="auto"/>
        <w:right w:val="none" w:sz="0" w:space="0" w:color="auto"/>
      </w:divBdr>
    </w:div>
    <w:div w:id="723413312">
      <w:bodyDiv w:val="1"/>
      <w:marLeft w:val="0"/>
      <w:marRight w:val="0"/>
      <w:marTop w:val="0"/>
      <w:marBottom w:val="0"/>
      <w:divBdr>
        <w:top w:val="none" w:sz="0" w:space="0" w:color="auto"/>
        <w:left w:val="none" w:sz="0" w:space="0" w:color="auto"/>
        <w:bottom w:val="none" w:sz="0" w:space="0" w:color="auto"/>
        <w:right w:val="none" w:sz="0" w:space="0" w:color="auto"/>
      </w:divBdr>
    </w:div>
    <w:div w:id="725762702">
      <w:bodyDiv w:val="1"/>
      <w:marLeft w:val="0"/>
      <w:marRight w:val="0"/>
      <w:marTop w:val="0"/>
      <w:marBottom w:val="0"/>
      <w:divBdr>
        <w:top w:val="none" w:sz="0" w:space="0" w:color="auto"/>
        <w:left w:val="none" w:sz="0" w:space="0" w:color="auto"/>
        <w:bottom w:val="none" w:sz="0" w:space="0" w:color="auto"/>
        <w:right w:val="none" w:sz="0" w:space="0" w:color="auto"/>
      </w:divBdr>
    </w:div>
    <w:div w:id="728655450">
      <w:bodyDiv w:val="1"/>
      <w:marLeft w:val="0"/>
      <w:marRight w:val="0"/>
      <w:marTop w:val="0"/>
      <w:marBottom w:val="0"/>
      <w:divBdr>
        <w:top w:val="none" w:sz="0" w:space="0" w:color="auto"/>
        <w:left w:val="none" w:sz="0" w:space="0" w:color="auto"/>
        <w:bottom w:val="none" w:sz="0" w:space="0" w:color="auto"/>
        <w:right w:val="none" w:sz="0" w:space="0" w:color="auto"/>
      </w:divBdr>
    </w:div>
    <w:div w:id="728922885">
      <w:bodyDiv w:val="1"/>
      <w:marLeft w:val="0"/>
      <w:marRight w:val="0"/>
      <w:marTop w:val="0"/>
      <w:marBottom w:val="0"/>
      <w:divBdr>
        <w:top w:val="none" w:sz="0" w:space="0" w:color="auto"/>
        <w:left w:val="none" w:sz="0" w:space="0" w:color="auto"/>
        <w:bottom w:val="none" w:sz="0" w:space="0" w:color="auto"/>
        <w:right w:val="none" w:sz="0" w:space="0" w:color="auto"/>
      </w:divBdr>
    </w:div>
    <w:div w:id="729500714">
      <w:bodyDiv w:val="1"/>
      <w:marLeft w:val="0"/>
      <w:marRight w:val="0"/>
      <w:marTop w:val="0"/>
      <w:marBottom w:val="0"/>
      <w:divBdr>
        <w:top w:val="none" w:sz="0" w:space="0" w:color="auto"/>
        <w:left w:val="none" w:sz="0" w:space="0" w:color="auto"/>
        <w:bottom w:val="none" w:sz="0" w:space="0" w:color="auto"/>
        <w:right w:val="none" w:sz="0" w:space="0" w:color="auto"/>
      </w:divBdr>
    </w:div>
    <w:div w:id="734207007">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748040032">
      <w:bodyDiv w:val="1"/>
      <w:marLeft w:val="0"/>
      <w:marRight w:val="0"/>
      <w:marTop w:val="0"/>
      <w:marBottom w:val="0"/>
      <w:divBdr>
        <w:top w:val="none" w:sz="0" w:space="0" w:color="auto"/>
        <w:left w:val="none" w:sz="0" w:space="0" w:color="auto"/>
        <w:bottom w:val="none" w:sz="0" w:space="0" w:color="auto"/>
        <w:right w:val="none" w:sz="0" w:space="0" w:color="auto"/>
      </w:divBdr>
    </w:div>
    <w:div w:id="748959789">
      <w:bodyDiv w:val="1"/>
      <w:marLeft w:val="0"/>
      <w:marRight w:val="0"/>
      <w:marTop w:val="0"/>
      <w:marBottom w:val="0"/>
      <w:divBdr>
        <w:top w:val="none" w:sz="0" w:space="0" w:color="auto"/>
        <w:left w:val="none" w:sz="0" w:space="0" w:color="auto"/>
        <w:bottom w:val="none" w:sz="0" w:space="0" w:color="auto"/>
        <w:right w:val="none" w:sz="0" w:space="0" w:color="auto"/>
      </w:divBdr>
    </w:div>
    <w:div w:id="750584291">
      <w:bodyDiv w:val="1"/>
      <w:marLeft w:val="0"/>
      <w:marRight w:val="0"/>
      <w:marTop w:val="0"/>
      <w:marBottom w:val="0"/>
      <w:divBdr>
        <w:top w:val="none" w:sz="0" w:space="0" w:color="auto"/>
        <w:left w:val="none" w:sz="0" w:space="0" w:color="auto"/>
        <w:bottom w:val="none" w:sz="0" w:space="0" w:color="auto"/>
        <w:right w:val="none" w:sz="0" w:space="0" w:color="auto"/>
      </w:divBdr>
    </w:div>
    <w:div w:id="754284517">
      <w:bodyDiv w:val="1"/>
      <w:marLeft w:val="0"/>
      <w:marRight w:val="0"/>
      <w:marTop w:val="0"/>
      <w:marBottom w:val="0"/>
      <w:divBdr>
        <w:top w:val="none" w:sz="0" w:space="0" w:color="auto"/>
        <w:left w:val="none" w:sz="0" w:space="0" w:color="auto"/>
        <w:bottom w:val="none" w:sz="0" w:space="0" w:color="auto"/>
        <w:right w:val="none" w:sz="0" w:space="0" w:color="auto"/>
      </w:divBdr>
    </w:div>
    <w:div w:id="758911276">
      <w:bodyDiv w:val="1"/>
      <w:marLeft w:val="0"/>
      <w:marRight w:val="0"/>
      <w:marTop w:val="0"/>
      <w:marBottom w:val="0"/>
      <w:divBdr>
        <w:top w:val="none" w:sz="0" w:space="0" w:color="auto"/>
        <w:left w:val="none" w:sz="0" w:space="0" w:color="auto"/>
        <w:bottom w:val="none" w:sz="0" w:space="0" w:color="auto"/>
        <w:right w:val="none" w:sz="0" w:space="0" w:color="auto"/>
      </w:divBdr>
    </w:div>
    <w:div w:id="766996251">
      <w:bodyDiv w:val="1"/>
      <w:marLeft w:val="0"/>
      <w:marRight w:val="0"/>
      <w:marTop w:val="0"/>
      <w:marBottom w:val="0"/>
      <w:divBdr>
        <w:top w:val="none" w:sz="0" w:space="0" w:color="auto"/>
        <w:left w:val="none" w:sz="0" w:space="0" w:color="auto"/>
        <w:bottom w:val="none" w:sz="0" w:space="0" w:color="auto"/>
        <w:right w:val="none" w:sz="0" w:space="0" w:color="auto"/>
      </w:divBdr>
    </w:div>
    <w:div w:id="781456721">
      <w:bodyDiv w:val="1"/>
      <w:marLeft w:val="0"/>
      <w:marRight w:val="0"/>
      <w:marTop w:val="0"/>
      <w:marBottom w:val="0"/>
      <w:divBdr>
        <w:top w:val="none" w:sz="0" w:space="0" w:color="auto"/>
        <w:left w:val="none" w:sz="0" w:space="0" w:color="auto"/>
        <w:bottom w:val="none" w:sz="0" w:space="0" w:color="auto"/>
        <w:right w:val="none" w:sz="0" w:space="0" w:color="auto"/>
      </w:divBdr>
    </w:div>
    <w:div w:id="789208411">
      <w:bodyDiv w:val="1"/>
      <w:marLeft w:val="0"/>
      <w:marRight w:val="0"/>
      <w:marTop w:val="0"/>
      <w:marBottom w:val="0"/>
      <w:divBdr>
        <w:top w:val="none" w:sz="0" w:space="0" w:color="auto"/>
        <w:left w:val="none" w:sz="0" w:space="0" w:color="auto"/>
        <w:bottom w:val="none" w:sz="0" w:space="0" w:color="auto"/>
        <w:right w:val="none" w:sz="0" w:space="0" w:color="auto"/>
      </w:divBdr>
    </w:div>
    <w:div w:id="800733886">
      <w:bodyDiv w:val="1"/>
      <w:marLeft w:val="0"/>
      <w:marRight w:val="0"/>
      <w:marTop w:val="0"/>
      <w:marBottom w:val="0"/>
      <w:divBdr>
        <w:top w:val="none" w:sz="0" w:space="0" w:color="auto"/>
        <w:left w:val="none" w:sz="0" w:space="0" w:color="auto"/>
        <w:bottom w:val="none" w:sz="0" w:space="0" w:color="auto"/>
        <w:right w:val="none" w:sz="0" w:space="0" w:color="auto"/>
      </w:divBdr>
    </w:div>
    <w:div w:id="811413165">
      <w:bodyDiv w:val="1"/>
      <w:marLeft w:val="0"/>
      <w:marRight w:val="0"/>
      <w:marTop w:val="0"/>
      <w:marBottom w:val="0"/>
      <w:divBdr>
        <w:top w:val="none" w:sz="0" w:space="0" w:color="auto"/>
        <w:left w:val="none" w:sz="0" w:space="0" w:color="auto"/>
        <w:bottom w:val="none" w:sz="0" w:space="0" w:color="auto"/>
        <w:right w:val="none" w:sz="0" w:space="0" w:color="auto"/>
      </w:divBdr>
      <w:divsChild>
        <w:div w:id="1454253567">
          <w:marLeft w:val="547"/>
          <w:marRight w:val="0"/>
          <w:marTop w:val="0"/>
          <w:marBottom w:val="0"/>
          <w:divBdr>
            <w:top w:val="none" w:sz="0" w:space="0" w:color="auto"/>
            <w:left w:val="none" w:sz="0" w:space="0" w:color="auto"/>
            <w:bottom w:val="none" w:sz="0" w:space="0" w:color="auto"/>
            <w:right w:val="none" w:sz="0" w:space="0" w:color="auto"/>
          </w:divBdr>
        </w:div>
      </w:divsChild>
    </w:div>
    <w:div w:id="815342163">
      <w:bodyDiv w:val="1"/>
      <w:marLeft w:val="0"/>
      <w:marRight w:val="0"/>
      <w:marTop w:val="0"/>
      <w:marBottom w:val="0"/>
      <w:divBdr>
        <w:top w:val="none" w:sz="0" w:space="0" w:color="auto"/>
        <w:left w:val="none" w:sz="0" w:space="0" w:color="auto"/>
        <w:bottom w:val="none" w:sz="0" w:space="0" w:color="auto"/>
        <w:right w:val="none" w:sz="0" w:space="0" w:color="auto"/>
      </w:divBdr>
    </w:div>
    <w:div w:id="818115924">
      <w:bodyDiv w:val="1"/>
      <w:marLeft w:val="0"/>
      <w:marRight w:val="0"/>
      <w:marTop w:val="0"/>
      <w:marBottom w:val="0"/>
      <w:divBdr>
        <w:top w:val="none" w:sz="0" w:space="0" w:color="auto"/>
        <w:left w:val="none" w:sz="0" w:space="0" w:color="auto"/>
        <w:bottom w:val="none" w:sz="0" w:space="0" w:color="auto"/>
        <w:right w:val="none" w:sz="0" w:space="0" w:color="auto"/>
      </w:divBdr>
    </w:div>
    <w:div w:id="820775559">
      <w:bodyDiv w:val="1"/>
      <w:marLeft w:val="0"/>
      <w:marRight w:val="0"/>
      <w:marTop w:val="0"/>
      <w:marBottom w:val="0"/>
      <w:divBdr>
        <w:top w:val="none" w:sz="0" w:space="0" w:color="auto"/>
        <w:left w:val="none" w:sz="0" w:space="0" w:color="auto"/>
        <w:bottom w:val="none" w:sz="0" w:space="0" w:color="auto"/>
        <w:right w:val="none" w:sz="0" w:space="0" w:color="auto"/>
      </w:divBdr>
    </w:div>
    <w:div w:id="827593557">
      <w:bodyDiv w:val="1"/>
      <w:marLeft w:val="0"/>
      <w:marRight w:val="0"/>
      <w:marTop w:val="0"/>
      <w:marBottom w:val="0"/>
      <w:divBdr>
        <w:top w:val="none" w:sz="0" w:space="0" w:color="auto"/>
        <w:left w:val="none" w:sz="0" w:space="0" w:color="auto"/>
        <w:bottom w:val="none" w:sz="0" w:space="0" w:color="auto"/>
        <w:right w:val="none" w:sz="0" w:space="0" w:color="auto"/>
      </w:divBdr>
    </w:div>
    <w:div w:id="837843956">
      <w:bodyDiv w:val="1"/>
      <w:marLeft w:val="0"/>
      <w:marRight w:val="0"/>
      <w:marTop w:val="0"/>
      <w:marBottom w:val="0"/>
      <w:divBdr>
        <w:top w:val="none" w:sz="0" w:space="0" w:color="auto"/>
        <w:left w:val="none" w:sz="0" w:space="0" w:color="auto"/>
        <w:bottom w:val="none" w:sz="0" w:space="0" w:color="auto"/>
        <w:right w:val="none" w:sz="0" w:space="0" w:color="auto"/>
      </w:divBdr>
    </w:div>
    <w:div w:id="864975261">
      <w:bodyDiv w:val="1"/>
      <w:marLeft w:val="0"/>
      <w:marRight w:val="0"/>
      <w:marTop w:val="0"/>
      <w:marBottom w:val="0"/>
      <w:divBdr>
        <w:top w:val="none" w:sz="0" w:space="0" w:color="auto"/>
        <w:left w:val="none" w:sz="0" w:space="0" w:color="auto"/>
        <w:bottom w:val="none" w:sz="0" w:space="0" w:color="auto"/>
        <w:right w:val="none" w:sz="0" w:space="0" w:color="auto"/>
      </w:divBdr>
    </w:div>
    <w:div w:id="885140998">
      <w:bodyDiv w:val="1"/>
      <w:marLeft w:val="0"/>
      <w:marRight w:val="0"/>
      <w:marTop w:val="0"/>
      <w:marBottom w:val="0"/>
      <w:divBdr>
        <w:top w:val="none" w:sz="0" w:space="0" w:color="auto"/>
        <w:left w:val="none" w:sz="0" w:space="0" w:color="auto"/>
        <w:bottom w:val="none" w:sz="0" w:space="0" w:color="auto"/>
        <w:right w:val="none" w:sz="0" w:space="0" w:color="auto"/>
      </w:divBdr>
      <w:divsChild>
        <w:div w:id="587080514">
          <w:marLeft w:val="274"/>
          <w:marRight w:val="0"/>
          <w:marTop w:val="0"/>
          <w:marBottom w:val="0"/>
          <w:divBdr>
            <w:top w:val="none" w:sz="0" w:space="0" w:color="auto"/>
            <w:left w:val="none" w:sz="0" w:space="0" w:color="auto"/>
            <w:bottom w:val="none" w:sz="0" w:space="0" w:color="auto"/>
            <w:right w:val="none" w:sz="0" w:space="0" w:color="auto"/>
          </w:divBdr>
        </w:div>
      </w:divsChild>
    </w:div>
    <w:div w:id="898856767">
      <w:bodyDiv w:val="1"/>
      <w:marLeft w:val="0"/>
      <w:marRight w:val="0"/>
      <w:marTop w:val="0"/>
      <w:marBottom w:val="0"/>
      <w:divBdr>
        <w:top w:val="none" w:sz="0" w:space="0" w:color="auto"/>
        <w:left w:val="none" w:sz="0" w:space="0" w:color="auto"/>
        <w:bottom w:val="none" w:sz="0" w:space="0" w:color="auto"/>
        <w:right w:val="none" w:sz="0" w:space="0" w:color="auto"/>
      </w:divBdr>
    </w:div>
    <w:div w:id="903832497">
      <w:bodyDiv w:val="1"/>
      <w:marLeft w:val="0"/>
      <w:marRight w:val="0"/>
      <w:marTop w:val="0"/>
      <w:marBottom w:val="0"/>
      <w:divBdr>
        <w:top w:val="none" w:sz="0" w:space="0" w:color="auto"/>
        <w:left w:val="none" w:sz="0" w:space="0" w:color="auto"/>
        <w:bottom w:val="none" w:sz="0" w:space="0" w:color="auto"/>
        <w:right w:val="none" w:sz="0" w:space="0" w:color="auto"/>
      </w:divBdr>
    </w:div>
    <w:div w:id="912277663">
      <w:bodyDiv w:val="1"/>
      <w:marLeft w:val="0"/>
      <w:marRight w:val="0"/>
      <w:marTop w:val="0"/>
      <w:marBottom w:val="0"/>
      <w:divBdr>
        <w:top w:val="none" w:sz="0" w:space="0" w:color="auto"/>
        <w:left w:val="none" w:sz="0" w:space="0" w:color="auto"/>
        <w:bottom w:val="none" w:sz="0" w:space="0" w:color="auto"/>
        <w:right w:val="none" w:sz="0" w:space="0" w:color="auto"/>
      </w:divBdr>
    </w:div>
    <w:div w:id="924336336">
      <w:bodyDiv w:val="1"/>
      <w:marLeft w:val="0"/>
      <w:marRight w:val="0"/>
      <w:marTop w:val="0"/>
      <w:marBottom w:val="0"/>
      <w:divBdr>
        <w:top w:val="none" w:sz="0" w:space="0" w:color="auto"/>
        <w:left w:val="none" w:sz="0" w:space="0" w:color="auto"/>
        <w:bottom w:val="none" w:sz="0" w:space="0" w:color="auto"/>
        <w:right w:val="none" w:sz="0" w:space="0" w:color="auto"/>
      </w:divBdr>
    </w:div>
    <w:div w:id="924992515">
      <w:bodyDiv w:val="1"/>
      <w:marLeft w:val="0"/>
      <w:marRight w:val="0"/>
      <w:marTop w:val="0"/>
      <w:marBottom w:val="0"/>
      <w:divBdr>
        <w:top w:val="none" w:sz="0" w:space="0" w:color="auto"/>
        <w:left w:val="none" w:sz="0" w:space="0" w:color="auto"/>
        <w:bottom w:val="none" w:sz="0" w:space="0" w:color="auto"/>
        <w:right w:val="none" w:sz="0" w:space="0" w:color="auto"/>
      </w:divBdr>
    </w:div>
    <w:div w:id="951085924">
      <w:bodyDiv w:val="1"/>
      <w:marLeft w:val="0"/>
      <w:marRight w:val="0"/>
      <w:marTop w:val="0"/>
      <w:marBottom w:val="0"/>
      <w:divBdr>
        <w:top w:val="none" w:sz="0" w:space="0" w:color="auto"/>
        <w:left w:val="none" w:sz="0" w:space="0" w:color="auto"/>
        <w:bottom w:val="none" w:sz="0" w:space="0" w:color="auto"/>
        <w:right w:val="none" w:sz="0" w:space="0" w:color="auto"/>
      </w:divBdr>
    </w:div>
    <w:div w:id="955793625">
      <w:bodyDiv w:val="1"/>
      <w:marLeft w:val="0"/>
      <w:marRight w:val="0"/>
      <w:marTop w:val="0"/>
      <w:marBottom w:val="0"/>
      <w:divBdr>
        <w:top w:val="none" w:sz="0" w:space="0" w:color="auto"/>
        <w:left w:val="none" w:sz="0" w:space="0" w:color="auto"/>
        <w:bottom w:val="none" w:sz="0" w:space="0" w:color="auto"/>
        <w:right w:val="none" w:sz="0" w:space="0" w:color="auto"/>
      </w:divBdr>
    </w:div>
    <w:div w:id="964233655">
      <w:bodyDiv w:val="1"/>
      <w:marLeft w:val="0"/>
      <w:marRight w:val="0"/>
      <w:marTop w:val="0"/>
      <w:marBottom w:val="0"/>
      <w:divBdr>
        <w:top w:val="none" w:sz="0" w:space="0" w:color="auto"/>
        <w:left w:val="none" w:sz="0" w:space="0" w:color="auto"/>
        <w:bottom w:val="none" w:sz="0" w:space="0" w:color="auto"/>
        <w:right w:val="none" w:sz="0" w:space="0" w:color="auto"/>
      </w:divBdr>
    </w:div>
    <w:div w:id="984167149">
      <w:bodyDiv w:val="1"/>
      <w:marLeft w:val="0"/>
      <w:marRight w:val="0"/>
      <w:marTop w:val="0"/>
      <w:marBottom w:val="0"/>
      <w:divBdr>
        <w:top w:val="none" w:sz="0" w:space="0" w:color="auto"/>
        <w:left w:val="none" w:sz="0" w:space="0" w:color="auto"/>
        <w:bottom w:val="none" w:sz="0" w:space="0" w:color="auto"/>
        <w:right w:val="none" w:sz="0" w:space="0" w:color="auto"/>
      </w:divBdr>
    </w:div>
    <w:div w:id="985672340">
      <w:bodyDiv w:val="1"/>
      <w:marLeft w:val="0"/>
      <w:marRight w:val="0"/>
      <w:marTop w:val="0"/>
      <w:marBottom w:val="0"/>
      <w:divBdr>
        <w:top w:val="none" w:sz="0" w:space="0" w:color="auto"/>
        <w:left w:val="none" w:sz="0" w:space="0" w:color="auto"/>
        <w:bottom w:val="none" w:sz="0" w:space="0" w:color="auto"/>
        <w:right w:val="none" w:sz="0" w:space="0" w:color="auto"/>
      </w:divBdr>
    </w:div>
    <w:div w:id="991911496">
      <w:bodyDiv w:val="1"/>
      <w:marLeft w:val="0"/>
      <w:marRight w:val="0"/>
      <w:marTop w:val="0"/>
      <w:marBottom w:val="0"/>
      <w:divBdr>
        <w:top w:val="none" w:sz="0" w:space="0" w:color="auto"/>
        <w:left w:val="none" w:sz="0" w:space="0" w:color="auto"/>
        <w:bottom w:val="none" w:sz="0" w:space="0" w:color="auto"/>
        <w:right w:val="none" w:sz="0" w:space="0" w:color="auto"/>
      </w:divBdr>
    </w:div>
    <w:div w:id="1022513743">
      <w:bodyDiv w:val="1"/>
      <w:marLeft w:val="0"/>
      <w:marRight w:val="0"/>
      <w:marTop w:val="0"/>
      <w:marBottom w:val="0"/>
      <w:divBdr>
        <w:top w:val="none" w:sz="0" w:space="0" w:color="auto"/>
        <w:left w:val="none" w:sz="0" w:space="0" w:color="auto"/>
        <w:bottom w:val="none" w:sz="0" w:space="0" w:color="auto"/>
        <w:right w:val="none" w:sz="0" w:space="0" w:color="auto"/>
      </w:divBdr>
    </w:div>
    <w:div w:id="1029839804">
      <w:bodyDiv w:val="1"/>
      <w:marLeft w:val="0"/>
      <w:marRight w:val="0"/>
      <w:marTop w:val="0"/>
      <w:marBottom w:val="0"/>
      <w:divBdr>
        <w:top w:val="none" w:sz="0" w:space="0" w:color="auto"/>
        <w:left w:val="none" w:sz="0" w:space="0" w:color="auto"/>
        <w:bottom w:val="none" w:sz="0" w:space="0" w:color="auto"/>
        <w:right w:val="none" w:sz="0" w:space="0" w:color="auto"/>
      </w:divBdr>
    </w:div>
    <w:div w:id="1032995268">
      <w:bodyDiv w:val="1"/>
      <w:marLeft w:val="0"/>
      <w:marRight w:val="0"/>
      <w:marTop w:val="0"/>
      <w:marBottom w:val="0"/>
      <w:divBdr>
        <w:top w:val="none" w:sz="0" w:space="0" w:color="auto"/>
        <w:left w:val="none" w:sz="0" w:space="0" w:color="auto"/>
        <w:bottom w:val="none" w:sz="0" w:space="0" w:color="auto"/>
        <w:right w:val="none" w:sz="0" w:space="0" w:color="auto"/>
      </w:divBdr>
    </w:div>
    <w:div w:id="1039359879">
      <w:bodyDiv w:val="1"/>
      <w:marLeft w:val="0"/>
      <w:marRight w:val="0"/>
      <w:marTop w:val="0"/>
      <w:marBottom w:val="0"/>
      <w:divBdr>
        <w:top w:val="none" w:sz="0" w:space="0" w:color="auto"/>
        <w:left w:val="none" w:sz="0" w:space="0" w:color="auto"/>
        <w:bottom w:val="none" w:sz="0" w:space="0" w:color="auto"/>
        <w:right w:val="none" w:sz="0" w:space="0" w:color="auto"/>
      </w:divBdr>
    </w:div>
    <w:div w:id="1046291646">
      <w:bodyDiv w:val="1"/>
      <w:marLeft w:val="0"/>
      <w:marRight w:val="0"/>
      <w:marTop w:val="0"/>
      <w:marBottom w:val="0"/>
      <w:divBdr>
        <w:top w:val="none" w:sz="0" w:space="0" w:color="auto"/>
        <w:left w:val="none" w:sz="0" w:space="0" w:color="auto"/>
        <w:bottom w:val="none" w:sz="0" w:space="0" w:color="auto"/>
        <w:right w:val="none" w:sz="0" w:space="0" w:color="auto"/>
      </w:divBdr>
    </w:div>
    <w:div w:id="1072461845">
      <w:bodyDiv w:val="1"/>
      <w:marLeft w:val="0"/>
      <w:marRight w:val="0"/>
      <w:marTop w:val="0"/>
      <w:marBottom w:val="0"/>
      <w:divBdr>
        <w:top w:val="none" w:sz="0" w:space="0" w:color="auto"/>
        <w:left w:val="none" w:sz="0" w:space="0" w:color="auto"/>
        <w:bottom w:val="none" w:sz="0" w:space="0" w:color="auto"/>
        <w:right w:val="none" w:sz="0" w:space="0" w:color="auto"/>
      </w:divBdr>
    </w:div>
    <w:div w:id="1078941552">
      <w:bodyDiv w:val="1"/>
      <w:marLeft w:val="0"/>
      <w:marRight w:val="0"/>
      <w:marTop w:val="0"/>
      <w:marBottom w:val="0"/>
      <w:divBdr>
        <w:top w:val="none" w:sz="0" w:space="0" w:color="auto"/>
        <w:left w:val="none" w:sz="0" w:space="0" w:color="auto"/>
        <w:bottom w:val="none" w:sz="0" w:space="0" w:color="auto"/>
        <w:right w:val="none" w:sz="0" w:space="0" w:color="auto"/>
      </w:divBdr>
    </w:div>
    <w:div w:id="1106652522">
      <w:bodyDiv w:val="1"/>
      <w:marLeft w:val="0"/>
      <w:marRight w:val="0"/>
      <w:marTop w:val="0"/>
      <w:marBottom w:val="0"/>
      <w:divBdr>
        <w:top w:val="none" w:sz="0" w:space="0" w:color="auto"/>
        <w:left w:val="none" w:sz="0" w:space="0" w:color="auto"/>
        <w:bottom w:val="none" w:sz="0" w:space="0" w:color="auto"/>
        <w:right w:val="none" w:sz="0" w:space="0" w:color="auto"/>
      </w:divBdr>
    </w:div>
    <w:div w:id="1114444011">
      <w:bodyDiv w:val="1"/>
      <w:marLeft w:val="0"/>
      <w:marRight w:val="0"/>
      <w:marTop w:val="0"/>
      <w:marBottom w:val="0"/>
      <w:divBdr>
        <w:top w:val="none" w:sz="0" w:space="0" w:color="auto"/>
        <w:left w:val="none" w:sz="0" w:space="0" w:color="auto"/>
        <w:bottom w:val="none" w:sz="0" w:space="0" w:color="auto"/>
        <w:right w:val="none" w:sz="0" w:space="0" w:color="auto"/>
      </w:divBdr>
    </w:div>
    <w:div w:id="1145389285">
      <w:bodyDiv w:val="1"/>
      <w:marLeft w:val="0"/>
      <w:marRight w:val="0"/>
      <w:marTop w:val="0"/>
      <w:marBottom w:val="0"/>
      <w:divBdr>
        <w:top w:val="none" w:sz="0" w:space="0" w:color="auto"/>
        <w:left w:val="none" w:sz="0" w:space="0" w:color="auto"/>
        <w:bottom w:val="none" w:sz="0" w:space="0" w:color="auto"/>
        <w:right w:val="none" w:sz="0" w:space="0" w:color="auto"/>
      </w:divBdr>
    </w:div>
    <w:div w:id="1169976992">
      <w:bodyDiv w:val="1"/>
      <w:marLeft w:val="0"/>
      <w:marRight w:val="0"/>
      <w:marTop w:val="0"/>
      <w:marBottom w:val="0"/>
      <w:divBdr>
        <w:top w:val="none" w:sz="0" w:space="0" w:color="auto"/>
        <w:left w:val="none" w:sz="0" w:space="0" w:color="auto"/>
        <w:bottom w:val="none" w:sz="0" w:space="0" w:color="auto"/>
        <w:right w:val="none" w:sz="0" w:space="0" w:color="auto"/>
      </w:divBdr>
    </w:div>
    <w:div w:id="1194422457">
      <w:bodyDiv w:val="1"/>
      <w:marLeft w:val="0"/>
      <w:marRight w:val="0"/>
      <w:marTop w:val="0"/>
      <w:marBottom w:val="0"/>
      <w:divBdr>
        <w:top w:val="none" w:sz="0" w:space="0" w:color="auto"/>
        <w:left w:val="none" w:sz="0" w:space="0" w:color="auto"/>
        <w:bottom w:val="none" w:sz="0" w:space="0" w:color="auto"/>
        <w:right w:val="none" w:sz="0" w:space="0" w:color="auto"/>
      </w:divBdr>
    </w:div>
    <w:div w:id="1199051602">
      <w:bodyDiv w:val="1"/>
      <w:marLeft w:val="0"/>
      <w:marRight w:val="0"/>
      <w:marTop w:val="0"/>
      <w:marBottom w:val="0"/>
      <w:divBdr>
        <w:top w:val="none" w:sz="0" w:space="0" w:color="auto"/>
        <w:left w:val="none" w:sz="0" w:space="0" w:color="auto"/>
        <w:bottom w:val="none" w:sz="0" w:space="0" w:color="auto"/>
        <w:right w:val="none" w:sz="0" w:space="0" w:color="auto"/>
      </w:divBdr>
    </w:div>
    <w:div w:id="1204094851">
      <w:bodyDiv w:val="1"/>
      <w:marLeft w:val="0"/>
      <w:marRight w:val="0"/>
      <w:marTop w:val="0"/>
      <w:marBottom w:val="0"/>
      <w:divBdr>
        <w:top w:val="none" w:sz="0" w:space="0" w:color="auto"/>
        <w:left w:val="none" w:sz="0" w:space="0" w:color="auto"/>
        <w:bottom w:val="none" w:sz="0" w:space="0" w:color="auto"/>
        <w:right w:val="none" w:sz="0" w:space="0" w:color="auto"/>
      </w:divBdr>
    </w:div>
    <w:div w:id="1206336465">
      <w:bodyDiv w:val="1"/>
      <w:marLeft w:val="0"/>
      <w:marRight w:val="0"/>
      <w:marTop w:val="0"/>
      <w:marBottom w:val="0"/>
      <w:divBdr>
        <w:top w:val="none" w:sz="0" w:space="0" w:color="auto"/>
        <w:left w:val="none" w:sz="0" w:space="0" w:color="auto"/>
        <w:bottom w:val="none" w:sz="0" w:space="0" w:color="auto"/>
        <w:right w:val="none" w:sz="0" w:space="0" w:color="auto"/>
      </w:divBdr>
    </w:div>
    <w:div w:id="1207375097">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232349638">
      <w:bodyDiv w:val="1"/>
      <w:marLeft w:val="0"/>
      <w:marRight w:val="0"/>
      <w:marTop w:val="0"/>
      <w:marBottom w:val="0"/>
      <w:divBdr>
        <w:top w:val="none" w:sz="0" w:space="0" w:color="auto"/>
        <w:left w:val="none" w:sz="0" w:space="0" w:color="auto"/>
        <w:bottom w:val="none" w:sz="0" w:space="0" w:color="auto"/>
        <w:right w:val="none" w:sz="0" w:space="0" w:color="auto"/>
      </w:divBdr>
    </w:div>
    <w:div w:id="1262034782">
      <w:bodyDiv w:val="1"/>
      <w:marLeft w:val="0"/>
      <w:marRight w:val="0"/>
      <w:marTop w:val="0"/>
      <w:marBottom w:val="0"/>
      <w:divBdr>
        <w:top w:val="none" w:sz="0" w:space="0" w:color="auto"/>
        <w:left w:val="none" w:sz="0" w:space="0" w:color="auto"/>
        <w:bottom w:val="none" w:sz="0" w:space="0" w:color="auto"/>
        <w:right w:val="none" w:sz="0" w:space="0" w:color="auto"/>
      </w:divBdr>
    </w:div>
    <w:div w:id="1266381205">
      <w:bodyDiv w:val="1"/>
      <w:marLeft w:val="0"/>
      <w:marRight w:val="0"/>
      <w:marTop w:val="0"/>
      <w:marBottom w:val="0"/>
      <w:divBdr>
        <w:top w:val="none" w:sz="0" w:space="0" w:color="auto"/>
        <w:left w:val="none" w:sz="0" w:space="0" w:color="auto"/>
        <w:bottom w:val="none" w:sz="0" w:space="0" w:color="auto"/>
        <w:right w:val="none" w:sz="0" w:space="0" w:color="auto"/>
      </w:divBdr>
    </w:div>
    <w:div w:id="1280180670">
      <w:bodyDiv w:val="1"/>
      <w:marLeft w:val="0"/>
      <w:marRight w:val="0"/>
      <w:marTop w:val="0"/>
      <w:marBottom w:val="0"/>
      <w:divBdr>
        <w:top w:val="none" w:sz="0" w:space="0" w:color="auto"/>
        <w:left w:val="none" w:sz="0" w:space="0" w:color="auto"/>
        <w:bottom w:val="none" w:sz="0" w:space="0" w:color="auto"/>
        <w:right w:val="none" w:sz="0" w:space="0" w:color="auto"/>
      </w:divBdr>
    </w:div>
    <w:div w:id="1296790924">
      <w:bodyDiv w:val="1"/>
      <w:marLeft w:val="0"/>
      <w:marRight w:val="0"/>
      <w:marTop w:val="0"/>
      <w:marBottom w:val="0"/>
      <w:divBdr>
        <w:top w:val="none" w:sz="0" w:space="0" w:color="auto"/>
        <w:left w:val="none" w:sz="0" w:space="0" w:color="auto"/>
        <w:bottom w:val="none" w:sz="0" w:space="0" w:color="auto"/>
        <w:right w:val="none" w:sz="0" w:space="0" w:color="auto"/>
      </w:divBdr>
    </w:div>
    <w:div w:id="1337685246">
      <w:bodyDiv w:val="1"/>
      <w:marLeft w:val="0"/>
      <w:marRight w:val="0"/>
      <w:marTop w:val="0"/>
      <w:marBottom w:val="0"/>
      <w:divBdr>
        <w:top w:val="none" w:sz="0" w:space="0" w:color="auto"/>
        <w:left w:val="none" w:sz="0" w:space="0" w:color="auto"/>
        <w:bottom w:val="none" w:sz="0" w:space="0" w:color="auto"/>
        <w:right w:val="none" w:sz="0" w:space="0" w:color="auto"/>
      </w:divBdr>
    </w:div>
    <w:div w:id="1339771291">
      <w:bodyDiv w:val="1"/>
      <w:marLeft w:val="0"/>
      <w:marRight w:val="0"/>
      <w:marTop w:val="0"/>
      <w:marBottom w:val="0"/>
      <w:divBdr>
        <w:top w:val="none" w:sz="0" w:space="0" w:color="auto"/>
        <w:left w:val="none" w:sz="0" w:space="0" w:color="auto"/>
        <w:bottom w:val="none" w:sz="0" w:space="0" w:color="auto"/>
        <w:right w:val="none" w:sz="0" w:space="0" w:color="auto"/>
      </w:divBdr>
    </w:div>
    <w:div w:id="1341932929">
      <w:bodyDiv w:val="1"/>
      <w:marLeft w:val="0"/>
      <w:marRight w:val="0"/>
      <w:marTop w:val="0"/>
      <w:marBottom w:val="0"/>
      <w:divBdr>
        <w:top w:val="none" w:sz="0" w:space="0" w:color="auto"/>
        <w:left w:val="none" w:sz="0" w:space="0" w:color="auto"/>
        <w:bottom w:val="none" w:sz="0" w:space="0" w:color="auto"/>
        <w:right w:val="none" w:sz="0" w:space="0" w:color="auto"/>
      </w:divBdr>
    </w:div>
    <w:div w:id="1342320243">
      <w:bodyDiv w:val="1"/>
      <w:marLeft w:val="0"/>
      <w:marRight w:val="0"/>
      <w:marTop w:val="0"/>
      <w:marBottom w:val="0"/>
      <w:divBdr>
        <w:top w:val="none" w:sz="0" w:space="0" w:color="auto"/>
        <w:left w:val="none" w:sz="0" w:space="0" w:color="auto"/>
        <w:bottom w:val="none" w:sz="0" w:space="0" w:color="auto"/>
        <w:right w:val="none" w:sz="0" w:space="0" w:color="auto"/>
      </w:divBdr>
    </w:div>
    <w:div w:id="1348797474">
      <w:bodyDiv w:val="1"/>
      <w:marLeft w:val="0"/>
      <w:marRight w:val="0"/>
      <w:marTop w:val="0"/>
      <w:marBottom w:val="0"/>
      <w:divBdr>
        <w:top w:val="none" w:sz="0" w:space="0" w:color="auto"/>
        <w:left w:val="none" w:sz="0" w:space="0" w:color="auto"/>
        <w:bottom w:val="none" w:sz="0" w:space="0" w:color="auto"/>
        <w:right w:val="none" w:sz="0" w:space="0" w:color="auto"/>
      </w:divBdr>
    </w:div>
    <w:div w:id="1351763544">
      <w:bodyDiv w:val="1"/>
      <w:marLeft w:val="0"/>
      <w:marRight w:val="0"/>
      <w:marTop w:val="0"/>
      <w:marBottom w:val="0"/>
      <w:divBdr>
        <w:top w:val="none" w:sz="0" w:space="0" w:color="auto"/>
        <w:left w:val="none" w:sz="0" w:space="0" w:color="auto"/>
        <w:bottom w:val="none" w:sz="0" w:space="0" w:color="auto"/>
        <w:right w:val="none" w:sz="0" w:space="0" w:color="auto"/>
      </w:divBdr>
      <w:divsChild>
        <w:div w:id="1551961351">
          <w:marLeft w:val="274"/>
          <w:marRight w:val="0"/>
          <w:marTop w:val="0"/>
          <w:marBottom w:val="0"/>
          <w:divBdr>
            <w:top w:val="none" w:sz="0" w:space="0" w:color="auto"/>
            <w:left w:val="none" w:sz="0" w:space="0" w:color="auto"/>
            <w:bottom w:val="none" w:sz="0" w:space="0" w:color="auto"/>
            <w:right w:val="none" w:sz="0" w:space="0" w:color="auto"/>
          </w:divBdr>
        </w:div>
        <w:div w:id="1782719489">
          <w:marLeft w:val="274"/>
          <w:marRight w:val="0"/>
          <w:marTop w:val="0"/>
          <w:marBottom w:val="0"/>
          <w:divBdr>
            <w:top w:val="none" w:sz="0" w:space="0" w:color="auto"/>
            <w:left w:val="none" w:sz="0" w:space="0" w:color="auto"/>
            <w:bottom w:val="none" w:sz="0" w:space="0" w:color="auto"/>
            <w:right w:val="none" w:sz="0" w:space="0" w:color="auto"/>
          </w:divBdr>
        </w:div>
      </w:divsChild>
    </w:div>
    <w:div w:id="1368681235">
      <w:bodyDiv w:val="1"/>
      <w:marLeft w:val="0"/>
      <w:marRight w:val="0"/>
      <w:marTop w:val="0"/>
      <w:marBottom w:val="0"/>
      <w:divBdr>
        <w:top w:val="none" w:sz="0" w:space="0" w:color="auto"/>
        <w:left w:val="none" w:sz="0" w:space="0" w:color="auto"/>
        <w:bottom w:val="none" w:sz="0" w:space="0" w:color="auto"/>
        <w:right w:val="none" w:sz="0" w:space="0" w:color="auto"/>
      </w:divBdr>
    </w:div>
    <w:div w:id="1384215375">
      <w:bodyDiv w:val="1"/>
      <w:marLeft w:val="0"/>
      <w:marRight w:val="0"/>
      <w:marTop w:val="0"/>
      <w:marBottom w:val="0"/>
      <w:divBdr>
        <w:top w:val="none" w:sz="0" w:space="0" w:color="auto"/>
        <w:left w:val="none" w:sz="0" w:space="0" w:color="auto"/>
        <w:bottom w:val="none" w:sz="0" w:space="0" w:color="auto"/>
        <w:right w:val="none" w:sz="0" w:space="0" w:color="auto"/>
      </w:divBdr>
    </w:div>
    <w:div w:id="1395161307">
      <w:bodyDiv w:val="1"/>
      <w:marLeft w:val="0"/>
      <w:marRight w:val="0"/>
      <w:marTop w:val="0"/>
      <w:marBottom w:val="0"/>
      <w:divBdr>
        <w:top w:val="none" w:sz="0" w:space="0" w:color="auto"/>
        <w:left w:val="none" w:sz="0" w:space="0" w:color="auto"/>
        <w:bottom w:val="none" w:sz="0" w:space="0" w:color="auto"/>
        <w:right w:val="none" w:sz="0" w:space="0" w:color="auto"/>
      </w:divBdr>
    </w:div>
    <w:div w:id="1397315132">
      <w:bodyDiv w:val="1"/>
      <w:marLeft w:val="0"/>
      <w:marRight w:val="0"/>
      <w:marTop w:val="0"/>
      <w:marBottom w:val="0"/>
      <w:divBdr>
        <w:top w:val="none" w:sz="0" w:space="0" w:color="auto"/>
        <w:left w:val="none" w:sz="0" w:space="0" w:color="auto"/>
        <w:bottom w:val="none" w:sz="0" w:space="0" w:color="auto"/>
        <w:right w:val="none" w:sz="0" w:space="0" w:color="auto"/>
      </w:divBdr>
    </w:div>
    <w:div w:id="1413046824">
      <w:bodyDiv w:val="1"/>
      <w:marLeft w:val="0"/>
      <w:marRight w:val="0"/>
      <w:marTop w:val="0"/>
      <w:marBottom w:val="0"/>
      <w:divBdr>
        <w:top w:val="none" w:sz="0" w:space="0" w:color="auto"/>
        <w:left w:val="none" w:sz="0" w:space="0" w:color="auto"/>
        <w:bottom w:val="none" w:sz="0" w:space="0" w:color="auto"/>
        <w:right w:val="none" w:sz="0" w:space="0" w:color="auto"/>
      </w:divBdr>
    </w:div>
    <w:div w:id="1416364634">
      <w:bodyDiv w:val="1"/>
      <w:marLeft w:val="0"/>
      <w:marRight w:val="0"/>
      <w:marTop w:val="0"/>
      <w:marBottom w:val="0"/>
      <w:divBdr>
        <w:top w:val="none" w:sz="0" w:space="0" w:color="auto"/>
        <w:left w:val="none" w:sz="0" w:space="0" w:color="auto"/>
        <w:bottom w:val="none" w:sz="0" w:space="0" w:color="auto"/>
        <w:right w:val="none" w:sz="0" w:space="0" w:color="auto"/>
      </w:divBdr>
    </w:div>
    <w:div w:id="1420980562">
      <w:bodyDiv w:val="1"/>
      <w:marLeft w:val="0"/>
      <w:marRight w:val="0"/>
      <w:marTop w:val="0"/>
      <w:marBottom w:val="0"/>
      <w:divBdr>
        <w:top w:val="none" w:sz="0" w:space="0" w:color="auto"/>
        <w:left w:val="none" w:sz="0" w:space="0" w:color="auto"/>
        <w:bottom w:val="none" w:sz="0" w:space="0" w:color="auto"/>
        <w:right w:val="none" w:sz="0" w:space="0" w:color="auto"/>
      </w:divBdr>
    </w:div>
    <w:div w:id="1439760432">
      <w:bodyDiv w:val="1"/>
      <w:marLeft w:val="0"/>
      <w:marRight w:val="0"/>
      <w:marTop w:val="0"/>
      <w:marBottom w:val="0"/>
      <w:divBdr>
        <w:top w:val="none" w:sz="0" w:space="0" w:color="auto"/>
        <w:left w:val="none" w:sz="0" w:space="0" w:color="auto"/>
        <w:bottom w:val="none" w:sz="0" w:space="0" w:color="auto"/>
        <w:right w:val="none" w:sz="0" w:space="0" w:color="auto"/>
      </w:divBdr>
    </w:div>
    <w:div w:id="1482498391">
      <w:bodyDiv w:val="1"/>
      <w:marLeft w:val="0"/>
      <w:marRight w:val="0"/>
      <w:marTop w:val="0"/>
      <w:marBottom w:val="0"/>
      <w:divBdr>
        <w:top w:val="none" w:sz="0" w:space="0" w:color="auto"/>
        <w:left w:val="none" w:sz="0" w:space="0" w:color="auto"/>
        <w:bottom w:val="none" w:sz="0" w:space="0" w:color="auto"/>
        <w:right w:val="none" w:sz="0" w:space="0" w:color="auto"/>
      </w:divBdr>
    </w:div>
    <w:div w:id="1583874104">
      <w:bodyDiv w:val="1"/>
      <w:marLeft w:val="0"/>
      <w:marRight w:val="0"/>
      <w:marTop w:val="0"/>
      <w:marBottom w:val="0"/>
      <w:divBdr>
        <w:top w:val="none" w:sz="0" w:space="0" w:color="auto"/>
        <w:left w:val="none" w:sz="0" w:space="0" w:color="auto"/>
        <w:bottom w:val="none" w:sz="0" w:space="0" w:color="auto"/>
        <w:right w:val="none" w:sz="0" w:space="0" w:color="auto"/>
      </w:divBdr>
    </w:div>
    <w:div w:id="1611274225">
      <w:bodyDiv w:val="1"/>
      <w:marLeft w:val="0"/>
      <w:marRight w:val="0"/>
      <w:marTop w:val="0"/>
      <w:marBottom w:val="0"/>
      <w:divBdr>
        <w:top w:val="none" w:sz="0" w:space="0" w:color="auto"/>
        <w:left w:val="none" w:sz="0" w:space="0" w:color="auto"/>
        <w:bottom w:val="none" w:sz="0" w:space="0" w:color="auto"/>
        <w:right w:val="none" w:sz="0" w:space="0" w:color="auto"/>
      </w:divBdr>
    </w:div>
    <w:div w:id="1623028715">
      <w:bodyDiv w:val="1"/>
      <w:marLeft w:val="0"/>
      <w:marRight w:val="0"/>
      <w:marTop w:val="0"/>
      <w:marBottom w:val="0"/>
      <w:divBdr>
        <w:top w:val="none" w:sz="0" w:space="0" w:color="auto"/>
        <w:left w:val="none" w:sz="0" w:space="0" w:color="auto"/>
        <w:bottom w:val="none" w:sz="0" w:space="0" w:color="auto"/>
        <w:right w:val="none" w:sz="0" w:space="0" w:color="auto"/>
      </w:divBdr>
    </w:div>
    <w:div w:id="1637023979">
      <w:bodyDiv w:val="1"/>
      <w:marLeft w:val="0"/>
      <w:marRight w:val="0"/>
      <w:marTop w:val="0"/>
      <w:marBottom w:val="0"/>
      <w:divBdr>
        <w:top w:val="none" w:sz="0" w:space="0" w:color="auto"/>
        <w:left w:val="none" w:sz="0" w:space="0" w:color="auto"/>
        <w:bottom w:val="none" w:sz="0" w:space="0" w:color="auto"/>
        <w:right w:val="none" w:sz="0" w:space="0" w:color="auto"/>
      </w:divBdr>
    </w:div>
    <w:div w:id="1641306597">
      <w:bodyDiv w:val="1"/>
      <w:marLeft w:val="0"/>
      <w:marRight w:val="0"/>
      <w:marTop w:val="0"/>
      <w:marBottom w:val="0"/>
      <w:divBdr>
        <w:top w:val="none" w:sz="0" w:space="0" w:color="auto"/>
        <w:left w:val="none" w:sz="0" w:space="0" w:color="auto"/>
        <w:bottom w:val="none" w:sz="0" w:space="0" w:color="auto"/>
        <w:right w:val="none" w:sz="0" w:space="0" w:color="auto"/>
      </w:divBdr>
    </w:div>
    <w:div w:id="1681396157">
      <w:bodyDiv w:val="1"/>
      <w:marLeft w:val="0"/>
      <w:marRight w:val="0"/>
      <w:marTop w:val="0"/>
      <w:marBottom w:val="0"/>
      <w:divBdr>
        <w:top w:val="none" w:sz="0" w:space="0" w:color="auto"/>
        <w:left w:val="none" w:sz="0" w:space="0" w:color="auto"/>
        <w:bottom w:val="none" w:sz="0" w:space="0" w:color="auto"/>
        <w:right w:val="none" w:sz="0" w:space="0" w:color="auto"/>
      </w:divBdr>
    </w:div>
    <w:div w:id="1688678068">
      <w:bodyDiv w:val="1"/>
      <w:marLeft w:val="0"/>
      <w:marRight w:val="0"/>
      <w:marTop w:val="0"/>
      <w:marBottom w:val="0"/>
      <w:divBdr>
        <w:top w:val="none" w:sz="0" w:space="0" w:color="auto"/>
        <w:left w:val="none" w:sz="0" w:space="0" w:color="auto"/>
        <w:bottom w:val="none" w:sz="0" w:space="0" w:color="auto"/>
        <w:right w:val="none" w:sz="0" w:space="0" w:color="auto"/>
      </w:divBdr>
    </w:div>
    <w:div w:id="1726635225">
      <w:bodyDiv w:val="1"/>
      <w:marLeft w:val="0"/>
      <w:marRight w:val="0"/>
      <w:marTop w:val="0"/>
      <w:marBottom w:val="0"/>
      <w:divBdr>
        <w:top w:val="none" w:sz="0" w:space="0" w:color="auto"/>
        <w:left w:val="none" w:sz="0" w:space="0" w:color="auto"/>
        <w:bottom w:val="none" w:sz="0" w:space="0" w:color="auto"/>
        <w:right w:val="none" w:sz="0" w:space="0" w:color="auto"/>
      </w:divBdr>
    </w:div>
    <w:div w:id="1741906881">
      <w:bodyDiv w:val="1"/>
      <w:marLeft w:val="0"/>
      <w:marRight w:val="0"/>
      <w:marTop w:val="0"/>
      <w:marBottom w:val="0"/>
      <w:divBdr>
        <w:top w:val="none" w:sz="0" w:space="0" w:color="auto"/>
        <w:left w:val="none" w:sz="0" w:space="0" w:color="auto"/>
        <w:bottom w:val="none" w:sz="0" w:space="0" w:color="auto"/>
        <w:right w:val="none" w:sz="0" w:space="0" w:color="auto"/>
      </w:divBdr>
    </w:div>
    <w:div w:id="1749227515">
      <w:bodyDiv w:val="1"/>
      <w:marLeft w:val="0"/>
      <w:marRight w:val="0"/>
      <w:marTop w:val="0"/>
      <w:marBottom w:val="0"/>
      <w:divBdr>
        <w:top w:val="none" w:sz="0" w:space="0" w:color="auto"/>
        <w:left w:val="none" w:sz="0" w:space="0" w:color="auto"/>
        <w:bottom w:val="none" w:sz="0" w:space="0" w:color="auto"/>
        <w:right w:val="none" w:sz="0" w:space="0" w:color="auto"/>
      </w:divBdr>
    </w:div>
    <w:div w:id="1809391666">
      <w:bodyDiv w:val="1"/>
      <w:marLeft w:val="0"/>
      <w:marRight w:val="0"/>
      <w:marTop w:val="0"/>
      <w:marBottom w:val="0"/>
      <w:divBdr>
        <w:top w:val="none" w:sz="0" w:space="0" w:color="auto"/>
        <w:left w:val="none" w:sz="0" w:space="0" w:color="auto"/>
        <w:bottom w:val="none" w:sz="0" w:space="0" w:color="auto"/>
        <w:right w:val="none" w:sz="0" w:space="0" w:color="auto"/>
      </w:divBdr>
    </w:div>
    <w:div w:id="1823160741">
      <w:bodyDiv w:val="1"/>
      <w:marLeft w:val="0"/>
      <w:marRight w:val="0"/>
      <w:marTop w:val="0"/>
      <w:marBottom w:val="0"/>
      <w:divBdr>
        <w:top w:val="none" w:sz="0" w:space="0" w:color="auto"/>
        <w:left w:val="none" w:sz="0" w:space="0" w:color="auto"/>
        <w:bottom w:val="none" w:sz="0" w:space="0" w:color="auto"/>
        <w:right w:val="none" w:sz="0" w:space="0" w:color="auto"/>
      </w:divBdr>
    </w:div>
    <w:div w:id="1860312845">
      <w:bodyDiv w:val="1"/>
      <w:marLeft w:val="0"/>
      <w:marRight w:val="0"/>
      <w:marTop w:val="0"/>
      <w:marBottom w:val="0"/>
      <w:divBdr>
        <w:top w:val="none" w:sz="0" w:space="0" w:color="auto"/>
        <w:left w:val="none" w:sz="0" w:space="0" w:color="auto"/>
        <w:bottom w:val="none" w:sz="0" w:space="0" w:color="auto"/>
        <w:right w:val="none" w:sz="0" w:space="0" w:color="auto"/>
      </w:divBdr>
    </w:div>
    <w:div w:id="1877350960">
      <w:bodyDiv w:val="1"/>
      <w:marLeft w:val="0"/>
      <w:marRight w:val="0"/>
      <w:marTop w:val="0"/>
      <w:marBottom w:val="0"/>
      <w:divBdr>
        <w:top w:val="none" w:sz="0" w:space="0" w:color="auto"/>
        <w:left w:val="none" w:sz="0" w:space="0" w:color="auto"/>
        <w:bottom w:val="none" w:sz="0" w:space="0" w:color="auto"/>
        <w:right w:val="none" w:sz="0" w:space="0" w:color="auto"/>
      </w:divBdr>
    </w:div>
    <w:div w:id="1899395005">
      <w:bodyDiv w:val="1"/>
      <w:marLeft w:val="0"/>
      <w:marRight w:val="0"/>
      <w:marTop w:val="0"/>
      <w:marBottom w:val="0"/>
      <w:divBdr>
        <w:top w:val="none" w:sz="0" w:space="0" w:color="auto"/>
        <w:left w:val="none" w:sz="0" w:space="0" w:color="auto"/>
        <w:bottom w:val="none" w:sz="0" w:space="0" w:color="auto"/>
        <w:right w:val="none" w:sz="0" w:space="0" w:color="auto"/>
      </w:divBdr>
    </w:div>
    <w:div w:id="1906910536">
      <w:bodyDiv w:val="1"/>
      <w:marLeft w:val="0"/>
      <w:marRight w:val="0"/>
      <w:marTop w:val="0"/>
      <w:marBottom w:val="0"/>
      <w:divBdr>
        <w:top w:val="none" w:sz="0" w:space="0" w:color="auto"/>
        <w:left w:val="none" w:sz="0" w:space="0" w:color="auto"/>
        <w:bottom w:val="none" w:sz="0" w:space="0" w:color="auto"/>
        <w:right w:val="none" w:sz="0" w:space="0" w:color="auto"/>
      </w:divBdr>
    </w:div>
    <w:div w:id="1908031540">
      <w:bodyDiv w:val="1"/>
      <w:marLeft w:val="0"/>
      <w:marRight w:val="0"/>
      <w:marTop w:val="0"/>
      <w:marBottom w:val="0"/>
      <w:divBdr>
        <w:top w:val="none" w:sz="0" w:space="0" w:color="auto"/>
        <w:left w:val="none" w:sz="0" w:space="0" w:color="auto"/>
        <w:bottom w:val="none" w:sz="0" w:space="0" w:color="auto"/>
        <w:right w:val="none" w:sz="0" w:space="0" w:color="auto"/>
      </w:divBdr>
    </w:div>
    <w:div w:id="1916163111">
      <w:bodyDiv w:val="1"/>
      <w:marLeft w:val="0"/>
      <w:marRight w:val="0"/>
      <w:marTop w:val="0"/>
      <w:marBottom w:val="0"/>
      <w:divBdr>
        <w:top w:val="none" w:sz="0" w:space="0" w:color="auto"/>
        <w:left w:val="none" w:sz="0" w:space="0" w:color="auto"/>
        <w:bottom w:val="none" w:sz="0" w:space="0" w:color="auto"/>
        <w:right w:val="none" w:sz="0" w:space="0" w:color="auto"/>
      </w:divBdr>
    </w:div>
    <w:div w:id="1919556755">
      <w:bodyDiv w:val="1"/>
      <w:marLeft w:val="0"/>
      <w:marRight w:val="0"/>
      <w:marTop w:val="0"/>
      <w:marBottom w:val="0"/>
      <w:divBdr>
        <w:top w:val="none" w:sz="0" w:space="0" w:color="auto"/>
        <w:left w:val="none" w:sz="0" w:space="0" w:color="auto"/>
        <w:bottom w:val="none" w:sz="0" w:space="0" w:color="auto"/>
        <w:right w:val="none" w:sz="0" w:space="0" w:color="auto"/>
      </w:divBdr>
    </w:div>
    <w:div w:id="1963418278">
      <w:bodyDiv w:val="1"/>
      <w:marLeft w:val="0"/>
      <w:marRight w:val="0"/>
      <w:marTop w:val="0"/>
      <w:marBottom w:val="0"/>
      <w:divBdr>
        <w:top w:val="none" w:sz="0" w:space="0" w:color="auto"/>
        <w:left w:val="none" w:sz="0" w:space="0" w:color="auto"/>
        <w:bottom w:val="none" w:sz="0" w:space="0" w:color="auto"/>
        <w:right w:val="none" w:sz="0" w:space="0" w:color="auto"/>
      </w:divBdr>
    </w:div>
    <w:div w:id="1970669768">
      <w:bodyDiv w:val="1"/>
      <w:marLeft w:val="0"/>
      <w:marRight w:val="0"/>
      <w:marTop w:val="0"/>
      <w:marBottom w:val="0"/>
      <w:divBdr>
        <w:top w:val="none" w:sz="0" w:space="0" w:color="auto"/>
        <w:left w:val="none" w:sz="0" w:space="0" w:color="auto"/>
        <w:bottom w:val="none" w:sz="0" w:space="0" w:color="auto"/>
        <w:right w:val="none" w:sz="0" w:space="0" w:color="auto"/>
      </w:divBdr>
    </w:div>
    <w:div w:id="1980454176">
      <w:bodyDiv w:val="1"/>
      <w:marLeft w:val="0"/>
      <w:marRight w:val="0"/>
      <w:marTop w:val="0"/>
      <w:marBottom w:val="0"/>
      <w:divBdr>
        <w:top w:val="none" w:sz="0" w:space="0" w:color="auto"/>
        <w:left w:val="none" w:sz="0" w:space="0" w:color="auto"/>
        <w:bottom w:val="none" w:sz="0" w:space="0" w:color="auto"/>
        <w:right w:val="none" w:sz="0" w:space="0" w:color="auto"/>
      </w:divBdr>
    </w:div>
    <w:div w:id="1985700132">
      <w:bodyDiv w:val="1"/>
      <w:marLeft w:val="0"/>
      <w:marRight w:val="0"/>
      <w:marTop w:val="0"/>
      <w:marBottom w:val="0"/>
      <w:divBdr>
        <w:top w:val="none" w:sz="0" w:space="0" w:color="auto"/>
        <w:left w:val="none" w:sz="0" w:space="0" w:color="auto"/>
        <w:bottom w:val="none" w:sz="0" w:space="0" w:color="auto"/>
        <w:right w:val="none" w:sz="0" w:space="0" w:color="auto"/>
      </w:divBdr>
    </w:div>
    <w:div w:id="2026242874">
      <w:bodyDiv w:val="1"/>
      <w:marLeft w:val="0"/>
      <w:marRight w:val="0"/>
      <w:marTop w:val="0"/>
      <w:marBottom w:val="0"/>
      <w:divBdr>
        <w:top w:val="none" w:sz="0" w:space="0" w:color="auto"/>
        <w:left w:val="none" w:sz="0" w:space="0" w:color="auto"/>
        <w:bottom w:val="none" w:sz="0" w:space="0" w:color="auto"/>
        <w:right w:val="none" w:sz="0" w:space="0" w:color="auto"/>
      </w:divBdr>
    </w:div>
    <w:div w:id="2063671659">
      <w:bodyDiv w:val="1"/>
      <w:marLeft w:val="0"/>
      <w:marRight w:val="0"/>
      <w:marTop w:val="0"/>
      <w:marBottom w:val="0"/>
      <w:divBdr>
        <w:top w:val="none" w:sz="0" w:space="0" w:color="auto"/>
        <w:left w:val="none" w:sz="0" w:space="0" w:color="auto"/>
        <w:bottom w:val="none" w:sz="0" w:space="0" w:color="auto"/>
        <w:right w:val="none" w:sz="0" w:space="0" w:color="auto"/>
      </w:divBdr>
    </w:div>
    <w:div w:id="2066100638">
      <w:bodyDiv w:val="1"/>
      <w:marLeft w:val="0"/>
      <w:marRight w:val="0"/>
      <w:marTop w:val="0"/>
      <w:marBottom w:val="0"/>
      <w:divBdr>
        <w:top w:val="none" w:sz="0" w:space="0" w:color="auto"/>
        <w:left w:val="none" w:sz="0" w:space="0" w:color="auto"/>
        <w:bottom w:val="none" w:sz="0" w:space="0" w:color="auto"/>
        <w:right w:val="none" w:sz="0" w:space="0" w:color="auto"/>
      </w:divBdr>
    </w:div>
    <w:div w:id="2077433688">
      <w:bodyDiv w:val="1"/>
      <w:marLeft w:val="0"/>
      <w:marRight w:val="0"/>
      <w:marTop w:val="0"/>
      <w:marBottom w:val="0"/>
      <w:divBdr>
        <w:top w:val="none" w:sz="0" w:space="0" w:color="auto"/>
        <w:left w:val="none" w:sz="0" w:space="0" w:color="auto"/>
        <w:bottom w:val="none" w:sz="0" w:space="0" w:color="auto"/>
        <w:right w:val="none" w:sz="0" w:space="0" w:color="auto"/>
      </w:divBdr>
    </w:div>
    <w:div w:id="21044485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onsultations.health.gov.au/++preview++/technology-assessment-access-division/consultation-paper-10-general-use-items/" TargetMode="External"/><Relationship Id="rId18" Type="http://schemas.openxmlformats.org/officeDocument/2006/relationships/footer" Target="footer2.xml"/><Relationship Id="rId26" Type="http://schemas.openxmlformats.org/officeDocument/2006/relationships/header" Target="header8.xml"/><Relationship Id="rId3" Type="http://schemas.openxmlformats.org/officeDocument/2006/relationships/customXml" Target="../customXml/item3.xml"/><Relationship Id="rId21" Type="http://schemas.openxmlformats.org/officeDocument/2006/relationships/hyperlink" Target="https://www.health.gov.au/resources/publications/advice-on-bundling-arrangements-for-general-use-items-on-the-prostheses-list"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1.xm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7.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6.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hart" Target="charts/chart1.xml"/><Relationship Id="rId22" Type="http://schemas.openxmlformats.org/officeDocument/2006/relationships/hyperlink" Target="https://www.health.gov.au/resources/publications/hospital-establishment-type-by-prostheses-list-product-group"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7.xml.rels><?xml version="1.0" encoding="UTF-8" standalone="yes"?>
<Relationships xmlns="http://schemas.openxmlformats.org/package/2006/relationships"><Relationship Id="rId1" Type="http://schemas.openxmlformats.org/officeDocument/2006/relationships/image" Target="media/image1.jpe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Sheet1!$B$1</c:f>
              <c:strCache>
                <c:ptCount val="1"/>
                <c:pt idx="0">
                  <c:v>Respondents by type</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EF24-4E55-AB8E-42433206DD56}"/>
              </c:ext>
            </c:extLst>
          </c:dPt>
          <c:dPt>
            <c:idx val="1"/>
            <c:bubble3D val="0"/>
            <c:spPr>
              <a:solidFill>
                <a:schemeClr val="accent3"/>
              </a:solidFill>
              <a:ln w="19050">
                <a:solidFill>
                  <a:schemeClr val="lt1"/>
                </a:solidFill>
              </a:ln>
              <a:effectLst/>
            </c:spPr>
            <c:extLst>
              <c:ext xmlns:c16="http://schemas.microsoft.com/office/drawing/2014/chart" uri="{C3380CC4-5D6E-409C-BE32-E72D297353CC}">
                <c16:uniqueId val="{00000003-EF24-4E55-AB8E-42433206DD56}"/>
              </c:ext>
            </c:extLst>
          </c:dPt>
          <c:dPt>
            <c:idx val="2"/>
            <c:bubble3D val="0"/>
            <c:spPr>
              <a:solidFill>
                <a:schemeClr val="accent5"/>
              </a:solidFill>
              <a:ln w="19050">
                <a:solidFill>
                  <a:schemeClr val="lt1"/>
                </a:solidFill>
              </a:ln>
              <a:effectLst/>
            </c:spPr>
            <c:extLst>
              <c:ext xmlns:c16="http://schemas.microsoft.com/office/drawing/2014/chart" uri="{C3380CC4-5D6E-409C-BE32-E72D297353CC}">
                <c16:uniqueId val="{00000005-EF24-4E55-AB8E-42433206DD56}"/>
              </c:ext>
            </c:extLst>
          </c:dPt>
          <c:dPt>
            <c:idx val="3"/>
            <c:bubble3D val="0"/>
            <c:spPr>
              <a:solidFill>
                <a:schemeClr val="accent1">
                  <a:lumMod val="60000"/>
                </a:schemeClr>
              </a:solidFill>
              <a:ln w="19050">
                <a:solidFill>
                  <a:schemeClr val="lt1"/>
                </a:solidFill>
              </a:ln>
              <a:effectLst/>
            </c:spPr>
            <c:extLst>
              <c:ext xmlns:c16="http://schemas.microsoft.com/office/drawing/2014/chart" uri="{C3380CC4-5D6E-409C-BE32-E72D297353CC}">
                <c16:uniqueId val="{00000007-EF24-4E55-AB8E-42433206DD56}"/>
              </c:ext>
            </c:extLst>
          </c:dPt>
          <c:dPt>
            <c:idx val="4"/>
            <c:bubble3D val="0"/>
            <c:spPr>
              <a:solidFill>
                <a:schemeClr val="accent3">
                  <a:lumMod val="60000"/>
                </a:schemeClr>
              </a:solidFill>
              <a:ln w="19050">
                <a:solidFill>
                  <a:schemeClr val="lt1"/>
                </a:solidFill>
              </a:ln>
              <a:effectLst/>
            </c:spPr>
            <c:extLst>
              <c:ext xmlns:c16="http://schemas.microsoft.com/office/drawing/2014/chart" uri="{C3380CC4-5D6E-409C-BE32-E72D297353CC}">
                <c16:uniqueId val="{00000009-EF24-4E55-AB8E-42433206DD56}"/>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Sheet1!$A$2:$A$6</c:f>
              <c:strCache>
                <c:ptCount val="5"/>
                <c:pt idx="0">
                  <c:v>Private Hospitals</c:v>
                </c:pt>
                <c:pt idx="1">
                  <c:v>Sponsors</c:v>
                </c:pt>
                <c:pt idx="2">
                  <c:v>Health Insurers</c:v>
                </c:pt>
                <c:pt idx="3">
                  <c:v>Clinicians</c:v>
                </c:pt>
                <c:pt idx="4">
                  <c:v>Independent Consultant</c:v>
                </c:pt>
              </c:strCache>
            </c:strRef>
          </c:cat>
          <c:val>
            <c:numRef>
              <c:f>Sheet1!$B$2:$B$6</c:f>
              <c:numCache>
                <c:formatCode>General</c:formatCode>
                <c:ptCount val="5"/>
                <c:pt idx="0">
                  <c:v>9</c:v>
                </c:pt>
                <c:pt idx="1">
                  <c:v>7</c:v>
                </c:pt>
                <c:pt idx="2">
                  <c:v>3</c:v>
                </c:pt>
                <c:pt idx="3">
                  <c:v>1</c:v>
                </c:pt>
                <c:pt idx="4">
                  <c:v>1</c:v>
                </c:pt>
              </c:numCache>
            </c:numRef>
          </c:val>
          <c:extLst>
            <c:ext xmlns:c16="http://schemas.microsoft.com/office/drawing/2014/chart" uri="{C3380CC4-5D6E-409C-BE32-E72D297353CC}">
              <c16:uniqueId val="{0000000A-EF24-4E55-AB8E-42433206DD56}"/>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3C328AABD4C8E49883AF7DD40DD7927" ma:contentTypeVersion="15" ma:contentTypeDescription="Create a new document." ma:contentTypeScope="" ma:versionID="5551db9e951a4f9837f852e5caf3d125">
  <xsd:schema xmlns:xsd="http://www.w3.org/2001/XMLSchema" xmlns:xs="http://www.w3.org/2001/XMLSchema" xmlns:p="http://schemas.microsoft.com/office/2006/metadata/properties" xmlns:ns2="b216a581-5805-4dcc-9065-78091fa30ad6" xmlns:ns3="988f68dd-21f3-4c56-9965-1d76ba918335" targetNamespace="http://schemas.microsoft.com/office/2006/metadata/properties" ma:root="true" ma:fieldsID="34dafb1b1302d5407c26b2097d1fd490" ns2:_="" ns3:_="">
    <xsd:import namespace="b216a581-5805-4dcc-9065-78091fa30ad6"/>
    <xsd:import namespace="988f68dd-21f3-4c56-9965-1d76ba91833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16a581-5805-4dcc-9065-78091fa30a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88f68dd-21f3-4c56-9965-1d76ba91833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622f938-6b89-4582-9feb-19426702a369}" ma:internalName="TaxCatchAll" ma:showField="CatchAllData" ma:web="988f68dd-21f3-4c56-9965-1d76ba91833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988f68dd-21f3-4c56-9965-1d76ba918335" xsi:nil="true"/>
    <lcf76f155ced4ddcb4097134ff3c332f xmlns="b216a581-5805-4dcc-9065-78091fa30ad6">
      <Terms xmlns="http://schemas.microsoft.com/office/infopath/2007/PartnerControls"/>
    </lcf76f155ced4ddcb4097134ff3c332f>
    <SharedWithUsers xmlns="988f68dd-21f3-4c56-9965-1d76ba918335">
      <UserInfo>
        <DisplayName>PARRY, Lyndal</DisplayName>
        <AccountId>82</AccountId>
        <AccountType/>
      </UserInfo>
      <UserInfo>
        <DisplayName>BASELER, Kelly</DisplayName>
        <AccountId>62</AccountId>
        <AccountType/>
      </UserInfo>
      <UserInfo>
        <DisplayName>RODRIGUEZ DELGADO, Claudia</DisplayName>
        <AccountId>78</AccountId>
        <AccountType/>
      </UserInfo>
    </SharedWithUsers>
  </documentManagement>
</p:properties>
</file>

<file path=customXml/itemProps1.xml><?xml version="1.0" encoding="utf-8"?>
<ds:datastoreItem xmlns:ds="http://schemas.openxmlformats.org/officeDocument/2006/customXml" ds:itemID="{726A8F4A-0132-42CF-B5C0-59BB3CA634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16a581-5805-4dcc-9065-78091fa30ad6"/>
    <ds:schemaRef ds:uri="988f68dd-21f3-4c56-9965-1d76ba9183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3.xml><?xml version="1.0" encoding="utf-8"?>
<ds:datastoreItem xmlns:ds="http://schemas.openxmlformats.org/officeDocument/2006/customXml" ds:itemID="{13E15CFB-AC7F-9A4C-8B95-9BF64E567670}">
  <ds:schemaRefs>
    <ds:schemaRef ds:uri="http://schemas.openxmlformats.org/officeDocument/2006/bibliography"/>
  </ds:schemaRefs>
</ds:datastoreItem>
</file>

<file path=customXml/itemProps4.xml><?xml version="1.0" encoding="utf-8"?>
<ds:datastoreItem xmlns:ds="http://schemas.openxmlformats.org/officeDocument/2006/customXml" ds:itemID="{D20C6417-ADBB-487B-9091-DC3471F064BF}">
  <ds:schemaRefs>
    <ds:schemaRef ds:uri="http://schemas.microsoft.com/office/2006/metadata/properties"/>
    <ds:schemaRef ds:uri="http://schemas.microsoft.com/office/infopath/2007/PartnerControls"/>
    <ds:schemaRef ds:uri="988f68dd-21f3-4c56-9965-1d76ba918335"/>
    <ds:schemaRef ds:uri="b216a581-5805-4dcc-9065-78091fa30ad6"/>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17</Pages>
  <Words>3722</Words>
  <Characters>21217</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Consultation Paper 10 – General use items utilisation, expenditure and integrity</vt:lpstr>
    </vt:vector>
  </TitlesOfParts>
  <Company/>
  <LinksUpToDate>false</LinksUpToDate>
  <CharactersWithSpaces>24890</CharactersWithSpaces>
  <SharedDoc>false</SharedDoc>
  <HLinks>
    <vt:vector size="684" baseType="variant">
      <vt:variant>
        <vt:i4>2752623</vt:i4>
      </vt:variant>
      <vt:variant>
        <vt:i4>564</vt:i4>
      </vt:variant>
      <vt:variant>
        <vt:i4>0</vt:i4>
      </vt:variant>
      <vt:variant>
        <vt:i4>5</vt:i4>
      </vt:variant>
      <vt:variant>
        <vt:lpwstr>http://www.msac.gov.au/internet/msac/publishing.nsf/Content/MSAC-Guidelines</vt:lpwstr>
      </vt:variant>
      <vt:variant>
        <vt:lpwstr/>
      </vt:variant>
      <vt:variant>
        <vt:i4>4784214</vt:i4>
      </vt:variant>
      <vt:variant>
        <vt:i4>561</vt:i4>
      </vt:variant>
      <vt:variant>
        <vt:i4>0</vt:i4>
      </vt:variant>
      <vt:variant>
        <vt:i4>5</vt:i4>
      </vt:variant>
      <vt:variant>
        <vt:lpwstr/>
      </vt:variant>
      <vt:variant>
        <vt:lpwstr>_Appendix_A</vt:lpwstr>
      </vt:variant>
      <vt:variant>
        <vt:i4>3080300</vt:i4>
      </vt:variant>
      <vt:variant>
        <vt:i4>558</vt:i4>
      </vt:variant>
      <vt:variant>
        <vt:i4>0</vt:i4>
      </vt:variant>
      <vt:variant>
        <vt:i4>5</vt:i4>
      </vt:variant>
      <vt:variant>
        <vt:lpwstr>https://www.nhmrc.gov.au/guidelines</vt:lpwstr>
      </vt:variant>
      <vt:variant>
        <vt:lpwstr/>
      </vt:variant>
      <vt:variant>
        <vt:i4>2752623</vt:i4>
      </vt:variant>
      <vt:variant>
        <vt:i4>555</vt:i4>
      </vt:variant>
      <vt:variant>
        <vt:i4>0</vt:i4>
      </vt:variant>
      <vt:variant>
        <vt:i4>5</vt:i4>
      </vt:variant>
      <vt:variant>
        <vt:lpwstr>http://www.msac.gov.au/internet/msac/publishing.nsf/Content/MSAC-Guidelines</vt:lpwstr>
      </vt:variant>
      <vt:variant>
        <vt:lpwstr/>
      </vt:variant>
      <vt:variant>
        <vt:i4>3997744</vt:i4>
      </vt:variant>
      <vt:variant>
        <vt:i4>552</vt:i4>
      </vt:variant>
      <vt:variant>
        <vt:i4>0</vt:i4>
      </vt:variant>
      <vt:variant>
        <vt:i4>5</vt:i4>
      </vt:variant>
      <vt:variant>
        <vt:lpwstr>http://www.msac.gov.au/</vt:lpwstr>
      </vt:variant>
      <vt:variant>
        <vt:lpwstr/>
      </vt:variant>
      <vt:variant>
        <vt:i4>7733320</vt:i4>
      </vt:variant>
      <vt:variant>
        <vt:i4>549</vt:i4>
      </vt:variant>
      <vt:variant>
        <vt:i4>0</vt:i4>
      </vt:variant>
      <vt:variant>
        <vt:i4>5</vt:i4>
      </vt:variant>
      <vt:variant>
        <vt:lpwstr/>
      </vt:variant>
      <vt:variant>
        <vt:lpwstr>_Tier_2:_Clinical</vt:lpwstr>
      </vt:variant>
      <vt:variant>
        <vt:i4>4784214</vt:i4>
      </vt:variant>
      <vt:variant>
        <vt:i4>546</vt:i4>
      </vt:variant>
      <vt:variant>
        <vt:i4>0</vt:i4>
      </vt:variant>
      <vt:variant>
        <vt:i4>5</vt:i4>
      </vt:variant>
      <vt:variant>
        <vt:lpwstr/>
      </vt:variant>
      <vt:variant>
        <vt:lpwstr>_Appendix_B</vt:lpwstr>
      </vt:variant>
      <vt:variant>
        <vt:i4>7274587</vt:i4>
      </vt:variant>
      <vt:variant>
        <vt:i4>543</vt:i4>
      </vt:variant>
      <vt:variant>
        <vt:i4>0</vt:i4>
      </vt:variant>
      <vt:variant>
        <vt:i4>5</vt:i4>
      </vt:variant>
      <vt:variant>
        <vt:lpwstr/>
      </vt:variant>
      <vt:variant>
        <vt:lpwstr>_Clinical_and_Economic</vt:lpwstr>
      </vt:variant>
      <vt:variant>
        <vt:i4>4391019</vt:i4>
      </vt:variant>
      <vt:variant>
        <vt:i4>540</vt:i4>
      </vt:variant>
      <vt:variant>
        <vt:i4>0</vt:i4>
      </vt:variant>
      <vt:variant>
        <vt:i4>5</vt:i4>
      </vt:variant>
      <vt:variant>
        <vt:lpwstr/>
      </vt:variant>
      <vt:variant>
        <vt:lpwstr>_Cost_recovery_levy</vt:lpwstr>
      </vt:variant>
      <vt:variant>
        <vt:i4>3997744</vt:i4>
      </vt:variant>
      <vt:variant>
        <vt:i4>537</vt:i4>
      </vt:variant>
      <vt:variant>
        <vt:i4>0</vt:i4>
      </vt:variant>
      <vt:variant>
        <vt:i4>5</vt:i4>
      </vt:variant>
      <vt:variant>
        <vt:lpwstr>http://www.msac.gov.au/</vt:lpwstr>
      </vt:variant>
      <vt:variant>
        <vt:lpwstr/>
      </vt:variant>
      <vt:variant>
        <vt:i4>5636173</vt:i4>
      </vt:variant>
      <vt:variant>
        <vt:i4>534</vt:i4>
      </vt:variant>
      <vt:variant>
        <vt:i4>0</vt:i4>
      </vt:variant>
      <vt:variant>
        <vt:i4>5</vt:i4>
      </vt:variant>
      <vt:variant>
        <vt:lpwstr/>
      </vt:variant>
      <vt:variant>
        <vt:lpwstr>_Comparator_details</vt:lpwstr>
      </vt:variant>
      <vt:variant>
        <vt:i4>4784214</vt:i4>
      </vt:variant>
      <vt:variant>
        <vt:i4>531</vt:i4>
      </vt:variant>
      <vt:variant>
        <vt:i4>0</vt:i4>
      </vt:variant>
      <vt:variant>
        <vt:i4>5</vt:i4>
      </vt:variant>
      <vt:variant>
        <vt:lpwstr/>
      </vt:variant>
      <vt:variant>
        <vt:lpwstr>_Appendix_B</vt:lpwstr>
      </vt:variant>
      <vt:variant>
        <vt:i4>4784214</vt:i4>
      </vt:variant>
      <vt:variant>
        <vt:i4>528</vt:i4>
      </vt:variant>
      <vt:variant>
        <vt:i4>0</vt:i4>
      </vt:variant>
      <vt:variant>
        <vt:i4>5</vt:i4>
      </vt:variant>
      <vt:variant>
        <vt:lpwstr/>
      </vt:variant>
      <vt:variant>
        <vt:lpwstr>_Appendix_B</vt:lpwstr>
      </vt:variant>
      <vt:variant>
        <vt:i4>1703986</vt:i4>
      </vt:variant>
      <vt:variant>
        <vt:i4>525</vt:i4>
      </vt:variant>
      <vt:variant>
        <vt:i4>0</vt:i4>
      </vt:variant>
      <vt:variant>
        <vt:i4>5</vt:i4>
      </vt:variant>
      <vt:variant>
        <vt:lpwstr/>
      </vt:variant>
      <vt:variant>
        <vt:lpwstr>_Chapter_6:_Information</vt:lpwstr>
      </vt:variant>
      <vt:variant>
        <vt:i4>3211366</vt:i4>
      </vt:variant>
      <vt:variant>
        <vt:i4>522</vt:i4>
      </vt:variant>
      <vt:variant>
        <vt:i4>0</vt:i4>
      </vt:variant>
      <vt:variant>
        <vt:i4>5</vt:i4>
      </vt:variant>
      <vt:variant>
        <vt:lpwstr>https://www.health.gov.au/topics/private-health-insurance/the-prostheses-list/the-prostheses-list-reforms?language=und</vt:lpwstr>
      </vt:variant>
      <vt:variant>
        <vt:lpwstr/>
      </vt:variant>
      <vt:variant>
        <vt:i4>3670063</vt:i4>
      </vt:variant>
      <vt:variant>
        <vt:i4>519</vt:i4>
      </vt:variant>
      <vt:variant>
        <vt:i4>0</vt:i4>
      </vt:variant>
      <vt:variant>
        <vt:i4>5</vt:i4>
      </vt:variant>
      <vt:variant>
        <vt:lpwstr>https://www.health.gov.au/resources/videos/changes-to-the-prostheses-list-timeframes-202324</vt:lpwstr>
      </vt:variant>
      <vt:variant>
        <vt:lpwstr/>
      </vt:variant>
      <vt:variant>
        <vt:i4>7405631</vt:i4>
      </vt:variant>
      <vt:variant>
        <vt:i4>516</vt:i4>
      </vt:variant>
      <vt:variant>
        <vt:i4>0</vt:i4>
      </vt:variant>
      <vt:variant>
        <vt:i4>5</vt:i4>
      </vt:variant>
      <vt:variant>
        <vt:lpwstr>https://hpp.health.gov.au/</vt:lpwstr>
      </vt:variant>
      <vt:variant>
        <vt:lpwstr/>
      </vt:variant>
      <vt:variant>
        <vt:i4>5439572</vt:i4>
      </vt:variant>
      <vt:variant>
        <vt:i4>513</vt:i4>
      </vt:variant>
      <vt:variant>
        <vt:i4>0</vt:i4>
      </vt:variant>
      <vt:variant>
        <vt:i4>5</vt:i4>
      </vt:variant>
      <vt:variant>
        <vt:lpwstr>https://www.health.gov.au/resources/publications/cost-recovery-implementation-statement-2023-2024?language=en</vt:lpwstr>
      </vt:variant>
      <vt:variant>
        <vt:lpwstr/>
      </vt:variant>
      <vt:variant>
        <vt:i4>8257629</vt:i4>
      </vt:variant>
      <vt:variant>
        <vt:i4>510</vt:i4>
      </vt:variant>
      <vt:variant>
        <vt:i4>0</vt:i4>
      </vt:variant>
      <vt:variant>
        <vt:i4>5</vt:i4>
      </vt:variant>
      <vt:variant>
        <vt:lpwstr/>
      </vt:variant>
      <vt:variant>
        <vt:lpwstr>_Tier_3:_Full</vt:lpwstr>
      </vt:variant>
      <vt:variant>
        <vt:i4>5439572</vt:i4>
      </vt:variant>
      <vt:variant>
        <vt:i4>507</vt:i4>
      </vt:variant>
      <vt:variant>
        <vt:i4>0</vt:i4>
      </vt:variant>
      <vt:variant>
        <vt:i4>5</vt:i4>
      </vt:variant>
      <vt:variant>
        <vt:lpwstr>https://www.health.gov.au/resources/publications/cost-recovery-implementation-statement-2023-2024?language=en</vt:lpwstr>
      </vt:variant>
      <vt:variant>
        <vt:lpwstr/>
      </vt:variant>
      <vt:variant>
        <vt:i4>5832826</vt:i4>
      </vt:variant>
      <vt:variant>
        <vt:i4>504</vt:i4>
      </vt:variant>
      <vt:variant>
        <vt:i4>0</vt:i4>
      </vt:variant>
      <vt:variant>
        <vt:i4>5</vt:i4>
      </vt:variant>
      <vt:variant>
        <vt:lpwstr/>
      </vt:variant>
      <vt:variant>
        <vt:lpwstr>_Assessment_of_Part</vt:lpwstr>
      </vt:variant>
      <vt:variant>
        <vt:i4>5439572</vt:i4>
      </vt:variant>
      <vt:variant>
        <vt:i4>501</vt:i4>
      </vt:variant>
      <vt:variant>
        <vt:i4>0</vt:i4>
      </vt:variant>
      <vt:variant>
        <vt:i4>5</vt:i4>
      </vt:variant>
      <vt:variant>
        <vt:lpwstr>https://www.health.gov.au/resources/publications/cost-recovery-implementation-statement-2023-2024?language=en</vt:lpwstr>
      </vt:variant>
      <vt:variant>
        <vt:lpwstr/>
      </vt:variant>
      <vt:variant>
        <vt:i4>7340107</vt:i4>
      </vt:variant>
      <vt:variant>
        <vt:i4>498</vt:i4>
      </vt:variant>
      <vt:variant>
        <vt:i4>0</vt:i4>
      </vt:variant>
      <vt:variant>
        <vt:i4>5</vt:i4>
      </vt:variant>
      <vt:variant>
        <vt:lpwstr/>
      </vt:variant>
      <vt:variant>
        <vt:lpwstr>_Tier_1:_Departmental</vt:lpwstr>
      </vt:variant>
      <vt:variant>
        <vt:i4>7798819</vt:i4>
      </vt:variant>
      <vt:variant>
        <vt:i4>495</vt:i4>
      </vt:variant>
      <vt:variant>
        <vt:i4>0</vt:i4>
      </vt:variant>
      <vt:variant>
        <vt:i4>5</vt:i4>
      </vt:variant>
      <vt:variant>
        <vt:lpwstr>https://www.legislation.gov.au/Details/F2023L00796</vt:lpwstr>
      </vt:variant>
      <vt:variant>
        <vt:lpwstr/>
      </vt:variant>
      <vt:variant>
        <vt:i4>4456522</vt:i4>
      </vt:variant>
      <vt:variant>
        <vt:i4>492</vt:i4>
      </vt:variant>
      <vt:variant>
        <vt:i4>0</vt:i4>
      </vt:variant>
      <vt:variant>
        <vt:i4>5</vt:i4>
      </vt:variant>
      <vt:variant>
        <vt:lpwstr>https://www.tga.gov.au/resources/artg</vt:lpwstr>
      </vt:variant>
      <vt:variant>
        <vt:lpwstr/>
      </vt:variant>
      <vt:variant>
        <vt:i4>5111899</vt:i4>
      </vt:variant>
      <vt:variant>
        <vt:i4>489</vt:i4>
      </vt:variant>
      <vt:variant>
        <vt:i4>0</vt:i4>
      </vt:variant>
      <vt:variant>
        <vt:i4>5</vt:i4>
      </vt:variant>
      <vt:variant>
        <vt:lpwstr>https://www.health.gov.au/resources/publications/prostheses-list-compliance-strategy-safeguarding-the-prostheses-list</vt:lpwstr>
      </vt:variant>
      <vt:variant>
        <vt:lpwstr/>
      </vt:variant>
      <vt:variant>
        <vt:i4>3670092</vt:i4>
      </vt:variant>
      <vt:variant>
        <vt:i4>486</vt:i4>
      </vt:variant>
      <vt:variant>
        <vt:i4>0</vt:i4>
      </vt:variant>
      <vt:variant>
        <vt:i4>5</vt:i4>
      </vt:variant>
      <vt:variant>
        <vt:lpwstr>mailto:prosthesescompliance@health.gov.au</vt:lpwstr>
      </vt:variant>
      <vt:variant>
        <vt:lpwstr/>
      </vt:variant>
      <vt:variant>
        <vt:i4>6291574</vt:i4>
      </vt:variant>
      <vt:variant>
        <vt:i4>483</vt:i4>
      </vt:variant>
      <vt:variant>
        <vt:i4>0</vt:i4>
      </vt:variant>
      <vt:variant>
        <vt:i4>5</vt:i4>
      </vt:variant>
      <vt:variant>
        <vt:lpwstr>https://www.health.gov.au/resources/publications/prostheses-list-post-listing-review-framework</vt:lpwstr>
      </vt:variant>
      <vt:variant>
        <vt:lpwstr/>
      </vt:variant>
      <vt:variant>
        <vt:i4>3538981</vt:i4>
      </vt:variant>
      <vt:variant>
        <vt:i4>480</vt:i4>
      </vt:variant>
      <vt:variant>
        <vt:i4>0</vt:i4>
      </vt:variant>
      <vt:variant>
        <vt:i4>5</vt:i4>
      </vt:variant>
      <vt:variant>
        <vt:lpwstr/>
      </vt:variant>
      <vt:variant>
        <vt:lpwstr>_Parallel_process</vt:lpwstr>
      </vt:variant>
      <vt:variant>
        <vt:i4>3997744</vt:i4>
      </vt:variant>
      <vt:variant>
        <vt:i4>477</vt:i4>
      </vt:variant>
      <vt:variant>
        <vt:i4>0</vt:i4>
      </vt:variant>
      <vt:variant>
        <vt:i4>5</vt:i4>
      </vt:variant>
      <vt:variant>
        <vt:lpwstr>http://www.msac.gov.au/</vt:lpwstr>
      </vt:variant>
      <vt:variant>
        <vt:lpwstr/>
      </vt:variant>
      <vt:variant>
        <vt:i4>1114146</vt:i4>
      </vt:variant>
      <vt:variant>
        <vt:i4>474</vt:i4>
      </vt:variant>
      <vt:variant>
        <vt:i4>0</vt:i4>
      </vt:variant>
      <vt:variant>
        <vt:i4>5</vt:i4>
      </vt:variant>
      <vt:variant>
        <vt:lpwstr/>
      </vt:variant>
      <vt:variant>
        <vt:lpwstr>_PART_2:_TECHNICAL</vt:lpwstr>
      </vt:variant>
      <vt:variant>
        <vt:i4>1114146</vt:i4>
      </vt:variant>
      <vt:variant>
        <vt:i4>471</vt:i4>
      </vt:variant>
      <vt:variant>
        <vt:i4>0</vt:i4>
      </vt:variant>
      <vt:variant>
        <vt:i4>5</vt:i4>
      </vt:variant>
      <vt:variant>
        <vt:lpwstr/>
      </vt:variant>
      <vt:variant>
        <vt:lpwstr>_PART_2:_TECHNICAL</vt:lpwstr>
      </vt:variant>
      <vt:variant>
        <vt:i4>5832826</vt:i4>
      </vt:variant>
      <vt:variant>
        <vt:i4>468</vt:i4>
      </vt:variant>
      <vt:variant>
        <vt:i4>0</vt:i4>
      </vt:variant>
      <vt:variant>
        <vt:i4>5</vt:i4>
      </vt:variant>
      <vt:variant>
        <vt:lpwstr/>
      </vt:variant>
      <vt:variant>
        <vt:lpwstr>_Assessment_of_Part</vt:lpwstr>
      </vt:variant>
      <vt:variant>
        <vt:i4>7798819</vt:i4>
      </vt:variant>
      <vt:variant>
        <vt:i4>465</vt:i4>
      </vt:variant>
      <vt:variant>
        <vt:i4>0</vt:i4>
      </vt:variant>
      <vt:variant>
        <vt:i4>5</vt:i4>
      </vt:variant>
      <vt:variant>
        <vt:lpwstr>https://www.legislation.gov.au/Details/F2023L00796</vt:lpwstr>
      </vt:variant>
      <vt:variant>
        <vt:lpwstr/>
      </vt:variant>
      <vt:variant>
        <vt:i4>1507379</vt:i4>
      </vt:variant>
      <vt:variant>
        <vt:i4>462</vt:i4>
      </vt:variant>
      <vt:variant>
        <vt:i4>0</vt:i4>
      </vt:variant>
      <vt:variant>
        <vt:i4>5</vt:i4>
      </vt:variant>
      <vt:variant>
        <vt:lpwstr/>
      </vt:variant>
      <vt:variant>
        <vt:lpwstr>_Ministerial_decisions_on</vt:lpwstr>
      </vt:variant>
      <vt:variant>
        <vt:i4>7798819</vt:i4>
      </vt:variant>
      <vt:variant>
        <vt:i4>459</vt:i4>
      </vt:variant>
      <vt:variant>
        <vt:i4>0</vt:i4>
      </vt:variant>
      <vt:variant>
        <vt:i4>5</vt:i4>
      </vt:variant>
      <vt:variant>
        <vt:lpwstr>https://www.legislation.gov.au/Details/F2023L00796</vt:lpwstr>
      </vt:variant>
      <vt:variant>
        <vt:lpwstr/>
      </vt:variant>
      <vt:variant>
        <vt:i4>8257575</vt:i4>
      </vt:variant>
      <vt:variant>
        <vt:i4>456</vt:i4>
      </vt:variant>
      <vt:variant>
        <vt:i4>0</vt:i4>
      </vt:variant>
      <vt:variant>
        <vt:i4>5</vt:i4>
      </vt:variant>
      <vt:variant>
        <vt:lpwstr>https://www.legislation.gov.au/Details/C2016C00911</vt:lpwstr>
      </vt:variant>
      <vt:variant>
        <vt:lpwstr/>
      </vt:variant>
      <vt:variant>
        <vt:i4>4063318</vt:i4>
      </vt:variant>
      <vt:variant>
        <vt:i4>453</vt:i4>
      </vt:variant>
      <vt:variant>
        <vt:i4>0</vt:i4>
      </vt:variant>
      <vt:variant>
        <vt:i4>5</vt:i4>
      </vt:variant>
      <vt:variant>
        <vt:lpwstr>mailto:prosthesesreform@health.gov.au</vt:lpwstr>
      </vt:variant>
      <vt:variant>
        <vt:lpwstr/>
      </vt:variant>
      <vt:variant>
        <vt:i4>7405631</vt:i4>
      </vt:variant>
      <vt:variant>
        <vt:i4>450</vt:i4>
      </vt:variant>
      <vt:variant>
        <vt:i4>0</vt:i4>
      </vt:variant>
      <vt:variant>
        <vt:i4>5</vt:i4>
      </vt:variant>
      <vt:variant>
        <vt:lpwstr>https://hpp.health.gov.au/</vt:lpwstr>
      </vt:variant>
      <vt:variant>
        <vt:lpwstr/>
      </vt:variant>
      <vt:variant>
        <vt:i4>3997744</vt:i4>
      </vt:variant>
      <vt:variant>
        <vt:i4>447</vt:i4>
      </vt:variant>
      <vt:variant>
        <vt:i4>0</vt:i4>
      </vt:variant>
      <vt:variant>
        <vt:i4>5</vt:i4>
      </vt:variant>
      <vt:variant>
        <vt:lpwstr>http://www.msac.gov.au/</vt:lpwstr>
      </vt:variant>
      <vt:variant>
        <vt:lpwstr/>
      </vt:variant>
      <vt:variant>
        <vt:i4>1572922</vt:i4>
      </vt:variant>
      <vt:variant>
        <vt:i4>440</vt:i4>
      </vt:variant>
      <vt:variant>
        <vt:i4>0</vt:i4>
      </vt:variant>
      <vt:variant>
        <vt:i4>5</vt:i4>
      </vt:variant>
      <vt:variant>
        <vt:lpwstr/>
      </vt:variant>
      <vt:variant>
        <vt:lpwstr>_Toc138945700</vt:lpwstr>
      </vt:variant>
      <vt:variant>
        <vt:i4>1114171</vt:i4>
      </vt:variant>
      <vt:variant>
        <vt:i4>434</vt:i4>
      </vt:variant>
      <vt:variant>
        <vt:i4>0</vt:i4>
      </vt:variant>
      <vt:variant>
        <vt:i4>5</vt:i4>
      </vt:variant>
      <vt:variant>
        <vt:lpwstr/>
      </vt:variant>
      <vt:variant>
        <vt:lpwstr>_Toc138945699</vt:lpwstr>
      </vt:variant>
      <vt:variant>
        <vt:i4>1114171</vt:i4>
      </vt:variant>
      <vt:variant>
        <vt:i4>428</vt:i4>
      </vt:variant>
      <vt:variant>
        <vt:i4>0</vt:i4>
      </vt:variant>
      <vt:variant>
        <vt:i4>5</vt:i4>
      </vt:variant>
      <vt:variant>
        <vt:lpwstr/>
      </vt:variant>
      <vt:variant>
        <vt:lpwstr>_Toc138945698</vt:lpwstr>
      </vt:variant>
      <vt:variant>
        <vt:i4>1114171</vt:i4>
      </vt:variant>
      <vt:variant>
        <vt:i4>422</vt:i4>
      </vt:variant>
      <vt:variant>
        <vt:i4>0</vt:i4>
      </vt:variant>
      <vt:variant>
        <vt:i4>5</vt:i4>
      </vt:variant>
      <vt:variant>
        <vt:lpwstr/>
      </vt:variant>
      <vt:variant>
        <vt:lpwstr>_Toc138945697</vt:lpwstr>
      </vt:variant>
      <vt:variant>
        <vt:i4>1114171</vt:i4>
      </vt:variant>
      <vt:variant>
        <vt:i4>416</vt:i4>
      </vt:variant>
      <vt:variant>
        <vt:i4>0</vt:i4>
      </vt:variant>
      <vt:variant>
        <vt:i4>5</vt:i4>
      </vt:variant>
      <vt:variant>
        <vt:lpwstr/>
      </vt:variant>
      <vt:variant>
        <vt:lpwstr>_Toc138945696</vt:lpwstr>
      </vt:variant>
      <vt:variant>
        <vt:i4>1114171</vt:i4>
      </vt:variant>
      <vt:variant>
        <vt:i4>410</vt:i4>
      </vt:variant>
      <vt:variant>
        <vt:i4>0</vt:i4>
      </vt:variant>
      <vt:variant>
        <vt:i4>5</vt:i4>
      </vt:variant>
      <vt:variant>
        <vt:lpwstr/>
      </vt:variant>
      <vt:variant>
        <vt:lpwstr>_Toc138945695</vt:lpwstr>
      </vt:variant>
      <vt:variant>
        <vt:i4>1114171</vt:i4>
      </vt:variant>
      <vt:variant>
        <vt:i4>404</vt:i4>
      </vt:variant>
      <vt:variant>
        <vt:i4>0</vt:i4>
      </vt:variant>
      <vt:variant>
        <vt:i4>5</vt:i4>
      </vt:variant>
      <vt:variant>
        <vt:lpwstr/>
      </vt:variant>
      <vt:variant>
        <vt:lpwstr>_Toc138945694</vt:lpwstr>
      </vt:variant>
      <vt:variant>
        <vt:i4>1114171</vt:i4>
      </vt:variant>
      <vt:variant>
        <vt:i4>398</vt:i4>
      </vt:variant>
      <vt:variant>
        <vt:i4>0</vt:i4>
      </vt:variant>
      <vt:variant>
        <vt:i4>5</vt:i4>
      </vt:variant>
      <vt:variant>
        <vt:lpwstr/>
      </vt:variant>
      <vt:variant>
        <vt:lpwstr>_Toc138945693</vt:lpwstr>
      </vt:variant>
      <vt:variant>
        <vt:i4>1114171</vt:i4>
      </vt:variant>
      <vt:variant>
        <vt:i4>392</vt:i4>
      </vt:variant>
      <vt:variant>
        <vt:i4>0</vt:i4>
      </vt:variant>
      <vt:variant>
        <vt:i4>5</vt:i4>
      </vt:variant>
      <vt:variant>
        <vt:lpwstr/>
      </vt:variant>
      <vt:variant>
        <vt:lpwstr>_Toc138945692</vt:lpwstr>
      </vt:variant>
      <vt:variant>
        <vt:i4>1114171</vt:i4>
      </vt:variant>
      <vt:variant>
        <vt:i4>386</vt:i4>
      </vt:variant>
      <vt:variant>
        <vt:i4>0</vt:i4>
      </vt:variant>
      <vt:variant>
        <vt:i4>5</vt:i4>
      </vt:variant>
      <vt:variant>
        <vt:lpwstr/>
      </vt:variant>
      <vt:variant>
        <vt:lpwstr>_Toc138945691</vt:lpwstr>
      </vt:variant>
      <vt:variant>
        <vt:i4>1114171</vt:i4>
      </vt:variant>
      <vt:variant>
        <vt:i4>380</vt:i4>
      </vt:variant>
      <vt:variant>
        <vt:i4>0</vt:i4>
      </vt:variant>
      <vt:variant>
        <vt:i4>5</vt:i4>
      </vt:variant>
      <vt:variant>
        <vt:lpwstr/>
      </vt:variant>
      <vt:variant>
        <vt:lpwstr>_Toc138945690</vt:lpwstr>
      </vt:variant>
      <vt:variant>
        <vt:i4>1048635</vt:i4>
      </vt:variant>
      <vt:variant>
        <vt:i4>374</vt:i4>
      </vt:variant>
      <vt:variant>
        <vt:i4>0</vt:i4>
      </vt:variant>
      <vt:variant>
        <vt:i4>5</vt:i4>
      </vt:variant>
      <vt:variant>
        <vt:lpwstr/>
      </vt:variant>
      <vt:variant>
        <vt:lpwstr>_Toc138945689</vt:lpwstr>
      </vt:variant>
      <vt:variant>
        <vt:i4>1048635</vt:i4>
      </vt:variant>
      <vt:variant>
        <vt:i4>368</vt:i4>
      </vt:variant>
      <vt:variant>
        <vt:i4>0</vt:i4>
      </vt:variant>
      <vt:variant>
        <vt:i4>5</vt:i4>
      </vt:variant>
      <vt:variant>
        <vt:lpwstr/>
      </vt:variant>
      <vt:variant>
        <vt:lpwstr>_Toc138945688</vt:lpwstr>
      </vt:variant>
      <vt:variant>
        <vt:i4>1048635</vt:i4>
      </vt:variant>
      <vt:variant>
        <vt:i4>362</vt:i4>
      </vt:variant>
      <vt:variant>
        <vt:i4>0</vt:i4>
      </vt:variant>
      <vt:variant>
        <vt:i4>5</vt:i4>
      </vt:variant>
      <vt:variant>
        <vt:lpwstr/>
      </vt:variant>
      <vt:variant>
        <vt:lpwstr>_Toc138945687</vt:lpwstr>
      </vt:variant>
      <vt:variant>
        <vt:i4>1048635</vt:i4>
      </vt:variant>
      <vt:variant>
        <vt:i4>356</vt:i4>
      </vt:variant>
      <vt:variant>
        <vt:i4>0</vt:i4>
      </vt:variant>
      <vt:variant>
        <vt:i4>5</vt:i4>
      </vt:variant>
      <vt:variant>
        <vt:lpwstr/>
      </vt:variant>
      <vt:variant>
        <vt:lpwstr>_Toc138945686</vt:lpwstr>
      </vt:variant>
      <vt:variant>
        <vt:i4>1048635</vt:i4>
      </vt:variant>
      <vt:variant>
        <vt:i4>350</vt:i4>
      </vt:variant>
      <vt:variant>
        <vt:i4>0</vt:i4>
      </vt:variant>
      <vt:variant>
        <vt:i4>5</vt:i4>
      </vt:variant>
      <vt:variant>
        <vt:lpwstr/>
      </vt:variant>
      <vt:variant>
        <vt:lpwstr>_Toc138945685</vt:lpwstr>
      </vt:variant>
      <vt:variant>
        <vt:i4>1048635</vt:i4>
      </vt:variant>
      <vt:variant>
        <vt:i4>344</vt:i4>
      </vt:variant>
      <vt:variant>
        <vt:i4>0</vt:i4>
      </vt:variant>
      <vt:variant>
        <vt:i4>5</vt:i4>
      </vt:variant>
      <vt:variant>
        <vt:lpwstr/>
      </vt:variant>
      <vt:variant>
        <vt:lpwstr>_Toc138945684</vt:lpwstr>
      </vt:variant>
      <vt:variant>
        <vt:i4>1048635</vt:i4>
      </vt:variant>
      <vt:variant>
        <vt:i4>338</vt:i4>
      </vt:variant>
      <vt:variant>
        <vt:i4>0</vt:i4>
      </vt:variant>
      <vt:variant>
        <vt:i4>5</vt:i4>
      </vt:variant>
      <vt:variant>
        <vt:lpwstr/>
      </vt:variant>
      <vt:variant>
        <vt:lpwstr>_Toc138945683</vt:lpwstr>
      </vt:variant>
      <vt:variant>
        <vt:i4>1048635</vt:i4>
      </vt:variant>
      <vt:variant>
        <vt:i4>332</vt:i4>
      </vt:variant>
      <vt:variant>
        <vt:i4>0</vt:i4>
      </vt:variant>
      <vt:variant>
        <vt:i4>5</vt:i4>
      </vt:variant>
      <vt:variant>
        <vt:lpwstr/>
      </vt:variant>
      <vt:variant>
        <vt:lpwstr>_Toc138945682</vt:lpwstr>
      </vt:variant>
      <vt:variant>
        <vt:i4>1048635</vt:i4>
      </vt:variant>
      <vt:variant>
        <vt:i4>326</vt:i4>
      </vt:variant>
      <vt:variant>
        <vt:i4>0</vt:i4>
      </vt:variant>
      <vt:variant>
        <vt:i4>5</vt:i4>
      </vt:variant>
      <vt:variant>
        <vt:lpwstr/>
      </vt:variant>
      <vt:variant>
        <vt:lpwstr>_Toc138945681</vt:lpwstr>
      </vt:variant>
      <vt:variant>
        <vt:i4>1048635</vt:i4>
      </vt:variant>
      <vt:variant>
        <vt:i4>320</vt:i4>
      </vt:variant>
      <vt:variant>
        <vt:i4>0</vt:i4>
      </vt:variant>
      <vt:variant>
        <vt:i4>5</vt:i4>
      </vt:variant>
      <vt:variant>
        <vt:lpwstr/>
      </vt:variant>
      <vt:variant>
        <vt:lpwstr>_Toc138945680</vt:lpwstr>
      </vt:variant>
      <vt:variant>
        <vt:i4>2031675</vt:i4>
      </vt:variant>
      <vt:variant>
        <vt:i4>314</vt:i4>
      </vt:variant>
      <vt:variant>
        <vt:i4>0</vt:i4>
      </vt:variant>
      <vt:variant>
        <vt:i4>5</vt:i4>
      </vt:variant>
      <vt:variant>
        <vt:lpwstr/>
      </vt:variant>
      <vt:variant>
        <vt:lpwstr>_Toc138945679</vt:lpwstr>
      </vt:variant>
      <vt:variant>
        <vt:i4>2031675</vt:i4>
      </vt:variant>
      <vt:variant>
        <vt:i4>308</vt:i4>
      </vt:variant>
      <vt:variant>
        <vt:i4>0</vt:i4>
      </vt:variant>
      <vt:variant>
        <vt:i4>5</vt:i4>
      </vt:variant>
      <vt:variant>
        <vt:lpwstr/>
      </vt:variant>
      <vt:variant>
        <vt:lpwstr>_Toc138945678</vt:lpwstr>
      </vt:variant>
      <vt:variant>
        <vt:i4>2031675</vt:i4>
      </vt:variant>
      <vt:variant>
        <vt:i4>302</vt:i4>
      </vt:variant>
      <vt:variant>
        <vt:i4>0</vt:i4>
      </vt:variant>
      <vt:variant>
        <vt:i4>5</vt:i4>
      </vt:variant>
      <vt:variant>
        <vt:lpwstr/>
      </vt:variant>
      <vt:variant>
        <vt:lpwstr>_Toc138945677</vt:lpwstr>
      </vt:variant>
      <vt:variant>
        <vt:i4>2031675</vt:i4>
      </vt:variant>
      <vt:variant>
        <vt:i4>296</vt:i4>
      </vt:variant>
      <vt:variant>
        <vt:i4>0</vt:i4>
      </vt:variant>
      <vt:variant>
        <vt:i4>5</vt:i4>
      </vt:variant>
      <vt:variant>
        <vt:lpwstr/>
      </vt:variant>
      <vt:variant>
        <vt:lpwstr>_Toc138945676</vt:lpwstr>
      </vt:variant>
      <vt:variant>
        <vt:i4>2031675</vt:i4>
      </vt:variant>
      <vt:variant>
        <vt:i4>290</vt:i4>
      </vt:variant>
      <vt:variant>
        <vt:i4>0</vt:i4>
      </vt:variant>
      <vt:variant>
        <vt:i4>5</vt:i4>
      </vt:variant>
      <vt:variant>
        <vt:lpwstr/>
      </vt:variant>
      <vt:variant>
        <vt:lpwstr>_Toc138945675</vt:lpwstr>
      </vt:variant>
      <vt:variant>
        <vt:i4>2031675</vt:i4>
      </vt:variant>
      <vt:variant>
        <vt:i4>284</vt:i4>
      </vt:variant>
      <vt:variant>
        <vt:i4>0</vt:i4>
      </vt:variant>
      <vt:variant>
        <vt:i4>5</vt:i4>
      </vt:variant>
      <vt:variant>
        <vt:lpwstr/>
      </vt:variant>
      <vt:variant>
        <vt:lpwstr>_Toc138945674</vt:lpwstr>
      </vt:variant>
      <vt:variant>
        <vt:i4>2031675</vt:i4>
      </vt:variant>
      <vt:variant>
        <vt:i4>278</vt:i4>
      </vt:variant>
      <vt:variant>
        <vt:i4>0</vt:i4>
      </vt:variant>
      <vt:variant>
        <vt:i4>5</vt:i4>
      </vt:variant>
      <vt:variant>
        <vt:lpwstr/>
      </vt:variant>
      <vt:variant>
        <vt:lpwstr>_Toc138945673</vt:lpwstr>
      </vt:variant>
      <vt:variant>
        <vt:i4>2031675</vt:i4>
      </vt:variant>
      <vt:variant>
        <vt:i4>272</vt:i4>
      </vt:variant>
      <vt:variant>
        <vt:i4>0</vt:i4>
      </vt:variant>
      <vt:variant>
        <vt:i4>5</vt:i4>
      </vt:variant>
      <vt:variant>
        <vt:lpwstr/>
      </vt:variant>
      <vt:variant>
        <vt:lpwstr>_Toc138945672</vt:lpwstr>
      </vt:variant>
      <vt:variant>
        <vt:i4>2031675</vt:i4>
      </vt:variant>
      <vt:variant>
        <vt:i4>266</vt:i4>
      </vt:variant>
      <vt:variant>
        <vt:i4>0</vt:i4>
      </vt:variant>
      <vt:variant>
        <vt:i4>5</vt:i4>
      </vt:variant>
      <vt:variant>
        <vt:lpwstr/>
      </vt:variant>
      <vt:variant>
        <vt:lpwstr>_Toc138945671</vt:lpwstr>
      </vt:variant>
      <vt:variant>
        <vt:i4>2031675</vt:i4>
      </vt:variant>
      <vt:variant>
        <vt:i4>260</vt:i4>
      </vt:variant>
      <vt:variant>
        <vt:i4>0</vt:i4>
      </vt:variant>
      <vt:variant>
        <vt:i4>5</vt:i4>
      </vt:variant>
      <vt:variant>
        <vt:lpwstr/>
      </vt:variant>
      <vt:variant>
        <vt:lpwstr>_Toc138945670</vt:lpwstr>
      </vt:variant>
      <vt:variant>
        <vt:i4>1966139</vt:i4>
      </vt:variant>
      <vt:variant>
        <vt:i4>254</vt:i4>
      </vt:variant>
      <vt:variant>
        <vt:i4>0</vt:i4>
      </vt:variant>
      <vt:variant>
        <vt:i4>5</vt:i4>
      </vt:variant>
      <vt:variant>
        <vt:lpwstr/>
      </vt:variant>
      <vt:variant>
        <vt:lpwstr>_Toc138945669</vt:lpwstr>
      </vt:variant>
      <vt:variant>
        <vt:i4>1966139</vt:i4>
      </vt:variant>
      <vt:variant>
        <vt:i4>248</vt:i4>
      </vt:variant>
      <vt:variant>
        <vt:i4>0</vt:i4>
      </vt:variant>
      <vt:variant>
        <vt:i4>5</vt:i4>
      </vt:variant>
      <vt:variant>
        <vt:lpwstr/>
      </vt:variant>
      <vt:variant>
        <vt:lpwstr>_Toc138945668</vt:lpwstr>
      </vt:variant>
      <vt:variant>
        <vt:i4>1966139</vt:i4>
      </vt:variant>
      <vt:variant>
        <vt:i4>242</vt:i4>
      </vt:variant>
      <vt:variant>
        <vt:i4>0</vt:i4>
      </vt:variant>
      <vt:variant>
        <vt:i4>5</vt:i4>
      </vt:variant>
      <vt:variant>
        <vt:lpwstr/>
      </vt:variant>
      <vt:variant>
        <vt:lpwstr>_Toc138945667</vt:lpwstr>
      </vt:variant>
      <vt:variant>
        <vt:i4>1966139</vt:i4>
      </vt:variant>
      <vt:variant>
        <vt:i4>236</vt:i4>
      </vt:variant>
      <vt:variant>
        <vt:i4>0</vt:i4>
      </vt:variant>
      <vt:variant>
        <vt:i4>5</vt:i4>
      </vt:variant>
      <vt:variant>
        <vt:lpwstr/>
      </vt:variant>
      <vt:variant>
        <vt:lpwstr>_Toc138945666</vt:lpwstr>
      </vt:variant>
      <vt:variant>
        <vt:i4>1966139</vt:i4>
      </vt:variant>
      <vt:variant>
        <vt:i4>230</vt:i4>
      </vt:variant>
      <vt:variant>
        <vt:i4>0</vt:i4>
      </vt:variant>
      <vt:variant>
        <vt:i4>5</vt:i4>
      </vt:variant>
      <vt:variant>
        <vt:lpwstr/>
      </vt:variant>
      <vt:variant>
        <vt:lpwstr>_Toc138945665</vt:lpwstr>
      </vt:variant>
      <vt:variant>
        <vt:i4>1966139</vt:i4>
      </vt:variant>
      <vt:variant>
        <vt:i4>224</vt:i4>
      </vt:variant>
      <vt:variant>
        <vt:i4>0</vt:i4>
      </vt:variant>
      <vt:variant>
        <vt:i4>5</vt:i4>
      </vt:variant>
      <vt:variant>
        <vt:lpwstr/>
      </vt:variant>
      <vt:variant>
        <vt:lpwstr>_Toc138945664</vt:lpwstr>
      </vt:variant>
      <vt:variant>
        <vt:i4>1966139</vt:i4>
      </vt:variant>
      <vt:variant>
        <vt:i4>218</vt:i4>
      </vt:variant>
      <vt:variant>
        <vt:i4>0</vt:i4>
      </vt:variant>
      <vt:variant>
        <vt:i4>5</vt:i4>
      </vt:variant>
      <vt:variant>
        <vt:lpwstr/>
      </vt:variant>
      <vt:variant>
        <vt:lpwstr>_Toc138945663</vt:lpwstr>
      </vt:variant>
      <vt:variant>
        <vt:i4>1966139</vt:i4>
      </vt:variant>
      <vt:variant>
        <vt:i4>212</vt:i4>
      </vt:variant>
      <vt:variant>
        <vt:i4>0</vt:i4>
      </vt:variant>
      <vt:variant>
        <vt:i4>5</vt:i4>
      </vt:variant>
      <vt:variant>
        <vt:lpwstr/>
      </vt:variant>
      <vt:variant>
        <vt:lpwstr>_Toc138945662</vt:lpwstr>
      </vt:variant>
      <vt:variant>
        <vt:i4>1966139</vt:i4>
      </vt:variant>
      <vt:variant>
        <vt:i4>206</vt:i4>
      </vt:variant>
      <vt:variant>
        <vt:i4>0</vt:i4>
      </vt:variant>
      <vt:variant>
        <vt:i4>5</vt:i4>
      </vt:variant>
      <vt:variant>
        <vt:lpwstr/>
      </vt:variant>
      <vt:variant>
        <vt:lpwstr>_Toc138945661</vt:lpwstr>
      </vt:variant>
      <vt:variant>
        <vt:i4>1966139</vt:i4>
      </vt:variant>
      <vt:variant>
        <vt:i4>200</vt:i4>
      </vt:variant>
      <vt:variant>
        <vt:i4>0</vt:i4>
      </vt:variant>
      <vt:variant>
        <vt:i4>5</vt:i4>
      </vt:variant>
      <vt:variant>
        <vt:lpwstr/>
      </vt:variant>
      <vt:variant>
        <vt:lpwstr>_Toc138945660</vt:lpwstr>
      </vt:variant>
      <vt:variant>
        <vt:i4>1900603</vt:i4>
      </vt:variant>
      <vt:variant>
        <vt:i4>194</vt:i4>
      </vt:variant>
      <vt:variant>
        <vt:i4>0</vt:i4>
      </vt:variant>
      <vt:variant>
        <vt:i4>5</vt:i4>
      </vt:variant>
      <vt:variant>
        <vt:lpwstr/>
      </vt:variant>
      <vt:variant>
        <vt:lpwstr>_Toc138945659</vt:lpwstr>
      </vt:variant>
      <vt:variant>
        <vt:i4>1900603</vt:i4>
      </vt:variant>
      <vt:variant>
        <vt:i4>188</vt:i4>
      </vt:variant>
      <vt:variant>
        <vt:i4>0</vt:i4>
      </vt:variant>
      <vt:variant>
        <vt:i4>5</vt:i4>
      </vt:variant>
      <vt:variant>
        <vt:lpwstr/>
      </vt:variant>
      <vt:variant>
        <vt:lpwstr>_Toc138945658</vt:lpwstr>
      </vt:variant>
      <vt:variant>
        <vt:i4>1900603</vt:i4>
      </vt:variant>
      <vt:variant>
        <vt:i4>182</vt:i4>
      </vt:variant>
      <vt:variant>
        <vt:i4>0</vt:i4>
      </vt:variant>
      <vt:variant>
        <vt:i4>5</vt:i4>
      </vt:variant>
      <vt:variant>
        <vt:lpwstr/>
      </vt:variant>
      <vt:variant>
        <vt:lpwstr>_Toc138945657</vt:lpwstr>
      </vt:variant>
      <vt:variant>
        <vt:i4>1900603</vt:i4>
      </vt:variant>
      <vt:variant>
        <vt:i4>176</vt:i4>
      </vt:variant>
      <vt:variant>
        <vt:i4>0</vt:i4>
      </vt:variant>
      <vt:variant>
        <vt:i4>5</vt:i4>
      </vt:variant>
      <vt:variant>
        <vt:lpwstr/>
      </vt:variant>
      <vt:variant>
        <vt:lpwstr>_Toc138945656</vt:lpwstr>
      </vt:variant>
      <vt:variant>
        <vt:i4>1900603</vt:i4>
      </vt:variant>
      <vt:variant>
        <vt:i4>170</vt:i4>
      </vt:variant>
      <vt:variant>
        <vt:i4>0</vt:i4>
      </vt:variant>
      <vt:variant>
        <vt:i4>5</vt:i4>
      </vt:variant>
      <vt:variant>
        <vt:lpwstr/>
      </vt:variant>
      <vt:variant>
        <vt:lpwstr>_Toc138945655</vt:lpwstr>
      </vt:variant>
      <vt:variant>
        <vt:i4>1900603</vt:i4>
      </vt:variant>
      <vt:variant>
        <vt:i4>164</vt:i4>
      </vt:variant>
      <vt:variant>
        <vt:i4>0</vt:i4>
      </vt:variant>
      <vt:variant>
        <vt:i4>5</vt:i4>
      </vt:variant>
      <vt:variant>
        <vt:lpwstr/>
      </vt:variant>
      <vt:variant>
        <vt:lpwstr>_Toc138945654</vt:lpwstr>
      </vt:variant>
      <vt:variant>
        <vt:i4>1900603</vt:i4>
      </vt:variant>
      <vt:variant>
        <vt:i4>158</vt:i4>
      </vt:variant>
      <vt:variant>
        <vt:i4>0</vt:i4>
      </vt:variant>
      <vt:variant>
        <vt:i4>5</vt:i4>
      </vt:variant>
      <vt:variant>
        <vt:lpwstr/>
      </vt:variant>
      <vt:variant>
        <vt:lpwstr>_Toc138945653</vt:lpwstr>
      </vt:variant>
      <vt:variant>
        <vt:i4>1900603</vt:i4>
      </vt:variant>
      <vt:variant>
        <vt:i4>152</vt:i4>
      </vt:variant>
      <vt:variant>
        <vt:i4>0</vt:i4>
      </vt:variant>
      <vt:variant>
        <vt:i4>5</vt:i4>
      </vt:variant>
      <vt:variant>
        <vt:lpwstr/>
      </vt:variant>
      <vt:variant>
        <vt:lpwstr>_Toc138945652</vt:lpwstr>
      </vt:variant>
      <vt:variant>
        <vt:i4>1900603</vt:i4>
      </vt:variant>
      <vt:variant>
        <vt:i4>146</vt:i4>
      </vt:variant>
      <vt:variant>
        <vt:i4>0</vt:i4>
      </vt:variant>
      <vt:variant>
        <vt:i4>5</vt:i4>
      </vt:variant>
      <vt:variant>
        <vt:lpwstr/>
      </vt:variant>
      <vt:variant>
        <vt:lpwstr>_Toc138945651</vt:lpwstr>
      </vt:variant>
      <vt:variant>
        <vt:i4>1900603</vt:i4>
      </vt:variant>
      <vt:variant>
        <vt:i4>140</vt:i4>
      </vt:variant>
      <vt:variant>
        <vt:i4>0</vt:i4>
      </vt:variant>
      <vt:variant>
        <vt:i4>5</vt:i4>
      </vt:variant>
      <vt:variant>
        <vt:lpwstr/>
      </vt:variant>
      <vt:variant>
        <vt:lpwstr>_Toc138945650</vt:lpwstr>
      </vt:variant>
      <vt:variant>
        <vt:i4>1835067</vt:i4>
      </vt:variant>
      <vt:variant>
        <vt:i4>134</vt:i4>
      </vt:variant>
      <vt:variant>
        <vt:i4>0</vt:i4>
      </vt:variant>
      <vt:variant>
        <vt:i4>5</vt:i4>
      </vt:variant>
      <vt:variant>
        <vt:lpwstr/>
      </vt:variant>
      <vt:variant>
        <vt:lpwstr>_Toc138945649</vt:lpwstr>
      </vt:variant>
      <vt:variant>
        <vt:i4>1835067</vt:i4>
      </vt:variant>
      <vt:variant>
        <vt:i4>128</vt:i4>
      </vt:variant>
      <vt:variant>
        <vt:i4>0</vt:i4>
      </vt:variant>
      <vt:variant>
        <vt:i4>5</vt:i4>
      </vt:variant>
      <vt:variant>
        <vt:lpwstr/>
      </vt:variant>
      <vt:variant>
        <vt:lpwstr>_Toc138945648</vt:lpwstr>
      </vt:variant>
      <vt:variant>
        <vt:i4>1835067</vt:i4>
      </vt:variant>
      <vt:variant>
        <vt:i4>122</vt:i4>
      </vt:variant>
      <vt:variant>
        <vt:i4>0</vt:i4>
      </vt:variant>
      <vt:variant>
        <vt:i4>5</vt:i4>
      </vt:variant>
      <vt:variant>
        <vt:lpwstr/>
      </vt:variant>
      <vt:variant>
        <vt:lpwstr>_Toc138945647</vt:lpwstr>
      </vt:variant>
      <vt:variant>
        <vt:i4>1835067</vt:i4>
      </vt:variant>
      <vt:variant>
        <vt:i4>116</vt:i4>
      </vt:variant>
      <vt:variant>
        <vt:i4>0</vt:i4>
      </vt:variant>
      <vt:variant>
        <vt:i4>5</vt:i4>
      </vt:variant>
      <vt:variant>
        <vt:lpwstr/>
      </vt:variant>
      <vt:variant>
        <vt:lpwstr>_Toc138945646</vt:lpwstr>
      </vt:variant>
      <vt:variant>
        <vt:i4>1835067</vt:i4>
      </vt:variant>
      <vt:variant>
        <vt:i4>110</vt:i4>
      </vt:variant>
      <vt:variant>
        <vt:i4>0</vt:i4>
      </vt:variant>
      <vt:variant>
        <vt:i4>5</vt:i4>
      </vt:variant>
      <vt:variant>
        <vt:lpwstr/>
      </vt:variant>
      <vt:variant>
        <vt:lpwstr>_Toc138945645</vt:lpwstr>
      </vt:variant>
      <vt:variant>
        <vt:i4>1835067</vt:i4>
      </vt:variant>
      <vt:variant>
        <vt:i4>104</vt:i4>
      </vt:variant>
      <vt:variant>
        <vt:i4>0</vt:i4>
      </vt:variant>
      <vt:variant>
        <vt:i4>5</vt:i4>
      </vt:variant>
      <vt:variant>
        <vt:lpwstr/>
      </vt:variant>
      <vt:variant>
        <vt:lpwstr>_Toc138945644</vt:lpwstr>
      </vt:variant>
      <vt:variant>
        <vt:i4>1835067</vt:i4>
      </vt:variant>
      <vt:variant>
        <vt:i4>98</vt:i4>
      </vt:variant>
      <vt:variant>
        <vt:i4>0</vt:i4>
      </vt:variant>
      <vt:variant>
        <vt:i4>5</vt:i4>
      </vt:variant>
      <vt:variant>
        <vt:lpwstr/>
      </vt:variant>
      <vt:variant>
        <vt:lpwstr>_Toc138945643</vt:lpwstr>
      </vt:variant>
      <vt:variant>
        <vt:i4>1835067</vt:i4>
      </vt:variant>
      <vt:variant>
        <vt:i4>92</vt:i4>
      </vt:variant>
      <vt:variant>
        <vt:i4>0</vt:i4>
      </vt:variant>
      <vt:variant>
        <vt:i4>5</vt:i4>
      </vt:variant>
      <vt:variant>
        <vt:lpwstr/>
      </vt:variant>
      <vt:variant>
        <vt:lpwstr>_Toc138945642</vt:lpwstr>
      </vt:variant>
      <vt:variant>
        <vt:i4>1835067</vt:i4>
      </vt:variant>
      <vt:variant>
        <vt:i4>86</vt:i4>
      </vt:variant>
      <vt:variant>
        <vt:i4>0</vt:i4>
      </vt:variant>
      <vt:variant>
        <vt:i4>5</vt:i4>
      </vt:variant>
      <vt:variant>
        <vt:lpwstr/>
      </vt:variant>
      <vt:variant>
        <vt:lpwstr>_Toc138945641</vt:lpwstr>
      </vt:variant>
      <vt:variant>
        <vt:i4>1835067</vt:i4>
      </vt:variant>
      <vt:variant>
        <vt:i4>80</vt:i4>
      </vt:variant>
      <vt:variant>
        <vt:i4>0</vt:i4>
      </vt:variant>
      <vt:variant>
        <vt:i4>5</vt:i4>
      </vt:variant>
      <vt:variant>
        <vt:lpwstr/>
      </vt:variant>
      <vt:variant>
        <vt:lpwstr>_Toc138945640</vt:lpwstr>
      </vt:variant>
      <vt:variant>
        <vt:i4>1769531</vt:i4>
      </vt:variant>
      <vt:variant>
        <vt:i4>74</vt:i4>
      </vt:variant>
      <vt:variant>
        <vt:i4>0</vt:i4>
      </vt:variant>
      <vt:variant>
        <vt:i4>5</vt:i4>
      </vt:variant>
      <vt:variant>
        <vt:lpwstr/>
      </vt:variant>
      <vt:variant>
        <vt:lpwstr>_Toc138945639</vt:lpwstr>
      </vt:variant>
      <vt:variant>
        <vt:i4>1769531</vt:i4>
      </vt:variant>
      <vt:variant>
        <vt:i4>68</vt:i4>
      </vt:variant>
      <vt:variant>
        <vt:i4>0</vt:i4>
      </vt:variant>
      <vt:variant>
        <vt:i4>5</vt:i4>
      </vt:variant>
      <vt:variant>
        <vt:lpwstr/>
      </vt:variant>
      <vt:variant>
        <vt:lpwstr>_Toc138945638</vt:lpwstr>
      </vt:variant>
      <vt:variant>
        <vt:i4>1769531</vt:i4>
      </vt:variant>
      <vt:variant>
        <vt:i4>62</vt:i4>
      </vt:variant>
      <vt:variant>
        <vt:i4>0</vt:i4>
      </vt:variant>
      <vt:variant>
        <vt:i4>5</vt:i4>
      </vt:variant>
      <vt:variant>
        <vt:lpwstr/>
      </vt:variant>
      <vt:variant>
        <vt:lpwstr>_Toc138945637</vt:lpwstr>
      </vt:variant>
      <vt:variant>
        <vt:i4>1769531</vt:i4>
      </vt:variant>
      <vt:variant>
        <vt:i4>56</vt:i4>
      </vt:variant>
      <vt:variant>
        <vt:i4>0</vt:i4>
      </vt:variant>
      <vt:variant>
        <vt:i4>5</vt:i4>
      </vt:variant>
      <vt:variant>
        <vt:lpwstr/>
      </vt:variant>
      <vt:variant>
        <vt:lpwstr>_Toc138945636</vt:lpwstr>
      </vt:variant>
      <vt:variant>
        <vt:i4>1769531</vt:i4>
      </vt:variant>
      <vt:variant>
        <vt:i4>50</vt:i4>
      </vt:variant>
      <vt:variant>
        <vt:i4>0</vt:i4>
      </vt:variant>
      <vt:variant>
        <vt:i4>5</vt:i4>
      </vt:variant>
      <vt:variant>
        <vt:lpwstr/>
      </vt:variant>
      <vt:variant>
        <vt:lpwstr>_Toc138945635</vt:lpwstr>
      </vt:variant>
      <vt:variant>
        <vt:i4>1769531</vt:i4>
      </vt:variant>
      <vt:variant>
        <vt:i4>44</vt:i4>
      </vt:variant>
      <vt:variant>
        <vt:i4>0</vt:i4>
      </vt:variant>
      <vt:variant>
        <vt:i4>5</vt:i4>
      </vt:variant>
      <vt:variant>
        <vt:lpwstr/>
      </vt:variant>
      <vt:variant>
        <vt:lpwstr>_Toc138945634</vt:lpwstr>
      </vt:variant>
      <vt:variant>
        <vt:i4>1769531</vt:i4>
      </vt:variant>
      <vt:variant>
        <vt:i4>38</vt:i4>
      </vt:variant>
      <vt:variant>
        <vt:i4>0</vt:i4>
      </vt:variant>
      <vt:variant>
        <vt:i4>5</vt:i4>
      </vt:variant>
      <vt:variant>
        <vt:lpwstr/>
      </vt:variant>
      <vt:variant>
        <vt:lpwstr>_Toc138945633</vt:lpwstr>
      </vt:variant>
      <vt:variant>
        <vt:i4>1769531</vt:i4>
      </vt:variant>
      <vt:variant>
        <vt:i4>32</vt:i4>
      </vt:variant>
      <vt:variant>
        <vt:i4>0</vt:i4>
      </vt:variant>
      <vt:variant>
        <vt:i4>5</vt:i4>
      </vt:variant>
      <vt:variant>
        <vt:lpwstr/>
      </vt:variant>
      <vt:variant>
        <vt:lpwstr>_Toc138945632</vt:lpwstr>
      </vt:variant>
      <vt:variant>
        <vt:i4>1769531</vt:i4>
      </vt:variant>
      <vt:variant>
        <vt:i4>26</vt:i4>
      </vt:variant>
      <vt:variant>
        <vt:i4>0</vt:i4>
      </vt:variant>
      <vt:variant>
        <vt:i4>5</vt:i4>
      </vt:variant>
      <vt:variant>
        <vt:lpwstr/>
      </vt:variant>
      <vt:variant>
        <vt:lpwstr>_Toc138945631</vt:lpwstr>
      </vt:variant>
      <vt:variant>
        <vt:i4>1769531</vt:i4>
      </vt:variant>
      <vt:variant>
        <vt:i4>20</vt:i4>
      </vt:variant>
      <vt:variant>
        <vt:i4>0</vt:i4>
      </vt:variant>
      <vt:variant>
        <vt:i4>5</vt:i4>
      </vt:variant>
      <vt:variant>
        <vt:lpwstr/>
      </vt:variant>
      <vt:variant>
        <vt:lpwstr>_Toc138945630</vt:lpwstr>
      </vt:variant>
      <vt:variant>
        <vt:i4>1703995</vt:i4>
      </vt:variant>
      <vt:variant>
        <vt:i4>14</vt:i4>
      </vt:variant>
      <vt:variant>
        <vt:i4>0</vt:i4>
      </vt:variant>
      <vt:variant>
        <vt:i4>5</vt:i4>
      </vt:variant>
      <vt:variant>
        <vt:lpwstr/>
      </vt:variant>
      <vt:variant>
        <vt:lpwstr>_Toc138945629</vt:lpwstr>
      </vt:variant>
      <vt:variant>
        <vt:i4>1703995</vt:i4>
      </vt:variant>
      <vt:variant>
        <vt:i4>8</vt:i4>
      </vt:variant>
      <vt:variant>
        <vt:i4>0</vt:i4>
      </vt:variant>
      <vt:variant>
        <vt:i4>5</vt:i4>
      </vt:variant>
      <vt:variant>
        <vt:lpwstr/>
      </vt:variant>
      <vt:variant>
        <vt:lpwstr>_Toc138945628</vt:lpwstr>
      </vt:variant>
      <vt:variant>
        <vt:i4>1703995</vt:i4>
      </vt:variant>
      <vt:variant>
        <vt:i4>2</vt:i4>
      </vt:variant>
      <vt:variant>
        <vt:i4>0</vt:i4>
      </vt:variant>
      <vt:variant>
        <vt:i4>5</vt:i4>
      </vt:variant>
      <vt:variant>
        <vt:lpwstr/>
      </vt:variant>
      <vt:variant>
        <vt:lpwstr>_Toc138945627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Consultation Paper 10 – General use items utilisation, expenditure and integrity</dc:title>
  <dc:subject>Private health insurance</dc:subject>
  <dc:creator>Australian Government Department of Health, Disability and Ageing</dc:creator>
  <cp:keywords>Private health insurance, Prescribed List </cp:keywords>
  <dc:description/>
  <cp:lastModifiedBy>MASCHKE, Elvia</cp:lastModifiedBy>
  <cp:revision>6</cp:revision>
  <cp:lastPrinted>2025-04-01T23:36:00Z</cp:lastPrinted>
  <dcterms:created xsi:type="dcterms:W3CDTF">2025-05-28T23:20:00Z</dcterms:created>
  <dcterms:modified xsi:type="dcterms:W3CDTF">2025-05-29T04:55:00Z</dcterms:modified>
</cp:coreProperties>
</file>