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2E61" w14:textId="77777777" w:rsidR="000D2B29" w:rsidRPr="00B63FCA" w:rsidRDefault="000D2B29" w:rsidP="00B63FCA">
      <w:pPr>
        <w:jc w:val="center"/>
      </w:pPr>
      <w:r w:rsidRPr="00106454">
        <w:rPr>
          <w:noProof/>
        </w:rPr>
        <w:drawing>
          <wp:inline distT="0" distB="0" distL="0" distR="0" wp14:anchorId="438BF61B" wp14:editId="7730D656">
            <wp:extent cx="2266355" cy="826770"/>
            <wp:effectExtent l="0" t="0" r="0" b="0"/>
            <wp:docPr id="2" name="Picture 2" descr="BreastScreen Australi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BreastScreen Australia logo"/>
                    <pic:cNvPicPr/>
                  </pic:nvPicPr>
                  <pic:blipFill>
                    <a:blip r:embed="rId11" cstate="print"/>
                    <a:stretch>
                      <a:fillRect/>
                    </a:stretch>
                  </pic:blipFill>
                  <pic:spPr>
                    <a:xfrm>
                      <a:off x="0" y="0"/>
                      <a:ext cx="2266355" cy="826770"/>
                    </a:xfrm>
                    <a:prstGeom prst="rect">
                      <a:avLst/>
                    </a:prstGeom>
                  </pic:spPr>
                </pic:pic>
              </a:graphicData>
            </a:graphic>
          </wp:inline>
        </w:drawing>
      </w:r>
    </w:p>
    <w:p w14:paraId="6E4E982B" w14:textId="29261E6C" w:rsidR="000D2B29" w:rsidRPr="00B63FCA" w:rsidRDefault="000D2B29" w:rsidP="00B63FCA">
      <w:pPr>
        <w:pStyle w:val="Title"/>
      </w:pPr>
      <w:proofErr w:type="spellStart"/>
      <w:r w:rsidRPr="00B63FCA">
        <w:t>BreastScreen</w:t>
      </w:r>
      <w:proofErr w:type="spellEnd"/>
      <w:r w:rsidRPr="00B63FCA">
        <w:t xml:space="preserve"> Australia Clinical Advisory Group</w:t>
      </w:r>
    </w:p>
    <w:p w14:paraId="544802B6" w14:textId="586FE440" w:rsidR="000D2B29" w:rsidRPr="00106454" w:rsidRDefault="000D2B29" w:rsidP="00106454">
      <w:pPr>
        <w:pStyle w:val="Subtitle"/>
      </w:pPr>
      <w:bookmarkStart w:id="0" w:name="_Hlk169274694"/>
      <w:proofErr w:type="spellStart"/>
      <w:r w:rsidRPr="6C702789">
        <w:t>BreastScreen</w:t>
      </w:r>
      <w:proofErr w:type="spellEnd"/>
      <w:r w:rsidRPr="6C702789">
        <w:t xml:space="preserve"> Australia Position Statement on Mammographic </w:t>
      </w:r>
      <w:r w:rsidR="003E5E3B">
        <w:t xml:space="preserve">(Breast) </w:t>
      </w:r>
      <w:r w:rsidRPr="6C702789">
        <w:t xml:space="preserve">Density and </w:t>
      </w:r>
      <w:r w:rsidRPr="00106454">
        <w:t>Screening</w:t>
      </w:r>
      <w:bookmarkEnd w:id="0"/>
    </w:p>
    <w:tbl>
      <w:tblPr>
        <w:tblW w:w="9923" w:type="dxa"/>
        <w:tblLayout w:type="fixed"/>
        <w:tblCellMar>
          <w:left w:w="0" w:type="dxa"/>
          <w:right w:w="0" w:type="dxa"/>
        </w:tblCellMar>
        <w:tblLook w:val="01E0" w:firstRow="1" w:lastRow="1" w:firstColumn="1" w:lastColumn="1" w:noHBand="0" w:noVBand="0"/>
      </w:tblPr>
      <w:tblGrid>
        <w:gridCol w:w="2552"/>
        <w:gridCol w:w="7371"/>
      </w:tblGrid>
      <w:tr w:rsidR="000D2B29" w:rsidRPr="00027930" w14:paraId="1C548A2D" w14:textId="77777777" w:rsidTr="00813C61">
        <w:trPr>
          <w:trHeight w:val="1147"/>
        </w:trPr>
        <w:tc>
          <w:tcPr>
            <w:tcW w:w="2552" w:type="dxa"/>
            <w:tcBorders>
              <w:bottom w:val="single" w:sz="4" w:space="0" w:color="000000" w:themeColor="text1"/>
            </w:tcBorders>
            <w:shd w:val="clear" w:color="auto" w:fill="DBE4F0"/>
          </w:tcPr>
          <w:p w14:paraId="699CE56B" w14:textId="77777777" w:rsidR="000D2B29" w:rsidRPr="00944AB1" w:rsidRDefault="000D2B29" w:rsidP="00AE6ED8">
            <w:pPr>
              <w:pStyle w:val="Tableparagraphstrong"/>
            </w:pPr>
            <w:r w:rsidRPr="00944AB1">
              <w:t>Version</w:t>
            </w:r>
          </w:p>
        </w:tc>
        <w:tc>
          <w:tcPr>
            <w:tcW w:w="7371" w:type="dxa"/>
            <w:tcBorders>
              <w:bottom w:val="single" w:sz="4" w:space="0" w:color="000000" w:themeColor="text1"/>
            </w:tcBorders>
          </w:tcPr>
          <w:p w14:paraId="431A29E4" w14:textId="687B4038" w:rsidR="000D2B29" w:rsidRPr="00944AB1" w:rsidRDefault="000D2B29" w:rsidP="00106454">
            <w:pPr>
              <w:pStyle w:val="TableParagraph"/>
            </w:pPr>
            <w:r w:rsidRPr="00944AB1">
              <w:t xml:space="preserve">Date of advice: </w:t>
            </w:r>
            <w:r w:rsidR="00D715A5">
              <w:t>6 November</w:t>
            </w:r>
            <w:r w:rsidR="00CB1901" w:rsidRPr="00944AB1">
              <w:t xml:space="preserve"> 2024</w:t>
            </w:r>
          </w:p>
          <w:p w14:paraId="7B82FCDB" w14:textId="2B6CABAC" w:rsidR="004D107A" w:rsidRPr="00944AB1" w:rsidRDefault="004D107A" w:rsidP="00106454">
            <w:pPr>
              <w:pStyle w:val="TableParagraph"/>
            </w:pPr>
            <w:r w:rsidRPr="00944AB1">
              <w:t xml:space="preserve">Review date: </w:t>
            </w:r>
            <w:r w:rsidR="00D715A5">
              <w:t>November</w:t>
            </w:r>
            <w:r w:rsidRPr="00944AB1">
              <w:t xml:space="preserve"> 2029</w:t>
            </w:r>
            <w:r w:rsidR="00143AFE">
              <w:t>, or earlier as required</w:t>
            </w:r>
          </w:p>
          <w:p w14:paraId="0A0FD46A" w14:textId="0A093124" w:rsidR="000D2B29" w:rsidRPr="00944AB1" w:rsidRDefault="000D2B29" w:rsidP="00106454">
            <w:pPr>
              <w:pStyle w:val="TableParagraph"/>
            </w:pPr>
            <w:r w:rsidRPr="0095069C">
              <w:t>Version number: 2.0</w:t>
            </w:r>
          </w:p>
        </w:tc>
      </w:tr>
      <w:tr w:rsidR="000D2B29" w:rsidRPr="00027930" w14:paraId="324EA664" w14:textId="77777777" w:rsidTr="00813C61">
        <w:trPr>
          <w:trHeight w:val="460"/>
        </w:trPr>
        <w:tc>
          <w:tcPr>
            <w:tcW w:w="2552" w:type="dxa"/>
            <w:tcBorders>
              <w:top w:val="single" w:sz="4" w:space="0" w:color="000000" w:themeColor="text1"/>
              <w:bottom w:val="single" w:sz="4" w:space="0" w:color="000000" w:themeColor="text1"/>
            </w:tcBorders>
            <w:shd w:val="clear" w:color="auto" w:fill="DBE4F0"/>
          </w:tcPr>
          <w:p w14:paraId="7245A581" w14:textId="77777777" w:rsidR="000D2B29" w:rsidRPr="00944AB1" w:rsidRDefault="000D2B29" w:rsidP="00AE6ED8">
            <w:pPr>
              <w:pStyle w:val="Tableparagraphstrong"/>
            </w:pPr>
            <w:r w:rsidRPr="00944AB1">
              <w:t>Advice requested by</w:t>
            </w:r>
          </w:p>
        </w:tc>
        <w:tc>
          <w:tcPr>
            <w:tcW w:w="7371" w:type="dxa"/>
            <w:tcBorders>
              <w:top w:val="single" w:sz="4" w:space="0" w:color="000000" w:themeColor="text1"/>
              <w:bottom w:val="single" w:sz="4" w:space="0" w:color="000000" w:themeColor="text1"/>
            </w:tcBorders>
          </w:tcPr>
          <w:p w14:paraId="7EEF02E2" w14:textId="30072C0D" w:rsidR="000D2B29" w:rsidRPr="00944AB1" w:rsidRDefault="000D2B29" w:rsidP="00106454">
            <w:pPr>
              <w:pStyle w:val="TableParagraph"/>
            </w:pPr>
            <w:r w:rsidRPr="00944AB1">
              <w:t>Department of Health</w:t>
            </w:r>
            <w:r w:rsidR="002B2897">
              <w:t>, Disability and Ageing</w:t>
            </w:r>
          </w:p>
        </w:tc>
      </w:tr>
      <w:tr w:rsidR="000D2B29" w:rsidRPr="00027930" w14:paraId="434E7522" w14:textId="77777777" w:rsidTr="00813C61">
        <w:trPr>
          <w:trHeight w:val="516"/>
        </w:trPr>
        <w:tc>
          <w:tcPr>
            <w:tcW w:w="2552" w:type="dxa"/>
            <w:tcBorders>
              <w:top w:val="single" w:sz="4" w:space="0" w:color="000000" w:themeColor="text1"/>
              <w:bottom w:val="single" w:sz="4" w:space="0" w:color="000000" w:themeColor="text1"/>
            </w:tcBorders>
            <w:shd w:val="clear" w:color="auto" w:fill="DBE4F0"/>
          </w:tcPr>
          <w:p w14:paraId="0E5221C6" w14:textId="77777777" w:rsidR="000D2B29" w:rsidRPr="00944AB1" w:rsidRDefault="000D2B29" w:rsidP="00AE6ED8">
            <w:pPr>
              <w:pStyle w:val="Tableparagraphstrong"/>
            </w:pPr>
            <w:bookmarkStart w:id="1" w:name="_Hlk141186695"/>
            <w:r w:rsidRPr="00944AB1">
              <w:t>Category</w:t>
            </w:r>
          </w:p>
        </w:tc>
        <w:tc>
          <w:tcPr>
            <w:tcW w:w="7371" w:type="dxa"/>
            <w:tcBorders>
              <w:top w:val="single" w:sz="4" w:space="0" w:color="000000" w:themeColor="text1"/>
              <w:bottom w:val="single" w:sz="4" w:space="0" w:color="000000" w:themeColor="text1"/>
            </w:tcBorders>
          </w:tcPr>
          <w:p w14:paraId="7FE65B6E" w14:textId="582C9C88" w:rsidR="000D2B29" w:rsidRPr="00944AB1" w:rsidRDefault="000D2B29" w:rsidP="00106454">
            <w:pPr>
              <w:pStyle w:val="TableParagraph"/>
            </w:pPr>
            <w:r w:rsidRPr="00944AB1">
              <w:t>National policy</w:t>
            </w:r>
            <w:r w:rsidR="00F14CC9">
              <w:t xml:space="preserve"> for </w:t>
            </w:r>
            <w:proofErr w:type="spellStart"/>
            <w:r w:rsidR="00F14CC9">
              <w:t>BreastScreen</w:t>
            </w:r>
            <w:proofErr w:type="spellEnd"/>
            <w:r w:rsidR="00F14CC9">
              <w:t xml:space="preserve"> Australia services</w:t>
            </w:r>
          </w:p>
        </w:tc>
      </w:tr>
      <w:tr w:rsidR="000D2B29" w:rsidRPr="00027930" w14:paraId="55B3F94E" w14:textId="77777777" w:rsidTr="00813C61">
        <w:trPr>
          <w:trHeight w:val="516"/>
        </w:trPr>
        <w:tc>
          <w:tcPr>
            <w:tcW w:w="2552" w:type="dxa"/>
            <w:tcBorders>
              <w:top w:val="single" w:sz="4" w:space="0" w:color="000000" w:themeColor="text1"/>
              <w:bottom w:val="single" w:sz="4" w:space="0" w:color="000000" w:themeColor="text1"/>
            </w:tcBorders>
            <w:shd w:val="clear" w:color="auto" w:fill="DBE4F0"/>
          </w:tcPr>
          <w:p w14:paraId="33F08207" w14:textId="77777777" w:rsidR="000D2B29" w:rsidRPr="00944AB1" w:rsidRDefault="000D2B29" w:rsidP="00AE6ED8">
            <w:pPr>
              <w:pStyle w:val="Tableparagraphstrong"/>
            </w:pPr>
            <w:r w:rsidRPr="00944AB1">
              <w:t>Recommendations</w:t>
            </w:r>
          </w:p>
        </w:tc>
        <w:tc>
          <w:tcPr>
            <w:tcW w:w="7371" w:type="dxa"/>
            <w:tcBorders>
              <w:top w:val="single" w:sz="4" w:space="0" w:color="000000" w:themeColor="text1"/>
              <w:bottom w:val="single" w:sz="4" w:space="0" w:color="000000" w:themeColor="text1"/>
            </w:tcBorders>
          </w:tcPr>
          <w:p w14:paraId="61A033FE" w14:textId="1D50B7C7" w:rsidR="004E24DC" w:rsidRPr="00106454" w:rsidRDefault="00A547C7" w:rsidP="00106454">
            <w:pPr>
              <w:pStyle w:val="ListBullet2"/>
            </w:pPr>
            <w:r w:rsidRPr="00944AB1">
              <w:t xml:space="preserve">Women </w:t>
            </w:r>
            <w:r w:rsidR="00995498" w:rsidRPr="00944AB1">
              <w:t xml:space="preserve">are </w:t>
            </w:r>
            <w:bookmarkStart w:id="2" w:name="_Hlk169275473"/>
            <w:r w:rsidR="004E24DC" w:rsidRPr="00944AB1">
              <w:t xml:space="preserve">informed </w:t>
            </w:r>
            <w:r w:rsidR="0012003A">
              <w:t xml:space="preserve">in </w:t>
            </w:r>
            <w:r w:rsidR="00D91A57">
              <w:t>writing</w:t>
            </w:r>
            <w:r w:rsidR="00D91A57" w:rsidRPr="00944AB1">
              <w:t xml:space="preserve"> of</w:t>
            </w:r>
            <w:r w:rsidR="004E24DC" w:rsidRPr="00944AB1">
              <w:t xml:space="preserve"> their </w:t>
            </w:r>
            <w:r w:rsidR="00A07960" w:rsidRPr="00944AB1">
              <w:t>mammographic (</w:t>
            </w:r>
            <w:r w:rsidR="004E24DC" w:rsidRPr="00944AB1">
              <w:t>breast</w:t>
            </w:r>
            <w:r w:rsidR="00A07960" w:rsidRPr="00944AB1">
              <w:t>)</w:t>
            </w:r>
            <w:r w:rsidR="004E24DC" w:rsidRPr="00944AB1">
              <w:t xml:space="preserve"> density as measured on their screening mammogram.</w:t>
            </w:r>
            <w:bookmarkEnd w:id="2"/>
          </w:p>
          <w:p w14:paraId="3DEA044E" w14:textId="14BC71B4" w:rsidR="00B273B8" w:rsidRPr="00944AB1" w:rsidRDefault="003D6542" w:rsidP="00106454">
            <w:pPr>
              <w:pStyle w:val="ListBullet2"/>
            </w:pPr>
            <w:proofErr w:type="spellStart"/>
            <w:r w:rsidRPr="6616E0D1">
              <w:t>BreastScreen</w:t>
            </w:r>
            <w:proofErr w:type="spellEnd"/>
            <w:r w:rsidRPr="6616E0D1">
              <w:t xml:space="preserve"> Australia </w:t>
            </w:r>
            <w:r w:rsidR="009004AE" w:rsidRPr="6616E0D1">
              <w:t xml:space="preserve">clients </w:t>
            </w:r>
            <w:r w:rsidR="00E3253A" w:rsidRPr="6616E0D1">
              <w:t>may seek advice from their</w:t>
            </w:r>
            <w:r w:rsidRPr="6616E0D1">
              <w:t xml:space="preserve"> </w:t>
            </w:r>
            <w:r w:rsidR="00FB759B" w:rsidRPr="6616E0D1">
              <w:t>G</w:t>
            </w:r>
            <w:r w:rsidR="00236FD6" w:rsidRPr="6616E0D1">
              <w:t>eneral Practitioner (GP)</w:t>
            </w:r>
            <w:r w:rsidR="00FB759B" w:rsidRPr="6616E0D1">
              <w:t xml:space="preserve"> or breast </w:t>
            </w:r>
            <w:r w:rsidR="00CC3931" w:rsidRPr="6616E0D1">
              <w:t xml:space="preserve">cancer </w:t>
            </w:r>
            <w:r w:rsidR="00111517" w:rsidRPr="6616E0D1">
              <w:t>specialist regarding</w:t>
            </w:r>
            <w:r w:rsidR="00FB759B" w:rsidRPr="6616E0D1">
              <w:t xml:space="preserve"> </w:t>
            </w:r>
            <w:r w:rsidR="00746767" w:rsidRPr="6616E0D1">
              <w:t xml:space="preserve">whether or how their breast density affects their choice of </w:t>
            </w:r>
            <w:r w:rsidR="00FB759B" w:rsidRPr="6616E0D1">
              <w:t xml:space="preserve">approach to </w:t>
            </w:r>
            <w:r w:rsidR="00746767" w:rsidRPr="6616E0D1">
              <w:t>breast cancer early detection</w:t>
            </w:r>
            <w:r w:rsidR="00FB759B" w:rsidRPr="6616E0D1">
              <w:t xml:space="preserve">, </w:t>
            </w:r>
            <w:r w:rsidRPr="6616E0D1">
              <w:t>in the context of their other risk factors, personal circumstances, and preferences.</w:t>
            </w:r>
          </w:p>
        </w:tc>
      </w:tr>
      <w:tr w:rsidR="00995498" w:rsidRPr="00027930" w14:paraId="7CE04A25" w14:textId="77777777" w:rsidTr="00813C61">
        <w:trPr>
          <w:trHeight w:val="516"/>
        </w:trPr>
        <w:tc>
          <w:tcPr>
            <w:tcW w:w="2552" w:type="dxa"/>
            <w:tcBorders>
              <w:top w:val="single" w:sz="4" w:space="0" w:color="000000" w:themeColor="text1"/>
              <w:bottom w:val="single" w:sz="4" w:space="0" w:color="000000" w:themeColor="text1"/>
            </w:tcBorders>
            <w:shd w:val="clear" w:color="auto" w:fill="DBE4F0"/>
          </w:tcPr>
          <w:p w14:paraId="5CB3AF1C" w14:textId="48920261" w:rsidR="00995498" w:rsidRPr="00944AB1" w:rsidRDefault="00995498" w:rsidP="00AE6ED8">
            <w:pPr>
              <w:pStyle w:val="Tableparagraphstrong"/>
            </w:pPr>
            <w:r w:rsidRPr="00944AB1">
              <w:t xml:space="preserve">Key points </w:t>
            </w:r>
          </w:p>
        </w:tc>
        <w:tc>
          <w:tcPr>
            <w:tcW w:w="7371" w:type="dxa"/>
            <w:tcBorders>
              <w:top w:val="single" w:sz="4" w:space="0" w:color="000000" w:themeColor="text1"/>
              <w:bottom w:val="single" w:sz="4" w:space="0" w:color="000000" w:themeColor="text1"/>
            </w:tcBorders>
          </w:tcPr>
          <w:p w14:paraId="5F67D5AA" w14:textId="77777777" w:rsidR="00995498" w:rsidRPr="00944AB1" w:rsidRDefault="00995498" w:rsidP="00106454">
            <w:pPr>
              <w:pStyle w:val="ListBullet"/>
            </w:pPr>
            <w:r w:rsidRPr="00944AB1">
              <w:t>There are demonstrated benefits of mammography screening for women of all breast densities, including a reduction in the risk of death due to breast cancer.</w:t>
            </w:r>
          </w:p>
          <w:p w14:paraId="2D7CB413" w14:textId="734A16DE" w:rsidR="00995498" w:rsidRPr="00944AB1" w:rsidRDefault="00995498" w:rsidP="00106454">
            <w:pPr>
              <w:pStyle w:val="ListBullet"/>
            </w:pPr>
            <w:r w:rsidRPr="00944AB1">
              <w:t>High mammographic (breast) density is associated with an increased risk of breast cancer (although this may be small in absolute terms).</w:t>
            </w:r>
            <w:r w:rsidR="00322647">
              <w:rPr>
                <w:vertAlign w:val="superscript"/>
              </w:rPr>
              <w:t>1</w:t>
            </w:r>
          </w:p>
          <w:p w14:paraId="24150429" w14:textId="7FC2EC44" w:rsidR="00995498" w:rsidRPr="00944AB1" w:rsidRDefault="00995498" w:rsidP="00106454">
            <w:pPr>
              <w:pStyle w:val="ListBullet"/>
            </w:pPr>
            <w:r w:rsidRPr="00944AB1">
              <w:t xml:space="preserve">High mammographic (breast) density should be considered in the context </w:t>
            </w:r>
            <w:r w:rsidR="00E76F96" w:rsidRPr="00944AB1">
              <w:t>of the</w:t>
            </w:r>
            <w:r w:rsidRPr="00944AB1">
              <w:t xml:space="preserve"> woman’s overall risk for breast cancer and can be used to inform decisions about breast cancer prevention and detection.</w:t>
            </w:r>
          </w:p>
          <w:p w14:paraId="554D68C4" w14:textId="439A7372" w:rsidR="00995498" w:rsidRPr="00944AB1" w:rsidRDefault="00995498" w:rsidP="00106454">
            <w:pPr>
              <w:pStyle w:val="ListBullet"/>
              <w:rPr>
                <w:lang w:val="en-US"/>
              </w:rPr>
            </w:pPr>
            <w:r w:rsidRPr="00944AB1">
              <w:t xml:space="preserve">Mammograms are less sensitive in women with dense breasts, as </w:t>
            </w:r>
            <w:r w:rsidRPr="00944AB1">
              <w:rPr>
                <w:lang w:val="en-US"/>
              </w:rPr>
              <w:t>dense breast tissue can mask the appearance of breast tumors on a mammogram.</w:t>
            </w:r>
          </w:p>
          <w:p w14:paraId="15B9192C" w14:textId="77777777" w:rsidR="00995498" w:rsidRPr="00944AB1" w:rsidRDefault="00995498" w:rsidP="00106454">
            <w:pPr>
              <w:pStyle w:val="ListBullet"/>
            </w:pPr>
            <w:r w:rsidRPr="00944AB1">
              <w:t>There is currently no consensus on the optimal supplemental screening test(s) for women with dense breasts.</w:t>
            </w:r>
          </w:p>
          <w:p w14:paraId="79076B06" w14:textId="77777777" w:rsidR="00995498" w:rsidRPr="00944AB1" w:rsidRDefault="00995498" w:rsidP="00106454">
            <w:pPr>
              <w:pStyle w:val="ListBullet"/>
            </w:pPr>
            <w:r w:rsidRPr="00944AB1">
              <w:t>Whilst supplemental screening (including magnetic resonance imaging (MRI), ultrasound, tomosynthesis and contrast-enhanced mammography) improves cancer detection in women with dense breasts, it is associated with an increase in false positive results, with more follow-up tests and increased costs.</w:t>
            </w:r>
          </w:p>
          <w:p w14:paraId="37ADDBE3" w14:textId="649B212A" w:rsidR="00995498" w:rsidRPr="00944AB1" w:rsidRDefault="00995498" w:rsidP="00106454">
            <w:pPr>
              <w:pStyle w:val="ListBullet"/>
            </w:pPr>
            <w:r w:rsidRPr="00B63FCA">
              <w:t>Although there is a randomised controlled trial (RCT) that shows MRI identifies more cancers in those with very high density</w:t>
            </w:r>
            <w:r w:rsidR="61EE19D2" w:rsidRPr="00B63FCA">
              <w:t>,</w:t>
            </w:r>
            <w:r w:rsidR="00322647" w:rsidRPr="00B63FCA">
              <w:t>2</w:t>
            </w:r>
            <w:r w:rsidRPr="00B63FCA">
              <w:t xml:space="preserve"> t</w:t>
            </w:r>
            <w:r w:rsidRPr="00944AB1">
              <w:t>here are no RCTs that show supplemental screening saves additional lives in asymptomatic women with no other risk factors for breast cancer.</w:t>
            </w:r>
          </w:p>
          <w:p w14:paraId="7451B02B" w14:textId="5EDCA858" w:rsidR="00995498" w:rsidRPr="00944AB1" w:rsidRDefault="00995498" w:rsidP="00106454">
            <w:pPr>
              <w:pStyle w:val="ListBullet"/>
              <w:rPr>
                <w:color w:val="000000" w:themeColor="text1"/>
                <w:lang w:eastAsia="en-AU"/>
              </w:rPr>
            </w:pPr>
            <w:r w:rsidRPr="00944AB1">
              <w:t xml:space="preserve"> It will be important that all clients have access to the care and diagnostic </w:t>
            </w:r>
            <w:r w:rsidRPr="00944AB1">
              <w:lastRenderedPageBreak/>
              <w:t xml:space="preserve">support they need. Further research </w:t>
            </w:r>
            <w:bookmarkStart w:id="3" w:name="_Int_xhYP7efY"/>
            <w:r w:rsidRPr="00944AB1">
              <w:t>to address</w:t>
            </w:r>
            <w:bookmarkEnd w:id="3"/>
            <w:r w:rsidRPr="00944AB1">
              <w:t xml:space="preserve"> </w:t>
            </w:r>
            <w:r w:rsidRPr="00944AB1">
              <w:rPr>
                <w:color w:val="000000" w:themeColor="text1"/>
                <w:lang w:eastAsia="en-AU"/>
              </w:rPr>
              <w:t xml:space="preserve">uncertainty in supplemental diagnostic and management pathways for clients with dense </w:t>
            </w:r>
            <w:bookmarkStart w:id="4" w:name="_Int_4UN7seRD"/>
            <w:r w:rsidRPr="00944AB1">
              <w:rPr>
                <w:color w:val="000000" w:themeColor="text1"/>
                <w:lang w:eastAsia="en-AU"/>
              </w:rPr>
              <w:t>breasts,</w:t>
            </w:r>
            <w:bookmarkEnd w:id="4"/>
            <w:r w:rsidRPr="00944AB1">
              <w:rPr>
                <w:color w:val="000000" w:themeColor="text1"/>
                <w:lang w:eastAsia="en-AU"/>
              </w:rPr>
              <w:t xml:space="preserve"> will assist in driving equity of access to evidence-based care.  </w:t>
            </w:r>
          </w:p>
        </w:tc>
      </w:tr>
      <w:bookmarkEnd w:id="1"/>
      <w:tr w:rsidR="000D2B29" w:rsidRPr="00106454" w14:paraId="11AFA193"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07807451" w14:textId="77777777" w:rsidR="000D2B29" w:rsidRPr="00944AB1" w:rsidRDefault="000D2B29" w:rsidP="00AE6ED8">
            <w:pPr>
              <w:pStyle w:val="Tableparagraphstrong"/>
            </w:pPr>
            <w:r w:rsidRPr="00944AB1">
              <w:lastRenderedPageBreak/>
              <w:t>Introduction</w:t>
            </w:r>
          </w:p>
        </w:tc>
        <w:tc>
          <w:tcPr>
            <w:tcW w:w="7371" w:type="dxa"/>
            <w:tcBorders>
              <w:top w:val="single" w:sz="4" w:space="0" w:color="000000" w:themeColor="text1"/>
              <w:bottom w:val="single" w:sz="4" w:space="0" w:color="000000" w:themeColor="text1"/>
            </w:tcBorders>
          </w:tcPr>
          <w:p w14:paraId="65FAFD4C" w14:textId="17583B02" w:rsidR="000D2B29" w:rsidRPr="00944AB1" w:rsidRDefault="000D2B29" w:rsidP="00106454">
            <w:pPr>
              <w:pStyle w:val="ListBullet"/>
            </w:pPr>
            <w:r w:rsidRPr="00944AB1">
              <w:t>‘</w:t>
            </w:r>
            <w:r w:rsidR="00EE04D4" w:rsidRPr="00944AB1">
              <w:t xml:space="preserve">Mammographic </w:t>
            </w:r>
            <w:r w:rsidRPr="00944AB1">
              <w:t>density’ is a term that refers to the relative amount of dense breast tissue (glandular and connective tissue), which appears white on a mammogram, compared with non-dense fatty tissue, which appears</w:t>
            </w:r>
            <w:r w:rsidR="005B52D2" w:rsidRPr="00944AB1">
              <w:t xml:space="preserve"> dark</w:t>
            </w:r>
            <w:r w:rsidRPr="00944AB1">
              <w:t xml:space="preserve">. </w:t>
            </w:r>
            <w:r w:rsidR="008B61B8" w:rsidRPr="00944AB1">
              <w:t xml:space="preserve">Mammographic </w:t>
            </w:r>
            <w:r w:rsidRPr="00944AB1">
              <w:t xml:space="preserve">density is also </w:t>
            </w:r>
            <w:r w:rsidR="007D61A3" w:rsidRPr="00944AB1">
              <w:t xml:space="preserve">commonly </w:t>
            </w:r>
            <w:r w:rsidRPr="00944AB1">
              <w:t>referred to as ‘</w:t>
            </w:r>
            <w:r w:rsidR="007D61A3" w:rsidRPr="00944AB1">
              <w:t xml:space="preserve">breast </w:t>
            </w:r>
            <w:r w:rsidRPr="00944AB1">
              <w:t>density’.</w:t>
            </w:r>
            <w:r w:rsidR="00322647">
              <w:rPr>
                <w:vertAlign w:val="superscript"/>
              </w:rPr>
              <w:t>3</w:t>
            </w:r>
          </w:p>
          <w:p w14:paraId="68D43D73" w14:textId="1587CCEF" w:rsidR="000D2B29" w:rsidRPr="00944AB1" w:rsidRDefault="000D2B29" w:rsidP="00106454">
            <w:pPr>
              <w:pStyle w:val="ListBullet"/>
            </w:pPr>
            <w:r w:rsidRPr="00944AB1">
              <w:t xml:space="preserve">High </w:t>
            </w:r>
            <w:r w:rsidR="001A628D" w:rsidRPr="00944AB1">
              <w:t>mammographic</w:t>
            </w:r>
            <w:r w:rsidRPr="00944AB1">
              <w:t xml:space="preserve"> density is associated with an increased risk of breast cancer. </w:t>
            </w:r>
            <w:r w:rsidR="006F5A7B" w:rsidRPr="00944AB1">
              <w:t>It</w:t>
            </w:r>
            <w:r w:rsidRPr="00944AB1">
              <w:t xml:space="preserve"> also has an impact on screening mammography as it can lead to a lower accuracy or ‘sensitivity’ for cancer detection.</w:t>
            </w:r>
            <w:r w:rsidR="00A84098">
              <w:rPr>
                <w:vertAlign w:val="superscript"/>
              </w:rPr>
              <w:t>4-6</w:t>
            </w:r>
          </w:p>
          <w:p w14:paraId="314653BF" w14:textId="105EE87C" w:rsidR="000D2B29" w:rsidRPr="00944AB1" w:rsidRDefault="000D2B29" w:rsidP="00106454">
            <w:pPr>
              <w:pStyle w:val="ListBullet"/>
            </w:pPr>
            <w:r w:rsidRPr="00944AB1">
              <w:t xml:space="preserve">Whilst mammographic density can be estimated by the radiologist reading the mammogram, there are validated, reproducible, automated tools available </w:t>
            </w:r>
            <w:r w:rsidR="00B90231" w:rsidRPr="00944AB1">
              <w:t>to</w:t>
            </w:r>
            <w:r w:rsidR="00FB759B" w:rsidRPr="00944AB1">
              <w:t xml:space="preserve"> </w:t>
            </w:r>
            <w:r w:rsidRPr="00944AB1">
              <w:t>measure mammographic density.</w:t>
            </w:r>
          </w:p>
          <w:p w14:paraId="7207A099" w14:textId="41E1C4FD" w:rsidR="000D2B29" w:rsidRPr="00944AB1" w:rsidRDefault="000D2B29" w:rsidP="00106454">
            <w:pPr>
              <w:pStyle w:val="ListBullet"/>
            </w:pPr>
            <w:r w:rsidRPr="00944AB1">
              <w:t>The Breast Imaging Reporting and Data System (BI-RADS)</w:t>
            </w:r>
            <w:r w:rsidR="007F72E9">
              <w:rPr>
                <w:vertAlign w:val="superscript"/>
              </w:rPr>
              <w:t>7</w:t>
            </w:r>
            <w:r w:rsidRPr="00944AB1">
              <w:t xml:space="preserve"> </w:t>
            </w:r>
            <w:r w:rsidR="00397A8F" w:rsidRPr="00944AB1">
              <w:t>for mammography (fifth edition)</w:t>
            </w:r>
            <w:r w:rsidR="00126099" w:rsidRPr="00944AB1">
              <w:t xml:space="preserve"> </w:t>
            </w:r>
            <w:r w:rsidRPr="00944AB1">
              <w:t>is used to describe four categories of density:</w:t>
            </w:r>
          </w:p>
          <w:p w14:paraId="29A90219" w14:textId="77777777" w:rsidR="000D2B29" w:rsidRPr="00944AB1" w:rsidRDefault="000D2B29" w:rsidP="00106454">
            <w:pPr>
              <w:pStyle w:val="ListBullet3"/>
            </w:pPr>
            <w:r w:rsidRPr="00944AB1">
              <w:rPr>
                <w:b/>
              </w:rPr>
              <w:t>BI-RADS category-a</w:t>
            </w:r>
            <w:r w:rsidRPr="00944AB1">
              <w:t xml:space="preserve">: the breasts are almost entirely </w:t>
            </w:r>
            <w:proofErr w:type="gramStart"/>
            <w:r w:rsidRPr="00944AB1">
              <w:t>fatty;</w:t>
            </w:r>
            <w:proofErr w:type="gramEnd"/>
          </w:p>
          <w:p w14:paraId="53C23DF1" w14:textId="059F9B0F" w:rsidR="000D2B29" w:rsidRPr="00944AB1" w:rsidRDefault="000D2B29" w:rsidP="00106454">
            <w:pPr>
              <w:pStyle w:val="ListBullet3"/>
            </w:pPr>
            <w:r w:rsidRPr="00944AB1">
              <w:rPr>
                <w:b/>
              </w:rPr>
              <w:t>BI-RADS category-b</w:t>
            </w:r>
            <w:r w:rsidRPr="00944AB1">
              <w:t xml:space="preserve">: there are scattered areas of </w:t>
            </w:r>
            <w:r w:rsidRPr="00106454">
              <w:t>fibroglandular</w:t>
            </w:r>
            <w:r w:rsidRPr="00944AB1">
              <w:t xml:space="preserve"> </w:t>
            </w:r>
            <w:proofErr w:type="gramStart"/>
            <w:r w:rsidRPr="00944AB1">
              <w:t>density;</w:t>
            </w:r>
            <w:proofErr w:type="gramEnd"/>
          </w:p>
          <w:p w14:paraId="5DCF1D9E" w14:textId="77777777" w:rsidR="000D2B29" w:rsidRPr="00944AB1" w:rsidRDefault="000D2B29" w:rsidP="00106454">
            <w:pPr>
              <w:pStyle w:val="ListBullet3"/>
            </w:pPr>
            <w:r w:rsidRPr="00944AB1">
              <w:rPr>
                <w:b/>
              </w:rPr>
              <w:t>BI-RADS category-c</w:t>
            </w:r>
            <w:r w:rsidRPr="00944AB1">
              <w:t xml:space="preserve">: the breasts are heterogeneously dense, which may obscure small </w:t>
            </w:r>
            <w:proofErr w:type="gramStart"/>
            <w:r w:rsidRPr="00944AB1">
              <w:t>masses;</w:t>
            </w:r>
            <w:proofErr w:type="gramEnd"/>
          </w:p>
          <w:p w14:paraId="6DB012C8" w14:textId="77777777" w:rsidR="000D2B29" w:rsidRPr="00944AB1" w:rsidRDefault="000D2B29" w:rsidP="00106454">
            <w:pPr>
              <w:pStyle w:val="ListBullet3"/>
            </w:pPr>
            <w:r w:rsidRPr="00944AB1">
              <w:rPr>
                <w:b/>
              </w:rPr>
              <w:t>BI-RADS category-d</w:t>
            </w:r>
            <w:r w:rsidRPr="00944AB1">
              <w:t>: the breasts are extremely dense, which lowers the sensitivity of mammography.</w:t>
            </w:r>
          </w:p>
          <w:p w14:paraId="16CD8170" w14:textId="77777777" w:rsidR="000D2B29" w:rsidRPr="00944AB1" w:rsidRDefault="000D2B29" w:rsidP="00106454">
            <w:pPr>
              <w:pStyle w:val="ListBullet"/>
            </w:pPr>
            <w:r w:rsidRPr="00944AB1">
              <w:t xml:space="preserve">The BI-RADS-c and -d categories are often combined and referred to as ‘dense </w:t>
            </w:r>
            <w:proofErr w:type="gramStart"/>
            <w:r w:rsidRPr="00944AB1">
              <w:t>breasts’</w:t>
            </w:r>
            <w:proofErr w:type="gramEnd"/>
            <w:r w:rsidRPr="00944AB1">
              <w:t>. BI-RADS category-d is referred to as ‘extremely dense’.</w:t>
            </w:r>
          </w:p>
          <w:p w14:paraId="3E800850" w14:textId="77777777" w:rsidR="005170BB" w:rsidRPr="00944AB1" w:rsidRDefault="00B70AB9" w:rsidP="00106454">
            <w:pPr>
              <w:pStyle w:val="ListBullet"/>
            </w:pPr>
            <w:r w:rsidRPr="00944AB1">
              <w:t>Breast density generally reduces with age.</w:t>
            </w:r>
          </w:p>
          <w:p w14:paraId="17541F3D" w14:textId="2CB56ADD" w:rsidR="00273878" w:rsidRPr="00944AB1" w:rsidRDefault="005170BB" w:rsidP="00106454">
            <w:pPr>
              <w:pStyle w:val="ListBullet"/>
            </w:pPr>
            <w:r w:rsidRPr="00944AB1">
              <w:t>T</w:t>
            </w:r>
            <w:r w:rsidR="000D2B29" w:rsidRPr="00944AB1">
              <w:t xml:space="preserve">he following mammogram images </w:t>
            </w:r>
            <w:r w:rsidR="00A15840" w:rsidRPr="00944AB1">
              <w:t xml:space="preserve">(courtesy of </w:t>
            </w:r>
            <w:hyperlink r:id="rId12">
              <w:proofErr w:type="spellStart"/>
              <w:r w:rsidR="00613292" w:rsidRPr="00944AB1">
                <w:t>I</w:t>
              </w:r>
              <w:r w:rsidR="00A15840" w:rsidRPr="00944AB1">
                <w:t>nf</w:t>
              </w:r>
              <w:r w:rsidR="00421A1E" w:rsidRPr="00944AB1">
                <w:t>orMD</w:t>
              </w:r>
              <w:proofErr w:type="spellEnd"/>
              <w:r w:rsidR="233BF536" w:rsidRPr="00944AB1">
                <w:t>)</w:t>
              </w:r>
            </w:hyperlink>
            <w:r w:rsidR="003A7B79">
              <w:rPr>
                <w:vertAlign w:val="superscript"/>
              </w:rPr>
              <w:t>8</w:t>
            </w:r>
            <w:r w:rsidR="00681BFD" w:rsidRPr="00944AB1">
              <w:rPr>
                <w:vertAlign w:val="superscript"/>
              </w:rPr>
              <w:t xml:space="preserve"> </w:t>
            </w:r>
            <w:r w:rsidR="000D2B29" w:rsidRPr="00944AB1">
              <w:t>show normal breasts with varying amounts of dense breast tissue</w:t>
            </w:r>
            <w:r w:rsidR="00273878" w:rsidRPr="00944AB1">
              <w:t>.</w:t>
            </w:r>
          </w:p>
          <w:p w14:paraId="5074006F" w14:textId="040B2DB7" w:rsidR="00054247" w:rsidRPr="00106454" w:rsidRDefault="00054247" w:rsidP="00AE6ED8">
            <w:pPr>
              <w:pStyle w:val="TableParagraph"/>
            </w:pPr>
            <w:r w:rsidRPr="00106454">
              <w:rPr>
                <w:noProof/>
              </w:rPr>
              <w:drawing>
                <wp:inline distT="0" distB="0" distL="0" distR="0" wp14:anchorId="6EAF803A" wp14:editId="294C2638">
                  <wp:extent cx="4772025" cy="2200275"/>
                  <wp:effectExtent l="0" t="0" r="9525" b="9525"/>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772025" cy="2200275"/>
                          </a:xfrm>
                          <a:prstGeom prst="rect">
                            <a:avLst/>
                          </a:prstGeom>
                        </pic:spPr>
                      </pic:pic>
                    </a:graphicData>
                  </a:graphic>
                </wp:inline>
              </w:drawing>
            </w:r>
          </w:p>
          <w:tbl>
            <w:tblPr>
              <w:tblStyle w:val="TableGrid"/>
              <w:tblW w:w="6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5"/>
              <w:gridCol w:w="1559"/>
              <w:gridCol w:w="1984"/>
              <w:gridCol w:w="1843"/>
            </w:tblGrid>
            <w:tr w:rsidR="00054247" w:rsidRPr="00944AB1" w14:paraId="1803BF57" w14:textId="77777777" w:rsidTr="00AE6ED8">
              <w:trPr>
                <w:tblHeader/>
                <w:jc w:val="center"/>
              </w:trPr>
              <w:tc>
                <w:tcPr>
                  <w:tcW w:w="1585" w:type="dxa"/>
                </w:tcPr>
                <w:p w14:paraId="67960DD6" w14:textId="6A79FBED" w:rsidR="00054247" w:rsidRPr="00944AB1" w:rsidRDefault="00054247" w:rsidP="00106454">
                  <w:pPr>
                    <w:pStyle w:val="TableParagraph"/>
                  </w:pPr>
                  <w:r w:rsidRPr="00944AB1">
                    <w:t xml:space="preserve">BI-RADS </w:t>
                  </w:r>
                  <w:r w:rsidR="00DC7C39" w:rsidRPr="00944AB1">
                    <w:t>a</w:t>
                  </w:r>
                </w:p>
              </w:tc>
              <w:tc>
                <w:tcPr>
                  <w:tcW w:w="1559" w:type="dxa"/>
                </w:tcPr>
                <w:p w14:paraId="029DB585" w14:textId="4A946BDE" w:rsidR="00054247" w:rsidRPr="00944AB1" w:rsidRDefault="00DC7C39" w:rsidP="00106454">
                  <w:pPr>
                    <w:pStyle w:val="TableParagraph"/>
                  </w:pPr>
                  <w:r w:rsidRPr="00944AB1">
                    <w:t>BI-RADS b</w:t>
                  </w:r>
                </w:p>
              </w:tc>
              <w:tc>
                <w:tcPr>
                  <w:tcW w:w="1984" w:type="dxa"/>
                </w:tcPr>
                <w:p w14:paraId="77495C92" w14:textId="7AC65FC6" w:rsidR="00054247" w:rsidRPr="00944AB1" w:rsidRDefault="00DC7C39" w:rsidP="00106454">
                  <w:pPr>
                    <w:pStyle w:val="TableParagraph"/>
                  </w:pPr>
                  <w:r w:rsidRPr="00944AB1">
                    <w:t>BI-RADS c</w:t>
                  </w:r>
                </w:p>
              </w:tc>
              <w:tc>
                <w:tcPr>
                  <w:tcW w:w="1843" w:type="dxa"/>
                </w:tcPr>
                <w:p w14:paraId="54714227" w14:textId="0831D976" w:rsidR="00054247" w:rsidRPr="00944AB1" w:rsidRDefault="00DC7C39" w:rsidP="00106454">
                  <w:pPr>
                    <w:pStyle w:val="TableParagraph"/>
                  </w:pPr>
                  <w:r w:rsidRPr="00944AB1">
                    <w:t>BI-RADS d</w:t>
                  </w:r>
                </w:p>
              </w:tc>
            </w:tr>
          </w:tbl>
          <w:p w14:paraId="5952AC4C" w14:textId="01BB4C99" w:rsidR="000D2B29" w:rsidRPr="00944AB1" w:rsidRDefault="000D2B29" w:rsidP="00106454">
            <w:pPr>
              <w:pStyle w:val="ListBullet"/>
            </w:pPr>
            <w:r w:rsidRPr="00944AB1">
              <w:t xml:space="preserve">A </w:t>
            </w:r>
            <w:r w:rsidR="00157C3A" w:rsidRPr="00944AB1">
              <w:t xml:space="preserve">significant </w:t>
            </w:r>
            <w:r w:rsidRPr="00944AB1">
              <w:t xml:space="preserve">proportion of the </w:t>
            </w:r>
            <w:proofErr w:type="spellStart"/>
            <w:r w:rsidRPr="00944AB1">
              <w:t>BreastScreen</w:t>
            </w:r>
            <w:proofErr w:type="spellEnd"/>
            <w:r w:rsidRPr="00944AB1">
              <w:t xml:space="preserve"> </w:t>
            </w:r>
            <w:r w:rsidR="00D46CD9" w:rsidRPr="00944AB1">
              <w:t xml:space="preserve">Australia </w:t>
            </w:r>
            <w:r w:rsidRPr="00944AB1">
              <w:t>eligible population has high mammographic density. While figures for prevalence vary throughout the literature, Australian evidence notes:</w:t>
            </w:r>
          </w:p>
          <w:p w14:paraId="53A8B374" w14:textId="102F2D0D" w:rsidR="000D2B29" w:rsidRPr="00944AB1" w:rsidRDefault="000D2B29" w:rsidP="00106454">
            <w:pPr>
              <w:pStyle w:val="ListBullet3"/>
            </w:pPr>
            <w:r w:rsidRPr="00944AB1">
              <w:t xml:space="preserve">about </w:t>
            </w:r>
            <w:r w:rsidR="00EF6AAB" w:rsidRPr="00944AB1">
              <w:t>33</w:t>
            </w:r>
            <w:r w:rsidR="00505FAE" w:rsidRPr="00944AB1">
              <w:t>%</w:t>
            </w:r>
            <w:r w:rsidR="00325AF9" w:rsidRPr="00944AB1">
              <w:t xml:space="preserve"> </w:t>
            </w:r>
            <w:r w:rsidRPr="00944AB1">
              <w:t>of women 50-74 years have high breast density</w:t>
            </w:r>
            <w:r w:rsidR="00642E52">
              <w:rPr>
                <w:vertAlign w:val="superscript"/>
              </w:rPr>
              <w:t>9-10</w:t>
            </w:r>
            <w:r w:rsidRPr="00944AB1">
              <w:t xml:space="preserve"> (BI-RADS category-c or -d</w:t>
            </w:r>
            <w:proofErr w:type="gramStart"/>
            <w:r w:rsidRPr="00944AB1">
              <w:t>);</w:t>
            </w:r>
            <w:proofErr w:type="gramEnd"/>
          </w:p>
          <w:p w14:paraId="09F94CCD" w14:textId="7CE00929" w:rsidR="000D2B29" w:rsidRPr="00944AB1" w:rsidRDefault="000D2B29" w:rsidP="00106454">
            <w:pPr>
              <w:pStyle w:val="ListBullet3"/>
            </w:pPr>
            <w:r w:rsidRPr="00944AB1">
              <w:lastRenderedPageBreak/>
              <w:t>about 10% of women aged 50-74 years have extremely dense breasts (BI-RADS category-d</w:t>
            </w:r>
            <w:proofErr w:type="gramStart"/>
            <w:r w:rsidRPr="00944AB1">
              <w:t>);</w:t>
            </w:r>
            <w:proofErr w:type="gramEnd"/>
          </w:p>
          <w:p w14:paraId="3C03F7EA" w14:textId="6FC040C9" w:rsidR="000D2B29" w:rsidRPr="00944AB1" w:rsidRDefault="000D2B29" w:rsidP="00106454">
            <w:pPr>
              <w:pStyle w:val="ListBullet3"/>
            </w:pPr>
            <w:r w:rsidRPr="00944AB1">
              <w:t>about 25% of women under the age of 50 years have extremely dense breasts (BI-RADS category-d).</w:t>
            </w:r>
            <w:r w:rsidR="00955D7E">
              <w:rPr>
                <w:vertAlign w:val="superscript"/>
              </w:rPr>
              <w:t>11</w:t>
            </w:r>
          </w:p>
          <w:p w14:paraId="7F4AA29F" w14:textId="7A7C1DF5" w:rsidR="000D2B29" w:rsidRPr="00944AB1" w:rsidRDefault="000D2B29" w:rsidP="00106454">
            <w:pPr>
              <w:pStyle w:val="ListBullet"/>
            </w:pPr>
            <w:r w:rsidRPr="00944AB1">
              <w:t xml:space="preserve">Because breast tumours </w:t>
            </w:r>
            <w:r w:rsidR="401CEA59" w:rsidRPr="00944AB1">
              <w:t xml:space="preserve">most often </w:t>
            </w:r>
            <w:r w:rsidRPr="00944AB1">
              <w:t>appear white on a mammogram, the presence of dense breast tissue can mask their appearance and affect the accuracy of interpretation of the mammogram.</w:t>
            </w:r>
          </w:p>
          <w:p w14:paraId="6D4DAD10" w14:textId="6B9F9D38" w:rsidR="000D2B29" w:rsidRPr="00944AB1" w:rsidRDefault="000D2B29" w:rsidP="00106454">
            <w:pPr>
              <w:pStyle w:val="ListBullet"/>
            </w:pPr>
            <w:r w:rsidRPr="00944AB1">
              <w:t xml:space="preserve">The sensitivity of a </w:t>
            </w:r>
            <w:r w:rsidR="00041A29" w:rsidRPr="00944AB1">
              <w:t>mammogra</w:t>
            </w:r>
            <w:r w:rsidR="002F69DB" w:rsidRPr="00944AB1">
              <w:t xml:space="preserve">phy </w:t>
            </w:r>
            <w:r w:rsidRPr="00944AB1">
              <w:t>screening program</w:t>
            </w:r>
            <w:r w:rsidR="00BA3F9A" w:rsidRPr="00944AB1">
              <w:t xml:space="preserve"> (that is,</w:t>
            </w:r>
            <w:r w:rsidR="00BA3F9A" w:rsidRPr="00944AB1">
              <w:rPr>
                <w:b/>
                <w:i/>
                <w:color w:val="202122"/>
                <w:shd w:val="clear" w:color="auto" w:fill="FFFFFF"/>
                <w:lang w:eastAsia="en-AU"/>
              </w:rPr>
              <w:t xml:space="preserve"> </w:t>
            </w:r>
            <w:r w:rsidR="00BA3F9A" w:rsidRPr="00944AB1">
              <w:t xml:space="preserve">its ability to correctly identify those with </w:t>
            </w:r>
            <w:r w:rsidR="00213CC1" w:rsidRPr="00944AB1">
              <w:t>disease</w:t>
            </w:r>
            <w:r w:rsidR="00BA3F9A" w:rsidRPr="00944AB1">
              <w:t xml:space="preserve">, </w:t>
            </w:r>
            <w:r w:rsidR="009C7446" w:rsidRPr="00944AB1">
              <w:t xml:space="preserve">or detection </w:t>
            </w:r>
            <w:r w:rsidR="00BA3F9A" w:rsidRPr="00944AB1">
              <w:t xml:space="preserve">rate), </w:t>
            </w:r>
            <w:r w:rsidRPr="00944AB1">
              <w:t>is approximately:</w:t>
            </w:r>
          </w:p>
          <w:p w14:paraId="57F53007" w14:textId="77777777" w:rsidR="000D2B29" w:rsidRPr="00944AB1" w:rsidRDefault="000D2B29" w:rsidP="00106454">
            <w:pPr>
              <w:pStyle w:val="ListBullet3"/>
            </w:pPr>
            <w:r w:rsidRPr="00944AB1">
              <w:t>90% for women with BI-RADS category-a or -b</w:t>
            </w:r>
          </w:p>
          <w:p w14:paraId="74406810" w14:textId="77777777" w:rsidR="000D2B29" w:rsidRPr="00944AB1" w:rsidRDefault="000D2B29" w:rsidP="00106454">
            <w:pPr>
              <w:pStyle w:val="ListBullet3"/>
            </w:pPr>
            <w:r w:rsidRPr="00944AB1">
              <w:t>84% for those in BIRADS category-c</w:t>
            </w:r>
          </w:p>
          <w:p w14:paraId="65E520C0" w14:textId="5018EF90" w:rsidR="000D2B29" w:rsidRPr="00944AB1" w:rsidDel="00E31E09" w:rsidRDefault="000D2B29" w:rsidP="00106454">
            <w:pPr>
              <w:pStyle w:val="ListBullet3"/>
            </w:pPr>
            <w:r w:rsidRPr="00944AB1">
              <w:t>64% for those in BI-RADS category -d.</w:t>
            </w:r>
            <w:r w:rsidR="00F76332">
              <w:rPr>
                <w:vertAlign w:val="superscript"/>
              </w:rPr>
              <w:t>12</w:t>
            </w:r>
          </w:p>
          <w:p w14:paraId="34112B1C" w14:textId="1BE5C899" w:rsidR="00C649CD" w:rsidRPr="00944AB1" w:rsidRDefault="000D2B29" w:rsidP="00106454">
            <w:pPr>
              <w:pStyle w:val="ListBullet"/>
            </w:pPr>
            <w:r w:rsidRPr="00944AB1">
              <w:t xml:space="preserve">However, it is important to recognise that </w:t>
            </w:r>
            <w:r w:rsidR="00C649CD" w:rsidRPr="00944AB1">
              <w:t>irrespective</w:t>
            </w:r>
            <w:r w:rsidRPr="00944AB1">
              <w:t xml:space="preserve"> of breast density, mammography is still the best breast cancer screening test in a population-based screening program for asymptomatic women aged 50 to 74 years</w:t>
            </w:r>
            <w:r w:rsidR="00F83E15" w:rsidRPr="00944AB1">
              <w:t>.</w:t>
            </w:r>
          </w:p>
        </w:tc>
      </w:tr>
      <w:tr w:rsidR="000D2B29" w:rsidRPr="00027930" w14:paraId="0DE80558"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19D6340F" w14:textId="6EDACA8A" w:rsidR="000D2B29" w:rsidRPr="00944AB1" w:rsidRDefault="00E5025F" w:rsidP="00AE6ED8">
            <w:pPr>
              <w:pStyle w:val="Tableparagraphemphasis"/>
              <w:rPr>
                <w:spacing w:val="-2"/>
              </w:rPr>
            </w:pPr>
            <w:r w:rsidRPr="00944AB1">
              <w:rPr>
                <w:lang w:eastAsia="en-AU"/>
              </w:rPr>
              <w:lastRenderedPageBreak/>
              <w:t>Density as part of breast cancer risk assessment</w:t>
            </w:r>
          </w:p>
        </w:tc>
        <w:tc>
          <w:tcPr>
            <w:tcW w:w="7371" w:type="dxa"/>
            <w:tcBorders>
              <w:top w:val="single" w:sz="4" w:space="0" w:color="000000" w:themeColor="text1"/>
              <w:bottom w:val="single" w:sz="4" w:space="0" w:color="000000" w:themeColor="text1"/>
            </w:tcBorders>
          </w:tcPr>
          <w:p w14:paraId="55BFAEEF" w14:textId="104F3AF5" w:rsidR="00FC12AA" w:rsidRPr="00944AB1" w:rsidRDefault="000D2B29" w:rsidP="00106454">
            <w:pPr>
              <w:pStyle w:val="ListBullet"/>
            </w:pPr>
            <w:r w:rsidRPr="00944AB1">
              <w:t>Increased mammographic density independently increases an individual’s risk of breast cancer and the size of this risk increases with increasing density.</w:t>
            </w:r>
            <w:r w:rsidR="00067170" w:rsidRPr="00944AB1">
              <w:rPr>
                <w:vertAlign w:val="superscript"/>
              </w:rPr>
              <w:t>1</w:t>
            </w:r>
            <w:r w:rsidRPr="00944AB1">
              <w:t xml:space="preserve"> Compared with age and other risk factors however, the increased risk may be small in absolute terms.</w:t>
            </w:r>
          </w:p>
          <w:p w14:paraId="3DD517C8" w14:textId="5C25D826" w:rsidR="00675A41" w:rsidRPr="00944AB1" w:rsidRDefault="00FC12AA" w:rsidP="00106454">
            <w:pPr>
              <w:pStyle w:val="ListBullet"/>
            </w:pPr>
            <w:r w:rsidRPr="00944AB1">
              <w:t>As a group, women with BI-RADS category-a have around half the risk for breast cancer than women with BI-RADS category-b, while those with BI-RADS category-c and -d have 1.6-fold and 2.6-fold higher risk, respectively, than women with BI-RADS category-b.</w:t>
            </w:r>
            <w:r w:rsidR="006E51BD">
              <w:rPr>
                <w:vertAlign w:val="superscript"/>
              </w:rPr>
              <w:t>12-13</w:t>
            </w:r>
          </w:p>
          <w:p w14:paraId="3494096E" w14:textId="7968214E" w:rsidR="00133671" w:rsidRPr="00944AB1" w:rsidRDefault="00B10E88" w:rsidP="00106454">
            <w:pPr>
              <w:pStyle w:val="ListBullet"/>
            </w:pPr>
            <w:r w:rsidRPr="00944AB1">
              <w:t xml:space="preserve">When assessing a woman’s risk of breast cancer, it is important to consider breast density in the context of other common risk factors. </w:t>
            </w:r>
            <w:r w:rsidR="00A3535C" w:rsidRPr="00944AB1">
              <w:t xml:space="preserve">These include non-modifiable risk factors such as increasing age, having a strong family history, and having a high-risk genetic variant; and modifiable factors such as drinking alcohol, increased weight, being physically inactive and taking menopausal hormone </w:t>
            </w:r>
            <w:r w:rsidR="00A3535C" w:rsidRPr="00F32229">
              <w:t>therapy.</w:t>
            </w:r>
            <w:r w:rsidR="00A3535C" w:rsidRPr="00F32229">
              <w:rPr>
                <w:vertAlign w:val="superscript"/>
              </w:rPr>
              <w:t>1</w:t>
            </w:r>
            <w:r w:rsidR="00F32229" w:rsidRPr="00F32229">
              <w:rPr>
                <w:vertAlign w:val="superscript"/>
              </w:rPr>
              <w:t>4</w:t>
            </w:r>
            <w:r w:rsidR="00F32229">
              <w:rPr>
                <w:vertAlign w:val="superscript"/>
              </w:rPr>
              <w:t>-17</w:t>
            </w:r>
          </w:p>
          <w:p w14:paraId="49459814" w14:textId="6FAA89DE" w:rsidR="000D2B29" w:rsidRPr="00944AB1" w:rsidRDefault="00BC591F" w:rsidP="00106454">
            <w:pPr>
              <w:pStyle w:val="ListBullet"/>
            </w:pPr>
            <w:r w:rsidRPr="00944AB1">
              <w:t>U</w:t>
            </w:r>
            <w:r w:rsidR="358BF80F" w:rsidRPr="00944AB1">
              <w:t xml:space="preserve">sing a validated risk assessment tool </w:t>
            </w:r>
            <w:r w:rsidR="7EF5E37E" w:rsidRPr="00944AB1">
              <w:t xml:space="preserve">such as </w:t>
            </w:r>
            <w:hyperlink r:id="rId14">
              <w:proofErr w:type="spellStart"/>
              <w:r w:rsidR="7EF5E37E" w:rsidRPr="00944AB1">
                <w:rPr>
                  <w:rStyle w:val="Hyperlink"/>
                </w:rPr>
                <w:t>iPrevent</w:t>
              </w:r>
            </w:hyperlink>
            <w:r w:rsidR="7EF5E37E" w:rsidRPr="00944AB1">
              <w:rPr>
                <w:vertAlign w:val="superscript"/>
              </w:rPr>
              <w:t>TM</w:t>
            </w:r>
            <w:proofErr w:type="spellEnd"/>
            <w:r w:rsidR="008346D3">
              <w:rPr>
                <w:vertAlign w:val="superscript"/>
              </w:rPr>
              <w:t xml:space="preserve"> </w:t>
            </w:r>
            <w:r w:rsidR="002E02DA">
              <w:rPr>
                <w:vertAlign w:val="superscript"/>
              </w:rPr>
              <w:t>18-19</w:t>
            </w:r>
            <w:r w:rsidR="7EF5E37E" w:rsidRPr="00944AB1">
              <w:rPr>
                <w:lang w:val="en-US"/>
              </w:rPr>
              <w:t xml:space="preserve"> or the</w:t>
            </w:r>
            <w:r w:rsidR="00B16A8C" w:rsidRPr="00944AB1">
              <w:rPr>
                <w:lang w:val="en-US"/>
              </w:rPr>
              <w:t xml:space="preserve"> </w:t>
            </w:r>
            <w:hyperlink r:id="rId15">
              <w:r w:rsidR="7EF5E37E" w:rsidRPr="00944AB1">
                <w:rPr>
                  <w:rStyle w:val="Hyperlink"/>
                  <w:lang w:val="en-US"/>
                </w:rPr>
                <w:t>Tyrer-Cuzick Risk Assessment Calculator</w:t>
              </w:r>
            </w:hyperlink>
            <w:r w:rsidR="002E501B" w:rsidRPr="00944AB1">
              <w:t xml:space="preserve"> or </w:t>
            </w:r>
            <w:hyperlink r:id="rId16">
              <w:proofErr w:type="spellStart"/>
              <w:r w:rsidR="002E501B" w:rsidRPr="00944AB1">
                <w:rPr>
                  <w:rStyle w:val="Hyperlink"/>
                </w:rPr>
                <w:t>CanRisk</w:t>
              </w:r>
              <w:proofErr w:type="spellEnd"/>
            </w:hyperlink>
            <w:r w:rsidR="7EF5E37E" w:rsidRPr="00944AB1">
              <w:t>,</w:t>
            </w:r>
            <w:r w:rsidR="00381807">
              <w:t xml:space="preserve"> before a woman decides to participate in breast cancer screening</w:t>
            </w:r>
            <w:r w:rsidR="7EF5E37E" w:rsidRPr="00944AB1">
              <w:t xml:space="preserve"> </w:t>
            </w:r>
            <w:r w:rsidR="358BF80F" w:rsidRPr="00944AB1">
              <w:t>can provide the basis for</w:t>
            </w:r>
            <w:r w:rsidR="3EF0808E" w:rsidRPr="00944AB1">
              <w:t xml:space="preserve"> discussion</w:t>
            </w:r>
            <w:r w:rsidR="731A080A" w:rsidRPr="00944AB1">
              <w:t>s</w:t>
            </w:r>
            <w:r w:rsidR="005651E6" w:rsidRPr="00944AB1">
              <w:t xml:space="preserve"> between women and their doctors </w:t>
            </w:r>
            <w:r w:rsidR="731A080A" w:rsidRPr="00944AB1">
              <w:t>about</w:t>
            </w:r>
            <w:r w:rsidR="008B5D99">
              <w:t xml:space="preserve"> reducing risk </w:t>
            </w:r>
            <w:r w:rsidR="00832CF0">
              <w:t>of</w:t>
            </w:r>
            <w:r w:rsidR="008B5D99">
              <w:t xml:space="preserve"> breast cancer and the benefits of participating in mammography screening.</w:t>
            </w:r>
          </w:p>
        </w:tc>
      </w:tr>
      <w:tr w:rsidR="00A14967" w:rsidRPr="00027930" w14:paraId="24A0E1C7" w14:textId="77777777" w:rsidTr="00813C61">
        <w:tc>
          <w:tcPr>
            <w:tcW w:w="2552" w:type="dxa"/>
            <w:tcBorders>
              <w:top w:val="single" w:sz="4" w:space="0" w:color="000000" w:themeColor="text1"/>
            </w:tcBorders>
            <w:shd w:val="clear" w:color="auto" w:fill="DBE4F0"/>
          </w:tcPr>
          <w:p w14:paraId="1921BECA" w14:textId="67231AE0" w:rsidR="00A14967" w:rsidRPr="00FB47DE" w:rsidRDefault="00A14967" w:rsidP="009E61C4">
            <w:pPr>
              <w:spacing w:before="80"/>
              <w:ind w:left="108" w:right="-35"/>
              <w:rPr>
                <w:rFonts w:asciiTheme="minorHAnsi" w:eastAsiaTheme="minorEastAsia" w:hAnsiTheme="minorHAnsi" w:cstheme="minorHAnsi"/>
                <w:i/>
                <w:spacing w:val="-2"/>
                <w:lang w:val="en-AU"/>
              </w:rPr>
            </w:pPr>
            <w:r w:rsidRPr="00FB47DE">
              <w:rPr>
                <w:rFonts w:asciiTheme="minorHAnsi" w:eastAsiaTheme="minorEastAsia" w:hAnsiTheme="minorHAnsi" w:cstheme="minorHAnsi"/>
                <w:i/>
                <w:color w:val="000000" w:themeColor="text1"/>
                <w:lang w:val="en-AU" w:eastAsia="en-AU"/>
              </w:rPr>
              <w:t xml:space="preserve">Supplemental </w:t>
            </w:r>
            <w:r w:rsidR="009C607E" w:rsidRPr="00FB47DE">
              <w:rPr>
                <w:rFonts w:asciiTheme="minorHAnsi" w:eastAsiaTheme="minorEastAsia" w:hAnsiTheme="minorHAnsi" w:cstheme="minorHAnsi"/>
                <w:i/>
                <w:color w:val="000000" w:themeColor="text1"/>
                <w:lang w:val="en-AU" w:eastAsia="en-AU"/>
              </w:rPr>
              <w:t>screening</w:t>
            </w:r>
            <w:r w:rsidRPr="00FB47DE">
              <w:rPr>
                <w:rFonts w:asciiTheme="minorHAnsi" w:eastAsiaTheme="minorEastAsia" w:hAnsiTheme="minorHAnsi" w:cstheme="minorHAnsi"/>
                <w:i/>
                <w:color w:val="000000" w:themeColor="text1"/>
                <w:lang w:val="en-AU" w:eastAsia="en-AU"/>
              </w:rPr>
              <w:t xml:space="preserve"> for women with dense breasts</w:t>
            </w:r>
          </w:p>
        </w:tc>
        <w:tc>
          <w:tcPr>
            <w:tcW w:w="7371" w:type="dxa"/>
            <w:tcBorders>
              <w:top w:val="single" w:sz="4" w:space="0" w:color="000000" w:themeColor="text1"/>
            </w:tcBorders>
          </w:tcPr>
          <w:p w14:paraId="3EA0F93D" w14:textId="5E4FBF9E" w:rsidR="00A14967" w:rsidRPr="00944AB1" w:rsidRDefault="00A14967" w:rsidP="00106454">
            <w:pPr>
              <w:pStyle w:val="ListBullet"/>
            </w:pPr>
            <w:r w:rsidRPr="00944AB1">
              <w:t xml:space="preserve">Because high mammographic density reduces the sensitivity of mammography, additional </w:t>
            </w:r>
            <w:r w:rsidR="00827E08" w:rsidRPr="00944AB1">
              <w:t>screening</w:t>
            </w:r>
            <w:r w:rsidR="00650351" w:rsidRPr="00944AB1">
              <w:t xml:space="preserve"> tests</w:t>
            </w:r>
            <w:r w:rsidRPr="00944AB1">
              <w:t xml:space="preserve"> may be useful. This is referred to as ‘supplemental </w:t>
            </w:r>
            <w:r w:rsidR="00650351" w:rsidRPr="00944AB1">
              <w:t>screening’</w:t>
            </w:r>
            <w:r w:rsidRPr="00944AB1">
              <w:t>.</w:t>
            </w:r>
          </w:p>
          <w:p w14:paraId="4086794B" w14:textId="50D44072" w:rsidR="00A14967" w:rsidRPr="00944AB1" w:rsidRDefault="00A14967" w:rsidP="00106454">
            <w:pPr>
              <w:pStyle w:val="ListBullet"/>
            </w:pPr>
            <w:r w:rsidRPr="00944AB1">
              <w:t xml:space="preserve">Presently, there is no consensus on the optimal supplemental </w:t>
            </w:r>
            <w:r w:rsidR="00650351" w:rsidRPr="00944AB1">
              <w:t>screening</w:t>
            </w:r>
            <w:r w:rsidRPr="00944AB1">
              <w:t xml:space="preserve"> pathway for </w:t>
            </w:r>
            <w:r w:rsidR="00C47108" w:rsidRPr="00944AB1">
              <w:t>those</w:t>
            </w:r>
            <w:r w:rsidRPr="00944AB1">
              <w:t xml:space="preserve"> with increased mammographic density. This is partly because what is appropriate for any individual woman will depend on her </w:t>
            </w:r>
            <w:r w:rsidR="00A96A19" w:rsidRPr="00944AB1">
              <w:t xml:space="preserve">age, </w:t>
            </w:r>
            <w:r w:rsidRPr="00944AB1">
              <w:t>other risk factors, personal circumstances, and preferences.</w:t>
            </w:r>
          </w:p>
          <w:p w14:paraId="3E6696B1" w14:textId="790382BE" w:rsidR="00A14967" w:rsidRPr="00944AB1" w:rsidRDefault="5EA78802" w:rsidP="00106454">
            <w:pPr>
              <w:pStyle w:val="ListBullet"/>
            </w:pPr>
            <w:r w:rsidRPr="00944AB1">
              <w:t>A range of technologies, in addition to mammography, may be of value for screening or follow-up assessment of women with high mammographic density.</w:t>
            </w:r>
            <w:r w:rsidR="009E6D5D" w:rsidRPr="00944AB1">
              <w:t xml:space="preserve"> </w:t>
            </w:r>
            <w:r w:rsidR="00A14967" w:rsidRPr="00944AB1">
              <w:t>There is most evidence for the use of MRI, ultrasound and tomosynthesis.</w:t>
            </w:r>
            <w:r w:rsidR="00E47B9A" w:rsidRPr="00B63FCA">
              <w:rPr>
                <w:rStyle w:val="superscriptChar"/>
              </w:rPr>
              <w:t>20-26</w:t>
            </w:r>
            <w:r w:rsidR="00A14967" w:rsidRPr="00944AB1">
              <w:t xml:space="preserve"> There is also emerging evidence for the use of Contrast Enhanced Mammography (CEM).</w:t>
            </w:r>
            <w:r w:rsidR="00A14967" w:rsidRPr="00B63FCA">
              <w:rPr>
                <w:rStyle w:val="superscriptChar"/>
              </w:rPr>
              <w:t>2</w:t>
            </w:r>
            <w:r w:rsidR="00DB48D0" w:rsidRPr="00B63FCA">
              <w:rPr>
                <w:rStyle w:val="superscriptChar"/>
              </w:rPr>
              <w:t>7</w:t>
            </w:r>
          </w:p>
          <w:p w14:paraId="18E931A8" w14:textId="15167CB6" w:rsidR="00442976" w:rsidRPr="00944AB1" w:rsidRDefault="00A14967" w:rsidP="00106454">
            <w:pPr>
              <w:pStyle w:val="ListBullet"/>
            </w:pPr>
            <w:r w:rsidRPr="00944AB1">
              <w:lastRenderedPageBreak/>
              <w:t xml:space="preserve">Supplemental </w:t>
            </w:r>
            <w:r w:rsidR="00682370" w:rsidRPr="00944AB1">
              <w:t>screening</w:t>
            </w:r>
            <w:r w:rsidRPr="00944AB1">
              <w:t xml:space="preserve"> can improve cancer detection </w:t>
            </w:r>
            <w:r w:rsidR="001275B5" w:rsidRPr="00944AB1">
              <w:t xml:space="preserve">and reduce interval cancer rates </w:t>
            </w:r>
            <w:r w:rsidRPr="00944AB1">
              <w:t>in women with dense breasts</w:t>
            </w:r>
            <w:r w:rsidR="00BA4D1B" w:rsidRPr="00944AB1">
              <w:t>, suggesting an improvement in outcomes</w:t>
            </w:r>
            <w:r w:rsidRPr="00944AB1">
              <w:t>.</w:t>
            </w:r>
          </w:p>
          <w:p w14:paraId="3D86B8BD" w14:textId="13DECD1A" w:rsidR="00A14967" w:rsidRPr="00944AB1" w:rsidRDefault="00A14967" w:rsidP="00106454">
            <w:pPr>
              <w:pStyle w:val="ListBullet"/>
            </w:pPr>
            <w:r w:rsidRPr="00944AB1">
              <w:t xml:space="preserve">However, supplemental </w:t>
            </w:r>
            <w:r w:rsidR="00065E9E" w:rsidRPr="00944AB1">
              <w:t>screening</w:t>
            </w:r>
            <w:r w:rsidR="00A46CDC" w:rsidRPr="00944AB1">
              <w:t xml:space="preserve"> including ultrasound</w:t>
            </w:r>
            <w:r w:rsidRPr="00944AB1">
              <w:t xml:space="preserve"> is also associated with an increase in false positive results</w:t>
            </w:r>
            <w:r w:rsidR="01784FC6" w:rsidRPr="00944AB1">
              <w:t>.</w:t>
            </w:r>
            <w:r w:rsidR="1684FC1B" w:rsidRPr="00B63FCA">
              <w:rPr>
                <w:rStyle w:val="superscriptChar"/>
              </w:rPr>
              <w:t>2</w:t>
            </w:r>
            <w:r w:rsidR="00A83AA4" w:rsidRPr="00B63FCA">
              <w:rPr>
                <w:rStyle w:val="superscriptChar"/>
              </w:rPr>
              <w:t>8</w:t>
            </w:r>
            <w:r w:rsidRPr="00944AB1">
              <w:rPr>
                <w:vertAlign w:val="superscript"/>
              </w:rPr>
              <w:t xml:space="preserve"> </w:t>
            </w:r>
            <w:r w:rsidRPr="00944AB1">
              <w:t>False positive screening results mean that women may be called back for additional scans or needle biopsies that turn out to be benign (or normal).</w:t>
            </w:r>
            <w:r w:rsidR="00D803BF" w:rsidRPr="00944AB1">
              <w:t xml:space="preserve"> </w:t>
            </w:r>
            <w:r w:rsidR="5EA78802" w:rsidRPr="00944AB1">
              <w:t>The impact</w:t>
            </w:r>
            <w:r w:rsidR="00C1629C" w:rsidRPr="00944AB1">
              <w:t>s</w:t>
            </w:r>
            <w:r w:rsidR="00BF1B30" w:rsidRPr="00944AB1">
              <w:t xml:space="preserve"> on a woman </w:t>
            </w:r>
            <w:r w:rsidR="5EA78802" w:rsidRPr="00944AB1">
              <w:t xml:space="preserve">of </w:t>
            </w:r>
            <w:r w:rsidR="00C92153" w:rsidRPr="00944AB1">
              <w:t>this</w:t>
            </w:r>
            <w:r w:rsidR="5EA78802" w:rsidRPr="00944AB1">
              <w:t xml:space="preserve"> can be significant in terms of cost, anxiety, and willingness to continue to participate in screening.</w:t>
            </w:r>
          </w:p>
          <w:p w14:paraId="609EC581" w14:textId="77777777" w:rsidR="00944AB1" w:rsidRPr="00944AB1" w:rsidRDefault="00A14967" w:rsidP="00106454">
            <w:pPr>
              <w:pStyle w:val="ListBullet"/>
            </w:pPr>
            <w:r w:rsidRPr="00944AB1">
              <w:t xml:space="preserve">Whilst it is recognised that supplemental </w:t>
            </w:r>
            <w:r w:rsidR="004A08A1" w:rsidRPr="00944AB1">
              <w:t>screening</w:t>
            </w:r>
            <w:r w:rsidRPr="00944AB1">
              <w:t xml:space="preserve"> may lead to additional cancer diagnoses in some women, evidence is still evolving about the most suitable supplemental </w:t>
            </w:r>
            <w:r w:rsidR="004A08A1" w:rsidRPr="00944AB1">
              <w:t>screening</w:t>
            </w:r>
            <w:r w:rsidRPr="00944AB1">
              <w:t xml:space="preserve"> modality.</w:t>
            </w:r>
          </w:p>
          <w:p w14:paraId="3FD6A568" w14:textId="1B65E5D3" w:rsidR="00782BA3" w:rsidRPr="00B63FCA" w:rsidRDefault="1827900D" w:rsidP="00B63FCA">
            <w:pPr>
              <w:pStyle w:val="ListBullet"/>
            </w:pPr>
            <w:r w:rsidRPr="00B63FCA">
              <w:t xml:space="preserve">RCTs (or prospective cohort studies) with a longer observation period are needed to assess the effects of supplemental screening on </w:t>
            </w:r>
            <w:r w:rsidR="006E025D" w:rsidRPr="00B63FCA">
              <w:t>outcomes</w:t>
            </w:r>
            <w:r w:rsidRPr="00B63FCA">
              <w:t>. Some of these are underway</w:t>
            </w:r>
            <w:r w:rsidR="2888AEC7" w:rsidRPr="00B63FCA">
              <w:t>.</w:t>
            </w:r>
            <w:r w:rsidR="00B851E9" w:rsidRPr="00B63FCA">
              <w:rPr>
                <w:rStyle w:val="superscriptChar"/>
              </w:rPr>
              <w:t>20</w:t>
            </w:r>
          </w:p>
          <w:p w14:paraId="7323F3B2" w14:textId="3941B128" w:rsidR="00A14967" w:rsidRPr="00944AB1" w:rsidRDefault="5EA78802" w:rsidP="00106454">
            <w:pPr>
              <w:pStyle w:val="ListBullet"/>
            </w:pPr>
            <w:r w:rsidRPr="00944AB1">
              <w:t xml:space="preserve">Currently, supplemental </w:t>
            </w:r>
            <w:r w:rsidR="008F6BA5" w:rsidRPr="00944AB1">
              <w:t>screening</w:t>
            </w:r>
            <w:r w:rsidRPr="00944AB1">
              <w:t xml:space="preserve"> is only available outside of the </w:t>
            </w:r>
            <w:proofErr w:type="spellStart"/>
            <w:r w:rsidRPr="00944AB1">
              <w:t>BreastScreen</w:t>
            </w:r>
            <w:proofErr w:type="spellEnd"/>
            <w:r w:rsidRPr="00944AB1">
              <w:t xml:space="preserve"> Australia program </w:t>
            </w:r>
            <w:r w:rsidR="48AD4B40" w:rsidRPr="00944AB1">
              <w:t>following a consultation and referral by a</w:t>
            </w:r>
            <w:r w:rsidR="007C5D49" w:rsidRPr="00944AB1">
              <w:t xml:space="preserve"> </w:t>
            </w:r>
            <w:r w:rsidR="00236FD6" w:rsidRPr="00944AB1">
              <w:t>GP</w:t>
            </w:r>
            <w:r w:rsidR="48AD4B40" w:rsidRPr="00944AB1">
              <w:t xml:space="preserve"> to a </w:t>
            </w:r>
            <w:r w:rsidRPr="00944AB1">
              <w:t>public or private diagnostic imaging service</w:t>
            </w:r>
            <w:r w:rsidR="00AD153C" w:rsidRPr="00944AB1">
              <w:t xml:space="preserve">. </w:t>
            </w:r>
            <w:r w:rsidR="006D21B6" w:rsidRPr="00944AB1">
              <w:t xml:space="preserve">This </w:t>
            </w:r>
            <w:r w:rsidRPr="00944AB1">
              <w:t>raises issues of equity of access</w:t>
            </w:r>
            <w:r w:rsidR="002F4403" w:rsidRPr="00944AB1">
              <w:t>.</w:t>
            </w:r>
          </w:p>
          <w:p w14:paraId="6CEDBD8A" w14:textId="45212654" w:rsidR="00A14967" w:rsidRPr="00944AB1" w:rsidRDefault="5EA78802" w:rsidP="00106454">
            <w:pPr>
              <w:pStyle w:val="ListBullet"/>
            </w:pPr>
            <w:r w:rsidRPr="00944AB1">
              <w:t>Medicare rebates for services provided by a private diagnostic imaging service are only available in specific circumstances.</w:t>
            </w:r>
          </w:p>
          <w:p w14:paraId="39DB1427" w14:textId="5C1B8347" w:rsidR="00E1117C" w:rsidRPr="00944AB1" w:rsidRDefault="5EA78802" w:rsidP="00106454">
            <w:pPr>
              <w:pStyle w:val="ListBullet"/>
            </w:pPr>
            <w:r w:rsidRPr="00944AB1">
              <w:t>This complex area highlights the important role of the GP</w:t>
            </w:r>
            <w:r w:rsidR="3EB781B6" w:rsidRPr="00944AB1">
              <w:t xml:space="preserve"> or</w:t>
            </w:r>
            <w:r w:rsidR="000D7328">
              <w:t xml:space="preserve"> a</w:t>
            </w:r>
            <w:r w:rsidR="3EB781B6" w:rsidRPr="00944AB1">
              <w:t xml:space="preserve"> breast</w:t>
            </w:r>
            <w:r w:rsidR="001A6F8E">
              <w:t xml:space="preserve"> cancer</w:t>
            </w:r>
            <w:r w:rsidR="3EB781B6" w:rsidRPr="00944AB1">
              <w:t xml:space="preserve"> specialist</w:t>
            </w:r>
            <w:r w:rsidRPr="00944AB1">
              <w:t xml:space="preserve"> who may work with their patient to determine the most suitable management pathway for each individual </w:t>
            </w:r>
            <w:r w:rsidR="00584433" w:rsidRPr="00944AB1">
              <w:t xml:space="preserve">woman </w:t>
            </w:r>
            <w:r w:rsidRPr="00944AB1">
              <w:t>with high breast density.</w:t>
            </w:r>
          </w:p>
        </w:tc>
      </w:tr>
      <w:tr w:rsidR="000D2B29" w:rsidRPr="00027930" w14:paraId="007AA646"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4B025F51" w14:textId="1E46E6DA" w:rsidR="000D2B29" w:rsidRPr="008065B1" w:rsidRDefault="000D2B29" w:rsidP="008065B1">
            <w:pPr>
              <w:pStyle w:val="Tableparagraphemphasis"/>
            </w:pPr>
            <w:r w:rsidRPr="008065B1">
              <w:lastRenderedPageBreak/>
              <w:t xml:space="preserve">Reporting mammographic density in the </w:t>
            </w:r>
            <w:proofErr w:type="spellStart"/>
            <w:r w:rsidRPr="008065B1">
              <w:t>BreastScreen</w:t>
            </w:r>
            <w:proofErr w:type="spellEnd"/>
            <w:r w:rsidRPr="008065B1">
              <w:t xml:space="preserve"> Australia program</w:t>
            </w:r>
          </w:p>
        </w:tc>
        <w:tc>
          <w:tcPr>
            <w:tcW w:w="7371" w:type="dxa"/>
            <w:tcBorders>
              <w:top w:val="single" w:sz="4" w:space="0" w:color="000000" w:themeColor="text1"/>
              <w:bottom w:val="single" w:sz="4" w:space="0" w:color="000000" w:themeColor="text1"/>
            </w:tcBorders>
          </w:tcPr>
          <w:p w14:paraId="1C732543" w14:textId="3C1095E2" w:rsidR="001D399A" w:rsidRPr="00944AB1" w:rsidRDefault="000D2B29" w:rsidP="00B63FCA">
            <w:pPr>
              <w:pStyle w:val="ListBullet"/>
            </w:pPr>
            <w:r w:rsidRPr="00944AB1">
              <w:t xml:space="preserve">There is growing awareness and interest in Australia in mammographic density and its role in breast cancer </w:t>
            </w:r>
            <w:r w:rsidRPr="0090708F">
              <w:t>risk</w:t>
            </w:r>
            <w:r w:rsidR="0016130E">
              <w:t>.</w:t>
            </w:r>
            <w:r w:rsidR="24FD5B33" w:rsidRPr="00B63FCA">
              <w:rPr>
                <w:rStyle w:val="superscriptChar"/>
              </w:rPr>
              <w:t>2</w:t>
            </w:r>
            <w:r w:rsidR="0090708F" w:rsidRPr="00B63FCA">
              <w:rPr>
                <w:rStyle w:val="superscriptChar"/>
              </w:rPr>
              <w:t>9-30</w:t>
            </w:r>
            <w:r w:rsidR="005356A2" w:rsidRPr="00944AB1">
              <w:t xml:space="preserve"> </w:t>
            </w:r>
          </w:p>
          <w:p w14:paraId="73256757" w14:textId="27C11F5F" w:rsidR="005E388E" w:rsidRPr="00944AB1" w:rsidRDefault="005E388E" w:rsidP="00B63FCA">
            <w:pPr>
              <w:pStyle w:val="ListBullet"/>
              <w:rPr>
                <w:lang w:eastAsia="en-AU"/>
              </w:rPr>
            </w:pPr>
            <w:r w:rsidRPr="00944AB1">
              <w:t xml:space="preserve">Multiple </w:t>
            </w:r>
            <w:proofErr w:type="spellStart"/>
            <w:r w:rsidRPr="00944AB1">
              <w:t>BreastScreen</w:t>
            </w:r>
            <w:proofErr w:type="spellEnd"/>
            <w:r w:rsidRPr="00944AB1">
              <w:t xml:space="preserve"> services are measuring and reporting mammographic density or investigating doing so </w:t>
            </w:r>
            <w:bookmarkStart w:id="5" w:name="_Int_FgpEjASf"/>
            <w:proofErr w:type="gramStart"/>
            <w:r w:rsidRPr="00944AB1">
              <w:t>in the near future</w:t>
            </w:r>
            <w:bookmarkEnd w:id="5"/>
            <w:proofErr w:type="gramEnd"/>
            <w:r w:rsidRPr="00944AB1">
              <w:t xml:space="preserve">. A consistent approach across the </w:t>
            </w:r>
            <w:proofErr w:type="spellStart"/>
            <w:r w:rsidRPr="00944AB1">
              <w:t>BreastScreen</w:t>
            </w:r>
            <w:proofErr w:type="spellEnd"/>
            <w:r w:rsidRPr="00944AB1">
              <w:t xml:space="preserve"> Australia program is identified as an </w:t>
            </w:r>
            <w:r w:rsidRPr="00DF7451">
              <w:t>important goal.</w:t>
            </w:r>
            <w:r w:rsidR="24C75AAE" w:rsidRPr="00B63FCA">
              <w:rPr>
                <w:rStyle w:val="superscriptChar"/>
              </w:rPr>
              <w:t>1</w:t>
            </w:r>
            <w:r w:rsidR="00DF7451" w:rsidRPr="00B63FCA">
              <w:rPr>
                <w:rStyle w:val="superscriptChar"/>
              </w:rPr>
              <w:t>2</w:t>
            </w:r>
          </w:p>
          <w:p w14:paraId="359C45F1" w14:textId="1CA08952" w:rsidR="004D32C0" w:rsidRPr="00944AB1" w:rsidRDefault="004D32C0" w:rsidP="00B63FCA">
            <w:pPr>
              <w:pStyle w:val="ListBullet"/>
            </w:pPr>
            <w:r w:rsidRPr="00944AB1">
              <w:t xml:space="preserve">There is evidence that notification of mammographic density may be acceptable to and supported by Australian </w:t>
            </w:r>
            <w:r w:rsidRPr="0016130E">
              <w:rPr>
                <w:color w:val="000000" w:themeColor="text1"/>
              </w:rPr>
              <w:t>women.</w:t>
            </w:r>
            <w:r w:rsidR="0016130E" w:rsidRPr="00B63FCA">
              <w:rPr>
                <w:rStyle w:val="superscriptChar"/>
              </w:rPr>
              <w:t>31-3</w:t>
            </w:r>
            <w:r w:rsidR="001E53B8" w:rsidRPr="00B63FCA">
              <w:rPr>
                <w:rStyle w:val="superscriptChar"/>
              </w:rPr>
              <w:t>5</w:t>
            </w:r>
          </w:p>
          <w:p w14:paraId="6300F014" w14:textId="17C28340" w:rsidR="00B46638" w:rsidRPr="00944AB1" w:rsidRDefault="000D2B29" w:rsidP="00B63FCA">
            <w:pPr>
              <w:pStyle w:val="ListBullet"/>
            </w:pPr>
            <w:r w:rsidRPr="00944AB1">
              <w:t>Reporting</w:t>
            </w:r>
            <w:r w:rsidR="00007F39">
              <w:t xml:space="preserve"> </w:t>
            </w:r>
            <w:r w:rsidRPr="00944AB1">
              <w:t xml:space="preserve">of mammographic density </w:t>
            </w:r>
            <w:r w:rsidR="00451699" w:rsidRPr="00944AB1">
              <w:t xml:space="preserve">informs </w:t>
            </w:r>
            <w:r w:rsidR="007C269F" w:rsidRPr="00944AB1">
              <w:t xml:space="preserve">shared decision making </w:t>
            </w:r>
            <w:r w:rsidR="00A63BCA" w:rsidRPr="00944AB1">
              <w:t xml:space="preserve">about breast cancer screening </w:t>
            </w:r>
            <w:r w:rsidR="008D4F12" w:rsidRPr="00944AB1">
              <w:t>between</w:t>
            </w:r>
            <w:r w:rsidR="007C269F" w:rsidRPr="00944AB1">
              <w:t xml:space="preserve"> </w:t>
            </w:r>
            <w:r w:rsidRPr="00944AB1">
              <w:t>women and their healthcare teams</w:t>
            </w:r>
            <w:r w:rsidR="00451699" w:rsidRPr="00944AB1">
              <w:t>.</w:t>
            </w:r>
            <w:r w:rsidR="00B46638" w:rsidRPr="00944AB1">
              <w:t xml:space="preserve"> Clear and sensitive communication to women and their GPs </w:t>
            </w:r>
            <w:r w:rsidR="003B55A0" w:rsidRPr="00944AB1">
              <w:t>is needed to</w:t>
            </w:r>
            <w:r w:rsidR="00B46638" w:rsidRPr="00944AB1">
              <w:t xml:space="preserve"> support shared decision making on the best management option for each individual woman.</w:t>
            </w:r>
          </w:p>
          <w:p w14:paraId="4057B9AB" w14:textId="7D0A41EA" w:rsidR="000D2B29" w:rsidRPr="00944AB1" w:rsidRDefault="00F2668B" w:rsidP="00106454">
            <w:pPr>
              <w:pStyle w:val="ListBullet"/>
            </w:pPr>
            <w:r w:rsidRPr="00944AB1">
              <w:rPr>
                <w:lang w:val="en-US"/>
              </w:rPr>
              <w:t xml:space="preserve">Reporting of mammographic density </w:t>
            </w:r>
            <w:r w:rsidR="0062631E" w:rsidRPr="00944AB1">
              <w:t xml:space="preserve">also </w:t>
            </w:r>
            <w:r w:rsidR="000D2B29" w:rsidRPr="00944AB1">
              <w:t>facilitates further research and analysis of mammographic density, its measurement, and clinical implications.</w:t>
            </w:r>
          </w:p>
        </w:tc>
      </w:tr>
      <w:tr w:rsidR="000D2B29" w:rsidRPr="00027930" w14:paraId="7945EC72"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2EC35F7E" w14:textId="73B0638B" w:rsidR="000D2B29" w:rsidRPr="00944AB1" w:rsidRDefault="000D2B29" w:rsidP="008065B1">
            <w:pPr>
              <w:pStyle w:val="Tableparagraphemphasis"/>
              <w:rPr>
                <w:color w:val="000000"/>
                <w:lang w:eastAsia="en-AU"/>
              </w:rPr>
            </w:pPr>
            <w:r w:rsidRPr="00944AB1">
              <w:t>Evidence gaps and unanswered questions</w:t>
            </w:r>
          </w:p>
        </w:tc>
        <w:tc>
          <w:tcPr>
            <w:tcW w:w="7371" w:type="dxa"/>
            <w:tcBorders>
              <w:top w:val="single" w:sz="4" w:space="0" w:color="000000" w:themeColor="text1"/>
              <w:bottom w:val="single" w:sz="4" w:space="0" w:color="000000" w:themeColor="text1"/>
            </w:tcBorders>
          </w:tcPr>
          <w:p w14:paraId="18333254" w14:textId="085E3017" w:rsidR="000D2B29" w:rsidRPr="00944AB1" w:rsidRDefault="000D2B29" w:rsidP="009E61C4">
            <w:pPr>
              <w:widowControl/>
              <w:numPr>
                <w:ilvl w:val="0"/>
                <w:numId w:val="2"/>
              </w:numPr>
              <w:autoSpaceDE/>
              <w:autoSpaceDN/>
              <w:spacing w:before="80"/>
              <w:ind w:left="465" w:right="-35" w:hanging="357"/>
              <w:textAlignment w:val="center"/>
              <w:rPr>
                <w:rFonts w:asciiTheme="minorHAnsi" w:eastAsiaTheme="minorEastAsia" w:hAnsiTheme="minorHAnsi" w:cstheme="minorHAnsi"/>
                <w:color w:val="000000"/>
                <w:vertAlign w:val="superscript"/>
                <w:lang w:val="en-AU" w:eastAsia="en-AU"/>
              </w:rPr>
            </w:pPr>
            <w:r w:rsidRPr="00944AB1">
              <w:rPr>
                <w:rFonts w:asciiTheme="minorHAnsi" w:eastAsiaTheme="minorEastAsia" w:hAnsiTheme="minorHAnsi" w:cstheme="minorHAnsi"/>
                <w:color w:val="000000" w:themeColor="text1"/>
                <w:lang w:val="en-AU" w:eastAsia="en-AU"/>
              </w:rPr>
              <w:t xml:space="preserve">There are important gaps in understanding the potential impacts on women of mammographic density measurement and notification. More evidence is required to inform current and </w:t>
            </w:r>
            <w:r w:rsidRPr="003051B6">
              <w:rPr>
                <w:rFonts w:asciiTheme="minorHAnsi" w:eastAsiaTheme="minorEastAsia" w:hAnsiTheme="minorHAnsi" w:cstheme="minorHAnsi"/>
                <w:color w:val="000000" w:themeColor="text1"/>
                <w:lang w:val="en-AU" w:eastAsia="en-AU"/>
              </w:rPr>
              <w:t>future practice.</w:t>
            </w:r>
            <w:r w:rsidR="005B36A9" w:rsidRPr="00B63FCA">
              <w:rPr>
                <w:rStyle w:val="superscriptChar"/>
              </w:rPr>
              <w:t>36-39</w:t>
            </w:r>
          </w:p>
          <w:p w14:paraId="7F1E73EA" w14:textId="1BD4C208" w:rsidR="000D2B29" w:rsidRPr="00944AB1" w:rsidRDefault="00CC4A7F" w:rsidP="009E61C4">
            <w:pPr>
              <w:widowControl/>
              <w:numPr>
                <w:ilvl w:val="0"/>
                <w:numId w:val="2"/>
              </w:numPr>
              <w:autoSpaceDE/>
              <w:autoSpaceDN/>
              <w:spacing w:before="80"/>
              <w:ind w:left="465" w:right="-35" w:hanging="357"/>
              <w:textAlignment w:val="center"/>
              <w:rPr>
                <w:rFonts w:asciiTheme="minorHAnsi" w:eastAsiaTheme="minorEastAsia" w:hAnsiTheme="minorHAnsi" w:cstheme="minorHAnsi"/>
                <w:color w:val="000000"/>
                <w:lang w:val="en-AU" w:eastAsia="en-AU"/>
              </w:rPr>
            </w:pPr>
            <w:r w:rsidRPr="00944AB1">
              <w:rPr>
                <w:rFonts w:asciiTheme="minorHAnsi" w:eastAsiaTheme="minorEastAsia" w:hAnsiTheme="minorHAnsi" w:cstheme="minorHAnsi"/>
                <w:color w:val="000000" w:themeColor="text1"/>
                <w:lang w:val="en-AU" w:eastAsia="en-AU"/>
              </w:rPr>
              <w:t>A</w:t>
            </w:r>
            <w:r w:rsidR="000D2B29" w:rsidRPr="00944AB1">
              <w:rPr>
                <w:rFonts w:asciiTheme="minorHAnsi" w:eastAsiaTheme="minorEastAsia" w:hAnsiTheme="minorHAnsi" w:cstheme="minorHAnsi"/>
                <w:color w:val="000000" w:themeColor="text1"/>
                <w:lang w:val="en-AU" w:eastAsia="en-AU"/>
              </w:rPr>
              <w:t xml:space="preserve"> consistent theme in the literature reviewed is the uncertainty of evidence and lack of consensus for recommendations regarding management pathways for women with dense breasts.</w:t>
            </w:r>
          </w:p>
          <w:p w14:paraId="4E51C913" w14:textId="4C62F4F1" w:rsidR="000D2B29" w:rsidRPr="00944AB1" w:rsidRDefault="000D2B29" w:rsidP="009E61C4">
            <w:pPr>
              <w:widowControl/>
              <w:numPr>
                <w:ilvl w:val="0"/>
                <w:numId w:val="2"/>
              </w:numPr>
              <w:autoSpaceDE/>
              <w:autoSpaceDN/>
              <w:spacing w:before="80"/>
              <w:ind w:left="465" w:right="-35" w:hanging="357"/>
              <w:textAlignment w:val="center"/>
              <w:rPr>
                <w:rFonts w:asciiTheme="minorHAnsi" w:eastAsiaTheme="minorEastAsia" w:hAnsiTheme="minorHAnsi" w:cstheme="minorHAnsi"/>
                <w:color w:val="000000"/>
                <w:lang w:val="en-AU" w:eastAsia="en-AU"/>
              </w:rPr>
            </w:pPr>
            <w:r w:rsidRPr="00944AB1">
              <w:rPr>
                <w:rFonts w:asciiTheme="minorHAnsi" w:eastAsiaTheme="minorEastAsia" w:hAnsiTheme="minorHAnsi" w:cstheme="minorHAnsi"/>
                <w:color w:val="000000" w:themeColor="text1"/>
                <w:lang w:val="en-AU" w:eastAsia="en-AU"/>
              </w:rPr>
              <w:lastRenderedPageBreak/>
              <w:t>Whilst MRI, ultrasound</w:t>
            </w:r>
            <w:r w:rsidR="00B25CF0" w:rsidRPr="00944AB1">
              <w:rPr>
                <w:rFonts w:asciiTheme="minorHAnsi" w:eastAsiaTheme="minorEastAsia" w:hAnsiTheme="minorHAnsi" w:cstheme="minorHAnsi"/>
                <w:color w:val="000000" w:themeColor="text1"/>
                <w:lang w:val="en-AU" w:eastAsia="en-AU"/>
              </w:rPr>
              <w:t>,</w:t>
            </w:r>
            <w:r w:rsidRPr="00944AB1">
              <w:rPr>
                <w:rFonts w:asciiTheme="minorHAnsi" w:eastAsiaTheme="minorEastAsia" w:hAnsiTheme="minorHAnsi" w:cstheme="minorHAnsi"/>
                <w:color w:val="000000" w:themeColor="text1"/>
                <w:lang w:val="en-AU" w:eastAsia="en-AU"/>
              </w:rPr>
              <w:t xml:space="preserve"> and tomosynthesis were the most assessed supplemental </w:t>
            </w:r>
            <w:r w:rsidR="009A4882" w:rsidRPr="00944AB1">
              <w:rPr>
                <w:rFonts w:asciiTheme="minorHAnsi" w:eastAsiaTheme="minorEastAsia" w:hAnsiTheme="minorHAnsi" w:cstheme="minorHAnsi"/>
                <w:color w:val="000000" w:themeColor="text1"/>
                <w:lang w:val="en-AU" w:eastAsia="en-AU"/>
              </w:rPr>
              <w:t>screening</w:t>
            </w:r>
            <w:r w:rsidRPr="00944AB1">
              <w:rPr>
                <w:rFonts w:asciiTheme="minorHAnsi" w:eastAsiaTheme="minorEastAsia" w:hAnsiTheme="minorHAnsi" w:cstheme="minorHAnsi"/>
                <w:color w:val="000000" w:themeColor="text1"/>
                <w:lang w:val="en-AU" w:eastAsia="en-AU"/>
              </w:rPr>
              <w:t xml:space="preserve"> methods, several studies pointed to the need for more research, including the need for studies with longer observation periods to understand the impact of different supplemental </w:t>
            </w:r>
            <w:r w:rsidR="00B23147" w:rsidRPr="00944AB1">
              <w:rPr>
                <w:rFonts w:asciiTheme="minorHAnsi" w:eastAsiaTheme="minorEastAsia" w:hAnsiTheme="minorHAnsi" w:cstheme="minorHAnsi"/>
                <w:color w:val="000000" w:themeColor="text1"/>
                <w:lang w:val="en-AU" w:eastAsia="en-AU"/>
              </w:rPr>
              <w:t>screening</w:t>
            </w:r>
            <w:r w:rsidRPr="00944AB1">
              <w:rPr>
                <w:rFonts w:asciiTheme="minorHAnsi" w:eastAsiaTheme="minorEastAsia" w:hAnsiTheme="minorHAnsi" w:cstheme="minorHAnsi"/>
                <w:color w:val="000000" w:themeColor="text1"/>
                <w:lang w:val="en-AU" w:eastAsia="en-AU"/>
              </w:rPr>
              <w:t xml:space="preserve"> methods on clinical outcomes.</w:t>
            </w:r>
          </w:p>
          <w:p w14:paraId="766102D5" w14:textId="45198C24" w:rsidR="00180C9C" w:rsidRPr="00944AB1" w:rsidRDefault="00C10BB0" w:rsidP="009E61C4">
            <w:pPr>
              <w:widowControl/>
              <w:numPr>
                <w:ilvl w:val="0"/>
                <w:numId w:val="2"/>
              </w:numPr>
              <w:autoSpaceDE/>
              <w:autoSpaceDN/>
              <w:spacing w:before="80"/>
              <w:ind w:left="465" w:right="-35" w:hanging="357"/>
              <w:textAlignment w:val="center"/>
              <w:rPr>
                <w:rFonts w:asciiTheme="minorHAnsi" w:eastAsiaTheme="minorEastAsia" w:hAnsiTheme="minorHAnsi" w:cstheme="minorHAnsi"/>
                <w:color w:val="000000" w:themeColor="text1"/>
                <w:lang w:val="en-AU" w:eastAsia="en-AU"/>
              </w:rPr>
            </w:pPr>
            <w:r w:rsidRPr="00944AB1">
              <w:rPr>
                <w:rFonts w:asciiTheme="minorHAnsi" w:eastAsiaTheme="minorEastAsia" w:hAnsiTheme="minorHAnsi" w:cstheme="minorHAnsi"/>
                <w:color w:val="000000" w:themeColor="text1"/>
                <w:lang w:val="en-AU" w:eastAsia="en-AU"/>
              </w:rPr>
              <w:t>T</w:t>
            </w:r>
            <w:r w:rsidR="003478DD" w:rsidRPr="00944AB1">
              <w:rPr>
                <w:rFonts w:asciiTheme="minorHAnsi" w:eastAsiaTheme="minorEastAsia" w:hAnsiTheme="minorHAnsi" w:cstheme="minorHAnsi"/>
                <w:color w:val="000000" w:themeColor="text1"/>
                <w:lang w:val="en-AU" w:eastAsia="en-AU"/>
              </w:rPr>
              <w:t>he</w:t>
            </w:r>
            <w:r w:rsidR="003D2B09">
              <w:rPr>
                <w:rFonts w:asciiTheme="minorHAnsi" w:eastAsiaTheme="minorEastAsia" w:hAnsiTheme="minorHAnsi" w:cstheme="minorHAnsi"/>
                <w:color w:val="000000" w:themeColor="text1"/>
                <w:lang w:val="en-AU" w:eastAsia="en-AU"/>
              </w:rPr>
              <w:t xml:space="preserve"> </w:t>
            </w:r>
            <w:proofErr w:type="spellStart"/>
            <w:r w:rsidR="003D2B09">
              <w:rPr>
                <w:rFonts w:asciiTheme="minorHAnsi" w:eastAsiaTheme="minorEastAsia" w:hAnsiTheme="minorHAnsi" w:cstheme="minorHAnsi"/>
                <w:color w:val="000000" w:themeColor="text1"/>
                <w:lang w:val="en-AU" w:eastAsia="en-AU"/>
              </w:rPr>
              <w:t>BreastScreen</w:t>
            </w:r>
            <w:proofErr w:type="spellEnd"/>
            <w:r w:rsidR="003D2B09">
              <w:rPr>
                <w:rFonts w:asciiTheme="minorHAnsi" w:eastAsiaTheme="minorEastAsia" w:hAnsiTheme="minorHAnsi" w:cstheme="minorHAnsi"/>
                <w:color w:val="000000" w:themeColor="text1"/>
                <w:lang w:val="en-AU" w:eastAsia="en-AU"/>
              </w:rPr>
              <w:t xml:space="preserve"> Australia</w:t>
            </w:r>
            <w:r w:rsidR="003478DD" w:rsidRPr="00944AB1">
              <w:rPr>
                <w:rFonts w:asciiTheme="minorHAnsi" w:eastAsiaTheme="minorEastAsia" w:hAnsiTheme="minorHAnsi" w:cstheme="minorHAnsi"/>
                <w:color w:val="000000" w:themeColor="text1"/>
                <w:lang w:val="en-AU" w:eastAsia="en-AU"/>
              </w:rPr>
              <w:t xml:space="preserve"> </w:t>
            </w:r>
            <w:r w:rsidR="00202897">
              <w:rPr>
                <w:rFonts w:asciiTheme="minorHAnsi" w:eastAsiaTheme="minorEastAsia" w:hAnsiTheme="minorHAnsi" w:cstheme="minorHAnsi"/>
                <w:color w:val="000000" w:themeColor="text1"/>
                <w:lang w:val="en-AU" w:eastAsia="en-AU"/>
              </w:rPr>
              <w:t>C</w:t>
            </w:r>
            <w:r w:rsidR="008603C8">
              <w:rPr>
                <w:rFonts w:asciiTheme="minorHAnsi" w:eastAsiaTheme="minorEastAsia" w:hAnsiTheme="minorHAnsi" w:cstheme="minorHAnsi"/>
                <w:color w:val="000000" w:themeColor="text1"/>
                <w:lang w:val="en-AU" w:eastAsia="en-AU"/>
              </w:rPr>
              <w:t xml:space="preserve">linical </w:t>
            </w:r>
            <w:r w:rsidR="00202897">
              <w:rPr>
                <w:rFonts w:asciiTheme="minorHAnsi" w:eastAsiaTheme="minorEastAsia" w:hAnsiTheme="minorHAnsi" w:cstheme="minorHAnsi"/>
                <w:color w:val="000000" w:themeColor="text1"/>
                <w:lang w:val="en-AU" w:eastAsia="en-AU"/>
              </w:rPr>
              <w:t>A</w:t>
            </w:r>
            <w:r w:rsidR="008603C8">
              <w:rPr>
                <w:rFonts w:asciiTheme="minorHAnsi" w:eastAsiaTheme="minorEastAsia" w:hAnsiTheme="minorHAnsi" w:cstheme="minorHAnsi"/>
                <w:color w:val="000000" w:themeColor="text1"/>
                <w:lang w:val="en-AU" w:eastAsia="en-AU"/>
              </w:rPr>
              <w:t>dvisory Group</w:t>
            </w:r>
            <w:r w:rsidR="003478DD" w:rsidRPr="00944AB1">
              <w:rPr>
                <w:rFonts w:asciiTheme="minorHAnsi" w:eastAsiaTheme="minorEastAsia" w:hAnsiTheme="minorHAnsi" w:cstheme="minorHAnsi"/>
                <w:color w:val="000000" w:themeColor="text1"/>
                <w:lang w:val="en-AU" w:eastAsia="en-AU"/>
              </w:rPr>
              <w:t xml:space="preserve"> </w:t>
            </w:r>
            <w:r w:rsidR="00FA420D" w:rsidRPr="00944AB1">
              <w:rPr>
                <w:rFonts w:asciiTheme="minorHAnsi" w:eastAsiaTheme="minorEastAsia" w:hAnsiTheme="minorHAnsi" w:cstheme="minorHAnsi"/>
                <w:color w:val="000000" w:themeColor="text1"/>
                <w:lang w:val="en-AU" w:eastAsia="en-AU"/>
              </w:rPr>
              <w:t>acknowledge</w:t>
            </w:r>
            <w:r w:rsidRPr="00944AB1">
              <w:rPr>
                <w:rFonts w:asciiTheme="minorHAnsi" w:eastAsiaTheme="minorEastAsia" w:hAnsiTheme="minorHAnsi" w:cstheme="minorHAnsi"/>
                <w:color w:val="000000" w:themeColor="text1"/>
                <w:lang w:val="en-AU" w:eastAsia="en-AU"/>
              </w:rPr>
              <w:t>s</w:t>
            </w:r>
            <w:r w:rsidR="00FA420D" w:rsidRPr="00944AB1">
              <w:rPr>
                <w:rFonts w:asciiTheme="minorHAnsi" w:eastAsiaTheme="minorEastAsia" w:hAnsiTheme="minorHAnsi" w:cstheme="minorHAnsi"/>
                <w:color w:val="000000" w:themeColor="text1"/>
                <w:lang w:val="en-AU" w:eastAsia="en-AU"/>
              </w:rPr>
              <w:t xml:space="preserve"> that using mortality as an endpoint </w:t>
            </w:r>
            <w:r w:rsidR="00930754" w:rsidRPr="00944AB1">
              <w:rPr>
                <w:rFonts w:asciiTheme="minorHAnsi" w:eastAsiaTheme="minorEastAsia" w:hAnsiTheme="minorHAnsi" w:cstheme="minorHAnsi"/>
                <w:color w:val="000000" w:themeColor="text1"/>
                <w:lang w:val="en-AU" w:eastAsia="en-AU"/>
              </w:rPr>
              <w:t xml:space="preserve">in breast cancer screening trials </w:t>
            </w:r>
            <w:r w:rsidR="00FA420D" w:rsidRPr="00944AB1">
              <w:rPr>
                <w:rFonts w:asciiTheme="minorHAnsi" w:eastAsiaTheme="minorEastAsia" w:hAnsiTheme="minorHAnsi" w:cstheme="minorHAnsi"/>
                <w:color w:val="000000" w:themeColor="text1"/>
                <w:lang w:val="en-AU" w:eastAsia="en-AU"/>
              </w:rPr>
              <w:t xml:space="preserve">is no longer </w:t>
            </w:r>
            <w:r w:rsidR="00C83334" w:rsidRPr="00944AB1">
              <w:rPr>
                <w:rFonts w:asciiTheme="minorHAnsi" w:eastAsiaTheme="minorEastAsia" w:hAnsiTheme="minorHAnsi" w:cstheme="minorHAnsi"/>
                <w:color w:val="000000" w:themeColor="text1"/>
                <w:lang w:val="en-AU" w:eastAsia="en-AU"/>
              </w:rPr>
              <w:t>feasible</w:t>
            </w:r>
            <w:r w:rsidR="004D2809" w:rsidRPr="00944AB1">
              <w:rPr>
                <w:rFonts w:asciiTheme="minorHAnsi" w:eastAsiaTheme="minorEastAsia" w:hAnsiTheme="minorHAnsi" w:cstheme="minorHAnsi"/>
                <w:color w:val="000000" w:themeColor="text1"/>
                <w:lang w:eastAsia="en-AU"/>
              </w:rPr>
              <w:t xml:space="preserve"> for determining changes in policy</w:t>
            </w:r>
            <w:r w:rsidR="00B12B7C" w:rsidRPr="00944AB1">
              <w:rPr>
                <w:rFonts w:asciiTheme="minorHAnsi" w:eastAsiaTheme="minorEastAsia" w:hAnsiTheme="minorHAnsi" w:cstheme="minorHAnsi"/>
                <w:color w:val="000000" w:themeColor="text1"/>
                <w:lang w:val="en-AU" w:eastAsia="en-AU"/>
              </w:rPr>
              <w:t>.</w:t>
            </w:r>
            <w:r w:rsidR="00FA420D" w:rsidRPr="00944AB1">
              <w:rPr>
                <w:rFonts w:asciiTheme="minorHAnsi" w:eastAsiaTheme="minorEastAsia" w:hAnsiTheme="minorHAnsi" w:cstheme="minorHAnsi"/>
                <w:color w:val="000000" w:themeColor="text1"/>
                <w:lang w:val="en-AU" w:eastAsia="en-AU"/>
              </w:rPr>
              <w:t xml:space="preserve"> </w:t>
            </w:r>
            <w:r w:rsidR="00411A42" w:rsidRPr="00944AB1">
              <w:rPr>
                <w:rFonts w:asciiTheme="minorHAnsi" w:eastAsiaTheme="minorEastAsia" w:hAnsiTheme="minorHAnsi" w:cstheme="minorHAnsi"/>
                <w:color w:val="000000" w:themeColor="text1"/>
                <w:lang w:val="en-AU" w:eastAsia="en-AU"/>
              </w:rPr>
              <w:t>This is because b</w:t>
            </w:r>
            <w:proofErr w:type="spellStart"/>
            <w:r w:rsidR="00872BA0" w:rsidRPr="00944AB1">
              <w:rPr>
                <w:rFonts w:asciiTheme="minorHAnsi" w:eastAsiaTheme="minorEastAsia" w:hAnsiTheme="minorHAnsi" w:cstheme="minorHAnsi"/>
                <w:color w:val="000000" w:themeColor="text1"/>
                <w:lang w:eastAsia="en-AU"/>
              </w:rPr>
              <w:t>reast</w:t>
            </w:r>
            <w:proofErr w:type="spellEnd"/>
            <w:r w:rsidR="00872BA0" w:rsidRPr="00944AB1">
              <w:rPr>
                <w:rFonts w:asciiTheme="minorHAnsi" w:eastAsiaTheme="minorEastAsia" w:hAnsiTheme="minorHAnsi" w:cstheme="minorHAnsi"/>
                <w:color w:val="000000" w:themeColor="text1"/>
                <w:lang w:eastAsia="en-AU"/>
              </w:rPr>
              <w:t xml:space="preserve"> cancers, especially early cancers diagnosed on screening, are highly treatable and so improvements in mortality would not become apparent for many years</w:t>
            </w:r>
            <w:r w:rsidR="00DA4FE9" w:rsidRPr="00944AB1">
              <w:rPr>
                <w:rFonts w:asciiTheme="minorHAnsi" w:eastAsiaTheme="minorEastAsia" w:hAnsiTheme="minorHAnsi" w:cstheme="minorHAnsi"/>
                <w:color w:val="000000" w:themeColor="text1"/>
                <w:lang w:eastAsia="en-AU"/>
              </w:rPr>
              <w:t>,</w:t>
            </w:r>
            <w:r w:rsidR="00872BA0" w:rsidRPr="00944AB1">
              <w:rPr>
                <w:rFonts w:asciiTheme="minorHAnsi" w:eastAsiaTheme="minorEastAsia" w:hAnsiTheme="minorHAnsi" w:cstheme="minorHAnsi"/>
                <w:color w:val="000000" w:themeColor="text1"/>
                <w:lang w:eastAsia="en-AU"/>
              </w:rPr>
              <w:t xml:space="preserve"> if not decades. </w:t>
            </w:r>
            <w:r w:rsidR="00B12B7C" w:rsidRPr="00944AB1">
              <w:rPr>
                <w:rFonts w:asciiTheme="minorHAnsi" w:eastAsiaTheme="minorEastAsia" w:hAnsiTheme="minorHAnsi" w:cstheme="minorHAnsi"/>
                <w:color w:val="000000" w:themeColor="text1"/>
                <w:lang w:val="en-AU" w:eastAsia="en-AU"/>
              </w:rPr>
              <w:t>I</w:t>
            </w:r>
            <w:r w:rsidR="00FA420D" w:rsidRPr="00944AB1">
              <w:rPr>
                <w:rFonts w:asciiTheme="minorHAnsi" w:eastAsiaTheme="minorEastAsia" w:hAnsiTheme="minorHAnsi" w:cstheme="minorHAnsi"/>
                <w:color w:val="000000" w:themeColor="text1"/>
                <w:lang w:val="en-AU" w:eastAsia="en-AU"/>
              </w:rPr>
              <w:t>t is now</w:t>
            </w:r>
            <w:r w:rsidR="008D215F" w:rsidRPr="00944AB1">
              <w:rPr>
                <w:rFonts w:asciiTheme="minorHAnsi" w:eastAsiaTheme="minorEastAsia" w:hAnsiTheme="minorHAnsi" w:cstheme="minorHAnsi"/>
                <w:color w:val="000000" w:themeColor="text1"/>
                <w:lang w:val="en-AU" w:eastAsia="en-AU"/>
              </w:rPr>
              <w:t xml:space="preserve"> </w:t>
            </w:r>
            <w:r w:rsidR="00FA420D" w:rsidRPr="00944AB1">
              <w:rPr>
                <w:rFonts w:asciiTheme="minorHAnsi" w:eastAsiaTheme="minorEastAsia" w:hAnsiTheme="minorHAnsi" w:cstheme="minorHAnsi"/>
                <w:color w:val="000000" w:themeColor="text1"/>
                <w:lang w:val="en-AU" w:eastAsia="en-AU"/>
              </w:rPr>
              <w:t>more appropriate to consider cancer detection rates, stage, morbidity</w:t>
            </w:r>
            <w:r w:rsidR="00890195" w:rsidRPr="00944AB1">
              <w:rPr>
                <w:rFonts w:asciiTheme="minorHAnsi" w:eastAsiaTheme="minorEastAsia" w:hAnsiTheme="minorHAnsi" w:cstheme="minorHAnsi"/>
                <w:color w:val="000000" w:themeColor="text1"/>
                <w:lang w:val="en-AU" w:eastAsia="en-AU"/>
              </w:rPr>
              <w:t>,</w:t>
            </w:r>
            <w:r w:rsidR="00FA420D" w:rsidRPr="00944AB1">
              <w:rPr>
                <w:rFonts w:asciiTheme="minorHAnsi" w:eastAsiaTheme="minorEastAsia" w:hAnsiTheme="minorHAnsi" w:cstheme="minorHAnsi"/>
                <w:color w:val="000000" w:themeColor="text1"/>
                <w:lang w:val="en-AU" w:eastAsia="en-AU"/>
              </w:rPr>
              <w:t xml:space="preserve"> and interval cancer rates</w:t>
            </w:r>
            <w:r w:rsidR="007523A7" w:rsidRPr="00944AB1">
              <w:rPr>
                <w:rFonts w:asciiTheme="minorHAnsi" w:eastAsiaTheme="minorEastAsia" w:hAnsiTheme="minorHAnsi" w:cstheme="minorHAnsi"/>
                <w:color w:val="000000" w:themeColor="text1"/>
                <w:lang w:val="en-AU" w:eastAsia="en-AU"/>
              </w:rPr>
              <w:t>.</w:t>
            </w:r>
          </w:p>
          <w:p w14:paraId="329BBB7D" w14:textId="77777777" w:rsidR="000D2B29" w:rsidRPr="00944AB1" w:rsidRDefault="000D2B29" w:rsidP="009E61C4">
            <w:pPr>
              <w:widowControl/>
              <w:numPr>
                <w:ilvl w:val="0"/>
                <w:numId w:val="2"/>
              </w:numPr>
              <w:autoSpaceDE/>
              <w:autoSpaceDN/>
              <w:spacing w:before="80" w:after="120"/>
              <w:ind w:left="465" w:right="-35" w:hanging="357"/>
              <w:textAlignment w:val="center"/>
              <w:rPr>
                <w:rFonts w:asciiTheme="minorHAnsi" w:eastAsiaTheme="minorEastAsia" w:hAnsiTheme="minorHAnsi" w:cstheme="minorHAnsi"/>
                <w:color w:val="000000"/>
                <w:lang w:val="en-AU" w:eastAsia="en-AU"/>
              </w:rPr>
            </w:pPr>
            <w:r w:rsidRPr="00944AB1">
              <w:rPr>
                <w:rFonts w:asciiTheme="minorHAnsi" w:eastAsiaTheme="minorEastAsia" w:hAnsiTheme="minorHAnsi" w:cstheme="minorHAnsi"/>
                <w:color w:val="000000" w:themeColor="text1"/>
                <w:lang w:val="en-AU" w:eastAsia="en-AU"/>
              </w:rPr>
              <w:t>In addition, international evidence is based on different and varying population groups, settings, available technologies (e.g., in the context of specific screening programs), and measures of mammographic density, which may affect its applicability to the Australian screening context.</w:t>
            </w:r>
          </w:p>
          <w:p w14:paraId="4E5FD7EF" w14:textId="6519557E" w:rsidR="00EC6870" w:rsidRPr="00944AB1" w:rsidRDefault="00514588" w:rsidP="00C2638C">
            <w:pPr>
              <w:widowControl/>
              <w:numPr>
                <w:ilvl w:val="0"/>
                <w:numId w:val="2"/>
              </w:numPr>
              <w:autoSpaceDE/>
              <w:autoSpaceDN/>
              <w:spacing w:before="80"/>
              <w:ind w:right="-35"/>
              <w:textAlignment w:val="center"/>
              <w:rPr>
                <w:rFonts w:asciiTheme="minorHAnsi" w:eastAsiaTheme="minorEastAsia" w:hAnsiTheme="minorHAnsi" w:cstheme="minorHAnsi"/>
                <w:color w:val="000000" w:themeColor="text1"/>
                <w:lang w:val="en-AU" w:eastAsia="en-AU"/>
              </w:rPr>
            </w:pPr>
            <w:r w:rsidRPr="00944AB1">
              <w:rPr>
                <w:rFonts w:asciiTheme="minorHAnsi" w:eastAsiaTheme="minorEastAsia" w:hAnsiTheme="minorHAnsi" w:cstheme="minorHAnsi"/>
                <w:color w:val="000000" w:themeColor="text1"/>
                <w:lang w:val="en-AU" w:eastAsia="en-AU"/>
              </w:rPr>
              <w:t xml:space="preserve">The </w:t>
            </w:r>
            <w:hyperlink r:id="rId17">
              <w:r w:rsidRPr="00944AB1">
                <w:rPr>
                  <w:rStyle w:val="Hyperlink"/>
                  <w:rFonts w:asciiTheme="minorHAnsi" w:eastAsiaTheme="minorEastAsia" w:hAnsiTheme="minorHAnsi" w:cstheme="minorHAnsi"/>
                  <w:lang w:val="en-AU" w:eastAsia="en-AU"/>
                </w:rPr>
                <w:t>ROSA project</w:t>
              </w:r>
            </w:hyperlink>
            <w:r w:rsidRPr="00944AB1">
              <w:rPr>
                <w:rFonts w:asciiTheme="minorHAnsi" w:eastAsiaTheme="minorEastAsia" w:hAnsiTheme="minorHAnsi" w:cstheme="minorHAnsi"/>
                <w:color w:val="000000" w:themeColor="text1"/>
                <w:lang w:val="en-AU" w:eastAsia="en-AU"/>
              </w:rPr>
              <w:t xml:space="preserve"> – ‘Roadmap for Optimising Screening in </w:t>
            </w:r>
            <w:r w:rsidR="002E1DB2" w:rsidRPr="00944AB1">
              <w:rPr>
                <w:rFonts w:asciiTheme="minorHAnsi" w:eastAsiaTheme="minorEastAsia" w:hAnsiTheme="minorHAnsi" w:cstheme="minorHAnsi"/>
                <w:color w:val="000000" w:themeColor="text1"/>
                <w:lang w:val="en-AU" w:eastAsia="en-AU"/>
              </w:rPr>
              <w:t>Aus</w:t>
            </w:r>
            <w:r w:rsidR="002E1DB2">
              <w:rPr>
                <w:rFonts w:asciiTheme="minorHAnsi" w:eastAsiaTheme="minorEastAsia" w:hAnsiTheme="minorHAnsi" w:cstheme="minorHAnsi"/>
                <w:color w:val="000000" w:themeColor="text1"/>
                <w:lang w:val="en-AU" w:eastAsia="en-AU"/>
              </w:rPr>
              <w:t>t</w:t>
            </w:r>
            <w:r w:rsidR="002E1DB2" w:rsidRPr="00944AB1">
              <w:rPr>
                <w:rFonts w:asciiTheme="minorHAnsi" w:eastAsiaTheme="minorEastAsia" w:hAnsiTheme="minorHAnsi" w:cstheme="minorHAnsi"/>
                <w:color w:val="000000" w:themeColor="text1"/>
                <w:lang w:val="en-AU" w:eastAsia="en-AU"/>
              </w:rPr>
              <w:t>ralia</w:t>
            </w:r>
            <w:r w:rsidRPr="00944AB1">
              <w:rPr>
                <w:rFonts w:asciiTheme="minorHAnsi" w:eastAsiaTheme="minorEastAsia" w:hAnsiTheme="minorHAnsi" w:cstheme="minorHAnsi"/>
                <w:color w:val="000000" w:themeColor="text1"/>
                <w:lang w:val="en-AU" w:eastAsia="en-AU"/>
              </w:rPr>
              <w:t xml:space="preserve"> – Breast’ noted that alternative screening modalities for women with high mammographic density should be considered in the context of risk-based screening.</w:t>
            </w:r>
          </w:p>
          <w:p w14:paraId="6ADCD941" w14:textId="36D721E6" w:rsidR="00EC6870" w:rsidRPr="00944AB1" w:rsidRDefault="00EC6870" w:rsidP="00EC6870">
            <w:pPr>
              <w:widowControl/>
              <w:numPr>
                <w:ilvl w:val="0"/>
                <w:numId w:val="2"/>
              </w:numPr>
              <w:autoSpaceDE/>
              <w:autoSpaceDN/>
              <w:spacing w:before="80"/>
              <w:ind w:right="-35"/>
              <w:textAlignment w:val="center"/>
              <w:rPr>
                <w:rFonts w:asciiTheme="minorHAnsi" w:eastAsiaTheme="minorEastAsia" w:hAnsiTheme="minorHAnsi" w:cstheme="minorHAnsi"/>
                <w:color w:val="000000" w:themeColor="text1"/>
                <w:lang w:val="en-AU" w:eastAsia="en-AU"/>
              </w:rPr>
            </w:pPr>
            <w:r w:rsidRPr="00944AB1">
              <w:rPr>
                <w:rFonts w:asciiTheme="minorHAnsi" w:eastAsiaTheme="minorEastAsia" w:hAnsiTheme="minorHAnsi" w:cstheme="minorHAnsi"/>
                <w:color w:val="000000" w:themeColor="text1"/>
                <w:lang w:val="en-AU" w:eastAsia="en-AU"/>
              </w:rPr>
              <w:t xml:space="preserve">Although the </w:t>
            </w:r>
            <w:proofErr w:type="spellStart"/>
            <w:r w:rsidRPr="00944AB1">
              <w:rPr>
                <w:rFonts w:asciiTheme="minorHAnsi" w:eastAsiaTheme="minorEastAsia" w:hAnsiTheme="minorHAnsi" w:cstheme="minorHAnsi"/>
                <w:color w:val="000000" w:themeColor="text1"/>
                <w:lang w:val="en-AU" w:eastAsia="en-AU"/>
              </w:rPr>
              <w:t>BreastScreen</w:t>
            </w:r>
            <w:proofErr w:type="spellEnd"/>
            <w:r w:rsidRPr="00944AB1">
              <w:rPr>
                <w:rFonts w:asciiTheme="minorHAnsi" w:eastAsiaTheme="minorEastAsia" w:hAnsiTheme="minorHAnsi" w:cstheme="minorHAnsi"/>
                <w:color w:val="000000" w:themeColor="text1"/>
                <w:lang w:val="en-AU" w:eastAsia="en-AU"/>
              </w:rPr>
              <w:t xml:space="preserve"> Victoria Pilot</w:t>
            </w:r>
            <w:r w:rsidR="00D450B7">
              <w:rPr>
                <w:rFonts w:asciiTheme="minorHAnsi" w:eastAsiaTheme="minorEastAsia" w:hAnsiTheme="minorHAnsi" w:cstheme="minorHAnsi"/>
                <w:color w:val="000000" w:themeColor="text1"/>
                <w:vertAlign w:val="superscript"/>
                <w:lang w:val="en-AU" w:eastAsia="en-AU"/>
              </w:rPr>
              <w:t>9</w:t>
            </w:r>
            <w:r w:rsidRPr="00944AB1">
              <w:rPr>
                <w:rFonts w:asciiTheme="minorHAnsi" w:eastAsiaTheme="minorEastAsia" w:hAnsiTheme="minorHAnsi" w:cstheme="minorHAnsi"/>
                <w:color w:val="000000" w:themeColor="text1"/>
                <w:lang w:val="en-AU" w:eastAsia="en-AU"/>
              </w:rPr>
              <w:t xml:space="preserve">of tomosynthesis screening showed that it significantly increased screening sensitivity in women with dense breasts </w:t>
            </w:r>
            <w:r w:rsidR="00E85492" w:rsidRPr="00E85492">
              <w:rPr>
                <w:rFonts w:asciiTheme="minorHAnsi" w:eastAsiaTheme="minorEastAsia" w:hAnsiTheme="minorHAnsi" w:cstheme="minorHAnsi"/>
                <w:color w:val="000000" w:themeColor="text1"/>
                <w:lang w:val="en-AU" w:eastAsia="en-AU"/>
              </w:rPr>
              <w:t>(BI-RADS</w:t>
            </w:r>
            <w:r w:rsidR="0031237D">
              <w:rPr>
                <w:rFonts w:asciiTheme="minorHAnsi" w:eastAsiaTheme="minorEastAsia" w:hAnsiTheme="minorHAnsi" w:cstheme="minorHAnsi"/>
                <w:color w:val="000000" w:themeColor="text1"/>
                <w:lang w:val="en-AU" w:eastAsia="en-AU"/>
              </w:rPr>
              <w:t>-</w:t>
            </w:r>
            <w:r w:rsidR="00E85492" w:rsidRPr="00E85492">
              <w:rPr>
                <w:rFonts w:asciiTheme="minorHAnsi" w:eastAsiaTheme="minorEastAsia" w:hAnsiTheme="minorHAnsi" w:cstheme="minorHAnsi"/>
                <w:color w:val="000000" w:themeColor="text1"/>
                <w:lang w:val="en-AU" w:eastAsia="en-AU"/>
              </w:rPr>
              <w:t xml:space="preserve"> c and BI-RADS</w:t>
            </w:r>
            <w:r w:rsidR="0031237D">
              <w:rPr>
                <w:rFonts w:asciiTheme="minorHAnsi" w:eastAsiaTheme="minorEastAsia" w:hAnsiTheme="minorHAnsi" w:cstheme="minorHAnsi"/>
                <w:color w:val="000000" w:themeColor="text1"/>
                <w:lang w:val="en-AU" w:eastAsia="en-AU"/>
              </w:rPr>
              <w:t>-</w:t>
            </w:r>
            <w:r w:rsidR="00E85492" w:rsidRPr="00E85492">
              <w:rPr>
                <w:rFonts w:asciiTheme="minorHAnsi" w:eastAsiaTheme="minorEastAsia" w:hAnsiTheme="minorHAnsi" w:cstheme="minorHAnsi"/>
                <w:color w:val="000000" w:themeColor="text1"/>
                <w:lang w:val="en-AU" w:eastAsia="en-AU"/>
              </w:rPr>
              <w:t xml:space="preserve"> d</w:t>
            </w:r>
            <w:r w:rsidRPr="00944AB1">
              <w:rPr>
                <w:rFonts w:asciiTheme="minorHAnsi" w:eastAsiaTheme="minorEastAsia" w:hAnsiTheme="minorHAnsi" w:cstheme="minorHAnsi"/>
                <w:color w:val="000000" w:themeColor="text1"/>
                <w:lang w:val="en-AU" w:eastAsia="en-AU"/>
              </w:rPr>
              <w:t xml:space="preserve">), a larger study is underway using hybrid tomo technology which may be more scalable for </w:t>
            </w:r>
            <w:proofErr w:type="spellStart"/>
            <w:r w:rsidRPr="00944AB1">
              <w:rPr>
                <w:rFonts w:asciiTheme="minorHAnsi" w:eastAsiaTheme="minorEastAsia" w:hAnsiTheme="minorHAnsi" w:cstheme="minorHAnsi"/>
                <w:color w:val="000000" w:themeColor="text1"/>
                <w:lang w:val="en-AU" w:eastAsia="en-AU"/>
              </w:rPr>
              <w:t>BreastScreen</w:t>
            </w:r>
            <w:proofErr w:type="spellEnd"/>
            <w:r w:rsidR="009A3205" w:rsidRPr="00944AB1">
              <w:rPr>
                <w:rFonts w:asciiTheme="minorHAnsi" w:eastAsiaTheme="minorEastAsia" w:hAnsiTheme="minorHAnsi" w:cstheme="minorHAnsi"/>
                <w:color w:val="000000" w:themeColor="text1"/>
                <w:lang w:val="en-AU" w:eastAsia="en-AU"/>
              </w:rPr>
              <w:t>.</w:t>
            </w:r>
            <w:r w:rsidR="003E5591" w:rsidRPr="00B63FCA">
              <w:rPr>
                <w:rStyle w:val="superscriptChar"/>
              </w:rPr>
              <w:t>40</w:t>
            </w:r>
            <w:r w:rsidR="009A3205" w:rsidRPr="00944AB1">
              <w:rPr>
                <w:rFonts w:asciiTheme="minorHAnsi" w:eastAsiaTheme="minorEastAsia" w:hAnsiTheme="minorHAnsi" w:cstheme="minorHAnsi"/>
                <w:color w:val="000000" w:themeColor="text1"/>
                <w:lang w:val="en-AU" w:eastAsia="en-AU"/>
              </w:rPr>
              <w:t xml:space="preserve"> </w:t>
            </w:r>
          </w:p>
          <w:p w14:paraId="5F41C596" w14:textId="4C79DC73" w:rsidR="000D2B29" w:rsidRPr="00944AB1" w:rsidRDefault="000D2B29" w:rsidP="00944AB1">
            <w:pPr>
              <w:widowControl/>
              <w:numPr>
                <w:ilvl w:val="0"/>
                <w:numId w:val="2"/>
              </w:numPr>
              <w:autoSpaceDE/>
              <w:autoSpaceDN/>
              <w:spacing w:before="80"/>
              <w:ind w:left="465" w:right="-35" w:hanging="357"/>
              <w:textAlignment w:val="center"/>
              <w:rPr>
                <w:rFonts w:asciiTheme="minorHAnsi" w:eastAsiaTheme="minorEastAsia" w:hAnsiTheme="minorHAnsi" w:cstheme="minorHAnsi"/>
                <w:color w:val="000000"/>
                <w:lang w:val="en-AU" w:eastAsia="en-AU"/>
              </w:rPr>
            </w:pPr>
            <w:r w:rsidRPr="00944AB1">
              <w:rPr>
                <w:rFonts w:asciiTheme="minorHAnsi" w:eastAsiaTheme="minorEastAsia" w:hAnsiTheme="minorHAnsi" w:cstheme="minorHAnsi"/>
                <w:color w:val="000000" w:themeColor="text1"/>
                <w:lang w:val="en-AU" w:eastAsia="en-AU"/>
              </w:rPr>
              <w:t xml:space="preserve">Studies are underway to explore combining mammographic density with other routinely collected information </w:t>
            </w:r>
            <w:proofErr w:type="gramStart"/>
            <w:r w:rsidRPr="00944AB1">
              <w:rPr>
                <w:rFonts w:asciiTheme="minorHAnsi" w:eastAsiaTheme="minorEastAsia" w:hAnsiTheme="minorHAnsi" w:cstheme="minorHAnsi"/>
                <w:color w:val="000000" w:themeColor="text1"/>
                <w:lang w:val="en-AU" w:eastAsia="en-AU"/>
              </w:rPr>
              <w:t xml:space="preserve">and </w:t>
            </w:r>
            <w:r w:rsidR="006A30D8" w:rsidRPr="00944AB1">
              <w:rPr>
                <w:rFonts w:asciiTheme="minorHAnsi" w:eastAsiaTheme="minorEastAsia" w:hAnsiTheme="minorHAnsi" w:cstheme="minorHAnsi"/>
                <w:color w:val="000000" w:themeColor="text1"/>
                <w:lang w:val="en-AU" w:eastAsia="en-AU"/>
              </w:rPr>
              <w:t>also</w:t>
            </w:r>
            <w:proofErr w:type="gramEnd"/>
            <w:r w:rsidR="006A30D8" w:rsidRPr="00944AB1">
              <w:rPr>
                <w:rFonts w:asciiTheme="minorHAnsi" w:eastAsiaTheme="minorEastAsia" w:hAnsiTheme="minorHAnsi" w:cstheme="minorHAnsi"/>
                <w:color w:val="000000" w:themeColor="text1"/>
                <w:lang w:val="en-AU" w:eastAsia="en-AU"/>
              </w:rPr>
              <w:t xml:space="preserve"> </w:t>
            </w:r>
            <w:r w:rsidR="002F5E13" w:rsidRPr="00944AB1">
              <w:rPr>
                <w:rFonts w:asciiTheme="minorHAnsi" w:eastAsiaTheme="minorEastAsia" w:hAnsiTheme="minorHAnsi" w:cstheme="minorHAnsi"/>
                <w:color w:val="000000" w:themeColor="text1"/>
                <w:lang w:val="en-AU" w:eastAsia="en-AU"/>
              </w:rPr>
              <w:t xml:space="preserve">studies </w:t>
            </w:r>
            <w:r w:rsidRPr="00944AB1">
              <w:rPr>
                <w:rFonts w:asciiTheme="minorHAnsi" w:eastAsiaTheme="minorEastAsia" w:hAnsiTheme="minorHAnsi" w:cstheme="minorHAnsi"/>
                <w:color w:val="000000" w:themeColor="text1"/>
                <w:lang w:val="en-AU" w:eastAsia="en-AU"/>
              </w:rPr>
              <w:t>applying artificial intelligence to develop personalised risk assessment approaches.</w:t>
            </w:r>
            <w:r w:rsidR="00986795" w:rsidRPr="00B63FCA">
              <w:rPr>
                <w:rStyle w:val="superscriptChar"/>
              </w:rPr>
              <w:t>41-42</w:t>
            </w:r>
          </w:p>
        </w:tc>
      </w:tr>
      <w:tr w:rsidR="00E376EF" w:rsidRPr="00027930" w14:paraId="10F067EB" w14:textId="77777777" w:rsidTr="00813C61">
        <w:trPr>
          <w:trHeight w:val="557"/>
        </w:trPr>
        <w:tc>
          <w:tcPr>
            <w:tcW w:w="2552" w:type="dxa"/>
            <w:tcBorders>
              <w:top w:val="single" w:sz="4" w:space="0" w:color="000000" w:themeColor="text1"/>
              <w:bottom w:val="single" w:sz="4" w:space="0" w:color="000000" w:themeColor="text1"/>
            </w:tcBorders>
            <w:shd w:val="clear" w:color="auto" w:fill="DBE4F0"/>
          </w:tcPr>
          <w:p w14:paraId="4B4511F3" w14:textId="0E6D692D" w:rsidR="00E376EF" w:rsidRPr="00944AB1" w:rsidDel="006B1806" w:rsidRDefault="00E376EF" w:rsidP="008065B1">
            <w:pPr>
              <w:pStyle w:val="Tableparagraphemphasis"/>
            </w:pPr>
            <w:r w:rsidRPr="00944AB1">
              <w:lastRenderedPageBreak/>
              <w:t>Implementation</w:t>
            </w:r>
            <w:r w:rsidR="00445E4B" w:rsidRPr="00944AB1">
              <w:t xml:space="preserve"> considerations</w:t>
            </w:r>
          </w:p>
        </w:tc>
        <w:tc>
          <w:tcPr>
            <w:tcW w:w="7371" w:type="dxa"/>
            <w:tcBorders>
              <w:top w:val="single" w:sz="4" w:space="0" w:color="000000" w:themeColor="text1"/>
              <w:bottom w:val="single" w:sz="4" w:space="0" w:color="000000" w:themeColor="text1"/>
            </w:tcBorders>
          </w:tcPr>
          <w:p w14:paraId="1F54627B" w14:textId="51C7582B" w:rsidR="00952AAB" w:rsidRPr="00944AB1" w:rsidRDefault="00952AAB" w:rsidP="00106454">
            <w:pPr>
              <w:pStyle w:val="ListBullet"/>
            </w:pPr>
            <w:r w:rsidRPr="00944AB1">
              <w:t xml:space="preserve">The </w:t>
            </w:r>
            <w:proofErr w:type="spellStart"/>
            <w:r w:rsidR="00FF0D1A">
              <w:t>BreastScreen</w:t>
            </w:r>
            <w:proofErr w:type="spellEnd"/>
            <w:r w:rsidR="00FF0D1A">
              <w:t xml:space="preserve"> Australia </w:t>
            </w:r>
            <w:r w:rsidRPr="00944AB1">
              <w:t>Clinical Advisory Group acknowledges stakeholder feedback about the</w:t>
            </w:r>
            <w:r w:rsidR="00BD4507" w:rsidRPr="00944AB1">
              <w:t xml:space="preserve"> challenges of</w:t>
            </w:r>
            <w:r w:rsidRPr="00944AB1">
              <w:t xml:space="preserve"> implement</w:t>
            </w:r>
            <w:r w:rsidR="008A02D7" w:rsidRPr="00944AB1">
              <w:t>ing</w:t>
            </w:r>
            <w:r w:rsidRPr="00944AB1">
              <w:t xml:space="preserve"> mammographic density measurement and </w:t>
            </w:r>
            <w:r w:rsidR="000803AF" w:rsidRPr="00944AB1">
              <w:t>reporting</w:t>
            </w:r>
            <w:r w:rsidRPr="00944AB1">
              <w:t xml:space="preserve"> in the </w:t>
            </w:r>
            <w:proofErr w:type="spellStart"/>
            <w:r w:rsidRPr="00944AB1">
              <w:t>BreastScreen</w:t>
            </w:r>
            <w:proofErr w:type="spellEnd"/>
            <w:r w:rsidRPr="00944AB1">
              <w:t xml:space="preserve"> Australia program.</w:t>
            </w:r>
          </w:p>
          <w:p w14:paraId="0352B891" w14:textId="2D3501F1" w:rsidR="00952AAB" w:rsidRPr="008065B1" w:rsidRDefault="00952AAB" w:rsidP="008065B1">
            <w:pPr>
              <w:pStyle w:val="Tableparagraphstrong"/>
            </w:pPr>
            <w:r w:rsidRPr="00944AB1">
              <w:t>Implementation considerations</w:t>
            </w:r>
          </w:p>
          <w:p w14:paraId="177F48C7" w14:textId="29767BA1" w:rsidR="00952AAB" w:rsidRPr="00944AB1" w:rsidRDefault="00F26D01" w:rsidP="00106454">
            <w:pPr>
              <w:pStyle w:val="ListBullet"/>
            </w:pPr>
            <w:r w:rsidRPr="00944AB1">
              <w:t>A</w:t>
            </w:r>
            <w:r w:rsidR="00952AAB" w:rsidRPr="00944AB1">
              <w:t xml:space="preserve"> nationally consistent approach to the measurement and reporting of mammographic density</w:t>
            </w:r>
            <w:r w:rsidR="00042408" w:rsidRPr="00944AB1">
              <w:t>,</w:t>
            </w:r>
            <w:r w:rsidR="00D05821" w:rsidRPr="00944AB1">
              <w:t xml:space="preserve"> potentially</w:t>
            </w:r>
            <w:r w:rsidR="00042408" w:rsidRPr="00944AB1">
              <w:t xml:space="preserve"> i</w:t>
            </w:r>
            <w:r w:rsidR="007674A1" w:rsidRPr="00944AB1">
              <w:t>n</w:t>
            </w:r>
            <w:r w:rsidR="000349B6" w:rsidRPr="00944AB1">
              <w:t>cluding</w:t>
            </w:r>
            <w:r w:rsidR="007674A1" w:rsidRPr="00944AB1">
              <w:t xml:space="preserve"> t</w:t>
            </w:r>
            <w:r w:rsidR="00952AAB" w:rsidRPr="00944AB1">
              <w:t>he use of validated, automated software</w:t>
            </w:r>
            <w:r w:rsidR="00042408" w:rsidRPr="00944AB1">
              <w:t>,</w:t>
            </w:r>
            <w:r w:rsidR="00952AAB" w:rsidRPr="00944AB1">
              <w:t xml:space="preserve"> is encouraged</w:t>
            </w:r>
            <w:r w:rsidR="007674A1" w:rsidRPr="00944AB1">
              <w:t>.</w:t>
            </w:r>
            <w:r w:rsidR="00511A94" w:rsidRPr="00944AB1">
              <w:t xml:space="preserve"> </w:t>
            </w:r>
            <w:r w:rsidR="008F252A" w:rsidRPr="00944AB1">
              <w:t>Th</w:t>
            </w:r>
            <w:r w:rsidR="00AF1E38" w:rsidRPr="00944AB1">
              <w:t>is would have significant cost implication</w:t>
            </w:r>
            <w:r w:rsidR="008B19C6" w:rsidRPr="00944AB1">
              <w:t>s.</w:t>
            </w:r>
          </w:p>
          <w:p w14:paraId="0917B352" w14:textId="1DAF9B1A" w:rsidR="00952AAB" w:rsidRPr="00944AB1" w:rsidRDefault="00701271" w:rsidP="00106454">
            <w:pPr>
              <w:pStyle w:val="ListBullet"/>
            </w:pPr>
            <w:r w:rsidRPr="00944AB1">
              <w:t>N</w:t>
            </w:r>
            <w:r w:rsidR="00952AAB" w:rsidRPr="00944AB1">
              <w:t xml:space="preserve">ationally consistent information about mammographic density for </w:t>
            </w:r>
            <w:proofErr w:type="spellStart"/>
            <w:r w:rsidR="00952AAB" w:rsidRPr="00944AB1">
              <w:t>BreastScreen</w:t>
            </w:r>
            <w:proofErr w:type="spellEnd"/>
            <w:r w:rsidR="00952AAB" w:rsidRPr="00944AB1">
              <w:t xml:space="preserve"> clients, including guidance on following up with their GP or </w:t>
            </w:r>
            <w:r w:rsidR="00D96626" w:rsidRPr="00944AB1">
              <w:t xml:space="preserve">breast </w:t>
            </w:r>
            <w:r w:rsidR="00D05821" w:rsidRPr="00944AB1">
              <w:t>specialist</w:t>
            </w:r>
            <w:r w:rsidR="00952AAB" w:rsidRPr="00944AB1">
              <w:t xml:space="preserve"> if they have questions or concerns about their breast density or overall risk of breast cancer</w:t>
            </w:r>
            <w:r w:rsidR="005737EF" w:rsidRPr="00944AB1">
              <w:t>,</w:t>
            </w:r>
            <w:r w:rsidR="00042408" w:rsidRPr="00944AB1">
              <w:t xml:space="preserve"> should b</w:t>
            </w:r>
            <w:r w:rsidR="00824E58" w:rsidRPr="00944AB1">
              <w:t>e developed</w:t>
            </w:r>
            <w:r w:rsidR="00952AAB" w:rsidRPr="00944AB1">
              <w:t xml:space="preserve">. Client information should include the benefits and risks of supplemental </w:t>
            </w:r>
            <w:r w:rsidR="00B740F0" w:rsidRPr="00944AB1">
              <w:t>screening</w:t>
            </w:r>
            <w:r w:rsidR="00952AAB" w:rsidRPr="00944AB1">
              <w:t xml:space="preserve"> in the context of individual breast cancer risk, personal circumstances, and preferences</w:t>
            </w:r>
            <w:r w:rsidR="00C7415B" w:rsidRPr="00944AB1">
              <w:t xml:space="preserve">. This information should </w:t>
            </w:r>
            <w:r w:rsidR="00C52F7B" w:rsidRPr="00944AB1">
              <w:t>be tailored for priority population groups.</w:t>
            </w:r>
          </w:p>
          <w:p w14:paraId="4CF965F1" w14:textId="5EB14635" w:rsidR="002A3F93" w:rsidRPr="00944AB1" w:rsidRDefault="009B468E" w:rsidP="00106454">
            <w:pPr>
              <w:pStyle w:val="ListBullet"/>
            </w:pPr>
            <w:r w:rsidRPr="00944AB1">
              <w:t>N</w:t>
            </w:r>
            <w:r w:rsidR="00952AAB" w:rsidRPr="00944AB1">
              <w:t>ationally consistent information and guidance for GPs on the management of patients with dense breasts</w:t>
            </w:r>
            <w:r w:rsidR="00207FB7" w:rsidRPr="00944AB1">
              <w:t xml:space="preserve"> is required. </w:t>
            </w:r>
            <w:r w:rsidR="00A663EF" w:rsidRPr="00944AB1">
              <w:t xml:space="preserve">The information should </w:t>
            </w:r>
            <w:r w:rsidR="00085DB9" w:rsidRPr="00944AB1">
              <w:t>includ</w:t>
            </w:r>
            <w:r w:rsidR="00A663EF" w:rsidRPr="00944AB1">
              <w:t>e</w:t>
            </w:r>
            <w:r w:rsidR="00085DB9" w:rsidRPr="00944AB1">
              <w:t xml:space="preserve"> </w:t>
            </w:r>
            <w:r w:rsidR="00676503" w:rsidRPr="00944AB1">
              <w:t xml:space="preserve">current limitations of the evidence about supplementary </w:t>
            </w:r>
            <w:r w:rsidR="00422B7F" w:rsidRPr="00944AB1">
              <w:t>screening</w:t>
            </w:r>
            <w:r w:rsidR="00A663EF" w:rsidRPr="00944AB1">
              <w:t xml:space="preserve">. </w:t>
            </w:r>
            <w:r w:rsidR="00034418" w:rsidRPr="00944AB1">
              <w:t>D</w:t>
            </w:r>
            <w:r w:rsidR="00085DB9" w:rsidRPr="00944AB1">
              <w:t xml:space="preserve">ecision aids to </w:t>
            </w:r>
            <w:r w:rsidR="005559AB" w:rsidRPr="00944AB1">
              <w:t>support shared decision making</w:t>
            </w:r>
            <w:r w:rsidR="00824E58" w:rsidRPr="00944AB1">
              <w:t xml:space="preserve"> </w:t>
            </w:r>
            <w:r w:rsidR="00034418" w:rsidRPr="00944AB1">
              <w:t>are</w:t>
            </w:r>
            <w:r w:rsidR="00824E58" w:rsidRPr="00944AB1">
              <w:t xml:space="preserve"> required</w:t>
            </w:r>
            <w:r w:rsidR="00500C2D" w:rsidRPr="00944AB1">
              <w:t xml:space="preserve"> and </w:t>
            </w:r>
            <w:r w:rsidR="00952AAB" w:rsidRPr="00944AB1">
              <w:t xml:space="preserve">may include determining the patient’s overall breast cancer risk using a validated risk </w:t>
            </w:r>
            <w:r w:rsidR="00952AAB" w:rsidRPr="00944AB1">
              <w:lastRenderedPageBreak/>
              <w:t>assessment tool</w:t>
            </w:r>
            <w:r w:rsidR="002A3F93" w:rsidRPr="00944AB1">
              <w:t>.</w:t>
            </w:r>
          </w:p>
          <w:p w14:paraId="33CE6B20" w14:textId="619F2459" w:rsidR="00EC33FA" w:rsidRPr="00944AB1" w:rsidRDefault="00EB0FC9" w:rsidP="6019DEFE">
            <w:pPr>
              <w:widowControl/>
              <w:numPr>
                <w:ilvl w:val="0"/>
                <w:numId w:val="2"/>
              </w:numPr>
              <w:autoSpaceDE/>
              <w:autoSpaceDN/>
              <w:spacing w:before="80"/>
              <w:ind w:left="465" w:right="-35" w:hanging="357"/>
              <w:textAlignment w:val="center"/>
              <w:rPr>
                <w:rFonts w:asciiTheme="minorHAnsi" w:eastAsiaTheme="minorEastAsia" w:hAnsiTheme="minorHAnsi" w:cstheme="minorHAnsi"/>
              </w:rPr>
            </w:pPr>
            <w:r w:rsidRPr="00944AB1">
              <w:rPr>
                <w:rFonts w:asciiTheme="minorHAnsi" w:eastAsiaTheme="minorEastAsia" w:hAnsiTheme="minorHAnsi" w:cstheme="minorHAnsi"/>
              </w:rPr>
              <w:t>Achieving equity</w:t>
            </w:r>
            <w:r w:rsidR="0090390D" w:rsidRPr="00944AB1">
              <w:rPr>
                <w:rFonts w:asciiTheme="minorHAnsi" w:eastAsiaTheme="minorEastAsia" w:hAnsiTheme="minorHAnsi" w:cstheme="minorHAnsi"/>
              </w:rPr>
              <w:t xml:space="preserve"> in access </w:t>
            </w:r>
            <w:r w:rsidR="00952AAB" w:rsidRPr="00944AB1">
              <w:rPr>
                <w:rFonts w:asciiTheme="minorHAnsi" w:eastAsiaTheme="minorEastAsia" w:hAnsiTheme="minorHAnsi" w:cstheme="minorHAnsi"/>
              </w:rPr>
              <w:t>to supplementa</w:t>
            </w:r>
            <w:r w:rsidR="009811BD" w:rsidRPr="00944AB1">
              <w:rPr>
                <w:rFonts w:asciiTheme="minorHAnsi" w:eastAsiaTheme="minorEastAsia" w:hAnsiTheme="minorHAnsi" w:cstheme="minorHAnsi"/>
              </w:rPr>
              <w:t>l</w:t>
            </w:r>
            <w:r w:rsidR="00952AAB" w:rsidRPr="00944AB1">
              <w:rPr>
                <w:rFonts w:asciiTheme="minorHAnsi" w:eastAsiaTheme="minorEastAsia" w:hAnsiTheme="minorHAnsi" w:cstheme="minorHAnsi"/>
              </w:rPr>
              <w:t xml:space="preserve"> screening </w:t>
            </w:r>
            <w:r w:rsidR="00DA6461" w:rsidRPr="00944AB1">
              <w:rPr>
                <w:rFonts w:asciiTheme="minorHAnsi" w:eastAsiaTheme="minorEastAsia" w:hAnsiTheme="minorHAnsi" w:cstheme="minorHAnsi"/>
              </w:rPr>
              <w:t>is important</w:t>
            </w:r>
            <w:r w:rsidR="000E3E15" w:rsidRPr="00944AB1">
              <w:rPr>
                <w:rFonts w:asciiTheme="minorHAnsi" w:eastAsiaTheme="minorEastAsia" w:hAnsiTheme="minorHAnsi" w:cstheme="minorHAnsi"/>
              </w:rPr>
              <w:t xml:space="preserve"> for a population </w:t>
            </w:r>
            <w:r w:rsidR="001D3CD2" w:rsidRPr="00944AB1">
              <w:rPr>
                <w:rFonts w:asciiTheme="minorHAnsi" w:eastAsiaTheme="minorEastAsia" w:hAnsiTheme="minorHAnsi" w:cstheme="minorHAnsi"/>
              </w:rPr>
              <w:t>screening program</w:t>
            </w:r>
            <w:r w:rsidR="00DF3D68" w:rsidRPr="00944AB1">
              <w:rPr>
                <w:rFonts w:asciiTheme="minorHAnsi" w:eastAsiaTheme="minorEastAsia" w:hAnsiTheme="minorHAnsi" w:cstheme="minorHAnsi"/>
              </w:rPr>
              <w:t xml:space="preserve">, particularly </w:t>
            </w:r>
            <w:r w:rsidR="00CC5375" w:rsidRPr="00944AB1">
              <w:rPr>
                <w:rFonts w:asciiTheme="minorHAnsi" w:eastAsiaTheme="minorEastAsia" w:hAnsiTheme="minorHAnsi" w:cstheme="minorHAnsi"/>
              </w:rPr>
              <w:t xml:space="preserve">for </w:t>
            </w:r>
            <w:r w:rsidR="007104B2" w:rsidRPr="00944AB1">
              <w:rPr>
                <w:rFonts w:asciiTheme="minorHAnsi" w:eastAsiaTheme="minorEastAsia" w:hAnsiTheme="minorHAnsi" w:cstheme="minorHAnsi"/>
              </w:rPr>
              <w:t>priority population groups</w:t>
            </w:r>
            <w:r w:rsidR="007864D1" w:rsidRPr="00944AB1">
              <w:rPr>
                <w:rFonts w:asciiTheme="minorHAnsi" w:eastAsiaTheme="minorEastAsia" w:hAnsiTheme="minorHAnsi" w:cstheme="minorHAnsi"/>
              </w:rPr>
              <w:t>,</w:t>
            </w:r>
            <w:r w:rsidR="007104B2" w:rsidRPr="00944AB1">
              <w:rPr>
                <w:rFonts w:asciiTheme="minorHAnsi" w:eastAsiaTheme="minorEastAsia" w:hAnsiTheme="minorHAnsi" w:cstheme="minorHAnsi"/>
              </w:rPr>
              <w:t xml:space="preserve"> including </w:t>
            </w:r>
            <w:r w:rsidR="00952AAB" w:rsidRPr="00944AB1">
              <w:rPr>
                <w:rFonts w:asciiTheme="minorHAnsi" w:eastAsiaTheme="minorEastAsia" w:hAnsiTheme="minorHAnsi" w:cstheme="minorHAnsi"/>
              </w:rPr>
              <w:t xml:space="preserve">rural and remote </w:t>
            </w:r>
            <w:r w:rsidR="00FB6096" w:rsidRPr="00944AB1">
              <w:rPr>
                <w:rFonts w:asciiTheme="minorHAnsi" w:eastAsiaTheme="minorEastAsia" w:hAnsiTheme="minorHAnsi" w:cstheme="minorHAnsi"/>
              </w:rPr>
              <w:t>communities</w:t>
            </w:r>
            <w:r w:rsidR="00F82C09" w:rsidRPr="00944AB1">
              <w:rPr>
                <w:rFonts w:asciiTheme="minorHAnsi" w:eastAsiaTheme="minorEastAsia" w:hAnsiTheme="minorHAnsi" w:cstheme="minorHAnsi"/>
              </w:rPr>
              <w:t xml:space="preserve">, </w:t>
            </w:r>
            <w:r w:rsidR="00952AAB" w:rsidRPr="00944AB1">
              <w:rPr>
                <w:rFonts w:asciiTheme="minorHAnsi" w:eastAsiaTheme="minorEastAsia" w:hAnsiTheme="minorHAnsi" w:cstheme="minorHAnsi"/>
              </w:rPr>
              <w:t xml:space="preserve">Aboriginal and Torres Strait Islander </w:t>
            </w:r>
            <w:r w:rsidR="00F82C09" w:rsidRPr="00944AB1">
              <w:rPr>
                <w:rFonts w:asciiTheme="minorHAnsi" w:eastAsiaTheme="minorEastAsia" w:hAnsiTheme="minorHAnsi" w:cstheme="minorHAnsi"/>
              </w:rPr>
              <w:t>p</w:t>
            </w:r>
            <w:r w:rsidR="00952AAB" w:rsidRPr="00944AB1">
              <w:rPr>
                <w:rFonts w:asciiTheme="minorHAnsi" w:eastAsiaTheme="minorEastAsia" w:hAnsiTheme="minorHAnsi" w:cstheme="minorHAnsi"/>
              </w:rPr>
              <w:t xml:space="preserve">eople, culturally and linguistically diverse communities, LGBTQ+ </w:t>
            </w:r>
            <w:r w:rsidR="00F82C09" w:rsidRPr="00944AB1">
              <w:rPr>
                <w:rFonts w:asciiTheme="minorHAnsi" w:eastAsiaTheme="minorEastAsia" w:hAnsiTheme="minorHAnsi" w:cstheme="minorHAnsi"/>
              </w:rPr>
              <w:t>people</w:t>
            </w:r>
            <w:r w:rsidR="00156EF8" w:rsidRPr="00944AB1">
              <w:rPr>
                <w:rFonts w:asciiTheme="minorHAnsi" w:eastAsiaTheme="minorEastAsia" w:hAnsiTheme="minorHAnsi" w:cstheme="minorHAnsi"/>
              </w:rPr>
              <w:t xml:space="preserve">, and </w:t>
            </w:r>
            <w:r w:rsidR="0076780D" w:rsidRPr="00944AB1">
              <w:rPr>
                <w:rFonts w:asciiTheme="minorHAnsi" w:eastAsiaTheme="minorEastAsia" w:hAnsiTheme="minorHAnsi" w:cstheme="minorHAnsi"/>
              </w:rPr>
              <w:t>people</w:t>
            </w:r>
            <w:r w:rsidR="00D96626" w:rsidRPr="00944AB1">
              <w:rPr>
                <w:rFonts w:asciiTheme="minorHAnsi" w:eastAsiaTheme="minorEastAsia" w:hAnsiTheme="minorHAnsi" w:cstheme="minorHAnsi"/>
              </w:rPr>
              <w:t xml:space="preserve"> living with a disability</w:t>
            </w:r>
            <w:r w:rsidR="00F82C09" w:rsidRPr="00944AB1">
              <w:rPr>
                <w:rFonts w:asciiTheme="minorHAnsi" w:eastAsiaTheme="minorEastAsia" w:hAnsiTheme="minorHAnsi" w:cstheme="minorHAnsi"/>
              </w:rPr>
              <w:t>.</w:t>
            </w:r>
            <w:r w:rsidR="00B1798D" w:rsidRPr="00944AB1">
              <w:rPr>
                <w:rFonts w:asciiTheme="minorHAnsi" w:eastAsiaTheme="minorEastAsia" w:hAnsiTheme="minorHAnsi" w:cstheme="minorHAnsi"/>
              </w:rPr>
              <w:t xml:space="preserve"> </w:t>
            </w:r>
            <w:r w:rsidR="00AB4BA5" w:rsidRPr="00944AB1">
              <w:rPr>
                <w:rFonts w:asciiTheme="minorHAnsi" w:eastAsiaTheme="minorEastAsia" w:hAnsiTheme="minorHAnsi" w:cstheme="minorHAnsi"/>
              </w:rPr>
              <w:t>Further r</w:t>
            </w:r>
            <w:r w:rsidR="00B1798D" w:rsidRPr="00944AB1">
              <w:rPr>
                <w:rFonts w:asciiTheme="minorHAnsi" w:eastAsiaTheme="minorEastAsia" w:hAnsiTheme="minorHAnsi" w:cstheme="minorHAnsi"/>
              </w:rPr>
              <w:t xml:space="preserve">esearch </w:t>
            </w:r>
            <w:r w:rsidR="00AB4BA5" w:rsidRPr="00944AB1">
              <w:rPr>
                <w:rFonts w:asciiTheme="minorHAnsi" w:eastAsiaTheme="minorEastAsia" w:hAnsiTheme="minorHAnsi" w:cstheme="minorHAnsi"/>
              </w:rPr>
              <w:t xml:space="preserve">to address </w:t>
            </w:r>
            <w:r w:rsidR="00AB4BA5" w:rsidRPr="00944AB1">
              <w:rPr>
                <w:rFonts w:asciiTheme="minorHAnsi" w:eastAsiaTheme="minorEastAsia" w:hAnsiTheme="minorHAnsi" w:cstheme="minorHAnsi"/>
                <w:color w:val="000000" w:themeColor="text1"/>
                <w:lang w:eastAsia="en-AU"/>
              </w:rPr>
              <w:t xml:space="preserve">uncertainty in </w:t>
            </w:r>
            <w:r w:rsidR="00DF7CF6" w:rsidRPr="00944AB1">
              <w:rPr>
                <w:rFonts w:asciiTheme="minorHAnsi" w:eastAsiaTheme="minorEastAsia" w:hAnsiTheme="minorHAnsi" w:cstheme="minorHAnsi"/>
                <w:color w:val="000000" w:themeColor="text1"/>
                <w:lang w:eastAsia="en-AU"/>
              </w:rPr>
              <w:t xml:space="preserve">supplemental </w:t>
            </w:r>
            <w:r w:rsidR="003D4EBF" w:rsidRPr="00944AB1">
              <w:rPr>
                <w:rFonts w:asciiTheme="minorHAnsi" w:eastAsiaTheme="minorEastAsia" w:hAnsiTheme="minorHAnsi" w:cstheme="minorHAnsi"/>
                <w:color w:val="000000" w:themeColor="text1"/>
                <w:lang w:eastAsia="en-AU"/>
              </w:rPr>
              <w:t>diagnostic</w:t>
            </w:r>
            <w:r w:rsidR="00DE3737" w:rsidRPr="00944AB1">
              <w:rPr>
                <w:rFonts w:asciiTheme="minorHAnsi" w:eastAsiaTheme="minorEastAsia" w:hAnsiTheme="minorHAnsi" w:cstheme="minorHAnsi"/>
                <w:color w:val="000000" w:themeColor="text1"/>
                <w:lang w:eastAsia="en-AU"/>
              </w:rPr>
              <w:t xml:space="preserve"> and </w:t>
            </w:r>
            <w:r w:rsidR="00AB4BA5" w:rsidRPr="00944AB1">
              <w:rPr>
                <w:rFonts w:asciiTheme="minorHAnsi" w:eastAsiaTheme="minorEastAsia" w:hAnsiTheme="minorHAnsi" w:cstheme="minorHAnsi"/>
                <w:color w:val="000000" w:themeColor="text1"/>
                <w:lang w:eastAsia="en-AU"/>
              </w:rPr>
              <w:t xml:space="preserve">management pathways for women with dense </w:t>
            </w:r>
            <w:r w:rsidR="00D73970" w:rsidRPr="00944AB1">
              <w:rPr>
                <w:rFonts w:asciiTheme="minorHAnsi" w:eastAsiaTheme="minorEastAsia" w:hAnsiTheme="minorHAnsi" w:cstheme="minorHAnsi"/>
                <w:color w:val="000000" w:themeColor="text1"/>
                <w:lang w:eastAsia="en-AU"/>
              </w:rPr>
              <w:t>breasts will</w:t>
            </w:r>
            <w:r w:rsidR="00AB4BA5" w:rsidRPr="00944AB1">
              <w:rPr>
                <w:rFonts w:asciiTheme="minorHAnsi" w:eastAsiaTheme="minorEastAsia" w:hAnsiTheme="minorHAnsi" w:cstheme="minorHAnsi"/>
                <w:color w:val="000000" w:themeColor="text1"/>
                <w:lang w:eastAsia="en-AU"/>
              </w:rPr>
              <w:t xml:space="preserve"> assist in </w:t>
            </w:r>
            <w:r w:rsidR="00DE3737" w:rsidRPr="00944AB1">
              <w:rPr>
                <w:rFonts w:asciiTheme="minorHAnsi" w:eastAsiaTheme="minorEastAsia" w:hAnsiTheme="minorHAnsi" w:cstheme="minorHAnsi"/>
                <w:color w:val="000000" w:themeColor="text1"/>
                <w:lang w:eastAsia="en-AU"/>
              </w:rPr>
              <w:t>driving</w:t>
            </w:r>
            <w:r w:rsidR="00AB4BA5" w:rsidRPr="00944AB1">
              <w:rPr>
                <w:rFonts w:asciiTheme="minorHAnsi" w:eastAsiaTheme="minorEastAsia" w:hAnsiTheme="minorHAnsi" w:cstheme="minorHAnsi"/>
                <w:color w:val="000000" w:themeColor="text1"/>
                <w:lang w:eastAsia="en-AU"/>
              </w:rPr>
              <w:t xml:space="preserve"> equity </w:t>
            </w:r>
            <w:r w:rsidR="00485097" w:rsidRPr="00944AB1">
              <w:rPr>
                <w:rFonts w:asciiTheme="minorHAnsi" w:eastAsiaTheme="minorEastAsia" w:hAnsiTheme="minorHAnsi" w:cstheme="minorHAnsi"/>
                <w:color w:val="000000" w:themeColor="text1"/>
                <w:lang w:eastAsia="en-AU"/>
              </w:rPr>
              <w:t xml:space="preserve">of access </w:t>
            </w:r>
            <w:r w:rsidR="00AB4BA5" w:rsidRPr="00944AB1">
              <w:rPr>
                <w:rFonts w:asciiTheme="minorHAnsi" w:eastAsiaTheme="minorEastAsia" w:hAnsiTheme="minorHAnsi" w:cstheme="minorHAnsi"/>
                <w:color w:val="000000" w:themeColor="text1"/>
                <w:lang w:eastAsia="en-AU"/>
              </w:rPr>
              <w:t>to evidence-based</w:t>
            </w:r>
            <w:r w:rsidR="001705B0" w:rsidRPr="00944AB1">
              <w:rPr>
                <w:rFonts w:asciiTheme="minorHAnsi" w:eastAsiaTheme="minorEastAsia" w:hAnsiTheme="minorHAnsi" w:cstheme="minorHAnsi"/>
                <w:color w:val="000000" w:themeColor="text1"/>
                <w:lang w:eastAsia="en-AU"/>
              </w:rPr>
              <w:t xml:space="preserve"> </w:t>
            </w:r>
            <w:r w:rsidR="00875B40" w:rsidRPr="00944AB1">
              <w:rPr>
                <w:rFonts w:asciiTheme="minorHAnsi" w:eastAsiaTheme="minorEastAsia" w:hAnsiTheme="minorHAnsi" w:cstheme="minorHAnsi"/>
                <w:color w:val="000000" w:themeColor="text1"/>
                <w:lang w:eastAsia="en-AU"/>
              </w:rPr>
              <w:t>care</w:t>
            </w:r>
            <w:r w:rsidR="00DF7CF6" w:rsidRPr="00944AB1">
              <w:rPr>
                <w:rFonts w:asciiTheme="minorHAnsi" w:eastAsiaTheme="minorEastAsia" w:hAnsiTheme="minorHAnsi" w:cstheme="minorHAnsi"/>
                <w:color w:val="000000" w:themeColor="text1"/>
                <w:lang w:eastAsia="en-AU"/>
              </w:rPr>
              <w:t xml:space="preserve">. </w:t>
            </w:r>
            <w:r w:rsidR="00AB4BA5" w:rsidRPr="00944AB1">
              <w:rPr>
                <w:rFonts w:asciiTheme="minorHAnsi" w:eastAsiaTheme="minorEastAsia" w:hAnsiTheme="minorHAnsi" w:cstheme="minorHAnsi"/>
                <w:color w:val="000000" w:themeColor="text1"/>
                <w:lang w:eastAsia="en-AU"/>
              </w:rPr>
              <w:t xml:space="preserve"> </w:t>
            </w:r>
          </w:p>
        </w:tc>
      </w:tr>
      <w:tr w:rsidR="000D2B29" w:rsidRPr="00027930" w14:paraId="6278A3BD"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0A8CD345" w14:textId="0B832C10" w:rsidR="000D2B29" w:rsidRPr="00AE6ED8" w:rsidRDefault="004D107A" w:rsidP="00AE6ED8">
            <w:pPr>
              <w:pStyle w:val="Tableparagraphstrong"/>
            </w:pPr>
            <w:r w:rsidRPr="00AE6ED8">
              <w:lastRenderedPageBreak/>
              <w:t>Stakeholder consultation</w:t>
            </w:r>
          </w:p>
        </w:tc>
        <w:tc>
          <w:tcPr>
            <w:tcW w:w="7371" w:type="dxa"/>
            <w:tcBorders>
              <w:top w:val="single" w:sz="4" w:space="0" w:color="000000" w:themeColor="text1"/>
              <w:bottom w:val="single" w:sz="4" w:space="0" w:color="000000" w:themeColor="text1"/>
            </w:tcBorders>
          </w:tcPr>
          <w:p w14:paraId="336979D6" w14:textId="45A9C568" w:rsidR="004659E0" w:rsidRPr="00944AB1" w:rsidRDefault="00760D7F" w:rsidP="00106454">
            <w:pPr>
              <w:pStyle w:val="ListBullet"/>
            </w:pPr>
            <w:r w:rsidRPr="00944AB1">
              <w:t xml:space="preserve">The </w:t>
            </w:r>
            <w:proofErr w:type="spellStart"/>
            <w:r w:rsidR="00783848" w:rsidRPr="00944AB1">
              <w:t>BreastScreen</w:t>
            </w:r>
            <w:proofErr w:type="spellEnd"/>
            <w:r w:rsidR="00783848" w:rsidRPr="00944AB1">
              <w:t xml:space="preserve"> Australia Clinical Advisory </w:t>
            </w:r>
            <w:r w:rsidRPr="00944AB1">
              <w:t xml:space="preserve">Group is grateful </w:t>
            </w:r>
            <w:r w:rsidR="00090587" w:rsidRPr="00944AB1">
              <w:t xml:space="preserve">to </w:t>
            </w:r>
            <w:r w:rsidR="00901CA4" w:rsidRPr="00944AB1">
              <w:t>stakeholders</w:t>
            </w:r>
            <w:r w:rsidR="007227B2" w:rsidRPr="00944AB1">
              <w:t xml:space="preserve"> </w:t>
            </w:r>
            <w:r w:rsidR="00CD01ED" w:rsidRPr="00944AB1">
              <w:t xml:space="preserve">who </w:t>
            </w:r>
            <w:r w:rsidR="00090587" w:rsidRPr="00944AB1">
              <w:t>provided</w:t>
            </w:r>
            <w:r w:rsidR="004659E0" w:rsidRPr="00944AB1">
              <w:t xml:space="preserve"> input during the Position Statement’s development, including</w:t>
            </w:r>
            <w:r w:rsidR="0049269F" w:rsidRPr="00944AB1">
              <w:t>:</w:t>
            </w:r>
          </w:p>
          <w:p w14:paraId="42D306B6" w14:textId="77777777" w:rsidR="00130E4D" w:rsidRPr="00944AB1" w:rsidRDefault="00130E4D" w:rsidP="008065B1">
            <w:pPr>
              <w:pStyle w:val="ListBullet3"/>
            </w:pPr>
            <w:r w:rsidRPr="00944AB1">
              <w:t xml:space="preserve">Clinical Directors and other experts from state and territory </w:t>
            </w:r>
            <w:proofErr w:type="spellStart"/>
            <w:r w:rsidRPr="00944AB1">
              <w:t>BreastScreen</w:t>
            </w:r>
            <w:proofErr w:type="spellEnd"/>
            <w:r w:rsidRPr="00944AB1">
              <w:t xml:space="preserve"> services</w:t>
            </w:r>
          </w:p>
          <w:p w14:paraId="2A2437DE" w14:textId="77777777" w:rsidR="00130E4D" w:rsidRPr="00944AB1" w:rsidRDefault="00130E4D" w:rsidP="008065B1">
            <w:pPr>
              <w:pStyle w:val="ListBullet3"/>
            </w:pPr>
            <w:r w:rsidRPr="00944AB1">
              <w:t>Breast Cancer Network Australia (BCNA)</w:t>
            </w:r>
          </w:p>
          <w:p w14:paraId="34E3FFA7" w14:textId="77777777" w:rsidR="0035049F" w:rsidRPr="00944AB1" w:rsidRDefault="0035049F" w:rsidP="008065B1">
            <w:pPr>
              <w:pStyle w:val="ListBullet3"/>
            </w:pPr>
            <w:r w:rsidRPr="00944AB1">
              <w:t>Australian College of Rural and Remote Medicine (ACRRM)</w:t>
            </w:r>
          </w:p>
          <w:p w14:paraId="29BF27FF" w14:textId="4A75B648" w:rsidR="0035049F" w:rsidRPr="00944AB1" w:rsidRDefault="0011153F" w:rsidP="008065B1">
            <w:pPr>
              <w:pStyle w:val="ListBullet3"/>
            </w:pPr>
            <w:r w:rsidRPr="00944AB1">
              <w:t>Breast Surgeons of Australia and New Zealand</w:t>
            </w:r>
            <w:r w:rsidR="00A201C8" w:rsidRPr="00944AB1">
              <w:t xml:space="preserve"> (</w:t>
            </w:r>
            <w:proofErr w:type="spellStart"/>
            <w:r w:rsidR="0035049F" w:rsidRPr="00944AB1">
              <w:t>BreastSurgANZ</w:t>
            </w:r>
            <w:proofErr w:type="spellEnd"/>
            <w:r w:rsidR="00A201C8" w:rsidRPr="00944AB1">
              <w:t>)</w:t>
            </w:r>
          </w:p>
          <w:p w14:paraId="70DC3141" w14:textId="77777777" w:rsidR="00CC359F" w:rsidRPr="00944AB1" w:rsidRDefault="00CC359F" w:rsidP="008065B1">
            <w:pPr>
              <w:pStyle w:val="ListBullet3"/>
            </w:pPr>
            <w:r w:rsidRPr="00944AB1">
              <w:t>Medical Oncology Group of Australia (MOGA)</w:t>
            </w:r>
          </w:p>
          <w:p w14:paraId="5FC3A871" w14:textId="6BF2148D" w:rsidR="00273307" w:rsidRPr="00944AB1" w:rsidRDefault="00273307" w:rsidP="008065B1">
            <w:pPr>
              <w:pStyle w:val="ListBullet3"/>
            </w:pPr>
            <w:r w:rsidRPr="00944AB1">
              <w:t>Royal Australasian College of Physicians (RACP)</w:t>
            </w:r>
            <w:r w:rsidR="00AA3362" w:rsidRPr="00944AB1">
              <w:t xml:space="preserve"> </w:t>
            </w:r>
          </w:p>
          <w:p w14:paraId="216667D8" w14:textId="768E23ED" w:rsidR="00547519" w:rsidRPr="00944AB1" w:rsidRDefault="00612757" w:rsidP="008065B1">
            <w:pPr>
              <w:pStyle w:val="ListBullet3"/>
            </w:pPr>
            <w:r w:rsidRPr="00944AB1">
              <w:t>Royal Australian College of General Practitioners (RACGP)</w:t>
            </w:r>
          </w:p>
          <w:p w14:paraId="1633ADF6" w14:textId="195E427C" w:rsidR="00183250" w:rsidRPr="00944AB1" w:rsidRDefault="000D2B29" w:rsidP="008065B1">
            <w:pPr>
              <w:pStyle w:val="ListBullet3"/>
            </w:pPr>
            <w:r w:rsidRPr="00944AB1">
              <w:t>Royal Australian and New Zealand College of Radiologists</w:t>
            </w:r>
            <w:r w:rsidR="0048724B" w:rsidRPr="00944AB1">
              <w:t xml:space="preserve"> (RANZCR)</w:t>
            </w:r>
          </w:p>
          <w:p w14:paraId="57954A0E" w14:textId="4844288A" w:rsidR="00A459F9" w:rsidRDefault="00A459F9" w:rsidP="008065B1">
            <w:pPr>
              <w:pStyle w:val="ListBullet3"/>
            </w:pPr>
            <w:r w:rsidRPr="00944AB1">
              <w:t xml:space="preserve">Royal College of Pathologists of Australasia </w:t>
            </w:r>
            <w:r w:rsidR="00652241" w:rsidRPr="00944AB1">
              <w:t>(RCPA)</w:t>
            </w:r>
          </w:p>
          <w:p w14:paraId="404A0202" w14:textId="5580CE7D" w:rsidR="0015169C" w:rsidRDefault="0015169C" w:rsidP="008065B1">
            <w:pPr>
              <w:pStyle w:val="ListBullet3"/>
            </w:pPr>
            <w:proofErr w:type="spellStart"/>
            <w:r>
              <w:t>BreastScreen</w:t>
            </w:r>
            <w:proofErr w:type="spellEnd"/>
            <w:r>
              <w:t xml:space="preserve"> Australia Program Management Group </w:t>
            </w:r>
          </w:p>
          <w:p w14:paraId="288CBFF5" w14:textId="744DB30F" w:rsidR="0015169C" w:rsidRPr="00944AB1" w:rsidRDefault="0015169C" w:rsidP="008065B1">
            <w:pPr>
              <w:pStyle w:val="ListBullet3"/>
            </w:pPr>
            <w:proofErr w:type="spellStart"/>
            <w:r>
              <w:t>BreastScreen</w:t>
            </w:r>
            <w:proofErr w:type="spellEnd"/>
            <w:r>
              <w:t xml:space="preserve"> Australia National Quality Management Committee </w:t>
            </w:r>
          </w:p>
          <w:p w14:paraId="4D80D503" w14:textId="4D7B518A" w:rsidR="000D2B29" w:rsidRPr="008F5881" w:rsidRDefault="00224C94" w:rsidP="008065B1">
            <w:pPr>
              <w:pStyle w:val="ListBullet3"/>
            </w:pPr>
            <w:r w:rsidRPr="00944AB1">
              <w:t>O</w:t>
            </w:r>
            <w:r w:rsidR="00A75080" w:rsidRPr="00944AB1">
              <w:t>ther</w:t>
            </w:r>
            <w:r w:rsidRPr="00944AB1">
              <w:t xml:space="preserve"> stakeholders with expertise</w:t>
            </w:r>
            <w:r w:rsidR="00A75080" w:rsidRPr="00944AB1">
              <w:t xml:space="preserve"> in breast cancer</w:t>
            </w:r>
            <w:r w:rsidR="000C6B18" w:rsidRPr="00944AB1">
              <w:t xml:space="preserve"> screening, diagnosis, and treatment.</w:t>
            </w:r>
          </w:p>
        </w:tc>
      </w:tr>
      <w:tr w:rsidR="009F5DCA" w:rsidRPr="00027930" w14:paraId="433B5699" w14:textId="77777777" w:rsidTr="00813C61">
        <w:trPr>
          <w:trHeight w:val="1046"/>
        </w:trPr>
        <w:tc>
          <w:tcPr>
            <w:tcW w:w="2552" w:type="dxa"/>
            <w:tcBorders>
              <w:top w:val="single" w:sz="4" w:space="0" w:color="000000" w:themeColor="text1"/>
              <w:bottom w:val="single" w:sz="4" w:space="0" w:color="000000" w:themeColor="text1"/>
            </w:tcBorders>
            <w:shd w:val="clear" w:color="auto" w:fill="DBE4F0"/>
          </w:tcPr>
          <w:p w14:paraId="260E552F" w14:textId="35C0C1BF" w:rsidR="009F5DCA" w:rsidRPr="00AE6ED8" w:rsidRDefault="009F5DCA" w:rsidP="00AE6ED8">
            <w:pPr>
              <w:pStyle w:val="Tableparagraphstrong"/>
            </w:pPr>
            <w:r w:rsidRPr="00AE6ED8">
              <w:t>References</w:t>
            </w:r>
          </w:p>
        </w:tc>
        <w:tc>
          <w:tcPr>
            <w:tcW w:w="7371" w:type="dxa"/>
            <w:tcBorders>
              <w:top w:val="single" w:sz="4" w:space="0" w:color="000000" w:themeColor="text1"/>
              <w:bottom w:val="single" w:sz="4" w:space="0" w:color="000000" w:themeColor="text1"/>
            </w:tcBorders>
          </w:tcPr>
          <w:p w14:paraId="27DB2D79" w14:textId="77777777" w:rsidR="00554E00" w:rsidRPr="00BF3D84" w:rsidRDefault="00554E00" w:rsidP="008065B1">
            <w:pPr>
              <w:pStyle w:val="ListNumber"/>
            </w:pPr>
            <w:proofErr w:type="spellStart"/>
            <w:r w:rsidRPr="00BF3D84">
              <w:t>Bodewes</w:t>
            </w:r>
            <w:proofErr w:type="spellEnd"/>
            <w:r w:rsidRPr="00BF3D84">
              <w:t xml:space="preserve"> F, </w:t>
            </w:r>
            <w:r w:rsidRPr="008065B1">
              <w:t>van</w:t>
            </w:r>
            <w:r w:rsidRPr="00BF3D84">
              <w:t xml:space="preserve"> Asselt A, Greuter M and de Bock G (2022) 'Mammographic breast density and the risk of breast cancer: A systematic review and meta-analysis', The Breast, 66:62–68, </w:t>
            </w:r>
            <w:proofErr w:type="gramStart"/>
            <w:r w:rsidRPr="00BF3D84">
              <w:t>doi:10.1016/j.breast</w:t>
            </w:r>
            <w:proofErr w:type="gramEnd"/>
            <w:r w:rsidRPr="00BF3D84">
              <w:t>.2022.09.007.</w:t>
            </w:r>
          </w:p>
          <w:p w14:paraId="72DB57D9" w14:textId="77777777" w:rsidR="006D662F" w:rsidRPr="00BF3D84" w:rsidRDefault="006D662F" w:rsidP="008065B1">
            <w:pPr>
              <w:pStyle w:val="ListNumber"/>
            </w:pPr>
            <w:r w:rsidRPr="00BF3D84">
              <w:t xml:space="preserve">Bakker MF, de Lange S V, </w:t>
            </w:r>
            <w:proofErr w:type="spellStart"/>
            <w:r w:rsidRPr="00BF3D84">
              <w:t>Pijnappel</w:t>
            </w:r>
            <w:proofErr w:type="spellEnd"/>
            <w:r w:rsidRPr="00BF3D84">
              <w:t xml:space="preserve"> RM, Mann RM, Peeters PHM, </w:t>
            </w:r>
            <w:proofErr w:type="spellStart"/>
            <w:r w:rsidRPr="00BF3D84">
              <w:t>Monninkhof</w:t>
            </w:r>
            <w:proofErr w:type="spellEnd"/>
            <w:r w:rsidRPr="00BF3D84">
              <w:t xml:space="preserve"> EM, Emaus MJ, Loo CE, </w:t>
            </w:r>
            <w:proofErr w:type="spellStart"/>
            <w:r w:rsidRPr="00BF3D84">
              <w:t>Bisschops</w:t>
            </w:r>
            <w:proofErr w:type="spellEnd"/>
            <w:r w:rsidRPr="00BF3D84">
              <w:t xml:space="preserve"> RHC, </w:t>
            </w:r>
            <w:proofErr w:type="spellStart"/>
            <w:r w:rsidRPr="00BF3D84">
              <w:t>Lobbes</w:t>
            </w:r>
            <w:proofErr w:type="spellEnd"/>
            <w:r w:rsidRPr="00BF3D84">
              <w:t xml:space="preserve"> MBI, de Jong MDF, Duvivier KM, Veltman J, </w:t>
            </w:r>
            <w:proofErr w:type="spellStart"/>
            <w:r w:rsidRPr="00BF3D84">
              <w:t>Karssemeijer</w:t>
            </w:r>
            <w:proofErr w:type="spellEnd"/>
            <w:r w:rsidRPr="00BF3D84">
              <w:t xml:space="preserve"> N, de Koning HJ, van Diest PJ, Mali WPTM, van den Bosch MAAJ, Veldhuis WB and van Gils CH (2019) 'Supplemental MRI screening for women with extremely dense breast tissue', New England Journal of Medicine, 381(22):2091–2102, doi:10.1056/nejmoa1903986.</w:t>
            </w:r>
          </w:p>
          <w:p w14:paraId="085F6A20" w14:textId="77777777" w:rsidR="006F6925" w:rsidRPr="00BF3D84" w:rsidRDefault="006F6925" w:rsidP="008065B1">
            <w:pPr>
              <w:pStyle w:val="ListNumber"/>
            </w:pPr>
            <w:r w:rsidRPr="00BF3D84">
              <w:t>Breast Cancer Network Australia (n.d.) Mammographic density and screening (</w:t>
            </w:r>
            <w:hyperlink r:id="rId18" w:history="1">
              <w:r w:rsidRPr="00BF3D84">
                <w:rPr>
                  <w:rStyle w:val="Hyperlink"/>
                </w:rPr>
                <w:t>www.bcna.org.au/breast-health-awareness/mammographic-density-and-screening</w:t>
              </w:r>
            </w:hyperlink>
            <w:r w:rsidRPr="00BF3D84">
              <w:t>), Breast Cancer Network Australia website, accessed 3 July 2023.</w:t>
            </w:r>
          </w:p>
          <w:p w14:paraId="07FC5B84" w14:textId="77777777" w:rsidR="00F95F0B" w:rsidRPr="00BF3D84" w:rsidRDefault="00F95F0B" w:rsidP="008065B1">
            <w:pPr>
              <w:pStyle w:val="ListNumber"/>
            </w:pPr>
            <w:r w:rsidRPr="00BF3D84">
              <w:t xml:space="preserve">Monticciolo DL, Newell MS, Moy L, Lee CS and </w:t>
            </w:r>
            <w:proofErr w:type="spellStart"/>
            <w:r w:rsidRPr="00BF3D84">
              <w:t>Destounis</w:t>
            </w:r>
            <w:proofErr w:type="spellEnd"/>
            <w:r w:rsidRPr="00BF3D84">
              <w:t xml:space="preserve"> S V. (2023) 'Breast cancer screening for women at higher-than-average risk: updated recommendations from the ACR', Journal of the American College of Radiology, </w:t>
            </w:r>
            <w:proofErr w:type="gramStart"/>
            <w:r w:rsidRPr="00BF3D84">
              <w:t>doi:10.1016/j.jacr</w:t>
            </w:r>
            <w:proofErr w:type="gramEnd"/>
            <w:r w:rsidRPr="00BF3D84">
              <w:t>.2023.04.002.</w:t>
            </w:r>
          </w:p>
          <w:p w14:paraId="774F907F" w14:textId="77777777" w:rsidR="00F95F0B" w:rsidRPr="00BF3D84" w:rsidRDefault="00F95F0B" w:rsidP="008065B1">
            <w:pPr>
              <w:pStyle w:val="ListNumber"/>
            </w:pPr>
            <w:r w:rsidRPr="00BF3D84">
              <w:t>RANZCR (2024) Breast density position statement, Royal Australian and New Zealand College of Radiologists.</w:t>
            </w:r>
          </w:p>
          <w:p w14:paraId="42674528" w14:textId="77777777" w:rsidR="00F95F0B" w:rsidRDefault="00F95F0B" w:rsidP="008065B1">
            <w:pPr>
              <w:pStyle w:val="ListNumber"/>
            </w:pPr>
            <w:r w:rsidRPr="00BF3D84">
              <w:t>National Cancer Institute (2023) Dense breasts: answers to commonly asked questions (</w:t>
            </w:r>
            <w:hyperlink r:id="rId19" w:history="1">
              <w:r w:rsidRPr="00BF3D84">
                <w:rPr>
                  <w:rStyle w:val="Hyperlink"/>
                </w:rPr>
                <w:t>www.cancer.gov/types/breast/breast-changes/dense-breasts</w:t>
              </w:r>
            </w:hyperlink>
            <w:r w:rsidRPr="00BF3D84">
              <w:t>), National Cancer Institute website, accessed 5 July 2023.</w:t>
            </w:r>
          </w:p>
          <w:p w14:paraId="26F0AC81" w14:textId="013245DD" w:rsidR="00EF0A71" w:rsidRPr="003A7B79" w:rsidRDefault="00EF0A71" w:rsidP="008065B1">
            <w:pPr>
              <w:pStyle w:val="ListNumber"/>
            </w:pPr>
            <w:r w:rsidRPr="00BF3D84">
              <w:lastRenderedPageBreak/>
              <w:t>American College of Radiology (2013) ACR BI-RADS® Atlas Fifth Edition Quick Reference (</w:t>
            </w:r>
            <w:hyperlink r:id="rId20" w:history="1">
              <w:r w:rsidRPr="00BF3D84">
                <w:rPr>
                  <w:rStyle w:val="Hyperlink"/>
                </w:rPr>
                <w:t>BIRADS-Reference-Card.pdf (acr.org)</w:t>
              </w:r>
            </w:hyperlink>
            <w:r w:rsidRPr="00BF3D84">
              <w:t xml:space="preserve">), American College of Radiology website, </w:t>
            </w:r>
            <w:r w:rsidRPr="00FB47DE">
              <w:t>accessed 5 November 2024</w:t>
            </w:r>
            <w:r>
              <w:t>.</w:t>
            </w:r>
          </w:p>
          <w:p w14:paraId="5A3D1507" w14:textId="77777777" w:rsidR="003A7B79" w:rsidRPr="00BF3D84" w:rsidRDefault="003A7B79" w:rsidP="008065B1">
            <w:pPr>
              <w:pStyle w:val="ListNumber"/>
            </w:pPr>
            <w:proofErr w:type="spellStart"/>
            <w:r w:rsidRPr="00BF3D84">
              <w:t>InforMD</w:t>
            </w:r>
            <w:proofErr w:type="spellEnd"/>
            <w:r w:rsidRPr="00BF3D84">
              <w:t xml:space="preserve"> (</w:t>
            </w:r>
            <w:proofErr w:type="spellStart"/>
            <w:r w:rsidRPr="00BF3D84">
              <w:t>INformation</w:t>
            </w:r>
            <w:proofErr w:type="spellEnd"/>
            <w:r w:rsidRPr="00BF3D84">
              <w:t xml:space="preserve"> </w:t>
            </w:r>
            <w:proofErr w:type="spellStart"/>
            <w:r w:rsidRPr="00BF3D84">
              <w:t>FORum</w:t>
            </w:r>
            <w:proofErr w:type="spellEnd"/>
            <w:r w:rsidRPr="00BF3D84">
              <w:t xml:space="preserve"> on Mammographic Density) website </w:t>
            </w:r>
            <w:hyperlink r:id="rId21" w:history="1">
              <w:r w:rsidRPr="00BF3D84">
                <w:rPr>
                  <w:rStyle w:val="Hyperlink"/>
                </w:rPr>
                <w:t>www.informd.org.au</w:t>
              </w:r>
            </w:hyperlink>
            <w:r w:rsidRPr="00BF3D84">
              <w:t xml:space="preserve"> accessed 10 April 2024.</w:t>
            </w:r>
          </w:p>
          <w:p w14:paraId="5BAB41AC" w14:textId="77777777" w:rsidR="00110D61" w:rsidRPr="00BF3D84" w:rsidRDefault="00110D61" w:rsidP="008065B1">
            <w:pPr>
              <w:pStyle w:val="ListNumber"/>
            </w:pPr>
            <w:proofErr w:type="spellStart"/>
            <w:r w:rsidRPr="00BF3D84">
              <w:t>Houssami</w:t>
            </w:r>
            <w:proofErr w:type="spellEnd"/>
            <w:r w:rsidRPr="00BF3D84">
              <w:t xml:space="preserve"> N, Lockie D, Giles M, Noguchi N, Marr G and Marinovich ML (2023) ‘Two-year follow-up of participants in the </w:t>
            </w:r>
            <w:proofErr w:type="spellStart"/>
            <w:r w:rsidRPr="00BF3D84">
              <w:t>BreastScreen</w:t>
            </w:r>
            <w:proofErr w:type="spellEnd"/>
            <w:r w:rsidRPr="00BF3D84">
              <w:t xml:space="preserve"> Victoria pilot trial of tomosynthesis versus mammography: Breast density-stratified screening outcomes’, British Journal of Radiology, 96 (1148), </w:t>
            </w:r>
            <w:proofErr w:type="spellStart"/>
            <w:r w:rsidRPr="00BF3D84">
              <w:t>doi</w:t>
            </w:r>
            <w:proofErr w:type="spellEnd"/>
            <w:r w:rsidRPr="00BF3D84">
              <w:t>: 10.1259/bjr.20230081.</w:t>
            </w:r>
          </w:p>
          <w:p w14:paraId="54033EE5" w14:textId="1F8F71C9" w:rsidR="00110D61" w:rsidRDefault="00110D61" w:rsidP="008065B1">
            <w:pPr>
              <w:pStyle w:val="ListNumber"/>
            </w:pPr>
            <w:r w:rsidRPr="00BF3D84">
              <w:t xml:space="preserve">Nickel B, Ormiston-Smith N, Hammerton L, </w:t>
            </w:r>
            <w:proofErr w:type="spellStart"/>
            <w:r w:rsidRPr="00BF3D84">
              <w:t>Cvejic</w:t>
            </w:r>
            <w:proofErr w:type="spellEnd"/>
            <w:r w:rsidRPr="00BF3D84">
              <w:t xml:space="preserve"> E, Vardon P, </w:t>
            </w:r>
            <w:proofErr w:type="spellStart"/>
            <w:r w:rsidRPr="00BF3D84">
              <w:t>Mcinally</w:t>
            </w:r>
            <w:proofErr w:type="spellEnd"/>
            <w:r w:rsidRPr="00BF3D84">
              <w:t xml:space="preserve"> Z, Legerton P, Baker K, </w:t>
            </w:r>
            <w:proofErr w:type="spellStart"/>
            <w:r w:rsidRPr="00BF3D84">
              <w:t>Isautier</w:t>
            </w:r>
            <w:proofErr w:type="spellEnd"/>
            <w:r w:rsidRPr="00BF3D84">
              <w:t xml:space="preserve"> J, Larsen E, Giles M, Brennan M, McCaffery K and </w:t>
            </w:r>
            <w:proofErr w:type="spellStart"/>
            <w:r w:rsidRPr="00BF3D84">
              <w:t>Houssami</w:t>
            </w:r>
            <w:proofErr w:type="spellEnd"/>
            <w:r w:rsidRPr="00BF3D84">
              <w:t xml:space="preserve"> N (2023) ‘Psychosocial outcomes and health service use after notifying women participating in population breast screening when they have dense breasts: a </w:t>
            </w:r>
            <w:proofErr w:type="spellStart"/>
            <w:r w:rsidRPr="00BF3D84">
              <w:t>BreastScreen</w:t>
            </w:r>
            <w:proofErr w:type="spellEnd"/>
            <w:r w:rsidRPr="00BF3D84">
              <w:t xml:space="preserve"> Queensland randomised controlled trial’, Medical Journal of Australia, 219(9):423-8, </w:t>
            </w:r>
            <w:proofErr w:type="spellStart"/>
            <w:r w:rsidRPr="00BF3D84">
              <w:t>doi</w:t>
            </w:r>
            <w:proofErr w:type="spellEnd"/>
            <w:r w:rsidRPr="00BF3D84">
              <w:t>: 10.5694/mja2.52117</w:t>
            </w:r>
            <w:r w:rsidR="00955D7E">
              <w:t>.</w:t>
            </w:r>
          </w:p>
          <w:p w14:paraId="17EB309A" w14:textId="77777777" w:rsidR="00955D7E" w:rsidRPr="00BF3D84" w:rsidRDefault="00955D7E" w:rsidP="008065B1">
            <w:pPr>
              <w:pStyle w:val="ListNumber"/>
            </w:pPr>
            <w:r w:rsidRPr="00BF3D84">
              <w:t>Bell RJ, Evans J, Fox J and Pridmore V (2019) 'Using an automated measure of breast density to explore the association between ethnicity and mammographic density in Australian women', Journal of Medical Imaging and Radiation Oncology, 63:183-189, doi:10.1111/1754-9485.12849.</w:t>
            </w:r>
          </w:p>
          <w:p w14:paraId="0E0B1806" w14:textId="77777777" w:rsidR="00466CDD" w:rsidRPr="00BF3D84" w:rsidRDefault="00466CDD" w:rsidP="008065B1">
            <w:pPr>
              <w:pStyle w:val="ListNumber"/>
            </w:pPr>
            <w:r w:rsidRPr="00BF3D84">
              <w:t>COSA (2021) Mammographic/breast density facts and issues (</w:t>
            </w:r>
            <w:hyperlink r:id="rId22" w:history="1">
              <w:r w:rsidRPr="00BF3D84">
                <w:rPr>
                  <w:rStyle w:val="Hyperlink"/>
                </w:rPr>
                <w:t>www.cosa.org.au/media/332779/breast_density_facts_issues_final_approved_5march2021.pdf</w:t>
              </w:r>
            </w:hyperlink>
            <w:r w:rsidRPr="00BF3D84">
              <w:t>), accessed 26 April 2024.</w:t>
            </w:r>
          </w:p>
          <w:p w14:paraId="688A13D0" w14:textId="77777777" w:rsidR="005E5717" w:rsidRPr="00BF3D84" w:rsidRDefault="005E5717" w:rsidP="008065B1">
            <w:pPr>
              <w:pStyle w:val="ListNumber"/>
            </w:pPr>
            <w:r w:rsidRPr="00BF3D84">
              <w:t>Winkel RR, von Euler-Chelpin M, Nielsen M, et al. (2016) 'Mammographic density and structural features can individually and jointly contribute to breast cancer risk assessment in mammography screening: A case-control study', BMC Cancer, 16(1), doi:10.1186/s12885-016-2450-7.</w:t>
            </w:r>
          </w:p>
          <w:p w14:paraId="5EF2B921" w14:textId="77777777" w:rsidR="007355E8" w:rsidRPr="00BF3D84" w:rsidRDefault="007355E8" w:rsidP="008065B1">
            <w:pPr>
              <w:pStyle w:val="ListNumber"/>
            </w:pPr>
            <w:r w:rsidRPr="00BF3D84">
              <w:rPr>
                <w:rFonts w:eastAsia="Times New Roman"/>
              </w:rPr>
              <w:t>Lauby-</w:t>
            </w:r>
            <w:proofErr w:type="spellStart"/>
            <w:r w:rsidRPr="00BF3D84">
              <w:t>Secretan</w:t>
            </w:r>
            <w:proofErr w:type="spellEnd"/>
            <w:r w:rsidRPr="00BF3D84">
              <w:t xml:space="preserve"> B, </w:t>
            </w:r>
            <w:proofErr w:type="spellStart"/>
            <w:r w:rsidRPr="00BF3D84">
              <w:t>Scoccianti</w:t>
            </w:r>
            <w:proofErr w:type="spellEnd"/>
            <w:r w:rsidRPr="00BF3D84">
              <w:t xml:space="preserve"> C, Loomis D, Grosse Y, Bianchini F and Straif K (2016) 'Body Fatness and Cancer--Viewpoint of the IARC Working Group' (</w:t>
            </w:r>
            <w:hyperlink r:id="rId23" w:history="1">
              <w:r w:rsidRPr="00BF3D84">
                <w:rPr>
                  <w:rStyle w:val="Hyperlink"/>
                </w:rPr>
                <w:t>pubmed.ncbi.nlm.nih.gov/27557308/</w:t>
              </w:r>
            </w:hyperlink>
            <w:r w:rsidRPr="00BF3D84">
              <w:t>), The New England journal of medicine, 375(8):794-798, doi:10.1056/NEJMSR1606602.</w:t>
            </w:r>
          </w:p>
          <w:p w14:paraId="20B503D4" w14:textId="77777777" w:rsidR="007355E8" w:rsidRPr="00BF3D84" w:rsidRDefault="007355E8" w:rsidP="008065B1">
            <w:pPr>
              <w:pStyle w:val="ListNumber"/>
            </w:pPr>
            <w:r w:rsidRPr="00BF3D84">
              <w:t>Lee CI, Chen LE, and Elmore JG (2017) 'Risk-Based Breast Cancer Screening: Implications of Breast Density' (/</w:t>
            </w:r>
            <w:proofErr w:type="spellStart"/>
            <w:r w:rsidRPr="00BF3D84">
              <w:t>pmc</w:t>
            </w:r>
            <w:proofErr w:type="spellEnd"/>
            <w:r w:rsidRPr="00BF3D84">
              <w:t xml:space="preserve">/articles/PMC5458625/), The Medical clinics of North America, 101(4):725, </w:t>
            </w:r>
            <w:proofErr w:type="gramStart"/>
            <w:r w:rsidRPr="00BF3D84">
              <w:t>doi:10.1016/J.MCNA</w:t>
            </w:r>
            <w:proofErr w:type="gramEnd"/>
            <w:r w:rsidRPr="00BF3D84">
              <w:t>.2017.03.005.</w:t>
            </w:r>
          </w:p>
          <w:p w14:paraId="5B609183" w14:textId="77777777" w:rsidR="007355E8" w:rsidRPr="00BF3D84" w:rsidRDefault="007355E8" w:rsidP="008065B1">
            <w:pPr>
              <w:pStyle w:val="ListNumber"/>
            </w:pPr>
            <w:proofErr w:type="spellStart"/>
            <w:r w:rsidRPr="00BF3D84">
              <w:t>DenseBreast</w:t>
            </w:r>
            <w:proofErr w:type="spellEnd"/>
            <w:r w:rsidRPr="00BF3D84">
              <w:t xml:space="preserve">-info </w:t>
            </w:r>
            <w:r w:rsidRPr="00BF3D84">
              <w:rPr>
                <w:i/>
                <w:iCs/>
              </w:rPr>
              <w:t>How does breast density compare to other risk factors for developing invasive breast cancer?</w:t>
            </w:r>
            <w:r w:rsidRPr="00BF3D84">
              <w:t xml:space="preserve"> (</w:t>
            </w:r>
            <w:hyperlink r:id="rId24" w:history="1">
              <w:r w:rsidRPr="00BF3D84">
                <w:rPr>
                  <w:rStyle w:val="Hyperlink"/>
                </w:rPr>
                <w:t>densebreast-info.org/providers-faqs/how-does-breast-density-compare-to-other-risk-factors-for-developing-invasive-breast-cancer</w:t>
              </w:r>
            </w:hyperlink>
            <w:r w:rsidRPr="00BF3D84">
              <w:t xml:space="preserve">), </w:t>
            </w:r>
            <w:proofErr w:type="spellStart"/>
            <w:r w:rsidRPr="00BF3D84">
              <w:t>DenseBreast</w:t>
            </w:r>
            <w:proofErr w:type="spellEnd"/>
            <w:r w:rsidRPr="00BF3D84">
              <w:t>-info website, accessed 28 November 2023.</w:t>
            </w:r>
          </w:p>
          <w:p w14:paraId="22BB42F5" w14:textId="77777777" w:rsidR="007355E8" w:rsidRDefault="007355E8" w:rsidP="008065B1">
            <w:pPr>
              <w:pStyle w:val="ListNumber"/>
            </w:pPr>
            <w:r w:rsidRPr="00BF3D84">
              <w:t>Cancer Australia (2018) 'Risk factors for breast cancer: A review of the evidence' (</w:t>
            </w:r>
            <w:hyperlink r:id="rId25" w:history="1">
              <w:r w:rsidRPr="00BF3D84">
                <w:rPr>
                  <w:rStyle w:val="Hyperlink"/>
                </w:rPr>
                <w:t>www.canceraustralia.gov.au/publications-and-resources/cancer-australia-publications/breast-cancer-risk-factors-review-evidence</w:t>
              </w:r>
            </w:hyperlink>
            <w:r w:rsidRPr="00BF3D84">
              <w:t>), Surry Hills, NSW.</w:t>
            </w:r>
          </w:p>
          <w:p w14:paraId="33A8F73F" w14:textId="77777777" w:rsidR="002E02DA" w:rsidRPr="00FB47DE" w:rsidRDefault="002E02DA" w:rsidP="008065B1">
            <w:pPr>
              <w:pStyle w:val="ListNumber"/>
            </w:pPr>
            <w:r w:rsidRPr="004670DA">
              <w:t xml:space="preserve">Phillips KA, Liao Y, Milne RL, MacInnis RJ, Collins IM, Buchsbaum R, </w:t>
            </w:r>
            <w:proofErr w:type="spellStart"/>
            <w:r w:rsidRPr="004670DA">
              <w:t>Weidemen</w:t>
            </w:r>
            <w:proofErr w:type="spellEnd"/>
            <w:r w:rsidRPr="004670DA">
              <w:t xml:space="preserve"> PC, Bickerstaffe A, Nesci S, Chung WK, Southey MC, Knight JA, Whittemore AS, Dite GS, </w:t>
            </w:r>
            <w:proofErr w:type="spellStart"/>
            <w:r w:rsidRPr="004670DA">
              <w:t>Goldgar</w:t>
            </w:r>
            <w:proofErr w:type="spellEnd"/>
            <w:r w:rsidRPr="004670DA">
              <w:t xml:space="preserve"> D, Giles GG, Glendon G, </w:t>
            </w:r>
            <w:proofErr w:type="spellStart"/>
            <w:r w:rsidRPr="004670DA">
              <w:t>kConFab</w:t>
            </w:r>
            <w:proofErr w:type="spellEnd"/>
            <w:r w:rsidRPr="004670DA">
              <w:t xml:space="preserve"> Investigators, Cuzick J, Antoniou AC, Andrulis IL, John EM, Daly MB, Buys SS, Hopper JL, Terry MB. Accuracy of estimates from the </w:t>
            </w:r>
            <w:proofErr w:type="spellStart"/>
            <w:r w:rsidRPr="004670DA">
              <w:t>iPrevent</w:t>
            </w:r>
            <w:proofErr w:type="spellEnd"/>
            <w:r w:rsidRPr="004670DA">
              <w:t xml:space="preserve"> breast cancer risk assessment and risk management tool. JNCI – Cancer Spec 2019 Sep 19;3(4</w:t>
            </w:r>
            <w:proofErr w:type="gramStart"/>
            <w:r w:rsidRPr="004670DA">
              <w:t>):pkz</w:t>
            </w:r>
            <w:proofErr w:type="gramEnd"/>
            <w:r w:rsidRPr="004670DA">
              <w:t xml:space="preserve">066. </w:t>
            </w:r>
            <w:proofErr w:type="spellStart"/>
            <w:r w:rsidRPr="004670DA">
              <w:t>doi</w:t>
            </w:r>
            <w:proofErr w:type="spellEnd"/>
            <w:r w:rsidRPr="004670DA">
              <w:t>: 10.1093/</w:t>
            </w:r>
            <w:proofErr w:type="spellStart"/>
            <w:r w:rsidRPr="004670DA">
              <w:t>jncics</w:t>
            </w:r>
            <w:proofErr w:type="spellEnd"/>
            <w:r w:rsidRPr="004670DA">
              <w:t>/pkz066</w:t>
            </w:r>
          </w:p>
          <w:p w14:paraId="7421FAB5" w14:textId="77777777" w:rsidR="002E02DA" w:rsidRPr="00FB47DE" w:rsidRDefault="002E02DA" w:rsidP="008065B1">
            <w:pPr>
              <w:pStyle w:val="ListNumber"/>
            </w:pPr>
            <w:r w:rsidRPr="004670DA">
              <w:lastRenderedPageBreak/>
              <w:t xml:space="preserve">Peter MacCallum Cancer Centre </w:t>
            </w:r>
            <w:proofErr w:type="spellStart"/>
            <w:r w:rsidRPr="004670DA">
              <w:rPr>
                <w:i/>
              </w:rPr>
              <w:t>IPrevent</w:t>
            </w:r>
            <w:proofErr w:type="spellEnd"/>
            <w:r w:rsidRPr="004670DA">
              <w:t xml:space="preserve"> (</w:t>
            </w:r>
            <w:hyperlink r:id="rId26">
              <w:r w:rsidRPr="004670DA">
                <w:rPr>
                  <w:rStyle w:val="Hyperlink"/>
                  <w:rFonts w:eastAsiaTheme="minorEastAsia" w:cstheme="minorBidi"/>
                </w:rPr>
                <w:t>www.petermac.org/iprevent</w:t>
              </w:r>
            </w:hyperlink>
            <w:r w:rsidRPr="004670DA">
              <w:t>), Peter MacCallum Cancer Centre website, accessed 28 November 2023.</w:t>
            </w:r>
          </w:p>
          <w:p w14:paraId="2898CDEE" w14:textId="77777777" w:rsidR="0056001B" w:rsidRPr="00BF3D84" w:rsidRDefault="0056001B" w:rsidP="008065B1">
            <w:pPr>
              <w:pStyle w:val="ListNumber"/>
            </w:pPr>
            <w:r w:rsidRPr="00BF3D84">
              <w:t xml:space="preserve">Bakker MF, de Lange S V, </w:t>
            </w:r>
            <w:proofErr w:type="spellStart"/>
            <w:r w:rsidRPr="00BF3D84">
              <w:t>Pijnappel</w:t>
            </w:r>
            <w:proofErr w:type="spellEnd"/>
            <w:r w:rsidRPr="00BF3D84">
              <w:t xml:space="preserve"> RM, Mann RM, Peeters PHM, </w:t>
            </w:r>
            <w:proofErr w:type="spellStart"/>
            <w:r w:rsidRPr="00BF3D84">
              <w:t>Monninkhof</w:t>
            </w:r>
            <w:proofErr w:type="spellEnd"/>
            <w:r w:rsidRPr="00BF3D84">
              <w:t xml:space="preserve"> EM, Emaus MJ, Loo CE, </w:t>
            </w:r>
            <w:proofErr w:type="spellStart"/>
            <w:r w:rsidRPr="00BF3D84">
              <w:t>Bisschops</w:t>
            </w:r>
            <w:proofErr w:type="spellEnd"/>
            <w:r w:rsidRPr="00BF3D84">
              <w:t xml:space="preserve"> RHC, </w:t>
            </w:r>
            <w:proofErr w:type="spellStart"/>
            <w:r w:rsidRPr="00BF3D84">
              <w:t>Lobbes</w:t>
            </w:r>
            <w:proofErr w:type="spellEnd"/>
            <w:r w:rsidRPr="00BF3D84">
              <w:t xml:space="preserve"> MBI, de Jong MDF, Duvivier KM, Veltman J, </w:t>
            </w:r>
            <w:proofErr w:type="spellStart"/>
            <w:r w:rsidRPr="00BF3D84">
              <w:t>Karssemeijer</w:t>
            </w:r>
            <w:proofErr w:type="spellEnd"/>
            <w:r w:rsidRPr="00BF3D84">
              <w:t xml:space="preserve"> N, de Koning HJ, van Diest PJ, Mali WPTM, van den Bosch MAAJ, Veldhuis WB and van Gils CH (2019) 'Supplemental MRI screening for women with extremely dense breast tissue', New England Journal of Medicine, 381(22):2091–2102, doi:10.1056/nejmoa1903986.</w:t>
            </w:r>
          </w:p>
          <w:p w14:paraId="0920E540" w14:textId="77777777" w:rsidR="0056001B" w:rsidRPr="00BF3D84" w:rsidRDefault="0056001B" w:rsidP="008065B1">
            <w:pPr>
              <w:pStyle w:val="ListNumber"/>
            </w:pPr>
            <w:r w:rsidRPr="00BF3D84">
              <w:t xml:space="preserve">Comstock CE, </w:t>
            </w:r>
            <w:proofErr w:type="spellStart"/>
            <w:r w:rsidRPr="00BF3D84">
              <w:t>Gatsonis</w:t>
            </w:r>
            <w:proofErr w:type="spellEnd"/>
            <w:r w:rsidRPr="00BF3D84">
              <w:t xml:space="preserve"> C, Newstead GM, Snyder BS, </w:t>
            </w:r>
            <w:proofErr w:type="spellStart"/>
            <w:r w:rsidRPr="00BF3D84">
              <w:t>Gareen</w:t>
            </w:r>
            <w:proofErr w:type="spellEnd"/>
            <w:r w:rsidRPr="00BF3D84">
              <w:t xml:space="preserve"> IF, Bergin JT, Rahbar H, Sung JS, Jacobs C, Harvey JA, Nicholson MH, Ward RC, Holt J, Prather A, Miller KD, Schnall MD and Kuhl CK (2020) 'Comparison of abbreviated breast MRI vs digital breast tomosynthesis for breast cancer detection among women with dense breasts undergoing screening', JAMA, 323(8):746–756, doi:10.1001/jama.2020.0572.</w:t>
            </w:r>
          </w:p>
          <w:p w14:paraId="4E078E28" w14:textId="77777777" w:rsidR="0056001B" w:rsidRPr="00BF3D84" w:rsidRDefault="0056001B" w:rsidP="008065B1">
            <w:pPr>
              <w:pStyle w:val="ListNumber"/>
            </w:pPr>
            <w:proofErr w:type="spellStart"/>
            <w:r w:rsidRPr="00BF3D84">
              <w:t>Glechner</w:t>
            </w:r>
            <w:proofErr w:type="spellEnd"/>
            <w:r w:rsidRPr="00BF3D84">
              <w:t xml:space="preserve"> A, Wagner G, </w:t>
            </w:r>
            <w:proofErr w:type="spellStart"/>
            <w:r w:rsidRPr="00BF3D84">
              <w:t>Mitus</w:t>
            </w:r>
            <w:proofErr w:type="spellEnd"/>
            <w:r w:rsidRPr="00BF3D84">
              <w:t xml:space="preserve"> JW, </w:t>
            </w:r>
            <w:proofErr w:type="spellStart"/>
            <w:r w:rsidRPr="00BF3D84">
              <w:t>Teufer</w:t>
            </w:r>
            <w:proofErr w:type="spellEnd"/>
            <w:r w:rsidRPr="00BF3D84">
              <w:t xml:space="preserve"> B, </w:t>
            </w:r>
            <w:proofErr w:type="spellStart"/>
            <w:r w:rsidRPr="00BF3D84">
              <w:t>Klerings</w:t>
            </w:r>
            <w:proofErr w:type="spellEnd"/>
            <w:r w:rsidRPr="00BF3D84">
              <w:t xml:space="preserve"> I, Böck N, </w:t>
            </w:r>
            <w:proofErr w:type="spellStart"/>
            <w:r w:rsidRPr="00BF3D84">
              <w:t>Grillich</w:t>
            </w:r>
            <w:proofErr w:type="spellEnd"/>
            <w:r w:rsidRPr="00BF3D84">
              <w:t xml:space="preserve"> L, </w:t>
            </w:r>
            <w:proofErr w:type="spellStart"/>
            <w:r w:rsidRPr="00BF3D84">
              <w:t>Berzaczy</w:t>
            </w:r>
            <w:proofErr w:type="spellEnd"/>
            <w:r w:rsidRPr="00BF3D84">
              <w:t xml:space="preserve"> D, Helbich TH and </w:t>
            </w:r>
            <w:proofErr w:type="spellStart"/>
            <w:r w:rsidRPr="00BF3D84">
              <w:t>Gartlehner</w:t>
            </w:r>
            <w:proofErr w:type="spellEnd"/>
            <w:r w:rsidRPr="00BF3D84">
              <w:t xml:space="preserve"> G (2023) 'Mammography in combination with breast ultrasonography versus mammography for breast cancer screening in women at average risk', Cochrane Database of Systematic Reviews, 2023(3), </w:t>
            </w:r>
            <w:proofErr w:type="gramStart"/>
            <w:r w:rsidRPr="00BF3D84">
              <w:t>doi:10.1002/14651858.CD009632.PUB3/MEDIA/CDSR/CD009632/IMAGE_N/NCD009632-CMP-003.07.SVG</w:t>
            </w:r>
            <w:proofErr w:type="gramEnd"/>
            <w:r w:rsidRPr="00BF3D84">
              <w:t>.</w:t>
            </w:r>
          </w:p>
          <w:p w14:paraId="12E5806E" w14:textId="77777777" w:rsidR="0056001B" w:rsidRPr="00BF3D84" w:rsidRDefault="0056001B" w:rsidP="008065B1">
            <w:pPr>
              <w:pStyle w:val="ListNumber"/>
            </w:pPr>
            <w:r w:rsidRPr="00BF3D84">
              <w:t xml:space="preserve">Hadadi I, Rae W, Clarke J, McEntee M and Ekpo E (2021) 'Diagnostic performance of adjunctive imaging modalities compared to mammography alone in women with non-dense and dense breasts: a systematic review and meta-analysis', Clinical Breast Cancer, 21(4):278–291, </w:t>
            </w:r>
            <w:proofErr w:type="gramStart"/>
            <w:r w:rsidRPr="00BF3D84">
              <w:t>doi:10.1016/j.clbc</w:t>
            </w:r>
            <w:proofErr w:type="gramEnd"/>
            <w:r w:rsidRPr="00BF3D84">
              <w:t>.2021.03.006.</w:t>
            </w:r>
          </w:p>
          <w:p w14:paraId="097CC505" w14:textId="77777777" w:rsidR="0056001B" w:rsidRPr="00BF3D84" w:rsidRDefault="0056001B" w:rsidP="008065B1">
            <w:pPr>
              <w:pStyle w:val="ListNumber"/>
            </w:pPr>
            <w:proofErr w:type="spellStart"/>
            <w:r w:rsidRPr="00BF3D84">
              <w:t>Heywang-Köbrunner</w:t>
            </w:r>
            <w:proofErr w:type="spellEnd"/>
            <w:r w:rsidRPr="00BF3D84">
              <w:t xml:space="preserve"> SH, </w:t>
            </w:r>
            <w:proofErr w:type="spellStart"/>
            <w:r w:rsidRPr="00BF3D84">
              <w:t>Jänsch</w:t>
            </w:r>
            <w:proofErr w:type="spellEnd"/>
            <w:r w:rsidRPr="00BF3D84">
              <w:t xml:space="preserve"> A, Hacker A, Weinand S and Vogelmann T (2022) 'Tomosynthesis with synthesised two-dimensional mammography yields higher cancer detection compared to digital mammography alone, also in dense breasts and in younger women: A systematic review and meta-analysis', European Journal of Radiology, 152, </w:t>
            </w:r>
            <w:proofErr w:type="gramStart"/>
            <w:r w:rsidRPr="00BF3D84">
              <w:t>doi:10.1016/j.ejrad</w:t>
            </w:r>
            <w:proofErr w:type="gramEnd"/>
            <w:r w:rsidRPr="00BF3D84">
              <w:t>.2022.110324.</w:t>
            </w:r>
          </w:p>
          <w:p w14:paraId="129F081E" w14:textId="77777777" w:rsidR="0056001B" w:rsidRPr="00BF3D84" w:rsidRDefault="0056001B" w:rsidP="008065B1">
            <w:pPr>
              <w:pStyle w:val="ListNumber"/>
            </w:pPr>
            <w:r w:rsidRPr="00BF3D84">
              <w:t xml:space="preserve">Mizzi D, Allely C, Zarb F, Kelly J, Hogg P, McEntee M, England A and Mercer C (2022) 'Examining the effectiveness of supplementary imaging modalities for breast cancer screening in women with dense breasts: A systematic review and meta-analysis', European Journal of Radiology, 154, </w:t>
            </w:r>
            <w:proofErr w:type="gramStart"/>
            <w:r w:rsidRPr="00BF3D84">
              <w:t>doi:10.1016/j.ejrad</w:t>
            </w:r>
            <w:proofErr w:type="gramEnd"/>
            <w:r w:rsidRPr="00BF3D84">
              <w:t>.2022.110416.</w:t>
            </w:r>
          </w:p>
          <w:p w14:paraId="7A071C52" w14:textId="77777777" w:rsidR="0056001B" w:rsidRDefault="0056001B" w:rsidP="008065B1">
            <w:pPr>
              <w:pStyle w:val="ListNumber"/>
            </w:pPr>
            <w:r w:rsidRPr="00BF3D84">
              <w:t>Rebolj M, Assi V, Brentnall A, Parmar D and Duffy SW (2018) 'Addition of ultrasound to mammography in the case of dense breast tissue: Systematic review and meta-analysis', British Journal of Cancer, 118(12):1559–1570, doi:10.1038/s41416-018-0080-3.</w:t>
            </w:r>
          </w:p>
          <w:p w14:paraId="7C7AF9A3" w14:textId="13C83ECD" w:rsidR="00DB48D0" w:rsidRPr="007957D0" w:rsidRDefault="00DB48D0" w:rsidP="008065B1">
            <w:pPr>
              <w:pStyle w:val="ListNumber"/>
            </w:pPr>
            <w:r w:rsidRPr="00BF3D84">
              <w:t xml:space="preserve">Gelardi F, Ragaini EM, </w:t>
            </w:r>
            <w:proofErr w:type="spellStart"/>
            <w:r w:rsidRPr="00BF3D84">
              <w:t>Sollini</w:t>
            </w:r>
            <w:proofErr w:type="spellEnd"/>
            <w:r w:rsidRPr="00BF3D84">
              <w:t xml:space="preserve"> M, Bernardi D and Chiti A (2022) 'Contrast-enhanced mammography versus breast magnetic resonance imaging: a systematic review and meta-analysis', Diagnostics, 12(8):1890, doi:10.3390/diagnostics12081890</w:t>
            </w:r>
            <w:r>
              <w:t>.</w:t>
            </w:r>
          </w:p>
          <w:p w14:paraId="5483B530" w14:textId="77777777" w:rsidR="007957D0" w:rsidRPr="0090708F" w:rsidRDefault="007957D0" w:rsidP="008065B1">
            <w:pPr>
              <w:pStyle w:val="ListNumber"/>
              <w:rPr>
                <w:rStyle w:val="Hyperlink"/>
                <w:rFonts w:eastAsiaTheme="minorEastAsia"/>
                <w:color w:val="auto"/>
                <w:u w:val="none"/>
              </w:rPr>
            </w:pPr>
            <w:r w:rsidRPr="00BF3D84">
              <w:t xml:space="preserve">Yang, L., Wang, S., Zhang, L. et al. Performance of ultrasonography screening for breast cancer: a systematic review and meta-analysis. BMC Cancer 20, 499 (2020). </w:t>
            </w:r>
            <w:hyperlink r:id="rId27">
              <w:r w:rsidRPr="00BF3D84">
                <w:rPr>
                  <w:rStyle w:val="Hyperlink"/>
                  <w:rFonts w:eastAsiaTheme="minorEastAsia"/>
                </w:rPr>
                <w:t>https://doi.org/10.1186/s12885-020-06992-1</w:t>
              </w:r>
            </w:hyperlink>
          </w:p>
          <w:p w14:paraId="55BB84A3" w14:textId="77777777" w:rsidR="0090708F" w:rsidRPr="00BF3D84" w:rsidRDefault="0090708F" w:rsidP="008065B1">
            <w:pPr>
              <w:pStyle w:val="ListNumber"/>
            </w:pPr>
            <w:r w:rsidRPr="00BF3D84">
              <w:rPr>
                <w:color w:val="222222"/>
              </w:rPr>
              <w:t xml:space="preserve">Bhattacharjee A, Walsh D, Dasari P, Hodson LJ, Edwards S, White SJ, Turnbull D and Ingman WV (2024) ‘Factors Associated with Increased Knowledge </w:t>
            </w:r>
            <w:r w:rsidRPr="00BF3D84">
              <w:rPr>
                <w:color w:val="222222"/>
              </w:rPr>
              <w:lastRenderedPageBreak/>
              <w:t xml:space="preserve">about Breast Density in South Australian Women Undergoing Breast Cancer Screening’ Cancers,16(5), </w:t>
            </w:r>
            <w:hyperlink r:id="rId28">
              <w:r w:rsidRPr="00BF3D84">
                <w:rPr>
                  <w:rStyle w:val="Hyperlink"/>
                </w:rPr>
                <w:t>https://doi.org/10.3390/cancers16050893</w:t>
              </w:r>
            </w:hyperlink>
            <w:r w:rsidRPr="00BF3D84">
              <w:rPr>
                <w:color w:val="222222"/>
              </w:rPr>
              <w:t xml:space="preserve"> </w:t>
            </w:r>
          </w:p>
          <w:p w14:paraId="15DC4B64" w14:textId="77777777" w:rsidR="0090708F" w:rsidRPr="00172A48" w:rsidRDefault="0090708F" w:rsidP="008065B1">
            <w:pPr>
              <w:pStyle w:val="ListNumber"/>
              <w:rPr>
                <w:rStyle w:val="Hyperlink"/>
                <w:color w:val="222222"/>
                <w:u w:val="none"/>
                <w:lang w:eastAsia="en-AU"/>
              </w:rPr>
            </w:pPr>
            <w:r w:rsidRPr="00BF3D84">
              <w:t xml:space="preserve">Ingman WV, Richards B, Street JM, Carter D, Rickard M, Stone J and Dasari P (2020) ‘Breast density notification: an Australian perspective’ Journal of clinical medicine, 9(3), </w:t>
            </w:r>
            <w:hyperlink r:id="rId29">
              <w:r w:rsidRPr="00BF3D84">
                <w:rPr>
                  <w:rStyle w:val="Hyperlink"/>
                </w:rPr>
                <w:t>https://doi.org/10.3390/jcm9030681</w:t>
              </w:r>
            </w:hyperlink>
          </w:p>
          <w:p w14:paraId="28947638" w14:textId="77777777" w:rsidR="00172A48" w:rsidRPr="00BF3D84" w:rsidRDefault="00172A48" w:rsidP="008065B1">
            <w:pPr>
              <w:pStyle w:val="ListNumber"/>
              <w:rPr>
                <w:rFonts w:eastAsiaTheme="minorEastAsia"/>
              </w:rPr>
            </w:pPr>
            <w:r w:rsidRPr="00BF3D84">
              <w:t xml:space="preserve">Dench EK, Darcey EC, Keogh L, McLean K, </w:t>
            </w:r>
            <w:proofErr w:type="spellStart"/>
            <w:r w:rsidRPr="00BF3D84">
              <w:t>Pirikahu</w:t>
            </w:r>
            <w:proofErr w:type="spellEnd"/>
            <w:r w:rsidRPr="00BF3D84">
              <w:t xml:space="preserve"> S, Saunders C, Thompson S, Woulfe C, Wylie E and Stone J (2020) ‘Confusion and anxiety following breast density notification: fact or fiction?’ Journal of Clinical Medicine,9(4), </w:t>
            </w:r>
            <w:hyperlink r:id="rId30">
              <w:r w:rsidRPr="00BF3D84">
                <w:rPr>
                  <w:rStyle w:val="Hyperlink"/>
                </w:rPr>
                <w:t>https://doi.org/10.3390%2Fjcm9040955</w:t>
              </w:r>
            </w:hyperlink>
          </w:p>
          <w:p w14:paraId="628816F0" w14:textId="77777777" w:rsidR="00172A48" w:rsidRPr="00BF3D84" w:rsidRDefault="00172A48" w:rsidP="008065B1">
            <w:pPr>
              <w:pStyle w:val="ListNumber"/>
            </w:pPr>
            <w:r w:rsidRPr="00BF3D84">
              <w:t xml:space="preserve">Nickel B, Dolan H, Carter S, </w:t>
            </w:r>
            <w:proofErr w:type="spellStart"/>
            <w:r w:rsidRPr="00BF3D84">
              <w:t>Houssami</w:t>
            </w:r>
            <w:proofErr w:type="spellEnd"/>
            <w:r w:rsidRPr="00BF3D84">
              <w:t xml:space="preserve"> N, Brennan M, Hersch J, Verde A, Vaccaro L and McCaffery K (2022a) '“It’s about our bodies… we have the right to know this stuff”: a qualitative focus group study on Australian women’s perspectives on breast density', Patient education and counselling, 105(3):632–640.</w:t>
            </w:r>
          </w:p>
          <w:p w14:paraId="04FA0B7E" w14:textId="77777777" w:rsidR="00C57E00" w:rsidRDefault="00172A48" w:rsidP="008065B1">
            <w:pPr>
              <w:pStyle w:val="ListNumber"/>
            </w:pPr>
            <w:r w:rsidRPr="00BF3D84">
              <w:t xml:space="preserve">Pandya T, Liu Z, Dolan H, Hersch J, Brennan M, </w:t>
            </w:r>
            <w:proofErr w:type="spellStart"/>
            <w:r w:rsidRPr="00BF3D84">
              <w:t>Houssami</w:t>
            </w:r>
            <w:proofErr w:type="spellEnd"/>
            <w:r w:rsidRPr="00BF3D84">
              <w:t xml:space="preserve"> N and Nickel B (2023) 'Australian women’s responses to breast density information: a content analysis', International Journal of Environmental Research and Public Health, 20(2), doi:10.3390/ijerph20021596.</w:t>
            </w:r>
          </w:p>
          <w:p w14:paraId="145C7382" w14:textId="78D4E54B" w:rsidR="00C57E00" w:rsidRPr="00C57E00" w:rsidRDefault="00C57E00" w:rsidP="008065B1">
            <w:pPr>
              <w:pStyle w:val="ListNumber"/>
            </w:pPr>
            <w:proofErr w:type="spellStart"/>
            <w:r w:rsidRPr="00C57E00">
              <w:t>BreastScreen</w:t>
            </w:r>
            <w:proofErr w:type="spellEnd"/>
            <w:r w:rsidRPr="00C57E00">
              <w:t xml:space="preserve"> SA (2021) Breast density research (</w:t>
            </w:r>
            <w:hyperlink r:id="rId31">
              <w:r w:rsidRPr="00C57E00">
                <w:rPr>
                  <w:rStyle w:val="Hyperlink"/>
                  <w:rFonts w:eastAsiaTheme="minorEastAsia" w:cstheme="minorBidi"/>
                </w:rPr>
                <w:t>www.breastscreen.sa.gov.au/news/breast-density-research</w:t>
              </w:r>
            </w:hyperlink>
            <w:r w:rsidRPr="00C57E00">
              <w:t xml:space="preserve">), </w:t>
            </w:r>
            <w:proofErr w:type="spellStart"/>
            <w:r w:rsidRPr="00C57E00">
              <w:t>BreastScreen</w:t>
            </w:r>
            <w:proofErr w:type="spellEnd"/>
            <w:r w:rsidRPr="00C57E00">
              <w:t xml:space="preserve"> SA, accessed 2 May 2023.</w:t>
            </w:r>
          </w:p>
          <w:p w14:paraId="7A516C6D" w14:textId="77777777" w:rsidR="00172A48" w:rsidRDefault="00172A48" w:rsidP="008065B1">
            <w:pPr>
              <w:pStyle w:val="ListNumber"/>
            </w:pPr>
            <w:proofErr w:type="spellStart"/>
            <w:r w:rsidRPr="00BF3D84">
              <w:t>BreastScreen</w:t>
            </w:r>
            <w:proofErr w:type="spellEnd"/>
            <w:r w:rsidRPr="00BF3D84">
              <w:t xml:space="preserve"> SA (2023) Breast density reporting at all clinics (</w:t>
            </w:r>
            <w:hyperlink r:id="rId32">
              <w:r w:rsidRPr="00BF3D84">
                <w:rPr>
                  <w:rStyle w:val="Hyperlink"/>
                  <w:rFonts w:eastAsiaTheme="minorEastAsia"/>
                </w:rPr>
                <w:t>www.breastscreen.sa.gov.au/news/breast-density</w:t>
              </w:r>
            </w:hyperlink>
            <w:r w:rsidRPr="00BF3D84">
              <w:t xml:space="preserve">), </w:t>
            </w:r>
            <w:proofErr w:type="spellStart"/>
            <w:r w:rsidRPr="00BF3D84">
              <w:t>BreastScreen</w:t>
            </w:r>
            <w:proofErr w:type="spellEnd"/>
            <w:r w:rsidRPr="00BF3D84">
              <w:t xml:space="preserve"> SA website, accessed 7 August 2023.</w:t>
            </w:r>
          </w:p>
          <w:p w14:paraId="6C48DDF2" w14:textId="77777777" w:rsidR="00FB6AAD" w:rsidRPr="00BF3D84" w:rsidRDefault="00FB6AAD" w:rsidP="008065B1">
            <w:pPr>
              <w:pStyle w:val="ListNumber"/>
            </w:pPr>
            <w:r w:rsidRPr="00BF3D84">
              <w:t xml:space="preserve">Nickel B, Copp T, Brennan M, Farber R, McCaffery K and </w:t>
            </w:r>
            <w:proofErr w:type="spellStart"/>
            <w:r w:rsidRPr="00BF3D84">
              <w:t>Houssami</w:t>
            </w:r>
            <w:proofErr w:type="spellEnd"/>
            <w:r w:rsidRPr="00BF3D84">
              <w:t xml:space="preserve"> N (2021) 'The impact of breast density information or notification on women’s cognitive, psychological, and </w:t>
            </w:r>
            <w:proofErr w:type="spellStart"/>
            <w:r w:rsidRPr="00BF3D84">
              <w:t>behavioral</w:t>
            </w:r>
            <w:proofErr w:type="spellEnd"/>
            <w:r w:rsidRPr="00BF3D84">
              <w:t xml:space="preserve"> outcomes: a systematic review', Journal of the National Cancer Institute, 113(10):1299-1328, doi:10.1093/</w:t>
            </w:r>
            <w:proofErr w:type="spellStart"/>
            <w:r w:rsidRPr="00BF3D84">
              <w:t>jnci</w:t>
            </w:r>
            <w:proofErr w:type="spellEnd"/>
            <w:r w:rsidRPr="00BF3D84">
              <w:t>/djab016.</w:t>
            </w:r>
          </w:p>
          <w:p w14:paraId="427772F7" w14:textId="77777777" w:rsidR="00FB6AAD" w:rsidRDefault="00FB6AAD" w:rsidP="008065B1">
            <w:pPr>
              <w:pStyle w:val="ListNumber"/>
            </w:pPr>
            <w:r w:rsidRPr="00BF3D84">
              <w:t xml:space="preserve">Nickel B, Farber R, Brennan M, Hersch J, McCaffery K and </w:t>
            </w:r>
            <w:proofErr w:type="spellStart"/>
            <w:r w:rsidRPr="00BF3D84">
              <w:t>Houssami</w:t>
            </w:r>
            <w:proofErr w:type="spellEnd"/>
            <w:r w:rsidRPr="00BF3D84">
              <w:t xml:space="preserve"> N (2021b) 'Breast density notification: evidence on whether benefit outweighs harm is required to inform future screening practice', BMJ Evidence-Based Medicine, 26(6):309–311, doi:10.1136/bmjebm-2020-111364.</w:t>
            </w:r>
          </w:p>
          <w:p w14:paraId="7B8256DA" w14:textId="77777777" w:rsidR="00FB6AAD" w:rsidRDefault="00FB6AAD" w:rsidP="008065B1">
            <w:pPr>
              <w:pStyle w:val="ListNumber"/>
            </w:pPr>
            <w:r w:rsidRPr="00BF3D84">
              <w:t>Vukasin F (2023) Breast density: should it be reported? (</w:t>
            </w:r>
            <w:hyperlink r:id="rId33">
              <w:r w:rsidRPr="00BF3D84">
                <w:rPr>
                  <w:rStyle w:val="Hyperlink"/>
                  <w:rFonts w:eastAsiaTheme="minorEastAsia"/>
                </w:rPr>
                <w:t>https://www1.racgp.org.au/newsgp/clinical/breast-density-should-it-be-reported</w:t>
              </w:r>
            </w:hyperlink>
            <w:r w:rsidRPr="00BF3D84">
              <w:t xml:space="preserve">), </w:t>
            </w:r>
            <w:proofErr w:type="spellStart"/>
            <w:r w:rsidRPr="00BF3D84">
              <w:t>newsGP</w:t>
            </w:r>
            <w:proofErr w:type="spellEnd"/>
            <w:r w:rsidRPr="00BF3D84">
              <w:t xml:space="preserve"> website (RACGP), accessed 5 July 2023.</w:t>
            </w:r>
          </w:p>
          <w:p w14:paraId="524AE354" w14:textId="77777777" w:rsidR="00FB6AAD" w:rsidRPr="008065B1" w:rsidRDefault="00FB6AAD" w:rsidP="008065B1">
            <w:pPr>
              <w:pStyle w:val="ListNumber"/>
            </w:pPr>
            <w:proofErr w:type="spellStart"/>
            <w:r w:rsidRPr="004670DA">
              <w:t>BreastScreen</w:t>
            </w:r>
            <w:proofErr w:type="spellEnd"/>
            <w:r w:rsidRPr="004670DA">
              <w:t xml:space="preserve"> Queensland (2023a) Breast density notification randomised controlled trial at </w:t>
            </w:r>
            <w:proofErr w:type="spellStart"/>
            <w:r w:rsidRPr="004670DA">
              <w:t>BreastScreen</w:t>
            </w:r>
            <w:proofErr w:type="spellEnd"/>
            <w:r w:rsidRPr="004670DA">
              <w:t xml:space="preserve"> Queensland Sunshine Coast: information for health professionals (</w:t>
            </w:r>
            <w:hyperlink r:id="rId34">
              <w:r w:rsidRPr="004670DA">
                <w:rPr>
                  <w:rStyle w:val="Hyperlink"/>
                  <w:rFonts w:eastAsiaTheme="minorEastAsia" w:cstheme="minorBidi"/>
                </w:rPr>
                <w:t>www.breastscreen.qld.gov.au/health-professionals/health-professional-resources/breast-density-notification-trial</w:t>
              </w:r>
            </w:hyperlink>
            <w:r w:rsidRPr="004670DA">
              <w:t xml:space="preserve">), </w:t>
            </w:r>
            <w:proofErr w:type="spellStart"/>
            <w:r w:rsidRPr="004670DA">
              <w:t>BreastScreen</w:t>
            </w:r>
            <w:proofErr w:type="spellEnd"/>
            <w:r w:rsidRPr="004670DA">
              <w:t xml:space="preserve"> Queensland website, accessed 7 August </w:t>
            </w:r>
            <w:r w:rsidRPr="008065B1">
              <w:t>2023.</w:t>
            </w:r>
          </w:p>
          <w:p w14:paraId="4E94969A" w14:textId="77777777" w:rsidR="00007A12" w:rsidRPr="00560BDD" w:rsidRDefault="00007A12" w:rsidP="008065B1">
            <w:pPr>
              <w:pStyle w:val="ListNumber"/>
              <w:rPr>
                <w:rStyle w:val="Hyperlink"/>
                <w:rFonts w:eastAsiaTheme="minorEastAsia"/>
                <w:color w:val="auto"/>
                <w:u w:val="none"/>
              </w:rPr>
            </w:pPr>
            <w:proofErr w:type="spellStart"/>
            <w:r w:rsidRPr="00BF3D84">
              <w:rPr>
                <w:lang w:eastAsia="en-AU"/>
              </w:rPr>
              <w:t>Houssami</w:t>
            </w:r>
            <w:proofErr w:type="spellEnd"/>
            <w:r w:rsidRPr="00BF3D84">
              <w:rPr>
                <w:lang w:eastAsia="en-AU"/>
              </w:rPr>
              <w:t xml:space="preserve"> N, Lockie D, Giles M, </w:t>
            </w:r>
            <w:proofErr w:type="spellStart"/>
            <w:r w:rsidRPr="00BF3D84">
              <w:rPr>
                <w:lang w:eastAsia="en-AU"/>
              </w:rPr>
              <w:t>Doncovio</w:t>
            </w:r>
            <w:proofErr w:type="spellEnd"/>
            <w:r w:rsidRPr="00BF3D84">
              <w:rPr>
                <w:lang w:eastAsia="en-AU"/>
              </w:rPr>
              <w:t xml:space="preserve"> S, Marr G, Taylor D, Li T, Nickel B and Marinovich ML (2024)  ‘Effectiveness of hybrid digital breast tomosynthesis/digital mammography compared to digital mammography in women presenting for routine screening at Maroondah </w:t>
            </w:r>
            <w:proofErr w:type="spellStart"/>
            <w:r w:rsidRPr="00BF3D84">
              <w:rPr>
                <w:lang w:eastAsia="en-AU"/>
              </w:rPr>
              <w:t>BreastScreen</w:t>
            </w:r>
            <w:proofErr w:type="spellEnd"/>
            <w:r w:rsidRPr="00BF3D84">
              <w:rPr>
                <w:lang w:eastAsia="en-AU"/>
              </w:rPr>
              <w:t xml:space="preserve">: study protocol for a co-designed, non-randomised prospective trial’ Breast, 74, </w:t>
            </w:r>
            <w:hyperlink r:id="rId35">
              <w:r w:rsidRPr="00BF3D84">
                <w:rPr>
                  <w:rStyle w:val="Hyperlink"/>
                  <w:rFonts w:eastAsia="Times New Roman"/>
                  <w:lang w:eastAsia="en-AU"/>
                </w:rPr>
                <w:t>https://doi.org/10.1016/j.breast.2024.103692</w:t>
              </w:r>
            </w:hyperlink>
          </w:p>
          <w:p w14:paraId="336864D0" w14:textId="77777777" w:rsidR="00560BDD" w:rsidRPr="00BF3D84" w:rsidRDefault="00560BDD" w:rsidP="008065B1">
            <w:pPr>
              <w:pStyle w:val="ListNumber"/>
              <w:rPr>
                <w:rFonts w:eastAsia="Times New Roman"/>
                <w:lang w:eastAsia="en-AU"/>
              </w:rPr>
            </w:pPr>
            <w:r w:rsidRPr="00BF3D84">
              <w:t>Victorian Comprehensive Cancer Centre (2021) The BRAVO project: towards tailored breast screening 2019-2020 (</w:t>
            </w:r>
            <w:hyperlink r:id="rId36">
              <w:r w:rsidRPr="00BF3D84">
                <w:rPr>
                  <w:rStyle w:val="Hyperlink"/>
                  <w:rFonts w:eastAsiaTheme="minorEastAsia"/>
                </w:rPr>
                <w:t>https://clara.breastscreen.org.au/intranet/documents/388/3417/Project%20%2340%20-%20BRAVO.pdf</w:t>
              </w:r>
            </w:hyperlink>
            <w:r w:rsidRPr="00BF3D84">
              <w:t>), Final report, abridged July 2021.</w:t>
            </w:r>
          </w:p>
          <w:p w14:paraId="0EE6B1B0" w14:textId="66EDE598" w:rsidR="009F5DCA" w:rsidRPr="00FB47DE" w:rsidRDefault="00560BDD" w:rsidP="008065B1">
            <w:pPr>
              <w:pStyle w:val="ListNumber"/>
              <w:rPr>
                <w:lang w:eastAsia="en-AU"/>
              </w:rPr>
            </w:pPr>
            <w:r w:rsidRPr="4F1F54C8">
              <w:rPr>
                <w:lang w:eastAsia="en-AU"/>
              </w:rPr>
              <w:lastRenderedPageBreak/>
              <w:t>Frazer HM, Tang JS, Elliott MS, Kunicki KM, Hill B, Karthik R, Kwok CF, Peña-Solorzano CA, Chen Y, Wang C and Al-</w:t>
            </w:r>
            <w:proofErr w:type="spellStart"/>
            <w:r w:rsidRPr="4F1F54C8">
              <w:rPr>
                <w:lang w:eastAsia="en-AU"/>
              </w:rPr>
              <w:t>Qershi</w:t>
            </w:r>
            <w:proofErr w:type="spellEnd"/>
            <w:r w:rsidRPr="4F1F54C8">
              <w:rPr>
                <w:lang w:eastAsia="en-AU"/>
              </w:rPr>
              <w:t xml:space="preserve"> O (2022) ‘ADMANI: Annotated digital mammograms and associated non-image </w:t>
            </w:r>
            <w:proofErr w:type="spellStart"/>
            <w:r w:rsidRPr="4F1F54C8">
              <w:rPr>
                <w:lang w:eastAsia="en-AU"/>
              </w:rPr>
              <w:t>datasets’</w:t>
            </w:r>
            <w:proofErr w:type="spellEnd"/>
            <w:r w:rsidRPr="4F1F54C8">
              <w:rPr>
                <w:lang w:eastAsia="en-AU"/>
              </w:rPr>
              <w:t xml:space="preserve"> Radiology: Artificial Intelligence, 5(2), </w:t>
            </w:r>
            <w:hyperlink r:id="rId37">
              <w:r w:rsidRPr="4F1F54C8">
                <w:rPr>
                  <w:rStyle w:val="Hyperlink"/>
                  <w:rFonts w:eastAsia="Times New Roman" w:cstheme="minorBidi"/>
                  <w:lang w:eastAsia="en-AU"/>
                </w:rPr>
                <w:t>https://doi.org/10.1148/ryai.220072</w:t>
              </w:r>
            </w:hyperlink>
          </w:p>
        </w:tc>
      </w:tr>
    </w:tbl>
    <w:p w14:paraId="1680945D" w14:textId="77777777" w:rsidR="000D2B29" w:rsidRPr="00027930" w:rsidRDefault="000D2B29" w:rsidP="00B63FCA">
      <w:pPr>
        <w:pStyle w:val="Heading1"/>
      </w:pPr>
      <w:r w:rsidRPr="007E2D95">
        <w:lastRenderedPageBreak/>
        <w:br w:type="page"/>
      </w:r>
      <w:r w:rsidRPr="00B63FCA">
        <w:lastRenderedPageBreak/>
        <w:t>Appendix</w:t>
      </w:r>
      <w:r w:rsidRPr="00027930">
        <w:t>: Additional guidance for drafting</w:t>
      </w:r>
    </w:p>
    <w:p w14:paraId="6E7E6C5E" w14:textId="77777777" w:rsidR="000D2B29" w:rsidRPr="00B63FCA" w:rsidRDefault="000D2B29" w:rsidP="00B63FCA">
      <w:pPr>
        <w:pStyle w:val="Heading2"/>
      </w:pPr>
      <w:r w:rsidRPr="00B63FCA">
        <w:t>Category</w:t>
      </w:r>
    </w:p>
    <w:p w14:paraId="03104CF6" w14:textId="77777777" w:rsidR="000D2B29" w:rsidRPr="00027930" w:rsidRDefault="000D2B29" w:rsidP="00B63FCA">
      <w:pPr>
        <w:rPr>
          <w:rFonts w:eastAsiaTheme="minorHAnsi"/>
          <w:lang w:val="en-AU"/>
        </w:rPr>
      </w:pPr>
      <w:r w:rsidRPr="00027930">
        <w:rPr>
          <w:lang w:val="en-AU"/>
        </w:rPr>
        <w:t>Clinical Advisory Group advice needs to be categorised, selecting from the following 3 options:</w:t>
      </w:r>
    </w:p>
    <w:p w14:paraId="236521C1" w14:textId="77777777" w:rsidR="000D2B29" w:rsidRPr="00027930" w:rsidRDefault="000D2B29" w:rsidP="00B63FCA">
      <w:pPr>
        <w:pStyle w:val="ListBullet"/>
      </w:pPr>
      <w:r w:rsidRPr="00027930">
        <w:rPr>
          <w:b/>
          <w:bCs/>
        </w:rPr>
        <w:t>National policy:</w:t>
      </w:r>
      <w:r w:rsidRPr="00027930">
        <w:t xml:space="preserve"> evidence-based best practice that is agreed to by all jurisdictions, is mandatory to implement nationwide, and is, or will be reflected in the </w:t>
      </w:r>
      <w:proofErr w:type="spellStart"/>
      <w:r w:rsidRPr="00027930">
        <w:t>BreastScreen</w:t>
      </w:r>
      <w:proofErr w:type="spellEnd"/>
      <w:r w:rsidRPr="00027930">
        <w:t xml:space="preserve"> Australia National Accreditation Standards (NAS) at the appropriate time. </w:t>
      </w:r>
    </w:p>
    <w:p w14:paraId="79CCBF48" w14:textId="77777777" w:rsidR="000D2B29" w:rsidRPr="00027930" w:rsidRDefault="000D2B29" w:rsidP="00B63FCA">
      <w:pPr>
        <w:pStyle w:val="ListBullet"/>
      </w:pPr>
      <w:r w:rsidRPr="00027930">
        <w:rPr>
          <w:b/>
          <w:bCs/>
        </w:rPr>
        <w:t>Best practice guidance:</w:t>
      </w:r>
      <w:r w:rsidRPr="00027930">
        <w:t xml:space="preserve"> clinical advice that has </w:t>
      </w:r>
      <w:proofErr w:type="gramStart"/>
      <w:r w:rsidRPr="00027930">
        <w:t>a rigorous evidence</w:t>
      </w:r>
      <w:proofErr w:type="gramEnd"/>
      <w:r w:rsidRPr="00027930">
        <w:t xml:space="preserve"> base and should be encouraged as the care standard nationwide, however, is not mandated. For example, there may be jurisdictional constraints of an operational, budget or service delivery kind. Best practice guidance would not be included in the NAS, although over time there might be opportunity for it to become national policy. </w:t>
      </w:r>
    </w:p>
    <w:p w14:paraId="3BA6715F" w14:textId="37CBF25C" w:rsidR="000D2B29" w:rsidRPr="00B63FCA" w:rsidRDefault="000D2B29" w:rsidP="00B63FCA">
      <w:pPr>
        <w:pStyle w:val="ListBullet"/>
      </w:pPr>
      <w:r w:rsidRPr="00027930">
        <w:rPr>
          <w:b/>
          <w:bCs/>
        </w:rPr>
        <w:t>Emerging evidence:</w:t>
      </w:r>
      <w:r w:rsidRPr="00027930">
        <w:t xml:space="preserve"> clinical evidence or operational trends that have not yet been rigorously verified or evidence that is conflicting, unclear, immature or requires further investigation. Jurisdictions may adopt emerging evidence or undertake trials or pilots to test, demonstrate or add to the evidence base (as they have done in examples to date). In this case, the clinical advice could be expressed as a position statement or a summary of evidence to inform jurisdictional decisions.</w:t>
      </w:r>
    </w:p>
    <w:sectPr w:rsidR="000D2B29" w:rsidRPr="00B63FCA" w:rsidSect="00DA1E0A">
      <w:footerReference w:type="default" r:id="rId38"/>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C7520" w14:textId="77777777" w:rsidR="00DA14C5" w:rsidRDefault="00DA14C5" w:rsidP="0070060A">
      <w:r>
        <w:separator/>
      </w:r>
    </w:p>
  </w:endnote>
  <w:endnote w:type="continuationSeparator" w:id="0">
    <w:p w14:paraId="284EDABA" w14:textId="77777777" w:rsidR="00DA14C5" w:rsidRDefault="00DA14C5" w:rsidP="0070060A">
      <w:r>
        <w:continuationSeparator/>
      </w:r>
    </w:p>
  </w:endnote>
  <w:endnote w:type="continuationNotice" w:id="1">
    <w:p w14:paraId="06AC1328" w14:textId="77777777" w:rsidR="00DA14C5" w:rsidRDefault="00DA1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309365"/>
      <w:docPartObj>
        <w:docPartGallery w:val="Page Numbers (Bottom of Page)"/>
        <w:docPartUnique/>
      </w:docPartObj>
    </w:sdtPr>
    <w:sdtEndPr>
      <w:rPr>
        <w:noProof/>
      </w:rPr>
    </w:sdtEndPr>
    <w:sdtContent>
      <w:p w14:paraId="154BC980" w14:textId="347A3D0A" w:rsidR="0070060A" w:rsidRDefault="007006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0DFF" w14:textId="77777777" w:rsidR="00DA14C5" w:rsidRDefault="00DA14C5" w:rsidP="0070060A">
      <w:r>
        <w:separator/>
      </w:r>
    </w:p>
  </w:footnote>
  <w:footnote w:type="continuationSeparator" w:id="0">
    <w:p w14:paraId="5D80F6B7" w14:textId="77777777" w:rsidR="00DA14C5" w:rsidRDefault="00DA14C5" w:rsidP="0070060A">
      <w:r>
        <w:continuationSeparator/>
      </w:r>
    </w:p>
  </w:footnote>
  <w:footnote w:type="continuationNotice" w:id="1">
    <w:p w14:paraId="20C0A424" w14:textId="77777777" w:rsidR="00DA14C5" w:rsidRDefault="00DA14C5"/>
  </w:footnote>
</w:footnotes>
</file>

<file path=word/intelligence2.xml><?xml version="1.0" encoding="utf-8"?>
<int2:intelligence xmlns:int2="http://schemas.microsoft.com/office/intelligence/2020/intelligence" xmlns:oel="http://schemas.microsoft.com/office/2019/extlst">
  <int2:observations>
    <int2:textHash int2:hashCode="QWSBnFcbGrSVXC" int2:id="v7IucIK2">
      <int2:state int2:value="Rejected" int2:type="AugLoop_Text_Critique"/>
    </int2:textHash>
    <int2:bookmark int2:bookmarkName="_Int_4UN7seRD" int2:invalidationBookmarkName="" int2:hashCode="kH05+TduLmBXXg" int2:id="K1bUw9Wu">
      <int2:state int2:value="Rejected" int2:type="AugLoop_Text_Critique"/>
    </int2:bookmark>
    <int2:bookmark int2:bookmarkName="_Int_xhYP7efY" int2:invalidationBookmarkName="" int2:hashCode="aq5KZ4YMHpFpOT" int2:id="txvMYxon">
      <int2:state int2:value="Rejected" int2:type="AugLoop_Text_Critique"/>
    </int2:bookmark>
    <int2:bookmark int2:bookmarkName="_Int_FgpEjASf" int2:invalidationBookmarkName="" int2:hashCode="A5r7UjOonCryc9" int2:id="zNsSqag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622D90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3402D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FA67C6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4BAFB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DC3102"/>
    <w:multiLevelType w:val="hybridMultilevel"/>
    <w:tmpl w:val="A0D6D88A"/>
    <w:lvl w:ilvl="0" w:tplc="A3F208A4">
      <w:start w:val="1"/>
      <w:numFmt w:val="bullet"/>
      <w:lvlText w:val=""/>
      <w:lvlJc w:val="left"/>
      <w:pPr>
        <w:ind w:left="1540" w:hanging="360"/>
      </w:pPr>
      <w:rPr>
        <w:rFonts w:ascii="Symbol" w:hAnsi="Symbol"/>
      </w:rPr>
    </w:lvl>
    <w:lvl w:ilvl="1" w:tplc="D6923686">
      <w:start w:val="1"/>
      <w:numFmt w:val="bullet"/>
      <w:lvlText w:val=""/>
      <w:lvlJc w:val="left"/>
      <w:pPr>
        <w:ind w:left="1540" w:hanging="360"/>
      </w:pPr>
      <w:rPr>
        <w:rFonts w:ascii="Symbol" w:hAnsi="Symbol"/>
      </w:rPr>
    </w:lvl>
    <w:lvl w:ilvl="2" w:tplc="40CA1000">
      <w:start w:val="1"/>
      <w:numFmt w:val="bullet"/>
      <w:lvlText w:val=""/>
      <w:lvlJc w:val="left"/>
      <w:pPr>
        <w:ind w:left="1540" w:hanging="360"/>
      </w:pPr>
      <w:rPr>
        <w:rFonts w:ascii="Symbol" w:hAnsi="Symbol"/>
      </w:rPr>
    </w:lvl>
    <w:lvl w:ilvl="3" w:tplc="492EBF62">
      <w:start w:val="1"/>
      <w:numFmt w:val="bullet"/>
      <w:lvlText w:val=""/>
      <w:lvlJc w:val="left"/>
      <w:pPr>
        <w:ind w:left="1540" w:hanging="360"/>
      </w:pPr>
      <w:rPr>
        <w:rFonts w:ascii="Symbol" w:hAnsi="Symbol"/>
      </w:rPr>
    </w:lvl>
    <w:lvl w:ilvl="4" w:tplc="82C2F0A4">
      <w:start w:val="1"/>
      <w:numFmt w:val="bullet"/>
      <w:lvlText w:val=""/>
      <w:lvlJc w:val="left"/>
      <w:pPr>
        <w:ind w:left="1540" w:hanging="360"/>
      </w:pPr>
      <w:rPr>
        <w:rFonts w:ascii="Symbol" w:hAnsi="Symbol"/>
      </w:rPr>
    </w:lvl>
    <w:lvl w:ilvl="5" w:tplc="5AC6F282">
      <w:start w:val="1"/>
      <w:numFmt w:val="bullet"/>
      <w:lvlText w:val=""/>
      <w:lvlJc w:val="left"/>
      <w:pPr>
        <w:ind w:left="1540" w:hanging="360"/>
      </w:pPr>
      <w:rPr>
        <w:rFonts w:ascii="Symbol" w:hAnsi="Symbol"/>
      </w:rPr>
    </w:lvl>
    <w:lvl w:ilvl="6" w:tplc="139EFFDA">
      <w:start w:val="1"/>
      <w:numFmt w:val="bullet"/>
      <w:lvlText w:val=""/>
      <w:lvlJc w:val="left"/>
      <w:pPr>
        <w:ind w:left="1540" w:hanging="360"/>
      </w:pPr>
      <w:rPr>
        <w:rFonts w:ascii="Symbol" w:hAnsi="Symbol"/>
      </w:rPr>
    </w:lvl>
    <w:lvl w:ilvl="7" w:tplc="DB923256">
      <w:start w:val="1"/>
      <w:numFmt w:val="bullet"/>
      <w:lvlText w:val=""/>
      <w:lvlJc w:val="left"/>
      <w:pPr>
        <w:ind w:left="1540" w:hanging="360"/>
      </w:pPr>
      <w:rPr>
        <w:rFonts w:ascii="Symbol" w:hAnsi="Symbol"/>
      </w:rPr>
    </w:lvl>
    <w:lvl w:ilvl="8" w:tplc="8F5C5F3C">
      <w:start w:val="1"/>
      <w:numFmt w:val="bullet"/>
      <w:lvlText w:val=""/>
      <w:lvlJc w:val="left"/>
      <w:pPr>
        <w:ind w:left="1540" w:hanging="360"/>
      </w:pPr>
      <w:rPr>
        <w:rFonts w:ascii="Symbol" w:hAnsi="Symbol"/>
      </w:rPr>
    </w:lvl>
  </w:abstractNum>
  <w:abstractNum w:abstractNumId="5" w15:restartNumberingAfterBreak="0">
    <w:nsid w:val="08142B12"/>
    <w:multiLevelType w:val="hybridMultilevel"/>
    <w:tmpl w:val="FDEA97DA"/>
    <w:lvl w:ilvl="0" w:tplc="EE1674E0">
      <w:start w:val="1"/>
      <w:numFmt w:val="bullet"/>
      <w:lvlText w:val=""/>
      <w:lvlJc w:val="left"/>
      <w:pPr>
        <w:ind w:left="720" w:hanging="360"/>
      </w:pPr>
      <w:rPr>
        <w:rFonts w:ascii="Symbol" w:hAnsi="Symbol"/>
      </w:rPr>
    </w:lvl>
    <w:lvl w:ilvl="1" w:tplc="14BA6A08">
      <w:start w:val="1"/>
      <w:numFmt w:val="bullet"/>
      <w:lvlText w:val=""/>
      <w:lvlJc w:val="left"/>
      <w:pPr>
        <w:ind w:left="720" w:hanging="360"/>
      </w:pPr>
      <w:rPr>
        <w:rFonts w:ascii="Symbol" w:hAnsi="Symbol"/>
      </w:rPr>
    </w:lvl>
    <w:lvl w:ilvl="2" w:tplc="36EC488A">
      <w:start w:val="1"/>
      <w:numFmt w:val="bullet"/>
      <w:lvlText w:val=""/>
      <w:lvlJc w:val="left"/>
      <w:pPr>
        <w:ind w:left="720" w:hanging="360"/>
      </w:pPr>
      <w:rPr>
        <w:rFonts w:ascii="Symbol" w:hAnsi="Symbol"/>
      </w:rPr>
    </w:lvl>
    <w:lvl w:ilvl="3" w:tplc="27845984">
      <w:start w:val="1"/>
      <w:numFmt w:val="bullet"/>
      <w:lvlText w:val=""/>
      <w:lvlJc w:val="left"/>
      <w:pPr>
        <w:ind w:left="720" w:hanging="360"/>
      </w:pPr>
      <w:rPr>
        <w:rFonts w:ascii="Symbol" w:hAnsi="Symbol"/>
      </w:rPr>
    </w:lvl>
    <w:lvl w:ilvl="4" w:tplc="94087422">
      <w:start w:val="1"/>
      <w:numFmt w:val="bullet"/>
      <w:lvlText w:val=""/>
      <w:lvlJc w:val="left"/>
      <w:pPr>
        <w:ind w:left="720" w:hanging="360"/>
      </w:pPr>
      <w:rPr>
        <w:rFonts w:ascii="Symbol" w:hAnsi="Symbol"/>
      </w:rPr>
    </w:lvl>
    <w:lvl w:ilvl="5" w:tplc="CB6C72F8">
      <w:start w:val="1"/>
      <w:numFmt w:val="bullet"/>
      <w:lvlText w:val=""/>
      <w:lvlJc w:val="left"/>
      <w:pPr>
        <w:ind w:left="720" w:hanging="360"/>
      </w:pPr>
      <w:rPr>
        <w:rFonts w:ascii="Symbol" w:hAnsi="Symbol"/>
      </w:rPr>
    </w:lvl>
    <w:lvl w:ilvl="6" w:tplc="26F62ECE">
      <w:start w:val="1"/>
      <w:numFmt w:val="bullet"/>
      <w:lvlText w:val=""/>
      <w:lvlJc w:val="left"/>
      <w:pPr>
        <w:ind w:left="720" w:hanging="360"/>
      </w:pPr>
      <w:rPr>
        <w:rFonts w:ascii="Symbol" w:hAnsi="Symbol"/>
      </w:rPr>
    </w:lvl>
    <w:lvl w:ilvl="7" w:tplc="23861DF8">
      <w:start w:val="1"/>
      <w:numFmt w:val="bullet"/>
      <w:lvlText w:val=""/>
      <w:lvlJc w:val="left"/>
      <w:pPr>
        <w:ind w:left="720" w:hanging="360"/>
      </w:pPr>
      <w:rPr>
        <w:rFonts w:ascii="Symbol" w:hAnsi="Symbol"/>
      </w:rPr>
    </w:lvl>
    <w:lvl w:ilvl="8" w:tplc="09404258">
      <w:start w:val="1"/>
      <w:numFmt w:val="bullet"/>
      <w:lvlText w:val=""/>
      <w:lvlJc w:val="left"/>
      <w:pPr>
        <w:ind w:left="720" w:hanging="360"/>
      </w:pPr>
      <w:rPr>
        <w:rFonts w:ascii="Symbol" w:hAnsi="Symbol"/>
      </w:rPr>
    </w:lvl>
  </w:abstractNum>
  <w:abstractNum w:abstractNumId="6" w15:restartNumberingAfterBreak="0">
    <w:nsid w:val="0F3D3E72"/>
    <w:multiLevelType w:val="hybridMultilevel"/>
    <w:tmpl w:val="FC2A8218"/>
    <w:lvl w:ilvl="0" w:tplc="4C642654">
      <w:start w:val="1"/>
      <w:numFmt w:val="bullet"/>
      <w:pStyle w:val="ListBullet"/>
      <w:lvlText w:val=""/>
      <w:lvlJc w:val="left"/>
      <w:pPr>
        <w:ind w:left="468" w:hanging="360"/>
      </w:pPr>
      <w:rPr>
        <w:rFonts w:ascii="Symbol" w:hAnsi="Symbol" w:hint="default"/>
        <w:vertAlign w:val="baseline"/>
      </w:rPr>
    </w:lvl>
    <w:lvl w:ilvl="1" w:tplc="0C090003">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7" w15:restartNumberingAfterBreak="0">
    <w:nsid w:val="11C9731C"/>
    <w:multiLevelType w:val="hybridMultilevel"/>
    <w:tmpl w:val="6E66CD1E"/>
    <w:lvl w:ilvl="0" w:tplc="6D163E92">
      <w:start w:val="1"/>
      <w:numFmt w:val="bullet"/>
      <w:lvlText w:val=""/>
      <w:lvlJc w:val="left"/>
      <w:pPr>
        <w:ind w:left="720" w:hanging="360"/>
      </w:pPr>
      <w:rPr>
        <w:rFonts w:ascii="Symbol" w:hAnsi="Symbol"/>
      </w:rPr>
    </w:lvl>
    <w:lvl w:ilvl="1" w:tplc="B26EC6A0">
      <w:start w:val="1"/>
      <w:numFmt w:val="bullet"/>
      <w:lvlText w:val=""/>
      <w:lvlJc w:val="left"/>
      <w:pPr>
        <w:ind w:left="720" w:hanging="360"/>
      </w:pPr>
      <w:rPr>
        <w:rFonts w:ascii="Symbol" w:hAnsi="Symbol"/>
      </w:rPr>
    </w:lvl>
    <w:lvl w:ilvl="2" w:tplc="918E8628">
      <w:start w:val="1"/>
      <w:numFmt w:val="bullet"/>
      <w:lvlText w:val=""/>
      <w:lvlJc w:val="left"/>
      <w:pPr>
        <w:ind w:left="720" w:hanging="360"/>
      </w:pPr>
      <w:rPr>
        <w:rFonts w:ascii="Symbol" w:hAnsi="Symbol"/>
      </w:rPr>
    </w:lvl>
    <w:lvl w:ilvl="3" w:tplc="1F08E972">
      <w:start w:val="1"/>
      <w:numFmt w:val="bullet"/>
      <w:lvlText w:val=""/>
      <w:lvlJc w:val="left"/>
      <w:pPr>
        <w:ind w:left="720" w:hanging="360"/>
      </w:pPr>
      <w:rPr>
        <w:rFonts w:ascii="Symbol" w:hAnsi="Symbol"/>
      </w:rPr>
    </w:lvl>
    <w:lvl w:ilvl="4" w:tplc="71DA2602">
      <w:start w:val="1"/>
      <w:numFmt w:val="bullet"/>
      <w:lvlText w:val=""/>
      <w:lvlJc w:val="left"/>
      <w:pPr>
        <w:ind w:left="720" w:hanging="360"/>
      </w:pPr>
      <w:rPr>
        <w:rFonts w:ascii="Symbol" w:hAnsi="Symbol"/>
      </w:rPr>
    </w:lvl>
    <w:lvl w:ilvl="5" w:tplc="6E24D4BE">
      <w:start w:val="1"/>
      <w:numFmt w:val="bullet"/>
      <w:lvlText w:val=""/>
      <w:lvlJc w:val="left"/>
      <w:pPr>
        <w:ind w:left="720" w:hanging="360"/>
      </w:pPr>
      <w:rPr>
        <w:rFonts w:ascii="Symbol" w:hAnsi="Symbol"/>
      </w:rPr>
    </w:lvl>
    <w:lvl w:ilvl="6" w:tplc="3BF22C54">
      <w:start w:val="1"/>
      <w:numFmt w:val="bullet"/>
      <w:lvlText w:val=""/>
      <w:lvlJc w:val="left"/>
      <w:pPr>
        <w:ind w:left="720" w:hanging="360"/>
      </w:pPr>
      <w:rPr>
        <w:rFonts w:ascii="Symbol" w:hAnsi="Symbol"/>
      </w:rPr>
    </w:lvl>
    <w:lvl w:ilvl="7" w:tplc="1E5AE62A">
      <w:start w:val="1"/>
      <w:numFmt w:val="bullet"/>
      <w:lvlText w:val=""/>
      <w:lvlJc w:val="left"/>
      <w:pPr>
        <w:ind w:left="720" w:hanging="360"/>
      </w:pPr>
      <w:rPr>
        <w:rFonts w:ascii="Symbol" w:hAnsi="Symbol"/>
      </w:rPr>
    </w:lvl>
    <w:lvl w:ilvl="8" w:tplc="564E5CD8">
      <w:start w:val="1"/>
      <w:numFmt w:val="bullet"/>
      <w:lvlText w:val=""/>
      <w:lvlJc w:val="left"/>
      <w:pPr>
        <w:ind w:left="720" w:hanging="360"/>
      </w:pPr>
      <w:rPr>
        <w:rFonts w:ascii="Symbol" w:hAnsi="Symbol"/>
      </w:rPr>
    </w:lvl>
  </w:abstractNum>
  <w:abstractNum w:abstractNumId="8" w15:restartNumberingAfterBreak="0">
    <w:nsid w:val="12921F9E"/>
    <w:multiLevelType w:val="hybridMultilevel"/>
    <w:tmpl w:val="72CC5BB8"/>
    <w:lvl w:ilvl="0" w:tplc="3B626AC8">
      <w:start w:val="1"/>
      <w:numFmt w:val="bullet"/>
      <w:lvlText w:val=""/>
      <w:lvlJc w:val="left"/>
      <w:pPr>
        <w:ind w:left="720" w:hanging="360"/>
      </w:pPr>
      <w:rPr>
        <w:rFonts w:ascii="Symbol" w:hAnsi="Symbol"/>
      </w:rPr>
    </w:lvl>
    <w:lvl w:ilvl="1" w:tplc="F5A0931A">
      <w:start w:val="1"/>
      <w:numFmt w:val="bullet"/>
      <w:lvlText w:val=""/>
      <w:lvlJc w:val="left"/>
      <w:pPr>
        <w:ind w:left="720" w:hanging="360"/>
      </w:pPr>
      <w:rPr>
        <w:rFonts w:ascii="Symbol" w:hAnsi="Symbol"/>
      </w:rPr>
    </w:lvl>
    <w:lvl w:ilvl="2" w:tplc="BD064422">
      <w:start w:val="1"/>
      <w:numFmt w:val="bullet"/>
      <w:lvlText w:val=""/>
      <w:lvlJc w:val="left"/>
      <w:pPr>
        <w:ind w:left="720" w:hanging="360"/>
      </w:pPr>
      <w:rPr>
        <w:rFonts w:ascii="Symbol" w:hAnsi="Symbol"/>
      </w:rPr>
    </w:lvl>
    <w:lvl w:ilvl="3" w:tplc="5D4EE5C2">
      <w:start w:val="1"/>
      <w:numFmt w:val="bullet"/>
      <w:lvlText w:val=""/>
      <w:lvlJc w:val="left"/>
      <w:pPr>
        <w:ind w:left="720" w:hanging="360"/>
      </w:pPr>
      <w:rPr>
        <w:rFonts w:ascii="Symbol" w:hAnsi="Symbol"/>
      </w:rPr>
    </w:lvl>
    <w:lvl w:ilvl="4" w:tplc="C9762AD2">
      <w:start w:val="1"/>
      <w:numFmt w:val="bullet"/>
      <w:lvlText w:val=""/>
      <w:lvlJc w:val="left"/>
      <w:pPr>
        <w:ind w:left="720" w:hanging="360"/>
      </w:pPr>
      <w:rPr>
        <w:rFonts w:ascii="Symbol" w:hAnsi="Symbol"/>
      </w:rPr>
    </w:lvl>
    <w:lvl w:ilvl="5" w:tplc="31C26E32">
      <w:start w:val="1"/>
      <w:numFmt w:val="bullet"/>
      <w:lvlText w:val=""/>
      <w:lvlJc w:val="left"/>
      <w:pPr>
        <w:ind w:left="720" w:hanging="360"/>
      </w:pPr>
      <w:rPr>
        <w:rFonts w:ascii="Symbol" w:hAnsi="Symbol"/>
      </w:rPr>
    </w:lvl>
    <w:lvl w:ilvl="6" w:tplc="112E7486">
      <w:start w:val="1"/>
      <w:numFmt w:val="bullet"/>
      <w:lvlText w:val=""/>
      <w:lvlJc w:val="left"/>
      <w:pPr>
        <w:ind w:left="720" w:hanging="360"/>
      </w:pPr>
      <w:rPr>
        <w:rFonts w:ascii="Symbol" w:hAnsi="Symbol"/>
      </w:rPr>
    </w:lvl>
    <w:lvl w:ilvl="7" w:tplc="B7549CBE">
      <w:start w:val="1"/>
      <w:numFmt w:val="bullet"/>
      <w:lvlText w:val=""/>
      <w:lvlJc w:val="left"/>
      <w:pPr>
        <w:ind w:left="720" w:hanging="360"/>
      </w:pPr>
      <w:rPr>
        <w:rFonts w:ascii="Symbol" w:hAnsi="Symbol"/>
      </w:rPr>
    </w:lvl>
    <w:lvl w:ilvl="8" w:tplc="9328CE10">
      <w:start w:val="1"/>
      <w:numFmt w:val="bullet"/>
      <w:lvlText w:val=""/>
      <w:lvlJc w:val="left"/>
      <w:pPr>
        <w:ind w:left="720" w:hanging="360"/>
      </w:pPr>
      <w:rPr>
        <w:rFonts w:ascii="Symbol" w:hAnsi="Symbol"/>
      </w:rPr>
    </w:lvl>
  </w:abstractNum>
  <w:abstractNum w:abstractNumId="9" w15:restartNumberingAfterBreak="0">
    <w:nsid w:val="139031AB"/>
    <w:multiLevelType w:val="hybridMultilevel"/>
    <w:tmpl w:val="4B683724"/>
    <w:lvl w:ilvl="0" w:tplc="CD3AC894">
      <w:start w:val="1"/>
      <w:numFmt w:val="bullet"/>
      <w:lvlText w:val=""/>
      <w:lvlJc w:val="left"/>
      <w:pPr>
        <w:ind w:left="720" w:hanging="360"/>
      </w:pPr>
      <w:rPr>
        <w:rFonts w:ascii="Symbol" w:hAnsi="Symbol"/>
      </w:rPr>
    </w:lvl>
    <w:lvl w:ilvl="1" w:tplc="6DC464B4">
      <w:start w:val="1"/>
      <w:numFmt w:val="bullet"/>
      <w:lvlText w:val=""/>
      <w:lvlJc w:val="left"/>
      <w:pPr>
        <w:ind w:left="720" w:hanging="360"/>
      </w:pPr>
      <w:rPr>
        <w:rFonts w:ascii="Symbol" w:hAnsi="Symbol"/>
      </w:rPr>
    </w:lvl>
    <w:lvl w:ilvl="2" w:tplc="D55473EC">
      <w:start w:val="1"/>
      <w:numFmt w:val="bullet"/>
      <w:lvlText w:val=""/>
      <w:lvlJc w:val="left"/>
      <w:pPr>
        <w:ind w:left="720" w:hanging="360"/>
      </w:pPr>
      <w:rPr>
        <w:rFonts w:ascii="Symbol" w:hAnsi="Symbol"/>
      </w:rPr>
    </w:lvl>
    <w:lvl w:ilvl="3" w:tplc="AFA03446">
      <w:start w:val="1"/>
      <w:numFmt w:val="bullet"/>
      <w:lvlText w:val=""/>
      <w:lvlJc w:val="left"/>
      <w:pPr>
        <w:ind w:left="720" w:hanging="360"/>
      </w:pPr>
      <w:rPr>
        <w:rFonts w:ascii="Symbol" w:hAnsi="Symbol"/>
      </w:rPr>
    </w:lvl>
    <w:lvl w:ilvl="4" w:tplc="BB66D9D6">
      <w:start w:val="1"/>
      <w:numFmt w:val="bullet"/>
      <w:lvlText w:val=""/>
      <w:lvlJc w:val="left"/>
      <w:pPr>
        <w:ind w:left="720" w:hanging="360"/>
      </w:pPr>
      <w:rPr>
        <w:rFonts w:ascii="Symbol" w:hAnsi="Symbol"/>
      </w:rPr>
    </w:lvl>
    <w:lvl w:ilvl="5" w:tplc="91864BC0">
      <w:start w:val="1"/>
      <w:numFmt w:val="bullet"/>
      <w:lvlText w:val=""/>
      <w:lvlJc w:val="left"/>
      <w:pPr>
        <w:ind w:left="720" w:hanging="360"/>
      </w:pPr>
      <w:rPr>
        <w:rFonts w:ascii="Symbol" w:hAnsi="Symbol"/>
      </w:rPr>
    </w:lvl>
    <w:lvl w:ilvl="6" w:tplc="8FF63C36">
      <w:start w:val="1"/>
      <w:numFmt w:val="bullet"/>
      <w:lvlText w:val=""/>
      <w:lvlJc w:val="left"/>
      <w:pPr>
        <w:ind w:left="720" w:hanging="360"/>
      </w:pPr>
      <w:rPr>
        <w:rFonts w:ascii="Symbol" w:hAnsi="Symbol"/>
      </w:rPr>
    </w:lvl>
    <w:lvl w:ilvl="7" w:tplc="6930AF50">
      <w:start w:val="1"/>
      <w:numFmt w:val="bullet"/>
      <w:lvlText w:val=""/>
      <w:lvlJc w:val="left"/>
      <w:pPr>
        <w:ind w:left="720" w:hanging="360"/>
      </w:pPr>
      <w:rPr>
        <w:rFonts w:ascii="Symbol" w:hAnsi="Symbol"/>
      </w:rPr>
    </w:lvl>
    <w:lvl w:ilvl="8" w:tplc="30208A94">
      <w:start w:val="1"/>
      <w:numFmt w:val="bullet"/>
      <w:lvlText w:val=""/>
      <w:lvlJc w:val="left"/>
      <w:pPr>
        <w:ind w:left="720" w:hanging="360"/>
      </w:pPr>
      <w:rPr>
        <w:rFonts w:ascii="Symbol" w:hAnsi="Symbol"/>
      </w:rPr>
    </w:lvl>
  </w:abstractNum>
  <w:abstractNum w:abstractNumId="10" w15:restartNumberingAfterBreak="0">
    <w:nsid w:val="21821E07"/>
    <w:multiLevelType w:val="hybridMultilevel"/>
    <w:tmpl w:val="51627F2A"/>
    <w:lvl w:ilvl="0" w:tplc="D4EC1E8C">
      <w:start w:val="1"/>
      <w:numFmt w:val="bullet"/>
      <w:lvlText w:val=""/>
      <w:lvlJc w:val="left"/>
      <w:pPr>
        <w:ind w:left="720" w:hanging="360"/>
      </w:pPr>
      <w:rPr>
        <w:rFonts w:ascii="Symbol" w:hAnsi="Symbol"/>
      </w:rPr>
    </w:lvl>
    <w:lvl w:ilvl="1" w:tplc="53FE95DA">
      <w:start w:val="1"/>
      <w:numFmt w:val="bullet"/>
      <w:lvlText w:val=""/>
      <w:lvlJc w:val="left"/>
      <w:pPr>
        <w:ind w:left="720" w:hanging="360"/>
      </w:pPr>
      <w:rPr>
        <w:rFonts w:ascii="Symbol" w:hAnsi="Symbol"/>
      </w:rPr>
    </w:lvl>
    <w:lvl w:ilvl="2" w:tplc="4D3C7380">
      <w:start w:val="1"/>
      <w:numFmt w:val="bullet"/>
      <w:lvlText w:val=""/>
      <w:lvlJc w:val="left"/>
      <w:pPr>
        <w:ind w:left="720" w:hanging="360"/>
      </w:pPr>
      <w:rPr>
        <w:rFonts w:ascii="Symbol" w:hAnsi="Symbol"/>
      </w:rPr>
    </w:lvl>
    <w:lvl w:ilvl="3" w:tplc="67406490">
      <w:start w:val="1"/>
      <w:numFmt w:val="bullet"/>
      <w:lvlText w:val=""/>
      <w:lvlJc w:val="left"/>
      <w:pPr>
        <w:ind w:left="720" w:hanging="360"/>
      </w:pPr>
      <w:rPr>
        <w:rFonts w:ascii="Symbol" w:hAnsi="Symbol"/>
      </w:rPr>
    </w:lvl>
    <w:lvl w:ilvl="4" w:tplc="63005654">
      <w:start w:val="1"/>
      <w:numFmt w:val="bullet"/>
      <w:lvlText w:val=""/>
      <w:lvlJc w:val="left"/>
      <w:pPr>
        <w:ind w:left="720" w:hanging="360"/>
      </w:pPr>
      <w:rPr>
        <w:rFonts w:ascii="Symbol" w:hAnsi="Symbol"/>
      </w:rPr>
    </w:lvl>
    <w:lvl w:ilvl="5" w:tplc="649075A6">
      <w:start w:val="1"/>
      <w:numFmt w:val="bullet"/>
      <w:lvlText w:val=""/>
      <w:lvlJc w:val="left"/>
      <w:pPr>
        <w:ind w:left="720" w:hanging="360"/>
      </w:pPr>
      <w:rPr>
        <w:rFonts w:ascii="Symbol" w:hAnsi="Symbol"/>
      </w:rPr>
    </w:lvl>
    <w:lvl w:ilvl="6" w:tplc="E55E0510">
      <w:start w:val="1"/>
      <w:numFmt w:val="bullet"/>
      <w:lvlText w:val=""/>
      <w:lvlJc w:val="left"/>
      <w:pPr>
        <w:ind w:left="720" w:hanging="360"/>
      </w:pPr>
      <w:rPr>
        <w:rFonts w:ascii="Symbol" w:hAnsi="Symbol"/>
      </w:rPr>
    </w:lvl>
    <w:lvl w:ilvl="7" w:tplc="87CAF446">
      <w:start w:val="1"/>
      <w:numFmt w:val="bullet"/>
      <w:lvlText w:val=""/>
      <w:lvlJc w:val="left"/>
      <w:pPr>
        <w:ind w:left="720" w:hanging="360"/>
      </w:pPr>
      <w:rPr>
        <w:rFonts w:ascii="Symbol" w:hAnsi="Symbol"/>
      </w:rPr>
    </w:lvl>
    <w:lvl w:ilvl="8" w:tplc="DB6AF062">
      <w:start w:val="1"/>
      <w:numFmt w:val="bullet"/>
      <w:lvlText w:val=""/>
      <w:lvlJc w:val="left"/>
      <w:pPr>
        <w:ind w:left="720" w:hanging="360"/>
      </w:pPr>
      <w:rPr>
        <w:rFonts w:ascii="Symbol" w:hAnsi="Symbol"/>
      </w:rPr>
    </w:lvl>
  </w:abstractNum>
  <w:abstractNum w:abstractNumId="11" w15:restartNumberingAfterBreak="0">
    <w:nsid w:val="242902F3"/>
    <w:multiLevelType w:val="hybridMultilevel"/>
    <w:tmpl w:val="ED12522C"/>
    <w:lvl w:ilvl="0" w:tplc="EFF41C50">
      <w:start w:val="1"/>
      <w:numFmt w:val="decimal"/>
      <w:lvlText w:val="%1."/>
      <w:lvlJc w:val="left"/>
      <w:pPr>
        <w:ind w:left="717" w:hanging="360"/>
      </w:pPr>
      <w:rPr>
        <w:rFonts w:asciiTheme="minorHAnsi" w:eastAsiaTheme="minorHAnsi" w:hAnsiTheme="minorHAnsi" w:cstheme="minorHAnsi"/>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27800108"/>
    <w:multiLevelType w:val="hybridMultilevel"/>
    <w:tmpl w:val="11E0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965F1"/>
    <w:multiLevelType w:val="hybridMultilevel"/>
    <w:tmpl w:val="3922412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32A0234"/>
    <w:multiLevelType w:val="hybridMultilevel"/>
    <w:tmpl w:val="42320B3C"/>
    <w:lvl w:ilvl="0" w:tplc="46383C22">
      <w:start w:val="1"/>
      <w:numFmt w:val="bullet"/>
      <w:lvlText w:val=""/>
      <w:lvlJc w:val="left"/>
      <w:pPr>
        <w:ind w:left="720" w:hanging="360"/>
      </w:pPr>
      <w:rPr>
        <w:rFonts w:ascii="Symbol" w:hAnsi="Symbol"/>
      </w:rPr>
    </w:lvl>
    <w:lvl w:ilvl="1" w:tplc="6C0C9BD8">
      <w:start w:val="1"/>
      <w:numFmt w:val="bullet"/>
      <w:lvlText w:val=""/>
      <w:lvlJc w:val="left"/>
      <w:pPr>
        <w:ind w:left="720" w:hanging="360"/>
      </w:pPr>
      <w:rPr>
        <w:rFonts w:ascii="Symbol" w:hAnsi="Symbol"/>
      </w:rPr>
    </w:lvl>
    <w:lvl w:ilvl="2" w:tplc="2DC2C7B2">
      <w:start w:val="1"/>
      <w:numFmt w:val="bullet"/>
      <w:lvlText w:val=""/>
      <w:lvlJc w:val="left"/>
      <w:pPr>
        <w:ind w:left="720" w:hanging="360"/>
      </w:pPr>
      <w:rPr>
        <w:rFonts w:ascii="Symbol" w:hAnsi="Symbol"/>
      </w:rPr>
    </w:lvl>
    <w:lvl w:ilvl="3" w:tplc="8A1CFF96">
      <w:start w:val="1"/>
      <w:numFmt w:val="bullet"/>
      <w:lvlText w:val=""/>
      <w:lvlJc w:val="left"/>
      <w:pPr>
        <w:ind w:left="720" w:hanging="360"/>
      </w:pPr>
      <w:rPr>
        <w:rFonts w:ascii="Symbol" w:hAnsi="Symbol"/>
      </w:rPr>
    </w:lvl>
    <w:lvl w:ilvl="4" w:tplc="E9E230FA">
      <w:start w:val="1"/>
      <w:numFmt w:val="bullet"/>
      <w:lvlText w:val=""/>
      <w:lvlJc w:val="left"/>
      <w:pPr>
        <w:ind w:left="720" w:hanging="360"/>
      </w:pPr>
      <w:rPr>
        <w:rFonts w:ascii="Symbol" w:hAnsi="Symbol"/>
      </w:rPr>
    </w:lvl>
    <w:lvl w:ilvl="5" w:tplc="658E8E32">
      <w:start w:val="1"/>
      <w:numFmt w:val="bullet"/>
      <w:lvlText w:val=""/>
      <w:lvlJc w:val="left"/>
      <w:pPr>
        <w:ind w:left="720" w:hanging="360"/>
      </w:pPr>
      <w:rPr>
        <w:rFonts w:ascii="Symbol" w:hAnsi="Symbol"/>
      </w:rPr>
    </w:lvl>
    <w:lvl w:ilvl="6" w:tplc="8E389D1A">
      <w:start w:val="1"/>
      <w:numFmt w:val="bullet"/>
      <w:lvlText w:val=""/>
      <w:lvlJc w:val="left"/>
      <w:pPr>
        <w:ind w:left="720" w:hanging="360"/>
      </w:pPr>
      <w:rPr>
        <w:rFonts w:ascii="Symbol" w:hAnsi="Symbol"/>
      </w:rPr>
    </w:lvl>
    <w:lvl w:ilvl="7" w:tplc="81784896">
      <w:start w:val="1"/>
      <w:numFmt w:val="bullet"/>
      <w:lvlText w:val=""/>
      <w:lvlJc w:val="left"/>
      <w:pPr>
        <w:ind w:left="720" w:hanging="360"/>
      </w:pPr>
      <w:rPr>
        <w:rFonts w:ascii="Symbol" w:hAnsi="Symbol"/>
      </w:rPr>
    </w:lvl>
    <w:lvl w:ilvl="8" w:tplc="17AC8CCA">
      <w:start w:val="1"/>
      <w:numFmt w:val="bullet"/>
      <w:lvlText w:val=""/>
      <w:lvlJc w:val="left"/>
      <w:pPr>
        <w:ind w:left="720" w:hanging="360"/>
      </w:pPr>
      <w:rPr>
        <w:rFonts w:ascii="Symbol" w:hAnsi="Symbol"/>
      </w:rPr>
    </w:lvl>
  </w:abstractNum>
  <w:abstractNum w:abstractNumId="15" w15:restartNumberingAfterBreak="0">
    <w:nsid w:val="35361C9C"/>
    <w:multiLevelType w:val="hybridMultilevel"/>
    <w:tmpl w:val="909E7F6E"/>
    <w:lvl w:ilvl="0" w:tplc="3702DABA">
      <w:start w:val="1"/>
      <w:numFmt w:val="bullet"/>
      <w:lvlText w:val=""/>
      <w:lvlJc w:val="left"/>
      <w:pPr>
        <w:ind w:left="1120" w:hanging="360"/>
      </w:pPr>
      <w:rPr>
        <w:rFonts w:ascii="Symbol" w:hAnsi="Symbol"/>
      </w:rPr>
    </w:lvl>
    <w:lvl w:ilvl="1" w:tplc="9BA6D1D4">
      <w:start w:val="1"/>
      <w:numFmt w:val="bullet"/>
      <w:lvlText w:val=""/>
      <w:lvlJc w:val="left"/>
      <w:pPr>
        <w:ind w:left="1120" w:hanging="360"/>
      </w:pPr>
      <w:rPr>
        <w:rFonts w:ascii="Symbol" w:hAnsi="Symbol"/>
      </w:rPr>
    </w:lvl>
    <w:lvl w:ilvl="2" w:tplc="61009BCC">
      <w:start w:val="1"/>
      <w:numFmt w:val="bullet"/>
      <w:lvlText w:val=""/>
      <w:lvlJc w:val="left"/>
      <w:pPr>
        <w:ind w:left="1120" w:hanging="360"/>
      </w:pPr>
      <w:rPr>
        <w:rFonts w:ascii="Symbol" w:hAnsi="Symbol"/>
      </w:rPr>
    </w:lvl>
    <w:lvl w:ilvl="3" w:tplc="63AE87E2">
      <w:start w:val="1"/>
      <w:numFmt w:val="bullet"/>
      <w:lvlText w:val=""/>
      <w:lvlJc w:val="left"/>
      <w:pPr>
        <w:ind w:left="1120" w:hanging="360"/>
      </w:pPr>
      <w:rPr>
        <w:rFonts w:ascii="Symbol" w:hAnsi="Symbol"/>
      </w:rPr>
    </w:lvl>
    <w:lvl w:ilvl="4" w:tplc="85AA4AE0">
      <w:start w:val="1"/>
      <w:numFmt w:val="bullet"/>
      <w:lvlText w:val=""/>
      <w:lvlJc w:val="left"/>
      <w:pPr>
        <w:ind w:left="1120" w:hanging="360"/>
      </w:pPr>
      <w:rPr>
        <w:rFonts w:ascii="Symbol" w:hAnsi="Symbol"/>
      </w:rPr>
    </w:lvl>
    <w:lvl w:ilvl="5" w:tplc="DAE4132A">
      <w:start w:val="1"/>
      <w:numFmt w:val="bullet"/>
      <w:lvlText w:val=""/>
      <w:lvlJc w:val="left"/>
      <w:pPr>
        <w:ind w:left="1120" w:hanging="360"/>
      </w:pPr>
      <w:rPr>
        <w:rFonts w:ascii="Symbol" w:hAnsi="Symbol"/>
      </w:rPr>
    </w:lvl>
    <w:lvl w:ilvl="6" w:tplc="9CBC571C">
      <w:start w:val="1"/>
      <w:numFmt w:val="bullet"/>
      <w:lvlText w:val=""/>
      <w:lvlJc w:val="left"/>
      <w:pPr>
        <w:ind w:left="1120" w:hanging="360"/>
      </w:pPr>
      <w:rPr>
        <w:rFonts w:ascii="Symbol" w:hAnsi="Symbol"/>
      </w:rPr>
    </w:lvl>
    <w:lvl w:ilvl="7" w:tplc="22509C98">
      <w:start w:val="1"/>
      <w:numFmt w:val="bullet"/>
      <w:lvlText w:val=""/>
      <w:lvlJc w:val="left"/>
      <w:pPr>
        <w:ind w:left="1120" w:hanging="360"/>
      </w:pPr>
      <w:rPr>
        <w:rFonts w:ascii="Symbol" w:hAnsi="Symbol"/>
      </w:rPr>
    </w:lvl>
    <w:lvl w:ilvl="8" w:tplc="007E4C82">
      <w:start w:val="1"/>
      <w:numFmt w:val="bullet"/>
      <w:lvlText w:val=""/>
      <w:lvlJc w:val="left"/>
      <w:pPr>
        <w:ind w:left="1120" w:hanging="360"/>
      </w:pPr>
      <w:rPr>
        <w:rFonts w:ascii="Symbol" w:hAnsi="Symbol"/>
      </w:rPr>
    </w:lvl>
  </w:abstractNum>
  <w:abstractNum w:abstractNumId="16" w15:restartNumberingAfterBreak="0">
    <w:nsid w:val="35B948DE"/>
    <w:multiLevelType w:val="hybridMultilevel"/>
    <w:tmpl w:val="B9741372"/>
    <w:lvl w:ilvl="0" w:tplc="53E28708">
      <w:start w:val="14"/>
      <w:numFmt w:val="bullet"/>
      <w:lvlText w:val="-"/>
      <w:lvlJc w:val="left"/>
      <w:pPr>
        <w:ind w:left="717" w:hanging="360"/>
      </w:pPr>
      <w:rPr>
        <w:rFonts w:ascii="Calibri" w:eastAsiaTheme="minorHAnsi" w:hAnsi="Calibri" w:cs="Calibri"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3A050786"/>
    <w:multiLevelType w:val="hybridMultilevel"/>
    <w:tmpl w:val="34727820"/>
    <w:lvl w:ilvl="0" w:tplc="042097C6">
      <w:start w:val="1"/>
      <w:numFmt w:val="decimal"/>
      <w:pStyle w:val="ListNumber"/>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8" w15:restartNumberingAfterBreak="0">
    <w:nsid w:val="3A093DCC"/>
    <w:multiLevelType w:val="hybridMultilevel"/>
    <w:tmpl w:val="815ADDF0"/>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3932C0F"/>
    <w:multiLevelType w:val="hybridMultilevel"/>
    <w:tmpl w:val="F382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D5C24"/>
    <w:multiLevelType w:val="hybridMultilevel"/>
    <w:tmpl w:val="138C3D5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1" w15:restartNumberingAfterBreak="0">
    <w:nsid w:val="4DA91B10"/>
    <w:multiLevelType w:val="hybridMultilevel"/>
    <w:tmpl w:val="B30417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A4248A"/>
    <w:multiLevelType w:val="hybridMultilevel"/>
    <w:tmpl w:val="9E9443E4"/>
    <w:lvl w:ilvl="0" w:tplc="8ECA736E">
      <w:start w:val="1"/>
      <w:numFmt w:val="lowerLetter"/>
      <w:lvlText w:val="(%1)"/>
      <w:lvlJc w:val="left"/>
      <w:pPr>
        <w:ind w:left="468" w:hanging="360"/>
      </w:pPr>
      <w:rPr>
        <w:rFonts w:eastAsia="Times New Roman" w:hint="default"/>
        <w:color w:val="000000"/>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23" w15:restartNumberingAfterBreak="0">
    <w:nsid w:val="644A2EA5"/>
    <w:multiLevelType w:val="hybridMultilevel"/>
    <w:tmpl w:val="55A4C6C6"/>
    <w:lvl w:ilvl="0" w:tplc="342E330A">
      <w:start w:val="1"/>
      <w:numFmt w:val="bullet"/>
      <w:pStyle w:val="Bullet1"/>
      <w:lvlText w:val=""/>
      <w:lvlJc w:val="left"/>
      <w:pPr>
        <w:ind w:left="720" w:hanging="360"/>
      </w:pPr>
      <w:rPr>
        <w:rFonts w:ascii="Symbol" w:hAnsi="Symbol" w:hint="default"/>
      </w:rPr>
    </w:lvl>
    <w:lvl w:ilvl="1" w:tplc="0C090003">
      <w:start w:val="1"/>
      <w:numFmt w:val="bullet"/>
      <w:pStyle w:val="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F207EB3"/>
    <w:multiLevelType w:val="hybridMultilevel"/>
    <w:tmpl w:val="D228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E76D4"/>
    <w:multiLevelType w:val="hybridMultilevel"/>
    <w:tmpl w:val="F4DAEA08"/>
    <w:lvl w:ilvl="0" w:tplc="CC3C9830">
      <w:start w:val="1"/>
      <w:numFmt w:val="bullet"/>
      <w:lvlText w:val=""/>
      <w:lvlJc w:val="left"/>
      <w:pPr>
        <w:ind w:left="720" w:hanging="360"/>
      </w:pPr>
      <w:rPr>
        <w:rFonts w:ascii="Symbol" w:hAnsi="Symbol"/>
      </w:rPr>
    </w:lvl>
    <w:lvl w:ilvl="1" w:tplc="EA58F1CC">
      <w:start w:val="1"/>
      <w:numFmt w:val="bullet"/>
      <w:lvlText w:val=""/>
      <w:lvlJc w:val="left"/>
      <w:pPr>
        <w:ind w:left="720" w:hanging="360"/>
      </w:pPr>
      <w:rPr>
        <w:rFonts w:ascii="Symbol" w:hAnsi="Symbol"/>
      </w:rPr>
    </w:lvl>
    <w:lvl w:ilvl="2" w:tplc="B3E85A7C">
      <w:start w:val="1"/>
      <w:numFmt w:val="bullet"/>
      <w:lvlText w:val=""/>
      <w:lvlJc w:val="left"/>
      <w:pPr>
        <w:ind w:left="720" w:hanging="360"/>
      </w:pPr>
      <w:rPr>
        <w:rFonts w:ascii="Symbol" w:hAnsi="Symbol"/>
      </w:rPr>
    </w:lvl>
    <w:lvl w:ilvl="3" w:tplc="A8D69526">
      <w:start w:val="1"/>
      <w:numFmt w:val="bullet"/>
      <w:lvlText w:val=""/>
      <w:lvlJc w:val="left"/>
      <w:pPr>
        <w:ind w:left="720" w:hanging="360"/>
      </w:pPr>
      <w:rPr>
        <w:rFonts w:ascii="Symbol" w:hAnsi="Symbol"/>
      </w:rPr>
    </w:lvl>
    <w:lvl w:ilvl="4" w:tplc="621EB2D8">
      <w:start w:val="1"/>
      <w:numFmt w:val="bullet"/>
      <w:lvlText w:val=""/>
      <w:lvlJc w:val="left"/>
      <w:pPr>
        <w:ind w:left="720" w:hanging="360"/>
      </w:pPr>
      <w:rPr>
        <w:rFonts w:ascii="Symbol" w:hAnsi="Symbol"/>
      </w:rPr>
    </w:lvl>
    <w:lvl w:ilvl="5" w:tplc="7FE01E28">
      <w:start w:val="1"/>
      <w:numFmt w:val="bullet"/>
      <w:lvlText w:val=""/>
      <w:lvlJc w:val="left"/>
      <w:pPr>
        <w:ind w:left="720" w:hanging="360"/>
      </w:pPr>
      <w:rPr>
        <w:rFonts w:ascii="Symbol" w:hAnsi="Symbol"/>
      </w:rPr>
    </w:lvl>
    <w:lvl w:ilvl="6" w:tplc="2C5042D0">
      <w:start w:val="1"/>
      <w:numFmt w:val="bullet"/>
      <w:lvlText w:val=""/>
      <w:lvlJc w:val="left"/>
      <w:pPr>
        <w:ind w:left="720" w:hanging="360"/>
      </w:pPr>
      <w:rPr>
        <w:rFonts w:ascii="Symbol" w:hAnsi="Symbol"/>
      </w:rPr>
    </w:lvl>
    <w:lvl w:ilvl="7" w:tplc="77EC3652">
      <w:start w:val="1"/>
      <w:numFmt w:val="bullet"/>
      <w:lvlText w:val=""/>
      <w:lvlJc w:val="left"/>
      <w:pPr>
        <w:ind w:left="720" w:hanging="360"/>
      </w:pPr>
      <w:rPr>
        <w:rFonts w:ascii="Symbol" w:hAnsi="Symbol"/>
      </w:rPr>
    </w:lvl>
    <w:lvl w:ilvl="8" w:tplc="2FE8410E">
      <w:start w:val="1"/>
      <w:numFmt w:val="bullet"/>
      <w:lvlText w:val=""/>
      <w:lvlJc w:val="left"/>
      <w:pPr>
        <w:ind w:left="720" w:hanging="360"/>
      </w:pPr>
      <w:rPr>
        <w:rFonts w:ascii="Symbol" w:hAnsi="Symbol"/>
      </w:rPr>
    </w:lvl>
  </w:abstractNum>
  <w:abstractNum w:abstractNumId="26" w15:restartNumberingAfterBreak="0">
    <w:nsid w:val="70234C27"/>
    <w:multiLevelType w:val="hybridMultilevel"/>
    <w:tmpl w:val="5CC8C36C"/>
    <w:lvl w:ilvl="0" w:tplc="483E01A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79A46943"/>
    <w:multiLevelType w:val="hybridMultilevel"/>
    <w:tmpl w:val="A5E0FF9C"/>
    <w:lvl w:ilvl="0" w:tplc="6F6CFDC2">
      <w:start w:val="14"/>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8" w15:restartNumberingAfterBreak="0">
    <w:nsid w:val="7A2A6E72"/>
    <w:multiLevelType w:val="hybridMultilevel"/>
    <w:tmpl w:val="D6D0A17C"/>
    <w:lvl w:ilvl="0" w:tplc="8976F8F4">
      <w:start w:val="1"/>
      <w:numFmt w:val="bullet"/>
      <w:lvlText w:val=""/>
      <w:lvlJc w:val="left"/>
      <w:pPr>
        <w:ind w:left="720" w:hanging="360"/>
      </w:pPr>
      <w:rPr>
        <w:rFonts w:ascii="Symbol" w:hAnsi="Symbol"/>
      </w:rPr>
    </w:lvl>
    <w:lvl w:ilvl="1" w:tplc="662872E2">
      <w:start w:val="1"/>
      <w:numFmt w:val="bullet"/>
      <w:lvlText w:val=""/>
      <w:lvlJc w:val="left"/>
      <w:pPr>
        <w:ind w:left="720" w:hanging="360"/>
      </w:pPr>
      <w:rPr>
        <w:rFonts w:ascii="Symbol" w:hAnsi="Symbol"/>
      </w:rPr>
    </w:lvl>
    <w:lvl w:ilvl="2" w:tplc="BF7A2644">
      <w:start w:val="1"/>
      <w:numFmt w:val="bullet"/>
      <w:lvlText w:val=""/>
      <w:lvlJc w:val="left"/>
      <w:pPr>
        <w:ind w:left="720" w:hanging="360"/>
      </w:pPr>
      <w:rPr>
        <w:rFonts w:ascii="Symbol" w:hAnsi="Symbol"/>
      </w:rPr>
    </w:lvl>
    <w:lvl w:ilvl="3" w:tplc="5B08A0D4">
      <w:start w:val="1"/>
      <w:numFmt w:val="bullet"/>
      <w:lvlText w:val=""/>
      <w:lvlJc w:val="left"/>
      <w:pPr>
        <w:ind w:left="720" w:hanging="360"/>
      </w:pPr>
      <w:rPr>
        <w:rFonts w:ascii="Symbol" w:hAnsi="Symbol"/>
      </w:rPr>
    </w:lvl>
    <w:lvl w:ilvl="4" w:tplc="7CE273AA">
      <w:start w:val="1"/>
      <w:numFmt w:val="bullet"/>
      <w:lvlText w:val=""/>
      <w:lvlJc w:val="left"/>
      <w:pPr>
        <w:ind w:left="720" w:hanging="360"/>
      </w:pPr>
      <w:rPr>
        <w:rFonts w:ascii="Symbol" w:hAnsi="Symbol"/>
      </w:rPr>
    </w:lvl>
    <w:lvl w:ilvl="5" w:tplc="D720874E">
      <w:start w:val="1"/>
      <w:numFmt w:val="bullet"/>
      <w:lvlText w:val=""/>
      <w:lvlJc w:val="left"/>
      <w:pPr>
        <w:ind w:left="720" w:hanging="360"/>
      </w:pPr>
      <w:rPr>
        <w:rFonts w:ascii="Symbol" w:hAnsi="Symbol"/>
      </w:rPr>
    </w:lvl>
    <w:lvl w:ilvl="6" w:tplc="34A4D9A6">
      <w:start w:val="1"/>
      <w:numFmt w:val="bullet"/>
      <w:lvlText w:val=""/>
      <w:lvlJc w:val="left"/>
      <w:pPr>
        <w:ind w:left="720" w:hanging="360"/>
      </w:pPr>
      <w:rPr>
        <w:rFonts w:ascii="Symbol" w:hAnsi="Symbol"/>
      </w:rPr>
    </w:lvl>
    <w:lvl w:ilvl="7" w:tplc="67127E2A">
      <w:start w:val="1"/>
      <w:numFmt w:val="bullet"/>
      <w:lvlText w:val=""/>
      <w:lvlJc w:val="left"/>
      <w:pPr>
        <w:ind w:left="720" w:hanging="360"/>
      </w:pPr>
      <w:rPr>
        <w:rFonts w:ascii="Symbol" w:hAnsi="Symbol"/>
      </w:rPr>
    </w:lvl>
    <w:lvl w:ilvl="8" w:tplc="776E4846">
      <w:start w:val="1"/>
      <w:numFmt w:val="bullet"/>
      <w:lvlText w:val=""/>
      <w:lvlJc w:val="left"/>
      <w:pPr>
        <w:ind w:left="720" w:hanging="360"/>
      </w:pPr>
      <w:rPr>
        <w:rFonts w:ascii="Symbol" w:hAnsi="Symbol"/>
      </w:rPr>
    </w:lvl>
  </w:abstractNum>
  <w:abstractNum w:abstractNumId="29" w15:restartNumberingAfterBreak="0">
    <w:nsid w:val="7B3206AA"/>
    <w:multiLevelType w:val="hybridMultilevel"/>
    <w:tmpl w:val="9754DF6E"/>
    <w:lvl w:ilvl="0" w:tplc="03C4CF58">
      <w:start w:val="1"/>
      <w:numFmt w:val="bullet"/>
      <w:lvlText w:val=""/>
      <w:lvlJc w:val="left"/>
      <w:pPr>
        <w:ind w:left="720" w:hanging="360"/>
      </w:pPr>
      <w:rPr>
        <w:rFonts w:ascii="Symbol" w:hAnsi="Symbol"/>
      </w:rPr>
    </w:lvl>
    <w:lvl w:ilvl="1" w:tplc="045235F4">
      <w:start w:val="1"/>
      <w:numFmt w:val="bullet"/>
      <w:lvlText w:val=""/>
      <w:lvlJc w:val="left"/>
      <w:pPr>
        <w:ind w:left="720" w:hanging="360"/>
      </w:pPr>
      <w:rPr>
        <w:rFonts w:ascii="Symbol" w:hAnsi="Symbol"/>
      </w:rPr>
    </w:lvl>
    <w:lvl w:ilvl="2" w:tplc="5E44C842">
      <w:start w:val="1"/>
      <w:numFmt w:val="bullet"/>
      <w:lvlText w:val=""/>
      <w:lvlJc w:val="left"/>
      <w:pPr>
        <w:ind w:left="720" w:hanging="360"/>
      </w:pPr>
      <w:rPr>
        <w:rFonts w:ascii="Symbol" w:hAnsi="Symbol"/>
      </w:rPr>
    </w:lvl>
    <w:lvl w:ilvl="3" w:tplc="1F74E9A8">
      <w:start w:val="1"/>
      <w:numFmt w:val="bullet"/>
      <w:lvlText w:val=""/>
      <w:lvlJc w:val="left"/>
      <w:pPr>
        <w:ind w:left="720" w:hanging="360"/>
      </w:pPr>
      <w:rPr>
        <w:rFonts w:ascii="Symbol" w:hAnsi="Symbol"/>
      </w:rPr>
    </w:lvl>
    <w:lvl w:ilvl="4" w:tplc="6D34F082">
      <w:start w:val="1"/>
      <w:numFmt w:val="bullet"/>
      <w:lvlText w:val=""/>
      <w:lvlJc w:val="left"/>
      <w:pPr>
        <w:ind w:left="720" w:hanging="360"/>
      </w:pPr>
      <w:rPr>
        <w:rFonts w:ascii="Symbol" w:hAnsi="Symbol"/>
      </w:rPr>
    </w:lvl>
    <w:lvl w:ilvl="5" w:tplc="4824F358">
      <w:start w:val="1"/>
      <w:numFmt w:val="bullet"/>
      <w:lvlText w:val=""/>
      <w:lvlJc w:val="left"/>
      <w:pPr>
        <w:ind w:left="720" w:hanging="360"/>
      </w:pPr>
      <w:rPr>
        <w:rFonts w:ascii="Symbol" w:hAnsi="Symbol"/>
      </w:rPr>
    </w:lvl>
    <w:lvl w:ilvl="6" w:tplc="FE1E7042">
      <w:start w:val="1"/>
      <w:numFmt w:val="bullet"/>
      <w:lvlText w:val=""/>
      <w:lvlJc w:val="left"/>
      <w:pPr>
        <w:ind w:left="720" w:hanging="360"/>
      </w:pPr>
      <w:rPr>
        <w:rFonts w:ascii="Symbol" w:hAnsi="Symbol"/>
      </w:rPr>
    </w:lvl>
    <w:lvl w:ilvl="7" w:tplc="FA0AD9DA">
      <w:start w:val="1"/>
      <w:numFmt w:val="bullet"/>
      <w:lvlText w:val=""/>
      <w:lvlJc w:val="left"/>
      <w:pPr>
        <w:ind w:left="720" w:hanging="360"/>
      </w:pPr>
      <w:rPr>
        <w:rFonts w:ascii="Symbol" w:hAnsi="Symbol"/>
      </w:rPr>
    </w:lvl>
    <w:lvl w:ilvl="8" w:tplc="203027BA">
      <w:start w:val="1"/>
      <w:numFmt w:val="bullet"/>
      <w:lvlText w:val=""/>
      <w:lvlJc w:val="left"/>
      <w:pPr>
        <w:ind w:left="720" w:hanging="360"/>
      </w:pPr>
      <w:rPr>
        <w:rFonts w:ascii="Symbol" w:hAnsi="Symbol"/>
      </w:rPr>
    </w:lvl>
  </w:abstractNum>
  <w:num w:numId="1" w16cid:durableId="1806123021">
    <w:abstractNumId w:val="24"/>
  </w:num>
  <w:num w:numId="2" w16cid:durableId="2087847759">
    <w:abstractNumId w:val="6"/>
  </w:num>
  <w:num w:numId="3" w16cid:durableId="301662357">
    <w:abstractNumId w:val="23"/>
  </w:num>
  <w:num w:numId="4" w16cid:durableId="102577473">
    <w:abstractNumId w:val="21"/>
  </w:num>
  <w:num w:numId="5" w16cid:durableId="7411940">
    <w:abstractNumId w:val="23"/>
  </w:num>
  <w:num w:numId="6" w16cid:durableId="1508905013">
    <w:abstractNumId w:val="23"/>
  </w:num>
  <w:num w:numId="7" w16cid:durableId="537401146">
    <w:abstractNumId w:val="23"/>
  </w:num>
  <w:num w:numId="8" w16cid:durableId="483275992">
    <w:abstractNumId w:val="23"/>
  </w:num>
  <w:num w:numId="9" w16cid:durableId="1321233048">
    <w:abstractNumId w:val="23"/>
  </w:num>
  <w:num w:numId="10" w16cid:durableId="1364399538">
    <w:abstractNumId w:val="14"/>
  </w:num>
  <w:num w:numId="11" w16cid:durableId="1837960309">
    <w:abstractNumId w:val="12"/>
  </w:num>
  <w:num w:numId="12" w16cid:durableId="287013989">
    <w:abstractNumId w:val="23"/>
  </w:num>
  <w:num w:numId="13" w16cid:durableId="671682468">
    <w:abstractNumId w:val="23"/>
  </w:num>
  <w:num w:numId="14" w16cid:durableId="775634559">
    <w:abstractNumId w:val="23"/>
  </w:num>
  <w:num w:numId="15" w16cid:durableId="1105615552">
    <w:abstractNumId w:val="23"/>
  </w:num>
  <w:num w:numId="16" w16cid:durableId="920722898">
    <w:abstractNumId w:val="22"/>
  </w:num>
  <w:num w:numId="17" w16cid:durableId="1839075502">
    <w:abstractNumId w:val="23"/>
  </w:num>
  <w:num w:numId="18" w16cid:durableId="1608731452">
    <w:abstractNumId w:val="8"/>
  </w:num>
  <w:num w:numId="19" w16cid:durableId="1465151556">
    <w:abstractNumId w:val="5"/>
  </w:num>
  <w:num w:numId="20" w16cid:durableId="1196386131">
    <w:abstractNumId w:val="23"/>
  </w:num>
  <w:num w:numId="21" w16cid:durableId="1355693183">
    <w:abstractNumId w:val="10"/>
  </w:num>
  <w:num w:numId="22" w16cid:durableId="432407367">
    <w:abstractNumId w:val="25"/>
  </w:num>
  <w:num w:numId="23" w16cid:durableId="1355156480">
    <w:abstractNumId w:val="23"/>
  </w:num>
  <w:num w:numId="24" w16cid:durableId="1829202038">
    <w:abstractNumId w:val="20"/>
  </w:num>
  <w:num w:numId="25" w16cid:durableId="2090930047">
    <w:abstractNumId w:val="9"/>
  </w:num>
  <w:num w:numId="26" w16cid:durableId="2090426223">
    <w:abstractNumId w:val="28"/>
  </w:num>
  <w:num w:numId="27" w16cid:durableId="297951210">
    <w:abstractNumId w:val="7"/>
  </w:num>
  <w:num w:numId="28" w16cid:durableId="651638499">
    <w:abstractNumId w:val="18"/>
  </w:num>
  <w:num w:numId="29" w16cid:durableId="1479030300">
    <w:abstractNumId w:val="19"/>
  </w:num>
  <w:num w:numId="30" w16cid:durableId="1136558006">
    <w:abstractNumId w:val="13"/>
  </w:num>
  <w:num w:numId="31" w16cid:durableId="256790320">
    <w:abstractNumId w:val="23"/>
  </w:num>
  <w:num w:numId="32" w16cid:durableId="1972784384">
    <w:abstractNumId w:val="23"/>
  </w:num>
  <w:num w:numId="33" w16cid:durableId="174924737">
    <w:abstractNumId w:val="23"/>
  </w:num>
  <w:num w:numId="34" w16cid:durableId="180171180">
    <w:abstractNumId w:val="4"/>
  </w:num>
  <w:num w:numId="35" w16cid:durableId="1510875868">
    <w:abstractNumId w:val="23"/>
  </w:num>
  <w:num w:numId="36" w16cid:durableId="1024207883">
    <w:abstractNumId w:val="29"/>
  </w:num>
  <w:num w:numId="37" w16cid:durableId="1146164217">
    <w:abstractNumId w:val="15"/>
  </w:num>
  <w:num w:numId="38" w16cid:durableId="1186018346">
    <w:abstractNumId w:val="11"/>
  </w:num>
  <w:num w:numId="39" w16cid:durableId="407967722">
    <w:abstractNumId w:val="26"/>
  </w:num>
  <w:num w:numId="40" w16cid:durableId="2090998236">
    <w:abstractNumId w:val="27"/>
  </w:num>
  <w:num w:numId="41" w16cid:durableId="1424763637">
    <w:abstractNumId w:val="16"/>
  </w:num>
  <w:num w:numId="42" w16cid:durableId="908074879">
    <w:abstractNumId w:val="17"/>
  </w:num>
  <w:num w:numId="43" w16cid:durableId="291980806">
    <w:abstractNumId w:val="3"/>
  </w:num>
  <w:num w:numId="44" w16cid:durableId="1403679408">
    <w:abstractNumId w:val="1"/>
  </w:num>
  <w:num w:numId="45" w16cid:durableId="704134912">
    <w:abstractNumId w:val="0"/>
  </w:num>
  <w:num w:numId="46" w16cid:durableId="156776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29"/>
    <w:rsid w:val="00001119"/>
    <w:rsid w:val="00002637"/>
    <w:rsid w:val="00002A28"/>
    <w:rsid w:val="00003715"/>
    <w:rsid w:val="0000575F"/>
    <w:rsid w:val="00007304"/>
    <w:rsid w:val="00007A12"/>
    <w:rsid w:val="00007F39"/>
    <w:rsid w:val="00010BE0"/>
    <w:rsid w:val="0001241A"/>
    <w:rsid w:val="000141A8"/>
    <w:rsid w:val="00020C44"/>
    <w:rsid w:val="00027773"/>
    <w:rsid w:val="0003005F"/>
    <w:rsid w:val="00033FF6"/>
    <w:rsid w:val="00034418"/>
    <w:rsid w:val="000349B6"/>
    <w:rsid w:val="00036916"/>
    <w:rsid w:val="000403D2"/>
    <w:rsid w:val="00041A29"/>
    <w:rsid w:val="00042408"/>
    <w:rsid w:val="0004747F"/>
    <w:rsid w:val="000478E6"/>
    <w:rsid w:val="00047C7F"/>
    <w:rsid w:val="00050233"/>
    <w:rsid w:val="000513F0"/>
    <w:rsid w:val="00054247"/>
    <w:rsid w:val="0005652F"/>
    <w:rsid w:val="000577A8"/>
    <w:rsid w:val="00064DD0"/>
    <w:rsid w:val="00065E9E"/>
    <w:rsid w:val="00067170"/>
    <w:rsid w:val="00070D84"/>
    <w:rsid w:val="00076886"/>
    <w:rsid w:val="000803AF"/>
    <w:rsid w:val="00082F16"/>
    <w:rsid w:val="00085DB9"/>
    <w:rsid w:val="000861FA"/>
    <w:rsid w:val="0008665D"/>
    <w:rsid w:val="000869EC"/>
    <w:rsid w:val="00086B94"/>
    <w:rsid w:val="00090587"/>
    <w:rsid w:val="00092AB4"/>
    <w:rsid w:val="000B02C0"/>
    <w:rsid w:val="000B1713"/>
    <w:rsid w:val="000B35CA"/>
    <w:rsid w:val="000B60F5"/>
    <w:rsid w:val="000B7584"/>
    <w:rsid w:val="000C04EB"/>
    <w:rsid w:val="000C08FC"/>
    <w:rsid w:val="000C6B18"/>
    <w:rsid w:val="000D0235"/>
    <w:rsid w:val="000D2B29"/>
    <w:rsid w:val="000D3B9A"/>
    <w:rsid w:val="000D4A08"/>
    <w:rsid w:val="000D65FC"/>
    <w:rsid w:val="000D7328"/>
    <w:rsid w:val="000E04E2"/>
    <w:rsid w:val="000E14B4"/>
    <w:rsid w:val="000E2572"/>
    <w:rsid w:val="000E2E71"/>
    <w:rsid w:val="000E341F"/>
    <w:rsid w:val="000E3E15"/>
    <w:rsid w:val="000E5819"/>
    <w:rsid w:val="000E5DAD"/>
    <w:rsid w:val="000E6B56"/>
    <w:rsid w:val="000F00AE"/>
    <w:rsid w:val="000F0B7D"/>
    <w:rsid w:val="000F3043"/>
    <w:rsid w:val="000F3A88"/>
    <w:rsid w:val="000F4A97"/>
    <w:rsid w:val="000F4B7E"/>
    <w:rsid w:val="001018C8"/>
    <w:rsid w:val="001034A8"/>
    <w:rsid w:val="0010441A"/>
    <w:rsid w:val="00105335"/>
    <w:rsid w:val="00105E82"/>
    <w:rsid w:val="00105FB2"/>
    <w:rsid w:val="00106454"/>
    <w:rsid w:val="00110A3F"/>
    <w:rsid w:val="00110D61"/>
    <w:rsid w:val="00111517"/>
    <w:rsid w:val="0011153F"/>
    <w:rsid w:val="00114D8E"/>
    <w:rsid w:val="0012003A"/>
    <w:rsid w:val="0012301C"/>
    <w:rsid w:val="001257ED"/>
    <w:rsid w:val="00126099"/>
    <w:rsid w:val="00127055"/>
    <w:rsid w:val="00127466"/>
    <w:rsid w:val="001275B5"/>
    <w:rsid w:val="001275D1"/>
    <w:rsid w:val="001276F6"/>
    <w:rsid w:val="00130E4D"/>
    <w:rsid w:val="00133671"/>
    <w:rsid w:val="00134A0F"/>
    <w:rsid w:val="0013713F"/>
    <w:rsid w:val="00140154"/>
    <w:rsid w:val="00141C75"/>
    <w:rsid w:val="00142745"/>
    <w:rsid w:val="00142B3C"/>
    <w:rsid w:val="00143AFE"/>
    <w:rsid w:val="001450C4"/>
    <w:rsid w:val="00147134"/>
    <w:rsid w:val="00147239"/>
    <w:rsid w:val="0015169C"/>
    <w:rsid w:val="0015238D"/>
    <w:rsid w:val="0015382B"/>
    <w:rsid w:val="001541B5"/>
    <w:rsid w:val="001542B4"/>
    <w:rsid w:val="00154621"/>
    <w:rsid w:val="00156D23"/>
    <w:rsid w:val="00156EF8"/>
    <w:rsid w:val="00157C3A"/>
    <w:rsid w:val="001609D0"/>
    <w:rsid w:val="0016130E"/>
    <w:rsid w:val="00163092"/>
    <w:rsid w:val="00164C4A"/>
    <w:rsid w:val="00167855"/>
    <w:rsid w:val="001705B0"/>
    <w:rsid w:val="00172A48"/>
    <w:rsid w:val="00176D21"/>
    <w:rsid w:val="001775D0"/>
    <w:rsid w:val="00180C9C"/>
    <w:rsid w:val="00183250"/>
    <w:rsid w:val="00186698"/>
    <w:rsid w:val="00194B2E"/>
    <w:rsid w:val="001960C6"/>
    <w:rsid w:val="001A2177"/>
    <w:rsid w:val="001A628D"/>
    <w:rsid w:val="001A6F8E"/>
    <w:rsid w:val="001A71C5"/>
    <w:rsid w:val="001B0669"/>
    <w:rsid w:val="001B2AA7"/>
    <w:rsid w:val="001B2BF2"/>
    <w:rsid w:val="001B35B1"/>
    <w:rsid w:val="001B3D3A"/>
    <w:rsid w:val="001B5C4E"/>
    <w:rsid w:val="001B6554"/>
    <w:rsid w:val="001C1DA7"/>
    <w:rsid w:val="001C3584"/>
    <w:rsid w:val="001C4649"/>
    <w:rsid w:val="001C4E6E"/>
    <w:rsid w:val="001D1048"/>
    <w:rsid w:val="001D241A"/>
    <w:rsid w:val="001D399A"/>
    <w:rsid w:val="001D3CD2"/>
    <w:rsid w:val="001E03D3"/>
    <w:rsid w:val="001E2474"/>
    <w:rsid w:val="001E3C0B"/>
    <w:rsid w:val="001E404C"/>
    <w:rsid w:val="001E53B8"/>
    <w:rsid w:val="001E5A3F"/>
    <w:rsid w:val="001E5EE4"/>
    <w:rsid w:val="001E79BC"/>
    <w:rsid w:val="001F1563"/>
    <w:rsid w:val="001F2655"/>
    <w:rsid w:val="001F7028"/>
    <w:rsid w:val="00200C48"/>
    <w:rsid w:val="00202897"/>
    <w:rsid w:val="00205030"/>
    <w:rsid w:val="0020552F"/>
    <w:rsid w:val="00207A59"/>
    <w:rsid w:val="00207FB7"/>
    <w:rsid w:val="00210889"/>
    <w:rsid w:val="00213CC1"/>
    <w:rsid w:val="002151E7"/>
    <w:rsid w:val="002165ED"/>
    <w:rsid w:val="00216946"/>
    <w:rsid w:val="0021701E"/>
    <w:rsid w:val="0021785C"/>
    <w:rsid w:val="00220523"/>
    <w:rsid w:val="00221503"/>
    <w:rsid w:val="0022390B"/>
    <w:rsid w:val="00224439"/>
    <w:rsid w:val="00224C94"/>
    <w:rsid w:val="0022738C"/>
    <w:rsid w:val="00227B6A"/>
    <w:rsid w:val="00230A4B"/>
    <w:rsid w:val="0023191B"/>
    <w:rsid w:val="0023598D"/>
    <w:rsid w:val="00235F15"/>
    <w:rsid w:val="0023643C"/>
    <w:rsid w:val="002365F7"/>
    <w:rsid w:val="00236FD6"/>
    <w:rsid w:val="00236FE5"/>
    <w:rsid w:val="0023738B"/>
    <w:rsid w:val="00237DC1"/>
    <w:rsid w:val="0024028E"/>
    <w:rsid w:val="00250287"/>
    <w:rsid w:val="00252DB0"/>
    <w:rsid w:val="002537E9"/>
    <w:rsid w:val="002542C0"/>
    <w:rsid w:val="00255B3F"/>
    <w:rsid w:val="00256211"/>
    <w:rsid w:val="00260D30"/>
    <w:rsid w:val="00261A44"/>
    <w:rsid w:val="00267D53"/>
    <w:rsid w:val="00270320"/>
    <w:rsid w:val="00271911"/>
    <w:rsid w:val="00273307"/>
    <w:rsid w:val="00273878"/>
    <w:rsid w:val="00274C15"/>
    <w:rsid w:val="002804C8"/>
    <w:rsid w:val="00281A80"/>
    <w:rsid w:val="002949A3"/>
    <w:rsid w:val="002975CE"/>
    <w:rsid w:val="002A0A24"/>
    <w:rsid w:val="002A280D"/>
    <w:rsid w:val="002A2E62"/>
    <w:rsid w:val="002A3F93"/>
    <w:rsid w:val="002A4376"/>
    <w:rsid w:val="002A57A4"/>
    <w:rsid w:val="002B1D3A"/>
    <w:rsid w:val="002B2897"/>
    <w:rsid w:val="002B5B28"/>
    <w:rsid w:val="002B6C93"/>
    <w:rsid w:val="002C228A"/>
    <w:rsid w:val="002C241C"/>
    <w:rsid w:val="002C42E9"/>
    <w:rsid w:val="002C5A53"/>
    <w:rsid w:val="002D10F2"/>
    <w:rsid w:val="002D2E7C"/>
    <w:rsid w:val="002D2E91"/>
    <w:rsid w:val="002D66A1"/>
    <w:rsid w:val="002D70D7"/>
    <w:rsid w:val="002D7592"/>
    <w:rsid w:val="002D7CA5"/>
    <w:rsid w:val="002E02DA"/>
    <w:rsid w:val="002E1DB2"/>
    <w:rsid w:val="002E501B"/>
    <w:rsid w:val="002E5A8B"/>
    <w:rsid w:val="002E7F04"/>
    <w:rsid w:val="002F12FD"/>
    <w:rsid w:val="002F4403"/>
    <w:rsid w:val="002F5E13"/>
    <w:rsid w:val="002F69DB"/>
    <w:rsid w:val="002F7A13"/>
    <w:rsid w:val="003002F6"/>
    <w:rsid w:val="00300E84"/>
    <w:rsid w:val="0030230F"/>
    <w:rsid w:val="00303311"/>
    <w:rsid w:val="003051B6"/>
    <w:rsid w:val="003061EA"/>
    <w:rsid w:val="00307E2B"/>
    <w:rsid w:val="0031017E"/>
    <w:rsid w:val="003102F0"/>
    <w:rsid w:val="00310557"/>
    <w:rsid w:val="00310838"/>
    <w:rsid w:val="003108F8"/>
    <w:rsid w:val="00310AF5"/>
    <w:rsid w:val="0031237D"/>
    <w:rsid w:val="00312D4B"/>
    <w:rsid w:val="003149D8"/>
    <w:rsid w:val="003214BC"/>
    <w:rsid w:val="003217B9"/>
    <w:rsid w:val="00322647"/>
    <w:rsid w:val="00325AF9"/>
    <w:rsid w:val="0033402B"/>
    <w:rsid w:val="00334337"/>
    <w:rsid w:val="00334F5A"/>
    <w:rsid w:val="00337293"/>
    <w:rsid w:val="003474DD"/>
    <w:rsid w:val="003478DD"/>
    <w:rsid w:val="00347B5C"/>
    <w:rsid w:val="00350480"/>
    <w:rsid w:val="0035049A"/>
    <w:rsid w:val="0035049F"/>
    <w:rsid w:val="0035187C"/>
    <w:rsid w:val="0035724E"/>
    <w:rsid w:val="0036324D"/>
    <w:rsid w:val="0036370C"/>
    <w:rsid w:val="003638F9"/>
    <w:rsid w:val="00363EB4"/>
    <w:rsid w:val="003650A6"/>
    <w:rsid w:val="00372F9D"/>
    <w:rsid w:val="003739E8"/>
    <w:rsid w:val="00374BBC"/>
    <w:rsid w:val="00374EA4"/>
    <w:rsid w:val="0037529E"/>
    <w:rsid w:val="003768DF"/>
    <w:rsid w:val="003802DC"/>
    <w:rsid w:val="0038031F"/>
    <w:rsid w:val="00381807"/>
    <w:rsid w:val="00385EF5"/>
    <w:rsid w:val="00386539"/>
    <w:rsid w:val="003918DF"/>
    <w:rsid w:val="00391F3E"/>
    <w:rsid w:val="00393126"/>
    <w:rsid w:val="00396B98"/>
    <w:rsid w:val="00397A8F"/>
    <w:rsid w:val="003A157B"/>
    <w:rsid w:val="003A2991"/>
    <w:rsid w:val="003A7933"/>
    <w:rsid w:val="003A7B79"/>
    <w:rsid w:val="003B20E2"/>
    <w:rsid w:val="003B3D36"/>
    <w:rsid w:val="003B46D8"/>
    <w:rsid w:val="003B55A0"/>
    <w:rsid w:val="003B69ED"/>
    <w:rsid w:val="003C08C1"/>
    <w:rsid w:val="003C190D"/>
    <w:rsid w:val="003C3211"/>
    <w:rsid w:val="003C3BE4"/>
    <w:rsid w:val="003C43FB"/>
    <w:rsid w:val="003C5849"/>
    <w:rsid w:val="003C638C"/>
    <w:rsid w:val="003C68A4"/>
    <w:rsid w:val="003C74A4"/>
    <w:rsid w:val="003D16D4"/>
    <w:rsid w:val="003D2B09"/>
    <w:rsid w:val="003D4EBF"/>
    <w:rsid w:val="003D627F"/>
    <w:rsid w:val="003D6542"/>
    <w:rsid w:val="003D7943"/>
    <w:rsid w:val="003E2D7B"/>
    <w:rsid w:val="003E5591"/>
    <w:rsid w:val="003E5E3B"/>
    <w:rsid w:val="003F0E7F"/>
    <w:rsid w:val="003F1EF8"/>
    <w:rsid w:val="003F75DA"/>
    <w:rsid w:val="00403F62"/>
    <w:rsid w:val="004075BB"/>
    <w:rsid w:val="00411A42"/>
    <w:rsid w:val="00411A82"/>
    <w:rsid w:val="00412FEA"/>
    <w:rsid w:val="004208C8"/>
    <w:rsid w:val="00421313"/>
    <w:rsid w:val="00421508"/>
    <w:rsid w:val="00421A1E"/>
    <w:rsid w:val="0042231C"/>
    <w:rsid w:val="00422B7F"/>
    <w:rsid w:val="00424F59"/>
    <w:rsid w:val="00435248"/>
    <w:rsid w:val="00437978"/>
    <w:rsid w:val="0044242B"/>
    <w:rsid w:val="00442976"/>
    <w:rsid w:val="00444D32"/>
    <w:rsid w:val="00445E4B"/>
    <w:rsid w:val="00446306"/>
    <w:rsid w:val="00446CB7"/>
    <w:rsid w:val="00451015"/>
    <w:rsid w:val="00451699"/>
    <w:rsid w:val="00451AAC"/>
    <w:rsid w:val="00453287"/>
    <w:rsid w:val="00456356"/>
    <w:rsid w:val="004563D0"/>
    <w:rsid w:val="004606BB"/>
    <w:rsid w:val="004659E0"/>
    <w:rsid w:val="00466CDD"/>
    <w:rsid w:val="004670DA"/>
    <w:rsid w:val="00470A0A"/>
    <w:rsid w:val="00472116"/>
    <w:rsid w:val="004743EF"/>
    <w:rsid w:val="004745FE"/>
    <w:rsid w:val="0047718A"/>
    <w:rsid w:val="0047768B"/>
    <w:rsid w:val="004805B6"/>
    <w:rsid w:val="0048200F"/>
    <w:rsid w:val="004829E7"/>
    <w:rsid w:val="00485097"/>
    <w:rsid w:val="0048724B"/>
    <w:rsid w:val="0048750B"/>
    <w:rsid w:val="004907BB"/>
    <w:rsid w:val="0049269F"/>
    <w:rsid w:val="00494EB8"/>
    <w:rsid w:val="00496EB1"/>
    <w:rsid w:val="004971B9"/>
    <w:rsid w:val="004A08A1"/>
    <w:rsid w:val="004A12C2"/>
    <w:rsid w:val="004A19C7"/>
    <w:rsid w:val="004A28C5"/>
    <w:rsid w:val="004A2B6A"/>
    <w:rsid w:val="004A2D45"/>
    <w:rsid w:val="004A78C0"/>
    <w:rsid w:val="004B27FB"/>
    <w:rsid w:val="004B39B7"/>
    <w:rsid w:val="004B57DE"/>
    <w:rsid w:val="004B5CF4"/>
    <w:rsid w:val="004C06D8"/>
    <w:rsid w:val="004C0B89"/>
    <w:rsid w:val="004C3680"/>
    <w:rsid w:val="004C4674"/>
    <w:rsid w:val="004C63D7"/>
    <w:rsid w:val="004C6A34"/>
    <w:rsid w:val="004D107A"/>
    <w:rsid w:val="004D1E38"/>
    <w:rsid w:val="004D2809"/>
    <w:rsid w:val="004D32C0"/>
    <w:rsid w:val="004D3892"/>
    <w:rsid w:val="004D53EB"/>
    <w:rsid w:val="004E1825"/>
    <w:rsid w:val="004E24DC"/>
    <w:rsid w:val="004E2DFB"/>
    <w:rsid w:val="004E4B5B"/>
    <w:rsid w:val="004E5243"/>
    <w:rsid w:val="004E542C"/>
    <w:rsid w:val="004E69DE"/>
    <w:rsid w:val="004F253D"/>
    <w:rsid w:val="004F43D1"/>
    <w:rsid w:val="004F509A"/>
    <w:rsid w:val="004F62C1"/>
    <w:rsid w:val="00500C2D"/>
    <w:rsid w:val="0050107C"/>
    <w:rsid w:val="0050321A"/>
    <w:rsid w:val="0050365B"/>
    <w:rsid w:val="00505FAE"/>
    <w:rsid w:val="005077E7"/>
    <w:rsid w:val="0051029F"/>
    <w:rsid w:val="00511A94"/>
    <w:rsid w:val="00512193"/>
    <w:rsid w:val="00513C0F"/>
    <w:rsid w:val="005144F4"/>
    <w:rsid w:val="00514588"/>
    <w:rsid w:val="00514A88"/>
    <w:rsid w:val="0051698C"/>
    <w:rsid w:val="005170BB"/>
    <w:rsid w:val="00521471"/>
    <w:rsid w:val="005233C4"/>
    <w:rsid w:val="005240AE"/>
    <w:rsid w:val="00524D48"/>
    <w:rsid w:val="00524E1F"/>
    <w:rsid w:val="00526682"/>
    <w:rsid w:val="00530375"/>
    <w:rsid w:val="005356A2"/>
    <w:rsid w:val="005363EB"/>
    <w:rsid w:val="00537455"/>
    <w:rsid w:val="00540A60"/>
    <w:rsid w:val="005422C7"/>
    <w:rsid w:val="0054616D"/>
    <w:rsid w:val="00546FF0"/>
    <w:rsid w:val="00547519"/>
    <w:rsid w:val="00551BF9"/>
    <w:rsid w:val="005524D9"/>
    <w:rsid w:val="005533AF"/>
    <w:rsid w:val="00554E00"/>
    <w:rsid w:val="005559AB"/>
    <w:rsid w:val="005560BA"/>
    <w:rsid w:val="005571EA"/>
    <w:rsid w:val="0056001B"/>
    <w:rsid w:val="00560BDD"/>
    <w:rsid w:val="00562E05"/>
    <w:rsid w:val="005651E6"/>
    <w:rsid w:val="00571930"/>
    <w:rsid w:val="0057220C"/>
    <w:rsid w:val="005737EF"/>
    <w:rsid w:val="00575095"/>
    <w:rsid w:val="00576E89"/>
    <w:rsid w:val="00577CE5"/>
    <w:rsid w:val="00577DEA"/>
    <w:rsid w:val="00582366"/>
    <w:rsid w:val="00584117"/>
    <w:rsid w:val="00584433"/>
    <w:rsid w:val="00584C5C"/>
    <w:rsid w:val="00586496"/>
    <w:rsid w:val="00590C65"/>
    <w:rsid w:val="005918EB"/>
    <w:rsid w:val="00592C6E"/>
    <w:rsid w:val="00593BC1"/>
    <w:rsid w:val="00594949"/>
    <w:rsid w:val="00595176"/>
    <w:rsid w:val="005978FB"/>
    <w:rsid w:val="005A24DA"/>
    <w:rsid w:val="005A5775"/>
    <w:rsid w:val="005B2D71"/>
    <w:rsid w:val="005B36A9"/>
    <w:rsid w:val="005B52D2"/>
    <w:rsid w:val="005C2481"/>
    <w:rsid w:val="005C3C59"/>
    <w:rsid w:val="005C5F0F"/>
    <w:rsid w:val="005C6991"/>
    <w:rsid w:val="005D1B35"/>
    <w:rsid w:val="005D2F3C"/>
    <w:rsid w:val="005D3F3C"/>
    <w:rsid w:val="005D5BAB"/>
    <w:rsid w:val="005E388E"/>
    <w:rsid w:val="005E5717"/>
    <w:rsid w:val="005E62BE"/>
    <w:rsid w:val="005E73F7"/>
    <w:rsid w:val="005F1336"/>
    <w:rsid w:val="005F16AC"/>
    <w:rsid w:val="005F1B8B"/>
    <w:rsid w:val="005F3715"/>
    <w:rsid w:val="005F4992"/>
    <w:rsid w:val="005F4D99"/>
    <w:rsid w:val="005F5E2E"/>
    <w:rsid w:val="005F6E2D"/>
    <w:rsid w:val="005F7D61"/>
    <w:rsid w:val="006003F5"/>
    <w:rsid w:val="00600DD7"/>
    <w:rsid w:val="00601150"/>
    <w:rsid w:val="00602715"/>
    <w:rsid w:val="0060516F"/>
    <w:rsid w:val="006069DB"/>
    <w:rsid w:val="00612757"/>
    <w:rsid w:val="00613292"/>
    <w:rsid w:val="006135AD"/>
    <w:rsid w:val="00613781"/>
    <w:rsid w:val="0061628B"/>
    <w:rsid w:val="006212D2"/>
    <w:rsid w:val="00621945"/>
    <w:rsid w:val="00624939"/>
    <w:rsid w:val="00625633"/>
    <w:rsid w:val="00625CD0"/>
    <w:rsid w:val="0062631E"/>
    <w:rsid w:val="006272F9"/>
    <w:rsid w:val="00632145"/>
    <w:rsid w:val="006343D4"/>
    <w:rsid w:val="00636F07"/>
    <w:rsid w:val="006404E8"/>
    <w:rsid w:val="006427C8"/>
    <w:rsid w:val="006429E1"/>
    <w:rsid w:val="00642E52"/>
    <w:rsid w:val="00647B84"/>
    <w:rsid w:val="00647D44"/>
    <w:rsid w:val="00650351"/>
    <w:rsid w:val="00651A16"/>
    <w:rsid w:val="00651AF2"/>
    <w:rsid w:val="00652241"/>
    <w:rsid w:val="0065673B"/>
    <w:rsid w:val="00656A58"/>
    <w:rsid w:val="00666456"/>
    <w:rsid w:val="00666A22"/>
    <w:rsid w:val="006752D7"/>
    <w:rsid w:val="006757B6"/>
    <w:rsid w:val="00675A41"/>
    <w:rsid w:val="00676503"/>
    <w:rsid w:val="00676DBC"/>
    <w:rsid w:val="00677CE3"/>
    <w:rsid w:val="00680998"/>
    <w:rsid w:val="006816CF"/>
    <w:rsid w:val="00681BFD"/>
    <w:rsid w:val="00682370"/>
    <w:rsid w:val="00683D82"/>
    <w:rsid w:val="00684AE1"/>
    <w:rsid w:val="00684FFD"/>
    <w:rsid w:val="00685F49"/>
    <w:rsid w:val="00686CB4"/>
    <w:rsid w:val="006907A9"/>
    <w:rsid w:val="00691383"/>
    <w:rsid w:val="0069234A"/>
    <w:rsid w:val="006937BC"/>
    <w:rsid w:val="00696546"/>
    <w:rsid w:val="00696B1C"/>
    <w:rsid w:val="00697428"/>
    <w:rsid w:val="0069743F"/>
    <w:rsid w:val="006A1596"/>
    <w:rsid w:val="006A30D8"/>
    <w:rsid w:val="006A4579"/>
    <w:rsid w:val="006B0698"/>
    <w:rsid w:val="006B1199"/>
    <w:rsid w:val="006B1806"/>
    <w:rsid w:val="006B1A21"/>
    <w:rsid w:val="006B1B67"/>
    <w:rsid w:val="006B3F26"/>
    <w:rsid w:val="006C1D8B"/>
    <w:rsid w:val="006C1F59"/>
    <w:rsid w:val="006C3A42"/>
    <w:rsid w:val="006C4397"/>
    <w:rsid w:val="006C4F50"/>
    <w:rsid w:val="006C537C"/>
    <w:rsid w:val="006C7164"/>
    <w:rsid w:val="006D1682"/>
    <w:rsid w:val="006D1A32"/>
    <w:rsid w:val="006D21B6"/>
    <w:rsid w:val="006D662F"/>
    <w:rsid w:val="006D741F"/>
    <w:rsid w:val="006E025D"/>
    <w:rsid w:val="006E112C"/>
    <w:rsid w:val="006E34AD"/>
    <w:rsid w:val="006E4323"/>
    <w:rsid w:val="006E51BD"/>
    <w:rsid w:val="006E69E5"/>
    <w:rsid w:val="006F0065"/>
    <w:rsid w:val="006F3273"/>
    <w:rsid w:val="006F3905"/>
    <w:rsid w:val="006F5544"/>
    <w:rsid w:val="006F58B3"/>
    <w:rsid w:val="006F5A7B"/>
    <w:rsid w:val="006F63E1"/>
    <w:rsid w:val="006F6925"/>
    <w:rsid w:val="006F7297"/>
    <w:rsid w:val="0070060A"/>
    <w:rsid w:val="00701271"/>
    <w:rsid w:val="007030B6"/>
    <w:rsid w:val="00703C3C"/>
    <w:rsid w:val="007065B7"/>
    <w:rsid w:val="00707B8E"/>
    <w:rsid w:val="00710255"/>
    <w:rsid w:val="007104B2"/>
    <w:rsid w:val="00710BD8"/>
    <w:rsid w:val="00711DA7"/>
    <w:rsid w:val="00713AB4"/>
    <w:rsid w:val="00716FE9"/>
    <w:rsid w:val="00717C4B"/>
    <w:rsid w:val="00717E30"/>
    <w:rsid w:val="007227B2"/>
    <w:rsid w:val="00722EB4"/>
    <w:rsid w:val="0072528D"/>
    <w:rsid w:val="007266FE"/>
    <w:rsid w:val="007278B4"/>
    <w:rsid w:val="00730217"/>
    <w:rsid w:val="0073358C"/>
    <w:rsid w:val="007355E8"/>
    <w:rsid w:val="00736C45"/>
    <w:rsid w:val="007375E7"/>
    <w:rsid w:val="00737D49"/>
    <w:rsid w:val="007421DC"/>
    <w:rsid w:val="00743014"/>
    <w:rsid w:val="00743D78"/>
    <w:rsid w:val="00746016"/>
    <w:rsid w:val="00746767"/>
    <w:rsid w:val="007523A7"/>
    <w:rsid w:val="00752993"/>
    <w:rsid w:val="00754576"/>
    <w:rsid w:val="007570FB"/>
    <w:rsid w:val="00760D7F"/>
    <w:rsid w:val="00761077"/>
    <w:rsid w:val="00761173"/>
    <w:rsid w:val="007612EC"/>
    <w:rsid w:val="007620C3"/>
    <w:rsid w:val="00764715"/>
    <w:rsid w:val="00765B50"/>
    <w:rsid w:val="007674A1"/>
    <w:rsid w:val="007674ED"/>
    <w:rsid w:val="0076780D"/>
    <w:rsid w:val="00772D0B"/>
    <w:rsid w:val="00772D3D"/>
    <w:rsid w:val="00773D05"/>
    <w:rsid w:val="007750FD"/>
    <w:rsid w:val="00775259"/>
    <w:rsid w:val="00776B73"/>
    <w:rsid w:val="007778D4"/>
    <w:rsid w:val="007800E3"/>
    <w:rsid w:val="00781AB9"/>
    <w:rsid w:val="00781EB1"/>
    <w:rsid w:val="00782BA3"/>
    <w:rsid w:val="0078380A"/>
    <w:rsid w:val="00783848"/>
    <w:rsid w:val="007862E2"/>
    <w:rsid w:val="007864D1"/>
    <w:rsid w:val="007873A2"/>
    <w:rsid w:val="00787884"/>
    <w:rsid w:val="00790A83"/>
    <w:rsid w:val="00794774"/>
    <w:rsid w:val="007957D0"/>
    <w:rsid w:val="00796C7F"/>
    <w:rsid w:val="007A062C"/>
    <w:rsid w:val="007A3AB0"/>
    <w:rsid w:val="007A48C3"/>
    <w:rsid w:val="007A7E07"/>
    <w:rsid w:val="007B4828"/>
    <w:rsid w:val="007B6C3A"/>
    <w:rsid w:val="007C2200"/>
    <w:rsid w:val="007C269F"/>
    <w:rsid w:val="007C2D62"/>
    <w:rsid w:val="007C5D49"/>
    <w:rsid w:val="007C78A7"/>
    <w:rsid w:val="007C7ABE"/>
    <w:rsid w:val="007D14CC"/>
    <w:rsid w:val="007D182C"/>
    <w:rsid w:val="007D20EE"/>
    <w:rsid w:val="007D3EE8"/>
    <w:rsid w:val="007D61A3"/>
    <w:rsid w:val="007D6526"/>
    <w:rsid w:val="007E2547"/>
    <w:rsid w:val="007E2885"/>
    <w:rsid w:val="007E2D95"/>
    <w:rsid w:val="007E64EB"/>
    <w:rsid w:val="007F0291"/>
    <w:rsid w:val="007F4715"/>
    <w:rsid w:val="007F64B2"/>
    <w:rsid w:val="007F72E9"/>
    <w:rsid w:val="008009C5"/>
    <w:rsid w:val="00801003"/>
    <w:rsid w:val="0080278E"/>
    <w:rsid w:val="008037F4"/>
    <w:rsid w:val="00804374"/>
    <w:rsid w:val="00805974"/>
    <w:rsid w:val="008065B1"/>
    <w:rsid w:val="008076BC"/>
    <w:rsid w:val="00807ECD"/>
    <w:rsid w:val="0081000E"/>
    <w:rsid w:val="00812F84"/>
    <w:rsid w:val="00813C61"/>
    <w:rsid w:val="008213B0"/>
    <w:rsid w:val="00824E58"/>
    <w:rsid w:val="00826D1C"/>
    <w:rsid w:val="00827858"/>
    <w:rsid w:val="00827E08"/>
    <w:rsid w:val="0083078B"/>
    <w:rsid w:val="00832281"/>
    <w:rsid w:val="00832CF0"/>
    <w:rsid w:val="0083336C"/>
    <w:rsid w:val="008346D3"/>
    <w:rsid w:val="008375ED"/>
    <w:rsid w:val="0084094C"/>
    <w:rsid w:val="008417C3"/>
    <w:rsid w:val="0084607C"/>
    <w:rsid w:val="008539D2"/>
    <w:rsid w:val="00855AC9"/>
    <w:rsid w:val="00857310"/>
    <w:rsid w:val="008603C8"/>
    <w:rsid w:val="00860BA1"/>
    <w:rsid w:val="00863A03"/>
    <w:rsid w:val="00864837"/>
    <w:rsid w:val="008706E7"/>
    <w:rsid w:val="008711D5"/>
    <w:rsid w:val="008725CD"/>
    <w:rsid w:val="00872BA0"/>
    <w:rsid w:val="00874142"/>
    <w:rsid w:val="00875B40"/>
    <w:rsid w:val="008800FE"/>
    <w:rsid w:val="00882950"/>
    <w:rsid w:val="00882F06"/>
    <w:rsid w:val="00886124"/>
    <w:rsid w:val="00886B3D"/>
    <w:rsid w:val="00886D6B"/>
    <w:rsid w:val="00890195"/>
    <w:rsid w:val="00890464"/>
    <w:rsid w:val="008909CA"/>
    <w:rsid w:val="0089189E"/>
    <w:rsid w:val="008932F2"/>
    <w:rsid w:val="008942E5"/>
    <w:rsid w:val="0089444B"/>
    <w:rsid w:val="0089500C"/>
    <w:rsid w:val="00897667"/>
    <w:rsid w:val="008A02D7"/>
    <w:rsid w:val="008A16BD"/>
    <w:rsid w:val="008A65F8"/>
    <w:rsid w:val="008B19C6"/>
    <w:rsid w:val="008B1C17"/>
    <w:rsid w:val="008B21D9"/>
    <w:rsid w:val="008B22A7"/>
    <w:rsid w:val="008B33E3"/>
    <w:rsid w:val="008B38B0"/>
    <w:rsid w:val="008B455D"/>
    <w:rsid w:val="008B46EA"/>
    <w:rsid w:val="008B4C1E"/>
    <w:rsid w:val="008B4FF9"/>
    <w:rsid w:val="008B5D98"/>
    <w:rsid w:val="008B5D99"/>
    <w:rsid w:val="008B61B8"/>
    <w:rsid w:val="008C1F10"/>
    <w:rsid w:val="008C4389"/>
    <w:rsid w:val="008D215F"/>
    <w:rsid w:val="008D49DB"/>
    <w:rsid w:val="008D4F12"/>
    <w:rsid w:val="008D62AD"/>
    <w:rsid w:val="008D6B3F"/>
    <w:rsid w:val="008E0737"/>
    <w:rsid w:val="008E2CEB"/>
    <w:rsid w:val="008E59A2"/>
    <w:rsid w:val="008E67FF"/>
    <w:rsid w:val="008E7441"/>
    <w:rsid w:val="008F00CE"/>
    <w:rsid w:val="008F252A"/>
    <w:rsid w:val="008F3F97"/>
    <w:rsid w:val="008F4034"/>
    <w:rsid w:val="008F5881"/>
    <w:rsid w:val="008F5F65"/>
    <w:rsid w:val="008F6404"/>
    <w:rsid w:val="008F6BA5"/>
    <w:rsid w:val="009004AE"/>
    <w:rsid w:val="00901CA4"/>
    <w:rsid w:val="00901D48"/>
    <w:rsid w:val="00901E2C"/>
    <w:rsid w:val="00902535"/>
    <w:rsid w:val="0090390D"/>
    <w:rsid w:val="00903922"/>
    <w:rsid w:val="0090708F"/>
    <w:rsid w:val="00907327"/>
    <w:rsid w:val="009105A3"/>
    <w:rsid w:val="0091406C"/>
    <w:rsid w:val="009142B5"/>
    <w:rsid w:val="00914741"/>
    <w:rsid w:val="00914C35"/>
    <w:rsid w:val="009224FC"/>
    <w:rsid w:val="00926CE6"/>
    <w:rsid w:val="00930754"/>
    <w:rsid w:val="00931176"/>
    <w:rsid w:val="00931E0B"/>
    <w:rsid w:val="00934EAB"/>
    <w:rsid w:val="009350E1"/>
    <w:rsid w:val="00937512"/>
    <w:rsid w:val="009403CB"/>
    <w:rsid w:val="00944AB1"/>
    <w:rsid w:val="009479E9"/>
    <w:rsid w:val="00950688"/>
    <w:rsid w:val="0095069C"/>
    <w:rsid w:val="0095240B"/>
    <w:rsid w:val="00952AAB"/>
    <w:rsid w:val="00955D7E"/>
    <w:rsid w:val="0095688E"/>
    <w:rsid w:val="00956EB4"/>
    <w:rsid w:val="00961271"/>
    <w:rsid w:val="00964237"/>
    <w:rsid w:val="00965896"/>
    <w:rsid w:val="00967ADF"/>
    <w:rsid w:val="00967F21"/>
    <w:rsid w:val="009710FA"/>
    <w:rsid w:val="00971BF6"/>
    <w:rsid w:val="00972B60"/>
    <w:rsid w:val="009736D6"/>
    <w:rsid w:val="00975FD4"/>
    <w:rsid w:val="0097727A"/>
    <w:rsid w:val="00980F24"/>
    <w:rsid w:val="009811BD"/>
    <w:rsid w:val="00983487"/>
    <w:rsid w:val="0098421C"/>
    <w:rsid w:val="00986795"/>
    <w:rsid w:val="00986E81"/>
    <w:rsid w:val="0098744D"/>
    <w:rsid w:val="0099183E"/>
    <w:rsid w:val="00995498"/>
    <w:rsid w:val="009A021C"/>
    <w:rsid w:val="009A0B20"/>
    <w:rsid w:val="009A3205"/>
    <w:rsid w:val="009A4882"/>
    <w:rsid w:val="009A68EC"/>
    <w:rsid w:val="009B468E"/>
    <w:rsid w:val="009C0603"/>
    <w:rsid w:val="009C24C9"/>
    <w:rsid w:val="009C5B82"/>
    <w:rsid w:val="009C607E"/>
    <w:rsid w:val="009C7446"/>
    <w:rsid w:val="009D003E"/>
    <w:rsid w:val="009D0C5F"/>
    <w:rsid w:val="009D57D8"/>
    <w:rsid w:val="009E287E"/>
    <w:rsid w:val="009E363D"/>
    <w:rsid w:val="009E4C71"/>
    <w:rsid w:val="009E61C4"/>
    <w:rsid w:val="009E6D5D"/>
    <w:rsid w:val="009F0117"/>
    <w:rsid w:val="009F16D8"/>
    <w:rsid w:val="009F5DCA"/>
    <w:rsid w:val="009F61D7"/>
    <w:rsid w:val="00A00019"/>
    <w:rsid w:val="00A02258"/>
    <w:rsid w:val="00A0296B"/>
    <w:rsid w:val="00A04883"/>
    <w:rsid w:val="00A07960"/>
    <w:rsid w:val="00A11C8D"/>
    <w:rsid w:val="00A12429"/>
    <w:rsid w:val="00A12D0D"/>
    <w:rsid w:val="00A13E1D"/>
    <w:rsid w:val="00A147A2"/>
    <w:rsid w:val="00A14967"/>
    <w:rsid w:val="00A14B9D"/>
    <w:rsid w:val="00A15367"/>
    <w:rsid w:val="00A15840"/>
    <w:rsid w:val="00A16C18"/>
    <w:rsid w:val="00A171BD"/>
    <w:rsid w:val="00A17CBA"/>
    <w:rsid w:val="00A201C8"/>
    <w:rsid w:val="00A2037B"/>
    <w:rsid w:val="00A228CE"/>
    <w:rsid w:val="00A24696"/>
    <w:rsid w:val="00A25195"/>
    <w:rsid w:val="00A25E80"/>
    <w:rsid w:val="00A278AC"/>
    <w:rsid w:val="00A27CE6"/>
    <w:rsid w:val="00A3061E"/>
    <w:rsid w:val="00A320C5"/>
    <w:rsid w:val="00A3535C"/>
    <w:rsid w:val="00A3649E"/>
    <w:rsid w:val="00A4226C"/>
    <w:rsid w:val="00A44422"/>
    <w:rsid w:val="00A459F9"/>
    <w:rsid w:val="00A46CDC"/>
    <w:rsid w:val="00A46F60"/>
    <w:rsid w:val="00A47E69"/>
    <w:rsid w:val="00A52CC5"/>
    <w:rsid w:val="00A532D9"/>
    <w:rsid w:val="00A53364"/>
    <w:rsid w:val="00A547C7"/>
    <w:rsid w:val="00A56599"/>
    <w:rsid w:val="00A56BDD"/>
    <w:rsid w:val="00A61800"/>
    <w:rsid w:val="00A61BD2"/>
    <w:rsid w:val="00A61D3C"/>
    <w:rsid w:val="00A62061"/>
    <w:rsid w:val="00A63917"/>
    <w:rsid w:val="00A63BCA"/>
    <w:rsid w:val="00A64F02"/>
    <w:rsid w:val="00A65583"/>
    <w:rsid w:val="00A663EF"/>
    <w:rsid w:val="00A66F0F"/>
    <w:rsid w:val="00A6721C"/>
    <w:rsid w:val="00A704F0"/>
    <w:rsid w:val="00A70BCB"/>
    <w:rsid w:val="00A71E3C"/>
    <w:rsid w:val="00A75080"/>
    <w:rsid w:val="00A7541A"/>
    <w:rsid w:val="00A754A9"/>
    <w:rsid w:val="00A807A3"/>
    <w:rsid w:val="00A8081C"/>
    <w:rsid w:val="00A81E82"/>
    <w:rsid w:val="00A831DB"/>
    <w:rsid w:val="00A837BA"/>
    <w:rsid w:val="00A83AA4"/>
    <w:rsid w:val="00A84098"/>
    <w:rsid w:val="00A861B9"/>
    <w:rsid w:val="00A906A5"/>
    <w:rsid w:val="00A92D08"/>
    <w:rsid w:val="00A92E55"/>
    <w:rsid w:val="00A94C7B"/>
    <w:rsid w:val="00A954C5"/>
    <w:rsid w:val="00A95DBF"/>
    <w:rsid w:val="00A96A19"/>
    <w:rsid w:val="00AA054A"/>
    <w:rsid w:val="00AA12B3"/>
    <w:rsid w:val="00AA3362"/>
    <w:rsid w:val="00AA4C1E"/>
    <w:rsid w:val="00AA4FD7"/>
    <w:rsid w:val="00AA6BB3"/>
    <w:rsid w:val="00AA7947"/>
    <w:rsid w:val="00AB4158"/>
    <w:rsid w:val="00AB4344"/>
    <w:rsid w:val="00AB4BA5"/>
    <w:rsid w:val="00AB5027"/>
    <w:rsid w:val="00AB5CEB"/>
    <w:rsid w:val="00AB6248"/>
    <w:rsid w:val="00AC0CFD"/>
    <w:rsid w:val="00AC27F2"/>
    <w:rsid w:val="00AC68A2"/>
    <w:rsid w:val="00AD0057"/>
    <w:rsid w:val="00AD08FA"/>
    <w:rsid w:val="00AD0DEE"/>
    <w:rsid w:val="00AD153C"/>
    <w:rsid w:val="00AD1766"/>
    <w:rsid w:val="00AD3246"/>
    <w:rsid w:val="00AD45E8"/>
    <w:rsid w:val="00AD5A1A"/>
    <w:rsid w:val="00AD5CEF"/>
    <w:rsid w:val="00AD6CC5"/>
    <w:rsid w:val="00AE03E6"/>
    <w:rsid w:val="00AE2342"/>
    <w:rsid w:val="00AE6ED8"/>
    <w:rsid w:val="00AF0133"/>
    <w:rsid w:val="00AF0B99"/>
    <w:rsid w:val="00AF1976"/>
    <w:rsid w:val="00AF1E38"/>
    <w:rsid w:val="00AF2AD1"/>
    <w:rsid w:val="00AF2EBD"/>
    <w:rsid w:val="00AF59D3"/>
    <w:rsid w:val="00AF5DD9"/>
    <w:rsid w:val="00B04D42"/>
    <w:rsid w:val="00B05DE0"/>
    <w:rsid w:val="00B100FB"/>
    <w:rsid w:val="00B10E88"/>
    <w:rsid w:val="00B12B7C"/>
    <w:rsid w:val="00B12EF9"/>
    <w:rsid w:val="00B13BA4"/>
    <w:rsid w:val="00B1476C"/>
    <w:rsid w:val="00B1573C"/>
    <w:rsid w:val="00B16A8C"/>
    <w:rsid w:val="00B17473"/>
    <w:rsid w:val="00B17734"/>
    <w:rsid w:val="00B1798D"/>
    <w:rsid w:val="00B201CB"/>
    <w:rsid w:val="00B20A43"/>
    <w:rsid w:val="00B23147"/>
    <w:rsid w:val="00B242D6"/>
    <w:rsid w:val="00B247EB"/>
    <w:rsid w:val="00B24A44"/>
    <w:rsid w:val="00B25CF0"/>
    <w:rsid w:val="00B26936"/>
    <w:rsid w:val="00B273B8"/>
    <w:rsid w:val="00B30401"/>
    <w:rsid w:val="00B31165"/>
    <w:rsid w:val="00B32C22"/>
    <w:rsid w:val="00B33681"/>
    <w:rsid w:val="00B34FA6"/>
    <w:rsid w:val="00B43B59"/>
    <w:rsid w:val="00B46638"/>
    <w:rsid w:val="00B47076"/>
    <w:rsid w:val="00B5150E"/>
    <w:rsid w:val="00B53A45"/>
    <w:rsid w:val="00B53A96"/>
    <w:rsid w:val="00B5520F"/>
    <w:rsid w:val="00B56C91"/>
    <w:rsid w:val="00B60228"/>
    <w:rsid w:val="00B619E2"/>
    <w:rsid w:val="00B61F3C"/>
    <w:rsid w:val="00B62B9E"/>
    <w:rsid w:val="00B63FCA"/>
    <w:rsid w:val="00B64BCF"/>
    <w:rsid w:val="00B66301"/>
    <w:rsid w:val="00B66522"/>
    <w:rsid w:val="00B666E8"/>
    <w:rsid w:val="00B66DF8"/>
    <w:rsid w:val="00B6754F"/>
    <w:rsid w:val="00B70AB9"/>
    <w:rsid w:val="00B72E19"/>
    <w:rsid w:val="00B740F0"/>
    <w:rsid w:val="00B74146"/>
    <w:rsid w:val="00B80163"/>
    <w:rsid w:val="00B81E94"/>
    <w:rsid w:val="00B84C8D"/>
    <w:rsid w:val="00B8511A"/>
    <w:rsid w:val="00B851E9"/>
    <w:rsid w:val="00B8698F"/>
    <w:rsid w:val="00B874FC"/>
    <w:rsid w:val="00B879A6"/>
    <w:rsid w:val="00B90231"/>
    <w:rsid w:val="00B906BF"/>
    <w:rsid w:val="00B9083C"/>
    <w:rsid w:val="00B932C6"/>
    <w:rsid w:val="00B96500"/>
    <w:rsid w:val="00BA07BD"/>
    <w:rsid w:val="00BA12AD"/>
    <w:rsid w:val="00BA3F9A"/>
    <w:rsid w:val="00BA4531"/>
    <w:rsid w:val="00BA4D1B"/>
    <w:rsid w:val="00BB124A"/>
    <w:rsid w:val="00BB22F1"/>
    <w:rsid w:val="00BB2622"/>
    <w:rsid w:val="00BB6507"/>
    <w:rsid w:val="00BC1E00"/>
    <w:rsid w:val="00BC433B"/>
    <w:rsid w:val="00BC591F"/>
    <w:rsid w:val="00BC5E0D"/>
    <w:rsid w:val="00BD15D0"/>
    <w:rsid w:val="00BD41A0"/>
    <w:rsid w:val="00BD4507"/>
    <w:rsid w:val="00BE033A"/>
    <w:rsid w:val="00BE5B08"/>
    <w:rsid w:val="00BF1A2E"/>
    <w:rsid w:val="00BF1B30"/>
    <w:rsid w:val="00BF3D84"/>
    <w:rsid w:val="00BF6320"/>
    <w:rsid w:val="00C008F4"/>
    <w:rsid w:val="00C01568"/>
    <w:rsid w:val="00C05383"/>
    <w:rsid w:val="00C07C71"/>
    <w:rsid w:val="00C10BB0"/>
    <w:rsid w:val="00C1200D"/>
    <w:rsid w:val="00C12770"/>
    <w:rsid w:val="00C1629C"/>
    <w:rsid w:val="00C16D06"/>
    <w:rsid w:val="00C237AC"/>
    <w:rsid w:val="00C24900"/>
    <w:rsid w:val="00C24C9A"/>
    <w:rsid w:val="00C2638C"/>
    <w:rsid w:val="00C318A9"/>
    <w:rsid w:val="00C3455F"/>
    <w:rsid w:val="00C35471"/>
    <w:rsid w:val="00C3752D"/>
    <w:rsid w:val="00C457BF"/>
    <w:rsid w:val="00C47108"/>
    <w:rsid w:val="00C474F0"/>
    <w:rsid w:val="00C47C9C"/>
    <w:rsid w:val="00C51F61"/>
    <w:rsid w:val="00C52F7B"/>
    <w:rsid w:val="00C53CB0"/>
    <w:rsid w:val="00C563EC"/>
    <w:rsid w:val="00C571D9"/>
    <w:rsid w:val="00C57E00"/>
    <w:rsid w:val="00C60244"/>
    <w:rsid w:val="00C60D95"/>
    <w:rsid w:val="00C649CD"/>
    <w:rsid w:val="00C65319"/>
    <w:rsid w:val="00C655F1"/>
    <w:rsid w:val="00C7415B"/>
    <w:rsid w:val="00C7439E"/>
    <w:rsid w:val="00C76A54"/>
    <w:rsid w:val="00C83334"/>
    <w:rsid w:val="00C8343C"/>
    <w:rsid w:val="00C83B9F"/>
    <w:rsid w:val="00C841EF"/>
    <w:rsid w:val="00C84F22"/>
    <w:rsid w:val="00C85DC1"/>
    <w:rsid w:val="00C866A2"/>
    <w:rsid w:val="00C92153"/>
    <w:rsid w:val="00C93708"/>
    <w:rsid w:val="00C96F6B"/>
    <w:rsid w:val="00C97A6A"/>
    <w:rsid w:val="00C97CA8"/>
    <w:rsid w:val="00CA281A"/>
    <w:rsid w:val="00CB0C34"/>
    <w:rsid w:val="00CB1901"/>
    <w:rsid w:val="00CB1C84"/>
    <w:rsid w:val="00CB28A0"/>
    <w:rsid w:val="00CB3CD3"/>
    <w:rsid w:val="00CB6362"/>
    <w:rsid w:val="00CB7F82"/>
    <w:rsid w:val="00CC18E1"/>
    <w:rsid w:val="00CC2C8D"/>
    <w:rsid w:val="00CC2CC0"/>
    <w:rsid w:val="00CC359F"/>
    <w:rsid w:val="00CC3931"/>
    <w:rsid w:val="00CC39B6"/>
    <w:rsid w:val="00CC3A19"/>
    <w:rsid w:val="00CC4A7F"/>
    <w:rsid w:val="00CC5375"/>
    <w:rsid w:val="00CC7697"/>
    <w:rsid w:val="00CC7C3F"/>
    <w:rsid w:val="00CD01ED"/>
    <w:rsid w:val="00CD3B60"/>
    <w:rsid w:val="00CD3F01"/>
    <w:rsid w:val="00CD54B4"/>
    <w:rsid w:val="00CD56D2"/>
    <w:rsid w:val="00CD5E40"/>
    <w:rsid w:val="00CD6AA5"/>
    <w:rsid w:val="00CD7152"/>
    <w:rsid w:val="00CE0111"/>
    <w:rsid w:val="00CE128D"/>
    <w:rsid w:val="00CE1F66"/>
    <w:rsid w:val="00CE2621"/>
    <w:rsid w:val="00CE5A93"/>
    <w:rsid w:val="00CE60A8"/>
    <w:rsid w:val="00CF02CB"/>
    <w:rsid w:val="00CF07B3"/>
    <w:rsid w:val="00CF116F"/>
    <w:rsid w:val="00CF41C3"/>
    <w:rsid w:val="00CF5864"/>
    <w:rsid w:val="00D028B6"/>
    <w:rsid w:val="00D05381"/>
    <w:rsid w:val="00D05821"/>
    <w:rsid w:val="00D11B40"/>
    <w:rsid w:val="00D14225"/>
    <w:rsid w:val="00D15281"/>
    <w:rsid w:val="00D16011"/>
    <w:rsid w:val="00D1617B"/>
    <w:rsid w:val="00D21232"/>
    <w:rsid w:val="00D214E0"/>
    <w:rsid w:val="00D2198B"/>
    <w:rsid w:val="00D2232C"/>
    <w:rsid w:val="00D248C4"/>
    <w:rsid w:val="00D34B6F"/>
    <w:rsid w:val="00D3577C"/>
    <w:rsid w:val="00D364C1"/>
    <w:rsid w:val="00D42CB9"/>
    <w:rsid w:val="00D450B7"/>
    <w:rsid w:val="00D45239"/>
    <w:rsid w:val="00D45A24"/>
    <w:rsid w:val="00D45C65"/>
    <w:rsid w:val="00D46CD9"/>
    <w:rsid w:val="00D478F8"/>
    <w:rsid w:val="00D4798B"/>
    <w:rsid w:val="00D525E9"/>
    <w:rsid w:val="00D53724"/>
    <w:rsid w:val="00D54E06"/>
    <w:rsid w:val="00D64821"/>
    <w:rsid w:val="00D67CCF"/>
    <w:rsid w:val="00D70142"/>
    <w:rsid w:val="00D715A5"/>
    <w:rsid w:val="00D73970"/>
    <w:rsid w:val="00D7433D"/>
    <w:rsid w:val="00D77197"/>
    <w:rsid w:val="00D77726"/>
    <w:rsid w:val="00D77AF7"/>
    <w:rsid w:val="00D801B3"/>
    <w:rsid w:val="00D803BF"/>
    <w:rsid w:val="00D821D6"/>
    <w:rsid w:val="00D83656"/>
    <w:rsid w:val="00D83A00"/>
    <w:rsid w:val="00D83EE7"/>
    <w:rsid w:val="00D84BD8"/>
    <w:rsid w:val="00D8544A"/>
    <w:rsid w:val="00D8556A"/>
    <w:rsid w:val="00D85950"/>
    <w:rsid w:val="00D85F6E"/>
    <w:rsid w:val="00D86D09"/>
    <w:rsid w:val="00D90852"/>
    <w:rsid w:val="00D91A57"/>
    <w:rsid w:val="00D94533"/>
    <w:rsid w:val="00D94BF1"/>
    <w:rsid w:val="00D95652"/>
    <w:rsid w:val="00D95C78"/>
    <w:rsid w:val="00D96087"/>
    <w:rsid w:val="00D96626"/>
    <w:rsid w:val="00D974D8"/>
    <w:rsid w:val="00DA14C5"/>
    <w:rsid w:val="00DA1E0A"/>
    <w:rsid w:val="00DA33C3"/>
    <w:rsid w:val="00DA4FE9"/>
    <w:rsid w:val="00DA6461"/>
    <w:rsid w:val="00DA7A21"/>
    <w:rsid w:val="00DB2F3D"/>
    <w:rsid w:val="00DB41A6"/>
    <w:rsid w:val="00DB4355"/>
    <w:rsid w:val="00DB48D0"/>
    <w:rsid w:val="00DB73BC"/>
    <w:rsid w:val="00DC0D72"/>
    <w:rsid w:val="00DC22C4"/>
    <w:rsid w:val="00DC2C20"/>
    <w:rsid w:val="00DC7C39"/>
    <w:rsid w:val="00DC7D0C"/>
    <w:rsid w:val="00DC7DD6"/>
    <w:rsid w:val="00DD13CA"/>
    <w:rsid w:val="00DD1528"/>
    <w:rsid w:val="00DD579F"/>
    <w:rsid w:val="00DD5B40"/>
    <w:rsid w:val="00DE1ACF"/>
    <w:rsid w:val="00DE2228"/>
    <w:rsid w:val="00DE3737"/>
    <w:rsid w:val="00DF0B4A"/>
    <w:rsid w:val="00DF2C28"/>
    <w:rsid w:val="00DF3D68"/>
    <w:rsid w:val="00DF4122"/>
    <w:rsid w:val="00DF56EB"/>
    <w:rsid w:val="00DF710B"/>
    <w:rsid w:val="00DF7451"/>
    <w:rsid w:val="00DF7CF6"/>
    <w:rsid w:val="00E014DB"/>
    <w:rsid w:val="00E051B3"/>
    <w:rsid w:val="00E057F5"/>
    <w:rsid w:val="00E1117C"/>
    <w:rsid w:val="00E1428D"/>
    <w:rsid w:val="00E16674"/>
    <w:rsid w:val="00E1687C"/>
    <w:rsid w:val="00E17011"/>
    <w:rsid w:val="00E22C8D"/>
    <w:rsid w:val="00E24E79"/>
    <w:rsid w:val="00E27D56"/>
    <w:rsid w:val="00E302C9"/>
    <w:rsid w:val="00E3253A"/>
    <w:rsid w:val="00E37208"/>
    <w:rsid w:val="00E376EF"/>
    <w:rsid w:val="00E37CEC"/>
    <w:rsid w:val="00E408BA"/>
    <w:rsid w:val="00E409F1"/>
    <w:rsid w:val="00E413C3"/>
    <w:rsid w:val="00E41BDE"/>
    <w:rsid w:val="00E438A0"/>
    <w:rsid w:val="00E47120"/>
    <w:rsid w:val="00E47B9A"/>
    <w:rsid w:val="00E47C66"/>
    <w:rsid w:val="00E501EF"/>
    <w:rsid w:val="00E5025F"/>
    <w:rsid w:val="00E52493"/>
    <w:rsid w:val="00E531AF"/>
    <w:rsid w:val="00E556F9"/>
    <w:rsid w:val="00E61907"/>
    <w:rsid w:val="00E627D6"/>
    <w:rsid w:val="00E64587"/>
    <w:rsid w:val="00E64762"/>
    <w:rsid w:val="00E67594"/>
    <w:rsid w:val="00E73A48"/>
    <w:rsid w:val="00E7488A"/>
    <w:rsid w:val="00E76835"/>
    <w:rsid w:val="00E76F96"/>
    <w:rsid w:val="00E805EA"/>
    <w:rsid w:val="00E85492"/>
    <w:rsid w:val="00E861DB"/>
    <w:rsid w:val="00E86A80"/>
    <w:rsid w:val="00E87472"/>
    <w:rsid w:val="00E90A23"/>
    <w:rsid w:val="00E9175F"/>
    <w:rsid w:val="00E91A80"/>
    <w:rsid w:val="00E92C04"/>
    <w:rsid w:val="00EA0041"/>
    <w:rsid w:val="00EA1B66"/>
    <w:rsid w:val="00EA3751"/>
    <w:rsid w:val="00EA3E05"/>
    <w:rsid w:val="00EA4206"/>
    <w:rsid w:val="00EA4340"/>
    <w:rsid w:val="00EB0FC9"/>
    <w:rsid w:val="00EB11B3"/>
    <w:rsid w:val="00EB54DA"/>
    <w:rsid w:val="00EB60D9"/>
    <w:rsid w:val="00EB68A2"/>
    <w:rsid w:val="00EB76E9"/>
    <w:rsid w:val="00EC10D3"/>
    <w:rsid w:val="00EC33FA"/>
    <w:rsid w:val="00EC3BC8"/>
    <w:rsid w:val="00EC46AE"/>
    <w:rsid w:val="00EC48E0"/>
    <w:rsid w:val="00EC52E9"/>
    <w:rsid w:val="00EC650D"/>
    <w:rsid w:val="00EC6870"/>
    <w:rsid w:val="00EC6C29"/>
    <w:rsid w:val="00EE04D4"/>
    <w:rsid w:val="00EE0CC8"/>
    <w:rsid w:val="00EE290D"/>
    <w:rsid w:val="00EE2E17"/>
    <w:rsid w:val="00EE4962"/>
    <w:rsid w:val="00EF0A71"/>
    <w:rsid w:val="00EF2C19"/>
    <w:rsid w:val="00EF5004"/>
    <w:rsid w:val="00EF6087"/>
    <w:rsid w:val="00EF6AAB"/>
    <w:rsid w:val="00EF7AFB"/>
    <w:rsid w:val="00EF7ED1"/>
    <w:rsid w:val="00F02215"/>
    <w:rsid w:val="00F05E12"/>
    <w:rsid w:val="00F064E6"/>
    <w:rsid w:val="00F10880"/>
    <w:rsid w:val="00F14CC9"/>
    <w:rsid w:val="00F1789F"/>
    <w:rsid w:val="00F219F5"/>
    <w:rsid w:val="00F22FC5"/>
    <w:rsid w:val="00F25A11"/>
    <w:rsid w:val="00F2668B"/>
    <w:rsid w:val="00F26D01"/>
    <w:rsid w:val="00F274C9"/>
    <w:rsid w:val="00F30332"/>
    <w:rsid w:val="00F32229"/>
    <w:rsid w:val="00F348A0"/>
    <w:rsid w:val="00F3595B"/>
    <w:rsid w:val="00F402DD"/>
    <w:rsid w:val="00F43FE1"/>
    <w:rsid w:val="00F44679"/>
    <w:rsid w:val="00F46269"/>
    <w:rsid w:val="00F47B95"/>
    <w:rsid w:val="00F50438"/>
    <w:rsid w:val="00F52410"/>
    <w:rsid w:val="00F528D0"/>
    <w:rsid w:val="00F55E9D"/>
    <w:rsid w:val="00F566DD"/>
    <w:rsid w:val="00F604C5"/>
    <w:rsid w:val="00F61454"/>
    <w:rsid w:val="00F61C71"/>
    <w:rsid w:val="00F642A6"/>
    <w:rsid w:val="00F64B87"/>
    <w:rsid w:val="00F65C50"/>
    <w:rsid w:val="00F66240"/>
    <w:rsid w:val="00F672AB"/>
    <w:rsid w:val="00F67DE9"/>
    <w:rsid w:val="00F71E74"/>
    <w:rsid w:val="00F76332"/>
    <w:rsid w:val="00F76DDC"/>
    <w:rsid w:val="00F81087"/>
    <w:rsid w:val="00F81686"/>
    <w:rsid w:val="00F82C09"/>
    <w:rsid w:val="00F83E15"/>
    <w:rsid w:val="00F85968"/>
    <w:rsid w:val="00F85BD7"/>
    <w:rsid w:val="00F914F9"/>
    <w:rsid w:val="00F9277D"/>
    <w:rsid w:val="00F95F0B"/>
    <w:rsid w:val="00FA105D"/>
    <w:rsid w:val="00FA420D"/>
    <w:rsid w:val="00FA454B"/>
    <w:rsid w:val="00FA4653"/>
    <w:rsid w:val="00FA742F"/>
    <w:rsid w:val="00FB072B"/>
    <w:rsid w:val="00FB1900"/>
    <w:rsid w:val="00FB1F81"/>
    <w:rsid w:val="00FB23D1"/>
    <w:rsid w:val="00FB41C8"/>
    <w:rsid w:val="00FB47DE"/>
    <w:rsid w:val="00FB6096"/>
    <w:rsid w:val="00FB6AAD"/>
    <w:rsid w:val="00FB735E"/>
    <w:rsid w:val="00FB759B"/>
    <w:rsid w:val="00FC12AA"/>
    <w:rsid w:val="00FC2D72"/>
    <w:rsid w:val="00FC4832"/>
    <w:rsid w:val="00FC6168"/>
    <w:rsid w:val="00FD0B6E"/>
    <w:rsid w:val="00FD0C58"/>
    <w:rsid w:val="00FD516A"/>
    <w:rsid w:val="00FD639F"/>
    <w:rsid w:val="00FD7DA1"/>
    <w:rsid w:val="00FE3BA2"/>
    <w:rsid w:val="00FE4406"/>
    <w:rsid w:val="00FF00B9"/>
    <w:rsid w:val="00FF0D1A"/>
    <w:rsid w:val="00FF1700"/>
    <w:rsid w:val="00FF41D0"/>
    <w:rsid w:val="00FF72FE"/>
    <w:rsid w:val="00FF73FB"/>
    <w:rsid w:val="01461928"/>
    <w:rsid w:val="01784FC6"/>
    <w:rsid w:val="01BE777C"/>
    <w:rsid w:val="01FEE6CC"/>
    <w:rsid w:val="023EFEF6"/>
    <w:rsid w:val="08A11F32"/>
    <w:rsid w:val="09B05A17"/>
    <w:rsid w:val="0A70B852"/>
    <w:rsid w:val="0ACADC8C"/>
    <w:rsid w:val="0BB0A837"/>
    <w:rsid w:val="0C579390"/>
    <w:rsid w:val="0CB7B6F7"/>
    <w:rsid w:val="0DC9FD28"/>
    <w:rsid w:val="0DEDDECC"/>
    <w:rsid w:val="0FD2E0F0"/>
    <w:rsid w:val="10277B39"/>
    <w:rsid w:val="1116C573"/>
    <w:rsid w:val="13602866"/>
    <w:rsid w:val="1499C3A1"/>
    <w:rsid w:val="1684FC1B"/>
    <w:rsid w:val="16EA3AAE"/>
    <w:rsid w:val="17B12729"/>
    <w:rsid w:val="17BD84CF"/>
    <w:rsid w:val="18015E54"/>
    <w:rsid w:val="1827900D"/>
    <w:rsid w:val="1B7246D1"/>
    <w:rsid w:val="1C96A804"/>
    <w:rsid w:val="1DDCB159"/>
    <w:rsid w:val="1E323C8A"/>
    <w:rsid w:val="1E327865"/>
    <w:rsid w:val="2003D5B9"/>
    <w:rsid w:val="20DB632A"/>
    <w:rsid w:val="21C1FEFE"/>
    <w:rsid w:val="233BF536"/>
    <w:rsid w:val="23554F40"/>
    <w:rsid w:val="236CC96C"/>
    <w:rsid w:val="2448F835"/>
    <w:rsid w:val="24C75AAE"/>
    <w:rsid w:val="24FD5B33"/>
    <w:rsid w:val="2732E0D4"/>
    <w:rsid w:val="277BC462"/>
    <w:rsid w:val="2888AEC7"/>
    <w:rsid w:val="29000FB1"/>
    <w:rsid w:val="2989EC86"/>
    <w:rsid w:val="2B76D57F"/>
    <w:rsid w:val="2DB5ECDE"/>
    <w:rsid w:val="2F337F95"/>
    <w:rsid w:val="2FF20C81"/>
    <w:rsid w:val="323EA8F1"/>
    <w:rsid w:val="32C1DF7D"/>
    <w:rsid w:val="33773A98"/>
    <w:rsid w:val="358BF80F"/>
    <w:rsid w:val="35FA52BF"/>
    <w:rsid w:val="377B5E73"/>
    <w:rsid w:val="37C64C8E"/>
    <w:rsid w:val="388760CA"/>
    <w:rsid w:val="391AD2D2"/>
    <w:rsid w:val="3C58B8E7"/>
    <w:rsid w:val="3D3E6AB8"/>
    <w:rsid w:val="3DA53A4B"/>
    <w:rsid w:val="3DBA9245"/>
    <w:rsid w:val="3EB781B6"/>
    <w:rsid w:val="3EF0808E"/>
    <w:rsid w:val="3F2BA0F5"/>
    <w:rsid w:val="401CEA59"/>
    <w:rsid w:val="4026FD27"/>
    <w:rsid w:val="40B5DAA2"/>
    <w:rsid w:val="426E29A9"/>
    <w:rsid w:val="43CD5BD2"/>
    <w:rsid w:val="461D3BCF"/>
    <w:rsid w:val="47445713"/>
    <w:rsid w:val="479AAE6D"/>
    <w:rsid w:val="48AD4B40"/>
    <w:rsid w:val="48E3278D"/>
    <w:rsid w:val="4A3D1CF6"/>
    <w:rsid w:val="4A6E5F2F"/>
    <w:rsid w:val="4AAC5A1F"/>
    <w:rsid w:val="4B409268"/>
    <w:rsid w:val="4D37BE70"/>
    <w:rsid w:val="4F1F54C8"/>
    <w:rsid w:val="507B89F0"/>
    <w:rsid w:val="52008420"/>
    <w:rsid w:val="52D13DEC"/>
    <w:rsid w:val="53075E9E"/>
    <w:rsid w:val="534DFCAD"/>
    <w:rsid w:val="549FCBB8"/>
    <w:rsid w:val="54F496D0"/>
    <w:rsid w:val="55E22D93"/>
    <w:rsid w:val="5608C4F7"/>
    <w:rsid w:val="56B6F5FF"/>
    <w:rsid w:val="56D8854E"/>
    <w:rsid w:val="56DA428C"/>
    <w:rsid w:val="58E525C8"/>
    <w:rsid w:val="5AACABB0"/>
    <w:rsid w:val="5CDAFC65"/>
    <w:rsid w:val="5DF71B8D"/>
    <w:rsid w:val="5EA78802"/>
    <w:rsid w:val="5EADFA51"/>
    <w:rsid w:val="5EC38839"/>
    <w:rsid w:val="5F90D6AC"/>
    <w:rsid w:val="6019DEFE"/>
    <w:rsid w:val="61EE19D2"/>
    <w:rsid w:val="6616E0D1"/>
    <w:rsid w:val="662B5DF4"/>
    <w:rsid w:val="671F0099"/>
    <w:rsid w:val="682869B1"/>
    <w:rsid w:val="6A16FCA9"/>
    <w:rsid w:val="6A30FB5D"/>
    <w:rsid w:val="6A67C319"/>
    <w:rsid w:val="6AAA0749"/>
    <w:rsid w:val="6AB8C653"/>
    <w:rsid w:val="6B040862"/>
    <w:rsid w:val="6BE4BBFB"/>
    <w:rsid w:val="6C702789"/>
    <w:rsid w:val="6E3D4A8F"/>
    <w:rsid w:val="6EAED208"/>
    <w:rsid w:val="6FC22C5D"/>
    <w:rsid w:val="72CB3882"/>
    <w:rsid w:val="72DB122F"/>
    <w:rsid w:val="731A080A"/>
    <w:rsid w:val="7445AC56"/>
    <w:rsid w:val="753D9296"/>
    <w:rsid w:val="76A05F30"/>
    <w:rsid w:val="78945A9A"/>
    <w:rsid w:val="7A3FC388"/>
    <w:rsid w:val="7A8DE538"/>
    <w:rsid w:val="7AD90127"/>
    <w:rsid w:val="7BEDECBA"/>
    <w:rsid w:val="7D5E01C9"/>
    <w:rsid w:val="7EF5E37E"/>
    <w:rsid w:val="7F3A4A0F"/>
    <w:rsid w:val="7F5032F6"/>
    <w:rsid w:val="7FCEB5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5BFF"/>
  <w15:chartTrackingRefBased/>
  <w15:docId w15:val="{F75E6609-AD13-4AA4-8FB9-5ACE36F6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FCA"/>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CE128D"/>
    <w:pPr>
      <w:keepNext/>
      <w:keepLines/>
      <w:spacing w:before="240"/>
      <w:jc w:val="center"/>
      <w:outlineLvl w:val="0"/>
    </w:pPr>
    <w:rPr>
      <w:rFonts w:eastAsiaTheme="majorEastAsia" w:cstheme="majorBidi"/>
      <w:b/>
      <w:sz w:val="26"/>
      <w:szCs w:val="32"/>
    </w:rPr>
  </w:style>
  <w:style w:type="paragraph" w:styleId="Heading2">
    <w:name w:val="heading 2"/>
    <w:basedOn w:val="Normal"/>
    <w:link w:val="Heading2Char"/>
    <w:uiPriority w:val="9"/>
    <w:qFormat/>
    <w:rsid w:val="00B63FCA"/>
    <w:pPr>
      <w:widowControl/>
      <w:autoSpaceDE/>
      <w:autoSpaceDN/>
      <w:spacing w:before="100" w:beforeAutospacing="1" w:after="100" w:afterAutospacing="1"/>
      <w:outlineLvl w:val="1"/>
    </w:pPr>
    <w:rPr>
      <w:rFonts w:eastAsia="Times New Roman" w:cs="Times New Roman"/>
      <w:b/>
      <w:bCs/>
      <w:sz w:val="24"/>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2B29"/>
    <w:rPr>
      <w:rFonts w:ascii="Verdana" w:eastAsia="Verdana" w:hAnsi="Verdana" w:cs="Verdana"/>
      <w:b/>
      <w:bCs/>
      <w:i/>
      <w:iCs/>
      <w:sz w:val="24"/>
      <w:szCs w:val="24"/>
    </w:rPr>
  </w:style>
  <w:style w:type="character" w:customStyle="1" w:styleId="BodyTextChar">
    <w:name w:val="Body Text Char"/>
    <w:basedOn w:val="DefaultParagraphFont"/>
    <w:link w:val="BodyText"/>
    <w:uiPriority w:val="1"/>
    <w:rsid w:val="000D2B29"/>
    <w:rPr>
      <w:rFonts w:ascii="Verdana" w:eastAsia="Verdana" w:hAnsi="Verdana" w:cs="Verdana"/>
      <w:b/>
      <w:bCs/>
      <w:i/>
      <w:iCs/>
      <w:kern w:val="0"/>
      <w:sz w:val="24"/>
      <w:szCs w:val="24"/>
      <w:lang w:val="en-US"/>
      <w14:ligatures w14:val="none"/>
    </w:rPr>
  </w:style>
  <w:style w:type="paragraph" w:styleId="Title">
    <w:name w:val="Title"/>
    <w:basedOn w:val="Normal"/>
    <w:link w:val="TitleChar"/>
    <w:uiPriority w:val="10"/>
    <w:qFormat/>
    <w:rsid w:val="00B63FCA"/>
    <w:pPr>
      <w:spacing w:before="120" w:after="120" w:line="259" w:lineRule="auto"/>
      <w:ind w:left="142" w:right="-34"/>
      <w:jc w:val="center"/>
    </w:pPr>
    <w:rPr>
      <w:rFonts w:asciiTheme="minorHAnsi" w:eastAsia="Verdana" w:hAnsiTheme="minorHAnsi" w:cstheme="minorHAnsi"/>
      <w:b/>
      <w:bCs/>
      <w:sz w:val="28"/>
      <w:szCs w:val="28"/>
      <w:lang w:val="en-AU"/>
    </w:rPr>
  </w:style>
  <w:style w:type="character" w:customStyle="1" w:styleId="TitleChar">
    <w:name w:val="Title Char"/>
    <w:basedOn w:val="DefaultParagraphFont"/>
    <w:link w:val="Title"/>
    <w:uiPriority w:val="10"/>
    <w:rsid w:val="00B63FCA"/>
    <w:rPr>
      <w:rFonts w:eastAsia="Verdana" w:cstheme="minorHAnsi"/>
      <w:b/>
      <w:bCs/>
      <w:kern w:val="0"/>
      <w:sz w:val="28"/>
      <w:szCs w:val="28"/>
      <w14:ligatures w14:val="none"/>
    </w:rPr>
  </w:style>
  <w:style w:type="paragraph" w:styleId="ListParagraph">
    <w:name w:val="List Paragraph"/>
    <w:basedOn w:val="Normal"/>
    <w:uiPriority w:val="34"/>
    <w:qFormat/>
    <w:rsid w:val="000D2B29"/>
  </w:style>
  <w:style w:type="paragraph" w:customStyle="1" w:styleId="TableParagraph">
    <w:name w:val="Table Paragraph"/>
    <w:basedOn w:val="Normal"/>
    <w:link w:val="TableParagraphChar"/>
    <w:uiPriority w:val="1"/>
    <w:qFormat/>
    <w:rsid w:val="00106454"/>
    <w:pPr>
      <w:spacing w:before="120" w:after="120"/>
      <w:ind w:left="113"/>
    </w:pPr>
  </w:style>
  <w:style w:type="character" w:styleId="Hyperlink">
    <w:name w:val="Hyperlink"/>
    <w:basedOn w:val="DefaultParagraphFont"/>
    <w:uiPriority w:val="99"/>
    <w:unhideWhenUsed/>
    <w:rsid w:val="000D2B29"/>
    <w:rPr>
      <w:color w:val="0563C1" w:themeColor="hyperlink"/>
      <w:u w:val="single"/>
    </w:rPr>
  </w:style>
  <w:style w:type="paragraph" w:customStyle="1" w:styleId="Para">
    <w:name w:val="Para"/>
    <w:basedOn w:val="Normal"/>
    <w:link w:val="ParaChar"/>
    <w:uiPriority w:val="1"/>
    <w:qFormat/>
    <w:rsid w:val="000D2B29"/>
    <w:pPr>
      <w:widowControl/>
      <w:autoSpaceDE/>
      <w:autoSpaceDN/>
      <w:spacing w:before="200" w:after="120" w:line="264" w:lineRule="auto"/>
    </w:pPr>
    <w:rPr>
      <w:rFonts w:ascii="Segoe UI" w:hAnsi="Segoe UI" w:cs="Times New Roman"/>
      <w:sz w:val="20"/>
      <w:szCs w:val="20"/>
      <w:lang w:val="en-AU" w:eastAsia="en-GB"/>
    </w:rPr>
  </w:style>
  <w:style w:type="character" w:customStyle="1" w:styleId="ParaChar">
    <w:name w:val="Para Char"/>
    <w:basedOn w:val="DefaultParagraphFont"/>
    <w:link w:val="Para"/>
    <w:uiPriority w:val="1"/>
    <w:locked/>
    <w:rsid w:val="000D2B29"/>
    <w:rPr>
      <w:rFonts w:ascii="Segoe UI" w:eastAsia="Calibri" w:hAnsi="Segoe UI" w:cs="Times New Roman"/>
      <w:kern w:val="0"/>
      <w:sz w:val="20"/>
      <w:szCs w:val="20"/>
      <w:lang w:eastAsia="en-GB"/>
      <w14:ligatures w14:val="none"/>
    </w:rPr>
  </w:style>
  <w:style w:type="paragraph" w:customStyle="1" w:styleId="Bullet1">
    <w:name w:val="Bullet 1"/>
    <w:basedOn w:val="Para"/>
    <w:link w:val="Bullet1Char"/>
    <w:uiPriority w:val="2"/>
    <w:qFormat/>
    <w:rsid w:val="000D2B29"/>
    <w:pPr>
      <w:numPr>
        <w:numId w:val="3"/>
      </w:numPr>
    </w:pPr>
    <w:rPr>
      <w:rFonts w:asciiTheme="minorHAnsi" w:eastAsiaTheme="minorHAnsi" w:hAnsiTheme="minorHAnsi" w:cstheme="minorBidi"/>
      <w:color w:val="000000"/>
      <w:kern w:val="2"/>
      <w:sz w:val="22"/>
      <w:szCs w:val="22"/>
      <w:lang w:eastAsia="en-US"/>
      <w14:ligatures w14:val="standardContextual"/>
    </w:rPr>
  </w:style>
  <w:style w:type="paragraph" w:customStyle="1" w:styleId="Bullet2">
    <w:name w:val="Bullet 2"/>
    <w:basedOn w:val="Bullet1"/>
    <w:uiPriority w:val="2"/>
    <w:rsid w:val="000D2B29"/>
    <w:pPr>
      <w:numPr>
        <w:ilvl w:val="1"/>
      </w:numPr>
      <w:tabs>
        <w:tab w:val="num" w:pos="360"/>
        <w:tab w:val="num" w:pos="1440"/>
      </w:tabs>
      <w:spacing w:before="0" w:after="60" w:line="240" w:lineRule="auto"/>
      <w:ind w:left="1548"/>
    </w:pPr>
  </w:style>
  <w:style w:type="character" w:customStyle="1" w:styleId="Bullet1Char">
    <w:name w:val="Bullet 1 Char"/>
    <w:basedOn w:val="DefaultParagraphFont"/>
    <w:link w:val="Bullet1"/>
    <w:uiPriority w:val="2"/>
    <w:locked/>
    <w:rsid w:val="000D2B29"/>
    <w:rPr>
      <w:color w:val="000000"/>
    </w:rPr>
  </w:style>
  <w:style w:type="character" w:customStyle="1" w:styleId="normaltextrun">
    <w:name w:val="normaltextrun"/>
    <w:basedOn w:val="DefaultParagraphFont"/>
    <w:rsid w:val="000D2B29"/>
  </w:style>
  <w:style w:type="character" w:styleId="CommentReference">
    <w:name w:val="annotation reference"/>
    <w:basedOn w:val="DefaultParagraphFont"/>
    <w:uiPriority w:val="99"/>
    <w:semiHidden/>
    <w:unhideWhenUsed/>
    <w:rsid w:val="003B20E2"/>
    <w:rPr>
      <w:sz w:val="16"/>
      <w:szCs w:val="16"/>
    </w:rPr>
  </w:style>
  <w:style w:type="paragraph" w:styleId="CommentText">
    <w:name w:val="annotation text"/>
    <w:basedOn w:val="Normal"/>
    <w:link w:val="CommentTextChar"/>
    <w:uiPriority w:val="99"/>
    <w:unhideWhenUsed/>
    <w:rsid w:val="003B20E2"/>
    <w:rPr>
      <w:sz w:val="20"/>
      <w:szCs w:val="20"/>
    </w:rPr>
  </w:style>
  <w:style w:type="character" w:customStyle="1" w:styleId="CommentTextChar">
    <w:name w:val="Comment Text Char"/>
    <w:basedOn w:val="DefaultParagraphFont"/>
    <w:link w:val="CommentText"/>
    <w:uiPriority w:val="99"/>
    <w:rsid w:val="003B20E2"/>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B20E2"/>
    <w:rPr>
      <w:b/>
      <w:bCs/>
    </w:rPr>
  </w:style>
  <w:style w:type="character" w:customStyle="1" w:styleId="CommentSubjectChar">
    <w:name w:val="Comment Subject Char"/>
    <w:basedOn w:val="CommentTextChar"/>
    <w:link w:val="CommentSubject"/>
    <w:uiPriority w:val="99"/>
    <w:semiHidden/>
    <w:rsid w:val="003B20E2"/>
    <w:rPr>
      <w:rFonts w:ascii="Calibri" w:eastAsia="Calibri" w:hAnsi="Calibri" w:cs="Calibri"/>
      <w:b/>
      <w:bCs/>
      <w:kern w:val="0"/>
      <w:sz w:val="20"/>
      <w:szCs w:val="20"/>
      <w:lang w:val="en-US"/>
      <w14:ligatures w14:val="none"/>
    </w:rPr>
  </w:style>
  <w:style w:type="paragraph" w:styleId="Revision">
    <w:name w:val="Revision"/>
    <w:hidden/>
    <w:uiPriority w:val="99"/>
    <w:semiHidden/>
    <w:rsid w:val="00577DEA"/>
    <w:pPr>
      <w:spacing w:after="0" w:line="240" w:lineRule="auto"/>
    </w:pPr>
    <w:rPr>
      <w:rFonts w:ascii="Calibri" w:eastAsia="Calibri" w:hAnsi="Calibri" w:cs="Calibri"/>
      <w:kern w:val="0"/>
      <w:lang w:val="en-US"/>
      <w14:ligatures w14:val="none"/>
    </w:rPr>
  </w:style>
  <w:style w:type="character" w:styleId="FollowedHyperlink">
    <w:name w:val="FollowedHyperlink"/>
    <w:basedOn w:val="DefaultParagraphFont"/>
    <w:uiPriority w:val="99"/>
    <w:semiHidden/>
    <w:unhideWhenUsed/>
    <w:rsid w:val="00054247"/>
    <w:rPr>
      <w:color w:val="954F72" w:themeColor="followedHyperlink"/>
      <w:u w:val="single"/>
    </w:rPr>
  </w:style>
  <w:style w:type="table" w:styleId="TableGrid">
    <w:name w:val="Table Grid"/>
    <w:basedOn w:val="TableNormal"/>
    <w:uiPriority w:val="39"/>
    <w:rsid w:val="0005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4EB"/>
    <w:rPr>
      <w:color w:val="605E5C"/>
      <w:shd w:val="clear" w:color="auto" w:fill="E1DFDD"/>
    </w:rPr>
  </w:style>
  <w:style w:type="paragraph" w:styleId="Header">
    <w:name w:val="header"/>
    <w:basedOn w:val="Normal"/>
    <w:link w:val="HeaderChar"/>
    <w:uiPriority w:val="99"/>
    <w:unhideWhenUsed/>
    <w:rsid w:val="0070060A"/>
    <w:pPr>
      <w:tabs>
        <w:tab w:val="center" w:pos="4513"/>
        <w:tab w:val="right" w:pos="9026"/>
      </w:tabs>
    </w:pPr>
  </w:style>
  <w:style w:type="character" w:customStyle="1" w:styleId="HeaderChar">
    <w:name w:val="Header Char"/>
    <w:basedOn w:val="DefaultParagraphFont"/>
    <w:link w:val="Header"/>
    <w:uiPriority w:val="99"/>
    <w:rsid w:val="0070060A"/>
    <w:rPr>
      <w:rFonts w:ascii="Calibri" w:eastAsia="Calibri" w:hAnsi="Calibri" w:cs="Calibri"/>
      <w:kern w:val="0"/>
      <w:lang w:val="en-US"/>
      <w14:ligatures w14:val="none"/>
    </w:rPr>
  </w:style>
  <w:style w:type="paragraph" w:styleId="Footer">
    <w:name w:val="footer"/>
    <w:basedOn w:val="Normal"/>
    <w:link w:val="FooterChar"/>
    <w:uiPriority w:val="99"/>
    <w:unhideWhenUsed/>
    <w:rsid w:val="0070060A"/>
    <w:pPr>
      <w:tabs>
        <w:tab w:val="center" w:pos="4513"/>
        <w:tab w:val="right" w:pos="9026"/>
      </w:tabs>
    </w:pPr>
  </w:style>
  <w:style w:type="character" w:customStyle="1" w:styleId="FooterChar">
    <w:name w:val="Footer Char"/>
    <w:basedOn w:val="DefaultParagraphFont"/>
    <w:link w:val="Footer"/>
    <w:uiPriority w:val="99"/>
    <w:rsid w:val="0070060A"/>
    <w:rPr>
      <w:rFonts w:ascii="Calibri" w:eastAsia="Calibri" w:hAnsi="Calibri" w:cs="Calibri"/>
      <w:kern w:val="0"/>
      <w:lang w:val="en-US"/>
      <w14:ligatures w14:val="none"/>
    </w:rPr>
  </w:style>
  <w:style w:type="paragraph" w:styleId="ListBullet">
    <w:name w:val="List Bullet"/>
    <w:basedOn w:val="TableParagraph"/>
    <w:link w:val="ListBulletChar"/>
    <w:uiPriority w:val="99"/>
    <w:unhideWhenUsed/>
    <w:rsid w:val="00106454"/>
    <w:pPr>
      <w:numPr>
        <w:numId w:val="2"/>
      </w:numPr>
      <w:spacing w:before="80"/>
      <w:ind w:left="465" w:right="-35" w:hanging="357"/>
    </w:pPr>
    <w:rPr>
      <w:rFonts w:asciiTheme="minorHAnsi" w:eastAsiaTheme="minorEastAsia" w:hAnsiTheme="minorHAnsi" w:cstheme="minorHAnsi"/>
      <w:lang w:val="en-AU"/>
    </w:rPr>
  </w:style>
  <w:style w:type="paragraph" w:styleId="ListBullet2">
    <w:name w:val="List Bullet 2"/>
    <w:basedOn w:val="TableParagraph"/>
    <w:uiPriority w:val="99"/>
    <w:unhideWhenUsed/>
    <w:rsid w:val="00106454"/>
    <w:pPr>
      <w:spacing w:before="80"/>
      <w:ind w:left="465" w:right="6" w:hanging="357"/>
    </w:pPr>
    <w:rPr>
      <w:rFonts w:asciiTheme="minorHAnsi" w:eastAsiaTheme="minorEastAsia" w:hAnsiTheme="minorHAnsi" w:cstheme="minorBidi"/>
      <w:b/>
      <w:bCs/>
      <w:lang w:val="en-AU"/>
    </w:rPr>
  </w:style>
  <w:style w:type="paragraph" w:styleId="ListBullet3">
    <w:name w:val="List Bullet 3"/>
    <w:basedOn w:val="Bullet1"/>
    <w:uiPriority w:val="99"/>
    <w:unhideWhenUsed/>
    <w:rsid w:val="00106454"/>
    <w:pPr>
      <w:spacing w:before="40" w:after="0" w:line="240" w:lineRule="auto"/>
      <w:ind w:left="994" w:right="-35" w:hanging="357"/>
    </w:pPr>
    <w:rPr>
      <w:rFonts w:eastAsiaTheme="minorEastAsia" w:cstheme="minorHAnsi"/>
    </w:rPr>
  </w:style>
  <w:style w:type="paragraph" w:customStyle="1" w:styleId="TableText">
    <w:name w:val="Table Text"/>
    <w:aliases w:val="tt,table Body Text,table text"/>
    <w:basedOn w:val="Normal"/>
    <w:link w:val="TableTextChar"/>
    <w:uiPriority w:val="4"/>
    <w:qFormat/>
    <w:rsid w:val="000B02C0"/>
    <w:pPr>
      <w:widowControl/>
      <w:autoSpaceDE/>
      <w:autoSpaceDN/>
      <w:spacing w:before="60" w:after="60"/>
    </w:pPr>
    <w:rPr>
      <w:rFonts w:ascii="Arial" w:eastAsia="MS Mincho" w:hAnsi="Arial" w:cs="Arial"/>
      <w:lang w:val="en-AU" w:eastAsia="en-GB"/>
    </w:rPr>
  </w:style>
  <w:style w:type="character" w:customStyle="1" w:styleId="TableTextChar">
    <w:name w:val="Table Text Char"/>
    <w:aliases w:val="tt Char,table Body Text Char,table text Char"/>
    <w:link w:val="TableText"/>
    <w:uiPriority w:val="4"/>
    <w:rsid w:val="000B02C0"/>
    <w:rPr>
      <w:rFonts w:ascii="Arial" w:eastAsia="MS Mincho" w:hAnsi="Arial" w:cs="Arial"/>
      <w:kern w:val="0"/>
      <w:lang w:eastAsia="en-GB"/>
      <w14:ligatures w14:val="none"/>
    </w:rPr>
  </w:style>
  <w:style w:type="paragraph" w:customStyle="1" w:styleId="Tableparagraphemphasis">
    <w:name w:val="Table paragraph (emphasis)"/>
    <w:basedOn w:val="TableParagraph"/>
    <w:link w:val="TableparagraphemphasisChar"/>
    <w:qFormat/>
    <w:rsid w:val="008065B1"/>
    <w:rPr>
      <w:i/>
    </w:rPr>
  </w:style>
  <w:style w:type="paragraph" w:styleId="NormalWeb">
    <w:name w:val="Normal (Web)"/>
    <w:basedOn w:val="Normal"/>
    <w:uiPriority w:val="99"/>
    <w:semiHidden/>
    <w:unhideWhenUsed/>
    <w:rsid w:val="007D20E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rsid w:val="00B63FCA"/>
    <w:rPr>
      <w:rFonts w:ascii="Calibri" w:eastAsia="Times New Roman" w:hAnsi="Calibri" w:cs="Times New Roman"/>
      <w:b/>
      <w:bCs/>
      <w:kern w:val="0"/>
      <w:sz w:val="24"/>
      <w:szCs w:val="36"/>
      <w:lang w:eastAsia="en-AU"/>
      <w14:ligatures w14:val="none"/>
    </w:rPr>
  </w:style>
  <w:style w:type="character" w:styleId="Strong">
    <w:name w:val="Strong"/>
    <w:basedOn w:val="DefaultParagraphFont"/>
    <w:uiPriority w:val="22"/>
    <w:qFormat/>
    <w:rsid w:val="0011153F"/>
    <w:rPr>
      <w:b/>
      <w:bCs/>
    </w:rPr>
  </w:style>
  <w:style w:type="character" w:customStyle="1" w:styleId="Heading1Char">
    <w:name w:val="Heading 1 Char"/>
    <w:basedOn w:val="DefaultParagraphFont"/>
    <w:link w:val="Heading1"/>
    <w:uiPriority w:val="9"/>
    <w:rsid w:val="00CE128D"/>
    <w:rPr>
      <w:rFonts w:ascii="Calibri" w:eastAsiaTheme="majorEastAsia" w:hAnsi="Calibri" w:cstheme="majorBidi"/>
      <w:b/>
      <w:kern w:val="0"/>
      <w:sz w:val="26"/>
      <w:szCs w:val="32"/>
      <w:lang w:val="en-US"/>
      <w14:ligatures w14:val="none"/>
    </w:rPr>
  </w:style>
  <w:style w:type="character" w:customStyle="1" w:styleId="TableParagraphChar">
    <w:name w:val="Table Paragraph Char"/>
    <w:basedOn w:val="DefaultParagraphFont"/>
    <w:link w:val="TableParagraph"/>
    <w:uiPriority w:val="1"/>
    <w:rsid w:val="008065B1"/>
    <w:rPr>
      <w:rFonts w:ascii="Calibri" w:eastAsia="Calibri" w:hAnsi="Calibri" w:cs="Calibri"/>
      <w:kern w:val="0"/>
      <w:lang w:val="en-US"/>
      <w14:ligatures w14:val="none"/>
    </w:rPr>
  </w:style>
  <w:style w:type="character" w:customStyle="1" w:styleId="TableparagraphemphasisChar">
    <w:name w:val="Table paragraph (emphasis) Char"/>
    <w:basedOn w:val="TableParagraphChar"/>
    <w:link w:val="Tableparagraphemphasis"/>
    <w:rsid w:val="008065B1"/>
    <w:rPr>
      <w:rFonts w:ascii="Calibri" w:eastAsia="Calibri" w:hAnsi="Calibri" w:cs="Calibri"/>
      <w:i/>
      <w:kern w:val="0"/>
      <w:lang w:val="en-US"/>
      <w14:ligatures w14:val="none"/>
    </w:rPr>
  </w:style>
  <w:style w:type="paragraph" w:styleId="Subtitle">
    <w:name w:val="Subtitle"/>
    <w:basedOn w:val="BodyText"/>
    <w:next w:val="Normal"/>
    <w:link w:val="SubtitleChar"/>
    <w:uiPriority w:val="11"/>
    <w:qFormat/>
    <w:rsid w:val="00DA1E0A"/>
    <w:pPr>
      <w:spacing w:before="120" w:after="120" w:line="259" w:lineRule="auto"/>
      <w:ind w:left="1247" w:right="1247"/>
      <w:jc w:val="center"/>
    </w:pPr>
    <w:rPr>
      <w:rFonts w:asciiTheme="minorHAnsi" w:hAnsiTheme="minorHAnsi" w:cstheme="minorBidi"/>
      <w:i w:val="0"/>
      <w:iCs w:val="0"/>
      <w:sz w:val="28"/>
      <w:szCs w:val="28"/>
      <w:lang w:val="en-AU"/>
    </w:rPr>
  </w:style>
  <w:style w:type="character" w:customStyle="1" w:styleId="SubtitleChar">
    <w:name w:val="Subtitle Char"/>
    <w:basedOn w:val="DefaultParagraphFont"/>
    <w:link w:val="Subtitle"/>
    <w:uiPriority w:val="11"/>
    <w:rsid w:val="00DA1E0A"/>
    <w:rPr>
      <w:rFonts w:eastAsia="Verdana"/>
      <w:b/>
      <w:bCs/>
      <w:kern w:val="0"/>
      <w:sz w:val="28"/>
      <w:szCs w:val="28"/>
      <w14:ligatures w14:val="none"/>
    </w:rPr>
  </w:style>
  <w:style w:type="paragraph" w:customStyle="1" w:styleId="Tableparagraphstrong">
    <w:name w:val="Table paragraph (strong)"/>
    <w:basedOn w:val="TableParagraph"/>
    <w:link w:val="TableparagraphstrongChar"/>
    <w:qFormat/>
    <w:rsid w:val="008065B1"/>
    <w:rPr>
      <w:b/>
    </w:rPr>
  </w:style>
  <w:style w:type="character" w:customStyle="1" w:styleId="TableparagraphstrongChar">
    <w:name w:val="Table paragraph (strong) Char"/>
    <w:basedOn w:val="TableParagraphChar"/>
    <w:link w:val="Tableparagraphstrong"/>
    <w:rsid w:val="008065B1"/>
    <w:rPr>
      <w:rFonts w:ascii="Calibri" w:eastAsia="Calibri" w:hAnsi="Calibri" w:cs="Calibri"/>
      <w:b/>
      <w:kern w:val="0"/>
      <w:lang w:val="en-US"/>
      <w14:ligatures w14:val="none"/>
    </w:rPr>
  </w:style>
  <w:style w:type="paragraph" w:styleId="ListNumber">
    <w:name w:val="List Number"/>
    <w:basedOn w:val="ListParagraph"/>
    <w:uiPriority w:val="99"/>
    <w:unhideWhenUsed/>
    <w:rsid w:val="00AE6ED8"/>
    <w:pPr>
      <w:widowControl/>
      <w:numPr>
        <w:numId w:val="42"/>
      </w:numPr>
      <w:adjustRightInd w:val="0"/>
      <w:spacing w:before="40"/>
      <w:ind w:left="470" w:hanging="357"/>
    </w:pPr>
    <w:rPr>
      <w:rFonts w:asciiTheme="minorHAnsi" w:eastAsiaTheme="minorHAnsi" w:hAnsiTheme="minorHAnsi" w:cstheme="minorHAnsi"/>
      <w:lang w:val="en-AU"/>
    </w:rPr>
  </w:style>
  <w:style w:type="paragraph" w:customStyle="1" w:styleId="superscript">
    <w:name w:val="superscript"/>
    <w:basedOn w:val="ListBullet"/>
    <w:link w:val="superscriptChar"/>
    <w:qFormat/>
    <w:rsid w:val="00B63FCA"/>
    <w:rPr>
      <w:vertAlign w:val="superscript"/>
    </w:rPr>
  </w:style>
  <w:style w:type="character" w:customStyle="1" w:styleId="ListBulletChar">
    <w:name w:val="List Bullet Char"/>
    <w:basedOn w:val="TableParagraphChar"/>
    <w:link w:val="ListBullet"/>
    <w:uiPriority w:val="99"/>
    <w:rsid w:val="00B63FCA"/>
    <w:rPr>
      <w:rFonts w:ascii="Calibri" w:eastAsiaTheme="minorEastAsia" w:hAnsi="Calibri" w:cstheme="minorHAnsi"/>
      <w:kern w:val="0"/>
      <w:lang w:val="en-US"/>
      <w14:ligatures w14:val="none"/>
    </w:rPr>
  </w:style>
  <w:style w:type="character" w:customStyle="1" w:styleId="superscriptChar">
    <w:name w:val="superscript Char"/>
    <w:basedOn w:val="ListBulletChar"/>
    <w:link w:val="superscript"/>
    <w:rsid w:val="00B63FCA"/>
    <w:rPr>
      <w:rFonts w:ascii="Calibri" w:eastAsiaTheme="minorEastAsia" w:hAnsi="Calibri" w:cstheme="minorHAnsi"/>
      <w:kern w:val="0"/>
      <w:vertAlign w:val="superscript"/>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9619">
      <w:bodyDiv w:val="1"/>
      <w:marLeft w:val="0"/>
      <w:marRight w:val="0"/>
      <w:marTop w:val="0"/>
      <w:marBottom w:val="0"/>
      <w:divBdr>
        <w:top w:val="none" w:sz="0" w:space="0" w:color="auto"/>
        <w:left w:val="none" w:sz="0" w:space="0" w:color="auto"/>
        <w:bottom w:val="none" w:sz="0" w:space="0" w:color="auto"/>
        <w:right w:val="none" w:sz="0" w:space="0" w:color="auto"/>
      </w:divBdr>
    </w:div>
    <w:div w:id="162863051">
      <w:bodyDiv w:val="1"/>
      <w:marLeft w:val="0"/>
      <w:marRight w:val="0"/>
      <w:marTop w:val="0"/>
      <w:marBottom w:val="0"/>
      <w:divBdr>
        <w:top w:val="none" w:sz="0" w:space="0" w:color="auto"/>
        <w:left w:val="none" w:sz="0" w:space="0" w:color="auto"/>
        <w:bottom w:val="none" w:sz="0" w:space="0" w:color="auto"/>
        <w:right w:val="none" w:sz="0" w:space="0" w:color="auto"/>
      </w:divBdr>
    </w:div>
    <w:div w:id="202838118">
      <w:bodyDiv w:val="1"/>
      <w:marLeft w:val="0"/>
      <w:marRight w:val="0"/>
      <w:marTop w:val="0"/>
      <w:marBottom w:val="0"/>
      <w:divBdr>
        <w:top w:val="none" w:sz="0" w:space="0" w:color="auto"/>
        <w:left w:val="none" w:sz="0" w:space="0" w:color="auto"/>
        <w:bottom w:val="none" w:sz="0" w:space="0" w:color="auto"/>
        <w:right w:val="none" w:sz="0" w:space="0" w:color="auto"/>
      </w:divBdr>
    </w:div>
    <w:div w:id="738750975">
      <w:bodyDiv w:val="1"/>
      <w:marLeft w:val="0"/>
      <w:marRight w:val="0"/>
      <w:marTop w:val="0"/>
      <w:marBottom w:val="0"/>
      <w:divBdr>
        <w:top w:val="none" w:sz="0" w:space="0" w:color="auto"/>
        <w:left w:val="none" w:sz="0" w:space="0" w:color="auto"/>
        <w:bottom w:val="none" w:sz="0" w:space="0" w:color="auto"/>
        <w:right w:val="none" w:sz="0" w:space="0" w:color="auto"/>
      </w:divBdr>
    </w:div>
    <w:div w:id="1374773289">
      <w:bodyDiv w:val="1"/>
      <w:marLeft w:val="0"/>
      <w:marRight w:val="0"/>
      <w:marTop w:val="0"/>
      <w:marBottom w:val="0"/>
      <w:divBdr>
        <w:top w:val="none" w:sz="0" w:space="0" w:color="auto"/>
        <w:left w:val="none" w:sz="0" w:space="0" w:color="auto"/>
        <w:bottom w:val="none" w:sz="0" w:space="0" w:color="auto"/>
        <w:right w:val="none" w:sz="0" w:space="0" w:color="auto"/>
      </w:divBdr>
    </w:div>
    <w:div w:id="1477798020">
      <w:bodyDiv w:val="1"/>
      <w:marLeft w:val="0"/>
      <w:marRight w:val="0"/>
      <w:marTop w:val="0"/>
      <w:marBottom w:val="0"/>
      <w:divBdr>
        <w:top w:val="none" w:sz="0" w:space="0" w:color="auto"/>
        <w:left w:val="none" w:sz="0" w:space="0" w:color="auto"/>
        <w:bottom w:val="none" w:sz="0" w:space="0" w:color="auto"/>
        <w:right w:val="none" w:sz="0" w:space="0" w:color="auto"/>
      </w:divBdr>
    </w:div>
    <w:div w:id="1493787733">
      <w:bodyDiv w:val="1"/>
      <w:marLeft w:val="0"/>
      <w:marRight w:val="0"/>
      <w:marTop w:val="0"/>
      <w:marBottom w:val="0"/>
      <w:divBdr>
        <w:top w:val="none" w:sz="0" w:space="0" w:color="auto"/>
        <w:left w:val="none" w:sz="0" w:space="0" w:color="auto"/>
        <w:bottom w:val="none" w:sz="0" w:space="0" w:color="auto"/>
        <w:right w:val="none" w:sz="0" w:space="0" w:color="auto"/>
      </w:divBdr>
    </w:div>
    <w:div w:id="1557929045">
      <w:bodyDiv w:val="1"/>
      <w:marLeft w:val="0"/>
      <w:marRight w:val="0"/>
      <w:marTop w:val="0"/>
      <w:marBottom w:val="0"/>
      <w:divBdr>
        <w:top w:val="none" w:sz="0" w:space="0" w:color="auto"/>
        <w:left w:val="none" w:sz="0" w:space="0" w:color="auto"/>
        <w:bottom w:val="none" w:sz="0" w:space="0" w:color="auto"/>
        <w:right w:val="none" w:sz="0" w:space="0" w:color="auto"/>
      </w:divBdr>
    </w:div>
    <w:div w:id="1563441836">
      <w:bodyDiv w:val="1"/>
      <w:marLeft w:val="0"/>
      <w:marRight w:val="0"/>
      <w:marTop w:val="0"/>
      <w:marBottom w:val="0"/>
      <w:divBdr>
        <w:top w:val="none" w:sz="0" w:space="0" w:color="auto"/>
        <w:left w:val="none" w:sz="0" w:space="0" w:color="auto"/>
        <w:bottom w:val="none" w:sz="0" w:space="0" w:color="auto"/>
        <w:right w:val="none" w:sz="0" w:space="0" w:color="auto"/>
      </w:divBdr>
    </w:div>
    <w:div w:id="1662737740">
      <w:bodyDiv w:val="1"/>
      <w:marLeft w:val="0"/>
      <w:marRight w:val="0"/>
      <w:marTop w:val="0"/>
      <w:marBottom w:val="0"/>
      <w:divBdr>
        <w:top w:val="none" w:sz="0" w:space="0" w:color="auto"/>
        <w:left w:val="none" w:sz="0" w:space="0" w:color="auto"/>
        <w:bottom w:val="none" w:sz="0" w:space="0" w:color="auto"/>
        <w:right w:val="none" w:sz="0" w:space="0" w:color="auto"/>
      </w:divBdr>
    </w:div>
    <w:div w:id="1745420442">
      <w:bodyDiv w:val="1"/>
      <w:marLeft w:val="0"/>
      <w:marRight w:val="0"/>
      <w:marTop w:val="0"/>
      <w:marBottom w:val="0"/>
      <w:divBdr>
        <w:top w:val="none" w:sz="0" w:space="0" w:color="auto"/>
        <w:left w:val="none" w:sz="0" w:space="0" w:color="auto"/>
        <w:bottom w:val="none" w:sz="0" w:space="0" w:color="auto"/>
        <w:right w:val="none" w:sz="0" w:space="0" w:color="auto"/>
      </w:divBdr>
    </w:div>
    <w:div w:id="17480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bcna.org.au/breast-health-awareness/mammographic-density-and-screening/" TargetMode="External"/><Relationship Id="rId26" Type="http://schemas.openxmlformats.org/officeDocument/2006/relationships/hyperlink" Target="http://www.petermac.org/iprev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formd.org.au/" TargetMode="External"/><Relationship Id="rId34" Type="http://schemas.openxmlformats.org/officeDocument/2006/relationships/hyperlink" Target="http://www.breastscreen.qld.gov.au/health-professionals/health-professional-resources/breast-density-notification-trial" TargetMode="External"/><Relationship Id="rId7" Type="http://schemas.openxmlformats.org/officeDocument/2006/relationships/settings" Target="settings.xml"/><Relationship Id="rId12" Type="http://schemas.openxmlformats.org/officeDocument/2006/relationships/hyperlink" Target="https://www.informd.org.au/" TargetMode="External"/><Relationship Id="rId17" Type="http://schemas.openxmlformats.org/officeDocument/2006/relationships/hyperlink" Target="https://www.cancer.org.au/assets/pdf/roadmap-to-optimising-screening-in-australia-pdf" TargetMode="External"/><Relationship Id="rId25" Type="http://schemas.openxmlformats.org/officeDocument/2006/relationships/hyperlink" Target="http://www.canceraustralia.gov.au/publications-and-resources/cancer-australia-publications/breast-cancer-risk-factors-review-evidence" TargetMode="External"/><Relationship Id="rId33" Type="http://schemas.openxmlformats.org/officeDocument/2006/relationships/hyperlink" Target="https://www1.racgp.org.au/newsgp/clinical/breast-density-should-it-be-reported"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nrisk.org/" TargetMode="External"/><Relationship Id="rId20" Type="http://schemas.openxmlformats.org/officeDocument/2006/relationships/hyperlink" Target="https://www.acr.org/-/media/ACR/Files/RADS/BI-RADS/BIRADS-Reference-Card.pdf" TargetMode="External"/><Relationship Id="rId29" Type="http://schemas.openxmlformats.org/officeDocument/2006/relationships/hyperlink" Target="https://doi.org/10.3390/jcm9030681"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ensebreast-info.org/providers-faqs/how-does-breast-density-compare-to-other-risk-factors-for-developing-invasive-breast-cancer/" TargetMode="External"/><Relationship Id="rId32" Type="http://schemas.openxmlformats.org/officeDocument/2006/relationships/hyperlink" Target="http://www.breastscreen.sa.gov.au/news/breast-density" TargetMode="External"/><Relationship Id="rId37" Type="http://schemas.openxmlformats.org/officeDocument/2006/relationships/hyperlink" Target="https://doi.org/10.1148/ryai.22007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bis-risk-calculator.magview.com/" TargetMode="External"/><Relationship Id="rId23" Type="http://schemas.openxmlformats.org/officeDocument/2006/relationships/hyperlink" Target="https://pubmed.ncbi.nlm.nih.gov/27557308/" TargetMode="External"/><Relationship Id="rId28" Type="http://schemas.openxmlformats.org/officeDocument/2006/relationships/hyperlink" Target="https://doi.org/10.3390/cancers16050893" TargetMode="External"/><Relationship Id="rId36" Type="http://schemas.openxmlformats.org/officeDocument/2006/relationships/hyperlink" Target="https://clara.breastscreen.org.au/intranet/documents/388/3417/Project%20%2340%20-%20BRAVO.pdf" TargetMode="External"/><Relationship Id="rId10" Type="http://schemas.openxmlformats.org/officeDocument/2006/relationships/endnotes" Target="endnotes.xml"/><Relationship Id="rId19" Type="http://schemas.openxmlformats.org/officeDocument/2006/relationships/hyperlink" Target="http://www.cancer.gov/types/breast/breast-changes/dense-breasts" TargetMode="External"/><Relationship Id="rId31" Type="http://schemas.openxmlformats.org/officeDocument/2006/relationships/hyperlink" Target="http://www.breastscreen.sa.gov.au/news/breast-density-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termac.org/iprevent" TargetMode="External"/><Relationship Id="rId22" Type="http://schemas.openxmlformats.org/officeDocument/2006/relationships/hyperlink" Target="http://www.cosa.org.au/media/332779/breast_density_facts_issues_final_approved_5march2021.pdf" TargetMode="External"/><Relationship Id="rId27" Type="http://schemas.openxmlformats.org/officeDocument/2006/relationships/hyperlink" Target="https://doi.org/10.1186/s12885-020-06992-1" TargetMode="External"/><Relationship Id="rId30" Type="http://schemas.openxmlformats.org/officeDocument/2006/relationships/hyperlink" Target="https://doi.org/10.3390%2Fjcm9040955" TargetMode="External"/><Relationship Id="rId35" Type="http://schemas.openxmlformats.org/officeDocument/2006/relationships/hyperlink" Target="https://doi.org/10.1016/j.breast.2024.103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85E04D584D994FA2BC67A5F0078E95" ma:contentTypeVersion="6" ma:contentTypeDescription="Create a new document." ma:contentTypeScope="" ma:versionID="6446e62a2cd4eb8d19e8ad4f3a8aa629">
  <xsd:schema xmlns:xsd="http://www.w3.org/2001/XMLSchema" xmlns:xs="http://www.w3.org/2001/XMLSchema" xmlns:p="http://schemas.microsoft.com/office/2006/metadata/properties" xmlns:ns2="63fad512-98b4-43dc-a1a4-55dee3ab8d0d" targetNamespace="http://schemas.microsoft.com/office/2006/metadata/properties" ma:root="true" ma:fieldsID="8f0d42d009367308d34ac604456ca324" ns2:_="">
    <xsd:import namespace="63fad512-98b4-43dc-a1a4-55dee3ab8d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ad512-98b4-43dc-a1a4-55dee3ab8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DD6A3-BDD1-4D1C-ACD6-9EB59B642404}">
  <ds:schemaRefs>
    <ds:schemaRef ds:uri="http://schemas.microsoft.com/sharepoint/v3/contenttype/forms"/>
  </ds:schemaRefs>
</ds:datastoreItem>
</file>

<file path=customXml/itemProps2.xml><?xml version="1.0" encoding="utf-8"?>
<ds:datastoreItem xmlns:ds="http://schemas.openxmlformats.org/officeDocument/2006/customXml" ds:itemID="{96E8C453-8F0F-44CB-BE37-1209F3A0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ad512-98b4-43dc-a1a4-55dee3ab8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8E51E-A0F0-417D-B596-7C6DC0495614}">
  <ds:schemaRefs>
    <ds:schemaRef ds:uri="http://schemas.openxmlformats.org/officeDocument/2006/bibliography"/>
  </ds:schemaRefs>
</ds:datastoreItem>
</file>

<file path=customXml/itemProps4.xml><?xml version="1.0" encoding="utf-8"?>
<ds:datastoreItem xmlns:ds="http://schemas.openxmlformats.org/officeDocument/2006/customXml" ds:itemID="{E3FD637A-096F-42E2-B824-B21D4E310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3983</Words>
  <Characters>25297</Characters>
  <Application>Microsoft Office Word</Application>
  <DocSecurity>0</DocSecurity>
  <Lines>486</Lines>
  <Paragraphs>182</Paragraphs>
  <ScaleCrop>false</ScaleCrop>
  <HeadingPairs>
    <vt:vector size="2" baseType="variant">
      <vt:variant>
        <vt:lpstr>Title</vt:lpstr>
      </vt:variant>
      <vt:variant>
        <vt:i4>1</vt:i4>
      </vt:variant>
    </vt:vector>
  </HeadingPairs>
  <TitlesOfParts>
    <vt:vector size="1" baseType="lpstr">
      <vt:lpstr>BreastScreen Australia Position Statement on Mammographic (Breast) Density and Screening</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Position statement on breast density and screening</dc:title>
  <dc:subject>BreastScreen Australia Program</dc:subject>
  <dc:creator>Australian Government Department of Health, Disability and Ageing</dc:creator>
  <cp:keywords>BreastScreen Australia Program, Cancer, Preventative health</cp:keywords>
  <dc:description/>
  <cp:lastModifiedBy>MASCHKE, Elvia</cp:lastModifiedBy>
  <cp:revision>8</cp:revision>
  <cp:lastPrinted>2024-03-14T02:38:00Z</cp:lastPrinted>
  <dcterms:created xsi:type="dcterms:W3CDTF">2025-05-27T02:45:00Z</dcterms:created>
  <dcterms:modified xsi:type="dcterms:W3CDTF">2025-05-29T01:08:00Z</dcterms:modified>
</cp:coreProperties>
</file>